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24A08" w:rsidR="00D7067A" w:rsidP="00C24A08" w:rsidRDefault="00852E38" w14:paraId="2441BC56" w14:textId="77777777">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r w:rsidRPr="00C24A08">
        <w:rPr>
          <w:rFonts w:ascii="Century Gothic" w:hAnsi="Century Gothic" w:eastAsia="Calibri" w:cs="Arial"/>
          <w:b/>
          <w:sz w:val="20"/>
          <w:szCs w:val="20"/>
          <w:lang w:val="es-MX" w:eastAsia="es-ES_tradnl"/>
        </w:rPr>
        <w:t xml:space="preserve">LEY 136 DE 1994 – Convenios Solidarios – Definición </w:t>
      </w:r>
      <w:r w:rsidRPr="00C24A08" w:rsidR="00D7067A">
        <w:rPr>
          <w:rFonts w:ascii="Century Gothic" w:hAnsi="Century Gothic" w:eastAsia="Calibri" w:cs="Arial"/>
          <w:b/>
          <w:sz w:val="20"/>
          <w:szCs w:val="20"/>
          <w:lang w:val="es-MX" w:eastAsia="es-ES_tradnl"/>
        </w:rPr>
        <w:t>- Ámbito</w:t>
      </w:r>
      <w:r w:rsidRPr="00C24A08">
        <w:rPr>
          <w:rFonts w:ascii="Century Gothic" w:hAnsi="Century Gothic" w:eastAsia="Calibri" w:cs="Arial"/>
          <w:b/>
          <w:sz w:val="20"/>
          <w:szCs w:val="20"/>
          <w:lang w:val="es-MX" w:eastAsia="es-ES_tradnl"/>
        </w:rPr>
        <w:t xml:space="preserve"> de aplicación – Organismos de Acción Comunal – Régimen jurídico</w:t>
      </w:r>
    </w:p>
    <w:p w:rsidRPr="00C24A08" w:rsidR="00D7067A" w:rsidP="00C24A08" w:rsidRDefault="00D7067A" w14:paraId="1B2053AE" w14:textId="77777777">
      <w:pPr>
        <w:shd w:val="clear" w:color="auto" w:fill="FFFFFF" w:themeFill="background1"/>
        <w:spacing w:before="240" w:after="120" w:line="240" w:lineRule="auto"/>
        <w:contextualSpacing/>
        <w:jc w:val="both"/>
        <w:rPr>
          <w:rFonts w:ascii="Century Gothic" w:hAnsi="Century Gothic"/>
          <w:sz w:val="20"/>
          <w:szCs w:val="20"/>
        </w:rPr>
      </w:pPr>
    </w:p>
    <w:p w:rsidRPr="00C24A08" w:rsidR="00D7067A" w:rsidP="00C24A08" w:rsidRDefault="00D7067A" w14:paraId="2F14D7EE" w14:textId="16B90BBA">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 xml:space="preserve">De conformidad con lo dispuesto en el parágrafo tercero del artículo 3 de la Ley 136 de 1994, los convenios solidarios se definen como “la complementación de esfuerzos institucionales, comunitarios, económicos y sociales para la construcción de obras y la satisfacción de necesidades y aspiraciones de las comunidades”. De acuerdo con dicha definición y lo expresado en los apartes 2.1. y 2.2. de este concepto, los convenios solidarios podrán ser suscritos para diferentes objetos y es posible evidenciar tres regímenes jurídicos para su suscripción. </w:t>
      </w:r>
    </w:p>
    <w:p w:rsidRPr="00C24A08" w:rsidR="002A26E7" w:rsidP="00C24A08" w:rsidRDefault="002A26E7" w14:paraId="51A9E7A7" w14:textId="77777777">
      <w:pPr>
        <w:shd w:val="clear" w:color="auto" w:fill="FFFFFF" w:themeFill="background1"/>
        <w:spacing w:before="240" w:after="120" w:line="240" w:lineRule="auto"/>
        <w:contextualSpacing/>
        <w:jc w:val="both"/>
        <w:rPr>
          <w:rFonts w:ascii="Century Gothic" w:hAnsi="Century Gothic"/>
          <w:sz w:val="20"/>
          <w:szCs w:val="20"/>
        </w:rPr>
      </w:pPr>
    </w:p>
    <w:p w:rsidRPr="00C24A08" w:rsidR="00D7067A" w:rsidP="00C24A08" w:rsidRDefault="002A26E7" w14:paraId="659B5DDF" w14:textId="7E28E474">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 xml:space="preserve">(…) </w:t>
      </w:r>
      <w:r w:rsidRPr="00C24A08" w:rsidR="00D7067A">
        <w:rPr>
          <w:rFonts w:ascii="Century Gothic" w:hAnsi="Century Gothic"/>
          <w:sz w:val="20"/>
          <w:szCs w:val="20"/>
        </w:rPr>
        <w:t>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 Por otra parte, además de lo explicado en el apartado 2.3 sobre la contratación de los parágrafos tercero y quinto del artículo tercero de la Ley 136 de 1994, cada una de ellas precisa el procedimiento de selección aplicable, aclarando que este se rige por las normas de la contratación directa en el primer régimen y que, para efectos del segundo, el procedimiento será competitivo o no competitivo de acuerdo con los previsto en el artículo 4 del Decreto 092 de 2017.</w:t>
      </w:r>
    </w:p>
    <w:p w:rsidRPr="00C24A08" w:rsidR="003D112A" w:rsidP="00C24A08" w:rsidRDefault="003D112A" w14:paraId="2EBFBBE7" w14:textId="77777777">
      <w:pPr>
        <w:shd w:val="clear" w:color="auto" w:fill="FFFFFF" w:themeFill="background1"/>
        <w:spacing w:before="240" w:after="120" w:line="240" w:lineRule="auto"/>
        <w:contextualSpacing/>
        <w:jc w:val="both"/>
        <w:rPr>
          <w:rFonts w:ascii="Century Gothic" w:hAnsi="Century Gothic"/>
          <w:sz w:val="20"/>
          <w:szCs w:val="20"/>
        </w:rPr>
      </w:pPr>
    </w:p>
    <w:p w:rsidRPr="00C24A08" w:rsidR="00852E38" w:rsidP="00C24A08" w:rsidRDefault="00852E38" w14:paraId="7A3719CA" w14:textId="77777777">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r w:rsidRPr="00C24A08">
        <w:rPr>
          <w:rFonts w:ascii="Century Gothic" w:hAnsi="Century Gothic" w:eastAsia="Calibri" w:cs="Arial"/>
          <w:b/>
          <w:sz w:val="20"/>
          <w:szCs w:val="20"/>
          <w:lang w:val="es-MX" w:eastAsia="es-ES_tradnl"/>
        </w:rPr>
        <w:t xml:space="preserve">LEY 2166 DE 2021 – Organismos de Acción Comunal – Artículo 95 – Convenios solidarios – Contratación directa – Contratos de obra- menor cuantía </w:t>
      </w:r>
    </w:p>
    <w:p w:rsidRPr="00C24A08" w:rsidR="003D112A" w:rsidP="00C24A08" w:rsidRDefault="003D112A" w14:paraId="42063079" w14:textId="77777777">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p>
    <w:p w:rsidRPr="00C24A08" w:rsidR="003D112A" w:rsidP="00C24A08" w:rsidRDefault="003D112A" w14:paraId="4A17C179" w14:textId="77777777">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 xml:space="preserve">El primer régimen encuentra su fundamento en el parágrafo cuarto del artículo 3 de la Ley 136 de 1994, el artículo 95 de la Ley 2166 de 2021 y el artículo 15 del Decreto 142 de 2023 que adicionó el artículo 2.2.15.1.2. del Decreto 1082 de 2015, Como se indicó, este determina una </w:t>
      </w:r>
      <w:proofErr w:type="spellStart"/>
      <w:r w:rsidRPr="00C24A08">
        <w:rPr>
          <w:rFonts w:ascii="Century Gothic" w:hAnsi="Century Gothic"/>
          <w:sz w:val="20"/>
          <w:szCs w:val="20"/>
        </w:rPr>
        <w:t>sub-regla</w:t>
      </w:r>
      <w:proofErr w:type="spellEnd"/>
      <w:r w:rsidRPr="00C24A08">
        <w:rPr>
          <w:rFonts w:ascii="Century Gothic" w:hAnsi="Century Gothic"/>
          <w:sz w:val="20"/>
          <w:szCs w:val="20"/>
        </w:rPr>
        <w:t xml:space="preserve"> de contratación prevalente por su especificidad. Para la aplicabilidad de este régimen es necesario que concurran los siguientes requisitos: i) que las partes intervinientes sean, por un lado, entidades de orden nacional, departamental, distrital o municipal y, por otro, Organismos de Acción Comunal; </w:t>
      </w:r>
      <w:proofErr w:type="spellStart"/>
      <w:r w:rsidRPr="00C24A08">
        <w:rPr>
          <w:rFonts w:ascii="Century Gothic" w:hAnsi="Century Gothic"/>
          <w:sz w:val="20"/>
          <w:szCs w:val="20"/>
        </w:rPr>
        <w:t>ii</w:t>
      </w:r>
      <w:proofErr w:type="spellEnd"/>
      <w:r w:rsidRPr="00C24A08">
        <w:rPr>
          <w:rFonts w:ascii="Century Gothic" w:hAnsi="Century Gothic"/>
          <w:sz w:val="20"/>
          <w:szCs w:val="20"/>
        </w:rPr>
        <w:t xml:space="preserve">) que el objeto contractual consista únicamente en la ejecución de obras; y, </w:t>
      </w:r>
      <w:proofErr w:type="spellStart"/>
      <w:r w:rsidRPr="00C24A08">
        <w:rPr>
          <w:rFonts w:ascii="Century Gothic" w:hAnsi="Century Gothic"/>
          <w:sz w:val="20"/>
          <w:szCs w:val="20"/>
        </w:rPr>
        <w:t>iii</w:t>
      </w:r>
      <w:proofErr w:type="spellEnd"/>
      <w:r w:rsidRPr="00C24A08">
        <w:rPr>
          <w:rFonts w:ascii="Century Gothic" w:hAnsi="Century Gothic"/>
          <w:sz w:val="20"/>
          <w:szCs w:val="20"/>
        </w:rPr>
        <w:t xml:space="preserve">) que el contrato no supere la menor cuantía. De concurrir las anteriores circunstancias, la norma autoriza la contratación directa entre dichas entidades y el respectivo Organismo de Acción Comunal, previamente legalizada y reconocida ante los organismos competentes. En todo caso, esta contratación debe tomar como personal para la ejecución de la obra a los habitantes de la comunidad. </w:t>
      </w:r>
    </w:p>
    <w:p w:rsidRPr="00C24A08" w:rsidR="005A67E1" w:rsidP="00C24A08" w:rsidRDefault="005A67E1" w14:paraId="237540B7" w14:textId="77777777">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p>
    <w:p w:rsidRPr="00C24A08" w:rsidR="00852E38" w:rsidP="00C24A08" w:rsidRDefault="00852E38" w14:paraId="4972CE41" w14:textId="77777777">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r w:rsidRPr="00C24A08">
        <w:rPr>
          <w:rFonts w:ascii="Century Gothic" w:hAnsi="Century Gothic" w:eastAsia="Calibri" w:cs="Arial"/>
          <w:b/>
          <w:sz w:val="20"/>
          <w:szCs w:val="20"/>
          <w:lang w:val="es-MX" w:eastAsia="es-ES_tradnl"/>
        </w:rPr>
        <w:t xml:space="preserve">LEY 2166 DE 2021 – Artículo 63 – Convenios solidarios – menor cuantía – Artículo 141 de la Ley 136 de 1994 </w:t>
      </w:r>
    </w:p>
    <w:p w:rsidRPr="00C24A08" w:rsidR="003D112A" w:rsidP="00C24A08" w:rsidRDefault="003D112A" w14:paraId="372FBCF7" w14:textId="77777777">
      <w:pPr>
        <w:shd w:val="clear" w:color="auto" w:fill="FFFFFF" w:themeFill="background1"/>
        <w:spacing w:before="240" w:after="120" w:line="240" w:lineRule="auto"/>
        <w:contextualSpacing/>
        <w:jc w:val="both"/>
        <w:rPr>
          <w:rFonts w:ascii="Century Gothic" w:hAnsi="Century Gothic"/>
          <w:sz w:val="20"/>
          <w:szCs w:val="20"/>
        </w:rPr>
      </w:pPr>
    </w:p>
    <w:p w:rsidRPr="00C24A08" w:rsidR="003D112A" w:rsidP="00C24A08" w:rsidRDefault="003D112A" w14:paraId="11C94970" w14:textId="2F1AEE2B">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 xml:space="preserve">Un segundo régimen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w:t>
      </w:r>
      <w:r w:rsidRPr="00C24A08">
        <w:rPr>
          <w:rFonts w:ascii="Century Gothic" w:hAnsi="Century Gothic"/>
          <w:sz w:val="20"/>
          <w:szCs w:val="20"/>
        </w:rPr>
        <w:t xml:space="preserve">parágrafo tercero del artículo 3 de la Ley 136 de 1994, puede manifestarse a través de convenios solidarios. 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w:t>
      </w:r>
      <w:proofErr w:type="spellStart"/>
      <w:r w:rsidRPr="00C24A08">
        <w:rPr>
          <w:rFonts w:ascii="Century Gothic" w:hAnsi="Century Gothic"/>
          <w:sz w:val="20"/>
          <w:szCs w:val="20"/>
        </w:rPr>
        <w:t>ii</w:t>
      </w:r>
      <w:proofErr w:type="spellEnd"/>
      <w:r w:rsidRPr="00C24A08">
        <w:rPr>
          <w:rFonts w:ascii="Century Gothic" w:hAnsi="Century Gothic"/>
          <w:sz w:val="20"/>
          <w:szCs w:val="20"/>
        </w:rPr>
        <w:t xml:space="preserve">) que el objeto del contrato esté dirigido al impulso de programas y actividades de interés público acordes con el plan de desarrollo aplicable; </w:t>
      </w:r>
      <w:proofErr w:type="spellStart"/>
      <w:r w:rsidRPr="00C24A08">
        <w:rPr>
          <w:rFonts w:ascii="Century Gothic" w:hAnsi="Century Gothic"/>
          <w:sz w:val="20"/>
          <w:szCs w:val="20"/>
        </w:rPr>
        <w:t>iii</w:t>
      </w:r>
      <w:proofErr w:type="spellEnd"/>
      <w:r w:rsidRPr="00C24A08">
        <w:rPr>
          <w:rFonts w:ascii="Century Gothic" w:hAnsi="Century Gothic"/>
          <w:sz w:val="20"/>
          <w:szCs w:val="20"/>
        </w:rPr>
        <w:t xml:space="preserve">) que el contrato no refleje relaciones conmutativas que impliquen contraprestaciones para la entidad del Estado; </w:t>
      </w:r>
      <w:proofErr w:type="spellStart"/>
      <w:r w:rsidRPr="00C24A08">
        <w:rPr>
          <w:rFonts w:ascii="Century Gothic" w:hAnsi="Century Gothic"/>
          <w:sz w:val="20"/>
          <w:szCs w:val="20"/>
        </w:rPr>
        <w:t>iv</w:t>
      </w:r>
      <w:proofErr w:type="spellEnd"/>
      <w:r w:rsidRPr="00C24A08">
        <w:rPr>
          <w:rFonts w:ascii="Century Gothic" w:hAnsi="Century Gothic"/>
          <w:sz w:val="20"/>
          <w:szCs w:val="20"/>
        </w:rPr>
        <w:t xml:space="preserve">) que la entidad del Estado no imparta instrucciones precisas para la ejecución del objeto convenido; y, v) en virtud del literal f) del artículo 16 de la Ley 2166 de 2021, su cuantía no puede ser superior a la menor cuantía. </w:t>
      </w:r>
    </w:p>
    <w:p w:rsidRPr="00C24A08" w:rsidR="0089089E" w:rsidP="00C24A08" w:rsidRDefault="0089089E" w14:paraId="5B5238A5" w14:textId="77777777">
      <w:pPr>
        <w:shd w:val="clear" w:color="auto" w:fill="FFFFFF" w:themeFill="background1"/>
        <w:spacing w:before="240" w:after="120" w:line="240" w:lineRule="auto"/>
        <w:contextualSpacing/>
        <w:jc w:val="both"/>
        <w:rPr>
          <w:rFonts w:ascii="Century Gothic" w:hAnsi="Century Gothic"/>
          <w:sz w:val="20"/>
          <w:szCs w:val="20"/>
        </w:rPr>
      </w:pPr>
    </w:p>
    <w:p w:rsidRPr="00C24A08" w:rsidR="003D112A" w:rsidP="00C24A08" w:rsidRDefault="003D112A" w14:paraId="0DF28974" w14:textId="24641FCC">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w:t>
      </w:r>
    </w:p>
    <w:p w:rsidRPr="00C24A08" w:rsidR="0089089E" w:rsidP="00C24A08" w:rsidRDefault="0089089E" w14:paraId="39EDF050" w14:textId="77777777">
      <w:pPr>
        <w:shd w:val="clear" w:color="auto" w:fill="FFFFFF" w:themeFill="background1"/>
        <w:spacing w:before="240" w:after="120" w:line="240" w:lineRule="auto"/>
        <w:contextualSpacing/>
        <w:jc w:val="both"/>
        <w:rPr>
          <w:rFonts w:ascii="Century Gothic" w:hAnsi="Century Gothic"/>
          <w:sz w:val="20"/>
          <w:szCs w:val="20"/>
        </w:rPr>
      </w:pPr>
    </w:p>
    <w:p w:rsidRPr="00C24A08" w:rsidR="003D112A" w:rsidP="00C24A08" w:rsidRDefault="003D112A" w14:paraId="2DE11622" w14:textId="27089BC3">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Por último, en armonía con la modificación realizada por la Ley 1955 de 2019 y la Ley 2200 de 2022, se presenta un tercer régimen, que encuentra su fundamento en los parágrafos tercero y quinto del artículo tercero de la Ley 136 de 1994, que deben interpretarse armónicamente con lo dispuesto en el artículo 141 de la precitada Ley y el artículo 63 de la Ley 2166 de 2021. En virtud de tales disposiciones normativas, los Organismos de Acción Comunal cuentan con la posibilidad de vincularse al desarrollo y mejoramiento municipal y departamental mediante la participación en el ejercicio de las funciones. (</w:t>
      </w:r>
      <w:r w:rsidRPr="00C24A08" w:rsidR="0089089E">
        <w:rPr>
          <w:rFonts w:ascii="Century Gothic" w:hAnsi="Century Gothic"/>
          <w:sz w:val="20"/>
          <w:szCs w:val="20"/>
        </w:rPr>
        <w:t>…) Las</w:t>
      </w:r>
      <w:r w:rsidRPr="00C24A08">
        <w:rPr>
          <w:rFonts w:ascii="Century Gothic" w:hAnsi="Century Gothic"/>
          <w:sz w:val="20"/>
          <w:szCs w:val="20"/>
        </w:rPr>
        <w:t xml:space="preserve"> normas previamente citadas disponen que se aplicarán los artículos 375 a 378 del Decreto 1333 de 1986 así como el EGCAP. Frente a este régimen de contratación la Agencia ha indicado que aquel resulta aplicable a todos los casos no reglamentados a través de normas específicas en los que: i) se vinculen entidades del orden departamental, municipal o distrital y Organismos de Acción Comunal; </w:t>
      </w:r>
      <w:proofErr w:type="spellStart"/>
      <w:r w:rsidRPr="00C24A08">
        <w:rPr>
          <w:rFonts w:ascii="Century Gothic" w:hAnsi="Century Gothic"/>
          <w:sz w:val="20"/>
          <w:szCs w:val="20"/>
        </w:rPr>
        <w:t>ii</w:t>
      </w:r>
      <w:proofErr w:type="spellEnd"/>
      <w:r w:rsidRPr="00C24A08">
        <w:rPr>
          <w:rFonts w:ascii="Century Gothic" w:hAnsi="Century Gothic"/>
          <w:sz w:val="20"/>
          <w:szCs w:val="20"/>
        </w:rPr>
        <w:t xml:space="preserve">) se cumpla con el objetivo planteado en el parágrafo tercero del artículo tercero de la Ley 136 de 1994 y el artículo 63 de la Ley 2166 de 2021, en consonancia con el artículo 355 constitucional; y </w:t>
      </w:r>
      <w:proofErr w:type="spellStart"/>
      <w:r w:rsidRPr="00C24A08">
        <w:rPr>
          <w:rFonts w:ascii="Century Gothic" w:hAnsi="Century Gothic"/>
          <w:sz w:val="20"/>
          <w:szCs w:val="20"/>
        </w:rPr>
        <w:t>iii</w:t>
      </w:r>
      <w:proofErr w:type="spellEnd"/>
      <w:r w:rsidRPr="00C24A08">
        <w:rPr>
          <w:rFonts w:ascii="Century Gothic" w:hAnsi="Century Gothic"/>
          <w:sz w:val="20"/>
          <w:szCs w:val="20"/>
        </w:rPr>
        <w:t xml:space="preserve">) no exista otra forma especial de contratación. </w:t>
      </w:r>
    </w:p>
    <w:p w:rsidRPr="00C24A08" w:rsidR="003D112A" w:rsidP="00C24A08" w:rsidRDefault="003D112A" w14:paraId="3BB7B5E1" w14:textId="77777777">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p>
    <w:p w:rsidRPr="00C24A08" w:rsidR="00852E38" w:rsidP="00C24A08" w:rsidRDefault="00852E38" w14:paraId="2E1D1EA1" w14:textId="373289C3">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r w:rsidRPr="00C24A08">
        <w:rPr>
          <w:rFonts w:ascii="Century Gothic" w:hAnsi="Century Gothic" w:eastAsia="Calibri" w:cs="Arial"/>
          <w:b/>
          <w:sz w:val="20"/>
          <w:szCs w:val="20"/>
          <w:lang w:val="es-MX" w:eastAsia="es-ES_tradnl"/>
        </w:rPr>
        <w:t xml:space="preserve">ORGANISMOS DE ACCIÓN COMUNAL – Capacidad jurídica – </w:t>
      </w:r>
    </w:p>
    <w:p w:rsidRPr="00C24A08" w:rsidR="0038297D" w:rsidP="00C24A08" w:rsidRDefault="0038297D" w14:paraId="6C2C0A7F" w14:textId="77777777">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p>
    <w:p w:rsidRPr="00C24A08" w:rsidR="0038297D" w:rsidP="00C24A08" w:rsidRDefault="0038297D" w14:paraId="1EAEDFAF" w14:textId="320D3536">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En desarrollo de ese ejercicio democrático, el artículo 16 ibidem dispuso como funciones de los Organismos de Acción Comunal promover y fortalecer en el individuo, el sentido de pertenencia frente a su comunidad, localidad, distrito o municipio a través del ejercicio de la democracia participativa, y en virtud a ello generar procesos comunitarios como la formulación, ejecución y administración, entre otros, de planes, programas y proyectos de desarrollo comunitario, por lo que se encuentran facultadas para celebrar contratos con entidades del estado, empresas públicas y privadas del orden internacional, nacional, departamental, distrital, municipal y local, hasta de menor cuantía, con el fin de</w:t>
      </w:r>
      <w:r w:rsidRPr="00C24A08">
        <w:rPr>
          <w:rFonts w:ascii="Century Gothic" w:hAnsi="Century Gothic"/>
          <w:sz w:val="20"/>
          <w:szCs w:val="20"/>
        </w:rPr>
        <w:t xml:space="preserve"> </w:t>
      </w:r>
      <w:r w:rsidRPr="00C24A08">
        <w:rPr>
          <w:rFonts w:ascii="Century Gothic" w:hAnsi="Century Gothic"/>
          <w:sz w:val="20"/>
          <w:szCs w:val="20"/>
        </w:rPr>
        <w:t>impulsar planes, programas y proyectos acordes con los planes comunales y comunitarios de desarrollo territorial</w:t>
      </w:r>
      <w:r w:rsidRPr="00C24A08">
        <w:rPr>
          <w:rFonts w:ascii="Century Gothic" w:hAnsi="Century Gothic"/>
          <w:sz w:val="20"/>
          <w:szCs w:val="20"/>
        </w:rPr>
        <w:t>.</w:t>
      </w:r>
    </w:p>
    <w:p w:rsidRPr="00C24A08" w:rsidR="00293D36" w:rsidP="00C24A08" w:rsidRDefault="00293D36" w14:paraId="2CB2A55E" w14:textId="77777777">
      <w:pPr>
        <w:shd w:val="clear" w:color="auto" w:fill="FFFFFF" w:themeFill="background1"/>
        <w:spacing w:before="240" w:after="120" w:line="240" w:lineRule="auto"/>
        <w:contextualSpacing/>
        <w:jc w:val="both"/>
        <w:rPr>
          <w:rFonts w:ascii="Century Gothic" w:hAnsi="Century Gothic"/>
          <w:sz w:val="20"/>
          <w:szCs w:val="20"/>
        </w:rPr>
      </w:pPr>
    </w:p>
    <w:p w:rsidR="00293D36" w:rsidP="00C24A08" w:rsidRDefault="00293D36" w14:paraId="072602A4" w14:textId="6ABAC3E9">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w:t>
      </w:r>
    </w:p>
    <w:p w:rsidRPr="00C24A08" w:rsidR="00C24A08" w:rsidP="00C24A08" w:rsidRDefault="00C24A08" w14:paraId="15F78EC9" w14:textId="77777777">
      <w:pPr>
        <w:shd w:val="clear" w:color="auto" w:fill="FFFFFF" w:themeFill="background1"/>
        <w:spacing w:before="240" w:after="120" w:line="240" w:lineRule="auto"/>
        <w:contextualSpacing/>
        <w:jc w:val="both"/>
        <w:rPr>
          <w:rFonts w:ascii="Century Gothic" w:hAnsi="Century Gothic"/>
          <w:sz w:val="20"/>
          <w:szCs w:val="20"/>
        </w:rPr>
      </w:pPr>
    </w:p>
    <w:p w:rsidRPr="00C24A08" w:rsidR="00293D36" w:rsidP="00C24A08" w:rsidRDefault="00293D36" w14:paraId="3FC6C33A" w14:textId="6EAA7963">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Asimismo, el artículo 9 ibidem dispuso que “cada organismo de acción comunal desarrollará sus actividades dentro de un territorio delimitado”, indicando las orientaciones para dicha limitación.</w:t>
      </w:r>
      <w:r w:rsidRPr="00C24A08">
        <w:rPr>
          <w:rFonts w:ascii="Century Gothic" w:hAnsi="Century Gothic"/>
          <w:sz w:val="20"/>
          <w:szCs w:val="20"/>
        </w:rPr>
        <w:t xml:space="preserve"> (…) </w:t>
      </w:r>
      <w:r w:rsidRPr="00C24A08">
        <w:rPr>
          <w:rFonts w:ascii="Century Gothic" w:hAnsi="Century Gothic"/>
          <w:sz w:val="20"/>
          <w:szCs w:val="20"/>
        </w:rPr>
        <w:t>De lo anterior se concluye, que con base en el principio de participación, el objeto social de las Juntas de Acción Comunal está definido y limitado a la territorialidad a la cual pertenece y tiene jurisdicción, por lo tanto</w:t>
      </w:r>
      <w:r w:rsidRPr="00C24A08">
        <w:rPr>
          <w:rFonts w:ascii="Century Gothic" w:hAnsi="Century Gothic"/>
          <w:sz w:val="20"/>
          <w:szCs w:val="20"/>
        </w:rPr>
        <w:t>,</w:t>
      </w:r>
      <w:r w:rsidRPr="00C24A08">
        <w:rPr>
          <w:rFonts w:ascii="Century Gothic" w:hAnsi="Century Gothic"/>
          <w:sz w:val="20"/>
          <w:szCs w:val="20"/>
        </w:rPr>
        <w:t xml:space="preserve"> no podrá ejecutar actividades por fuera de esta, pues sólo así se garantizaría que el desarrollo de la comunidad, se dé a través de un proceso territorial que integren los esfuerzos de su población, organismos y el Estado, para mejorar la calidad de vida de las comunidades, fortaleciendo así la construcción de las mismas, a partir de los planes de desarrollo comunales y comunitarios construidos y concertados por los afiliados a los organismos comunales, en articulación con las autoridades de cada uno de sus territorios.</w:t>
      </w:r>
    </w:p>
    <w:p w:rsidRPr="00C24A08" w:rsidR="00293D36" w:rsidP="00C24A08" w:rsidRDefault="00293D36" w14:paraId="11FCE1C5" w14:textId="77777777">
      <w:pPr>
        <w:shd w:val="clear" w:color="auto" w:fill="FFFFFF" w:themeFill="background1"/>
        <w:spacing w:before="240" w:after="120" w:line="240" w:lineRule="auto"/>
        <w:contextualSpacing/>
        <w:jc w:val="both"/>
        <w:rPr>
          <w:rFonts w:ascii="Century Gothic" w:hAnsi="Century Gothic"/>
          <w:sz w:val="20"/>
          <w:szCs w:val="20"/>
        </w:rPr>
      </w:pPr>
    </w:p>
    <w:p w:rsidRPr="00C24A08" w:rsidR="00293D36" w:rsidP="00C24A08" w:rsidRDefault="00293D36" w14:paraId="43B9FB13" w14:textId="5CC300B7">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r w:rsidRPr="00C24A08">
        <w:rPr>
          <w:rFonts w:ascii="Century Gothic" w:hAnsi="Century Gothic" w:eastAsia="Calibri" w:cs="Arial"/>
          <w:b/>
          <w:sz w:val="20"/>
          <w:szCs w:val="20"/>
          <w:lang w:val="es-MX" w:eastAsia="es-ES_tradnl"/>
        </w:rPr>
        <w:t>ORGANISMOS DE ACCIÓN COMUNAL –</w:t>
      </w:r>
      <w:r w:rsidRPr="00C24A08">
        <w:rPr>
          <w:rFonts w:ascii="Century Gothic" w:hAnsi="Century Gothic" w:eastAsia="Calibri" w:cs="Arial"/>
          <w:b/>
          <w:sz w:val="20"/>
          <w:szCs w:val="20"/>
          <w:lang w:val="es-MX" w:eastAsia="es-ES_tradnl"/>
        </w:rPr>
        <w:t xml:space="preserve"> </w:t>
      </w:r>
      <w:r w:rsidRPr="00C24A08">
        <w:rPr>
          <w:rFonts w:ascii="Century Gothic" w:hAnsi="Century Gothic" w:eastAsia="Calibri" w:cs="Arial"/>
          <w:b/>
          <w:sz w:val="20"/>
          <w:szCs w:val="20"/>
          <w:lang w:val="es-MX" w:eastAsia="es-ES_tradnl"/>
        </w:rPr>
        <w:t>Capacidad técnica – Acreditación</w:t>
      </w:r>
    </w:p>
    <w:p w:rsidRPr="00C24A08" w:rsidR="00293D36" w:rsidP="00C24A08" w:rsidRDefault="00293D36" w14:paraId="6F484CDF" w14:textId="77777777">
      <w:pPr>
        <w:shd w:val="clear" w:color="auto" w:fill="FFFFFF" w:themeFill="background1"/>
        <w:spacing w:before="240" w:after="120" w:line="240" w:lineRule="auto"/>
        <w:contextualSpacing/>
        <w:jc w:val="both"/>
        <w:rPr>
          <w:rFonts w:ascii="Century Gothic" w:hAnsi="Century Gothic"/>
          <w:sz w:val="20"/>
          <w:szCs w:val="20"/>
        </w:rPr>
      </w:pPr>
    </w:p>
    <w:p w:rsidR="00293D36" w:rsidP="00C24A08" w:rsidRDefault="00293D36" w14:paraId="45019D49" w14:textId="71B3107F">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Por lo demás, en lo que respecta a la capacidad técnica del organismo de acción comunal, es necesario tener en cuenta que –de acuerdo en lo explicado en el apartado 2.1 – el convenio solidario se suscribe en ámbito de colaboración institucional. De adoptar una forma contractual, como ocurre en los procedimientos adelantados a través del artículo 2 de la Ley 1150 de 2007, la sujeción del contratista a la entidad justifica requisitos estrictos para la validación de la experiencia, pues es este último quien se encargará de la ejecución de las obligaciones. No obstante, en los convenios autorizados por la Ley 136 de 1994 y sus normas complementarias, las partes actúan en un ámbito de colaboración, por lo cual</w:t>
      </w:r>
      <w:r w:rsidRPr="00C24A08">
        <w:rPr>
          <w:rFonts w:ascii="Century Gothic" w:hAnsi="Century Gothic"/>
          <w:sz w:val="20"/>
          <w:szCs w:val="20"/>
        </w:rPr>
        <w:t xml:space="preserve"> - </w:t>
      </w:r>
      <w:r w:rsidRPr="00C24A08">
        <w:rPr>
          <w:rFonts w:ascii="Century Gothic" w:hAnsi="Century Gothic"/>
          <w:sz w:val="20"/>
          <w:szCs w:val="20"/>
        </w:rPr>
        <w:t>de acuerdo con las capacidades de cada extremo de la relación– ambas deben aunar sus esfuerzos para satisfacer la necesidad conjunta.</w:t>
      </w:r>
    </w:p>
    <w:p w:rsidRPr="00C24A08" w:rsidR="00C24A08" w:rsidP="00C24A08" w:rsidRDefault="00C24A08" w14:paraId="7201E181" w14:textId="77777777">
      <w:pPr>
        <w:shd w:val="clear" w:color="auto" w:fill="FFFFFF" w:themeFill="background1"/>
        <w:spacing w:before="240" w:after="120" w:line="240" w:lineRule="auto"/>
        <w:contextualSpacing/>
        <w:jc w:val="both"/>
        <w:rPr>
          <w:rFonts w:ascii="Century Gothic" w:hAnsi="Century Gothic"/>
          <w:sz w:val="20"/>
          <w:szCs w:val="20"/>
        </w:rPr>
      </w:pPr>
    </w:p>
    <w:p w:rsidR="00293D36" w:rsidP="00C24A08" w:rsidRDefault="00293D36" w14:paraId="6A859786" w14:textId="3B2F80A9">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w:t>
      </w:r>
    </w:p>
    <w:p w:rsidRPr="00C24A08" w:rsidR="00C24A08" w:rsidP="00C24A08" w:rsidRDefault="00C24A08" w14:paraId="036B3CE5" w14:textId="77777777">
      <w:pPr>
        <w:shd w:val="clear" w:color="auto" w:fill="FFFFFF" w:themeFill="background1"/>
        <w:spacing w:before="240" w:after="120" w:line="240" w:lineRule="auto"/>
        <w:contextualSpacing/>
        <w:jc w:val="both"/>
        <w:rPr>
          <w:rFonts w:ascii="Century Gothic" w:hAnsi="Century Gothic"/>
          <w:sz w:val="20"/>
          <w:szCs w:val="20"/>
        </w:rPr>
      </w:pPr>
    </w:p>
    <w:p w:rsidRPr="00C24A08" w:rsidR="00293D36" w:rsidP="00C24A08" w:rsidRDefault="00293D36" w14:paraId="695E64CC" w14:textId="4FC25E5A">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r w:rsidRPr="00C24A08">
        <w:rPr>
          <w:rFonts w:ascii="Century Gothic" w:hAnsi="Century Gothic"/>
          <w:sz w:val="20"/>
          <w:szCs w:val="20"/>
        </w:rPr>
        <w:t>En estricto sentido, desde un punto de vista jurídico, podría ser razonable afirmar que , la validación de la idoneidad a los Organismos de Acción Comunal podría realizarse a través de criterios dirigidos a medir las capacidades propias de los mismos o de quienes los conforman, en aspectos como, por ejemplo, la ejecución exitosa de convenios solidarios anteriores, la acreditación de personal profesional con experiencia en el desarrollo de obras civiles, el cumplimiento de obligaciones como mano de obra calificada o no calificada. Sin embargo, dichos criterios se deben determinar por la Entidad Estatal luego de haber adelantado el respectivo análisis para conocer el sector relativo al objeto del convenio que se pretenda celebrar</w:t>
      </w:r>
      <w:r w:rsidRPr="00C24A08">
        <w:rPr>
          <w:rFonts w:ascii="Century Gothic" w:hAnsi="Century Gothic"/>
          <w:sz w:val="20"/>
          <w:szCs w:val="20"/>
        </w:rPr>
        <w:t>.</w:t>
      </w:r>
    </w:p>
    <w:p w:rsidRPr="00C24A08" w:rsidR="005A67E1" w:rsidP="00C24A08" w:rsidRDefault="005A67E1" w14:paraId="20B10298" w14:textId="77777777">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p>
    <w:p w:rsidRPr="00C24A08" w:rsidR="0082271E" w:rsidP="00C24A08" w:rsidRDefault="00852E38" w14:paraId="6C206392" w14:textId="77777777">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r w:rsidRPr="00C24A08">
        <w:rPr>
          <w:rFonts w:ascii="Century Gothic" w:hAnsi="Century Gothic" w:eastAsia="Calibri" w:cs="Arial"/>
          <w:b/>
          <w:sz w:val="20"/>
          <w:szCs w:val="20"/>
          <w:lang w:val="es-MX" w:eastAsia="es-ES_tradnl"/>
        </w:rPr>
        <w:t xml:space="preserve">SUPERVISIÓN – Régimen jurídico </w:t>
      </w:r>
    </w:p>
    <w:p w:rsidRPr="00C24A08" w:rsidR="00136F58" w:rsidP="00C24A08" w:rsidRDefault="00136F58" w14:paraId="629B015A" w14:textId="77777777">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p>
    <w:p w:rsidRPr="00C24A08" w:rsidR="004B1C52" w:rsidP="00C24A08" w:rsidRDefault="00136F58" w14:paraId="2B87DBE6" w14:textId="77777777">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La Ley 1474 de 2011, “por la cual se dictan normas orientadas a fortalecer los mecanismos de prevención, investigación y sanción de actos de corrupción y la efectividad del control de la gestión pública”, obliga a las entidades públicas a vigilar la correcta ejecución del objeto contratado a través de las figuras de “supervisión” o de “interventoría”, con la finalidad de lograr la correcta ejecución del contrato y prevenir actos de corrupción que afecten la moralidad administrativa.</w:t>
      </w:r>
    </w:p>
    <w:p w:rsidRPr="00C24A08" w:rsidR="004B1C52" w:rsidP="00C24A08" w:rsidRDefault="004B1C52" w14:paraId="5D005EA7" w14:textId="77777777">
      <w:pPr>
        <w:shd w:val="clear" w:color="auto" w:fill="FFFFFF" w:themeFill="background1"/>
        <w:spacing w:before="240" w:after="120" w:line="240" w:lineRule="auto"/>
        <w:contextualSpacing/>
        <w:jc w:val="both"/>
        <w:rPr>
          <w:rFonts w:ascii="Century Gothic" w:hAnsi="Century Gothic"/>
          <w:sz w:val="20"/>
          <w:szCs w:val="20"/>
        </w:rPr>
      </w:pPr>
    </w:p>
    <w:p w:rsidRPr="00C24A08" w:rsidR="00C24A08" w:rsidP="00C24A08" w:rsidRDefault="00136F58" w14:paraId="14F0876E" w14:textId="77777777">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 xml:space="preserve">En este sentido, el artículo 83 de la citada norma define la supervisión como el seguimiento técnico, administrativo, financiero, contable, y jurídico que debe ejercer la entidad contratante sobre el cumplimiento del objeto del contrato, cuando no se requiera un conocimiento especializado. </w:t>
      </w:r>
    </w:p>
    <w:p w:rsidRPr="00C24A08" w:rsidR="00C24A08" w:rsidP="00C24A08" w:rsidRDefault="00C24A08" w14:paraId="092DB5BB" w14:textId="77777777">
      <w:pPr>
        <w:shd w:val="clear" w:color="auto" w:fill="FFFFFF" w:themeFill="background1"/>
        <w:spacing w:before="240" w:after="120" w:line="240" w:lineRule="auto"/>
        <w:contextualSpacing/>
        <w:jc w:val="both"/>
        <w:rPr>
          <w:rFonts w:ascii="Century Gothic" w:hAnsi="Century Gothic"/>
          <w:sz w:val="20"/>
          <w:szCs w:val="20"/>
        </w:rPr>
      </w:pPr>
    </w:p>
    <w:p w:rsidRPr="00C24A08" w:rsidR="005456A6" w:rsidP="00C24A08" w:rsidRDefault="00136F58" w14:paraId="535D09E8" w14:textId="6A88478C">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 xml:space="preserve">La obligación mencionada guarda relación con el principio de responsabilidad que rige la celebración y ejecución de los contratos estatales. Así, por ejemplo, los artículos 4, 5, 12, 14,26 y 32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o convenio, las especificaciones de los bienes, obras y servicios objeto del mismo,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o convenio y, de ser el caso, tomar medidas para exigir el adecuado cumplimiento. </w:t>
      </w:r>
    </w:p>
    <w:p w:rsidRPr="00C24A08" w:rsidR="005456A6" w:rsidP="00C24A08" w:rsidRDefault="005456A6" w14:paraId="6920DB4F" w14:textId="77777777">
      <w:pPr>
        <w:shd w:val="clear" w:color="auto" w:fill="FFFFFF" w:themeFill="background1"/>
        <w:spacing w:before="240" w:after="120" w:line="240" w:lineRule="auto"/>
        <w:contextualSpacing/>
        <w:jc w:val="both"/>
        <w:rPr>
          <w:rFonts w:ascii="Century Gothic" w:hAnsi="Century Gothic"/>
          <w:sz w:val="20"/>
          <w:szCs w:val="20"/>
        </w:rPr>
      </w:pPr>
    </w:p>
    <w:p w:rsidRPr="00C24A08" w:rsidR="00136F58" w:rsidP="00C24A08" w:rsidRDefault="00136F58" w14:paraId="77E17530" w14:textId="76731129">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r w:rsidRPr="00C24A08">
        <w:rPr>
          <w:rFonts w:ascii="Century Gothic" w:hAnsi="Century Gothic"/>
          <w:sz w:val="20"/>
          <w:szCs w:val="20"/>
        </w:rPr>
        <w:t>Las Leyes 1150 de 2007 y 1474 de 2011 complementan el régimen jurídico de la obligación de vigilar la correcta ejecución de los contratos estatales. Allí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 También se establecen los límites de la responsabilidad del representante legal ante la delegación de sus funciones en materia contractual y se regula la supervisión y la interventoría de los contratos estatales.</w:t>
      </w:r>
    </w:p>
    <w:p w:rsidRPr="00C24A08" w:rsidR="0082271E" w:rsidP="00C24A08" w:rsidRDefault="0082271E" w14:paraId="4CD55510" w14:textId="77777777">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p>
    <w:p w:rsidRPr="00C24A08" w:rsidR="00852E38" w:rsidP="00C24A08" w:rsidRDefault="0082271E" w14:paraId="2783A5BD" w14:textId="0D81935E">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r w:rsidRPr="00C24A08">
        <w:rPr>
          <w:rFonts w:ascii="Century Gothic" w:hAnsi="Century Gothic" w:eastAsia="Calibri" w:cs="Arial"/>
          <w:b/>
          <w:sz w:val="20"/>
          <w:szCs w:val="20"/>
          <w:lang w:val="es-MX" w:eastAsia="es-ES_tradnl"/>
        </w:rPr>
        <w:t xml:space="preserve">SUPERVISIÓN </w:t>
      </w:r>
      <w:r w:rsidRPr="00C24A08" w:rsidR="00852E38">
        <w:rPr>
          <w:rFonts w:ascii="Century Gothic" w:hAnsi="Century Gothic" w:eastAsia="Calibri" w:cs="Arial"/>
          <w:b/>
          <w:sz w:val="20"/>
          <w:szCs w:val="20"/>
          <w:lang w:val="es-MX" w:eastAsia="es-ES_tradnl"/>
        </w:rPr>
        <w:t>– Aplicabilidad a los convenios solidarios</w:t>
      </w:r>
    </w:p>
    <w:p w:rsidRPr="00C24A08" w:rsidR="00C24A08" w:rsidP="00C24A08" w:rsidRDefault="00C24A08" w14:paraId="03F8B347" w14:textId="77777777">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p>
    <w:p w:rsidRPr="00C24A08" w:rsidR="0082271E" w:rsidP="00C24A08" w:rsidRDefault="0082271E" w14:paraId="60F32509" w14:textId="77777777">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 xml:space="preserve">Ahora bien, frente a los convenios solidarios suscrito con Organismos de Acción Comunal, no cabe duda que las Entidades Estatales que lo suscriban les asiste el deber de vigilar la correcta ejecución del objeto acordado y a proteger tanto los derechos de la propia entidad como los del Organismo y terceros que puedan verse afectados por la ejecución del dicho convenio, sin importar el régimen jurídico que les aplique, para lo cual deberá contar o disponer de servidores públicos o contratistas que cuenten con la idoneidad técnica, administrativa y contable para de vigilar el cumplimiento de las obligaciones pactadas por las partes y apoyar al Organismo de Acción Comunal, en la ejecución de las obras. </w:t>
      </w:r>
    </w:p>
    <w:p w:rsidRPr="00C24A08" w:rsidR="0082271E" w:rsidP="00C24A08" w:rsidRDefault="0082271E" w14:paraId="477D5269" w14:textId="77777777">
      <w:pPr>
        <w:shd w:val="clear" w:color="auto" w:fill="FFFFFF" w:themeFill="background1"/>
        <w:spacing w:before="240" w:after="120" w:line="240" w:lineRule="auto"/>
        <w:contextualSpacing/>
        <w:jc w:val="both"/>
        <w:rPr>
          <w:rFonts w:ascii="Century Gothic" w:hAnsi="Century Gothic"/>
          <w:sz w:val="20"/>
          <w:szCs w:val="20"/>
        </w:rPr>
      </w:pPr>
    </w:p>
    <w:p w:rsidRPr="00C24A08" w:rsidR="0082271E" w:rsidP="00C24A08" w:rsidRDefault="0082271E" w14:paraId="1D2E88A9" w14:textId="6AE0A741">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r w:rsidRPr="00C24A08">
        <w:rPr>
          <w:rFonts w:ascii="Century Gothic" w:hAnsi="Century Gothic"/>
          <w:sz w:val="20"/>
          <w:szCs w:val="20"/>
        </w:rPr>
        <w:t>Igualmente, resulta importante aclarar, sin perjuicio de la supervisión ejercida directamente por la Entidad Estatal, frente a los convenios solidarios cuyo objeto sea exclusivamente la ejecución de obras hasta por la menor cuantía, no le asiste a la Entidad Estatal la obligación de contratar un tercero interventor de conformidad con el numeral 1 del artículo 32 de la Ley 80 de 1993 y el parágrafo 1 del artículo 83 de la Ley 1474 de 2011, pues este sólo es obligatorio en obras cuya contratación se origine de procesos de selección por licitación pública, sin embargo, en caso de considerarlo necesario, las entidades estatales se encuentran facultadas para contratarlos debida justificación en los documentos precontractuales</w:t>
      </w:r>
    </w:p>
    <w:p w:rsidRPr="00C24A08" w:rsidR="005A67E1" w:rsidP="00C24A08" w:rsidRDefault="005A67E1" w14:paraId="16E850CF" w14:textId="77777777">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p>
    <w:p w:rsidRPr="00C24A08" w:rsidR="00852E38" w:rsidP="00C24A08" w:rsidRDefault="00852E38" w14:paraId="41948D9B" w14:textId="76A49D98">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r w:rsidRPr="00C24A08">
        <w:rPr>
          <w:rFonts w:ascii="Century Gothic" w:hAnsi="Century Gothic" w:eastAsia="Calibri" w:cs="Arial"/>
          <w:b/>
          <w:sz w:val="20"/>
          <w:szCs w:val="20"/>
          <w:lang w:val="es-MX" w:eastAsia="es-ES_tradnl"/>
        </w:rPr>
        <w:t>PUBLICACIÓN EN SECOP – Principio de transparencia</w:t>
      </w:r>
      <w:r w:rsidRPr="00C24A08" w:rsidR="00C24A08">
        <w:rPr>
          <w:rFonts w:ascii="Century Gothic" w:hAnsi="Century Gothic" w:eastAsia="Calibri" w:cs="Arial"/>
          <w:b/>
          <w:sz w:val="20"/>
          <w:szCs w:val="20"/>
          <w:lang w:val="es-MX" w:eastAsia="es-ES_tradnl"/>
        </w:rPr>
        <w:t xml:space="preserve"> – Convenios solidarios</w:t>
      </w:r>
    </w:p>
    <w:p w:rsidRPr="00C24A08" w:rsidR="00C24A08" w:rsidP="00C24A08" w:rsidRDefault="00C24A08" w14:paraId="15A50957" w14:textId="77777777">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p>
    <w:p w:rsidRPr="00C24A08" w:rsidR="00C24A08" w:rsidP="00C24A08" w:rsidRDefault="00C24A08" w14:paraId="5434BFD7" w14:textId="23E0FB7D">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El principio de publicidad impone a las autoridades el deber de dar a conocer sus actos, contratos y decisiones, para que se divulguen y eventualmente se controlen dichas actuaciones. Por lo tanto,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C24A08">
        <w:rPr>
          <w:rFonts w:ascii="Century Gothic" w:hAnsi="Century Gothic"/>
          <w:sz w:val="20"/>
          <w:szCs w:val="20"/>
        </w:rPr>
        <w:t>.</w:t>
      </w:r>
    </w:p>
    <w:p w:rsidRPr="00C24A08" w:rsidR="00C24A08" w:rsidP="00C24A08" w:rsidRDefault="00C24A08" w14:paraId="3B400B10" w14:textId="77777777">
      <w:pPr>
        <w:shd w:val="clear" w:color="auto" w:fill="FFFFFF" w:themeFill="background1"/>
        <w:spacing w:before="240" w:after="120" w:line="240" w:lineRule="auto"/>
        <w:contextualSpacing/>
        <w:jc w:val="both"/>
        <w:rPr>
          <w:rFonts w:ascii="Century Gothic" w:hAnsi="Century Gothic"/>
          <w:sz w:val="20"/>
          <w:szCs w:val="20"/>
        </w:rPr>
      </w:pPr>
    </w:p>
    <w:p w:rsidRPr="00C24A08" w:rsidR="00C24A08" w:rsidP="00C24A08" w:rsidRDefault="00C24A08" w14:paraId="32580209" w14:textId="23345818">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r w:rsidRPr="00C24A08">
        <w:rPr>
          <w:rFonts w:ascii="Century Gothic" w:hAnsi="Century Gothic"/>
          <w:sz w:val="20"/>
          <w:szCs w:val="20"/>
        </w:rPr>
        <w:t xml:space="preserve">(…) </w:t>
      </w:r>
      <w:r w:rsidRPr="00C24A08">
        <w:rPr>
          <w:rFonts w:ascii="Century Gothic" w:hAnsi="Century Gothic"/>
          <w:sz w:val="20"/>
          <w:szCs w:val="20"/>
        </w:rPr>
        <w:t>Por lo tanto, se advierte que, en la celebración y ejecución de convenios solidarios, sin distinción de su régimen jurídico, no se exime a la Entidad Estatal, en su obligación de publicar sus actuaciones contractuales en el Sistema Electrónico de la Contratación Pública – SECOP, plataforma en la que además el Organismo de Acción Comunal deberá publicar, cuando se encuentre obligada a hacerlo, los documentos contractuales que se originen en el marco del convenio solidario, de conformidad a lo expuesto en este acápite</w:t>
      </w:r>
    </w:p>
    <w:p w:rsidRPr="00C24A08" w:rsidR="005A67E1" w:rsidP="00C24A08" w:rsidRDefault="005A67E1" w14:paraId="25EC50BD" w14:textId="77777777">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p>
    <w:p w:rsidRPr="00C24A08" w:rsidR="00852E38" w:rsidP="00C24A08" w:rsidRDefault="00852E38" w14:paraId="6C293D2D" w14:textId="4E4D0770">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r w:rsidRPr="00C24A08">
        <w:rPr>
          <w:rFonts w:ascii="Century Gothic" w:hAnsi="Century Gothic" w:eastAsia="Calibri" w:cs="Arial"/>
          <w:b/>
          <w:sz w:val="20"/>
          <w:szCs w:val="20"/>
          <w:lang w:val="es-MX" w:eastAsia="es-ES_tradnl"/>
        </w:rPr>
        <w:t>LIQUIDACIÓN DEL CONTRATO – Definición – Objetivo – Normativa – Oportunidad</w:t>
      </w:r>
      <w:r w:rsidRPr="00C24A08" w:rsidR="0038297D">
        <w:rPr>
          <w:rFonts w:ascii="Century Gothic" w:hAnsi="Century Gothic" w:eastAsia="Calibri" w:cs="Arial"/>
          <w:b/>
          <w:sz w:val="20"/>
          <w:szCs w:val="20"/>
          <w:lang w:val="es-MX" w:eastAsia="es-ES_tradnl"/>
        </w:rPr>
        <w:t xml:space="preserve"> </w:t>
      </w:r>
    </w:p>
    <w:p w:rsidRPr="00C24A08" w:rsidR="005A67E1" w:rsidP="00C24A08" w:rsidRDefault="005A67E1" w14:paraId="00328EF7" w14:textId="77777777">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p>
    <w:p w:rsidR="00C24A08" w:rsidP="00C24A08" w:rsidRDefault="00C24A08" w14:paraId="4F5AB7C9" w14:textId="77777777">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 xml:space="preserve">En línea con lo anterior, 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liquidar supone un ajuste en relación con las cuentas y el estado de cumplimiento del contrato estatal y, por el otro, que la liquidación debe incluir el análisis de las condiciones de calidad y oportunidad en la entrega de los bienes, obras o servicios, así como el balance económico y el comportamiento financiero del negocio. </w:t>
      </w:r>
    </w:p>
    <w:p w:rsidRPr="00C24A08" w:rsidR="00C24A08" w:rsidP="00C24A08" w:rsidRDefault="00C24A08" w14:paraId="6F1FFD41" w14:textId="77777777">
      <w:pPr>
        <w:shd w:val="clear" w:color="auto" w:fill="FFFFFF" w:themeFill="background1"/>
        <w:spacing w:before="240" w:after="120" w:line="240" w:lineRule="auto"/>
        <w:contextualSpacing/>
        <w:jc w:val="both"/>
        <w:rPr>
          <w:rFonts w:ascii="Century Gothic" w:hAnsi="Century Gothic"/>
          <w:sz w:val="20"/>
          <w:szCs w:val="20"/>
        </w:rPr>
      </w:pPr>
    </w:p>
    <w:p w:rsidRPr="00C24A08" w:rsidR="00C24A08" w:rsidP="00C24A08" w:rsidRDefault="00C24A08" w14:paraId="2BE747DC" w14:textId="05B01678">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Las disposiciones legales que regulan la etapa de liquidación de los contratos estatales son el artículo 60 de la Ley 80 de 1993, modificado por el artículo 217 del Decreto 019 de 2012, y el artículo 11 de la Ley 1150 de 2007. Estas disposiciones resultan aplicables a los convenios solidarios, indistintamente del régimen jurídico con el que lo suscriban las entidades estatales con Organismos de Acción Comunal, en virtud del parágrafo del artículo 141 de la Ley 136 de 1994 y el artículo 8 del Decreto 092 de 2017 que someten, salvo disposición expresa, a las normas generales de la contratación pública.</w:t>
      </w:r>
    </w:p>
    <w:p w:rsidRPr="00C24A08" w:rsidR="00C24A08" w:rsidP="00C24A08" w:rsidRDefault="00C24A08" w14:paraId="298FE060" w14:textId="77777777">
      <w:pPr>
        <w:shd w:val="clear" w:color="auto" w:fill="FFFFFF" w:themeFill="background1"/>
        <w:spacing w:before="240" w:after="120" w:line="240" w:lineRule="auto"/>
        <w:contextualSpacing/>
        <w:jc w:val="both"/>
        <w:rPr>
          <w:rFonts w:ascii="Century Gothic" w:hAnsi="Century Gothic"/>
          <w:sz w:val="20"/>
          <w:szCs w:val="20"/>
        </w:rPr>
      </w:pPr>
    </w:p>
    <w:p w:rsidR="00C24A08" w:rsidP="00C24A08" w:rsidRDefault="00C24A08" w14:paraId="74162628" w14:textId="324B7C3B">
      <w:pPr>
        <w:shd w:val="clear" w:color="auto" w:fill="FFFFFF" w:themeFill="background1"/>
        <w:spacing w:before="240" w:after="120" w:line="240" w:lineRule="auto"/>
        <w:contextualSpacing/>
        <w:jc w:val="both"/>
        <w:rPr>
          <w:rFonts w:ascii="Century Gothic" w:hAnsi="Century Gothic"/>
          <w:sz w:val="20"/>
          <w:szCs w:val="20"/>
        </w:rPr>
      </w:pPr>
      <w:r w:rsidRPr="00C24A08">
        <w:rPr>
          <w:rFonts w:ascii="Century Gothic" w:hAnsi="Century Gothic"/>
          <w:sz w:val="20"/>
          <w:szCs w:val="20"/>
        </w:rPr>
        <w:t>(…)</w:t>
      </w:r>
    </w:p>
    <w:p w:rsidRPr="00C24A08" w:rsidR="00C24A08" w:rsidP="00C24A08" w:rsidRDefault="00C24A08" w14:paraId="24A8251A" w14:textId="77777777">
      <w:pPr>
        <w:shd w:val="clear" w:color="auto" w:fill="FFFFFF" w:themeFill="background1"/>
        <w:spacing w:before="240" w:after="120" w:line="240" w:lineRule="auto"/>
        <w:contextualSpacing/>
        <w:jc w:val="both"/>
        <w:rPr>
          <w:rFonts w:ascii="Century Gothic" w:hAnsi="Century Gothic"/>
          <w:sz w:val="20"/>
          <w:szCs w:val="20"/>
        </w:rPr>
      </w:pPr>
    </w:p>
    <w:p w:rsidRPr="00C24A08" w:rsidR="00C24A08" w:rsidP="00C24A08" w:rsidRDefault="00C24A08" w14:paraId="6282A0F7" w14:textId="5DF7E8FC">
      <w:pPr>
        <w:shd w:val="clear" w:color="auto" w:fill="FFFFFF" w:themeFill="background1"/>
        <w:spacing w:before="240" w:after="120" w:line="240" w:lineRule="auto"/>
        <w:contextualSpacing/>
        <w:jc w:val="both"/>
        <w:rPr>
          <w:rFonts w:ascii="Century Gothic" w:hAnsi="Century Gothic" w:eastAsia="Calibri" w:cs="Arial"/>
          <w:b/>
          <w:sz w:val="20"/>
          <w:szCs w:val="20"/>
          <w:lang w:val="es-MX" w:eastAsia="es-ES_tradnl"/>
        </w:rPr>
      </w:pPr>
      <w:r w:rsidRPr="00C24A08">
        <w:rPr>
          <w:rFonts w:ascii="Century Gothic" w:hAnsi="Century Gothic"/>
          <w:sz w:val="20"/>
          <w:szCs w:val="20"/>
        </w:rPr>
        <w:t>Así las cosas, es claro que el ordenamiento jurídico vigente permite la liquidación unilateral, bilateral, incluso judicial, una vez vencido el plazo establecido por el artículo 11 de la Ley 1150 de 2007. En otras palabras, la liquidación final de los contratos estatales tiene un ámbito temporal que empieza con la terminación del contrato y comprende el período contractual pactado por las partes o supletivo legal –de 4 meses– para la liquidación bilateral, más el período legal para la liquidación unilateral –de 2 meses–, más el plazo de dos años para hacerlo de mutuo acuerdo o unilateralmente, sin perjuicio de que se solicite la liquidación judicial.</w:t>
      </w:r>
    </w:p>
    <w:p w:rsidRPr="00C24A08" w:rsidR="00852E38" w:rsidP="00C24A08" w:rsidRDefault="00852E38" w14:paraId="5D4356D1" w14:textId="10983F1E">
      <w:pPr>
        <w:spacing w:line="240" w:lineRule="auto"/>
        <w:rPr>
          <w:rFonts w:ascii="Century Gothic" w:hAnsi="Century Gothic"/>
          <w:sz w:val="20"/>
          <w:szCs w:val="20"/>
        </w:rPr>
      </w:pPr>
      <w:r w:rsidRPr="00C24A08">
        <w:rPr>
          <w:rFonts w:ascii="Century Gothic" w:hAnsi="Century Gothic"/>
          <w:sz w:val="20"/>
          <w:szCs w:val="20"/>
        </w:rPr>
        <w:br w:type="page"/>
      </w:r>
    </w:p>
    <w:p w:rsidRPr="00C24A08" w:rsidR="00E245AB" w:rsidP="00E245AB" w:rsidRDefault="00852E38" w14:paraId="3FE2184B" w14:textId="279D6BF5">
      <w:pPr>
        <w:spacing w:after="0"/>
        <w:rPr>
          <w:rFonts w:ascii="Century Gothic" w:hAnsi="Century Gothic"/>
        </w:rPr>
      </w:pPr>
      <w:r w:rsidRPr="00C24A08">
        <w:rPr>
          <w:rFonts w:ascii="Century Gothic" w:hAnsi="Century Gothic"/>
          <w:noProof/>
        </w:rPr>
        <w:drawing>
          <wp:anchor distT="0" distB="0" distL="114300" distR="114300" simplePos="0" relativeHeight="251658240" behindDoc="1" locked="0" layoutInCell="1" allowOverlap="1" wp14:anchorId="40446ABC" wp14:editId="3634723E">
            <wp:simplePos x="0" y="0"/>
            <wp:positionH relativeFrom="margin">
              <wp:align>right</wp:align>
            </wp:positionH>
            <wp:positionV relativeFrom="paragraph">
              <wp:posOffset>-87630</wp:posOffset>
            </wp:positionV>
            <wp:extent cx="2871470" cy="844550"/>
            <wp:effectExtent l="0" t="0" r="5080" b="0"/>
            <wp:wrapNone/>
            <wp:docPr id="17635112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511204" name=""/>
                    <pic:cNvPicPr/>
                  </pic:nvPicPr>
                  <pic:blipFill>
                    <a:blip r:embed="rId10">
                      <a:extLst>
                        <a:ext uri="{28A0092B-C50C-407E-A947-70E740481C1C}">
                          <a14:useLocalDpi xmlns:a14="http://schemas.microsoft.com/office/drawing/2010/main" val="0"/>
                        </a:ext>
                      </a:extLst>
                    </a:blip>
                    <a:stretch>
                      <a:fillRect/>
                    </a:stretch>
                  </pic:blipFill>
                  <pic:spPr>
                    <a:xfrm>
                      <a:off x="0" y="0"/>
                      <a:ext cx="2871470" cy="844550"/>
                    </a:xfrm>
                    <a:prstGeom prst="rect">
                      <a:avLst/>
                    </a:prstGeom>
                  </pic:spPr>
                </pic:pic>
              </a:graphicData>
            </a:graphic>
            <wp14:sizeRelH relativeFrom="margin">
              <wp14:pctWidth>0</wp14:pctWidth>
            </wp14:sizeRelH>
            <wp14:sizeRelV relativeFrom="margin">
              <wp14:pctHeight>0</wp14:pctHeight>
            </wp14:sizeRelV>
          </wp:anchor>
        </w:drawing>
      </w:r>
      <w:r w:rsidRPr="00C24A08" w:rsidR="00E245AB">
        <w:rPr>
          <w:rFonts w:ascii="Century Gothic" w:hAnsi="Century Gothic"/>
        </w:rPr>
        <w:t xml:space="preserve">Bogotá D.C., </w:t>
      </w:r>
      <w:r w:rsidRPr="00C24A08">
        <w:rPr>
          <w:rFonts w:ascii="Century Gothic" w:hAnsi="Century Gothic"/>
        </w:rPr>
        <w:t xml:space="preserve">21 de </w:t>
      </w:r>
      <w:proofErr w:type="gramStart"/>
      <w:r w:rsidRPr="00C24A08">
        <w:rPr>
          <w:rFonts w:ascii="Century Gothic" w:hAnsi="Century Gothic"/>
        </w:rPr>
        <w:t>Junio</w:t>
      </w:r>
      <w:proofErr w:type="gramEnd"/>
      <w:r w:rsidRPr="00C24A08">
        <w:rPr>
          <w:rFonts w:ascii="Century Gothic" w:hAnsi="Century Gothic"/>
        </w:rPr>
        <w:t xml:space="preserve"> de 2023</w:t>
      </w:r>
    </w:p>
    <w:p w:rsidRPr="00C24A08" w:rsidR="00852E38" w:rsidP="00E245AB" w:rsidRDefault="00852E38" w14:paraId="3D463EE0" w14:textId="0C792CF6">
      <w:pPr>
        <w:spacing w:after="0"/>
        <w:rPr>
          <w:rFonts w:ascii="Century Gothic" w:hAnsi="Century Gothic"/>
        </w:rPr>
      </w:pPr>
    </w:p>
    <w:p w:rsidRPr="00C24A08" w:rsidR="00E245AB" w:rsidP="00E245AB" w:rsidRDefault="00E245AB" w14:paraId="5FCADBF9" w14:textId="77777777">
      <w:pPr>
        <w:spacing w:after="0"/>
        <w:rPr>
          <w:rFonts w:ascii="Century Gothic" w:hAnsi="Century Gothic"/>
        </w:rPr>
      </w:pPr>
    </w:p>
    <w:p w:rsidRPr="00C24A08" w:rsidR="00296F67" w:rsidP="00FE3211" w:rsidRDefault="00296F67" w14:paraId="08A2B698" w14:textId="77777777">
      <w:pPr>
        <w:spacing w:after="0"/>
        <w:rPr>
          <w:rFonts w:ascii="Century Gothic" w:hAnsi="Century Gothic"/>
        </w:rPr>
      </w:pPr>
      <w:bookmarkStart w:name="_Hlk94281581" w:id="0"/>
      <w:bookmarkStart w:name="_Hlk102489058" w:id="1"/>
      <w:bookmarkStart w:name="_Hlk34951122" w:id="2"/>
    </w:p>
    <w:p w:rsidRPr="00C24A08" w:rsidR="00296F67" w:rsidP="00FE3211" w:rsidRDefault="00296F67" w14:paraId="60BF2DEE" w14:textId="678EA64A">
      <w:pPr>
        <w:spacing w:after="0"/>
        <w:rPr>
          <w:rFonts w:ascii="Century Gothic" w:hAnsi="Century Gothic"/>
        </w:rPr>
      </w:pPr>
      <w:r w:rsidRPr="00C24A08">
        <w:rPr>
          <w:rFonts w:ascii="Century Gothic" w:hAnsi="Century Gothic"/>
        </w:rPr>
        <w:t>Señor</w:t>
      </w:r>
      <w:r w:rsidRPr="00C24A08" w:rsidR="0009016A">
        <w:rPr>
          <w:rFonts w:ascii="Century Gothic" w:hAnsi="Century Gothic"/>
        </w:rPr>
        <w:t>a</w:t>
      </w:r>
    </w:p>
    <w:p w:rsidRPr="00C24A08" w:rsidR="00296F67" w:rsidP="00FE3211" w:rsidRDefault="0009016A" w14:paraId="2151DE34" w14:textId="67BEE12B">
      <w:pPr>
        <w:spacing w:after="0"/>
        <w:rPr>
          <w:rFonts w:ascii="Century Gothic" w:hAnsi="Century Gothic"/>
          <w:b/>
          <w:bCs/>
        </w:rPr>
      </w:pPr>
      <w:r w:rsidRPr="00C24A08">
        <w:rPr>
          <w:rFonts w:ascii="Century Gothic" w:hAnsi="Century Gothic"/>
          <w:b/>
          <w:bCs/>
        </w:rPr>
        <w:t>María Paula Camacho</w:t>
      </w:r>
      <w:r w:rsidRPr="00C24A08" w:rsidR="007F1C56">
        <w:rPr>
          <w:rFonts w:ascii="Century Gothic" w:hAnsi="Century Gothic"/>
          <w:b/>
          <w:bCs/>
        </w:rPr>
        <w:t xml:space="preserve"> </w:t>
      </w:r>
      <w:r w:rsidRPr="00C24A08" w:rsidR="00D17094">
        <w:rPr>
          <w:rFonts w:ascii="Century Gothic" w:hAnsi="Century Gothic"/>
          <w:b/>
          <w:bCs/>
        </w:rPr>
        <w:t>Sánchez</w:t>
      </w:r>
    </w:p>
    <w:p w:rsidRPr="00C24A08" w:rsidR="00296F67" w:rsidP="00FE3211" w:rsidRDefault="00296F67" w14:paraId="383D1E05" w14:textId="718CA6CC">
      <w:pPr>
        <w:spacing w:after="0"/>
        <w:rPr>
          <w:rFonts w:ascii="Century Gothic" w:hAnsi="Century Gothic"/>
        </w:rPr>
      </w:pPr>
      <w:r w:rsidRPr="00C24A08">
        <w:rPr>
          <w:rFonts w:ascii="Century Gothic" w:hAnsi="Century Gothic"/>
        </w:rPr>
        <w:t>C</w:t>
      </w:r>
      <w:r w:rsidRPr="00C24A08" w:rsidR="00D17094">
        <w:rPr>
          <w:rFonts w:ascii="Century Gothic" w:hAnsi="Century Gothic"/>
        </w:rPr>
        <w:t>ali, Valle del Cauca</w:t>
      </w:r>
      <w:r w:rsidRPr="00C24A08">
        <w:rPr>
          <w:rFonts w:ascii="Century Gothic" w:hAnsi="Century Gothic"/>
        </w:rPr>
        <w:t xml:space="preserve">. </w:t>
      </w:r>
    </w:p>
    <w:p w:rsidRPr="00C24A08" w:rsidR="00296F67" w:rsidP="00FE3211" w:rsidRDefault="00296F67" w14:paraId="1BB5788A" w14:textId="77777777">
      <w:pPr>
        <w:spacing w:after="0"/>
        <w:rPr>
          <w:rFonts w:ascii="Century Gothic" w:hAnsi="Century Gothic"/>
        </w:rPr>
      </w:pPr>
    </w:p>
    <w:p w:rsidRPr="00C24A08" w:rsidR="00296F67" w:rsidP="00296F67" w:rsidRDefault="00296F67" w14:paraId="30CB842B" w14:textId="34A90362">
      <w:pPr>
        <w:shd w:val="clear" w:color="auto" w:fill="FFFFFF" w:themeFill="background1"/>
        <w:ind w:left="2124" w:firstLine="570"/>
        <w:contextualSpacing/>
        <w:rPr>
          <w:rFonts w:ascii="Century Gothic" w:hAnsi="Century Gothic" w:eastAsia="Calibri" w:cs="Arial"/>
          <w:b/>
          <w:bCs/>
          <w:lang w:val="es-ES_tradnl" w:eastAsia="es-ES_tradnl"/>
        </w:rPr>
      </w:pPr>
      <w:r w:rsidRPr="00C24A08">
        <w:rPr>
          <w:rFonts w:ascii="Century Gothic" w:hAnsi="Century Gothic" w:eastAsia="Calibri" w:cs="Arial"/>
          <w:b/>
          <w:bCs/>
          <w:lang w:val="es-ES_tradnl" w:eastAsia="es-ES_tradnl"/>
        </w:rPr>
        <w:t xml:space="preserve">Concepto C – </w:t>
      </w:r>
      <w:r w:rsidRPr="00C24A08" w:rsidR="000C44E5">
        <w:rPr>
          <w:rFonts w:ascii="Century Gothic" w:hAnsi="Century Gothic" w:eastAsia="Calibri" w:cs="Arial"/>
          <w:b/>
          <w:bCs/>
          <w:lang w:val="es-ES_tradnl" w:eastAsia="es-ES_tradnl"/>
        </w:rPr>
        <w:t>209</w:t>
      </w:r>
      <w:r w:rsidRPr="00C24A08">
        <w:rPr>
          <w:rFonts w:ascii="Century Gothic" w:hAnsi="Century Gothic" w:eastAsia="Calibri" w:cs="Arial"/>
          <w:b/>
          <w:bCs/>
          <w:lang w:val="es-ES_tradnl" w:eastAsia="es-ES_tradnl"/>
        </w:rPr>
        <w:t xml:space="preserve"> de 2023</w:t>
      </w:r>
    </w:p>
    <w:p w:rsidRPr="00C24A08" w:rsidR="00296F67" w:rsidP="00296F67" w:rsidRDefault="00296F67" w14:paraId="0A9A369F" w14:textId="77777777">
      <w:pPr>
        <w:shd w:val="clear" w:color="auto" w:fill="FFFFFF" w:themeFill="background1"/>
        <w:contextualSpacing/>
        <w:jc w:val="both"/>
        <w:rPr>
          <w:rFonts w:ascii="Century Gothic" w:hAnsi="Century Gothic" w:eastAsia="Calibri" w:cs="Arial"/>
          <w:lang w:val="es-ES_tradnl" w:eastAsia="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C24A08" w:rsidR="00296F67" w:rsidTr="007B413E" w14:paraId="0367527F" w14:textId="77777777">
        <w:tc>
          <w:tcPr>
            <w:tcW w:w="2689" w:type="dxa"/>
          </w:tcPr>
          <w:p w:rsidRPr="00C24A08" w:rsidR="00296F67" w:rsidP="007B413E" w:rsidRDefault="00296F67" w14:paraId="592E32CC" w14:textId="77777777">
            <w:pPr>
              <w:shd w:val="clear" w:color="auto" w:fill="FFFFFF" w:themeFill="background1"/>
              <w:contextualSpacing/>
              <w:jc w:val="both"/>
              <w:rPr>
                <w:rFonts w:ascii="Century Gothic" w:hAnsi="Century Gothic" w:eastAsia="Calibri" w:cs="Arial"/>
                <w:lang w:val="es-ES_tradnl" w:eastAsia="es-ES_tradnl"/>
              </w:rPr>
            </w:pPr>
            <w:r w:rsidRPr="00C24A08">
              <w:rPr>
                <w:rFonts w:ascii="Century Gothic" w:hAnsi="Century Gothic" w:eastAsia="Calibri" w:cs="Arial"/>
                <w:b/>
                <w:lang w:val="es-ES_tradnl" w:eastAsia="es-ES_tradnl"/>
              </w:rPr>
              <w:t>Temas:</w:t>
            </w:r>
            <w:r w:rsidRPr="00C24A08">
              <w:rPr>
                <w:rFonts w:ascii="Century Gothic" w:hAnsi="Century Gothic" w:eastAsia="Calibri" w:cs="Arial"/>
                <w:lang w:val="es-ES_tradnl" w:eastAsia="es-ES_tradnl"/>
              </w:rPr>
              <w:t xml:space="preserve">                                      </w:t>
            </w:r>
          </w:p>
        </w:tc>
        <w:tc>
          <w:tcPr>
            <w:tcW w:w="6237" w:type="dxa"/>
          </w:tcPr>
          <w:p w:rsidRPr="00C24A08" w:rsidR="00296F67" w:rsidP="007B413E" w:rsidRDefault="00296F67" w14:paraId="5C5FAF6C" w14:textId="7E5B6CE7">
            <w:pPr>
              <w:shd w:val="clear" w:color="auto" w:fill="FFFFFF" w:themeFill="background1"/>
              <w:spacing w:after="120"/>
              <w:contextualSpacing/>
              <w:jc w:val="both"/>
              <w:rPr>
                <w:rFonts w:ascii="Century Gothic" w:hAnsi="Century Gothic" w:eastAsia="Calibri" w:cs="Arial"/>
                <w:bCs/>
                <w:lang w:val="es-MX" w:eastAsia="es-ES_tradnl"/>
              </w:rPr>
            </w:pPr>
            <w:r w:rsidRPr="00C24A08">
              <w:rPr>
                <w:rFonts w:ascii="Century Gothic" w:hAnsi="Century Gothic" w:eastAsia="Calibri" w:cs="Arial"/>
                <w:bCs/>
                <w:lang w:val="es-MX" w:eastAsia="es-ES_tradnl"/>
              </w:rPr>
              <w:t xml:space="preserve">CONVENIOS SOLIDARIOS – Marco normativo / LEY 136 DE 1994 – Convenios Solidarios – </w:t>
            </w:r>
            <w:r w:rsidRPr="00C24A08" w:rsidR="00797A87">
              <w:rPr>
                <w:rFonts w:ascii="Century Gothic" w:hAnsi="Century Gothic" w:eastAsia="Calibri" w:cs="Arial"/>
                <w:bCs/>
                <w:lang w:val="es-MX" w:eastAsia="es-ES_tradnl"/>
              </w:rPr>
              <w:t>De</w:t>
            </w:r>
            <w:r w:rsidRPr="00C24A08" w:rsidR="002C0307">
              <w:rPr>
                <w:rFonts w:ascii="Century Gothic" w:hAnsi="Century Gothic" w:eastAsia="Calibri" w:cs="Arial"/>
                <w:bCs/>
                <w:lang w:val="es-MX" w:eastAsia="es-ES_tradnl"/>
              </w:rPr>
              <w:t>finici</w:t>
            </w:r>
            <w:r w:rsidRPr="00C24A08" w:rsidR="00797A87">
              <w:rPr>
                <w:rFonts w:ascii="Century Gothic" w:hAnsi="Century Gothic" w:eastAsia="Calibri" w:cs="Arial"/>
                <w:bCs/>
                <w:lang w:val="es-MX" w:eastAsia="es-ES_tradnl"/>
              </w:rPr>
              <w:t xml:space="preserve">ón - </w:t>
            </w:r>
            <w:r w:rsidRPr="00C24A08">
              <w:rPr>
                <w:rFonts w:ascii="Century Gothic" w:hAnsi="Century Gothic" w:eastAsia="Calibri" w:cs="Arial"/>
                <w:bCs/>
                <w:lang w:val="es-MX" w:eastAsia="es-ES_tradnl"/>
              </w:rPr>
              <w:t xml:space="preserve">Ámbito de aplicación – </w:t>
            </w:r>
            <w:r w:rsidRPr="00C24A08" w:rsidR="00A05F1F">
              <w:rPr>
                <w:rFonts w:ascii="Century Gothic" w:hAnsi="Century Gothic" w:eastAsia="Calibri" w:cs="Arial"/>
                <w:bCs/>
                <w:lang w:val="es-MX" w:eastAsia="es-ES_tradnl"/>
              </w:rPr>
              <w:t>Organismos de Acción Comunal</w:t>
            </w:r>
            <w:r w:rsidRPr="00C24A08">
              <w:rPr>
                <w:rFonts w:ascii="Century Gothic" w:hAnsi="Century Gothic" w:eastAsia="Calibri" w:cs="Arial"/>
                <w:bCs/>
                <w:lang w:val="es-MX" w:eastAsia="es-ES_tradnl"/>
              </w:rPr>
              <w:t xml:space="preserve"> – Régimen jurídico /</w:t>
            </w:r>
            <w:r w:rsidRPr="00C24A08" w:rsidR="002C0307">
              <w:rPr>
                <w:rFonts w:ascii="Century Gothic" w:hAnsi="Century Gothic" w:eastAsia="Calibri" w:cs="Arial"/>
                <w:bCs/>
                <w:lang w:val="es-MX" w:eastAsia="es-ES_tradnl"/>
              </w:rPr>
              <w:t xml:space="preserve"> </w:t>
            </w:r>
            <w:r w:rsidRPr="00C24A08">
              <w:rPr>
                <w:rFonts w:ascii="Century Gothic" w:hAnsi="Century Gothic" w:eastAsia="Calibri" w:cs="Arial"/>
                <w:bCs/>
                <w:lang w:val="es-MX" w:eastAsia="es-ES_tradnl"/>
              </w:rPr>
              <w:t xml:space="preserve">LEY 2166 DE 2021 – </w:t>
            </w:r>
            <w:r w:rsidRPr="00C24A08" w:rsidR="00A05F1F">
              <w:rPr>
                <w:rFonts w:ascii="Century Gothic" w:hAnsi="Century Gothic" w:eastAsia="Calibri" w:cs="Arial"/>
                <w:bCs/>
                <w:lang w:val="es-MX" w:eastAsia="es-ES_tradnl"/>
              </w:rPr>
              <w:t>Organismos de Acción Comunal</w:t>
            </w:r>
            <w:r w:rsidRPr="00C24A08">
              <w:rPr>
                <w:rFonts w:ascii="Century Gothic" w:hAnsi="Century Gothic" w:eastAsia="Calibri" w:cs="Arial"/>
                <w:bCs/>
                <w:lang w:val="es-MX" w:eastAsia="es-ES_tradnl"/>
              </w:rPr>
              <w:t xml:space="preserve"> – Artículo 95 – Convenios solidarios – Contratación directa – Contratos de obra</w:t>
            </w:r>
            <w:r w:rsidRPr="00C24A08" w:rsidR="00F204EB">
              <w:rPr>
                <w:rFonts w:ascii="Century Gothic" w:hAnsi="Century Gothic" w:eastAsia="Calibri" w:cs="Arial"/>
                <w:bCs/>
                <w:lang w:val="es-MX" w:eastAsia="es-ES_tradnl"/>
              </w:rPr>
              <w:t>- menor cuantía</w:t>
            </w:r>
            <w:r w:rsidRPr="00C24A08">
              <w:rPr>
                <w:rFonts w:ascii="Century Gothic" w:hAnsi="Century Gothic" w:eastAsia="Calibri" w:cs="Arial"/>
                <w:bCs/>
                <w:lang w:val="es-MX" w:eastAsia="es-ES_tradnl"/>
              </w:rPr>
              <w:t xml:space="preserve"> / LEY 2166 DE 2021 – Artículo 63 – Convenios solidarios</w:t>
            </w:r>
            <w:r w:rsidRPr="00C24A08" w:rsidR="00F204EB">
              <w:rPr>
                <w:rFonts w:ascii="Century Gothic" w:hAnsi="Century Gothic" w:eastAsia="Calibri" w:cs="Arial"/>
                <w:bCs/>
                <w:lang w:val="es-MX" w:eastAsia="es-ES_tradnl"/>
              </w:rPr>
              <w:t xml:space="preserve"> – menor cuantía</w:t>
            </w:r>
            <w:r w:rsidRPr="00C24A08">
              <w:rPr>
                <w:rFonts w:ascii="Century Gothic" w:hAnsi="Century Gothic" w:eastAsia="Calibri" w:cs="Arial"/>
                <w:bCs/>
                <w:lang w:val="es-MX" w:eastAsia="es-ES_tradnl"/>
              </w:rPr>
              <w:t xml:space="preserve"> – Artículo 141 de la Ley 136 de 1994 / ORGANISMOS DE ACCIÓN COMUNAL – Capacidad jurídica – Capacidad técnica – Acreditación</w:t>
            </w:r>
            <w:r w:rsidRPr="00C24A08" w:rsidR="002D240C">
              <w:rPr>
                <w:rFonts w:ascii="Century Gothic" w:hAnsi="Century Gothic" w:eastAsia="Calibri" w:cs="Arial"/>
                <w:bCs/>
                <w:lang w:val="es-MX" w:eastAsia="es-ES_tradnl"/>
              </w:rPr>
              <w:t xml:space="preserve">/ </w:t>
            </w:r>
            <w:r w:rsidRPr="00C24A08" w:rsidR="00820752">
              <w:rPr>
                <w:rFonts w:ascii="Century Gothic" w:hAnsi="Century Gothic" w:eastAsia="Calibri" w:cs="Arial"/>
                <w:bCs/>
                <w:lang w:val="es-MX" w:eastAsia="es-ES_tradnl"/>
              </w:rPr>
              <w:t xml:space="preserve">SUPERVISIÓN </w:t>
            </w:r>
            <w:r w:rsidRPr="00C24A08" w:rsidR="00813095">
              <w:rPr>
                <w:rFonts w:ascii="Century Gothic" w:hAnsi="Century Gothic" w:eastAsia="Calibri" w:cs="Arial"/>
                <w:bCs/>
                <w:lang w:val="es-MX" w:eastAsia="es-ES_tradnl"/>
              </w:rPr>
              <w:t xml:space="preserve">– Régimen jurídico – Aplicabilidad a los convenios </w:t>
            </w:r>
            <w:r w:rsidRPr="00C24A08" w:rsidR="007771FA">
              <w:rPr>
                <w:rFonts w:ascii="Century Gothic" w:hAnsi="Century Gothic" w:eastAsia="Calibri" w:cs="Arial"/>
                <w:bCs/>
                <w:lang w:val="es-MX" w:eastAsia="es-ES_tradnl"/>
              </w:rPr>
              <w:t>solidarios</w:t>
            </w:r>
            <w:r w:rsidRPr="00C24A08" w:rsidR="00C07B58">
              <w:rPr>
                <w:rFonts w:ascii="Century Gothic" w:hAnsi="Century Gothic" w:eastAsia="Calibri" w:cs="Arial"/>
                <w:bCs/>
                <w:lang w:val="es-MX" w:eastAsia="es-ES_tradnl"/>
              </w:rPr>
              <w:t>/</w:t>
            </w:r>
            <w:r w:rsidRPr="00C24A08" w:rsidR="00813095">
              <w:rPr>
                <w:rFonts w:ascii="Century Gothic" w:hAnsi="Century Gothic" w:eastAsia="Calibri" w:cs="Arial"/>
                <w:bCs/>
                <w:lang w:val="es-MX" w:eastAsia="es-ES_tradnl"/>
              </w:rPr>
              <w:t xml:space="preserve"> </w:t>
            </w:r>
            <w:r w:rsidRPr="00C24A08" w:rsidR="00BF6024">
              <w:rPr>
                <w:rFonts w:ascii="Century Gothic" w:hAnsi="Century Gothic" w:eastAsia="Calibri" w:cs="Arial"/>
                <w:bCs/>
                <w:lang w:val="es-MX" w:eastAsia="es-ES_tradnl"/>
              </w:rPr>
              <w:t>P</w:t>
            </w:r>
            <w:r w:rsidRPr="00C24A08" w:rsidR="00C75CD4">
              <w:rPr>
                <w:rFonts w:ascii="Century Gothic" w:hAnsi="Century Gothic" w:eastAsia="Calibri" w:cs="Arial"/>
                <w:bCs/>
                <w:lang w:val="es-MX" w:eastAsia="es-ES_tradnl"/>
              </w:rPr>
              <w:t>UBLICACIÓN EN SECOP – Principio de transparencia</w:t>
            </w:r>
            <w:r w:rsidRPr="00C24A08" w:rsidR="00DC230F">
              <w:rPr>
                <w:rFonts w:ascii="Century Gothic" w:hAnsi="Century Gothic" w:eastAsia="Calibri" w:cs="Arial"/>
                <w:bCs/>
                <w:lang w:val="es-MX" w:eastAsia="es-ES_tradnl"/>
              </w:rPr>
              <w:t xml:space="preserve">/ </w:t>
            </w:r>
            <w:r w:rsidRPr="00C24A08" w:rsidR="0004564B">
              <w:rPr>
                <w:rFonts w:ascii="Century Gothic" w:hAnsi="Century Gothic" w:eastAsia="Calibri" w:cs="Arial"/>
                <w:bCs/>
                <w:lang w:val="es-MX" w:eastAsia="es-ES_tradnl"/>
              </w:rPr>
              <w:t>LIQUIDACIÓN DEL CONTRATO – Definición – Objetivo – Normativa – Oportunidad</w:t>
            </w:r>
          </w:p>
          <w:p w:rsidRPr="00C24A08" w:rsidR="00296F67" w:rsidP="007B413E" w:rsidRDefault="00296F67" w14:paraId="5DD9B0FA" w14:textId="77777777">
            <w:pPr>
              <w:shd w:val="clear" w:color="auto" w:fill="FFFFFF" w:themeFill="background1"/>
              <w:spacing w:after="120"/>
              <w:contextualSpacing/>
              <w:jc w:val="both"/>
              <w:rPr>
                <w:rFonts w:ascii="Century Gothic" w:hAnsi="Century Gothic" w:eastAsia="Calibri" w:cs="Arial"/>
                <w:bCs/>
                <w:sz w:val="12"/>
                <w:szCs w:val="12"/>
                <w:lang w:val="es-ES_tradnl" w:eastAsia="es-ES_tradnl"/>
              </w:rPr>
            </w:pPr>
          </w:p>
        </w:tc>
      </w:tr>
      <w:tr w:rsidRPr="00C24A08" w:rsidR="00296F67" w:rsidTr="007B413E" w14:paraId="59F31728" w14:textId="77777777">
        <w:trPr>
          <w:trHeight w:val="227"/>
        </w:trPr>
        <w:tc>
          <w:tcPr>
            <w:tcW w:w="2689" w:type="dxa"/>
          </w:tcPr>
          <w:p w:rsidRPr="00C24A08" w:rsidR="00296F67" w:rsidP="007B413E" w:rsidRDefault="00296F67" w14:paraId="2DD4864A" w14:textId="77777777">
            <w:pPr>
              <w:shd w:val="clear" w:color="auto" w:fill="FFFFFF" w:themeFill="background1"/>
              <w:contextualSpacing/>
              <w:jc w:val="both"/>
              <w:rPr>
                <w:rFonts w:ascii="Century Gothic" w:hAnsi="Century Gothic" w:eastAsia="Calibri" w:cs="Arial"/>
                <w:b/>
                <w:lang w:val="es-ES_tradnl" w:eastAsia="es-ES_tradnl"/>
              </w:rPr>
            </w:pPr>
            <w:r w:rsidRPr="00C24A08">
              <w:rPr>
                <w:rFonts w:ascii="Century Gothic" w:hAnsi="Century Gothic" w:eastAsia="Calibri" w:cs="Arial"/>
                <w:b/>
                <w:lang w:val="es-ES_tradnl" w:eastAsia="es-ES_tradnl"/>
              </w:rPr>
              <w:t>Radicación:</w:t>
            </w:r>
            <w:r w:rsidRPr="00C24A08">
              <w:rPr>
                <w:rFonts w:ascii="Century Gothic" w:hAnsi="Century Gothic" w:eastAsia="Calibri" w:cs="Arial"/>
                <w:lang w:val="es-ES_tradnl" w:eastAsia="es-ES_tradnl"/>
              </w:rPr>
              <w:t xml:space="preserve">                             </w:t>
            </w:r>
          </w:p>
        </w:tc>
        <w:tc>
          <w:tcPr>
            <w:tcW w:w="6237" w:type="dxa"/>
          </w:tcPr>
          <w:p w:rsidRPr="00C24A08" w:rsidR="00296F67" w:rsidP="007B413E" w:rsidRDefault="00296F67" w14:paraId="4D30888B" w14:textId="2FA8C039">
            <w:pPr>
              <w:shd w:val="clear" w:color="auto" w:fill="FFFFFF" w:themeFill="background1"/>
              <w:contextualSpacing/>
              <w:jc w:val="both"/>
              <w:rPr>
                <w:rFonts w:ascii="Century Gothic" w:hAnsi="Century Gothic" w:eastAsia="Calibri" w:cs="Arial"/>
                <w:lang w:val="es-ES_tradnl" w:eastAsia="es-ES_tradnl"/>
              </w:rPr>
            </w:pPr>
            <w:r w:rsidRPr="00C24A08">
              <w:rPr>
                <w:rFonts w:ascii="Century Gothic" w:hAnsi="Century Gothic" w:eastAsia="Calibri" w:cs="Arial"/>
                <w:lang w:val="es-ES_tradnl" w:eastAsia="es-ES_tradnl"/>
              </w:rPr>
              <w:t xml:space="preserve">Respuesta a consulta </w:t>
            </w:r>
            <w:r w:rsidRPr="00C24A08" w:rsidR="000A7643">
              <w:rPr>
                <w:rFonts w:ascii="Century Gothic" w:hAnsi="Century Gothic" w:eastAsia="Calibri" w:cs="Arial"/>
                <w:lang w:val="es-ES_tradnl" w:eastAsia="es-ES_tradnl"/>
              </w:rPr>
              <w:t>P20230505004007</w:t>
            </w:r>
          </w:p>
        </w:tc>
      </w:tr>
    </w:tbl>
    <w:p w:rsidRPr="00C24A08" w:rsidR="00296F67" w:rsidP="00296F67" w:rsidRDefault="00296F67" w14:paraId="5DCC517D" w14:textId="77777777">
      <w:pPr>
        <w:shd w:val="clear" w:color="auto" w:fill="FFFFFF" w:themeFill="background1"/>
        <w:contextualSpacing/>
        <w:jc w:val="both"/>
        <w:rPr>
          <w:rFonts w:ascii="Century Gothic" w:hAnsi="Century Gothic" w:eastAsia="Calibri" w:cs="Arial"/>
          <w:lang w:val="es-ES_tradnl" w:eastAsia="es-ES_tradnl"/>
        </w:rPr>
      </w:pPr>
    </w:p>
    <w:p w:rsidRPr="00C24A08" w:rsidR="00296F67" w:rsidP="00296F67" w:rsidRDefault="00296F67" w14:paraId="16894D83" w14:textId="28FA5C25">
      <w:pPr>
        <w:shd w:val="clear" w:color="auto" w:fill="FFFFFF" w:themeFill="background1"/>
        <w:contextualSpacing/>
        <w:jc w:val="both"/>
        <w:rPr>
          <w:rFonts w:ascii="Century Gothic" w:hAnsi="Century Gothic" w:eastAsia="Calibri" w:cs="Arial"/>
          <w:lang w:val="es-ES" w:eastAsia="es-ES"/>
        </w:rPr>
      </w:pPr>
      <w:r w:rsidRPr="00C24A08">
        <w:rPr>
          <w:rFonts w:ascii="Century Gothic" w:hAnsi="Century Gothic" w:eastAsia="Calibri" w:cs="Arial"/>
          <w:lang w:val="es-ES" w:eastAsia="es-ES"/>
        </w:rPr>
        <w:t>Respetad</w:t>
      </w:r>
      <w:r w:rsidRPr="00C24A08" w:rsidR="000F16D0">
        <w:rPr>
          <w:rFonts w:ascii="Century Gothic" w:hAnsi="Century Gothic" w:eastAsia="Calibri" w:cs="Arial"/>
          <w:lang w:val="es-ES" w:eastAsia="es-ES"/>
        </w:rPr>
        <w:t>a</w:t>
      </w:r>
      <w:r w:rsidRPr="00C24A08">
        <w:rPr>
          <w:rFonts w:ascii="Century Gothic" w:hAnsi="Century Gothic" w:eastAsia="Calibri" w:cs="Arial"/>
          <w:lang w:val="es-ES" w:eastAsia="es-ES"/>
        </w:rPr>
        <w:t xml:space="preserve"> señor</w:t>
      </w:r>
      <w:r w:rsidRPr="00C24A08" w:rsidR="000F16D0">
        <w:rPr>
          <w:rFonts w:ascii="Century Gothic" w:hAnsi="Century Gothic" w:eastAsia="Calibri" w:cs="Arial"/>
          <w:lang w:val="es-ES" w:eastAsia="es-ES"/>
        </w:rPr>
        <w:t>a</w:t>
      </w:r>
      <w:r w:rsidRPr="00C24A08">
        <w:rPr>
          <w:rFonts w:ascii="Century Gothic" w:hAnsi="Century Gothic" w:eastAsia="Calibri" w:cs="Arial"/>
          <w:lang w:val="es-ES" w:eastAsia="es-ES"/>
        </w:rPr>
        <w:t xml:space="preserve"> </w:t>
      </w:r>
      <w:r w:rsidRPr="00C24A08" w:rsidR="000F16D0">
        <w:rPr>
          <w:rFonts w:ascii="Century Gothic" w:hAnsi="Century Gothic" w:eastAsia="Times New Roman" w:cs="Arial"/>
          <w:lang w:eastAsia="es-ES"/>
        </w:rPr>
        <w:t>Camacho</w:t>
      </w:r>
      <w:r w:rsidRPr="00C24A08">
        <w:rPr>
          <w:rFonts w:ascii="Century Gothic" w:hAnsi="Century Gothic" w:eastAsia="Calibri" w:cs="Arial"/>
          <w:lang w:val="es-ES" w:eastAsia="es-ES"/>
        </w:rPr>
        <w:t xml:space="preserve">: </w:t>
      </w:r>
    </w:p>
    <w:p w:rsidRPr="00C24A08" w:rsidR="00296F67" w:rsidP="00296F67" w:rsidRDefault="00296F67" w14:paraId="2C6F65F9" w14:textId="77777777">
      <w:pPr>
        <w:shd w:val="clear" w:color="auto" w:fill="FFFFFF" w:themeFill="background1"/>
        <w:spacing w:line="276" w:lineRule="auto"/>
        <w:contextualSpacing/>
        <w:jc w:val="both"/>
        <w:rPr>
          <w:rFonts w:ascii="Century Gothic" w:hAnsi="Century Gothic" w:eastAsia="Calibri" w:cs="Arial"/>
          <w:szCs w:val="24"/>
          <w:lang w:val="es-ES_tradnl" w:eastAsia="es-ES_tradnl"/>
        </w:rPr>
      </w:pPr>
    </w:p>
    <w:bookmarkEnd w:id="0"/>
    <w:bookmarkEnd w:id="1"/>
    <w:p w:rsidRPr="00C24A08" w:rsidR="00296F67" w:rsidP="00296F67" w:rsidRDefault="00296F67" w14:paraId="48A7C198" w14:textId="11643E79">
      <w:pPr>
        <w:shd w:val="clear" w:color="auto" w:fill="FFFFFF" w:themeFill="background1"/>
        <w:spacing w:after="0" w:line="276" w:lineRule="auto"/>
        <w:jc w:val="both"/>
        <w:rPr>
          <w:rFonts w:ascii="Century Gothic" w:hAnsi="Century Gothic" w:eastAsia="Calibri" w:cs="Arial"/>
          <w:color w:val="000000" w:themeColor="text1"/>
          <w:lang w:val="es-ES_tradnl"/>
        </w:rPr>
      </w:pPr>
      <w:r w:rsidRPr="00C24A08">
        <w:rPr>
          <w:rFonts w:ascii="Century Gothic" w:hAnsi="Century Gothic" w:eastAsia="Calibri" w:cs="Arial"/>
          <w:color w:val="000000" w:themeColor="text1"/>
          <w:lang w:val="es-ES_tradnl"/>
        </w:rPr>
        <w:t>En ejercicio de la competencia otorgada por el numeral 8 del artículo 11 y el numeral 5 del artículo 3 del Decreto Ley 4170 de 2011</w:t>
      </w:r>
      <w:bookmarkStart w:name="_Hlk99120496" w:id="3"/>
      <w:r w:rsidRPr="00C24A08">
        <w:rPr>
          <w:rFonts w:ascii="Century Gothic" w:hAnsi="Century Gothic" w:eastAsia="Arial MT" w:cs="Arial MT"/>
          <w:lang w:val="es-ES"/>
        </w:rPr>
        <w:t xml:space="preserve">, </w:t>
      </w:r>
      <w:bookmarkEnd w:id="3"/>
      <w:r w:rsidRPr="00C24A08">
        <w:rPr>
          <w:rFonts w:ascii="Century Gothic" w:hAnsi="Century Gothic" w:eastAsia="Calibri" w:cs="Arial"/>
          <w:color w:val="000000" w:themeColor="text1"/>
          <w:lang w:val="es-ES_tradnl"/>
        </w:rPr>
        <w:t xml:space="preserve">la Agencia Nacional de Contratación Pública – Colombia Compra Eficiente responde la consulta radicada el </w:t>
      </w:r>
      <w:r w:rsidRPr="00C24A08" w:rsidR="00354F28">
        <w:rPr>
          <w:rFonts w:ascii="Century Gothic" w:hAnsi="Century Gothic" w:eastAsia="Calibri" w:cs="Arial"/>
          <w:color w:val="000000" w:themeColor="text1"/>
          <w:lang w:val="es-ES_tradnl"/>
        </w:rPr>
        <w:t>5</w:t>
      </w:r>
      <w:r w:rsidRPr="00C24A08">
        <w:rPr>
          <w:rFonts w:ascii="Century Gothic" w:hAnsi="Century Gothic" w:eastAsia="Calibri" w:cs="Arial"/>
          <w:color w:val="000000" w:themeColor="text1"/>
          <w:lang w:val="es-ES_tradnl"/>
        </w:rPr>
        <w:t xml:space="preserve"> de ma</w:t>
      </w:r>
      <w:r w:rsidRPr="00C24A08" w:rsidR="00354F28">
        <w:rPr>
          <w:rFonts w:ascii="Century Gothic" w:hAnsi="Century Gothic" w:eastAsia="Calibri" w:cs="Arial"/>
          <w:color w:val="000000" w:themeColor="text1"/>
          <w:lang w:val="es-ES_tradnl"/>
        </w:rPr>
        <w:t>y</w:t>
      </w:r>
      <w:r w:rsidRPr="00C24A08">
        <w:rPr>
          <w:rFonts w:ascii="Century Gothic" w:hAnsi="Century Gothic" w:eastAsia="Calibri" w:cs="Arial"/>
          <w:color w:val="000000" w:themeColor="text1"/>
          <w:lang w:val="es-ES_tradnl"/>
        </w:rPr>
        <w:t>o de 2023.</w:t>
      </w:r>
    </w:p>
    <w:p w:rsidRPr="00C24A08" w:rsidR="00296F67" w:rsidP="00296F67" w:rsidRDefault="00296F67" w14:paraId="66BAD0A3" w14:textId="77777777">
      <w:pPr>
        <w:shd w:val="clear" w:color="auto" w:fill="FFFFFF" w:themeFill="background1"/>
        <w:spacing w:after="0" w:line="276" w:lineRule="auto"/>
        <w:jc w:val="both"/>
        <w:rPr>
          <w:rFonts w:ascii="Century Gothic" w:hAnsi="Century Gothic" w:eastAsia="Calibri" w:cs="Arial"/>
          <w:b/>
          <w:color w:val="000000" w:themeColor="text1"/>
          <w:lang w:val="es-ES_tradnl"/>
        </w:rPr>
      </w:pPr>
    </w:p>
    <w:p w:rsidRPr="00C24A08" w:rsidR="00296F67" w:rsidP="00296F67" w:rsidRDefault="00296F67" w14:paraId="27E2F70D" w14:textId="77777777">
      <w:pPr>
        <w:pStyle w:val="Prrafodelista"/>
        <w:numPr>
          <w:ilvl w:val="0"/>
          <w:numId w:val="6"/>
        </w:numPr>
        <w:shd w:val="clear" w:color="auto" w:fill="FFFFFF" w:themeFill="background1"/>
        <w:tabs>
          <w:tab w:val="left" w:pos="0"/>
          <w:tab w:val="left" w:pos="142"/>
          <w:tab w:val="left" w:pos="284"/>
        </w:tabs>
        <w:spacing w:after="0" w:line="276" w:lineRule="auto"/>
        <w:ind w:left="0" w:firstLine="0"/>
        <w:jc w:val="both"/>
        <w:rPr>
          <w:rFonts w:ascii="Century Gothic" w:hAnsi="Century Gothic" w:eastAsia="Calibri" w:cs="Arial"/>
          <w:b/>
          <w:color w:val="000000" w:themeColor="text1"/>
          <w:lang w:val="es-ES_tradnl"/>
        </w:rPr>
      </w:pPr>
      <w:r w:rsidRPr="00C24A08">
        <w:rPr>
          <w:rFonts w:ascii="Century Gothic" w:hAnsi="Century Gothic" w:eastAsia="Calibri" w:cs="Arial"/>
          <w:b/>
          <w:color w:val="000000" w:themeColor="text1"/>
          <w:lang w:val="es-ES_tradnl"/>
        </w:rPr>
        <w:t xml:space="preserve">Problemas planteados </w:t>
      </w:r>
    </w:p>
    <w:p w:rsidRPr="00C24A08" w:rsidR="00296F67" w:rsidP="00296F67" w:rsidRDefault="00296F67" w14:paraId="492C6E89" w14:textId="77777777">
      <w:pPr>
        <w:shd w:val="clear" w:color="auto" w:fill="FFFFFF" w:themeFill="background1"/>
        <w:tabs>
          <w:tab w:val="left" w:pos="426"/>
        </w:tabs>
        <w:spacing w:after="0" w:line="276" w:lineRule="auto"/>
        <w:jc w:val="both"/>
        <w:rPr>
          <w:rFonts w:ascii="Century Gothic" w:hAnsi="Century Gothic" w:eastAsia="Calibri" w:cs="Arial"/>
          <w:b/>
          <w:color w:val="000000" w:themeColor="text1"/>
          <w:lang w:val="es-ES_tradnl"/>
        </w:rPr>
      </w:pPr>
    </w:p>
    <w:p w:rsidRPr="00C24A08" w:rsidR="00296F67" w:rsidP="00296F67" w:rsidRDefault="00145DF2" w14:paraId="48995C2E" w14:textId="074E88BE">
      <w:pPr>
        <w:shd w:val="clear" w:color="auto" w:fill="FFFFFF" w:themeFill="background1"/>
        <w:spacing w:after="0" w:line="276" w:lineRule="auto"/>
        <w:jc w:val="both"/>
        <w:rPr>
          <w:rFonts w:ascii="Century Gothic" w:hAnsi="Century Gothic"/>
          <w:color w:val="000000" w:themeColor="text1"/>
        </w:rPr>
      </w:pPr>
      <w:r w:rsidRPr="00C24A08">
        <w:rPr>
          <w:rFonts w:ascii="Century Gothic" w:hAnsi="Century Gothic" w:cs="Arial"/>
          <w:color w:val="000000" w:themeColor="text1"/>
          <w:lang w:val="es-ES_tradnl"/>
        </w:rPr>
        <w:t>U</w:t>
      </w:r>
      <w:r w:rsidRPr="00C24A08" w:rsidR="00296F67">
        <w:rPr>
          <w:rFonts w:ascii="Century Gothic" w:hAnsi="Century Gothic" w:cs="Arial"/>
          <w:color w:val="000000" w:themeColor="text1"/>
          <w:lang w:val="es-ES_tradnl"/>
        </w:rPr>
        <w:t>sted realiza las siguientes preguntas:</w:t>
      </w:r>
      <w:r w:rsidRPr="00C24A08" w:rsidR="00296F67">
        <w:rPr>
          <w:rFonts w:ascii="Century Gothic" w:hAnsi="Century Gothic"/>
          <w:color w:val="000000" w:themeColor="text1"/>
        </w:rPr>
        <w:t xml:space="preserve"> </w:t>
      </w:r>
    </w:p>
    <w:p w:rsidRPr="00C24A08" w:rsidR="00296F67" w:rsidP="00296F67" w:rsidRDefault="00296F67" w14:paraId="3E722575" w14:textId="77777777">
      <w:pPr>
        <w:shd w:val="clear" w:color="auto" w:fill="FFFFFF" w:themeFill="background1"/>
        <w:spacing w:after="0" w:line="276" w:lineRule="auto"/>
        <w:jc w:val="both"/>
        <w:rPr>
          <w:rFonts w:ascii="Century Gothic" w:hAnsi="Century Gothic"/>
          <w:color w:val="000000" w:themeColor="text1"/>
        </w:rPr>
      </w:pPr>
    </w:p>
    <w:p w:rsidRPr="00C24A08" w:rsidR="00DF2979" w:rsidP="00FF1407" w:rsidRDefault="00296F67" w14:paraId="2C0613B8" w14:textId="26F01877">
      <w:pPr>
        <w:shd w:val="clear" w:color="auto" w:fill="FFFFFF" w:themeFill="background1"/>
        <w:spacing w:after="120" w:line="240" w:lineRule="auto"/>
        <w:ind w:left="709" w:right="709"/>
        <w:jc w:val="both"/>
        <w:rPr>
          <w:rFonts w:ascii="Century Gothic" w:hAnsi="Century Gothic" w:cs="Arial"/>
          <w:color w:val="000000" w:themeColor="text1"/>
          <w:sz w:val="21"/>
          <w:szCs w:val="21"/>
          <w:lang w:val="es-ES_tradnl"/>
        </w:rPr>
      </w:pPr>
      <w:r w:rsidRPr="00C24A08">
        <w:rPr>
          <w:rFonts w:ascii="Century Gothic" w:hAnsi="Century Gothic" w:cs="Arial"/>
          <w:color w:val="000000" w:themeColor="text1"/>
          <w:sz w:val="21"/>
          <w:szCs w:val="21"/>
          <w:lang w:val="es-ES_tradnl"/>
        </w:rPr>
        <w:t>“</w:t>
      </w:r>
      <w:r w:rsidRPr="00C24A08" w:rsidR="00DF2979">
        <w:rPr>
          <w:rFonts w:ascii="Century Gothic" w:hAnsi="Century Gothic" w:cs="Arial"/>
          <w:color w:val="000000" w:themeColor="text1"/>
          <w:sz w:val="21"/>
          <w:szCs w:val="21"/>
          <w:lang w:val="es-ES_tradnl"/>
        </w:rPr>
        <w:t>• ¿Qué es convenio solidario, cual es el régimen aplicable y qué entidades lo pueden suscribir?</w:t>
      </w:r>
    </w:p>
    <w:p w:rsidRPr="00C24A08" w:rsidR="00DF2979" w:rsidP="00FF1407" w:rsidRDefault="00DF2979" w14:paraId="303A6E50" w14:textId="7E2C9C86">
      <w:pPr>
        <w:shd w:val="clear" w:color="auto" w:fill="FFFFFF" w:themeFill="background1"/>
        <w:spacing w:after="120" w:line="240" w:lineRule="auto"/>
        <w:ind w:left="709" w:right="709"/>
        <w:jc w:val="both"/>
        <w:rPr>
          <w:rFonts w:ascii="Century Gothic" w:hAnsi="Century Gothic" w:cs="Arial"/>
          <w:color w:val="000000" w:themeColor="text1"/>
          <w:sz w:val="21"/>
          <w:szCs w:val="21"/>
          <w:lang w:val="es-ES_tradnl"/>
        </w:rPr>
      </w:pPr>
      <w:r w:rsidRPr="00C24A08">
        <w:rPr>
          <w:rFonts w:ascii="Century Gothic" w:hAnsi="Century Gothic" w:cs="Arial"/>
          <w:color w:val="000000" w:themeColor="text1"/>
          <w:sz w:val="21"/>
          <w:szCs w:val="21"/>
          <w:lang w:val="es-ES_tradnl"/>
        </w:rPr>
        <w:t>• ¿Cuál es la documentación mínima requerida para la suscripción de un convenio solidario por parte de una Junta de Acción Comunal?</w:t>
      </w:r>
    </w:p>
    <w:p w:rsidRPr="00C24A08" w:rsidR="00DF2979" w:rsidP="00FF1407" w:rsidRDefault="00DF2979" w14:paraId="3207A868" w14:textId="4F6D71AC">
      <w:pPr>
        <w:shd w:val="clear" w:color="auto" w:fill="FFFFFF" w:themeFill="background1"/>
        <w:spacing w:after="120" w:line="240" w:lineRule="auto"/>
        <w:ind w:left="709" w:right="709"/>
        <w:jc w:val="both"/>
        <w:rPr>
          <w:rFonts w:ascii="Century Gothic" w:hAnsi="Century Gothic" w:cs="Arial"/>
          <w:color w:val="000000" w:themeColor="text1"/>
          <w:sz w:val="21"/>
          <w:szCs w:val="21"/>
          <w:lang w:val="es-ES_tradnl"/>
        </w:rPr>
      </w:pPr>
      <w:r w:rsidRPr="00C24A08">
        <w:rPr>
          <w:rFonts w:ascii="Century Gothic" w:hAnsi="Century Gothic" w:cs="Arial"/>
          <w:color w:val="000000" w:themeColor="text1"/>
          <w:sz w:val="21"/>
          <w:szCs w:val="21"/>
          <w:lang w:val="es-ES_tradnl"/>
        </w:rPr>
        <w:t>• En las JAC, ¿quiénes están habilitados para suscribir convenios solidarios con entidades del Gobierno Nacional?</w:t>
      </w:r>
    </w:p>
    <w:p w:rsidRPr="00C24A08" w:rsidR="00DF2979" w:rsidP="00FF1407" w:rsidRDefault="00DF2979" w14:paraId="70B3A653" w14:textId="29891F25">
      <w:pPr>
        <w:shd w:val="clear" w:color="auto" w:fill="FFFFFF" w:themeFill="background1"/>
        <w:spacing w:after="120" w:line="240" w:lineRule="auto"/>
        <w:ind w:left="709" w:right="709"/>
        <w:jc w:val="both"/>
        <w:rPr>
          <w:rFonts w:ascii="Century Gothic" w:hAnsi="Century Gothic" w:cs="Arial"/>
          <w:color w:val="000000" w:themeColor="text1"/>
          <w:sz w:val="21"/>
          <w:szCs w:val="21"/>
          <w:lang w:val="es-ES_tradnl"/>
        </w:rPr>
      </w:pPr>
      <w:r w:rsidRPr="00C24A08">
        <w:rPr>
          <w:rFonts w:ascii="Century Gothic" w:hAnsi="Century Gothic" w:cs="Arial"/>
          <w:color w:val="000000" w:themeColor="text1"/>
          <w:sz w:val="21"/>
          <w:szCs w:val="21"/>
          <w:lang w:val="es-ES_tradnl"/>
        </w:rPr>
        <w:t xml:space="preserve">• ¿Cómo se determinan los montos de los convenios solidarios entre JAC </w:t>
      </w:r>
      <w:r w:rsidRPr="00C24A08" w:rsidR="00DF0AB5">
        <w:rPr>
          <w:rFonts w:ascii="Century Gothic" w:hAnsi="Century Gothic" w:cs="Arial"/>
          <w:color w:val="000000" w:themeColor="text1"/>
          <w:sz w:val="21"/>
          <w:szCs w:val="21"/>
          <w:lang w:val="es-ES_tradnl"/>
        </w:rPr>
        <w:t>y entidades</w:t>
      </w:r>
      <w:r w:rsidRPr="00C24A08">
        <w:rPr>
          <w:rFonts w:ascii="Century Gothic" w:hAnsi="Century Gothic" w:cs="Arial"/>
          <w:color w:val="000000" w:themeColor="text1"/>
          <w:sz w:val="21"/>
          <w:szCs w:val="21"/>
          <w:lang w:val="es-ES_tradnl"/>
        </w:rPr>
        <w:t xml:space="preserve"> del Gobierno Nacional?</w:t>
      </w:r>
    </w:p>
    <w:p w:rsidRPr="00C24A08" w:rsidR="00DF2979" w:rsidP="00FF1407" w:rsidRDefault="00DF2979" w14:paraId="2F7FDE3E" w14:textId="6B31C08C">
      <w:pPr>
        <w:shd w:val="clear" w:color="auto" w:fill="FFFFFF" w:themeFill="background1"/>
        <w:spacing w:after="120" w:line="240" w:lineRule="auto"/>
        <w:ind w:left="709" w:right="709"/>
        <w:jc w:val="both"/>
        <w:rPr>
          <w:rFonts w:ascii="Century Gothic" w:hAnsi="Century Gothic" w:cs="Arial"/>
          <w:color w:val="000000" w:themeColor="text1"/>
          <w:sz w:val="21"/>
          <w:szCs w:val="21"/>
          <w:lang w:val="es-ES_tradnl"/>
        </w:rPr>
      </w:pPr>
      <w:r w:rsidRPr="00C24A08">
        <w:rPr>
          <w:rFonts w:ascii="Century Gothic" w:hAnsi="Century Gothic" w:cs="Arial"/>
          <w:color w:val="000000" w:themeColor="text1"/>
          <w:sz w:val="21"/>
          <w:szCs w:val="21"/>
          <w:lang w:val="es-ES_tradnl"/>
        </w:rPr>
        <w:t>• ¿Una vez suscrito un convenio solidario, es obligación de la JAC reportarlo en sistemas de información sobre contratación pública?</w:t>
      </w:r>
    </w:p>
    <w:p w:rsidRPr="00C24A08" w:rsidR="00DF2979" w:rsidP="00FF1407" w:rsidRDefault="00DF2979" w14:paraId="0D819DB7" w14:textId="328766F2">
      <w:pPr>
        <w:shd w:val="clear" w:color="auto" w:fill="FFFFFF" w:themeFill="background1"/>
        <w:spacing w:after="120" w:line="240" w:lineRule="auto"/>
        <w:ind w:left="709" w:right="709"/>
        <w:jc w:val="both"/>
        <w:rPr>
          <w:rFonts w:ascii="Century Gothic" w:hAnsi="Century Gothic" w:cs="Arial"/>
          <w:color w:val="000000" w:themeColor="text1"/>
          <w:sz w:val="21"/>
          <w:szCs w:val="21"/>
          <w:lang w:val="es-ES_tradnl"/>
        </w:rPr>
      </w:pPr>
      <w:r w:rsidRPr="00C24A08">
        <w:rPr>
          <w:rFonts w:ascii="Century Gothic" w:hAnsi="Century Gothic" w:cs="Arial"/>
          <w:color w:val="000000" w:themeColor="text1"/>
          <w:sz w:val="21"/>
          <w:szCs w:val="21"/>
          <w:lang w:val="es-ES_tradnl"/>
        </w:rPr>
        <w:t>• ¿Cuál es el procedimiento para supervisar o vigilar los convenios solidarios suscritos entre JAC y entidades del Gobierno Nacional?</w:t>
      </w:r>
    </w:p>
    <w:p w:rsidRPr="00C24A08" w:rsidR="00DF2979" w:rsidP="00FF1407" w:rsidRDefault="00DF2979" w14:paraId="5ADE3E41" w14:textId="54AE35E7">
      <w:pPr>
        <w:shd w:val="clear" w:color="auto" w:fill="FFFFFF" w:themeFill="background1"/>
        <w:spacing w:after="120" w:line="240" w:lineRule="auto"/>
        <w:ind w:left="709" w:right="709"/>
        <w:jc w:val="both"/>
        <w:rPr>
          <w:rFonts w:ascii="Century Gothic" w:hAnsi="Century Gothic" w:cs="Arial"/>
          <w:color w:val="000000" w:themeColor="text1"/>
          <w:sz w:val="21"/>
          <w:szCs w:val="21"/>
          <w:lang w:val="es-ES_tradnl"/>
        </w:rPr>
      </w:pPr>
      <w:r w:rsidRPr="00C24A08">
        <w:rPr>
          <w:rFonts w:ascii="Century Gothic" w:hAnsi="Century Gothic" w:cs="Arial"/>
          <w:color w:val="000000" w:themeColor="text1"/>
          <w:sz w:val="21"/>
          <w:szCs w:val="21"/>
          <w:lang w:val="es-ES_tradnl"/>
        </w:rPr>
        <w:t>• ¿Como se liquidan los convenios solidarios suscritos entre JAC y entidades del Gobierno Nacional?</w:t>
      </w:r>
    </w:p>
    <w:p w:rsidRPr="00C24A08" w:rsidR="00DF2979" w:rsidP="00FF1407" w:rsidRDefault="00DF2979" w14:paraId="7C8B8B17" w14:textId="07C32DDE">
      <w:pPr>
        <w:shd w:val="clear" w:color="auto" w:fill="FFFFFF" w:themeFill="background1"/>
        <w:spacing w:after="120" w:line="240" w:lineRule="auto"/>
        <w:ind w:left="709" w:right="709"/>
        <w:jc w:val="both"/>
        <w:rPr>
          <w:rFonts w:ascii="Century Gothic" w:hAnsi="Century Gothic" w:cs="Arial"/>
          <w:color w:val="000000" w:themeColor="text1"/>
          <w:sz w:val="21"/>
          <w:szCs w:val="21"/>
          <w:lang w:val="es-ES_tradnl"/>
        </w:rPr>
      </w:pPr>
      <w:r w:rsidRPr="00C24A08">
        <w:rPr>
          <w:rFonts w:ascii="Century Gothic" w:hAnsi="Century Gothic" w:cs="Arial"/>
          <w:color w:val="000000" w:themeColor="text1"/>
          <w:sz w:val="21"/>
          <w:szCs w:val="21"/>
          <w:lang w:val="es-ES_tradnl"/>
        </w:rPr>
        <w:t xml:space="preserve">• Existe una minuta tipo o modelo para Convenios Solidarios, por favor adjuntarla en caso de respuesta afirmativa. </w:t>
      </w:r>
    </w:p>
    <w:p w:rsidRPr="00C24A08" w:rsidR="00296F67" w:rsidP="00FF1407" w:rsidRDefault="00DF2979" w14:paraId="11760BA4" w14:textId="54BE2EBC">
      <w:pPr>
        <w:shd w:val="clear" w:color="auto" w:fill="FFFFFF" w:themeFill="background1"/>
        <w:spacing w:after="120" w:line="240" w:lineRule="auto"/>
        <w:ind w:left="709" w:right="709"/>
        <w:jc w:val="both"/>
        <w:rPr>
          <w:rFonts w:ascii="Century Gothic" w:hAnsi="Century Gothic" w:cs="Arial"/>
          <w:color w:val="000000" w:themeColor="text1"/>
          <w:sz w:val="21"/>
          <w:szCs w:val="21"/>
        </w:rPr>
      </w:pPr>
      <w:r w:rsidRPr="00C24A08">
        <w:rPr>
          <w:rFonts w:ascii="Century Gothic" w:hAnsi="Century Gothic" w:cs="Arial"/>
          <w:color w:val="000000" w:themeColor="text1"/>
          <w:sz w:val="21"/>
          <w:szCs w:val="21"/>
          <w:lang w:val="es-ES_tradnl"/>
        </w:rPr>
        <w:t xml:space="preserve">• </w:t>
      </w:r>
      <w:proofErr w:type="gramStart"/>
      <w:r w:rsidRPr="00C24A08">
        <w:rPr>
          <w:rFonts w:ascii="Century Gothic" w:hAnsi="Century Gothic" w:cs="Arial"/>
          <w:color w:val="000000" w:themeColor="text1"/>
          <w:sz w:val="21"/>
          <w:szCs w:val="21"/>
          <w:lang w:val="es-ES_tradnl"/>
        </w:rPr>
        <w:t>Para el caso del programa de Caminos Comunitarios para la Paz Total del INVIAS, como se reglamentan y utilizarán los convenios solidarios</w:t>
      </w:r>
      <w:r w:rsidRPr="00C24A08" w:rsidR="00296F67">
        <w:rPr>
          <w:rFonts w:ascii="Century Gothic" w:hAnsi="Century Gothic" w:cs="Arial"/>
          <w:color w:val="000000" w:themeColor="text1"/>
          <w:sz w:val="21"/>
          <w:szCs w:val="21"/>
        </w:rPr>
        <w:t>?</w:t>
      </w:r>
      <w:proofErr w:type="gramEnd"/>
      <w:r w:rsidRPr="00C24A08" w:rsidR="00BC64C6">
        <w:rPr>
          <w:rFonts w:ascii="Century Gothic" w:hAnsi="Century Gothic" w:cs="Arial"/>
          <w:color w:val="000000" w:themeColor="text1"/>
          <w:sz w:val="21"/>
          <w:szCs w:val="21"/>
        </w:rPr>
        <w:t>”. (Sic)</w:t>
      </w:r>
      <w:r w:rsidRPr="00C24A08" w:rsidR="00FF1407">
        <w:rPr>
          <w:rFonts w:ascii="Century Gothic" w:hAnsi="Century Gothic" w:cs="Arial"/>
          <w:color w:val="000000" w:themeColor="text1"/>
          <w:sz w:val="21"/>
          <w:szCs w:val="21"/>
        </w:rPr>
        <w:t>.</w:t>
      </w:r>
    </w:p>
    <w:p w:rsidRPr="00C24A08" w:rsidR="00296F67" w:rsidP="00296F67" w:rsidRDefault="00296F67" w14:paraId="14978EBB" w14:textId="77777777">
      <w:pPr>
        <w:pStyle w:val="Prrafodelista"/>
        <w:numPr>
          <w:ilvl w:val="0"/>
          <w:numId w:val="6"/>
        </w:numPr>
        <w:shd w:val="clear" w:color="auto" w:fill="FFFFFF" w:themeFill="background1"/>
        <w:tabs>
          <w:tab w:val="left" w:pos="0"/>
          <w:tab w:val="left" w:pos="284"/>
        </w:tabs>
        <w:spacing w:after="0" w:line="240" w:lineRule="auto"/>
        <w:ind w:left="0" w:firstLine="0"/>
        <w:jc w:val="both"/>
        <w:rPr>
          <w:rFonts w:ascii="Century Gothic" w:hAnsi="Century Gothic" w:eastAsia="Calibri" w:cs="Arial"/>
          <w:b/>
          <w:color w:val="000000" w:themeColor="text1"/>
          <w:lang w:val="es-ES_tradnl"/>
        </w:rPr>
      </w:pPr>
      <w:r w:rsidRPr="00C24A08">
        <w:rPr>
          <w:rFonts w:ascii="Century Gothic" w:hAnsi="Century Gothic" w:eastAsia="Calibri" w:cs="Arial"/>
          <w:b/>
          <w:color w:val="000000" w:themeColor="text1"/>
          <w:lang w:val="es-ES_tradnl"/>
        </w:rPr>
        <w:t>Consideraciones</w:t>
      </w:r>
    </w:p>
    <w:p w:rsidRPr="00C24A08" w:rsidR="00296F67" w:rsidP="00296F67" w:rsidRDefault="00296F67" w14:paraId="154B5269" w14:textId="77777777">
      <w:pPr>
        <w:shd w:val="clear" w:color="auto" w:fill="FFFFFF" w:themeFill="background1"/>
        <w:spacing w:after="0" w:line="276" w:lineRule="auto"/>
        <w:jc w:val="both"/>
        <w:rPr>
          <w:rFonts w:ascii="Century Gothic" w:hAnsi="Century Gothic" w:eastAsia="Calibri" w:cs="Arial"/>
          <w:color w:val="000000" w:themeColor="text1"/>
          <w:lang w:val="es-ES"/>
        </w:rPr>
      </w:pPr>
    </w:p>
    <w:p w:rsidRPr="00C24A08" w:rsidR="00740652" w:rsidP="00740652" w:rsidRDefault="00740652" w14:paraId="5B726E4E" w14:textId="77777777">
      <w:pPr>
        <w:shd w:val="clear" w:color="auto" w:fill="FFFFFF" w:themeFill="background1"/>
        <w:spacing w:line="276" w:lineRule="auto"/>
        <w:jc w:val="both"/>
        <w:rPr>
          <w:rFonts w:ascii="Century Gothic" w:hAnsi="Century Gothic" w:eastAsia="Calibri" w:cs="Arial"/>
          <w:color w:val="000000" w:themeColor="text1"/>
        </w:rPr>
      </w:pPr>
      <w:r w:rsidRPr="00C24A08">
        <w:rPr>
          <w:rFonts w:ascii="Century Gothic" w:hAnsi="Century Gothic" w:eastAsia="Calibri" w:cs="Arial"/>
          <w:color w:val="000000" w:themeColor="text1"/>
        </w:rPr>
        <w:t>La Agencia Nacional de Contratación Pública – Colombia Compra Eficiente resuelve 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todos los partícipes de la contratación estatal ni para interpretar el alcance de cualquier norma vigente en el ordenamiento jurídico.</w:t>
      </w:r>
    </w:p>
    <w:p w:rsidRPr="00C24A08" w:rsidR="00740652" w:rsidP="002C1D75" w:rsidRDefault="00740652" w14:paraId="4FFE8246" w14:textId="34CF5508">
      <w:pPr>
        <w:shd w:val="clear" w:color="auto" w:fill="FFFFFF" w:themeFill="background1"/>
        <w:spacing w:line="276" w:lineRule="auto"/>
        <w:ind w:firstLine="708"/>
        <w:jc w:val="both"/>
        <w:rPr>
          <w:rFonts w:ascii="Century Gothic" w:hAnsi="Century Gothic" w:eastAsia="Calibri" w:cs="Arial"/>
          <w:color w:val="000000" w:themeColor="text1"/>
        </w:rPr>
      </w:pPr>
      <w:r w:rsidRPr="00C24A08">
        <w:rPr>
          <w:rFonts w:ascii="Century Gothic" w:hAnsi="Century Gothic" w:eastAsia="Calibri" w:cs="Arial"/>
          <w:color w:val="000000" w:themeColor="text1"/>
        </w:rPr>
        <w:t xml:space="preserve">La competencia de esta entidad se fija con límites claros, con el objeto de evitar que la Agencia actúe como una instancia de validación de las actuaciones de las entidades sujetas a la Ley 80 de 1993 o de los demás participantes de la contratación </w:t>
      </w:r>
      <w:r w:rsidRPr="00C24A08" w:rsidR="00BE1248">
        <w:rPr>
          <w:rFonts w:ascii="Century Gothic" w:hAnsi="Century Gothic" w:eastAsia="Calibri" w:cs="Arial"/>
          <w:color w:val="000000" w:themeColor="text1"/>
        </w:rPr>
        <w:t>pública.</w:t>
      </w:r>
      <w:r w:rsidRPr="00C24A08">
        <w:rPr>
          <w:rFonts w:ascii="Century Gothic" w:hAnsi="Century Gothic" w:eastAsia="Calibri" w:cs="Arial"/>
          <w:color w:val="000000" w:themeColor="text1"/>
        </w:rPr>
        <w:t xml:space="preserve"> Esta competencia de interpretación de normas generales, por definición, no puede extenderse a la resolución de controversias, brindar asesorías sobre casos puntuales ni interpretar normas ajenas al sistema de compras públicas. </w:t>
      </w:r>
    </w:p>
    <w:p w:rsidRPr="00C24A08" w:rsidR="00296F67" w:rsidP="00740652" w:rsidRDefault="00740652" w14:paraId="05A53BA6" w14:textId="741291B0">
      <w:pPr>
        <w:shd w:val="clear" w:color="auto" w:fill="FFFFFF" w:themeFill="background1"/>
        <w:spacing w:line="276" w:lineRule="auto"/>
        <w:jc w:val="both"/>
        <w:rPr>
          <w:rFonts w:ascii="Century Gothic" w:hAnsi="Century Gothic" w:cs="Arial"/>
          <w:bCs/>
          <w:color w:val="000000" w:themeColor="text1"/>
          <w:lang w:val="es-ES"/>
        </w:rPr>
      </w:pPr>
      <w:r w:rsidRPr="00C24A08">
        <w:rPr>
          <w:rFonts w:ascii="Century Gothic" w:hAnsi="Century Gothic" w:eastAsia="Calibri" w:cs="Arial"/>
          <w:color w:val="000000" w:themeColor="text1"/>
        </w:rPr>
        <w:tab/>
      </w:r>
      <w:r w:rsidRPr="00C24A08">
        <w:rPr>
          <w:rFonts w:ascii="Century Gothic" w:hAnsi="Century Gothic" w:eastAsia="Calibri" w:cs="Arial"/>
          <w:color w:val="000000" w:themeColor="text1"/>
        </w:rPr>
        <w:t xml:space="preserve">En este contexto, la </w:t>
      </w:r>
      <w:r w:rsidRPr="00C24A08" w:rsidR="00BE1248">
        <w:rPr>
          <w:rFonts w:ascii="Century Gothic" w:hAnsi="Century Gothic" w:eastAsia="Calibri" w:cs="Arial"/>
          <w:color w:val="000000" w:themeColor="text1"/>
        </w:rPr>
        <w:t>Subdirección de Gestión Contractual</w:t>
      </w:r>
      <w:r w:rsidRPr="00C24A08" w:rsidR="004C5972">
        <w:rPr>
          <w:rFonts w:ascii="Century Gothic" w:hAnsi="Century Gothic" w:eastAsia="Calibri" w:cs="Arial"/>
          <w:color w:val="000000" w:themeColor="text1"/>
        </w:rPr>
        <w:t>,</w:t>
      </w:r>
      <w:r w:rsidRPr="00C24A08">
        <w:rPr>
          <w:rFonts w:ascii="Century Gothic" w:hAnsi="Century Gothic" w:eastAsia="Calibri" w:cs="Arial"/>
          <w:color w:val="000000" w:themeColor="text1"/>
        </w:rPr>
        <w:t xml:space="preserve"> dentro de los límites de sus atribuciones, esto es, haciendo abstracción a</w:t>
      </w:r>
      <w:r w:rsidRPr="00C24A08" w:rsidR="00167543">
        <w:rPr>
          <w:rFonts w:ascii="Century Gothic" w:hAnsi="Century Gothic" w:eastAsia="Calibri" w:cs="Arial"/>
          <w:color w:val="000000" w:themeColor="text1"/>
        </w:rPr>
        <w:t xml:space="preserve"> las preguntas de </w:t>
      </w:r>
      <w:r w:rsidRPr="00C24A08" w:rsidR="005C69F0">
        <w:rPr>
          <w:rFonts w:ascii="Century Gothic" w:hAnsi="Century Gothic" w:eastAsia="Calibri" w:cs="Arial"/>
          <w:color w:val="000000" w:themeColor="text1"/>
        </w:rPr>
        <w:t>casos particulares</w:t>
      </w:r>
      <w:r w:rsidRPr="00C24A08">
        <w:rPr>
          <w:rFonts w:ascii="Century Gothic" w:hAnsi="Century Gothic" w:eastAsia="Calibri" w:cs="Arial"/>
          <w:color w:val="000000" w:themeColor="text1"/>
        </w:rPr>
        <w:t xml:space="preserve"> expuesto</w:t>
      </w:r>
      <w:r w:rsidRPr="00C24A08" w:rsidR="00167543">
        <w:rPr>
          <w:rFonts w:ascii="Century Gothic" w:hAnsi="Century Gothic" w:eastAsia="Calibri" w:cs="Arial"/>
          <w:color w:val="000000" w:themeColor="text1"/>
        </w:rPr>
        <w:t>s</w:t>
      </w:r>
      <w:r w:rsidRPr="00C24A08">
        <w:rPr>
          <w:rFonts w:ascii="Century Gothic" w:hAnsi="Century Gothic" w:eastAsia="Calibri" w:cs="Arial"/>
          <w:color w:val="000000" w:themeColor="text1"/>
        </w:rPr>
        <w:t>, resolverá la consulta conforme a las normas generales en materia de contratación estatal. Con este objetivo se analizarán</w:t>
      </w:r>
      <w:r w:rsidRPr="00C24A08" w:rsidR="00296F67">
        <w:rPr>
          <w:rFonts w:ascii="Century Gothic" w:hAnsi="Century Gothic" w:eastAsia="Calibri" w:cs="Arial"/>
          <w:color w:val="000000" w:themeColor="text1"/>
          <w:lang w:val="es-ES"/>
        </w:rPr>
        <w:t xml:space="preserve"> los siguientes temas</w:t>
      </w:r>
      <w:r w:rsidRPr="00C24A08" w:rsidR="00296F67">
        <w:rPr>
          <w:rFonts w:ascii="Century Gothic" w:hAnsi="Century Gothic" w:cs="Arial"/>
          <w:color w:val="000000" w:themeColor="text1"/>
          <w:lang w:val="es-ES"/>
        </w:rPr>
        <w:t xml:space="preserve">: </w:t>
      </w:r>
      <w:r w:rsidRPr="00C24A08" w:rsidR="00296F67">
        <w:rPr>
          <w:rFonts w:ascii="Century Gothic" w:hAnsi="Century Gothic" w:cs="Arial"/>
          <w:color w:val="000000" w:themeColor="text1"/>
          <w:lang w:val="es-ES_tradnl"/>
        </w:rPr>
        <w:t xml:space="preserve">i) aplicación de los convenios solidarios y los </w:t>
      </w:r>
      <w:r w:rsidRPr="00C24A08" w:rsidR="00A05F1F">
        <w:rPr>
          <w:rFonts w:ascii="Century Gothic" w:hAnsi="Century Gothic" w:cs="Arial"/>
          <w:color w:val="000000" w:themeColor="text1"/>
          <w:lang w:val="es-ES_tradnl"/>
        </w:rPr>
        <w:t>Organismos de Acción Comunal</w:t>
      </w:r>
      <w:r w:rsidRPr="00C24A08" w:rsidR="00296F67">
        <w:rPr>
          <w:rFonts w:ascii="Century Gothic" w:hAnsi="Century Gothic" w:cs="Arial"/>
          <w:color w:val="000000" w:themeColor="text1"/>
          <w:lang w:val="es-ES_tradnl"/>
        </w:rPr>
        <w:t xml:space="preserve"> de conformidad con la Ley 136 de 1994</w:t>
      </w:r>
      <w:r w:rsidRPr="00C24A08" w:rsidR="00601047">
        <w:rPr>
          <w:rFonts w:ascii="Century Gothic" w:hAnsi="Century Gothic" w:cs="Arial"/>
          <w:color w:val="000000" w:themeColor="text1"/>
          <w:lang w:val="es-ES_tradnl"/>
        </w:rPr>
        <w:t>;</w:t>
      </w:r>
      <w:r w:rsidRPr="00C24A08" w:rsidR="00296F67">
        <w:rPr>
          <w:rFonts w:ascii="Century Gothic" w:hAnsi="Century Gothic" w:cs="Arial"/>
          <w:color w:val="000000" w:themeColor="text1"/>
          <w:lang w:val="es-ES"/>
        </w:rPr>
        <w:t xml:space="preserve"> </w:t>
      </w:r>
      <w:proofErr w:type="spellStart"/>
      <w:r w:rsidRPr="00C24A08" w:rsidR="00296F67">
        <w:rPr>
          <w:rFonts w:ascii="Century Gothic" w:hAnsi="Century Gothic" w:cs="Arial"/>
          <w:color w:val="000000" w:themeColor="text1"/>
          <w:lang w:val="es-ES"/>
        </w:rPr>
        <w:t>ii</w:t>
      </w:r>
      <w:proofErr w:type="spellEnd"/>
      <w:r w:rsidRPr="00C24A08" w:rsidR="00296F67">
        <w:rPr>
          <w:rFonts w:ascii="Century Gothic" w:hAnsi="Century Gothic" w:cs="Arial"/>
          <w:color w:val="000000" w:themeColor="text1"/>
          <w:lang w:val="es-ES"/>
        </w:rPr>
        <w:t xml:space="preserve">) </w:t>
      </w:r>
      <w:r w:rsidRPr="00C24A08" w:rsidR="00296F67">
        <w:rPr>
          <w:rFonts w:ascii="Century Gothic" w:hAnsi="Century Gothic" w:eastAsia="Calibri" w:cs="Arial"/>
          <w:bCs/>
          <w:color w:val="000000" w:themeColor="text1"/>
        </w:rPr>
        <w:t xml:space="preserve">convenios solidarios con </w:t>
      </w:r>
      <w:r w:rsidRPr="00C24A08" w:rsidR="00A05F1F">
        <w:rPr>
          <w:rFonts w:ascii="Century Gothic" w:hAnsi="Century Gothic" w:eastAsia="Calibri" w:cs="Arial"/>
          <w:bCs/>
          <w:color w:val="000000" w:themeColor="text1"/>
        </w:rPr>
        <w:t>Organismos de Acción Comunal</w:t>
      </w:r>
      <w:r w:rsidRPr="00C24A08" w:rsidR="00296F67">
        <w:rPr>
          <w:rFonts w:ascii="Century Gothic" w:hAnsi="Century Gothic" w:eastAsia="Calibri" w:cs="Arial"/>
          <w:bCs/>
          <w:color w:val="000000" w:themeColor="text1"/>
        </w:rPr>
        <w:t xml:space="preserve"> bajo la Ley 2166 de 2021 y el Decreto 142 de 2023</w:t>
      </w:r>
      <w:r w:rsidRPr="00C24A08" w:rsidR="007A5BC0">
        <w:rPr>
          <w:rFonts w:ascii="Century Gothic" w:hAnsi="Century Gothic" w:eastAsia="Calibri" w:cs="Arial"/>
          <w:bCs/>
          <w:color w:val="000000" w:themeColor="text1"/>
        </w:rPr>
        <w:t>;</w:t>
      </w:r>
      <w:r w:rsidRPr="00C24A08" w:rsidR="001D40DF">
        <w:rPr>
          <w:rFonts w:ascii="Century Gothic" w:hAnsi="Century Gothic" w:eastAsia="Calibri" w:cs="Arial"/>
          <w:bCs/>
          <w:color w:val="000000" w:themeColor="text1"/>
        </w:rPr>
        <w:t xml:space="preserve"> </w:t>
      </w:r>
      <w:proofErr w:type="spellStart"/>
      <w:r w:rsidRPr="00C24A08" w:rsidR="001D40DF">
        <w:rPr>
          <w:rFonts w:ascii="Century Gothic" w:hAnsi="Century Gothic" w:eastAsia="Calibri" w:cs="Arial"/>
          <w:bCs/>
          <w:color w:val="000000" w:themeColor="text1"/>
        </w:rPr>
        <w:t>iii</w:t>
      </w:r>
      <w:proofErr w:type="spellEnd"/>
      <w:r w:rsidRPr="00C24A08" w:rsidR="001D40DF">
        <w:rPr>
          <w:rFonts w:ascii="Century Gothic" w:hAnsi="Century Gothic" w:eastAsia="Calibri" w:cs="Arial"/>
          <w:bCs/>
          <w:color w:val="000000" w:themeColor="text1"/>
        </w:rPr>
        <w:t xml:space="preserve">) </w:t>
      </w:r>
      <w:r w:rsidRPr="00C24A08" w:rsidR="00981CA6">
        <w:rPr>
          <w:rFonts w:ascii="Century Gothic" w:hAnsi="Century Gothic" w:eastAsia="Calibri" w:cs="Arial"/>
          <w:bCs/>
          <w:color w:val="000000" w:themeColor="text1"/>
        </w:rPr>
        <w:t>s</w:t>
      </w:r>
      <w:r w:rsidRPr="00C24A08" w:rsidR="001D40DF">
        <w:rPr>
          <w:rFonts w:ascii="Century Gothic" w:hAnsi="Century Gothic" w:eastAsia="Calibri" w:cs="Arial"/>
          <w:bCs/>
          <w:color w:val="000000" w:themeColor="text1"/>
        </w:rPr>
        <w:t xml:space="preserve">upervisión </w:t>
      </w:r>
      <w:r w:rsidRPr="00C24A08" w:rsidR="00503199">
        <w:rPr>
          <w:rFonts w:ascii="Century Gothic" w:hAnsi="Century Gothic" w:eastAsia="Calibri" w:cs="Arial"/>
          <w:bCs/>
          <w:color w:val="000000" w:themeColor="text1"/>
        </w:rPr>
        <w:t xml:space="preserve">o vigilancia de los contratos o convenios que celebren </w:t>
      </w:r>
      <w:r w:rsidRPr="00C24A08" w:rsidR="009541D1">
        <w:rPr>
          <w:rFonts w:ascii="Century Gothic" w:hAnsi="Century Gothic" w:eastAsia="Calibri" w:cs="Arial"/>
          <w:bCs/>
          <w:color w:val="000000" w:themeColor="text1"/>
        </w:rPr>
        <w:t>e</w:t>
      </w:r>
      <w:r w:rsidRPr="00C24A08" w:rsidR="00503199">
        <w:rPr>
          <w:rFonts w:ascii="Century Gothic" w:hAnsi="Century Gothic" w:eastAsia="Calibri" w:cs="Arial"/>
          <w:bCs/>
          <w:color w:val="000000" w:themeColor="text1"/>
        </w:rPr>
        <w:t xml:space="preserve">ntidades </w:t>
      </w:r>
      <w:r w:rsidRPr="00C24A08" w:rsidR="009541D1">
        <w:rPr>
          <w:rFonts w:ascii="Century Gothic" w:hAnsi="Century Gothic" w:eastAsia="Calibri" w:cs="Arial"/>
          <w:bCs/>
          <w:color w:val="000000" w:themeColor="text1"/>
        </w:rPr>
        <w:t>es</w:t>
      </w:r>
      <w:r w:rsidRPr="00C24A08" w:rsidR="00503199">
        <w:rPr>
          <w:rFonts w:ascii="Century Gothic" w:hAnsi="Century Gothic" w:eastAsia="Calibri" w:cs="Arial"/>
          <w:bCs/>
          <w:color w:val="000000" w:themeColor="text1"/>
        </w:rPr>
        <w:t>tatale</w:t>
      </w:r>
      <w:r w:rsidRPr="00C24A08" w:rsidR="009541D1">
        <w:rPr>
          <w:rFonts w:ascii="Century Gothic" w:hAnsi="Century Gothic" w:eastAsia="Calibri" w:cs="Arial"/>
          <w:bCs/>
          <w:color w:val="000000" w:themeColor="text1"/>
        </w:rPr>
        <w:t>s</w:t>
      </w:r>
      <w:r w:rsidRPr="00C24A08" w:rsidR="0082459C">
        <w:rPr>
          <w:rFonts w:ascii="Century Gothic" w:hAnsi="Century Gothic" w:eastAsia="Calibri" w:cs="Arial"/>
          <w:bCs/>
          <w:color w:val="000000" w:themeColor="text1"/>
        </w:rPr>
        <w:t>;</w:t>
      </w:r>
      <w:r w:rsidRPr="00C24A08" w:rsidR="00503199">
        <w:rPr>
          <w:rFonts w:ascii="Century Gothic" w:hAnsi="Century Gothic" w:eastAsia="Calibri" w:cs="Arial"/>
          <w:bCs/>
          <w:color w:val="000000" w:themeColor="text1"/>
        </w:rPr>
        <w:t xml:space="preserve"> </w:t>
      </w:r>
      <w:proofErr w:type="spellStart"/>
      <w:r w:rsidRPr="00C24A08" w:rsidR="007A5BC0">
        <w:rPr>
          <w:rFonts w:ascii="Century Gothic" w:hAnsi="Century Gothic" w:eastAsia="Calibri" w:cs="Arial"/>
          <w:bCs/>
          <w:color w:val="000000" w:themeColor="text1"/>
        </w:rPr>
        <w:t>i</w:t>
      </w:r>
      <w:r w:rsidRPr="00C24A08" w:rsidR="0082459C">
        <w:rPr>
          <w:rFonts w:ascii="Century Gothic" w:hAnsi="Century Gothic" w:eastAsia="Calibri" w:cs="Arial"/>
          <w:bCs/>
          <w:color w:val="000000" w:themeColor="text1"/>
        </w:rPr>
        <w:t>v</w:t>
      </w:r>
      <w:proofErr w:type="spellEnd"/>
      <w:r w:rsidRPr="00C24A08" w:rsidR="007A5BC0">
        <w:rPr>
          <w:rFonts w:ascii="Century Gothic" w:hAnsi="Century Gothic" w:eastAsia="Calibri" w:cs="Arial"/>
          <w:bCs/>
          <w:color w:val="000000" w:themeColor="text1"/>
        </w:rPr>
        <w:t xml:space="preserve">) </w:t>
      </w:r>
      <w:r w:rsidRPr="00C24A08" w:rsidR="009541D1">
        <w:rPr>
          <w:rFonts w:ascii="Century Gothic" w:hAnsi="Century Gothic" w:eastAsia="Calibri" w:cs="Arial"/>
          <w:bCs/>
          <w:color w:val="000000" w:themeColor="text1"/>
        </w:rPr>
        <w:t>s</w:t>
      </w:r>
      <w:r w:rsidRPr="00C24A08" w:rsidR="00A47716">
        <w:rPr>
          <w:rFonts w:ascii="Century Gothic" w:hAnsi="Century Gothic" w:eastAsia="Calibri" w:cs="Arial"/>
          <w:bCs/>
          <w:color w:val="000000" w:themeColor="text1"/>
        </w:rPr>
        <w:t>ujetos obligados a publicar sus actuaciones contractuales en el Sistema Electrónico de la Contratación Pública – SECOP</w:t>
      </w:r>
      <w:r w:rsidRPr="00C24A08" w:rsidR="0082459C">
        <w:rPr>
          <w:rFonts w:ascii="Century Gothic" w:hAnsi="Century Gothic" w:eastAsia="Calibri" w:cs="Arial"/>
          <w:bCs/>
          <w:color w:val="000000" w:themeColor="text1"/>
        </w:rPr>
        <w:t xml:space="preserve">; y, </w:t>
      </w:r>
      <w:r w:rsidRPr="00C24A08" w:rsidR="00981CA6">
        <w:rPr>
          <w:rFonts w:ascii="Century Gothic" w:hAnsi="Century Gothic" w:eastAsia="Calibri" w:cs="Arial"/>
          <w:bCs/>
          <w:color w:val="000000" w:themeColor="text1"/>
        </w:rPr>
        <w:t>v) l</w:t>
      </w:r>
      <w:r w:rsidRPr="00C24A08" w:rsidR="00A47716">
        <w:rPr>
          <w:rFonts w:ascii="Century Gothic" w:hAnsi="Century Gothic" w:cs="Arial"/>
          <w:color w:val="000000" w:themeColor="text1"/>
          <w:lang w:eastAsia="es-MX"/>
        </w:rPr>
        <w:t>iquidación de los contratos</w:t>
      </w:r>
      <w:r w:rsidRPr="00C24A08" w:rsidR="00D56FBF">
        <w:rPr>
          <w:rFonts w:ascii="Century Gothic" w:hAnsi="Century Gothic" w:cs="Arial"/>
          <w:color w:val="000000" w:themeColor="text1"/>
          <w:lang w:eastAsia="es-MX"/>
        </w:rPr>
        <w:t xml:space="preserve"> o convenios celebrados por</w:t>
      </w:r>
      <w:r w:rsidRPr="00C24A08" w:rsidR="009541D1">
        <w:rPr>
          <w:rFonts w:ascii="Century Gothic" w:hAnsi="Century Gothic" w:cs="Arial"/>
          <w:color w:val="000000" w:themeColor="text1"/>
          <w:lang w:eastAsia="es-MX"/>
        </w:rPr>
        <w:t xml:space="preserve"> entidades</w:t>
      </w:r>
      <w:r w:rsidRPr="00C24A08" w:rsidR="00A47716">
        <w:rPr>
          <w:rFonts w:ascii="Century Gothic" w:hAnsi="Century Gothic" w:cs="Arial"/>
          <w:color w:val="000000" w:themeColor="text1"/>
          <w:lang w:eastAsia="es-MX"/>
        </w:rPr>
        <w:t xml:space="preserve"> estatales y su competencia temporal</w:t>
      </w:r>
      <w:r w:rsidRPr="00C24A08" w:rsidR="004F51F8">
        <w:rPr>
          <w:rFonts w:ascii="Century Gothic" w:hAnsi="Century Gothic" w:cs="Arial"/>
          <w:color w:val="000000" w:themeColor="text1"/>
          <w:lang w:eastAsia="es-MX"/>
        </w:rPr>
        <w:t>.</w:t>
      </w:r>
    </w:p>
    <w:p w:rsidRPr="00C24A08" w:rsidR="00296F67" w:rsidP="00296F67" w:rsidRDefault="00296F67" w14:paraId="2EEDF6F1" w14:textId="4021DF4D">
      <w:pPr>
        <w:shd w:val="clear" w:color="auto" w:fill="FFFFFF" w:themeFill="background1"/>
        <w:spacing w:before="120" w:after="0" w:line="276" w:lineRule="auto"/>
        <w:ind w:firstLine="709"/>
        <w:jc w:val="both"/>
        <w:rPr>
          <w:rFonts w:ascii="Century Gothic" w:hAnsi="Century Gothic" w:eastAsia="Calibri" w:cs="Arial"/>
          <w:color w:val="000000" w:themeColor="text1"/>
          <w:lang w:val="es-ES_tradnl"/>
        </w:rPr>
      </w:pPr>
      <w:r w:rsidRPr="00C24A08">
        <w:rPr>
          <w:rFonts w:ascii="Century Gothic" w:hAnsi="Century Gothic" w:eastAsia="Calibri" w:cs="Arial"/>
          <w:color w:val="000000" w:themeColor="text1"/>
          <w:lang w:val="es-ES"/>
        </w:rPr>
        <w:t>La Agencia Nacional de Contratación Pública – Colombia Compra Eficiente, en los Conceptos No. 4201913000006135 del 10 de septiembre de 2019,</w:t>
      </w:r>
      <w:r w:rsidRPr="00C24A08">
        <w:rPr>
          <w:rFonts w:ascii="Century Gothic" w:hAnsi="Century Gothic"/>
          <w:color w:val="000000" w:themeColor="text1"/>
        </w:rPr>
        <w:t xml:space="preserve"> </w:t>
      </w:r>
      <w:r w:rsidRPr="00C24A08">
        <w:rPr>
          <w:rFonts w:ascii="Century Gothic" w:hAnsi="Century Gothic" w:eastAsia="Calibri" w:cs="Arial"/>
          <w:color w:val="000000" w:themeColor="text1"/>
          <w:lang w:val="es-ES"/>
        </w:rPr>
        <w:t>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w:t>
      </w:r>
      <w:r w:rsidRPr="00C24A08" w:rsidR="00F1280C">
        <w:rPr>
          <w:rFonts w:ascii="Century Gothic" w:hAnsi="Century Gothic" w:eastAsia="Calibri" w:cs="Arial"/>
          <w:color w:val="000000" w:themeColor="text1"/>
          <w:lang w:val="es-ES"/>
        </w:rPr>
        <w:t xml:space="preserve">, </w:t>
      </w:r>
      <w:r w:rsidRPr="00C24A08">
        <w:rPr>
          <w:rFonts w:ascii="Century Gothic" w:hAnsi="Century Gothic" w:eastAsia="Calibri" w:cs="Arial"/>
          <w:color w:val="000000" w:themeColor="text1"/>
          <w:lang w:val="es-ES"/>
        </w:rPr>
        <w:t>C-068 del 9 de marzo de 2023,</w:t>
      </w:r>
      <w:r w:rsidRPr="00C24A08" w:rsidR="00F057E9">
        <w:rPr>
          <w:rFonts w:ascii="Century Gothic" w:hAnsi="Century Gothic" w:eastAsia="Calibri" w:cs="Arial"/>
          <w:color w:val="000000" w:themeColor="text1"/>
          <w:lang w:val="es-ES"/>
        </w:rPr>
        <w:t xml:space="preserve"> C-040 del 24 de marzo de 2023, </w:t>
      </w:r>
      <w:r w:rsidRPr="00C24A08" w:rsidR="002E2D92">
        <w:rPr>
          <w:rFonts w:ascii="Century Gothic" w:hAnsi="Century Gothic" w:eastAsia="Calibri" w:cs="Arial"/>
          <w:color w:val="000000" w:themeColor="text1"/>
          <w:lang w:val="es-ES"/>
        </w:rPr>
        <w:t>C-052 del 21 de abril de 2023, C-0117 del 21 de ab</w:t>
      </w:r>
      <w:r w:rsidRPr="00C24A08" w:rsidR="00534878">
        <w:rPr>
          <w:rFonts w:ascii="Century Gothic" w:hAnsi="Century Gothic" w:eastAsia="Calibri" w:cs="Arial"/>
          <w:color w:val="000000" w:themeColor="text1"/>
          <w:lang w:val="es-ES"/>
        </w:rPr>
        <w:t>ril de 2023 y C-094 del 4 de mayo de 2023</w:t>
      </w:r>
      <w:r w:rsidRPr="00C24A08">
        <w:rPr>
          <w:rFonts w:ascii="Century Gothic" w:hAnsi="Century Gothic" w:eastAsia="Calibri" w:cs="Arial"/>
          <w:color w:val="000000" w:themeColor="text1"/>
          <w:lang w:val="es-ES"/>
        </w:rPr>
        <w:t xml:space="preserve"> analizó los convenios solidarios, su alcance y su régimen contractual</w:t>
      </w:r>
      <w:r w:rsidRPr="00C24A08">
        <w:rPr>
          <w:rStyle w:val="Refdenotaalpie"/>
          <w:rFonts w:ascii="Century Gothic" w:hAnsi="Century Gothic" w:eastAsia="Calibri" w:cs="Arial"/>
        </w:rPr>
        <w:footnoteReference w:id="2"/>
      </w:r>
      <w:r w:rsidRPr="00C24A08">
        <w:rPr>
          <w:rFonts w:ascii="Century Gothic" w:hAnsi="Century Gothic" w:eastAsia="Calibri" w:cs="Arial"/>
          <w:color w:val="000000" w:themeColor="text1"/>
          <w:lang w:val="es-ES"/>
        </w:rPr>
        <w:t xml:space="preserve">. </w:t>
      </w:r>
    </w:p>
    <w:p w:rsidRPr="00C24A08" w:rsidR="00173696" w:rsidP="00902F97" w:rsidRDefault="003E2F7F" w14:paraId="65A8C4EF" w14:textId="10C639F5">
      <w:pPr>
        <w:shd w:val="clear" w:color="auto" w:fill="FFFFFF" w:themeFill="background1"/>
        <w:spacing w:before="120" w:after="0" w:line="276" w:lineRule="auto"/>
        <w:ind w:firstLine="709"/>
        <w:jc w:val="both"/>
        <w:rPr>
          <w:rFonts w:ascii="Century Gothic" w:hAnsi="Century Gothic" w:eastAsia="Calibri" w:cs="Arial"/>
          <w:color w:val="000000" w:themeColor="text1"/>
        </w:rPr>
      </w:pPr>
      <w:r w:rsidRPr="00C24A08">
        <w:rPr>
          <w:rFonts w:ascii="Century Gothic" w:hAnsi="Century Gothic" w:eastAsia="Calibri" w:cs="Arial"/>
          <w:color w:val="000000" w:themeColor="text1"/>
        </w:rPr>
        <w:t xml:space="preserve">Igualmente, esta Agencia se </w:t>
      </w:r>
      <w:r w:rsidRPr="00C24A08" w:rsidR="00F56460">
        <w:rPr>
          <w:rFonts w:ascii="Century Gothic" w:hAnsi="Century Gothic" w:eastAsia="Calibri" w:cs="Arial"/>
          <w:color w:val="000000" w:themeColor="text1"/>
        </w:rPr>
        <w:t xml:space="preserve">ha </w:t>
      </w:r>
      <w:r w:rsidRPr="00C24A08">
        <w:rPr>
          <w:rFonts w:ascii="Century Gothic" w:hAnsi="Century Gothic" w:eastAsia="Calibri" w:cs="Arial"/>
          <w:color w:val="000000" w:themeColor="text1"/>
        </w:rPr>
        <w:t>pronu</w:t>
      </w:r>
      <w:r w:rsidRPr="00C24A08" w:rsidR="00F56460">
        <w:rPr>
          <w:rFonts w:ascii="Century Gothic" w:hAnsi="Century Gothic" w:eastAsia="Calibri" w:cs="Arial"/>
          <w:color w:val="000000" w:themeColor="text1"/>
        </w:rPr>
        <w:t>nciado</w:t>
      </w:r>
      <w:r w:rsidRPr="00C24A08">
        <w:rPr>
          <w:rFonts w:ascii="Century Gothic" w:hAnsi="Century Gothic" w:eastAsia="Calibri" w:cs="Arial"/>
          <w:color w:val="000000" w:themeColor="text1"/>
        </w:rPr>
        <w:t xml:space="preserve"> sobre la obligación de controlar y vigilar la ejecución de los contratos estatales, en los conceptos con radicado 4201913000004799 del 30 de agosto  de 2019 y 4201913000008240 del 20 de diciembre de 2019; y en los conceptos C-064 del 28 de febrero de 2020, C–077 del 18 de marzo de 2020, C–150 del 18 de marzo de 2020, C–134 del 30 de marzo de 2020, C–180 del 13 de abril de 2020, C-344 de 26 de mayo de 2020, C-765 de 1 de enero de 2021, C-603 de 02 de noviembre de 2021, C-745 de 3 de febrero de 2022, C-506 del 3 de agosto de 2022, C-577 del 15 de septiembre de 2022 y C-620 del 27 de septiembre de 2022 y C-930 de 30 de diciembre de 2022</w:t>
      </w:r>
      <w:r w:rsidRPr="00C24A08" w:rsidR="005F585B">
        <w:rPr>
          <w:rFonts w:ascii="Century Gothic" w:hAnsi="Century Gothic" w:eastAsia="Calibri" w:cs="Arial"/>
          <w:color w:val="000000" w:themeColor="text1"/>
        </w:rPr>
        <w:t>, entre otros</w:t>
      </w:r>
      <w:r w:rsidRPr="00C24A08">
        <w:rPr>
          <w:rFonts w:ascii="Century Gothic" w:hAnsi="Century Gothic" w:eastAsia="Calibri" w:cs="Arial"/>
          <w:color w:val="000000" w:themeColor="text1"/>
        </w:rPr>
        <w:t xml:space="preserve">. </w:t>
      </w:r>
      <w:r w:rsidRPr="00C24A08" w:rsidR="00902F97">
        <w:rPr>
          <w:rFonts w:ascii="Century Gothic" w:hAnsi="Century Gothic" w:eastAsia="Calibri" w:cs="Arial"/>
          <w:color w:val="000000" w:themeColor="text1"/>
        </w:rPr>
        <w:t xml:space="preserve">Por su parte, sobre la </w:t>
      </w:r>
      <w:r w:rsidRPr="00C24A08" w:rsidR="00173696">
        <w:rPr>
          <w:rFonts w:ascii="Century Gothic" w:hAnsi="Century Gothic" w:eastAsia="Calibri" w:cs="Arial"/>
          <w:color w:val="000000" w:themeColor="text1"/>
        </w:rPr>
        <w:t>liquidación de los contratos</w:t>
      </w:r>
      <w:r w:rsidRPr="00C24A08" w:rsidR="00902F97">
        <w:rPr>
          <w:rFonts w:ascii="Century Gothic" w:hAnsi="Century Gothic" w:eastAsia="Calibri" w:cs="Arial"/>
          <w:color w:val="000000" w:themeColor="text1"/>
        </w:rPr>
        <w:t xml:space="preserve"> celebrados por entidades estatales esta Agencia ha emitido los siguientes </w:t>
      </w:r>
      <w:r w:rsidRPr="00C24A08" w:rsidR="00173696">
        <w:rPr>
          <w:rFonts w:ascii="Century Gothic" w:hAnsi="Century Gothic" w:eastAsia="Calibri" w:cs="Arial"/>
          <w:color w:val="000000" w:themeColor="text1"/>
        </w:rPr>
        <w:t>concepto</w:t>
      </w:r>
      <w:r w:rsidRPr="00C24A08" w:rsidR="00902F97">
        <w:rPr>
          <w:rFonts w:ascii="Century Gothic" w:hAnsi="Century Gothic" w:eastAsia="Calibri" w:cs="Arial"/>
          <w:color w:val="000000" w:themeColor="text1"/>
        </w:rPr>
        <w:t>s</w:t>
      </w:r>
      <w:r w:rsidRPr="00C24A08" w:rsidR="00173696">
        <w:rPr>
          <w:rFonts w:ascii="Century Gothic" w:hAnsi="Century Gothic" w:eastAsia="Calibri" w:cs="Arial"/>
          <w:color w:val="000000" w:themeColor="text1"/>
        </w:rPr>
        <w:t xml:space="preserve"> con radicado No. 4201912000004908 del 27 de septiembre de 2019 y los conceptos con número interno CU-028 de 25 de febrero de 2020, C-221 de 21 de abril de 2020, C-078 del 17 de marzo de 2021, C-220 del 18 de mayo de 2021, C-444 del 23 de julio de 2021, C-747 del 8 de noviembre de 2022, C-739 de del 29 de noviembre de 2022</w:t>
      </w:r>
      <w:r w:rsidRPr="00C24A08" w:rsidR="006842D8">
        <w:rPr>
          <w:rFonts w:ascii="Century Gothic" w:hAnsi="Century Gothic" w:eastAsia="Calibri" w:cs="Arial"/>
          <w:color w:val="000000" w:themeColor="text1"/>
        </w:rPr>
        <w:t>,</w:t>
      </w:r>
      <w:r w:rsidRPr="00C24A08" w:rsidR="00173696">
        <w:rPr>
          <w:rFonts w:ascii="Century Gothic" w:hAnsi="Century Gothic" w:eastAsia="Calibri" w:cs="Arial"/>
          <w:color w:val="000000" w:themeColor="text1"/>
        </w:rPr>
        <w:t xml:space="preserve"> C- 176 de 3 de mayo de 2023</w:t>
      </w:r>
      <w:r w:rsidRPr="00C24A08" w:rsidR="006842D8">
        <w:rPr>
          <w:rFonts w:ascii="Century Gothic" w:hAnsi="Century Gothic" w:eastAsia="Calibri" w:cs="Arial"/>
          <w:color w:val="000000" w:themeColor="text1"/>
        </w:rPr>
        <w:t xml:space="preserve"> y C-158 del 6 de junio de 2023</w:t>
      </w:r>
      <w:r w:rsidRPr="00C24A08" w:rsidR="00CC30D3">
        <w:rPr>
          <w:rFonts w:ascii="Century Gothic" w:hAnsi="Century Gothic" w:eastAsia="Calibri" w:cs="Arial"/>
          <w:color w:val="000000" w:themeColor="text1"/>
        </w:rPr>
        <w:t>, entre otros</w:t>
      </w:r>
      <w:r w:rsidRPr="00C24A08" w:rsidR="006842D8">
        <w:rPr>
          <w:rFonts w:ascii="Century Gothic" w:hAnsi="Century Gothic" w:eastAsia="Calibri" w:cs="Arial"/>
          <w:color w:val="000000" w:themeColor="text1"/>
        </w:rPr>
        <w:t>.</w:t>
      </w:r>
      <w:r w:rsidRPr="00C24A08" w:rsidR="00F56460">
        <w:rPr>
          <w:rFonts w:ascii="Century Gothic" w:hAnsi="Century Gothic" w:eastAsia="Calibri" w:cs="Arial"/>
          <w:color w:val="000000" w:themeColor="text1"/>
        </w:rPr>
        <w:t xml:space="preserve"> </w:t>
      </w:r>
      <w:r w:rsidRPr="00C24A08" w:rsidR="00F56460">
        <w:rPr>
          <w:rFonts w:ascii="Century Gothic" w:hAnsi="Century Gothic" w:eastAsia="Calibri" w:cs="Arial"/>
          <w:color w:val="000000" w:themeColor="text1"/>
          <w:lang w:val="es-ES_tradnl"/>
        </w:rPr>
        <w:t xml:space="preserve">La tesis propuesta </w:t>
      </w:r>
      <w:r w:rsidRPr="00C24A08" w:rsidR="00CC30D3">
        <w:rPr>
          <w:rFonts w:ascii="Century Gothic" w:hAnsi="Century Gothic" w:eastAsia="Calibri" w:cs="Arial"/>
          <w:color w:val="000000" w:themeColor="text1"/>
          <w:lang w:val="es-ES_tradnl"/>
        </w:rPr>
        <w:t>en estos</w:t>
      </w:r>
      <w:r w:rsidRPr="00C24A08" w:rsidR="00F56460">
        <w:rPr>
          <w:rFonts w:ascii="Century Gothic" w:hAnsi="Century Gothic" w:eastAsia="Calibri" w:cs="Arial"/>
          <w:color w:val="000000" w:themeColor="text1"/>
          <w:lang w:val="es-ES_tradnl"/>
        </w:rPr>
        <w:t xml:space="preserve"> conceptos se reitera a continuación y se complementa en lo pertinente de acuerdo con las preguntas realizadas.</w:t>
      </w:r>
    </w:p>
    <w:p w:rsidRPr="00C24A08" w:rsidR="00296F67" w:rsidP="00296F67" w:rsidRDefault="00296F67" w14:paraId="7A2758C2" w14:textId="77777777">
      <w:pPr>
        <w:shd w:val="clear" w:color="auto" w:fill="FFFFFF" w:themeFill="background1"/>
        <w:tabs>
          <w:tab w:val="left" w:pos="0"/>
        </w:tabs>
        <w:spacing w:after="0" w:line="276" w:lineRule="auto"/>
        <w:jc w:val="both"/>
        <w:rPr>
          <w:rFonts w:ascii="Century Gothic" w:hAnsi="Century Gothic" w:eastAsia="Calibri" w:cs="Arial"/>
          <w:b/>
          <w:color w:val="000000" w:themeColor="text1"/>
        </w:rPr>
      </w:pPr>
    </w:p>
    <w:p w:rsidRPr="00C24A08" w:rsidR="00296F67" w:rsidP="00296F67" w:rsidRDefault="00296F67" w14:paraId="590C4D08" w14:textId="38ACE1EA">
      <w:pPr>
        <w:shd w:val="clear" w:color="auto" w:fill="FFFFFF" w:themeFill="background1"/>
        <w:tabs>
          <w:tab w:val="left" w:pos="426"/>
        </w:tabs>
        <w:spacing w:after="0"/>
        <w:jc w:val="both"/>
        <w:rPr>
          <w:rFonts w:ascii="Century Gothic" w:hAnsi="Century Gothic" w:eastAsia="Calibri" w:cs="Arial"/>
          <w:noProof/>
          <w:color w:val="000000" w:themeColor="text1"/>
          <w:lang w:val="es-ES"/>
        </w:rPr>
      </w:pPr>
      <w:r w:rsidRPr="00C24A08">
        <w:rPr>
          <w:rFonts w:ascii="Century Gothic" w:hAnsi="Century Gothic" w:eastAsia="Calibri" w:cs="Arial"/>
          <w:b/>
          <w:bCs/>
          <w:color w:val="000000" w:themeColor="text1"/>
          <w:lang w:eastAsia="en-GB"/>
        </w:rPr>
        <w:t xml:space="preserve">2.1. </w:t>
      </w:r>
      <w:r w:rsidRPr="00C24A08">
        <w:rPr>
          <w:rFonts w:ascii="Century Gothic" w:hAnsi="Century Gothic" w:eastAsia="Calibri" w:cs="Arial"/>
          <w:b/>
          <w:bCs/>
          <w:color w:val="000000" w:themeColor="text1"/>
          <w:lang w:val="es-ES" w:eastAsia="en-GB"/>
        </w:rPr>
        <w:t>Aplicación de los convenios solidarios</w:t>
      </w:r>
      <w:r w:rsidRPr="00C24A08">
        <w:rPr>
          <w:rFonts w:ascii="Century Gothic" w:hAnsi="Century Gothic" w:eastAsia="Calibri" w:cs="Arial"/>
          <w:b/>
          <w:bCs/>
          <w:color w:val="000000" w:themeColor="text1"/>
          <w:lang w:eastAsia="en-GB"/>
        </w:rPr>
        <w:t xml:space="preserve"> y los </w:t>
      </w:r>
      <w:r w:rsidRPr="00C24A08" w:rsidR="00A05F1F">
        <w:rPr>
          <w:rFonts w:ascii="Century Gothic" w:hAnsi="Century Gothic" w:eastAsia="Calibri" w:cs="Arial"/>
          <w:b/>
          <w:bCs/>
          <w:color w:val="000000" w:themeColor="text1"/>
          <w:lang w:eastAsia="en-GB"/>
        </w:rPr>
        <w:t>Organismos de Acción Comunal</w:t>
      </w:r>
      <w:r w:rsidRPr="00C24A08">
        <w:rPr>
          <w:rFonts w:ascii="Century Gothic" w:hAnsi="Century Gothic" w:eastAsia="Calibri" w:cs="Arial"/>
          <w:b/>
          <w:bCs/>
          <w:color w:val="000000" w:themeColor="text1"/>
          <w:lang w:eastAsia="en-GB"/>
        </w:rPr>
        <w:t xml:space="preserve"> de conformidad con la Ley 136 de 1994</w:t>
      </w:r>
      <w:r w:rsidRPr="00C24A08" w:rsidR="00891DF0">
        <w:rPr>
          <w:rFonts w:ascii="Century Gothic" w:hAnsi="Century Gothic" w:eastAsia="Calibri" w:cs="Arial"/>
          <w:b/>
          <w:bCs/>
          <w:color w:val="000000" w:themeColor="text1"/>
          <w:lang w:eastAsia="en-GB"/>
        </w:rPr>
        <w:t xml:space="preserve"> –</w:t>
      </w:r>
      <w:r w:rsidRPr="00C24A08" w:rsidR="00B056EA">
        <w:rPr>
          <w:rFonts w:ascii="Century Gothic" w:hAnsi="Century Gothic" w:eastAsia="Calibri" w:cs="Arial"/>
          <w:b/>
          <w:bCs/>
          <w:color w:val="000000" w:themeColor="text1"/>
          <w:lang w:eastAsia="en-GB"/>
        </w:rPr>
        <w:t xml:space="preserve"> Regímenes jurídicos previo a la expedición Ley 2166 de 2021</w:t>
      </w:r>
    </w:p>
    <w:p w:rsidRPr="00C24A08" w:rsidR="00296F67" w:rsidP="00296F67" w:rsidRDefault="00296F67" w14:paraId="47F41A5A" w14:textId="77777777">
      <w:pPr>
        <w:shd w:val="clear" w:color="auto" w:fill="FFFFFF" w:themeFill="background1"/>
        <w:spacing w:after="0" w:line="276" w:lineRule="auto"/>
        <w:jc w:val="both"/>
        <w:rPr>
          <w:rFonts w:ascii="Century Gothic" w:hAnsi="Century Gothic" w:eastAsia="Arial" w:cs="Arial"/>
          <w:b/>
          <w:color w:val="000000" w:themeColor="text1"/>
          <w:lang w:val="es-ES"/>
        </w:rPr>
      </w:pPr>
    </w:p>
    <w:p w:rsidRPr="00C24A08" w:rsidR="00296F67" w:rsidP="00296F67" w:rsidRDefault="00296F67" w14:paraId="7AA3BE7E" w14:textId="02E6AFDE">
      <w:pPr>
        <w:shd w:val="clear" w:color="auto" w:fill="FFFFFF" w:themeFill="background1"/>
        <w:spacing w:after="120" w:line="276" w:lineRule="auto"/>
        <w:jc w:val="both"/>
        <w:rPr>
          <w:rFonts w:ascii="Century Gothic" w:hAnsi="Century Gothic" w:eastAsia="Calibri" w:cs="Arial"/>
          <w:bCs/>
          <w:color w:val="000000" w:themeColor="text1"/>
          <w:lang w:val="es-MX"/>
        </w:rPr>
      </w:pPr>
      <w:r w:rsidRPr="00C24A08">
        <w:rPr>
          <w:rFonts w:ascii="Century Gothic" w:hAnsi="Century Gothic" w:eastAsia="Calibri" w:cs="Arial"/>
          <w:bCs/>
          <w:color w:val="000000" w:themeColor="text1"/>
          <w:lang w:val="es-MX"/>
        </w:rPr>
        <w:t xml:space="preserve">El artículo 38 de la Constitución Política, estableció la obligación de </w:t>
      </w:r>
      <w:r w:rsidRPr="00C24A08">
        <w:rPr>
          <w:rFonts w:ascii="Century Gothic" w:hAnsi="Century Gothic" w:eastAsia="Calibri" w:cs="Arial"/>
          <w:color w:val="000000" w:themeColor="text1"/>
        </w:rPr>
        <w:t>“</w:t>
      </w:r>
      <w:r w:rsidRPr="00C24A08">
        <w:rPr>
          <w:rFonts w:ascii="Century Gothic" w:hAnsi="Century Gothic" w:eastAsia="Calibri" w:cs="Arial"/>
          <w:bCs/>
          <w:color w:val="000000" w:themeColor="text1"/>
          <w:lang w:val="es-MX"/>
        </w:rPr>
        <w:t>garantizar el derecho de libre asociación para el desarrollo de las distintas actividades que las personas realizan en sociedad</w:t>
      </w:r>
      <w:r w:rsidRPr="00C24A08">
        <w:rPr>
          <w:rFonts w:ascii="Century Gothic" w:hAnsi="Century Gothic" w:eastAsia="Calibri" w:cs="Arial"/>
          <w:color w:val="000000" w:themeColor="text1"/>
          <w:lang w:val="es-ES_tradnl"/>
        </w:rPr>
        <w:t>”</w:t>
      </w:r>
      <w:r w:rsidRPr="00C24A08">
        <w:rPr>
          <w:rFonts w:ascii="Century Gothic" w:hAnsi="Century Gothic" w:eastAsia="Calibri" w:cs="Arial"/>
          <w:bCs/>
          <w:i/>
          <w:iCs/>
          <w:color w:val="000000" w:themeColor="text1"/>
          <w:lang w:val="es-MX"/>
        </w:rPr>
        <w:t>,</w:t>
      </w:r>
      <w:r w:rsidRPr="00C24A08">
        <w:rPr>
          <w:rFonts w:ascii="Century Gothic" w:hAnsi="Century Gothic" w:eastAsia="Calibri" w:cs="Arial"/>
          <w:bCs/>
          <w:color w:val="000000" w:themeColor="text1"/>
          <w:lang w:val="es-MX"/>
        </w:rPr>
        <w:t xml:space="preserve"> en aras de contar con una sociedad civil más participativa. De igual forma, los artículos 103 y 355 superior permitieron que las organizaciones civiles previstas por el constituyente no solamente puedan ejercer una labor de vigilancia y control, sino que también se prevé su intervención en la actividad estatal. Al respecto, la Corte Constitucional en sentencia C-580 de 2001, realizó un análisis del desarrollo comunitario de los </w:t>
      </w:r>
      <w:r w:rsidRPr="00C24A08" w:rsidR="00A05F1F">
        <w:rPr>
          <w:rFonts w:ascii="Century Gothic" w:hAnsi="Century Gothic" w:eastAsia="Calibri" w:cs="Arial"/>
          <w:bCs/>
          <w:color w:val="000000" w:themeColor="text1"/>
          <w:lang w:val="es-MX"/>
        </w:rPr>
        <w:t>Organismos de Acción Comunal</w:t>
      </w:r>
      <w:r w:rsidRPr="00C24A08">
        <w:rPr>
          <w:rFonts w:ascii="Century Gothic" w:hAnsi="Century Gothic" w:eastAsia="Calibri" w:cs="Arial"/>
          <w:bCs/>
          <w:color w:val="000000" w:themeColor="text1"/>
          <w:lang w:val="es-MX"/>
        </w:rPr>
        <w:t>, concluyendo que su proceso social va de la mano con la acción participativa de la comunidad, en tanto que impulsa al individuo a involucrarse en su contexto detectando necesidades de su comunidad y ayudando a solucionarlas</w:t>
      </w:r>
      <w:r w:rsidRPr="00C24A08">
        <w:rPr>
          <w:rFonts w:ascii="Century Gothic" w:hAnsi="Century Gothic" w:eastAsia="Calibri" w:cs="Arial"/>
          <w:bCs/>
          <w:color w:val="000000" w:themeColor="text1"/>
          <w:vertAlign w:val="superscript"/>
          <w:lang w:val="es-MX"/>
        </w:rPr>
        <w:footnoteReference w:id="3"/>
      </w:r>
      <w:r w:rsidRPr="00C24A08">
        <w:rPr>
          <w:rFonts w:ascii="Century Gothic" w:hAnsi="Century Gothic" w:eastAsia="Calibri" w:cs="Arial"/>
          <w:bCs/>
          <w:color w:val="000000" w:themeColor="text1"/>
          <w:lang w:val="es-MX"/>
        </w:rPr>
        <w:t>.</w:t>
      </w:r>
    </w:p>
    <w:p w:rsidRPr="00C24A08" w:rsidR="007122EE" w:rsidP="007122EE" w:rsidRDefault="007122EE" w14:paraId="47C29723" w14:textId="777C3E8D">
      <w:pPr>
        <w:shd w:val="clear" w:color="auto" w:fill="FFFFFF" w:themeFill="background1"/>
        <w:spacing w:after="120" w:line="276" w:lineRule="auto"/>
        <w:ind w:firstLine="708"/>
        <w:jc w:val="both"/>
        <w:rPr>
          <w:rFonts w:ascii="Century Gothic" w:hAnsi="Century Gothic" w:eastAsia="Calibri" w:cs="Arial"/>
          <w:bCs/>
          <w:color w:val="000000" w:themeColor="text1"/>
          <w:lang w:val="es-MX"/>
        </w:rPr>
      </w:pPr>
      <w:r w:rsidRPr="00C24A08">
        <w:rPr>
          <w:rFonts w:ascii="Century Gothic" w:hAnsi="Century Gothic" w:eastAsia="Calibri" w:cs="Arial"/>
          <w:color w:val="000000" w:themeColor="text1"/>
          <w:lang w:val="es-MX"/>
        </w:rPr>
        <w:t xml:space="preserve">Es así como, en desarrollo del principio de participación, el artículo 7 de la Ley 2126 de 2021 </w:t>
      </w:r>
      <w:r w:rsidRPr="00C24A08" w:rsidR="000E15EB">
        <w:rPr>
          <w:rFonts w:ascii="Century Gothic" w:hAnsi="Century Gothic" w:eastAsia="Calibri" w:cs="Arial"/>
          <w:color w:val="000000" w:themeColor="text1"/>
          <w:lang w:val="es-MX"/>
        </w:rPr>
        <w:t>definió</w:t>
      </w:r>
      <w:r w:rsidRPr="00C24A08">
        <w:rPr>
          <w:rFonts w:ascii="Century Gothic" w:hAnsi="Century Gothic" w:eastAsia="Calibri" w:cs="Arial"/>
          <w:color w:val="000000" w:themeColor="text1"/>
          <w:lang w:val="es-MX"/>
        </w:rPr>
        <w:t xml:space="preserve"> cuatro grados de </w:t>
      </w:r>
      <w:r w:rsidRPr="00C24A08" w:rsidR="00A05F1F">
        <w:rPr>
          <w:rFonts w:ascii="Century Gothic" w:hAnsi="Century Gothic" w:eastAsia="Calibri" w:cs="Arial"/>
          <w:color w:val="000000" w:themeColor="text1"/>
          <w:lang w:val="es-MX"/>
        </w:rPr>
        <w:t>Organismos de Acción Comunal</w:t>
      </w:r>
      <w:r w:rsidRPr="00C24A08" w:rsidR="008D65C2">
        <w:rPr>
          <w:rStyle w:val="Refdenotaalpie"/>
          <w:rFonts w:ascii="Century Gothic" w:hAnsi="Century Gothic" w:eastAsia="Calibri" w:cs="Arial"/>
          <w:color w:val="000000" w:themeColor="text1"/>
          <w:lang w:val="es-MX"/>
        </w:rPr>
        <w:footnoteReference w:id="4"/>
      </w:r>
      <w:r w:rsidRPr="00C24A08">
        <w:rPr>
          <w:rFonts w:ascii="Century Gothic" w:hAnsi="Century Gothic" w:eastAsia="Calibri" w:cs="Arial"/>
          <w:color w:val="000000" w:themeColor="text1"/>
          <w:lang w:val="es-MX"/>
        </w:rPr>
        <w:t>.</w:t>
      </w:r>
      <w:r w:rsidRPr="00C24A08" w:rsidR="000E15EB">
        <w:rPr>
          <w:rFonts w:ascii="Century Gothic" w:hAnsi="Century Gothic" w:eastAsia="Calibri" w:cs="Arial"/>
          <w:color w:val="000000" w:themeColor="text1"/>
          <w:lang w:val="es-MX"/>
        </w:rPr>
        <w:t xml:space="preserve"> </w:t>
      </w:r>
      <w:r w:rsidRPr="00C24A08">
        <w:rPr>
          <w:rFonts w:ascii="Century Gothic" w:hAnsi="Century Gothic" w:eastAsia="Calibri" w:cs="Arial"/>
          <w:color w:val="000000" w:themeColor="text1"/>
          <w:lang w:val="es-MX"/>
        </w:rPr>
        <w:t xml:space="preserve">En el primer grado se clasifican las Juntas de Acción Comunal y las Juntas de Vivienda Comunal. Las primeras de ellas fueron definidas como </w:t>
      </w:r>
      <w:r w:rsidRPr="00C24A08">
        <w:rPr>
          <w:rFonts w:ascii="Century Gothic" w:hAnsi="Century Gothic" w:eastAsia="Calibri" w:cs="Arial"/>
          <w:i/>
          <w:color w:val="000000" w:themeColor="text1"/>
          <w:lang w:val="es-MX"/>
        </w:rPr>
        <w:t>“una organización cívica, social y comunitaria de gestión social, sin ánimo de lucro, de naturaleza solidaria, con personería jurídica y patrimonio propio</w:t>
      </w:r>
      <w:r w:rsidRPr="00C24A08" w:rsidR="00880C1B">
        <w:rPr>
          <w:rFonts w:ascii="Century Gothic" w:hAnsi="Century Gothic" w:eastAsia="Calibri" w:cs="Arial"/>
          <w:i/>
          <w:color w:val="000000" w:themeColor="text1"/>
          <w:lang w:val="es-MX"/>
        </w:rPr>
        <w:t xml:space="preserve"> (…)</w:t>
      </w:r>
      <w:r w:rsidRPr="00C24A08">
        <w:rPr>
          <w:rFonts w:ascii="Century Gothic" w:hAnsi="Century Gothic" w:eastAsia="Calibri" w:cs="Arial"/>
          <w:color w:val="000000" w:themeColor="text1"/>
          <w:lang w:val="es-MX"/>
        </w:rPr>
        <w:t xml:space="preserve">”, </w:t>
      </w:r>
      <w:r w:rsidRPr="00C24A08" w:rsidR="00A37BC5">
        <w:rPr>
          <w:rFonts w:ascii="Century Gothic" w:hAnsi="Century Gothic" w:eastAsia="Calibri" w:cs="Arial"/>
          <w:color w:val="000000" w:themeColor="text1"/>
          <w:lang w:val="es-MX"/>
        </w:rPr>
        <w:t xml:space="preserve">que </w:t>
      </w:r>
      <w:r w:rsidRPr="00C24A08">
        <w:rPr>
          <w:rFonts w:ascii="Century Gothic" w:hAnsi="Century Gothic" w:eastAsia="Calibri" w:cs="Arial"/>
          <w:color w:val="000000" w:themeColor="text1"/>
          <w:lang w:val="es-MX"/>
        </w:rPr>
        <w:t xml:space="preserve">se encuentra integrada voluntariamente por los residentes de un lugar que aúnan esfuerzos y recursos para </w:t>
      </w:r>
      <w:r w:rsidRPr="00C24A08">
        <w:rPr>
          <w:rFonts w:ascii="Century Gothic" w:hAnsi="Century Gothic" w:eastAsia="Calibri" w:cs="Arial"/>
          <w:i/>
          <w:color w:val="000000" w:themeColor="text1"/>
          <w:lang w:val="es-MX"/>
        </w:rPr>
        <w:t>“procurar un desarrollo integral, sostenible y sustentable con fundamento en el ejercicio de la democracia participativa</w:t>
      </w:r>
      <w:r w:rsidRPr="00C24A08" w:rsidR="00A37BC5">
        <w:rPr>
          <w:rFonts w:ascii="Century Gothic" w:hAnsi="Century Gothic" w:eastAsia="Calibri" w:cs="Arial"/>
          <w:i/>
          <w:color w:val="000000" w:themeColor="text1"/>
          <w:lang w:val="es-MX"/>
        </w:rPr>
        <w:t>.</w:t>
      </w:r>
      <w:r w:rsidRPr="00C24A08">
        <w:rPr>
          <w:rFonts w:ascii="Century Gothic" w:hAnsi="Century Gothic" w:eastAsia="Calibri" w:cs="Arial"/>
          <w:i/>
          <w:color w:val="000000" w:themeColor="text1"/>
          <w:lang w:val="es-MX"/>
        </w:rPr>
        <w:t>”</w:t>
      </w:r>
      <w:r w:rsidRPr="00C24A08" w:rsidR="00A37BC5">
        <w:rPr>
          <w:rFonts w:ascii="Century Gothic" w:hAnsi="Century Gothic" w:eastAsia="Calibri" w:cs="Arial"/>
          <w:color w:val="000000" w:themeColor="text1"/>
          <w:lang w:val="es-MX"/>
        </w:rPr>
        <w:t xml:space="preserve">. </w:t>
      </w:r>
      <w:r w:rsidRPr="00C24A08">
        <w:rPr>
          <w:rFonts w:ascii="Century Gothic" w:hAnsi="Century Gothic" w:eastAsia="Calibri" w:cs="Arial"/>
          <w:color w:val="000000" w:themeColor="text1"/>
          <w:lang w:val="es-MX"/>
        </w:rPr>
        <w:t>Por su parte, las Juntas de Vivienda Comunal, fueron definidas como “</w:t>
      </w:r>
      <w:r w:rsidRPr="00C24A08">
        <w:rPr>
          <w:rFonts w:ascii="Century Gothic" w:hAnsi="Century Gothic" w:eastAsia="Calibri" w:cs="Arial"/>
          <w:i/>
          <w:color w:val="000000" w:themeColor="text1"/>
          <w:lang w:val="es-MX"/>
        </w:rPr>
        <w:t>una organización cívica sin ánimo de lucro, integrada por familias que se reúnen con el propósito de adelantar programas de mejoramiento o de autoconstrucción de vivienda”</w:t>
      </w:r>
      <w:r w:rsidRPr="00C24A08">
        <w:rPr>
          <w:rFonts w:ascii="Century Gothic" w:hAnsi="Century Gothic" w:eastAsia="Calibri" w:cs="Arial"/>
          <w:color w:val="000000" w:themeColor="text1"/>
          <w:lang w:val="es-MX"/>
        </w:rPr>
        <w:t xml:space="preserve"> y una vez concluido el programa se podrán asimilar a </w:t>
      </w:r>
      <w:r w:rsidRPr="00C24A08" w:rsidR="0018184E">
        <w:rPr>
          <w:rFonts w:ascii="Century Gothic" w:hAnsi="Century Gothic" w:eastAsia="Calibri" w:cs="Arial"/>
          <w:color w:val="000000" w:themeColor="text1"/>
          <w:lang w:val="es-MX"/>
        </w:rPr>
        <w:t>una</w:t>
      </w:r>
      <w:r w:rsidRPr="00C24A08">
        <w:rPr>
          <w:rFonts w:ascii="Century Gothic" w:hAnsi="Century Gothic" w:eastAsia="Calibri" w:cs="Arial"/>
          <w:color w:val="000000" w:themeColor="text1"/>
          <w:lang w:val="es-MX"/>
        </w:rPr>
        <w:t xml:space="preserve"> Junta de Acción Comunal</w:t>
      </w:r>
      <w:r w:rsidRPr="00C24A08" w:rsidR="0018184E">
        <w:rPr>
          <w:rFonts w:ascii="Century Gothic" w:hAnsi="Century Gothic" w:eastAsia="Calibri" w:cs="Arial"/>
          <w:color w:val="000000" w:themeColor="text1"/>
          <w:lang w:val="es-MX"/>
        </w:rPr>
        <w:t>,</w:t>
      </w:r>
      <w:r w:rsidRPr="00C24A08">
        <w:rPr>
          <w:rFonts w:ascii="Century Gothic" w:hAnsi="Century Gothic" w:eastAsia="Calibri" w:cs="Arial"/>
          <w:color w:val="000000" w:themeColor="text1"/>
          <w:lang w:val="es-MX"/>
        </w:rPr>
        <w:t xml:space="preserve"> siempre y cuando cumplan los requisitos de Ley.</w:t>
      </w:r>
    </w:p>
    <w:p w:rsidRPr="00C24A08" w:rsidR="00FD2446" w:rsidP="007122EE" w:rsidRDefault="00FD2446" w14:paraId="11665C1C" w14:textId="530C7A4F">
      <w:pPr>
        <w:shd w:val="clear" w:color="auto" w:fill="FFFFFF" w:themeFill="background1"/>
        <w:spacing w:after="120" w:line="276" w:lineRule="auto"/>
        <w:ind w:firstLine="708"/>
        <w:jc w:val="both"/>
        <w:rPr>
          <w:rFonts w:ascii="Century Gothic" w:hAnsi="Century Gothic" w:eastAsia="Calibri" w:cs="Arial"/>
          <w:bCs/>
          <w:color w:val="000000" w:themeColor="text1"/>
          <w:lang w:val="es-MX"/>
        </w:rPr>
      </w:pPr>
      <w:r w:rsidRPr="00C24A08">
        <w:rPr>
          <w:rFonts w:ascii="Century Gothic" w:hAnsi="Century Gothic" w:eastAsia="Calibri" w:cs="Arial"/>
          <w:color w:val="000000" w:themeColor="text1"/>
          <w:lang w:val="es-MX"/>
        </w:rPr>
        <w:t xml:space="preserve">En desarrollo de ese ejercicio democrático, el artículo 16 ibidem dispuso como funciones de los </w:t>
      </w:r>
      <w:r w:rsidRPr="00C24A08" w:rsidR="00A05F1F">
        <w:rPr>
          <w:rFonts w:ascii="Century Gothic" w:hAnsi="Century Gothic" w:eastAsia="Calibri" w:cs="Arial"/>
          <w:color w:val="000000" w:themeColor="text1"/>
          <w:lang w:val="es-MX"/>
        </w:rPr>
        <w:t>Organismos de Acción Comunal</w:t>
      </w:r>
      <w:r w:rsidRPr="00C24A08">
        <w:rPr>
          <w:rFonts w:ascii="Century Gothic" w:hAnsi="Century Gothic" w:eastAsia="Calibri" w:cs="Arial"/>
          <w:color w:val="000000" w:themeColor="text1"/>
          <w:lang w:val="es-MX"/>
        </w:rPr>
        <w:t xml:space="preserve"> promover y fortalecer en el individuo, el sentido de pertenencia frente a su comunidad, localidad, distrito o municipio a través del ejercicio de la democracia participativa, y en virtud a ello generar procesos comunitarios como la formulación, ejecución y administración, entre otros, de planes, programas y proyectos de desarrollo comunitario, por lo que se encuentran facultadas para celebrar contratos con entidades del estado, empresas públicas y privadas del orden internacional, nacional, departamental, distrital, municipal y local, hasta de menor cuantía, con el fin de impulsar planes, programas y proyectos acordes con los planes comunales y comunitarios de desarrollo territorial.</w:t>
      </w:r>
    </w:p>
    <w:p w:rsidRPr="00C24A08" w:rsidR="00296F67" w:rsidP="007122EE" w:rsidRDefault="007122EE" w14:paraId="1DD5B818" w14:textId="0F2CEAA4">
      <w:pPr>
        <w:shd w:val="clear" w:color="auto" w:fill="FFFFFF" w:themeFill="background1"/>
        <w:spacing w:after="120" w:line="276" w:lineRule="auto"/>
        <w:ind w:firstLine="708"/>
        <w:jc w:val="both"/>
        <w:rPr>
          <w:rFonts w:ascii="Century Gothic" w:hAnsi="Century Gothic" w:eastAsia="Calibri" w:cs="Arial"/>
          <w:bCs/>
          <w:color w:val="000000" w:themeColor="text1"/>
          <w:lang w:val="es-MX"/>
        </w:rPr>
      </w:pPr>
      <w:r w:rsidRPr="00C24A08">
        <w:rPr>
          <w:rFonts w:ascii="Century Gothic" w:hAnsi="Century Gothic" w:eastAsia="Calibri" w:cs="Arial"/>
          <w:bCs/>
          <w:color w:val="000000" w:themeColor="text1"/>
          <w:lang w:val="es-MX"/>
        </w:rPr>
        <w:t>D</w:t>
      </w:r>
      <w:r w:rsidRPr="00C24A08" w:rsidR="00296F67">
        <w:rPr>
          <w:rFonts w:ascii="Century Gothic" w:hAnsi="Century Gothic" w:eastAsia="Calibri" w:cs="Arial"/>
          <w:bCs/>
          <w:color w:val="000000" w:themeColor="text1"/>
          <w:lang w:val="es-MX"/>
        </w:rPr>
        <w:t>e igual forma, la Corte Constitucional en sentencia C-106 de 2016 señaló que la Junta de Acción Comunal constituye una gran oportunidad, para que sus miembros no solo puedan colaborar en la promoción del desarrollo económico y en la realización de pequeñas y medianas obras públicas, sino que además es una oportunidad para desarrollar habilidades administrativas y de gestión en su comunidad</w:t>
      </w:r>
      <w:r w:rsidRPr="00C24A08" w:rsidR="00296F67">
        <w:rPr>
          <w:rFonts w:ascii="Century Gothic" w:hAnsi="Century Gothic" w:cs="Arial"/>
          <w:bCs/>
          <w:color w:val="000000" w:themeColor="text1"/>
          <w:vertAlign w:val="superscript"/>
          <w:lang w:val="es-MX" w:eastAsia="es-MX"/>
        </w:rPr>
        <w:footnoteReference w:id="5"/>
      </w:r>
      <w:r w:rsidRPr="00C24A08" w:rsidR="00296F67">
        <w:rPr>
          <w:rFonts w:ascii="Century Gothic" w:hAnsi="Century Gothic" w:eastAsia="Calibri" w:cs="Arial"/>
          <w:bCs/>
          <w:color w:val="000000" w:themeColor="text1"/>
          <w:lang w:val="es-MX"/>
        </w:rPr>
        <w:t>.</w:t>
      </w:r>
    </w:p>
    <w:p w:rsidRPr="00C24A08" w:rsidR="00296F67" w:rsidP="00296F67" w:rsidRDefault="00296F67" w14:paraId="2B04332F" w14:textId="77777777">
      <w:pPr>
        <w:shd w:val="clear" w:color="auto" w:fill="FFFFFF" w:themeFill="background1"/>
        <w:spacing w:after="120" w:line="276" w:lineRule="auto"/>
        <w:ind w:firstLine="708"/>
        <w:jc w:val="both"/>
        <w:rPr>
          <w:rFonts w:ascii="Century Gothic" w:hAnsi="Century Gothic" w:eastAsia="Calibri" w:cs="Arial"/>
          <w:color w:val="000000" w:themeColor="text1"/>
          <w:lang w:val="es-ES"/>
        </w:rPr>
      </w:pPr>
      <w:r w:rsidRPr="00C24A08">
        <w:rPr>
          <w:rFonts w:ascii="Century Gothic" w:hAnsi="Century Gothic" w:eastAsia="Calibri" w:cs="Arial"/>
          <w:color w:val="000000" w:themeColor="text1"/>
          <w:lang w:val="es-ES"/>
        </w:rPr>
        <w:t>Ahora bien, 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A su vez, el referido mandato constitucional faculta al Gobierno Nacional para reglamentar la materia.</w:t>
      </w:r>
    </w:p>
    <w:p w:rsidRPr="00C24A08" w:rsidR="00296F67" w:rsidP="00296F67" w:rsidRDefault="00296F67" w14:paraId="5B2C49F8" w14:textId="6954E8A6">
      <w:pPr>
        <w:shd w:val="clear" w:color="auto" w:fill="FFFFFF" w:themeFill="background1"/>
        <w:spacing w:after="120" w:line="276" w:lineRule="auto"/>
        <w:ind w:firstLine="708"/>
        <w:jc w:val="both"/>
        <w:rPr>
          <w:rFonts w:ascii="Century Gothic" w:hAnsi="Century Gothic" w:eastAsia="Calibri" w:cs="Arial"/>
          <w:color w:val="000000" w:themeColor="text1"/>
          <w:lang w:val="es-ES"/>
        </w:rPr>
      </w:pPr>
      <w:r w:rsidRPr="00C24A08">
        <w:rPr>
          <w:rFonts w:ascii="Century Gothic" w:hAnsi="Century Gothic" w:eastAsia="Calibri" w:cs="Arial"/>
          <w:color w:val="000000" w:themeColor="text1"/>
          <w:lang w:val="es-ES"/>
        </w:rPr>
        <w:t>En concordancia con lo establecido en el artículo 355, la Ley 136 de 1994 introdujo un tipo especial de contratación cuyo objetivo consiste en la celebración de convenios solidarios. En congruencia con la conceptualización del acápite precedente, de conformidad con lo dispuesto en el parágrafo tercero del artículo 3 del referido cuerpo normativo, los convenios solidarios se definen como “</w:t>
      </w:r>
      <w:r w:rsidRPr="00C24A08">
        <w:rPr>
          <w:rFonts w:ascii="Century Gothic" w:hAnsi="Century Gothic" w:eastAsia="Calibri" w:cs="Arial"/>
          <w:i/>
          <w:iCs/>
          <w:color w:val="000000" w:themeColor="text1"/>
          <w:lang w:val="es-ES"/>
        </w:rPr>
        <w:t>la complementación de esfuerzos institucionales, comunitarios, económicos y sociales para la construcción de obras y la satisfacción de necesidades y aspiraciones de las comunidades”.</w:t>
      </w:r>
      <w:r w:rsidRPr="00C24A08">
        <w:rPr>
          <w:rFonts w:ascii="Century Gothic" w:hAnsi="Century Gothic" w:eastAsia="Calibri" w:cs="Arial"/>
          <w:color w:val="000000" w:themeColor="text1"/>
          <w:lang w:val="es-ES"/>
        </w:rPr>
        <w:t xml:space="preserve"> En este sentido, reiterando la tesis expuesta por esta Agencia en el Concepto C-140 del 31 de abril de 2020, el artículo tercero de la Ley 136 de 1994, modificado por la Ley 1551 de 2012, determin</w:t>
      </w:r>
      <w:r w:rsidRPr="00C24A08" w:rsidR="006E77C4">
        <w:rPr>
          <w:rFonts w:ascii="Century Gothic" w:hAnsi="Century Gothic" w:eastAsia="Calibri" w:cs="Arial"/>
          <w:color w:val="000000" w:themeColor="text1"/>
          <w:lang w:val="es-ES"/>
        </w:rPr>
        <w:t>ó</w:t>
      </w:r>
      <w:r w:rsidRPr="00C24A08">
        <w:rPr>
          <w:rFonts w:ascii="Century Gothic" w:hAnsi="Century Gothic" w:eastAsia="Calibri" w:cs="Arial"/>
          <w:color w:val="000000" w:themeColor="text1"/>
          <w:lang w:val="es-ES"/>
        </w:rPr>
        <w:t xml:space="preserve"> tres (3) alternativas mediante las cuales las entidades territoriales pueden celebrar convenios solidarios con </w:t>
      </w:r>
      <w:r w:rsidRPr="00C24A08" w:rsidR="00A05F1F">
        <w:rPr>
          <w:rFonts w:ascii="Century Gothic" w:hAnsi="Century Gothic" w:eastAsia="Calibri" w:cs="Arial"/>
          <w:color w:val="000000" w:themeColor="text1"/>
          <w:lang w:val="es-ES"/>
        </w:rPr>
        <w:t>Organismos de Acción Comunal</w:t>
      </w:r>
      <w:r w:rsidRPr="00C24A08">
        <w:rPr>
          <w:rFonts w:ascii="Century Gothic" w:hAnsi="Century Gothic" w:eastAsia="Calibri" w:cs="Arial"/>
          <w:color w:val="000000" w:themeColor="text1"/>
          <w:lang w:val="es-ES"/>
        </w:rPr>
        <w:t>, las cuales se enlistan a continuación:</w:t>
      </w:r>
    </w:p>
    <w:p w:rsidRPr="00C24A08" w:rsidR="00296F67" w:rsidP="00296F67" w:rsidRDefault="00296F67" w14:paraId="4D1E9C44" w14:textId="5B69C2BA">
      <w:pPr>
        <w:shd w:val="clear" w:color="auto" w:fill="FFFFFF" w:themeFill="background1"/>
        <w:spacing w:after="120" w:line="276" w:lineRule="auto"/>
        <w:ind w:firstLine="708"/>
        <w:jc w:val="both"/>
        <w:rPr>
          <w:rFonts w:ascii="Century Gothic" w:hAnsi="Century Gothic" w:eastAsia="Calibri" w:cs="Arial"/>
          <w:color w:val="000000" w:themeColor="text1"/>
          <w:lang w:val="es-ES"/>
        </w:rPr>
      </w:pPr>
      <w:r w:rsidRPr="00C24A08">
        <w:rPr>
          <w:rFonts w:ascii="Century Gothic" w:hAnsi="Century Gothic" w:eastAsia="Calibri" w:cs="Arial"/>
          <w:color w:val="000000" w:themeColor="text1"/>
          <w:lang w:val="es-ES"/>
        </w:rPr>
        <w:t xml:space="preserve">i) En primer lugar, las entidades territoriales del orden municipal o distrital pueden celebrar convenios solidarios con </w:t>
      </w:r>
      <w:r w:rsidRPr="00C24A08" w:rsidR="00A05F1F">
        <w:rPr>
          <w:rFonts w:ascii="Century Gothic" w:hAnsi="Century Gothic" w:eastAsia="Calibri" w:cs="Arial"/>
          <w:color w:val="000000" w:themeColor="text1"/>
          <w:lang w:val="es-ES"/>
        </w:rPr>
        <w:t>Organismos de Acción Comunal</w:t>
      </w:r>
      <w:r w:rsidRPr="00C24A08">
        <w:rPr>
          <w:rFonts w:ascii="Century Gothic" w:hAnsi="Century Gothic" w:eastAsia="Calibri" w:cs="Arial"/>
          <w:i/>
          <w:iCs/>
          <w:color w:val="000000" w:themeColor="text1"/>
          <w:lang w:val="es-ES"/>
        </w:rPr>
        <w:t xml:space="preserve"> “[…] para el desarrollo conjunto de programas y actividades establecidas por la Ley a los municipios y distritos, acorde con sus planes y desarrollos</w:t>
      </w:r>
      <w:r w:rsidRPr="00C24A08">
        <w:rPr>
          <w:rFonts w:ascii="Century Gothic" w:hAnsi="Century Gothic" w:eastAsia="Calibri" w:cs="Arial"/>
          <w:color w:val="000000" w:themeColor="text1"/>
          <w:lang w:val="es-ES"/>
        </w:rPr>
        <w:t>”</w:t>
      </w:r>
      <w:r w:rsidRPr="00C24A08">
        <w:rPr>
          <w:rFonts w:ascii="Century Gothic" w:hAnsi="Century Gothic" w:eastAsia="Calibri" w:cs="Arial"/>
          <w:color w:val="000000" w:themeColor="text1"/>
          <w:vertAlign w:val="superscript"/>
        </w:rPr>
        <w:footnoteReference w:id="6"/>
      </w:r>
      <w:r w:rsidRPr="00C24A08">
        <w:rPr>
          <w:rFonts w:ascii="Century Gothic" w:hAnsi="Century Gothic" w:eastAsia="Calibri" w:cs="Arial"/>
          <w:color w:val="000000" w:themeColor="text1"/>
          <w:lang w:val="es-ES"/>
        </w:rPr>
        <w:t>.</w:t>
      </w:r>
    </w:p>
    <w:p w:rsidRPr="00C24A08" w:rsidR="00296F67" w:rsidP="00296F67" w:rsidRDefault="00296F67" w14:paraId="2A5DA922" w14:textId="77777777">
      <w:pPr>
        <w:shd w:val="clear" w:color="auto" w:fill="FFFFFF" w:themeFill="background1"/>
        <w:spacing w:after="120" w:line="276" w:lineRule="auto"/>
        <w:ind w:firstLine="708"/>
        <w:jc w:val="both"/>
        <w:rPr>
          <w:rFonts w:ascii="Century Gothic" w:hAnsi="Century Gothic" w:eastAsia="Calibri" w:cs="Arial"/>
          <w:color w:val="000000" w:themeColor="text1"/>
          <w:lang w:val="es-ES"/>
        </w:rPr>
      </w:pPr>
      <w:proofErr w:type="spellStart"/>
      <w:r w:rsidRPr="00C24A08">
        <w:rPr>
          <w:rFonts w:ascii="Century Gothic" w:hAnsi="Century Gothic" w:eastAsia="Calibri" w:cs="Arial"/>
          <w:color w:val="000000" w:themeColor="text1"/>
          <w:lang w:val="es-ES"/>
        </w:rPr>
        <w:t>ii</w:t>
      </w:r>
      <w:proofErr w:type="spellEnd"/>
      <w:r w:rsidRPr="00C24A08">
        <w:rPr>
          <w:rFonts w:ascii="Century Gothic" w:hAnsi="Century Gothic" w:eastAsia="Calibri" w:cs="Arial"/>
          <w:color w:val="000000" w:themeColor="text1"/>
          <w:lang w:val="es-ES"/>
        </w:rPr>
        <w:t xml:space="preserve">)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rsidRPr="00C24A08" w:rsidR="00296F67" w:rsidP="00296F67" w:rsidRDefault="00296F67" w14:paraId="662E3B51" w14:textId="1D6A4BC4">
      <w:pPr>
        <w:shd w:val="clear" w:color="auto" w:fill="FFFFFF" w:themeFill="background1"/>
        <w:spacing w:after="120" w:line="276" w:lineRule="auto"/>
        <w:ind w:firstLine="709"/>
        <w:jc w:val="both"/>
        <w:rPr>
          <w:rFonts w:ascii="Century Gothic" w:hAnsi="Century Gothic" w:eastAsia="Calibri" w:cs="Arial"/>
          <w:color w:val="000000" w:themeColor="text1"/>
          <w:lang w:val="es-ES"/>
        </w:rPr>
      </w:pPr>
      <w:proofErr w:type="spellStart"/>
      <w:r w:rsidRPr="00C24A08">
        <w:rPr>
          <w:rFonts w:ascii="Century Gothic" w:hAnsi="Century Gothic" w:eastAsia="Calibri" w:cs="Arial"/>
          <w:color w:val="000000" w:themeColor="text1"/>
          <w:lang w:val="es-ES"/>
        </w:rPr>
        <w:t>iii</w:t>
      </w:r>
      <w:proofErr w:type="spellEnd"/>
      <w:r w:rsidRPr="00C24A08">
        <w:rPr>
          <w:rFonts w:ascii="Century Gothic" w:hAnsi="Century Gothic" w:eastAsia="Calibri" w:cs="Arial"/>
          <w:color w:val="000000" w:themeColor="text1"/>
          <w:lang w:val="es-ES"/>
        </w:rPr>
        <w:t xml:space="preserve">) En tercer lugar, la Ley 1955 de 2019 introdujo un quinto parágrafo al artículo tercero, mediante el cual se permite la celebración de convenios solidarios entre entidades del orden nacional y los </w:t>
      </w:r>
      <w:r w:rsidRPr="00C24A08" w:rsidR="00A05F1F">
        <w:rPr>
          <w:rFonts w:ascii="Century Gothic" w:hAnsi="Century Gothic" w:eastAsia="Calibri" w:cs="Arial"/>
          <w:color w:val="000000" w:themeColor="text1"/>
          <w:lang w:val="es-ES"/>
        </w:rPr>
        <w:t>Organismos de Acción Comunal</w:t>
      </w:r>
      <w:r w:rsidRPr="00C24A08">
        <w:rPr>
          <w:rFonts w:ascii="Century Gothic" w:hAnsi="Century Gothic" w:eastAsia="Calibri" w:cs="Arial"/>
          <w:color w:val="000000" w:themeColor="text1"/>
          <w:lang w:val="es-ES"/>
        </w:rPr>
        <w:t xml:space="preserve">, en aras de ejecutar proyectos previstos en el Plan Nacional de Desarrollo. </w:t>
      </w:r>
    </w:p>
    <w:p w:rsidRPr="00C24A08" w:rsidR="00296F67" w:rsidP="00296F67" w:rsidRDefault="00296F67" w14:paraId="16A67496" w14:textId="218B3F47">
      <w:pPr>
        <w:shd w:val="clear" w:color="auto" w:fill="FFFFFF" w:themeFill="background1"/>
        <w:spacing w:after="120" w:line="276" w:lineRule="auto"/>
        <w:ind w:firstLine="709"/>
        <w:jc w:val="both"/>
        <w:rPr>
          <w:rFonts w:ascii="Century Gothic" w:hAnsi="Century Gothic" w:eastAsia="Calibri" w:cs="Arial"/>
          <w:color w:val="000000" w:themeColor="text1"/>
          <w:lang w:val="es-ES"/>
        </w:rPr>
      </w:pPr>
      <w:r w:rsidRPr="00C24A08">
        <w:rPr>
          <w:rFonts w:ascii="Century Gothic" w:hAnsi="Century Gothic" w:eastAsia="Calibri" w:cs="Arial"/>
          <w:color w:val="000000" w:themeColor="text1"/>
          <w:lang w:val="es-ES"/>
        </w:rPr>
        <w:t xml:space="preserve">Existen características </w:t>
      </w:r>
      <w:r w:rsidRPr="00C24A08" w:rsidR="00232C72">
        <w:rPr>
          <w:rFonts w:ascii="Century Gothic" w:hAnsi="Century Gothic" w:cs="Arial"/>
          <w:color w:val="000000" w:themeColor="text1"/>
          <w:lang w:val="es-ES"/>
        </w:rPr>
        <w:t>generales aplicables a la celebración de cualquier convenio solidario</w:t>
      </w:r>
      <w:r w:rsidRPr="00C24A08" w:rsidR="00F52DF4">
        <w:rPr>
          <w:rFonts w:ascii="Century Gothic" w:hAnsi="Century Gothic" w:eastAsia="Calibri" w:cs="Arial"/>
          <w:color w:val="000000" w:themeColor="text1"/>
          <w:lang w:val="es-ES"/>
        </w:rPr>
        <w:t xml:space="preserve"> </w:t>
      </w:r>
      <w:r w:rsidRPr="00C24A08">
        <w:rPr>
          <w:rFonts w:ascii="Century Gothic" w:hAnsi="Century Gothic" w:eastAsia="Calibri" w:cs="Arial"/>
          <w:color w:val="000000" w:themeColor="text1"/>
          <w:lang w:val="es-ES"/>
        </w:rPr>
        <w:t xml:space="preserve">que se encuentran presentes en los tres (3) regímenes de contratación </w:t>
      </w:r>
      <w:r w:rsidRPr="00C24A08" w:rsidR="00C4440E">
        <w:rPr>
          <w:rFonts w:ascii="Century Gothic" w:hAnsi="Century Gothic" w:eastAsia="Calibri" w:cs="Arial"/>
          <w:color w:val="000000" w:themeColor="text1"/>
          <w:lang w:val="es-ES"/>
        </w:rPr>
        <w:t xml:space="preserve">expuestos </w:t>
      </w:r>
      <w:r w:rsidRPr="00C24A08">
        <w:rPr>
          <w:rFonts w:ascii="Century Gothic" w:hAnsi="Century Gothic" w:eastAsia="Calibri" w:cs="Arial"/>
          <w:color w:val="000000" w:themeColor="text1"/>
          <w:lang w:val="es-ES"/>
        </w:rPr>
        <w:t xml:space="preserve">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w:t>
      </w:r>
      <w:r w:rsidRPr="00C24A08" w:rsidR="00A05F1F">
        <w:rPr>
          <w:rFonts w:ascii="Century Gothic" w:hAnsi="Century Gothic" w:eastAsia="Calibri" w:cs="Arial"/>
          <w:color w:val="000000" w:themeColor="text1"/>
          <w:lang w:val="es-ES"/>
        </w:rPr>
        <w:t>Organismos de Acción Comunal</w:t>
      </w:r>
      <w:r w:rsidRPr="00C24A08">
        <w:rPr>
          <w:rFonts w:ascii="Century Gothic" w:hAnsi="Century Gothic" w:eastAsia="Calibri" w:cs="Arial"/>
          <w:color w:val="000000" w:themeColor="text1"/>
          <w:lang w:val="es-ES"/>
        </w:rPr>
        <w:t xml:space="preserve"> deben</w:t>
      </w:r>
      <w:r w:rsidRPr="00C24A08" w:rsidR="00F52DF4">
        <w:rPr>
          <w:rFonts w:ascii="Century Gothic" w:hAnsi="Century Gothic" w:eastAsia="Calibri" w:cs="Arial"/>
          <w:color w:val="000000" w:themeColor="text1"/>
          <w:lang w:val="es-ES"/>
        </w:rPr>
        <w:t>,</w:t>
      </w:r>
      <w:r w:rsidRPr="00C24A08">
        <w:rPr>
          <w:rFonts w:ascii="Century Gothic" w:hAnsi="Century Gothic" w:eastAsia="Calibri" w:cs="Arial"/>
          <w:color w:val="000000" w:themeColor="text1"/>
          <w:lang w:val="es-ES"/>
        </w:rPr>
        <w:t xml:space="preserve"> </w:t>
      </w:r>
      <w:r w:rsidRPr="00C24A08" w:rsidR="00F52DF4">
        <w:rPr>
          <w:rFonts w:ascii="Century Gothic" w:hAnsi="Century Gothic" w:eastAsia="Calibri" w:cs="Arial"/>
          <w:color w:val="000000" w:themeColor="text1"/>
          <w:lang w:val="es-ES"/>
        </w:rPr>
        <w:t xml:space="preserve">en primer lugar, </w:t>
      </w:r>
      <w:r w:rsidRPr="00C24A08">
        <w:rPr>
          <w:rFonts w:ascii="Century Gothic" w:hAnsi="Century Gothic" w:eastAsia="Calibri" w:cs="Arial"/>
          <w:color w:val="000000" w:themeColor="text1"/>
          <w:lang w:val="es-ES"/>
        </w:rPr>
        <w:t xml:space="preserve">satisfacer las necesidades y aspiraciones de las comunidades, </w:t>
      </w:r>
      <w:r w:rsidRPr="00C24A08" w:rsidR="00F52DF4">
        <w:rPr>
          <w:rFonts w:ascii="Century Gothic" w:hAnsi="Century Gothic" w:eastAsia="Calibri" w:cs="Arial"/>
          <w:color w:val="000000" w:themeColor="text1"/>
          <w:lang w:val="es-ES"/>
        </w:rPr>
        <w:t xml:space="preserve">en segundo lugar, deben </w:t>
      </w:r>
      <w:r w:rsidRPr="00C24A08">
        <w:rPr>
          <w:rFonts w:ascii="Century Gothic" w:hAnsi="Century Gothic" w:eastAsia="Calibri" w:cs="Arial"/>
          <w:color w:val="000000" w:themeColor="text1"/>
          <w:lang w:val="es-ES"/>
        </w:rPr>
        <w:t xml:space="preserve">estar encaminados a la satisfacción del interés público, y </w:t>
      </w:r>
      <w:r w:rsidRPr="00C24A08" w:rsidR="00F52DF4">
        <w:rPr>
          <w:rFonts w:ascii="Century Gothic" w:hAnsi="Century Gothic" w:eastAsia="Calibri" w:cs="Arial"/>
          <w:color w:val="000000" w:themeColor="text1"/>
          <w:lang w:val="es-ES"/>
        </w:rPr>
        <w:t xml:space="preserve">finalmente, </w:t>
      </w:r>
      <w:r w:rsidRPr="00C24A08">
        <w:rPr>
          <w:rFonts w:ascii="Century Gothic" w:hAnsi="Century Gothic" w:eastAsia="Calibri" w:cs="Arial"/>
          <w:color w:val="000000" w:themeColor="text1"/>
          <w:lang w:val="es-ES"/>
        </w:rPr>
        <w:t xml:space="preserve">ser concordantes con el Plan Nacional o los planes seccionales de desarrollo, según el caso. </w:t>
      </w:r>
    </w:p>
    <w:p w:rsidRPr="00C24A08" w:rsidR="005465E4" w:rsidP="00296F67" w:rsidRDefault="00296F67" w14:paraId="496B6FE5" w14:textId="77777777">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 xml:space="preserve">De esta manera, habiendo abordado </w:t>
      </w:r>
      <w:r w:rsidRPr="00C24A08" w:rsidR="00126098">
        <w:rPr>
          <w:rFonts w:ascii="Century Gothic" w:hAnsi="Century Gothic" w:cs="Arial"/>
          <w:color w:val="000000" w:themeColor="text1"/>
          <w:lang w:val="es-ES"/>
        </w:rPr>
        <w:t>dichas</w:t>
      </w:r>
      <w:r w:rsidRPr="00C24A08">
        <w:rPr>
          <w:rFonts w:ascii="Century Gothic" w:hAnsi="Century Gothic" w:cs="Arial"/>
          <w:color w:val="000000" w:themeColor="text1"/>
          <w:lang w:val="es-ES"/>
        </w:rPr>
        <w:t xml:space="preserve"> características generales de cualquier convenio solidario, debe destacarse que</w:t>
      </w:r>
      <w:r w:rsidRPr="00C24A08" w:rsidR="00B233EA">
        <w:rPr>
          <w:rFonts w:ascii="Century Gothic" w:hAnsi="Century Gothic" w:cs="Arial"/>
          <w:color w:val="000000" w:themeColor="text1"/>
          <w:lang w:val="es-ES"/>
        </w:rPr>
        <w:t xml:space="preserve">, anterior a la expedición de la Ley 2166 de 2021, </w:t>
      </w:r>
      <w:r w:rsidRPr="00C24A08" w:rsidR="00D07F97">
        <w:rPr>
          <w:rFonts w:ascii="Century Gothic" w:hAnsi="Century Gothic" w:cs="Arial"/>
          <w:color w:val="000000" w:themeColor="text1"/>
          <w:lang w:val="es-ES"/>
        </w:rPr>
        <w:t>s</w:t>
      </w:r>
      <w:r w:rsidRPr="00C24A08" w:rsidR="00DF5F0A">
        <w:rPr>
          <w:rFonts w:ascii="Century Gothic" w:hAnsi="Century Gothic" w:cs="Arial"/>
          <w:color w:val="000000" w:themeColor="text1"/>
          <w:lang w:val="es-ES"/>
        </w:rPr>
        <w:t xml:space="preserve">e presentan los siguientes </w:t>
      </w:r>
      <w:r w:rsidRPr="00C24A08" w:rsidR="003170F8">
        <w:rPr>
          <w:rFonts w:ascii="Century Gothic" w:hAnsi="Century Gothic" w:cs="Arial"/>
          <w:color w:val="000000" w:themeColor="text1"/>
          <w:lang w:val="es-ES"/>
        </w:rPr>
        <w:t>regímenes</w:t>
      </w:r>
      <w:r w:rsidRPr="00C24A08" w:rsidR="00DF5F0A">
        <w:rPr>
          <w:rFonts w:ascii="Century Gothic" w:hAnsi="Century Gothic" w:cs="Arial"/>
          <w:color w:val="000000" w:themeColor="text1"/>
          <w:lang w:val="es-ES"/>
        </w:rPr>
        <w:t xml:space="preserve"> jurídicos para la celebración de convenios solidarios, los cuales se mantienen en la actualidad, pero con algunas modificaciones</w:t>
      </w:r>
      <w:r w:rsidRPr="00C24A08" w:rsidR="003170F8">
        <w:rPr>
          <w:rFonts w:ascii="Century Gothic" w:hAnsi="Century Gothic" w:cs="Arial"/>
          <w:color w:val="000000" w:themeColor="text1"/>
          <w:lang w:val="es-ES"/>
        </w:rPr>
        <w:t xml:space="preserve"> que se abordarán más adelante</w:t>
      </w:r>
      <w:r w:rsidRPr="00C24A08" w:rsidR="005465E4">
        <w:rPr>
          <w:rFonts w:ascii="Century Gothic" w:hAnsi="Century Gothic" w:cs="Arial"/>
          <w:color w:val="000000" w:themeColor="text1"/>
          <w:lang w:val="es-ES"/>
        </w:rPr>
        <w:t xml:space="preserve">. </w:t>
      </w:r>
    </w:p>
    <w:p w:rsidRPr="00C24A08" w:rsidR="00296F67" w:rsidP="00296F67" w:rsidRDefault="005465E4" w14:paraId="0AD35006" w14:textId="3D9A7969">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E</w:t>
      </w:r>
      <w:r w:rsidRPr="00C24A08" w:rsidR="00296F67">
        <w:rPr>
          <w:rFonts w:ascii="Century Gothic" w:hAnsi="Century Gothic" w:cs="Arial"/>
          <w:color w:val="000000" w:themeColor="text1"/>
          <w:lang w:val="es-ES"/>
        </w:rPr>
        <w:t xml:space="preserve">l </w:t>
      </w:r>
      <w:bookmarkStart w:name="_Hlk69293147" w:id="4"/>
      <w:r w:rsidRPr="00C24A08" w:rsidR="00296F67">
        <w:rPr>
          <w:rFonts w:ascii="Century Gothic" w:hAnsi="Century Gothic" w:cs="Arial"/>
          <w:i/>
          <w:iCs/>
          <w:color w:val="000000" w:themeColor="text1"/>
          <w:lang w:val="es-ES"/>
        </w:rPr>
        <w:t>primer régimen</w:t>
      </w:r>
      <w:r w:rsidRPr="00C24A08" w:rsidR="00126098">
        <w:rPr>
          <w:rFonts w:ascii="Century Gothic" w:hAnsi="Century Gothic" w:cs="Arial"/>
          <w:i/>
          <w:iCs/>
          <w:color w:val="000000" w:themeColor="text1"/>
          <w:lang w:val="es-ES"/>
        </w:rPr>
        <w:t xml:space="preserve"> jurídico</w:t>
      </w:r>
      <w:r w:rsidRPr="00C24A08" w:rsidR="00296F67">
        <w:rPr>
          <w:rFonts w:ascii="Century Gothic" w:hAnsi="Century Gothic" w:cs="Arial"/>
          <w:color w:val="000000" w:themeColor="text1"/>
          <w:lang w:val="es-ES"/>
        </w:rPr>
        <w:t xml:space="preserve"> encuentra su fundamento en el parágrafo cuarto del artículo 3 de la Ley 136 de 1994. Como se indicó, este determina una </w:t>
      </w:r>
      <w:proofErr w:type="spellStart"/>
      <w:r w:rsidRPr="00C24A08" w:rsidR="00296F67">
        <w:rPr>
          <w:rFonts w:ascii="Century Gothic" w:hAnsi="Century Gothic" w:cs="Arial"/>
          <w:color w:val="000000" w:themeColor="text1"/>
          <w:lang w:val="es-ES"/>
        </w:rPr>
        <w:t>sub-regla</w:t>
      </w:r>
      <w:proofErr w:type="spellEnd"/>
      <w:r w:rsidRPr="00C24A08" w:rsidR="00296F67">
        <w:rPr>
          <w:rFonts w:ascii="Century Gothic" w:hAnsi="Century Gothic" w:cs="Arial"/>
          <w:color w:val="000000" w:themeColor="text1"/>
          <w:lang w:val="es-ES"/>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w:t>
      </w:r>
      <w:r w:rsidRPr="00C24A08" w:rsidR="00917D4E">
        <w:rPr>
          <w:rFonts w:ascii="Century Gothic" w:hAnsi="Century Gothic" w:cs="Arial"/>
          <w:color w:val="000000" w:themeColor="text1"/>
          <w:lang w:val="es-ES"/>
        </w:rPr>
        <w:t>J</w:t>
      </w:r>
      <w:r w:rsidRPr="00C24A08" w:rsidR="00296F67">
        <w:rPr>
          <w:rFonts w:ascii="Century Gothic" w:hAnsi="Century Gothic" w:cs="Arial"/>
          <w:color w:val="000000" w:themeColor="text1"/>
          <w:lang w:val="es-ES"/>
        </w:rPr>
        <w:t xml:space="preserve">untas de </w:t>
      </w:r>
      <w:r w:rsidRPr="00C24A08" w:rsidR="00917D4E">
        <w:rPr>
          <w:rFonts w:ascii="Century Gothic" w:hAnsi="Century Gothic" w:cs="Arial"/>
          <w:color w:val="000000" w:themeColor="text1"/>
          <w:lang w:val="es-ES"/>
        </w:rPr>
        <w:t>A</w:t>
      </w:r>
      <w:r w:rsidRPr="00C24A08" w:rsidR="00296F67">
        <w:rPr>
          <w:rFonts w:ascii="Century Gothic" w:hAnsi="Century Gothic" w:cs="Arial"/>
          <w:color w:val="000000" w:themeColor="text1"/>
          <w:lang w:val="es-ES"/>
        </w:rPr>
        <w:t xml:space="preserve">cción </w:t>
      </w:r>
      <w:r w:rsidRPr="00C24A08" w:rsidR="00917D4E">
        <w:rPr>
          <w:rFonts w:ascii="Century Gothic" w:hAnsi="Century Gothic" w:cs="Arial"/>
          <w:color w:val="000000" w:themeColor="text1"/>
          <w:lang w:val="es-ES"/>
        </w:rPr>
        <w:t>C</w:t>
      </w:r>
      <w:r w:rsidRPr="00C24A08" w:rsidR="00296F67">
        <w:rPr>
          <w:rFonts w:ascii="Century Gothic" w:hAnsi="Century Gothic" w:cs="Arial"/>
          <w:color w:val="000000" w:themeColor="text1"/>
          <w:lang w:val="es-ES"/>
        </w:rPr>
        <w:t xml:space="preserve">omunal; </w:t>
      </w:r>
      <w:proofErr w:type="spellStart"/>
      <w:r w:rsidRPr="00C24A08" w:rsidR="00296F67">
        <w:rPr>
          <w:rFonts w:ascii="Century Gothic" w:hAnsi="Century Gothic" w:cs="Arial"/>
          <w:color w:val="000000" w:themeColor="text1"/>
          <w:lang w:val="es-ES"/>
        </w:rPr>
        <w:t>ii</w:t>
      </w:r>
      <w:proofErr w:type="spellEnd"/>
      <w:r w:rsidRPr="00C24A08" w:rsidR="00296F67">
        <w:rPr>
          <w:rFonts w:ascii="Century Gothic" w:hAnsi="Century Gothic" w:cs="Arial"/>
          <w:color w:val="000000" w:themeColor="text1"/>
          <w:lang w:val="es-ES"/>
        </w:rPr>
        <w:t xml:space="preserve">) que el objeto contractual consista en la ejecución de obras; y, </w:t>
      </w:r>
      <w:proofErr w:type="spellStart"/>
      <w:r w:rsidRPr="00C24A08" w:rsidR="00296F67">
        <w:rPr>
          <w:rFonts w:ascii="Century Gothic" w:hAnsi="Century Gothic" w:cs="Arial"/>
          <w:color w:val="000000" w:themeColor="text1"/>
          <w:lang w:val="es-ES"/>
        </w:rPr>
        <w:t>iii</w:t>
      </w:r>
      <w:proofErr w:type="spellEnd"/>
      <w:r w:rsidRPr="00C24A08" w:rsidR="00296F67">
        <w:rPr>
          <w:rFonts w:ascii="Century Gothic" w:hAnsi="Century Gothic" w:cs="Arial"/>
          <w:color w:val="000000" w:themeColor="text1"/>
          <w:lang w:val="es-ES"/>
        </w:rPr>
        <w:t xml:space="preserve">) que el contrato no supere la mínima cuantía. De concurrir las anteriores circunstancias, la norma autoriza la contratación directa entre la entidad territorial y la respectiva </w:t>
      </w:r>
      <w:r w:rsidRPr="00C24A08" w:rsidR="004132B2">
        <w:rPr>
          <w:rFonts w:ascii="Century Gothic" w:hAnsi="Century Gothic" w:cs="Arial"/>
          <w:color w:val="000000" w:themeColor="text1"/>
          <w:lang w:val="es-ES"/>
        </w:rPr>
        <w:t>J</w:t>
      </w:r>
      <w:r w:rsidRPr="00C24A08" w:rsidR="00296F67">
        <w:rPr>
          <w:rFonts w:ascii="Century Gothic" w:hAnsi="Century Gothic" w:cs="Arial"/>
          <w:color w:val="000000" w:themeColor="text1"/>
          <w:lang w:val="es-ES"/>
        </w:rPr>
        <w:t xml:space="preserve">unta de </w:t>
      </w:r>
      <w:r w:rsidRPr="00C24A08" w:rsidR="004132B2">
        <w:rPr>
          <w:rFonts w:ascii="Century Gothic" w:hAnsi="Century Gothic" w:cs="Arial"/>
          <w:color w:val="000000" w:themeColor="text1"/>
          <w:lang w:val="es-ES"/>
        </w:rPr>
        <w:t>A</w:t>
      </w:r>
      <w:r w:rsidRPr="00C24A08" w:rsidR="00296F67">
        <w:rPr>
          <w:rFonts w:ascii="Century Gothic" w:hAnsi="Century Gothic" w:cs="Arial"/>
          <w:color w:val="000000" w:themeColor="text1"/>
          <w:lang w:val="es-ES"/>
        </w:rPr>
        <w:t xml:space="preserve">cción </w:t>
      </w:r>
      <w:r w:rsidRPr="00C24A08" w:rsidR="004132B2">
        <w:rPr>
          <w:rFonts w:ascii="Century Gothic" w:hAnsi="Century Gothic" w:cs="Arial"/>
          <w:color w:val="000000" w:themeColor="text1"/>
          <w:lang w:val="es-ES"/>
        </w:rPr>
        <w:t>C</w:t>
      </w:r>
      <w:r w:rsidRPr="00C24A08" w:rsidR="00296F67">
        <w:rPr>
          <w:rFonts w:ascii="Century Gothic" w:hAnsi="Century Gothic" w:cs="Arial"/>
          <w:color w:val="000000" w:themeColor="text1"/>
          <w:lang w:val="es-ES"/>
        </w:rPr>
        <w:t>omunal previamente legalizada y reconocida ante los organismos competentes, procedimiento contractual que se encuentra desarrollado en la Ley 80 de 1993 y sus normas complementarias. En todo caso, esta contratación debe tomar como personal para la ejecución de la obra a los habitantes de la comunidad</w:t>
      </w:r>
      <w:r w:rsidRPr="00C24A08" w:rsidR="004132B2">
        <w:rPr>
          <w:rFonts w:ascii="Century Gothic" w:hAnsi="Century Gothic" w:cs="Arial"/>
          <w:color w:val="000000" w:themeColor="text1"/>
          <w:lang w:val="es-ES"/>
        </w:rPr>
        <w:t xml:space="preserve">, </w:t>
      </w:r>
      <w:r w:rsidRPr="00C24A08" w:rsidR="003C3148">
        <w:rPr>
          <w:rFonts w:ascii="Century Gothic" w:hAnsi="Century Gothic" w:cs="Arial"/>
          <w:color w:val="000000" w:themeColor="text1"/>
          <w:lang w:val="es-ES"/>
        </w:rPr>
        <w:t>en virtud de lo consagrado en el artículo</w:t>
      </w:r>
      <w:r w:rsidRPr="00C24A08" w:rsidR="00824008">
        <w:rPr>
          <w:rFonts w:ascii="Century Gothic" w:hAnsi="Century Gothic" w:cs="Arial"/>
          <w:color w:val="000000" w:themeColor="text1"/>
          <w:lang w:val="es-ES"/>
        </w:rPr>
        <w:t xml:space="preserve"> 141 de la Ley 136 de 1994</w:t>
      </w:r>
      <w:r w:rsidRPr="00C24A08" w:rsidR="00296F67">
        <w:rPr>
          <w:rFonts w:ascii="Century Gothic" w:hAnsi="Century Gothic" w:cs="Arial"/>
          <w:color w:val="000000" w:themeColor="text1"/>
          <w:lang w:val="es-ES"/>
        </w:rPr>
        <w:t>.</w:t>
      </w:r>
      <w:bookmarkEnd w:id="4"/>
      <w:r w:rsidRPr="00C24A08" w:rsidR="00296F67">
        <w:rPr>
          <w:rFonts w:ascii="Century Gothic" w:hAnsi="Century Gothic" w:cs="Arial"/>
          <w:color w:val="000000" w:themeColor="text1"/>
          <w:lang w:val="es-ES"/>
        </w:rPr>
        <w:t xml:space="preserve"> Sin embargo, como se expondrá más adelante, el artículo 95 de la Ley 2166 de 2021 </w:t>
      </w:r>
      <w:r w:rsidRPr="00C24A08" w:rsidR="001B31E7">
        <w:rPr>
          <w:rFonts w:ascii="Century Gothic" w:hAnsi="Century Gothic" w:cs="Arial"/>
          <w:color w:val="000000" w:themeColor="text1"/>
          <w:lang w:val="es-ES"/>
        </w:rPr>
        <w:t>y el</w:t>
      </w:r>
      <w:r w:rsidRPr="00C24A08" w:rsidR="00E4337E">
        <w:rPr>
          <w:rFonts w:ascii="Century Gothic" w:hAnsi="Century Gothic" w:cs="Arial"/>
          <w:color w:val="000000" w:themeColor="text1"/>
          <w:lang w:val="es-ES"/>
        </w:rPr>
        <w:t xml:space="preserve"> Decreto 142 de 2023 </w:t>
      </w:r>
      <w:r w:rsidRPr="00C24A08" w:rsidR="001B31E7">
        <w:rPr>
          <w:rFonts w:ascii="Century Gothic" w:hAnsi="Century Gothic" w:cs="Arial"/>
          <w:color w:val="000000" w:themeColor="text1"/>
          <w:lang w:val="es-ES"/>
        </w:rPr>
        <w:t>modificó</w:t>
      </w:r>
      <w:r w:rsidRPr="00C24A08" w:rsidR="00296F67">
        <w:rPr>
          <w:rFonts w:ascii="Century Gothic" w:hAnsi="Century Gothic" w:cs="Arial"/>
          <w:color w:val="000000" w:themeColor="text1"/>
          <w:lang w:val="es-ES"/>
        </w:rPr>
        <w:t xml:space="preserve"> esta</w:t>
      </w:r>
      <w:r w:rsidRPr="00C24A08" w:rsidR="001B31E7">
        <w:rPr>
          <w:rFonts w:ascii="Century Gothic" w:hAnsi="Century Gothic" w:cs="Arial"/>
          <w:color w:val="000000" w:themeColor="text1"/>
          <w:lang w:val="es-ES"/>
        </w:rPr>
        <w:t>s</w:t>
      </w:r>
      <w:r w:rsidRPr="00C24A08" w:rsidR="00296F67">
        <w:rPr>
          <w:rFonts w:ascii="Century Gothic" w:hAnsi="Century Gothic" w:cs="Arial"/>
          <w:color w:val="000000" w:themeColor="text1"/>
          <w:lang w:val="es-ES"/>
        </w:rPr>
        <w:t xml:space="preserve"> subregla</w:t>
      </w:r>
      <w:r w:rsidRPr="00C24A08" w:rsidR="001B31E7">
        <w:rPr>
          <w:rFonts w:ascii="Century Gothic" w:hAnsi="Century Gothic" w:cs="Arial"/>
          <w:color w:val="000000" w:themeColor="text1"/>
          <w:lang w:val="es-ES"/>
        </w:rPr>
        <w:t>s</w:t>
      </w:r>
      <w:r w:rsidRPr="00C24A08" w:rsidR="00296F67">
        <w:rPr>
          <w:rFonts w:ascii="Century Gothic" w:hAnsi="Century Gothic" w:cs="Arial"/>
          <w:color w:val="000000" w:themeColor="text1"/>
          <w:lang w:val="es-ES"/>
        </w:rPr>
        <w:t xml:space="preserve"> en cuanto a los sujetos aplicables, condiciones y la cuantía del contrato. </w:t>
      </w:r>
    </w:p>
    <w:p w:rsidRPr="00C24A08" w:rsidR="00296F67" w:rsidP="00296F67" w:rsidRDefault="00296F67" w14:paraId="67B1AC20" w14:textId="753766FA">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 xml:space="preserve">Un </w:t>
      </w:r>
      <w:r w:rsidRPr="00C24A08">
        <w:rPr>
          <w:rFonts w:ascii="Century Gothic" w:hAnsi="Century Gothic" w:cs="Arial"/>
          <w:i/>
          <w:iCs/>
          <w:color w:val="000000" w:themeColor="text1"/>
          <w:lang w:val="es-ES"/>
        </w:rPr>
        <w:t>segundo</w:t>
      </w:r>
      <w:r w:rsidRPr="00C24A08">
        <w:rPr>
          <w:rFonts w:ascii="Century Gothic" w:hAnsi="Century Gothic" w:cs="Arial"/>
          <w:color w:val="000000" w:themeColor="text1"/>
          <w:lang w:val="es-ES"/>
        </w:rPr>
        <w:t xml:space="preserve"> </w:t>
      </w:r>
      <w:r w:rsidRPr="00C24A08">
        <w:rPr>
          <w:rFonts w:ascii="Century Gothic" w:hAnsi="Century Gothic" w:cs="Arial"/>
          <w:i/>
          <w:iCs/>
          <w:color w:val="000000" w:themeColor="text1"/>
          <w:lang w:val="es-ES"/>
        </w:rPr>
        <w:t>régimen</w:t>
      </w:r>
      <w:r w:rsidRPr="00C24A08">
        <w:rPr>
          <w:rFonts w:ascii="Century Gothic" w:hAnsi="Century Gothic" w:cs="Arial"/>
          <w:color w:val="000000" w:themeColor="text1"/>
          <w:lang w:val="es-ES"/>
        </w:rPr>
        <w:t xml:space="preserve"> o modalidad de contratación se encuentra prevista en el Decreto 092 de 2017, exceptuando lo consignado en su artículo quinto, pues versa sobre convenios de asociación. Este decreto desarroll</w:t>
      </w:r>
      <w:r w:rsidRPr="00C24A08" w:rsidR="00FA71A5">
        <w:rPr>
          <w:rFonts w:ascii="Century Gothic" w:hAnsi="Century Gothic" w:cs="Arial"/>
          <w:color w:val="000000" w:themeColor="text1"/>
          <w:lang w:val="es-ES"/>
        </w:rPr>
        <w:t>ó</w:t>
      </w:r>
      <w:r w:rsidRPr="00C24A08">
        <w:rPr>
          <w:rFonts w:ascii="Century Gothic" w:hAnsi="Century Gothic" w:cs="Arial"/>
          <w:color w:val="000000" w:themeColor="text1"/>
          <w:lang w:val="es-ES"/>
        </w:rPr>
        <w:t xml:space="preserve">, en términos generales, la contratación autorizada por el artículo 355 de la Constitución Política, la cual, en concordancia con el numeral 16 y el parágrafo tercero del artículo 3 de la Ley 136 de 1994, puede manifestarse a través de convenios solidarios.  </w:t>
      </w:r>
    </w:p>
    <w:p w:rsidRPr="00C24A08" w:rsidR="00296F67" w:rsidP="00296F67" w:rsidRDefault="00296F67" w14:paraId="26253F70" w14:textId="0EC5667F">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w:t>
      </w:r>
      <w:r w:rsidRPr="00C24A08" w:rsidR="00BD7E15">
        <w:rPr>
          <w:rFonts w:ascii="Century Gothic" w:hAnsi="Century Gothic" w:cs="Arial"/>
          <w:color w:val="000000" w:themeColor="text1"/>
          <w:lang w:val="es-ES"/>
        </w:rPr>
        <w:t xml:space="preserve">entidades sin ánimo de lucro </w:t>
      </w:r>
      <w:r w:rsidRPr="00C24A08">
        <w:rPr>
          <w:rFonts w:ascii="Century Gothic" w:hAnsi="Century Gothic" w:cs="Arial"/>
          <w:color w:val="000000" w:themeColor="text1"/>
          <w:lang w:val="es-ES"/>
        </w:rPr>
        <w:t>de reconocida idoneidad</w:t>
      </w:r>
      <w:r w:rsidRPr="00C24A08" w:rsidR="00BD7E15">
        <w:rPr>
          <w:rFonts w:ascii="Century Gothic" w:hAnsi="Century Gothic" w:cs="Arial"/>
          <w:color w:val="000000" w:themeColor="text1"/>
          <w:lang w:val="es-ES"/>
        </w:rPr>
        <w:t xml:space="preserve"> (entre los que se encuentra los Organismos de Acción Comunal)</w:t>
      </w:r>
      <w:r w:rsidRPr="00C24A08">
        <w:rPr>
          <w:rFonts w:ascii="Century Gothic" w:hAnsi="Century Gothic" w:cs="Arial"/>
          <w:color w:val="000000" w:themeColor="text1"/>
          <w:lang w:val="es-ES"/>
        </w:rPr>
        <w:t xml:space="preserve">; </w:t>
      </w:r>
      <w:proofErr w:type="spellStart"/>
      <w:r w:rsidRPr="00C24A08">
        <w:rPr>
          <w:rFonts w:ascii="Century Gothic" w:hAnsi="Century Gothic" w:cs="Arial"/>
          <w:color w:val="000000" w:themeColor="text1"/>
          <w:lang w:val="es-ES"/>
        </w:rPr>
        <w:t>ii</w:t>
      </w:r>
      <w:proofErr w:type="spellEnd"/>
      <w:r w:rsidRPr="00C24A08">
        <w:rPr>
          <w:rFonts w:ascii="Century Gothic" w:hAnsi="Century Gothic" w:cs="Arial"/>
          <w:color w:val="000000" w:themeColor="text1"/>
          <w:lang w:val="es-ES"/>
        </w:rPr>
        <w:t>) que el objeto del contrato esté dirigido al impulso de programas y actividades de interés público acordes con el plan de desarrollo aplicable</w:t>
      </w:r>
      <w:r w:rsidRPr="00C24A08" w:rsidR="00D91063">
        <w:rPr>
          <w:rFonts w:ascii="Century Gothic" w:hAnsi="Century Gothic" w:cs="Arial"/>
          <w:color w:val="000000" w:themeColor="text1"/>
          <w:lang w:val="es-ES"/>
        </w:rPr>
        <w:t xml:space="preserve"> (territorial o nacional)</w:t>
      </w:r>
      <w:r w:rsidRPr="00C24A08">
        <w:rPr>
          <w:rFonts w:ascii="Century Gothic" w:hAnsi="Century Gothic" w:cs="Arial"/>
          <w:color w:val="000000" w:themeColor="text1"/>
          <w:lang w:val="es-ES"/>
        </w:rPr>
        <w:t xml:space="preserve">; </w:t>
      </w:r>
      <w:proofErr w:type="spellStart"/>
      <w:r w:rsidRPr="00C24A08">
        <w:rPr>
          <w:rFonts w:ascii="Century Gothic" w:hAnsi="Century Gothic" w:cs="Arial"/>
          <w:color w:val="000000" w:themeColor="text1"/>
          <w:lang w:val="es-ES"/>
        </w:rPr>
        <w:t>iii</w:t>
      </w:r>
      <w:proofErr w:type="spellEnd"/>
      <w:r w:rsidRPr="00C24A08">
        <w:rPr>
          <w:rFonts w:ascii="Century Gothic" w:hAnsi="Century Gothic" w:cs="Arial"/>
          <w:color w:val="000000" w:themeColor="text1"/>
          <w:lang w:val="es-ES"/>
        </w:rPr>
        <w:t xml:space="preserve">) que el contrato, independientemente de su cuantía, no refleje relaciones conmutativas que impliquen contraprestaciones para la entidad del Estado; y </w:t>
      </w:r>
      <w:proofErr w:type="spellStart"/>
      <w:r w:rsidRPr="00C24A08">
        <w:rPr>
          <w:rFonts w:ascii="Century Gothic" w:hAnsi="Century Gothic" w:cs="Arial"/>
          <w:color w:val="000000" w:themeColor="text1"/>
          <w:lang w:val="es-ES"/>
        </w:rPr>
        <w:t>iv</w:t>
      </w:r>
      <w:proofErr w:type="spellEnd"/>
      <w:r w:rsidRPr="00C24A08">
        <w:rPr>
          <w:rFonts w:ascii="Century Gothic" w:hAnsi="Century Gothic" w:cs="Arial"/>
          <w:color w:val="000000" w:themeColor="text1"/>
          <w:lang w:val="es-ES"/>
        </w:rPr>
        <w:t xml:space="preserve">) que la entidad del Estado no imparta instrucciones precisas para la ejecución del objeto convenido. </w:t>
      </w:r>
    </w:p>
    <w:p w:rsidRPr="00C24A08" w:rsidR="00CD2B6D" w:rsidP="00CD2B6D" w:rsidRDefault="00296F67" w14:paraId="1ECAE44D" w14:textId="6BBCFE0D">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EGCAP, con base en las remisiones efectuadas en los artículos séptimo y octavo del citado Decreto. </w:t>
      </w:r>
      <w:r w:rsidRPr="00C24A08" w:rsidR="00CD2B6D">
        <w:rPr>
          <w:rFonts w:ascii="Century Gothic" w:hAnsi="Century Gothic" w:cs="Arial"/>
          <w:color w:val="000000" w:themeColor="text1"/>
          <w:lang w:val="es-ES"/>
        </w:rPr>
        <w:t xml:space="preserve">Sin embargo, como se expondrá más adelante, el artículo </w:t>
      </w:r>
      <w:r w:rsidRPr="00C24A08" w:rsidR="007F0EF2">
        <w:rPr>
          <w:rFonts w:ascii="Century Gothic" w:hAnsi="Century Gothic" w:cs="Arial"/>
          <w:color w:val="000000" w:themeColor="text1"/>
          <w:lang w:val="es-ES"/>
        </w:rPr>
        <w:t>63</w:t>
      </w:r>
      <w:r w:rsidRPr="00C24A08" w:rsidR="00CD2B6D">
        <w:rPr>
          <w:rFonts w:ascii="Century Gothic" w:hAnsi="Century Gothic" w:cs="Arial"/>
          <w:color w:val="000000" w:themeColor="text1"/>
          <w:lang w:val="es-ES"/>
        </w:rPr>
        <w:t xml:space="preserve"> de la Ley 2166 de 2021 y el Decreto 142 de 2023 </w:t>
      </w:r>
      <w:r w:rsidRPr="00C24A08" w:rsidR="007F0EF2">
        <w:rPr>
          <w:rFonts w:ascii="Century Gothic" w:hAnsi="Century Gothic" w:cs="Arial"/>
          <w:color w:val="000000" w:themeColor="text1"/>
          <w:lang w:val="es-ES"/>
        </w:rPr>
        <w:t>estableció unas</w:t>
      </w:r>
      <w:r w:rsidRPr="00C24A08" w:rsidR="00CD2B6D">
        <w:rPr>
          <w:rFonts w:ascii="Century Gothic" w:hAnsi="Century Gothic" w:cs="Arial"/>
          <w:color w:val="000000" w:themeColor="text1"/>
          <w:lang w:val="es-ES"/>
        </w:rPr>
        <w:t xml:space="preserve"> subreglas </w:t>
      </w:r>
      <w:r w:rsidRPr="00C24A08" w:rsidR="007F0EF2">
        <w:rPr>
          <w:rFonts w:ascii="Century Gothic" w:hAnsi="Century Gothic" w:cs="Arial"/>
          <w:color w:val="000000" w:themeColor="text1"/>
          <w:lang w:val="es-ES"/>
        </w:rPr>
        <w:t xml:space="preserve">especiales a observar </w:t>
      </w:r>
      <w:r w:rsidRPr="00C24A08" w:rsidR="00CD2B6D">
        <w:rPr>
          <w:rFonts w:ascii="Century Gothic" w:hAnsi="Century Gothic" w:cs="Arial"/>
          <w:color w:val="000000" w:themeColor="text1"/>
          <w:lang w:val="es-ES"/>
        </w:rPr>
        <w:t>cuan</w:t>
      </w:r>
      <w:r w:rsidRPr="00C24A08" w:rsidR="007F0EF2">
        <w:rPr>
          <w:rFonts w:ascii="Century Gothic" w:hAnsi="Century Gothic" w:cs="Arial"/>
          <w:color w:val="000000" w:themeColor="text1"/>
          <w:lang w:val="es-ES"/>
        </w:rPr>
        <w:t>d</w:t>
      </w:r>
      <w:r w:rsidRPr="00C24A08" w:rsidR="00CD2B6D">
        <w:rPr>
          <w:rFonts w:ascii="Century Gothic" w:hAnsi="Century Gothic" w:cs="Arial"/>
          <w:color w:val="000000" w:themeColor="text1"/>
          <w:lang w:val="es-ES"/>
        </w:rPr>
        <w:t xml:space="preserve">o los sujetos </w:t>
      </w:r>
      <w:r w:rsidRPr="00C24A08" w:rsidR="007F0EF2">
        <w:rPr>
          <w:rFonts w:ascii="Century Gothic" w:hAnsi="Century Gothic" w:cs="Arial"/>
          <w:color w:val="000000" w:themeColor="text1"/>
          <w:lang w:val="es-ES"/>
        </w:rPr>
        <w:t xml:space="preserve">sean Organismos de Acción </w:t>
      </w:r>
      <w:r w:rsidRPr="00C24A08" w:rsidR="0042700B">
        <w:rPr>
          <w:rFonts w:ascii="Century Gothic" w:hAnsi="Century Gothic" w:cs="Arial"/>
          <w:color w:val="000000" w:themeColor="text1"/>
          <w:lang w:val="es-ES"/>
        </w:rPr>
        <w:t>Comunal, respecto</w:t>
      </w:r>
      <w:r w:rsidRPr="00C24A08" w:rsidR="007F0EF2">
        <w:rPr>
          <w:rFonts w:ascii="Century Gothic" w:hAnsi="Century Gothic" w:cs="Arial"/>
          <w:color w:val="000000" w:themeColor="text1"/>
          <w:lang w:val="es-ES"/>
        </w:rPr>
        <w:t xml:space="preserve"> de </w:t>
      </w:r>
      <w:r w:rsidRPr="00C24A08" w:rsidR="00DA04A8">
        <w:rPr>
          <w:rFonts w:ascii="Century Gothic" w:hAnsi="Century Gothic" w:cs="Arial"/>
          <w:color w:val="000000" w:themeColor="text1"/>
          <w:lang w:val="es-ES"/>
        </w:rPr>
        <w:t>la cuantía</w:t>
      </w:r>
      <w:r w:rsidRPr="00C24A08" w:rsidR="00CD2B6D">
        <w:rPr>
          <w:rFonts w:ascii="Century Gothic" w:hAnsi="Century Gothic" w:cs="Arial"/>
          <w:color w:val="000000" w:themeColor="text1"/>
          <w:lang w:val="es-ES"/>
        </w:rPr>
        <w:t xml:space="preserve"> del con</w:t>
      </w:r>
      <w:r w:rsidRPr="00C24A08" w:rsidR="00C50A2F">
        <w:rPr>
          <w:rFonts w:ascii="Century Gothic" w:hAnsi="Century Gothic" w:cs="Arial"/>
          <w:color w:val="000000" w:themeColor="text1"/>
          <w:lang w:val="es-ES"/>
        </w:rPr>
        <w:t>venio y su consagración expresa en los planes</w:t>
      </w:r>
      <w:r w:rsidRPr="00C24A08" w:rsidR="0042700B">
        <w:rPr>
          <w:rFonts w:ascii="Century Gothic" w:hAnsi="Century Gothic" w:cs="Arial"/>
          <w:color w:val="000000" w:themeColor="text1"/>
          <w:lang w:val="es-ES"/>
        </w:rPr>
        <w:t xml:space="preserve"> de desarrollo respectivos</w:t>
      </w:r>
      <w:r w:rsidRPr="00C24A08" w:rsidR="00CD2B6D">
        <w:rPr>
          <w:rFonts w:ascii="Century Gothic" w:hAnsi="Century Gothic" w:cs="Arial"/>
          <w:color w:val="000000" w:themeColor="text1"/>
          <w:lang w:val="es-ES"/>
        </w:rPr>
        <w:t xml:space="preserve">. </w:t>
      </w:r>
    </w:p>
    <w:p w:rsidRPr="00C24A08" w:rsidR="00DE47ED" w:rsidP="00DE47ED" w:rsidRDefault="00296F67" w14:paraId="1ED6148D" w14:textId="11E8C43D">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i/>
          <w:color w:val="000000" w:themeColor="text1"/>
          <w:lang w:val="es-ES"/>
        </w:rPr>
        <w:t>Por último</w:t>
      </w:r>
      <w:r w:rsidRPr="00C24A08">
        <w:rPr>
          <w:rFonts w:ascii="Century Gothic" w:hAnsi="Century Gothic" w:cs="Arial"/>
          <w:color w:val="000000" w:themeColor="text1"/>
          <w:lang w:val="es-ES"/>
        </w:rPr>
        <w:t xml:space="preserve">, en armonía con la modificación realizada por la Ley 1955 de 2019, se presenta un </w:t>
      </w:r>
      <w:r w:rsidRPr="00C24A08">
        <w:rPr>
          <w:rFonts w:ascii="Century Gothic" w:hAnsi="Century Gothic" w:cs="Arial"/>
          <w:i/>
          <w:color w:val="000000" w:themeColor="text1"/>
          <w:lang w:val="es-ES"/>
        </w:rPr>
        <w:t>tercer régimen</w:t>
      </w:r>
      <w:r w:rsidRPr="00C24A08">
        <w:rPr>
          <w:rFonts w:ascii="Century Gothic" w:hAnsi="Century Gothic" w:cs="Arial"/>
          <w:color w:val="000000" w:themeColor="text1"/>
          <w:lang w:val="es-ES"/>
        </w:rPr>
        <w:t xml:space="preserve">, </w:t>
      </w:r>
      <w:bookmarkStart w:name="_Hlk98594490" w:id="5"/>
      <w:r w:rsidRPr="00C24A08">
        <w:rPr>
          <w:rFonts w:ascii="Century Gothic" w:hAnsi="Century Gothic" w:cs="Arial"/>
          <w:color w:val="000000" w:themeColor="text1"/>
          <w:lang w:val="es-ES"/>
        </w:rPr>
        <w:t>que encuentra su fundamento en los parágrafos tercero y quinto del artículo tercero de la Ley 136 de 1994</w:t>
      </w:r>
      <w:bookmarkEnd w:id="5"/>
      <w:r w:rsidRPr="00C24A08">
        <w:rPr>
          <w:rFonts w:ascii="Century Gothic" w:hAnsi="Century Gothic" w:cs="Arial"/>
          <w:color w:val="000000" w:themeColor="text1"/>
          <w:lang w:val="es-ES"/>
        </w:rPr>
        <w:t>. Retomando los Conceptos de esta Agencia</w:t>
      </w:r>
      <w:r w:rsidRPr="00C24A08">
        <w:rPr>
          <w:rStyle w:val="Refdenotaalpie"/>
          <w:rFonts w:ascii="Century Gothic" w:hAnsi="Century Gothic" w:cs="Arial"/>
          <w:color w:val="000000" w:themeColor="text1"/>
          <w:lang w:val="es-ES"/>
        </w:rPr>
        <w:footnoteReference w:id="7"/>
      </w:r>
      <w:r w:rsidRPr="00C24A08">
        <w:rPr>
          <w:rFonts w:ascii="Century Gothic" w:hAnsi="Century Gothic" w:cs="Arial"/>
          <w:color w:val="000000" w:themeColor="text1"/>
          <w:lang w:val="es-ES"/>
        </w:rPr>
        <w:t xml:space="preserve">, </w:t>
      </w:r>
      <w:r w:rsidRPr="00C24A08" w:rsidR="00DA04A8">
        <w:rPr>
          <w:rFonts w:ascii="Century Gothic" w:hAnsi="Century Gothic" w:cs="Arial"/>
          <w:color w:val="000000" w:themeColor="text1"/>
          <w:lang w:val="es-ES"/>
        </w:rPr>
        <w:t>dicho régimen se debía</w:t>
      </w:r>
      <w:r w:rsidRPr="00C24A08">
        <w:rPr>
          <w:rFonts w:ascii="Century Gothic" w:hAnsi="Century Gothic" w:cs="Arial"/>
          <w:color w:val="000000" w:themeColor="text1"/>
          <w:lang w:val="es-ES"/>
        </w:rPr>
        <w:t xml:space="preserve"> interpretar armónicamente con lo dispuesto en el artículo 141 de la precitada Ley</w:t>
      </w:r>
      <w:r w:rsidRPr="00C24A08">
        <w:rPr>
          <w:rStyle w:val="Refdenotaalpie"/>
          <w:rFonts w:ascii="Century Gothic" w:hAnsi="Century Gothic" w:cs="Arial"/>
          <w:color w:val="000000" w:themeColor="text1"/>
          <w:lang w:val="es-ES"/>
        </w:rPr>
        <w:footnoteReference w:id="8"/>
      </w:r>
      <w:r w:rsidRPr="00C24A08">
        <w:rPr>
          <w:rFonts w:ascii="Century Gothic" w:hAnsi="Century Gothic" w:cs="Arial"/>
          <w:color w:val="000000" w:themeColor="text1"/>
          <w:lang w:val="es-ES"/>
        </w:rPr>
        <w:t xml:space="preserve"> y el artículo 55 de la Ley 743 de 2002</w:t>
      </w:r>
      <w:r w:rsidRPr="00C24A08">
        <w:rPr>
          <w:rStyle w:val="Refdenotaalpie"/>
          <w:rFonts w:ascii="Century Gothic" w:hAnsi="Century Gothic" w:cs="Arial"/>
          <w:color w:val="000000" w:themeColor="text1"/>
          <w:lang w:val="es-ES"/>
        </w:rPr>
        <w:footnoteReference w:id="9"/>
      </w:r>
      <w:r w:rsidRPr="00C24A08">
        <w:rPr>
          <w:rFonts w:ascii="Century Gothic" w:hAnsi="Century Gothic" w:cs="Arial"/>
          <w:color w:val="000000" w:themeColor="text1"/>
          <w:lang w:val="es-ES"/>
        </w:rPr>
        <w:t xml:space="preserve"> –norma vigente hasta la expedición de la Ley 2166 de 2021–</w:t>
      </w:r>
      <w:r w:rsidRPr="00C24A08" w:rsidR="007619AB">
        <w:rPr>
          <w:rFonts w:ascii="Century Gothic" w:hAnsi="Century Gothic" w:cs="Arial"/>
          <w:color w:val="000000" w:themeColor="text1"/>
          <w:lang w:val="es-ES"/>
        </w:rPr>
        <w:t xml:space="preserve"> remplazado por el artículo 63</w:t>
      </w:r>
      <w:r w:rsidRPr="00C24A08">
        <w:rPr>
          <w:rFonts w:ascii="Century Gothic" w:hAnsi="Century Gothic" w:cs="Arial"/>
          <w:color w:val="000000" w:themeColor="text1"/>
          <w:lang w:val="es-ES"/>
        </w:rPr>
        <w:t xml:space="preserve">. En virtud de tales disposiciones normativas, las organizaciones comunitarias cuentan con la posibilidad de </w:t>
      </w:r>
      <w:r w:rsidRPr="00C24A08">
        <w:rPr>
          <w:rFonts w:ascii="Century Gothic" w:hAnsi="Century Gothic" w:cs="Arial"/>
          <w:i/>
          <w:color w:val="000000" w:themeColor="text1"/>
          <w:lang w:val="es-ES"/>
        </w:rPr>
        <w:t>“vincularse al desarrollo y mejoramiento municipal mediante la participación en el ejercicio de las funciones, la prestación de servicios o la ejecución de obras públicas a cargo de la administración central o descentralizada”</w:t>
      </w:r>
      <w:r w:rsidRPr="00C24A08">
        <w:rPr>
          <w:rFonts w:ascii="Century Gothic" w:hAnsi="Century Gothic" w:cs="Arial"/>
          <w:color w:val="000000" w:themeColor="text1"/>
          <w:lang w:val="es-ES"/>
        </w:rPr>
        <w:t xml:space="preserve">. Para </w:t>
      </w:r>
      <w:r w:rsidRPr="00C24A08" w:rsidR="00D54A11">
        <w:rPr>
          <w:rFonts w:ascii="Century Gothic" w:hAnsi="Century Gothic" w:cs="Arial"/>
          <w:color w:val="000000" w:themeColor="text1"/>
          <w:lang w:val="es-ES"/>
        </w:rPr>
        <w:t>la vinculación en el desarrollo municipal</w:t>
      </w:r>
      <w:r w:rsidRPr="00C24A08">
        <w:rPr>
          <w:rFonts w:ascii="Century Gothic" w:hAnsi="Century Gothic" w:cs="Arial"/>
          <w:color w:val="000000" w:themeColor="text1"/>
          <w:lang w:val="es-ES"/>
        </w:rPr>
        <w:t xml:space="preserve">, </w:t>
      </w:r>
      <w:r w:rsidRPr="00C24A08" w:rsidR="00D54A11">
        <w:rPr>
          <w:rFonts w:ascii="Century Gothic" w:hAnsi="Century Gothic" w:cs="Arial"/>
          <w:color w:val="000000" w:themeColor="text1"/>
          <w:lang w:val="es-ES"/>
        </w:rPr>
        <w:t xml:space="preserve">las normas previamente citadas disponen que </w:t>
      </w:r>
      <w:r w:rsidRPr="00C24A08">
        <w:rPr>
          <w:rFonts w:ascii="Century Gothic" w:hAnsi="Century Gothic" w:cs="Arial"/>
          <w:color w:val="000000" w:themeColor="text1"/>
          <w:lang w:val="es-ES"/>
        </w:rPr>
        <w:t>se aplicarán los artículos 375 a 378 del Decreto 1333 de 1986 así como el EGCAP.</w:t>
      </w:r>
      <w:r w:rsidRPr="00C24A08" w:rsidR="00D54A11">
        <w:rPr>
          <w:rFonts w:ascii="Century Gothic" w:hAnsi="Century Gothic" w:cs="Arial"/>
          <w:color w:val="000000" w:themeColor="text1"/>
          <w:lang w:val="es-ES"/>
        </w:rPr>
        <w:t xml:space="preserve"> </w:t>
      </w:r>
      <w:r w:rsidRPr="00C24A08" w:rsidR="00BC735C">
        <w:rPr>
          <w:rFonts w:ascii="Century Gothic" w:hAnsi="Century Gothic" w:cs="Arial"/>
          <w:color w:val="000000" w:themeColor="text1"/>
          <w:lang w:val="es-ES"/>
        </w:rPr>
        <w:t>Frente a e</w:t>
      </w:r>
      <w:r w:rsidRPr="00C24A08">
        <w:rPr>
          <w:rFonts w:ascii="Century Gothic" w:hAnsi="Century Gothic" w:cs="Arial"/>
          <w:color w:val="000000" w:themeColor="text1"/>
          <w:lang w:val="es-ES"/>
        </w:rPr>
        <w:t xml:space="preserve">sta </w:t>
      </w:r>
      <w:r w:rsidRPr="00C24A08" w:rsidR="00BC735C">
        <w:rPr>
          <w:rFonts w:ascii="Century Gothic" w:hAnsi="Century Gothic" w:cs="Arial"/>
          <w:color w:val="000000" w:themeColor="text1"/>
          <w:lang w:val="es-ES"/>
        </w:rPr>
        <w:t xml:space="preserve">régimen </w:t>
      </w:r>
      <w:r w:rsidRPr="00C24A08">
        <w:rPr>
          <w:rFonts w:ascii="Century Gothic" w:hAnsi="Century Gothic" w:cs="Arial"/>
          <w:color w:val="000000" w:themeColor="text1"/>
          <w:lang w:val="es-ES"/>
        </w:rPr>
        <w:t>de contratación</w:t>
      </w:r>
      <w:r w:rsidRPr="00C24A08" w:rsidR="00BC735C">
        <w:rPr>
          <w:rFonts w:ascii="Century Gothic" w:hAnsi="Century Gothic" w:cs="Arial"/>
          <w:color w:val="000000" w:themeColor="text1"/>
          <w:lang w:val="es-ES"/>
        </w:rPr>
        <w:t xml:space="preserve"> la Agencia ha in</w:t>
      </w:r>
      <w:r w:rsidRPr="00C24A08" w:rsidR="002172F8">
        <w:rPr>
          <w:rFonts w:ascii="Century Gothic" w:hAnsi="Century Gothic" w:cs="Arial"/>
          <w:color w:val="000000" w:themeColor="text1"/>
          <w:lang w:val="es-ES"/>
        </w:rPr>
        <w:t>dicó</w:t>
      </w:r>
      <w:r w:rsidRPr="00C24A08" w:rsidR="00BC735C">
        <w:rPr>
          <w:rFonts w:ascii="Century Gothic" w:hAnsi="Century Gothic" w:cs="Arial"/>
          <w:color w:val="000000" w:themeColor="text1"/>
          <w:lang w:val="es-ES"/>
        </w:rPr>
        <w:t xml:space="preserve"> que aquel</w:t>
      </w:r>
      <w:r w:rsidRPr="00C24A08">
        <w:rPr>
          <w:rFonts w:ascii="Century Gothic" w:hAnsi="Century Gothic" w:cs="Arial"/>
          <w:color w:val="000000" w:themeColor="text1"/>
          <w:lang w:val="es-ES"/>
        </w:rPr>
        <w:t xml:space="preserve"> resulta aplicable a todos los casos no reglamentados a través de normas específicas en los que: i) se vinculen entidades del orden municipal o distrital y organizaciones comunales; </w:t>
      </w:r>
      <w:proofErr w:type="spellStart"/>
      <w:r w:rsidRPr="00C24A08">
        <w:rPr>
          <w:rFonts w:ascii="Century Gothic" w:hAnsi="Century Gothic" w:cs="Arial"/>
          <w:color w:val="000000" w:themeColor="text1"/>
          <w:lang w:val="es-ES"/>
        </w:rPr>
        <w:t>ii</w:t>
      </w:r>
      <w:proofErr w:type="spellEnd"/>
      <w:r w:rsidRPr="00C24A08">
        <w:rPr>
          <w:rFonts w:ascii="Century Gothic" w:hAnsi="Century Gothic" w:cs="Arial"/>
          <w:color w:val="000000" w:themeColor="text1"/>
          <w:lang w:val="es-ES"/>
        </w:rPr>
        <w:t xml:space="preserve">) se cumpla con el objetivo planteado en el parágrafo tercero del artículo tercero de la Ley 136 de 1994, en consonancia con el artículo 355 constitucional; y </w:t>
      </w:r>
      <w:proofErr w:type="spellStart"/>
      <w:r w:rsidRPr="00C24A08">
        <w:rPr>
          <w:rFonts w:ascii="Century Gothic" w:hAnsi="Century Gothic" w:cs="Arial"/>
          <w:color w:val="000000" w:themeColor="text1"/>
          <w:lang w:val="es-ES"/>
        </w:rPr>
        <w:t>iii</w:t>
      </w:r>
      <w:proofErr w:type="spellEnd"/>
      <w:r w:rsidRPr="00C24A08">
        <w:rPr>
          <w:rFonts w:ascii="Century Gothic" w:hAnsi="Century Gothic" w:cs="Arial"/>
          <w:color w:val="000000" w:themeColor="text1"/>
          <w:lang w:val="es-ES"/>
        </w:rPr>
        <w:t>) no exista otra forma especial de contratación.</w:t>
      </w:r>
      <w:r w:rsidRPr="00C24A08" w:rsidR="003D155A">
        <w:rPr>
          <w:rFonts w:ascii="Century Gothic" w:hAnsi="Century Gothic" w:cs="Arial"/>
          <w:color w:val="000000" w:themeColor="text1"/>
          <w:lang w:val="es-ES"/>
        </w:rPr>
        <w:t xml:space="preserve"> </w:t>
      </w:r>
      <w:r w:rsidRPr="00C24A08" w:rsidR="00DE47ED">
        <w:rPr>
          <w:rFonts w:ascii="Century Gothic" w:hAnsi="Century Gothic" w:cs="Arial"/>
          <w:color w:val="000000" w:themeColor="text1"/>
          <w:lang w:val="es-ES"/>
        </w:rPr>
        <w:t>Sin embargo, hay que tener en cuenta que para que estos Organismos de Acción Comunal puedan intervenir en la prestación de servicios públicos requiere de autorización expresa de los Concejos Municipales y Asambleas Departamentales en virtud de lo consagrado en el artículo 22 de</w:t>
      </w:r>
      <w:r w:rsidRPr="00C24A08" w:rsidR="006D07FC">
        <w:rPr>
          <w:rFonts w:ascii="Century Gothic" w:hAnsi="Century Gothic" w:cs="Arial"/>
          <w:color w:val="000000" w:themeColor="text1"/>
          <w:lang w:val="es-ES"/>
        </w:rPr>
        <w:t xml:space="preserve"> la Ley</w:t>
      </w:r>
      <w:r w:rsidRPr="00C24A08" w:rsidR="00DE47ED">
        <w:rPr>
          <w:rFonts w:ascii="Century Gothic" w:hAnsi="Century Gothic" w:cs="Arial"/>
          <w:color w:val="000000" w:themeColor="text1"/>
          <w:lang w:val="es-ES"/>
        </w:rPr>
        <w:t xml:space="preserve"> 19 de 1958.</w:t>
      </w:r>
    </w:p>
    <w:p w:rsidRPr="00C24A08" w:rsidR="00582F02" w:rsidP="00AB208E" w:rsidRDefault="002F567C" w14:paraId="32F6227B" w14:textId="14BB5739">
      <w:pPr>
        <w:shd w:val="clear" w:color="auto" w:fill="FFFFFF" w:themeFill="background1"/>
        <w:spacing w:after="120" w:line="276" w:lineRule="auto"/>
        <w:ind w:firstLine="709"/>
        <w:jc w:val="both"/>
        <w:rPr>
          <w:rFonts w:ascii="Century Gothic" w:hAnsi="Century Gothic" w:cs="Arial"/>
          <w:color w:val="000000" w:themeColor="text1"/>
        </w:rPr>
      </w:pPr>
      <w:r w:rsidRPr="00C24A08">
        <w:rPr>
          <w:rFonts w:ascii="Century Gothic" w:hAnsi="Century Gothic" w:cs="Arial"/>
          <w:color w:val="000000" w:themeColor="text1"/>
          <w:lang w:val="es-ES"/>
        </w:rPr>
        <w:t>Las anteriores subreglas también serían aplicables para la celebración de convenios para la vinculación al desarrollo departamental de Organismos de Acción Comunal en virtud de lo consagrado en el artículo 139 de la Ley 2200 de 2022</w:t>
      </w:r>
      <w:r w:rsidRPr="00C24A08" w:rsidR="00AB208E">
        <w:rPr>
          <w:rFonts w:ascii="Century Gothic" w:hAnsi="Century Gothic" w:cs="Arial"/>
          <w:color w:val="000000" w:themeColor="text1"/>
          <w:lang w:val="es-ES"/>
        </w:rPr>
        <w:t>, en virtud del cual, los departamentos podrán vincular a estor organismos para el cumplimiento o la ejecución de determinadas funciones u obras</w:t>
      </w:r>
      <w:r w:rsidRPr="00C24A08" w:rsidR="003E101F">
        <w:rPr>
          <w:rFonts w:ascii="Century Gothic" w:hAnsi="Century Gothic" w:cs="Arial"/>
          <w:color w:val="000000" w:themeColor="text1"/>
          <w:lang w:val="es-ES"/>
        </w:rPr>
        <w:t>, siempre y cuando estas últimas</w:t>
      </w:r>
      <w:r w:rsidRPr="00C24A08" w:rsidR="00F50B44">
        <w:rPr>
          <w:rFonts w:ascii="Century Gothic" w:hAnsi="Century Gothic" w:cs="Arial"/>
          <w:color w:val="000000" w:themeColor="text1"/>
          <w:lang w:val="es-ES"/>
        </w:rPr>
        <w:t xml:space="preserve"> </w:t>
      </w:r>
      <w:r w:rsidRPr="00C24A08" w:rsidR="00AB208E">
        <w:rPr>
          <w:rFonts w:ascii="Century Gothic" w:hAnsi="Century Gothic" w:cs="Arial"/>
          <w:color w:val="000000" w:themeColor="text1"/>
          <w:lang w:val="es-ES"/>
        </w:rPr>
        <w:t>aport</w:t>
      </w:r>
      <w:r w:rsidRPr="00C24A08" w:rsidR="00F50B44">
        <w:rPr>
          <w:rFonts w:ascii="Century Gothic" w:hAnsi="Century Gothic" w:cs="Arial"/>
          <w:color w:val="000000" w:themeColor="text1"/>
          <w:lang w:val="es-ES"/>
        </w:rPr>
        <w:t>en</w:t>
      </w:r>
      <w:r w:rsidRPr="00C24A08" w:rsidR="00AB208E">
        <w:rPr>
          <w:rFonts w:ascii="Century Gothic" w:hAnsi="Century Gothic" w:cs="Arial"/>
          <w:color w:val="000000" w:themeColor="text1"/>
          <w:lang w:val="es-ES"/>
        </w:rPr>
        <w:t xml:space="preserve"> el trabajo de sus integrantes y/o afiliados, así como otros bienes o recursos para cumplimiento de funciones o ejecución de obras en el territorio </w:t>
      </w:r>
      <w:r w:rsidRPr="00C24A08" w:rsidR="00EB0C15">
        <w:rPr>
          <w:rFonts w:ascii="Century Gothic" w:hAnsi="Century Gothic" w:cs="Arial"/>
          <w:color w:val="000000" w:themeColor="text1"/>
          <w:lang w:val="es-ES"/>
        </w:rPr>
        <w:t>para lo cual deberá tener en cuenta los artículos 63 y 95 de</w:t>
      </w:r>
      <w:r w:rsidRPr="00C24A08" w:rsidR="00F50B44">
        <w:rPr>
          <w:rFonts w:ascii="Century Gothic" w:hAnsi="Century Gothic" w:cs="Arial"/>
          <w:color w:val="000000" w:themeColor="text1"/>
          <w:lang w:val="es-ES"/>
        </w:rPr>
        <w:t xml:space="preserve"> L</w:t>
      </w:r>
      <w:r w:rsidRPr="00C24A08" w:rsidR="007D7D65">
        <w:rPr>
          <w:rFonts w:ascii="Century Gothic" w:hAnsi="Century Gothic" w:cs="Arial"/>
          <w:color w:val="000000" w:themeColor="text1"/>
          <w:lang w:val="es-ES"/>
        </w:rPr>
        <w:t>ey</w:t>
      </w:r>
      <w:r w:rsidRPr="00C24A08" w:rsidR="00F50B44">
        <w:rPr>
          <w:rFonts w:ascii="Century Gothic" w:hAnsi="Century Gothic" w:cs="Arial"/>
          <w:color w:val="000000" w:themeColor="text1"/>
          <w:lang w:val="es-ES"/>
        </w:rPr>
        <w:t xml:space="preserve"> 2166 </w:t>
      </w:r>
      <w:r w:rsidRPr="00C24A08" w:rsidR="007D7D65">
        <w:rPr>
          <w:rFonts w:ascii="Century Gothic" w:hAnsi="Century Gothic" w:cs="Arial"/>
          <w:color w:val="000000" w:themeColor="text1"/>
          <w:lang w:val="es-ES"/>
        </w:rPr>
        <w:t>de</w:t>
      </w:r>
      <w:r w:rsidRPr="00C24A08" w:rsidR="00F50B44">
        <w:rPr>
          <w:rFonts w:ascii="Century Gothic" w:hAnsi="Century Gothic" w:cs="Arial"/>
          <w:color w:val="000000" w:themeColor="text1"/>
          <w:lang w:val="es-ES"/>
        </w:rPr>
        <w:t xml:space="preserve"> 202</w:t>
      </w:r>
      <w:r w:rsidRPr="00C24A08" w:rsidR="007432C3">
        <w:rPr>
          <w:rFonts w:ascii="Century Gothic" w:hAnsi="Century Gothic" w:cs="Arial"/>
          <w:color w:val="000000" w:themeColor="text1"/>
          <w:lang w:val="es-ES"/>
        </w:rPr>
        <w:t>1,</w:t>
      </w:r>
      <w:r w:rsidRPr="00C24A08" w:rsidR="00BB0DE7">
        <w:rPr>
          <w:rFonts w:ascii="Century Gothic" w:hAnsi="Century Gothic" w:cs="Arial"/>
          <w:color w:val="000000" w:themeColor="text1"/>
          <w:lang w:val="es-ES"/>
        </w:rPr>
        <w:t xml:space="preserve"> respectivamente. Asimismo, la </w:t>
      </w:r>
      <w:r w:rsidRPr="00C24A08" w:rsidR="007432C3">
        <w:rPr>
          <w:rFonts w:ascii="Century Gothic" w:hAnsi="Century Gothic" w:cs="Arial"/>
          <w:color w:val="000000" w:themeColor="text1"/>
          <w:lang w:val="es-ES"/>
        </w:rPr>
        <w:t>norma dispuso que l</w:t>
      </w:r>
      <w:r w:rsidRPr="00C24A08" w:rsidR="00AB208E">
        <w:rPr>
          <w:rFonts w:ascii="Century Gothic" w:hAnsi="Century Gothic" w:cs="Arial"/>
          <w:color w:val="000000" w:themeColor="text1"/>
          <w:lang w:val="es-ES"/>
        </w:rPr>
        <w:t>os convenios que se celebren en desarrollo de este artículo estarán sujetos a las formalidades o requisitos previstos en la Ley para las entidades públicas.</w:t>
      </w:r>
    </w:p>
    <w:p w:rsidRPr="00C24A08" w:rsidR="00D054AE" w:rsidP="00296F67" w:rsidRDefault="00296F67" w14:paraId="4FBEE8BC" w14:textId="77777777">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Como se observa,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 Por otra parte, además de lo que explicará en el próximo acápite sobre la contratación de los parágrafos tercero y quinto del artículo tercero de la Ley 136 de 1994, cada una de ellas precisa el procedimiento de selección aplicable, aclarando que este se rige por las normas de la contratación directa en el primer régimen y que, para efectos del segundo, el procedimiento será competitivo o no competitivo de acuerdo con los previsto en el artículo 4 del Decreto 092 de 2017</w:t>
      </w:r>
      <w:r w:rsidRPr="00C24A08">
        <w:rPr>
          <w:rStyle w:val="Refdenotaalpie"/>
          <w:rFonts w:ascii="Century Gothic" w:hAnsi="Century Gothic" w:cs="Arial"/>
          <w:color w:val="000000" w:themeColor="text1"/>
          <w:lang w:val="es-ES"/>
        </w:rPr>
        <w:footnoteReference w:id="10"/>
      </w:r>
      <w:r w:rsidRPr="00C24A08">
        <w:rPr>
          <w:rFonts w:ascii="Century Gothic" w:hAnsi="Century Gothic" w:cs="Arial"/>
          <w:color w:val="000000" w:themeColor="text1"/>
          <w:lang w:val="es-ES"/>
        </w:rPr>
        <w:t>. Por otro lado, sin perjuicio de las particularidades del supuesto previsto en el precitado artículo 141 del Ley 136 de 1994, el régimen de garantías se incorpora bien sea directamente a través del EGCAP o a través de remisiones como las previstas en el artículo 8 del Decreto 092 de 2012</w:t>
      </w:r>
      <w:r w:rsidRPr="00C24A08">
        <w:rPr>
          <w:rStyle w:val="Refdenotaalpie"/>
          <w:rFonts w:ascii="Century Gothic" w:hAnsi="Century Gothic" w:cs="Arial"/>
          <w:color w:val="000000" w:themeColor="text1"/>
          <w:lang w:val="es-ES"/>
        </w:rPr>
        <w:footnoteReference w:id="11"/>
      </w:r>
      <w:r w:rsidRPr="00C24A08">
        <w:rPr>
          <w:rFonts w:ascii="Century Gothic" w:hAnsi="Century Gothic" w:cs="Arial"/>
          <w:color w:val="000000" w:themeColor="text1"/>
          <w:lang w:val="es-ES"/>
        </w:rPr>
        <w:t xml:space="preserve">, aspecto que también se extiende al régimen sancionatorio contractual en caso de responsabilidad por incumplimiento. </w:t>
      </w:r>
    </w:p>
    <w:p w:rsidRPr="00C24A08" w:rsidR="00296F67" w:rsidP="00296F67" w:rsidRDefault="00296F67" w14:paraId="675E2C1B" w14:textId="547E6E4B">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 xml:space="preserve">Finalmente, respecto a la supervisión, inciso segundo del artículo 83 de la Ley 1474 de 2011 es una norma de aplicación transversal al sistema de compras públicas, pues dispone </w:t>
      </w:r>
      <w:r w:rsidRPr="00C24A08">
        <w:rPr>
          <w:rFonts w:ascii="Century Gothic" w:hAnsi="Century Gothic" w:cs="Arial"/>
          <w:i/>
          <w:color w:val="000000" w:themeColor="text1"/>
          <w:lang w:val="es-ES"/>
        </w:rPr>
        <w:t>“[…] la Entidad estatal podrá contratar personal de apoyo, a través de los contratos de prestación de servicios que sean requeridos</w:t>
      </w:r>
      <w:r w:rsidRPr="00C24A08">
        <w:rPr>
          <w:rFonts w:ascii="Century Gothic" w:hAnsi="Century Gothic" w:cs="Arial"/>
          <w:color w:val="000000" w:themeColor="text1"/>
          <w:lang w:val="es-ES"/>
        </w:rPr>
        <w:t xml:space="preserve">”; razón por la cual, de acuerdo con la línea consolidada de esta Agencia, </w:t>
      </w:r>
      <w:r w:rsidRPr="00C24A08" w:rsidR="006950AA">
        <w:rPr>
          <w:rFonts w:ascii="Century Gothic" w:hAnsi="Century Gothic" w:cs="Arial"/>
          <w:color w:val="000000" w:themeColor="text1"/>
          <w:lang w:val="es-ES"/>
        </w:rPr>
        <w:t>los convenios solidarios no están exentos de supervisión, de lo cual se hablará a detalle más adelante</w:t>
      </w:r>
      <w:r w:rsidRPr="00C24A08">
        <w:rPr>
          <w:rStyle w:val="Refdenotaalpie"/>
          <w:rFonts w:ascii="Century Gothic" w:hAnsi="Century Gothic" w:cs="Arial"/>
          <w:color w:val="000000" w:themeColor="text1"/>
          <w:lang w:val="es-ES"/>
        </w:rPr>
        <w:footnoteReference w:id="12"/>
      </w:r>
      <w:r w:rsidRPr="00C24A08">
        <w:rPr>
          <w:rFonts w:ascii="Century Gothic" w:hAnsi="Century Gothic" w:cs="Arial"/>
          <w:color w:val="000000" w:themeColor="text1"/>
          <w:lang w:val="es-ES"/>
        </w:rPr>
        <w:t xml:space="preserve">.    </w:t>
      </w:r>
    </w:p>
    <w:p w:rsidRPr="00C24A08" w:rsidR="00296F67" w:rsidP="00296F67" w:rsidRDefault="00296F67" w14:paraId="22CEE552" w14:textId="5C7B14A3">
      <w:pPr>
        <w:shd w:val="clear" w:color="auto" w:fill="FFFFFF" w:themeFill="background1"/>
        <w:spacing w:after="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 xml:space="preserve">Las anteriores precisiones son importantes para el objeto de la consulta puesto que, como se analizará a continuación, los tres (3) regímenes de contratación aplicables en los convenios solidarios celebrados con </w:t>
      </w:r>
      <w:r w:rsidRPr="00C24A08" w:rsidR="00A05F1F">
        <w:rPr>
          <w:rFonts w:ascii="Century Gothic" w:hAnsi="Century Gothic" w:cs="Arial"/>
          <w:color w:val="000000" w:themeColor="text1"/>
          <w:lang w:val="es-ES"/>
        </w:rPr>
        <w:t>Organismos de Acción Comunal</w:t>
      </w:r>
      <w:r w:rsidRPr="00C24A08">
        <w:rPr>
          <w:rFonts w:ascii="Century Gothic" w:hAnsi="Century Gothic" w:cs="Arial"/>
          <w:color w:val="000000" w:themeColor="text1"/>
          <w:lang w:val="es-ES"/>
        </w:rPr>
        <w:t xml:space="preserve"> se mantienen actualmente. Sin embargo, de acuerdo con las previsiones de la Ley 2166 de 2021, se presentan algunas variaciones en relación con el contenido de estos convenios. </w:t>
      </w:r>
    </w:p>
    <w:p w:rsidRPr="00C24A08" w:rsidR="00296F67" w:rsidP="00296F67" w:rsidRDefault="00296F67" w14:paraId="764048A3" w14:textId="77777777">
      <w:pPr>
        <w:shd w:val="clear" w:color="auto" w:fill="FFFFFF" w:themeFill="background1"/>
        <w:spacing w:after="0" w:line="276" w:lineRule="auto"/>
        <w:ind w:firstLine="709"/>
        <w:jc w:val="both"/>
        <w:rPr>
          <w:rFonts w:ascii="Century Gothic" w:hAnsi="Century Gothic" w:cs="Arial"/>
          <w:color w:val="000000" w:themeColor="text1"/>
          <w:lang w:val="es-ES"/>
        </w:rPr>
      </w:pPr>
    </w:p>
    <w:p w:rsidRPr="00C24A08" w:rsidR="00296F67" w:rsidP="00296F67" w:rsidRDefault="00296F67" w14:paraId="1B2F8ADB" w14:textId="57009099">
      <w:pPr>
        <w:shd w:val="clear" w:color="auto" w:fill="FFFFFF" w:themeFill="background1"/>
        <w:spacing w:after="0" w:line="276" w:lineRule="auto"/>
        <w:jc w:val="both"/>
        <w:rPr>
          <w:rFonts w:ascii="Century Gothic" w:hAnsi="Century Gothic" w:eastAsia="Calibri" w:cs="Arial"/>
          <w:b/>
          <w:color w:val="000000" w:themeColor="text1"/>
        </w:rPr>
      </w:pPr>
      <w:r w:rsidRPr="00C24A08">
        <w:rPr>
          <w:rFonts w:ascii="Century Gothic" w:hAnsi="Century Gothic" w:eastAsia="Calibri" w:cs="Arial"/>
          <w:b/>
          <w:color w:val="000000" w:themeColor="text1"/>
        </w:rPr>
        <w:t>2.</w:t>
      </w:r>
      <w:r w:rsidRPr="00C24A08" w:rsidR="00A75205">
        <w:rPr>
          <w:rFonts w:ascii="Century Gothic" w:hAnsi="Century Gothic" w:eastAsia="Calibri" w:cs="Arial"/>
          <w:b/>
          <w:color w:val="000000" w:themeColor="text1"/>
        </w:rPr>
        <w:t>2</w:t>
      </w:r>
      <w:r w:rsidRPr="00C24A08">
        <w:rPr>
          <w:rFonts w:ascii="Century Gothic" w:hAnsi="Century Gothic" w:eastAsia="Calibri" w:cs="Arial"/>
          <w:b/>
          <w:color w:val="000000" w:themeColor="text1"/>
        </w:rPr>
        <w:t xml:space="preserve">. Convenios solidarios con </w:t>
      </w:r>
      <w:r w:rsidRPr="00C24A08" w:rsidR="00A05F1F">
        <w:rPr>
          <w:rFonts w:ascii="Century Gothic" w:hAnsi="Century Gothic" w:eastAsia="Calibri" w:cs="Arial"/>
          <w:b/>
          <w:color w:val="000000" w:themeColor="text1"/>
        </w:rPr>
        <w:t>Organismos de Acción Comunal</w:t>
      </w:r>
      <w:r w:rsidRPr="00C24A08">
        <w:rPr>
          <w:rFonts w:ascii="Century Gothic" w:hAnsi="Century Gothic" w:eastAsia="Calibri" w:cs="Arial"/>
          <w:b/>
          <w:color w:val="000000" w:themeColor="text1"/>
        </w:rPr>
        <w:t xml:space="preserve"> bajo la </w:t>
      </w:r>
      <w:bookmarkStart w:name="_Hlk131059883" w:id="7"/>
      <w:r w:rsidRPr="00C24A08">
        <w:rPr>
          <w:rFonts w:ascii="Century Gothic" w:hAnsi="Century Gothic" w:eastAsia="Calibri" w:cs="Arial"/>
          <w:b/>
          <w:color w:val="000000" w:themeColor="text1"/>
        </w:rPr>
        <w:t>Ley 2166 de 2021 y el Decreto 142 de 2023</w:t>
      </w:r>
      <w:bookmarkEnd w:id="7"/>
      <w:r w:rsidRPr="00C24A08">
        <w:rPr>
          <w:rFonts w:ascii="Century Gothic" w:hAnsi="Century Gothic" w:eastAsia="Calibri" w:cs="Arial"/>
          <w:b/>
          <w:color w:val="000000" w:themeColor="text1"/>
        </w:rPr>
        <w:t>. Especial referencia a la acreditación de la capacidad jurídica y técnica</w:t>
      </w:r>
      <w:r w:rsidRPr="00C24A08" w:rsidR="0086353B">
        <w:rPr>
          <w:rFonts w:ascii="Century Gothic" w:hAnsi="Century Gothic" w:eastAsia="Calibri" w:cs="Arial"/>
          <w:b/>
          <w:color w:val="000000" w:themeColor="text1"/>
        </w:rPr>
        <w:t xml:space="preserve"> </w:t>
      </w:r>
    </w:p>
    <w:p w:rsidRPr="00C24A08" w:rsidR="00296F67" w:rsidP="00296F67" w:rsidRDefault="00296F67" w14:paraId="09EEADEE" w14:textId="77777777">
      <w:pPr>
        <w:shd w:val="clear" w:color="auto" w:fill="FFFFFF" w:themeFill="background1"/>
        <w:spacing w:after="0" w:line="276" w:lineRule="auto"/>
        <w:jc w:val="both"/>
        <w:rPr>
          <w:rFonts w:ascii="Century Gothic" w:hAnsi="Century Gothic" w:eastAsia="Calibri" w:cs="Arial"/>
          <w:b/>
          <w:color w:val="000000" w:themeColor="text1"/>
          <w:lang w:val="es-ES_tradnl"/>
        </w:rPr>
      </w:pPr>
    </w:p>
    <w:p w:rsidRPr="00C24A08" w:rsidR="00296F67" w:rsidP="00296F67" w:rsidRDefault="00296F67" w14:paraId="24934A0C" w14:textId="00DCE7A6">
      <w:pPr>
        <w:shd w:val="clear" w:color="auto" w:fill="FFFFFF" w:themeFill="background1"/>
        <w:spacing w:line="276" w:lineRule="auto"/>
        <w:jc w:val="both"/>
        <w:rPr>
          <w:rFonts w:ascii="Century Gothic" w:hAnsi="Century Gothic" w:cs="Arial"/>
          <w:bCs/>
          <w:color w:val="000000" w:themeColor="text1"/>
          <w:lang w:eastAsia="es-MX"/>
        </w:rPr>
      </w:pPr>
      <w:r w:rsidRPr="00C24A08">
        <w:rPr>
          <w:rFonts w:ascii="Century Gothic" w:hAnsi="Century Gothic" w:cs="Arial"/>
          <w:bCs/>
          <w:color w:val="000000" w:themeColor="text1"/>
          <w:lang w:eastAsia="es-MX"/>
        </w:rPr>
        <w:t xml:space="preserve">Con la expedición de la Ley 2166 de 2021 se deroga la Ley 743 de 2002, se desarrolla el artículo 38 de la Constitución Política de Colombia en lo referente a los </w:t>
      </w:r>
      <w:r w:rsidRPr="00C24A08" w:rsidR="00A05F1F">
        <w:rPr>
          <w:rFonts w:ascii="Century Gothic" w:hAnsi="Century Gothic" w:cs="Arial"/>
          <w:bCs/>
          <w:color w:val="000000" w:themeColor="text1"/>
          <w:lang w:eastAsia="es-MX"/>
        </w:rPr>
        <w:t>Organismos de Acción Comunal</w:t>
      </w:r>
      <w:r w:rsidRPr="00C24A08">
        <w:rPr>
          <w:rFonts w:ascii="Century Gothic" w:hAnsi="Century Gothic" w:cs="Arial"/>
          <w:bCs/>
          <w:color w:val="000000" w:themeColor="text1"/>
          <w:lang w:eastAsia="es-MX"/>
        </w:rPr>
        <w:t xml:space="preserve"> y se establecen lineamientos para la formulación e implementación de la política pública de los </w:t>
      </w:r>
      <w:r w:rsidRPr="00C24A08" w:rsidR="00A05F1F">
        <w:rPr>
          <w:rFonts w:ascii="Century Gothic" w:hAnsi="Century Gothic" w:cs="Arial"/>
          <w:bCs/>
          <w:color w:val="000000" w:themeColor="text1"/>
          <w:lang w:eastAsia="es-MX"/>
        </w:rPr>
        <w:t>Organismos de Acción Comunal</w:t>
      </w:r>
      <w:r w:rsidRPr="00C24A08">
        <w:rPr>
          <w:rFonts w:ascii="Century Gothic" w:hAnsi="Century Gothic" w:cs="Arial"/>
          <w:bCs/>
          <w:color w:val="000000" w:themeColor="text1"/>
          <w:lang w:eastAsia="es-MX"/>
        </w:rPr>
        <w:t xml:space="preserve"> y de sus afiliados. De acuerdo con el artículo 1 de dicho cuerpo normativo esta ley tiene por objeto </w:t>
      </w:r>
      <w:r w:rsidRPr="00C24A08">
        <w:rPr>
          <w:rFonts w:ascii="Century Gothic" w:hAnsi="Century Gothic" w:eastAsia="Calibri" w:cs="Arial"/>
          <w:color w:val="000000" w:themeColor="text1"/>
          <w:lang w:val="es-ES_tradnl"/>
        </w:rPr>
        <w:t>“</w:t>
      </w:r>
      <w:r w:rsidRPr="00C24A08">
        <w:rPr>
          <w:rFonts w:ascii="Century Gothic" w:hAnsi="Century Gothic" w:cs="Arial"/>
          <w:bCs/>
          <w:color w:val="000000" w:themeColor="text1"/>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C24A08">
        <w:rPr>
          <w:rFonts w:ascii="Century Gothic" w:hAnsi="Century Gothic" w:eastAsia="Calibri" w:cs="Arial"/>
          <w:color w:val="000000" w:themeColor="text1"/>
          <w:lang w:val="es-ES_tradnl"/>
        </w:rPr>
        <w:t>”</w:t>
      </w:r>
      <w:r w:rsidRPr="00C24A08">
        <w:rPr>
          <w:rFonts w:ascii="Century Gothic" w:hAnsi="Century Gothic" w:cs="Arial"/>
          <w:bCs/>
          <w:color w:val="000000" w:themeColor="text1"/>
          <w:lang w:eastAsia="es-MX"/>
        </w:rPr>
        <w:t xml:space="preserve">. </w:t>
      </w:r>
    </w:p>
    <w:p w:rsidRPr="00C24A08" w:rsidR="00296F67" w:rsidP="00296F67" w:rsidRDefault="00296F67" w14:paraId="418C65E2" w14:textId="27242167">
      <w:pPr>
        <w:shd w:val="clear" w:color="auto" w:fill="FFFFFF" w:themeFill="background1"/>
        <w:spacing w:before="120" w:after="0" w:line="276" w:lineRule="auto"/>
        <w:ind w:firstLine="709"/>
        <w:jc w:val="both"/>
        <w:rPr>
          <w:rFonts w:ascii="Century Gothic" w:hAnsi="Century Gothic" w:cs="Arial"/>
          <w:bCs/>
          <w:color w:val="000000" w:themeColor="text1"/>
          <w:lang w:eastAsia="es-MX"/>
        </w:rPr>
      </w:pPr>
      <w:r w:rsidRPr="00C24A08">
        <w:rPr>
          <w:rFonts w:ascii="Century Gothic" w:hAnsi="Century Gothic" w:cs="Arial"/>
          <w:bCs/>
          <w:color w:val="000000" w:themeColor="text1"/>
          <w:lang w:eastAsia="es-MX"/>
        </w:rPr>
        <w:t xml:space="preserve">En desarrollo de lo anterior, el artículo 95 de dicha ley contempla la celebración de directa de convenios solidarios entre </w:t>
      </w:r>
      <w:r w:rsidRPr="00C24A08" w:rsidR="00A05F1F">
        <w:rPr>
          <w:rFonts w:ascii="Century Gothic" w:hAnsi="Century Gothic" w:cs="Arial"/>
          <w:bCs/>
          <w:color w:val="000000" w:themeColor="text1"/>
          <w:lang w:eastAsia="es-MX"/>
        </w:rPr>
        <w:t>Organismos de Acción Comunal</w:t>
      </w:r>
      <w:r w:rsidRPr="00C24A08">
        <w:rPr>
          <w:rFonts w:ascii="Century Gothic" w:hAnsi="Century Gothic" w:cs="Arial"/>
          <w:bCs/>
          <w:color w:val="000000" w:themeColor="text1"/>
          <w:lang w:eastAsia="es-MX"/>
        </w:rPr>
        <w:t xml:space="preserve"> y “los entes territoriales del orden Nacional, Departamental, Distrital y municipal” prescribiendo lo siguiente: </w:t>
      </w:r>
    </w:p>
    <w:p w:rsidRPr="00C24A08" w:rsidR="00296F67" w:rsidP="00296F67" w:rsidRDefault="00296F67" w14:paraId="422D596E" w14:textId="77777777">
      <w:pPr>
        <w:shd w:val="clear" w:color="auto" w:fill="FFFFFF" w:themeFill="background1"/>
        <w:spacing w:after="0" w:line="276" w:lineRule="auto"/>
        <w:ind w:firstLine="709"/>
        <w:jc w:val="both"/>
        <w:rPr>
          <w:rFonts w:ascii="Century Gothic" w:hAnsi="Century Gothic" w:cs="Arial"/>
          <w:bCs/>
          <w:color w:val="000000" w:themeColor="text1"/>
          <w:lang w:eastAsia="es-MX"/>
        </w:rPr>
      </w:pPr>
    </w:p>
    <w:p w:rsidRPr="00C24A08" w:rsidR="00296F67" w:rsidP="00296F67" w:rsidRDefault="00296F67" w14:paraId="60CCB1FE" w14:textId="77777777">
      <w:pPr>
        <w:shd w:val="clear" w:color="auto" w:fill="FFFFFF" w:themeFill="background1"/>
        <w:spacing w:after="120" w:line="240" w:lineRule="auto"/>
        <w:ind w:left="709" w:right="709"/>
        <w:jc w:val="both"/>
        <w:rPr>
          <w:rFonts w:ascii="Century Gothic" w:hAnsi="Century Gothic" w:cs="Arial"/>
          <w:color w:val="000000" w:themeColor="text1"/>
          <w:sz w:val="21"/>
          <w:szCs w:val="21"/>
        </w:rPr>
      </w:pPr>
      <w:r w:rsidRPr="00C24A08">
        <w:rPr>
          <w:rFonts w:ascii="Century Gothic" w:hAnsi="Century Gothic" w:cs="Arial"/>
          <w:color w:val="000000" w:themeColor="text1"/>
          <w:sz w:val="21"/>
          <w:szCs w:val="21"/>
        </w:rPr>
        <w:t>“Artículo 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rsidRPr="00C24A08" w:rsidR="00296F67" w:rsidP="00296F67" w:rsidRDefault="00296F67" w14:paraId="27D53FBB" w14:textId="77777777">
      <w:pPr>
        <w:shd w:val="clear" w:color="auto" w:fill="FFFFFF" w:themeFill="background1"/>
        <w:spacing w:after="120" w:line="240" w:lineRule="auto"/>
        <w:ind w:left="709" w:right="709"/>
        <w:jc w:val="both"/>
        <w:rPr>
          <w:rFonts w:ascii="Century Gothic" w:hAnsi="Century Gothic" w:cs="Arial"/>
          <w:color w:val="000000" w:themeColor="text1"/>
          <w:sz w:val="21"/>
          <w:szCs w:val="21"/>
        </w:rPr>
      </w:pPr>
      <w:r w:rsidRPr="00C24A08">
        <w:rPr>
          <w:rFonts w:ascii="Century Gothic" w:hAnsi="Century Gothic" w:cs="Arial"/>
          <w:color w:val="000000" w:themeColor="text1"/>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rsidRPr="00C24A08" w:rsidR="00296F67" w:rsidP="00296F67" w:rsidRDefault="00296F67" w14:paraId="3AFAB656" w14:textId="77777777">
      <w:pPr>
        <w:shd w:val="clear" w:color="auto" w:fill="FFFFFF" w:themeFill="background1"/>
        <w:spacing w:after="0" w:line="240" w:lineRule="auto"/>
        <w:ind w:left="709" w:right="709"/>
        <w:jc w:val="both"/>
        <w:rPr>
          <w:rFonts w:ascii="Century Gothic" w:hAnsi="Century Gothic" w:cs="Arial"/>
          <w:color w:val="000000" w:themeColor="text1"/>
          <w:sz w:val="21"/>
          <w:szCs w:val="21"/>
        </w:rPr>
      </w:pPr>
      <w:r w:rsidRPr="00C24A08">
        <w:rPr>
          <w:rFonts w:ascii="Century Gothic" w:hAnsi="Century Gothic" w:cs="Arial"/>
          <w:color w:val="000000" w:themeColor="text1"/>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C24A08">
        <w:rPr>
          <w:rStyle w:val="Refdenotaalpie"/>
          <w:rFonts w:ascii="Century Gothic" w:hAnsi="Century Gothic" w:cs="Arial"/>
          <w:color w:val="000000" w:themeColor="text1"/>
          <w:sz w:val="21"/>
          <w:szCs w:val="21"/>
        </w:rPr>
        <w:footnoteReference w:id="13"/>
      </w:r>
      <w:r w:rsidRPr="00C24A08">
        <w:rPr>
          <w:rFonts w:ascii="Century Gothic" w:hAnsi="Century Gothic" w:cs="Arial"/>
          <w:color w:val="000000" w:themeColor="text1"/>
          <w:sz w:val="21"/>
          <w:szCs w:val="21"/>
        </w:rPr>
        <w:t>.</w:t>
      </w:r>
    </w:p>
    <w:p w:rsidRPr="00C24A08" w:rsidR="00296F67" w:rsidP="00296F67" w:rsidRDefault="00296F67" w14:paraId="3F31CD12" w14:textId="77777777">
      <w:pPr>
        <w:shd w:val="clear" w:color="auto" w:fill="FFFFFF" w:themeFill="background1"/>
        <w:spacing w:after="0"/>
        <w:ind w:firstLine="709"/>
        <w:jc w:val="both"/>
        <w:rPr>
          <w:rFonts w:ascii="Century Gothic" w:hAnsi="Century Gothic" w:cs="Arial"/>
          <w:bCs/>
          <w:color w:val="000000" w:themeColor="text1"/>
          <w:lang w:eastAsia="es-MX"/>
        </w:rPr>
      </w:pPr>
    </w:p>
    <w:p w:rsidRPr="00C24A08" w:rsidR="00296F67" w:rsidP="00296F67" w:rsidRDefault="00296F67" w14:paraId="7494FE7B" w14:textId="07B6E6D1">
      <w:pPr>
        <w:shd w:val="clear" w:color="auto" w:fill="FFFFFF" w:themeFill="background1"/>
        <w:spacing w:line="276" w:lineRule="auto"/>
        <w:ind w:firstLine="709"/>
        <w:jc w:val="both"/>
        <w:rPr>
          <w:rFonts w:ascii="Century Gothic" w:hAnsi="Century Gothic" w:eastAsia="Calibri" w:cs="Arial"/>
          <w:color w:val="000000" w:themeColor="text1"/>
          <w:lang w:val="es-ES_tradnl"/>
        </w:rPr>
      </w:pPr>
      <w:r w:rsidRPr="00C24A08">
        <w:rPr>
          <w:rFonts w:ascii="Century Gothic" w:hAnsi="Century Gothic" w:cs="Arial"/>
          <w:bCs/>
          <w:color w:val="000000" w:themeColor="text1"/>
          <w:lang w:eastAsia="es-MX"/>
        </w:rPr>
        <w:t xml:space="preserve">Según se evidencia, esta norma desarrolla las siguientes reglas: i) Las </w:t>
      </w:r>
      <w:r w:rsidRPr="00C24A08">
        <w:rPr>
          <w:rFonts w:ascii="Century Gothic" w:hAnsi="Century Gothic" w:eastAsia="Calibri" w:cs="Arial"/>
          <w:i/>
          <w:iCs/>
          <w:color w:val="000000" w:themeColor="text1"/>
          <w:lang w:val="es-ES_tradnl"/>
        </w:rPr>
        <w:t>“</w:t>
      </w:r>
      <w:r w:rsidRPr="00C24A08">
        <w:rPr>
          <w:rFonts w:ascii="Century Gothic" w:hAnsi="Century Gothic" w:cs="Arial"/>
          <w:bCs/>
          <w:i/>
          <w:iCs/>
          <w:color w:val="000000" w:themeColor="text1"/>
          <w:lang w:eastAsia="es-MX"/>
        </w:rPr>
        <w:t>entidades territoriales del</w:t>
      </w:r>
      <w:r w:rsidRPr="00C24A08">
        <w:rPr>
          <w:rFonts w:ascii="Century Gothic" w:hAnsi="Century Gothic" w:eastAsia="Calibri" w:cs="Arial"/>
          <w:i/>
          <w:iCs/>
          <w:color w:val="000000" w:themeColor="text1"/>
          <w:lang w:val="es-ES_tradnl"/>
        </w:rPr>
        <w:t xml:space="preserve"> </w:t>
      </w:r>
      <w:r w:rsidRPr="00C24A08">
        <w:rPr>
          <w:rFonts w:ascii="Century Gothic" w:hAnsi="Century Gothic" w:cs="Arial"/>
          <w:i/>
          <w:iCs/>
          <w:color w:val="000000" w:themeColor="text1"/>
        </w:rPr>
        <w:t>orden Nacional, Departamental, Distrital y municipal</w:t>
      </w:r>
      <w:r w:rsidRPr="00C24A08">
        <w:rPr>
          <w:rFonts w:ascii="Century Gothic" w:hAnsi="Century Gothic" w:eastAsia="Calibri" w:cs="Arial"/>
          <w:i/>
          <w:iCs/>
          <w:color w:val="000000" w:themeColor="text1"/>
          <w:lang w:val="es-ES_tradnl"/>
        </w:rPr>
        <w:t>”</w:t>
      </w:r>
      <w:r w:rsidRPr="00C24A08">
        <w:rPr>
          <w:rFonts w:ascii="Century Gothic" w:hAnsi="Century Gothic" w:eastAsia="Calibri" w:cs="Arial"/>
          <w:color w:val="000000" w:themeColor="text1"/>
          <w:lang w:val="es-ES_tradnl"/>
        </w:rPr>
        <w:t xml:space="preserve"> y los </w:t>
      </w:r>
      <w:r w:rsidRPr="00C24A08" w:rsidR="00A05F1F">
        <w:rPr>
          <w:rFonts w:ascii="Century Gothic" w:hAnsi="Century Gothic" w:eastAsia="Calibri" w:cs="Arial"/>
          <w:color w:val="000000" w:themeColor="text1"/>
          <w:lang w:val="es-ES_tradnl"/>
        </w:rPr>
        <w:t>Organismos de Acción Comunal</w:t>
      </w:r>
      <w:r w:rsidRPr="00C24A08">
        <w:rPr>
          <w:rFonts w:ascii="Century Gothic" w:hAnsi="Century Gothic" w:eastAsia="Calibri" w:cs="Arial"/>
          <w:color w:val="000000" w:themeColor="text1"/>
          <w:lang w:val="es-ES_tradnl"/>
        </w:rPr>
        <w:t xml:space="preserve"> podrán celebrar directamente convenios solidarios, es decir, la modalidad de contratación establecida para este caso es la contratación directa. Para el efecto, debe tenerse en cuenta la clasificación que realiza el artículo 7 de la Ley 2166 de 2021 de los </w:t>
      </w:r>
      <w:r w:rsidRPr="00C24A08" w:rsidR="00A05F1F">
        <w:rPr>
          <w:rFonts w:ascii="Century Gothic" w:hAnsi="Century Gothic" w:eastAsia="Calibri" w:cs="Arial"/>
          <w:color w:val="000000" w:themeColor="text1"/>
          <w:lang w:val="es-ES_tradnl"/>
        </w:rPr>
        <w:t>Organismos de Acción Comunal</w:t>
      </w:r>
      <w:r w:rsidRPr="00C24A08">
        <w:rPr>
          <w:rFonts w:ascii="Century Gothic" w:hAnsi="Century Gothic" w:eastAsia="Calibri" w:cs="Arial"/>
          <w:color w:val="000000" w:themeColor="text1"/>
          <w:lang w:val="es-ES_tradnl"/>
        </w:rPr>
        <w:t xml:space="preserve">, de manera que la celebración de estos convenios puede realizarse con cualquiera de los </w:t>
      </w:r>
      <w:r w:rsidRPr="00C24A08" w:rsidR="00A05F1F">
        <w:rPr>
          <w:rFonts w:ascii="Century Gothic" w:hAnsi="Century Gothic" w:eastAsia="Calibri" w:cs="Arial"/>
          <w:color w:val="000000" w:themeColor="text1"/>
          <w:lang w:val="es-ES_tradnl"/>
        </w:rPr>
        <w:t>Organismos de Acción Comunal</w:t>
      </w:r>
      <w:r w:rsidRPr="00C24A08">
        <w:rPr>
          <w:rFonts w:ascii="Century Gothic" w:hAnsi="Century Gothic" w:eastAsia="Calibri" w:cs="Arial"/>
          <w:color w:val="000000" w:themeColor="text1"/>
          <w:lang w:val="es-ES_tradnl"/>
        </w:rPr>
        <w:t xml:space="preserve"> allí contemplados, pues la norma se refiere de forma general a los </w:t>
      </w:r>
      <w:r w:rsidRPr="00C24A08" w:rsidR="00A05F1F">
        <w:rPr>
          <w:rFonts w:ascii="Century Gothic" w:hAnsi="Century Gothic" w:eastAsia="Calibri" w:cs="Arial"/>
          <w:i/>
          <w:iCs/>
          <w:color w:val="000000" w:themeColor="text1"/>
          <w:lang w:val="es-ES_tradnl"/>
        </w:rPr>
        <w:t>Organismos de Acción Comunal</w:t>
      </w:r>
      <w:r w:rsidRPr="00C24A08">
        <w:rPr>
          <w:rStyle w:val="Refdenotaalpie"/>
          <w:rFonts w:ascii="Century Gothic" w:hAnsi="Century Gothic" w:eastAsia="Calibri" w:cs="Arial"/>
          <w:color w:val="000000" w:themeColor="text1"/>
          <w:lang w:val="es-ES_tradnl"/>
        </w:rPr>
        <w:footnoteReference w:id="14"/>
      </w:r>
      <w:r w:rsidRPr="00C24A08">
        <w:rPr>
          <w:rFonts w:ascii="Century Gothic" w:hAnsi="Century Gothic" w:eastAsia="Calibri" w:cs="Arial"/>
          <w:color w:val="000000" w:themeColor="text1"/>
          <w:lang w:val="es-ES_tradnl"/>
        </w:rPr>
        <w:t xml:space="preserve">.  </w:t>
      </w:r>
    </w:p>
    <w:p w:rsidRPr="00C24A08" w:rsidR="00296F67" w:rsidP="00296F67" w:rsidRDefault="00296F67" w14:paraId="12F3B7D0" w14:textId="77777777">
      <w:pPr>
        <w:shd w:val="clear" w:color="auto" w:fill="FFFFFF" w:themeFill="background1"/>
        <w:spacing w:before="120" w:line="276" w:lineRule="auto"/>
        <w:ind w:firstLine="709"/>
        <w:jc w:val="both"/>
        <w:rPr>
          <w:rFonts w:ascii="Century Gothic" w:hAnsi="Century Gothic" w:eastAsia="Calibri" w:cs="Arial"/>
          <w:color w:val="000000" w:themeColor="text1"/>
          <w:lang w:val="es-ES_tradnl"/>
        </w:rPr>
      </w:pPr>
      <w:proofErr w:type="spellStart"/>
      <w:r w:rsidRPr="00C24A08">
        <w:rPr>
          <w:rFonts w:ascii="Century Gothic" w:hAnsi="Century Gothic" w:eastAsia="Calibri" w:cs="Arial"/>
          <w:color w:val="000000" w:themeColor="text1"/>
          <w:lang w:val="es-ES_tradnl"/>
        </w:rPr>
        <w:t>ii</w:t>
      </w:r>
      <w:proofErr w:type="spellEnd"/>
      <w:r w:rsidRPr="00C24A08">
        <w:rPr>
          <w:rFonts w:ascii="Century Gothic" w:hAnsi="Century Gothic" w:eastAsia="Calibri" w:cs="Arial"/>
          <w:color w:val="000000" w:themeColor="text1"/>
          <w:lang w:val="es-ES_tradnl"/>
        </w:rPr>
        <w:t xml:space="preserve">) Estos convenios solidarios deben tener por objeto únicamente la ejecución de obras. Esto significa que no pueden desarrollarse otros objetos distintos a la obra con fundamento en este artículo. </w:t>
      </w:r>
    </w:p>
    <w:p w:rsidRPr="00C24A08" w:rsidR="00296F67" w:rsidP="00296F67" w:rsidRDefault="00296F67" w14:paraId="2ADF553F" w14:textId="0D8D4004">
      <w:pPr>
        <w:shd w:val="clear" w:color="auto" w:fill="FFFFFF" w:themeFill="background1"/>
        <w:spacing w:before="120" w:line="276" w:lineRule="auto"/>
        <w:ind w:firstLine="709"/>
        <w:jc w:val="both"/>
        <w:rPr>
          <w:rFonts w:ascii="Century Gothic" w:hAnsi="Century Gothic" w:eastAsia="Calibri" w:cs="Arial"/>
          <w:color w:val="000000" w:themeColor="text1"/>
          <w:lang w:val="es-ES_tradnl"/>
        </w:rPr>
      </w:pPr>
      <w:proofErr w:type="spellStart"/>
      <w:r w:rsidRPr="00C24A08">
        <w:rPr>
          <w:rFonts w:ascii="Century Gothic" w:hAnsi="Century Gothic" w:eastAsia="Calibri" w:cs="Arial"/>
          <w:color w:val="000000" w:themeColor="text1"/>
          <w:lang w:val="es-ES_tradnl"/>
        </w:rPr>
        <w:t>iii</w:t>
      </w:r>
      <w:proofErr w:type="spellEnd"/>
      <w:r w:rsidRPr="00C24A08">
        <w:rPr>
          <w:rFonts w:ascii="Century Gothic" w:hAnsi="Century Gothic" w:eastAsia="Calibri" w:cs="Arial"/>
          <w:color w:val="000000" w:themeColor="text1"/>
          <w:lang w:val="es-ES_tradnl"/>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w:t>
      </w:r>
      <w:r w:rsidRPr="00C24A08" w:rsidR="00A05F1F">
        <w:rPr>
          <w:rFonts w:ascii="Century Gothic" w:hAnsi="Century Gothic" w:eastAsia="Calibri" w:cs="Arial"/>
          <w:color w:val="000000" w:themeColor="text1"/>
          <w:lang w:val="es-ES_tradnl"/>
        </w:rPr>
        <w:t>Entidad Estatal</w:t>
      </w:r>
      <w:r w:rsidRPr="00C24A08">
        <w:rPr>
          <w:rFonts w:ascii="Century Gothic" w:hAnsi="Century Gothic" w:eastAsia="Calibri" w:cs="Arial"/>
          <w:color w:val="000000" w:themeColor="text1"/>
          <w:lang w:val="es-ES_tradnl"/>
        </w:rPr>
        <w:t xml:space="preserve">. </w:t>
      </w:r>
    </w:p>
    <w:p w:rsidRPr="00C24A08" w:rsidR="00296F67" w:rsidP="00296F67" w:rsidRDefault="00296F67" w14:paraId="54D60B95" w14:textId="77777777">
      <w:pPr>
        <w:shd w:val="clear" w:color="auto" w:fill="FFFFFF" w:themeFill="background1"/>
        <w:spacing w:before="120" w:line="276" w:lineRule="auto"/>
        <w:ind w:firstLine="709"/>
        <w:jc w:val="both"/>
        <w:rPr>
          <w:rFonts w:ascii="Century Gothic" w:hAnsi="Century Gothic" w:eastAsia="Calibri" w:cs="Arial"/>
          <w:color w:val="000000" w:themeColor="text1"/>
          <w:lang w:val="es-ES_tradnl"/>
        </w:rPr>
      </w:pPr>
      <w:proofErr w:type="spellStart"/>
      <w:r w:rsidRPr="00C24A08">
        <w:rPr>
          <w:rFonts w:ascii="Century Gothic" w:hAnsi="Century Gothic" w:eastAsia="Calibri" w:cs="Arial"/>
          <w:color w:val="000000" w:themeColor="text1"/>
          <w:lang w:val="es-ES_tradnl"/>
        </w:rPr>
        <w:t>iv</w:t>
      </w:r>
      <w:proofErr w:type="spellEnd"/>
      <w:r w:rsidRPr="00C24A08">
        <w:rPr>
          <w:rFonts w:ascii="Century Gothic" w:hAnsi="Century Gothic" w:eastAsia="Calibri" w:cs="Arial"/>
          <w:color w:val="000000" w:themeColor="text1"/>
          <w:lang w:val="es-ES_tradnl"/>
        </w:rPr>
        <w:t>) Para la ejecución de las obras se establece el deber de contratar con los habitantes de la comunidad.</w:t>
      </w:r>
    </w:p>
    <w:p w:rsidRPr="00C24A08" w:rsidR="00296F67" w:rsidP="00296F67" w:rsidRDefault="00296F67" w14:paraId="328727B9" w14:textId="77777777">
      <w:pPr>
        <w:shd w:val="clear" w:color="auto" w:fill="FFFFFF" w:themeFill="background1"/>
        <w:spacing w:before="120" w:line="276" w:lineRule="auto"/>
        <w:ind w:firstLine="709"/>
        <w:jc w:val="both"/>
        <w:rPr>
          <w:rFonts w:ascii="Century Gothic" w:hAnsi="Century Gothic" w:eastAsia="Calibri" w:cs="Arial"/>
          <w:color w:val="000000" w:themeColor="text1"/>
        </w:rPr>
      </w:pPr>
      <w:r w:rsidRPr="00C24A08">
        <w:rPr>
          <w:rFonts w:ascii="Century Gothic" w:hAnsi="Century Gothic" w:eastAsia="Calibri" w:cs="Arial"/>
          <w:color w:val="000000" w:themeColor="text1"/>
          <w:lang w:val="es-ES_tradnl"/>
        </w:rPr>
        <w:t xml:space="preserve">v) En el valor total del convenio la entidad podrá incluir los costos directos, los costos administrativos y el subsidio </w:t>
      </w:r>
      <w:r w:rsidRPr="00C24A08">
        <w:rPr>
          <w:rFonts w:ascii="Century Gothic" w:hAnsi="Century Gothic" w:eastAsia="Calibri" w:cs="Arial"/>
          <w:color w:val="000000" w:themeColor="text1"/>
        </w:rPr>
        <w:t xml:space="preserve">al dignatario representante legal para transportes de que trata el literal c) del artículo 38 de la Ley 2166 de 2022. Estos costos deberán incluirse en el ejercicio de planeación que realice la entidad y estar debidamente justificados. </w:t>
      </w:r>
    </w:p>
    <w:p w:rsidRPr="00C24A08" w:rsidR="00296F67" w:rsidP="00296F67" w:rsidRDefault="00296F67" w14:paraId="060BC0D2" w14:textId="3382C51E">
      <w:pPr>
        <w:shd w:val="clear" w:color="auto" w:fill="FFFFFF" w:themeFill="background1"/>
        <w:spacing w:before="120" w:line="276" w:lineRule="auto"/>
        <w:ind w:firstLine="709"/>
        <w:jc w:val="both"/>
        <w:rPr>
          <w:rFonts w:ascii="Century Gothic" w:hAnsi="Century Gothic" w:eastAsia="Calibri" w:cs="Arial"/>
          <w:color w:val="000000" w:themeColor="text1"/>
          <w:lang w:val="es-ES_tradnl"/>
        </w:rPr>
      </w:pPr>
      <w:r w:rsidRPr="00C24A08">
        <w:rPr>
          <w:rFonts w:ascii="Century Gothic" w:hAnsi="Century Gothic" w:eastAsia="Calibri" w:cs="Arial"/>
          <w:color w:val="000000" w:themeColor="text1"/>
        </w:rPr>
        <w:t xml:space="preserve">vi) Las entidades deberán contar con personal técnico y administrativo-contable para apoyar y supervisar a los </w:t>
      </w:r>
      <w:r w:rsidRPr="00C24A08" w:rsidR="00A05F1F">
        <w:rPr>
          <w:rFonts w:ascii="Century Gothic" w:hAnsi="Century Gothic" w:eastAsia="Calibri" w:cs="Arial"/>
          <w:color w:val="000000" w:themeColor="text1"/>
        </w:rPr>
        <w:t>Organismos de Acción Comunal</w:t>
      </w:r>
      <w:r w:rsidRPr="00C24A08">
        <w:rPr>
          <w:rFonts w:ascii="Century Gothic" w:hAnsi="Century Gothic" w:eastAsia="Calibri" w:cs="Arial"/>
          <w:color w:val="000000" w:themeColor="text1"/>
        </w:rPr>
        <w:t xml:space="preserve">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rsidRPr="00C24A08" w:rsidR="00296F67" w:rsidP="00296F67" w:rsidRDefault="00296F67" w14:paraId="0BF0FF40" w14:textId="0703125D">
      <w:pPr>
        <w:shd w:val="clear" w:color="auto" w:fill="FFFFFF" w:themeFill="background1"/>
        <w:spacing w:after="0" w:line="276" w:lineRule="auto"/>
        <w:ind w:firstLine="709"/>
        <w:jc w:val="both"/>
        <w:rPr>
          <w:rFonts w:ascii="Century Gothic" w:hAnsi="Century Gothic" w:cs="Arial"/>
          <w:bCs/>
          <w:color w:val="000000" w:themeColor="text1"/>
          <w:lang w:eastAsia="es-MX"/>
        </w:rPr>
      </w:pPr>
      <w:r w:rsidRPr="00C24A08">
        <w:rPr>
          <w:rFonts w:ascii="Century Gothic" w:hAnsi="Century Gothic" w:cs="Arial"/>
          <w:bCs/>
          <w:color w:val="000000" w:themeColor="text1"/>
          <w:lang w:eastAsia="es-MX"/>
        </w:rPr>
        <w:t xml:space="preserve">Como se observa, el artículo 95 de la Ley 2166 de 2021 determina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C24A08">
        <w:rPr>
          <w:rFonts w:ascii="Century Gothic" w:hAnsi="Century Gothic" w:eastAsia="Calibri" w:cs="Arial"/>
          <w:color w:val="000000" w:themeColor="text1"/>
          <w:lang w:val="es-ES_tradnl"/>
        </w:rPr>
        <w:t>“</w:t>
      </w:r>
      <w:r w:rsidRPr="00C24A08">
        <w:rPr>
          <w:rFonts w:ascii="Century Gothic" w:hAnsi="Century Gothic" w:cs="Arial"/>
          <w:bCs/>
          <w:i/>
          <w:iCs/>
          <w:color w:val="000000" w:themeColor="text1"/>
          <w:lang w:eastAsia="es-MX"/>
        </w:rPr>
        <w:t>entes territoriales del</w:t>
      </w:r>
      <w:r w:rsidRPr="00C24A08">
        <w:rPr>
          <w:rFonts w:ascii="Century Gothic" w:hAnsi="Century Gothic" w:eastAsia="Calibri" w:cs="Arial"/>
          <w:i/>
          <w:iCs/>
          <w:color w:val="000000" w:themeColor="text1"/>
          <w:lang w:val="es-ES_tradnl"/>
        </w:rPr>
        <w:t xml:space="preserve"> </w:t>
      </w:r>
      <w:r w:rsidRPr="00C24A08">
        <w:rPr>
          <w:rFonts w:ascii="Century Gothic" w:hAnsi="Century Gothic" w:cs="Arial"/>
          <w:i/>
          <w:iCs/>
          <w:color w:val="000000" w:themeColor="text1"/>
        </w:rPr>
        <w:t>orden Nacional, Departamental, Distrital y municipal</w:t>
      </w:r>
      <w:r w:rsidRPr="00C24A08">
        <w:rPr>
          <w:rFonts w:ascii="Century Gothic" w:hAnsi="Century Gothic" w:eastAsia="Calibri" w:cs="Arial"/>
          <w:i/>
          <w:iCs/>
          <w:color w:val="000000" w:themeColor="text1"/>
          <w:lang w:val="es-ES_tradnl"/>
        </w:rPr>
        <w:t>”</w:t>
      </w:r>
      <w:r w:rsidRPr="00C24A08">
        <w:rPr>
          <w:rFonts w:ascii="Century Gothic" w:hAnsi="Century Gothic" w:eastAsia="Calibri" w:cs="Arial"/>
          <w:color w:val="000000" w:themeColor="text1"/>
          <w:lang w:val="es-ES_tradnl"/>
        </w:rPr>
        <w:t xml:space="preserve"> y a los “</w:t>
      </w:r>
      <w:r w:rsidRPr="00C24A08" w:rsidR="00A05F1F">
        <w:rPr>
          <w:rFonts w:ascii="Century Gothic" w:hAnsi="Century Gothic" w:eastAsia="Calibri" w:cs="Arial"/>
          <w:color w:val="000000" w:themeColor="text1"/>
          <w:lang w:val="es-ES_tradnl"/>
        </w:rPr>
        <w:t>Organismos de Acción Comunal</w:t>
      </w:r>
      <w:r w:rsidRPr="00C24A08">
        <w:rPr>
          <w:rFonts w:ascii="Century Gothic" w:hAnsi="Century Gothic" w:eastAsia="Calibri" w:cs="Arial"/>
          <w:color w:val="000000" w:themeColor="text1"/>
          <w:lang w:val="es-ES_tradnl"/>
        </w:rPr>
        <w:t xml:space="preserve">”. Es decir, </w:t>
      </w:r>
      <w:r w:rsidRPr="00C24A08">
        <w:rPr>
          <w:rFonts w:ascii="Century Gothic" w:hAnsi="Century Gothic" w:cs="Arial"/>
          <w:bCs/>
          <w:color w:val="000000" w:themeColor="text1"/>
          <w:lang w:eastAsia="es-MX"/>
        </w:rPr>
        <w:t xml:space="preserve">conforme a esta Ley podrán celebrar convenios solidarios directamente no solo los entes territoriales del orden departamental, municipal y distrital sino también las entidades del orden nacional y se podrán celebrar con todos los </w:t>
      </w:r>
      <w:r w:rsidRPr="00C24A08" w:rsidR="00A05F1F">
        <w:rPr>
          <w:rFonts w:ascii="Century Gothic" w:hAnsi="Century Gothic" w:cs="Arial"/>
          <w:bCs/>
          <w:color w:val="000000" w:themeColor="text1"/>
          <w:lang w:eastAsia="es-MX"/>
        </w:rPr>
        <w:t>Organismos de Acción Comunal</w:t>
      </w:r>
      <w:r w:rsidRPr="00C24A08">
        <w:rPr>
          <w:rFonts w:ascii="Century Gothic" w:hAnsi="Century Gothic" w:cs="Arial"/>
          <w:bCs/>
          <w:color w:val="000000" w:themeColor="text1"/>
          <w:lang w:eastAsia="es-MX"/>
        </w:rPr>
        <w:t xml:space="preserve">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Por lo demás, dichos aspectos se sintetizan en el desarrollo reglamentario del Decreto 142 de 2013, el cual adiciona el artículo 2.2.15.1.2 del Decreto 1082 de 2015 en los siguientes términos:</w:t>
      </w:r>
    </w:p>
    <w:p w:rsidRPr="00C24A08" w:rsidR="00296F67" w:rsidP="00296F67" w:rsidRDefault="00296F67" w14:paraId="377CEE40" w14:textId="77777777">
      <w:pPr>
        <w:shd w:val="clear" w:color="auto" w:fill="FFFFFF" w:themeFill="background1"/>
        <w:spacing w:after="0" w:line="276" w:lineRule="auto"/>
        <w:ind w:left="709" w:right="709"/>
        <w:jc w:val="both"/>
        <w:rPr>
          <w:rFonts w:ascii="Century Gothic" w:hAnsi="Century Gothic" w:cs="Arial"/>
          <w:bCs/>
          <w:color w:val="000000" w:themeColor="text1"/>
          <w:lang w:eastAsia="es-MX"/>
        </w:rPr>
      </w:pPr>
    </w:p>
    <w:p w:rsidRPr="00C24A08" w:rsidR="00296F67" w:rsidP="00296F67" w:rsidRDefault="00296F67" w14:paraId="4ECCE956" w14:textId="77777777">
      <w:pPr>
        <w:shd w:val="clear" w:color="auto" w:fill="FFFFFF" w:themeFill="background1"/>
        <w:spacing w:after="0" w:line="240" w:lineRule="auto"/>
        <w:ind w:left="709" w:right="709"/>
        <w:jc w:val="both"/>
        <w:rPr>
          <w:rFonts w:ascii="Century Gothic" w:hAnsi="Century Gothic" w:cs="Arial"/>
          <w:bCs/>
          <w:color w:val="000000" w:themeColor="text1"/>
          <w:sz w:val="21"/>
          <w:szCs w:val="21"/>
          <w:lang w:eastAsia="es-MX"/>
        </w:rPr>
      </w:pPr>
      <w:r w:rsidRPr="00C24A08">
        <w:rPr>
          <w:rFonts w:ascii="Century Gothic" w:hAnsi="Century Gothic" w:cs="Arial"/>
          <w:bCs/>
          <w:color w:val="000000" w:themeColor="text1"/>
          <w:sz w:val="21"/>
          <w:szCs w:val="21"/>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rsidRPr="00C24A08" w:rsidR="00296F67" w:rsidP="00296F67" w:rsidRDefault="00296F67" w14:paraId="26206B26" w14:textId="77777777">
      <w:pPr>
        <w:shd w:val="clear" w:color="auto" w:fill="FFFFFF" w:themeFill="background1"/>
        <w:spacing w:before="120" w:after="0" w:line="240" w:lineRule="auto"/>
        <w:ind w:left="709" w:right="709"/>
        <w:jc w:val="both"/>
        <w:rPr>
          <w:rFonts w:ascii="Century Gothic" w:hAnsi="Century Gothic" w:cs="Arial"/>
          <w:bCs/>
          <w:color w:val="000000" w:themeColor="text1"/>
          <w:sz w:val="21"/>
          <w:szCs w:val="21"/>
          <w:lang w:eastAsia="es-MX"/>
        </w:rPr>
      </w:pPr>
      <w:r w:rsidRPr="00C24A08">
        <w:rPr>
          <w:rFonts w:ascii="Century Gothic" w:hAnsi="Century Gothic" w:cs="Arial"/>
          <w:bCs/>
          <w:color w:val="000000" w:themeColor="text1"/>
          <w:sz w:val="21"/>
          <w:szCs w:val="21"/>
          <w:lang w:eastAsia="es-MX"/>
        </w:rPr>
        <w:t>Estos convenios solidarios solo podrán tener por objeto la ejecución de obras. Para la ejecución de estas obras los Organismos de Acción Comunal deberán procurar vincular a los habitantes de la comunidad”.</w:t>
      </w:r>
    </w:p>
    <w:p w:rsidRPr="00C24A08" w:rsidR="00296F67" w:rsidP="00296F67" w:rsidRDefault="00296F67" w14:paraId="44BB61A7" w14:textId="77777777">
      <w:pPr>
        <w:shd w:val="clear" w:color="auto" w:fill="FFFFFF" w:themeFill="background1"/>
        <w:spacing w:after="0" w:line="276" w:lineRule="auto"/>
        <w:ind w:left="709" w:right="709"/>
        <w:jc w:val="both"/>
        <w:rPr>
          <w:rFonts w:ascii="Century Gothic" w:hAnsi="Century Gothic" w:cs="Arial"/>
          <w:bCs/>
          <w:color w:val="000000" w:themeColor="text1"/>
          <w:lang w:eastAsia="es-MX"/>
        </w:rPr>
      </w:pPr>
    </w:p>
    <w:p w:rsidRPr="00C24A08" w:rsidR="00296F67" w:rsidP="00296F67" w:rsidRDefault="00296F67" w14:paraId="639E1D21" w14:textId="7BFB4C8B">
      <w:pPr>
        <w:shd w:val="clear" w:color="auto" w:fill="FFFFFF" w:themeFill="background1"/>
        <w:spacing w:line="276" w:lineRule="auto"/>
        <w:ind w:firstLine="709"/>
        <w:jc w:val="both"/>
        <w:rPr>
          <w:rFonts w:ascii="Century Gothic" w:hAnsi="Century Gothic" w:eastAsia="Calibri" w:cs="Arial"/>
          <w:color w:val="000000" w:themeColor="text1"/>
          <w:lang w:val="es-ES_tradnl"/>
        </w:rPr>
      </w:pPr>
      <w:r w:rsidRPr="00C24A08">
        <w:rPr>
          <w:rFonts w:ascii="Century Gothic" w:hAnsi="Century Gothic" w:cs="Arial"/>
          <w:bCs/>
          <w:color w:val="000000" w:themeColor="text1"/>
          <w:lang w:eastAsia="es-MX"/>
        </w:rPr>
        <w:t xml:space="preserve">En relación con los sujetos, es importante señalar </w:t>
      </w:r>
      <w:r w:rsidRPr="00C24A08" w:rsidR="004E7E56">
        <w:rPr>
          <w:rFonts w:ascii="Century Gothic" w:hAnsi="Century Gothic" w:cs="Arial"/>
          <w:bCs/>
          <w:color w:val="000000" w:themeColor="text1"/>
          <w:lang w:eastAsia="es-MX"/>
        </w:rPr>
        <w:t>que,</w:t>
      </w:r>
      <w:r w:rsidRPr="00C24A08">
        <w:rPr>
          <w:rFonts w:ascii="Century Gothic" w:hAnsi="Century Gothic" w:eastAsia="Calibri" w:cs="Arial"/>
          <w:color w:val="000000" w:themeColor="text1"/>
          <w:lang w:val="es-ES_tradnl"/>
        </w:rPr>
        <w:t xml:space="preserve"> aunque la norma de forma imprecisa incluye como parte de los “entes territoriales” a las entidades del orden nacional</w:t>
      </w:r>
      <w:r w:rsidRPr="00C24A08">
        <w:rPr>
          <w:rStyle w:val="Refdenotaalpie"/>
          <w:rFonts w:ascii="Century Gothic" w:hAnsi="Century Gothic" w:eastAsia="Calibri" w:cs="Arial"/>
          <w:color w:val="000000" w:themeColor="text1"/>
          <w:lang w:val="es-ES_tradnl"/>
        </w:rPr>
        <w:footnoteReference w:id="15"/>
      </w:r>
      <w:r w:rsidRPr="00C24A08">
        <w:rPr>
          <w:rFonts w:ascii="Century Gothic" w:hAnsi="Century Gothic" w:eastAsia="Calibri" w:cs="Arial"/>
          <w:color w:val="000000" w:themeColor="text1"/>
          <w:lang w:val="es-ES_tradnl"/>
        </w:rPr>
        <w:t xml:space="preserve">, a nuestro juicio su intención no es otra que incluir a las entidades del orden nacional dentro de los sujetos que pueden celebrar estos convenios solidarios con los </w:t>
      </w:r>
      <w:r w:rsidRPr="00C24A08" w:rsidR="00A05F1F">
        <w:rPr>
          <w:rFonts w:ascii="Century Gothic" w:hAnsi="Century Gothic" w:eastAsia="Calibri" w:cs="Arial"/>
          <w:color w:val="000000" w:themeColor="text1"/>
          <w:lang w:val="es-ES_tradnl"/>
        </w:rPr>
        <w:t>Organismos de Acción Comunal</w:t>
      </w:r>
      <w:r w:rsidRPr="00C24A08">
        <w:rPr>
          <w:rFonts w:ascii="Century Gothic" w:hAnsi="Century Gothic" w:eastAsia="Calibri" w:cs="Arial"/>
          <w:color w:val="000000" w:themeColor="text1"/>
          <w:lang w:val="es-ES_tradnl"/>
        </w:rPr>
        <w:t xml:space="preserve">. Esta interpretación resulta coherente </w:t>
      </w:r>
      <w:r w:rsidRPr="00C24A08">
        <w:rPr>
          <w:rFonts w:ascii="Century Gothic" w:hAnsi="Century Gothic" w:cs="Arial"/>
          <w:bCs/>
          <w:color w:val="000000" w:themeColor="text1"/>
          <w:lang w:eastAsia="es-MX"/>
        </w:rPr>
        <w:t xml:space="preserve">con lo señalado en el trámite legislativo en el Congreso de la República de la Ley 2166 de 2021, conforme al cual esta iniciativa legislativa pretende fortalecer las organizaciones comunales </w:t>
      </w:r>
      <w:r w:rsidRPr="00C24A08">
        <w:rPr>
          <w:rFonts w:ascii="Century Gothic" w:hAnsi="Century Gothic" w:eastAsia="Calibri" w:cs="Arial"/>
          <w:color w:val="000000" w:themeColor="text1"/>
          <w:lang w:val="es-ES_tradnl"/>
        </w:rPr>
        <w:t>“</w:t>
      </w:r>
      <w:r w:rsidRPr="00C24A08">
        <w:rPr>
          <w:rFonts w:ascii="Century Gothic" w:hAnsi="Century Gothic" w:cs="Arial"/>
          <w:bCs/>
          <w:color w:val="000000" w:themeColor="text1"/>
          <w:lang w:eastAsia="es-MX"/>
        </w:rPr>
        <w:t xml:space="preserve">incentivando la formulación y ejecución de los Planes de Desarrollo Estratégicos Comunales y </w:t>
      </w:r>
      <w:r w:rsidRPr="00C24A08">
        <w:rPr>
          <w:rFonts w:ascii="Century Gothic" w:hAnsi="Century Gothic" w:cs="Arial"/>
          <w:bCs/>
          <w:i/>
          <w:iCs/>
          <w:color w:val="000000" w:themeColor="text1"/>
          <w:lang w:eastAsia="es-MX"/>
        </w:rPr>
        <w:t>su capacidad de contratación social con el Estado</w:t>
      </w:r>
      <w:r w:rsidRPr="00C24A08">
        <w:rPr>
          <w:rFonts w:ascii="Century Gothic" w:hAnsi="Century Gothic" w:cs="Arial"/>
          <w:bCs/>
          <w:color w:val="000000" w:themeColor="text1"/>
          <w:lang w:eastAsia="es-MX"/>
        </w:rPr>
        <w:t xml:space="preserve"> a través de herramientas que beneficien el desarrollo de los territorios y sus comunidades</w:t>
      </w:r>
      <w:r w:rsidRPr="00C24A08">
        <w:rPr>
          <w:rFonts w:ascii="Century Gothic" w:hAnsi="Century Gothic" w:eastAsia="Calibri" w:cs="Arial"/>
          <w:color w:val="000000" w:themeColor="text1"/>
          <w:lang w:val="es-ES_tradnl"/>
        </w:rPr>
        <w:t>”</w:t>
      </w:r>
      <w:r w:rsidRPr="00C24A08">
        <w:rPr>
          <w:rStyle w:val="Refdenotaalpie"/>
          <w:rFonts w:ascii="Century Gothic" w:hAnsi="Century Gothic" w:eastAsia="Calibri" w:cs="Arial"/>
          <w:color w:val="000000" w:themeColor="text1"/>
          <w:lang w:val="es-ES_tradnl"/>
        </w:rPr>
        <w:footnoteReference w:id="16"/>
      </w:r>
      <w:r w:rsidRPr="00C24A08">
        <w:rPr>
          <w:rFonts w:ascii="Century Gothic" w:hAnsi="Century Gothic" w:eastAsia="Calibri" w:cs="Arial"/>
          <w:color w:val="000000" w:themeColor="text1"/>
          <w:lang w:val="es-ES_tradnl"/>
        </w:rPr>
        <w:t xml:space="preserve"> (Énfasis por fuera de texto)</w:t>
      </w:r>
      <w:r w:rsidRPr="00C24A08">
        <w:rPr>
          <w:rFonts w:ascii="Century Gothic" w:hAnsi="Century Gothic" w:cs="Arial"/>
          <w:bCs/>
          <w:color w:val="000000" w:themeColor="text1"/>
          <w:lang w:eastAsia="es-MX"/>
        </w:rPr>
        <w:t xml:space="preserve">. Asimismo, el artículo 1 de la Ley 2166 de 2021 señala como objetivo de esta </w:t>
      </w:r>
      <w:r w:rsidRPr="00C24A08">
        <w:rPr>
          <w:rFonts w:ascii="Century Gothic" w:hAnsi="Century Gothic" w:eastAsia="Calibri" w:cs="Arial"/>
          <w:color w:val="000000" w:themeColor="text1"/>
          <w:lang w:val="es-ES_tradnl"/>
        </w:rPr>
        <w:t>“</w:t>
      </w:r>
      <w:r w:rsidRPr="00C24A08">
        <w:rPr>
          <w:rFonts w:ascii="Century Gothic" w:hAnsi="Century Gothic" w:eastAsia="Calibri" w:cs="Arial"/>
          <w:color w:val="000000" w:themeColor="text1"/>
        </w:rPr>
        <w:t>establecer un marco jurídico para sus relaciones con el Estado y con los particulares, así como para el cabal ejercicio de derechos y deberes</w:t>
      </w:r>
      <w:r w:rsidRPr="00C24A08">
        <w:rPr>
          <w:rFonts w:ascii="Century Gothic" w:hAnsi="Century Gothic" w:eastAsia="Calibri" w:cs="Arial"/>
          <w:color w:val="000000" w:themeColor="text1"/>
          <w:lang w:val="es-ES_tradnl"/>
        </w:rPr>
        <w:t>”</w:t>
      </w:r>
      <w:r w:rsidRPr="00C24A08">
        <w:rPr>
          <w:rFonts w:ascii="Century Gothic" w:hAnsi="Century Gothic" w:cs="Arial"/>
          <w:bCs/>
          <w:color w:val="000000" w:themeColor="text1"/>
          <w:lang w:eastAsia="es-MX"/>
        </w:rPr>
        <w:t xml:space="preserve">. De esta manera, el artículo 95 </w:t>
      </w:r>
      <w:r w:rsidRPr="00C24A08">
        <w:rPr>
          <w:rFonts w:ascii="Century Gothic" w:hAnsi="Century Gothic" w:cs="Arial"/>
          <w:bCs/>
          <w:i/>
          <w:iCs/>
          <w:color w:val="000000" w:themeColor="text1"/>
          <w:lang w:eastAsia="es-MX"/>
        </w:rPr>
        <w:t xml:space="preserve">ibidem </w:t>
      </w:r>
      <w:r w:rsidRPr="00C24A08">
        <w:rPr>
          <w:rFonts w:ascii="Century Gothic" w:hAnsi="Century Gothic" w:cs="Arial"/>
          <w:bCs/>
          <w:color w:val="000000" w:themeColor="text1"/>
          <w:lang w:eastAsia="es-MX"/>
        </w:rPr>
        <w:t>desarrolla estos objetivos</w:t>
      </w:r>
      <w:r w:rsidRPr="00C24A08">
        <w:rPr>
          <w:rFonts w:ascii="Century Gothic" w:hAnsi="Century Gothic" w:cs="Arial"/>
          <w:bCs/>
          <w:i/>
          <w:iCs/>
          <w:color w:val="000000" w:themeColor="text1"/>
          <w:lang w:eastAsia="es-MX"/>
        </w:rPr>
        <w:t xml:space="preserve"> y </w:t>
      </w:r>
      <w:r w:rsidRPr="00C24A08">
        <w:rPr>
          <w:rFonts w:ascii="Century Gothic" w:hAnsi="Century Gothic" w:cs="Arial"/>
          <w:bCs/>
          <w:color w:val="000000" w:themeColor="text1"/>
          <w:lang w:eastAsia="es-MX"/>
        </w:rPr>
        <w:t xml:space="preserve">permite la celebración de convenios solidarios con entidades territoriales del orden departamental, municipal y distrital, así como con las entidades del orden nacional.  </w:t>
      </w:r>
    </w:p>
    <w:p w:rsidRPr="00C24A08" w:rsidR="00296F67" w:rsidP="00296F67" w:rsidRDefault="00296F67" w14:paraId="43D0768C" w14:textId="77777777">
      <w:pPr>
        <w:shd w:val="clear" w:color="auto" w:fill="FFFFFF" w:themeFill="background1"/>
        <w:spacing w:before="120" w:line="276" w:lineRule="auto"/>
        <w:ind w:firstLine="709"/>
        <w:jc w:val="both"/>
        <w:rPr>
          <w:rFonts w:ascii="Century Gothic" w:hAnsi="Century Gothic" w:cs="Arial"/>
          <w:bCs/>
          <w:color w:val="000000" w:themeColor="text1"/>
          <w:lang w:eastAsia="es-MX"/>
        </w:rPr>
      </w:pPr>
      <w:r w:rsidRPr="00C24A08">
        <w:rPr>
          <w:rFonts w:ascii="Century Gothic" w:hAnsi="Century Gothic" w:cs="Arial"/>
          <w:bCs/>
          <w:color w:val="000000" w:themeColor="text1"/>
          <w:lang w:eastAsia="es-MX"/>
        </w:rPr>
        <w:t xml:space="preserve">En este sentido, el régimen de contratación directa de los convenios solidarios señalado en el artículo 95 de la Ley 2166 de 2021 únicamente puede realizarse conforme a lo dispuesto en dicha norma, de manera que no podrá extenderse a otros objetos distintos al de obra, siempre que se cumplan con los demás presupuestos indicados. </w:t>
      </w:r>
    </w:p>
    <w:p w:rsidRPr="00C24A08" w:rsidR="00296F67" w:rsidP="00296F67" w:rsidRDefault="00296F67" w14:paraId="2F60A07E" w14:textId="6D22D3D7">
      <w:pPr>
        <w:shd w:val="clear" w:color="auto" w:fill="FFFFFF" w:themeFill="background1"/>
        <w:spacing w:before="120" w:line="276" w:lineRule="auto"/>
        <w:ind w:firstLine="709"/>
        <w:jc w:val="both"/>
        <w:rPr>
          <w:rFonts w:ascii="Century Gothic" w:hAnsi="Century Gothic" w:cs="Arial"/>
          <w:bCs/>
          <w:color w:val="000000" w:themeColor="text1"/>
          <w:lang w:eastAsia="es-MX"/>
        </w:rPr>
      </w:pPr>
      <w:r w:rsidRPr="00C24A08">
        <w:rPr>
          <w:rFonts w:ascii="Century Gothic" w:hAnsi="Century Gothic" w:cs="Arial"/>
          <w:bCs/>
          <w:color w:val="000000" w:themeColor="text1"/>
          <w:lang w:eastAsia="es-MX"/>
        </w:rPr>
        <w:t xml:space="preserve">Lo anterior, sin perjuicio de la celebración de convenios solidarios con los </w:t>
      </w:r>
      <w:r w:rsidRPr="00C24A08" w:rsidR="00A05F1F">
        <w:rPr>
          <w:rFonts w:ascii="Century Gothic" w:hAnsi="Century Gothic" w:cs="Arial"/>
          <w:bCs/>
          <w:color w:val="000000" w:themeColor="text1"/>
          <w:lang w:eastAsia="es-MX"/>
        </w:rPr>
        <w:t>Organismos de Acción Comunal</w:t>
      </w:r>
      <w:r w:rsidRPr="00C24A08">
        <w:rPr>
          <w:rFonts w:ascii="Century Gothic" w:hAnsi="Century Gothic" w:cs="Arial"/>
          <w:bCs/>
          <w:color w:val="000000" w:themeColor="text1"/>
          <w:lang w:eastAsia="es-MX"/>
        </w:rPr>
        <w:t xml:space="preserve"> mediante los otros dos (2) regímenes señalados en el numeral 2.2 de este concepto, esto es, el previsto en el Decreto 092 de 2017; y el que </w:t>
      </w:r>
      <w:r w:rsidRPr="00C24A08">
        <w:rPr>
          <w:rFonts w:ascii="Century Gothic" w:hAnsi="Century Gothic" w:cs="Arial"/>
          <w:color w:val="000000" w:themeColor="text1"/>
          <w:lang w:val="es-ES" w:eastAsia="es-MX"/>
        </w:rPr>
        <w:t>se fundamenta en los parágrafos tercero y quinto del artículo 3 de la Ley 136 de 1994, los cuales deben interpretarse armónicamente con lo dispuesto en el artículo 141 de la precitada Ley y, actualmente, con el artículo 63 de la Ley 2166 de 2021</w:t>
      </w:r>
      <w:r w:rsidRPr="00C24A08">
        <w:rPr>
          <w:rStyle w:val="Refdenotaalpie"/>
          <w:rFonts w:ascii="Century Gothic" w:hAnsi="Century Gothic" w:cs="Arial"/>
          <w:color w:val="000000" w:themeColor="text1"/>
          <w:lang w:val="es-ES" w:eastAsia="es-MX"/>
        </w:rPr>
        <w:footnoteReference w:id="17"/>
      </w:r>
      <w:r w:rsidRPr="00C24A08">
        <w:rPr>
          <w:rFonts w:ascii="Century Gothic" w:hAnsi="Century Gothic" w:cs="Arial"/>
          <w:color w:val="000000" w:themeColor="text1"/>
          <w:lang w:val="es-ES" w:eastAsia="es-MX"/>
        </w:rPr>
        <w:t xml:space="preserve">. </w:t>
      </w:r>
    </w:p>
    <w:p w:rsidRPr="00C24A08" w:rsidR="00296F67" w:rsidP="00296F67" w:rsidRDefault="00BC6617" w14:paraId="28F9CE21" w14:textId="31C96250">
      <w:pPr>
        <w:shd w:val="clear" w:color="auto" w:fill="FFFFFF" w:themeFill="background1"/>
        <w:spacing w:before="120" w:after="0" w:line="276" w:lineRule="auto"/>
        <w:ind w:firstLine="709"/>
        <w:jc w:val="both"/>
        <w:rPr>
          <w:rFonts w:ascii="Century Gothic" w:hAnsi="Century Gothic" w:cs="Arial"/>
          <w:color w:val="000000" w:themeColor="text1"/>
          <w:lang w:val="es-ES" w:eastAsia="es-MX"/>
        </w:rPr>
      </w:pPr>
      <w:r w:rsidRPr="00C24A08">
        <w:rPr>
          <w:rFonts w:ascii="Century Gothic" w:hAnsi="Century Gothic" w:cs="Arial"/>
          <w:bCs/>
          <w:color w:val="000000" w:themeColor="text1"/>
          <w:lang w:eastAsia="es-MX"/>
        </w:rPr>
        <w:t>Al respecto</w:t>
      </w:r>
      <w:r w:rsidRPr="00C24A08" w:rsidR="00296F67">
        <w:rPr>
          <w:rFonts w:ascii="Century Gothic" w:hAnsi="Century Gothic" w:cs="Arial"/>
          <w:bCs/>
          <w:color w:val="000000" w:themeColor="text1"/>
          <w:lang w:eastAsia="es-MX"/>
        </w:rPr>
        <w:t xml:space="preserve">, es preciso señalar que conforme con el artículo 63 de la </w:t>
      </w:r>
      <w:r w:rsidRPr="00C24A08" w:rsidR="00296F67">
        <w:rPr>
          <w:rFonts w:ascii="Century Gothic" w:hAnsi="Century Gothic" w:cs="Arial"/>
          <w:color w:val="000000" w:themeColor="text1"/>
          <w:lang w:val="es-ES" w:eastAsia="es-MX"/>
        </w:rPr>
        <w:t xml:space="preserve">Ley 2166 de 2021, las organizaciones comunales cuentan con la posibilidad de vincularse al desarrollo y mejoramiento municipal mediante la participación en el ejercicio de las funciones, la prestación de servicios o la ejecución de obras públicas a cargo de la administración central o descentralizada. El tenor literal de este artículo es el siguiente: </w:t>
      </w:r>
    </w:p>
    <w:p w:rsidRPr="00C24A08" w:rsidR="00296F67" w:rsidP="00296F67" w:rsidRDefault="00296F67" w14:paraId="12657EFD" w14:textId="77777777">
      <w:pPr>
        <w:shd w:val="clear" w:color="auto" w:fill="FFFFFF" w:themeFill="background1"/>
        <w:spacing w:after="0" w:line="276" w:lineRule="auto"/>
        <w:ind w:firstLine="709"/>
        <w:jc w:val="both"/>
        <w:rPr>
          <w:rFonts w:ascii="Century Gothic" w:hAnsi="Century Gothic" w:cs="Arial"/>
          <w:color w:val="000000" w:themeColor="text1"/>
          <w:lang w:val="es-ES" w:eastAsia="es-MX"/>
        </w:rPr>
      </w:pPr>
    </w:p>
    <w:p w:rsidRPr="00C24A08" w:rsidR="00296F67" w:rsidP="00296F67" w:rsidRDefault="00296F67" w14:paraId="5AC56FD3" w14:textId="77777777">
      <w:pPr>
        <w:shd w:val="clear" w:color="auto" w:fill="FFFFFF" w:themeFill="background1"/>
        <w:spacing w:after="120" w:line="240" w:lineRule="auto"/>
        <w:ind w:left="709" w:right="709"/>
        <w:jc w:val="both"/>
        <w:rPr>
          <w:rFonts w:ascii="Century Gothic" w:hAnsi="Century Gothic" w:cs="Arial"/>
          <w:color w:val="000000" w:themeColor="text1"/>
          <w:sz w:val="21"/>
          <w:szCs w:val="21"/>
        </w:rPr>
      </w:pPr>
      <w:bookmarkStart w:name="63" w:id="9"/>
      <w:r w:rsidRPr="00C24A08">
        <w:rPr>
          <w:rFonts w:ascii="Century Gothic" w:hAnsi="Century Gothic" w:cs="Arial"/>
          <w:color w:val="000000" w:themeColor="text1"/>
          <w:sz w:val="21"/>
          <w:szCs w:val="21"/>
        </w:rPr>
        <w:t>“Artículo 63.</w:t>
      </w:r>
      <w:bookmarkEnd w:id="9"/>
      <w:r w:rsidRPr="00C24A08">
        <w:rPr>
          <w:rFonts w:ascii="Century Gothic" w:hAnsi="Century Gothic" w:cs="Arial"/>
          <w:color w:val="000000" w:themeColor="text1"/>
          <w:sz w:val="21"/>
          <w:szCs w:val="21"/>
        </w:rPr>
        <w:t> Conforme con el artículo </w:t>
      </w:r>
      <w:hyperlink w:history="1" w:anchor="141" r:id="rId11">
        <w:r w:rsidRPr="00C24A08">
          <w:rPr>
            <w:rFonts w:ascii="Century Gothic" w:hAnsi="Century Gothic" w:cs="Arial"/>
            <w:color w:val="000000" w:themeColor="text1"/>
            <w:sz w:val="21"/>
            <w:szCs w:val="21"/>
          </w:rPr>
          <w:t>141</w:t>
        </w:r>
      </w:hyperlink>
      <w:r w:rsidRPr="00C24A08">
        <w:rPr>
          <w:rFonts w:ascii="Century Gothic" w:hAnsi="Century Gothic" w:cs="Arial"/>
          <w:color w:val="000000" w:themeColor="text1"/>
          <w:sz w:val="21"/>
          <w:szCs w:val="21"/>
        </w:rPr>
        <w:t>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rsidRPr="00C24A08" w:rsidR="00296F67" w:rsidP="00296F67" w:rsidRDefault="00296F67" w14:paraId="635FC92B" w14:textId="77777777">
      <w:pPr>
        <w:shd w:val="clear" w:color="auto" w:fill="FFFFFF" w:themeFill="background1"/>
        <w:spacing w:after="120" w:line="240" w:lineRule="auto"/>
        <w:ind w:left="709" w:right="709"/>
        <w:jc w:val="both"/>
        <w:rPr>
          <w:rFonts w:ascii="Century Gothic" w:hAnsi="Century Gothic" w:cs="Arial"/>
          <w:color w:val="000000" w:themeColor="text1"/>
          <w:sz w:val="21"/>
          <w:szCs w:val="21"/>
        </w:rPr>
      </w:pPr>
      <w:r w:rsidRPr="00C24A08">
        <w:rPr>
          <w:rFonts w:ascii="Century Gothic" w:hAnsi="Century Gothic" w:cs="Arial"/>
          <w:color w:val="000000" w:themeColor="text1"/>
          <w:sz w:val="21"/>
          <w:szCs w:val="21"/>
        </w:rPr>
        <w:t>PARÁGRAFO 1o. Los organismos de Acción Comunal podrán contratar con las entidades territoriales hasta por la menor cuantía de dicha entidad de conformidad con la ley.</w:t>
      </w:r>
    </w:p>
    <w:p w:rsidRPr="00C24A08" w:rsidR="00296F67" w:rsidP="00296F67" w:rsidRDefault="00296F67" w14:paraId="6CB55674" w14:textId="77777777">
      <w:pPr>
        <w:shd w:val="clear" w:color="auto" w:fill="FFFFFF" w:themeFill="background1"/>
        <w:spacing w:after="0" w:line="240" w:lineRule="auto"/>
        <w:ind w:left="709" w:right="709"/>
        <w:jc w:val="both"/>
        <w:rPr>
          <w:rFonts w:ascii="Century Gothic" w:hAnsi="Century Gothic" w:cs="Arial"/>
          <w:color w:val="000000" w:themeColor="text1"/>
          <w:sz w:val="21"/>
          <w:szCs w:val="21"/>
        </w:rPr>
      </w:pPr>
      <w:r w:rsidRPr="00C24A08">
        <w:rPr>
          <w:rFonts w:ascii="Century Gothic" w:hAnsi="Century Gothic" w:cs="Arial"/>
          <w:color w:val="000000" w:themeColor="text1"/>
          <w:sz w:val="21"/>
          <w:szCs w:val="21"/>
        </w:rPr>
        <w:t xml:space="preserve">PARÁGRAFO 2o. Los denominados convenios solidarios y contratos interadministrativos de mínima, que trata el presente artículo también podrán ser celebrados </w:t>
      </w:r>
      <w:bookmarkStart w:name="_Hlk98592569" w:id="10"/>
      <w:r w:rsidRPr="00C24A08">
        <w:rPr>
          <w:rFonts w:ascii="Century Gothic" w:hAnsi="Century Gothic" w:cs="Arial"/>
          <w:color w:val="000000" w:themeColor="text1"/>
          <w:sz w:val="21"/>
          <w:szCs w:val="21"/>
        </w:rPr>
        <w:t xml:space="preserve">entre las entidades del orden nacional, departamental, distrital, local y municipal y los organismos de acción comunal </w:t>
      </w:r>
      <w:bookmarkEnd w:id="10"/>
      <w:r w:rsidRPr="00C24A08">
        <w:rPr>
          <w:rFonts w:ascii="Century Gothic" w:hAnsi="Century Gothic" w:cs="Arial"/>
          <w:color w:val="000000" w:themeColor="text1"/>
          <w:sz w:val="21"/>
          <w:szCs w:val="21"/>
        </w:rPr>
        <w:t>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w:history="1" w:anchor="281" r:id="rId12">
        <w:r w:rsidRPr="00C24A08">
          <w:rPr>
            <w:rFonts w:ascii="Century Gothic" w:hAnsi="Century Gothic" w:cs="Arial"/>
            <w:color w:val="000000" w:themeColor="text1"/>
            <w:sz w:val="21"/>
            <w:szCs w:val="21"/>
          </w:rPr>
          <w:t>281</w:t>
        </w:r>
      </w:hyperlink>
      <w:r w:rsidRPr="00C24A08">
        <w:rPr>
          <w:rFonts w:ascii="Century Gothic" w:hAnsi="Century Gothic" w:cs="Arial"/>
          <w:color w:val="000000" w:themeColor="text1"/>
          <w:sz w:val="21"/>
          <w:szCs w:val="21"/>
        </w:rPr>
        <w:t> de la Ley 1955 de 2019”.</w:t>
      </w:r>
    </w:p>
    <w:p w:rsidRPr="00C24A08" w:rsidR="00296F67" w:rsidP="00296F67" w:rsidRDefault="00296F67" w14:paraId="03C28632" w14:textId="77777777">
      <w:pPr>
        <w:shd w:val="clear" w:color="auto" w:fill="FFFFFF" w:themeFill="background1"/>
        <w:spacing w:after="0"/>
        <w:ind w:left="709" w:right="709"/>
        <w:jc w:val="both"/>
        <w:rPr>
          <w:rFonts w:ascii="Century Gothic" w:hAnsi="Century Gothic" w:cs="Arial"/>
          <w:color w:val="000000" w:themeColor="text1"/>
        </w:rPr>
      </w:pPr>
    </w:p>
    <w:p w:rsidRPr="00C24A08" w:rsidR="00296F67" w:rsidP="00296F67" w:rsidRDefault="00296F67" w14:paraId="58A2EEED" w14:textId="5B82F971">
      <w:pPr>
        <w:shd w:val="clear" w:color="auto" w:fill="FFFFFF" w:themeFill="background1"/>
        <w:spacing w:after="0" w:line="276" w:lineRule="auto"/>
        <w:ind w:firstLine="709"/>
        <w:jc w:val="both"/>
        <w:rPr>
          <w:rFonts w:ascii="Century Gothic" w:hAnsi="Century Gothic" w:cs="Arial"/>
          <w:bCs/>
          <w:color w:val="000000" w:themeColor="text1"/>
          <w:lang w:eastAsia="es-MX"/>
        </w:rPr>
      </w:pPr>
      <w:r w:rsidRPr="00C24A08">
        <w:rPr>
          <w:rFonts w:ascii="Century Gothic" w:hAnsi="Century Gothic" w:cs="Arial"/>
          <w:color w:val="000000" w:themeColor="text1"/>
          <w:lang w:val="es-ES" w:eastAsia="es-MX"/>
        </w:rPr>
        <w:t xml:space="preserve">Es necesario tener en cuenta que </w:t>
      </w:r>
      <w:r w:rsidRPr="00C24A08">
        <w:rPr>
          <w:rFonts w:ascii="Century Gothic" w:hAnsi="Century Gothic" w:cs="Arial"/>
          <w:color w:val="000000" w:themeColor="text1"/>
          <w:lang w:eastAsia="es-MX"/>
        </w:rPr>
        <w:t xml:space="preserve">esta </w:t>
      </w:r>
      <w:r w:rsidRPr="00C24A08">
        <w:rPr>
          <w:rFonts w:ascii="Century Gothic" w:hAnsi="Century Gothic" w:cs="Arial"/>
          <w:color w:val="000000" w:themeColor="text1"/>
          <w:lang w:val="es-ES" w:eastAsia="es-MX"/>
        </w:rPr>
        <w:t xml:space="preserve">disposición contempla supuestos distintos al establecido en el artículo 95 de la Ley 2166 de 2021. En efecto, el parágrafo 2 del artículo 63 </w:t>
      </w:r>
      <w:r w:rsidRPr="00C24A08">
        <w:rPr>
          <w:rFonts w:ascii="Century Gothic" w:hAnsi="Century Gothic" w:cs="Arial"/>
          <w:i/>
          <w:iCs/>
          <w:color w:val="000000" w:themeColor="text1"/>
          <w:lang w:val="es-ES" w:eastAsia="es-MX"/>
        </w:rPr>
        <w:t xml:space="preserve">ibidem </w:t>
      </w:r>
      <w:r w:rsidRPr="00C24A08">
        <w:rPr>
          <w:rFonts w:ascii="Century Gothic" w:hAnsi="Century Gothic" w:cs="Arial"/>
          <w:color w:val="000000" w:themeColor="text1"/>
          <w:lang w:val="es-ES" w:eastAsia="es-MX"/>
        </w:rPr>
        <w:t xml:space="preserve">permite la celebración de convenios solidarios con </w:t>
      </w:r>
      <w:r w:rsidRPr="00C24A08" w:rsidR="00A05F1F">
        <w:rPr>
          <w:rFonts w:ascii="Century Gothic" w:hAnsi="Century Gothic" w:cs="Arial"/>
          <w:color w:val="000000" w:themeColor="text1"/>
          <w:lang w:eastAsia="es-MX"/>
        </w:rPr>
        <w:t>Organismos de Acción Comunal</w:t>
      </w:r>
      <w:r w:rsidRPr="00C24A08">
        <w:rPr>
          <w:rFonts w:ascii="Century Gothic" w:hAnsi="Century Gothic" w:cs="Arial"/>
          <w:color w:val="000000" w:themeColor="text1"/>
          <w:lang w:eastAsia="es-MX"/>
        </w:rPr>
        <w:t xml:space="preserve"> con la finalidad de que estos se vinculen al desarrollo y mejoramiento municipal mediante: i) su participación en el ejercicio de sus funciones, </w:t>
      </w:r>
      <w:proofErr w:type="spellStart"/>
      <w:r w:rsidRPr="00C24A08">
        <w:rPr>
          <w:rFonts w:ascii="Century Gothic" w:hAnsi="Century Gothic" w:cs="Arial"/>
          <w:color w:val="000000" w:themeColor="text1"/>
          <w:lang w:eastAsia="es-MX"/>
        </w:rPr>
        <w:t>ii</w:t>
      </w:r>
      <w:proofErr w:type="spellEnd"/>
      <w:r w:rsidRPr="00C24A08">
        <w:rPr>
          <w:rFonts w:ascii="Century Gothic" w:hAnsi="Century Gothic" w:cs="Arial"/>
          <w:color w:val="000000" w:themeColor="text1"/>
          <w:lang w:eastAsia="es-MX"/>
        </w:rPr>
        <w:t xml:space="preserve">) la prestación de bienes y servicios o </w:t>
      </w:r>
      <w:proofErr w:type="spellStart"/>
      <w:r w:rsidRPr="00C24A08">
        <w:rPr>
          <w:rFonts w:ascii="Century Gothic" w:hAnsi="Century Gothic" w:cs="Arial"/>
          <w:color w:val="000000" w:themeColor="text1"/>
          <w:lang w:eastAsia="es-MX"/>
        </w:rPr>
        <w:t>iii</w:t>
      </w:r>
      <w:proofErr w:type="spellEnd"/>
      <w:r w:rsidRPr="00C24A08">
        <w:rPr>
          <w:rFonts w:ascii="Century Gothic" w:hAnsi="Century Gothic" w:cs="Arial"/>
          <w:color w:val="000000" w:themeColor="text1"/>
          <w:lang w:eastAsia="es-MX"/>
        </w:rPr>
        <w:t>) la ejecución de obras públicas</w:t>
      </w:r>
      <w:r w:rsidRPr="00C24A08">
        <w:rPr>
          <w:rFonts w:ascii="Century Gothic" w:hAnsi="Century Gothic" w:cs="Arial"/>
          <w:color w:val="000000" w:themeColor="text1"/>
          <w:sz w:val="21"/>
          <w:szCs w:val="21"/>
        </w:rPr>
        <w:t xml:space="preserve"> </w:t>
      </w:r>
      <w:r w:rsidRPr="00C24A08">
        <w:rPr>
          <w:rFonts w:ascii="Century Gothic" w:hAnsi="Century Gothic" w:cs="Arial"/>
          <w:color w:val="000000" w:themeColor="text1"/>
          <w:lang w:eastAsia="es-MX"/>
        </w:rPr>
        <w:t>cargo de la administración central o descentralizada</w:t>
      </w:r>
      <w:r w:rsidRPr="00C24A08" w:rsidR="005D25EB">
        <w:rPr>
          <w:rFonts w:ascii="Century Gothic" w:hAnsi="Century Gothic" w:cs="Arial"/>
          <w:color w:val="000000" w:themeColor="text1"/>
          <w:lang w:eastAsia="es-MX"/>
        </w:rPr>
        <w:t xml:space="preserve">, todos estos objetos contractuales </w:t>
      </w:r>
      <w:r w:rsidRPr="00C24A08" w:rsidR="005D25EB">
        <w:rPr>
          <w:rFonts w:ascii="Century Gothic" w:hAnsi="Century Gothic" w:cs="Arial"/>
          <w:color w:val="000000" w:themeColor="text1"/>
          <w:sz w:val="21"/>
          <w:szCs w:val="21"/>
        </w:rPr>
        <w:t>hasta por la menor cuantía de la Entidad</w:t>
      </w:r>
      <w:r w:rsidRPr="00C24A08">
        <w:rPr>
          <w:rFonts w:ascii="Century Gothic" w:hAnsi="Century Gothic" w:cs="Arial"/>
          <w:color w:val="000000" w:themeColor="text1"/>
          <w:lang w:eastAsia="es-MX"/>
        </w:rPr>
        <w:t xml:space="preserve">. Además, con fundamento en este artículo, las entidades del orden nacional, departamental, distrital, local y municipal y los </w:t>
      </w:r>
      <w:r w:rsidRPr="00C24A08" w:rsidR="00A05F1F">
        <w:rPr>
          <w:rFonts w:ascii="Century Gothic" w:hAnsi="Century Gothic" w:cs="Arial"/>
          <w:color w:val="000000" w:themeColor="text1"/>
          <w:lang w:eastAsia="es-MX"/>
        </w:rPr>
        <w:t>Organismos de Acción Comunal</w:t>
      </w:r>
      <w:r w:rsidRPr="00C24A08">
        <w:rPr>
          <w:rFonts w:ascii="Century Gothic" w:hAnsi="Century Gothic" w:cs="Arial"/>
          <w:color w:val="000000" w:themeColor="text1"/>
          <w:lang w:eastAsia="es-MX"/>
        </w:rPr>
        <w:t xml:space="preserve">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w:t>
      </w:r>
      <w:r w:rsidRPr="00C24A08" w:rsidR="005D2F51">
        <w:rPr>
          <w:rFonts w:ascii="Century Gothic" w:hAnsi="Century Gothic" w:cs="Arial"/>
          <w:color w:val="000000" w:themeColor="text1"/>
          <w:lang w:eastAsia="es-MX"/>
        </w:rPr>
        <w:t xml:space="preserve"> </w:t>
      </w:r>
      <w:hyperlink w:history="1" w:anchor="281" r:id="rId13">
        <w:r w:rsidRPr="00C24A08">
          <w:rPr>
            <w:rStyle w:val="Hipervnculo"/>
            <w:rFonts w:ascii="Century Gothic" w:hAnsi="Century Gothic" w:cs="Arial"/>
            <w:color w:val="000000" w:themeColor="text1"/>
            <w:lang w:eastAsia="es-MX"/>
          </w:rPr>
          <w:t>281</w:t>
        </w:r>
      </w:hyperlink>
      <w:r w:rsidRPr="00C24A08" w:rsidR="005D2F51">
        <w:rPr>
          <w:rFonts w:ascii="Century Gothic" w:hAnsi="Century Gothic" w:cs="Arial"/>
          <w:color w:val="000000" w:themeColor="text1"/>
          <w:lang w:eastAsia="es-MX"/>
        </w:rPr>
        <w:t xml:space="preserve"> </w:t>
      </w:r>
      <w:r w:rsidRPr="00C24A08">
        <w:rPr>
          <w:rFonts w:ascii="Century Gothic" w:hAnsi="Century Gothic" w:cs="Arial"/>
          <w:color w:val="000000" w:themeColor="text1"/>
          <w:lang w:eastAsia="es-MX"/>
        </w:rPr>
        <w:t xml:space="preserve">de la Ley 1955 de 2019. Como se observa, la norma señalada contempla diversos objetos para la celebración de convenios solidarios, mientras que en contraste el artículo 95 </w:t>
      </w:r>
      <w:r w:rsidRPr="00C24A08">
        <w:rPr>
          <w:rFonts w:ascii="Century Gothic" w:hAnsi="Century Gothic" w:cs="Arial"/>
          <w:color w:val="000000" w:themeColor="text1"/>
          <w:lang w:val="es-ES" w:eastAsia="es-MX"/>
        </w:rPr>
        <w:t xml:space="preserve">de la Ley 2166 de 2021 permite la ejecución de obras. De hecho, este aspecto también fue reglamentado por el Decreto 142 de 2023, el cual </w:t>
      </w:r>
      <w:r w:rsidRPr="00C24A08">
        <w:rPr>
          <w:rFonts w:ascii="Century Gothic" w:hAnsi="Century Gothic" w:cs="Arial"/>
          <w:bCs/>
          <w:color w:val="000000" w:themeColor="text1"/>
          <w:lang w:eastAsia="es-MX"/>
        </w:rPr>
        <w:t>adiciona el artículo 2.2.15.1.2 del Decreto 1082 de 2015 prescribiendo lo siguiente:</w:t>
      </w:r>
    </w:p>
    <w:p w:rsidRPr="00C24A08" w:rsidR="00296F67" w:rsidP="00296F67" w:rsidRDefault="00296F67" w14:paraId="7DB4CDDD" w14:textId="77777777">
      <w:pPr>
        <w:shd w:val="clear" w:color="auto" w:fill="FFFFFF" w:themeFill="background1"/>
        <w:spacing w:after="0" w:line="276" w:lineRule="auto"/>
        <w:ind w:firstLine="709"/>
        <w:jc w:val="both"/>
        <w:rPr>
          <w:rFonts w:ascii="Century Gothic" w:hAnsi="Century Gothic" w:cs="Arial"/>
          <w:bCs/>
          <w:color w:val="000000" w:themeColor="text1"/>
          <w:lang w:eastAsia="es-MX"/>
        </w:rPr>
      </w:pPr>
    </w:p>
    <w:p w:rsidRPr="00C24A08" w:rsidR="00296F67" w:rsidP="00296F67" w:rsidRDefault="00296F67" w14:paraId="1C4A9A56" w14:textId="77777777">
      <w:pPr>
        <w:shd w:val="clear" w:color="auto" w:fill="FFFFFF" w:themeFill="background1"/>
        <w:spacing w:after="120" w:line="240" w:lineRule="auto"/>
        <w:ind w:left="709" w:right="709"/>
        <w:jc w:val="both"/>
        <w:rPr>
          <w:rFonts w:ascii="Century Gothic" w:hAnsi="Century Gothic" w:cs="Arial"/>
          <w:bCs/>
          <w:color w:val="000000" w:themeColor="text1"/>
          <w:sz w:val="21"/>
          <w:szCs w:val="21"/>
          <w:lang w:val="es-MX" w:eastAsia="es-MX"/>
        </w:rPr>
      </w:pPr>
      <w:r w:rsidRPr="00C24A08">
        <w:rPr>
          <w:rFonts w:ascii="Century Gothic" w:hAnsi="Century Gothic" w:cs="Arial"/>
          <w:bCs/>
          <w:color w:val="000000" w:themeColor="text1"/>
          <w:sz w:val="21"/>
          <w:szCs w:val="21"/>
          <w:lang w:val="es-MX" w:eastAsia="es-MX"/>
        </w:rPr>
        <w:t>“Artículo 2.2.15.1.3. Convenios solidarios para el desarrollo de programas. En el marco de lo dispuesto en el numeral 16 del artículo 3° de la Ley 136 de 1994, modificado por el artículo 6° de la Ley 1551 de 2012, y el parágrafo 2° del artículo 63 de la Ley 2166 de 2021 entidades del orden nacional, departamental, distrital, local y municipal podrán celebrar convenios solidarios con los cabildos, las autoridades y organizaciones indígenas, los organismos de acción comunal y demás organizaciones civiles y asociaciones residentes en el territorio, para el desarrollo conjunto de programas. </w:t>
      </w:r>
    </w:p>
    <w:p w:rsidRPr="00C24A08" w:rsidR="00296F67" w:rsidP="00296F67" w:rsidRDefault="00296F67" w14:paraId="750FA33D" w14:textId="77777777">
      <w:pPr>
        <w:shd w:val="clear" w:color="auto" w:fill="FFFFFF" w:themeFill="background1"/>
        <w:spacing w:after="0" w:line="240" w:lineRule="auto"/>
        <w:ind w:left="709" w:right="709"/>
        <w:jc w:val="both"/>
        <w:rPr>
          <w:rFonts w:ascii="Century Gothic" w:hAnsi="Century Gothic" w:cs="Arial"/>
          <w:bCs/>
          <w:color w:val="000000" w:themeColor="text1"/>
          <w:sz w:val="21"/>
          <w:szCs w:val="21"/>
          <w:lang w:val="es-MX" w:eastAsia="es-MX"/>
        </w:rPr>
      </w:pPr>
      <w:r w:rsidRPr="00C24A08">
        <w:rPr>
          <w:rFonts w:ascii="Century Gothic" w:hAnsi="Century Gothic" w:cs="Arial"/>
          <w:bCs/>
          <w:color w:val="000000" w:themeColor="text1"/>
          <w:sz w:val="21"/>
          <w:szCs w:val="21"/>
          <w:lang w:val="es-MX" w:eastAsia="es-MX"/>
        </w:rPr>
        <w:t>El objeto de estos convenios solidarios debe estar dirigido al impulso de programas y actividades de interés público acordes con los planes de desarrollo territoriales o el plan nacional de desarrollo. En consideración a este alcance es necesario que previo al proceso de planeación, selección y contratación, se verifique que el objeto derive de una consagración expresa en el instrumento de planificación de la escala respectiva”. </w:t>
      </w:r>
    </w:p>
    <w:p w:rsidRPr="00C24A08" w:rsidR="00296F67" w:rsidP="00296F67" w:rsidRDefault="00296F67" w14:paraId="73F65EBB" w14:textId="77777777">
      <w:pPr>
        <w:shd w:val="clear" w:color="auto" w:fill="FFFFFF" w:themeFill="background1"/>
        <w:spacing w:after="0" w:line="276" w:lineRule="auto"/>
        <w:ind w:firstLine="709"/>
        <w:jc w:val="both"/>
        <w:rPr>
          <w:rFonts w:ascii="Century Gothic" w:hAnsi="Century Gothic" w:cs="Arial"/>
          <w:bCs/>
          <w:color w:val="000000" w:themeColor="text1"/>
          <w:lang w:eastAsia="es-MX"/>
        </w:rPr>
      </w:pPr>
    </w:p>
    <w:p w:rsidRPr="00C24A08" w:rsidR="00296F67" w:rsidP="00296F67" w:rsidRDefault="00296F67" w14:paraId="4D9D2AA3" w14:textId="1509A27E">
      <w:pPr>
        <w:shd w:val="clear" w:color="auto" w:fill="FFFFFF" w:themeFill="background1"/>
        <w:spacing w:after="0" w:line="276" w:lineRule="auto"/>
        <w:ind w:firstLine="709"/>
        <w:jc w:val="both"/>
        <w:rPr>
          <w:rFonts w:ascii="Century Gothic" w:hAnsi="Century Gothic" w:cs="Arial"/>
          <w:color w:val="000000" w:themeColor="text1"/>
          <w:lang w:val="es-ES" w:eastAsia="es-MX"/>
        </w:rPr>
      </w:pPr>
      <w:r w:rsidRPr="00C24A08">
        <w:rPr>
          <w:rFonts w:ascii="Century Gothic" w:hAnsi="Century Gothic" w:cs="Arial"/>
          <w:color w:val="000000" w:themeColor="text1"/>
          <w:lang w:eastAsia="es-MX"/>
        </w:rPr>
        <w:t xml:space="preserve">Aunado a lo anterior, para la celebración de dichos convenios el inciso primero del citado artículo 63 remite al artículo 141 de la Ley 136 de 1994, en virtud del cual </w:t>
      </w:r>
      <w:r w:rsidRPr="00C24A08">
        <w:rPr>
          <w:rFonts w:ascii="Century Gothic" w:hAnsi="Century Gothic" w:eastAsia="Calibri" w:cs="Arial"/>
          <w:color w:val="000000" w:themeColor="text1"/>
          <w:lang w:val="es-ES_tradnl"/>
        </w:rPr>
        <w:t>“</w:t>
      </w:r>
      <w:r w:rsidRPr="00C24A08">
        <w:rPr>
          <w:rFonts w:ascii="Century Gothic" w:hAnsi="Century Gothic" w:cs="Arial"/>
          <w:i/>
          <w:iCs/>
          <w:color w:val="000000" w:themeColor="text1"/>
          <w:lang w:eastAsia="es-MX"/>
        </w:rPr>
        <w:t>Los contratos o convenios que se celebren en desarrollo del artículo anterior, se sujetarán a lo dispuesto por los artículos</w:t>
      </w:r>
      <w:r w:rsidRPr="00C24A08" w:rsidR="00BC755E">
        <w:rPr>
          <w:rFonts w:ascii="Century Gothic" w:hAnsi="Century Gothic" w:cs="Arial"/>
          <w:i/>
          <w:iCs/>
          <w:color w:val="000000" w:themeColor="text1"/>
          <w:lang w:eastAsia="es-MX"/>
        </w:rPr>
        <w:t xml:space="preserve"> </w:t>
      </w:r>
      <w:hyperlink w:history="1" w:anchor="375" r:id="rId14">
        <w:r w:rsidRPr="00C24A08">
          <w:rPr>
            <w:rStyle w:val="Hipervnculo"/>
            <w:rFonts w:ascii="Century Gothic" w:hAnsi="Century Gothic" w:cs="Arial"/>
            <w:i/>
            <w:iCs/>
            <w:color w:val="000000" w:themeColor="text1"/>
            <w:lang w:eastAsia="es-MX"/>
          </w:rPr>
          <w:t>375</w:t>
        </w:r>
      </w:hyperlink>
      <w:r w:rsidRPr="00C24A08" w:rsidR="00BC755E">
        <w:rPr>
          <w:rFonts w:ascii="Century Gothic" w:hAnsi="Century Gothic" w:cs="Arial"/>
          <w:i/>
          <w:iCs/>
          <w:color w:val="000000" w:themeColor="text1"/>
          <w:lang w:eastAsia="es-MX"/>
        </w:rPr>
        <w:t xml:space="preserve"> </w:t>
      </w:r>
      <w:r w:rsidRPr="00C24A08">
        <w:rPr>
          <w:rFonts w:ascii="Century Gothic" w:hAnsi="Century Gothic" w:cs="Arial"/>
          <w:i/>
          <w:iCs/>
          <w:color w:val="000000" w:themeColor="text1"/>
          <w:lang w:eastAsia="es-MX"/>
        </w:rPr>
        <w:t>a</w:t>
      </w:r>
      <w:r w:rsidRPr="00C24A08" w:rsidR="00BC755E">
        <w:rPr>
          <w:rFonts w:ascii="Century Gothic" w:hAnsi="Century Gothic" w:cs="Arial"/>
          <w:i/>
          <w:iCs/>
          <w:color w:val="000000" w:themeColor="text1"/>
          <w:lang w:eastAsia="es-MX"/>
        </w:rPr>
        <w:t xml:space="preserve"> </w:t>
      </w:r>
      <w:hyperlink w:history="1" w:anchor="378" r:id="rId15">
        <w:r w:rsidRPr="00C24A08">
          <w:rPr>
            <w:rStyle w:val="Hipervnculo"/>
            <w:rFonts w:ascii="Century Gothic" w:hAnsi="Century Gothic" w:cs="Arial"/>
            <w:i/>
            <w:iCs/>
            <w:color w:val="000000" w:themeColor="text1"/>
            <w:lang w:eastAsia="es-MX"/>
          </w:rPr>
          <w:t>378</w:t>
        </w:r>
      </w:hyperlink>
      <w:r w:rsidRPr="00C24A08" w:rsidR="00BC755E">
        <w:rPr>
          <w:rFonts w:ascii="Century Gothic" w:hAnsi="Century Gothic" w:cs="Arial"/>
          <w:i/>
          <w:iCs/>
          <w:color w:val="000000" w:themeColor="text1"/>
          <w:lang w:eastAsia="es-MX"/>
        </w:rPr>
        <w:t xml:space="preserve"> </w:t>
      </w:r>
      <w:r w:rsidRPr="00C24A08">
        <w:rPr>
          <w:rFonts w:ascii="Century Gothic" w:hAnsi="Century Gothic" w:cs="Arial"/>
          <w:i/>
          <w:iCs/>
          <w:color w:val="000000" w:themeColor="text1"/>
          <w:lang w:eastAsia="es-MX"/>
        </w:rPr>
        <w:t>del Decreto 1333 de 1986 y la Ley</w:t>
      </w:r>
      <w:r w:rsidRPr="00C24A08" w:rsidR="00BC755E">
        <w:rPr>
          <w:rFonts w:ascii="Century Gothic" w:hAnsi="Century Gothic" w:cs="Arial"/>
          <w:i/>
          <w:iCs/>
          <w:color w:val="000000" w:themeColor="text1"/>
          <w:lang w:eastAsia="es-MX"/>
        </w:rPr>
        <w:t xml:space="preserve"> </w:t>
      </w:r>
      <w:hyperlink w:history="1" w:anchor="inicio" r:id="rId16">
        <w:r w:rsidRPr="00C24A08">
          <w:rPr>
            <w:rStyle w:val="Hipervnculo"/>
            <w:rFonts w:ascii="Century Gothic" w:hAnsi="Century Gothic" w:cs="Arial"/>
            <w:i/>
            <w:iCs/>
            <w:color w:val="000000" w:themeColor="text1"/>
            <w:lang w:eastAsia="es-MX"/>
          </w:rPr>
          <w:t>80</w:t>
        </w:r>
      </w:hyperlink>
      <w:r w:rsidRPr="00C24A08" w:rsidR="00BC755E">
        <w:rPr>
          <w:rFonts w:ascii="Century Gothic" w:hAnsi="Century Gothic" w:cs="Arial"/>
          <w:i/>
          <w:iCs/>
          <w:color w:val="000000" w:themeColor="text1"/>
          <w:lang w:eastAsia="es-MX"/>
        </w:rPr>
        <w:t xml:space="preserve"> </w:t>
      </w:r>
      <w:r w:rsidRPr="00C24A08">
        <w:rPr>
          <w:rFonts w:ascii="Century Gothic" w:hAnsi="Century Gothic" w:cs="Arial"/>
          <w:i/>
          <w:iCs/>
          <w:color w:val="000000" w:themeColor="text1"/>
          <w:lang w:eastAsia="es-MX"/>
        </w:rPr>
        <w:t>de 1993</w:t>
      </w:r>
      <w:r w:rsidRPr="00C24A08">
        <w:rPr>
          <w:rFonts w:ascii="Century Gothic" w:hAnsi="Century Gothic" w:eastAsia="Calibri" w:cs="Arial"/>
          <w:i/>
          <w:iCs/>
          <w:color w:val="000000" w:themeColor="text1"/>
          <w:lang w:val="es-ES_tradnl"/>
        </w:rPr>
        <w:t>”</w:t>
      </w:r>
      <w:r w:rsidRPr="00C24A08">
        <w:rPr>
          <w:rFonts w:ascii="Century Gothic" w:hAnsi="Century Gothic" w:cs="Arial"/>
          <w:i/>
          <w:iCs/>
          <w:color w:val="000000" w:themeColor="text1"/>
          <w:lang w:eastAsia="es-MX"/>
        </w:rPr>
        <w:t>.</w:t>
      </w:r>
      <w:r w:rsidRPr="00C24A08">
        <w:rPr>
          <w:rFonts w:ascii="Century Gothic" w:hAnsi="Century Gothic" w:cs="Arial"/>
          <w:color w:val="000000" w:themeColor="text1"/>
          <w:lang w:eastAsia="es-MX"/>
        </w:rPr>
        <w:t xml:space="preserve"> En este sentido, retomando las consideraciones de los conceptos de esta Agencia, en este caso resulta aplicable el tercer régimen expuesto en el numeral 2.2. Esto implica que los convenios solidarios que se celebren con fundamento el artículo 63 de la Ley </w:t>
      </w:r>
      <w:r w:rsidRPr="00C24A08">
        <w:rPr>
          <w:rFonts w:ascii="Century Gothic" w:hAnsi="Century Gothic" w:cs="Arial"/>
          <w:color w:val="000000" w:themeColor="text1"/>
          <w:lang w:val="es-ES" w:eastAsia="es-MX"/>
        </w:rPr>
        <w:t>2166 de 2021</w:t>
      </w:r>
      <w:r w:rsidRPr="00C24A08">
        <w:rPr>
          <w:rFonts w:ascii="Century Gothic" w:hAnsi="Century Gothic" w:cs="Arial"/>
          <w:color w:val="000000" w:themeColor="text1"/>
          <w:lang w:val="es-ES"/>
        </w:rPr>
        <w:t xml:space="preserve"> deben interpretarse armónicamente con </w:t>
      </w:r>
      <w:r w:rsidRPr="00C24A08">
        <w:rPr>
          <w:rFonts w:ascii="Century Gothic" w:hAnsi="Century Gothic" w:cs="Arial"/>
          <w:color w:val="000000" w:themeColor="text1"/>
          <w:lang w:eastAsia="es-MX"/>
        </w:rPr>
        <w:t xml:space="preserve">el artículo 141 de la Ley 136 de 1994 y </w:t>
      </w:r>
      <w:r w:rsidRPr="00C24A08">
        <w:rPr>
          <w:rFonts w:ascii="Century Gothic" w:hAnsi="Century Gothic" w:cs="Arial"/>
          <w:color w:val="000000" w:themeColor="text1"/>
          <w:lang w:val="es-ES"/>
        </w:rPr>
        <w:t>los parágrafos tercero y quinto del artículo tercero de la Ley 136 de 1994</w:t>
      </w:r>
      <w:r w:rsidRPr="00C24A08">
        <w:rPr>
          <w:rFonts w:ascii="Century Gothic" w:hAnsi="Century Gothic" w:cs="Arial"/>
          <w:color w:val="000000" w:themeColor="text1"/>
          <w:lang w:val="es-ES" w:eastAsia="es-MX"/>
        </w:rPr>
        <w:t xml:space="preserve">, por lo que </w:t>
      </w:r>
      <w:r w:rsidRPr="00C24A08" w:rsidR="00E06139">
        <w:rPr>
          <w:rFonts w:ascii="Century Gothic" w:hAnsi="Century Gothic" w:cs="Arial"/>
          <w:color w:val="000000" w:themeColor="text1"/>
          <w:lang w:val="es-ES" w:eastAsia="es-MX"/>
        </w:rPr>
        <w:t xml:space="preserve">podrán </w:t>
      </w:r>
      <w:r w:rsidRPr="00C24A08">
        <w:rPr>
          <w:rFonts w:ascii="Century Gothic" w:hAnsi="Century Gothic" w:cs="Arial"/>
          <w:color w:val="000000" w:themeColor="text1"/>
          <w:lang w:val="es-ES" w:eastAsia="es-MX"/>
        </w:rPr>
        <w:t xml:space="preserve">aplicarse lo dispuesto en los artículos 375 a 378 del Decreto 1333 de 1986 y el </w:t>
      </w:r>
      <w:r w:rsidRPr="00C24A08">
        <w:rPr>
          <w:rFonts w:ascii="Century Gothic" w:hAnsi="Century Gothic" w:cs="Arial"/>
          <w:color w:val="000000" w:themeColor="text1"/>
          <w:lang w:val="es-ES"/>
        </w:rPr>
        <w:t>EGCAP</w:t>
      </w:r>
      <w:r w:rsidRPr="00C24A08" w:rsidR="000D045B">
        <w:rPr>
          <w:rFonts w:ascii="Century Gothic" w:hAnsi="Century Gothic" w:cs="Arial"/>
          <w:color w:val="000000" w:themeColor="text1"/>
          <w:lang w:val="es-ES"/>
        </w:rPr>
        <w:t xml:space="preserve">, salvo no exista otra forma especial de contratación como puede ser la consagrada en el Decreto 092 de 2017 para la ejecución de programas </w:t>
      </w:r>
      <w:r w:rsidRPr="00C24A08">
        <w:rPr>
          <w:rFonts w:ascii="Century Gothic" w:hAnsi="Century Gothic" w:cs="Arial"/>
          <w:color w:val="000000" w:themeColor="text1"/>
          <w:lang w:val="es-ES" w:eastAsia="es-MX"/>
        </w:rPr>
        <w:t xml:space="preserve">.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 </w:t>
      </w:r>
    </w:p>
    <w:p w:rsidRPr="00C24A08" w:rsidR="00296F67" w:rsidP="00296F67" w:rsidRDefault="00296F67" w14:paraId="21798F0D" w14:textId="77777777">
      <w:pPr>
        <w:shd w:val="clear" w:color="auto" w:fill="FFFFFF" w:themeFill="background1"/>
        <w:spacing w:before="120" w:line="276" w:lineRule="auto"/>
        <w:ind w:firstLine="709"/>
        <w:jc w:val="both"/>
        <w:rPr>
          <w:rFonts w:ascii="Century Gothic" w:hAnsi="Century Gothic" w:cs="Arial"/>
          <w:color w:val="000000" w:themeColor="text1"/>
          <w:lang w:eastAsia="es-MX"/>
        </w:rPr>
      </w:pPr>
      <w:r w:rsidRPr="00C24A08">
        <w:rPr>
          <w:rFonts w:ascii="Century Gothic" w:hAnsi="Century Gothic" w:cs="Arial"/>
          <w:color w:val="000000" w:themeColor="text1"/>
          <w:lang w:eastAsia="es-MX"/>
        </w:rPr>
        <w:t xml:space="preserve">Así las cosas, cuando inciso primero del artículo 63 de la Ley 2166 de 2021 establece que </w:t>
      </w:r>
      <w:r w:rsidRPr="00C24A08">
        <w:rPr>
          <w:rFonts w:ascii="Century Gothic" w:hAnsi="Century Gothic" w:eastAsia="Calibri" w:cs="Arial"/>
          <w:i/>
          <w:iCs/>
          <w:color w:val="000000" w:themeColor="text1"/>
          <w:lang w:val="es-ES_tradnl"/>
        </w:rPr>
        <w:t>“</w:t>
      </w:r>
      <w:r w:rsidRPr="00C24A08">
        <w:rPr>
          <w:rFonts w:ascii="Century Gothic" w:hAnsi="Century Gothic" w:cs="Arial"/>
          <w:i/>
          <w:iCs/>
          <w:color w:val="000000" w:themeColor="text1"/>
          <w:lang w:eastAsia="es-MX"/>
        </w:rPr>
        <w:t>Los contratos o convenios que celebren con los organismos comunales se realizarán de acuerdo con la ley y sus objetivos, se regularán por el régimen vigente de contratación para organizaciones solidarias</w:t>
      </w:r>
      <w:r w:rsidRPr="00C24A08">
        <w:rPr>
          <w:rFonts w:ascii="Century Gothic" w:hAnsi="Century Gothic" w:eastAsia="Calibri" w:cs="Arial"/>
          <w:i/>
          <w:iCs/>
          <w:color w:val="000000" w:themeColor="text1"/>
          <w:lang w:val="es-ES_tradnl"/>
        </w:rPr>
        <w:t>”</w:t>
      </w:r>
      <w:r w:rsidRPr="00C24A08">
        <w:rPr>
          <w:rFonts w:ascii="Century Gothic" w:hAnsi="Century Gothic" w:cs="Arial"/>
          <w:color w:val="000000" w:themeColor="text1"/>
          <w:lang w:eastAsia="es-MX"/>
        </w:rPr>
        <w:t xml:space="preserve"> debe interpretarse armónicamente con lo dispuesto por el artículo 141 de la Ley 136 de 1994 –al que hace referencia el mismo artículo 63–, de manera que su contratación debe sujetarse a los </w:t>
      </w:r>
      <w:r w:rsidRPr="00C24A08">
        <w:rPr>
          <w:rFonts w:ascii="Century Gothic" w:hAnsi="Century Gothic" w:cs="Arial"/>
          <w:color w:val="000000" w:themeColor="text1"/>
          <w:lang w:val="es-ES" w:eastAsia="es-MX"/>
        </w:rPr>
        <w:t xml:space="preserve">artículos 375 a 378 del Decreto 1333 de 1986 y al </w:t>
      </w:r>
      <w:r w:rsidRPr="00C24A08">
        <w:rPr>
          <w:rFonts w:ascii="Century Gothic" w:hAnsi="Century Gothic" w:cs="Arial"/>
          <w:color w:val="000000" w:themeColor="text1"/>
          <w:lang w:val="es-ES"/>
        </w:rPr>
        <w:t>EGCAP</w:t>
      </w:r>
      <w:r w:rsidRPr="00C24A08">
        <w:rPr>
          <w:rFonts w:ascii="Century Gothic" w:hAnsi="Century Gothic" w:cs="Arial"/>
          <w:color w:val="000000" w:themeColor="text1"/>
          <w:lang w:val="es-ES" w:eastAsia="es-MX"/>
        </w:rPr>
        <w:t xml:space="preserve">. En este contexto, según el artículo 376 del Decreto 1333 de 1986, </w:t>
      </w:r>
      <w:r w:rsidRPr="00C24A08">
        <w:rPr>
          <w:rFonts w:ascii="Century Gothic" w:hAnsi="Century Gothic" w:eastAsia="Calibri" w:cs="Arial"/>
          <w:color w:val="000000" w:themeColor="text1"/>
          <w:lang w:val="es-ES_tradnl"/>
        </w:rPr>
        <w:t>“L</w:t>
      </w:r>
      <w:r w:rsidRPr="00C24A08">
        <w:rPr>
          <w:rFonts w:ascii="Century Gothic" w:hAnsi="Century Gothic" w:cs="Arial"/>
          <w:color w:val="000000" w:themeColor="text1"/>
          <w:lang w:eastAsia="es-MX"/>
        </w:rPr>
        <w:t>os contratos que celebren los Municipios en desarrollo del artículo 375 no estarán sujetos a formalidades o requisitos distintos de los que la ley exige para la contratación entre particulares, ni requerirán de la revisión que ordena el Código Contencioso Administrativo. Sin embargo, contendrán las cláusulas que la ley prevé sobre interpretación, modificación y terminación unilaterales, multas, garantías, sujeción de los pagos a las apropiaciones presupuestales y caducidad. La verificación de su cumplimiento estará a cargo del interventor que designe el alcalde o representante legal de la entidad descentralizada, según el caso</w:t>
      </w:r>
      <w:r w:rsidRPr="00C24A08">
        <w:rPr>
          <w:rFonts w:ascii="Century Gothic" w:hAnsi="Century Gothic" w:eastAsia="Calibri" w:cs="Arial"/>
          <w:color w:val="000000" w:themeColor="text1"/>
          <w:lang w:val="es-ES_tradnl"/>
        </w:rPr>
        <w:t>”</w:t>
      </w:r>
      <w:r w:rsidRPr="00C24A08">
        <w:rPr>
          <w:rStyle w:val="Refdenotaalpie"/>
          <w:rFonts w:ascii="Century Gothic" w:hAnsi="Century Gothic" w:eastAsia="Calibri" w:cs="Arial"/>
          <w:color w:val="000000" w:themeColor="text1"/>
          <w:lang w:val="es-ES_tradnl"/>
        </w:rPr>
        <w:footnoteReference w:id="18"/>
      </w:r>
      <w:r w:rsidRPr="00C24A08">
        <w:rPr>
          <w:rFonts w:ascii="Century Gothic" w:hAnsi="Century Gothic" w:cs="Arial"/>
          <w:color w:val="000000" w:themeColor="text1"/>
          <w:lang w:eastAsia="es-MX"/>
        </w:rPr>
        <w:t xml:space="preserve">. </w:t>
      </w:r>
    </w:p>
    <w:p w:rsidRPr="00C24A08" w:rsidR="00296F67" w:rsidP="00296F67" w:rsidRDefault="00296F67" w14:paraId="4F71A569" w14:textId="373F6D33">
      <w:pPr>
        <w:shd w:val="clear" w:color="auto" w:fill="FFFFFF" w:themeFill="background1"/>
        <w:spacing w:before="120" w:line="276" w:lineRule="auto"/>
        <w:ind w:firstLine="709"/>
        <w:jc w:val="both"/>
        <w:rPr>
          <w:rFonts w:ascii="Century Gothic" w:hAnsi="Century Gothic" w:cs="Arial"/>
          <w:color w:val="000000" w:themeColor="text1"/>
          <w:lang w:val="es-ES" w:eastAsia="es-MX"/>
        </w:rPr>
      </w:pPr>
      <w:r w:rsidRPr="00C24A08">
        <w:rPr>
          <w:rFonts w:ascii="Century Gothic" w:hAnsi="Century Gothic" w:cs="Arial"/>
          <w:color w:val="000000" w:themeColor="text1"/>
          <w:lang w:val="es-ES" w:eastAsia="es-MX"/>
        </w:rPr>
        <w:t xml:space="preserve">Ahora bien, el parágrafo primero del artículo 63 de la Ley 2166 de 2021 dispone que </w:t>
      </w:r>
      <w:r w:rsidRPr="00C24A08">
        <w:rPr>
          <w:rFonts w:ascii="Century Gothic" w:hAnsi="Century Gothic" w:cs="Arial"/>
          <w:color w:val="000000" w:themeColor="text1"/>
          <w:lang w:eastAsia="es-MX"/>
        </w:rPr>
        <w:t xml:space="preserve">los </w:t>
      </w:r>
      <w:r w:rsidRPr="00C24A08" w:rsidR="00A05F1F">
        <w:rPr>
          <w:rFonts w:ascii="Century Gothic" w:hAnsi="Century Gothic" w:cs="Arial"/>
          <w:color w:val="000000" w:themeColor="text1"/>
          <w:lang w:eastAsia="es-MX"/>
        </w:rPr>
        <w:t>Organismos de Acción Comunal</w:t>
      </w:r>
      <w:r w:rsidRPr="00C24A08">
        <w:rPr>
          <w:rFonts w:ascii="Century Gothic" w:hAnsi="Century Gothic" w:cs="Arial"/>
          <w:color w:val="000000" w:themeColor="text1"/>
          <w:lang w:eastAsia="es-MX"/>
        </w:rPr>
        <w:t xml:space="preserve"> podrán contratar con las entidades territoriales hasta por la menor cuantía de dicha entidad de conformidad con la ley. Por su parte, el parágrafo segundo se refiere a la facultad que tienen las entidades del orden nacional, departamental, distrital, local y municipal y los </w:t>
      </w:r>
      <w:r w:rsidRPr="00C24A08" w:rsidR="00A05F1F">
        <w:rPr>
          <w:rFonts w:ascii="Century Gothic" w:hAnsi="Century Gothic" w:cs="Arial"/>
          <w:color w:val="000000" w:themeColor="text1"/>
          <w:lang w:eastAsia="es-MX"/>
        </w:rPr>
        <w:t>Organismos de Acción Comunal</w:t>
      </w:r>
      <w:r w:rsidRPr="00C24A08">
        <w:rPr>
          <w:rFonts w:ascii="Century Gothic" w:hAnsi="Century Gothic" w:cs="Arial"/>
          <w:color w:val="000000" w:themeColor="text1"/>
          <w:lang w:eastAsia="es-MX"/>
        </w:rPr>
        <w:t xml:space="preserve"> para celebrar convenios solidarios con el fin de ejecutar los proyectos allí señalados. </w:t>
      </w:r>
      <w:r w:rsidRPr="00C24A08">
        <w:rPr>
          <w:rFonts w:ascii="Century Gothic" w:hAnsi="Century Gothic" w:cs="Arial"/>
          <w:color w:val="000000" w:themeColor="text1"/>
          <w:lang w:val="es-ES" w:eastAsia="es-MX"/>
        </w:rPr>
        <w:t xml:space="preserve">De lo anterior se desprende que los parágrafos primero y segundo dan alcance a lo señalado en el inciso primero del artículo 63 de la Ley 2166 de 2021. De esta manera, esta Agencia considera que cuando el parágrafo segundo extrañamente se refriere a los </w:t>
      </w:r>
      <w:r w:rsidRPr="00C24A08">
        <w:rPr>
          <w:rFonts w:ascii="Century Gothic" w:hAnsi="Century Gothic" w:eastAsia="Calibri" w:cs="Arial"/>
          <w:color w:val="000000" w:themeColor="text1"/>
          <w:lang w:val="es-ES_tradnl"/>
        </w:rPr>
        <w:t>“</w:t>
      </w:r>
      <w:r w:rsidRPr="00C24A08">
        <w:rPr>
          <w:rFonts w:ascii="Century Gothic" w:hAnsi="Century Gothic" w:cs="Arial"/>
          <w:color w:val="000000" w:themeColor="text1"/>
          <w:lang w:val="es-ES" w:eastAsia="es-MX"/>
        </w:rPr>
        <w:t>contratos interadministrativos de mínima</w:t>
      </w:r>
      <w:r w:rsidRPr="00C24A08">
        <w:rPr>
          <w:rFonts w:ascii="Century Gothic" w:hAnsi="Century Gothic" w:eastAsia="Calibri" w:cs="Arial"/>
          <w:color w:val="000000" w:themeColor="text1"/>
          <w:lang w:val="es-ES_tradnl"/>
        </w:rPr>
        <w:t>”</w:t>
      </w:r>
      <w:r w:rsidRPr="00C24A08">
        <w:rPr>
          <w:rFonts w:ascii="Century Gothic" w:hAnsi="Century Gothic" w:cs="Arial"/>
          <w:color w:val="000000" w:themeColor="text1"/>
          <w:lang w:val="es-ES" w:eastAsia="es-MX"/>
        </w:rPr>
        <w:t xml:space="preserve"> es posible colegir que se hace referencia a los convenios solidarios precisamente para destacar que estos pueden celebrarse con las entidades estatales señaladas en dicho parágrafo. Sin embargo, se aclara que, a juicio de esta Agencia, lo señalado en el parágrafo segundo no se trata de una tipología adicional a las existentes en el ordenamiento jurídico y no se advierte que el legislador hubiese querido crear una tipología o modalidad adicional, máxime cuando el parágrafo se integra al contenido del artículo 63. </w:t>
      </w:r>
    </w:p>
    <w:p w:rsidRPr="00C24A08" w:rsidR="00296F67" w:rsidP="00296F67" w:rsidRDefault="00296F67" w14:paraId="55E3961E" w14:textId="091D18C8">
      <w:pPr>
        <w:shd w:val="clear" w:color="auto" w:fill="FFFFFF" w:themeFill="background1"/>
        <w:spacing w:before="120" w:line="276" w:lineRule="auto"/>
        <w:ind w:firstLine="703"/>
        <w:jc w:val="both"/>
        <w:textAlignment w:val="baseline"/>
        <w:rPr>
          <w:rFonts w:ascii="Century Gothic" w:hAnsi="Century Gothic" w:cs="Arial"/>
          <w:color w:val="000000" w:themeColor="text1"/>
          <w:lang w:val="es-ES" w:eastAsia="es-CO"/>
        </w:rPr>
      </w:pPr>
      <w:r w:rsidRPr="00C24A08">
        <w:rPr>
          <w:rFonts w:ascii="Century Gothic" w:hAnsi="Century Gothic" w:cs="Arial"/>
          <w:color w:val="000000" w:themeColor="text1"/>
          <w:lang w:eastAsia="es-CO"/>
        </w:rPr>
        <w:t>Por ello, considerando la naturaleza jurídica de las partes, los convenios</w:t>
      </w:r>
      <w:r w:rsidRPr="00C24A08" w:rsidR="006F0A8D">
        <w:rPr>
          <w:rFonts w:ascii="Century Gothic" w:hAnsi="Century Gothic" w:cs="Arial"/>
          <w:color w:val="000000" w:themeColor="text1"/>
          <w:lang w:eastAsia="es-CO"/>
        </w:rPr>
        <w:t xml:space="preserve"> </w:t>
      </w:r>
      <w:r w:rsidRPr="00C24A08">
        <w:rPr>
          <w:rFonts w:ascii="Century Gothic" w:hAnsi="Century Gothic" w:cs="Arial"/>
          <w:color w:val="000000" w:themeColor="text1"/>
          <w:lang w:eastAsia="es-CO"/>
        </w:rPr>
        <w:t xml:space="preserve">solidarios entre las entidades estatales y los </w:t>
      </w:r>
      <w:r w:rsidRPr="00C24A08" w:rsidR="00A05F1F">
        <w:rPr>
          <w:rFonts w:ascii="Century Gothic" w:hAnsi="Century Gothic" w:cs="Arial"/>
          <w:color w:val="000000" w:themeColor="text1"/>
          <w:lang w:eastAsia="es-CO"/>
        </w:rPr>
        <w:t>Organismos de Acción Comunal</w:t>
      </w:r>
      <w:r w:rsidRPr="00C24A08">
        <w:rPr>
          <w:rFonts w:ascii="Century Gothic" w:hAnsi="Century Gothic" w:cs="Arial"/>
          <w:color w:val="000000" w:themeColor="text1"/>
          <w:lang w:eastAsia="es-CO"/>
        </w:rPr>
        <w:t xml:space="preserve"> no se calificarían como contratos o convenios interadministrativos. </w:t>
      </w:r>
      <w:r w:rsidRPr="00C24A08">
        <w:rPr>
          <w:rFonts w:ascii="Century Gothic" w:hAnsi="Century Gothic" w:cs="Arial"/>
          <w:color w:val="000000" w:themeColor="text1"/>
          <w:lang w:val="es-ES" w:eastAsia="es-CO"/>
        </w:rPr>
        <w:t>Al respecto,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rsidRPr="00C24A08" w:rsidR="00296F67" w:rsidP="00296F67" w:rsidRDefault="00296F67" w14:paraId="1702E919" w14:textId="15490E91">
      <w:pPr>
        <w:shd w:val="clear" w:color="auto" w:fill="FFFFFF" w:themeFill="background1"/>
        <w:spacing w:before="120" w:line="276" w:lineRule="auto"/>
        <w:ind w:firstLine="703"/>
        <w:jc w:val="both"/>
        <w:textAlignment w:val="baseline"/>
        <w:rPr>
          <w:rFonts w:ascii="Century Gothic" w:hAnsi="Century Gothic" w:cs="Arial"/>
          <w:color w:val="000000" w:themeColor="text1"/>
          <w:lang w:val="es-ES" w:eastAsia="es-MX"/>
        </w:rPr>
      </w:pPr>
      <w:r w:rsidRPr="00C24A08">
        <w:rPr>
          <w:rFonts w:ascii="Century Gothic" w:hAnsi="Century Gothic" w:cs="Arial"/>
          <w:color w:val="000000" w:themeColor="text1"/>
          <w:lang w:val="es-ES" w:eastAsia="es-CO"/>
        </w:rPr>
        <w:t xml:space="preserve">En este sentido, aunque los convenios solidarios tienen el propósito de cooperación explicado en el acápite 2.2, no corresponden a la categoría </w:t>
      </w:r>
      <w:r w:rsidRPr="00C24A08">
        <w:rPr>
          <w:rFonts w:ascii="Century Gothic" w:hAnsi="Century Gothic" w:cs="Arial"/>
          <w:color w:val="000000" w:themeColor="text1"/>
          <w:lang w:eastAsia="es-CO"/>
        </w:rPr>
        <w:t>definida en el 2.2.1.2.1.4.4 del Decreto 1082 de 2015</w:t>
      </w:r>
      <w:r w:rsidRPr="00C24A08">
        <w:rPr>
          <w:rFonts w:ascii="Century Gothic" w:hAnsi="Century Gothic" w:cs="Arial"/>
          <w:color w:val="000000" w:themeColor="text1"/>
          <w:lang w:val="es-ES" w:eastAsia="es-CO"/>
        </w:rPr>
        <w:t>, pues –tomando en consideración</w:t>
      </w:r>
      <w:r w:rsidRPr="00C24A08">
        <w:rPr>
          <w:rFonts w:ascii="Century Gothic" w:hAnsi="Century Gothic" w:cs="Arial"/>
          <w:color w:val="000000" w:themeColor="text1"/>
          <w:lang w:eastAsia="es-CO"/>
        </w:rPr>
        <w:t xml:space="preserve"> lo señalado en el artículo 7 de la Ley 2166 de 2021–</w:t>
      </w:r>
      <w:r w:rsidRPr="00C24A08">
        <w:rPr>
          <w:rFonts w:ascii="Century Gothic" w:hAnsi="Century Gothic" w:cs="Arial"/>
          <w:color w:val="000000" w:themeColor="text1"/>
          <w:lang w:val="es-ES" w:eastAsia="es-CO"/>
        </w:rPr>
        <w:t xml:space="preserve"> no implica una contratación entre autoridades del Estado, sino un negocio jurídico entre una </w:t>
      </w:r>
      <w:r w:rsidRPr="00C24A08" w:rsidR="00A05F1F">
        <w:rPr>
          <w:rFonts w:ascii="Century Gothic" w:hAnsi="Century Gothic" w:cs="Arial"/>
          <w:color w:val="000000" w:themeColor="text1"/>
          <w:lang w:val="es-ES" w:eastAsia="es-CO"/>
        </w:rPr>
        <w:t>Entidad Estatal</w:t>
      </w:r>
      <w:r w:rsidRPr="00C24A08">
        <w:rPr>
          <w:rFonts w:ascii="Century Gothic" w:hAnsi="Century Gothic" w:cs="Arial"/>
          <w:color w:val="000000" w:themeColor="text1"/>
          <w:lang w:val="es-ES" w:eastAsia="es-CO"/>
        </w:rPr>
        <w:t xml:space="preserve"> y una persona jurídica de derecho privado sin ánimo de lucro.</w:t>
      </w:r>
      <w:r w:rsidRPr="00C24A08">
        <w:rPr>
          <w:rFonts w:ascii="Century Gothic" w:hAnsi="Century Gothic" w:cs="Arial"/>
          <w:color w:val="000000" w:themeColor="text1"/>
          <w:lang w:eastAsia="es-CO"/>
        </w:rPr>
        <w:t xml:space="preserve"> </w:t>
      </w:r>
      <w:r w:rsidRPr="00C24A08">
        <w:rPr>
          <w:rFonts w:ascii="Century Gothic" w:hAnsi="Century Gothic" w:cs="Arial"/>
          <w:color w:val="000000" w:themeColor="text1"/>
          <w:lang w:val="es-ES" w:eastAsia="es-MX"/>
        </w:rPr>
        <w:t xml:space="preserve">Bajo estas consideraciones, es viable concluir que la intención del legislador en relación con los parágrafos del artículo 63 de la Ley 2166 de 2021 consiste en precisar las facultades que tienen las entidades estatales allí señaladas para la celebración de convenios solidarios con los </w:t>
      </w:r>
      <w:r w:rsidRPr="00C24A08" w:rsidR="00A05F1F">
        <w:rPr>
          <w:rFonts w:ascii="Century Gothic" w:hAnsi="Century Gothic" w:cs="Arial"/>
          <w:color w:val="000000" w:themeColor="text1"/>
          <w:lang w:val="es-ES" w:eastAsia="es-MX"/>
        </w:rPr>
        <w:t>Organismos de Acción Comunal</w:t>
      </w:r>
      <w:r w:rsidRPr="00C24A08">
        <w:rPr>
          <w:rFonts w:ascii="Century Gothic" w:hAnsi="Century Gothic" w:cs="Arial"/>
          <w:color w:val="000000" w:themeColor="text1"/>
          <w:lang w:val="es-ES" w:eastAsia="es-MX"/>
        </w:rPr>
        <w:t>, sin que ello signifique la creación de una tipología contractual distinta.</w:t>
      </w:r>
    </w:p>
    <w:p w:rsidRPr="00C24A08" w:rsidR="00296F67" w:rsidP="00296F67" w:rsidRDefault="00296F67" w14:paraId="65B522A5" w14:textId="77777777">
      <w:pPr>
        <w:shd w:val="clear" w:color="auto" w:fill="FFFFFF" w:themeFill="background1"/>
        <w:spacing w:before="120" w:after="0" w:line="276" w:lineRule="auto"/>
        <w:ind w:firstLine="708"/>
        <w:jc w:val="both"/>
        <w:rPr>
          <w:rFonts w:ascii="Century Gothic" w:hAnsi="Century Gothic" w:cs="Arial"/>
          <w:bCs/>
          <w:color w:val="000000" w:themeColor="text1"/>
          <w:lang w:val="es-MX" w:eastAsia="es-MX"/>
        </w:rPr>
      </w:pPr>
      <w:r w:rsidRPr="00C24A08">
        <w:rPr>
          <w:rFonts w:ascii="Century Gothic" w:hAnsi="Century Gothic" w:cs="Arial"/>
          <w:lang w:eastAsia="es-MX"/>
        </w:rPr>
        <w:t>Adicionalmente, además de que cada organismo debe acreditar su existencia y representación legal en los términos del artículo 78 de la Ley 2166 de 2021</w:t>
      </w:r>
      <w:r w:rsidRPr="00C24A08">
        <w:rPr>
          <w:rStyle w:val="Refdenotaalpie"/>
          <w:rFonts w:ascii="Century Gothic" w:hAnsi="Century Gothic" w:cs="Arial"/>
          <w:lang w:eastAsia="es-MX"/>
        </w:rPr>
        <w:footnoteReference w:id="19"/>
      </w:r>
      <w:r w:rsidRPr="00C24A08">
        <w:rPr>
          <w:rFonts w:ascii="Century Gothic" w:hAnsi="Century Gothic" w:cs="Arial"/>
          <w:lang w:eastAsia="es-MX"/>
        </w:rPr>
        <w:t xml:space="preserve">, </w:t>
      </w:r>
      <w:r w:rsidRPr="00C24A08">
        <w:rPr>
          <w:rFonts w:ascii="Century Gothic" w:hAnsi="Century Gothic" w:cs="Arial"/>
          <w:bCs/>
          <w:color w:val="000000" w:themeColor="text1"/>
          <w:lang w:val="es-MX" w:eastAsia="es-MX"/>
        </w:rPr>
        <w:t xml:space="preserve">teniendo en cuenta la naturaleza de las Juntas de Acción Comunal y la incidencia que en ellas tiene el principio de participación, es importante realzar que la territorialidad </w:t>
      </w:r>
      <w:r w:rsidRPr="00C24A08">
        <w:rPr>
          <w:rFonts w:ascii="Century Gothic" w:hAnsi="Century Gothic" w:cs="Arial"/>
          <w:color w:val="000000" w:themeColor="text1"/>
          <w:lang w:val="es-MX" w:eastAsia="es-MX"/>
        </w:rPr>
        <w:t>de</w:t>
      </w:r>
      <w:r w:rsidRPr="00C24A08">
        <w:rPr>
          <w:rFonts w:ascii="Century Gothic" w:hAnsi="Century Gothic" w:cs="Arial"/>
          <w:bCs/>
          <w:color w:val="000000" w:themeColor="text1"/>
          <w:lang w:val="es-MX" w:eastAsia="es-MX"/>
        </w:rPr>
        <w:t xml:space="preserve"> la cual hace parte es el único lugar en el cual puede desarrollar sus actividades, pues sólo así se garantizaría una verdadera participación de la comunidad en la formulación, ejecución y administración de planes, programas y proyectos en su territorio, por lo que resultaría contrario al principio de participación que las Juntas de Acción Comunal pudieran ejecutar contratos en sitios donde no tienen representación participativa. </w:t>
      </w:r>
      <w:r w:rsidRPr="00C24A08">
        <w:rPr>
          <w:rFonts w:ascii="Century Gothic" w:hAnsi="Century Gothic" w:cs="Arial"/>
          <w:lang w:eastAsia="es-MX"/>
        </w:rPr>
        <w:t>De esta forma, el desarrollo normativo que trajo consigo la Ley 2166 de 2021 con el objetivo de promover, facilitar, estructurar y fortalecer la organización democrática, moderna, participativa y representativa de la acción comunal en sus respectivos grados asociativos, dispuso en su artículo 7 una nueva definición de Junta de Acción Comunal:</w:t>
      </w:r>
    </w:p>
    <w:p w:rsidRPr="00C24A08" w:rsidR="00296F67" w:rsidP="00296F67" w:rsidRDefault="00296F67" w14:paraId="70FF077A" w14:textId="77777777">
      <w:pPr>
        <w:shd w:val="clear" w:color="auto" w:fill="FFFFFF" w:themeFill="background1"/>
        <w:spacing w:after="0" w:line="276" w:lineRule="auto"/>
        <w:ind w:firstLine="709"/>
        <w:jc w:val="both"/>
        <w:rPr>
          <w:rFonts w:ascii="Century Gothic" w:hAnsi="Century Gothic" w:cs="Arial"/>
          <w:lang w:eastAsia="es-MX"/>
        </w:rPr>
      </w:pPr>
    </w:p>
    <w:p w:rsidRPr="00C24A08" w:rsidR="00296F67" w:rsidP="00296F67" w:rsidRDefault="00296F67" w14:paraId="02CED6F9" w14:textId="77777777">
      <w:pPr>
        <w:shd w:val="clear" w:color="auto" w:fill="FFFFFF" w:themeFill="background1"/>
        <w:spacing w:after="120" w:line="240" w:lineRule="auto"/>
        <w:ind w:left="709" w:right="709"/>
        <w:jc w:val="both"/>
        <w:rPr>
          <w:rFonts w:ascii="Century Gothic" w:hAnsi="Century Gothic" w:cs="Arial"/>
          <w:sz w:val="21"/>
          <w:szCs w:val="21"/>
          <w:lang w:eastAsia="es-MX"/>
        </w:rPr>
      </w:pPr>
      <w:r w:rsidRPr="00C24A08">
        <w:rPr>
          <w:rFonts w:ascii="Century Gothic" w:hAnsi="Century Gothic" w:cs="Arial"/>
          <w:sz w:val="21"/>
          <w:szCs w:val="21"/>
          <w:lang w:eastAsia="es-MX"/>
        </w:rPr>
        <w:t>“ARTÍCULO 7. Organismos de la acción comunal.</w:t>
      </w:r>
    </w:p>
    <w:p w:rsidRPr="00C24A08" w:rsidR="00296F67" w:rsidP="00296F67" w:rsidRDefault="00296F67" w14:paraId="5419C77A" w14:textId="77777777">
      <w:pPr>
        <w:shd w:val="clear" w:color="auto" w:fill="FFFFFF" w:themeFill="background1"/>
        <w:spacing w:after="0" w:line="240" w:lineRule="auto"/>
        <w:ind w:left="709" w:right="709"/>
        <w:jc w:val="both"/>
        <w:rPr>
          <w:rFonts w:ascii="Century Gothic" w:hAnsi="Century Gothic" w:eastAsia="Calibri" w:cs="Arial"/>
          <w:color w:val="000000" w:themeColor="text1"/>
          <w:sz w:val="21"/>
          <w:szCs w:val="21"/>
          <w:lang w:val="es-ES_tradnl"/>
        </w:rPr>
      </w:pPr>
      <w:r w:rsidRPr="00C24A08">
        <w:rPr>
          <w:rFonts w:ascii="Century Gothic" w:hAnsi="Century Gothic" w:cs="Arial"/>
          <w:sz w:val="21"/>
          <w:szCs w:val="21"/>
          <w:lang w:eastAsia="es-MX"/>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r w:rsidRPr="00C24A08">
        <w:rPr>
          <w:rFonts w:ascii="Century Gothic" w:hAnsi="Century Gothic" w:eastAsia="Calibri" w:cs="Arial"/>
          <w:color w:val="000000" w:themeColor="text1"/>
          <w:sz w:val="21"/>
          <w:szCs w:val="21"/>
          <w:lang w:val="es-ES_tradnl"/>
        </w:rPr>
        <w:t>”.</w:t>
      </w:r>
    </w:p>
    <w:p w:rsidRPr="00C24A08" w:rsidR="00296F67" w:rsidP="00296F67" w:rsidRDefault="00296F67" w14:paraId="7C0675ED" w14:textId="77777777">
      <w:pPr>
        <w:shd w:val="clear" w:color="auto" w:fill="FFFFFF" w:themeFill="background1"/>
        <w:spacing w:after="0" w:line="276" w:lineRule="auto"/>
        <w:ind w:left="709" w:right="709"/>
        <w:jc w:val="both"/>
        <w:rPr>
          <w:rFonts w:ascii="Century Gothic" w:hAnsi="Century Gothic" w:cs="Arial"/>
          <w:sz w:val="20"/>
          <w:szCs w:val="20"/>
          <w:lang w:eastAsia="es-MX"/>
        </w:rPr>
      </w:pPr>
    </w:p>
    <w:p w:rsidRPr="00C24A08" w:rsidR="00296F67" w:rsidP="00296F67" w:rsidRDefault="00296F67" w14:paraId="1EE6F771" w14:textId="77777777">
      <w:pPr>
        <w:shd w:val="clear" w:color="auto" w:fill="FFFFFF" w:themeFill="background1"/>
        <w:spacing w:line="276" w:lineRule="auto"/>
        <w:ind w:firstLine="708"/>
        <w:jc w:val="both"/>
        <w:rPr>
          <w:rFonts w:ascii="Century Gothic" w:hAnsi="Century Gothic" w:cs="Arial"/>
          <w:bCs/>
          <w:color w:val="000000" w:themeColor="text1"/>
          <w:lang w:val="es-MX" w:eastAsia="es-MX"/>
        </w:rPr>
      </w:pPr>
      <w:r w:rsidRPr="00C24A08">
        <w:rPr>
          <w:rFonts w:ascii="Century Gothic" w:hAnsi="Century Gothic" w:cs="Arial"/>
          <w:bCs/>
          <w:color w:val="000000" w:themeColor="text1"/>
          <w:lang w:val="es-MX" w:eastAsia="es-MX"/>
        </w:rPr>
        <w:t xml:space="preserve">Asimismo, el artículo 9 </w:t>
      </w:r>
      <w:r w:rsidRPr="00C24A08">
        <w:rPr>
          <w:rFonts w:ascii="Century Gothic" w:hAnsi="Century Gothic" w:cs="Arial"/>
          <w:bCs/>
          <w:i/>
          <w:iCs/>
          <w:color w:val="000000" w:themeColor="text1"/>
          <w:lang w:val="es-MX" w:eastAsia="es-MX"/>
        </w:rPr>
        <w:t>ibidem</w:t>
      </w:r>
      <w:r w:rsidRPr="00C24A08">
        <w:rPr>
          <w:rFonts w:ascii="Century Gothic" w:hAnsi="Century Gothic" w:cs="Arial"/>
          <w:bCs/>
          <w:color w:val="000000" w:themeColor="text1"/>
          <w:lang w:val="es-MX" w:eastAsia="es-MX"/>
        </w:rPr>
        <w:t xml:space="preserve"> dispuso que </w:t>
      </w:r>
      <w:r w:rsidRPr="00C24A08">
        <w:rPr>
          <w:rFonts w:ascii="Century Gothic" w:hAnsi="Century Gothic" w:cs="Arial"/>
          <w:i/>
          <w:iCs/>
          <w:color w:val="000000" w:themeColor="text1"/>
        </w:rPr>
        <w:t>“</w:t>
      </w:r>
      <w:r w:rsidRPr="00C24A08">
        <w:rPr>
          <w:rFonts w:ascii="Century Gothic" w:hAnsi="Century Gothic" w:cs="Arial"/>
          <w:bCs/>
          <w:i/>
          <w:iCs/>
          <w:color w:val="000000" w:themeColor="text1"/>
          <w:lang w:val="es-MX" w:eastAsia="es-MX"/>
        </w:rPr>
        <w:t>cada organismo de acción comunal desarrollará sus actividades dentro de un territorio delimitado</w:t>
      </w:r>
      <w:r w:rsidRPr="00C24A08">
        <w:rPr>
          <w:rFonts w:ascii="Century Gothic" w:hAnsi="Century Gothic" w:eastAsia="Calibri" w:cs="Arial"/>
          <w:i/>
          <w:iCs/>
          <w:color w:val="000000" w:themeColor="text1"/>
          <w:lang w:val="es-ES_tradnl"/>
        </w:rPr>
        <w:t>”,</w:t>
      </w:r>
      <w:r w:rsidRPr="00C24A08">
        <w:rPr>
          <w:rFonts w:ascii="Century Gothic" w:hAnsi="Century Gothic" w:eastAsia="Calibri" w:cs="Arial"/>
          <w:color w:val="000000" w:themeColor="text1"/>
          <w:lang w:val="es-ES_tradnl"/>
        </w:rPr>
        <w:t xml:space="preserve"> indicando las orientaciones para dicha limitación. Es así como en las capitales</w:t>
      </w:r>
      <w:r w:rsidRPr="00C24A08">
        <w:rPr>
          <w:rFonts w:ascii="Century Gothic" w:hAnsi="Century Gothic" w:cs="Arial"/>
          <w:bCs/>
          <w:color w:val="000000" w:themeColor="text1"/>
          <w:lang w:val="es-MX" w:eastAsia="es-MX"/>
        </w:rPr>
        <w:t xml:space="preserve"> de departamentos y en la ciudad de Bogotá, D. C., se podrá constituir una junta por cada barrio, conjunto residencial, sector o etapa del mismo,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w:t>
      </w:r>
    </w:p>
    <w:p w:rsidRPr="00C24A08" w:rsidR="00296F67" w:rsidP="00296F67" w:rsidRDefault="00296F67" w14:paraId="1DAF64B9" w14:textId="018D362B">
      <w:pPr>
        <w:shd w:val="clear" w:color="auto" w:fill="FFFFFF" w:themeFill="background1"/>
        <w:spacing w:before="120" w:line="276" w:lineRule="auto"/>
        <w:ind w:firstLine="708"/>
        <w:jc w:val="both"/>
        <w:rPr>
          <w:rFonts w:ascii="Century Gothic" w:hAnsi="Century Gothic" w:cs="Arial"/>
          <w:bCs/>
          <w:color w:val="000000" w:themeColor="text1"/>
          <w:lang w:val="es-MX" w:eastAsia="es-MX"/>
        </w:rPr>
      </w:pPr>
      <w:r w:rsidRPr="00C24A08">
        <w:rPr>
          <w:rFonts w:ascii="Century Gothic" w:hAnsi="Century Gothic" w:cs="Arial"/>
          <w:bCs/>
          <w:color w:val="000000" w:themeColor="text1"/>
          <w:lang w:val="es-MX" w:eastAsia="es-MX"/>
        </w:rPr>
        <w:t xml:space="preserve">Dicha norma indica que en cada caserío o vereda sólo podrá constituirse una junta de acción comunal, pero la autoridad competente podrá autorizar, mediante resolución motivada, la constitución de más de una junta si la respectiva extensión territorial lo aconsejare. </w:t>
      </w:r>
      <w:r w:rsidRPr="00C24A08">
        <w:rPr>
          <w:rFonts w:ascii="Century Gothic" w:hAnsi="Century Gothic" w:cs="Arial"/>
          <w:bCs/>
          <w:color w:val="000000" w:themeColor="text1"/>
          <w:lang w:eastAsia="es-MX"/>
        </w:rPr>
        <w:t xml:space="preserve">De otra parte, la Ley 2166 de 2021 trajo consigo también una regla para denominación social de estos </w:t>
      </w:r>
      <w:r w:rsidRPr="00C24A08" w:rsidR="00A05F1F">
        <w:rPr>
          <w:rFonts w:ascii="Century Gothic" w:hAnsi="Century Gothic" w:cs="Arial"/>
          <w:bCs/>
          <w:color w:val="000000" w:themeColor="text1"/>
          <w:lang w:eastAsia="es-MX"/>
        </w:rPr>
        <w:t>Organismos de Acción Comunal</w:t>
      </w:r>
      <w:r w:rsidRPr="00C24A08">
        <w:rPr>
          <w:rFonts w:ascii="Century Gothic" w:hAnsi="Century Gothic" w:cs="Arial"/>
          <w:bCs/>
          <w:color w:val="000000" w:themeColor="text1"/>
          <w:lang w:eastAsia="es-MX"/>
        </w:rPr>
        <w:t xml:space="preserve">, señalando en su artículo 8 que </w:t>
      </w:r>
      <w:r w:rsidRPr="00C24A08">
        <w:rPr>
          <w:rFonts w:ascii="Century Gothic" w:hAnsi="Century Gothic" w:cs="Arial"/>
          <w:bCs/>
          <w:color w:val="000000" w:themeColor="text1"/>
          <w:lang w:val="es-MX" w:eastAsia="es-MX"/>
        </w:rPr>
        <w:t>dichas organizaciones conformaran su nombre legal con el de su territorio seguido del nombre de la entidad territorial a la que pertenezca y en la cual desarrolle sus actividades.</w:t>
      </w:r>
    </w:p>
    <w:p w:rsidRPr="00C24A08" w:rsidR="00296F67" w:rsidP="00296F67" w:rsidRDefault="00296F67" w14:paraId="6CB7C94C" w14:textId="77777777">
      <w:pPr>
        <w:shd w:val="clear" w:color="auto" w:fill="FFFFFF" w:themeFill="background1"/>
        <w:spacing w:before="120" w:line="276" w:lineRule="auto"/>
        <w:ind w:firstLine="709"/>
        <w:jc w:val="both"/>
        <w:rPr>
          <w:rFonts w:ascii="Century Gothic" w:hAnsi="Century Gothic" w:cs="Arial"/>
          <w:lang w:eastAsia="es-MX"/>
        </w:rPr>
      </w:pPr>
      <w:r w:rsidRPr="00C24A08">
        <w:rPr>
          <w:rFonts w:ascii="Century Gothic" w:hAnsi="Century Gothic" w:cs="Arial"/>
          <w:lang w:eastAsia="es-MX"/>
        </w:rPr>
        <w:t>De lo anterior se concluye, que con base en el principio de participación, el objeto social de las Juntas de Acción Comunal está definido y limitado a la territorialidad a la cual pertenece y tiene jurisdicción, por lo tanto no podrá ejecutar actividades por fuera de esta, pues sólo así se garantizaría que el desarrollo de la comunidad, se dé a través de un proceso territorial que integren los esfuerzos de su población, organismos y el Estado, para mejorar la calidad de vida de las comunidades, fortaleciendo así la construcción de las mismas, a partir de los planes de desarrollo comunales y comunitarios construidos y concertados por los afiliados a los organismos comunales, en articulación con las autoridades de cada uno de sus territorios.</w:t>
      </w:r>
    </w:p>
    <w:p w:rsidRPr="00C24A08" w:rsidR="00296F67" w:rsidP="00296F67" w:rsidRDefault="00296F67" w14:paraId="61B25C5F" w14:textId="77777777">
      <w:pPr>
        <w:shd w:val="clear" w:color="auto" w:fill="FFFFFF" w:themeFill="background1"/>
        <w:spacing w:before="120" w:line="276" w:lineRule="auto"/>
        <w:ind w:firstLine="709"/>
        <w:jc w:val="both"/>
        <w:rPr>
          <w:rFonts w:ascii="Century Gothic" w:hAnsi="Century Gothic" w:cs="Arial"/>
          <w:lang w:eastAsia="es-MX"/>
        </w:rPr>
      </w:pPr>
      <w:r w:rsidRPr="00C24A08">
        <w:rPr>
          <w:rFonts w:ascii="Century Gothic" w:hAnsi="Century Gothic" w:cs="Arial"/>
          <w:lang w:eastAsia="es-MX"/>
        </w:rPr>
        <w:t xml:space="preserve">Por lo demás, en lo que respecta a la capacidad técnica del organismo de acción comunal, es necesario tener en cuenta que –de acuerdo en lo explicado en el apartado 2.1– el convenio solidario se suscribe en ámbito de colaboración institucional. De adoptar una forma contractual, como ocurre en los procedimientos adelantados a través del artículo 2 de la Ley 1150 de 2007, la sujeción del contratista a la entidad justifica requisitos estrictos para la validación de la experiencia, pues es este último quien se encargará de la ejecución de las obligaciones. No obstante, en los convenios autorizados por la Ley 136 de 1994 y sus normas complementarias, las partes actúan en un ámbito de colaboración, por lo cual –de acuerdo con las capacidades de cada extremo de la relación– ambas deben aunar sus esfuerzos para satisfacer la necesidad conjunta. </w:t>
      </w:r>
    </w:p>
    <w:p w:rsidRPr="00C24A08" w:rsidR="00296F67" w:rsidP="00296F67" w:rsidRDefault="00296F67" w14:paraId="128E9AC8" w14:textId="77777777">
      <w:pPr>
        <w:shd w:val="clear" w:color="auto" w:fill="FFFFFF" w:themeFill="background1"/>
        <w:spacing w:before="120" w:line="276" w:lineRule="auto"/>
        <w:ind w:firstLine="709"/>
        <w:jc w:val="both"/>
        <w:rPr>
          <w:rFonts w:ascii="Century Gothic" w:hAnsi="Century Gothic" w:cs="Arial"/>
          <w:lang w:eastAsia="es-MX"/>
        </w:rPr>
      </w:pPr>
      <w:r w:rsidRPr="00C24A08">
        <w:rPr>
          <w:rFonts w:ascii="Century Gothic" w:hAnsi="Century Gothic" w:cs="Arial"/>
          <w:lang w:eastAsia="es-MX"/>
        </w:rPr>
        <w:t xml:space="preserve">Esto se observa, por ejemplo, para efectos del artículo 95 de la Ley 2166 de 2021, pues dispone que “Los entes territoriales podrán incluir en el monto total de los Convenios Solidarios los costos directos, los costos administrativos y el Subsidio al dignatario representante legal para transportes de que trata el literal c) del artículo 38 de la presente ley” y que “Adicional del monto del Convenio Solidario, los entes territoriales deberán contar o disponer de personal técnico y administrativo-contable, para supervisar y apoyar a los Organismos de Acción Comunal en la ejecución de las obras”. Estos constituyen algunos de los puntos con la entidad contribuye a la ejecución del convenio, por lo que el avance no queda totalmente en cabeza del organismo de acción comunal, pues a la entidad corresponde disponer de un personal multidisciplinario para apoyar las obras, sin perjuicio de la supervisión del convenio. </w:t>
      </w:r>
    </w:p>
    <w:p w:rsidRPr="00C24A08" w:rsidR="003F01A8" w:rsidP="00296F67" w:rsidRDefault="003F01A8" w14:paraId="7F278B4D" w14:textId="29C7BF23">
      <w:pPr>
        <w:shd w:val="clear" w:color="auto" w:fill="FFFFFF" w:themeFill="background1"/>
        <w:spacing w:before="120" w:line="276" w:lineRule="auto"/>
        <w:ind w:firstLine="709"/>
        <w:jc w:val="both"/>
        <w:rPr>
          <w:rFonts w:ascii="Century Gothic" w:hAnsi="Century Gothic" w:cs="Arial"/>
          <w:lang w:eastAsia="es-MX"/>
        </w:rPr>
      </w:pPr>
      <w:r w:rsidRPr="00C24A08">
        <w:rPr>
          <w:rFonts w:ascii="Century Gothic" w:hAnsi="Century Gothic" w:cs="Arial"/>
          <w:lang w:eastAsia="es-MX"/>
        </w:rPr>
        <w:t xml:space="preserve">En estricto sentido, desde un punto de vista jurídico, podría ser razonable afirmar que , la validación de la idoneidad a los Organismos de Acción Comunal podría realizarse a través de criterios dirigidos a medir las capacidades propias de los mismos o de quienes los conforman, en aspectos como, por ejemplo, la ejecución exitosa de convenios solidarios anteriores, la acreditación de personal profesional con experiencia en el desarrollo de obras civiles,  el cumplimiento de obligaciones como mano de obra calificada o no calificada. Sin embargo, dichos criterios se deben determinar por la Entidad Estatal luego de haber adelantado el respectivo análisis para conocer el sector relativo al objeto del convenio que se pretenda celebrar. Esto último también sería congruente con lo dispuesto en el inciso primero del artículo precitado cuando dispone que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 (Énfasis fuera de texto). </w:t>
      </w:r>
    </w:p>
    <w:p w:rsidRPr="00C24A08" w:rsidR="00296F67" w:rsidP="00296F67" w:rsidRDefault="00296F67" w14:paraId="0EC62FE6" w14:textId="2FD03597">
      <w:pPr>
        <w:shd w:val="clear" w:color="auto" w:fill="FFFFFF" w:themeFill="background1"/>
        <w:spacing w:before="120" w:line="276" w:lineRule="auto"/>
        <w:ind w:firstLine="709"/>
        <w:jc w:val="both"/>
        <w:rPr>
          <w:rFonts w:ascii="Century Gothic" w:hAnsi="Century Gothic" w:cs="Arial"/>
          <w:lang w:eastAsia="es-MX"/>
        </w:rPr>
      </w:pPr>
      <w:r w:rsidRPr="00C24A08">
        <w:rPr>
          <w:rFonts w:ascii="Century Gothic" w:hAnsi="Century Gothic" w:cs="Arial"/>
          <w:lang w:eastAsia="es-MX"/>
        </w:rPr>
        <w:t xml:space="preserve">De acuerdo con esto, las obligaciones de hacer que se atribuyan a los Organismos de Acción Comunal en el marco de convenios solidarios necesariamente deben ir en sintonía con la idoneidad que puedan demostrar para asumir las mismas, de tal manera que no asuman compromisos que exceden su capacidad. En consideración a lo anterior, por ejemplo, </w:t>
      </w:r>
      <w:r w:rsidRPr="00C24A08" w:rsidR="000A28BC">
        <w:rPr>
          <w:rFonts w:ascii="Century Gothic" w:hAnsi="Century Gothic" w:cs="Arial"/>
          <w:lang w:eastAsia="es-MX"/>
        </w:rPr>
        <w:t xml:space="preserve">podría no </w:t>
      </w:r>
      <w:r w:rsidRPr="00C24A08">
        <w:rPr>
          <w:rFonts w:ascii="Century Gothic" w:hAnsi="Century Gothic" w:cs="Arial"/>
          <w:lang w:eastAsia="es-MX"/>
        </w:rPr>
        <w:t xml:space="preserve">ser adecuado, atribuir la obligación de dirigir la ejecución de los trabajos materiales de obra a un Organismo de Acción Comunal que nunca haya ejecutado antes una obra o que no cuente con </w:t>
      </w:r>
      <w:r w:rsidRPr="00C24A08" w:rsidR="000A28BC">
        <w:rPr>
          <w:rFonts w:ascii="Century Gothic" w:hAnsi="Century Gothic" w:cs="Arial"/>
          <w:lang w:eastAsia="es-MX"/>
        </w:rPr>
        <w:t>capacidad para contratar a</w:t>
      </w:r>
      <w:r w:rsidRPr="00C24A08">
        <w:rPr>
          <w:rFonts w:ascii="Century Gothic" w:hAnsi="Century Gothic" w:cs="Arial"/>
          <w:lang w:eastAsia="es-MX"/>
        </w:rPr>
        <w:t xml:space="preserve"> un profesional en ingeniería, considerando que el artículo 18 de la Ley 842 de 2023, exige que </w:t>
      </w:r>
      <w:r w:rsidRPr="00C24A08">
        <w:rPr>
          <w:rFonts w:ascii="Century Gothic" w:hAnsi="Century Gothic" w:cs="Arial"/>
          <w:i/>
          <w:iCs/>
          <w:lang w:eastAsia="es-MX"/>
        </w:rPr>
        <w:t xml:space="preserve">“Todo trabajo relacionado con el ejercicio de la Ingeniería, deberá ser dirigido por un ingeniero inscrito en el registro profesional de ingeniería y con tarjeta de matrícula profesional”. </w:t>
      </w:r>
      <w:r w:rsidRPr="00C24A08">
        <w:rPr>
          <w:rFonts w:ascii="Century Gothic" w:hAnsi="Century Gothic" w:cs="Arial"/>
          <w:lang w:eastAsia="es-MX"/>
        </w:rPr>
        <w:t xml:space="preserve">En ese sentido, en situaciones como esta, la capacidad técnica que se requiere para garantizar el desarrollo a satisfacción de la obra civil y el legal ejercicio de la ingeniería en el marco de la misma, bien podrían ser garantizados a través de las obligaciones que asuma la Entidad Estatal como cooperante del Organismo de Acción Comunal, asumiendo obligaciones asociadas a los aspectos técnicos y especializados como la dirección de la obra, el suministro de la maquinaria, la contratación de mano de obra calificada y demás componentes del convenio respecto de los cuales el organismo no logre demostrar idoneidad o que no puedan ser provistos a través de la participación de los habitantes de la comunidad en la ejecución de la obra. </w:t>
      </w:r>
    </w:p>
    <w:p w:rsidRPr="00C24A08" w:rsidR="00296F67" w:rsidP="004614CB" w:rsidRDefault="00296F67" w14:paraId="64283975" w14:textId="471889E4">
      <w:pPr>
        <w:shd w:val="clear" w:color="auto" w:fill="FFFFFF" w:themeFill="background1"/>
        <w:spacing w:before="120" w:line="276" w:lineRule="auto"/>
        <w:ind w:firstLine="709"/>
        <w:jc w:val="both"/>
        <w:rPr>
          <w:rFonts w:ascii="Century Gothic" w:hAnsi="Century Gothic" w:cs="Arial"/>
          <w:color w:val="000000" w:themeColor="text1"/>
          <w:lang w:eastAsia="es-MX"/>
        </w:rPr>
      </w:pPr>
      <w:r w:rsidRPr="00C24A08">
        <w:rPr>
          <w:rFonts w:ascii="Century Gothic" w:hAnsi="Century Gothic" w:cs="Arial"/>
          <w:lang w:eastAsia="es-MX"/>
        </w:rPr>
        <w:t xml:space="preserve">Finalmente, </w:t>
      </w:r>
      <w:bookmarkStart w:name="_Hlk131062005" w:id="11"/>
      <w:r w:rsidRPr="00C24A08">
        <w:rPr>
          <w:rFonts w:ascii="Century Gothic" w:hAnsi="Century Gothic" w:cs="Arial"/>
          <w:lang w:eastAsia="es-MX"/>
        </w:rPr>
        <w:t xml:space="preserve">se aclara que en el marco </w:t>
      </w:r>
      <w:r w:rsidRPr="00C24A08" w:rsidR="002566CE">
        <w:rPr>
          <w:rFonts w:ascii="Century Gothic" w:hAnsi="Century Gothic" w:cs="Arial"/>
          <w:lang w:eastAsia="es-MX"/>
        </w:rPr>
        <w:t>del</w:t>
      </w:r>
      <w:r w:rsidRPr="00C24A08">
        <w:rPr>
          <w:rFonts w:ascii="Century Gothic" w:hAnsi="Century Gothic" w:cs="Arial"/>
          <w:lang w:eastAsia="es-MX"/>
        </w:rPr>
        <w:t xml:space="preserve"> artículo 1 de la Ley 2022 de 2020, </w:t>
      </w:r>
      <w:r w:rsidRPr="00C24A08" w:rsidR="002566CE">
        <w:rPr>
          <w:rFonts w:ascii="Century Gothic" w:hAnsi="Century Gothic" w:cs="Arial"/>
          <w:lang w:eastAsia="es-MX"/>
        </w:rPr>
        <w:t>esta Agencia se encuentra estructurando un</w:t>
      </w:r>
      <w:r w:rsidRPr="00C24A08">
        <w:rPr>
          <w:rFonts w:ascii="Century Gothic" w:hAnsi="Century Gothic" w:cs="Arial"/>
          <w:lang w:eastAsia="es-MX"/>
        </w:rPr>
        <w:t xml:space="preserve"> documento tipo que con carácter obligatorio </w:t>
      </w:r>
      <w:r w:rsidRPr="00C24A08" w:rsidR="002566CE">
        <w:rPr>
          <w:rFonts w:ascii="Century Gothic" w:hAnsi="Century Gothic" w:cs="Arial"/>
          <w:lang w:eastAsia="es-MX"/>
        </w:rPr>
        <w:t xml:space="preserve">que </w:t>
      </w:r>
      <w:r w:rsidRPr="00C24A08">
        <w:rPr>
          <w:rFonts w:ascii="Century Gothic" w:hAnsi="Century Gothic" w:cs="Arial"/>
          <w:lang w:eastAsia="es-MX"/>
        </w:rPr>
        <w:t>regule la suscripción de convenios solidarios</w:t>
      </w:r>
      <w:r w:rsidRPr="00C24A08" w:rsidR="002566CE">
        <w:rPr>
          <w:rFonts w:ascii="Century Gothic" w:hAnsi="Century Gothic" w:cs="Arial"/>
          <w:lang w:eastAsia="es-MX"/>
        </w:rPr>
        <w:t xml:space="preserve"> </w:t>
      </w:r>
      <w:r w:rsidRPr="00C24A08" w:rsidR="0046684D">
        <w:rPr>
          <w:rFonts w:ascii="Century Gothic" w:hAnsi="Century Gothic" w:cs="Arial"/>
          <w:lang w:eastAsia="es-MX"/>
        </w:rPr>
        <w:t>para la ejecución de obras hasta la menor cuantía con organismos de acción</w:t>
      </w:r>
      <w:r w:rsidRPr="00C24A08" w:rsidR="006B681D">
        <w:rPr>
          <w:rFonts w:ascii="Century Gothic" w:hAnsi="Century Gothic" w:cs="Arial"/>
          <w:lang w:eastAsia="es-MX"/>
        </w:rPr>
        <w:t xml:space="preserve">, el cual puede consultarse en el siguiente link: </w:t>
      </w:r>
      <w:hyperlink w:history="1" r:id="rId17">
        <w:r w:rsidRPr="00C24A08" w:rsidR="00567954">
          <w:rPr>
            <w:rStyle w:val="Hipervnculo"/>
            <w:rFonts w:ascii="Century Gothic" w:hAnsi="Century Gothic" w:cs="Arial"/>
            <w:lang w:eastAsia="es-MX"/>
          </w:rPr>
          <w:t>https://www.colombiacompra.gov.co/content/06-proyecto-de-documento-tipo-para-la-contratacion-directa-de-convenios-solidarios-para-la</w:t>
        </w:r>
      </w:hyperlink>
      <w:r w:rsidRPr="00C24A08">
        <w:rPr>
          <w:rFonts w:ascii="Century Gothic" w:hAnsi="Century Gothic" w:cs="Arial"/>
          <w:lang w:eastAsia="es-MX"/>
        </w:rPr>
        <w:t xml:space="preserve">. Sin embargo, </w:t>
      </w:r>
      <w:r w:rsidRPr="00C24A08" w:rsidR="00567954">
        <w:rPr>
          <w:rFonts w:ascii="Century Gothic" w:hAnsi="Century Gothic" w:cs="Arial"/>
          <w:lang w:eastAsia="es-MX"/>
        </w:rPr>
        <w:t xml:space="preserve">hasta la fecha dicho documento aún no ha sido adoptado mediante acto administrativo, por lo </w:t>
      </w:r>
      <w:r w:rsidRPr="00C24A08">
        <w:rPr>
          <w:rFonts w:ascii="Century Gothic" w:hAnsi="Century Gothic" w:cs="Arial"/>
          <w:lang w:eastAsia="es-MX"/>
        </w:rPr>
        <w:t xml:space="preserve">que las entidades –en el ámbito de la discrecionalidad que les compete ejercer en la estructuración– podrán adaptarlo a sus </w:t>
      </w:r>
      <w:r w:rsidRPr="00C24A08" w:rsidR="00DD5603">
        <w:rPr>
          <w:rFonts w:ascii="Century Gothic" w:hAnsi="Century Gothic" w:cs="Arial"/>
          <w:lang w:eastAsia="es-MX"/>
        </w:rPr>
        <w:t>necesidades,</w:t>
      </w:r>
      <w:r w:rsidRPr="00C24A08" w:rsidR="00DD5603">
        <w:rPr>
          <w:rFonts w:ascii="Century Gothic" w:hAnsi="Century Gothic" w:cs="Arial"/>
          <w:color w:val="000000" w:themeColor="text1"/>
          <w:lang w:eastAsia="es-MX"/>
        </w:rPr>
        <w:t xml:space="preserve"> </w:t>
      </w:r>
      <w:r w:rsidRPr="00C24A08" w:rsidR="00542DF9">
        <w:rPr>
          <w:rFonts w:ascii="Century Gothic" w:hAnsi="Century Gothic" w:cs="Arial"/>
          <w:color w:val="000000" w:themeColor="text1"/>
          <w:lang w:eastAsia="es-MX"/>
        </w:rPr>
        <w:t xml:space="preserve">teniendo en cuenta, que </w:t>
      </w:r>
      <w:r w:rsidRPr="00C24A08" w:rsidR="00DD5603">
        <w:rPr>
          <w:rFonts w:ascii="Century Gothic" w:hAnsi="Century Gothic" w:cs="Arial"/>
          <w:color w:val="000000" w:themeColor="text1"/>
          <w:lang w:eastAsia="es-MX"/>
        </w:rPr>
        <w:t>a través del cual se busca estandarizar buenas prácticas contractuales para la celebración de este tipo de convenios</w:t>
      </w:r>
      <w:r w:rsidRPr="00C24A08" w:rsidR="00542DF9">
        <w:rPr>
          <w:rFonts w:ascii="Century Gothic" w:hAnsi="Century Gothic" w:cs="Arial"/>
          <w:color w:val="000000" w:themeColor="text1"/>
          <w:lang w:eastAsia="es-MX"/>
        </w:rPr>
        <w:t>.</w:t>
      </w:r>
    </w:p>
    <w:p w:rsidRPr="00C24A08" w:rsidR="00E86B66" w:rsidP="004614CB" w:rsidRDefault="00E86B66" w14:paraId="5571EACC" w14:textId="066B4A22">
      <w:pPr>
        <w:shd w:val="clear" w:color="auto" w:fill="FFFFFF" w:themeFill="background1"/>
        <w:spacing w:line="276" w:lineRule="auto"/>
        <w:jc w:val="both"/>
        <w:textAlignment w:val="baseline"/>
        <w:rPr>
          <w:rFonts w:ascii="Century Gothic" w:hAnsi="Century Gothic" w:eastAsia="Calibri" w:cs="Arial"/>
          <w:b/>
          <w:bCs/>
          <w:color w:val="000000" w:themeColor="text1"/>
        </w:rPr>
      </w:pPr>
      <w:r w:rsidRPr="00C24A08">
        <w:rPr>
          <w:rFonts w:ascii="Century Gothic" w:hAnsi="Century Gothic" w:cs="Arial"/>
          <w:b/>
          <w:bCs/>
          <w:lang w:eastAsia="es-MX"/>
        </w:rPr>
        <w:t xml:space="preserve">2.3. </w:t>
      </w:r>
      <w:r w:rsidRPr="00C24A08" w:rsidR="00210423">
        <w:rPr>
          <w:rFonts w:ascii="Century Gothic" w:hAnsi="Century Gothic" w:cs="Arial"/>
          <w:b/>
          <w:bCs/>
          <w:lang w:eastAsia="es-MX"/>
        </w:rPr>
        <w:t>S</w:t>
      </w:r>
      <w:r w:rsidRPr="00C24A08">
        <w:rPr>
          <w:rFonts w:ascii="Century Gothic" w:hAnsi="Century Gothic" w:eastAsia="Calibri" w:cs="Arial"/>
          <w:b/>
          <w:bCs/>
          <w:color w:val="000000" w:themeColor="text1"/>
        </w:rPr>
        <w:t>upervisión o vigilancia de los contratos o convenios que celebren entidades estatales</w:t>
      </w:r>
    </w:p>
    <w:p w:rsidRPr="00C24A08" w:rsidR="00D863DE" w:rsidP="00210423" w:rsidRDefault="00D863DE" w14:paraId="44E49DBF" w14:textId="77777777">
      <w:pPr>
        <w:jc w:val="both"/>
        <w:rPr>
          <w:rFonts w:ascii="Century Gothic" w:hAnsi="Century Gothic" w:cs="Arial"/>
          <w:lang w:val="es-ES"/>
        </w:rPr>
      </w:pPr>
      <w:r w:rsidRPr="00C24A08">
        <w:rPr>
          <w:rFonts w:ascii="Century Gothic" w:hAnsi="Century Gothic" w:cs="Arial"/>
          <w:lang w:val="es-ES"/>
        </w:rPr>
        <w:t>De acuerdo con el principio de responsabilidad que rige la contratación estatal, las entidades públicas están obligadas a vigilar la correcta ejecución del objeto contratado y a proteger tanto los derechos de la propia entidad como los del contratista y terceros que puedan verse afectados por la ejecución del contrato</w:t>
      </w:r>
      <w:r w:rsidRPr="00C24A08">
        <w:rPr>
          <w:rFonts w:ascii="Century Gothic" w:hAnsi="Century Gothic" w:cs="Arial"/>
          <w:vertAlign w:val="superscript"/>
          <w:lang w:val="es-ES"/>
        </w:rPr>
        <w:footnoteReference w:id="20"/>
      </w:r>
      <w:r w:rsidRPr="00C24A08">
        <w:rPr>
          <w:rFonts w:ascii="Century Gothic" w:hAnsi="Century Gothic" w:cs="Arial"/>
          <w:lang w:val="es-ES"/>
        </w:rPr>
        <w:t>.</w:t>
      </w:r>
    </w:p>
    <w:p w:rsidRPr="00C24A08" w:rsidR="00D863DE" w:rsidP="00210423" w:rsidRDefault="00D863DE" w14:paraId="11848B5F" w14:textId="7688893A">
      <w:pPr>
        <w:ind w:firstLine="708"/>
        <w:jc w:val="both"/>
        <w:rPr>
          <w:rFonts w:ascii="Century Gothic" w:hAnsi="Century Gothic" w:cs="Arial"/>
          <w:lang w:val="es-ES"/>
        </w:rPr>
      </w:pPr>
      <w:r w:rsidRPr="00C24A08">
        <w:rPr>
          <w:rFonts w:ascii="Century Gothic" w:hAnsi="Century Gothic" w:cs="Arial"/>
          <w:lang w:val="es-ES"/>
        </w:rPr>
        <w:t>La Ley 1474 de 2011</w:t>
      </w:r>
      <w:r w:rsidRPr="00C24A08">
        <w:rPr>
          <w:rFonts w:ascii="Century Gothic" w:hAnsi="Century Gothic" w:cs="Arial"/>
          <w:i/>
          <w:iCs/>
          <w:lang w:val="es-ES"/>
        </w:rPr>
        <w:t xml:space="preserve">, </w:t>
      </w:r>
      <w:r w:rsidRPr="00C24A08" w:rsidR="00210423">
        <w:rPr>
          <w:rFonts w:ascii="Century Gothic" w:hAnsi="Century Gothic" w:cs="Arial"/>
          <w:i/>
          <w:iCs/>
          <w:lang w:val="es-ES"/>
        </w:rPr>
        <w:t>“</w:t>
      </w:r>
      <w:r w:rsidRPr="00C24A08">
        <w:rPr>
          <w:rFonts w:ascii="Century Gothic" w:hAnsi="Century Gothic" w:cs="Arial"/>
          <w:i/>
          <w:iCs/>
          <w:lang w:val="es-ES"/>
        </w:rPr>
        <w:t>por la cual se dictan normas orientadas a fortalecer los mecanismos de prevención, investigación y sanción de actos de corrupción y la efectividad del control de la gestión pública</w:t>
      </w:r>
      <w:r w:rsidRPr="00C24A08" w:rsidR="00210423">
        <w:rPr>
          <w:rFonts w:ascii="Century Gothic" w:hAnsi="Century Gothic" w:cs="Arial"/>
          <w:i/>
          <w:iCs/>
          <w:lang w:val="es-ES"/>
        </w:rPr>
        <w:t>”</w:t>
      </w:r>
      <w:r w:rsidRPr="00C24A08">
        <w:rPr>
          <w:rFonts w:ascii="Century Gothic" w:hAnsi="Century Gothic" w:cs="Arial"/>
          <w:i/>
          <w:iCs/>
          <w:lang w:val="es-ES"/>
        </w:rPr>
        <w:t>,</w:t>
      </w:r>
      <w:r w:rsidRPr="00C24A08">
        <w:rPr>
          <w:rFonts w:ascii="Century Gothic" w:hAnsi="Century Gothic" w:cs="Arial"/>
          <w:lang w:val="es-ES"/>
        </w:rPr>
        <w:t xml:space="preserve"> obliga a las entidades</w:t>
      </w:r>
      <w:r w:rsidRPr="00C24A08" w:rsidR="00210423">
        <w:rPr>
          <w:rFonts w:ascii="Century Gothic" w:hAnsi="Century Gothic" w:cs="Arial"/>
          <w:lang w:val="es-ES"/>
        </w:rPr>
        <w:t xml:space="preserve"> públicas</w:t>
      </w:r>
      <w:r w:rsidRPr="00C24A08">
        <w:rPr>
          <w:rFonts w:ascii="Century Gothic" w:hAnsi="Century Gothic" w:cs="Arial"/>
          <w:lang w:val="es-ES"/>
        </w:rPr>
        <w:t xml:space="preserve"> a vigilar la correcta ejecución del objeto contratado a través de las figuras de </w:t>
      </w:r>
      <w:r w:rsidRPr="00C24A08" w:rsidR="00210423">
        <w:rPr>
          <w:rFonts w:ascii="Century Gothic" w:hAnsi="Century Gothic" w:cs="Arial"/>
          <w:lang w:val="es-ES"/>
        </w:rPr>
        <w:t>“</w:t>
      </w:r>
      <w:r w:rsidRPr="00C24A08">
        <w:rPr>
          <w:rFonts w:ascii="Century Gothic" w:hAnsi="Century Gothic" w:cs="Arial"/>
          <w:lang w:val="es-ES"/>
        </w:rPr>
        <w:t>supervisión</w:t>
      </w:r>
      <w:r w:rsidRPr="00C24A08" w:rsidR="00210423">
        <w:rPr>
          <w:rFonts w:ascii="Century Gothic" w:hAnsi="Century Gothic" w:cs="Arial"/>
          <w:lang w:val="es-ES"/>
        </w:rPr>
        <w:t>”</w:t>
      </w:r>
      <w:r w:rsidRPr="00C24A08">
        <w:rPr>
          <w:rFonts w:ascii="Century Gothic" w:hAnsi="Century Gothic" w:cs="Arial"/>
          <w:lang w:val="es-ES"/>
        </w:rPr>
        <w:t xml:space="preserve"> o de </w:t>
      </w:r>
      <w:r w:rsidRPr="00C24A08" w:rsidR="00210423">
        <w:rPr>
          <w:rFonts w:ascii="Century Gothic" w:hAnsi="Century Gothic" w:cs="Arial"/>
          <w:lang w:val="es-ES"/>
        </w:rPr>
        <w:t>“</w:t>
      </w:r>
      <w:r w:rsidRPr="00C24A08">
        <w:rPr>
          <w:rFonts w:ascii="Century Gothic" w:hAnsi="Century Gothic" w:cs="Arial"/>
          <w:lang w:val="es-ES"/>
        </w:rPr>
        <w:t>interventoría</w:t>
      </w:r>
      <w:r w:rsidRPr="00C24A08" w:rsidR="00210423">
        <w:rPr>
          <w:rFonts w:ascii="Century Gothic" w:hAnsi="Century Gothic" w:cs="Arial"/>
          <w:lang w:val="es-ES"/>
        </w:rPr>
        <w:t>”</w:t>
      </w:r>
      <w:r w:rsidRPr="00C24A08">
        <w:rPr>
          <w:rFonts w:ascii="Century Gothic" w:hAnsi="Century Gothic" w:cs="Arial"/>
          <w:lang w:val="es-ES"/>
        </w:rPr>
        <w:t>, con la finalidad de lograr la correcta ejecución del contrato y prevenir actos de corrupción que afecten la moralidad administrativa.</w:t>
      </w:r>
    </w:p>
    <w:p w:rsidRPr="00C24A08" w:rsidR="00D863DE" w:rsidP="00210423" w:rsidRDefault="00D863DE" w14:paraId="24E36CF7" w14:textId="77777777">
      <w:pPr>
        <w:spacing w:line="276" w:lineRule="auto"/>
        <w:ind w:firstLine="708"/>
        <w:jc w:val="both"/>
        <w:rPr>
          <w:rFonts w:ascii="Century Gothic" w:hAnsi="Century Gothic" w:cs="Arial"/>
          <w:lang w:val="es-ES"/>
        </w:rPr>
      </w:pPr>
      <w:r w:rsidRPr="00C24A08">
        <w:rPr>
          <w:rFonts w:ascii="Century Gothic" w:hAnsi="Century Gothic" w:cs="Arial"/>
          <w:lang w:val="es-ES"/>
        </w:rPr>
        <w:t>En este sentido, el artículo 83 de la citada norma define la supervisión como el seguimiento técnico, administrativo, financiero, contable, y jurídico que debe ejercer la entidad contratante sobre el cumplimiento del objeto del contrato, cuando no se requiera un conocimiento especializado</w:t>
      </w:r>
      <w:r w:rsidRPr="00C24A08">
        <w:rPr>
          <w:rFonts w:ascii="Century Gothic" w:hAnsi="Century Gothic" w:cs="Arial"/>
          <w:vertAlign w:val="superscript"/>
          <w:lang w:val="es-ES"/>
        </w:rPr>
        <w:footnoteReference w:id="21"/>
      </w:r>
      <w:r w:rsidRPr="00C24A08">
        <w:rPr>
          <w:rFonts w:ascii="Century Gothic" w:hAnsi="Century Gothic" w:cs="Arial"/>
          <w:lang w:val="es-ES"/>
        </w:rPr>
        <w:t>.</w:t>
      </w:r>
    </w:p>
    <w:p w:rsidRPr="00C24A08" w:rsidR="00D863DE" w:rsidP="00D863DE" w:rsidRDefault="00D863DE" w14:paraId="43D81513" w14:textId="6627048A">
      <w:pPr>
        <w:pStyle w:val="Sinespaciado"/>
        <w:spacing w:before="120" w:line="276" w:lineRule="auto"/>
        <w:ind w:firstLine="708"/>
        <w:jc w:val="both"/>
        <w:rPr>
          <w:rFonts w:ascii="Century Gothic" w:hAnsi="Century Gothic" w:cs="Arial"/>
          <w:bCs/>
          <w:color w:val="000000" w:themeColor="text1"/>
          <w:sz w:val="22"/>
        </w:rPr>
      </w:pPr>
      <w:r w:rsidRPr="00C24A08">
        <w:rPr>
          <w:rFonts w:ascii="Century Gothic" w:hAnsi="Century Gothic" w:cs="Arial"/>
          <w:bCs/>
          <w:color w:val="000000" w:themeColor="text1"/>
          <w:sz w:val="22"/>
        </w:rPr>
        <w:t>La obligación mencionada guarda relación con el principio de responsabilidad que rige la celebración y ejecución de los contratos estatales. Así, por ejemplo, los artículos 4, 5, 12, 14</w:t>
      </w:r>
      <w:r w:rsidRPr="00C24A08" w:rsidR="00210423">
        <w:rPr>
          <w:rFonts w:ascii="Century Gothic" w:hAnsi="Century Gothic" w:cs="Arial"/>
          <w:bCs/>
          <w:color w:val="000000" w:themeColor="text1"/>
          <w:sz w:val="22"/>
        </w:rPr>
        <w:t>,</w:t>
      </w:r>
      <w:r w:rsidRPr="00C24A08">
        <w:rPr>
          <w:rFonts w:ascii="Century Gothic" w:hAnsi="Century Gothic" w:cs="Arial"/>
          <w:bCs/>
          <w:color w:val="000000" w:themeColor="text1"/>
          <w:sz w:val="22"/>
        </w:rPr>
        <w:t>26</w:t>
      </w:r>
      <w:r w:rsidRPr="00C24A08" w:rsidR="00210423">
        <w:rPr>
          <w:rFonts w:ascii="Century Gothic" w:hAnsi="Century Gothic" w:cs="Arial"/>
          <w:bCs/>
          <w:color w:val="000000" w:themeColor="text1"/>
          <w:sz w:val="22"/>
        </w:rPr>
        <w:t xml:space="preserve"> y 32</w:t>
      </w:r>
      <w:r w:rsidRPr="00C24A08">
        <w:rPr>
          <w:rFonts w:ascii="Century Gothic" w:hAnsi="Century Gothic" w:cs="Arial"/>
          <w:bCs/>
          <w:color w:val="000000" w:themeColor="text1"/>
          <w:sz w:val="22"/>
        </w:rPr>
        <w:t xml:space="preserve">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w:t>
      </w:r>
      <w:r w:rsidRPr="00C24A08" w:rsidR="00210423">
        <w:rPr>
          <w:rFonts w:ascii="Century Gothic" w:hAnsi="Century Gothic" w:cs="Arial"/>
          <w:bCs/>
          <w:color w:val="000000" w:themeColor="text1"/>
          <w:sz w:val="22"/>
        </w:rPr>
        <w:t xml:space="preserve"> o convenio</w:t>
      </w:r>
      <w:r w:rsidRPr="00C24A08">
        <w:rPr>
          <w:rFonts w:ascii="Century Gothic" w:hAnsi="Century Gothic" w:cs="Arial"/>
          <w:bCs/>
          <w:color w:val="000000" w:themeColor="text1"/>
          <w:sz w:val="22"/>
        </w:rPr>
        <w:t>, las especificaciones de los bienes, obras y servicios objeto del mismo,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w:t>
      </w:r>
      <w:r w:rsidRPr="00C24A08" w:rsidR="00210423">
        <w:rPr>
          <w:rFonts w:ascii="Century Gothic" w:hAnsi="Century Gothic" w:cs="Arial"/>
          <w:bCs/>
          <w:color w:val="000000" w:themeColor="text1"/>
          <w:sz w:val="22"/>
        </w:rPr>
        <w:t xml:space="preserve"> o convenio</w:t>
      </w:r>
      <w:r w:rsidRPr="00C24A08">
        <w:rPr>
          <w:rFonts w:ascii="Century Gothic" w:hAnsi="Century Gothic" w:cs="Arial"/>
          <w:bCs/>
          <w:color w:val="000000" w:themeColor="text1"/>
          <w:sz w:val="22"/>
        </w:rPr>
        <w:t xml:space="preserve"> y, de ser el caso, tomar medidas para exigir el adecuado cumplimiento.</w:t>
      </w:r>
    </w:p>
    <w:p w:rsidRPr="00C24A08" w:rsidR="00D863DE" w:rsidP="00D863DE" w:rsidRDefault="00D863DE" w14:paraId="53AD4F78" w14:textId="38DBD046">
      <w:pPr>
        <w:pStyle w:val="Sinespaciado"/>
        <w:spacing w:before="120" w:line="276" w:lineRule="auto"/>
        <w:ind w:firstLine="708"/>
        <w:jc w:val="both"/>
        <w:rPr>
          <w:rFonts w:ascii="Century Gothic" w:hAnsi="Century Gothic" w:cs="Arial"/>
          <w:bCs/>
          <w:color w:val="000000" w:themeColor="text1"/>
          <w:sz w:val="22"/>
        </w:rPr>
      </w:pPr>
      <w:r w:rsidRPr="00C24A08">
        <w:rPr>
          <w:rFonts w:ascii="Century Gothic" w:hAnsi="Century Gothic" w:cs="Arial"/>
          <w:bCs/>
          <w:color w:val="000000" w:themeColor="text1"/>
          <w:sz w:val="22"/>
        </w:rPr>
        <w:t>Las Leyes 1150 de 2007 y 1474 de 2011 complementan el régimen jurídico de la obligación de vigilar la correcta ejecución de los contratos estatales. Allí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C24A08">
        <w:rPr>
          <w:rStyle w:val="Refdenotaalpie"/>
          <w:rFonts w:ascii="Century Gothic" w:hAnsi="Century Gothic"/>
          <w:color w:val="000000" w:themeColor="text1"/>
          <w:sz w:val="22"/>
        </w:rPr>
        <w:footnoteReference w:id="22"/>
      </w:r>
      <w:r w:rsidRPr="00C24A08">
        <w:rPr>
          <w:rFonts w:ascii="Century Gothic" w:hAnsi="Century Gothic" w:cs="Arial"/>
          <w:bCs/>
          <w:color w:val="000000" w:themeColor="text1"/>
          <w:sz w:val="22"/>
        </w:rPr>
        <w:t>. También se establecen los límites de la responsabilidad del representante legal ante la delegación de sus funciones en materia contractual</w:t>
      </w:r>
      <w:r w:rsidRPr="00C24A08">
        <w:rPr>
          <w:rStyle w:val="Refdenotaalpie"/>
          <w:rFonts w:ascii="Century Gothic" w:hAnsi="Century Gothic"/>
          <w:color w:val="000000" w:themeColor="text1"/>
          <w:sz w:val="22"/>
        </w:rPr>
        <w:footnoteReference w:id="23"/>
      </w:r>
      <w:r w:rsidRPr="00C24A08">
        <w:rPr>
          <w:rFonts w:ascii="Century Gothic" w:hAnsi="Century Gothic" w:cs="Arial"/>
          <w:bCs/>
          <w:color w:val="000000" w:themeColor="text1"/>
          <w:sz w:val="22"/>
        </w:rPr>
        <w:t xml:space="preserve"> y se regula la supervisión y la interventoría de los contratos estatales</w:t>
      </w:r>
      <w:r w:rsidRPr="00C24A08">
        <w:rPr>
          <w:rStyle w:val="Refdenotaalpie"/>
          <w:rFonts w:ascii="Century Gothic" w:hAnsi="Century Gothic"/>
          <w:color w:val="000000" w:themeColor="text1"/>
          <w:sz w:val="22"/>
        </w:rPr>
        <w:footnoteReference w:id="24"/>
      </w:r>
      <w:r w:rsidRPr="00C24A08">
        <w:rPr>
          <w:rFonts w:ascii="Century Gothic" w:hAnsi="Century Gothic" w:cs="Arial"/>
          <w:bCs/>
          <w:color w:val="000000" w:themeColor="text1"/>
          <w:sz w:val="22"/>
        </w:rPr>
        <w:t xml:space="preserve">. </w:t>
      </w:r>
    </w:p>
    <w:p w:rsidRPr="00C24A08" w:rsidR="00D863DE" w:rsidP="00D863DE" w:rsidRDefault="00D863DE" w14:paraId="3ACE9911" w14:textId="77777777">
      <w:pPr>
        <w:pStyle w:val="Sinespaciado"/>
        <w:spacing w:before="120" w:line="276" w:lineRule="auto"/>
        <w:ind w:firstLine="708"/>
        <w:jc w:val="both"/>
        <w:rPr>
          <w:rFonts w:ascii="Century Gothic" w:hAnsi="Century Gothic" w:cs="Arial"/>
          <w:bCs/>
          <w:color w:val="000000" w:themeColor="text1"/>
          <w:sz w:val="22"/>
        </w:rPr>
      </w:pPr>
      <w:r w:rsidRPr="00C24A08">
        <w:rPr>
          <w:rFonts w:ascii="Century Gothic" w:hAnsi="Century Gothic" w:cs="Arial"/>
          <w:sz w:val="22"/>
          <w:lang w:val="es-ES"/>
        </w:rPr>
        <w:t xml:space="preserve">De conformidad con lo anterior, en la sentencia del Consejo de Estado, Sala de lo Contencioso Administrativo, Sección Tercera, Subsección B, radicado No. 25-000-23-26- 000-1996-13019-01(27.426), del 12 de diciembre de 2014, </w:t>
      </w:r>
      <w:proofErr w:type="gramStart"/>
      <w:r w:rsidRPr="00C24A08">
        <w:rPr>
          <w:rFonts w:ascii="Century Gothic" w:hAnsi="Century Gothic" w:cs="Arial"/>
          <w:sz w:val="22"/>
          <w:lang w:val="es-ES"/>
        </w:rPr>
        <w:t>Consejero</w:t>
      </w:r>
      <w:proofErr w:type="gramEnd"/>
      <w:r w:rsidRPr="00C24A08">
        <w:rPr>
          <w:rFonts w:ascii="Century Gothic" w:hAnsi="Century Gothic" w:cs="Arial"/>
          <w:sz w:val="22"/>
          <w:lang w:val="es-ES"/>
        </w:rPr>
        <w:t xml:space="preserve"> Ponente Ramiro de Jesús Pazos Guerrero, expresó que la supervisión está dirigida a controlar y vigilar la correcta ejecución de las obligaciones contractuales.</w:t>
      </w:r>
    </w:p>
    <w:p w:rsidRPr="00C24A08" w:rsidR="00210423" w:rsidP="00210423" w:rsidRDefault="00D863DE" w14:paraId="6BD2D78C" w14:textId="77777777">
      <w:pPr>
        <w:pStyle w:val="Sinespaciado"/>
        <w:spacing w:before="120" w:line="276" w:lineRule="auto"/>
        <w:ind w:firstLine="709"/>
        <w:jc w:val="both"/>
        <w:rPr>
          <w:rFonts w:ascii="Century Gothic" w:hAnsi="Century Gothic" w:cs="Arial"/>
          <w:color w:val="000000" w:themeColor="text1"/>
          <w:sz w:val="22"/>
        </w:rPr>
      </w:pPr>
      <w:r w:rsidRPr="00C24A08">
        <w:rPr>
          <w:rFonts w:ascii="Century Gothic" w:hAnsi="Century Gothic" w:cs="Arial"/>
          <w:color w:val="000000" w:themeColor="text1"/>
          <w:sz w:val="22"/>
        </w:rPr>
        <w:t>Según lo expresado por esta Agencia</w:t>
      </w:r>
      <w:r w:rsidRPr="00C24A08">
        <w:rPr>
          <w:rStyle w:val="Refdenotaalpie"/>
          <w:rFonts w:ascii="Century Gothic" w:hAnsi="Century Gothic"/>
          <w:color w:val="000000" w:themeColor="text1"/>
          <w:sz w:val="22"/>
        </w:rPr>
        <w:footnoteReference w:id="25"/>
      </w:r>
      <w:r w:rsidRPr="00C24A08">
        <w:rPr>
          <w:rFonts w:ascii="Century Gothic" w:hAnsi="Century Gothic" w:cs="Arial"/>
          <w:color w:val="000000" w:themeColor="text1"/>
          <w:sz w:val="22"/>
        </w:rPr>
        <w:t xml:space="preserve">, de las disposiciones contenidas en la Ley 1474 de 2011 se infieren las siguientes características, en relación con la supervisión: i) siempre existirá en relación con cualquier contrato estatal </w:t>
      </w:r>
      <w:r w:rsidRPr="00C24A08" w:rsidR="00210423">
        <w:rPr>
          <w:rFonts w:ascii="Century Gothic" w:hAnsi="Century Gothic" w:cs="Arial"/>
          <w:color w:val="000000" w:themeColor="text1"/>
          <w:sz w:val="22"/>
        </w:rPr>
        <w:t>(lo que incluye a los convenios)</w:t>
      </w:r>
      <w:r w:rsidRPr="00C24A08">
        <w:rPr>
          <w:rFonts w:ascii="Century Gothic" w:hAnsi="Century Gothic" w:cs="Arial"/>
          <w:color w:val="000000" w:themeColor="text1"/>
          <w:sz w:val="22"/>
        </w:rPr>
        <w:t>―a diferencia de la interventoría que depende del análisis de su necesidad y extensión</w:t>
      </w:r>
      <w:r w:rsidRPr="00C24A08">
        <w:rPr>
          <w:rFonts w:ascii="Century Gothic" w:hAnsi="Century Gothic"/>
          <w:color w:val="000000" w:themeColor="text1"/>
          <w:sz w:val="22"/>
          <w:vertAlign w:val="superscript"/>
        </w:rPr>
        <w:footnoteReference w:id="26"/>
      </w:r>
      <w:r w:rsidRPr="00C24A08">
        <w:rPr>
          <w:rFonts w:ascii="Century Gothic" w:hAnsi="Century Gothic" w:cs="Arial"/>
          <w:color w:val="000000" w:themeColor="text1"/>
          <w:sz w:val="22"/>
        </w:rPr>
        <w:t xml:space="preserve">―; </w:t>
      </w:r>
      <w:proofErr w:type="spellStart"/>
      <w:r w:rsidRPr="00C24A08">
        <w:rPr>
          <w:rFonts w:ascii="Century Gothic" w:hAnsi="Century Gothic" w:cs="Arial"/>
          <w:color w:val="000000" w:themeColor="text1"/>
          <w:sz w:val="22"/>
        </w:rPr>
        <w:t>ii</w:t>
      </w:r>
      <w:proofErr w:type="spellEnd"/>
      <w:r w:rsidRPr="00C24A08">
        <w:rPr>
          <w:rFonts w:ascii="Century Gothic" w:hAnsi="Century Gothic" w:cs="Arial"/>
          <w:color w:val="000000" w:themeColor="text1"/>
          <w:sz w:val="22"/>
        </w:rPr>
        <w:t xml:space="preserve">) no requiere conocimientos tan especializados como la interventoría; </w:t>
      </w:r>
      <w:proofErr w:type="spellStart"/>
      <w:r w:rsidRPr="00C24A08">
        <w:rPr>
          <w:rFonts w:ascii="Century Gothic" w:hAnsi="Century Gothic" w:cs="Arial"/>
          <w:color w:val="000000" w:themeColor="text1"/>
          <w:sz w:val="22"/>
        </w:rPr>
        <w:t>iii</w:t>
      </w:r>
      <w:proofErr w:type="spellEnd"/>
      <w:r w:rsidRPr="00C24A08">
        <w:rPr>
          <w:rFonts w:ascii="Century Gothic" w:hAnsi="Century Gothic" w:cs="Arial"/>
          <w:color w:val="000000" w:themeColor="text1"/>
          <w:sz w:val="22"/>
        </w:rPr>
        <w:t xml:space="preserve">) se ejerce por la Entidad Estatal por conducto de la designación de servidores públicos idóneos para cumplir la función; </w:t>
      </w:r>
      <w:proofErr w:type="spellStart"/>
      <w:r w:rsidRPr="00C24A08">
        <w:rPr>
          <w:rFonts w:ascii="Century Gothic" w:hAnsi="Century Gothic" w:cs="Arial"/>
          <w:color w:val="000000" w:themeColor="text1"/>
          <w:sz w:val="22"/>
        </w:rPr>
        <w:t>iv</w:t>
      </w:r>
      <w:proofErr w:type="spellEnd"/>
      <w:r w:rsidRPr="00C24A08">
        <w:rPr>
          <w:rFonts w:ascii="Century Gothic" w:hAnsi="Century Gothic" w:cs="Arial"/>
          <w:color w:val="000000" w:themeColor="text1"/>
          <w:sz w:val="22"/>
        </w:rPr>
        <w:t>) puede recibir apoyo de personal contratado mediante contratos de prestación de servicios; v) le es inherente el seguimiento técnico, administrativo, financiero, contable y jurídico del contrato vigilado.</w:t>
      </w:r>
    </w:p>
    <w:p w:rsidRPr="00C24A08" w:rsidR="00D863DE" w:rsidP="00210423" w:rsidRDefault="00210423" w14:paraId="139872C2" w14:textId="0669101E">
      <w:pPr>
        <w:pStyle w:val="Sinespaciado"/>
        <w:spacing w:before="120" w:line="276" w:lineRule="auto"/>
        <w:ind w:firstLine="709"/>
        <w:jc w:val="both"/>
        <w:rPr>
          <w:rFonts w:ascii="Century Gothic" w:hAnsi="Century Gothic" w:eastAsia="Calibri" w:cs="Arial"/>
          <w:sz w:val="22"/>
        </w:rPr>
      </w:pPr>
      <w:r w:rsidRPr="00C24A08">
        <w:rPr>
          <w:rFonts w:ascii="Century Gothic" w:hAnsi="Century Gothic" w:eastAsia="Calibri" w:cs="Arial"/>
          <w:sz w:val="22"/>
        </w:rPr>
        <w:t xml:space="preserve">Asimismo, esta Agencia ha indicado que la </w:t>
      </w:r>
      <w:r w:rsidRPr="00C24A08" w:rsidR="00D863DE">
        <w:rPr>
          <w:rFonts w:ascii="Century Gothic" w:hAnsi="Century Gothic" w:eastAsia="Calibri" w:cs="Arial"/>
          <w:sz w:val="22"/>
        </w:rPr>
        <w:t>labor</w:t>
      </w:r>
      <w:r w:rsidRPr="00C24A08">
        <w:rPr>
          <w:rFonts w:ascii="Century Gothic" w:hAnsi="Century Gothic" w:eastAsia="Calibri" w:cs="Arial"/>
          <w:sz w:val="22"/>
        </w:rPr>
        <w:t xml:space="preserve"> de supervisar</w:t>
      </w:r>
      <w:r w:rsidRPr="00C24A08" w:rsidR="00D863DE">
        <w:rPr>
          <w:rFonts w:ascii="Century Gothic" w:hAnsi="Century Gothic" w:eastAsia="Calibri" w:cs="Arial"/>
          <w:sz w:val="22"/>
        </w:rPr>
        <w:t xml:space="preserve"> debe ir dirigida a verificar el cumplimiento de las condiciones pactadas</w:t>
      </w:r>
      <w:r w:rsidRPr="00C24A08">
        <w:rPr>
          <w:rFonts w:ascii="Century Gothic" w:hAnsi="Century Gothic" w:eastAsia="Calibri" w:cs="Arial"/>
          <w:sz w:val="22"/>
        </w:rPr>
        <w:t xml:space="preserve"> en los contratos o convenios</w:t>
      </w:r>
      <w:r w:rsidRPr="00C24A08" w:rsidR="00D863DE">
        <w:rPr>
          <w:rFonts w:ascii="Century Gothic" w:hAnsi="Century Gothic" w:eastAsia="Calibri" w:cs="Arial"/>
          <w:sz w:val="22"/>
        </w:rPr>
        <w:t xml:space="preserve">, por lo que </w:t>
      </w:r>
      <w:r w:rsidRPr="00C24A08">
        <w:rPr>
          <w:rFonts w:ascii="Century Gothic" w:hAnsi="Century Gothic" w:eastAsia="Calibri" w:cs="Arial"/>
          <w:sz w:val="22"/>
        </w:rPr>
        <w:t xml:space="preserve">las entidades estatales </w:t>
      </w:r>
      <w:r w:rsidRPr="00C24A08" w:rsidR="00D863DE">
        <w:rPr>
          <w:rFonts w:ascii="Century Gothic" w:hAnsi="Century Gothic" w:eastAsia="Calibri" w:cs="Arial"/>
          <w:sz w:val="22"/>
        </w:rPr>
        <w:t xml:space="preserve">están </w:t>
      </w:r>
      <w:proofErr w:type="gramStart"/>
      <w:r w:rsidRPr="00C24A08" w:rsidR="00D863DE">
        <w:rPr>
          <w:rFonts w:ascii="Century Gothic" w:hAnsi="Century Gothic" w:eastAsia="Calibri" w:cs="Arial"/>
          <w:sz w:val="22"/>
        </w:rPr>
        <w:t>facultados</w:t>
      </w:r>
      <w:proofErr w:type="gramEnd"/>
      <w:r w:rsidRPr="00C24A08" w:rsidR="00D863DE">
        <w:rPr>
          <w:rFonts w:ascii="Century Gothic" w:hAnsi="Century Gothic" w:eastAsia="Calibri" w:cs="Arial"/>
          <w:sz w:val="22"/>
        </w:rPr>
        <w:t xml:space="preserve"> para solicitar informes, aclaraciones y explicaciones sobre el desarrollo de la ejecución contractual, impartir instrucciones y hacer recomendaciones encaminadas a lograr la correcta ejecución del objeto c</w:t>
      </w:r>
      <w:r w:rsidRPr="00C24A08">
        <w:rPr>
          <w:rFonts w:ascii="Century Gothic" w:hAnsi="Century Gothic" w:eastAsia="Calibri" w:cs="Arial"/>
          <w:sz w:val="22"/>
        </w:rPr>
        <w:t>ontractual</w:t>
      </w:r>
      <w:r w:rsidRPr="00C24A08" w:rsidR="00D863DE">
        <w:rPr>
          <w:rFonts w:ascii="Century Gothic" w:hAnsi="Century Gothic" w:eastAsia="Calibri" w:cs="Arial"/>
          <w:sz w:val="22"/>
        </w:rPr>
        <w:t xml:space="preserve">. De hecho, conforme a lo manifestado por esta Agencia en la </w:t>
      </w:r>
      <w:r w:rsidRPr="00C24A08">
        <w:rPr>
          <w:rFonts w:ascii="Century Gothic" w:hAnsi="Century Gothic" w:eastAsia="Calibri" w:cs="Arial"/>
        </w:rPr>
        <w:t>“</w:t>
      </w:r>
      <w:r w:rsidRPr="00C24A08" w:rsidR="00D863DE">
        <w:rPr>
          <w:rFonts w:ascii="Century Gothic" w:hAnsi="Century Gothic" w:eastAsia="Calibri" w:cs="Arial"/>
          <w:sz w:val="22"/>
        </w:rPr>
        <w:t>Guía para el ejercicio de las funciones de supervisión e interventoría de los contratos del Estado</w:t>
      </w:r>
      <w:r w:rsidRPr="00C24A08">
        <w:rPr>
          <w:rFonts w:ascii="Century Gothic" w:hAnsi="Century Gothic" w:eastAsia="Calibri" w:cs="Arial"/>
        </w:rPr>
        <w:t>”</w:t>
      </w:r>
      <w:r w:rsidRPr="00C24A08" w:rsidR="00D863DE">
        <w:rPr>
          <w:rFonts w:ascii="Century Gothic" w:hAnsi="Century Gothic" w:eastAsia="Calibri" w:cs="Arial"/>
          <w:sz w:val="22"/>
        </w:rPr>
        <w:t xml:space="preserve">, los supervisores e interventores tienen funciones generales como: </w:t>
      </w:r>
    </w:p>
    <w:p w:rsidRPr="00C24A08" w:rsidR="00210423" w:rsidP="00210423" w:rsidRDefault="00210423" w14:paraId="474F12E1" w14:textId="77777777">
      <w:pPr>
        <w:pStyle w:val="Sinespaciado"/>
        <w:spacing w:before="120" w:line="276" w:lineRule="auto"/>
        <w:ind w:firstLine="709"/>
        <w:jc w:val="both"/>
        <w:rPr>
          <w:rFonts w:ascii="Century Gothic" w:hAnsi="Century Gothic" w:eastAsia="Calibri" w:cs="Arial"/>
          <w:sz w:val="22"/>
        </w:rPr>
      </w:pPr>
    </w:p>
    <w:p w:rsidRPr="00C24A08" w:rsidR="00D863DE" w:rsidP="00210423" w:rsidRDefault="00210423" w14:paraId="5A772AC8" w14:textId="7B7E36F2">
      <w:pPr>
        <w:spacing w:line="240" w:lineRule="auto"/>
        <w:ind w:left="709" w:right="709"/>
        <w:rPr>
          <w:rFonts w:ascii="Century Gothic" w:hAnsi="Century Gothic" w:cs="Arial"/>
          <w:sz w:val="21"/>
          <w:szCs w:val="21"/>
        </w:rPr>
      </w:pPr>
      <w:r w:rsidRPr="00C24A08">
        <w:rPr>
          <w:rFonts w:ascii="Century Gothic" w:hAnsi="Century Gothic" w:cs="Arial"/>
          <w:sz w:val="21"/>
          <w:szCs w:val="21"/>
        </w:rPr>
        <w:t>“</w:t>
      </w:r>
      <w:r w:rsidRPr="00C24A08" w:rsidR="00D863DE">
        <w:rPr>
          <w:rFonts w:ascii="Century Gothic" w:hAnsi="Century Gothic" w:cs="Arial"/>
          <w:sz w:val="21"/>
          <w:szCs w:val="21"/>
        </w:rPr>
        <w:t xml:space="preserve">• Apoyar el logro de los objetivos contractuales. </w:t>
      </w:r>
    </w:p>
    <w:p w:rsidRPr="00C24A08" w:rsidR="00D863DE" w:rsidP="00210423" w:rsidRDefault="00D863DE" w14:paraId="28B11E3D" w14:textId="77777777">
      <w:pPr>
        <w:spacing w:line="240" w:lineRule="auto"/>
        <w:ind w:left="709" w:right="709"/>
        <w:rPr>
          <w:rFonts w:ascii="Century Gothic" w:hAnsi="Century Gothic" w:cs="Arial"/>
          <w:sz w:val="21"/>
          <w:szCs w:val="21"/>
        </w:rPr>
      </w:pPr>
      <w:r w:rsidRPr="00C24A08">
        <w:rPr>
          <w:rFonts w:ascii="Century Gothic" w:hAnsi="Century Gothic" w:cs="Arial"/>
          <w:sz w:val="21"/>
          <w:szCs w:val="21"/>
        </w:rPr>
        <w:t xml:space="preserve">• </w:t>
      </w:r>
      <w:r w:rsidRPr="00C24A08">
        <w:rPr>
          <w:rFonts w:ascii="Century Gothic" w:hAnsi="Century Gothic" w:cs="Arial"/>
          <w:i/>
          <w:iCs/>
          <w:sz w:val="21"/>
          <w:szCs w:val="21"/>
        </w:rPr>
        <w:t>Velar por el cumplimiento del contrato en términos de plazos, calidades, cantidades y adecuada ejecución de los recursos del contrato.</w:t>
      </w:r>
      <w:r w:rsidRPr="00C24A08">
        <w:rPr>
          <w:rFonts w:ascii="Century Gothic" w:hAnsi="Century Gothic" w:cs="Arial"/>
          <w:sz w:val="21"/>
          <w:szCs w:val="21"/>
        </w:rPr>
        <w:t xml:space="preserve"> </w:t>
      </w:r>
    </w:p>
    <w:p w:rsidRPr="00C24A08" w:rsidR="00D863DE" w:rsidP="00210423" w:rsidRDefault="00D863DE" w14:paraId="2DE1CCFF" w14:textId="77777777">
      <w:pPr>
        <w:spacing w:line="240" w:lineRule="auto"/>
        <w:ind w:left="709" w:right="709"/>
        <w:rPr>
          <w:rFonts w:ascii="Century Gothic" w:hAnsi="Century Gothic" w:cs="Arial"/>
          <w:sz w:val="21"/>
          <w:szCs w:val="21"/>
        </w:rPr>
      </w:pPr>
      <w:r w:rsidRPr="00C24A08">
        <w:rPr>
          <w:rFonts w:ascii="Century Gothic" w:hAnsi="Century Gothic" w:cs="Arial"/>
          <w:sz w:val="21"/>
          <w:szCs w:val="21"/>
        </w:rPr>
        <w:t xml:space="preserve">• </w:t>
      </w:r>
      <w:r w:rsidRPr="00C24A08">
        <w:rPr>
          <w:rFonts w:ascii="Century Gothic" w:hAnsi="Century Gothic" w:cs="Arial"/>
          <w:i/>
          <w:iCs/>
          <w:sz w:val="21"/>
          <w:szCs w:val="21"/>
        </w:rPr>
        <w:t>Mantener en contacto a las partes del contrato.</w:t>
      </w:r>
      <w:r w:rsidRPr="00C24A08">
        <w:rPr>
          <w:rFonts w:ascii="Century Gothic" w:hAnsi="Century Gothic" w:cs="Arial"/>
          <w:sz w:val="21"/>
          <w:szCs w:val="21"/>
        </w:rPr>
        <w:t xml:space="preserve"> </w:t>
      </w:r>
    </w:p>
    <w:p w:rsidRPr="00C24A08" w:rsidR="00D863DE" w:rsidP="00210423" w:rsidRDefault="00D863DE" w14:paraId="4A822D60" w14:textId="77777777">
      <w:pPr>
        <w:spacing w:line="240" w:lineRule="auto"/>
        <w:ind w:left="709" w:right="709"/>
        <w:rPr>
          <w:rFonts w:ascii="Century Gothic" w:hAnsi="Century Gothic" w:cs="Arial"/>
          <w:sz w:val="21"/>
          <w:szCs w:val="21"/>
        </w:rPr>
      </w:pPr>
      <w:r w:rsidRPr="00C24A08">
        <w:rPr>
          <w:rFonts w:ascii="Century Gothic" w:hAnsi="Century Gothic" w:cs="Arial"/>
          <w:sz w:val="21"/>
          <w:szCs w:val="21"/>
        </w:rPr>
        <w:t xml:space="preserve">• Evitar la generación de controversias y propender por su rápida solución. </w:t>
      </w:r>
    </w:p>
    <w:p w:rsidRPr="00C24A08" w:rsidR="00D863DE" w:rsidP="00210423" w:rsidRDefault="00D863DE" w14:paraId="7F139470" w14:textId="77777777">
      <w:pPr>
        <w:spacing w:line="240" w:lineRule="auto"/>
        <w:ind w:left="709" w:right="709"/>
        <w:rPr>
          <w:rFonts w:ascii="Century Gothic" w:hAnsi="Century Gothic" w:eastAsia="Calibri" w:cs="Arial"/>
          <w:sz w:val="21"/>
          <w:szCs w:val="21"/>
        </w:rPr>
      </w:pPr>
      <w:r w:rsidRPr="00C24A08">
        <w:rPr>
          <w:rFonts w:ascii="Century Gothic" w:hAnsi="Century Gothic" w:cs="Arial"/>
          <w:sz w:val="21"/>
          <w:szCs w:val="21"/>
        </w:rPr>
        <w:t>• Solicitar informes, llevar a cabo reuniones, integrar comités y desarrollar otras herramientas encaminadas a verificar la adecuada ejecución del contrato.</w:t>
      </w:r>
    </w:p>
    <w:p w:rsidRPr="00C24A08" w:rsidR="00D863DE" w:rsidP="00210423" w:rsidRDefault="00D863DE" w14:paraId="2D32815A" w14:textId="77777777">
      <w:pPr>
        <w:spacing w:line="240" w:lineRule="auto"/>
        <w:ind w:left="709" w:right="709"/>
        <w:rPr>
          <w:rFonts w:ascii="Century Gothic" w:hAnsi="Century Gothic" w:cs="Arial"/>
          <w:sz w:val="21"/>
          <w:szCs w:val="21"/>
        </w:rPr>
      </w:pPr>
      <w:r w:rsidRPr="00C24A08">
        <w:rPr>
          <w:rFonts w:ascii="Century Gothic" w:hAnsi="Century Gothic" w:cs="Arial"/>
          <w:sz w:val="21"/>
          <w:szCs w:val="21"/>
        </w:rPr>
        <w:t xml:space="preserve">• Llevar a cabo las labores de monitoreo y control de riesgos que se le asignen, en coordinación con el área responsable de cada riesgo incluido en el mapa correspondiente, así como la identificación y tratamiento de los riesgos que puedan surgir durante las diversas etapas del contrato. </w:t>
      </w:r>
    </w:p>
    <w:p w:rsidRPr="00C24A08" w:rsidR="00D863DE" w:rsidP="00210423" w:rsidRDefault="00D863DE" w14:paraId="05992C7F" w14:textId="77777777">
      <w:pPr>
        <w:spacing w:line="240" w:lineRule="auto"/>
        <w:ind w:left="709" w:right="709"/>
        <w:rPr>
          <w:rFonts w:ascii="Century Gothic" w:hAnsi="Century Gothic" w:cs="Arial"/>
          <w:sz w:val="21"/>
          <w:szCs w:val="21"/>
        </w:rPr>
      </w:pPr>
      <w:r w:rsidRPr="00C24A08">
        <w:rPr>
          <w:rFonts w:ascii="Century Gothic" w:hAnsi="Century Gothic" w:cs="Arial"/>
          <w:sz w:val="21"/>
          <w:szCs w:val="21"/>
        </w:rPr>
        <w:t xml:space="preserve">• </w:t>
      </w:r>
      <w:r w:rsidRPr="00C24A08">
        <w:rPr>
          <w:rFonts w:ascii="Century Gothic" w:hAnsi="Century Gothic" w:cs="Arial"/>
          <w:i/>
          <w:iCs/>
          <w:sz w:val="21"/>
          <w:szCs w:val="21"/>
        </w:rPr>
        <w:t>Aprobar o rechazar por escrito, de forma oportuna y motivada la entrega de los bienes o servicios, cuando éstos no se ajustan a lo requerido en el contrato, especificaciones técnicas, condiciones y/o calidades acordadas.</w:t>
      </w:r>
      <w:r w:rsidRPr="00C24A08">
        <w:rPr>
          <w:rFonts w:ascii="Century Gothic" w:hAnsi="Century Gothic" w:cs="Arial"/>
          <w:sz w:val="21"/>
          <w:szCs w:val="21"/>
        </w:rPr>
        <w:t xml:space="preserve"> </w:t>
      </w:r>
    </w:p>
    <w:p w:rsidRPr="00C24A08" w:rsidR="00D863DE" w:rsidP="00210423" w:rsidRDefault="00D863DE" w14:paraId="604CAC99" w14:textId="77777777">
      <w:pPr>
        <w:spacing w:line="240" w:lineRule="auto"/>
        <w:ind w:left="709" w:right="709"/>
        <w:rPr>
          <w:rFonts w:ascii="Century Gothic" w:hAnsi="Century Gothic" w:cs="Arial"/>
          <w:sz w:val="21"/>
          <w:szCs w:val="21"/>
        </w:rPr>
      </w:pPr>
      <w:r w:rsidRPr="00C24A08">
        <w:rPr>
          <w:rFonts w:ascii="Century Gothic" w:hAnsi="Century Gothic" w:cs="Arial"/>
          <w:i/>
          <w:iCs/>
          <w:sz w:val="21"/>
          <w:szCs w:val="21"/>
        </w:rPr>
        <w:t>• Suscribir las actas que se generen durante la ejecución del contrato para dejar documentadas diversas situaciones y entre las que se encuentran: actas de actas parciales de avance, actas parciales de recibo y actas de recibo final</w:t>
      </w:r>
      <w:r w:rsidRPr="00C24A08">
        <w:rPr>
          <w:rFonts w:ascii="Century Gothic" w:hAnsi="Century Gothic" w:cs="Arial"/>
          <w:sz w:val="21"/>
          <w:szCs w:val="21"/>
        </w:rPr>
        <w:t xml:space="preserve">. </w:t>
      </w:r>
    </w:p>
    <w:p w:rsidRPr="00C24A08" w:rsidR="00D863DE" w:rsidP="00210423" w:rsidRDefault="00D863DE" w14:paraId="788646B7" w14:textId="77777777">
      <w:pPr>
        <w:spacing w:line="240" w:lineRule="auto"/>
        <w:ind w:left="709" w:right="709"/>
        <w:rPr>
          <w:rFonts w:ascii="Century Gothic" w:hAnsi="Century Gothic" w:cs="Arial"/>
          <w:sz w:val="21"/>
          <w:szCs w:val="21"/>
        </w:rPr>
      </w:pPr>
      <w:r w:rsidRPr="00C24A08">
        <w:rPr>
          <w:rFonts w:ascii="Century Gothic" w:hAnsi="Century Gothic" w:cs="Arial"/>
          <w:sz w:val="21"/>
          <w:szCs w:val="21"/>
        </w:rPr>
        <w:t xml:space="preserve">• Informar a la Entidad Estatal de hechos o circunstancias que puedan constituir actos de corrupción tipificados como conductas punibles, o que pongan en riesgo el cumplimiento del contrato; así como entregar los soportes necesarios para que la Entidad Estatal desarrolle las actividades correspondientes. </w:t>
      </w:r>
    </w:p>
    <w:p w:rsidRPr="00C24A08" w:rsidR="00D863DE" w:rsidP="00210423" w:rsidRDefault="00D863DE" w14:paraId="5253D237" w14:textId="59FEA1BE">
      <w:pPr>
        <w:spacing w:line="240" w:lineRule="auto"/>
        <w:ind w:left="709" w:right="709"/>
        <w:rPr>
          <w:rFonts w:ascii="Century Gothic" w:hAnsi="Century Gothic" w:eastAsia="Calibri" w:cs="Arial"/>
          <w:sz w:val="21"/>
          <w:szCs w:val="21"/>
        </w:rPr>
      </w:pPr>
      <w:r w:rsidRPr="00C24A08">
        <w:rPr>
          <w:rFonts w:ascii="Century Gothic" w:hAnsi="Century Gothic" w:cs="Arial"/>
          <w:sz w:val="21"/>
          <w:szCs w:val="21"/>
        </w:rPr>
        <w:t>• Informar a la Entidad Estatal cuando se presente incumplimiento contractual; así como entregar los soportes necesarios para que la Entidad Estatal desarrolle las actividades correspondientes.</w:t>
      </w:r>
      <w:r w:rsidRPr="00C24A08" w:rsidR="00210423">
        <w:rPr>
          <w:rFonts w:ascii="Century Gothic" w:hAnsi="Century Gothic" w:cs="Arial"/>
          <w:sz w:val="21"/>
          <w:szCs w:val="21"/>
        </w:rPr>
        <w:t>”</w:t>
      </w:r>
      <w:r w:rsidRPr="00C24A08">
        <w:rPr>
          <w:rFonts w:ascii="Century Gothic" w:hAnsi="Century Gothic" w:cs="Arial"/>
          <w:sz w:val="21"/>
          <w:szCs w:val="21"/>
        </w:rPr>
        <w:t xml:space="preserve"> (Énfasis fuera de texto). </w:t>
      </w:r>
    </w:p>
    <w:p w:rsidRPr="00C24A08" w:rsidR="00D863DE" w:rsidP="00210423" w:rsidRDefault="00D863DE" w14:paraId="74B46C02" w14:textId="77777777">
      <w:pPr>
        <w:ind w:firstLine="708"/>
        <w:jc w:val="both"/>
        <w:rPr>
          <w:rFonts w:ascii="Century Gothic" w:hAnsi="Century Gothic" w:cs="Arial"/>
          <w:bCs/>
          <w:lang w:val="es-ES_tradnl"/>
        </w:rPr>
      </w:pPr>
      <w:r w:rsidRPr="00C24A08">
        <w:rPr>
          <w:rFonts w:ascii="Century Gothic" w:hAnsi="Century Gothic" w:eastAsia="Calibri" w:cs="Arial"/>
        </w:rPr>
        <w:t>Según se desprende del apartado en cita, el ejercicio de la vigilancia de la ejecución del contrato estatal conlleva la tarea de velar por el cumplimiento de los plazos, calidades, cantidades y adecuada ejecución de los recursos del contrato.</w:t>
      </w:r>
      <w:r w:rsidRPr="00C24A08">
        <w:rPr>
          <w:rFonts w:ascii="Century Gothic" w:hAnsi="Century Gothic" w:cs="Arial"/>
          <w:bCs/>
          <w:lang w:val="es-ES_tradnl"/>
        </w:rPr>
        <w:t xml:space="preserve"> En ese sentido, conforme el numeral 6 del artículo 54 de la Ley 1952 de 2019, el supervisor del contrato será responsable por omisión de sus funciones legales.</w:t>
      </w:r>
    </w:p>
    <w:p w:rsidRPr="00C24A08" w:rsidR="007D6A2A" w:rsidP="00333F43" w:rsidRDefault="00D863DE" w14:paraId="695432D2" w14:textId="23BB8C32">
      <w:pPr>
        <w:spacing w:before="120" w:line="276" w:lineRule="auto"/>
        <w:ind w:firstLine="709"/>
        <w:jc w:val="both"/>
        <w:rPr>
          <w:rFonts w:ascii="Century Gothic" w:hAnsi="Century Gothic" w:cs="Arial"/>
        </w:rPr>
      </w:pPr>
      <w:r w:rsidRPr="00C24A08">
        <w:rPr>
          <w:rFonts w:ascii="Century Gothic" w:hAnsi="Century Gothic" w:cs="Arial"/>
          <w:lang w:val="es-ES_tradnl"/>
        </w:rPr>
        <w:t>Ahora bien, frente a</w:t>
      </w:r>
      <w:r w:rsidRPr="00C24A08" w:rsidR="00210423">
        <w:rPr>
          <w:rFonts w:ascii="Century Gothic" w:hAnsi="Century Gothic" w:cs="Arial"/>
          <w:lang w:val="es-ES_tradnl"/>
        </w:rPr>
        <w:t xml:space="preserve"> los convenios solidarios suscrito con Organismos de Acción Comunal,</w:t>
      </w:r>
      <w:r w:rsidRPr="00C24A08" w:rsidR="005447E3">
        <w:rPr>
          <w:rFonts w:ascii="Century Gothic" w:hAnsi="Century Gothic" w:cs="Arial"/>
          <w:lang w:val="es-ES_tradnl"/>
        </w:rPr>
        <w:t xml:space="preserve"> </w:t>
      </w:r>
      <w:r w:rsidRPr="00C24A08" w:rsidR="00210423">
        <w:rPr>
          <w:rFonts w:ascii="Century Gothic" w:hAnsi="Century Gothic" w:cs="Arial"/>
          <w:lang w:val="es-ES_tradnl"/>
        </w:rPr>
        <w:t xml:space="preserve"> no cabe duda que las Entidades Estatales que lo suscriban les asiste el deber de </w:t>
      </w:r>
      <w:r w:rsidRPr="00C24A08" w:rsidR="00210423">
        <w:rPr>
          <w:rFonts w:ascii="Century Gothic" w:hAnsi="Century Gothic" w:cs="Arial"/>
          <w:lang w:val="es-ES"/>
        </w:rPr>
        <w:t xml:space="preserve">vigilar la correcta ejecución del objeto acordado y a proteger tanto los derechos de la propia entidad como los del Organismo y terceros que puedan verse afectados por la ejecución del dicho convenio, </w:t>
      </w:r>
      <w:r w:rsidRPr="00C24A08" w:rsidR="004C3684">
        <w:rPr>
          <w:rFonts w:ascii="Century Gothic" w:hAnsi="Century Gothic" w:cs="Arial"/>
          <w:lang w:val="es-ES"/>
        </w:rPr>
        <w:t xml:space="preserve">sin importar el régimen jurídico que les aplique, </w:t>
      </w:r>
      <w:r w:rsidRPr="00C24A08" w:rsidR="00210423">
        <w:rPr>
          <w:rFonts w:ascii="Century Gothic" w:hAnsi="Century Gothic" w:cs="Arial"/>
          <w:lang w:val="es-ES"/>
        </w:rPr>
        <w:t xml:space="preserve">para lo cual deberá </w:t>
      </w:r>
      <w:r w:rsidRPr="00C24A08" w:rsidR="003A0E5F">
        <w:rPr>
          <w:rFonts w:ascii="Century Gothic" w:hAnsi="Century Gothic" w:cs="Arial"/>
          <w:lang w:val="es-ES"/>
        </w:rPr>
        <w:t xml:space="preserve">contar o disponer de </w:t>
      </w:r>
      <w:r w:rsidRPr="00C24A08" w:rsidR="00210423">
        <w:rPr>
          <w:rFonts w:ascii="Century Gothic" w:hAnsi="Century Gothic" w:cs="Arial"/>
          <w:lang w:val="es-ES"/>
        </w:rPr>
        <w:t xml:space="preserve">servidores públicos o contratistas que cuenten con la idoneidad </w:t>
      </w:r>
      <w:r w:rsidRPr="00C24A08" w:rsidR="00736B14">
        <w:rPr>
          <w:rFonts w:ascii="Century Gothic" w:hAnsi="Century Gothic" w:cs="Arial"/>
          <w:lang w:val="es-ES"/>
        </w:rPr>
        <w:t xml:space="preserve">técnica, administrativa y contable para </w:t>
      </w:r>
      <w:r w:rsidRPr="00C24A08" w:rsidR="00210423">
        <w:rPr>
          <w:rFonts w:ascii="Century Gothic" w:hAnsi="Century Gothic" w:cs="Arial"/>
          <w:lang w:val="es-ES"/>
        </w:rPr>
        <w:t>de vigilar el cumplimiento de las obligaciones pactadas por las partes</w:t>
      </w:r>
      <w:r w:rsidRPr="00C24A08" w:rsidR="00736B14">
        <w:rPr>
          <w:rFonts w:ascii="Century Gothic" w:hAnsi="Century Gothic" w:cs="Arial"/>
          <w:lang w:val="es-ES"/>
        </w:rPr>
        <w:t xml:space="preserve"> y apoyar al Or</w:t>
      </w:r>
      <w:r w:rsidRPr="00C24A08" w:rsidR="00293466">
        <w:rPr>
          <w:rFonts w:ascii="Century Gothic" w:hAnsi="Century Gothic" w:cs="Arial"/>
          <w:lang w:val="es-ES"/>
        </w:rPr>
        <w:t>ganismo de Acción Comunal, en la ejecución de las obras</w:t>
      </w:r>
      <w:r w:rsidRPr="00C24A08" w:rsidR="00BC0FBA">
        <w:rPr>
          <w:rFonts w:ascii="Century Gothic" w:hAnsi="Century Gothic" w:cs="Arial"/>
          <w:lang w:val="es-ES"/>
        </w:rPr>
        <w:t xml:space="preserve">. </w:t>
      </w:r>
    </w:p>
    <w:p w:rsidRPr="00C24A08" w:rsidR="00D863DE" w:rsidP="00FD561A" w:rsidRDefault="00210423" w14:paraId="48A0755F" w14:textId="19F5F153">
      <w:pPr>
        <w:spacing w:line="276" w:lineRule="auto"/>
        <w:ind w:firstLine="708"/>
        <w:jc w:val="both"/>
        <w:rPr>
          <w:rFonts w:ascii="Century Gothic" w:hAnsi="Century Gothic" w:cs="Arial"/>
          <w:bCs/>
          <w:lang w:val="es-ES_tradnl"/>
        </w:rPr>
      </w:pPr>
      <w:r w:rsidRPr="00C24A08">
        <w:rPr>
          <w:rFonts w:ascii="Century Gothic" w:hAnsi="Century Gothic" w:cs="Arial"/>
          <w:lang w:val="es-ES_tradnl"/>
        </w:rPr>
        <w:t xml:space="preserve"> </w:t>
      </w:r>
      <w:r w:rsidRPr="00C24A08" w:rsidR="00C01636">
        <w:rPr>
          <w:rFonts w:ascii="Century Gothic" w:hAnsi="Century Gothic" w:cs="Arial"/>
          <w:lang w:val="es-ES_tradnl"/>
        </w:rPr>
        <w:t>Igualmente</w:t>
      </w:r>
      <w:r w:rsidRPr="00C24A08" w:rsidR="00476B92">
        <w:rPr>
          <w:rFonts w:ascii="Century Gothic" w:hAnsi="Century Gothic" w:cs="Arial"/>
          <w:lang w:val="es-ES_tradnl"/>
        </w:rPr>
        <w:t xml:space="preserve">, </w:t>
      </w:r>
      <w:r w:rsidRPr="00C24A08" w:rsidR="00C01636">
        <w:rPr>
          <w:rFonts w:ascii="Century Gothic" w:hAnsi="Century Gothic" w:cs="Arial"/>
          <w:lang w:val="es-ES_tradnl"/>
        </w:rPr>
        <w:t xml:space="preserve">resulta importante aclarar, </w:t>
      </w:r>
      <w:r w:rsidRPr="00C24A08" w:rsidR="00C67C22">
        <w:rPr>
          <w:rFonts w:ascii="Century Gothic" w:hAnsi="Century Gothic" w:cs="Arial"/>
          <w:lang w:val="es-ES_tradnl"/>
        </w:rPr>
        <w:t xml:space="preserve">sin perjuicio de la supervisión ejercida directamente por la Entidad Estatal, </w:t>
      </w:r>
      <w:r w:rsidRPr="00C24A08" w:rsidR="00476B92">
        <w:rPr>
          <w:rFonts w:ascii="Century Gothic" w:hAnsi="Century Gothic" w:cs="Arial"/>
          <w:lang w:val="es-ES_tradnl"/>
        </w:rPr>
        <w:t>frente a los convenios solidarios cuyo objeto sea exclusivamente la ejecución de obras</w:t>
      </w:r>
      <w:r w:rsidRPr="00C24A08" w:rsidR="0055362E">
        <w:rPr>
          <w:rFonts w:ascii="Century Gothic" w:hAnsi="Century Gothic" w:cs="Arial"/>
          <w:lang w:val="es-ES_tradnl"/>
        </w:rPr>
        <w:t xml:space="preserve"> hasta</w:t>
      </w:r>
      <w:r w:rsidRPr="00C24A08" w:rsidR="00476B92">
        <w:rPr>
          <w:rFonts w:ascii="Century Gothic" w:hAnsi="Century Gothic" w:cs="Arial"/>
          <w:lang w:val="es-ES_tradnl"/>
        </w:rPr>
        <w:t xml:space="preserve"> por la menor cuantía, no le asiste</w:t>
      </w:r>
      <w:r w:rsidRPr="00C24A08" w:rsidR="0055362E">
        <w:rPr>
          <w:rFonts w:ascii="Century Gothic" w:hAnsi="Century Gothic" w:cs="Arial"/>
          <w:lang w:val="es-ES_tradnl"/>
        </w:rPr>
        <w:t xml:space="preserve"> a la Entidad Estatal la </w:t>
      </w:r>
      <w:r w:rsidRPr="00C24A08" w:rsidR="00BC42CF">
        <w:rPr>
          <w:rFonts w:ascii="Century Gothic" w:hAnsi="Century Gothic" w:cs="Arial"/>
          <w:lang w:val="es-ES_tradnl"/>
        </w:rPr>
        <w:t>obliga</w:t>
      </w:r>
      <w:r w:rsidRPr="00C24A08" w:rsidR="00C67C22">
        <w:rPr>
          <w:rFonts w:ascii="Century Gothic" w:hAnsi="Century Gothic" w:cs="Arial"/>
          <w:lang w:val="es-ES_tradnl"/>
        </w:rPr>
        <w:t>ción</w:t>
      </w:r>
      <w:r w:rsidRPr="00C24A08" w:rsidR="00BC42CF">
        <w:rPr>
          <w:rFonts w:ascii="Century Gothic" w:hAnsi="Century Gothic" w:cs="Arial"/>
          <w:lang w:val="es-ES_tradnl"/>
        </w:rPr>
        <w:t xml:space="preserve"> </w:t>
      </w:r>
      <w:r w:rsidRPr="00C24A08" w:rsidR="00C67C22">
        <w:rPr>
          <w:rFonts w:ascii="Century Gothic" w:hAnsi="Century Gothic" w:cs="Arial"/>
          <w:lang w:val="es-ES_tradnl"/>
        </w:rPr>
        <w:t xml:space="preserve">de contratar un tercero </w:t>
      </w:r>
      <w:r w:rsidRPr="00C24A08" w:rsidR="00D863DE">
        <w:rPr>
          <w:rFonts w:ascii="Century Gothic" w:hAnsi="Century Gothic" w:cs="Arial"/>
          <w:lang w:val="es-ES_tradnl"/>
        </w:rPr>
        <w:t xml:space="preserve">interventor </w:t>
      </w:r>
      <w:r w:rsidRPr="00C24A08" w:rsidR="00C67C22">
        <w:rPr>
          <w:rFonts w:ascii="Century Gothic" w:hAnsi="Century Gothic" w:cs="Arial"/>
          <w:lang w:val="es-ES_tradnl"/>
        </w:rPr>
        <w:t xml:space="preserve">de </w:t>
      </w:r>
      <w:r w:rsidRPr="00C24A08" w:rsidR="00D863DE">
        <w:rPr>
          <w:rFonts w:ascii="Century Gothic" w:hAnsi="Century Gothic" w:cs="Arial"/>
          <w:lang w:val="es-ES_tradnl"/>
        </w:rPr>
        <w:t>conform</w:t>
      </w:r>
      <w:r w:rsidRPr="00C24A08" w:rsidR="00C67C22">
        <w:rPr>
          <w:rFonts w:ascii="Century Gothic" w:hAnsi="Century Gothic" w:cs="Arial"/>
          <w:lang w:val="es-ES_tradnl"/>
        </w:rPr>
        <w:t>idad</w:t>
      </w:r>
      <w:r w:rsidRPr="00C24A08" w:rsidR="00B35F46">
        <w:rPr>
          <w:rFonts w:ascii="Century Gothic" w:hAnsi="Century Gothic" w:cs="Arial"/>
          <w:lang w:val="es-ES_tradnl"/>
        </w:rPr>
        <w:t xml:space="preserve"> con</w:t>
      </w:r>
      <w:r w:rsidRPr="00C24A08" w:rsidR="00D863DE">
        <w:rPr>
          <w:rFonts w:ascii="Century Gothic" w:hAnsi="Century Gothic" w:cs="Arial"/>
          <w:lang w:val="es-ES_tradnl"/>
        </w:rPr>
        <w:t xml:space="preserve"> </w:t>
      </w:r>
      <w:r w:rsidRPr="00C24A08" w:rsidR="00BC42CF">
        <w:rPr>
          <w:rFonts w:ascii="Century Gothic" w:hAnsi="Century Gothic" w:cs="Arial"/>
          <w:lang w:val="es-ES_tradnl"/>
        </w:rPr>
        <w:t>el numeral 1 del artículo 32 de la Ley 80 de 1993</w:t>
      </w:r>
      <w:r w:rsidRPr="00C24A08" w:rsidR="0055362E">
        <w:rPr>
          <w:rFonts w:ascii="Century Gothic" w:hAnsi="Century Gothic" w:cs="Arial"/>
          <w:lang w:val="es-ES_tradnl"/>
        </w:rPr>
        <w:t xml:space="preserve"> y el parágrafo 1 del </w:t>
      </w:r>
      <w:r w:rsidRPr="00C24A08" w:rsidR="00FE0091">
        <w:rPr>
          <w:rFonts w:ascii="Century Gothic" w:hAnsi="Century Gothic" w:cs="Arial"/>
          <w:lang w:val="es-ES_tradnl"/>
        </w:rPr>
        <w:t>artículo 83 de la Ley 1474 de 2011</w:t>
      </w:r>
      <w:r w:rsidRPr="00C24A08" w:rsidR="00B35F46">
        <w:rPr>
          <w:rFonts w:ascii="Century Gothic" w:hAnsi="Century Gothic" w:cs="Arial"/>
          <w:lang w:val="es-ES_tradnl"/>
        </w:rPr>
        <w:t xml:space="preserve">, pues este sólo es obligatorio en obras cuya contratación se </w:t>
      </w:r>
      <w:r w:rsidRPr="00C24A08" w:rsidR="00FE0091">
        <w:rPr>
          <w:rFonts w:ascii="Century Gothic" w:hAnsi="Century Gothic" w:cs="Arial"/>
          <w:lang w:val="es-ES_tradnl"/>
        </w:rPr>
        <w:t>origine</w:t>
      </w:r>
      <w:r w:rsidRPr="00C24A08" w:rsidR="00B35F46">
        <w:rPr>
          <w:rFonts w:ascii="Century Gothic" w:hAnsi="Century Gothic" w:cs="Arial"/>
          <w:lang w:val="es-ES_tradnl"/>
        </w:rPr>
        <w:t xml:space="preserve"> de procesos de selección por licitación pública,</w:t>
      </w:r>
      <w:r w:rsidRPr="00C24A08" w:rsidR="00FE0091">
        <w:rPr>
          <w:rFonts w:ascii="Century Gothic" w:hAnsi="Century Gothic" w:cs="Arial"/>
          <w:lang w:val="es-ES_tradnl"/>
        </w:rPr>
        <w:t xml:space="preserve"> sin embargo, en caso de considerarlo necesario</w:t>
      </w:r>
      <w:r w:rsidRPr="00C24A08" w:rsidR="00575DFE">
        <w:rPr>
          <w:rFonts w:ascii="Century Gothic" w:hAnsi="Century Gothic" w:cs="Arial"/>
          <w:lang w:val="es-ES_tradnl"/>
        </w:rPr>
        <w:t>, las entidades estatales se encuentran facultadas para contratarlos</w:t>
      </w:r>
      <w:r w:rsidRPr="00C24A08" w:rsidR="00E119E6">
        <w:rPr>
          <w:rFonts w:ascii="Century Gothic" w:hAnsi="Century Gothic" w:cs="Arial"/>
          <w:bCs/>
          <w:lang w:val="es-ES_tradnl"/>
        </w:rPr>
        <w:t xml:space="preserve"> debida justificación en los documentos precontractuales.</w:t>
      </w:r>
    </w:p>
    <w:p w:rsidRPr="00C24A08" w:rsidR="00C36B99" w:rsidP="00C36B99" w:rsidRDefault="00C36B99" w14:paraId="0B592F32" w14:textId="61A4AC08">
      <w:pPr>
        <w:spacing w:before="120" w:after="0" w:line="276" w:lineRule="auto"/>
        <w:jc w:val="both"/>
        <w:rPr>
          <w:rFonts w:ascii="Century Gothic" w:hAnsi="Century Gothic" w:eastAsia="Calibri" w:cs="Arial"/>
          <w:b/>
          <w:color w:val="000000"/>
          <w:lang w:val="es-ES_tradnl"/>
        </w:rPr>
      </w:pPr>
      <w:r w:rsidRPr="00C24A08">
        <w:rPr>
          <w:rFonts w:ascii="Century Gothic" w:hAnsi="Century Gothic" w:eastAsia="Calibri" w:cs="Arial"/>
          <w:b/>
          <w:lang w:val="es-MX"/>
        </w:rPr>
        <w:t xml:space="preserve">2.4. </w:t>
      </w:r>
      <w:bookmarkStart w:name="_Hlk136333989" w:id="12"/>
      <w:r w:rsidRPr="00C24A08">
        <w:rPr>
          <w:rFonts w:ascii="Century Gothic" w:hAnsi="Century Gothic" w:eastAsia="Calibri" w:cs="Arial"/>
          <w:b/>
          <w:color w:val="000000"/>
          <w:lang w:val="es-ES_tradnl"/>
        </w:rPr>
        <w:t>Sujetos obligados a publicar sus actuaciones contractuales en el Sistema Electrónico de la Contratación Pública – SECOP</w:t>
      </w:r>
      <w:bookmarkEnd w:id="12"/>
    </w:p>
    <w:p w:rsidRPr="00C24A08" w:rsidR="00C36B99" w:rsidP="00C36B99" w:rsidRDefault="00C36B99" w14:paraId="532940CD" w14:textId="7D0A3326">
      <w:pPr>
        <w:spacing w:before="120" w:after="0" w:line="276" w:lineRule="auto"/>
        <w:jc w:val="both"/>
        <w:rPr>
          <w:rFonts w:ascii="Century Gothic" w:hAnsi="Century Gothic" w:eastAsia="Calibri" w:cs="Arial"/>
          <w:b/>
          <w:color w:val="000000"/>
          <w:lang w:val="es-ES_tradnl"/>
        </w:rPr>
      </w:pPr>
      <w:r w:rsidRPr="00C24A08">
        <w:rPr>
          <w:rFonts w:ascii="Century Gothic" w:hAnsi="Century Gothic" w:eastAsia="Calibri" w:cs="Arial"/>
          <w:color w:val="000000"/>
          <w:kern w:val="2"/>
          <w14:ligatures w14:val="standardContextual"/>
        </w:rPr>
        <w:t xml:space="preserve">Uno de los postulados más importantes del Estado Social y Democrático de Derecho es el principio de </w:t>
      </w:r>
      <w:r w:rsidRPr="00C24A08">
        <w:rPr>
          <w:rFonts w:ascii="Century Gothic" w:hAnsi="Century Gothic" w:eastAsia="Calibri" w:cs="Arial"/>
          <w:i/>
          <w:iCs/>
          <w:color w:val="000000"/>
          <w:kern w:val="2"/>
          <w14:ligatures w14:val="standardContextual"/>
        </w:rPr>
        <w:t xml:space="preserve">publicidad, </w:t>
      </w:r>
      <w:r w:rsidRPr="00C24A08">
        <w:rPr>
          <w:rFonts w:ascii="Century Gothic" w:hAnsi="Century Gothic" w:eastAsia="Calibri" w:cs="Arial"/>
          <w:color w:val="000000"/>
          <w:kern w:val="2"/>
          <w14:ligatures w14:val="standardContextual"/>
        </w:rPr>
        <w:t>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r w:rsidRPr="00C24A08">
        <w:rPr>
          <w:rFonts w:ascii="Century Gothic" w:hAnsi="Century Gothic" w:eastAsia="Calibri" w:cs="Arial"/>
          <w:color w:val="000000"/>
          <w:kern w:val="2"/>
          <w:vertAlign w:val="superscript"/>
          <w:lang w:val="es-ES_tradnl"/>
          <w14:ligatures w14:val="standardContextual"/>
        </w:rPr>
        <w:footnoteReference w:id="27"/>
      </w:r>
      <w:r w:rsidRPr="00C24A08">
        <w:rPr>
          <w:rFonts w:ascii="Century Gothic" w:hAnsi="Century Gothic" w:eastAsia="Calibri" w:cs="Arial"/>
          <w:color w:val="000000"/>
          <w:kern w:val="2"/>
          <w14:ligatures w14:val="standardContextual"/>
        </w:rPr>
        <w:t>”</w:t>
      </w:r>
      <w:r w:rsidRPr="00C24A08">
        <w:rPr>
          <w:rFonts w:ascii="Century Gothic" w:hAnsi="Century Gothic" w:eastAsia="Calibri" w:cs="Arial"/>
          <w:color w:val="000000"/>
          <w:kern w:val="2"/>
          <w:lang w:val="es-ES_tradnl"/>
          <w14:ligatures w14:val="standardContextual"/>
        </w:rPr>
        <w:t>. El secreto generalizado en el ejercicio del poder político constituye, por el contrario, una negación de la democracia, porque dificulta la supervisión de las autoridades por parte de la sociedad civil y establece una barrera para la participación ciudadana.</w:t>
      </w:r>
    </w:p>
    <w:p w:rsidRPr="00C24A08" w:rsidR="00C36B99" w:rsidP="00C36B99" w:rsidRDefault="00C36B99" w14:paraId="70A7DCB9" w14:textId="77777777">
      <w:pPr>
        <w:spacing w:before="120" w:after="0" w:line="276" w:lineRule="auto"/>
        <w:jc w:val="both"/>
        <w:rPr>
          <w:rFonts w:ascii="Century Gothic" w:hAnsi="Century Gothic" w:eastAsia="Calibri" w:cs="Arial"/>
          <w:color w:val="000000"/>
          <w:kern w:val="2"/>
          <w14:ligatures w14:val="standardContextual"/>
        </w:rPr>
      </w:pPr>
      <w:r w:rsidRPr="00C24A08">
        <w:rPr>
          <w:rFonts w:ascii="Century Gothic" w:hAnsi="Century Gothic" w:eastAsia="Calibri" w:cs="Arial"/>
          <w:color w:val="000000"/>
          <w:kern w:val="2"/>
          <w14:ligatures w14:val="standardContextual"/>
        </w:rPr>
        <w:tab/>
      </w:r>
      <w:r w:rsidRPr="00C24A08">
        <w:rPr>
          <w:rFonts w:ascii="Century Gothic" w:hAnsi="Century Gothic" w:eastAsia="Calibri" w:cs="Arial"/>
          <w:color w:val="000000"/>
          <w:kern w:val="2"/>
          <w14:ligatures w14:val="standardContextual"/>
        </w:rPr>
        <w:t>Inspirada en esta concepción axiológica, la Constitución Política de 1991 consagra en varios artículos la publicidad como un principio rector del Estado Colombiano. Entre los más destacados, puede mencionarse el artículo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rsidRPr="00C24A08" w:rsidR="00C36B99" w:rsidP="00C36B99" w:rsidRDefault="00C36B99" w14:paraId="72CBA6C1" w14:textId="77777777">
      <w:pPr>
        <w:spacing w:after="0" w:line="276" w:lineRule="auto"/>
        <w:jc w:val="both"/>
        <w:rPr>
          <w:rFonts w:ascii="Century Gothic" w:hAnsi="Century Gothic" w:eastAsia="Calibri" w:cs="Arial"/>
          <w:color w:val="000000"/>
          <w:kern w:val="2"/>
          <w14:ligatures w14:val="standardContextual"/>
        </w:rPr>
      </w:pPr>
    </w:p>
    <w:p w:rsidRPr="00C24A08" w:rsidR="00C36B99" w:rsidP="00C36B99" w:rsidRDefault="00C36B99" w14:paraId="09C93C91" w14:textId="77777777">
      <w:pPr>
        <w:spacing w:after="0" w:line="240" w:lineRule="auto"/>
        <w:ind w:left="709" w:right="709"/>
        <w:jc w:val="both"/>
        <w:rPr>
          <w:rFonts w:ascii="Century Gothic" w:hAnsi="Century Gothic" w:eastAsia="Calibri" w:cs="Arial"/>
          <w:color w:val="000000"/>
          <w:kern w:val="2"/>
          <w:sz w:val="21"/>
          <w:szCs w:val="21"/>
          <w14:ligatures w14:val="standardContextual"/>
        </w:rPr>
      </w:pPr>
      <w:r w:rsidRPr="00C24A08">
        <w:rPr>
          <w:rFonts w:ascii="Century Gothic" w:hAnsi="Century Gothic" w:eastAsia="Calibri" w:cs="Arial"/>
          <w:color w:val="000000"/>
          <w:kern w:val="2"/>
          <w:sz w:val="21"/>
          <w:szCs w:val="21"/>
          <w14:ligatures w14:val="standardContextua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rsidRPr="00C24A08" w:rsidR="00C36B99" w:rsidP="00C36B99" w:rsidRDefault="00C36B99" w14:paraId="0825434C" w14:textId="77777777">
      <w:pPr>
        <w:spacing w:before="120" w:after="0" w:line="240" w:lineRule="auto"/>
        <w:ind w:left="709" w:right="709"/>
        <w:jc w:val="both"/>
        <w:rPr>
          <w:rFonts w:ascii="Century Gothic" w:hAnsi="Century Gothic" w:eastAsia="Calibri" w:cs="Arial"/>
          <w:color w:val="000000"/>
          <w:kern w:val="2"/>
          <w:sz w:val="21"/>
          <w:szCs w:val="21"/>
          <w14:ligatures w14:val="standardContextual"/>
        </w:rPr>
      </w:pPr>
      <w:r w:rsidRPr="00C24A08">
        <w:rPr>
          <w:rFonts w:ascii="Century Gothic" w:hAnsi="Century Gothic" w:eastAsia="Calibri" w:cs="Arial"/>
          <w:color w:val="000000"/>
          <w:kern w:val="2"/>
          <w:sz w:val="21"/>
          <w:szCs w:val="21"/>
          <w14:ligatures w14:val="standardContextual"/>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C24A08">
        <w:rPr>
          <w:rFonts w:ascii="Century Gothic" w:hAnsi="Century Gothic" w:eastAsia="Calibri" w:cs="Arial"/>
          <w:color w:val="000000"/>
          <w:kern w:val="2"/>
          <w:sz w:val="21"/>
          <w:szCs w:val="21"/>
          <w:vertAlign w:val="superscript"/>
          <w:lang w:val="es-ES_tradnl"/>
          <w14:ligatures w14:val="standardContextual"/>
        </w:rPr>
        <w:footnoteReference w:id="28"/>
      </w:r>
      <w:r w:rsidRPr="00C24A08">
        <w:rPr>
          <w:rFonts w:ascii="Century Gothic" w:hAnsi="Century Gothic" w:eastAsia="Calibri" w:cs="Arial"/>
          <w:color w:val="000000"/>
          <w:kern w:val="2"/>
          <w:sz w:val="21"/>
          <w:szCs w:val="21"/>
          <w14:ligatures w14:val="standardContextual"/>
        </w:rPr>
        <w:t>”</w:t>
      </w:r>
      <w:r w:rsidRPr="00C24A08">
        <w:rPr>
          <w:rFonts w:ascii="Century Gothic" w:hAnsi="Century Gothic" w:eastAsia="Calibri" w:cs="Arial"/>
          <w:color w:val="000000"/>
          <w:kern w:val="2"/>
          <w:sz w:val="21"/>
          <w:szCs w:val="21"/>
          <w:lang w:val="es-ES_tradnl"/>
          <w14:ligatures w14:val="standardContextual"/>
        </w:rPr>
        <w:t>.</w:t>
      </w:r>
    </w:p>
    <w:p w:rsidRPr="00C24A08" w:rsidR="00C36B99" w:rsidP="00C36B99" w:rsidRDefault="00C36B99" w14:paraId="18936C11" w14:textId="77777777">
      <w:pPr>
        <w:spacing w:after="0" w:line="276" w:lineRule="auto"/>
        <w:jc w:val="both"/>
        <w:rPr>
          <w:rFonts w:ascii="Century Gothic" w:hAnsi="Century Gothic" w:eastAsia="Calibri" w:cs="Arial"/>
          <w:color w:val="000000"/>
          <w:kern w:val="2"/>
          <w14:ligatures w14:val="standardContextual"/>
        </w:rPr>
      </w:pPr>
    </w:p>
    <w:p w:rsidRPr="00C24A08" w:rsidR="00C36B99" w:rsidP="00C36B99" w:rsidRDefault="00C36B99" w14:paraId="6AA57727" w14:textId="0B9B3E3B">
      <w:pPr>
        <w:spacing w:after="0" w:line="276" w:lineRule="auto"/>
        <w:jc w:val="both"/>
        <w:rPr>
          <w:rFonts w:ascii="Century Gothic" w:hAnsi="Century Gothic" w:eastAsia="Calibri" w:cs="Arial"/>
          <w:color w:val="000000"/>
          <w:kern w:val="2"/>
          <w14:ligatures w14:val="standardContextual"/>
        </w:rPr>
      </w:pPr>
      <w:r w:rsidRPr="00C24A08">
        <w:rPr>
          <w:rFonts w:ascii="Century Gothic" w:hAnsi="Century Gothic" w:eastAsia="Calibri" w:cs="Arial"/>
          <w:color w:val="000000"/>
          <w:kern w:val="2"/>
          <w14:ligatures w14:val="standardContextual"/>
        </w:rPr>
        <w:tab/>
      </w:r>
      <w:r w:rsidRPr="00C24A08">
        <w:rPr>
          <w:rFonts w:ascii="Century Gothic" w:hAnsi="Century Gothic" w:eastAsia="Calibri" w:cs="Arial"/>
          <w:color w:val="000000"/>
          <w:kern w:val="2"/>
          <w14:ligatures w14:val="standardContextual"/>
        </w:rPr>
        <w:t xml:space="preserve">El principio de publicidad impone a las autoridades el deber de dar a conocer sus actos, contratos y decisiones, para que se divulguen y eventualmente se controlen dichas actuaciones. </w:t>
      </w:r>
      <w:r w:rsidRPr="00C24A08" w:rsidR="004331FD">
        <w:rPr>
          <w:rFonts w:ascii="Century Gothic" w:hAnsi="Century Gothic" w:eastAsia="Calibri" w:cs="Arial"/>
          <w:color w:val="000000"/>
          <w:kern w:val="2"/>
          <w14:ligatures w14:val="standardContextual"/>
        </w:rPr>
        <w:t xml:space="preserve">Por </w:t>
      </w:r>
      <w:r w:rsidRPr="00C24A08" w:rsidR="00B3450A">
        <w:rPr>
          <w:rFonts w:ascii="Century Gothic" w:hAnsi="Century Gothic" w:eastAsia="Calibri" w:cs="Arial"/>
          <w:color w:val="000000"/>
          <w:kern w:val="2"/>
          <w14:ligatures w14:val="standardContextual"/>
        </w:rPr>
        <w:t>lo tanto,</w:t>
      </w:r>
      <w:r w:rsidRPr="00C24A08">
        <w:rPr>
          <w:rFonts w:ascii="Century Gothic" w:hAnsi="Century Gothic" w:eastAsia="Calibri" w:cs="Arial"/>
          <w:color w:val="000000"/>
          <w:kern w:val="2"/>
          <w14:ligatures w14:val="standardContextual"/>
        </w:rPr>
        <w:t xml:space="preserve">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C24A08">
        <w:rPr>
          <w:rFonts w:ascii="Century Gothic" w:hAnsi="Century Gothic" w:eastAsia="Calibri" w:cs="Arial"/>
          <w:color w:val="000000"/>
          <w:lang w:val="es-ES_tradnl"/>
        </w:rPr>
        <w:t>”</w:t>
      </w:r>
      <w:r w:rsidRPr="00C24A08">
        <w:rPr>
          <w:rFonts w:ascii="Century Gothic" w:hAnsi="Century Gothic" w:eastAsia="Calibri" w:cs="Arial"/>
          <w:color w:val="000000"/>
          <w:vertAlign w:val="superscript"/>
          <w:lang w:val="es-ES_tradnl"/>
        </w:rPr>
        <w:footnoteReference w:id="29"/>
      </w:r>
      <w:r w:rsidRPr="00C24A08">
        <w:rPr>
          <w:rFonts w:ascii="Century Gothic" w:hAnsi="Century Gothic" w:eastAsia="Calibri" w:cs="Arial"/>
          <w:color w:val="000000"/>
          <w:lang w:val="es-ES_tradnl"/>
        </w:rPr>
        <w:t>.</w:t>
      </w:r>
    </w:p>
    <w:p w:rsidRPr="00C24A08" w:rsidR="00C36B99" w:rsidP="00C36B99" w:rsidRDefault="00C36B99" w14:paraId="68D90F19" w14:textId="77777777">
      <w:pPr>
        <w:spacing w:before="120" w:after="0" w:line="276" w:lineRule="auto"/>
        <w:jc w:val="both"/>
        <w:rPr>
          <w:rFonts w:ascii="Century Gothic" w:hAnsi="Century Gothic" w:eastAsia="Calibri" w:cs="Arial"/>
          <w:color w:val="000000"/>
          <w:kern w:val="2"/>
          <w14:ligatures w14:val="standardContextual"/>
        </w:rPr>
      </w:pPr>
      <w:r w:rsidRPr="00C24A08">
        <w:rPr>
          <w:rFonts w:ascii="Century Gothic" w:hAnsi="Century Gothic" w:eastAsia="Calibri" w:cs="Arial"/>
          <w:color w:val="000000"/>
          <w:kern w:val="2"/>
          <w14:ligatures w14:val="standardContextual"/>
        </w:rPr>
        <w:tab/>
      </w:r>
      <w:r w:rsidRPr="00C24A08">
        <w:rPr>
          <w:rFonts w:ascii="Century Gothic" w:hAnsi="Century Gothic" w:eastAsia="Calibri" w:cs="Arial"/>
          <w:color w:val="000000"/>
          <w:kern w:val="2"/>
          <w14:ligatures w14:val="standardContextua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C24A08">
        <w:rPr>
          <w:rFonts w:ascii="Century Gothic" w:hAnsi="Century Gothic" w:eastAsia="Calibri" w:cs="Arial"/>
          <w:color w:val="000000"/>
          <w:vertAlign w:val="superscript"/>
          <w:lang w:val="es-ES_tradnl"/>
        </w:rPr>
        <w:footnoteReference w:id="30"/>
      </w:r>
      <w:r w:rsidRPr="00C24A08">
        <w:rPr>
          <w:rFonts w:ascii="Century Gothic" w:hAnsi="Century Gothic" w:eastAsia="Calibri" w:cs="Arial"/>
          <w:color w:val="000000"/>
          <w:lang w:val="es-ES_tradnl"/>
        </w:rPr>
        <w:t xml:space="preserve">. El principio de transparencia en la información alude al deber de los sujetos de proporcionar y facilitar el acceso a la misma en los términos más amplios posibles, y a través de los medios y procedimientos legales. En el artículo 5 de dicha ley, se incluye como se mencionó en el considerando 2.1 de este concepto, dentro de la lista de sujetos obligados a todas las entidades públicas y, además, en el literal c) a las personas naturales y jurídicas, públicas o privadas, que presten </w:t>
      </w:r>
      <w:r w:rsidRPr="00C24A08">
        <w:rPr>
          <w:rFonts w:ascii="Century Gothic" w:hAnsi="Century Gothic" w:eastAsia="Calibri" w:cs="Arial"/>
          <w:i/>
          <w:iCs/>
          <w:lang w:val="es-ES_tradnl"/>
        </w:rPr>
        <w:t>función pública y servicios públicos</w:t>
      </w:r>
      <w:r w:rsidRPr="00C24A08">
        <w:rPr>
          <w:rFonts w:ascii="Century Gothic" w:hAnsi="Century Gothic" w:eastAsia="Calibri" w:cs="Arial"/>
          <w:lang w:val="es-ES_tradnl"/>
        </w:rPr>
        <w:t xml:space="preserve"> </w:t>
      </w:r>
      <w:r w:rsidRPr="00C24A08">
        <w:rPr>
          <w:rFonts w:ascii="Century Gothic" w:hAnsi="Century Gothic" w:eastAsia="Calibri" w:cs="Arial"/>
          <w:color w:val="000000"/>
          <w:lang w:val="es-ES_tradnl"/>
        </w:rPr>
        <w:t>respecto de la información directamente relacionada con la prestación del servicio público, adicionalmente, en el literal g) incluyó a las entidades que administren recursos de naturaleza u origen público</w:t>
      </w:r>
      <w:r w:rsidRPr="00C24A08">
        <w:rPr>
          <w:rFonts w:ascii="Century Gothic" w:hAnsi="Century Gothic" w:eastAsia="Calibri" w:cs="Arial"/>
          <w:color w:val="000000"/>
          <w:kern w:val="2"/>
          <w:vertAlign w:val="superscript"/>
          <w:lang w:val="es-ES_tradnl"/>
          <w14:ligatures w14:val="standardContextual"/>
        </w:rPr>
        <w:footnoteReference w:id="31"/>
      </w:r>
      <w:r w:rsidRPr="00C24A08">
        <w:rPr>
          <w:rFonts w:ascii="Century Gothic" w:hAnsi="Century Gothic" w:eastAsia="Calibri" w:cs="Arial"/>
          <w:color w:val="000000"/>
          <w:kern w:val="2"/>
          <w14:ligatures w14:val="standardContextual"/>
        </w:rPr>
        <w:t>.</w:t>
      </w:r>
    </w:p>
    <w:p w:rsidRPr="00C24A08" w:rsidR="00C36B99" w:rsidP="00C36B99" w:rsidRDefault="00C36B99" w14:paraId="6A251C8E" w14:textId="77777777">
      <w:pPr>
        <w:spacing w:before="120" w:after="0" w:line="276" w:lineRule="auto"/>
        <w:jc w:val="both"/>
        <w:rPr>
          <w:rFonts w:ascii="Century Gothic" w:hAnsi="Century Gothic" w:eastAsia="Calibri" w:cs="Arial"/>
          <w:color w:val="000000"/>
          <w:kern w:val="2"/>
          <w14:ligatures w14:val="standardContextual"/>
        </w:rPr>
      </w:pPr>
      <w:r w:rsidRPr="00C24A08">
        <w:rPr>
          <w:rFonts w:ascii="Century Gothic" w:hAnsi="Century Gothic" w:eastAsia="Calibri" w:cs="Arial"/>
          <w:color w:val="000000"/>
          <w:kern w:val="2"/>
          <w14:ligatures w14:val="standardContextual"/>
        </w:rPr>
        <w:tab/>
      </w:r>
      <w:r w:rsidRPr="00C24A08">
        <w:rPr>
          <w:rFonts w:ascii="Century Gothic" w:hAnsi="Century Gothic" w:eastAsia="Calibri" w:cs="Arial"/>
          <w:color w:val="000000"/>
          <w:kern w:val="2"/>
          <w14:ligatures w14:val="standardContextual"/>
        </w:rPr>
        <w:t>Uno de los deberes definidos en la Ley 1712 de 2014, que deben acatar los sujetos obligados, es publicar la información contractual en el SECOP. En efecto, el literal e) del artículo 9 señala que los sujetos obligados deben publicar la información relativo a su contratación. Así 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información esta, que también debe estar en el SECOP, adicionalmente el  Decreto 1081 de 2015</w:t>
      </w:r>
      <w:r w:rsidRPr="00C24A08">
        <w:rPr>
          <w:rFonts w:ascii="Century Gothic" w:hAnsi="Century Gothic" w:eastAsia="Calibri" w:cs="Arial"/>
          <w:color w:val="000000"/>
          <w:kern w:val="2"/>
          <w:vertAlign w:val="superscript"/>
          <w:lang w:val="es-ES_tradnl"/>
          <w14:ligatures w14:val="standardContextual"/>
        </w:rPr>
        <w:footnoteReference w:id="32"/>
      </w:r>
      <w:r w:rsidRPr="00C24A08">
        <w:rPr>
          <w:rFonts w:ascii="Century Gothic" w:hAnsi="Century Gothic" w:eastAsia="Calibri" w:cs="Arial"/>
          <w:color w:val="000000"/>
          <w:kern w:val="2"/>
          <w14:ligatures w14:val="standardContextual"/>
        </w:rPr>
        <w:t xml:space="preserve"> reglamentó la materia estableciendo que la información contractual de los sujetos obligados que </w:t>
      </w:r>
      <w:r w:rsidRPr="00C24A08">
        <w:rPr>
          <w:rFonts w:ascii="Century Gothic" w:hAnsi="Century Gothic" w:eastAsia="Calibri" w:cs="Arial"/>
          <w:i/>
          <w:iCs/>
          <w:color w:val="000000"/>
          <w:kern w:val="2"/>
          <w14:ligatures w14:val="standardContextual"/>
        </w:rPr>
        <w:t xml:space="preserve">“contratan con cargo a recursos públicos”, </w:t>
      </w:r>
      <w:r w:rsidRPr="00C24A08">
        <w:rPr>
          <w:rFonts w:ascii="Century Gothic" w:hAnsi="Century Gothic" w:eastAsia="Calibri" w:cs="Arial"/>
          <w:color w:val="000000"/>
          <w:kern w:val="2"/>
          <w14:ligatures w14:val="standardContextual"/>
        </w:rPr>
        <w:t xml:space="preserve">debe hacerse en el Sistema Electrónico para la Contratación Pública – SECOP–. </w:t>
      </w:r>
    </w:p>
    <w:p w:rsidRPr="00C24A08" w:rsidR="00F82C14" w:rsidP="00F82C14" w:rsidRDefault="00C36B99" w14:paraId="54AE0C35" w14:textId="420F38FE">
      <w:pPr>
        <w:spacing w:before="120" w:after="0" w:line="276" w:lineRule="auto"/>
        <w:jc w:val="both"/>
        <w:rPr>
          <w:rFonts w:ascii="Century Gothic" w:hAnsi="Century Gothic" w:eastAsia="Calibri" w:cs="Arial"/>
          <w:color w:val="000000"/>
          <w:kern w:val="2"/>
          <w14:ligatures w14:val="standardContextual"/>
        </w:rPr>
      </w:pPr>
      <w:r w:rsidRPr="00C24A08">
        <w:rPr>
          <w:rFonts w:ascii="Century Gothic" w:hAnsi="Century Gothic" w:eastAsia="Calibri" w:cs="Arial"/>
          <w:color w:val="000000"/>
          <w:kern w:val="2"/>
          <w14:ligatures w14:val="standardContextual"/>
        </w:rPr>
        <w:tab/>
      </w:r>
      <w:r w:rsidRPr="00C24A08">
        <w:rPr>
          <w:rFonts w:ascii="Century Gothic" w:hAnsi="Century Gothic" w:eastAsia="Calibri" w:cs="Arial"/>
          <w:color w:val="000000"/>
          <w:kern w:val="2"/>
          <w14:ligatures w14:val="standardContextual"/>
        </w:rPr>
        <w:t xml:space="preserve">Por lo tanto, se advierte </w:t>
      </w:r>
      <w:r w:rsidRPr="00C24A08" w:rsidR="002A25BC">
        <w:rPr>
          <w:rFonts w:ascii="Century Gothic" w:hAnsi="Century Gothic" w:eastAsia="Calibri" w:cs="Arial"/>
          <w:color w:val="000000"/>
          <w:kern w:val="2"/>
          <w14:ligatures w14:val="standardContextual"/>
        </w:rPr>
        <w:t>que,</w:t>
      </w:r>
      <w:r w:rsidRPr="00C24A08">
        <w:rPr>
          <w:rFonts w:ascii="Century Gothic" w:hAnsi="Century Gothic" w:eastAsia="Calibri" w:cs="Arial"/>
          <w:color w:val="000000"/>
          <w:kern w:val="2"/>
          <w14:ligatures w14:val="standardContextual"/>
        </w:rPr>
        <w:t xml:space="preserve"> </w:t>
      </w:r>
      <w:r w:rsidRPr="00C24A08" w:rsidR="00C21721">
        <w:rPr>
          <w:rFonts w:ascii="Century Gothic" w:hAnsi="Century Gothic" w:eastAsia="Calibri" w:cs="Arial"/>
          <w:color w:val="000000"/>
          <w:kern w:val="2"/>
          <w14:ligatures w14:val="standardContextual"/>
        </w:rPr>
        <w:t>en la celebración y ejecución de convenios solidarios,</w:t>
      </w:r>
      <w:r w:rsidRPr="00C24A08">
        <w:rPr>
          <w:rFonts w:ascii="Century Gothic" w:hAnsi="Century Gothic" w:eastAsia="Calibri" w:cs="Arial"/>
          <w:color w:val="000000"/>
          <w:kern w:val="2"/>
          <w14:ligatures w14:val="standardContextual"/>
        </w:rPr>
        <w:t xml:space="preserve"> </w:t>
      </w:r>
      <w:r w:rsidRPr="00C24A08" w:rsidR="00831029">
        <w:rPr>
          <w:rFonts w:ascii="Century Gothic" w:hAnsi="Century Gothic" w:eastAsia="Calibri" w:cs="Arial"/>
          <w:color w:val="000000"/>
          <w:kern w:val="2"/>
          <w14:ligatures w14:val="standardContextual"/>
        </w:rPr>
        <w:t xml:space="preserve">sin distinción de su régimen jurídico, </w:t>
      </w:r>
      <w:r w:rsidRPr="00C24A08">
        <w:rPr>
          <w:rFonts w:ascii="Century Gothic" w:hAnsi="Century Gothic" w:eastAsia="Calibri" w:cs="Arial"/>
          <w:color w:val="000000"/>
          <w:kern w:val="2"/>
          <w14:ligatures w14:val="standardContextual"/>
        </w:rPr>
        <w:t xml:space="preserve">no </w:t>
      </w:r>
      <w:r w:rsidRPr="00C24A08" w:rsidR="00C21721">
        <w:rPr>
          <w:rFonts w:ascii="Century Gothic" w:hAnsi="Century Gothic" w:eastAsia="Calibri" w:cs="Arial"/>
          <w:color w:val="000000"/>
          <w:kern w:val="2"/>
          <w14:ligatures w14:val="standardContextual"/>
        </w:rPr>
        <w:t>s</w:t>
      </w:r>
      <w:r w:rsidRPr="00C24A08" w:rsidR="00831029">
        <w:rPr>
          <w:rFonts w:ascii="Century Gothic" w:hAnsi="Century Gothic" w:eastAsia="Calibri" w:cs="Arial"/>
          <w:color w:val="000000"/>
          <w:kern w:val="2"/>
          <w14:ligatures w14:val="standardContextual"/>
        </w:rPr>
        <w:t>e</w:t>
      </w:r>
      <w:r w:rsidRPr="00C24A08" w:rsidR="00C21721">
        <w:rPr>
          <w:rFonts w:ascii="Century Gothic" w:hAnsi="Century Gothic" w:eastAsia="Calibri" w:cs="Arial"/>
          <w:color w:val="000000"/>
          <w:kern w:val="2"/>
          <w14:ligatures w14:val="standardContextual"/>
        </w:rPr>
        <w:t xml:space="preserve"> </w:t>
      </w:r>
      <w:r w:rsidRPr="00C24A08">
        <w:rPr>
          <w:rFonts w:ascii="Century Gothic" w:hAnsi="Century Gothic" w:eastAsia="Calibri" w:cs="Arial"/>
          <w:color w:val="000000"/>
          <w:kern w:val="2"/>
          <w14:ligatures w14:val="standardContextual"/>
        </w:rPr>
        <w:t xml:space="preserve">exime </w:t>
      </w:r>
      <w:r w:rsidRPr="00C24A08" w:rsidR="00C21721">
        <w:rPr>
          <w:rFonts w:ascii="Century Gothic" w:hAnsi="Century Gothic" w:eastAsia="Calibri" w:cs="Arial"/>
          <w:color w:val="000000"/>
          <w:kern w:val="2"/>
          <w14:ligatures w14:val="standardContextual"/>
        </w:rPr>
        <w:t>a la Entidad Estatal,</w:t>
      </w:r>
      <w:r w:rsidRPr="00C24A08">
        <w:rPr>
          <w:rFonts w:ascii="Century Gothic" w:hAnsi="Century Gothic" w:eastAsia="Calibri" w:cs="Arial"/>
          <w:color w:val="000000"/>
          <w:kern w:val="2"/>
          <w14:ligatures w14:val="standardContextual"/>
        </w:rPr>
        <w:t xml:space="preserve"> en su obligación de publicar sus actuaciones contractuales en el Sistema Electrónico de la Contratación Pública – SECOP, </w:t>
      </w:r>
      <w:r w:rsidRPr="00C24A08" w:rsidR="003F51B4">
        <w:rPr>
          <w:rFonts w:ascii="Century Gothic" w:hAnsi="Century Gothic" w:eastAsia="Calibri" w:cs="Arial"/>
          <w:color w:val="000000"/>
          <w:kern w:val="2"/>
          <w14:ligatures w14:val="standardContextual"/>
        </w:rPr>
        <w:t>plataforma en la que además</w:t>
      </w:r>
      <w:r w:rsidRPr="00C24A08" w:rsidR="00C001BB">
        <w:rPr>
          <w:rFonts w:ascii="Century Gothic" w:hAnsi="Century Gothic" w:eastAsia="Calibri" w:cs="Arial"/>
          <w:color w:val="000000"/>
          <w:kern w:val="2"/>
          <w14:ligatures w14:val="standardContextual"/>
        </w:rPr>
        <w:t xml:space="preserve"> el Organismo de Acción Comunal deberá publicar, </w:t>
      </w:r>
      <w:r w:rsidRPr="00C24A08">
        <w:rPr>
          <w:rFonts w:ascii="Century Gothic" w:hAnsi="Century Gothic" w:eastAsia="Calibri" w:cs="Arial"/>
          <w:color w:val="000000"/>
          <w:kern w:val="2"/>
          <w14:ligatures w14:val="standardContextual"/>
        </w:rPr>
        <w:t>cuando se encuentre obligada a hacerlo</w:t>
      </w:r>
      <w:r w:rsidRPr="00C24A08" w:rsidR="00C001BB">
        <w:rPr>
          <w:rFonts w:ascii="Century Gothic" w:hAnsi="Century Gothic" w:eastAsia="Calibri" w:cs="Arial"/>
          <w:color w:val="000000"/>
          <w:kern w:val="2"/>
          <w14:ligatures w14:val="standardContextual"/>
        </w:rPr>
        <w:t>, los documentos contractuales que se originen en el marco del convenio solidario,</w:t>
      </w:r>
      <w:r w:rsidRPr="00C24A08">
        <w:rPr>
          <w:rFonts w:ascii="Century Gothic" w:hAnsi="Century Gothic" w:eastAsia="Calibri" w:cs="Arial"/>
          <w:color w:val="000000"/>
          <w:kern w:val="2"/>
          <w14:ligatures w14:val="standardContextual"/>
        </w:rPr>
        <w:t xml:space="preserve"> de conformidad a lo expuesto en este acápite.</w:t>
      </w:r>
    </w:p>
    <w:p w:rsidRPr="00C24A08" w:rsidR="00F82C14" w:rsidP="00F82C14" w:rsidRDefault="00DA5D42" w14:paraId="2E2E5907" w14:textId="77777777">
      <w:pPr>
        <w:spacing w:before="120" w:after="0" w:line="276" w:lineRule="auto"/>
        <w:jc w:val="both"/>
        <w:rPr>
          <w:rFonts w:ascii="Century Gothic" w:hAnsi="Century Gothic" w:eastAsia="Calibri" w:cs="Arial"/>
          <w:color w:val="000000"/>
          <w:kern w:val="2"/>
          <w14:ligatures w14:val="standardContextual"/>
        </w:rPr>
      </w:pPr>
      <w:r w:rsidRPr="00C24A08">
        <w:rPr>
          <w:rFonts w:ascii="Century Gothic" w:hAnsi="Century Gothic" w:eastAsia="Calibri" w:cs="Arial"/>
          <w:b/>
          <w:bCs/>
          <w:lang w:val="es-ES_tradnl"/>
        </w:rPr>
        <w:t xml:space="preserve">2.5. </w:t>
      </w:r>
      <w:r w:rsidRPr="00C24A08" w:rsidR="00F82C14">
        <w:rPr>
          <w:rFonts w:ascii="Century Gothic" w:hAnsi="Century Gothic" w:eastAsia="Calibri" w:cs="Arial"/>
          <w:b/>
          <w:bCs/>
          <w:color w:val="000000" w:themeColor="text1"/>
        </w:rPr>
        <w:t>L</w:t>
      </w:r>
      <w:r w:rsidRPr="00C24A08" w:rsidR="00317425">
        <w:rPr>
          <w:rFonts w:ascii="Century Gothic" w:hAnsi="Century Gothic" w:cs="Arial"/>
          <w:b/>
          <w:bCs/>
          <w:color w:val="000000" w:themeColor="text1"/>
          <w:lang w:eastAsia="es-MX"/>
        </w:rPr>
        <w:t>iquidación de los contratos o convenios celebrados por entidades estatales y su competencia temporal.</w:t>
      </w:r>
    </w:p>
    <w:p w:rsidRPr="00C24A08" w:rsidR="00DA5D42" w:rsidP="00480D1F" w:rsidRDefault="00DA5D42" w14:paraId="77ED9DF4" w14:textId="07A709C4">
      <w:pPr>
        <w:spacing w:before="120" w:line="276" w:lineRule="auto"/>
        <w:jc w:val="both"/>
        <w:rPr>
          <w:rFonts w:ascii="Century Gothic" w:hAnsi="Century Gothic" w:eastAsia="Calibri" w:cs="Arial"/>
          <w:color w:val="000000"/>
          <w:kern w:val="2"/>
          <w14:ligatures w14:val="standardContextual"/>
        </w:rPr>
      </w:pPr>
      <w:r w:rsidRPr="00C24A08">
        <w:rPr>
          <w:rFonts w:ascii="Century Gothic" w:hAnsi="Century Gothic" w:eastAsia="Calibri" w:cs="Arial"/>
          <w:color w:val="000000"/>
          <w:lang w:val="es-ES_tradnl"/>
        </w:rPr>
        <w:t>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cumplidas</w:t>
      </w:r>
      <w:r w:rsidRPr="00C24A08">
        <w:rPr>
          <w:rFonts w:ascii="Century Gothic" w:hAnsi="Century Gothic" w:eastAsia="Calibri" w:cs="Arial"/>
          <w:color w:val="000000"/>
          <w:vertAlign w:val="superscript"/>
          <w:lang w:val="es-ES_tradnl"/>
        </w:rPr>
        <w:footnoteReference w:id="33"/>
      </w:r>
      <w:r w:rsidRPr="00C24A08">
        <w:rPr>
          <w:rFonts w:ascii="Century Gothic" w:hAnsi="Century Gothic" w:eastAsia="Calibri" w:cs="Arial"/>
          <w:color w:val="000000"/>
          <w:lang w:val="es-ES_tradnl"/>
        </w:rPr>
        <w:t>. En armonía con lo anterior, la doctrina ha definido la liquidación de la siguiente manera:</w:t>
      </w:r>
    </w:p>
    <w:p w:rsidRPr="00C24A08" w:rsidR="00DA5D42" w:rsidP="00480D1F" w:rsidRDefault="00DA5D42" w14:paraId="0D087342" w14:textId="77777777">
      <w:pPr>
        <w:spacing w:line="240" w:lineRule="auto"/>
        <w:ind w:left="709" w:right="758"/>
        <w:jc w:val="both"/>
        <w:rPr>
          <w:rFonts w:ascii="Century Gothic" w:hAnsi="Century Gothic" w:eastAsia="Calibri" w:cs="Arial"/>
          <w:sz w:val="21"/>
          <w:szCs w:val="21"/>
          <w:lang w:val="es-MX"/>
        </w:rPr>
      </w:pPr>
      <w:r w:rsidRPr="00C24A08">
        <w:rPr>
          <w:rFonts w:ascii="Century Gothic" w:hAnsi="Century Gothic" w:eastAsia="Calibri" w:cs="Arial"/>
          <w:i/>
          <w:iCs/>
          <w:color w:val="000000"/>
          <w:sz w:val="21"/>
          <w:szCs w:val="21"/>
          <w:lang w:val="es-ES_tradnl"/>
        </w:rPr>
        <w:t>“</w:t>
      </w:r>
      <w:r w:rsidRPr="00C24A08">
        <w:rPr>
          <w:rFonts w:ascii="Century Gothic" w:hAnsi="Century Gothic" w:eastAsia="Calibri" w:cs="Arial"/>
          <w:sz w:val="21"/>
          <w:szCs w:val="21"/>
          <w:lang w:val="es-MX"/>
        </w:rPr>
        <w:t xml:space="preserve">[…]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w:t>
      </w:r>
      <w:proofErr w:type="spellStart"/>
      <w:r w:rsidRPr="00C24A08">
        <w:rPr>
          <w:rFonts w:ascii="Century Gothic" w:hAnsi="Century Gothic" w:eastAsia="Calibri" w:cs="Arial"/>
          <w:sz w:val="21"/>
          <w:szCs w:val="21"/>
          <w:lang w:val="es-MX"/>
        </w:rPr>
        <w:t>ii</w:t>
      </w:r>
      <w:proofErr w:type="spellEnd"/>
      <w:r w:rsidRPr="00C24A08">
        <w:rPr>
          <w:rFonts w:ascii="Century Gothic" w:hAnsi="Century Gothic" w:eastAsia="Calibri" w:cs="Arial"/>
          <w:sz w:val="21"/>
          <w:szCs w:val="21"/>
          <w:lang w:val="es-MX"/>
        </w:rPr>
        <w:t>) definir la situación jurídica de las partes, estableciendo si pueden constituirse o no a paz y salvo; lo que exige, en la práctica, que los negociantes dialoguen e intenten ponerse de acuerdo (aspecto subjetivo)</w:t>
      </w:r>
      <w:r w:rsidRPr="00C24A08">
        <w:rPr>
          <w:rFonts w:ascii="Century Gothic" w:hAnsi="Century Gothic" w:eastAsia="Calibri" w:cs="Arial"/>
          <w:sz w:val="21"/>
          <w:szCs w:val="21"/>
          <w:vertAlign w:val="superscript"/>
          <w:lang w:val="es-MX"/>
        </w:rPr>
        <w:footnoteReference w:id="34"/>
      </w:r>
      <w:r w:rsidRPr="00C24A08">
        <w:rPr>
          <w:rFonts w:ascii="Century Gothic" w:hAnsi="Century Gothic" w:eastAsia="Calibri" w:cs="Arial"/>
          <w:sz w:val="21"/>
          <w:szCs w:val="21"/>
          <w:lang w:val="es-MX"/>
        </w:rPr>
        <w:t>.</w:t>
      </w:r>
      <w:r w:rsidRPr="00C24A08">
        <w:rPr>
          <w:rFonts w:ascii="Century Gothic" w:hAnsi="Century Gothic" w:eastAsia="Calibri" w:cs="Arial"/>
          <w:i/>
          <w:iCs/>
          <w:color w:val="000000"/>
          <w:sz w:val="21"/>
          <w:szCs w:val="21"/>
          <w:lang w:val="es-ES_tradnl"/>
        </w:rPr>
        <w:t>”</w:t>
      </w:r>
      <w:r w:rsidRPr="00C24A08">
        <w:rPr>
          <w:rFonts w:ascii="Century Gothic" w:hAnsi="Century Gothic" w:eastAsia="Calibri" w:cs="Arial"/>
          <w:sz w:val="21"/>
          <w:szCs w:val="21"/>
          <w:lang w:val="es-MX"/>
        </w:rPr>
        <w:t xml:space="preserve"> </w:t>
      </w:r>
    </w:p>
    <w:p w:rsidRPr="00C24A08" w:rsidR="00DA5D42" w:rsidP="00480D1F" w:rsidRDefault="00DA5D42" w14:paraId="14A7BE66" w14:textId="77777777">
      <w:pPr>
        <w:spacing w:line="276" w:lineRule="auto"/>
        <w:ind w:firstLine="709"/>
        <w:jc w:val="both"/>
        <w:rPr>
          <w:rFonts w:ascii="Century Gothic" w:hAnsi="Century Gothic" w:eastAsia="Times New Roman" w:cs="Arial"/>
          <w:color w:val="000000"/>
          <w:sz w:val="21"/>
          <w:szCs w:val="21"/>
          <w:lang w:val="es-ES_tradnl" w:eastAsia="es-ES_tradnl"/>
        </w:rPr>
      </w:pPr>
      <w:r w:rsidRPr="00C24A08">
        <w:rPr>
          <w:rFonts w:ascii="Century Gothic" w:hAnsi="Century Gothic" w:eastAsia="Times New Roman" w:cs="Arial"/>
          <w:color w:val="000000"/>
          <w:szCs w:val="24"/>
          <w:lang w:val="es-ES_tradnl" w:eastAsia="es-ES_tradnl"/>
        </w:rPr>
        <w:t xml:space="preserve">En línea con lo anterior, 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C24A08">
        <w:rPr>
          <w:rFonts w:ascii="Century Gothic" w:hAnsi="Century Gothic" w:eastAsia="Times New Roman" w:cs="Arial"/>
          <w:i/>
          <w:iCs/>
          <w:color w:val="000000"/>
          <w:szCs w:val="24"/>
          <w:lang w:val="es-ES_tradnl" w:eastAsia="es-ES_tradnl"/>
        </w:rPr>
        <w:t>liquidar</w:t>
      </w:r>
      <w:r w:rsidRPr="00C24A08">
        <w:rPr>
          <w:rFonts w:ascii="Century Gothic" w:hAnsi="Century Gothic" w:eastAsia="Times New Roman" w:cs="Arial"/>
          <w:color w:val="000000"/>
          <w:szCs w:val="24"/>
          <w:lang w:val="es-ES_tradnl" w:eastAsia="es-ES_tradnl"/>
        </w:rPr>
        <w:t xml:space="preserve"> supone un ajuste en relación con las cuentas y el estado de cumplimiento del contrato estatal y, por el otro, que la </w:t>
      </w:r>
      <w:r w:rsidRPr="00C24A08">
        <w:rPr>
          <w:rFonts w:ascii="Century Gothic" w:hAnsi="Century Gothic" w:eastAsia="Times New Roman" w:cs="Arial"/>
          <w:i/>
          <w:iCs/>
          <w:color w:val="000000"/>
          <w:szCs w:val="24"/>
          <w:lang w:val="es-ES_tradnl" w:eastAsia="es-ES_tradnl"/>
        </w:rPr>
        <w:t>liquidación</w:t>
      </w:r>
      <w:r w:rsidRPr="00C24A08">
        <w:rPr>
          <w:rFonts w:ascii="Century Gothic" w:hAnsi="Century Gothic" w:eastAsia="Times New Roman" w:cs="Arial"/>
          <w:color w:val="000000"/>
          <w:szCs w:val="24"/>
          <w:lang w:val="es-ES_tradnl" w:eastAsia="es-ES_tradnl"/>
        </w:rPr>
        <w:t xml:space="preserve"> debe incluir el análisis de las condiciones de calidad y oportunidad en la entrega de los bienes, obras o servicios, así como el balance económico y el comportamiento financiero del negocio</w:t>
      </w:r>
      <w:r w:rsidRPr="00C24A08">
        <w:rPr>
          <w:rFonts w:ascii="Century Gothic" w:hAnsi="Century Gothic" w:eastAsia="Times New Roman" w:cs="Arial"/>
          <w:color w:val="000000"/>
          <w:szCs w:val="24"/>
          <w:vertAlign w:val="superscript"/>
          <w:lang w:val="es-ES_tradnl" w:eastAsia="es-ES_tradnl"/>
        </w:rPr>
        <w:footnoteReference w:id="35"/>
      </w:r>
      <w:r w:rsidRPr="00C24A08">
        <w:rPr>
          <w:rFonts w:ascii="Century Gothic" w:hAnsi="Century Gothic" w:eastAsia="Times New Roman" w:cs="Arial"/>
          <w:color w:val="000000"/>
          <w:szCs w:val="24"/>
          <w:lang w:val="es-ES_tradnl" w:eastAsia="es-ES_tradnl"/>
        </w:rPr>
        <w:t xml:space="preserve">. </w:t>
      </w:r>
    </w:p>
    <w:p w:rsidRPr="00C24A08" w:rsidR="00480D1F" w:rsidP="00480D1F" w:rsidRDefault="00DA5D42" w14:paraId="166AC09D" w14:textId="0568A85E">
      <w:pPr>
        <w:spacing w:line="276" w:lineRule="auto"/>
        <w:ind w:firstLine="709"/>
        <w:jc w:val="both"/>
        <w:rPr>
          <w:rFonts w:ascii="Century Gothic" w:hAnsi="Century Gothic" w:eastAsia="Calibri" w:cs="Arial"/>
          <w:color w:val="000000"/>
          <w:lang w:val="es-ES_tradnl"/>
        </w:rPr>
      </w:pPr>
      <w:r w:rsidRPr="00C24A08">
        <w:rPr>
          <w:rFonts w:ascii="Century Gothic" w:hAnsi="Century Gothic" w:eastAsia="Calibri" w:cs="Arial"/>
          <w:color w:val="000000"/>
          <w:lang w:val="es-ES_tradnl"/>
        </w:rPr>
        <w:t xml:space="preserve">Las disposiciones legales que regulan la etapa de liquidación de los contratos estatales son el artículo 60 de la Ley 80 de 1993, modificado por el artículo 217 del Decreto 019 de 2012, y el artículo 11 de la Ley 1150 de 2007. </w:t>
      </w:r>
      <w:r w:rsidRPr="00C24A08" w:rsidR="003429AE">
        <w:rPr>
          <w:rFonts w:ascii="Century Gothic" w:hAnsi="Century Gothic" w:eastAsia="Calibri" w:cs="Arial"/>
          <w:color w:val="000000"/>
          <w:lang w:val="es-ES_tradnl"/>
        </w:rPr>
        <w:t>Estas disposiciones resultan aplicables</w:t>
      </w:r>
      <w:r w:rsidRPr="00C24A08" w:rsidR="00464B09">
        <w:rPr>
          <w:rFonts w:ascii="Century Gothic" w:hAnsi="Century Gothic" w:eastAsia="Calibri" w:cs="Arial"/>
          <w:color w:val="000000"/>
          <w:lang w:val="es-ES_tradnl"/>
        </w:rPr>
        <w:t xml:space="preserve"> a los </w:t>
      </w:r>
      <w:r w:rsidRPr="00C24A08" w:rsidR="00B352E6">
        <w:rPr>
          <w:rFonts w:ascii="Century Gothic" w:hAnsi="Century Gothic" w:eastAsia="Calibri" w:cs="Arial"/>
          <w:color w:val="000000"/>
          <w:lang w:val="es-ES_tradnl"/>
        </w:rPr>
        <w:t>convenios solidarios</w:t>
      </w:r>
      <w:r w:rsidRPr="00C24A08" w:rsidR="003F1366">
        <w:rPr>
          <w:rFonts w:ascii="Century Gothic" w:hAnsi="Century Gothic" w:eastAsia="Calibri" w:cs="Arial"/>
          <w:color w:val="000000"/>
          <w:lang w:val="es-ES_tradnl"/>
        </w:rPr>
        <w:t xml:space="preserve">, indistintamente del régimen jurídico con el que lo </w:t>
      </w:r>
      <w:r w:rsidRPr="00C24A08" w:rsidR="00464B09">
        <w:rPr>
          <w:rFonts w:ascii="Century Gothic" w:hAnsi="Century Gothic" w:eastAsia="Calibri" w:cs="Arial"/>
          <w:color w:val="000000"/>
          <w:lang w:val="es-ES_tradnl"/>
        </w:rPr>
        <w:t xml:space="preserve">suscriban las entidades estatales </w:t>
      </w:r>
      <w:r w:rsidRPr="00C24A08" w:rsidR="00B352E6">
        <w:rPr>
          <w:rFonts w:ascii="Century Gothic" w:hAnsi="Century Gothic" w:eastAsia="Calibri" w:cs="Arial"/>
          <w:color w:val="000000"/>
          <w:lang w:val="es-ES_tradnl"/>
        </w:rPr>
        <w:t xml:space="preserve">con </w:t>
      </w:r>
      <w:r w:rsidRPr="00C24A08" w:rsidR="00464B09">
        <w:rPr>
          <w:rFonts w:ascii="Century Gothic" w:hAnsi="Century Gothic" w:eastAsia="Calibri" w:cs="Arial"/>
          <w:color w:val="000000"/>
          <w:lang w:val="es-ES_tradnl"/>
        </w:rPr>
        <w:t xml:space="preserve">Organismos de </w:t>
      </w:r>
      <w:r w:rsidRPr="00C24A08" w:rsidR="003F1366">
        <w:rPr>
          <w:rFonts w:ascii="Century Gothic" w:hAnsi="Century Gothic" w:eastAsia="Calibri" w:cs="Arial"/>
          <w:color w:val="000000"/>
          <w:lang w:val="es-ES_tradnl"/>
        </w:rPr>
        <w:t>A</w:t>
      </w:r>
      <w:r w:rsidRPr="00C24A08" w:rsidR="00464B09">
        <w:rPr>
          <w:rFonts w:ascii="Century Gothic" w:hAnsi="Century Gothic" w:eastAsia="Calibri" w:cs="Arial"/>
          <w:color w:val="000000"/>
          <w:lang w:val="es-ES_tradnl"/>
        </w:rPr>
        <w:t xml:space="preserve">cción </w:t>
      </w:r>
      <w:r w:rsidRPr="00C24A08" w:rsidR="003F1366">
        <w:rPr>
          <w:rFonts w:ascii="Century Gothic" w:hAnsi="Century Gothic" w:eastAsia="Calibri" w:cs="Arial"/>
          <w:color w:val="000000"/>
          <w:lang w:val="es-ES_tradnl"/>
        </w:rPr>
        <w:t>C</w:t>
      </w:r>
      <w:r w:rsidRPr="00C24A08" w:rsidR="00464B09">
        <w:rPr>
          <w:rFonts w:ascii="Century Gothic" w:hAnsi="Century Gothic" w:eastAsia="Calibri" w:cs="Arial"/>
          <w:color w:val="000000"/>
          <w:lang w:val="es-ES_tradnl"/>
        </w:rPr>
        <w:t xml:space="preserve">omunal, en virtud </w:t>
      </w:r>
      <w:r w:rsidRPr="00C24A08" w:rsidR="00E90605">
        <w:rPr>
          <w:rFonts w:ascii="Century Gothic" w:hAnsi="Century Gothic" w:eastAsia="Calibri" w:cs="Arial"/>
          <w:color w:val="000000"/>
          <w:lang w:val="es-ES_tradnl"/>
        </w:rPr>
        <w:t xml:space="preserve">del parágrafo del artículo 141 de la Ley 136 de 1994 y </w:t>
      </w:r>
      <w:r w:rsidRPr="00C24A08" w:rsidR="004701CC">
        <w:rPr>
          <w:rFonts w:ascii="Century Gothic" w:hAnsi="Century Gothic" w:eastAsia="Calibri" w:cs="Arial"/>
          <w:color w:val="000000"/>
          <w:lang w:val="es-ES_tradnl"/>
        </w:rPr>
        <w:t xml:space="preserve">el artículo 8 del </w:t>
      </w:r>
      <w:r w:rsidRPr="00C24A08" w:rsidR="007110B1">
        <w:rPr>
          <w:rFonts w:ascii="Century Gothic" w:hAnsi="Century Gothic" w:eastAsia="Calibri" w:cs="Arial"/>
          <w:color w:val="000000"/>
          <w:lang w:val="es-ES_tradnl"/>
        </w:rPr>
        <w:t>Decreto 092 de 2017</w:t>
      </w:r>
      <w:r w:rsidRPr="00C24A08" w:rsidR="003031B5">
        <w:rPr>
          <w:rFonts w:ascii="Century Gothic" w:hAnsi="Century Gothic" w:eastAsia="Calibri" w:cs="Arial"/>
          <w:color w:val="000000"/>
          <w:lang w:val="es-ES_tradnl"/>
        </w:rPr>
        <w:t xml:space="preserve"> que someten, salvo disposición expresa, </w:t>
      </w:r>
      <w:r w:rsidRPr="00C24A08" w:rsidR="006D0631">
        <w:rPr>
          <w:rFonts w:ascii="Century Gothic" w:hAnsi="Century Gothic" w:eastAsia="Calibri" w:cs="Arial"/>
          <w:color w:val="000000"/>
          <w:lang w:val="es-ES_tradnl"/>
        </w:rPr>
        <w:t>a las normas generales de la contratación pública</w:t>
      </w:r>
      <w:r w:rsidRPr="00C24A08" w:rsidR="006052B7">
        <w:rPr>
          <w:rFonts w:ascii="Century Gothic" w:hAnsi="Century Gothic" w:eastAsia="Calibri" w:cs="Arial"/>
          <w:color w:val="000000"/>
          <w:lang w:val="es-ES_tradnl"/>
        </w:rPr>
        <w:t>.</w:t>
      </w:r>
    </w:p>
    <w:p w:rsidRPr="00C24A08" w:rsidR="00DA5D42" w:rsidP="00480D1F" w:rsidRDefault="00480D1F" w14:paraId="02400AC7" w14:textId="53F5AA4A">
      <w:pPr>
        <w:spacing w:line="276" w:lineRule="auto"/>
        <w:ind w:firstLine="709"/>
        <w:jc w:val="both"/>
        <w:rPr>
          <w:rFonts w:ascii="Century Gothic" w:hAnsi="Century Gothic" w:eastAsia="Calibri" w:cs="Arial"/>
          <w:color w:val="000000"/>
          <w:lang w:val="es-ES_tradnl"/>
        </w:rPr>
      </w:pPr>
      <w:r w:rsidRPr="00C24A08">
        <w:rPr>
          <w:rFonts w:ascii="Century Gothic" w:hAnsi="Century Gothic" w:eastAsia="Calibri" w:cs="Arial"/>
          <w:color w:val="000000"/>
          <w:lang w:val="es-ES_tradnl"/>
        </w:rPr>
        <w:t xml:space="preserve">En ese orden de ideas, </w:t>
      </w:r>
      <w:r w:rsidRPr="00C24A08" w:rsidR="006D0631">
        <w:rPr>
          <w:rFonts w:ascii="Century Gothic" w:hAnsi="Century Gothic" w:eastAsia="Calibri" w:cs="Arial"/>
          <w:color w:val="000000"/>
          <w:lang w:val="es-ES_tradnl"/>
        </w:rPr>
        <w:t>el artículo 60 de la Ley 80 de 1993</w:t>
      </w:r>
      <w:r w:rsidRPr="00C24A08" w:rsidR="00DA5D42">
        <w:rPr>
          <w:rFonts w:ascii="Century Gothic" w:hAnsi="Century Gothic" w:eastAsia="Calibri" w:cs="Arial"/>
          <w:color w:val="000000"/>
          <w:lang w:val="es-ES_tradnl"/>
        </w:rPr>
        <w:t xml:space="preserve"> se refiere al alcance sustantivo de la liquidación y los contratos en que procede, mientras que el </w:t>
      </w:r>
      <w:r w:rsidRPr="00C24A08" w:rsidR="00E84A83">
        <w:rPr>
          <w:rFonts w:ascii="Century Gothic" w:hAnsi="Century Gothic" w:eastAsia="Calibri" w:cs="Arial"/>
          <w:color w:val="000000"/>
          <w:lang w:val="es-ES_tradnl"/>
        </w:rPr>
        <w:t xml:space="preserve">artículo 11 de la Ley 1150 de </w:t>
      </w:r>
      <w:r w:rsidRPr="00C24A08" w:rsidR="006731BE">
        <w:rPr>
          <w:rFonts w:ascii="Century Gothic" w:hAnsi="Century Gothic" w:eastAsia="Calibri" w:cs="Arial"/>
          <w:color w:val="000000"/>
          <w:lang w:val="es-ES_tradnl"/>
        </w:rPr>
        <w:t xml:space="preserve">2007, </w:t>
      </w:r>
      <w:r w:rsidRPr="00C24A08" w:rsidR="00DA5D42">
        <w:rPr>
          <w:rFonts w:ascii="Century Gothic" w:hAnsi="Century Gothic" w:eastAsia="Calibri" w:cs="Arial"/>
          <w:color w:val="000000"/>
          <w:lang w:val="es-ES_tradnl"/>
        </w:rPr>
        <w:t>contiene reglas procedimentales para su realización. En relación con el artículo 60 referido, la doctrina ha indicado que:</w:t>
      </w:r>
    </w:p>
    <w:p w:rsidRPr="00C24A08" w:rsidR="00DA5D42" w:rsidP="00480D1F" w:rsidRDefault="00DA5D42" w14:paraId="49AE71A1" w14:textId="77777777">
      <w:pPr>
        <w:spacing w:line="240" w:lineRule="auto"/>
        <w:ind w:left="709" w:right="758"/>
        <w:jc w:val="both"/>
        <w:rPr>
          <w:rFonts w:ascii="Century Gothic" w:hAnsi="Century Gothic" w:eastAsia="Calibri" w:cs="Arial"/>
          <w:sz w:val="20"/>
          <w:szCs w:val="20"/>
          <w:lang w:val="es-MX"/>
        </w:rPr>
      </w:pPr>
      <w:r w:rsidRPr="00C24A08">
        <w:rPr>
          <w:rFonts w:ascii="Century Gothic" w:hAnsi="Century Gothic" w:eastAsia="Calibri" w:cs="Arial"/>
          <w:sz w:val="20"/>
          <w:szCs w:val="20"/>
          <w:lang w:val="es-ES"/>
        </w:rPr>
        <w:t>“</w:t>
      </w:r>
      <w:r w:rsidRPr="00C24A08">
        <w:rPr>
          <w:rFonts w:ascii="Century Gothic" w:hAnsi="Century Gothic" w:eastAsia="Calibri" w:cs="Arial"/>
          <w:sz w:val="20"/>
          <w:szCs w:val="20"/>
          <w:lang w:val="es-MX"/>
        </w:rPr>
        <w:t>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Pr="00C24A08">
        <w:rPr>
          <w:rFonts w:ascii="Century Gothic" w:hAnsi="Century Gothic" w:eastAsia="Calibri" w:cs="Arial"/>
          <w:sz w:val="20"/>
          <w:szCs w:val="20"/>
          <w:lang w:val="es-MX"/>
        </w:rPr>
        <w:footnoteReference w:id="36"/>
      </w:r>
    </w:p>
    <w:p w:rsidRPr="00C24A08" w:rsidR="00DA5D42" w:rsidP="00480D1F" w:rsidRDefault="00DA5D42" w14:paraId="692A1A9D" w14:textId="77777777">
      <w:pPr>
        <w:spacing w:line="276" w:lineRule="auto"/>
        <w:ind w:firstLine="708"/>
        <w:jc w:val="both"/>
        <w:rPr>
          <w:rFonts w:ascii="Century Gothic" w:hAnsi="Century Gothic" w:eastAsia="Calibri" w:cs="Arial"/>
          <w:color w:val="000000"/>
          <w:lang w:val="es-ES_tradnl"/>
        </w:rPr>
      </w:pPr>
      <w:r w:rsidRPr="00C24A08">
        <w:rPr>
          <w:rFonts w:ascii="Century Gothic" w:hAnsi="Century Gothic" w:eastAsia="Calibri" w:cs="Arial"/>
          <w:color w:val="000000"/>
          <w:lang w:val="es-ES_tradnl"/>
        </w:rPr>
        <w:t>Así las cosas, de acuerdo con el artículo 60 de la Ley 80 de 1993, los contratos de tracto sucesivo, aquellos cuyo cumplimiento o ejecución se prolongue en el tiempo y los demás que lo requieran “</w:t>
      </w:r>
      <w:r w:rsidRPr="00C24A08">
        <w:rPr>
          <w:rFonts w:ascii="Century Gothic" w:hAnsi="Century Gothic" w:eastAsia="Calibri" w:cs="Arial"/>
          <w:i/>
          <w:iCs/>
          <w:color w:val="000000"/>
          <w:lang w:val="es-ES_tradnl"/>
        </w:rPr>
        <w:t>serán objeto de liquidación</w:t>
      </w:r>
      <w:r w:rsidRPr="00C24A08">
        <w:rPr>
          <w:rFonts w:ascii="Century Gothic" w:hAnsi="Century Gothic" w:eastAsia="Calibri" w:cs="Arial"/>
          <w:color w:val="000000"/>
          <w:lang w:val="es-ES_tradnl"/>
        </w:rPr>
        <w:t>”.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C24A08">
        <w:rPr>
          <w:rFonts w:ascii="Century Gothic" w:hAnsi="Century Gothic" w:eastAsia="Calibri" w:cs="Arial"/>
          <w:color w:val="000000"/>
          <w:vertAlign w:val="superscript"/>
          <w:lang w:val="es-ES_tradnl"/>
        </w:rPr>
        <w:footnoteReference w:id="37"/>
      </w:r>
      <w:r w:rsidRPr="00C24A08">
        <w:rPr>
          <w:rFonts w:ascii="Century Gothic" w:hAnsi="Century Gothic" w:eastAsia="Calibri" w:cs="Arial"/>
          <w:color w:val="000000"/>
          <w:lang w:val="es-ES_tradnl"/>
        </w:rPr>
        <w:t xml:space="preserve">, así como la probabilidad de que puedan surgir diferencias durante la ejecución del contrato; sin perjuicio de que, como se indicó, todos los contratos estatales de </w:t>
      </w:r>
      <w:r w:rsidRPr="00C24A08">
        <w:rPr>
          <w:rFonts w:ascii="Century Gothic" w:hAnsi="Century Gothic" w:eastAsia="Calibri" w:cs="Arial"/>
          <w:i/>
          <w:iCs/>
          <w:color w:val="000000"/>
          <w:lang w:val="es-ES_tradnl"/>
        </w:rPr>
        <w:t>tracto sucesivo</w:t>
      </w:r>
      <w:r w:rsidRPr="00C24A08">
        <w:rPr>
          <w:rFonts w:ascii="Century Gothic" w:hAnsi="Century Gothic" w:eastAsia="Calibri" w:cs="Arial"/>
          <w:color w:val="000000"/>
          <w:lang w:val="es-ES_tradnl"/>
        </w:rPr>
        <w:t xml:space="preserve"> o aquellos cuya ejecución se prolongue en el tiempo siempre deban liquidarse, convirtiéndose en estos contratos en una cláusula de la naturaleza, conforme a la clasificación prevista en el Código Civil.</w:t>
      </w:r>
    </w:p>
    <w:p w:rsidRPr="00C24A08" w:rsidR="00DA5D42" w:rsidP="00480D1F" w:rsidRDefault="00DA5D42" w14:paraId="0F4BE90E" w14:textId="77777777">
      <w:pPr>
        <w:spacing w:line="276" w:lineRule="auto"/>
        <w:ind w:firstLine="708"/>
        <w:jc w:val="both"/>
        <w:rPr>
          <w:rFonts w:ascii="Century Gothic" w:hAnsi="Century Gothic" w:eastAsia="Calibri" w:cs="Arial"/>
          <w:color w:val="000000"/>
          <w:lang w:val="es-ES_tradnl"/>
        </w:rPr>
      </w:pPr>
      <w:r w:rsidRPr="00C24A08">
        <w:rPr>
          <w:rFonts w:ascii="Century Gothic" w:hAnsi="Century Gothic" w:eastAsia="Calibri" w:cs="Arial"/>
          <w:color w:val="000000"/>
          <w:lang w:val="es-ES_tradnl"/>
        </w:rPr>
        <w:t>Por su parte, el artículo 11 de la Ley 1150 de 2007</w:t>
      </w:r>
      <w:r w:rsidRPr="00C24A08">
        <w:rPr>
          <w:rFonts w:ascii="Century Gothic" w:hAnsi="Century Gothic" w:eastAsia="Calibri" w:cs="Arial"/>
          <w:color w:val="000000"/>
          <w:vertAlign w:val="superscript"/>
          <w:lang w:val="es-ES_tradnl"/>
        </w:rPr>
        <w:footnoteReference w:id="38"/>
      </w:r>
      <w:r w:rsidRPr="00C24A08">
        <w:rPr>
          <w:rFonts w:ascii="Century Gothic" w:hAnsi="Century Gothic" w:eastAsia="Calibri" w:cs="Arial"/>
          <w:color w:val="000000"/>
          <w:lang w:val="es-ES_tradnl"/>
        </w:rPr>
        <w:t xml:space="preserve"> contiene las reglas de tipo procedimental para liquidar los contratos estatales, las cuales se pasan a explicar.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w:t>
      </w:r>
      <w:proofErr w:type="spellStart"/>
      <w:r w:rsidRPr="00C24A08">
        <w:rPr>
          <w:rFonts w:ascii="Century Gothic" w:hAnsi="Century Gothic" w:eastAsia="Calibri" w:cs="Arial"/>
          <w:color w:val="000000"/>
          <w:lang w:val="es-ES_tradnl"/>
        </w:rPr>
        <w:t>ii</w:t>
      </w:r>
      <w:proofErr w:type="spellEnd"/>
      <w:r w:rsidRPr="00C24A08">
        <w:rPr>
          <w:rFonts w:ascii="Century Gothic" w:hAnsi="Century Gothic" w:eastAsia="Calibri" w:cs="Arial"/>
          <w:color w:val="000000"/>
          <w:lang w:val="es-ES_tradnl"/>
        </w:rPr>
        <w:t xml:space="preserve">) la expedición del acto administrativo que ordene la terminación del contrato; o, </w:t>
      </w:r>
      <w:proofErr w:type="spellStart"/>
      <w:r w:rsidRPr="00C24A08">
        <w:rPr>
          <w:rFonts w:ascii="Century Gothic" w:hAnsi="Century Gothic" w:eastAsia="Calibri" w:cs="Arial"/>
          <w:color w:val="000000"/>
          <w:lang w:val="es-ES_tradnl"/>
        </w:rPr>
        <w:t>iii</w:t>
      </w:r>
      <w:proofErr w:type="spellEnd"/>
      <w:r w:rsidRPr="00C24A08">
        <w:rPr>
          <w:rFonts w:ascii="Century Gothic" w:hAnsi="Century Gothic" w:eastAsia="Calibri" w:cs="Arial"/>
          <w:color w:val="000000"/>
          <w:lang w:val="es-ES_tradnl"/>
        </w:rPr>
        <w:t>) la fecha del acuerdo que disponga la terminación del contrato.</w:t>
      </w:r>
    </w:p>
    <w:p w:rsidRPr="00C24A08" w:rsidR="00DA5D42" w:rsidP="00480D1F" w:rsidRDefault="00DA5D42" w14:paraId="6E3886C4" w14:textId="77777777">
      <w:pPr>
        <w:spacing w:line="276" w:lineRule="auto"/>
        <w:ind w:firstLine="709"/>
        <w:jc w:val="both"/>
        <w:rPr>
          <w:rFonts w:ascii="Century Gothic" w:hAnsi="Century Gothic" w:eastAsia="Times New Roman" w:cs="Arial"/>
          <w:lang w:val="es-ES_tradnl" w:eastAsia="es-ES_tradnl"/>
        </w:rPr>
      </w:pPr>
      <w:r w:rsidRPr="00C24A08">
        <w:rPr>
          <w:rFonts w:ascii="Century Gothic" w:hAnsi="Century Gothic" w:eastAsia="Times New Roman" w:cs="Arial"/>
          <w:szCs w:val="24"/>
          <w:lang w:val="es-ES_tradnl" w:eastAsia="es-ES_tradnl"/>
        </w:rPr>
        <w:t xml:space="preserve">El artículo 11 de la Ley 1150 de 2007 señala que la liquidación de mutuo acuerdo deberá realizar dentro del plazo previsto en </w:t>
      </w:r>
      <w:r w:rsidRPr="00C24A08">
        <w:rPr>
          <w:rFonts w:ascii="Century Gothic" w:hAnsi="Century Gothic" w:eastAsia="Times New Roman" w:cs="Arial"/>
          <w:i/>
          <w:iCs/>
          <w:szCs w:val="24"/>
          <w:lang w:val="es-ES_tradnl" w:eastAsia="es-ES_tradnl"/>
        </w:rPr>
        <w:t>“</w:t>
      </w:r>
      <w:r w:rsidRPr="00C24A08">
        <w:rPr>
          <w:rFonts w:ascii="Century Gothic" w:hAnsi="Century Gothic" w:eastAsia="Times New Roman" w:cs="Arial"/>
          <w:i/>
          <w:iCs/>
          <w:lang w:val="es-ES_tradnl" w:eastAsia="es-ES_tradnl"/>
        </w:rPr>
        <w:t>los pliegos de condiciones o sus equivalentes, o dentro del que acuerden las partes para el efecto”.</w:t>
      </w:r>
      <w:r w:rsidRPr="00C24A08">
        <w:rPr>
          <w:rFonts w:ascii="Century Gothic" w:hAnsi="Century Gothic" w:eastAsia="Times New Roman" w:cs="Arial"/>
          <w:lang w:val="es-ES_tradnl" w:eastAsia="es-ES_tradnl"/>
        </w:rPr>
        <w:t xml:space="preserve"> Para dilucidar a qué se refiere la norma con “equivalentes” resulta necesario tener presente que el pliego de condiciones es un documento contentivo de las reglas aplicables a un determinado proceso de selección, que </w:t>
      </w:r>
      <w:r w:rsidRPr="00C24A08">
        <w:rPr>
          <w:rFonts w:ascii="Century Gothic" w:hAnsi="Century Gothic" w:eastAsia="Times New Roman" w:cs="Arial"/>
          <w:i/>
          <w:iCs/>
          <w:lang w:val="es-ES_tradnl" w:eastAsia="es-ES_tradnl"/>
        </w:rPr>
        <w:t>“</w:t>
      </w:r>
      <w:r w:rsidRPr="00C24A08">
        <w:rPr>
          <w:rFonts w:ascii="Century Gothic" w:hAnsi="Century Gothic" w:eastAsia="Times New Roman" w:cs="Arial"/>
          <w:i/>
          <w:iCs/>
          <w:szCs w:val="24"/>
          <w:lang w:val="es-ES_tradnl" w:eastAsia="es-ES_tradnl"/>
        </w:rPr>
        <w:t>materializa los principios de planeación contractual y de trasparencia, comoquiera que su adecuada formulación permite o garantiza la selección objetiva del contratista de acuerdo con los parámetros de calificación correspondientes para cada tipo de procedimiento [y que</w:t>
      </w:r>
      <w:r w:rsidRPr="00C24A08">
        <w:rPr>
          <w:rFonts w:ascii="Century Gothic" w:hAnsi="Century Gothic" w:eastAsia="Times New Roman" w:cs="Arial"/>
          <w:i/>
          <w:iCs/>
          <w:lang w:val="es-ES_tradnl" w:eastAsia="es-ES_tradnl"/>
        </w:rPr>
        <w:t>] constituye la ley tanto del procedimiento administrativo de selección del contratista, como del contrato a</w:t>
      </w:r>
      <w:r w:rsidRPr="00C24A08">
        <w:rPr>
          <w:rFonts w:ascii="Century Gothic" w:hAnsi="Century Gothic" w:eastAsia="Times New Roman" w:cs="Arial"/>
          <w:i/>
          <w:iCs/>
          <w:spacing w:val="-7"/>
          <w:lang w:val="es-ES_tradnl" w:eastAsia="es-ES_tradnl"/>
        </w:rPr>
        <w:t xml:space="preserve"> </w:t>
      </w:r>
      <w:r w:rsidRPr="00C24A08">
        <w:rPr>
          <w:rFonts w:ascii="Century Gothic" w:hAnsi="Century Gothic" w:eastAsia="Times New Roman" w:cs="Arial"/>
          <w:i/>
          <w:iCs/>
          <w:lang w:val="es-ES_tradnl" w:eastAsia="es-ES_tradnl"/>
        </w:rPr>
        <w:t>celebrar”</w:t>
      </w:r>
      <w:r w:rsidRPr="00C24A08">
        <w:rPr>
          <w:rFonts w:ascii="Century Gothic" w:hAnsi="Century Gothic" w:eastAsia="Times New Roman" w:cs="Arial"/>
          <w:i/>
          <w:iCs/>
          <w:vertAlign w:val="superscript"/>
          <w:lang w:val="es-ES_tradnl" w:eastAsia="es-ES_tradnl"/>
        </w:rPr>
        <w:footnoteReference w:id="39"/>
      </w:r>
      <w:r w:rsidRPr="00C24A08">
        <w:rPr>
          <w:rFonts w:ascii="Century Gothic" w:hAnsi="Century Gothic" w:eastAsia="Times New Roman" w:cs="Arial"/>
          <w:i/>
          <w:iCs/>
          <w:lang w:val="es-ES_tradnl" w:eastAsia="es-ES_tradnl"/>
        </w:rPr>
        <w:t>.</w:t>
      </w:r>
      <w:r w:rsidRPr="00C24A08">
        <w:rPr>
          <w:rFonts w:ascii="Century Gothic" w:hAnsi="Century Gothic" w:eastAsia="Times New Roman" w:cs="Arial"/>
          <w:lang w:val="es-ES_tradnl" w:eastAsia="es-ES_tradnl"/>
        </w:rPr>
        <w:t xml:space="preserve"> A partir de tales características debe determinarse la equivalencia de un documento con un pliego de condiciones, la cual se puede ejemplificar claramente con la invitación a participar en los procesos de mínima cuantía</w:t>
      </w:r>
      <w:r w:rsidRPr="00C24A08">
        <w:rPr>
          <w:rFonts w:ascii="Century Gothic" w:hAnsi="Century Gothic" w:eastAsia="Times New Roman" w:cs="Arial"/>
          <w:vertAlign w:val="superscript"/>
          <w:lang w:val="es-ES_tradnl" w:eastAsia="es-ES_tradnl"/>
        </w:rPr>
        <w:footnoteReference w:id="40"/>
      </w:r>
      <w:r w:rsidRPr="00C24A08">
        <w:rPr>
          <w:rFonts w:ascii="Century Gothic" w:hAnsi="Century Gothic" w:eastAsia="Times New Roman" w:cs="Arial"/>
          <w:lang w:val="es-ES_tradnl" w:eastAsia="es-ES_tradnl"/>
        </w:rPr>
        <w:t xml:space="preserve">, documento dentro del cual la entidad contratante debe fijar las reglas aplicables al procedimiento de selección, cumpliendo con la función del pliego de condiciones. En tal sentido, es un documento “equivalente” del mismo en los términos del artículo 11 </w:t>
      </w:r>
      <w:proofErr w:type="spellStart"/>
      <w:r w:rsidRPr="00C24A08">
        <w:rPr>
          <w:rFonts w:ascii="Century Gothic" w:hAnsi="Century Gothic" w:eastAsia="Times New Roman" w:cs="Arial"/>
          <w:i/>
          <w:iCs/>
          <w:lang w:val="es-ES_tradnl" w:eastAsia="es-ES_tradnl"/>
        </w:rPr>
        <w:t>Ibídem</w:t>
      </w:r>
      <w:proofErr w:type="spellEnd"/>
      <w:r w:rsidRPr="00C24A08">
        <w:rPr>
          <w:rFonts w:ascii="Century Gothic" w:hAnsi="Century Gothic" w:eastAsia="Times New Roman" w:cs="Arial"/>
          <w:i/>
          <w:iCs/>
          <w:lang w:val="es-ES_tradnl" w:eastAsia="es-ES_tradnl"/>
        </w:rPr>
        <w:t xml:space="preserve">, </w:t>
      </w:r>
      <w:r w:rsidRPr="00C24A08">
        <w:rPr>
          <w:rFonts w:ascii="Century Gothic" w:hAnsi="Century Gothic" w:eastAsia="Times New Roman" w:cs="Arial"/>
          <w:lang w:val="es-ES_tradnl" w:eastAsia="es-ES_tradnl"/>
        </w:rPr>
        <w:t xml:space="preserve">dentro del cual es viable establecer el plazo para la liquidación de mutuo acuerdo. </w:t>
      </w:r>
    </w:p>
    <w:p w:rsidRPr="00C24A08" w:rsidR="00DA5D42" w:rsidP="00480D1F" w:rsidRDefault="00DA5D42" w14:paraId="0996EE64" w14:textId="77777777">
      <w:pPr>
        <w:spacing w:line="276" w:lineRule="auto"/>
        <w:ind w:firstLine="709"/>
        <w:jc w:val="both"/>
        <w:rPr>
          <w:rFonts w:ascii="Century Gothic" w:hAnsi="Century Gothic" w:eastAsia="Times New Roman" w:cs="Arial"/>
          <w:lang w:val="es-ES_tradnl" w:eastAsia="es-ES_tradnl"/>
        </w:rPr>
      </w:pPr>
      <w:r w:rsidRPr="00C24A08">
        <w:rPr>
          <w:rFonts w:ascii="Century Gothic" w:hAnsi="Century Gothic" w:eastAsia="Times New Roman" w:cs="Arial"/>
          <w:lang w:val="es-ES_tradnl" w:eastAsia="es-ES_tradnl"/>
        </w:rPr>
        <w:t>De otra parte, cuando el artículo 11 de la Ley 1150 de 2007 hace referencia al término que “</w:t>
      </w:r>
      <w:r w:rsidRPr="00C24A08">
        <w:rPr>
          <w:rFonts w:ascii="Century Gothic" w:hAnsi="Century Gothic" w:eastAsia="Times New Roman" w:cs="Arial"/>
          <w:i/>
          <w:iCs/>
          <w:lang w:val="es-ES_tradnl" w:eastAsia="es-ES_tradnl"/>
        </w:rPr>
        <w:t>acuerden las partes</w:t>
      </w:r>
      <w:r w:rsidRPr="00C24A08">
        <w:rPr>
          <w:rFonts w:ascii="Century Gothic" w:hAnsi="Century Gothic" w:eastAsia="Times New Roman" w:cs="Arial"/>
          <w:lang w:val="es-ES_tradnl" w:eastAsia="es-ES_tradnl"/>
        </w:rPr>
        <w:t>” para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en el marco de la ejecución del contrato, las partes acuerden fijar el referido plazo; acuerdo que, en tanto significa una alteración de las reglas que orientan la relación contractual, entraña una modificación del contrato. Por tal razón, su celebración debe cumplir con los requisitos del negocio jurídico, ameritando la concurrencia de capacidad jurídica de los agentes, un consentimiento libre de vicios, un objeto y causa lícita, así como la elevación a escrito requerida en materia de contratación estatal</w:t>
      </w:r>
      <w:r w:rsidRPr="00C24A08">
        <w:rPr>
          <w:rFonts w:ascii="Century Gothic" w:hAnsi="Century Gothic" w:eastAsia="Times New Roman" w:cs="Arial"/>
          <w:vertAlign w:val="superscript"/>
          <w:lang w:val="es-ES_tradnl" w:eastAsia="es-ES_tradnl"/>
        </w:rPr>
        <w:footnoteReference w:id="41"/>
      </w:r>
      <w:r w:rsidRPr="00C24A08">
        <w:rPr>
          <w:rFonts w:ascii="Century Gothic" w:hAnsi="Century Gothic" w:eastAsia="Times New Roman" w:cs="Arial"/>
          <w:lang w:val="es-ES_tradnl" w:eastAsia="es-ES_tradnl"/>
        </w:rPr>
        <w:t xml:space="preserve">. </w:t>
      </w:r>
    </w:p>
    <w:p w:rsidRPr="00C24A08" w:rsidR="00DA5D42" w:rsidP="00480D1F" w:rsidRDefault="00DA5D42" w14:paraId="7E441611" w14:textId="77777777">
      <w:pPr>
        <w:spacing w:line="276" w:lineRule="auto"/>
        <w:ind w:firstLine="709"/>
        <w:jc w:val="both"/>
        <w:rPr>
          <w:rFonts w:ascii="Century Gothic" w:hAnsi="Century Gothic" w:eastAsia="Calibri" w:cs="Arial"/>
          <w:lang w:val="es-ES_tradnl"/>
        </w:rPr>
      </w:pPr>
      <w:r w:rsidRPr="00C24A08">
        <w:rPr>
          <w:rFonts w:ascii="Century Gothic" w:hAnsi="Century Gothic" w:eastAsia="Calibri" w:cs="Arial"/>
          <w:lang w:val="es-ES_tradnl"/>
        </w:rPr>
        <w:t>Ahora bien, el término de 4 meses previsto en el artículo 11 de la Ley 1150 de 2007, dado su carácter supletivo, solo resulta aplicable ante la ausencia de 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sidRPr="00C24A08">
        <w:rPr>
          <w:rFonts w:ascii="Century Gothic" w:hAnsi="Century Gothic" w:eastAsia="Calibri" w:cs="Arial"/>
          <w:vertAlign w:val="superscript"/>
          <w:lang w:val="es-ES_tradnl"/>
        </w:rPr>
        <w:footnoteReference w:id="42"/>
      </w:r>
      <w:r w:rsidRPr="00C24A08">
        <w:rPr>
          <w:rFonts w:ascii="Century Gothic" w:hAnsi="Century Gothic" w:eastAsia="Calibri" w:cs="Arial"/>
          <w:lang w:val="es-ES_tradnl"/>
        </w:rPr>
        <w:t>, lo cual implica que las mismas se desarrollen en procura de la economía y la celeridad</w:t>
      </w:r>
      <w:r w:rsidRPr="00C24A08">
        <w:rPr>
          <w:rFonts w:ascii="Century Gothic" w:hAnsi="Century Gothic" w:eastAsia="Calibri" w:cs="Arial"/>
          <w:vertAlign w:val="superscript"/>
          <w:lang w:val="es-ES_tradnl"/>
        </w:rPr>
        <w:footnoteReference w:id="43"/>
      </w:r>
      <w:r w:rsidRPr="00C24A08">
        <w:rPr>
          <w:rFonts w:ascii="Century Gothic" w:hAnsi="Century Gothic" w:eastAsia="Calibri" w:cs="Arial"/>
          <w:lang w:val="es-ES_tradnl"/>
        </w:rPr>
        <w:t>. Esto significa que, en ejercicio de la facultad que les asiste para fijar el plazo para la liquidación bilateral, las partes deben actuar en garantía de estos principios, por lo que el término que se acuerde debe ser fijado de manera razonable.</w:t>
      </w:r>
    </w:p>
    <w:p w:rsidRPr="00C24A08" w:rsidR="00DA5D42" w:rsidP="00480D1F" w:rsidRDefault="00DA5D42" w14:paraId="150F7CAB" w14:textId="77777777">
      <w:pPr>
        <w:spacing w:line="276" w:lineRule="auto"/>
        <w:ind w:firstLine="709"/>
        <w:jc w:val="both"/>
        <w:rPr>
          <w:rFonts w:ascii="Century Gothic" w:hAnsi="Century Gothic" w:eastAsia="Calibri" w:cs="Arial"/>
          <w:color w:val="000000"/>
          <w:lang w:val="es-ES_tradnl"/>
        </w:rPr>
      </w:pPr>
      <w:r w:rsidRPr="00C24A08">
        <w:rPr>
          <w:rFonts w:ascii="Century Gothic" w:hAnsi="Century Gothic" w:eastAsia="Calibri" w:cs="Arial"/>
          <w:color w:val="000000"/>
          <w:lang w:val="es-ES_tradnl"/>
        </w:rPr>
        <w:t>Durante este término, el contratista puede solicitar que se adelante el trámite de liquidación. Sin embargo, es responsabilidad de la Entidad Estatal convocarlo para adelantar la liquidación de común acuerdo o notificarlo para que se presente a realizarla</w:t>
      </w:r>
      <w:r w:rsidRPr="00C24A08">
        <w:rPr>
          <w:rFonts w:ascii="Century Gothic" w:hAnsi="Century Gothic" w:eastAsia="Calibri" w:cs="Arial"/>
          <w:color w:val="000000"/>
          <w:vertAlign w:val="superscript"/>
          <w:lang w:val="es-ES_tradnl"/>
        </w:rPr>
        <w:footnoteReference w:id="44"/>
      </w:r>
      <w:r w:rsidRPr="00C24A08">
        <w:rPr>
          <w:rFonts w:ascii="Century Gothic" w:hAnsi="Century Gothic" w:eastAsia="Calibri" w:cs="Arial"/>
          <w:color w:val="000000"/>
          <w:lang w:val="es-ES_tradnl"/>
        </w:rPr>
        <w:t>, de manera que el contrato pueda ser liquidado bilateralmente, bien sea en el plazo previsto en el pliego de condiciones, el acordado por las partes, o el supletivo de cuatro meses señalado en la ley, según corresponda. Esta liquidación bilateral puede ser total o parcial</w:t>
      </w:r>
      <w:r w:rsidRPr="00C24A08">
        <w:rPr>
          <w:rFonts w:ascii="Century Gothic" w:hAnsi="Century Gothic" w:eastAsia="Calibri" w:cs="Arial"/>
          <w:iCs/>
          <w:color w:val="000000"/>
          <w:vertAlign w:val="superscript"/>
          <w:lang w:val="es-ES_tradnl"/>
        </w:rPr>
        <w:footnoteReference w:id="45"/>
      </w:r>
      <w:r w:rsidRPr="00C24A08">
        <w:rPr>
          <w:rFonts w:ascii="Century Gothic" w:hAnsi="Century Gothic" w:eastAsia="Calibri" w:cs="Arial"/>
          <w:color w:val="000000"/>
          <w:lang w:val="es-ES_tradnl"/>
        </w:rPr>
        <w:t xml:space="preserve">, y </w:t>
      </w:r>
      <w:r w:rsidRPr="00C24A08">
        <w:rPr>
          <w:rFonts w:ascii="Century Gothic" w:hAnsi="Century Gothic" w:eastAsia="Calibri" w:cs="Arial"/>
          <w:iCs/>
          <w:color w:val="000000"/>
          <w:lang w:val="es-ES_tradnl"/>
        </w:rPr>
        <w:t>el documento que la contiene presta mérito ejecutivo, siempre que se satisfagan los elementos para considerarlo como tal</w:t>
      </w:r>
      <w:r w:rsidRPr="00C24A08">
        <w:rPr>
          <w:rFonts w:ascii="Century Gothic" w:hAnsi="Century Gothic" w:eastAsia="Calibri" w:cs="Arial"/>
          <w:color w:val="000000"/>
          <w:lang w:val="es-ES_tradnl"/>
        </w:rPr>
        <w:t>.</w:t>
      </w:r>
    </w:p>
    <w:p w:rsidRPr="00C24A08" w:rsidR="00DA5D42" w:rsidP="00480D1F" w:rsidRDefault="00DA5D42" w14:paraId="0E2E7495" w14:textId="77777777">
      <w:pPr>
        <w:spacing w:line="276" w:lineRule="auto"/>
        <w:ind w:firstLine="705"/>
        <w:jc w:val="both"/>
        <w:rPr>
          <w:rFonts w:ascii="Century Gothic" w:hAnsi="Century Gothic" w:eastAsia="Times New Roman" w:cs="Arial"/>
          <w:color w:val="000000"/>
          <w:lang w:eastAsia="es-ES_tradnl"/>
        </w:rPr>
      </w:pPr>
      <w:r w:rsidRPr="00C24A08">
        <w:rPr>
          <w:rFonts w:ascii="Century Gothic" w:hAnsi="Century Gothic" w:eastAsia="Times New Roman" w:cs="Arial"/>
          <w:color w:val="000000"/>
          <w:bdr w:val="none" w:color="auto" w:sz="0" w:space="0" w:frame="1"/>
          <w:shd w:val="clear" w:color="auto" w:fill="FFFFFF"/>
          <w:lang w:val="es-ES" w:eastAsia="es-ES_tradnl"/>
        </w:rPr>
        <w:t xml:space="preserve">Si no es posible efectuar la liquidación de manera bilateral, el ordenamiento jurídico prevé una facultad, de carácter subsidiario, para que la Entidad Estatal realice la liquidación unilateralmente. En relación con este aspecto, la </w:t>
      </w:r>
      <w:r w:rsidRPr="00C24A08">
        <w:rPr>
          <w:rFonts w:ascii="Century Gothic" w:hAnsi="Century Gothic" w:eastAsia="Times New Roman" w:cs="Arial"/>
          <w:color w:val="000000"/>
          <w:bdr w:val="none" w:color="auto" w:sz="0" w:space="0" w:frame="1"/>
          <w:shd w:val="clear" w:color="auto" w:fill="FFFFFF"/>
          <w:lang w:val="es-MX" w:eastAsia="es-ES_tradnl"/>
        </w:rPr>
        <w:t xml:space="preserve">Sala de Consulta y Servicio Civil del </w:t>
      </w:r>
      <w:r w:rsidRPr="00C24A08">
        <w:rPr>
          <w:rFonts w:ascii="Century Gothic" w:hAnsi="Century Gothic" w:eastAsia="Times New Roman" w:cs="Arial"/>
          <w:color w:val="000000"/>
          <w:bdr w:val="none" w:color="auto" w:sz="0" w:space="0" w:frame="1"/>
          <w:shd w:val="clear" w:color="auto" w:fill="FFFFFF"/>
          <w:lang w:val="es-ES" w:eastAsia="es-ES_tradnl"/>
        </w:rPr>
        <w:t>Consejo de Estado</w:t>
      </w:r>
      <w:r w:rsidRPr="00C24A08">
        <w:rPr>
          <w:rFonts w:ascii="Century Gothic" w:hAnsi="Century Gothic" w:eastAsia="Times New Roman" w:cs="Arial"/>
          <w:color w:val="000000"/>
          <w:bdr w:val="none" w:color="auto" w:sz="0" w:space="0" w:frame="1"/>
          <w:shd w:val="clear" w:color="auto" w:fill="FFFFFF"/>
          <w:lang w:val="es-MX" w:eastAsia="es-ES_tradnl"/>
        </w:rPr>
        <w:t>, en concepto del 28 de junio de 2016</w:t>
      </w:r>
      <w:r w:rsidRPr="00C24A08">
        <w:rPr>
          <w:rFonts w:ascii="Century Gothic" w:hAnsi="Century Gothic" w:eastAsia="Times New Roman" w:cs="Arial"/>
          <w:color w:val="000000"/>
          <w:bdr w:val="none" w:color="auto" w:sz="0" w:space="0" w:frame="1"/>
          <w:shd w:val="clear" w:color="auto" w:fill="FFFFFF"/>
          <w:vertAlign w:val="superscript"/>
          <w:lang w:val="es-MX" w:eastAsia="es-ES_tradnl"/>
        </w:rPr>
        <w:footnoteReference w:id="46"/>
      </w:r>
      <w:r w:rsidRPr="00C24A08">
        <w:rPr>
          <w:rFonts w:ascii="Century Gothic" w:hAnsi="Century Gothic" w:eastAsia="Times New Roman" w:cs="Arial"/>
          <w:color w:val="000000"/>
          <w:bdr w:val="none" w:color="auto" w:sz="0" w:space="0" w:frame="1"/>
          <w:shd w:val="clear" w:color="auto" w:fill="FFFFFF"/>
          <w:lang w:val="es-MX" w:eastAsia="es-ES_tradnl"/>
        </w:rPr>
        <w:t>, manifestó que:  </w:t>
      </w:r>
    </w:p>
    <w:p w:rsidRPr="00C24A08" w:rsidR="00DA5D42" w:rsidP="00480D1F" w:rsidRDefault="00DA5D42" w14:paraId="21FC6264" w14:textId="77777777">
      <w:pPr>
        <w:spacing w:line="240" w:lineRule="auto"/>
        <w:ind w:left="705" w:right="750"/>
        <w:jc w:val="both"/>
        <w:rPr>
          <w:rFonts w:ascii="Century Gothic" w:hAnsi="Century Gothic" w:eastAsia="Times New Roman" w:cs="Arial"/>
          <w:color w:val="000000"/>
          <w:sz w:val="21"/>
          <w:szCs w:val="21"/>
          <w:lang w:eastAsia="es-ES_tradnl"/>
        </w:rPr>
      </w:pPr>
      <w:r w:rsidRPr="00C24A08">
        <w:rPr>
          <w:rFonts w:ascii="Century Gothic" w:hAnsi="Century Gothic" w:eastAsia="Times New Roman" w:cs="Arial"/>
          <w:i/>
          <w:iCs/>
          <w:sz w:val="21"/>
          <w:szCs w:val="21"/>
          <w:lang w:val="es-ES_tradnl" w:eastAsia="es-ES_tradnl"/>
        </w:rPr>
        <w:t>“</w:t>
      </w:r>
      <w:r w:rsidRPr="00C24A08">
        <w:rPr>
          <w:rFonts w:ascii="Century Gothic" w:hAnsi="Century Gothic" w:eastAsia="Calibri" w:cs="Arial"/>
          <w:color w:val="000000"/>
          <w:sz w:val="21"/>
          <w:szCs w:val="21"/>
          <w:lang w:val="es-ES" w:eastAsia="es-ES_tradnl"/>
        </w:rPr>
        <w:t>[</w:t>
      </w:r>
      <w:r w:rsidRPr="00C24A08">
        <w:rPr>
          <w:rFonts w:ascii="Century Gothic" w:hAnsi="Century Gothic" w:eastAsia="Times New Roman" w:cs="Arial"/>
          <w:color w:val="000000"/>
          <w:sz w:val="21"/>
          <w:szCs w:val="21"/>
          <w:bdr w:val="none" w:color="auto" w:sz="0" w:space="0" w:frame="1"/>
          <w:shd w:val="clear" w:color="auto" w:fill="FFFFFF"/>
          <w:lang w:eastAsia="es-ES_tradnl"/>
        </w:rPr>
        <w:t>…]</w:t>
      </w:r>
      <w:r w:rsidRPr="00C24A08">
        <w:rPr>
          <w:rFonts w:ascii="Century Gothic" w:hAnsi="Century Gothic" w:eastAsia="Times New Roman" w:cs="Arial"/>
          <w:color w:val="000000"/>
          <w:sz w:val="21"/>
          <w:szCs w:val="21"/>
          <w:bdr w:val="none" w:color="auto" w:sz="0" w:space="0" w:frame="1"/>
          <w:shd w:val="clear" w:color="auto" w:fill="FFFFFF"/>
          <w:lang w:val="es-ES" w:eastAsia="es-ES_tradnl"/>
        </w:rPr>
        <w:t>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sidRPr="00C24A08">
        <w:rPr>
          <w:rFonts w:ascii="Century Gothic" w:hAnsi="Century Gothic" w:eastAsia="Times New Roman" w:cs="Arial"/>
          <w:i/>
          <w:iCs/>
          <w:sz w:val="21"/>
          <w:szCs w:val="21"/>
          <w:lang w:val="es-ES_tradnl" w:eastAsia="es-ES_tradnl"/>
        </w:rPr>
        <w:t>”</w:t>
      </w:r>
      <w:r w:rsidRPr="00C24A08">
        <w:rPr>
          <w:rFonts w:ascii="Century Gothic" w:hAnsi="Century Gothic" w:eastAsia="Times New Roman" w:cs="Arial"/>
          <w:color w:val="000000"/>
          <w:sz w:val="21"/>
          <w:szCs w:val="21"/>
          <w:bdr w:val="none" w:color="auto" w:sz="0" w:space="0" w:frame="1"/>
          <w:shd w:val="clear" w:color="auto" w:fill="FFFFFF"/>
          <w:lang w:val="es-ES" w:eastAsia="es-ES_tradnl"/>
        </w:rPr>
        <w:t> </w:t>
      </w:r>
      <w:r w:rsidRPr="00C24A08">
        <w:rPr>
          <w:rFonts w:ascii="Century Gothic" w:hAnsi="Century Gothic" w:eastAsia="Times New Roman" w:cs="Arial"/>
          <w:color w:val="000000"/>
          <w:sz w:val="21"/>
          <w:szCs w:val="21"/>
          <w:bdr w:val="none" w:color="auto" w:sz="0" w:space="0" w:frame="1"/>
          <w:shd w:val="clear" w:color="auto" w:fill="FFFFFF"/>
          <w:lang w:eastAsia="es-ES_tradnl"/>
        </w:rPr>
        <w:t>  </w:t>
      </w:r>
    </w:p>
    <w:p w:rsidRPr="00C24A08" w:rsidR="00DA5D42" w:rsidP="00480D1F" w:rsidRDefault="00DA5D42" w14:paraId="343278EE" w14:textId="3070A976">
      <w:pPr>
        <w:spacing w:line="276" w:lineRule="auto"/>
        <w:ind w:firstLine="705"/>
        <w:jc w:val="both"/>
        <w:rPr>
          <w:rFonts w:ascii="Century Gothic" w:hAnsi="Century Gothic" w:eastAsia="Times New Roman" w:cs="Arial"/>
          <w:color w:val="000000"/>
          <w:lang w:eastAsia="es-ES_tradnl"/>
        </w:rPr>
      </w:pPr>
      <w:r w:rsidRPr="00C24A08">
        <w:rPr>
          <w:rFonts w:ascii="Century Gothic" w:hAnsi="Century Gothic" w:eastAsia="Times New Roman" w:cs="Arial"/>
          <w:color w:val="000000"/>
          <w:bdr w:val="none" w:color="auto" w:sz="0" w:space="0" w:frame="1"/>
          <w:shd w:val="clear" w:color="auto" w:fill="FFFFFF"/>
          <w:lang w:val="es-ES" w:eastAsia="es-ES_tradnl"/>
        </w:rPr>
        <w:t>Si no se logra la liquidación bilateral del contrato, la Entidad Estatal tiene la facultad de liquidarlo unilateralmente dentro del término de 2 meses contados a partir del vencimiento del plazo que acuerden las partes para liquidar bilateralmente o,</w:t>
      </w:r>
      <w:r w:rsidRPr="00C24A08" w:rsidR="00634754">
        <w:rPr>
          <w:rFonts w:ascii="Century Gothic" w:hAnsi="Century Gothic" w:eastAsia="Times New Roman" w:cs="Arial"/>
          <w:color w:val="000000"/>
          <w:bdr w:val="none" w:color="auto" w:sz="0" w:space="0" w:frame="1"/>
          <w:shd w:val="clear" w:color="auto" w:fill="FFFFFF"/>
          <w:lang w:val="es-ES" w:eastAsia="es-ES_tradnl"/>
        </w:rPr>
        <w:t xml:space="preserve"> </w:t>
      </w:r>
      <w:r w:rsidRPr="00C24A08">
        <w:rPr>
          <w:rFonts w:ascii="Century Gothic" w:hAnsi="Century Gothic" w:eastAsia="Times New Roman" w:cs="Arial"/>
          <w:color w:val="000000"/>
          <w:bdr w:val="none" w:color="auto" w:sz="0" w:space="0" w:frame="1"/>
          <w:shd w:val="clear" w:color="auto" w:fill="FFFFFF"/>
          <w:lang w:val="es-ES" w:eastAsia="es-ES_tradnl"/>
        </w:rPr>
        <w:t>ante el</w:t>
      </w:r>
      <w:r w:rsidRPr="00C24A08" w:rsidR="00634754">
        <w:rPr>
          <w:rFonts w:ascii="Century Gothic" w:hAnsi="Century Gothic" w:eastAsia="Times New Roman" w:cs="Arial"/>
          <w:color w:val="000000"/>
          <w:bdr w:val="none" w:color="auto" w:sz="0" w:space="0" w:frame="1"/>
          <w:shd w:val="clear" w:color="auto" w:fill="FFFFFF"/>
          <w:lang w:val="es-ES" w:eastAsia="es-ES_tradnl"/>
        </w:rPr>
        <w:t xml:space="preserve"> </w:t>
      </w:r>
      <w:r w:rsidRPr="00C24A08">
        <w:rPr>
          <w:rFonts w:ascii="Century Gothic" w:hAnsi="Century Gothic" w:eastAsia="Times New Roman" w:cs="Arial"/>
          <w:color w:val="000000"/>
          <w:bdr w:val="none" w:color="auto" w:sz="0" w:space="0" w:frame="1"/>
          <w:shd w:val="clear" w:color="auto" w:fill="FFFFFF"/>
          <w:lang w:val="es-ES" w:eastAsia="es-ES_tradnl"/>
        </w:rPr>
        <w:t>silencio</w:t>
      </w:r>
      <w:r w:rsidRPr="00C24A08" w:rsidR="00634754">
        <w:rPr>
          <w:rFonts w:ascii="Century Gothic" w:hAnsi="Century Gothic" w:eastAsia="Times New Roman" w:cs="Arial"/>
          <w:color w:val="000000"/>
          <w:bdr w:val="none" w:color="auto" w:sz="0" w:space="0" w:frame="1"/>
          <w:shd w:val="clear" w:color="auto" w:fill="FFFFFF"/>
          <w:lang w:val="es-ES" w:eastAsia="es-ES_tradnl"/>
        </w:rPr>
        <w:t xml:space="preserve"> </w:t>
      </w:r>
      <w:r w:rsidRPr="00C24A08">
        <w:rPr>
          <w:rFonts w:ascii="Century Gothic" w:hAnsi="Century Gothic" w:eastAsia="Times New Roman" w:cs="Arial"/>
          <w:color w:val="000000"/>
          <w:bdr w:val="none" w:color="auto" w:sz="0" w:space="0" w:frame="1"/>
          <w:shd w:val="clear" w:color="auto" w:fill="FFFFFF"/>
          <w:lang w:val="es-ES" w:eastAsia="es-ES_tradnl"/>
        </w:rPr>
        <w:t>de estas,</w:t>
      </w:r>
      <w:r w:rsidRPr="00C24A08" w:rsidR="00634754">
        <w:rPr>
          <w:rFonts w:ascii="Century Gothic" w:hAnsi="Century Gothic" w:eastAsia="Times New Roman" w:cs="Arial"/>
          <w:color w:val="000000"/>
          <w:bdr w:val="none" w:color="auto" w:sz="0" w:space="0" w:frame="1"/>
          <w:shd w:val="clear" w:color="auto" w:fill="FFFFFF"/>
          <w:lang w:val="es-ES" w:eastAsia="es-ES_tradnl"/>
        </w:rPr>
        <w:t xml:space="preserve"> </w:t>
      </w:r>
      <w:r w:rsidRPr="00C24A08">
        <w:rPr>
          <w:rFonts w:ascii="Century Gothic" w:hAnsi="Century Gothic" w:eastAsia="Times New Roman" w:cs="Arial"/>
          <w:color w:val="000000"/>
          <w:bdr w:val="none" w:color="auto" w:sz="0" w:space="0" w:frame="1"/>
          <w:shd w:val="clear" w:color="auto" w:fill="FFFFFF"/>
          <w:lang w:val="es-ES" w:eastAsia="es-ES_tradnl"/>
        </w:rPr>
        <w:t>del vencimiento de los 4 meses supletivo establecido por la ley.</w:t>
      </w:r>
    </w:p>
    <w:p w:rsidRPr="00C24A08" w:rsidR="00DA5D42" w:rsidP="00480D1F" w:rsidRDefault="00DA5D42" w14:paraId="0F55FF75" w14:textId="55C79105">
      <w:pPr>
        <w:spacing w:line="276" w:lineRule="auto"/>
        <w:ind w:firstLine="705"/>
        <w:jc w:val="both"/>
        <w:rPr>
          <w:rFonts w:ascii="Century Gothic" w:hAnsi="Century Gothic" w:eastAsia="Times New Roman" w:cs="Arial"/>
          <w:color w:val="000000"/>
          <w:bdr w:val="none" w:color="auto" w:sz="0" w:space="0" w:frame="1"/>
          <w:shd w:val="clear" w:color="auto" w:fill="FFFFFF"/>
          <w:lang w:eastAsia="es-ES_tradnl"/>
        </w:rPr>
      </w:pPr>
      <w:r w:rsidRPr="00C24A08">
        <w:rPr>
          <w:rFonts w:ascii="Century Gothic" w:hAnsi="Century Gothic" w:eastAsia="Times New Roman" w:cs="Arial"/>
          <w:color w:val="000000"/>
          <w:bdr w:val="none" w:color="auto" w:sz="0" w:space="0" w:frame="1"/>
          <w:shd w:val="clear" w:color="auto" w:fill="FFFFFF"/>
          <w:lang w:val="es-ES" w:eastAsia="es-ES_tradnl"/>
        </w:rPr>
        <w:t>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w:t>
      </w:r>
      <w:r w:rsidRPr="00C24A08" w:rsidR="00634754">
        <w:rPr>
          <w:rFonts w:ascii="Century Gothic" w:hAnsi="Century Gothic" w:eastAsia="Times New Roman" w:cs="Arial"/>
          <w:color w:val="000000"/>
          <w:bdr w:val="none" w:color="auto" w:sz="0" w:space="0" w:frame="1"/>
          <w:shd w:val="clear" w:color="auto" w:fill="FFFFFF"/>
          <w:lang w:val="es-ES" w:eastAsia="es-ES_tradnl"/>
        </w:rPr>
        <w:t xml:space="preserve"> </w:t>
      </w:r>
      <w:r w:rsidRPr="00C24A08">
        <w:rPr>
          <w:rFonts w:ascii="Century Gothic" w:hAnsi="Century Gothic" w:eastAsia="Times New Roman" w:cs="Arial"/>
          <w:color w:val="000000"/>
          <w:bdr w:val="none" w:color="auto" w:sz="0" w:space="0" w:frame="1"/>
          <w:shd w:val="clear" w:color="auto" w:fill="FFFFFF"/>
          <w:lang w:val="es-ES" w:eastAsia="es-ES_tradnl"/>
        </w:rPr>
        <w:t>judicialmente</w:t>
      </w:r>
      <w:r w:rsidRPr="00C24A08" w:rsidR="00634754">
        <w:rPr>
          <w:rFonts w:ascii="Century Gothic" w:hAnsi="Century Gothic" w:eastAsia="Times New Roman" w:cs="Arial"/>
          <w:color w:val="000000"/>
          <w:bdr w:val="none" w:color="auto" w:sz="0" w:space="0" w:frame="1"/>
          <w:shd w:val="clear" w:color="auto" w:fill="FFFFFF"/>
          <w:lang w:val="es-ES" w:eastAsia="es-ES_tradnl"/>
        </w:rPr>
        <w:t xml:space="preserve"> </w:t>
      </w:r>
      <w:r w:rsidRPr="00C24A08">
        <w:rPr>
          <w:rFonts w:ascii="Century Gothic" w:hAnsi="Century Gothic" w:eastAsia="Times New Roman" w:cs="Arial"/>
          <w:color w:val="000000"/>
          <w:bdr w:val="none" w:color="auto" w:sz="0" w:space="0" w:frame="1"/>
          <w:shd w:val="clear" w:color="auto" w:fill="FFFFFF"/>
          <w:lang w:val="es-ES" w:eastAsia="es-ES_tradnl"/>
        </w:rPr>
        <w:t xml:space="preserve">por </w:t>
      </w:r>
      <w:r w:rsidRPr="00C24A08" w:rsidR="00E820FB">
        <w:rPr>
          <w:rFonts w:ascii="Century Gothic" w:hAnsi="Century Gothic" w:eastAsia="Times New Roman" w:cs="Arial"/>
          <w:color w:val="000000"/>
          <w:bdr w:val="none" w:color="auto" w:sz="0" w:space="0" w:frame="1"/>
          <w:shd w:val="clear" w:color="auto" w:fill="FFFFFF"/>
          <w:lang w:val="es-ES" w:eastAsia="es-ES_tradnl"/>
        </w:rPr>
        <w:t>el interesado</w:t>
      </w:r>
      <w:r w:rsidRPr="00C24A08">
        <w:rPr>
          <w:rFonts w:ascii="Century Gothic" w:hAnsi="Century Gothic" w:eastAsia="Times New Roman" w:cs="Arial"/>
          <w:color w:val="000000"/>
          <w:bdr w:val="none" w:color="auto" w:sz="0" w:space="0" w:frame="1"/>
          <w:shd w:val="clear" w:color="auto" w:fill="FFFFFF"/>
          <w:lang w:val="es-ES" w:eastAsia="es-ES_tradnl"/>
        </w:rPr>
        <w:t xml:space="preserve">. En este sentido, en decisión de unificación de la </w:t>
      </w:r>
      <w:r w:rsidRPr="00C24A08">
        <w:rPr>
          <w:rFonts w:ascii="Century Gothic" w:hAnsi="Century Gothic" w:eastAsia="Times New Roman" w:cs="Arial"/>
          <w:color w:val="000000"/>
          <w:bdr w:val="none" w:color="auto" w:sz="0" w:space="0" w:frame="1"/>
          <w:shd w:val="clear" w:color="auto" w:fill="FFFFFF"/>
          <w:lang w:val="es-MX" w:eastAsia="es-ES_tradnl"/>
        </w:rPr>
        <w:t>Sección Tercera</w:t>
      </w:r>
      <w:r w:rsidRPr="00C24A08">
        <w:rPr>
          <w:rFonts w:ascii="Century Gothic" w:hAnsi="Century Gothic" w:eastAsia="Times New Roman" w:cs="Arial"/>
          <w:color w:val="000000"/>
          <w:bdr w:val="none" w:color="auto" w:sz="0" w:space="0" w:frame="1"/>
          <w:shd w:val="clear" w:color="auto" w:fill="FFFFFF"/>
          <w:lang w:val="es-ES" w:eastAsia="es-ES_tradnl"/>
        </w:rPr>
        <w:t xml:space="preserve"> del Consejo de Estado, del</w:t>
      </w:r>
      <w:r w:rsidRPr="00C24A08" w:rsidR="00E820FB">
        <w:rPr>
          <w:rFonts w:ascii="Century Gothic" w:hAnsi="Century Gothic" w:eastAsia="Times New Roman" w:cs="Arial"/>
          <w:color w:val="000000"/>
          <w:bdr w:val="none" w:color="auto" w:sz="0" w:space="0" w:frame="1"/>
          <w:shd w:val="clear" w:color="auto" w:fill="FFFFFF"/>
          <w:lang w:val="es-MX" w:eastAsia="es-ES_tradnl"/>
        </w:rPr>
        <w:t xml:space="preserve"> </w:t>
      </w:r>
      <w:r w:rsidRPr="00C24A08">
        <w:rPr>
          <w:rFonts w:ascii="Century Gothic" w:hAnsi="Century Gothic" w:eastAsia="Times New Roman" w:cs="Arial"/>
          <w:color w:val="000000"/>
          <w:bdr w:val="none" w:color="auto" w:sz="0" w:space="0" w:frame="1"/>
          <w:shd w:val="clear" w:color="auto" w:fill="FFFFFF"/>
          <w:lang w:eastAsia="es-ES_tradnl"/>
        </w:rPr>
        <w:t>1 de agosto de 2019</w:t>
      </w:r>
      <w:r w:rsidRPr="00C24A08">
        <w:rPr>
          <w:rFonts w:ascii="Century Gothic" w:hAnsi="Century Gothic" w:eastAsia="Times New Roman" w:cs="Arial"/>
          <w:color w:val="000000"/>
          <w:bdr w:val="none" w:color="auto" w:sz="0" w:space="0" w:frame="1"/>
          <w:shd w:val="clear" w:color="auto" w:fill="FFFFFF"/>
          <w:vertAlign w:val="superscript"/>
          <w:lang w:eastAsia="es-ES_tradnl"/>
        </w:rPr>
        <w:footnoteReference w:id="47"/>
      </w:r>
      <w:r w:rsidRPr="00C24A08">
        <w:rPr>
          <w:rFonts w:ascii="Century Gothic" w:hAnsi="Century Gothic" w:eastAsia="Times New Roman" w:cs="Arial"/>
          <w:color w:val="000000"/>
          <w:bdr w:val="none" w:color="auto" w:sz="0" w:space="0" w:frame="1"/>
          <w:shd w:val="clear" w:color="auto" w:fill="FFFFFF"/>
          <w:lang w:eastAsia="es-ES_tradnl"/>
        </w:rPr>
        <w:t>, se expresó: </w:t>
      </w:r>
    </w:p>
    <w:p w:rsidRPr="00C24A08" w:rsidR="00DA5D42" w:rsidP="00480D1F" w:rsidRDefault="00DA5D42" w14:paraId="39E35E6D" w14:textId="77777777">
      <w:pPr>
        <w:spacing w:line="240" w:lineRule="auto"/>
        <w:ind w:left="705" w:right="750"/>
        <w:jc w:val="both"/>
        <w:rPr>
          <w:rFonts w:ascii="Century Gothic" w:hAnsi="Century Gothic" w:eastAsia="Times New Roman" w:cs="Arial"/>
          <w:color w:val="000000"/>
          <w:sz w:val="21"/>
          <w:szCs w:val="21"/>
          <w:lang w:eastAsia="es-ES_tradnl"/>
        </w:rPr>
      </w:pPr>
      <w:r w:rsidRPr="00C24A08">
        <w:rPr>
          <w:rFonts w:ascii="Century Gothic" w:hAnsi="Century Gothic" w:eastAsia="Times New Roman" w:cs="Arial"/>
          <w:i/>
          <w:iCs/>
          <w:sz w:val="21"/>
          <w:szCs w:val="21"/>
          <w:lang w:val="es-ES_tradnl" w:eastAsia="es-ES_tradnl"/>
        </w:rPr>
        <w:t>“</w:t>
      </w:r>
      <w:r w:rsidRPr="00C24A08">
        <w:rPr>
          <w:rFonts w:ascii="Century Gothic" w:hAnsi="Century Gothic" w:eastAsia="Times New Roman" w:cs="Arial"/>
          <w:color w:val="000000"/>
          <w:sz w:val="21"/>
          <w:szCs w:val="21"/>
          <w:bdr w:val="none" w:color="auto" w:sz="0" w:space="0" w:frame="1"/>
          <w:shd w:val="clear" w:color="auto" w:fill="FFFFFF"/>
          <w:lang w:val="es-ES" w:eastAsia="es-ES_tradnl"/>
        </w:rPr>
        <w:t>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sidRPr="00C24A08">
        <w:rPr>
          <w:rFonts w:ascii="Century Gothic" w:hAnsi="Century Gothic" w:eastAsia="Times New Roman" w:cs="Arial"/>
          <w:color w:val="000000"/>
          <w:sz w:val="21"/>
          <w:szCs w:val="21"/>
          <w:bdr w:val="none" w:color="auto" w:sz="0" w:space="0" w:frame="1"/>
          <w:shd w:val="clear" w:color="auto" w:fill="FFFFFF"/>
          <w:lang w:val="es-ES" w:eastAsia="es-ES_tradnl"/>
        </w:rPr>
        <w:t>liquidatorio</w:t>
      </w:r>
      <w:proofErr w:type="spellEnd"/>
      <w:r w:rsidRPr="00C24A08">
        <w:rPr>
          <w:rFonts w:ascii="Century Gothic" w:hAnsi="Century Gothic" w:eastAsia="Times New Roman" w:cs="Arial"/>
          <w:color w:val="000000"/>
          <w:sz w:val="21"/>
          <w:szCs w:val="21"/>
          <w:bdr w:val="none" w:color="auto" w:sz="0" w:space="0" w:frame="1"/>
          <w:shd w:val="clear" w:color="auto" w:fill="FFFFFF"/>
          <w:lang w:val="es-ES" w:eastAsia="es-ES_tradnl"/>
        </w:rPr>
        <w:t> se logre dentro del lapso de dos años contados a partir del vencimiento del término legalmente conocido para la liquidación unilateral, pues ese es el lapso que el ordenamiento ha fijado para el ejercicio oportuno de la acción</w:t>
      </w:r>
      <w:r w:rsidRPr="00C24A08">
        <w:rPr>
          <w:rFonts w:ascii="Century Gothic" w:hAnsi="Century Gothic" w:eastAsia="Calibri" w:cs="Arial"/>
          <w:color w:val="000000"/>
          <w:sz w:val="21"/>
          <w:szCs w:val="21"/>
          <w:lang w:val="es-ES" w:eastAsia="es-ES_tradnl"/>
        </w:rPr>
        <w:t>.</w:t>
      </w:r>
      <w:r w:rsidRPr="00C24A08">
        <w:rPr>
          <w:rFonts w:ascii="Century Gothic" w:hAnsi="Century Gothic" w:eastAsia="Times New Roman" w:cs="Arial"/>
          <w:i/>
          <w:iCs/>
          <w:sz w:val="21"/>
          <w:szCs w:val="21"/>
          <w:lang w:val="es-ES_tradnl" w:eastAsia="es-ES_tradnl"/>
        </w:rPr>
        <w:t>”</w:t>
      </w:r>
      <w:r w:rsidRPr="00C24A08">
        <w:rPr>
          <w:rFonts w:ascii="Century Gothic" w:hAnsi="Century Gothic" w:eastAsia="Times New Roman" w:cs="Arial"/>
          <w:color w:val="000000"/>
          <w:sz w:val="21"/>
          <w:szCs w:val="21"/>
          <w:bdr w:val="none" w:color="auto" w:sz="0" w:space="0" w:frame="1"/>
          <w:shd w:val="clear" w:color="auto" w:fill="FFFFFF"/>
          <w:lang w:val="es-ES" w:eastAsia="es-ES_tradnl"/>
        </w:rPr>
        <w:t> </w:t>
      </w:r>
    </w:p>
    <w:p w:rsidRPr="00C24A08" w:rsidR="00DA5D42" w:rsidP="00480D1F" w:rsidRDefault="00DA5D42" w14:paraId="3B407F80" w14:textId="77777777">
      <w:pPr>
        <w:spacing w:line="276" w:lineRule="auto"/>
        <w:ind w:right="106" w:firstLine="705"/>
        <w:jc w:val="both"/>
        <w:rPr>
          <w:rFonts w:ascii="Century Gothic" w:hAnsi="Century Gothic" w:eastAsia="Times New Roman" w:cs="Arial"/>
          <w:color w:val="000000"/>
          <w:bdr w:val="none" w:color="auto" w:sz="0" w:space="0" w:frame="1"/>
          <w:shd w:val="clear" w:color="auto" w:fill="FFFFFF"/>
          <w:lang w:eastAsia="es-ES_tradnl"/>
        </w:rPr>
      </w:pPr>
      <w:r w:rsidRPr="00C24A08">
        <w:rPr>
          <w:rFonts w:ascii="Century Gothic" w:hAnsi="Century Gothic" w:eastAsia="Times New Roman" w:cs="Arial"/>
          <w:color w:val="000000"/>
          <w:bdr w:val="none" w:color="auto" w:sz="0" w:space="0" w:frame="1"/>
          <w:shd w:val="clear" w:color="auto" w:fill="FFFFFF"/>
          <w:lang w:eastAsia="es-ES_tradnl"/>
        </w:rPr>
        <w:t>A su turno, en relación con la pérdida de competencia de la administración para liquidar el contrato unilateralmente, ante la presentación de una demanda, el Consejo de Estado, en sentencia del 1 de junio de 2020, varió la línea jurisprudencial, en el sentido de ubicar la pérdida de competencia con la presentación de la demanda, y no en la notificación del auto admisorio, como se sostenía anteriormente. En efecto, se indicó que:</w:t>
      </w:r>
    </w:p>
    <w:p w:rsidRPr="00C24A08" w:rsidR="00DA5D42" w:rsidP="00480D1F" w:rsidRDefault="00DA5D42" w14:paraId="1806604D" w14:textId="77777777">
      <w:pPr>
        <w:spacing w:line="240" w:lineRule="auto"/>
        <w:ind w:left="709" w:right="758"/>
        <w:jc w:val="both"/>
        <w:rPr>
          <w:rFonts w:ascii="Century Gothic" w:hAnsi="Century Gothic" w:eastAsia="Times New Roman" w:cs="Arial"/>
          <w:color w:val="000000"/>
          <w:sz w:val="21"/>
          <w:szCs w:val="21"/>
          <w:bdr w:val="none" w:color="auto" w:sz="0" w:space="0" w:frame="1"/>
          <w:shd w:val="clear" w:color="auto" w:fill="FFFFFF"/>
          <w:lang w:eastAsia="es-ES_tradnl"/>
        </w:rPr>
      </w:pPr>
      <w:r w:rsidRPr="00C24A08">
        <w:rPr>
          <w:rFonts w:ascii="Century Gothic" w:hAnsi="Century Gothic" w:eastAsia="Times New Roman" w:cs="Arial"/>
          <w:i/>
          <w:iCs/>
          <w:sz w:val="21"/>
          <w:szCs w:val="21"/>
          <w:lang w:val="es-ES_tradnl" w:eastAsia="es-ES_tradnl"/>
        </w:rPr>
        <w:t>“</w:t>
      </w:r>
      <w:r w:rsidRPr="00C24A08">
        <w:rPr>
          <w:rFonts w:ascii="Century Gothic" w:hAnsi="Century Gothic" w:eastAsia="Times New Roman" w:cs="Arial"/>
          <w:color w:val="000000"/>
          <w:sz w:val="21"/>
          <w:szCs w:val="21"/>
          <w:bdr w:val="none" w:color="auto" w:sz="0" w:space="0" w:frame="1"/>
          <w:shd w:val="clear" w:color="auto" w:fill="FFFFFF"/>
          <w:lang w:eastAsia="es-ES_tradnl"/>
        </w:rPr>
        <w:t xml:space="preserve">La Corporación ha señalado de manera consistente que la Administración pierde la competencia para liquidar el contrato cuando el contratista, previamente, haya instaurado la acción judicial correspondiente, fenómeno que se explica por el traslado de esa competencia a otra autoridad […] La jurisprudencia ha sostenido, a partir de lo preceptuado en el literal d) del numeral 10 del artículo 136 del CCA, [subrogado por el artículo 44 de la ley 446 de 1998] , que la notificación del auto admisorio de la demanda que tenga por objeto la liquidación judicial del contrato es el hito que genera la pérdida de competencia de la entidad para ejercer la facultad de liquidar unilateralmente el contrato, mientras esta no lo haya liquidado unilateral o bilateralmente. […] No obstante, la Sala encuentra que el punto de partida de la pérdida de competencia que se fijó jurisprudencialmente es susceptible de ser revisado, a partir del empleo de un criterio de interpretación que resulte coherente con los efectos procesales que el legislador fijó la presentación de la demanda. […] [L]a demanda produce numerosos e importantes efectos jurídicos materiales que equivalen, en general, a un reforzamiento o intensificación, desde el punto de vista del actor, de una situación jurídica sustantiva.  Este reforzamiento se produce creando consecuencias que originalmente no existían, como la constitución en mora, o conservando consecuencias que existían, pero estaban en trance de desaparecer. La consecuencia típica de conservación es la que produce la presentación de la demanda, al interrumpir la prescripción. Al efecto, el Artículo 90 del Código de Procedimiento Civil, modificado por el decreto 2282 de 1989, aplicable a la presente controversia, […] Frente al vacío que se pretende colmar se hace necesario un ejercicio de integración normativa que esté </w:t>
      </w:r>
      <w:proofErr w:type="spellStart"/>
      <w:r w:rsidRPr="00C24A08">
        <w:rPr>
          <w:rFonts w:ascii="Century Gothic" w:hAnsi="Century Gothic" w:eastAsia="Times New Roman" w:cs="Arial"/>
          <w:color w:val="000000"/>
          <w:sz w:val="21"/>
          <w:szCs w:val="21"/>
          <w:bdr w:val="none" w:color="auto" w:sz="0" w:space="0" w:frame="1"/>
          <w:shd w:val="clear" w:color="auto" w:fill="FFFFFF"/>
          <w:lang w:eastAsia="es-ES_tradnl"/>
        </w:rPr>
        <w:t>mas</w:t>
      </w:r>
      <w:proofErr w:type="spellEnd"/>
      <w:r w:rsidRPr="00C24A08">
        <w:rPr>
          <w:rFonts w:ascii="Century Gothic" w:hAnsi="Century Gothic" w:eastAsia="Times New Roman" w:cs="Arial"/>
          <w:color w:val="000000"/>
          <w:sz w:val="21"/>
          <w:szCs w:val="21"/>
          <w:bdr w:val="none" w:color="auto" w:sz="0" w:space="0" w:frame="1"/>
          <w:shd w:val="clear" w:color="auto" w:fill="FFFFFF"/>
          <w:lang w:eastAsia="es-ES_tradnl"/>
        </w:rPr>
        <w:t xml:space="preserve"> (sic) acorde con los efectos que la legislación procesal le atribuye a la presentación de la demanda, y que no están condicionados a su notificación. Desde este enfoque, la Sala declarará que la Administración perdió competencia para liquidar el contrato en forma unilateral, a partir de la fecha en que se presentó la demanda que pretendió su liquidación judicial.</w:t>
      </w:r>
      <w:r w:rsidRPr="00C24A08">
        <w:rPr>
          <w:rFonts w:ascii="Century Gothic" w:hAnsi="Century Gothic" w:eastAsia="Times New Roman" w:cs="Arial"/>
          <w:i/>
          <w:iCs/>
          <w:sz w:val="21"/>
          <w:szCs w:val="21"/>
          <w:lang w:val="es-ES_tradnl" w:eastAsia="es-ES_tradnl"/>
        </w:rPr>
        <w:t>”</w:t>
      </w:r>
      <w:r w:rsidRPr="00C24A08">
        <w:rPr>
          <w:rFonts w:ascii="Century Gothic" w:hAnsi="Century Gothic" w:eastAsia="Times New Roman" w:cs="Arial"/>
          <w:color w:val="000000"/>
          <w:sz w:val="21"/>
          <w:szCs w:val="21"/>
          <w:bdr w:val="none" w:color="auto" w:sz="0" w:space="0" w:frame="1"/>
          <w:shd w:val="clear" w:color="auto" w:fill="FFFFFF"/>
          <w:lang w:val="es-ES" w:eastAsia="es-ES_tradnl"/>
        </w:rPr>
        <w:t> </w:t>
      </w:r>
    </w:p>
    <w:p w:rsidRPr="00C24A08" w:rsidR="00DA5D42" w:rsidP="00480D1F" w:rsidRDefault="00DA5D42" w14:paraId="4122F0B0" w14:textId="0ABD34EC">
      <w:pPr>
        <w:spacing w:line="276" w:lineRule="auto"/>
        <w:ind w:right="106" w:firstLine="705"/>
        <w:jc w:val="both"/>
        <w:rPr>
          <w:rFonts w:ascii="Century Gothic" w:hAnsi="Century Gothic" w:eastAsia="Times New Roman" w:cs="Arial"/>
          <w:color w:val="000000"/>
          <w:lang w:eastAsia="es-ES_tradnl"/>
        </w:rPr>
      </w:pPr>
      <w:r w:rsidRPr="00C24A08">
        <w:rPr>
          <w:rFonts w:ascii="Century Gothic" w:hAnsi="Century Gothic" w:eastAsia="Times New Roman" w:cs="Arial"/>
          <w:color w:val="000000"/>
          <w:bdr w:val="none" w:color="auto" w:sz="0" w:space="0" w:frame="1"/>
          <w:shd w:val="clear" w:color="auto" w:fill="FFFFFF"/>
          <w:lang w:eastAsia="es-ES_tradnl"/>
        </w:rPr>
        <w:t>En armonía con lo anterior, se podrá, entonces, interponer una demanda ante la jurisdicción de lo contencioso administrativo solicitando la liquidación judicial del contrato mediante el medio de control de controversias contractuales, en los términos del artículo 141 del Código de Procedimiento Administrativo y de lo Contencioso Administrativo –CPACA–.</w:t>
      </w:r>
      <w:r w:rsidRPr="00C24A08" w:rsidR="00FF3414">
        <w:rPr>
          <w:rFonts w:ascii="Century Gothic" w:hAnsi="Century Gothic" w:eastAsia="Times New Roman" w:cs="Arial"/>
          <w:color w:val="000000"/>
          <w:bdr w:val="none" w:color="auto" w:sz="0" w:space="0" w:frame="1"/>
          <w:shd w:val="clear" w:color="auto" w:fill="FFFFFF"/>
          <w:lang w:eastAsia="es-ES_tradnl"/>
        </w:rPr>
        <w:t xml:space="preserve"> </w:t>
      </w:r>
      <w:r w:rsidRPr="00C24A08">
        <w:rPr>
          <w:rFonts w:ascii="Century Gothic" w:hAnsi="Century Gothic" w:eastAsia="Times New Roman" w:cs="Arial"/>
          <w:color w:val="000000"/>
          <w:bdr w:val="none" w:color="auto" w:sz="0" w:space="0" w:frame="1"/>
          <w:shd w:val="clear" w:color="auto" w:fill="FFFFFF"/>
          <w:lang w:eastAsia="es-ES_tradnl"/>
        </w:rPr>
        <w:t>La demanda debe ser presentada dentro del término que establece el artículo 164 del CPACA, pues de lo contrario operará el fenómeno de la caducidad, por lo cual no sería posible realizar la liquidación del contrato por ningún medio.</w:t>
      </w:r>
    </w:p>
    <w:p w:rsidRPr="00C24A08" w:rsidR="00DA5D42" w:rsidP="00480D1F" w:rsidRDefault="00DA5D42" w14:paraId="74785B3D" w14:textId="77777777">
      <w:pPr>
        <w:spacing w:before="120" w:line="276" w:lineRule="auto"/>
        <w:ind w:right="110" w:firstLine="705"/>
        <w:jc w:val="both"/>
        <w:rPr>
          <w:rFonts w:ascii="Century Gothic" w:hAnsi="Century Gothic" w:eastAsia="Times New Roman" w:cs="Arial"/>
          <w:color w:val="000000"/>
          <w:lang w:eastAsia="es-ES_tradnl"/>
        </w:rPr>
      </w:pPr>
      <w:r w:rsidRPr="00C24A08">
        <w:rPr>
          <w:rFonts w:ascii="Century Gothic" w:hAnsi="Century Gothic" w:eastAsia="Times New Roman" w:cs="Arial"/>
          <w:color w:val="000000"/>
          <w:bdr w:val="none" w:color="auto" w:sz="0" w:space="0" w:frame="1"/>
          <w:shd w:val="clear" w:color="auto" w:fill="FFFFFF"/>
          <w:lang w:eastAsia="es-ES_tradnl"/>
        </w:rPr>
        <w:t>En este punto, vale la pena aclarar que en relación con el término de caducidad para demandar en aquellos contratos que requieran liquidación, la jurisprudencia unificada del Consejo de Estado ha determinado que, en virtud del artículo 164 de la Ley 1437 de 2011, la regla general es que los dos años comiencen a correr a partir de la fecha de expedición del acta de liquidación, bien sea unilateral o de mutuo acuerdo, y solo en caso de que no exista liquidación de ningún tipo, el término de dos años comienza a contar a partir de la suma de los seis meses que trata en artículo 11 de la Ley 1150 de</w:t>
      </w:r>
      <w:r w:rsidRPr="00C24A08">
        <w:rPr>
          <w:rFonts w:ascii="Century Gothic" w:hAnsi="Century Gothic" w:eastAsia="Times New Roman" w:cs="Arial"/>
          <w:color w:val="000000"/>
          <w:spacing w:val="-25"/>
          <w:bdr w:val="none" w:color="auto" w:sz="0" w:space="0" w:frame="1"/>
          <w:shd w:val="clear" w:color="auto" w:fill="FFFFFF"/>
          <w:lang w:eastAsia="es-ES_tradnl"/>
        </w:rPr>
        <w:t> </w:t>
      </w:r>
      <w:r w:rsidRPr="00C24A08">
        <w:rPr>
          <w:rFonts w:ascii="Century Gothic" w:hAnsi="Century Gothic" w:eastAsia="Times New Roman" w:cs="Arial"/>
          <w:color w:val="000000"/>
          <w:bdr w:val="none" w:color="auto" w:sz="0" w:space="0" w:frame="1"/>
          <w:shd w:val="clear" w:color="auto" w:fill="FFFFFF"/>
          <w:lang w:eastAsia="es-ES_tradnl"/>
        </w:rPr>
        <w:t>2011. </w:t>
      </w:r>
    </w:p>
    <w:p w:rsidRPr="00C24A08" w:rsidR="00DA5D42" w:rsidP="00480D1F" w:rsidRDefault="00DA5D42" w14:paraId="4851220E" w14:textId="09927851">
      <w:pPr>
        <w:spacing w:before="120" w:line="276" w:lineRule="auto"/>
        <w:ind w:firstLine="705"/>
        <w:jc w:val="both"/>
        <w:rPr>
          <w:rFonts w:ascii="Century Gothic" w:hAnsi="Century Gothic" w:eastAsia="Times New Roman" w:cs="Arial"/>
          <w:color w:val="000000"/>
          <w:bdr w:val="none" w:color="auto" w:sz="0" w:space="0" w:frame="1"/>
          <w:shd w:val="clear" w:color="auto" w:fill="FFFFFF"/>
          <w:lang w:eastAsia="es-ES_tradnl"/>
        </w:rPr>
      </w:pPr>
      <w:r w:rsidRPr="00C24A08">
        <w:rPr>
          <w:rFonts w:ascii="Century Gothic" w:hAnsi="Century Gothic" w:eastAsia="Times New Roman" w:cs="Arial"/>
          <w:color w:val="000000"/>
          <w:bdr w:val="none" w:color="auto" w:sz="0" w:space="0" w:frame="1"/>
          <w:shd w:val="clear" w:color="auto" w:fill="FFFFFF"/>
          <w:lang w:val="es-ES" w:eastAsia="es-ES_tradnl"/>
        </w:rPr>
        <w:t>Así las cosas, es claro que el ordenamiento jurídico vigente permite la liquidación unilateral, bilateral, incluso judicial, una vez vencido el plazo establecido por el artículo 11 de la Ley 1150 de 2007. En otras palabras, la liquidación final de los contratos estatales tiene un ámbito temporal que empieza con la terminación del contrato y comprende el período contractual pactado por las partes o supletivo legal –de 4 meses– para la liquidación bilateral, más el período legal para la liquidación unilateral –de 2 meses–, más el plazo</w:t>
      </w:r>
      <w:r w:rsidRPr="00C24A08" w:rsidR="00FF3414">
        <w:rPr>
          <w:rFonts w:ascii="Century Gothic" w:hAnsi="Century Gothic" w:eastAsia="Times New Roman" w:cs="Arial"/>
          <w:color w:val="000000"/>
          <w:bdr w:val="none" w:color="auto" w:sz="0" w:space="0" w:frame="1"/>
          <w:shd w:val="clear" w:color="auto" w:fill="FFFFFF"/>
          <w:lang w:val="es-ES" w:eastAsia="es-ES_tradnl"/>
        </w:rPr>
        <w:t xml:space="preserve"> </w:t>
      </w:r>
      <w:r w:rsidRPr="00C24A08">
        <w:rPr>
          <w:rFonts w:ascii="Century Gothic" w:hAnsi="Century Gothic" w:eastAsia="Times New Roman" w:cs="Arial"/>
          <w:color w:val="000000"/>
          <w:bdr w:val="none" w:color="auto" w:sz="0" w:space="0" w:frame="1"/>
          <w:shd w:val="clear" w:color="auto" w:fill="FFFFFF"/>
          <w:lang w:val="es-ES" w:eastAsia="es-ES_tradnl"/>
        </w:rPr>
        <w:t>de dos años para hacerlo de mutuo acuerdo o unilateralmente, sin perjuicio de que se solicite la liquidación judicial.</w:t>
      </w:r>
      <w:r w:rsidRPr="00C24A08">
        <w:rPr>
          <w:rFonts w:ascii="Century Gothic" w:hAnsi="Century Gothic" w:eastAsia="Times New Roman" w:cs="Arial"/>
          <w:color w:val="000000"/>
          <w:bdr w:val="none" w:color="auto" w:sz="0" w:space="0" w:frame="1"/>
          <w:shd w:val="clear" w:color="auto" w:fill="FFFFFF"/>
          <w:lang w:eastAsia="es-ES_tradnl"/>
        </w:rPr>
        <w:t> </w:t>
      </w:r>
    </w:p>
    <w:p w:rsidRPr="00C24A08" w:rsidR="00DA5D42" w:rsidP="00FF3414" w:rsidRDefault="00DA5D42" w14:paraId="6B944654" w14:textId="77777777">
      <w:pPr>
        <w:widowControl w:val="0"/>
        <w:shd w:val="clear" w:color="auto" w:fill="FFFFFF" w:themeFill="background1"/>
        <w:autoSpaceDE w:val="0"/>
        <w:autoSpaceDN w:val="0"/>
        <w:spacing w:line="276" w:lineRule="auto"/>
        <w:ind w:firstLine="705"/>
        <w:jc w:val="both"/>
        <w:rPr>
          <w:rFonts w:ascii="Century Gothic" w:hAnsi="Century Gothic" w:eastAsia="Times New Roman" w:cs="Arial"/>
          <w:szCs w:val="24"/>
          <w:lang w:val="es-ES_tradnl" w:eastAsia="es-ES_tradnl"/>
        </w:rPr>
      </w:pPr>
      <w:r w:rsidRPr="00C24A08">
        <w:rPr>
          <w:rFonts w:ascii="Century Gothic" w:hAnsi="Century Gothic" w:eastAsia="Times New Roman" w:cs="Arial"/>
          <w:szCs w:val="24"/>
          <w:lang w:val="es-ES_tradnl" w:eastAsia="es-ES_tradnl"/>
        </w:rPr>
        <w:t>Por tanto, si se trata de un contrato en el cual no existe pacto sobre el término para la liquidación bilateral, el término supletivo aplicaría, y se podría liquidar el contrato dentro de los 4 meses siguientes a la terminación del contrato, de manera bilateral, dentro de los 2 meses siguientes a ellos de manera unilateral por la entidad, más un plazo de 2 años para la liquidación unilateral, bilateral o judicial: para un total de 2 años y 6 meses. Estos términos pueden verse modificados si las partes acuerdan un plazo mayor o menor para realizar la liquidación de mutuo acuerdo, con lo cual dejaría de estar incluido el término supletivo de la Ley 1150 de 2007</w:t>
      </w:r>
    </w:p>
    <w:bookmarkEnd w:id="11"/>
    <w:p w:rsidRPr="00C24A08" w:rsidR="00296F67" w:rsidP="00296F67" w:rsidRDefault="00296F67" w14:paraId="5869EDD3" w14:textId="77777777">
      <w:pPr>
        <w:shd w:val="clear" w:color="auto" w:fill="FFFFFF" w:themeFill="background1"/>
        <w:tabs>
          <w:tab w:val="left" w:pos="0"/>
        </w:tabs>
        <w:spacing w:after="0"/>
        <w:jc w:val="both"/>
        <w:rPr>
          <w:rFonts w:ascii="Century Gothic" w:hAnsi="Century Gothic" w:eastAsia="Calibri" w:cs="Arial"/>
          <w:b/>
          <w:color w:val="000000" w:themeColor="text1"/>
          <w:lang w:val="es-ES_tradnl"/>
        </w:rPr>
      </w:pPr>
      <w:r w:rsidRPr="00C24A08">
        <w:rPr>
          <w:rFonts w:ascii="Century Gothic" w:hAnsi="Century Gothic" w:eastAsia="Calibri" w:cs="Arial"/>
          <w:b/>
          <w:color w:val="000000" w:themeColor="text1"/>
          <w:lang w:val="es-ES_tradnl"/>
        </w:rPr>
        <w:t>3. Respuesta</w:t>
      </w:r>
    </w:p>
    <w:p w:rsidRPr="00C24A08" w:rsidR="00296F67" w:rsidP="00296F67" w:rsidRDefault="00296F67" w14:paraId="72D59563" w14:textId="77777777">
      <w:pPr>
        <w:shd w:val="clear" w:color="auto" w:fill="FFFFFF" w:themeFill="background1"/>
        <w:spacing w:after="0" w:line="276" w:lineRule="auto"/>
        <w:jc w:val="both"/>
        <w:rPr>
          <w:rFonts w:ascii="Century Gothic" w:hAnsi="Century Gothic" w:cs="Arial"/>
          <w:color w:val="000000" w:themeColor="text1"/>
        </w:rPr>
      </w:pPr>
    </w:p>
    <w:p w:rsidRPr="00C24A08" w:rsidR="00534E79" w:rsidP="00534E79" w:rsidRDefault="00534E79" w14:paraId="5DAEEF56" w14:textId="04074B9D">
      <w:pPr>
        <w:shd w:val="clear" w:color="auto" w:fill="FFFFFF" w:themeFill="background1"/>
        <w:spacing w:after="120" w:line="240" w:lineRule="auto"/>
        <w:ind w:left="709" w:right="709"/>
        <w:jc w:val="both"/>
        <w:rPr>
          <w:rFonts w:ascii="Century Gothic" w:hAnsi="Century Gothic" w:cs="Arial"/>
          <w:color w:val="000000" w:themeColor="text1"/>
          <w:sz w:val="21"/>
          <w:szCs w:val="21"/>
          <w:lang w:val="es-ES_tradnl"/>
        </w:rPr>
      </w:pPr>
      <w:r w:rsidRPr="00C24A08">
        <w:rPr>
          <w:rFonts w:ascii="Century Gothic" w:hAnsi="Century Gothic" w:cs="Arial"/>
          <w:color w:val="000000" w:themeColor="text1"/>
          <w:sz w:val="21"/>
          <w:szCs w:val="21"/>
          <w:lang w:val="es-ES_tradnl"/>
        </w:rPr>
        <w:t>“• ¿Qué es convenio solidario, cual es el régimen aplicable y qué entidades lo pueden suscribir?” (Sic)</w:t>
      </w:r>
    </w:p>
    <w:p w:rsidRPr="00C24A08" w:rsidR="00F65A69" w:rsidP="00F65A69" w:rsidRDefault="00181083" w14:paraId="4CCE5B39" w14:textId="6F4B7610">
      <w:pPr>
        <w:shd w:val="clear" w:color="auto" w:fill="FFFFFF" w:themeFill="background1"/>
        <w:spacing w:before="120" w:line="276" w:lineRule="auto"/>
        <w:jc w:val="both"/>
        <w:rPr>
          <w:rFonts w:ascii="Century Gothic" w:hAnsi="Century Gothic" w:eastAsia="Calibri" w:cs="Arial"/>
          <w:color w:val="000000" w:themeColor="text1"/>
          <w:lang w:val="es-ES"/>
        </w:rPr>
      </w:pPr>
      <w:r w:rsidRPr="00C24A08">
        <w:rPr>
          <w:rFonts w:ascii="Century Gothic" w:hAnsi="Century Gothic" w:eastAsia="Calibri" w:cs="Arial"/>
          <w:color w:val="000000" w:themeColor="text1"/>
          <w:lang w:val="es-ES"/>
        </w:rPr>
        <w:t>De conformidad con lo dispuesto en el parágrafo tercero del artículo 3 de la Ley 136 de 1994, los convenios solidarios se definen como “</w:t>
      </w:r>
      <w:r w:rsidRPr="00C24A08">
        <w:rPr>
          <w:rFonts w:ascii="Century Gothic" w:hAnsi="Century Gothic" w:eastAsia="Calibri" w:cs="Arial"/>
          <w:i/>
          <w:color w:val="000000" w:themeColor="text1"/>
          <w:lang w:val="es-ES"/>
        </w:rPr>
        <w:t>la complementación de esfuerzos institucionales, comunitarios, económicos y sociales para la construcción de obras y la satisfacción de necesidades y aspiraciones de las comunidades</w:t>
      </w:r>
      <w:r w:rsidRPr="00C24A08" w:rsidR="00754280">
        <w:rPr>
          <w:rFonts w:ascii="Century Gothic" w:hAnsi="Century Gothic" w:eastAsia="Calibri" w:cs="Arial"/>
          <w:i/>
          <w:color w:val="000000" w:themeColor="text1"/>
          <w:lang w:val="es-ES"/>
        </w:rPr>
        <w:t>”.</w:t>
      </w:r>
      <w:r w:rsidRPr="00C24A08" w:rsidR="00754280">
        <w:rPr>
          <w:rFonts w:ascii="Century Gothic" w:hAnsi="Century Gothic" w:eastAsia="Calibri" w:cs="Arial"/>
          <w:color w:val="000000" w:themeColor="text1"/>
          <w:lang w:val="es-ES"/>
        </w:rPr>
        <w:t xml:space="preserve"> De acuerdo con dicha definición</w:t>
      </w:r>
      <w:r w:rsidRPr="00C24A08" w:rsidR="002B19EB">
        <w:rPr>
          <w:rFonts w:ascii="Century Gothic" w:hAnsi="Century Gothic" w:eastAsia="Calibri" w:cs="Arial"/>
          <w:color w:val="000000" w:themeColor="text1"/>
          <w:lang w:val="es-ES"/>
        </w:rPr>
        <w:t xml:space="preserve"> y lo expresado en los apartes 2.1. y 2.2. de este concepto, </w:t>
      </w:r>
      <w:r w:rsidRPr="00C24A08" w:rsidR="00670B3A">
        <w:rPr>
          <w:rFonts w:ascii="Century Gothic" w:hAnsi="Century Gothic" w:cs="Arial"/>
          <w:color w:val="000000" w:themeColor="text1"/>
          <w:lang w:eastAsia="es-MX"/>
        </w:rPr>
        <w:t>los convenios solidarios podrán ser suscritos para diferentes objetos</w:t>
      </w:r>
      <w:r w:rsidRPr="00C24A08" w:rsidR="00AD7F20">
        <w:rPr>
          <w:rFonts w:ascii="Century Gothic" w:hAnsi="Century Gothic" w:cs="Arial"/>
          <w:color w:val="000000" w:themeColor="text1"/>
          <w:lang w:eastAsia="es-MX"/>
        </w:rPr>
        <w:t xml:space="preserve"> y es posible evidenciar tres regímenes jurídicos para su suscripción.</w:t>
      </w:r>
    </w:p>
    <w:p w:rsidRPr="00C24A08" w:rsidR="0030046F" w:rsidP="00F65A69" w:rsidRDefault="0030046F" w14:paraId="29FC8E68" w14:textId="079BC611">
      <w:pPr>
        <w:shd w:val="clear" w:color="auto" w:fill="FFFFFF" w:themeFill="background1"/>
        <w:spacing w:after="120" w:line="276" w:lineRule="auto"/>
        <w:ind w:firstLine="708"/>
        <w:jc w:val="both"/>
        <w:rPr>
          <w:rFonts w:ascii="Century Gothic" w:hAnsi="Century Gothic" w:cs="Arial"/>
          <w:color w:val="000000" w:themeColor="text1"/>
          <w:lang w:val="es-ES"/>
        </w:rPr>
      </w:pPr>
      <w:r w:rsidRPr="00C24A08">
        <w:rPr>
          <w:rFonts w:ascii="Century Gothic" w:hAnsi="Century Gothic" w:eastAsia="Calibri" w:cs="Arial"/>
          <w:color w:val="000000" w:themeColor="text1"/>
          <w:lang w:val="es-ES"/>
        </w:rPr>
        <w:t xml:space="preserve"> </w:t>
      </w:r>
      <w:r w:rsidRPr="00C24A08">
        <w:rPr>
          <w:rFonts w:ascii="Century Gothic" w:hAnsi="Century Gothic" w:cs="Arial"/>
          <w:color w:val="000000" w:themeColor="text1"/>
          <w:lang w:val="es-ES"/>
        </w:rPr>
        <w:t xml:space="preserve">El </w:t>
      </w:r>
      <w:r w:rsidRPr="00C24A08">
        <w:rPr>
          <w:rFonts w:ascii="Century Gothic" w:hAnsi="Century Gothic" w:cs="Arial"/>
          <w:i/>
          <w:color w:val="000000" w:themeColor="text1"/>
          <w:lang w:val="es-ES"/>
        </w:rPr>
        <w:t>primer régimen</w:t>
      </w:r>
      <w:r w:rsidRPr="00C24A08">
        <w:rPr>
          <w:rFonts w:ascii="Century Gothic" w:hAnsi="Century Gothic" w:cs="Arial"/>
          <w:color w:val="000000" w:themeColor="text1"/>
          <w:lang w:val="es-ES"/>
        </w:rPr>
        <w:t xml:space="preserve"> encuentra su fundamento en el parágrafo cuarto del artículo 3 de la Ley 136 de 1994</w:t>
      </w:r>
      <w:r w:rsidRPr="00C24A08" w:rsidR="00056552">
        <w:rPr>
          <w:rFonts w:ascii="Century Gothic" w:hAnsi="Century Gothic" w:cs="Arial"/>
          <w:color w:val="000000" w:themeColor="text1"/>
          <w:lang w:val="es-ES"/>
        </w:rPr>
        <w:t>, el artículo 95 de la Ley 2166 de 2021</w:t>
      </w:r>
      <w:r w:rsidRPr="00C24A08" w:rsidR="009F0298">
        <w:rPr>
          <w:rFonts w:ascii="Century Gothic" w:hAnsi="Century Gothic" w:cs="Arial"/>
          <w:color w:val="000000" w:themeColor="text1"/>
          <w:lang w:val="es-ES"/>
        </w:rPr>
        <w:t xml:space="preserve"> y el </w:t>
      </w:r>
      <w:r w:rsidRPr="00C24A08" w:rsidR="006B05B9">
        <w:rPr>
          <w:rFonts w:ascii="Century Gothic" w:hAnsi="Century Gothic" w:cs="Arial"/>
          <w:color w:val="000000" w:themeColor="text1"/>
          <w:lang w:val="es-ES"/>
        </w:rPr>
        <w:t>artículo 15 del Decreto 142 de 2023 que adicionó el artículo 2.2.15.1.</w:t>
      </w:r>
      <w:r w:rsidRPr="00C24A08" w:rsidR="007960D4">
        <w:rPr>
          <w:rFonts w:ascii="Century Gothic" w:hAnsi="Century Gothic" w:cs="Arial"/>
          <w:color w:val="000000" w:themeColor="text1"/>
          <w:lang w:val="es-ES"/>
        </w:rPr>
        <w:t>2</w:t>
      </w:r>
      <w:r w:rsidRPr="00C24A08" w:rsidR="006B05B9">
        <w:rPr>
          <w:rFonts w:ascii="Century Gothic" w:hAnsi="Century Gothic" w:cs="Arial"/>
          <w:color w:val="000000" w:themeColor="text1"/>
          <w:lang w:val="es-ES"/>
        </w:rPr>
        <w:t xml:space="preserve">. del Decreto 1’82 de 2015, </w:t>
      </w:r>
      <w:r w:rsidRPr="00C24A08">
        <w:rPr>
          <w:rFonts w:ascii="Century Gothic" w:hAnsi="Century Gothic" w:cs="Arial"/>
          <w:color w:val="000000" w:themeColor="text1"/>
          <w:lang w:val="es-ES"/>
        </w:rPr>
        <w:t xml:space="preserve">Como se indicó, este determina una </w:t>
      </w:r>
      <w:proofErr w:type="spellStart"/>
      <w:r w:rsidRPr="00C24A08">
        <w:rPr>
          <w:rFonts w:ascii="Century Gothic" w:hAnsi="Century Gothic" w:cs="Arial"/>
          <w:color w:val="000000" w:themeColor="text1"/>
          <w:lang w:val="es-ES"/>
        </w:rPr>
        <w:t>sub-regla</w:t>
      </w:r>
      <w:proofErr w:type="spellEnd"/>
      <w:r w:rsidRPr="00C24A08">
        <w:rPr>
          <w:rFonts w:ascii="Century Gothic" w:hAnsi="Century Gothic" w:cs="Arial"/>
          <w:color w:val="000000" w:themeColor="text1"/>
          <w:lang w:val="es-ES"/>
        </w:rPr>
        <w:t xml:space="preserve"> de contratación prevalente por su especificidad. Para la aplicabilidad de este régimen es necesario que concurran los siguientes requisitos: i) que las partes intervinientes sean, por un lado, ent</w:t>
      </w:r>
      <w:r w:rsidRPr="00C24A08" w:rsidR="005A6E37">
        <w:rPr>
          <w:rFonts w:ascii="Century Gothic" w:hAnsi="Century Gothic" w:cs="Arial"/>
          <w:color w:val="000000" w:themeColor="text1"/>
          <w:lang w:val="es-ES"/>
        </w:rPr>
        <w:t xml:space="preserve">idades de orden nacional, </w:t>
      </w:r>
      <w:r w:rsidRPr="00C24A08">
        <w:rPr>
          <w:rFonts w:ascii="Century Gothic" w:hAnsi="Century Gothic" w:cs="Arial"/>
          <w:color w:val="000000" w:themeColor="text1"/>
          <w:lang w:val="es-ES"/>
        </w:rPr>
        <w:t>departamental</w:t>
      </w:r>
      <w:r w:rsidRPr="00C24A08" w:rsidR="005A6E37">
        <w:rPr>
          <w:rFonts w:ascii="Century Gothic" w:hAnsi="Century Gothic" w:cs="Arial"/>
          <w:color w:val="000000" w:themeColor="text1"/>
          <w:lang w:val="es-ES"/>
        </w:rPr>
        <w:t>, distrital</w:t>
      </w:r>
      <w:r w:rsidRPr="00C24A08">
        <w:rPr>
          <w:rFonts w:ascii="Century Gothic" w:hAnsi="Century Gothic" w:cs="Arial"/>
          <w:color w:val="000000" w:themeColor="text1"/>
          <w:lang w:val="es-ES"/>
        </w:rPr>
        <w:t xml:space="preserve"> o municipal y, por otro, </w:t>
      </w:r>
      <w:r w:rsidRPr="00C24A08" w:rsidR="00D42B2D">
        <w:rPr>
          <w:rFonts w:ascii="Century Gothic" w:hAnsi="Century Gothic" w:cs="Arial"/>
          <w:color w:val="000000" w:themeColor="text1"/>
          <w:lang w:val="es-ES"/>
        </w:rPr>
        <w:t>Organismos de Acción Comunal</w:t>
      </w:r>
      <w:r w:rsidRPr="00C24A08">
        <w:rPr>
          <w:rFonts w:ascii="Century Gothic" w:hAnsi="Century Gothic" w:cs="Arial"/>
          <w:color w:val="000000" w:themeColor="text1"/>
          <w:lang w:val="es-ES"/>
        </w:rPr>
        <w:t xml:space="preserve">; </w:t>
      </w:r>
      <w:proofErr w:type="spellStart"/>
      <w:r w:rsidRPr="00C24A08">
        <w:rPr>
          <w:rFonts w:ascii="Century Gothic" w:hAnsi="Century Gothic" w:cs="Arial"/>
          <w:color w:val="000000" w:themeColor="text1"/>
          <w:lang w:val="es-ES"/>
        </w:rPr>
        <w:t>ii</w:t>
      </w:r>
      <w:proofErr w:type="spellEnd"/>
      <w:r w:rsidRPr="00C24A08">
        <w:rPr>
          <w:rFonts w:ascii="Century Gothic" w:hAnsi="Century Gothic" w:cs="Arial"/>
          <w:color w:val="000000" w:themeColor="text1"/>
          <w:lang w:val="es-ES"/>
        </w:rPr>
        <w:t xml:space="preserve">) que el objeto contractual consista </w:t>
      </w:r>
      <w:r w:rsidRPr="00C24A08" w:rsidR="00D42B2D">
        <w:rPr>
          <w:rFonts w:ascii="Century Gothic" w:hAnsi="Century Gothic" w:cs="Arial"/>
          <w:color w:val="000000" w:themeColor="text1"/>
          <w:lang w:val="es-ES"/>
        </w:rPr>
        <w:t xml:space="preserve">únicamente </w:t>
      </w:r>
      <w:r w:rsidRPr="00C24A08">
        <w:rPr>
          <w:rFonts w:ascii="Century Gothic" w:hAnsi="Century Gothic" w:cs="Arial"/>
          <w:color w:val="000000" w:themeColor="text1"/>
          <w:lang w:val="es-ES"/>
        </w:rPr>
        <w:t xml:space="preserve">en la ejecución de obras; y, </w:t>
      </w:r>
      <w:proofErr w:type="spellStart"/>
      <w:r w:rsidRPr="00C24A08">
        <w:rPr>
          <w:rFonts w:ascii="Century Gothic" w:hAnsi="Century Gothic" w:cs="Arial"/>
          <w:color w:val="000000" w:themeColor="text1"/>
          <w:lang w:val="es-ES"/>
        </w:rPr>
        <w:t>iii</w:t>
      </w:r>
      <w:proofErr w:type="spellEnd"/>
      <w:r w:rsidRPr="00C24A08">
        <w:rPr>
          <w:rFonts w:ascii="Century Gothic" w:hAnsi="Century Gothic" w:cs="Arial"/>
          <w:color w:val="000000" w:themeColor="text1"/>
          <w:lang w:val="es-ES"/>
        </w:rPr>
        <w:t>) que el contrato no supere la m</w:t>
      </w:r>
      <w:r w:rsidRPr="00C24A08" w:rsidR="00D42B2D">
        <w:rPr>
          <w:rFonts w:ascii="Century Gothic" w:hAnsi="Century Gothic" w:cs="Arial"/>
          <w:color w:val="000000" w:themeColor="text1"/>
          <w:lang w:val="es-ES"/>
        </w:rPr>
        <w:t>enor</w:t>
      </w:r>
      <w:r w:rsidRPr="00C24A08">
        <w:rPr>
          <w:rFonts w:ascii="Century Gothic" w:hAnsi="Century Gothic" w:cs="Arial"/>
          <w:color w:val="000000" w:themeColor="text1"/>
          <w:lang w:val="es-ES"/>
        </w:rPr>
        <w:t xml:space="preserve"> cuantía. De concurrir las anteriores circunstancias, la norma autoriza la contratación directa entre </w:t>
      </w:r>
      <w:r w:rsidRPr="00C24A08" w:rsidR="007C6DBC">
        <w:rPr>
          <w:rFonts w:ascii="Century Gothic" w:hAnsi="Century Gothic" w:cs="Arial"/>
          <w:color w:val="000000" w:themeColor="text1"/>
          <w:lang w:val="es-ES"/>
        </w:rPr>
        <w:t>dichas entidades</w:t>
      </w:r>
      <w:r w:rsidRPr="00C24A08">
        <w:rPr>
          <w:rFonts w:ascii="Century Gothic" w:hAnsi="Century Gothic" w:cs="Arial"/>
          <w:color w:val="000000" w:themeColor="text1"/>
          <w:lang w:val="es-ES"/>
        </w:rPr>
        <w:t xml:space="preserve"> y </w:t>
      </w:r>
      <w:r w:rsidRPr="00C24A08" w:rsidR="007C6DBC">
        <w:rPr>
          <w:rFonts w:ascii="Century Gothic" w:hAnsi="Century Gothic" w:cs="Arial"/>
          <w:color w:val="000000" w:themeColor="text1"/>
          <w:lang w:val="es-ES"/>
        </w:rPr>
        <w:t>el</w:t>
      </w:r>
      <w:r w:rsidRPr="00C24A08">
        <w:rPr>
          <w:rFonts w:ascii="Century Gothic" w:hAnsi="Century Gothic" w:cs="Arial"/>
          <w:color w:val="000000" w:themeColor="text1"/>
          <w:lang w:val="es-ES"/>
        </w:rPr>
        <w:t xml:space="preserve"> respectiv</w:t>
      </w:r>
      <w:r w:rsidRPr="00C24A08" w:rsidR="007C6DBC">
        <w:rPr>
          <w:rFonts w:ascii="Century Gothic" w:hAnsi="Century Gothic" w:cs="Arial"/>
          <w:color w:val="000000" w:themeColor="text1"/>
          <w:lang w:val="es-ES"/>
        </w:rPr>
        <w:t>o</w:t>
      </w:r>
      <w:r w:rsidRPr="00C24A08">
        <w:rPr>
          <w:rFonts w:ascii="Century Gothic" w:hAnsi="Century Gothic" w:cs="Arial"/>
          <w:color w:val="000000" w:themeColor="text1"/>
          <w:lang w:val="es-ES"/>
        </w:rPr>
        <w:t xml:space="preserve"> </w:t>
      </w:r>
      <w:r w:rsidRPr="00C24A08" w:rsidR="007C6DBC">
        <w:rPr>
          <w:rFonts w:ascii="Century Gothic" w:hAnsi="Century Gothic" w:cs="Arial"/>
          <w:color w:val="000000" w:themeColor="text1"/>
          <w:lang w:val="es-ES"/>
        </w:rPr>
        <w:t>Organismo de Acción Comunal</w:t>
      </w:r>
      <w:r w:rsidRPr="00C24A08" w:rsidR="007705C9">
        <w:rPr>
          <w:rFonts w:ascii="Century Gothic" w:hAnsi="Century Gothic" w:cs="Arial"/>
          <w:color w:val="000000" w:themeColor="text1"/>
          <w:lang w:val="es-ES"/>
        </w:rPr>
        <w:t>,</w:t>
      </w:r>
      <w:r w:rsidRPr="00C24A08">
        <w:rPr>
          <w:rFonts w:ascii="Century Gothic" w:hAnsi="Century Gothic" w:cs="Arial"/>
          <w:color w:val="000000" w:themeColor="text1"/>
          <w:lang w:val="es-ES"/>
        </w:rPr>
        <w:t xml:space="preserve"> previamente legalizada y reconocida ante los organismos competentes. En todo caso, esta contratación debe tomar como personal para la ejecución de la obra a los habitantes de la comunidad. </w:t>
      </w:r>
    </w:p>
    <w:p w:rsidRPr="00C24A08" w:rsidR="0030046F" w:rsidP="0030046F" w:rsidRDefault="0030046F" w14:paraId="58EFE28D" w14:textId="77777777">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 xml:space="preserve">Un </w:t>
      </w:r>
      <w:r w:rsidRPr="00C24A08">
        <w:rPr>
          <w:rFonts w:ascii="Century Gothic" w:hAnsi="Century Gothic" w:cs="Arial"/>
          <w:i/>
          <w:color w:val="000000" w:themeColor="text1"/>
          <w:lang w:val="es-ES"/>
        </w:rPr>
        <w:t>segundo</w:t>
      </w:r>
      <w:r w:rsidRPr="00C24A08">
        <w:rPr>
          <w:rFonts w:ascii="Century Gothic" w:hAnsi="Century Gothic" w:cs="Arial"/>
          <w:color w:val="000000" w:themeColor="text1"/>
          <w:lang w:val="es-ES"/>
        </w:rPr>
        <w:t xml:space="preserve"> </w:t>
      </w:r>
      <w:r w:rsidRPr="00C24A08">
        <w:rPr>
          <w:rFonts w:ascii="Century Gothic" w:hAnsi="Century Gothic" w:cs="Arial"/>
          <w:i/>
          <w:color w:val="000000" w:themeColor="text1"/>
          <w:lang w:val="es-ES"/>
        </w:rPr>
        <w:t>régimen</w:t>
      </w:r>
      <w:r w:rsidRPr="00C24A08">
        <w:rPr>
          <w:rFonts w:ascii="Century Gothic" w:hAnsi="Century Gothic" w:cs="Arial"/>
          <w:color w:val="000000" w:themeColor="text1"/>
          <w:lang w:val="es-ES"/>
        </w:rPr>
        <w:t xml:space="preserve">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 3 de la Ley 136 de 1994, puede manifestarse a través de convenios solidarios.  </w:t>
      </w:r>
    </w:p>
    <w:p w:rsidRPr="00C24A08" w:rsidR="0030046F" w:rsidP="0030046F" w:rsidRDefault="0030046F" w14:paraId="05D332F6" w14:textId="5C9DBD87">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w:t>
      </w:r>
      <w:proofErr w:type="spellStart"/>
      <w:r w:rsidRPr="00C24A08">
        <w:rPr>
          <w:rFonts w:ascii="Century Gothic" w:hAnsi="Century Gothic" w:cs="Arial"/>
          <w:color w:val="000000" w:themeColor="text1"/>
          <w:lang w:val="es-ES"/>
        </w:rPr>
        <w:t>ii</w:t>
      </w:r>
      <w:proofErr w:type="spellEnd"/>
      <w:r w:rsidRPr="00C24A08">
        <w:rPr>
          <w:rFonts w:ascii="Century Gothic" w:hAnsi="Century Gothic" w:cs="Arial"/>
          <w:color w:val="000000" w:themeColor="text1"/>
          <w:lang w:val="es-ES"/>
        </w:rPr>
        <w:t xml:space="preserve">) que el objeto del contrato esté dirigido al impulso de programas y actividades de interés público acordes con el plan de desarrollo aplicable; </w:t>
      </w:r>
      <w:proofErr w:type="spellStart"/>
      <w:r w:rsidRPr="00C24A08">
        <w:rPr>
          <w:rFonts w:ascii="Century Gothic" w:hAnsi="Century Gothic" w:cs="Arial"/>
          <w:color w:val="000000" w:themeColor="text1"/>
          <w:lang w:val="es-ES"/>
        </w:rPr>
        <w:t>iii</w:t>
      </w:r>
      <w:proofErr w:type="spellEnd"/>
      <w:r w:rsidRPr="00C24A08">
        <w:rPr>
          <w:rFonts w:ascii="Century Gothic" w:hAnsi="Century Gothic" w:cs="Arial"/>
          <w:color w:val="000000" w:themeColor="text1"/>
          <w:lang w:val="es-ES"/>
        </w:rPr>
        <w:t xml:space="preserve">) que el contrato, no refleje relaciones conmutativas que impliquen contraprestaciones para la entidad del Estado; </w:t>
      </w:r>
      <w:proofErr w:type="spellStart"/>
      <w:r w:rsidRPr="00C24A08">
        <w:rPr>
          <w:rFonts w:ascii="Century Gothic" w:hAnsi="Century Gothic" w:cs="Arial"/>
          <w:color w:val="000000" w:themeColor="text1"/>
          <w:lang w:val="es-ES"/>
        </w:rPr>
        <w:t>iv</w:t>
      </w:r>
      <w:proofErr w:type="spellEnd"/>
      <w:r w:rsidRPr="00C24A08">
        <w:rPr>
          <w:rFonts w:ascii="Century Gothic" w:hAnsi="Century Gothic" w:cs="Arial"/>
          <w:color w:val="000000" w:themeColor="text1"/>
          <w:lang w:val="es-ES"/>
        </w:rPr>
        <w:t>) que la entidad del Estado no imparta instrucciones precisas para la ejecución del objeto convenido</w:t>
      </w:r>
      <w:r w:rsidRPr="00C24A08" w:rsidR="00484FB3">
        <w:rPr>
          <w:rFonts w:ascii="Century Gothic" w:hAnsi="Century Gothic" w:cs="Arial"/>
          <w:color w:val="000000" w:themeColor="text1"/>
          <w:lang w:val="es-ES"/>
        </w:rPr>
        <w:t xml:space="preserve">; y, </w:t>
      </w:r>
      <w:r w:rsidRPr="00C24A08" w:rsidR="00D610AA">
        <w:rPr>
          <w:rFonts w:ascii="Century Gothic" w:hAnsi="Century Gothic" w:cs="Arial"/>
          <w:color w:val="000000" w:themeColor="text1"/>
          <w:lang w:val="es-ES"/>
        </w:rPr>
        <w:t>v) en virtud del literal f) del artículo 16 de la Ley 2166 de 2021, su cuantía no puede ser superior a la menor cuantía.</w:t>
      </w:r>
    </w:p>
    <w:p w:rsidRPr="00C24A08" w:rsidR="0030046F" w:rsidP="0030046F" w:rsidRDefault="0030046F" w14:paraId="1256C4E3" w14:textId="77777777">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EGCAP, con base en las remisiones efectuadas en los artículos séptimo y octavo del citado Decreto. </w:t>
      </w:r>
    </w:p>
    <w:p w:rsidRPr="00C24A08" w:rsidR="00AB108B" w:rsidP="00AB108B" w:rsidRDefault="0030046F" w14:paraId="4F349D69" w14:textId="694FAF8A">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i/>
          <w:color w:val="000000" w:themeColor="text1"/>
          <w:lang w:val="es-ES"/>
        </w:rPr>
        <w:t>Por último</w:t>
      </w:r>
      <w:r w:rsidRPr="00C24A08">
        <w:rPr>
          <w:rFonts w:ascii="Century Gothic" w:hAnsi="Century Gothic" w:cs="Arial"/>
          <w:color w:val="000000" w:themeColor="text1"/>
          <w:lang w:val="es-ES"/>
        </w:rPr>
        <w:t>, en armonía con la modificación realizada por la Ley 1955 de 2019</w:t>
      </w:r>
      <w:r w:rsidRPr="00C24A08" w:rsidR="00FE012B">
        <w:rPr>
          <w:rFonts w:ascii="Century Gothic" w:hAnsi="Century Gothic" w:cs="Arial"/>
          <w:color w:val="000000" w:themeColor="text1"/>
          <w:lang w:val="es-ES"/>
        </w:rPr>
        <w:t xml:space="preserve"> y la Ley 2200 de 2022</w:t>
      </w:r>
      <w:r w:rsidRPr="00C24A08">
        <w:rPr>
          <w:rFonts w:ascii="Century Gothic" w:hAnsi="Century Gothic" w:cs="Arial"/>
          <w:color w:val="000000" w:themeColor="text1"/>
          <w:lang w:val="es-ES"/>
        </w:rPr>
        <w:t xml:space="preserve">, se presenta un </w:t>
      </w:r>
      <w:r w:rsidRPr="00C24A08">
        <w:rPr>
          <w:rFonts w:ascii="Century Gothic" w:hAnsi="Century Gothic" w:cs="Arial"/>
          <w:i/>
          <w:color w:val="000000" w:themeColor="text1"/>
          <w:lang w:val="es-ES"/>
        </w:rPr>
        <w:t>tercer régimen</w:t>
      </w:r>
      <w:r w:rsidRPr="00C24A08">
        <w:rPr>
          <w:rFonts w:ascii="Century Gothic" w:hAnsi="Century Gothic" w:cs="Arial"/>
          <w:color w:val="000000" w:themeColor="text1"/>
          <w:lang w:val="es-ES"/>
        </w:rPr>
        <w:t>, que encuentra su fundamento en los parágrafos tercero y quinto del artículo tercero de la Ley 136 de 1994</w:t>
      </w:r>
      <w:r w:rsidRPr="00C24A08" w:rsidR="00CC1C7C">
        <w:rPr>
          <w:rFonts w:ascii="Century Gothic" w:hAnsi="Century Gothic" w:cs="Arial"/>
          <w:color w:val="000000" w:themeColor="text1"/>
          <w:lang w:val="es-ES"/>
        </w:rPr>
        <w:t xml:space="preserve">, que </w:t>
      </w:r>
      <w:r w:rsidRPr="00C24A08">
        <w:rPr>
          <w:rFonts w:ascii="Century Gothic" w:hAnsi="Century Gothic" w:cs="Arial"/>
          <w:color w:val="000000" w:themeColor="text1"/>
          <w:lang w:val="es-ES"/>
        </w:rPr>
        <w:t xml:space="preserve">deben interpretarse armónicamente con lo dispuesto en el artículo 141 de la precitada Ley y </w:t>
      </w:r>
      <w:r w:rsidRPr="00C24A08" w:rsidR="00CC1C7C">
        <w:rPr>
          <w:rFonts w:ascii="Century Gothic" w:hAnsi="Century Gothic" w:cs="Arial"/>
          <w:color w:val="000000" w:themeColor="text1"/>
          <w:lang w:val="es-ES"/>
        </w:rPr>
        <w:t>el artículo 63 de la Ley 21</w:t>
      </w:r>
      <w:r w:rsidRPr="00C24A08" w:rsidR="00465683">
        <w:rPr>
          <w:rFonts w:ascii="Century Gothic" w:hAnsi="Century Gothic" w:cs="Arial"/>
          <w:color w:val="000000" w:themeColor="text1"/>
          <w:lang w:val="es-ES"/>
        </w:rPr>
        <w:t xml:space="preserve">66 de 2021. </w:t>
      </w:r>
      <w:r w:rsidRPr="00C24A08" w:rsidR="00CC1C7C">
        <w:rPr>
          <w:rFonts w:ascii="Century Gothic" w:hAnsi="Century Gothic" w:cs="Arial"/>
          <w:color w:val="000000" w:themeColor="text1"/>
          <w:lang w:val="es-ES"/>
        </w:rPr>
        <w:t>En virtud de tales disposiciones normativas, l</w:t>
      </w:r>
      <w:r w:rsidRPr="00C24A08" w:rsidR="00465683">
        <w:rPr>
          <w:rFonts w:ascii="Century Gothic" w:hAnsi="Century Gothic" w:cs="Arial"/>
          <w:color w:val="000000" w:themeColor="text1"/>
          <w:lang w:val="es-ES"/>
        </w:rPr>
        <w:t>os</w:t>
      </w:r>
      <w:r w:rsidRPr="00C24A08" w:rsidR="00CC1C7C">
        <w:rPr>
          <w:rFonts w:ascii="Century Gothic" w:hAnsi="Century Gothic" w:cs="Arial"/>
          <w:color w:val="000000" w:themeColor="text1"/>
          <w:lang w:val="es-ES"/>
        </w:rPr>
        <w:t xml:space="preserve"> </w:t>
      </w:r>
      <w:r w:rsidRPr="00C24A08" w:rsidR="00465683">
        <w:rPr>
          <w:rFonts w:ascii="Century Gothic" w:hAnsi="Century Gothic" w:cs="Arial"/>
          <w:color w:val="000000" w:themeColor="text1"/>
          <w:lang w:val="es-ES"/>
        </w:rPr>
        <w:t>O</w:t>
      </w:r>
      <w:r w:rsidRPr="00C24A08" w:rsidR="00CC1C7C">
        <w:rPr>
          <w:rFonts w:ascii="Century Gothic" w:hAnsi="Century Gothic" w:cs="Arial"/>
          <w:color w:val="000000" w:themeColor="text1"/>
          <w:lang w:val="es-ES"/>
        </w:rPr>
        <w:t>rgani</w:t>
      </w:r>
      <w:r w:rsidRPr="00C24A08" w:rsidR="00465683">
        <w:rPr>
          <w:rFonts w:ascii="Century Gothic" w:hAnsi="Century Gothic" w:cs="Arial"/>
          <w:color w:val="000000" w:themeColor="text1"/>
          <w:lang w:val="es-ES"/>
        </w:rPr>
        <w:t>smos de Acción Comunal</w:t>
      </w:r>
      <w:r w:rsidRPr="00C24A08" w:rsidR="00CC1C7C">
        <w:rPr>
          <w:rFonts w:ascii="Century Gothic" w:hAnsi="Century Gothic" w:cs="Arial"/>
          <w:color w:val="000000" w:themeColor="text1"/>
          <w:lang w:val="es-ES"/>
        </w:rPr>
        <w:t xml:space="preserve"> cuentan con la posibilidad de vincularse al desarrollo y mejoramiento municipal </w:t>
      </w:r>
      <w:r w:rsidRPr="00C24A08" w:rsidR="009F49D6">
        <w:rPr>
          <w:rFonts w:ascii="Century Gothic" w:hAnsi="Century Gothic" w:cs="Arial"/>
          <w:color w:val="000000" w:themeColor="text1"/>
          <w:lang w:val="es-ES"/>
        </w:rPr>
        <w:t xml:space="preserve">y departamental, </w:t>
      </w:r>
      <w:r w:rsidRPr="00C24A08" w:rsidR="00CC1C7C">
        <w:rPr>
          <w:rFonts w:ascii="Century Gothic" w:hAnsi="Century Gothic" w:cs="Arial"/>
          <w:color w:val="000000" w:themeColor="text1"/>
          <w:lang w:val="es-ES"/>
        </w:rPr>
        <w:t>mediante la participación en el ejercicio de las funciones</w:t>
      </w:r>
      <w:r w:rsidRPr="00C24A08" w:rsidR="009F49D6">
        <w:rPr>
          <w:rFonts w:ascii="Century Gothic" w:hAnsi="Century Gothic" w:cs="Arial"/>
          <w:color w:val="000000" w:themeColor="text1"/>
          <w:lang w:val="es-ES"/>
        </w:rPr>
        <w:t xml:space="preserve"> </w:t>
      </w:r>
      <w:r w:rsidRPr="00C24A08" w:rsidR="00CC1C7C">
        <w:rPr>
          <w:rFonts w:ascii="Century Gothic" w:hAnsi="Century Gothic" w:cs="Arial"/>
          <w:color w:val="000000" w:themeColor="text1"/>
          <w:lang w:val="es-ES"/>
        </w:rPr>
        <w:t>o la ejecución de obras</w:t>
      </w:r>
      <w:r w:rsidRPr="00C24A08" w:rsidR="005D02F1">
        <w:rPr>
          <w:rFonts w:ascii="Century Gothic" w:hAnsi="Century Gothic" w:cs="Arial"/>
          <w:color w:val="000000" w:themeColor="text1"/>
          <w:lang w:val="es-ES"/>
        </w:rPr>
        <w:t xml:space="preserve">. </w:t>
      </w:r>
      <w:r w:rsidRPr="00C24A08" w:rsidR="00CC1C7C">
        <w:rPr>
          <w:rFonts w:ascii="Century Gothic" w:hAnsi="Century Gothic" w:cs="Arial"/>
          <w:color w:val="000000" w:themeColor="text1"/>
          <w:lang w:val="es-ES"/>
        </w:rPr>
        <w:t xml:space="preserve">Para </w:t>
      </w:r>
      <w:r w:rsidRPr="00C24A08" w:rsidR="005D02F1">
        <w:rPr>
          <w:rFonts w:ascii="Century Gothic" w:hAnsi="Century Gothic" w:cs="Arial"/>
          <w:color w:val="000000" w:themeColor="text1"/>
          <w:lang w:val="es-ES"/>
        </w:rPr>
        <w:t xml:space="preserve">el caso de </w:t>
      </w:r>
      <w:r w:rsidRPr="00C24A08" w:rsidR="00CC1C7C">
        <w:rPr>
          <w:rFonts w:ascii="Century Gothic" w:hAnsi="Century Gothic" w:cs="Arial"/>
          <w:color w:val="000000" w:themeColor="text1"/>
          <w:lang w:val="es-ES"/>
        </w:rPr>
        <w:t>la vinculación en el desarrollo municipal,</w:t>
      </w:r>
      <w:r w:rsidRPr="00C24A08" w:rsidR="005D02F1">
        <w:rPr>
          <w:rFonts w:ascii="Century Gothic" w:hAnsi="Century Gothic" w:cs="Arial"/>
          <w:color w:val="000000" w:themeColor="text1"/>
          <w:lang w:val="es-ES"/>
        </w:rPr>
        <w:t xml:space="preserve"> la norma también</w:t>
      </w:r>
      <w:r w:rsidRPr="00C24A08" w:rsidR="00AB108B">
        <w:rPr>
          <w:rFonts w:ascii="Century Gothic" w:hAnsi="Century Gothic" w:cs="Arial"/>
          <w:color w:val="000000" w:themeColor="text1"/>
          <w:lang w:val="es-ES"/>
        </w:rPr>
        <w:t xml:space="preserve"> contempl</w:t>
      </w:r>
      <w:r w:rsidRPr="00C24A08" w:rsidR="00E356E9">
        <w:rPr>
          <w:rFonts w:ascii="Century Gothic" w:hAnsi="Century Gothic" w:cs="Arial"/>
          <w:color w:val="000000" w:themeColor="text1"/>
          <w:lang w:val="es-ES"/>
        </w:rPr>
        <w:t>ó</w:t>
      </w:r>
      <w:r w:rsidRPr="00C24A08" w:rsidR="00AB108B">
        <w:rPr>
          <w:rFonts w:ascii="Century Gothic" w:hAnsi="Century Gothic" w:cs="Arial"/>
          <w:color w:val="000000" w:themeColor="text1"/>
          <w:lang w:val="es-ES"/>
        </w:rPr>
        <w:t xml:space="preserve"> la</w:t>
      </w:r>
      <w:r w:rsidRPr="00C24A08" w:rsidR="005D02F1">
        <w:rPr>
          <w:rFonts w:ascii="Century Gothic" w:hAnsi="Century Gothic" w:cs="Arial"/>
          <w:color w:val="000000" w:themeColor="text1"/>
          <w:lang w:val="es-ES"/>
        </w:rPr>
        <w:t xml:space="preserve"> prestación de servicios</w:t>
      </w:r>
      <w:r w:rsidRPr="00C24A08" w:rsidR="00CC1C7C">
        <w:rPr>
          <w:rFonts w:ascii="Century Gothic" w:hAnsi="Century Gothic" w:cs="Arial"/>
          <w:color w:val="000000" w:themeColor="text1"/>
          <w:lang w:val="es-ES"/>
        </w:rPr>
        <w:t xml:space="preserve"> </w:t>
      </w:r>
      <w:r w:rsidRPr="00C24A08" w:rsidR="00AB108B">
        <w:rPr>
          <w:rFonts w:ascii="Century Gothic" w:hAnsi="Century Gothic" w:cs="Arial"/>
          <w:color w:val="000000" w:themeColor="text1"/>
          <w:lang w:val="es-ES"/>
        </w:rPr>
        <w:t>públicos, sin embargo, hay que tener en cuenta que para que estos Organismos de Acción Comunal puedan intervenir en la prestación de servicios públicos requiere de autorización expresa de los Concejos Municipales y Asambleas Departamentales en virtud de lo consagrado en el artículo 22 del Decreto 19 de 1958.</w:t>
      </w:r>
    </w:p>
    <w:p w:rsidRPr="00C24A08" w:rsidR="00CC1C7C" w:rsidP="00CC1C7C" w:rsidRDefault="00E356E9" w14:paraId="4F056CBA" w14:textId="6F68A34C">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L</w:t>
      </w:r>
      <w:r w:rsidRPr="00C24A08" w:rsidR="00CC1C7C">
        <w:rPr>
          <w:rFonts w:ascii="Century Gothic" w:hAnsi="Century Gothic" w:cs="Arial"/>
          <w:color w:val="000000" w:themeColor="text1"/>
          <w:lang w:val="es-ES"/>
        </w:rPr>
        <w:t>as normas previamente citadas disponen que se aplicarán los artículos 375 a 378 del Decreto 1333 de 1986 así como el EGCAP. Frente a est</w:t>
      </w:r>
      <w:r w:rsidRPr="00C24A08" w:rsidR="00AE7F56">
        <w:rPr>
          <w:rFonts w:ascii="Century Gothic" w:hAnsi="Century Gothic" w:cs="Arial"/>
          <w:color w:val="000000" w:themeColor="text1"/>
          <w:lang w:val="es-ES"/>
        </w:rPr>
        <w:t>e</w:t>
      </w:r>
      <w:r w:rsidRPr="00C24A08" w:rsidR="00CC1C7C">
        <w:rPr>
          <w:rFonts w:ascii="Century Gothic" w:hAnsi="Century Gothic" w:cs="Arial"/>
          <w:color w:val="000000" w:themeColor="text1"/>
          <w:lang w:val="es-ES"/>
        </w:rPr>
        <w:t xml:space="preserve"> régimen de contratación la Agencia ha indi</w:t>
      </w:r>
      <w:r w:rsidRPr="00C24A08" w:rsidR="00AE7F56">
        <w:rPr>
          <w:rFonts w:ascii="Century Gothic" w:hAnsi="Century Gothic" w:cs="Arial"/>
          <w:color w:val="000000" w:themeColor="text1"/>
          <w:lang w:val="es-ES"/>
        </w:rPr>
        <w:t xml:space="preserve">cado </w:t>
      </w:r>
      <w:r w:rsidRPr="00C24A08" w:rsidR="00CC1C7C">
        <w:rPr>
          <w:rFonts w:ascii="Century Gothic" w:hAnsi="Century Gothic" w:cs="Arial"/>
          <w:color w:val="000000" w:themeColor="text1"/>
          <w:lang w:val="es-ES"/>
        </w:rPr>
        <w:t xml:space="preserve">que aquel resulta aplicable a todos los casos no reglamentados a través de normas específicas en los que: i) se vinculen entidades del orden </w:t>
      </w:r>
      <w:r w:rsidRPr="00C24A08" w:rsidR="003F2469">
        <w:rPr>
          <w:rFonts w:ascii="Century Gothic" w:hAnsi="Century Gothic" w:cs="Arial"/>
          <w:color w:val="000000" w:themeColor="text1"/>
          <w:lang w:val="es-ES"/>
        </w:rPr>
        <w:t xml:space="preserve">departamental, </w:t>
      </w:r>
      <w:r w:rsidRPr="00C24A08" w:rsidR="00CC1C7C">
        <w:rPr>
          <w:rFonts w:ascii="Century Gothic" w:hAnsi="Century Gothic" w:cs="Arial"/>
          <w:color w:val="000000" w:themeColor="text1"/>
          <w:lang w:val="es-ES"/>
        </w:rPr>
        <w:t xml:space="preserve">municipal o distrital y </w:t>
      </w:r>
      <w:r w:rsidRPr="00C24A08" w:rsidR="003F2469">
        <w:rPr>
          <w:rFonts w:ascii="Century Gothic" w:hAnsi="Century Gothic" w:cs="Arial"/>
          <w:color w:val="000000" w:themeColor="text1"/>
          <w:lang w:val="es-ES"/>
        </w:rPr>
        <w:t>Organismos de Acción Comunal</w:t>
      </w:r>
      <w:r w:rsidRPr="00C24A08" w:rsidR="00CC1C7C">
        <w:rPr>
          <w:rFonts w:ascii="Century Gothic" w:hAnsi="Century Gothic" w:cs="Arial"/>
          <w:color w:val="000000" w:themeColor="text1"/>
          <w:lang w:val="es-ES"/>
        </w:rPr>
        <w:t xml:space="preserve">; </w:t>
      </w:r>
      <w:proofErr w:type="spellStart"/>
      <w:r w:rsidRPr="00C24A08" w:rsidR="00CC1C7C">
        <w:rPr>
          <w:rFonts w:ascii="Century Gothic" w:hAnsi="Century Gothic" w:cs="Arial"/>
          <w:color w:val="000000" w:themeColor="text1"/>
          <w:lang w:val="es-ES"/>
        </w:rPr>
        <w:t>ii</w:t>
      </w:r>
      <w:proofErr w:type="spellEnd"/>
      <w:r w:rsidRPr="00C24A08" w:rsidR="00CC1C7C">
        <w:rPr>
          <w:rFonts w:ascii="Century Gothic" w:hAnsi="Century Gothic" w:cs="Arial"/>
          <w:color w:val="000000" w:themeColor="text1"/>
          <w:lang w:val="es-ES"/>
        </w:rPr>
        <w:t>) se cumpla con el objetivo planteado en el parágrafo tercero del artículo tercero de la Ley 136 de 1994</w:t>
      </w:r>
      <w:r w:rsidRPr="00C24A08" w:rsidR="00486554">
        <w:rPr>
          <w:rFonts w:ascii="Century Gothic" w:hAnsi="Century Gothic" w:cs="Arial"/>
          <w:color w:val="000000" w:themeColor="text1"/>
          <w:lang w:val="es-ES"/>
        </w:rPr>
        <w:t xml:space="preserve"> y el artículo 63 de la Ley 2166 de </w:t>
      </w:r>
      <w:r w:rsidRPr="00C24A08" w:rsidR="00C153F1">
        <w:rPr>
          <w:rFonts w:ascii="Century Gothic" w:hAnsi="Century Gothic" w:cs="Arial"/>
          <w:color w:val="000000" w:themeColor="text1"/>
          <w:lang w:val="es-ES"/>
        </w:rPr>
        <w:t>2021</w:t>
      </w:r>
      <w:r w:rsidRPr="00C24A08" w:rsidR="00CC1C7C">
        <w:rPr>
          <w:rFonts w:ascii="Century Gothic" w:hAnsi="Century Gothic" w:cs="Arial"/>
          <w:color w:val="000000" w:themeColor="text1"/>
          <w:lang w:val="es-ES"/>
        </w:rPr>
        <w:t xml:space="preserve">, en consonancia con el artículo 355 constitucional; y </w:t>
      </w:r>
      <w:proofErr w:type="spellStart"/>
      <w:r w:rsidRPr="00C24A08" w:rsidR="00CC1C7C">
        <w:rPr>
          <w:rFonts w:ascii="Century Gothic" w:hAnsi="Century Gothic" w:cs="Arial"/>
          <w:color w:val="000000" w:themeColor="text1"/>
          <w:lang w:val="es-ES"/>
        </w:rPr>
        <w:t>iii</w:t>
      </w:r>
      <w:proofErr w:type="spellEnd"/>
      <w:r w:rsidRPr="00C24A08" w:rsidR="00CC1C7C">
        <w:rPr>
          <w:rFonts w:ascii="Century Gothic" w:hAnsi="Century Gothic" w:cs="Arial"/>
          <w:color w:val="000000" w:themeColor="text1"/>
          <w:lang w:val="es-ES"/>
        </w:rPr>
        <w:t xml:space="preserve">) no exista otra forma especial de contratación. </w:t>
      </w:r>
    </w:p>
    <w:p w:rsidRPr="00C24A08" w:rsidR="0030046F" w:rsidP="0030046F" w:rsidRDefault="00C153F1" w14:paraId="1BE225D2" w14:textId="752AB4F3">
      <w:pPr>
        <w:widowControl w:val="0"/>
        <w:shd w:val="clear" w:color="auto" w:fill="FFFFFF" w:themeFill="background1"/>
        <w:tabs>
          <w:tab w:val="left" w:pos="822"/>
        </w:tabs>
        <w:autoSpaceDE w:val="0"/>
        <w:autoSpaceDN w:val="0"/>
        <w:spacing w:after="0" w:line="276" w:lineRule="auto"/>
        <w:jc w:val="both"/>
        <w:rPr>
          <w:rFonts w:ascii="Century Gothic" w:hAnsi="Century Gothic" w:cs="Arial"/>
          <w:color w:val="000000" w:themeColor="text1"/>
          <w:lang w:val="es-ES"/>
        </w:rPr>
      </w:pPr>
      <w:bookmarkStart w:name="_Hlk131064197" w:id="20"/>
      <w:r w:rsidRPr="00C24A08">
        <w:rPr>
          <w:rFonts w:ascii="Century Gothic" w:hAnsi="Century Gothic" w:cs="Arial"/>
          <w:color w:val="000000" w:themeColor="text1"/>
          <w:lang w:val="es-ES"/>
        </w:rPr>
        <w:tab/>
      </w:r>
      <w:r w:rsidRPr="00C24A08" w:rsidR="0030046F">
        <w:rPr>
          <w:rFonts w:ascii="Century Gothic" w:hAnsi="Century Gothic" w:cs="Arial"/>
          <w:color w:val="000000" w:themeColor="text1"/>
          <w:lang w:val="es-ES"/>
        </w:rPr>
        <w:t xml:space="preserve">Como se observa,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 Por otra parte, además de lo explicado en el apartado 2.3 sobre la contratación de los parágrafos tercero y quinto del artículo tercero de la Ley 136 de 1994, cada una de ellas precisa el procedimiento de selección aplicable, aclarando que este se rige por las normas de la contratación directa en el primer régimen y que, para efectos del segundo, el procedimiento será competitivo o no competitivo de acuerdo con los previsto en el artículo 4 del Decreto 092 de 2017. </w:t>
      </w:r>
    </w:p>
    <w:p w:rsidRPr="00C24A08" w:rsidR="00D7647B" w:rsidP="0030046F" w:rsidRDefault="00D7647B" w14:paraId="11D17C7E" w14:textId="77777777">
      <w:pPr>
        <w:widowControl w:val="0"/>
        <w:shd w:val="clear" w:color="auto" w:fill="FFFFFF" w:themeFill="background1"/>
        <w:tabs>
          <w:tab w:val="left" w:pos="822"/>
        </w:tabs>
        <w:autoSpaceDE w:val="0"/>
        <w:autoSpaceDN w:val="0"/>
        <w:spacing w:after="0" w:line="276" w:lineRule="auto"/>
        <w:jc w:val="both"/>
        <w:rPr>
          <w:rFonts w:ascii="Century Gothic" w:hAnsi="Century Gothic" w:cs="Arial"/>
          <w:color w:val="000000" w:themeColor="text1"/>
          <w:lang w:val="es-ES"/>
        </w:rPr>
      </w:pPr>
    </w:p>
    <w:bookmarkEnd w:id="20"/>
    <w:p w:rsidRPr="00C24A08" w:rsidR="00534E79" w:rsidP="00534E79" w:rsidRDefault="00B7006D" w14:paraId="1B2091CF" w14:textId="2CE45642">
      <w:pPr>
        <w:shd w:val="clear" w:color="auto" w:fill="FFFFFF" w:themeFill="background1"/>
        <w:spacing w:after="120" w:line="240" w:lineRule="auto"/>
        <w:ind w:left="709" w:right="709"/>
        <w:jc w:val="both"/>
        <w:rPr>
          <w:rFonts w:ascii="Century Gothic" w:hAnsi="Century Gothic" w:cs="Arial"/>
          <w:color w:val="000000" w:themeColor="text1"/>
          <w:sz w:val="21"/>
          <w:szCs w:val="21"/>
          <w:lang w:val="es-ES_tradnl"/>
        </w:rPr>
      </w:pPr>
      <w:r w:rsidRPr="00C24A08">
        <w:rPr>
          <w:rFonts w:ascii="Century Gothic" w:hAnsi="Century Gothic" w:cs="Arial"/>
          <w:color w:val="000000" w:themeColor="text1"/>
          <w:sz w:val="21"/>
          <w:szCs w:val="21"/>
          <w:lang w:val="es-ES_tradnl"/>
        </w:rPr>
        <w:t>“</w:t>
      </w:r>
      <w:r w:rsidRPr="00C24A08" w:rsidR="00534E79">
        <w:rPr>
          <w:rFonts w:ascii="Century Gothic" w:hAnsi="Century Gothic" w:cs="Arial"/>
          <w:color w:val="000000" w:themeColor="text1"/>
          <w:sz w:val="21"/>
          <w:szCs w:val="21"/>
          <w:lang w:val="es-ES_tradnl"/>
        </w:rPr>
        <w:t>• ¿Cuál es la documentación mínima requerida para la suscripción de un convenio solidario por parte de una Junta de Acción Comunal?</w:t>
      </w:r>
      <w:r w:rsidRPr="00C24A08" w:rsidR="009F3A0C">
        <w:rPr>
          <w:rFonts w:ascii="Century Gothic" w:hAnsi="Century Gothic" w:cs="Arial"/>
          <w:color w:val="000000" w:themeColor="text1"/>
          <w:sz w:val="21"/>
          <w:szCs w:val="21"/>
          <w:lang w:val="es-ES_tradnl"/>
        </w:rPr>
        <w:t xml:space="preserve"> </w:t>
      </w:r>
    </w:p>
    <w:p w:rsidRPr="00C24A08" w:rsidR="00534E79" w:rsidP="00534E79" w:rsidRDefault="00534E79" w14:paraId="4B866453" w14:textId="5DD35B12">
      <w:pPr>
        <w:shd w:val="clear" w:color="auto" w:fill="FFFFFF" w:themeFill="background1"/>
        <w:spacing w:after="120" w:line="240" w:lineRule="auto"/>
        <w:ind w:left="709" w:right="709"/>
        <w:jc w:val="both"/>
        <w:rPr>
          <w:rFonts w:ascii="Century Gothic" w:hAnsi="Century Gothic" w:cs="Arial"/>
          <w:color w:val="000000" w:themeColor="text1"/>
          <w:sz w:val="21"/>
          <w:szCs w:val="21"/>
          <w:lang w:val="es-ES_tradnl"/>
        </w:rPr>
      </w:pPr>
      <w:r w:rsidRPr="00C24A08">
        <w:rPr>
          <w:rFonts w:ascii="Century Gothic" w:hAnsi="Century Gothic" w:cs="Arial"/>
          <w:color w:val="000000" w:themeColor="text1"/>
          <w:sz w:val="21"/>
          <w:szCs w:val="21"/>
          <w:lang w:val="es-ES_tradnl"/>
        </w:rPr>
        <w:t>• En las JAC, ¿quiénes están habilitados para suscribir convenios solidarios con entidades del Gobierno Nacional?</w:t>
      </w:r>
      <w:r w:rsidRPr="00C24A08" w:rsidR="00B859F9">
        <w:rPr>
          <w:rFonts w:ascii="Century Gothic" w:hAnsi="Century Gothic" w:cs="Arial"/>
          <w:color w:val="000000" w:themeColor="text1"/>
          <w:sz w:val="21"/>
          <w:szCs w:val="21"/>
          <w:lang w:val="es-ES_tradnl"/>
        </w:rPr>
        <w:t>” (Sic)</w:t>
      </w:r>
    </w:p>
    <w:p w:rsidRPr="00C24A08" w:rsidR="009451A1" w:rsidP="00FD561A" w:rsidRDefault="0048667F" w14:paraId="00834D87" w14:textId="2C020B4F">
      <w:pPr>
        <w:shd w:val="clear" w:color="auto" w:fill="FFFFFF" w:themeFill="background1"/>
        <w:spacing w:after="120" w:line="276" w:lineRule="auto"/>
        <w:ind w:firstLine="708"/>
        <w:jc w:val="both"/>
        <w:textAlignment w:val="baseline"/>
        <w:rPr>
          <w:rFonts w:ascii="Century Gothic" w:hAnsi="Century Gothic" w:eastAsia="Calibri" w:cs="Arial"/>
          <w:color w:val="000000" w:themeColor="text1"/>
          <w:sz w:val="21"/>
          <w:szCs w:val="21"/>
          <w:lang w:val="es-ES_tradnl"/>
        </w:rPr>
      </w:pPr>
      <w:r w:rsidRPr="00C24A08">
        <w:rPr>
          <w:rFonts w:ascii="Century Gothic" w:hAnsi="Century Gothic" w:cs="Arial"/>
          <w:color w:val="000000" w:themeColor="text1"/>
          <w:lang w:val="es-ES" w:eastAsia="es-MX"/>
        </w:rPr>
        <w:t xml:space="preserve">Para la suscripción de convenios solidarios </w:t>
      </w:r>
      <w:r w:rsidRPr="00C24A08" w:rsidR="009451A1">
        <w:rPr>
          <w:rFonts w:ascii="Century Gothic" w:hAnsi="Century Gothic" w:cs="Arial"/>
          <w:lang w:eastAsia="es-MX"/>
        </w:rPr>
        <w:t xml:space="preserve">cada </w:t>
      </w:r>
      <w:r w:rsidRPr="00C24A08">
        <w:rPr>
          <w:rFonts w:ascii="Century Gothic" w:hAnsi="Century Gothic" w:cs="Arial"/>
          <w:lang w:eastAsia="es-MX"/>
        </w:rPr>
        <w:t>Organismo de Acción Comunal debe</w:t>
      </w:r>
      <w:r w:rsidRPr="00C24A08" w:rsidR="009451A1">
        <w:rPr>
          <w:rFonts w:ascii="Century Gothic" w:hAnsi="Century Gothic" w:cs="Arial"/>
          <w:lang w:eastAsia="es-MX"/>
        </w:rPr>
        <w:t xml:space="preserve"> acredit</w:t>
      </w:r>
      <w:r w:rsidRPr="00C24A08">
        <w:rPr>
          <w:rFonts w:ascii="Century Gothic" w:hAnsi="Century Gothic" w:cs="Arial"/>
          <w:lang w:eastAsia="es-MX"/>
        </w:rPr>
        <w:t>ar</w:t>
      </w:r>
      <w:r w:rsidRPr="00C24A08" w:rsidR="009451A1">
        <w:rPr>
          <w:rFonts w:ascii="Century Gothic" w:hAnsi="Century Gothic" w:cs="Arial"/>
          <w:lang w:eastAsia="es-MX"/>
        </w:rPr>
        <w:t xml:space="preserve"> su existencia y representación legal en los términos del artículo 78 de la Ley 2166 de 2021,</w:t>
      </w:r>
      <w:r w:rsidRPr="00C24A08" w:rsidR="00A617B7">
        <w:rPr>
          <w:rFonts w:ascii="Century Gothic" w:hAnsi="Century Gothic" w:cs="Arial"/>
          <w:lang w:eastAsia="es-MX"/>
        </w:rPr>
        <w:t xml:space="preserve"> quienes serán los habilitados para suscribir convenios solidarios con las entidades</w:t>
      </w:r>
      <w:r w:rsidRPr="00C24A08" w:rsidR="00A45A24">
        <w:rPr>
          <w:rFonts w:ascii="Century Gothic" w:hAnsi="Century Gothic" w:cs="Arial"/>
          <w:lang w:eastAsia="es-MX"/>
        </w:rPr>
        <w:t xml:space="preserve"> estatales. Por su parte,</w:t>
      </w:r>
      <w:r w:rsidRPr="00C24A08" w:rsidR="009451A1">
        <w:rPr>
          <w:rFonts w:ascii="Century Gothic" w:hAnsi="Century Gothic" w:cs="Arial"/>
          <w:lang w:eastAsia="es-MX"/>
        </w:rPr>
        <w:t xml:space="preserve"> </w:t>
      </w:r>
      <w:r w:rsidRPr="00C24A08" w:rsidR="009451A1">
        <w:rPr>
          <w:rFonts w:ascii="Century Gothic" w:hAnsi="Century Gothic" w:cs="Arial"/>
          <w:color w:val="000000" w:themeColor="text1"/>
          <w:lang w:val="es-MX" w:eastAsia="es-MX"/>
        </w:rPr>
        <w:t xml:space="preserve">teniendo en cuenta la naturaleza de las Juntas de Acción Comunal y la incidencia que en ellas tiene el principio de participación, es importante realzar que la territorialidad de la cual hace parte es el único lugar en el cual puede desarrollar sus actividades, pues sólo así se garantizaría una verdadera participación de la comunidad en la formulación, ejecución y administración de planes, programas y proyectos en su territorio, por lo que resultaría contrario al principio de participación que </w:t>
      </w:r>
      <w:r w:rsidRPr="00C24A08" w:rsidR="00732C25">
        <w:rPr>
          <w:rFonts w:ascii="Century Gothic" w:hAnsi="Century Gothic" w:cs="Arial"/>
          <w:color w:val="000000" w:themeColor="text1"/>
          <w:lang w:val="es-MX" w:eastAsia="es-MX"/>
        </w:rPr>
        <w:t xml:space="preserve">los Organismos de </w:t>
      </w:r>
      <w:r w:rsidRPr="00C24A08" w:rsidR="009451A1">
        <w:rPr>
          <w:rFonts w:ascii="Century Gothic" w:hAnsi="Century Gothic" w:cs="Arial"/>
          <w:color w:val="000000" w:themeColor="text1"/>
          <w:lang w:val="es-MX" w:eastAsia="es-MX"/>
        </w:rPr>
        <w:t xml:space="preserve">Acción Comunal pudieran ejecutar contratos en sitios donde no tienen representación participativa. </w:t>
      </w:r>
    </w:p>
    <w:p w:rsidRPr="00C24A08" w:rsidR="009451A1" w:rsidP="009451A1" w:rsidRDefault="009451A1" w14:paraId="4841E2F3" w14:textId="21A6F6E8">
      <w:pPr>
        <w:shd w:val="clear" w:color="auto" w:fill="FFFFFF" w:themeFill="background1"/>
        <w:spacing w:line="276" w:lineRule="auto"/>
        <w:ind w:firstLine="708"/>
        <w:jc w:val="both"/>
        <w:rPr>
          <w:rFonts w:ascii="Century Gothic" w:hAnsi="Century Gothic" w:cs="Arial"/>
          <w:color w:val="000000" w:themeColor="text1"/>
          <w:lang w:val="es-MX" w:eastAsia="es-MX"/>
        </w:rPr>
      </w:pPr>
      <w:r w:rsidRPr="00C24A08">
        <w:rPr>
          <w:rFonts w:ascii="Century Gothic" w:hAnsi="Century Gothic" w:cs="Arial"/>
          <w:color w:val="000000" w:themeColor="text1"/>
          <w:lang w:val="es-MX" w:eastAsia="es-MX"/>
        </w:rPr>
        <w:t xml:space="preserve">Asimismo, el artículo 9 </w:t>
      </w:r>
      <w:r w:rsidRPr="00C24A08" w:rsidR="00AA17D6">
        <w:rPr>
          <w:rFonts w:ascii="Century Gothic" w:hAnsi="Century Gothic" w:cs="Arial"/>
          <w:color w:val="000000" w:themeColor="text1"/>
          <w:lang w:val="es-MX" w:eastAsia="es-MX"/>
        </w:rPr>
        <w:t>de la Ley 2166 de 2021</w:t>
      </w:r>
      <w:r w:rsidRPr="00C24A08">
        <w:rPr>
          <w:rFonts w:ascii="Century Gothic" w:hAnsi="Century Gothic" w:cs="Arial"/>
          <w:color w:val="000000" w:themeColor="text1"/>
          <w:lang w:val="es-MX" w:eastAsia="es-MX"/>
        </w:rPr>
        <w:t xml:space="preserve"> dispuso que </w:t>
      </w:r>
      <w:r w:rsidRPr="00C24A08">
        <w:rPr>
          <w:rFonts w:ascii="Century Gothic" w:hAnsi="Century Gothic" w:cs="Arial"/>
          <w:i/>
          <w:color w:val="000000" w:themeColor="text1"/>
        </w:rPr>
        <w:t>“</w:t>
      </w:r>
      <w:r w:rsidRPr="00C24A08">
        <w:rPr>
          <w:rFonts w:ascii="Century Gothic" w:hAnsi="Century Gothic" w:cs="Arial"/>
          <w:i/>
          <w:color w:val="000000" w:themeColor="text1"/>
          <w:lang w:val="es-MX" w:eastAsia="es-MX"/>
        </w:rPr>
        <w:t>cada organismo de acción comunal desarrollará sus actividades dentro de un territorio delimitado</w:t>
      </w:r>
      <w:r w:rsidRPr="00C24A08">
        <w:rPr>
          <w:rFonts w:ascii="Century Gothic" w:hAnsi="Century Gothic" w:eastAsia="Calibri" w:cs="Arial"/>
          <w:i/>
          <w:color w:val="000000" w:themeColor="text1"/>
          <w:lang w:val="es-ES_tradnl"/>
        </w:rPr>
        <w:t>”,</w:t>
      </w:r>
      <w:r w:rsidRPr="00C24A08">
        <w:rPr>
          <w:rFonts w:ascii="Century Gothic" w:hAnsi="Century Gothic" w:eastAsia="Calibri" w:cs="Arial"/>
          <w:color w:val="000000" w:themeColor="text1"/>
          <w:lang w:val="es-ES_tradnl"/>
        </w:rPr>
        <w:t xml:space="preserve"> indicando las orientaciones para dicha limitación. Es así como en las capitales</w:t>
      </w:r>
      <w:r w:rsidRPr="00C24A08">
        <w:rPr>
          <w:rFonts w:ascii="Century Gothic" w:hAnsi="Century Gothic" w:cs="Arial"/>
          <w:color w:val="000000" w:themeColor="text1"/>
          <w:lang w:val="es-MX" w:eastAsia="es-MX"/>
        </w:rPr>
        <w:t xml:space="preserve"> de departamentos y en la ciudad de Bogotá, D. C., se podrá constituir una junta por cada barrio, conjunto residencial, sector o etapa del mismo,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w:t>
      </w:r>
    </w:p>
    <w:p w:rsidRPr="00C24A08" w:rsidR="009451A1" w:rsidP="009451A1" w:rsidRDefault="009451A1" w14:paraId="22AC52E1" w14:textId="77777777">
      <w:pPr>
        <w:shd w:val="clear" w:color="auto" w:fill="FFFFFF" w:themeFill="background1"/>
        <w:spacing w:before="120" w:line="276" w:lineRule="auto"/>
        <w:ind w:firstLine="708"/>
        <w:jc w:val="both"/>
        <w:rPr>
          <w:rFonts w:ascii="Century Gothic" w:hAnsi="Century Gothic" w:cs="Arial"/>
          <w:color w:val="000000" w:themeColor="text1"/>
          <w:lang w:val="es-MX" w:eastAsia="es-MX"/>
        </w:rPr>
      </w:pPr>
      <w:r w:rsidRPr="00C24A08">
        <w:rPr>
          <w:rFonts w:ascii="Century Gothic" w:hAnsi="Century Gothic" w:cs="Arial"/>
          <w:color w:val="000000" w:themeColor="text1"/>
          <w:lang w:val="es-MX" w:eastAsia="es-MX"/>
        </w:rPr>
        <w:t xml:space="preserve">Dicha norma indica que en cada caserío o vereda sólo podrá constituirse una junta de acción comunal, pero la autoridad competente podrá autorizar, mediante resolución motivada, la constitución de más de una junta si la respectiva extensión territorial lo aconsejare. </w:t>
      </w:r>
      <w:r w:rsidRPr="00C24A08">
        <w:rPr>
          <w:rFonts w:ascii="Century Gothic" w:hAnsi="Century Gothic" w:cs="Arial"/>
          <w:color w:val="000000" w:themeColor="text1"/>
          <w:lang w:eastAsia="es-MX"/>
        </w:rPr>
        <w:t xml:space="preserve">De otra parte, la Ley 2166 de 2021 trajo consigo también una regla para denominación social de estos Organismos de Acción Comunal, señalando en su artículo 8 que </w:t>
      </w:r>
      <w:r w:rsidRPr="00C24A08">
        <w:rPr>
          <w:rFonts w:ascii="Century Gothic" w:hAnsi="Century Gothic" w:cs="Arial"/>
          <w:color w:val="000000" w:themeColor="text1"/>
          <w:lang w:val="es-MX" w:eastAsia="es-MX"/>
        </w:rPr>
        <w:t>dichas organizaciones conformaran su nombre legal con el de su territorio seguido del nombre de la entidad territorial a la que pertenezca y en la cual desarrolle sus actividades.</w:t>
      </w:r>
    </w:p>
    <w:p w:rsidRPr="00C24A08" w:rsidR="009451A1" w:rsidP="009451A1" w:rsidRDefault="009451A1" w14:paraId="47F4556F" w14:textId="77777777">
      <w:pPr>
        <w:shd w:val="clear" w:color="auto" w:fill="FFFFFF" w:themeFill="background1"/>
        <w:spacing w:before="120" w:line="276" w:lineRule="auto"/>
        <w:ind w:firstLine="709"/>
        <w:jc w:val="both"/>
        <w:rPr>
          <w:rFonts w:ascii="Century Gothic" w:hAnsi="Century Gothic" w:cs="Arial"/>
          <w:lang w:eastAsia="es-MX"/>
        </w:rPr>
      </w:pPr>
      <w:r w:rsidRPr="00C24A08">
        <w:rPr>
          <w:rFonts w:ascii="Century Gothic" w:hAnsi="Century Gothic" w:cs="Arial"/>
          <w:lang w:eastAsia="es-MX"/>
        </w:rPr>
        <w:t>De lo anterior se concluye, que con base en el principio de participación, el objeto social de las Juntas de Acción Comunal está definido y limitado a la territorialidad a la cual pertenece y tiene jurisdicción, por lo tanto no podrá ejecutar actividades por fuera de esta, pues sólo así se garantizaría que el desarrollo de la comunidad, se dé a través de un proceso territorial que integren los esfuerzos de su población, organismos y el Estado, para mejorar la calidad de vida de las comunidades, fortaleciendo así la construcción de las mismas, a partir de los planes de desarrollo comunales y comunitarios construidos y concertados por los afiliados a los organismos comunales, en articulación con las autoridades de cada uno de sus territorios.</w:t>
      </w:r>
    </w:p>
    <w:p w:rsidRPr="00C24A08" w:rsidR="009451A1" w:rsidP="009451A1" w:rsidRDefault="009451A1" w14:paraId="037E590C" w14:textId="358F7186">
      <w:pPr>
        <w:shd w:val="clear" w:color="auto" w:fill="FFFFFF" w:themeFill="background1"/>
        <w:spacing w:before="120" w:line="276" w:lineRule="auto"/>
        <w:ind w:firstLine="709"/>
        <w:jc w:val="both"/>
        <w:rPr>
          <w:rFonts w:ascii="Century Gothic" w:hAnsi="Century Gothic" w:cs="Arial"/>
          <w:lang w:eastAsia="es-MX"/>
        </w:rPr>
      </w:pPr>
      <w:r w:rsidRPr="00C24A08">
        <w:rPr>
          <w:rFonts w:ascii="Century Gothic" w:hAnsi="Century Gothic" w:cs="Arial"/>
          <w:lang w:eastAsia="es-MX"/>
        </w:rPr>
        <w:t xml:space="preserve">Por lo demás, en lo que respecta a </w:t>
      </w:r>
      <w:r w:rsidRPr="00C24A08" w:rsidR="0084589B">
        <w:rPr>
          <w:rFonts w:ascii="Century Gothic" w:hAnsi="Century Gothic" w:cs="Arial"/>
          <w:lang w:eastAsia="es-MX"/>
        </w:rPr>
        <w:t>requisitos que deba acreditar el Organismos de Acción Comunal para la celebración de convenios solidarios, deberá tenerse en cuenta la acreditación de l</w:t>
      </w:r>
      <w:r w:rsidRPr="00C24A08">
        <w:rPr>
          <w:rFonts w:ascii="Century Gothic" w:hAnsi="Century Gothic" w:cs="Arial"/>
          <w:lang w:eastAsia="es-MX"/>
        </w:rPr>
        <w:t>a capacidad técnica del organismo De adoptar una forma contractual, como ocurre en los procedimientos adelantados a través del artículo 2 de la Ley 1150 de 2007, la sujeción del contratista a la entidad justifica requisitos estrictos para la validación de la experiencia, pues es este último quien se encargará de la ejecución de las obligaciones. No obstante, en los convenios autorizados por la Ley 136 de 1994 y sus normas complementarias, las partes actúan en un ámbito de colaboración, por lo cual –de acuerdo con las capacidades de cada extremo de la relación– ambas deben aunar sus esfuerzos para satisfacer la necesidad conjunta</w:t>
      </w:r>
      <w:r w:rsidRPr="00C24A08" w:rsidR="005D6619">
        <w:rPr>
          <w:rFonts w:ascii="Century Gothic" w:hAnsi="Century Gothic" w:cs="Arial"/>
          <w:lang w:eastAsia="es-MX"/>
        </w:rPr>
        <w:t>s y en ese sentido, las obligaciones asumidas por cada una de las partes pueden variar, acorde a cada caso en concreto, y en ese orden de ideas también los requisitos de idoneidad</w:t>
      </w:r>
      <w:r w:rsidRPr="00C24A08">
        <w:rPr>
          <w:rFonts w:ascii="Century Gothic" w:hAnsi="Century Gothic" w:cs="Arial"/>
          <w:lang w:eastAsia="es-MX"/>
        </w:rPr>
        <w:t xml:space="preserve">. </w:t>
      </w:r>
    </w:p>
    <w:p w:rsidRPr="00C24A08" w:rsidR="009451A1" w:rsidP="00D07D28" w:rsidRDefault="00D07D28" w14:paraId="0208F4DE" w14:textId="31480F84">
      <w:pPr>
        <w:shd w:val="clear" w:color="auto" w:fill="FFFFFF" w:themeFill="background1"/>
        <w:spacing w:before="120" w:after="0" w:line="276" w:lineRule="auto"/>
        <w:ind w:firstLine="708"/>
        <w:jc w:val="both"/>
        <w:rPr>
          <w:rFonts w:ascii="Century Gothic" w:hAnsi="Century Gothic" w:cs="Arial"/>
          <w:lang w:eastAsia="es-MX"/>
        </w:rPr>
      </w:pPr>
      <w:r w:rsidRPr="00C24A08">
        <w:rPr>
          <w:rFonts w:ascii="Century Gothic" w:hAnsi="Century Gothic" w:cs="Arial"/>
          <w:lang w:eastAsia="es-MX"/>
        </w:rPr>
        <w:t>En ese orden de ideas</w:t>
      </w:r>
      <w:r w:rsidRPr="00C24A08" w:rsidR="009451A1">
        <w:rPr>
          <w:rFonts w:ascii="Century Gothic" w:hAnsi="Century Gothic" w:cs="Arial"/>
          <w:lang w:eastAsia="es-MX"/>
        </w:rPr>
        <w:t xml:space="preserve">, la validación de la experiencia podría realizarse respecto a las capacidades propias de </w:t>
      </w:r>
      <w:r w:rsidRPr="00C24A08">
        <w:rPr>
          <w:rFonts w:ascii="Century Gothic" w:hAnsi="Century Gothic" w:cs="Arial"/>
          <w:lang w:eastAsia="es-MX"/>
        </w:rPr>
        <w:t>los Organismos de Acción Comunal</w:t>
      </w:r>
      <w:r w:rsidRPr="00C24A08" w:rsidR="009451A1">
        <w:rPr>
          <w:rFonts w:ascii="Century Gothic" w:hAnsi="Century Gothic" w:cs="Arial"/>
          <w:lang w:eastAsia="es-MX"/>
        </w:rPr>
        <w:t xml:space="preserve"> o de quienes los conforman, en aspectos como, por ejemplo, la ejecución exitosa de convenios solidarios anteriores o las acreditaciones del personal que los integran el cumplimiento de obligaciones como mano de obra calificada o no calificada</w:t>
      </w:r>
      <w:r w:rsidRPr="00C24A08">
        <w:rPr>
          <w:rFonts w:ascii="Century Gothic" w:hAnsi="Century Gothic" w:cs="Arial"/>
          <w:lang w:eastAsia="es-MX"/>
        </w:rPr>
        <w:t>, entre otros</w:t>
      </w:r>
      <w:r w:rsidRPr="00C24A08" w:rsidR="009451A1">
        <w:rPr>
          <w:rFonts w:ascii="Century Gothic" w:hAnsi="Century Gothic" w:cs="Arial"/>
          <w:lang w:eastAsia="es-MX"/>
        </w:rPr>
        <w:t>.  Sin embargo, dichos criterios de idoneidad los debe definir la Entidad Estatal teniendo en cuenta el</w:t>
      </w:r>
      <w:r w:rsidRPr="00C24A08" w:rsidR="005C173F">
        <w:rPr>
          <w:rFonts w:ascii="Century Gothic" w:hAnsi="Century Gothic" w:cs="Arial"/>
          <w:lang w:eastAsia="es-MX"/>
        </w:rPr>
        <w:t xml:space="preserve"> </w:t>
      </w:r>
      <w:r w:rsidRPr="00C24A08" w:rsidR="009451A1">
        <w:rPr>
          <w:rFonts w:ascii="Century Gothic" w:hAnsi="Century Gothic" w:cs="Arial"/>
          <w:lang w:eastAsia="es-MX"/>
        </w:rPr>
        <w:t>resultado</w:t>
      </w:r>
      <w:r w:rsidRPr="00C24A08" w:rsidR="005C173F">
        <w:rPr>
          <w:rFonts w:ascii="Century Gothic" w:hAnsi="Century Gothic" w:cs="Arial"/>
          <w:lang w:eastAsia="es-MX"/>
        </w:rPr>
        <w:t xml:space="preserve"> </w:t>
      </w:r>
      <w:r w:rsidRPr="00C24A08" w:rsidR="009451A1">
        <w:rPr>
          <w:rFonts w:ascii="Century Gothic" w:hAnsi="Century Gothic" w:cs="Arial"/>
          <w:lang w:eastAsia="es-MX"/>
        </w:rPr>
        <w:t>del</w:t>
      </w:r>
      <w:r w:rsidRPr="00C24A08" w:rsidR="005C173F">
        <w:rPr>
          <w:rFonts w:ascii="Century Gothic" w:hAnsi="Century Gothic" w:cs="Arial"/>
          <w:lang w:eastAsia="es-MX"/>
        </w:rPr>
        <w:t xml:space="preserve"> </w:t>
      </w:r>
      <w:r w:rsidRPr="00C24A08" w:rsidR="009451A1">
        <w:rPr>
          <w:rFonts w:ascii="Century Gothic" w:hAnsi="Century Gothic" w:cs="Arial"/>
          <w:lang w:eastAsia="es-MX"/>
        </w:rPr>
        <w:t>análisis</w:t>
      </w:r>
      <w:r w:rsidRPr="00C24A08" w:rsidR="005C173F">
        <w:rPr>
          <w:rFonts w:ascii="Century Gothic" w:hAnsi="Century Gothic" w:cs="Arial"/>
          <w:lang w:eastAsia="es-MX"/>
        </w:rPr>
        <w:t xml:space="preserve"> </w:t>
      </w:r>
      <w:r w:rsidRPr="00C24A08" w:rsidR="009451A1">
        <w:rPr>
          <w:rFonts w:ascii="Century Gothic" w:hAnsi="Century Gothic" w:cs="Arial"/>
          <w:lang w:eastAsia="es-MX"/>
        </w:rPr>
        <w:t>del sector y demás documentos previos.</w:t>
      </w:r>
    </w:p>
    <w:p w:rsidRPr="00C24A08" w:rsidR="009451A1" w:rsidP="009451A1" w:rsidRDefault="009451A1" w14:paraId="5DE6F64A" w14:textId="77777777">
      <w:pPr>
        <w:shd w:val="clear" w:color="auto" w:fill="FFFFFF" w:themeFill="background1"/>
        <w:spacing w:after="120" w:line="240" w:lineRule="auto"/>
        <w:ind w:right="709"/>
        <w:jc w:val="both"/>
        <w:rPr>
          <w:rFonts w:ascii="Century Gothic" w:hAnsi="Century Gothic" w:cs="Arial"/>
          <w:color w:val="000000" w:themeColor="text1"/>
          <w:sz w:val="21"/>
          <w:szCs w:val="21"/>
        </w:rPr>
      </w:pPr>
    </w:p>
    <w:p w:rsidRPr="00C24A08" w:rsidR="00534E79" w:rsidP="00534E79" w:rsidRDefault="00B7006D" w14:paraId="7DC3B1D8" w14:textId="0B95140E">
      <w:pPr>
        <w:shd w:val="clear" w:color="auto" w:fill="FFFFFF" w:themeFill="background1"/>
        <w:spacing w:after="120" w:line="240" w:lineRule="auto"/>
        <w:ind w:left="709" w:right="709"/>
        <w:jc w:val="both"/>
        <w:rPr>
          <w:rFonts w:ascii="Century Gothic" w:hAnsi="Century Gothic" w:cs="Arial"/>
          <w:color w:val="000000" w:themeColor="text1"/>
          <w:sz w:val="21"/>
          <w:szCs w:val="21"/>
          <w:lang w:val="es-ES_tradnl"/>
        </w:rPr>
      </w:pPr>
      <w:r w:rsidRPr="00C24A08">
        <w:rPr>
          <w:rFonts w:ascii="Century Gothic" w:hAnsi="Century Gothic" w:cs="Arial"/>
          <w:color w:val="000000" w:themeColor="text1"/>
          <w:sz w:val="21"/>
          <w:szCs w:val="21"/>
          <w:lang w:val="es-ES_tradnl"/>
        </w:rPr>
        <w:t>“</w:t>
      </w:r>
      <w:r w:rsidRPr="00C24A08" w:rsidR="00534E79">
        <w:rPr>
          <w:rFonts w:ascii="Century Gothic" w:hAnsi="Century Gothic" w:cs="Arial"/>
          <w:color w:val="000000" w:themeColor="text1"/>
          <w:sz w:val="21"/>
          <w:szCs w:val="21"/>
          <w:lang w:val="es-ES_tradnl"/>
        </w:rPr>
        <w:t>• ¿Cómo se determinan los montos de los convenios solidarios entre JAC y entidades del Gobierno Nacional</w:t>
      </w:r>
      <w:proofErr w:type="gramStart"/>
      <w:r w:rsidRPr="00C24A08" w:rsidR="00534E79">
        <w:rPr>
          <w:rFonts w:ascii="Century Gothic" w:hAnsi="Century Gothic" w:cs="Arial"/>
          <w:color w:val="000000" w:themeColor="text1"/>
          <w:sz w:val="21"/>
          <w:szCs w:val="21"/>
          <w:lang w:val="es-ES_tradnl"/>
        </w:rPr>
        <w:t>?</w:t>
      </w:r>
      <w:r w:rsidRPr="00C24A08" w:rsidR="00B859F9">
        <w:rPr>
          <w:rFonts w:ascii="Century Gothic" w:hAnsi="Century Gothic" w:cs="Arial"/>
          <w:color w:val="000000" w:themeColor="text1"/>
          <w:sz w:val="21"/>
          <w:szCs w:val="21"/>
          <w:lang w:val="es-ES_tradnl"/>
        </w:rPr>
        <w:t xml:space="preserve"> ”</w:t>
      </w:r>
      <w:proofErr w:type="gramEnd"/>
      <w:r w:rsidRPr="00C24A08" w:rsidR="00B859F9">
        <w:rPr>
          <w:rFonts w:ascii="Century Gothic" w:hAnsi="Century Gothic" w:cs="Arial"/>
          <w:color w:val="000000" w:themeColor="text1"/>
          <w:sz w:val="21"/>
          <w:szCs w:val="21"/>
          <w:lang w:val="es-ES_tradnl"/>
        </w:rPr>
        <w:t xml:space="preserve"> (Sic)</w:t>
      </w:r>
    </w:p>
    <w:p w:rsidRPr="00C24A08" w:rsidR="00B859F9" w:rsidP="00FD561A" w:rsidRDefault="00456453" w14:paraId="1F2A95D4" w14:textId="542DD8B8">
      <w:pPr>
        <w:shd w:val="clear" w:color="auto" w:fill="FFFFFF" w:themeFill="background1"/>
        <w:spacing w:after="120" w:line="276" w:lineRule="auto"/>
        <w:ind w:firstLine="708"/>
        <w:jc w:val="both"/>
        <w:rPr>
          <w:rFonts w:ascii="Century Gothic" w:hAnsi="Century Gothic" w:cs="Arial"/>
          <w:color w:val="000000" w:themeColor="text1"/>
          <w:sz w:val="21"/>
          <w:szCs w:val="21"/>
          <w:lang w:val="es-ES_tradnl"/>
        </w:rPr>
      </w:pPr>
      <w:r w:rsidRPr="00C24A08">
        <w:rPr>
          <w:rFonts w:ascii="Century Gothic" w:hAnsi="Century Gothic" w:eastAsia="Calibri" w:cs="Arial"/>
          <w:color w:val="000000" w:themeColor="text1"/>
          <w:lang w:val="es-ES_tradnl"/>
        </w:rPr>
        <w:t xml:space="preserve">El convenio solidario </w:t>
      </w:r>
      <w:r w:rsidRPr="00C24A08" w:rsidR="00A6404D">
        <w:rPr>
          <w:rFonts w:ascii="Century Gothic" w:hAnsi="Century Gothic" w:eastAsia="Calibri" w:cs="Arial"/>
          <w:color w:val="000000" w:themeColor="text1"/>
          <w:lang w:val="es-ES_tradnl"/>
        </w:rPr>
        <w:t xml:space="preserve">con Organismos de Acción Comunal </w:t>
      </w:r>
      <w:r w:rsidRPr="00C24A08">
        <w:rPr>
          <w:rFonts w:ascii="Century Gothic" w:hAnsi="Century Gothic" w:eastAsia="Calibri" w:cs="Arial"/>
          <w:color w:val="000000" w:themeColor="text1"/>
          <w:lang w:val="es-ES_tradnl"/>
        </w:rPr>
        <w:t>tiene un límite consistente en que no podrá exceder la menor cuantía de la entidad</w:t>
      </w:r>
      <w:r w:rsidRPr="00C24A08" w:rsidR="00EF3C47">
        <w:rPr>
          <w:rFonts w:ascii="Century Gothic" w:hAnsi="Century Gothic" w:eastAsia="Calibri" w:cs="Arial"/>
          <w:color w:val="000000" w:themeColor="text1"/>
          <w:lang w:val="es-ES_tradnl"/>
        </w:rPr>
        <w:t xml:space="preserve"> estatal que lo celebre</w:t>
      </w:r>
      <w:r w:rsidRPr="00C24A08">
        <w:rPr>
          <w:rFonts w:ascii="Century Gothic" w:hAnsi="Century Gothic" w:eastAsia="Calibri" w:cs="Arial"/>
          <w:color w:val="000000" w:themeColor="text1"/>
          <w:lang w:val="es-ES_tradnl"/>
        </w:rPr>
        <w:t>.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w:t>
      </w:r>
      <w:r w:rsidRPr="00C24A08" w:rsidR="00EF3C47">
        <w:rPr>
          <w:rFonts w:ascii="Century Gothic" w:hAnsi="Century Gothic" w:eastAsia="Calibri" w:cs="Arial"/>
          <w:color w:val="000000" w:themeColor="text1"/>
          <w:lang w:val="es-ES_tradnl"/>
        </w:rPr>
        <w:t>.</w:t>
      </w:r>
    </w:p>
    <w:p w:rsidRPr="00C24A08" w:rsidR="00534E79" w:rsidP="00534E79" w:rsidRDefault="00B7006D" w14:paraId="578AA8AC" w14:textId="251EE841">
      <w:pPr>
        <w:shd w:val="clear" w:color="auto" w:fill="FFFFFF" w:themeFill="background1"/>
        <w:spacing w:after="120" w:line="240" w:lineRule="auto"/>
        <w:ind w:left="709" w:right="709"/>
        <w:jc w:val="both"/>
        <w:rPr>
          <w:rFonts w:ascii="Century Gothic" w:hAnsi="Century Gothic" w:cs="Arial"/>
          <w:color w:val="000000" w:themeColor="text1"/>
          <w:sz w:val="21"/>
          <w:szCs w:val="21"/>
          <w:lang w:val="es-ES_tradnl"/>
        </w:rPr>
      </w:pPr>
      <w:r w:rsidRPr="00C24A08">
        <w:rPr>
          <w:rFonts w:ascii="Century Gothic" w:hAnsi="Century Gothic" w:cs="Arial"/>
          <w:color w:val="000000" w:themeColor="text1"/>
          <w:sz w:val="21"/>
          <w:szCs w:val="21"/>
          <w:lang w:val="es-ES_tradnl"/>
        </w:rPr>
        <w:t>“</w:t>
      </w:r>
      <w:r w:rsidRPr="00C24A08" w:rsidR="00534E79">
        <w:rPr>
          <w:rFonts w:ascii="Century Gothic" w:hAnsi="Century Gothic" w:cs="Arial"/>
          <w:color w:val="000000" w:themeColor="text1"/>
          <w:sz w:val="21"/>
          <w:szCs w:val="21"/>
          <w:lang w:val="es-ES_tradnl"/>
        </w:rPr>
        <w:t>• ¿Una vez suscrito un convenio solidario, es obligación de la JAC reportarlo en sistemas de información sobre contratación pública</w:t>
      </w:r>
      <w:proofErr w:type="gramStart"/>
      <w:r w:rsidRPr="00C24A08" w:rsidR="00534E79">
        <w:rPr>
          <w:rFonts w:ascii="Century Gothic" w:hAnsi="Century Gothic" w:cs="Arial"/>
          <w:color w:val="000000" w:themeColor="text1"/>
          <w:sz w:val="21"/>
          <w:szCs w:val="21"/>
          <w:lang w:val="es-ES_tradnl"/>
        </w:rPr>
        <w:t>?</w:t>
      </w:r>
      <w:r w:rsidRPr="00C24A08" w:rsidR="00B859F9">
        <w:rPr>
          <w:rFonts w:ascii="Century Gothic" w:hAnsi="Century Gothic" w:cs="Arial"/>
          <w:color w:val="000000" w:themeColor="text1"/>
          <w:sz w:val="21"/>
          <w:szCs w:val="21"/>
          <w:lang w:val="es-ES_tradnl"/>
        </w:rPr>
        <w:t xml:space="preserve"> ”</w:t>
      </w:r>
      <w:proofErr w:type="gramEnd"/>
      <w:r w:rsidRPr="00C24A08" w:rsidR="00B859F9">
        <w:rPr>
          <w:rFonts w:ascii="Century Gothic" w:hAnsi="Century Gothic" w:cs="Arial"/>
          <w:color w:val="000000" w:themeColor="text1"/>
          <w:sz w:val="21"/>
          <w:szCs w:val="21"/>
          <w:lang w:val="es-ES_tradnl"/>
        </w:rPr>
        <w:t xml:space="preserve"> (Sic)</w:t>
      </w:r>
    </w:p>
    <w:p w:rsidRPr="00C24A08" w:rsidR="00D97C6B" w:rsidP="00534E79" w:rsidRDefault="00D97C6B" w14:paraId="7395FAD9" w14:textId="77777777">
      <w:pPr>
        <w:shd w:val="clear" w:color="auto" w:fill="FFFFFF" w:themeFill="background1"/>
        <w:spacing w:after="120" w:line="240" w:lineRule="auto"/>
        <w:ind w:left="709" w:right="709"/>
        <w:jc w:val="both"/>
        <w:rPr>
          <w:rFonts w:ascii="Century Gothic" w:hAnsi="Century Gothic" w:cs="Arial"/>
          <w:color w:val="000000" w:themeColor="text1"/>
          <w:sz w:val="21"/>
          <w:szCs w:val="21"/>
          <w:lang w:val="es-ES_tradnl"/>
        </w:rPr>
      </w:pPr>
    </w:p>
    <w:p w:rsidRPr="00C24A08" w:rsidR="00D97C6B" w:rsidP="00FD561A" w:rsidRDefault="00D97C6B" w14:paraId="78C8D9D7" w14:textId="77777777">
      <w:pPr>
        <w:spacing w:before="120" w:after="0" w:line="276" w:lineRule="auto"/>
        <w:ind w:firstLine="708"/>
        <w:jc w:val="both"/>
        <w:rPr>
          <w:rFonts w:ascii="Century Gothic" w:hAnsi="Century Gothic" w:eastAsia="Calibri" w:cs="Arial"/>
          <w:color w:val="000000"/>
          <w:kern w:val="2"/>
          <w14:ligatures w14:val="standardContextual"/>
        </w:rPr>
      </w:pPr>
      <w:r w:rsidRPr="00C24A08">
        <w:rPr>
          <w:rFonts w:ascii="Century Gothic" w:hAnsi="Century Gothic" w:eastAsia="Calibri" w:cs="Arial"/>
          <w:color w:val="000000"/>
          <w:kern w:val="2"/>
          <w14:ligatures w14:val="standardContextual"/>
        </w:rPr>
        <w:t>Uno de los deberes definidos en la Ley 1712 de 2014, que deben acatar los sujetos obligados, es publicar la información contractual en el SECOP. En efecto, el literal e) del artículo 9 señala que los sujetos obligados deben publicar la información relativo a su contratación. Así 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información esta, que también debe estar en el SECOP, adicionalmente el  Decreto 1081 de 2015</w:t>
      </w:r>
      <w:r w:rsidRPr="00C24A08">
        <w:rPr>
          <w:rFonts w:ascii="Century Gothic" w:hAnsi="Century Gothic" w:eastAsia="Calibri" w:cs="Arial"/>
          <w:color w:val="000000"/>
          <w:kern w:val="2"/>
          <w:vertAlign w:val="superscript"/>
          <w:lang w:val="es-ES_tradnl"/>
          <w14:ligatures w14:val="standardContextual"/>
        </w:rPr>
        <w:footnoteReference w:id="48"/>
      </w:r>
      <w:r w:rsidRPr="00C24A08">
        <w:rPr>
          <w:rFonts w:ascii="Century Gothic" w:hAnsi="Century Gothic" w:eastAsia="Calibri" w:cs="Arial"/>
          <w:color w:val="000000"/>
          <w:kern w:val="2"/>
          <w14:ligatures w14:val="standardContextual"/>
        </w:rPr>
        <w:t xml:space="preserve"> reglamentó la materia estableciendo que la información contractual de los sujetos obligados que </w:t>
      </w:r>
      <w:r w:rsidRPr="00C24A08">
        <w:rPr>
          <w:rFonts w:ascii="Century Gothic" w:hAnsi="Century Gothic" w:eastAsia="Calibri" w:cs="Arial"/>
          <w:i/>
          <w:color w:val="000000"/>
          <w:kern w:val="2"/>
          <w14:ligatures w14:val="standardContextual"/>
        </w:rPr>
        <w:t xml:space="preserve">“contratan con cargo a recursos públicos”, </w:t>
      </w:r>
      <w:r w:rsidRPr="00C24A08">
        <w:rPr>
          <w:rFonts w:ascii="Century Gothic" w:hAnsi="Century Gothic" w:eastAsia="Calibri" w:cs="Arial"/>
          <w:color w:val="000000"/>
          <w:kern w:val="2"/>
          <w14:ligatures w14:val="standardContextual"/>
        </w:rPr>
        <w:t xml:space="preserve">debe hacerse en el Sistema Electrónico para la Contratación Pública – SECOP–. </w:t>
      </w:r>
    </w:p>
    <w:p w:rsidRPr="00C24A08" w:rsidR="00D97C6B" w:rsidP="00D97C6B" w:rsidRDefault="00D97C6B" w14:paraId="4C59F9D3" w14:textId="6171FE4E">
      <w:pPr>
        <w:spacing w:before="120" w:after="0" w:line="276" w:lineRule="auto"/>
        <w:jc w:val="both"/>
        <w:rPr>
          <w:rFonts w:ascii="Century Gothic" w:hAnsi="Century Gothic" w:eastAsia="Calibri" w:cs="Arial"/>
          <w:color w:val="000000"/>
          <w:kern w:val="2"/>
          <w14:ligatures w14:val="standardContextual"/>
        </w:rPr>
      </w:pPr>
      <w:r w:rsidRPr="00C24A08">
        <w:rPr>
          <w:rFonts w:ascii="Century Gothic" w:hAnsi="Century Gothic" w:eastAsia="Calibri" w:cs="Arial"/>
          <w:color w:val="000000"/>
          <w:kern w:val="2"/>
          <w14:ligatures w14:val="standardContextual"/>
        </w:rPr>
        <w:tab/>
      </w:r>
      <w:r w:rsidRPr="00C24A08">
        <w:rPr>
          <w:rFonts w:ascii="Century Gothic" w:hAnsi="Century Gothic" w:eastAsia="Calibri" w:cs="Arial"/>
          <w:color w:val="000000"/>
          <w:kern w:val="2"/>
          <w14:ligatures w14:val="standardContextual"/>
        </w:rPr>
        <w:t>Por lo tanto, se advierte que, en la celebración y ejecución de convenios solidarios, sin distinción de su régimen jurídico</w:t>
      </w:r>
      <w:r w:rsidRPr="00C24A08" w:rsidR="00261BB8">
        <w:rPr>
          <w:rFonts w:ascii="Century Gothic" w:hAnsi="Century Gothic" w:eastAsia="Calibri" w:cs="Arial"/>
          <w:color w:val="000000"/>
          <w:kern w:val="2"/>
          <w14:ligatures w14:val="standardContextual"/>
        </w:rPr>
        <w:t xml:space="preserve"> de celebración</w:t>
      </w:r>
      <w:r w:rsidRPr="00C24A08">
        <w:rPr>
          <w:rFonts w:ascii="Century Gothic" w:hAnsi="Century Gothic" w:eastAsia="Calibri" w:cs="Arial"/>
          <w:color w:val="000000"/>
          <w:kern w:val="2"/>
          <w14:ligatures w14:val="standardContextual"/>
        </w:rPr>
        <w:t>, la Entidad Estatal</w:t>
      </w:r>
      <w:r w:rsidRPr="00C24A08" w:rsidR="00261BB8">
        <w:rPr>
          <w:rFonts w:ascii="Century Gothic" w:hAnsi="Century Gothic" w:eastAsia="Calibri" w:cs="Arial"/>
          <w:color w:val="000000"/>
          <w:kern w:val="2"/>
          <w14:ligatures w14:val="standardContextual"/>
        </w:rPr>
        <w:t xml:space="preserve"> es la que tiene en primer lugar la </w:t>
      </w:r>
      <w:r w:rsidRPr="00C24A08">
        <w:rPr>
          <w:rFonts w:ascii="Century Gothic" w:hAnsi="Century Gothic" w:eastAsia="Calibri" w:cs="Arial"/>
          <w:color w:val="000000"/>
          <w:kern w:val="2"/>
          <w14:ligatures w14:val="standardContextual"/>
        </w:rPr>
        <w:t>obligación de publicar en el Sistema Electrónico de la Contratación Pública – SECOP</w:t>
      </w:r>
      <w:r w:rsidRPr="00C24A08" w:rsidR="00261BB8">
        <w:rPr>
          <w:rFonts w:ascii="Century Gothic" w:hAnsi="Century Gothic" w:eastAsia="Calibri" w:cs="Arial"/>
          <w:color w:val="000000"/>
          <w:kern w:val="2"/>
          <w14:ligatures w14:val="standardContextual"/>
        </w:rPr>
        <w:t xml:space="preserve"> </w:t>
      </w:r>
      <w:r w:rsidRPr="00C24A08">
        <w:rPr>
          <w:rFonts w:ascii="Century Gothic" w:hAnsi="Century Gothic" w:eastAsia="Calibri" w:cs="Arial"/>
          <w:color w:val="000000"/>
          <w:kern w:val="2"/>
          <w14:ligatures w14:val="standardContextual"/>
        </w:rPr>
        <w:t xml:space="preserve"> </w:t>
      </w:r>
      <w:r w:rsidRPr="00C24A08" w:rsidR="00261BB8">
        <w:rPr>
          <w:rFonts w:ascii="Century Gothic" w:hAnsi="Century Gothic" w:eastAsia="Calibri" w:cs="Arial"/>
          <w:color w:val="000000"/>
          <w:kern w:val="2"/>
          <w14:ligatures w14:val="standardContextual"/>
        </w:rPr>
        <w:t xml:space="preserve">sus actuaciones contractuales en el marco del convenio solidario, </w:t>
      </w:r>
      <w:r w:rsidRPr="00C24A08">
        <w:rPr>
          <w:rFonts w:ascii="Century Gothic" w:hAnsi="Century Gothic" w:eastAsia="Calibri" w:cs="Arial"/>
          <w:color w:val="000000"/>
          <w:kern w:val="2"/>
          <w14:ligatures w14:val="standardContextual"/>
        </w:rPr>
        <w:t xml:space="preserve">además el Organismo de Acción Comunal deberá </w:t>
      </w:r>
      <w:r w:rsidRPr="00C24A08" w:rsidR="004549A4">
        <w:rPr>
          <w:rFonts w:ascii="Century Gothic" w:hAnsi="Century Gothic" w:eastAsia="Calibri" w:cs="Arial"/>
          <w:color w:val="000000"/>
          <w:kern w:val="2"/>
          <w14:ligatures w14:val="standardContextual"/>
        </w:rPr>
        <w:t>publicar, en dicha plataforma</w:t>
      </w:r>
      <w:r w:rsidRPr="00C24A08">
        <w:rPr>
          <w:rFonts w:ascii="Century Gothic" w:hAnsi="Century Gothic" w:eastAsia="Calibri" w:cs="Arial"/>
          <w:color w:val="000000"/>
          <w:kern w:val="2"/>
          <w14:ligatures w14:val="standardContextual"/>
        </w:rPr>
        <w:t xml:space="preserve"> cuando se encuentre obligada a hacerlo, los documentos contractuales que se originen en el marco del convenio solidario, de conformidad a lo expuesto en este acápite</w:t>
      </w:r>
      <w:r w:rsidRPr="00C24A08" w:rsidR="004549A4">
        <w:rPr>
          <w:rFonts w:ascii="Century Gothic" w:hAnsi="Century Gothic" w:eastAsia="Calibri" w:cs="Arial"/>
          <w:color w:val="000000"/>
          <w:kern w:val="2"/>
          <w14:ligatures w14:val="standardContextual"/>
        </w:rPr>
        <w:t xml:space="preserve"> 2.</w:t>
      </w:r>
      <w:r w:rsidRPr="00C24A08" w:rsidR="00925CFF">
        <w:rPr>
          <w:rFonts w:ascii="Century Gothic" w:hAnsi="Century Gothic" w:eastAsia="Calibri" w:cs="Arial"/>
          <w:color w:val="000000"/>
          <w:kern w:val="2"/>
          <w14:ligatures w14:val="standardContextual"/>
        </w:rPr>
        <w:t>4. del presente concepto</w:t>
      </w:r>
      <w:r w:rsidRPr="00C24A08">
        <w:rPr>
          <w:rFonts w:ascii="Century Gothic" w:hAnsi="Century Gothic" w:eastAsia="Calibri" w:cs="Arial"/>
          <w:color w:val="000000"/>
          <w:kern w:val="2"/>
          <w14:ligatures w14:val="standardContextual"/>
        </w:rPr>
        <w:t>.</w:t>
      </w:r>
    </w:p>
    <w:p w:rsidRPr="00C24A08" w:rsidR="00B859F9" w:rsidP="00534E79" w:rsidRDefault="00B859F9" w14:paraId="260DB4CC" w14:textId="77777777">
      <w:pPr>
        <w:shd w:val="clear" w:color="auto" w:fill="FFFFFF" w:themeFill="background1"/>
        <w:spacing w:after="120" w:line="240" w:lineRule="auto"/>
        <w:ind w:left="709" w:right="709"/>
        <w:jc w:val="both"/>
        <w:rPr>
          <w:rFonts w:ascii="Century Gothic" w:hAnsi="Century Gothic" w:cs="Arial"/>
          <w:color w:val="000000" w:themeColor="text1"/>
          <w:sz w:val="21"/>
          <w:szCs w:val="21"/>
        </w:rPr>
      </w:pPr>
    </w:p>
    <w:p w:rsidRPr="00C24A08" w:rsidR="00534E79" w:rsidP="00534E79" w:rsidRDefault="00534E79" w14:paraId="7D75BC67" w14:textId="320D222A">
      <w:pPr>
        <w:shd w:val="clear" w:color="auto" w:fill="FFFFFF" w:themeFill="background1"/>
        <w:spacing w:after="120" w:line="240" w:lineRule="auto"/>
        <w:ind w:left="709" w:right="709"/>
        <w:jc w:val="both"/>
        <w:rPr>
          <w:rFonts w:ascii="Century Gothic" w:hAnsi="Century Gothic" w:cs="Arial"/>
          <w:color w:val="000000" w:themeColor="text1"/>
          <w:sz w:val="21"/>
          <w:szCs w:val="21"/>
          <w:lang w:val="es-ES_tradnl"/>
        </w:rPr>
      </w:pPr>
      <w:r w:rsidRPr="00C24A08">
        <w:rPr>
          <w:rFonts w:ascii="Century Gothic" w:hAnsi="Century Gothic" w:cs="Arial"/>
          <w:color w:val="000000" w:themeColor="text1"/>
          <w:sz w:val="21"/>
          <w:szCs w:val="21"/>
          <w:lang w:val="es-ES_tradnl"/>
        </w:rPr>
        <w:t>• ¿Cuál es el procedimiento para supervisar o vigilar los convenios solidarios suscritos entre JAC y entidades del Gobierno Nacional</w:t>
      </w:r>
      <w:proofErr w:type="gramStart"/>
      <w:r w:rsidRPr="00C24A08">
        <w:rPr>
          <w:rFonts w:ascii="Century Gothic" w:hAnsi="Century Gothic" w:cs="Arial"/>
          <w:color w:val="000000" w:themeColor="text1"/>
          <w:sz w:val="21"/>
          <w:szCs w:val="21"/>
          <w:lang w:val="es-ES_tradnl"/>
        </w:rPr>
        <w:t>?</w:t>
      </w:r>
      <w:r w:rsidRPr="00C24A08" w:rsidR="00B859F9">
        <w:rPr>
          <w:rFonts w:ascii="Century Gothic" w:hAnsi="Century Gothic" w:cs="Arial"/>
          <w:color w:val="000000" w:themeColor="text1"/>
          <w:sz w:val="21"/>
          <w:szCs w:val="21"/>
          <w:lang w:val="es-ES_tradnl"/>
        </w:rPr>
        <w:t xml:space="preserve"> ”</w:t>
      </w:r>
      <w:proofErr w:type="gramEnd"/>
      <w:r w:rsidRPr="00C24A08" w:rsidR="00B859F9">
        <w:rPr>
          <w:rFonts w:ascii="Century Gothic" w:hAnsi="Century Gothic" w:cs="Arial"/>
          <w:color w:val="000000" w:themeColor="text1"/>
          <w:sz w:val="21"/>
          <w:szCs w:val="21"/>
          <w:lang w:val="es-ES_tradnl"/>
        </w:rPr>
        <w:t xml:space="preserve"> (Sic)</w:t>
      </w:r>
    </w:p>
    <w:p w:rsidRPr="00C24A08" w:rsidR="00011C15" w:rsidP="00FD561A" w:rsidRDefault="00DB59A7" w14:paraId="423FA497" w14:textId="54076140">
      <w:pPr>
        <w:shd w:val="clear" w:color="auto" w:fill="FFFFFF" w:themeFill="background1"/>
        <w:spacing w:after="120" w:line="276" w:lineRule="auto"/>
        <w:ind w:firstLine="708"/>
        <w:jc w:val="both"/>
        <w:rPr>
          <w:rFonts w:ascii="Century Gothic" w:hAnsi="Century Gothic" w:cs="Arial"/>
          <w:color w:val="000000" w:themeColor="text1"/>
          <w:sz w:val="21"/>
          <w:szCs w:val="21"/>
          <w:lang w:val="es-ES_tradnl"/>
        </w:rPr>
      </w:pPr>
      <w:r w:rsidRPr="00C24A08">
        <w:rPr>
          <w:rFonts w:ascii="Century Gothic" w:hAnsi="Century Gothic" w:cs="Arial"/>
          <w:lang w:val="es-ES_tradnl"/>
        </w:rPr>
        <w:t>L</w:t>
      </w:r>
      <w:r w:rsidRPr="00C24A08" w:rsidR="005155FB">
        <w:rPr>
          <w:rFonts w:ascii="Century Gothic" w:hAnsi="Century Gothic" w:cs="Arial"/>
          <w:lang w:val="es-ES_tradnl"/>
        </w:rPr>
        <w:t xml:space="preserve">as entidades públicas que suscriban convenios solidarios les asiste el deber de </w:t>
      </w:r>
      <w:r w:rsidRPr="00C24A08" w:rsidR="005155FB">
        <w:rPr>
          <w:rFonts w:ascii="Century Gothic" w:hAnsi="Century Gothic" w:cs="Arial"/>
          <w:lang w:val="es-ES"/>
        </w:rPr>
        <w:t>vigilar la correcta ejecución del objeto acordado y a proteger tanto los derechos de la propia entidad como los del Organismo de Acción Comunal y terceros que puedan verse afectados por la ejecución del dicho convenio, sin importar el régimen jurídico aplicable para su celebración, para lo cual deberá contar o disponer de servidores públicos o contratistas que cuenten con la idoneidad técnica, administrativa y contable para de vigilar el cumplimiento de las obligaciones pactadas por las partes</w:t>
      </w:r>
      <w:r w:rsidRPr="00C24A08" w:rsidR="00041F13">
        <w:rPr>
          <w:rFonts w:ascii="Century Gothic" w:hAnsi="Century Gothic" w:cs="Arial"/>
          <w:lang w:val="es-ES"/>
        </w:rPr>
        <w:t xml:space="preserve"> (artículo 84 Ley 1474 de 2011)</w:t>
      </w:r>
      <w:r w:rsidRPr="00C24A08" w:rsidR="005155FB">
        <w:rPr>
          <w:rFonts w:ascii="Century Gothic" w:hAnsi="Century Gothic" w:cs="Arial"/>
          <w:lang w:val="es-ES"/>
        </w:rPr>
        <w:t xml:space="preserve"> y apoyar</w:t>
      </w:r>
      <w:r w:rsidRPr="00C24A08" w:rsidR="00011C15">
        <w:rPr>
          <w:rFonts w:ascii="Century Gothic" w:hAnsi="Century Gothic" w:cs="Arial"/>
          <w:lang w:val="es-ES"/>
        </w:rPr>
        <w:t xml:space="preserve">, especialmente, </w:t>
      </w:r>
      <w:r w:rsidRPr="00C24A08" w:rsidR="005155FB">
        <w:rPr>
          <w:rFonts w:ascii="Century Gothic" w:hAnsi="Century Gothic" w:cs="Arial"/>
          <w:lang w:val="es-ES"/>
        </w:rPr>
        <w:t>al Organismo de Acción Comunal, en la ejecución de las obras</w:t>
      </w:r>
      <w:r w:rsidRPr="00C24A08" w:rsidR="00011C15">
        <w:rPr>
          <w:rFonts w:ascii="Century Gothic" w:hAnsi="Century Gothic" w:cs="Arial"/>
          <w:lang w:val="es-ES"/>
        </w:rPr>
        <w:t xml:space="preserve">, en virtud de lo consagrado en </w:t>
      </w:r>
      <w:r w:rsidRPr="00C24A08" w:rsidR="00011C15">
        <w:rPr>
          <w:rFonts w:ascii="Century Gothic" w:hAnsi="Century Gothic" w:cs="Arial"/>
          <w:lang w:eastAsia="es-MX"/>
        </w:rPr>
        <w:t xml:space="preserve">artículo 95 de la Ley 2166 de 2021, pues dispone que </w:t>
      </w:r>
      <w:r w:rsidRPr="00C24A08" w:rsidR="00011C15">
        <w:rPr>
          <w:rFonts w:ascii="Century Gothic" w:hAnsi="Century Gothic" w:cs="Arial"/>
          <w:i/>
          <w:lang w:eastAsia="es-MX"/>
        </w:rPr>
        <w:t xml:space="preserve">“Adicional del monto del Convenio Solidario, los entes territoriales deberán contar o disponer de personal técnico y administrativo-contable, para supervisar y apoyar a los Organismos de Acción Comunal en la ejecución de las obras”. </w:t>
      </w:r>
      <w:r w:rsidRPr="00C24A08" w:rsidR="00011C15">
        <w:rPr>
          <w:rFonts w:ascii="Century Gothic" w:hAnsi="Century Gothic" w:cs="Arial"/>
          <w:lang w:eastAsia="es-MX"/>
        </w:rPr>
        <w:t>Est</w:t>
      </w:r>
      <w:r w:rsidRPr="00C24A08">
        <w:rPr>
          <w:rFonts w:ascii="Century Gothic" w:hAnsi="Century Gothic" w:cs="Arial"/>
          <w:lang w:eastAsia="es-MX"/>
        </w:rPr>
        <w:t xml:space="preserve">a </w:t>
      </w:r>
      <w:r w:rsidRPr="00C24A08" w:rsidR="00AE25AD">
        <w:rPr>
          <w:rFonts w:ascii="Century Gothic" w:hAnsi="Century Gothic" w:cs="Arial"/>
          <w:lang w:eastAsia="es-MX"/>
        </w:rPr>
        <w:t xml:space="preserve">supervisión por parte de la entidad </w:t>
      </w:r>
      <w:r w:rsidRPr="00C24A08" w:rsidR="00133231">
        <w:rPr>
          <w:rFonts w:ascii="Century Gothic" w:hAnsi="Century Gothic" w:cs="Arial"/>
          <w:lang w:eastAsia="es-MX"/>
        </w:rPr>
        <w:t>implica un deber de seguimiento</w:t>
      </w:r>
      <w:r w:rsidRPr="00C24A08" w:rsidR="00DA675F">
        <w:rPr>
          <w:rFonts w:ascii="Century Gothic" w:hAnsi="Century Gothic" w:cs="Arial"/>
          <w:lang w:eastAsia="es-MX"/>
        </w:rPr>
        <w:t xml:space="preserve"> y acciones más allá de las establecidas en el artículo 83 y 84</w:t>
      </w:r>
      <w:r w:rsidRPr="00C24A08" w:rsidR="0005577F">
        <w:rPr>
          <w:rFonts w:ascii="Century Gothic" w:hAnsi="Century Gothic" w:cs="Arial"/>
          <w:lang w:eastAsia="es-MX"/>
        </w:rPr>
        <w:t xml:space="preserve"> de la Ley 1474 de 2011, sino que contempla </w:t>
      </w:r>
      <w:r w:rsidRPr="00C24A08" w:rsidR="00133231">
        <w:rPr>
          <w:rFonts w:ascii="Century Gothic" w:hAnsi="Century Gothic" w:cs="Arial"/>
          <w:lang w:eastAsia="es-MX"/>
        </w:rPr>
        <w:t xml:space="preserve">apoyo y recomendaciones al Organismo de Acción Comunal requeridos para la </w:t>
      </w:r>
      <w:r w:rsidRPr="00C24A08" w:rsidR="00011C15">
        <w:rPr>
          <w:rFonts w:ascii="Century Gothic" w:hAnsi="Century Gothic" w:cs="Arial"/>
          <w:lang w:eastAsia="es-MX"/>
        </w:rPr>
        <w:t>ejecución del convenio</w:t>
      </w:r>
      <w:r w:rsidRPr="00C24A08" w:rsidR="00492DF0">
        <w:rPr>
          <w:rFonts w:ascii="Century Gothic" w:hAnsi="Century Gothic" w:cs="Arial"/>
          <w:lang w:eastAsia="es-MX"/>
        </w:rPr>
        <w:t xml:space="preserve"> solidario</w:t>
      </w:r>
      <w:r w:rsidRPr="00C24A08" w:rsidR="00041F13">
        <w:rPr>
          <w:rFonts w:ascii="Century Gothic" w:hAnsi="Century Gothic" w:cs="Arial"/>
          <w:lang w:eastAsia="es-MX"/>
        </w:rPr>
        <w:t xml:space="preserve"> cuyo objeto exclusivamente sea la ejecución de obras</w:t>
      </w:r>
      <w:r w:rsidRPr="00C24A08" w:rsidR="00011C15">
        <w:rPr>
          <w:rFonts w:ascii="Century Gothic" w:hAnsi="Century Gothic" w:cs="Arial"/>
          <w:lang w:eastAsia="es-MX"/>
        </w:rPr>
        <w:t>, por lo que</w:t>
      </w:r>
      <w:r w:rsidRPr="00C24A08" w:rsidR="00492DF0">
        <w:rPr>
          <w:rFonts w:ascii="Century Gothic" w:hAnsi="Century Gothic" w:cs="Arial"/>
          <w:lang w:eastAsia="es-MX"/>
        </w:rPr>
        <w:t>,</w:t>
      </w:r>
      <w:r w:rsidRPr="00C24A08" w:rsidR="00011C15">
        <w:rPr>
          <w:rFonts w:ascii="Century Gothic" w:hAnsi="Century Gothic" w:cs="Arial"/>
          <w:lang w:eastAsia="es-MX"/>
        </w:rPr>
        <w:t xml:space="preserve"> </w:t>
      </w:r>
      <w:r w:rsidRPr="00C24A08" w:rsidR="00041F13">
        <w:rPr>
          <w:rFonts w:ascii="Century Gothic" w:hAnsi="Century Gothic" w:cs="Arial"/>
          <w:lang w:eastAsia="es-MX"/>
        </w:rPr>
        <w:t xml:space="preserve">el avance de </w:t>
      </w:r>
      <w:r w:rsidRPr="00C24A08" w:rsidR="00492DF0">
        <w:rPr>
          <w:rFonts w:ascii="Century Gothic" w:hAnsi="Century Gothic" w:cs="Arial"/>
          <w:lang w:eastAsia="es-MX"/>
        </w:rPr>
        <w:t>la obra</w:t>
      </w:r>
      <w:r w:rsidRPr="00C24A08" w:rsidR="00011C15">
        <w:rPr>
          <w:rFonts w:ascii="Century Gothic" w:hAnsi="Century Gothic" w:cs="Arial"/>
          <w:lang w:eastAsia="es-MX"/>
        </w:rPr>
        <w:t xml:space="preserve"> no queda totalmente en cabeza del </w:t>
      </w:r>
      <w:r w:rsidRPr="00C24A08" w:rsidR="00492DF0">
        <w:rPr>
          <w:rFonts w:ascii="Century Gothic" w:hAnsi="Century Gothic" w:cs="Arial"/>
          <w:lang w:eastAsia="es-MX"/>
        </w:rPr>
        <w:t>O</w:t>
      </w:r>
      <w:r w:rsidRPr="00C24A08" w:rsidR="00011C15">
        <w:rPr>
          <w:rFonts w:ascii="Century Gothic" w:hAnsi="Century Gothic" w:cs="Arial"/>
          <w:lang w:eastAsia="es-MX"/>
        </w:rPr>
        <w:t xml:space="preserve">rganismo de </w:t>
      </w:r>
      <w:r w:rsidRPr="00C24A08" w:rsidR="00492DF0">
        <w:rPr>
          <w:rFonts w:ascii="Century Gothic" w:hAnsi="Century Gothic" w:cs="Arial"/>
          <w:lang w:eastAsia="es-MX"/>
        </w:rPr>
        <w:t>A</w:t>
      </w:r>
      <w:r w:rsidRPr="00C24A08" w:rsidR="00011C15">
        <w:rPr>
          <w:rFonts w:ascii="Century Gothic" w:hAnsi="Century Gothic" w:cs="Arial"/>
          <w:lang w:eastAsia="es-MX"/>
        </w:rPr>
        <w:t xml:space="preserve">cción </w:t>
      </w:r>
      <w:r w:rsidRPr="00C24A08" w:rsidR="00492DF0">
        <w:rPr>
          <w:rFonts w:ascii="Century Gothic" w:hAnsi="Century Gothic" w:cs="Arial"/>
          <w:lang w:eastAsia="es-MX"/>
        </w:rPr>
        <w:t>C</w:t>
      </w:r>
      <w:r w:rsidRPr="00C24A08" w:rsidR="00011C15">
        <w:rPr>
          <w:rFonts w:ascii="Century Gothic" w:hAnsi="Century Gothic" w:cs="Arial"/>
          <w:lang w:eastAsia="es-MX"/>
        </w:rPr>
        <w:t>omunal, pues a la entidad corresponde disponer de un personal multidisciplinario para apoyar las obras, sin perjuicio de la supervisión del convenio.</w:t>
      </w:r>
    </w:p>
    <w:p w:rsidRPr="00C24A08" w:rsidR="005155FB" w:rsidP="00FD561A" w:rsidRDefault="005155FB" w14:paraId="6E0470AE" w14:textId="26338A31">
      <w:pPr>
        <w:spacing w:after="0" w:line="276" w:lineRule="auto"/>
        <w:ind w:firstLine="708"/>
        <w:jc w:val="both"/>
        <w:rPr>
          <w:rFonts w:ascii="Century Gothic" w:hAnsi="Century Gothic" w:cs="Arial"/>
          <w:bCs/>
          <w:lang w:val="es-ES_tradnl"/>
        </w:rPr>
      </w:pPr>
      <w:r w:rsidRPr="00C24A08">
        <w:rPr>
          <w:rFonts w:ascii="Century Gothic" w:hAnsi="Century Gothic" w:cs="Arial"/>
          <w:lang w:val="es-ES_tradnl"/>
        </w:rPr>
        <w:t xml:space="preserve"> Igualmente, resulta importante aclarar, </w:t>
      </w:r>
      <w:r w:rsidRPr="00C24A08" w:rsidR="00492DF0">
        <w:rPr>
          <w:rFonts w:ascii="Century Gothic" w:hAnsi="Century Gothic" w:cs="Arial"/>
          <w:lang w:val="es-ES_tradnl"/>
        </w:rPr>
        <w:t xml:space="preserve">que </w:t>
      </w:r>
      <w:r w:rsidRPr="00C24A08">
        <w:rPr>
          <w:rFonts w:ascii="Century Gothic" w:hAnsi="Century Gothic" w:cs="Arial"/>
          <w:lang w:val="es-ES_tradnl"/>
        </w:rPr>
        <w:t>sin perjuicio de la supervisión ejercida directamente por la Entidad Estatal, frente a los convenios solidarios cuyo objeto sea exclusivamente la ejecución de obras hasta por la menor cuantía, no le asiste a la Entidad Estatal la obligación de contratar un tercero interventor de conformidad con el numeral 1 del artículo 32 de la Ley 80 de 1993 y el parágrafo 1 del artículo 83 de la Ley 1474 de 2011, pues este sólo es obligatorio en obras cuya contratación se origine de procesos de selección por licitación pública, sin embargo, en caso de considerarlo necesario, las entidades estatales se encuentran facultadas para contratar</w:t>
      </w:r>
      <w:r w:rsidRPr="00C24A08" w:rsidR="00C354FB">
        <w:rPr>
          <w:rFonts w:ascii="Century Gothic" w:hAnsi="Century Gothic" w:cs="Arial"/>
          <w:lang w:val="es-ES_tradnl"/>
        </w:rPr>
        <w:t xml:space="preserve"> dicha </w:t>
      </w:r>
      <w:r w:rsidRPr="00C24A08" w:rsidR="00DB59A7">
        <w:rPr>
          <w:rFonts w:ascii="Century Gothic" w:hAnsi="Century Gothic" w:cs="Arial"/>
          <w:lang w:val="es-ES_tradnl"/>
        </w:rPr>
        <w:t>interventoría previa a la</w:t>
      </w:r>
      <w:r w:rsidRPr="00C24A08">
        <w:rPr>
          <w:rFonts w:ascii="Century Gothic" w:hAnsi="Century Gothic" w:cs="Arial"/>
          <w:lang w:val="es-ES_tradnl"/>
        </w:rPr>
        <w:t xml:space="preserve"> debida justificación en los documentos precontractuales.</w:t>
      </w:r>
    </w:p>
    <w:p w:rsidRPr="00C24A08" w:rsidR="00B13EA5" w:rsidP="00FD561A" w:rsidRDefault="00B13EA5" w14:paraId="4E1A4335" w14:textId="77777777">
      <w:pPr>
        <w:shd w:val="clear" w:color="auto" w:fill="FFFFFF" w:themeFill="background1"/>
        <w:spacing w:after="0" w:line="240" w:lineRule="auto"/>
        <w:ind w:left="709" w:right="709"/>
        <w:jc w:val="both"/>
        <w:rPr>
          <w:rFonts w:ascii="Century Gothic" w:hAnsi="Century Gothic" w:cs="Arial"/>
          <w:color w:val="000000" w:themeColor="text1"/>
          <w:sz w:val="21"/>
          <w:szCs w:val="21"/>
          <w:lang w:val="es-ES_tradnl"/>
        </w:rPr>
      </w:pPr>
    </w:p>
    <w:p w:rsidRPr="00C24A08" w:rsidR="00534E79" w:rsidP="00FD561A" w:rsidRDefault="00B13EA5" w14:paraId="28C9A72B" w14:textId="4059BFA7">
      <w:pPr>
        <w:shd w:val="clear" w:color="auto" w:fill="FFFFFF" w:themeFill="background1"/>
        <w:spacing w:after="0" w:line="240" w:lineRule="auto"/>
        <w:ind w:left="709" w:right="709"/>
        <w:jc w:val="both"/>
        <w:rPr>
          <w:rFonts w:ascii="Century Gothic" w:hAnsi="Century Gothic" w:cs="Arial"/>
          <w:color w:val="000000" w:themeColor="text1"/>
          <w:sz w:val="21"/>
          <w:szCs w:val="21"/>
          <w:lang w:val="es-ES_tradnl"/>
        </w:rPr>
      </w:pPr>
      <w:r w:rsidRPr="00C24A08">
        <w:rPr>
          <w:rFonts w:ascii="Century Gothic" w:hAnsi="Century Gothic" w:cs="Arial"/>
          <w:color w:val="000000" w:themeColor="text1"/>
          <w:sz w:val="21"/>
          <w:szCs w:val="21"/>
          <w:lang w:val="es-ES_tradnl"/>
        </w:rPr>
        <w:t>“</w:t>
      </w:r>
      <w:r w:rsidRPr="00C24A08" w:rsidR="00534E79">
        <w:rPr>
          <w:rFonts w:ascii="Century Gothic" w:hAnsi="Century Gothic" w:cs="Arial"/>
          <w:color w:val="000000" w:themeColor="text1"/>
          <w:sz w:val="21"/>
          <w:szCs w:val="21"/>
          <w:lang w:val="es-ES_tradnl"/>
        </w:rPr>
        <w:t>• ¿Como se liquidan los convenios solidarios suscritos entre JAC y entidades del Gobierno Nacional</w:t>
      </w:r>
      <w:proofErr w:type="gramStart"/>
      <w:r w:rsidRPr="00C24A08" w:rsidR="00534E79">
        <w:rPr>
          <w:rFonts w:ascii="Century Gothic" w:hAnsi="Century Gothic" w:cs="Arial"/>
          <w:color w:val="000000" w:themeColor="text1"/>
          <w:sz w:val="21"/>
          <w:szCs w:val="21"/>
          <w:lang w:val="es-ES_tradnl"/>
        </w:rPr>
        <w:t>?</w:t>
      </w:r>
      <w:r w:rsidRPr="00C24A08" w:rsidR="00B859F9">
        <w:rPr>
          <w:rFonts w:ascii="Century Gothic" w:hAnsi="Century Gothic" w:cs="Arial"/>
          <w:color w:val="000000" w:themeColor="text1"/>
          <w:sz w:val="21"/>
          <w:szCs w:val="21"/>
          <w:lang w:val="es-ES_tradnl"/>
        </w:rPr>
        <w:t xml:space="preserve"> ”</w:t>
      </w:r>
      <w:proofErr w:type="gramEnd"/>
      <w:r w:rsidRPr="00C24A08" w:rsidR="00B859F9">
        <w:rPr>
          <w:rFonts w:ascii="Century Gothic" w:hAnsi="Century Gothic" w:cs="Arial"/>
          <w:color w:val="000000" w:themeColor="text1"/>
          <w:sz w:val="21"/>
          <w:szCs w:val="21"/>
          <w:lang w:val="es-ES_tradnl"/>
        </w:rPr>
        <w:t xml:space="preserve"> (Sic)</w:t>
      </w:r>
    </w:p>
    <w:p w:rsidRPr="00C24A08" w:rsidR="00FD561A" w:rsidP="00FD561A" w:rsidRDefault="00FD561A" w14:paraId="1AC43F0E" w14:textId="77777777">
      <w:pPr>
        <w:shd w:val="clear" w:color="auto" w:fill="FFFFFF" w:themeFill="background1"/>
        <w:spacing w:after="0" w:line="240" w:lineRule="auto"/>
        <w:ind w:left="709" w:right="709"/>
        <w:jc w:val="both"/>
        <w:rPr>
          <w:rFonts w:ascii="Century Gothic" w:hAnsi="Century Gothic" w:cs="Arial"/>
          <w:color w:val="000000" w:themeColor="text1"/>
          <w:sz w:val="21"/>
          <w:szCs w:val="21"/>
          <w:lang w:val="es-ES_tradnl"/>
        </w:rPr>
      </w:pPr>
    </w:p>
    <w:p w:rsidRPr="00C24A08" w:rsidR="00004B04" w:rsidP="00FD561A" w:rsidRDefault="00C56303" w14:paraId="23FB50E7" w14:textId="1D288B1E">
      <w:pPr>
        <w:spacing w:line="276" w:lineRule="auto"/>
        <w:ind w:firstLine="705"/>
        <w:jc w:val="both"/>
        <w:rPr>
          <w:rFonts w:ascii="Century Gothic" w:hAnsi="Century Gothic" w:eastAsia="Calibri" w:cs="Arial"/>
          <w:color w:val="000000"/>
          <w:lang w:val="es-ES_tradnl"/>
        </w:rPr>
      </w:pPr>
      <w:r w:rsidRPr="00C24A08">
        <w:rPr>
          <w:rFonts w:ascii="Century Gothic" w:hAnsi="Century Gothic" w:eastAsia="Calibri" w:cs="Arial"/>
          <w:color w:val="000000"/>
          <w:lang w:val="es-ES_tradnl"/>
        </w:rPr>
        <w:t>Como se expuso en el acápite 2.5. del presente concepto, l</w:t>
      </w:r>
      <w:r w:rsidRPr="00C24A08" w:rsidR="00004B04">
        <w:rPr>
          <w:rFonts w:ascii="Century Gothic" w:hAnsi="Century Gothic" w:eastAsia="Calibri" w:cs="Arial"/>
          <w:color w:val="000000"/>
          <w:lang w:val="es-ES_tradnl"/>
        </w:rPr>
        <w:t xml:space="preserve">as disposiciones legales </w:t>
      </w:r>
      <w:r w:rsidRPr="00C24A08" w:rsidR="00AA3F79">
        <w:rPr>
          <w:rFonts w:ascii="Century Gothic" w:hAnsi="Century Gothic" w:eastAsia="Calibri" w:cs="Arial"/>
          <w:color w:val="000000"/>
          <w:lang w:val="es-ES_tradnl"/>
        </w:rPr>
        <w:t>contenidas en</w:t>
      </w:r>
      <w:r w:rsidRPr="00C24A08" w:rsidR="00004B04">
        <w:rPr>
          <w:rFonts w:ascii="Century Gothic" w:hAnsi="Century Gothic" w:eastAsia="Calibri" w:cs="Arial"/>
          <w:color w:val="000000"/>
          <w:lang w:val="es-ES_tradnl"/>
        </w:rPr>
        <w:t xml:space="preserve"> el artículo 60 de la Ley 80 de 1993, modificado por el artículo 217 del Decreto 019 de 2012, y el artículo 11 de la Ley 1150 de 2007</w:t>
      </w:r>
      <w:r w:rsidRPr="00C24A08" w:rsidR="00AA3F79">
        <w:rPr>
          <w:rFonts w:ascii="Century Gothic" w:hAnsi="Century Gothic" w:eastAsia="Calibri" w:cs="Arial"/>
          <w:color w:val="000000"/>
          <w:lang w:val="es-ES_tradnl"/>
        </w:rPr>
        <w:t xml:space="preserve"> sobre liquidación de contratos le resultan </w:t>
      </w:r>
      <w:r w:rsidRPr="00C24A08" w:rsidR="00004B04">
        <w:rPr>
          <w:rFonts w:ascii="Century Gothic" w:hAnsi="Century Gothic" w:eastAsia="Calibri" w:cs="Arial"/>
          <w:color w:val="000000"/>
          <w:lang w:val="es-ES_tradnl"/>
        </w:rPr>
        <w:t>aplicables a los convenios solidarios, indistintamente del régimen jurídico con el que lo suscriban las entidades estatales con Organismos de Acción Comunal, en virtud del parágrafo del artículo 141 de la Ley 136 de 1994 y el artículo 8 del Decreto 092 de 2017 que someten, salvo disposición expresa, a las normas generales de la contratación pública (Ley 80 de 1993)</w:t>
      </w:r>
    </w:p>
    <w:p w:rsidRPr="00C24A08" w:rsidR="00004B04" w:rsidP="00D7329C" w:rsidRDefault="00004B04" w14:paraId="4E6BA48D" w14:textId="3940B0A4">
      <w:pPr>
        <w:spacing w:before="120" w:line="276" w:lineRule="auto"/>
        <w:ind w:firstLine="705"/>
        <w:jc w:val="both"/>
        <w:rPr>
          <w:rFonts w:ascii="Century Gothic" w:hAnsi="Century Gothic" w:eastAsia="Times New Roman" w:cs="Arial"/>
          <w:szCs w:val="24"/>
          <w:lang w:val="es-ES_tradnl" w:eastAsia="es-ES_tradnl"/>
        </w:rPr>
      </w:pPr>
      <w:r w:rsidRPr="00C24A08">
        <w:rPr>
          <w:rFonts w:ascii="Century Gothic" w:hAnsi="Century Gothic" w:eastAsia="Times New Roman" w:cs="Arial"/>
          <w:color w:val="000000"/>
          <w:bdr w:val="none" w:color="auto" w:sz="0" w:space="0" w:frame="1"/>
          <w:shd w:val="clear" w:color="auto" w:fill="FFFFFF"/>
          <w:lang w:val="es-ES" w:eastAsia="es-ES_tradnl"/>
        </w:rPr>
        <w:t xml:space="preserve">Así las cosas, </w:t>
      </w:r>
      <w:r w:rsidRPr="00C24A08" w:rsidR="00D7329C">
        <w:rPr>
          <w:rFonts w:ascii="Century Gothic" w:hAnsi="Century Gothic" w:eastAsia="Times New Roman" w:cs="Arial"/>
          <w:color w:val="000000"/>
          <w:bdr w:val="none" w:color="auto" w:sz="0" w:space="0" w:frame="1"/>
          <w:shd w:val="clear" w:color="auto" w:fill="FFFFFF"/>
          <w:lang w:val="es-ES" w:eastAsia="es-ES_tradnl"/>
        </w:rPr>
        <w:t xml:space="preserve">el convenio solidario, en el que no se pactó </w:t>
      </w:r>
      <w:r w:rsidRPr="00C24A08">
        <w:rPr>
          <w:rFonts w:ascii="Century Gothic" w:hAnsi="Century Gothic" w:eastAsia="Times New Roman" w:cs="Arial"/>
          <w:szCs w:val="24"/>
          <w:lang w:val="es-ES_tradnl" w:eastAsia="es-ES_tradnl"/>
        </w:rPr>
        <w:t>término para la liquidación bilateral, el término supletivo aplicaría, y se podría liquidar el con</w:t>
      </w:r>
      <w:r w:rsidRPr="00C24A08" w:rsidR="00150396">
        <w:rPr>
          <w:rFonts w:ascii="Century Gothic" w:hAnsi="Century Gothic" w:eastAsia="Times New Roman" w:cs="Arial"/>
          <w:szCs w:val="24"/>
          <w:lang w:val="es-ES_tradnl" w:eastAsia="es-ES_tradnl"/>
        </w:rPr>
        <w:t>venio</w:t>
      </w:r>
      <w:r w:rsidRPr="00C24A08">
        <w:rPr>
          <w:rFonts w:ascii="Century Gothic" w:hAnsi="Century Gothic" w:eastAsia="Times New Roman" w:cs="Arial"/>
          <w:szCs w:val="24"/>
          <w:lang w:val="es-ES_tradnl" w:eastAsia="es-ES_tradnl"/>
        </w:rPr>
        <w:t xml:space="preserve"> dentro de los 4 meses siguientes a la terminación del con</w:t>
      </w:r>
      <w:r w:rsidRPr="00C24A08" w:rsidR="00150396">
        <w:rPr>
          <w:rFonts w:ascii="Century Gothic" w:hAnsi="Century Gothic" w:eastAsia="Times New Roman" w:cs="Arial"/>
          <w:szCs w:val="24"/>
          <w:lang w:val="es-ES_tradnl" w:eastAsia="es-ES_tradnl"/>
        </w:rPr>
        <w:t>venio</w:t>
      </w:r>
      <w:r w:rsidRPr="00C24A08">
        <w:rPr>
          <w:rFonts w:ascii="Century Gothic" w:hAnsi="Century Gothic" w:eastAsia="Times New Roman" w:cs="Arial"/>
          <w:szCs w:val="24"/>
          <w:lang w:val="es-ES_tradnl" w:eastAsia="es-ES_tradnl"/>
        </w:rPr>
        <w:t>, de manera bilateral,</w:t>
      </w:r>
      <w:r w:rsidRPr="00C24A08" w:rsidR="00CF55CB">
        <w:rPr>
          <w:rFonts w:ascii="Century Gothic" w:hAnsi="Century Gothic" w:eastAsia="Times New Roman" w:cs="Arial"/>
          <w:szCs w:val="24"/>
          <w:lang w:val="es-ES_tradnl" w:eastAsia="es-ES_tradnl"/>
        </w:rPr>
        <w:t xml:space="preserve"> o dentro del plazo que las partes hayan acordado expresamente para ello. Posteriormente,</w:t>
      </w:r>
      <w:r w:rsidRPr="00C24A08">
        <w:rPr>
          <w:rFonts w:ascii="Century Gothic" w:hAnsi="Century Gothic" w:eastAsia="Times New Roman" w:cs="Arial"/>
          <w:szCs w:val="24"/>
          <w:lang w:val="es-ES_tradnl" w:eastAsia="es-ES_tradnl"/>
        </w:rPr>
        <w:t xml:space="preserve"> dentro de los 2 meses siguientes a ellos</w:t>
      </w:r>
      <w:r w:rsidRPr="00C24A08" w:rsidR="00CF55CB">
        <w:rPr>
          <w:rFonts w:ascii="Century Gothic" w:hAnsi="Century Gothic" w:eastAsia="Times New Roman" w:cs="Arial"/>
          <w:szCs w:val="24"/>
          <w:lang w:val="es-ES_tradnl" w:eastAsia="es-ES_tradnl"/>
        </w:rPr>
        <w:t xml:space="preserve"> se podrá liquidar el con</w:t>
      </w:r>
      <w:r w:rsidRPr="00C24A08" w:rsidR="00150396">
        <w:rPr>
          <w:rFonts w:ascii="Century Gothic" w:hAnsi="Century Gothic" w:eastAsia="Times New Roman" w:cs="Arial"/>
          <w:szCs w:val="24"/>
          <w:lang w:val="es-ES_tradnl" w:eastAsia="es-ES_tradnl"/>
        </w:rPr>
        <w:t>venio</w:t>
      </w:r>
      <w:r w:rsidRPr="00C24A08">
        <w:rPr>
          <w:rFonts w:ascii="Century Gothic" w:hAnsi="Century Gothic" w:eastAsia="Times New Roman" w:cs="Arial"/>
          <w:szCs w:val="24"/>
          <w:lang w:val="es-ES_tradnl" w:eastAsia="es-ES_tradnl"/>
        </w:rPr>
        <w:t xml:space="preserve"> de manera unilateral</w:t>
      </w:r>
      <w:r w:rsidRPr="00C24A08" w:rsidR="00CF55CB">
        <w:rPr>
          <w:rFonts w:ascii="Century Gothic" w:hAnsi="Century Gothic" w:eastAsia="Times New Roman" w:cs="Arial"/>
          <w:szCs w:val="24"/>
          <w:lang w:val="es-ES_tradnl" w:eastAsia="es-ES_tradnl"/>
        </w:rPr>
        <w:t xml:space="preserve"> </w:t>
      </w:r>
      <w:r w:rsidRPr="00C24A08">
        <w:rPr>
          <w:rFonts w:ascii="Century Gothic" w:hAnsi="Century Gothic" w:eastAsia="Times New Roman" w:cs="Arial"/>
          <w:szCs w:val="24"/>
          <w:lang w:val="es-ES_tradnl" w:eastAsia="es-ES_tradnl"/>
        </w:rPr>
        <w:t>por la entidad, más un plazo de 2 años para la liquidación unilateral, bilateral o judicial</w:t>
      </w:r>
      <w:r w:rsidRPr="00C24A08" w:rsidR="00B77A4E">
        <w:rPr>
          <w:rFonts w:ascii="Century Gothic" w:hAnsi="Century Gothic" w:eastAsia="Times New Roman" w:cs="Arial"/>
          <w:szCs w:val="24"/>
          <w:lang w:val="es-ES_tradnl" w:eastAsia="es-ES_tradnl"/>
        </w:rPr>
        <w:t xml:space="preserve">. </w:t>
      </w:r>
    </w:p>
    <w:p w:rsidRPr="00C24A08" w:rsidR="00534E79" w:rsidP="00534E79" w:rsidRDefault="0049211F" w14:paraId="5B1ED7E3" w14:textId="29E937BA">
      <w:pPr>
        <w:shd w:val="clear" w:color="auto" w:fill="FFFFFF" w:themeFill="background1"/>
        <w:spacing w:after="120" w:line="240" w:lineRule="auto"/>
        <w:ind w:left="709" w:right="709"/>
        <w:jc w:val="both"/>
        <w:rPr>
          <w:rFonts w:ascii="Century Gothic" w:hAnsi="Century Gothic" w:cs="Arial"/>
          <w:color w:val="000000" w:themeColor="text1"/>
          <w:sz w:val="21"/>
          <w:szCs w:val="21"/>
          <w:lang w:val="es-ES_tradnl"/>
        </w:rPr>
      </w:pPr>
      <w:r w:rsidRPr="00C24A08">
        <w:rPr>
          <w:rFonts w:ascii="Century Gothic" w:hAnsi="Century Gothic" w:cs="Arial"/>
          <w:color w:val="000000" w:themeColor="text1"/>
          <w:sz w:val="21"/>
          <w:szCs w:val="21"/>
          <w:lang w:val="es-ES_tradnl"/>
        </w:rPr>
        <w:t>“</w:t>
      </w:r>
      <w:r w:rsidRPr="00C24A08" w:rsidR="00534E79">
        <w:rPr>
          <w:rFonts w:ascii="Century Gothic" w:hAnsi="Century Gothic" w:cs="Arial"/>
          <w:color w:val="000000" w:themeColor="text1"/>
          <w:sz w:val="21"/>
          <w:szCs w:val="21"/>
          <w:lang w:val="es-ES_tradnl"/>
        </w:rPr>
        <w:t>• Existe una minuta tipo o modelo para Convenios Solidarios, por favor adjuntarla en caso de respuesta afirmativa</w:t>
      </w:r>
      <w:proofErr w:type="gramStart"/>
      <w:r w:rsidRPr="00C24A08" w:rsidR="00534E79">
        <w:rPr>
          <w:rFonts w:ascii="Century Gothic" w:hAnsi="Century Gothic" w:cs="Arial"/>
          <w:color w:val="000000" w:themeColor="text1"/>
          <w:sz w:val="21"/>
          <w:szCs w:val="21"/>
          <w:lang w:val="es-ES_tradnl"/>
        </w:rPr>
        <w:t xml:space="preserve">. </w:t>
      </w:r>
      <w:r w:rsidRPr="00C24A08" w:rsidR="00B859F9">
        <w:rPr>
          <w:rFonts w:ascii="Century Gothic" w:hAnsi="Century Gothic" w:cs="Arial"/>
          <w:color w:val="000000" w:themeColor="text1"/>
          <w:sz w:val="21"/>
          <w:szCs w:val="21"/>
          <w:lang w:val="es-ES_tradnl"/>
        </w:rPr>
        <w:t>”</w:t>
      </w:r>
      <w:proofErr w:type="gramEnd"/>
      <w:r w:rsidRPr="00C24A08" w:rsidR="00B859F9">
        <w:rPr>
          <w:rFonts w:ascii="Century Gothic" w:hAnsi="Century Gothic" w:cs="Arial"/>
          <w:color w:val="000000" w:themeColor="text1"/>
          <w:sz w:val="21"/>
          <w:szCs w:val="21"/>
          <w:lang w:val="es-ES_tradnl"/>
        </w:rPr>
        <w:t xml:space="preserve"> (Sic)</w:t>
      </w:r>
    </w:p>
    <w:p w:rsidRPr="00C24A08" w:rsidR="00E37903" w:rsidP="00E37903" w:rsidRDefault="00E37903" w14:paraId="11721E31" w14:textId="77777777">
      <w:pPr>
        <w:shd w:val="clear" w:color="auto" w:fill="FFFFFF" w:themeFill="background1"/>
        <w:spacing w:after="120" w:line="240" w:lineRule="auto"/>
        <w:ind w:left="709" w:right="709"/>
        <w:jc w:val="both"/>
        <w:rPr>
          <w:rFonts w:ascii="Century Gothic" w:hAnsi="Century Gothic" w:cs="Arial"/>
          <w:color w:val="000000" w:themeColor="text1"/>
          <w:sz w:val="21"/>
          <w:szCs w:val="21"/>
        </w:rPr>
      </w:pPr>
      <w:r w:rsidRPr="00C24A08">
        <w:rPr>
          <w:rFonts w:ascii="Century Gothic" w:hAnsi="Century Gothic" w:cs="Arial"/>
          <w:color w:val="000000" w:themeColor="text1"/>
          <w:sz w:val="21"/>
          <w:szCs w:val="21"/>
          <w:lang w:val="es-ES_tradnl"/>
        </w:rPr>
        <w:t xml:space="preserve">• </w:t>
      </w:r>
      <w:proofErr w:type="gramStart"/>
      <w:r w:rsidRPr="00C24A08">
        <w:rPr>
          <w:rFonts w:ascii="Century Gothic" w:hAnsi="Century Gothic" w:cs="Arial"/>
          <w:color w:val="000000" w:themeColor="text1"/>
          <w:sz w:val="21"/>
          <w:szCs w:val="21"/>
          <w:lang w:val="es-ES_tradnl"/>
        </w:rPr>
        <w:t>Para el caso del programa de Caminos Comunitarios para la Paz Total del INVIAS, como se reglamentan y utilizarán los convenios solidarios</w:t>
      </w:r>
      <w:r w:rsidRPr="00C24A08">
        <w:rPr>
          <w:rFonts w:ascii="Century Gothic" w:hAnsi="Century Gothic" w:cs="Arial"/>
          <w:color w:val="000000" w:themeColor="text1"/>
          <w:sz w:val="21"/>
          <w:szCs w:val="21"/>
        </w:rPr>
        <w:t>?</w:t>
      </w:r>
      <w:proofErr w:type="gramEnd"/>
      <w:r w:rsidRPr="00C24A08">
        <w:rPr>
          <w:rFonts w:ascii="Century Gothic" w:hAnsi="Century Gothic" w:cs="Arial"/>
          <w:color w:val="000000" w:themeColor="text1"/>
          <w:sz w:val="21"/>
          <w:szCs w:val="21"/>
        </w:rPr>
        <w:t>”. (Sic).</w:t>
      </w:r>
    </w:p>
    <w:p w:rsidRPr="00C24A08" w:rsidR="00C676CE" w:rsidP="00FD561A" w:rsidRDefault="004D4F4B" w14:paraId="5C55992F" w14:textId="2F596679">
      <w:pPr>
        <w:shd w:val="clear" w:color="auto" w:fill="FFFFFF" w:themeFill="background1"/>
        <w:spacing w:after="120" w:line="276" w:lineRule="auto"/>
        <w:ind w:firstLine="708"/>
        <w:jc w:val="both"/>
        <w:textAlignment w:val="baseline"/>
        <w:rPr>
          <w:rFonts w:ascii="Century Gothic" w:hAnsi="Century Gothic" w:cs="Arial"/>
          <w:color w:val="000000" w:themeColor="text1"/>
          <w:lang w:eastAsia="es-MX"/>
        </w:rPr>
      </w:pPr>
      <w:r w:rsidRPr="00C24A08">
        <w:rPr>
          <w:rFonts w:ascii="Century Gothic" w:hAnsi="Century Gothic" w:cs="Arial"/>
          <w:color w:val="000000" w:themeColor="text1"/>
          <w:lang w:eastAsia="es-MX"/>
        </w:rPr>
        <w:t>E</w:t>
      </w:r>
      <w:r w:rsidRPr="00C24A08" w:rsidR="00296F67">
        <w:rPr>
          <w:rFonts w:ascii="Century Gothic" w:hAnsi="Century Gothic" w:cs="Arial"/>
          <w:color w:val="000000" w:themeColor="text1"/>
          <w:lang w:eastAsia="es-MX"/>
        </w:rPr>
        <w:t>n el marco de los procesos de selección regidos por el artículo 1 de la Ley 2022 de 2020, no existe</w:t>
      </w:r>
      <w:r w:rsidRPr="00C24A08" w:rsidR="00C676CE">
        <w:rPr>
          <w:rFonts w:ascii="Century Gothic" w:hAnsi="Century Gothic" w:cs="Arial"/>
          <w:color w:val="000000" w:themeColor="text1"/>
          <w:lang w:eastAsia="es-MX"/>
        </w:rPr>
        <w:t>, actualmente,</w:t>
      </w:r>
      <w:r w:rsidRPr="00C24A08" w:rsidR="00296F67">
        <w:rPr>
          <w:rFonts w:ascii="Century Gothic" w:hAnsi="Century Gothic" w:cs="Arial"/>
          <w:color w:val="000000" w:themeColor="text1"/>
          <w:lang w:eastAsia="es-MX"/>
        </w:rPr>
        <w:t xml:space="preserve"> un documento tipo que con carácter obligatorio regule la suscripción de convenios solidarios. Los únicos documentos tipo vigentes se encuentran en la página web </w:t>
      </w:r>
      <w:r w:rsidRPr="00C24A08" w:rsidR="00296F67">
        <w:rPr>
          <w:rFonts w:ascii="Century Gothic" w:hAnsi="Century Gothic" w:cs="Arial"/>
          <w:color w:val="4472C4" w:themeColor="accent1"/>
          <w:lang w:eastAsia="es-MX"/>
        </w:rPr>
        <w:t xml:space="preserve">https://www.colombiacompra.gov.co/documentos-tipo/documentos-tipo </w:t>
      </w:r>
      <w:r w:rsidRPr="00C24A08" w:rsidR="00296F67">
        <w:rPr>
          <w:rFonts w:ascii="Century Gothic" w:hAnsi="Century Gothic" w:cs="Arial"/>
          <w:color w:val="000000" w:themeColor="text1"/>
          <w:lang w:eastAsia="es-MX"/>
        </w:rPr>
        <w:t>para los sectores de infraestructura de transporte, agua potable y saneamiento básico, gestión catastral con enfoque multipropósito y de infraestructura social</w:t>
      </w:r>
      <w:r w:rsidRPr="00C24A08" w:rsidR="00C676CE">
        <w:rPr>
          <w:rFonts w:ascii="Century Gothic" w:hAnsi="Century Gothic" w:cs="Arial"/>
          <w:color w:val="000000" w:themeColor="text1"/>
          <w:lang w:eastAsia="es-MX"/>
        </w:rPr>
        <w:t>, por lo que no puede adjuntarse lo solicitado</w:t>
      </w:r>
      <w:r w:rsidRPr="00C24A08" w:rsidR="00296F67">
        <w:rPr>
          <w:rFonts w:ascii="Century Gothic" w:hAnsi="Century Gothic" w:cs="Arial"/>
          <w:color w:val="000000" w:themeColor="text1"/>
          <w:lang w:eastAsia="es-MX"/>
        </w:rPr>
        <w:t xml:space="preserve">. </w:t>
      </w:r>
      <w:r w:rsidRPr="00C24A08" w:rsidR="00C676CE">
        <w:rPr>
          <w:rFonts w:ascii="Century Gothic" w:hAnsi="Century Gothic" w:cs="Arial"/>
          <w:color w:val="000000" w:themeColor="text1"/>
          <w:lang w:eastAsia="es-MX"/>
        </w:rPr>
        <w:t xml:space="preserve">Sin embargo, </w:t>
      </w:r>
      <w:r w:rsidRPr="00C24A08" w:rsidR="00C676CE">
        <w:rPr>
          <w:rFonts w:ascii="Century Gothic" w:hAnsi="Century Gothic" w:cs="Arial"/>
          <w:lang w:eastAsia="es-MX"/>
        </w:rPr>
        <w:t xml:space="preserve">se aclara que la Agencia se encuentra estructurando un documento tipo que con carácter obligatorio que regule la suscripción de convenios solidarios para la ejecución de obras hasta la menor cuantía con organismos de acción comunal, el cual puede consultarse en el siguiente link: </w:t>
      </w:r>
      <w:hyperlink w:history="1" r:id="rId18">
        <w:r w:rsidRPr="00C24A08" w:rsidR="00C676CE">
          <w:rPr>
            <w:rStyle w:val="Hipervnculo"/>
            <w:rFonts w:ascii="Century Gothic" w:hAnsi="Century Gothic" w:cs="Arial"/>
            <w:lang w:eastAsia="es-MX"/>
          </w:rPr>
          <w:t>https://www.colombiacompra.gov.co/content/06-proyecto-de-documento-tipo-para-la-contratacion-directa-de-convenios-solidarios-para-la</w:t>
        </w:r>
      </w:hyperlink>
      <w:r w:rsidRPr="00C24A08" w:rsidR="00C676CE">
        <w:rPr>
          <w:rFonts w:ascii="Century Gothic" w:hAnsi="Century Gothic" w:cs="Arial"/>
          <w:lang w:eastAsia="es-MX"/>
        </w:rPr>
        <w:t>. Sin embargo, hasta la fecha</w:t>
      </w:r>
      <w:r w:rsidRPr="00C24A08" w:rsidR="00B47BA1">
        <w:rPr>
          <w:rFonts w:ascii="Century Gothic" w:hAnsi="Century Gothic" w:cs="Arial"/>
          <w:lang w:eastAsia="es-MX"/>
        </w:rPr>
        <w:t>,</w:t>
      </w:r>
      <w:r w:rsidRPr="00C24A08" w:rsidR="00C676CE">
        <w:rPr>
          <w:rFonts w:ascii="Century Gothic" w:hAnsi="Century Gothic" w:cs="Arial"/>
          <w:lang w:eastAsia="es-MX"/>
        </w:rPr>
        <w:t xml:space="preserve"> dicho documento aún no ha sido adoptado mediante acto administrativo, por lo que las entidades –en el ámbito de la discrecionalidad que les compete ejercer en la estructuración– podrán adaptarlo a sus necesidades,</w:t>
      </w:r>
      <w:r w:rsidRPr="00C24A08" w:rsidR="00C676CE">
        <w:rPr>
          <w:rFonts w:ascii="Century Gothic" w:hAnsi="Century Gothic" w:cs="Arial"/>
          <w:color w:val="000000" w:themeColor="text1"/>
          <w:lang w:eastAsia="es-MX"/>
        </w:rPr>
        <w:t xml:space="preserve"> teniendo en cuenta, que a través del cual se busca estandarizar buenas prácticas contractuales para la celebración de este tipo de convenios.</w:t>
      </w:r>
    </w:p>
    <w:p w:rsidRPr="00C24A08" w:rsidR="00296F67" w:rsidP="00B47BA1" w:rsidRDefault="00296F67" w14:paraId="2C42C49A" w14:textId="3AAFC2CB">
      <w:pPr>
        <w:shd w:val="clear" w:color="auto" w:fill="FFFFFF" w:themeFill="background1"/>
        <w:spacing w:after="120" w:line="276" w:lineRule="auto"/>
        <w:ind w:firstLine="708"/>
        <w:jc w:val="both"/>
        <w:textAlignment w:val="baseline"/>
        <w:rPr>
          <w:rFonts w:ascii="Century Gothic" w:hAnsi="Century Gothic" w:cs="Arial"/>
          <w:color w:val="000000" w:themeColor="text1"/>
          <w:lang w:eastAsia="es-MX"/>
        </w:rPr>
      </w:pPr>
      <w:r w:rsidRPr="00C24A08">
        <w:rPr>
          <w:rFonts w:ascii="Century Gothic" w:hAnsi="Century Gothic" w:cs="Arial"/>
          <w:color w:val="000000" w:themeColor="text1"/>
          <w:lang w:eastAsia="es-MX"/>
        </w:rPr>
        <w:t xml:space="preserve">Por lo demás, si bien en página </w:t>
      </w:r>
      <w:r w:rsidRPr="00C24A08" w:rsidR="00F76ED4">
        <w:rPr>
          <w:rFonts w:ascii="Century Gothic" w:hAnsi="Century Gothic" w:cs="Arial"/>
          <w:color w:val="000000" w:themeColor="text1"/>
          <w:lang w:eastAsia="es-MX"/>
        </w:rPr>
        <w:t xml:space="preserve">web </w:t>
      </w:r>
      <w:r w:rsidRPr="00C24A08" w:rsidR="00BA58BE">
        <w:rPr>
          <w:rFonts w:ascii="Century Gothic" w:hAnsi="Century Gothic" w:cs="Arial"/>
          <w:color w:val="000000" w:themeColor="text1"/>
          <w:lang w:eastAsia="es-MX"/>
        </w:rPr>
        <w:t xml:space="preserve"> </w:t>
      </w:r>
      <w:hyperlink w:history="1" r:id="rId19">
        <w:r w:rsidRPr="00C24A08" w:rsidR="00BA58BE">
          <w:rPr>
            <w:rStyle w:val="Hipervnculo"/>
            <w:rFonts w:ascii="Century Gothic" w:hAnsi="Century Gothic" w:cs="Arial"/>
            <w:lang w:eastAsia="es-MX"/>
          </w:rPr>
          <w:t>https://www.colombiacompra.gov.co/sites/cce_public/files/cce_documentos/convenio_solidario_jac.pdf</w:t>
        </w:r>
      </w:hyperlink>
      <w:r w:rsidRPr="00C24A08" w:rsidR="00BA58BE">
        <w:rPr>
          <w:rFonts w:ascii="Century Gothic" w:hAnsi="Century Gothic" w:cs="Arial"/>
          <w:color w:val="000000" w:themeColor="text1"/>
          <w:lang w:eastAsia="es-MX"/>
        </w:rPr>
        <w:t>e</w:t>
      </w:r>
      <w:r w:rsidRPr="00C24A08">
        <w:rPr>
          <w:rFonts w:ascii="Century Gothic" w:hAnsi="Century Gothic" w:cs="Arial"/>
          <w:color w:val="000000" w:themeColor="text1"/>
          <w:lang w:eastAsia="es-MX"/>
        </w:rPr>
        <w:t xml:space="preserve">xiste un modelo de convenio con juntas de acción comunal, este únicamente tiene naturaleza facultativa. Sin embargo, el formato no está actualizado con los cambios normativos que se han referenciado en el presente concepto, </w:t>
      </w:r>
    </w:p>
    <w:p w:rsidRPr="00C24A08" w:rsidR="004D4F4B" w:rsidP="00BC1331" w:rsidRDefault="00B47BA1" w14:paraId="186DDE41" w14:textId="0F34F748">
      <w:pPr>
        <w:shd w:val="clear" w:color="auto" w:fill="FFFFFF" w:themeFill="background1"/>
        <w:spacing w:after="0" w:line="276" w:lineRule="auto"/>
        <w:ind w:firstLine="708"/>
        <w:jc w:val="both"/>
        <w:textAlignment w:val="baseline"/>
        <w:rPr>
          <w:rFonts w:ascii="Century Gothic" w:hAnsi="Century Gothic" w:eastAsia="Calibri" w:cs="Arial"/>
          <w:color w:val="000000" w:themeColor="text1"/>
        </w:rPr>
      </w:pPr>
      <w:r w:rsidRPr="00C24A08">
        <w:rPr>
          <w:rFonts w:ascii="Century Gothic" w:hAnsi="Century Gothic" w:cs="Arial"/>
          <w:color w:val="000000" w:themeColor="text1"/>
          <w:lang w:eastAsia="es-MX"/>
        </w:rPr>
        <w:t xml:space="preserve">Finalmente, </w:t>
      </w:r>
      <w:r w:rsidRPr="00C24A08" w:rsidR="00621516">
        <w:rPr>
          <w:rFonts w:ascii="Century Gothic" w:hAnsi="Century Gothic" w:cs="Arial"/>
          <w:color w:val="000000" w:themeColor="text1"/>
          <w:lang w:eastAsia="es-MX"/>
        </w:rPr>
        <w:t xml:space="preserve">sobre el </w:t>
      </w:r>
      <w:r w:rsidRPr="00C24A08" w:rsidR="00621516">
        <w:rPr>
          <w:rFonts w:ascii="Century Gothic" w:hAnsi="Century Gothic" w:cs="Arial"/>
          <w:color w:val="000000" w:themeColor="text1"/>
          <w:sz w:val="21"/>
          <w:szCs w:val="21"/>
          <w:lang w:val="es-ES_tradnl"/>
        </w:rPr>
        <w:t>programa de Caminos Comunitarios para la Paz Total del INVIAS</w:t>
      </w:r>
      <w:r w:rsidRPr="00C24A08" w:rsidR="00621516">
        <w:rPr>
          <w:rFonts w:ascii="Century Gothic" w:hAnsi="Century Gothic" w:cs="Arial"/>
          <w:color w:val="000000" w:themeColor="text1"/>
          <w:lang w:eastAsia="es-MX"/>
        </w:rPr>
        <w:t xml:space="preserve"> está Agencia no puede emitir concepto alguno, toda vez que </w:t>
      </w:r>
      <w:r w:rsidRPr="00C24A08" w:rsidR="00BC1331">
        <w:rPr>
          <w:rFonts w:ascii="Century Gothic" w:hAnsi="Century Gothic" w:cs="Arial"/>
          <w:color w:val="000000" w:themeColor="text1"/>
          <w:lang w:eastAsia="es-MX"/>
        </w:rPr>
        <w:t xml:space="preserve">ello </w:t>
      </w:r>
      <w:r w:rsidRPr="00C24A08" w:rsidR="004D4F4B">
        <w:rPr>
          <w:rFonts w:ascii="Century Gothic" w:hAnsi="Century Gothic" w:eastAsia="Calibri" w:cs="Arial"/>
          <w:color w:val="000000" w:themeColor="text1"/>
        </w:rPr>
        <w:t xml:space="preserve">desborda las atribuciones asignadas por el legislador extraordinario, que no concibió a Colombia Compra Eficiente como una autoridad para </w:t>
      </w:r>
      <w:r w:rsidRPr="00C24A08" w:rsidR="00BC1331">
        <w:rPr>
          <w:rFonts w:ascii="Century Gothic" w:hAnsi="Century Gothic" w:eastAsia="Calibri" w:cs="Arial"/>
          <w:color w:val="000000" w:themeColor="text1"/>
        </w:rPr>
        <w:t xml:space="preserve">pronunciarse sobre casos particulares de </w:t>
      </w:r>
      <w:r w:rsidRPr="00C24A08" w:rsidR="004D4F4B">
        <w:rPr>
          <w:rFonts w:ascii="Century Gothic" w:hAnsi="Century Gothic" w:eastAsia="Calibri" w:cs="Arial"/>
          <w:color w:val="000000" w:themeColor="text1"/>
        </w:rPr>
        <w:t xml:space="preserve">los partícipes de la contratación estatal ni para interpretar el alcance de </w:t>
      </w:r>
      <w:r w:rsidRPr="00C24A08" w:rsidR="00965886">
        <w:rPr>
          <w:rFonts w:ascii="Century Gothic" w:hAnsi="Century Gothic" w:eastAsia="Calibri" w:cs="Arial"/>
          <w:color w:val="000000" w:themeColor="text1"/>
        </w:rPr>
        <w:t>los proyectos adelantados por cada entidad estatal.</w:t>
      </w:r>
    </w:p>
    <w:p w:rsidRPr="00C24A08" w:rsidR="00965886" w:rsidP="00621516" w:rsidRDefault="00965886" w14:paraId="5C59B595" w14:textId="77777777">
      <w:pPr>
        <w:shd w:val="clear" w:color="auto" w:fill="FFFFFF" w:themeFill="background1"/>
        <w:spacing w:after="0" w:line="276" w:lineRule="auto"/>
        <w:jc w:val="both"/>
        <w:textAlignment w:val="baseline"/>
        <w:rPr>
          <w:rFonts w:ascii="Century Gothic" w:hAnsi="Century Gothic" w:eastAsia="Calibri" w:cs="Arial"/>
          <w:color w:val="000000" w:themeColor="text1"/>
        </w:rPr>
      </w:pPr>
    </w:p>
    <w:p w:rsidRPr="00C24A08" w:rsidR="00621516" w:rsidP="00FD561A" w:rsidRDefault="00621516" w14:paraId="23FE5E5B" w14:textId="641031F7">
      <w:pPr>
        <w:shd w:val="clear" w:color="auto" w:fill="FFFFFF" w:themeFill="background1"/>
        <w:spacing w:after="0" w:line="276" w:lineRule="auto"/>
        <w:jc w:val="both"/>
        <w:textAlignment w:val="baseline"/>
        <w:rPr>
          <w:rFonts w:ascii="Century Gothic" w:hAnsi="Century Gothic" w:cs="Arial"/>
          <w:color w:val="000000" w:themeColor="text1"/>
          <w:lang w:eastAsia="es-MX"/>
        </w:rPr>
      </w:pPr>
      <w:r w:rsidRPr="00C24A08">
        <w:rPr>
          <w:rFonts w:ascii="Century Gothic" w:hAnsi="Century Gothic" w:cs="Arial"/>
          <w:color w:val="000000" w:themeColor="text1"/>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C24A08" w:rsidR="00BB4065" w:rsidP="00BB4065" w:rsidRDefault="00BB4065" w14:paraId="1E4C76EB" w14:textId="77777777">
      <w:pPr>
        <w:widowControl w:val="0"/>
        <w:shd w:val="clear" w:color="auto" w:fill="FFFFFF" w:themeFill="background1"/>
        <w:autoSpaceDE w:val="0"/>
        <w:autoSpaceDN w:val="0"/>
        <w:spacing w:after="0" w:line="276" w:lineRule="auto"/>
        <w:jc w:val="both"/>
        <w:rPr>
          <w:rFonts w:ascii="Century Gothic" w:hAnsi="Century Gothic" w:cs="Arial"/>
          <w:color w:val="000000" w:themeColor="text1"/>
          <w:lang w:val="es-ES_tradnl" w:bidi="es-ES"/>
        </w:rPr>
      </w:pPr>
    </w:p>
    <w:p w:rsidRPr="00C24A08" w:rsidR="00296F67" w:rsidP="00296F67" w:rsidRDefault="00296F67" w14:paraId="6403E76F" w14:textId="77777777">
      <w:pPr>
        <w:shd w:val="clear" w:color="auto" w:fill="FFFFFF" w:themeFill="background1"/>
        <w:tabs>
          <w:tab w:val="left" w:pos="426"/>
        </w:tabs>
        <w:spacing w:line="276" w:lineRule="auto"/>
        <w:jc w:val="both"/>
        <w:rPr>
          <w:rFonts w:ascii="Century Gothic" w:hAnsi="Century Gothic" w:eastAsia="Times New Roman" w:cs="Arial"/>
          <w:color w:val="000000" w:themeColor="text1"/>
        </w:rPr>
      </w:pPr>
      <w:r w:rsidRPr="07B24358" w:rsidR="00296F67">
        <w:rPr>
          <w:rFonts w:ascii="Century Gothic" w:hAnsi="Century Gothic" w:eastAsia="Times New Roman" w:cs="Arial"/>
          <w:color w:val="000000" w:themeColor="text1" w:themeTint="FF" w:themeShade="FF"/>
        </w:rPr>
        <w:t>Atentamente,</w:t>
      </w:r>
    </w:p>
    <w:p w:rsidRPr="00C24A08" w:rsidR="00296F67" w:rsidP="07B24358" w:rsidRDefault="00296F67" w14:paraId="04D28C68" w14:textId="0B9AA62B">
      <w:pPr>
        <w:pStyle w:val="Normal"/>
        <w:jc w:val="center"/>
      </w:pPr>
      <w:r w:rsidR="1109A3DD">
        <w:drawing>
          <wp:inline wp14:editId="59C4F09F" wp14:anchorId="5CF9536F">
            <wp:extent cx="3304761" cy="1266825"/>
            <wp:effectExtent l="0" t="0" r="0" b="0"/>
            <wp:docPr id="1096423650" name="" title=""/>
            <wp:cNvGraphicFramePr>
              <a:graphicFrameLocks noChangeAspect="1"/>
            </wp:cNvGraphicFramePr>
            <a:graphic>
              <a:graphicData uri="http://schemas.openxmlformats.org/drawingml/2006/picture">
                <pic:pic>
                  <pic:nvPicPr>
                    <pic:cNvPr id="0" name=""/>
                    <pic:cNvPicPr/>
                  </pic:nvPicPr>
                  <pic:blipFill>
                    <a:blip r:embed="R61ede83170f0498a">
                      <a:extLst>
                        <a:ext xmlns:a="http://schemas.openxmlformats.org/drawingml/2006/main" uri="{28A0092B-C50C-407E-A947-70E740481C1C}">
                          <a14:useLocalDpi val="0"/>
                        </a:ext>
                      </a:extLst>
                    </a:blip>
                    <a:stretch>
                      <a:fillRect/>
                    </a:stretch>
                  </pic:blipFill>
                  <pic:spPr>
                    <a:xfrm>
                      <a:off x="0" y="0"/>
                      <a:ext cx="3304761" cy="1266825"/>
                    </a:xfrm>
                    <a:prstGeom prst="rect">
                      <a:avLst/>
                    </a:prstGeom>
                  </pic:spPr>
                </pic:pic>
              </a:graphicData>
            </a:graphic>
          </wp:inline>
        </w:drawing>
      </w:r>
    </w:p>
    <w:tbl>
      <w:tblPr>
        <w:tblW w:w="57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7"/>
        <w:gridCol w:w="4937"/>
      </w:tblGrid>
      <w:tr w:rsidRPr="00C24A08" w:rsidR="00296F67" w:rsidTr="007B413E" w14:paraId="001E8C62" w14:textId="77777777">
        <w:trPr>
          <w:trHeight w:val="409"/>
        </w:trPr>
        <w:tc>
          <w:tcPr>
            <w:tcW w:w="817" w:type="dxa"/>
            <w:tcBorders>
              <w:top w:val="nil"/>
              <w:left w:val="nil"/>
              <w:bottom w:val="nil"/>
              <w:right w:val="nil"/>
            </w:tcBorders>
            <w:vAlign w:val="center"/>
            <w:hideMark/>
          </w:tcPr>
          <w:p w:rsidRPr="00C24A08" w:rsidR="00296F67" w:rsidP="007B413E" w:rsidRDefault="00296F67" w14:paraId="1C6127A8" w14:textId="77777777">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Elaboró: </w:t>
            </w:r>
          </w:p>
        </w:tc>
        <w:tc>
          <w:tcPr>
            <w:tcW w:w="4937" w:type="dxa"/>
            <w:tcBorders>
              <w:top w:val="nil"/>
              <w:left w:val="nil"/>
              <w:bottom w:val="dotted" w:color="7F7F7F" w:themeColor="text1" w:themeTint="80" w:sz="6" w:space="0"/>
              <w:right w:val="nil"/>
            </w:tcBorders>
            <w:vAlign w:val="center"/>
            <w:hideMark/>
          </w:tcPr>
          <w:p w:rsidRPr="00C24A08" w:rsidR="00296F67" w:rsidP="007B413E" w:rsidRDefault="00FE3211" w14:paraId="563B2282" w14:textId="6CB8BFC9">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Any Alejandra Tovar Castillo</w:t>
            </w:r>
          </w:p>
          <w:p w:rsidRPr="00C24A08" w:rsidR="00296F67" w:rsidP="007B413E" w:rsidRDefault="00296F67" w14:paraId="35A7C432" w14:textId="77777777">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Contratista de la Subdirección de Gestión Contractual</w:t>
            </w:r>
          </w:p>
        </w:tc>
      </w:tr>
      <w:tr w:rsidRPr="00C24A08" w:rsidR="00296F67" w:rsidTr="007B413E" w14:paraId="69B86C0B" w14:textId="77777777">
        <w:trPr>
          <w:trHeight w:val="409"/>
        </w:trPr>
        <w:tc>
          <w:tcPr>
            <w:tcW w:w="817" w:type="dxa"/>
            <w:tcBorders>
              <w:top w:val="nil"/>
              <w:left w:val="nil"/>
              <w:right w:val="nil"/>
            </w:tcBorders>
            <w:vAlign w:val="center"/>
          </w:tcPr>
          <w:p w:rsidRPr="00C24A08" w:rsidR="00296F67" w:rsidP="007B413E" w:rsidRDefault="00296F67" w14:paraId="2EFC3364" w14:textId="77777777">
            <w:pPr>
              <w:shd w:val="clear" w:color="auto" w:fill="FFFFFF" w:themeFill="background1"/>
              <w:jc w:val="both"/>
              <w:rPr>
                <w:rFonts w:ascii="Century Gothic" w:hAnsi="Century Gothic" w:cs="Arial"/>
                <w:sz w:val="16"/>
                <w:szCs w:val="16"/>
              </w:rPr>
            </w:pPr>
            <w:r w:rsidRPr="00C24A08">
              <w:rPr>
                <w:rFonts w:ascii="Century Gothic" w:hAnsi="Century Gothic" w:cs="Arial"/>
                <w:sz w:val="16"/>
                <w:szCs w:val="16"/>
              </w:rPr>
              <w:t>Revisó</w:t>
            </w:r>
          </w:p>
        </w:tc>
        <w:tc>
          <w:tcPr>
            <w:tcW w:w="4937" w:type="dxa"/>
            <w:tcBorders>
              <w:top w:val="dotted" w:color="7F7F7F" w:themeColor="text1" w:themeTint="80" w:sz="6" w:space="0"/>
              <w:left w:val="nil"/>
              <w:bottom w:val="dotted" w:color="7F7F7F" w:themeColor="text1" w:themeTint="80" w:sz="6" w:space="0"/>
              <w:right w:val="nil"/>
            </w:tcBorders>
            <w:vAlign w:val="center"/>
          </w:tcPr>
          <w:p w:rsidRPr="00C24A08" w:rsidR="00296F67" w:rsidP="007B413E" w:rsidRDefault="00296F67" w14:paraId="1C4C481E" w14:textId="77777777">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Alejandro Sarmiento Cantillo</w:t>
            </w:r>
          </w:p>
          <w:p w:rsidRPr="00C24A08" w:rsidR="00296F67" w:rsidP="00FE3211" w:rsidRDefault="00296F67" w14:paraId="70F10778" w14:textId="1B298388">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 xml:space="preserve">Gestor T1 </w:t>
            </w:r>
            <w:r w:rsidRPr="00C24A08">
              <w:rPr>
                <w:rFonts w:ascii="Arial" w:hAnsi="Arial" w:cs="Arial"/>
                <w:sz w:val="16"/>
                <w:szCs w:val="16"/>
              </w:rPr>
              <w:t>‒</w:t>
            </w:r>
            <w:r w:rsidRPr="00C24A08">
              <w:rPr>
                <w:rFonts w:ascii="Century Gothic" w:hAnsi="Century Gothic" w:cs="Arial"/>
                <w:sz w:val="16"/>
                <w:szCs w:val="16"/>
              </w:rPr>
              <w:t xml:space="preserve"> 15 de la Subdirecci</w:t>
            </w:r>
            <w:r w:rsidRPr="00C24A08">
              <w:rPr>
                <w:rFonts w:ascii="Century Gothic" w:hAnsi="Century Gothic" w:cs="Century Gothic"/>
                <w:sz w:val="16"/>
                <w:szCs w:val="16"/>
              </w:rPr>
              <w:t>ó</w:t>
            </w:r>
            <w:r w:rsidRPr="00C24A08">
              <w:rPr>
                <w:rFonts w:ascii="Century Gothic" w:hAnsi="Century Gothic" w:cs="Arial"/>
                <w:sz w:val="16"/>
                <w:szCs w:val="16"/>
              </w:rPr>
              <w:t>n de Gesti</w:t>
            </w:r>
            <w:r w:rsidRPr="00C24A08">
              <w:rPr>
                <w:rFonts w:ascii="Century Gothic" w:hAnsi="Century Gothic" w:cs="Century Gothic"/>
                <w:sz w:val="16"/>
                <w:szCs w:val="16"/>
              </w:rPr>
              <w:t>ó</w:t>
            </w:r>
            <w:r w:rsidRPr="00C24A08">
              <w:rPr>
                <w:rFonts w:ascii="Century Gothic" w:hAnsi="Century Gothic" w:cs="Arial"/>
                <w:sz w:val="16"/>
                <w:szCs w:val="16"/>
              </w:rPr>
              <w:t>n Contractual</w:t>
            </w:r>
          </w:p>
        </w:tc>
      </w:tr>
      <w:tr w:rsidRPr="00C24A08" w:rsidR="00296F67" w:rsidTr="007B413E" w14:paraId="5602B8EB" w14:textId="77777777">
        <w:trPr>
          <w:trHeight w:val="389"/>
        </w:trPr>
        <w:tc>
          <w:tcPr>
            <w:tcW w:w="817" w:type="dxa"/>
            <w:tcBorders>
              <w:top w:val="nil"/>
              <w:left w:val="nil"/>
              <w:bottom w:val="nil"/>
              <w:right w:val="nil"/>
            </w:tcBorders>
            <w:vAlign w:val="center"/>
            <w:hideMark/>
          </w:tcPr>
          <w:p w:rsidRPr="00C24A08" w:rsidR="00296F67" w:rsidP="007B413E" w:rsidRDefault="00296F67" w14:paraId="6315E019" w14:textId="77777777">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Aprobó: </w:t>
            </w:r>
          </w:p>
        </w:tc>
        <w:tc>
          <w:tcPr>
            <w:tcW w:w="4937" w:type="dxa"/>
            <w:tcBorders>
              <w:top w:val="dotted" w:color="7F7F7F" w:themeColor="text1" w:themeTint="80" w:sz="6" w:space="0"/>
              <w:left w:val="nil"/>
              <w:bottom w:val="dotted" w:color="7F7F7F" w:themeColor="text1" w:themeTint="80" w:sz="6" w:space="0"/>
              <w:right w:val="nil"/>
            </w:tcBorders>
            <w:vAlign w:val="center"/>
            <w:hideMark/>
          </w:tcPr>
          <w:p w:rsidRPr="00C24A08" w:rsidR="00296F67" w:rsidP="007B413E" w:rsidRDefault="00296F67" w14:paraId="594313D2" w14:textId="77777777">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 xml:space="preserve">Nohelia del Carmen </w:t>
            </w:r>
            <w:proofErr w:type="spellStart"/>
            <w:r w:rsidRPr="00C24A08">
              <w:rPr>
                <w:rFonts w:ascii="Century Gothic" w:hAnsi="Century Gothic" w:cs="Arial"/>
                <w:sz w:val="16"/>
                <w:szCs w:val="16"/>
              </w:rPr>
              <w:t>Zawady</w:t>
            </w:r>
            <w:proofErr w:type="spellEnd"/>
            <w:r w:rsidRPr="00C24A08">
              <w:rPr>
                <w:rFonts w:ascii="Century Gothic" w:hAnsi="Century Gothic" w:cs="Arial"/>
                <w:sz w:val="16"/>
                <w:szCs w:val="16"/>
              </w:rPr>
              <w:t xml:space="preserve"> Palacio</w:t>
            </w:r>
          </w:p>
          <w:p w:rsidRPr="00C24A08" w:rsidR="00296F67" w:rsidP="007B413E" w:rsidRDefault="00296F67" w14:paraId="7D5C38FA" w14:textId="77777777">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Subdirectora de Gestión Contractual ANCP - CCE</w:t>
            </w:r>
          </w:p>
        </w:tc>
      </w:tr>
      <w:bookmarkEnd w:id="2"/>
    </w:tbl>
    <w:p w:rsidRPr="00C24A08" w:rsidR="00296F67" w:rsidP="00296F67" w:rsidRDefault="00296F67" w14:paraId="417CF101" w14:textId="77777777">
      <w:pPr>
        <w:shd w:val="clear" w:color="auto" w:fill="FFFFFF" w:themeFill="background1"/>
        <w:tabs>
          <w:tab w:val="left" w:pos="0"/>
        </w:tabs>
        <w:spacing w:line="276" w:lineRule="auto"/>
        <w:contextualSpacing/>
        <w:jc w:val="both"/>
        <w:rPr>
          <w:rFonts w:ascii="Century Gothic" w:hAnsi="Century Gothic"/>
          <w:lang w:val="es-MX"/>
        </w:rPr>
      </w:pPr>
    </w:p>
    <w:p w:rsidRPr="00C24A08" w:rsidR="00296F67" w:rsidP="00296F67" w:rsidRDefault="00296F67" w14:paraId="713680D6" w14:textId="77777777">
      <w:pPr>
        <w:shd w:val="clear" w:color="auto" w:fill="FFFFFF" w:themeFill="background1"/>
        <w:rPr>
          <w:rFonts w:ascii="Century Gothic" w:hAnsi="Century Gothic"/>
        </w:rPr>
      </w:pPr>
    </w:p>
    <w:p w:rsidRPr="00C24A08" w:rsidR="00C330EB" w:rsidP="00296F67" w:rsidRDefault="00C330EB" w14:paraId="0FD4057A" w14:textId="77777777">
      <w:pPr>
        <w:spacing w:after="0"/>
        <w:rPr>
          <w:rFonts w:ascii="Century Gothic" w:hAnsi="Century Gothic"/>
          <w:b/>
          <w:color w:val="002060"/>
        </w:rPr>
      </w:pPr>
    </w:p>
    <w:sectPr w:rsidRPr="00C24A08" w:rsidR="00C330EB" w:rsidSect="00923EEF">
      <w:headerReference w:type="default" r:id="rId21"/>
      <w:footerReference w:type="default" r:id="rId22"/>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407ED" w:rsidP="004A1847" w:rsidRDefault="000407ED" w14:paraId="6983E1A6" w14:textId="77777777">
      <w:pPr>
        <w:spacing w:after="0" w:line="240" w:lineRule="auto"/>
      </w:pPr>
      <w:r>
        <w:separator/>
      </w:r>
    </w:p>
  </w:endnote>
  <w:endnote w:type="continuationSeparator" w:id="0">
    <w:p w:rsidR="000407ED" w:rsidP="004A1847" w:rsidRDefault="000407ED" w14:paraId="2781474D" w14:textId="77777777">
      <w:pPr>
        <w:spacing w:after="0" w:line="240" w:lineRule="auto"/>
      </w:pPr>
      <w:r>
        <w:continuationSeparator/>
      </w:r>
    </w:p>
  </w:endnote>
  <w:endnote w:type="continuationNotice" w:id="1">
    <w:p w:rsidR="000407ED" w:rsidRDefault="000407ED" w14:paraId="00C831B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62368336">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3F78C75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E0DB946">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407ED" w:rsidP="004A1847" w:rsidRDefault="000407ED" w14:paraId="52A61E85" w14:textId="77777777">
      <w:pPr>
        <w:spacing w:after="0" w:line="240" w:lineRule="auto"/>
      </w:pPr>
      <w:r>
        <w:separator/>
      </w:r>
    </w:p>
  </w:footnote>
  <w:footnote w:type="continuationSeparator" w:id="0">
    <w:p w:rsidR="000407ED" w:rsidP="004A1847" w:rsidRDefault="000407ED" w14:paraId="3D928DF7" w14:textId="77777777">
      <w:pPr>
        <w:spacing w:after="0" w:line="240" w:lineRule="auto"/>
      </w:pPr>
      <w:r>
        <w:continuationSeparator/>
      </w:r>
    </w:p>
  </w:footnote>
  <w:footnote w:type="continuationNotice" w:id="1">
    <w:p w:rsidR="000407ED" w:rsidRDefault="000407ED" w14:paraId="1CF61638" w14:textId="77777777">
      <w:pPr>
        <w:spacing w:after="0" w:line="240" w:lineRule="auto"/>
      </w:pPr>
    </w:p>
  </w:footnote>
  <w:footnote w:id="2">
    <w:p w:rsidRPr="00480D1F" w:rsidR="00296F67" w:rsidP="003D3A8C" w:rsidRDefault="00296F67" w14:paraId="434A0EC9" w14:textId="77777777">
      <w:pPr>
        <w:pStyle w:val="Textonotapie"/>
        <w:ind w:firstLine="708"/>
        <w:jc w:val="both"/>
        <w:rPr>
          <w:rFonts w:ascii="Century Gothic" w:hAnsi="Century Gothic" w:cs="Arial"/>
          <w:sz w:val="18"/>
          <w:szCs w:val="18"/>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480D1F">
          <w:rPr>
            <w:rStyle w:val="Hipervnculo"/>
            <w:rFonts w:ascii="Century Gothic" w:hAnsi="Century Gothic" w:cs="Arial"/>
            <w:sz w:val="18"/>
            <w:szCs w:val="18"/>
          </w:rPr>
          <w:t>https://relatoria.colombiacompra.gov.co/busqueda/conceptos</w:t>
        </w:r>
      </w:hyperlink>
      <w:r w:rsidRPr="00480D1F">
        <w:rPr>
          <w:rStyle w:val="Hipervnculo"/>
          <w:rFonts w:ascii="Century Gothic" w:hAnsi="Century Gothic" w:cs="Arial"/>
          <w:sz w:val="18"/>
          <w:szCs w:val="18"/>
        </w:rPr>
        <w:t xml:space="preserve">. </w:t>
      </w:r>
      <w:r w:rsidRPr="00480D1F">
        <w:rPr>
          <w:rFonts w:ascii="Century Gothic" w:hAnsi="Century Gothic" w:cs="Arial"/>
          <w:sz w:val="18"/>
          <w:szCs w:val="18"/>
          <w:shd w:val="clear" w:color="auto" w:fill="E6E6E6"/>
        </w:rPr>
        <w:t xml:space="preserve"> </w:t>
      </w:r>
    </w:p>
  </w:footnote>
  <w:footnote w:id="3">
    <w:p w:rsidRPr="00480D1F" w:rsidR="00296F67" w:rsidP="003D3A8C" w:rsidRDefault="00296F67" w14:paraId="7CFF75DB" w14:textId="77777777">
      <w:pPr>
        <w:pStyle w:val="Textonotapie"/>
        <w:ind w:firstLine="708"/>
        <w:jc w:val="both"/>
        <w:rPr>
          <w:rFonts w:ascii="Century Gothic" w:hAnsi="Century Gothic" w:cs="Arial"/>
          <w:sz w:val="18"/>
          <w:szCs w:val="18"/>
          <w:lang w:val="es-CO"/>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w:t>
      </w:r>
      <w:r w:rsidRPr="00480D1F">
        <w:rPr>
          <w:rFonts w:ascii="Century Gothic" w:hAnsi="Century Gothic" w:cs="Arial"/>
          <w:sz w:val="18"/>
          <w:szCs w:val="18"/>
          <w:lang w:val="es-CO"/>
        </w:rPr>
        <w:t>Corte Constitucional, M.P. Clara Inés Vargas Hernández, en sentencia C 580 del 6 de junio de 2001, Exp O.P.047.</w:t>
      </w:r>
    </w:p>
    <w:p w:rsidRPr="00480D1F" w:rsidR="003D3A8C" w:rsidP="003D3A8C" w:rsidRDefault="003D3A8C" w14:paraId="53E5EBEC" w14:textId="77777777">
      <w:pPr>
        <w:pStyle w:val="Textonotapie"/>
        <w:ind w:firstLine="708"/>
        <w:jc w:val="both"/>
        <w:rPr>
          <w:rFonts w:ascii="Century Gothic" w:hAnsi="Century Gothic" w:cs="Arial"/>
          <w:sz w:val="18"/>
          <w:szCs w:val="18"/>
          <w:lang w:val="es-CO"/>
        </w:rPr>
      </w:pPr>
    </w:p>
  </w:footnote>
  <w:footnote w:id="4">
    <w:p w:rsidRPr="00480D1F" w:rsidR="008D65C2" w:rsidP="003D3A8C" w:rsidRDefault="008D65C2" w14:paraId="140D85CC" w14:textId="641BB061">
      <w:pPr>
        <w:pStyle w:val="Textonotapie"/>
        <w:ind w:firstLine="708"/>
        <w:jc w:val="both"/>
        <w:rPr>
          <w:rFonts w:ascii="Century Gothic" w:hAnsi="Century Gothic"/>
          <w:sz w:val="18"/>
          <w:szCs w:val="18"/>
          <w:lang w:val="es-CO"/>
        </w:rPr>
      </w:pPr>
      <w:r w:rsidRPr="00480D1F">
        <w:rPr>
          <w:rStyle w:val="Refdenotaalpie"/>
          <w:rFonts w:ascii="Century Gothic" w:hAnsi="Century Gothic"/>
          <w:sz w:val="18"/>
          <w:szCs w:val="18"/>
        </w:rPr>
        <w:footnoteRef/>
      </w:r>
      <w:r w:rsidRPr="00480D1F">
        <w:rPr>
          <w:rFonts w:ascii="Century Gothic" w:hAnsi="Century Gothic"/>
          <w:sz w:val="18"/>
          <w:szCs w:val="18"/>
        </w:rPr>
        <w:t xml:space="preserve"> </w:t>
      </w:r>
      <w:r w:rsidRPr="00480D1F" w:rsidR="00320855">
        <w:rPr>
          <w:rFonts w:ascii="Century Gothic" w:hAnsi="Century Gothic"/>
          <w:sz w:val="18"/>
          <w:szCs w:val="18"/>
        </w:rPr>
        <w:t>En el segundo grado por su parte, se clasificaron las asociaciones de juntas de acción comunal; en el tercer grado a la Federación de la acción comunal, constituida por los organismos de segundo grado y en cuarto grado al Confederación nacional de Acción comunal, constituido por los organismos de tercer grado y que posteriormente se afilien.</w:t>
      </w:r>
    </w:p>
  </w:footnote>
  <w:footnote w:id="5">
    <w:p w:rsidRPr="00480D1F" w:rsidR="00296F67" w:rsidP="003D3A8C" w:rsidRDefault="00296F67" w14:paraId="6F594F50" w14:textId="77777777">
      <w:pPr>
        <w:pStyle w:val="Textonotapie"/>
        <w:spacing w:before="120" w:after="120"/>
        <w:ind w:firstLine="708"/>
        <w:jc w:val="both"/>
        <w:rPr>
          <w:rFonts w:ascii="Century Gothic" w:hAnsi="Century Gothic" w:cs="Arial"/>
          <w:sz w:val="18"/>
          <w:szCs w:val="18"/>
          <w:lang w:val="es-CO"/>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w:t>
      </w:r>
      <w:r w:rsidRPr="00480D1F">
        <w:rPr>
          <w:rFonts w:ascii="Century Gothic" w:hAnsi="Century Gothic" w:cs="Arial"/>
          <w:sz w:val="18"/>
          <w:szCs w:val="18"/>
          <w:lang w:val="es-CO"/>
        </w:rPr>
        <w:t>Corte Constitucional, M.P. Jorge Ignacio Pretelt Chaljub, en sentencia C 106 del 9 de marzo de 2016, Exp D-10894</w:t>
      </w:r>
    </w:p>
  </w:footnote>
  <w:footnote w:id="6">
    <w:p w:rsidRPr="00480D1F" w:rsidR="00296F67" w:rsidP="003D3A8C" w:rsidRDefault="00296F67" w14:paraId="50449A89" w14:textId="77777777">
      <w:pPr>
        <w:pStyle w:val="Textonotapie"/>
        <w:ind w:firstLine="709"/>
        <w:jc w:val="both"/>
        <w:rPr>
          <w:rFonts w:ascii="Century Gothic" w:hAnsi="Century Gothic" w:cs="Arial"/>
          <w:sz w:val="18"/>
          <w:szCs w:val="18"/>
          <w:lang w:val="es-ES"/>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w:t>
      </w:r>
      <w:r w:rsidRPr="00480D1F">
        <w:rPr>
          <w:rFonts w:ascii="Century Gothic" w:hAnsi="Century Gothic" w:cs="Arial"/>
          <w:sz w:val="18"/>
          <w:szCs w:val="18"/>
          <w:lang w:val="es-ES"/>
        </w:rPr>
        <w:t>El numeral 16 del artículo tercero de la Ley 136 de 1994 dispone lo siguiente:</w:t>
      </w:r>
      <w:r w:rsidRPr="00480D1F">
        <w:rPr>
          <w:rFonts w:ascii="Century Gothic" w:hAnsi="Century Gothic" w:cs="Arial"/>
          <w:color w:val="000000" w:themeColor="text1"/>
          <w:sz w:val="18"/>
          <w:szCs w:val="18"/>
          <w:lang w:val="es-CO"/>
        </w:rPr>
        <w:t xml:space="preserve"> “[…] </w:t>
      </w:r>
      <w:r w:rsidRPr="00480D1F">
        <w:rPr>
          <w:rFonts w:ascii="Century Gothic" w:hAnsi="Century Gothic" w:cs="Arial"/>
          <w:sz w:val="18"/>
          <w:szCs w:val="18"/>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480D1F">
        <w:rPr>
          <w:rFonts w:ascii="Century Gothic" w:hAnsi="Century Gothic" w:cs="Arial"/>
          <w:color w:val="000000" w:themeColor="text1"/>
          <w:sz w:val="18"/>
          <w:szCs w:val="18"/>
          <w:lang w:val="es-CO"/>
        </w:rPr>
        <w:t xml:space="preserve"> […]”.</w:t>
      </w:r>
    </w:p>
  </w:footnote>
  <w:footnote w:id="7">
    <w:p w:rsidRPr="00480D1F" w:rsidR="00296F67" w:rsidP="003D3A8C" w:rsidRDefault="00296F67" w14:paraId="72E957F4" w14:textId="77777777">
      <w:pPr>
        <w:pStyle w:val="Textonotapie"/>
        <w:ind w:firstLine="709"/>
        <w:jc w:val="both"/>
        <w:rPr>
          <w:rFonts w:ascii="Century Gothic" w:hAnsi="Century Gothic" w:cs="Arial"/>
          <w:sz w:val="18"/>
          <w:szCs w:val="18"/>
          <w:lang w:val="es-ES"/>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Al respecto puede consultarse, entre otros, los conceptos </w:t>
      </w:r>
      <w:r w:rsidRPr="00480D1F">
        <w:rPr>
          <w:rFonts w:ascii="Century Gothic" w:hAnsi="Century Gothic" w:cs="Arial"/>
          <w:sz w:val="18"/>
          <w:szCs w:val="18"/>
          <w:lang w:val="es-ES"/>
        </w:rPr>
        <w:t xml:space="preserve">C-155 del 14 de abril de 2021, C-364 del 28 de julio de 2021, C-394 del 17 de septiembre de 2021 y C-627 del 25 de octubre de 2021. </w:t>
      </w:r>
    </w:p>
    <w:p w:rsidRPr="00480D1F" w:rsidR="00512FD7" w:rsidP="003D3A8C" w:rsidRDefault="00512FD7" w14:paraId="0B4831EF" w14:textId="77777777">
      <w:pPr>
        <w:pStyle w:val="Textonotapie"/>
        <w:ind w:firstLine="709"/>
        <w:jc w:val="both"/>
        <w:rPr>
          <w:rFonts w:ascii="Century Gothic" w:hAnsi="Century Gothic" w:cs="Arial"/>
          <w:sz w:val="18"/>
          <w:szCs w:val="18"/>
          <w:lang w:val="es-ES"/>
        </w:rPr>
      </w:pPr>
    </w:p>
  </w:footnote>
  <w:footnote w:id="8">
    <w:p w:rsidRPr="00480D1F" w:rsidR="00296F67" w:rsidP="003D3A8C" w:rsidRDefault="00296F67" w14:paraId="7CE011D7" w14:textId="77777777">
      <w:pPr>
        <w:pStyle w:val="Textonotapie"/>
        <w:ind w:firstLine="709"/>
        <w:jc w:val="both"/>
        <w:rPr>
          <w:rFonts w:ascii="Century Gothic" w:hAnsi="Century Gothic" w:cs="Arial"/>
          <w:sz w:val="18"/>
          <w:szCs w:val="18"/>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p w:rsidR="00296F67" w:rsidP="003D3A8C" w:rsidRDefault="006F4645" w14:paraId="3B195C04" w14:textId="0D0EDBFC">
      <w:pPr>
        <w:pStyle w:val="Textonotapie"/>
        <w:ind w:firstLine="709"/>
        <w:jc w:val="both"/>
        <w:rPr>
          <w:rFonts w:ascii="Century Gothic" w:hAnsi="Century Gothic" w:cs="Arial"/>
          <w:sz w:val="18"/>
          <w:szCs w:val="18"/>
        </w:rPr>
      </w:pPr>
      <w:r w:rsidRPr="00480D1F">
        <w:rPr>
          <w:rFonts w:ascii="Century Gothic" w:hAnsi="Century Gothic" w:cs="Arial"/>
          <w:sz w:val="18"/>
          <w:szCs w:val="18"/>
        </w:rPr>
        <w:t>Par</w:t>
      </w:r>
      <w:r>
        <w:rPr>
          <w:rFonts w:ascii="Century Gothic" w:hAnsi="Century Gothic" w:cs="Arial"/>
          <w:sz w:val="18"/>
          <w:szCs w:val="18"/>
        </w:rPr>
        <w:t>á</w:t>
      </w:r>
      <w:r w:rsidRPr="00480D1F">
        <w:rPr>
          <w:rFonts w:ascii="Century Gothic" w:hAnsi="Century Gothic" w:cs="Arial"/>
          <w:sz w:val="18"/>
          <w:szCs w:val="18"/>
        </w:rPr>
        <w:t>grafo</w:t>
      </w:r>
      <w:r w:rsidRPr="00480D1F" w:rsidR="00296F67">
        <w:rPr>
          <w:rFonts w:ascii="Century Gothic" w:hAnsi="Century Gothic" w:cs="Arial"/>
          <w:sz w:val="18"/>
          <w:szCs w:val="18"/>
        </w:rPr>
        <w:t>: Los contratos o convenios que se celebren en desarrollo del artículo anterior, se sujetarán a lo dispuesto por los artículos 375 a 378 del Decreto 1333 de 1986 y la Ley 80 de 1993</w:t>
      </w:r>
      <w:r>
        <w:rPr>
          <w:rFonts w:ascii="Century Gothic" w:hAnsi="Century Gothic" w:cs="Arial"/>
          <w:sz w:val="18"/>
          <w:szCs w:val="18"/>
        </w:rPr>
        <w:t>”</w:t>
      </w:r>
      <w:r w:rsidRPr="00480D1F" w:rsidR="00296F67">
        <w:rPr>
          <w:rFonts w:ascii="Century Gothic" w:hAnsi="Century Gothic" w:cs="Arial"/>
          <w:sz w:val="18"/>
          <w:szCs w:val="18"/>
        </w:rPr>
        <w:t>.</w:t>
      </w:r>
    </w:p>
    <w:p w:rsidRPr="00480D1F" w:rsidR="00296F67" w:rsidP="003D3A8C" w:rsidRDefault="00296F67" w14:paraId="69476498" w14:textId="4BADD83B">
      <w:pPr>
        <w:pStyle w:val="Textonotapie"/>
        <w:ind w:firstLine="709"/>
        <w:jc w:val="both"/>
        <w:rPr>
          <w:rFonts w:ascii="Century Gothic" w:hAnsi="Century Gothic" w:cs="Arial"/>
          <w:sz w:val="18"/>
          <w:szCs w:val="18"/>
        </w:rPr>
      </w:pPr>
    </w:p>
  </w:footnote>
  <w:footnote w:id="9">
    <w:p w:rsidRPr="00480D1F" w:rsidR="00296F67" w:rsidP="003D3A8C" w:rsidRDefault="00296F67" w14:paraId="56EBE97B" w14:textId="77777777">
      <w:pPr>
        <w:pStyle w:val="Textonotapie"/>
        <w:ind w:firstLine="708"/>
        <w:jc w:val="both"/>
        <w:rPr>
          <w:rFonts w:ascii="Century Gothic" w:hAnsi="Century Gothic" w:cs="Arial"/>
          <w:sz w:val="18"/>
          <w:szCs w:val="18"/>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Ley 743 del 2002, “Artículo 55. </w:t>
      </w:r>
      <w:bookmarkStart w:name="_Hlk98586808" w:id="6"/>
      <w:r w:rsidRPr="00480D1F">
        <w:rPr>
          <w:rFonts w:ascii="Century Gothic" w:hAnsi="Century Gothic" w:cs="Arial"/>
          <w:sz w:val="18"/>
          <w:szCs w:val="18"/>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rsidRPr="00480D1F" w:rsidR="00296F67" w:rsidP="003D3A8C" w:rsidRDefault="00296F67" w14:paraId="33690055" w14:textId="77777777">
      <w:pPr>
        <w:pStyle w:val="Textonotapie"/>
        <w:ind w:firstLine="708"/>
        <w:jc w:val="both"/>
        <w:rPr>
          <w:rFonts w:ascii="Century Gothic" w:hAnsi="Century Gothic" w:cs="Arial"/>
          <w:sz w:val="18"/>
          <w:szCs w:val="18"/>
          <w:lang w:val="es-CO"/>
        </w:rPr>
      </w:pPr>
      <w:r w:rsidRPr="00480D1F">
        <w:rPr>
          <w:rFonts w:ascii="Century Gothic" w:hAnsi="Century Gothic" w:cs="Arial"/>
          <w:sz w:val="18"/>
          <w:szCs w:val="18"/>
        </w:rPr>
        <w:t xml:space="preserve">Los contratos o convenios que celebren los organismos comunales se regularán por el régimen vigente de contratación para organizaciones solidarias”.  </w:t>
      </w:r>
      <w:bookmarkEnd w:id="6"/>
    </w:p>
  </w:footnote>
  <w:footnote w:id="10">
    <w:p w:rsidRPr="00480D1F" w:rsidR="00296F67" w:rsidP="003D3A8C" w:rsidRDefault="00296F67" w14:paraId="5E3E7EE4" w14:textId="77777777">
      <w:pPr>
        <w:pStyle w:val="Textonotapie"/>
        <w:ind w:firstLine="709"/>
        <w:jc w:val="both"/>
        <w:rPr>
          <w:rFonts w:ascii="Century Gothic" w:hAnsi="Century Gothic" w:cs="Arial"/>
          <w:sz w:val="18"/>
          <w:szCs w:val="18"/>
          <w:lang w:val="es-CO"/>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La norma dispone que “</w:t>
      </w:r>
      <w:r w:rsidRPr="00480D1F">
        <w:rPr>
          <w:rFonts w:ascii="Century Gothic" w:hAnsi="Century Gothic" w:cs="Arial"/>
          <w:sz w:val="18"/>
          <w:szCs w:val="18"/>
          <w:lang w:val="es-CO"/>
        </w:rPr>
        <w:t>La Entidad Estatal del Gobierno nacional, departamental, distrital y municipal deberá adelantar un proceso competitivo para seleccionar la entidad sin ánimo de lucro contratista, cuando en la etapa de planeación identifique que el programa o actividad de interés público que requiere desarrollar es ofrecido por más de una Entidad sin ánimo de lucro.</w:t>
      </w:r>
    </w:p>
    <w:p w:rsidRPr="00480D1F" w:rsidR="00296F67" w:rsidP="003D3A8C" w:rsidRDefault="00296F67" w14:paraId="1E96CBA5" w14:textId="77777777">
      <w:pPr>
        <w:pStyle w:val="Textonotapie"/>
        <w:ind w:firstLine="709"/>
        <w:jc w:val="both"/>
        <w:rPr>
          <w:rFonts w:ascii="Century Gothic" w:hAnsi="Century Gothic" w:cs="Arial"/>
          <w:sz w:val="18"/>
          <w:szCs w:val="18"/>
        </w:rPr>
      </w:pPr>
      <w:r w:rsidRPr="00480D1F">
        <w:rPr>
          <w:rFonts w:ascii="Century Gothic" w:hAnsi="Century Gothic" w:cs="Arial"/>
          <w:sz w:val="18"/>
          <w:szCs w:val="18"/>
        </w:rPr>
        <w:t>En el proceso competitivo la Entidad Estatal deberá cumplir las siguientes fases: (i) definición y publicación de los indicadores de idoneidad, experiencia, eficacia, eficiencia, economía y de manejo del Riesgo y los criterios de ponderación para comparar las ofertas; (ii) definición de un plazo razonable para que las entidades privadas sin ánimo de lucro de reconocida idoneidad presenten a la Entidad Estatal sus ofertas y los documentos que acrediten su idoneidad, y (iii) evaluación de las ofertas por parte de la Entidad Estatal teniendo en cuenta los criterios definidos para el efecto”.</w:t>
      </w:r>
    </w:p>
    <w:p w:rsidRPr="00480D1F" w:rsidR="00AD4ED5" w:rsidP="003D3A8C" w:rsidRDefault="00AD4ED5" w14:paraId="21EFDC02" w14:textId="77777777">
      <w:pPr>
        <w:pStyle w:val="Textonotapie"/>
        <w:ind w:firstLine="709"/>
        <w:jc w:val="both"/>
        <w:rPr>
          <w:rFonts w:ascii="Century Gothic" w:hAnsi="Century Gothic" w:cs="Arial"/>
          <w:sz w:val="18"/>
          <w:szCs w:val="18"/>
        </w:rPr>
      </w:pPr>
    </w:p>
  </w:footnote>
  <w:footnote w:id="11">
    <w:p w:rsidRPr="00480D1F" w:rsidR="00296F67" w:rsidP="003D3A8C" w:rsidRDefault="00296F67" w14:paraId="1A0F321D" w14:textId="77777777">
      <w:pPr>
        <w:pStyle w:val="Textonotapie"/>
        <w:ind w:firstLine="708"/>
        <w:jc w:val="both"/>
        <w:rPr>
          <w:rFonts w:ascii="Century Gothic" w:hAnsi="Century Gothic" w:cs="Arial"/>
          <w:sz w:val="18"/>
          <w:szCs w:val="18"/>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El artículo 8 dispone del Decreto 092 de 2017 dispone que “La contratación a la que hace referencia el presente decreto está sujeta a las normas generales aplicables a la contratación pública excepto en lo reglamentado en el presente decreto”.</w:t>
      </w:r>
    </w:p>
  </w:footnote>
  <w:footnote w:id="12">
    <w:p w:rsidRPr="00480D1F" w:rsidR="00296F67" w:rsidP="003D3A8C" w:rsidRDefault="00296F67" w14:paraId="54024CB7" w14:textId="77777777">
      <w:pPr>
        <w:pStyle w:val="Textonotapie"/>
        <w:ind w:firstLine="708"/>
        <w:jc w:val="both"/>
        <w:rPr>
          <w:rFonts w:ascii="Century Gothic" w:hAnsi="Century Gothic" w:cs="Arial"/>
          <w:sz w:val="18"/>
          <w:szCs w:val="18"/>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Esta Agencia se pronunció sobre la obligación de controlar y vigilar la ejecución de los contratos estatales, en los conceptos con radicado 4201913000004799, emitido el 30 de agosto de 2019, y 4201913000008240 del 20 de diciembre de 2019; y en los conceptos C-064 del 28 de febrero de 2020, C–077 del 18 de marzo de 2020, C–150 del 18 de marzo de 2020, C–134 del 30 de marzo de 2020, C–180 del 13 de abril de 2020, C-344 de 26 de mayo de 2020, C-765 de 1 de enero de 2021, C-603 de 02 de noviembre de 2021, C-745 de 3 de febrero de 2022, C-506 del 3 de agosto de 2022, C-577 del 15 de septiembre de 2022, C-620 de 27 de septiembre de 2022 y C-830 del 28 de septiembre de 2022.</w:t>
      </w:r>
    </w:p>
  </w:footnote>
  <w:footnote w:id="13">
    <w:p w:rsidRPr="00480D1F" w:rsidR="00296F67" w:rsidP="003D3A8C" w:rsidRDefault="00296F67" w14:paraId="7745DB93" w14:textId="3E93355E">
      <w:pPr>
        <w:pStyle w:val="Textonotapie"/>
        <w:ind w:firstLine="708"/>
        <w:jc w:val="both"/>
        <w:rPr>
          <w:rFonts w:ascii="Century Gothic" w:hAnsi="Century Gothic" w:cs="Arial"/>
          <w:color w:val="000000" w:themeColor="text1"/>
          <w:sz w:val="18"/>
          <w:szCs w:val="18"/>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Texto tomado de la ley sancionada y publicada en la página web </w:t>
      </w:r>
      <w:hyperlink w:history="1" r:id="rId2">
        <w:r w:rsidRPr="00480D1F" w:rsidR="0074162A">
          <w:rPr>
            <w:rStyle w:val="Hipervnculo"/>
            <w:rFonts w:ascii="Century Gothic" w:hAnsi="Century Gothic" w:cs="Arial"/>
            <w:sz w:val="18"/>
            <w:szCs w:val="18"/>
          </w:rPr>
          <w:t>https://www.suin-juriscol.gov.co/viewDocument.asp?ruta=Leyes/30043742</w:t>
        </w:r>
      </w:hyperlink>
      <w:r w:rsidRPr="00480D1F" w:rsidR="0074162A">
        <w:rPr>
          <w:rFonts w:ascii="Century Gothic" w:hAnsi="Century Gothic" w:cs="Arial"/>
          <w:sz w:val="18"/>
          <w:szCs w:val="18"/>
        </w:rPr>
        <w:t xml:space="preserve"> </w:t>
      </w:r>
    </w:p>
    <w:p w:rsidRPr="00480D1F" w:rsidR="00AD4ED5" w:rsidP="003D3A8C" w:rsidRDefault="00AD4ED5" w14:paraId="133C536C" w14:textId="77777777">
      <w:pPr>
        <w:pStyle w:val="Textonotapie"/>
        <w:ind w:firstLine="708"/>
        <w:jc w:val="both"/>
        <w:rPr>
          <w:rFonts w:ascii="Century Gothic" w:hAnsi="Century Gothic" w:cs="Arial"/>
          <w:color w:val="000000" w:themeColor="text1"/>
          <w:sz w:val="18"/>
          <w:szCs w:val="18"/>
          <w:lang w:val="es-CO"/>
        </w:rPr>
      </w:pPr>
    </w:p>
  </w:footnote>
  <w:footnote w:id="14">
    <w:p w:rsidRPr="00480D1F" w:rsidR="00296F67" w:rsidP="003D3A8C" w:rsidRDefault="00296F67" w14:paraId="4E05811A" w14:textId="77777777">
      <w:pPr>
        <w:pStyle w:val="Textonotapie"/>
        <w:ind w:firstLine="709"/>
        <w:jc w:val="both"/>
        <w:rPr>
          <w:rFonts w:ascii="Century Gothic" w:hAnsi="Century Gothic" w:cs="Arial"/>
          <w:sz w:val="18"/>
          <w:szCs w:val="18"/>
          <w:lang w:val="es-CO"/>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w:t>
      </w:r>
      <w:bookmarkStart w:name="7" w:id="8"/>
      <w:r w:rsidRPr="00480D1F">
        <w:rPr>
          <w:rFonts w:ascii="Century Gothic" w:hAnsi="Century Gothic" w:eastAsia="Calibri" w:cs="Arial"/>
          <w:color w:val="000000" w:themeColor="text1"/>
          <w:sz w:val="18"/>
          <w:szCs w:val="18"/>
          <w:lang w:val="es-ES_tradnl"/>
        </w:rPr>
        <w:t>“</w:t>
      </w:r>
      <w:r w:rsidRPr="00480D1F">
        <w:rPr>
          <w:rFonts w:ascii="Century Gothic" w:hAnsi="Century Gothic" w:cs="Arial"/>
          <w:sz w:val="18"/>
          <w:szCs w:val="18"/>
          <w:lang w:val="es-CO"/>
        </w:rPr>
        <w:t>Artículo 7. Organismos de la Acción Comunal.</w:t>
      </w:r>
      <w:bookmarkEnd w:id="8"/>
    </w:p>
    <w:p w:rsidRPr="00480D1F" w:rsidR="00296F67" w:rsidP="003D3A8C" w:rsidRDefault="00296F67" w14:paraId="44368F19" w14:textId="77777777">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rsidRPr="00480D1F" w:rsidR="00296F67" w:rsidP="003D3A8C" w:rsidRDefault="00296F67" w14:paraId="7C1C84F3" w14:textId="77777777">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rsidRPr="00480D1F" w:rsidR="00296F67" w:rsidP="003D3A8C" w:rsidRDefault="00296F67" w14:paraId="6D255A6E" w14:textId="77777777">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rsidRPr="00480D1F" w:rsidR="00296F67" w:rsidP="003D3A8C" w:rsidRDefault="00296F67" w14:paraId="4D0B2D6A" w14:textId="77777777">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rsidRPr="00480D1F" w:rsidR="00296F67" w:rsidP="003D3A8C" w:rsidRDefault="00296F67" w14:paraId="40DA144C" w14:textId="77777777">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rsidRPr="00480D1F" w:rsidR="00296F67" w:rsidP="003D3A8C" w:rsidRDefault="00296F67" w14:paraId="09498AD1" w14:textId="77777777">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PARÁGRAFO 1o. Cada organismo de acción comunal, se dará su propio reglamento conforme al marco brindado por esta ley enunciado en el artículo 1 y las normas que le sucedan.</w:t>
      </w:r>
    </w:p>
    <w:p w:rsidRPr="00480D1F" w:rsidR="00296F67" w:rsidP="003D3A8C" w:rsidRDefault="00296F67" w14:paraId="655F3A48" w14:textId="77777777">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PARÁGRAFO 2o. Dentro del año siguiente a la expedición de la presente Ley en concertación con la organización social de la Acción Comunal, el Gobierno nacional expedirá una reglamentación para las Juntas de Vivienda Comunal</w:t>
      </w:r>
      <w:r w:rsidRPr="00480D1F">
        <w:rPr>
          <w:rFonts w:ascii="Century Gothic" w:hAnsi="Century Gothic" w:eastAsia="Calibri" w:cs="Arial"/>
          <w:color w:val="000000" w:themeColor="text1"/>
          <w:sz w:val="18"/>
          <w:szCs w:val="18"/>
          <w:lang w:val="es-ES_tradnl"/>
        </w:rPr>
        <w:t>”.</w:t>
      </w:r>
    </w:p>
    <w:p w:rsidRPr="00480D1F" w:rsidR="00296F67" w:rsidP="003D3A8C" w:rsidRDefault="00296F67" w14:paraId="114BCB81" w14:textId="77777777">
      <w:pPr>
        <w:pStyle w:val="Textonotapie"/>
        <w:jc w:val="both"/>
        <w:rPr>
          <w:rFonts w:ascii="Century Gothic" w:hAnsi="Century Gothic" w:cs="Arial"/>
          <w:sz w:val="18"/>
          <w:szCs w:val="18"/>
          <w:lang w:val="es-CO"/>
        </w:rPr>
      </w:pPr>
    </w:p>
  </w:footnote>
  <w:footnote w:id="15">
    <w:p w:rsidRPr="00480D1F" w:rsidR="00296F67" w:rsidP="003D3A8C" w:rsidRDefault="00296F67" w14:paraId="23CAC432" w14:textId="77777777">
      <w:pPr>
        <w:pStyle w:val="Textonotapie"/>
        <w:ind w:firstLine="709"/>
        <w:jc w:val="both"/>
        <w:rPr>
          <w:rFonts w:ascii="Century Gothic" w:hAnsi="Century Gothic" w:cs="Arial"/>
          <w:sz w:val="18"/>
          <w:szCs w:val="18"/>
          <w:lang w:val="es-CO"/>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w:t>
      </w:r>
      <w:r w:rsidRPr="00480D1F">
        <w:rPr>
          <w:rFonts w:ascii="Century Gothic" w:hAnsi="Century Gothic" w:cs="Arial"/>
          <w:sz w:val="18"/>
          <w:szCs w:val="18"/>
          <w:lang w:val="es-CO"/>
        </w:rPr>
        <w:t xml:space="preserve">El artículo 286 de la Constitución política de Colombia señala que </w:t>
      </w:r>
      <w:r w:rsidRPr="00480D1F">
        <w:rPr>
          <w:rFonts w:ascii="Century Gothic" w:hAnsi="Century Gothic" w:eastAsia="Calibri" w:cs="Arial"/>
          <w:color w:val="000000" w:themeColor="text1"/>
          <w:sz w:val="18"/>
          <w:szCs w:val="18"/>
          <w:lang w:val="es-ES_tradnl"/>
        </w:rPr>
        <w:t>“</w:t>
      </w:r>
      <w:r w:rsidRPr="00480D1F">
        <w:rPr>
          <w:rFonts w:ascii="Century Gothic" w:hAnsi="Century Gothic" w:cs="Arial"/>
          <w:sz w:val="18"/>
          <w:szCs w:val="18"/>
          <w:lang w:val="es-CO"/>
        </w:rPr>
        <w:t>Son entidades territoriales los departamentos, los distritos, los municipios y los territorios indígenas”.</w:t>
      </w:r>
    </w:p>
  </w:footnote>
  <w:footnote w:id="16">
    <w:p w:rsidRPr="00480D1F" w:rsidR="00296F67" w:rsidP="003D3A8C" w:rsidRDefault="00296F67" w14:paraId="34D56BB6" w14:textId="77777777">
      <w:pPr>
        <w:pStyle w:val="Textonotapie"/>
        <w:ind w:firstLine="709"/>
        <w:jc w:val="both"/>
        <w:rPr>
          <w:rFonts w:ascii="Century Gothic" w:hAnsi="Century Gothic" w:cs="Arial"/>
          <w:color w:val="4472C4" w:themeColor="accent1"/>
          <w:sz w:val="18"/>
          <w:szCs w:val="18"/>
          <w:lang w:val="es-CO"/>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w:t>
      </w:r>
      <w:r w:rsidRPr="00480D1F">
        <w:rPr>
          <w:rFonts w:ascii="Century Gothic" w:hAnsi="Century Gothic" w:cs="Arial"/>
          <w:sz w:val="18"/>
          <w:szCs w:val="18"/>
          <w:lang w:val="es-CO"/>
        </w:rPr>
        <w:t>Informe de ponencia para primer debate del proyecto de Ley</w:t>
      </w:r>
      <w:r w:rsidRPr="00480D1F">
        <w:rPr>
          <w:rFonts w:ascii="Century Gothic" w:hAnsi="Century Gothic" w:eastAsia="Times New Roman" w:cs="Arial"/>
          <w:sz w:val="18"/>
          <w:szCs w:val="18"/>
          <w:lang w:val="es-CO" w:eastAsia="es-ES_tradnl"/>
        </w:rPr>
        <w:t xml:space="preserve"> </w:t>
      </w:r>
      <w:r w:rsidRPr="00480D1F">
        <w:rPr>
          <w:rFonts w:ascii="Century Gothic" w:hAnsi="Century Gothic" w:cs="Arial"/>
          <w:sz w:val="18"/>
          <w:szCs w:val="18"/>
          <w:lang w:val="es-CO"/>
        </w:rPr>
        <w:t xml:space="preserve">115 de 2020 Cámara, acumulado con los proyectos de ley 269 de 2020 Cámara, 341 de 2020 Cámara, y 474 de 2020 Cámara “por medio de la cual se deroga la Ley 743 de 2002 y se desarrolla el artículo 38 Constitución Política de Colombia en lo referente a los organismos de acción comunal”. </w:t>
      </w:r>
      <w:r w:rsidRPr="00480D1F">
        <w:rPr>
          <w:rFonts w:ascii="Century Gothic" w:hAnsi="Century Gothic" w:cs="Arial"/>
          <w:sz w:val="18"/>
          <w:szCs w:val="18"/>
        </w:rPr>
        <w:t xml:space="preserve">Gaceta del Congreso de la República No. </w:t>
      </w:r>
      <w:r w:rsidRPr="00480D1F">
        <w:rPr>
          <w:rFonts w:ascii="Century Gothic" w:hAnsi="Century Gothic" w:cs="Arial"/>
          <w:sz w:val="18"/>
          <w:szCs w:val="18"/>
          <w:lang w:val="es-CO"/>
        </w:rPr>
        <w:t xml:space="preserve">578 del 4 de junio de 2021. Disponible en: </w:t>
      </w:r>
      <w:hyperlink w:history="1" r:id="rId3">
        <w:r w:rsidRPr="00480D1F">
          <w:rPr>
            <w:rStyle w:val="Hipervnculo"/>
            <w:rFonts w:ascii="Century Gothic" w:hAnsi="Century Gothic" w:cs="Arial"/>
            <w:color w:val="4472C4" w:themeColor="accent1"/>
            <w:sz w:val="18"/>
            <w:szCs w:val="18"/>
            <w:lang w:val="es-CO"/>
          </w:rPr>
          <w:t>https://www.camara.gov.co/juntas-de-accion-comunal</w:t>
        </w:r>
      </w:hyperlink>
      <w:r w:rsidRPr="00480D1F">
        <w:rPr>
          <w:rFonts w:ascii="Century Gothic" w:hAnsi="Century Gothic" w:cs="Arial"/>
          <w:color w:val="4472C4" w:themeColor="accent1"/>
          <w:sz w:val="18"/>
          <w:szCs w:val="18"/>
          <w:lang w:val="es-CO"/>
        </w:rPr>
        <w:t xml:space="preserve">  </w:t>
      </w:r>
    </w:p>
    <w:p w:rsidRPr="00480D1F" w:rsidR="00296F67" w:rsidP="003D3A8C" w:rsidRDefault="00296F67" w14:paraId="7A91EBC5" w14:textId="77777777">
      <w:pPr>
        <w:pStyle w:val="Textonotapie"/>
        <w:ind w:firstLine="709"/>
        <w:jc w:val="both"/>
        <w:rPr>
          <w:rFonts w:ascii="Century Gothic" w:hAnsi="Century Gothic" w:cs="Arial"/>
          <w:color w:val="4472C4" w:themeColor="accent1"/>
          <w:sz w:val="18"/>
          <w:szCs w:val="18"/>
          <w:lang w:val="es-CO"/>
        </w:rPr>
      </w:pPr>
    </w:p>
  </w:footnote>
  <w:footnote w:id="17">
    <w:p w:rsidRPr="00480D1F" w:rsidR="00296F67" w:rsidP="003D3A8C" w:rsidRDefault="00296F67" w14:paraId="4B0EEFC8" w14:textId="77777777">
      <w:pPr>
        <w:pStyle w:val="Textonotapie"/>
        <w:ind w:firstLine="709"/>
        <w:jc w:val="both"/>
        <w:rPr>
          <w:rFonts w:ascii="Century Gothic" w:hAnsi="Century Gothic" w:cs="Arial"/>
          <w:sz w:val="18"/>
          <w:szCs w:val="18"/>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w:t>
      </w:r>
      <w:r w:rsidRPr="00480D1F">
        <w:rPr>
          <w:rFonts w:ascii="Century Gothic" w:hAnsi="Century Gothic" w:cs="Arial"/>
          <w:sz w:val="18"/>
          <w:szCs w:val="18"/>
          <w:lang w:val="es-CO"/>
        </w:rPr>
        <w:t xml:space="preserve">El inciso primero de este artículo se encontraba regulado de manera similar en el artículo 55 de la Ley 742 de 2003, norma que para efectos de la celebración de convenios solidarios con los organismos de acción comunal se interpretaba armónicamente con </w:t>
      </w:r>
      <w:r w:rsidRPr="00480D1F">
        <w:rPr>
          <w:rFonts w:ascii="Century Gothic" w:hAnsi="Century Gothic" w:cs="Arial"/>
          <w:sz w:val="18"/>
          <w:szCs w:val="18"/>
          <w:lang w:val="es-ES"/>
        </w:rPr>
        <w:t>los parágrafos tercero y quinto del artículo 3 de la Ley 136 de 1994 y lo dispuesto en el artículo 141 de la precitada Ley</w:t>
      </w:r>
      <w:r w:rsidRPr="00480D1F">
        <w:rPr>
          <w:rFonts w:ascii="Century Gothic" w:hAnsi="Century Gothic" w:cs="Arial"/>
          <w:sz w:val="18"/>
          <w:szCs w:val="18"/>
          <w:lang w:val="es-CO"/>
        </w:rPr>
        <w:t xml:space="preserve">. Este artículo disponía lo siguiente: </w:t>
      </w:r>
      <w:r w:rsidRPr="00480D1F">
        <w:rPr>
          <w:rFonts w:ascii="Century Gothic" w:hAnsi="Century Gothic" w:eastAsia="Calibri" w:cs="Arial"/>
          <w:color w:val="000000" w:themeColor="text1"/>
          <w:sz w:val="18"/>
          <w:szCs w:val="18"/>
          <w:lang w:val="es-ES_tradnl"/>
        </w:rPr>
        <w:t>“</w:t>
      </w:r>
      <w:r w:rsidRPr="00480D1F">
        <w:rPr>
          <w:rFonts w:ascii="Century Gothic" w:hAnsi="Century Gothic" w:cs="Arial"/>
          <w:sz w:val="18"/>
          <w:szCs w:val="18"/>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Los contratos o convenios que celebren los organismos comunales se regularán por el régimen vigente de contratación para organizaciones solidarias”.  </w:t>
      </w:r>
    </w:p>
    <w:p w:rsidRPr="00480D1F" w:rsidR="00296F67" w:rsidP="003D3A8C" w:rsidRDefault="00296F67" w14:paraId="1711B861" w14:textId="77777777">
      <w:pPr>
        <w:pStyle w:val="Textonotapie"/>
        <w:jc w:val="both"/>
        <w:rPr>
          <w:rFonts w:ascii="Century Gothic" w:hAnsi="Century Gothic" w:cs="Arial"/>
          <w:sz w:val="18"/>
          <w:szCs w:val="18"/>
          <w:lang w:val="es-CO"/>
        </w:rPr>
      </w:pPr>
    </w:p>
  </w:footnote>
  <w:footnote w:id="18">
    <w:p w:rsidRPr="00480D1F" w:rsidR="00296F67" w:rsidP="003D3A8C" w:rsidRDefault="00296F67" w14:paraId="1DDB2A39" w14:textId="77777777">
      <w:pPr>
        <w:pStyle w:val="Textonotapie"/>
        <w:ind w:firstLine="708"/>
        <w:jc w:val="both"/>
        <w:rPr>
          <w:rFonts w:ascii="Century Gothic" w:hAnsi="Century Gothic" w:cs="Arial"/>
          <w:sz w:val="18"/>
          <w:szCs w:val="18"/>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De acuerdo con lo explicado en el acápite 2.1 del presente concepto, esta norma representa una excepción a la imposibilidad de ejercer potestades exorbitantes en los convenios administrativos.</w:t>
      </w:r>
    </w:p>
  </w:footnote>
  <w:footnote w:id="19">
    <w:p w:rsidRPr="00480D1F" w:rsidR="00296F67" w:rsidP="003D3A8C" w:rsidRDefault="00296F67" w14:paraId="7BEF7D08" w14:textId="77777777">
      <w:pPr>
        <w:pStyle w:val="Textonotapie"/>
        <w:ind w:firstLine="708"/>
        <w:jc w:val="both"/>
        <w:rPr>
          <w:rFonts w:ascii="Century Gothic" w:hAnsi="Century Gothic" w:cs="Arial"/>
          <w:sz w:val="18"/>
          <w:szCs w:val="18"/>
          <w:lang w:val="es-CO"/>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El artículo citado dispone que “</w:t>
      </w:r>
      <w:r w:rsidRPr="00480D1F">
        <w:rPr>
          <w:rFonts w:ascii="Century Gothic" w:hAnsi="Century Gothic" w:cs="Arial"/>
          <w:sz w:val="18"/>
          <w:szCs w:val="18"/>
          <w:lang w:val="es-CO"/>
        </w:rPr>
        <w:t>Los organismos de acción comunal a que se refiere esta ley, formarán una persona distinta de sus miembros individualmente considerados, a partir de su registro ante la entidad que ejerce su inspección, vigilancia y control.</w:t>
      </w:r>
    </w:p>
    <w:p w:rsidRPr="00480D1F" w:rsidR="00296F67" w:rsidP="003D3A8C" w:rsidRDefault="00296F67" w14:paraId="2D9CA22E" w14:textId="77777777">
      <w:pPr>
        <w:pStyle w:val="Textonotapie"/>
        <w:ind w:firstLine="708"/>
        <w:jc w:val="both"/>
        <w:rPr>
          <w:rFonts w:ascii="Century Gothic" w:hAnsi="Century Gothic" w:cs="Arial"/>
          <w:sz w:val="18"/>
          <w:szCs w:val="18"/>
        </w:rPr>
      </w:pPr>
      <w:r w:rsidRPr="00480D1F">
        <w:rPr>
          <w:rFonts w:ascii="Century Gothic" w:hAnsi="Century Gothic" w:cs="Arial"/>
          <w:sz w:val="18"/>
          <w:szCs w:val="18"/>
        </w:rPr>
        <w:t>Sus estatutos y sus reformas, los nombramientos y elección de dignatarios, los libros y la disolución y liquidación de las personas jurídicas de que trata esta ley, se inscribirán ante las entidades que ejercen su inspección, vigilancia y control.</w:t>
      </w:r>
    </w:p>
    <w:p w:rsidRPr="00480D1F" w:rsidR="00296F67" w:rsidP="003D3A8C" w:rsidRDefault="00296F67" w14:paraId="6D06855E" w14:textId="77777777">
      <w:pPr>
        <w:pStyle w:val="Textonotapie"/>
        <w:ind w:firstLine="708"/>
        <w:jc w:val="both"/>
        <w:rPr>
          <w:rFonts w:ascii="Century Gothic" w:hAnsi="Century Gothic" w:cs="Arial"/>
          <w:sz w:val="18"/>
          <w:szCs w:val="18"/>
        </w:rPr>
      </w:pPr>
      <w:r w:rsidRPr="00480D1F">
        <w:rPr>
          <w:rFonts w:ascii="Century Gothic" w:hAnsi="Century Gothic" w:cs="Arial"/>
          <w:sz w:val="18"/>
          <w:szCs w:val="18"/>
        </w:rPr>
        <w:t>La existencia y representación legal de las personas jurídicas a que se refiere esta ley se aprobarán con la certificación expedida por la entidad competente para la realización del registro”.</w:t>
      </w:r>
    </w:p>
    <w:p w:rsidRPr="00480D1F" w:rsidR="00296F67" w:rsidP="003D3A8C" w:rsidRDefault="00296F67" w14:paraId="2E374C01" w14:textId="77777777">
      <w:pPr>
        <w:pStyle w:val="Textonotapie"/>
        <w:ind w:firstLine="708"/>
        <w:jc w:val="both"/>
        <w:rPr>
          <w:rFonts w:ascii="Century Gothic" w:hAnsi="Century Gothic" w:cs="Arial"/>
          <w:sz w:val="18"/>
          <w:szCs w:val="18"/>
          <w:lang w:val="es-CO"/>
        </w:rPr>
      </w:pPr>
      <w:r w:rsidRPr="00480D1F">
        <w:rPr>
          <w:rFonts w:ascii="Century Gothic" w:hAnsi="Century Gothic" w:cs="Arial"/>
          <w:sz w:val="18"/>
          <w:szCs w:val="18"/>
        </w:rPr>
        <w:t>Dicha norma debe entenderse en concordancia con el artículo 74 de la Ley 2166 de 2021, pues también prescribe lo siguiente: “</w:t>
      </w:r>
      <w:r w:rsidRPr="00480D1F">
        <w:rPr>
          <w:rFonts w:ascii="Century Gothic" w:hAnsi="Century Gothic" w:cs="Arial"/>
          <w:sz w:val="18"/>
          <w:szCs w:val="18"/>
          <w:lang w:val="es-CO"/>
        </w:rPr>
        <w:t>Existen dos niveles de autoridades que ejercen vigilancia, inspección y control sobre los organismos comunales, de acuerdo al grado al que pertenezcan:</w:t>
      </w:r>
    </w:p>
    <w:p w:rsidRPr="00480D1F" w:rsidR="00296F67" w:rsidP="003D3A8C" w:rsidRDefault="00296F67" w14:paraId="1A6B88B9" w14:textId="77777777">
      <w:pPr>
        <w:pStyle w:val="Textonotapie"/>
        <w:ind w:firstLine="708"/>
        <w:jc w:val="both"/>
        <w:rPr>
          <w:rFonts w:ascii="Century Gothic" w:hAnsi="Century Gothic" w:cs="Arial"/>
          <w:sz w:val="18"/>
          <w:szCs w:val="18"/>
        </w:rPr>
      </w:pPr>
      <w:r w:rsidRPr="00480D1F">
        <w:rPr>
          <w:rFonts w:ascii="Century Gothic" w:hAnsi="Century Gothic" w:cs="Arial"/>
          <w:sz w:val="18"/>
          <w:szCs w:val="18"/>
        </w:rPr>
        <w:t>a) Primer nivel: lo ejerce Ministerio del Interior, sobre los organismos comunales de tercer y cuarto grado.</w:t>
      </w:r>
    </w:p>
    <w:p w:rsidRPr="00480D1F" w:rsidR="00296F67" w:rsidP="003D3A8C" w:rsidRDefault="00296F67" w14:paraId="2A68EA30" w14:textId="77777777">
      <w:pPr>
        <w:pStyle w:val="Textonotapie"/>
        <w:ind w:firstLine="708"/>
        <w:jc w:val="both"/>
        <w:rPr>
          <w:rFonts w:ascii="Century Gothic" w:hAnsi="Century Gothic" w:cs="Arial"/>
          <w:sz w:val="18"/>
          <w:szCs w:val="18"/>
        </w:rPr>
      </w:pPr>
      <w:r w:rsidRPr="00480D1F">
        <w:rPr>
          <w:rFonts w:ascii="Century Gothic" w:hAnsi="Century Gothic" w:cs="Arial"/>
          <w:sz w:val="18"/>
          <w:szCs w:val="18"/>
        </w:rPr>
        <w:t>b) Segundo nivel: lo ejercen los Departamentos, Distritos y Municipios, a través de las dependencias a las que se le asignen dichas funciones sobre los organismos comunales de primer y segundo grado”.</w:t>
      </w:r>
    </w:p>
  </w:footnote>
  <w:footnote w:id="20">
    <w:p w:rsidRPr="00480D1F" w:rsidR="00D863DE" w:rsidP="00D863DE" w:rsidRDefault="00D863DE" w14:paraId="4EC3A609" w14:textId="77777777">
      <w:pPr>
        <w:ind w:left="300" w:right="306"/>
        <w:jc w:val="both"/>
        <w:rPr>
          <w:rFonts w:ascii="Century Gothic" w:hAnsi="Century Gothic" w:cs="Arial"/>
          <w:sz w:val="18"/>
          <w:szCs w:val="18"/>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Ley 80 de 1993: “Artículo 26. Del principio de responsabilidad. En virtud de este principio:</w:t>
      </w:r>
    </w:p>
    <w:p w:rsidRPr="00480D1F" w:rsidR="00D863DE" w:rsidP="00D863DE" w:rsidRDefault="00D863DE" w14:paraId="42C59005" w14:textId="77777777">
      <w:pPr>
        <w:ind w:left="300" w:right="306"/>
        <w:jc w:val="both"/>
        <w:rPr>
          <w:rFonts w:ascii="Century Gothic" w:hAnsi="Century Gothic" w:cs="Arial"/>
          <w:sz w:val="18"/>
          <w:szCs w:val="18"/>
        </w:rPr>
      </w:pPr>
      <w:r w:rsidRPr="00480D1F">
        <w:rPr>
          <w:rFonts w:ascii="Century Gothic" w:hAnsi="Century Gothic" w:cs="Arial"/>
          <w:sz w:val="18"/>
          <w:szCs w:val="18"/>
        </w:rPr>
        <w:t>“1. Los servidores públicos están obligados a buscar el cumplimiento de los fines de la contratación, a vigilar la correcta ejecución del objeto contratado y a proteger los derechos de la entidad, del contratista y de los terceros que puedan verse afectados por la ejecución del</w:t>
      </w:r>
      <w:r w:rsidRPr="00480D1F">
        <w:rPr>
          <w:rFonts w:ascii="Century Gothic" w:hAnsi="Century Gothic" w:cs="Arial"/>
          <w:spacing w:val="-8"/>
          <w:sz w:val="18"/>
          <w:szCs w:val="18"/>
        </w:rPr>
        <w:t xml:space="preserve"> </w:t>
      </w:r>
      <w:r w:rsidRPr="00480D1F">
        <w:rPr>
          <w:rFonts w:ascii="Century Gothic" w:hAnsi="Century Gothic" w:cs="Arial"/>
          <w:sz w:val="18"/>
          <w:szCs w:val="18"/>
        </w:rPr>
        <w:t>contrato”.</w:t>
      </w:r>
    </w:p>
  </w:footnote>
  <w:footnote w:id="21">
    <w:p w:rsidRPr="00480D1F" w:rsidR="00D863DE" w:rsidP="00D863DE" w:rsidRDefault="00D863DE" w14:paraId="3032E71C" w14:textId="77777777">
      <w:pPr>
        <w:ind w:left="300" w:right="306"/>
        <w:jc w:val="both"/>
        <w:rPr>
          <w:rFonts w:ascii="Century Gothic" w:hAnsi="Century Gothic" w:cs="Arial"/>
          <w:sz w:val="18"/>
          <w:szCs w:val="18"/>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Ley 1474 de 2011, artículo 83: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footnote>
  <w:footnote w:id="22">
    <w:p w:rsidRPr="00480D1F" w:rsidR="00D863DE" w:rsidP="00D863DE" w:rsidRDefault="00D863DE" w14:paraId="2BD8E81A" w14:textId="77777777">
      <w:pPr>
        <w:pStyle w:val="Textonotapie"/>
        <w:ind w:firstLine="708"/>
        <w:jc w:val="both"/>
        <w:rPr>
          <w:rFonts w:ascii="Century Gothic" w:hAnsi="Century Gothic"/>
          <w:iCs/>
          <w:color w:val="000000" w:themeColor="text1"/>
          <w:sz w:val="18"/>
          <w:szCs w:val="18"/>
        </w:rPr>
      </w:pPr>
      <w:r w:rsidRPr="00480D1F">
        <w:rPr>
          <w:rStyle w:val="Refdenotaalpie"/>
          <w:rFonts w:ascii="Century Gothic" w:hAnsi="Century Gothic"/>
          <w:color w:val="000000" w:themeColor="text1"/>
          <w:sz w:val="18"/>
          <w:szCs w:val="18"/>
        </w:rPr>
        <w:footnoteRef/>
      </w:r>
      <w:r w:rsidRPr="00480D1F">
        <w:rPr>
          <w:rFonts w:ascii="Century Gothic" w:hAnsi="Century Gothic"/>
          <w:color w:val="000000" w:themeColor="text1"/>
          <w:sz w:val="18"/>
          <w:szCs w:val="18"/>
        </w:rPr>
        <w:t xml:space="preserve"> </w:t>
      </w:r>
      <w:r w:rsidRPr="00480D1F">
        <w:rPr>
          <w:rFonts w:ascii="Century Gothic" w:hAnsi="Century Gothic"/>
          <w:iCs/>
          <w:color w:val="000000" w:themeColor="text1"/>
          <w:sz w:val="18"/>
          <w:szCs w:val="18"/>
        </w:rPr>
        <w:t>Artículo 17 de la Ley 1150 de 2007.</w:t>
      </w:r>
    </w:p>
  </w:footnote>
  <w:footnote w:id="23">
    <w:p w:rsidRPr="00480D1F" w:rsidR="00D863DE" w:rsidP="00D863DE" w:rsidRDefault="00D863DE" w14:paraId="3B4CF980" w14:textId="77777777">
      <w:pPr>
        <w:pStyle w:val="Textonotapie"/>
        <w:ind w:firstLine="708"/>
        <w:jc w:val="both"/>
        <w:rPr>
          <w:rFonts w:ascii="Century Gothic" w:hAnsi="Century Gothic"/>
          <w:iCs/>
          <w:color w:val="000000" w:themeColor="text1"/>
          <w:sz w:val="18"/>
          <w:szCs w:val="18"/>
        </w:rPr>
      </w:pPr>
      <w:r w:rsidRPr="00480D1F">
        <w:rPr>
          <w:rStyle w:val="Refdenotaalpie"/>
          <w:rFonts w:ascii="Century Gothic" w:hAnsi="Century Gothic"/>
          <w:color w:val="000000" w:themeColor="text1"/>
          <w:sz w:val="18"/>
          <w:szCs w:val="18"/>
        </w:rPr>
        <w:footnoteRef/>
      </w:r>
      <w:r w:rsidRPr="00480D1F">
        <w:rPr>
          <w:rFonts w:ascii="Century Gothic" w:hAnsi="Century Gothic"/>
          <w:color w:val="000000" w:themeColor="text1"/>
          <w:sz w:val="18"/>
          <w:szCs w:val="18"/>
        </w:rPr>
        <w:t xml:space="preserve"> </w:t>
      </w:r>
      <w:r w:rsidRPr="00480D1F">
        <w:rPr>
          <w:rFonts w:ascii="Century Gothic" w:hAnsi="Century Gothic"/>
          <w:iCs/>
          <w:color w:val="000000" w:themeColor="text1"/>
          <w:sz w:val="18"/>
          <w:szCs w:val="18"/>
        </w:rPr>
        <w:t>Artículo 21 de la Ley 1150 de 2007.</w:t>
      </w:r>
    </w:p>
  </w:footnote>
  <w:footnote w:id="24">
    <w:p w:rsidRPr="00480D1F" w:rsidR="00D863DE" w:rsidP="00D863DE" w:rsidRDefault="00D863DE" w14:paraId="130C64FE" w14:textId="77777777">
      <w:pPr>
        <w:pStyle w:val="Textonotapie"/>
        <w:ind w:firstLine="708"/>
        <w:jc w:val="both"/>
        <w:rPr>
          <w:rFonts w:ascii="Century Gothic" w:hAnsi="Century Gothic"/>
          <w:iCs/>
          <w:color w:val="000000" w:themeColor="text1"/>
          <w:sz w:val="18"/>
          <w:szCs w:val="18"/>
        </w:rPr>
      </w:pPr>
      <w:r w:rsidRPr="00480D1F">
        <w:rPr>
          <w:rStyle w:val="Refdenotaalpie"/>
          <w:rFonts w:ascii="Century Gothic" w:hAnsi="Century Gothic"/>
          <w:color w:val="000000" w:themeColor="text1"/>
          <w:sz w:val="18"/>
          <w:szCs w:val="18"/>
        </w:rPr>
        <w:footnoteRef/>
      </w:r>
      <w:r w:rsidRPr="00480D1F">
        <w:rPr>
          <w:rFonts w:ascii="Century Gothic" w:hAnsi="Century Gothic"/>
          <w:color w:val="000000" w:themeColor="text1"/>
          <w:sz w:val="18"/>
          <w:szCs w:val="18"/>
        </w:rPr>
        <w:t xml:space="preserve"> </w:t>
      </w:r>
      <w:r w:rsidRPr="00480D1F">
        <w:rPr>
          <w:rFonts w:ascii="Century Gothic" w:hAnsi="Century Gothic"/>
          <w:iCs/>
          <w:color w:val="000000" w:themeColor="text1"/>
          <w:sz w:val="18"/>
          <w:szCs w:val="18"/>
        </w:rPr>
        <w:t>Artículos 83 a 86 de la Ley 1474 de 2011.</w:t>
      </w:r>
    </w:p>
  </w:footnote>
  <w:footnote w:id="25">
    <w:p w:rsidRPr="00480D1F" w:rsidR="00D863DE" w:rsidP="00D863DE" w:rsidRDefault="00D863DE" w14:paraId="5D8B0E4F" w14:textId="77777777">
      <w:pPr>
        <w:pStyle w:val="Textonotapie"/>
        <w:ind w:firstLine="708"/>
        <w:jc w:val="both"/>
        <w:rPr>
          <w:rFonts w:ascii="Century Gothic" w:hAnsi="Century Gothic"/>
          <w:color w:val="000000" w:themeColor="text1"/>
          <w:sz w:val="18"/>
          <w:szCs w:val="18"/>
        </w:rPr>
      </w:pPr>
      <w:r w:rsidRPr="00480D1F">
        <w:rPr>
          <w:rStyle w:val="Refdenotaalpie"/>
          <w:rFonts w:ascii="Century Gothic" w:hAnsi="Century Gothic"/>
          <w:color w:val="000000" w:themeColor="text1"/>
          <w:sz w:val="18"/>
          <w:szCs w:val="18"/>
        </w:rPr>
        <w:footnoteRef/>
      </w:r>
      <w:r w:rsidRPr="00480D1F">
        <w:rPr>
          <w:rFonts w:ascii="Century Gothic" w:hAnsi="Century Gothic"/>
          <w:color w:val="000000" w:themeColor="text1"/>
          <w:sz w:val="18"/>
          <w:szCs w:val="18"/>
        </w:rPr>
        <w:t xml:space="preserve"> Radicado No. 4201913000008240 del 20 de diciembre de 2019.</w:t>
      </w:r>
    </w:p>
    <w:p w:rsidRPr="00480D1F" w:rsidR="00210423" w:rsidP="00D863DE" w:rsidRDefault="00210423" w14:paraId="5FBB3336" w14:textId="77777777">
      <w:pPr>
        <w:pStyle w:val="Textonotapie"/>
        <w:ind w:firstLine="708"/>
        <w:jc w:val="both"/>
        <w:rPr>
          <w:rFonts w:ascii="Century Gothic" w:hAnsi="Century Gothic"/>
          <w:color w:val="000000" w:themeColor="text1"/>
          <w:sz w:val="18"/>
          <w:szCs w:val="18"/>
        </w:rPr>
      </w:pPr>
    </w:p>
  </w:footnote>
  <w:footnote w:id="26">
    <w:p w:rsidRPr="00480D1F" w:rsidR="00D863DE" w:rsidP="00D863DE" w:rsidRDefault="00D863DE" w14:paraId="3AB0C2B8" w14:textId="77777777">
      <w:pPr>
        <w:pStyle w:val="Textonotapie"/>
        <w:ind w:firstLine="708"/>
        <w:jc w:val="both"/>
        <w:rPr>
          <w:rFonts w:ascii="Century Gothic" w:hAnsi="Century Gothic"/>
          <w:iCs/>
          <w:color w:val="000000" w:themeColor="text1"/>
          <w:sz w:val="18"/>
          <w:szCs w:val="18"/>
        </w:rPr>
      </w:pPr>
      <w:r w:rsidRPr="00480D1F">
        <w:rPr>
          <w:rStyle w:val="Refdenotaalpie"/>
          <w:rFonts w:ascii="Century Gothic" w:hAnsi="Century Gothic"/>
          <w:color w:val="000000" w:themeColor="text1"/>
          <w:sz w:val="18"/>
          <w:szCs w:val="18"/>
        </w:rPr>
        <w:footnoteRef/>
      </w:r>
      <w:r w:rsidRPr="00480D1F">
        <w:rPr>
          <w:rFonts w:ascii="Century Gothic" w:hAnsi="Century Gothic"/>
          <w:color w:val="000000" w:themeColor="text1"/>
          <w:sz w:val="18"/>
          <w:szCs w:val="18"/>
        </w:rPr>
        <w:t xml:space="preserve"> </w:t>
      </w:r>
      <w:r w:rsidRPr="00480D1F">
        <w:rPr>
          <w:rFonts w:ascii="Century Gothic" w:hAnsi="Century Gothic"/>
          <w:iCs/>
          <w:color w:val="000000" w:themeColor="text1"/>
          <w:sz w:val="18"/>
          <w:szCs w:val="18"/>
        </w:rPr>
        <w:t>A excepción de la interventoría del contrato de obra adjudicado por licitación pública que es obligatoria según el numeral 1° del artículo 32 de la Ley 80 de 1993.</w:t>
      </w:r>
    </w:p>
    <w:p w:rsidRPr="00480D1F" w:rsidR="00D863DE" w:rsidP="00D863DE" w:rsidRDefault="00D863DE" w14:paraId="2A2AD467" w14:textId="77777777">
      <w:pPr>
        <w:pStyle w:val="Textonotapie"/>
        <w:jc w:val="both"/>
        <w:rPr>
          <w:rFonts w:ascii="Century Gothic" w:hAnsi="Century Gothic"/>
          <w:iCs/>
          <w:color w:val="000000" w:themeColor="text1"/>
          <w:sz w:val="18"/>
          <w:szCs w:val="18"/>
        </w:rPr>
      </w:pPr>
    </w:p>
  </w:footnote>
  <w:footnote w:id="27">
    <w:p w:rsidRPr="00480D1F" w:rsidR="00C36B99" w:rsidP="00C36B99" w:rsidRDefault="00C36B99" w14:paraId="0359C24A" w14:textId="77777777">
      <w:pPr>
        <w:pStyle w:val="Textonotapie"/>
        <w:ind w:firstLine="709"/>
        <w:jc w:val="both"/>
        <w:rPr>
          <w:rFonts w:ascii="Century Gothic" w:hAnsi="Century Gothic" w:cs="Arial"/>
          <w:sz w:val="18"/>
          <w:szCs w:val="18"/>
          <w:lang w:val="es-ES"/>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w:t>
      </w:r>
      <w:r w:rsidRPr="00480D1F">
        <w:rPr>
          <w:rFonts w:ascii="Century Gothic" w:hAnsi="Century Gothic" w:cs="Arial"/>
          <w:sz w:val="18"/>
          <w:szCs w:val="18"/>
          <w:lang w:val="es-ES"/>
        </w:rPr>
        <w:t>BOBBIO, Norberto. Democracia y secreto. México: Fondo de Cultura Económica, 2013. p. 27.</w:t>
      </w:r>
    </w:p>
  </w:footnote>
  <w:footnote w:id="28">
    <w:p w:rsidRPr="00480D1F" w:rsidR="00C36B99" w:rsidP="00C36B99" w:rsidRDefault="00C36B99" w14:paraId="257F53B9" w14:textId="77777777">
      <w:pPr>
        <w:pStyle w:val="Textonotapie"/>
        <w:ind w:firstLine="709"/>
        <w:jc w:val="both"/>
        <w:rPr>
          <w:rFonts w:ascii="Century Gothic" w:hAnsi="Century Gothic" w:cs="Arial"/>
          <w:color w:val="000000"/>
          <w:sz w:val="18"/>
          <w:szCs w:val="18"/>
        </w:rPr>
      </w:pPr>
      <w:r w:rsidRPr="00480D1F">
        <w:rPr>
          <w:rStyle w:val="Refdenotaalpie"/>
          <w:rFonts w:ascii="Century Gothic" w:hAnsi="Century Gothic" w:cs="Arial"/>
          <w:color w:val="000000"/>
          <w:sz w:val="18"/>
          <w:szCs w:val="18"/>
        </w:rPr>
        <w:footnoteRef/>
      </w:r>
      <w:r w:rsidRPr="00480D1F">
        <w:rPr>
          <w:rFonts w:ascii="Century Gothic" w:hAnsi="Century Gothic" w:cs="Arial"/>
          <w:color w:val="000000"/>
          <w:sz w:val="18"/>
          <w:szCs w:val="18"/>
        </w:rPr>
        <w:t xml:space="preserve"> Corte Constitucional. Sentencia C- 341 del 4 de junio de 2014. M. P. Mauricio González Cuervo.</w:t>
      </w:r>
    </w:p>
  </w:footnote>
  <w:footnote w:id="29">
    <w:p w:rsidRPr="00480D1F" w:rsidR="00C36B99" w:rsidP="00C36B99" w:rsidRDefault="00C36B99" w14:paraId="20BB9496" w14:textId="77777777">
      <w:pPr>
        <w:pStyle w:val="Textonotapie"/>
        <w:ind w:firstLine="709"/>
        <w:jc w:val="both"/>
        <w:rPr>
          <w:rFonts w:ascii="Century Gothic" w:hAnsi="Century Gothic" w:cs="Arial"/>
          <w:color w:val="000000"/>
          <w:sz w:val="18"/>
          <w:szCs w:val="18"/>
        </w:rPr>
      </w:pPr>
      <w:r w:rsidRPr="00480D1F">
        <w:rPr>
          <w:rStyle w:val="Refdenotaalpie"/>
          <w:rFonts w:ascii="Century Gothic" w:hAnsi="Century Gothic" w:cs="Arial"/>
          <w:color w:val="000000"/>
          <w:sz w:val="18"/>
          <w:szCs w:val="18"/>
        </w:rPr>
        <w:footnoteRef/>
      </w:r>
      <w:r w:rsidRPr="00480D1F">
        <w:rPr>
          <w:rFonts w:ascii="Century Gothic" w:hAnsi="Century Gothic" w:cs="Arial"/>
          <w:color w:val="000000"/>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rsidRPr="00480D1F" w:rsidR="00C36B99" w:rsidP="00C36B99" w:rsidRDefault="00C36B99" w14:paraId="573FF0B1" w14:textId="77777777">
      <w:pPr>
        <w:pStyle w:val="Textonotapie"/>
        <w:ind w:firstLine="709"/>
        <w:jc w:val="both"/>
        <w:rPr>
          <w:rFonts w:ascii="Century Gothic" w:hAnsi="Century Gothic" w:cs="Arial"/>
          <w:color w:val="000000"/>
          <w:sz w:val="18"/>
          <w:szCs w:val="18"/>
        </w:rPr>
      </w:pPr>
      <w:r w:rsidRPr="00480D1F">
        <w:rPr>
          <w:rFonts w:ascii="Century Gothic" w:hAnsi="Century Gothic" w:cs="Arial"/>
          <w:color w:val="000000"/>
          <w:sz w:val="18"/>
          <w:szCs w:val="18"/>
        </w:rPr>
        <w:t>Lo anterior, sin perjuicio de las publicaciones previstas en el numeral 3 del artículo 30 de la Ley 80 de 1993.</w:t>
      </w:r>
    </w:p>
    <w:p w:rsidRPr="00480D1F" w:rsidR="00C36B99" w:rsidP="00C36B99" w:rsidRDefault="00C36B99" w14:paraId="4B01AAF7" w14:textId="77777777">
      <w:pPr>
        <w:pStyle w:val="Textonotapie"/>
        <w:ind w:firstLine="709"/>
        <w:jc w:val="both"/>
        <w:rPr>
          <w:rFonts w:ascii="Century Gothic" w:hAnsi="Century Gothic" w:cs="Arial"/>
          <w:color w:val="000000"/>
          <w:sz w:val="18"/>
          <w:szCs w:val="18"/>
        </w:rPr>
      </w:pPr>
      <w:r w:rsidRPr="00480D1F">
        <w:rPr>
          <w:rFonts w:ascii="Century Gothic" w:hAnsi="Century Gothic" w:cs="Arial"/>
          <w:color w:val="000000"/>
          <w:sz w:val="18"/>
          <w:szCs w:val="18"/>
        </w:rPr>
        <w:t xml:space="preserve">Con el fin de materializar los objetivos a que se refiere el inciso anterior, el Gobierno Nacional desarrollará el Sistema Electrónico para la Contratación Pública, Secop, el cual: </w:t>
      </w:r>
    </w:p>
    <w:p w:rsidRPr="00480D1F" w:rsidR="00C36B99" w:rsidP="00C36B99" w:rsidRDefault="00C36B99" w14:paraId="1A089874" w14:textId="77777777">
      <w:pPr>
        <w:pStyle w:val="Textonotapie"/>
        <w:ind w:firstLine="709"/>
        <w:jc w:val="both"/>
        <w:rPr>
          <w:rFonts w:ascii="Century Gothic" w:hAnsi="Century Gothic" w:cs="Arial"/>
          <w:color w:val="000000"/>
          <w:sz w:val="18"/>
          <w:szCs w:val="18"/>
        </w:rPr>
      </w:pPr>
      <w:r w:rsidRPr="00480D1F">
        <w:rPr>
          <w:rFonts w:ascii="Century Gothic" w:hAnsi="Century Gothic" w:cs="Arial"/>
          <w:color w:val="000000"/>
          <w:sz w:val="18"/>
          <w:szCs w:val="18"/>
        </w:rPr>
        <w:t>[…]</w:t>
      </w:r>
    </w:p>
    <w:p w:rsidR="00C36B99" w:rsidP="00C36B99" w:rsidRDefault="00C36B99" w14:paraId="56CD61FF" w14:textId="77777777">
      <w:pPr>
        <w:pStyle w:val="Textonotapie"/>
        <w:ind w:firstLine="709"/>
        <w:jc w:val="both"/>
        <w:rPr>
          <w:rFonts w:ascii="Century Gothic" w:hAnsi="Century Gothic" w:cs="Arial"/>
          <w:color w:val="000000"/>
          <w:sz w:val="18"/>
          <w:szCs w:val="18"/>
        </w:rPr>
      </w:pPr>
      <w:r w:rsidRPr="00480D1F">
        <w:rPr>
          <w:rFonts w:ascii="Century Gothic" w:hAnsi="Century Gothic" w:cs="Arial"/>
          <w:color w:val="000000"/>
          <w:sz w:val="18"/>
          <w:szCs w:val="18"/>
        </w:rPr>
        <w:t xml:space="preserve">c) Contará con la información oficial de la contratación realizada con dineros públicos, para lo cual establecerá los patrones a que haya lugar y se encargará de su difusión a través de canales electrónico”. </w:t>
      </w:r>
    </w:p>
    <w:p w:rsidRPr="00480D1F" w:rsidR="00C36B99" w:rsidP="00C36B99" w:rsidRDefault="00C36B99" w14:paraId="35BD6E2F" w14:textId="77777777">
      <w:pPr>
        <w:pStyle w:val="Textonotapie"/>
        <w:ind w:firstLine="709"/>
        <w:jc w:val="both"/>
        <w:rPr>
          <w:rFonts w:ascii="Century Gothic" w:hAnsi="Century Gothic" w:cs="Arial"/>
          <w:color w:val="000000"/>
          <w:sz w:val="18"/>
          <w:szCs w:val="18"/>
          <w:lang w:val="es-CO"/>
        </w:rPr>
      </w:pPr>
    </w:p>
  </w:footnote>
  <w:footnote w:id="30">
    <w:p w:rsidRPr="00480D1F" w:rsidR="00C36B99" w:rsidP="00C36B99" w:rsidRDefault="00C36B99" w14:paraId="203554E5" w14:textId="77777777">
      <w:pPr>
        <w:pStyle w:val="Textonotapie"/>
        <w:ind w:firstLine="709"/>
        <w:jc w:val="both"/>
        <w:rPr>
          <w:rFonts w:ascii="Century Gothic" w:hAnsi="Century Gothic" w:cs="Arial"/>
          <w:color w:val="000000"/>
          <w:sz w:val="18"/>
          <w:szCs w:val="18"/>
          <w:lang w:val="es-CO"/>
        </w:rPr>
      </w:pPr>
      <w:r w:rsidRPr="00480D1F">
        <w:rPr>
          <w:rStyle w:val="Refdenotaalpie"/>
          <w:rFonts w:ascii="Century Gothic" w:hAnsi="Century Gothic" w:cs="Arial"/>
          <w:color w:val="000000"/>
          <w:sz w:val="18"/>
          <w:szCs w:val="18"/>
        </w:rPr>
        <w:footnoteRef/>
      </w:r>
      <w:r w:rsidRPr="00480D1F">
        <w:rPr>
          <w:rFonts w:ascii="Century Gothic" w:hAnsi="Century Gothic" w:cs="Arial"/>
          <w:color w:val="000000"/>
          <w:sz w:val="18"/>
          <w:szCs w:val="18"/>
        </w:rPr>
        <w:t xml:space="preserve"> Ley 1712 de 2014: “Artículo 2. Toda información en posesión, bajo control o custodia de un sujeto obligado es pública y no podrá ser reservada o limitada sino por disposición constitucional o legal, de conformidad con la presente ley”.</w:t>
      </w:r>
    </w:p>
  </w:footnote>
  <w:footnote w:id="31">
    <w:p w:rsidR="00D273AC" w:rsidP="00C36B99" w:rsidRDefault="00D273AC" w14:paraId="5D709430" w14:textId="77777777">
      <w:pPr>
        <w:pStyle w:val="Textonotapie"/>
        <w:ind w:firstLine="709"/>
        <w:jc w:val="both"/>
        <w:rPr>
          <w:rFonts w:ascii="Century Gothic" w:hAnsi="Century Gothic" w:cs="Arial"/>
          <w:color w:val="000000"/>
          <w:sz w:val="18"/>
          <w:szCs w:val="18"/>
        </w:rPr>
      </w:pPr>
    </w:p>
    <w:p w:rsidRPr="00480D1F" w:rsidR="00C36B99" w:rsidP="00C36B99" w:rsidRDefault="00C36B99" w14:paraId="3906A631" w14:textId="522E8351">
      <w:pPr>
        <w:pStyle w:val="Textonotapie"/>
        <w:ind w:firstLine="709"/>
        <w:jc w:val="both"/>
        <w:rPr>
          <w:rFonts w:ascii="Century Gothic" w:hAnsi="Century Gothic" w:cs="Arial"/>
          <w:color w:val="000000"/>
          <w:sz w:val="18"/>
          <w:szCs w:val="18"/>
        </w:rPr>
      </w:pPr>
      <w:r w:rsidRPr="00480D1F">
        <w:rPr>
          <w:rStyle w:val="Refdenotaalpie"/>
          <w:rFonts w:ascii="Century Gothic" w:hAnsi="Century Gothic" w:cs="Arial"/>
          <w:color w:val="000000"/>
          <w:sz w:val="18"/>
          <w:szCs w:val="18"/>
        </w:rPr>
        <w:footnoteRef/>
      </w:r>
      <w:r w:rsidRPr="00480D1F">
        <w:rPr>
          <w:rFonts w:ascii="Century Gothic" w:hAnsi="Century Gothic" w:cs="Arial"/>
          <w:color w:val="000000"/>
          <w:sz w:val="18"/>
          <w:szCs w:val="18"/>
        </w:rPr>
        <w:t xml:space="preserve"> Ley 1712 de 2014: “Artículo 5. Ámbito de aplicación. Las disposiciones de esta ley serán aplicables a las siguientes personas en calidad de sujetos obligados: </w:t>
      </w:r>
    </w:p>
    <w:p w:rsidRPr="00480D1F" w:rsidR="00C36B99" w:rsidP="00C36B99" w:rsidRDefault="00C36B99" w14:paraId="4F2266D7" w14:textId="77777777">
      <w:pPr>
        <w:pStyle w:val="Textonotapie"/>
        <w:ind w:firstLine="709"/>
        <w:jc w:val="both"/>
        <w:rPr>
          <w:rFonts w:ascii="Century Gothic" w:hAnsi="Century Gothic" w:cs="Arial"/>
          <w:color w:val="000000"/>
          <w:sz w:val="18"/>
          <w:szCs w:val="18"/>
        </w:rPr>
      </w:pPr>
      <w:r w:rsidRPr="00480D1F">
        <w:rPr>
          <w:rFonts w:ascii="Century Gothic" w:hAnsi="Century Gothic" w:cs="Arial"/>
          <w:color w:val="000000"/>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w:t>
      </w:r>
    </w:p>
    <w:p w:rsidRPr="00480D1F" w:rsidR="00C36B99" w:rsidP="00C36B99" w:rsidRDefault="00C36B99" w14:paraId="75D0130E" w14:textId="77777777">
      <w:pPr>
        <w:pStyle w:val="Textonotapie"/>
        <w:ind w:firstLine="709"/>
        <w:jc w:val="both"/>
        <w:rPr>
          <w:rFonts w:ascii="Century Gothic" w:hAnsi="Century Gothic" w:cs="Arial"/>
          <w:color w:val="000000"/>
          <w:sz w:val="18"/>
          <w:szCs w:val="18"/>
        </w:rPr>
      </w:pPr>
      <w:r w:rsidRPr="00480D1F">
        <w:rPr>
          <w:rFonts w:ascii="Century Gothic" w:hAnsi="Century Gothic" w:cs="Arial"/>
          <w:color w:val="000000"/>
          <w:sz w:val="18"/>
          <w:szCs w:val="18"/>
        </w:rPr>
        <w:t>b) Los órganos, organismos y entidades estatales independientes o autónomos y de control.</w:t>
      </w:r>
    </w:p>
    <w:p w:rsidRPr="00480D1F" w:rsidR="00C36B99" w:rsidP="00C36B99" w:rsidRDefault="00C36B99" w14:paraId="4A77EED4" w14:textId="77777777">
      <w:pPr>
        <w:pStyle w:val="Textonotapie"/>
        <w:ind w:firstLine="709"/>
        <w:jc w:val="both"/>
        <w:rPr>
          <w:rFonts w:ascii="Century Gothic" w:hAnsi="Century Gothic" w:cs="Arial"/>
          <w:color w:val="000000"/>
          <w:sz w:val="18"/>
          <w:szCs w:val="18"/>
        </w:rPr>
      </w:pPr>
      <w:r w:rsidRPr="00480D1F">
        <w:rPr>
          <w:rFonts w:ascii="Century Gothic" w:hAnsi="Century Gothic" w:cs="Arial"/>
          <w:color w:val="000000"/>
          <w:sz w:val="18"/>
          <w:szCs w:val="18"/>
        </w:rPr>
        <w:t>c) Las personas naturales y jurídicas, públicas o privadas, que presten función pública, que presten servicios públicos respecto de la información directamente relacionada con la prestación del servicio público.</w:t>
      </w:r>
    </w:p>
    <w:p w:rsidRPr="00480D1F" w:rsidR="00C36B99" w:rsidP="00C36B99" w:rsidRDefault="00C36B99" w14:paraId="761226D6" w14:textId="77777777">
      <w:pPr>
        <w:pStyle w:val="Textonotapie"/>
        <w:ind w:firstLine="709"/>
        <w:jc w:val="both"/>
        <w:rPr>
          <w:rFonts w:ascii="Century Gothic" w:hAnsi="Century Gothic" w:cs="Arial"/>
          <w:color w:val="000000"/>
          <w:sz w:val="18"/>
          <w:szCs w:val="18"/>
        </w:rPr>
      </w:pPr>
      <w:r w:rsidRPr="00480D1F">
        <w:rPr>
          <w:rFonts w:ascii="Century Gothic" w:hAnsi="Century Gothic" w:cs="Arial"/>
          <w:color w:val="000000"/>
          <w:sz w:val="18"/>
          <w:szCs w:val="18"/>
        </w:rPr>
        <w:t>d) Cualquier persona natural, jurídica o dependencia de persona jurídica que desempeñe función pública o de autoridad pública, respecto de la información directamente relacionada con el desempeño de su función.</w:t>
      </w:r>
    </w:p>
    <w:p w:rsidRPr="00480D1F" w:rsidR="00C36B99" w:rsidP="00C36B99" w:rsidRDefault="00C36B99" w14:paraId="3168C832" w14:textId="77777777">
      <w:pPr>
        <w:pStyle w:val="Textonotapie"/>
        <w:ind w:firstLine="709"/>
        <w:jc w:val="both"/>
        <w:rPr>
          <w:rFonts w:ascii="Century Gothic" w:hAnsi="Century Gothic" w:cs="Arial"/>
          <w:color w:val="000000"/>
          <w:sz w:val="18"/>
          <w:szCs w:val="18"/>
        </w:rPr>
      </w:pPr>
      <w:r w:rsidRPr="00480D1F">
        <w:rPr>
          <w:rFonts w:ascii="Century Gothic" w:hAnsi="Century Gothic" w:cs="Arial"/>
          <w:color w:val="000000"/>
          <w:sz w:val="18"/>
          <w:szCs w:val="18"/>
        </w:rPr>
        <w:t>e) &lt;Literal CONDICIONALMENTE exequible&gt; Las empresas públicas creadas por ley, las empresas del Estado y sociedades en que este tenga participación.</w:t>
      </w:r>
    </w:p>
    <w:p w:rsidRPr="00480D1F" w:rsidR="00C36B99" w:rsidP="00C36B99" w:rsidRDefault="00C36B99" w14:paraId="1BD4E1BC" w14:textId="77777777">
      <w:pPr>
        <w:pStyle w:val="Textonotapie"/>
        <w:ind w:firstLine="709"/>
        <w:jc w:val="both"/>
        <w:rPr>
          <w:rFonts w:ascii="Century Gothic" w:hAnsi="Century Gothic" w:cs="Arial"/>
          <w:color w:val="000000"/>
          <w:sz w:val="18"/>
          <w:szCs w:val="18"/>
        </w:rPr>
      </w:pPr>
      <w:r w:rsidRPr="00480D1F">
        <w:rPr>
          <w:rFonts w:ascii="Century Gothic" w:hAnsi="Century Gothic" w:cs="Arial"/>
          <w:color w:val="000000"/>
          <w:sz w:val="18"/>
          <w:szCs w:val="18"/>
        </w:rPr>
        <w:t>f) Los partidos o movimientos políticos y los grupos significativos de ciudadanos.</w:t>
      </w:r>
    </w:p>
    <w:p w:rsidRPr="00480D1F" w:rsidR="00C36B99" w:rsidP="00C36B99" w:rsidRDefault="00C36B99" w14:paraId="50E4AC48" w14:textId="77777777">
      <w:pPr>
        <w:pStyle w:val="Textonotapie"/>
        <w:ind w:firstLine="709"/>
        <w:jc w:val="both"/>
        <w:rPr>
          <w:rFonts w:ascii="Century Gothic" w:hAnsi="Century Gothic" w:cs="Arial"/>
          <w:color w:val="000000"/>
          <w:sz w:val="18"/>
          <w:szCs w:val="18"/>
        </w:rPr>
      </w:pPr>
      <w:r w:rsidRPr="00480D1F">
        <w:rPr>
          <w:rFonts w:ascii="Century Gothic" w:hAnsi="Century Gothic" w:cs="Arial"/>
          <w:color w:val="000000"/>
          <w:sz w:val="18"/>
          <w:szCs w:val="18"/>
        </w:rPr>
        <w:t>g) Las entidades que administren instituciones parafiscales, fondos o recursos de naturaleza u origen público.</w:t>
      </w:r>
    </w:p>
    <w:p w:rsidRPr="00480D1F" w:rsidR="00C36B99" w:rsidP="00C36B99" w:rsidRDefault="00C36B99" w14:paraId="6FB22ED4" w14:textId="77777777">
      <w:pPr>
        <w:pStyle w:val="Textonotapie"/>
        <w:ind w:firstLine="709"/>
        <w:jc w:val="both"/>
        <w:rPr>
          <w:rFonts w:ascii="Century Gothic" w:hAnsi="Century Gothic" w:cs="Arial"/>
          <w:color w:val="000000"/>
          <w:sz w:val="18"/>
          <w:szCs w:val="18"/>
        </w:rPr>
      </w:pPr>
      <w:r w:rsidRPr="00480D1F">
        <w:rPr>
          <w:rFonts w:ascii="Century Gothic" w:hAnsi="Century Gothic" w:cs="Arial"/>
          <w:color w:val="000000"/>
          <w:sz w:val="18"/>
          <w:szCs w:val="18"/>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rsidRPr="00480D1F" w:rsidR="00C36B99" w:rsidP="00C36B99" w:rsidRDefault="00C36B99" w14:paraId="21BB71B4" w14:textId="77777777">
      <w:pPr>
        <w:pStyle w:val="Textonotapie"/>
        <w:ind w:firstLine="709"/>
        <w:jc w:val="both"/>
        <w:rPr>
          <w:rFonts w:ascii="Century Gothic" w:hAnsi="Century Gothic" w:cs="Arial"/>
          <w:color w:val="000000"/>
          <w:sz w:val="18"/>
          <w:szCs w:val="18"/>
          <w:lang w:val="es-CO"/>
        </w:rPr>
      </w:pPr>
      <w:r w:rsidRPr="00480D1F">
        <w:rPr>
          <w:rFonts w:ascii="Century Gothic" w:hAnsi="Century Gothic" w:cs="Arial"/>
          <w:color w:val="000000"/>
          <w:sz w:val="18"/>
          <w:szCs w:val="18"/>
        </w:rPr>
        <w:t>PARÁGRAFO 1o. No serán sujetos obligados aquellas personas naturales o jurídicas de carácter privado que sean usuarios de información pública”.</w:t>
      </w:r>
    </w:p>
  </w:footnote>
  <w:footnote w:id="32">
    <w:p w:rsidRPr="00480D1F" w:rsidR="00C36B99" w:rsidP="00C36B99" w:rsidRDefault="00C36B99" w14:paraId="0DDA1BBB" w14:textId="47808E84">
      <w:pPr>
        <w:pStyle w:val="Textonotapie"/>
        <w:ind w:firstLine="709"/>
        <w:jc w:val="both"/>
        <w:rPr>
          <w:rFonts w:ascii="Century Gothic" w:hAnsi="Century Gothic" w:eastAsia="Times New Roman" w:cs="Arial"/>
          <w:color w:val="000000"/>
          <w:sz w:val="18"/>
          <w:szCs w:val="18"/>
          <w:lang w:val="es-ES" w:eastAsia="es-ES"/>
        </w:rPr>
      </w:pPr>
      <w:r w:rsidRPr="00480D1F">
        <w:rPr>
          <w:rFonts w:ascii="Century Gothic" w:hAnsi="Century Gothic" w:eastAsia="Times New Roman" w:cs="Arial"/>
          <w:color w:val="000000"/>
          <w:sz w:val="18"/>
          <w:szCs w:val="18"/>
          <w:vertAlign w:val="superscript"/>
          <w:lang w:val="es-ES" w:eastAsia="es-ES"/>
        </w:rPr>
        <w:footnoteRef/>
      </w:r>
      <w:r w:rsidRPr="00480D1F">
        <w:rPr>
          <w:rFonts w:ascii="Century Gothic" w:hAnsi="Century Gothic" w:eastAsia="Times New Roman" w:cs="Arial"/>
          <w:color w:val="000000"/>
          <w:sz w:val="18"/>
          <w:szCs w:val="18"/>
          <w:vertAlign w:val="superscript"/>
          <w:lang w:val="es-ES" w:eastAsia="es-ES"/>
        </w:rPr>
        <w:t xml:space="preserve"> </w:t>
      </w:r>
      <w:r w:rsidRPr="00480D1F">
        <w:rPr>
          <w:rFonts w:ascii="Century Gothic" w:hAnsi="Century Gothic" w:eastAsia="Times New Roman" w:cs="Arial"/>
          <w:color w:val="000000"/>
          <w:sz w:val="18"/>
          <w:szCs w:val="18"/>
          <w:lang w:val="es-ES" w:eastAsia="es-ES"/>
        </w:rPr>
        <w:t>“</w:t>
      </w:r>
      <w:r w:rsidRPr="00480D1F">
        <w:rPr>
          <w:rFonts w:ascii="Century Gothic" w:hAnsi="Century Gothic" w:cs="Arial"/>
          <w:color w:val="000000"/>
          <w:sz w:val="18"/>
          <w:szCs w:val="18"/>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r w:rsidRPr="00480D1F">
        <w:rPr>
          <w:rFonts w:ascii="Century Gothic" w:hAnsi="Century Gothic" w:eastAsia="Times New Roman" w:cs="Arial"/>
          <w:color w:val="000000"/>
          <w:sz w:val="18"/>
          <w:szCs w:val="18"/>
          <w:lang w:val="es-ES" w:eastAsia="es-ES"/>
        </w:rPr>
        <w:t>”.</w:t>
      </w:r>
    </w:p>
  </w:footnote>
  <w:footnote w:id="33">
    <w:p w:rsidRPr="00480D1F" w:rsidR="00DA5D42" w:rsidP="00DA5D42" w:rsidRDefault="00DA5D42" w14:paraId="325AFD27" w14:textId="77777777">
      <w:pPr>
        <w:pStyle w:val="Textonotapie"/>
        <w:ind w:firstLine="708"/>
        <w:jc w:val="both"/>
        <w:rPr>
          <w:rFonts w:ascii="Century Gothic" w:hAnsi="Century Gothic" w:cs="Arial"/>
          <w:color w:val="000000"/>
          <w:sz w:val="18"/>
          <w:szCs w:val="18"/>
        </w:rPr>
      </w:pPr>
      <w:r w:rsidRPr="00480D1F">
        <w:rPr>
          <w:rStyle w:val="Refdenotaalpie"/>
          <w:rFonts w:ascii="Century Gothic" w:hAnsi="Century Gothic" w:cs="Arial"/>
          <w:color w:val="000000"/>
          <w:sz w:val="18"/>
          <w:szCs w:val="18"/>
        </w:rPr>
        <w:footnoteRef/>
      </w:r>
      <w:r w:rsidRPr="00480D1F">
        <w:rPr>
          <w:rFonts w:ascii="Century Gothic" w:hAnsi="Century Gothic" w:cs="Arial"/>
          <w:color w:val="000000"/>
          <w:sz w:val="18"/>
          <w:szCs w:val="18"/>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480D1F">
        <w:rPr>
          <w:rFonts w:ascii="Century Gothic" w:hAnsi="Century Gothic" w:cs="Arial"/>
          <w:color w:val="000000"/>
          <w:sz w:val="18"/>
          <w:szCs w:val="18"/>
          <w:shd w:val="clear" w:color="auto" w:fill="FFFFFF"/>
        </w:rPr>
        <w:t>”</w:t>
      </w:r>
      <w:r w:rsidRPr="00480D1F">
        <w:rPr>
          <w:rFonts w:ascii="Century Gothic" w:hAnsi="Century Gothic" w:cs="Arial"/>
          <w:color w:val="000000"/>
          <w:sz w:val="18"/>
          <w:szCs w:val="18"/>
        </w:rPr>
        <w:t xml:space="preserve"> EXPOSITO, Juan Carlos. Forma y contenido del contrato estatal. Bogotá: Universidad Externado de Colombia, p. 89 y 90.</w:t>
      </w:r>
    </w:p>
    <w:p w:rsidRPr="00480D1F" w:rsidR="00DA5D42" w:rsidP="00DA5D42" w:rsidRDefault="00DA5D42" w14:paraId="67AE85BA" w14:textId="77777777">
      <w:pPr>
        <w:pStyle w:val="Textonotapie"/>
        <w:ind w:firstLine="708"/>
        <w:jc w:val="both"/>
        <w:rPr>
          <w:rFonts w:ascii="Century Gothic" w:hAnsi="Century Gothic" w:cs="Arial"/>
          <w:color w:val="000000"/>
          <w:sz w:val="18"/>
          <w:szCs w:val="18"/>
        </w:rPr>
      </w:pPr>
      <w:r w:rsidRPr="00480D1F">
        <w:rPr>
          <w:rFonts w:ascii="Century Gothic" w:hAnsi="Century Gothic" w:cs="Arial"/>
          <w:color w:val="000000"/>
          <w:sz w:val="18"/>
          <w:szCs w:val="18"/>
        </w:rPr>
        <w:t xml:space="preserve"> </w:t>
      </w:r>
    </w:p>
  </w:footnote>
  <w:footnote w:id="34">
    <w:p w:rsidR="00DA5D42" w:rsidP="00DA5D42" w:rsidRDefault="00DA5D42" w14:paraId="2D4D1221" w14:textId="77777777">
      <w:pPr>
        <w:pStyle w:val="Textonotapie"/>
        <w:ind w:firstLine="708"/>
        <w:jc w:val="both"/>
        <w:rPr>
          <w:rFonts w:ascii="Century Gothic" w:hAnsi="Century Gothic" w:cs="Arial"/>
          <w:color w:val="000000"/>
          <w:sz w:val="18"/>
          <w:szCs w:val="18"/>
        </w:rPr>
      </w:pPr>
      <w:r w:rsidRPr="00480D1F">
        <w:rPr>
          <w:rStyle w:val="Refdenotaalpie"/>
          <w:rFonts w:ascii="Century Gothic" w:hAnsi="Century Gothic" w:cs="Arial"/>
          <w:color w:val="000000"/>
          <w:sz w:val="18"/>
          <w:szCs w:val="18"/>
        </w:rPr>
        <w:footnoteRef/>
      </w:r>
      <w:r w:rsidRPr="00480D1F">
        <w:rPr>
          <w:rFonts w:ascii="Century Gothic" w:hAnsi="Century Gothic" w:cs="Arial"/>
          <w:color w:val="000000"/>
          <w:sz w:val="18"/>
          <w:szCs w:val="18"/>
        </w:rPr>
        <w:t xml:space="preserve"> DÍAZ DÍEZ, Cristian Andrés. La liquidación. Serie: Las Cláusulas del Contrato Estatal. Medellín: Librería Jurídica Sánchez y Centro de Estudios de Derecho Administrativo –CEDA–, 2013, pp. 53-54.</w:t>
      </w:r>
    </w:p>
    <w:p w:rsidRPr="00480D1F" w:rsidR="00DA5D42" w:rsidP="00DA5D42" w:rsidRDefault="00DA5D42" w14:paraId="71C0EFB7" w14:textId="77777777">
      <w:pPr>
        <w:pStyle w:val="Textonotapie"/>
        <w:ind w:firstLine="708"/>
        <w:jc w:val="both"/>
        <w:rPr>
          <w:rFonts w:ascii="Century Gothic" w:hAnsi="Century Gothic" w:cs="Arial"/>
          <w:color w:val="000000"/>
          <w:sz w:val="18"/>
          <w:szCs w:val="18"/>
          <w:lang w:val="es-CO"/>
        </w:rPr>
      </w:pPr>
    </w:p>
  </w:footnote>
  <w:footnote w:id="35">
    <w:p w:rsidRPr="00480D1F" w:rsidR="00DA5D42" w:rsidP="00DA5D42" w:rsidRDefault="00DA5D42" w14:paraId="00BD4280" w14:textId="77777777">
      <w:pPr>
        <w:ind w:firstLine="708"/>
        <w:jc w:val="both"/>
        <w:rPr>
          <w:rFonts w:ascii="Century Gothic" w:hAnsi="Century Gothic" w:cs="Arial"/>
          <w:color w:val="000000"/>
          <w:sz w:val="18"/>
          <w:szCs w:val="18"/>
          <w:lang w:val="es-ES"/>
        </w:rPr>
      </w:pPr>
      <w:r w:rsidRPr="00480D1F">
        <w:rPr>
          <w:rStyle w:val="Refdenotaalpie"/>
          <w:rFonts w:ascii="Century Gothic" w:hAnsi="Century Gothic" w:cs="Arial"/>
          <w:color w:val="000000"/>
          <w:sz w:val="18"/>
          <w:szCs w:val="18"/>
        </w:rPr>
        <w:footnoteRef/>
      </w:r>
      <w:r w:rsidRPr="00480D1F">
        <w:rPr>
          <w:rFonts w:ascii="Century Gothic" w:hAnsi="Century Gothic" w:cs="Arial"/>
          <w:color w:val="000000"/>
          <w:sz w:val="18"/>
          <w:szCs w:val="18"/>
        </w:rPr>
        <w:t xml:space="preserve"> Consejo de Estado. Sección Tercera. Subsección C. 20 de octubre de 2014, M.P: Enrique Gil Botero. Exp.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36">
    <w:p w:rsidRPr="00480D1F" w:rsidR="00DA5D42" w:rsidP="00DA5D42" w:rsidRDefault="00DA5D42" w14:paraId="77ACD90D" w14:textId="77777777">
      <w:pPr>
        <w:pStyle w:val="Textonotapie"/>
        <w:ind w:firstLine="708"/>
        <w:jc w:val="both"/>
        <w:rPr>
          <w:rFonts w:ascii="Century Gothic" w:hAnsi="Century Gothic" w:cs="Arial"/>
          <w:color w:val="000000"/>
          <w:sz w:val="18"/>
          <w:szCs w:val="18"/>
        </w:rPr>
      </w:pPr>
      <w:r w:rsidRPr="00480D1F">
        <w:rPr>
          <w:rStyle w:val="Refdenotaalpie"/>
          <w:rFonts w:ascii="Century Gothic" w:hAnsi="Century Gothic" w:cs="Arial"/>
          <w:color w:val="000000"/>
          <w:sz w:val="18"/>
          <w:szCs w:val="18"/>
        </w:rPr>
        <w:footnoteRef/>
      </w:r>
      <w:r w:rsidRPr="00480D1F">
        <w:rPr>
          <w:rFonts w:ascii="Century Gothic" w:hAnsi="Century Gothic" w:cs="Arial"/>
          <w:color w:val="000000"/>
          <w:sz w:val="18"/>
          <w:szCs w:val="18"/>
        </w:rPr>
        <w:t xml:space="preserve"> Exposito Velez. Juan Carlos. Forma y contenido del contrato estatal, p. 90.</w:t>
      </w:r>
    </w:p>
  </w:footnote>
  <w:footnote w:id="37">
    <w:p w:rsidRPr="00480D1F" w:rsidR="00DA5D42" w:rsidP="00DA5D42" w:rsidRDefault="00DA5D42" w14:paraId="3D0FBC8A" w14:textId="77777777">
      <w:pPr>
        <w:pStyle w:val="Textonotapie"/>
        <w:ind w:firstLine="708"/>
        <w:jc w:val="both"/>
        <w:rPr>
          <w:rFonts w:ascii="Century Gothic" w:hAnsi="Century Gothic" w:cs="Arial"/>
          <w:color w:val="000000"/>
          <w:sz w:val="18"/>
          <w:szCs w:val="18"/>
        </w:rPr>
      </w:pPr>
    </w:p>
    <w:p w:rsidRPr="00480D1F" w:rsidR="00DA5D42" w:rsidP="00DA5D42" w:rsidRDefault="00DA5D42" w14:paraId="1FC0C00B" w14:textId="77777777">
      <w:pPr>
        <w:pStyle w:val="Textonotapie"/>
        <w:ind w:firstLine="708"/>
        <w:jc w:val="both"/>
        <w:rPr>
          <w:rFonts w:ascii="Century Gothic" w:hAnsi="Century Gothic" w:cs="Arial"/>
          <w:color w:val="000000"/>
          <w:sz w:val="18"/>
          <w:szCs w:val="18"/>
        </w:rPr>
      </w:pPr>
      <w:r w:rsidRPr="00480D1F">
        <w:rPr>
          <w:rStyle w:val="Refdenotaalpie"/>
          <w:rFonts w:ascii="Century Gothic" w:hAnsi="Century Gothic" w:cs="Arial"/>
          <w:color w:val="000000"/>
          <w:sz w:val="18"/>
          <w:szCs w:val="18"/>
        </w:rPr>
        <w:footnoteRef/>
      </w:r>
      <w:r w:rsidRPr="00480D1F">
        <w:rPr>
          <w:rFonts w:ascii="Century Gothic" w:hAnsi="Century Gothic" w:cs="Arial"/>
          <w:color w:val="000000"/>
          <w:sz w:val="18"/>
          <w:szCs w:val="18"/>
        </w:rPr>
        <w:t xml:space="preserve"> CONSEJO DE ESTADO, Sala de Consulta y Servicio Civil. Radicado No. 1453. Concepto de 6 de agosto de 2003. MP. Augusto Trejos.</w:t>
      </w:r>
    </w:p>
    <w:p w:rsidRPr="00480D1F" w:rsidR="00DA5D42" w:rsidP="00DA5D42" w:rsidRDefault="00DA5D42" w14:paraId="40942B88" w14:textId="77777777">
      <w:pPr>
        <w:pStyle w:val="Textonotapie"/>
        <w:ind w:firstLine="708"/>
        <w:jc w:val="both"/>
        <w:rPr>
          <w:rFonts w:ascii="Century Gothic" w:hAnsi="Century Gothic" w:cs="Arial"/>
          <w:color w:val="000000"/>
          <w:sz w:val="18"/>
          <w:szCs w:val="18"/>
        </w:rPr>
      </w:pPr>
    </w:p>
  </w:footnote>
  <w:footnote w:id="38">
    <w:p w:rsidRPr="00480D1F" w:rsidR="00DA5D42" w:rsidP="00DA5D42" w:rsidRDefault="00DA5D42" w14:paraId="0F56C977" w14:textId="77777777">
      <w:pPr>
        <w:pStyle w:val="Textonotapie"/>
        <w:ind w:firstLine="708"/>
        <w:jc w:val="both"/>
        <w:rPr>
          <w:rFonts w:ascii="Century Gothic" w:hAnsi="Century Gothic" w:cs="Arial"/>
          <w:color w:val="000000"/>
          <w:sz w:val="18"/>
          <w:szCs w:val="18"/>
          <w:lang w:val="es-ES"/>
        </w:rPr>
      </w:pPr>
      <w:r w:rsidRPr="00480D1F">
        <w:rPr>
          <w:rStyle w:val="Refdenotaalpie"/>
          <w:rFonts w:ascii="Century Gothic" w:hAnsi="Century Gothic" w:cs="Arial"/>
          <w:color w:val="000000"/>
          <w:sz w:val="18"/>
          <w:szCs w:val="18"/>
        </w:rPr>
        <w:footnoteRef/>
      </w:r>
      <w:r w:rsidRPr="00480D1F">
        <w:rPr>
          <w:rFonts w:ascii="Century Gothic" w:hAnsi="Century Gothic" w:cs="Arial"/>
          <w:color w:val="000000"/>
          <w:sz w:val="18"/>
          <w:szCs w:val="18"/>
        </w:rPr>
        <w:t xml:space="preserve"> </w:t>
      </w:r>
      <w:r w:rsidRPr="00480D1F">
        <w:rPr>
          <w:rFonts w:ascii="Century Gothic" w:hAnsi="Century Gothic" w:cs="Arial"/>
          <w:color w:val="000000"/>
          <w:sz w:val="18"/>
          <w:szCs w:val="18"/>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rsidRPr="00480D1F" w:rsidR="00DA5D42" w:rsidP="00DA5D42" w:rsidRDefault="00DA5D42" w14:paraId="0F7B9188" w14:textId="77777777">
      <w:pPr>
        <w:pStyle w:val="Textonotapie"/>
        <w:ind w:firstLine="708"/>
        <w:jc w:val="both"/>
        <w:rPr>
          <w:rFonts w:ascii="Century Gothic" w:hAnsi="Century Gothic" w:cs="Arial"/>
          <w:color w:val="000000"/>
          <w:sz w:val="18"/>
          <w:szCs w:val="18"/>
          <w:lang w:val="es-ES"/>
        </w:rPr>
      </w:pPr>
      <w:r w:rsidRPr="00480D1F">
        <w:rPr>
          <w:rFonts w:ascii="Century Gothic" w:hAnsi="Century Gothic" w:cs="Arial"/>
          <w:color w:val="000000"/>
          <w:sz w:val="18"/>
          <w:szCs w:val="18"/>
          <w:lang w:val="es-ES"/>
        </w:rPr>
        <w:t>“ 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rsidRPr="00480D1F" w:rsidR="00DA5D42" w:rsidP="00DA5D42" w:rsidRDefault="00DA5D42" w14:paraId="128AC3D5" w14:textId="77777777">
      <w:pPr>
        <w:pStyle w:val="Textonotapie"/>
        <w:ind w:firstLine="708"/>
        <w:jc w:val="both"/>
        <w:rPr>
          <w:rFonts w:ascii="Century Gothic" w:hAnsi="Century Gothic" w:cs="Arial"/>
          <w:color w:val="000000"/>
          <w:sz w:val="18"/>
          <w:szCs w:val="18"/>
          <w:lang w:val="es-ES"/>
        </w:rPr>
      </w:pPr>
      <w:r w:rsidRPr="00480D1F">
        <w:rPr>
          <w:rFonts w:ascii="Century Gothic" w:hAnsi="Century Gothic" w:cs="Arial"/>
          <w:color w:val="000000"/>
          <w:sz w:val="18"/>
          <w:szCs w:val="18"/>
          <w:lang w:val="es-ES"/>
        </w:rPr>
        <w:t>“ 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rsidRPr="00480D1F" w:rsidR="00DA5D42" w:rsidP="00DA5D42" w:rsidRDefault="00DA5D42" w14:paraId="70878969" w14:textId="77777777">
      <w:pPr>
        <w:pStyle w:val="Textonotapie"/>
        <w:ind w:firstLine="708"/>
        <w:jc w:val="both"/>
        <w:rPr>
          <w:rFonts w:ascii="Century Gothic" w:hAnsi="Century Gothic" w:cs="Arial"/>
          <w:color w:val="000000"/>
          <w:sz w:val="18"/>
          <w:szCs w:val="18"/>
          <w:lang w:val="es-ES"/>
        </w:rPr>
      </w:pPr>
      <w:r w:rsidRPr="00480D1F">
        <w:rPr>
          <w:rFonts w:ascii="Century Gothic" w:hAnsi="Century Gothic" w:cs="Arial"/>
          <w:color w:val="000000"/>
          <w:sz w:val="18"/>
          <w:szCs w:val="18"/>
          <w:lang w:val="es-ES"/>
        </w:rPr>
        <w:t>“ Los contratistas tendrán derecho a efectuar salvedades a la liquidación por mutuo acuerdo, y en este evento la liquidación unilateral solo procederá en relación con los aspectos que no hayan sido objeto de acuerdo”.</w:t>
      </w:r>
    </w:p>
    <w:p w:rsidRPr="00480D1F" w:rsidR="00DA5D42" w:rsidP="00DA5D42" w:rsidRDefault="00DA5D42" w14:paraId="1AAF627B" w14:textId="77777777">
      <w:pPr>
        <w:pStyle w:val="Textonotapie"/>
        <w:ind w:firstLine="708"/>
        <w:jc w:val="both"/>
        <w:rPr>
          <w:rFonts w:ascii="Century Gothic" w:hAnsi="Century Gothic" w:cs="Arial"/>
          <w:color w:val="000000"/>
          <w:sz w:val="18"/>
          <w:szCs w:val="18"/>
          <w:lang w:val="es-ES"/>
        </w:rPr>
      </w:pPr>
    </w:p>
  </w:footnote>
  <w:footnote w:id="39">
    <w:p w:rsidRPr="00480D1F" w:rsidR="00DA5D42" w:rsidP="00DA5D42" w:rsidRDefault="00DA5D42" w14:paraId="5561BA5C" w14:textId="77777777">
      <w:pPr>
        <w:pStyle w:val="Textonotapie"/>
        <w:ind w:firstLine="709"/>
        <w:jc w:val="both"/>
        <w:rPr>
          <w:rFonts w:ascii="Century Gothic" w:hAnsi="Century Gothic" w:cs="Arial"/>
          <w:color w:val="000000"/>
          <w:sz w:val="18"/>
          <w:szCs w:val="18"/>
          <w:lang w:val="es-CO"/>
        </w:rPr>
      </w:pPr>
      <w:r w:rsidRPr="00480D1F">
        <w:rPr>
          <w:rStyle w:val="Refdenotaalpie"/>
          <w:rFonts w:ascii="Century Gothic" w:hAnsi="Century Gothic" w:cs="Arial"/>
          <w:color w:val="000000"/>
          <w:sz w:val="18"/>
          <w:szCs w:val="18"/>
        </w:rPr>
        <w:footnoteRef/>
      </w:r>
      <w:r w:rsidRPr="00480D1F">
        <w:rPr>
          <w:rFonts w:ascii="Century Gothic" w:hAnsi="Century Gothic" w:cs="Arial"/>
          <w:color w:val="000000"/>
          <w:sz w:val="18"/>
          <w:szCs w:val="18"/>
        </w:rPr>
        <w:t xml:space="preserve"> CONSEJO DE ESTADO, Sección Tercera, Subsección C, Sentencia del 24 de julio de 2013, radicado No. 25.642, Consejero Ponente Enrique Gil Botero.</w:t>
      </w:r>
    </w:p>
  </w:footnote>
  <w:footnote w:id="40">
    <w:p w:rsidRPr="00480D1F" w:rsidR="00DA5D42" w:rsidP="00DA5D42" w:rsidRDefault="00DA5D42" w14:paraId="213745AC" w14:textId="77777777">
      <w:pPr>
        <w:pStyle w:val="Textonotapie"/>
        <w:jc w:val="both"/>
        <w:rPr>
          <w:rFonts w:ascii="Century Gothic" w:hAnsi="Century Gothic" w:cs="Arial"/>
          <w:color w:val="000000"/>
          <w:sz w:val="18"/>
          <w:szCs w:val="18"/>
        </w:rPr>
      </w:pPr>
    </w:p>
    <w:p w:rsidRPr="00480D1F" w:rsidR="00DA5D42" w:rsidP="00DA5D42" w:rsidRDefault="00DA5D42" w14:paraId="6078A0B0" w14:textId="77777777">
      <w:pPr>
        <w:pStyle w:val="NormalWeb"/>
        <w:spacing w:after="0"/>
        <w:ind w:firstLine="709"/>
        <w:jc w:val="both"/>
        <w:rPr>
          <w:rFonts w:ascii="Century Gothic" w:hAnsi="Century Gothic" w:cs="Arial"/>
          <w:color w:val="000000"/>
          <w:sz w:val="18"/>
          <w:szCs w:val="18"/>
        </w:rPr>
      </w:pPr>
      <w:r w:rsidRPr="00480D1F">
        <w:rPr>
          <w:rStyle w:val="Refdenotaalpie"/>
          <w:rFonts w:ascii="Century Gothic" w:hAnsi="Century Gothic" w:cs="Arial"/>
          <w:color w:val="000000"/>
          <w:sz w:val="18"/>
          <w:szCs w:val="18"/>
        </w:rPr>
        <w:footnoteRef/>
      </w:r>
      <w:r w:rsidRPr="00480D1F">
        <w:rPr>
          <w:rFonts w:ascii="Century Gothic" w:hAnsi="Century Gothic" w:cs="Arial"/>
          <w:color w:val="000000"/>
          <w:sz w:val="18"/>
          <w:szCs w:val="18"/>
        </w:rPr>
        <w:t xml:space="preserve"> Decreto 1082 de 2015 “</w:t>
      </w:r>
      <w:r w:rsidRPr="00480D1F">
        <w:rPr>
          <w:rStyle w:val="Textoennegrita"/>
          <w:rFonts w:ascii="Century Gothic" w:hAnsi="Century Gothic" w:cs="Arial"/>
          <w:b w:val="0"/>
          <w:bCs w:val="0"/>
          <w:color w:val="000000"/>
          <w:sz w:val="18"/>
          <w:szCs w:val="18"/>
        </w:rPr>
        <w:t>Artículo 2.2.1.2.1.5.2. </w:t>
      </w:r>
      <w:r w:rsidRPr="00480D1F">
        <w:rPr>
          <w:rStyle w:val="nfasis"/>
          <w:rFonts w:ascii="Century Gothic" w:hAnsi="Century Gothic" w:eastAsia="MS Mincho" w:cs="Arial"/>
          <w:color w:val="000000"/>
          <w:sz w:val="18"/>
          <w:szCs w:val="18"/>
        </w:rPr>
        <w:t>Procedimiento para la contratación de mínima cuantía. </w:t>
      </w:r>
      <w:r w:rsidRPr="00480D1F">
        <w:rPr>
          <w:rFonts w:ascii="Century Gothic" w:hAnsi="Century Gothic" w:cs="Arial"/>
          <w:color w:val="000000"/>
          <w:sz w:val="18"/>
          <w:szCs w:val="18"/>
        </w:rPr>
        <w:t>Las siguientes reglas son aplicables a la contratación cuyo valor no excede del 10% de la menor cuantía de la Entidad Estatal, independientemente de su objeto: </w:t>
      </w:r>
    </w:p>
    <w:p w:rsidRPr="00480D1F" w:rsidR="00DA5D42" w:rsidP="00DA5D42" w:rsidRDefault="00DA5D42" w14:paraId="0EB96B8A" w14:textId="77777777">
      <w:pPr>
        <w:pStyle w:val="NormalWeb"/>
        <w:spacing w:after="0"/>
        <w:jc w:val="both"/>
        <w:rPr>
          <w:rFonts w:ascii="Century Gothic" w:hAnsi="Century Gothic" w:cs="Arial"/>
          <w:color w:val="000000"/>
          <w:sz w:val="18"/>
          <w:szCs w:val="18"/>
        </w:rPr>
      </w:pPr>
      <w:r w:rsidRPr="00480D1F">
        <w:rPr>
          <w:rFonts w:ascii="Century Gothic" w:hAnsi="Century Gothic" w:cs="Arial"/>
          <w:color w:val="000000"/>
          <w:sz w:val="18"/>
          <w:szCs w:val="18"/>
        </w:rPr>
        <w:t>  </w:t>
      </w:r>
      <w:r w:rsidRPr="00480D1F">
        <w:rPr>
          <w:rFonts w:ascii="Century Gothic" w:hAnsi="Century Gothic" w:cs="Arial"/>
          <w:color w:val="000000"/>
          <w:sz w:val="18"/>
          <w:szCs w:val="18"/>
        </w:rPr>
        <w:tab/>
      </w:r>
      <w:r w:rsidRPr="00480D1F">
        <w:rPr>
          <w:rFonts w:ascii="Century Gothic" w:hAnsi="Century Gothic" w:cs="Arial"/>
          <w:color w:val="000000"/>
          <w:sz w:val="18"/>
          <w:szCs w:val="18"/>
        </w:rPr>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 </w:t>
      </w:r>
    </w:p>
    <w:p w:rsidRPr="00480D1F" w:rsidR="00DA5D42" w:rsidP="00DA5D42" w:rsidRDefault="00DA5D42" w14:paraId="7A5F3A50" w14:textId="77777777">
      <w:pPr>
        <w:pStyle w:val="Textonotapie"/>
        <w:ind w:firstLine="709"/>
        <w:jc w:val="both"/>
        <w:rPr>
          <w:rFonts w:ascii="Century Gothic" w:hAnsi="Century Gothic" w:cs="Arial"/>
          <w:color w:val="000000"/>
          <w:sz w:val="18"/>
          <w:szCs w:val="18"/>
          <w:lang w:val="es-CO"/>
        </w:rPr>
      </w:pPr>
      <w:r w:rsidRPr="00480D1F">
        <w:rPr>
          <w:rFonts w:ascii="Century Gothic" w:hAnsi="Century Gothic" w:cs="Arial"/>
          <w:color w:val="000000"/>
          <w:sz w:val="18"/>
          <w:szCs w:val="18"/>
        </w:rPr>
        <w:t xml:space="preserve"> </w:t>
      </w:r>
    </w:p>
  </w:footnote>
  <w:footnote w:id="41">
    <w:p w:rsidRPr="00480D1F" w:rsidR="00DA5D42" w:rsidP="00DA5D42" w:rsidRDefault="00DA5D42" w14:paraId="324CFD35" w14:textId="77777777">
      <w:pPr>
        <w:pStyle w:val="NormalWeb"/>
        <w:spacing w:after="0"/>
        <w:ind w:firstLine="720"/>
        <w:jc w:val="both"/>
        <w:rPr>
          <w:rFonts w:ascii="Century Gothic" w:hAnsi="Century Gothic" w:cs="Arial"/>
          <w:color w:val="000000"/>
          <w:sz w:val="18"/>
          <w:szCs w:val="18"/>
        </w:rPr>
      </w:pPr>
      <w:r w:rsidRPr="00480D1F">
        <w:rPr>
          <w:rStyle w:val="Refdenotaalpie"/>
          <w:rFonts w:ascii="Century Gothic" w:hAnsi="Century Gothic" w:cs="Arial"/>
          <w:color w:val="000000"/>
          <w:sz w:val="18"/>
          <w:szCs w:val="18"/>
        </w:rPr>
        <w:footnoteRef/>
      </w:r>
      <w:r w:rsidRPr="00480D1F">
        <w:rPr>
          <w:rFonts w:ascii="Century Gothic" w:hAnsi="Century Gothic" w:cs="Arial"/>
          <w:color w:val="000000"/>
          <w:sz w:val="18"/>
          <w:szCs w:val="18"/>
        </w:rPr>
        <w:t xml:space="preserve"> Ley 80 de 1993 “</w:t>
      </w:r>
      <w:r w:rsidRPr="00480D1F">
        <w:rPr>
          <w:rStyle w:val="Textoennegrita"/>
          <w:rFonts w:ascii="Century Gothic" w:hAnsi="Century Gothic" w:cs="Arial"/>
          <w:b w:val="0"/>
          <w:bCs w:val="0"/>
          <w:color w:val="000000"/>
          <w:sz w:val="18"/>
          <w:szCs w:val="18"/>
        </w:rPr>
        <w:t>Articulo 39. De la forma del contrato estatal. </w:t>
      </w:r>
      <w:r w:rsidRPr="00480D1F">
        <w:rPr>
          <w:rFonts w:ascii="Century Gothic" w:hAnsi="Century Gothic" w:cs="Arial"/>
          <w:color w:val="000000"/>
          <w:sz w:val="18"/>
          <w:szCs w:val="18"/>
        </w:rPr>
        <w:t>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w:t>
      </w:r>
    </w:p>
    <w:p w:rsidRPr="00480D1F" w:rsidR="00DA5D42" w:rsidP="00DA5D42" w:rsidRDefault="00DA5D42" w14:paraId="4E9AB4B1" w14:textId="77777777">
      <w:pPr>
        <w:pStyle w:val="NormalWeb"/>
        <w:spacing w:after="0"/>
        <w:jc w:val="both"/>
        <w:rPr>
          <w:rFonts w:ascii="Century Gothic" w:hAnsi="Century Gothic" w:cs="Arial"/>
          <w:color w:val="000000"/>
          <w:sz w:val="18"/>
          <w:szCs w:val="18"/>
        </w:rPr>
      </w:pPr>
      <w:r w:rsidRPr="00480D1F">
        <w:rPr>
          <w:rFonts w:ascii="Century Gothic" w:hAnsi="Century Gothic" w:cs="Arial"/>
          <w:color w:val="000000"/>
          <w:sz w:val="18"/>
          <w:szCs w:val="18"/>
        </w:rPr>
        <w:t>  </w:t>
      </w:r>
      <w:r w:rsidRPr="00480D1F">
        <w:rPr>
          <w:rFonts w:ascii="Century Gothic" w:hAnsi="Century Gothic" w:cs="Arial"/>
          <w:color w:val="000000"/>
          <w:sz w:val="18"/>
          <w:szCs w:val="18"/>
        </w:rPr>
        <w:tab/>
      </w:r>
      <w:r w:rsidRPr="00480D1F">
        <w:rPr>
          <w:rFonts w:ascii="Century Gothic" w:hAnsi="Century Gothic" w:cs="Arial"/>
          <w:color w:val="000000"/>
          <w:sz w:val="18"/>
          <w:szCs w:val="18"/>
        </w:rPr>
        <w:t>[…]</w:t>
      </w:r>
      <w:bookmarkStart w:name="ver_1790147" w:id="13"/>
      <w:bookmarkStart w:name="ver_30220791" w:id="14"/>
      <w:bookmarkStart w:name="ver_1790148" w:id="15"/>
      <w:bookmarkEnd w:id="13"/>
      <w:bookmarkEnd w:id="14"/>
    </w:p>
    <w:p w:rsidRPr="00480D1F" w:rsidR="00DA5D42" w:rsidP="00DA5D42" w:rsidRDefault="00DA5D42" w14:paraId="2012CD5C" w14:textId="77777777">
      <w:pPr>
        <w:pStyle w:val="NormalWeb"/>
        <w:spacing w:after="0"/>
        <w:ind w:firstLine="720"/>
        <w:jc w:val="both"/>
        <w:rPr>
          <w:rFonts w:ascii="Century Gothic" w:hAnsi="Century Gothic" w:cs="Arial"/>
          <w:color w:val="000000"/>
          <w:sz w:val="18"/>
          <w:szCs w:val="18"/>
        </w:rPr>
      </w:pPr>
      <w:r w:rsidRPr="00480D1F">
        <w:rPr>
          <w:rStyle w:val="Textoennegrita"/>
          <w:rFonts w:ascii="Century Gothic" w:hAnsi="Century Gothic" w:cs="Arial"/>
          <w:b w:val="0"/>
          <w:bCs w:val="0"/>
          <w:color w:val="000000"/>
          <w:sz w:val="18"/>
          <w:szCs w:val="18"/>
        </w:rPr>
        <w:t>“Articulo 40. Del contenido del contrato estatal.</w:t>
      </w:r>
      <w:r w:rsidRPr="00480D1F">
        <w:rPr>
          <w:rFonts w:ascii="Century Gothic" w:hAnsi="Century Gothic" w:cs="Arial"/>
          <w:color w:val="000000"/>
          <w:sz w:val="18"/>
          <w:szCs w:val="18"/>
        </w:rPr>
        <w:t> Las estipulaciones de los contratos serán las que de acuerdo con las normas civiles, comerciales y las previstas en esta ley, correspondan a su esencia y naturaleza. </w:t>
      </w:r>
    </w:p>
    <w:p w:rsidRPr="00480D1F" w:rsidR="00DA5D42" w:rsidP="00DA5D42" w:rsidRDefault="00DA5D42" w14:paraId="0C5CFAD9" w14:textId="77777777">
      <w:pPr>
        <w:pStyle w:val="NormalWeb"/>
        <w:spacing w:after="0"/>
        <w:ind w:firstLine="720"/>
        <w:jc w:val="both"/>
        <w:rPr>
          <w:rFonts w:ascii="Century Gothic" w:hAnsi="Century Gothic" w:cs="Arial"/>
          <w:color w:val="000000"/>
          <w:sz w:val="18"/>
          <w:szCs w:val="18"/>
        </w:rPr>
      </w:pPr>
      <w:r w:rsidRPr="00480D1F">
        <w:rPr>
          <w:rFonts w:ascii="Century Gothic" w:hAnsi="Century Gothic" w:cs="Arial"/>
          <w:color w:val="000000"/>
          <w:sz w:val="18"/>
          <w:szCs w:val="18"/>
        </w:rPr>
        <w:t>“Las entidades podrán celebrar los contratos y acuerdos que permitan la autonomía de la voluntad y requieran el cumplimiento de los fines estatales. </w:t>
      </w:r>
    </w:p>
    <w:p w:rsidRPr="00480D1F" w:rsidR="00DA5D42" w:rsidP="00DA5D42" w:rsidRDefault="00DA5D42" w14:paraId="661001B0" w14:textId="77777777">
      <w:pPr>
        <w:pStyle w:val="NormalWeb"/>
        <w:spacing w:after="0"/>
        <w:jc w:val="both"/>
        <w:rPr>
          <w:rFonts w:ascii="Century Gothic" w:hAnsi="Century Gothic" w:cs="Arial"/>
          <w:color w:val="000000"/>
          <w:sz w:val="18"/>
          <w:szCs w:val="18"/>
        </w:rPr>
      </w:pPr>
      <w:r w:rsidRPr="00480D1F">
        <w:rPr>
          <w:rFonts w:ascii="Century Gothic" w:hAnsi="Century Gothic" w:cs="Arial"/>
          <w:color w:val="000000"/>
          <w:sz w:val="18"/>
          <w:szCs w:val="18"/>
        </w:rPr>
        <w:t>  </w:t>
      </w:r>
      <w:r w:rsidRPr="00480D1F">
        <w:rPr>
          <w:rFonts w:ascii="Century Gothic" w:hAnsi="Century Gothic" w:cs="Arial"/>
          <w:color w:val="000000"/>
          <w:sz w:val="18"/>
          <w:szCs w:val="18"/>
        </w:rPr>
        <w:tab/>
      </w:r>
      <w:r w:rsidRPr="00480D1F">
        <w:rPr>
          <w:rFonts w:ascii="Century Gothic" w:hAnsi="Century Gothic" w:cs="Arial"/>
          <w:color w:val="000000"/>
          <w:sz w:val="18"/>
          <w:szCs w:val="18"/>
        </w:rPr>
        <w:t>[…]  </w:t>
      </w:r>
    </w:p>
    <w:p w:rsidRPr="00480D1F" w:rsidR="00DA5D42" w:rsidP="00DA5D42" w:rsidRDefault="00DA5D42" w14:paraId="0F1DB93F" w14:textId="77777777">
      <w:pPr>
        <w:pStyle w:val="NormalWeb"/>
        <w:spacing w:after="0"/>
        <w:ind w:firstLine="720"/>
        <w:jc w:val="both"/>
        <w:rPr>
          <w:rFonts w:ascii="Century Gothic" w:hAnsi="Century Gothic" w:cs="Arial"/>
          <w:color w:val="000000"/>
          <w:sz w:val="18"/>
          <w:szCs w:val="18"/>
        </w:rPr>
      </w:pPr>
      <w:bookmarkStart w:name="ver_30161420" w:id="16"/>
      <w:bookmarkStart w:name="ver_1790149" w:id="17"/>
      <w:bookmarkStart w:name="ver_30161408" w:id="18"/>
      <w:bookmarkStart w:name="ver_30161443" w:id="19"/>
      <w:bookmarkEnd w:id="15"/>
      <w:bookmarkEnd w:id="16"/>
      <w:bookmarkEnd w:id="17"/>
      <w:bookmarkEnd w:id="18"/>
      <w:bookmarkEnd w:id="19"/>
      <w:r w:rsidRPr="00480D1F">
        <w:rPr>
          <w:rStyle w:val="Textoennegrita"/>
          <w:rFonts w:ascii="Century Gothic" w:hAnsi="Century Gothic" w:cs="Arial"/>
          <w:b w:val="0"/>
          <w:bCs w:val="0"/>
          <w:color w:val="000000"/>
          <w:sz w:val="18"/>
          <w:szCs w:val="18"/>
        </w:rPr>
        <w:t>“Artículo 41. Del perfeccionamiento del contrato.</w:t>
      </w:r>
      <w:r w:rsidRPr="00480D1F">
        <w:rPr>
          <w:rFonts w:ascii="Century Gothic" w:hAnsi="Century Gothic" w:cs="Arial"/>
          <w:color w:val="000000"/>
          <w:sz w:val="18"/>
          <w:szCs w:val="18"/>
        </w:rPr>
        <w:t> Los contratos del Estado se perfeccionan cuando se logre acuerdo sobre el objeto y la contraprestación y éste se eleve a escrito […]”.</w:t>
      </w:r>
    </w:p>
    <w:p w:rsidRPr="00480D1F" w:rsidR="00DA5D42" w:rsidP="00DA5D42" w:rsidRDefault="00DA5D42" w14:paraId="0258667B" w14:textId="77777777">
      <w:pPr>
        <w:pStyle w:val="Textonotapie"/>
        <w:jc w:val="both"/>
        <w:rPr>
          <w:rFonts w:ascii="Century Gothic" w:hAnsi="Century Gothic" w:cs="Arial"/>
          <w:color w:val="000000"/>
          <w:sz w:val="18"/>
          <w:szCs w:val="18"/>
          <w:lang w:val="es-CO"/>
        </w:rPr>
      </w:pPr>
    </w:p>
  </w:footnote>
  <w:footnote w:id="42">
    <w:p w:rsidRPr="00480D1F" w:rsidR="00DA5D42" w:rsidP="00DA5D42" w:rsidRDefault="00DA5D42" w14:paraId="14601FD4" w14:textId="77777777">
      <w:pPr>
        <w:pStyle w:val="Textonotapie"/>
        <w:ind w:firstLine="709"/>
        <w:jc w:val="both"/>
        <w:rPr>
          <w:rFonts w:ascii="Century Gothic" w:hAnsi="Century Gothic" w:cs="Arial"/>
          <w:color w:val="000000"/>
          <w:sz w:val="18"/>
          <w:szCs w:val="18"/>
        </w:rPr>
      </w:pPr>
      <w:r w:rsidRPr="00480D1F">
        <w:rPr>
          <w:rStyle w:val="Refdenotaalpie"/>
          <w:rFonts w:ascii="Century Gothic" w:hAnsi="Century Gothic" w:cs="Arial"/>
          <w:color w:val="000000"/>
          <w:sz w:val="18"/>
          <w:szCs w:val="18"/>
        </w:rPr>
        <w:footnoteRef/>
      </w:r>
      <w:r w:rsidRPr="00480D1F">
        <w:rPr>
          <w:rFonts w:ascii="Century Gothic" w:hAnsi="Century Gothic" w:cs="Arial"/>
          <w:color w:val="000000"/>
          <w:sz w:val="18"/>
          <w:szCs w:val="18"/>
        </w:rPr>
        <w:t xml:space="preserve"> Ley 80 de 1993 “</w:t>
      </w:r>
      <w:r w:rsidRPr="00480D1F">
        <w:rPr>
          <w:rStyle w:val="Textoennegrita"/>
          <w:rFonts w:ascii="Century Gothic" w:hAnsi="Century Gothic" w:cs="Arial"/>
          <w:b w:val="0"/>
          <w:bCs w:val="0"/>
          <w:color w:val="000000"/>
          <w:sz w:val="18"/>
          <w:szCs w:val="18"/>
        </w:rPr>
        <w:t>Artículo 77. De la normatividad aplicable en las actuaciones administrativas.</w:t>
      </w:r>
      <w:r w:rsidRPr="00480D1F">
        <w:rPr>
          <w:rFonts w:ascii="Century Gothic" w:hAnsi="Century Gothic" w:cs="Arial"/>
          <w:color w:val="000000"/>
          <w:sz w:val="18"/>
          <w:szCs w:val="18"/>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 </w:t>
      </w:r>
    </w:p>
    <w:p w:rsidRPr="00480D1F" w:rsidR="00DA5D42" w:rsidP="00DA5D42" w:rsidRDefault="00DA5D42" w14:paraId="46B1C2C3" w14:textId="77777777">
      <w:pPr>
        <w:pStyle w:val="Textonotapie"/>
        <w:ind w:firstLine="709"/>
        <w:jc w:val="both"/>
        <w:rPr>
          <w:rFonts w:ascii="Century Gothic" w:hAnsi="Century Gothic" w:cs="Arial"/>
          <w:color w:val="000000"/>
          <w:sz w:val="18"/>
          <w:szCs w:val="18"/>
          <w:lang w:val="es-CO"/>
        </w:rPr>
      </w:pPr>
      <w:r w:rsidRPr="00480D1F">
        <w:rPr>
          <w:rFonts w:ascii="Century Gothic" w:hAnsi="Century Gothic" w:cs="Arial"/>
          <w:color w:val="000000"/>
          <w:sz w:val="18"/>
          <w:szCs w:val="18"/>
        </w:rPr>
        <w:t xml:space="preserve"> </w:t>
      </w:r>
    </w:p>
  </w:footnote>
  <w:footnote w:id="43">
    <w:p w:rsidRPr="00480D1F" w:rsidR="00DA5D42" w:rsidP="00DA5D42" w:rsidRDefault="00DA5D42" w14:paraId="2C898CE8" w14:textId="77777777">
      <w:pPr>
        <w:pStyle w:val="NormalWeb"/>
        <w:spacing w:after="0"/>
        <w:ind w:firstLine="709"/>
        <w:jc w:val="both"/>
        <w:rPr>
          <w:rFonts w:ascii="Century Gothic" w:hAnsi="Century Gothic" w:cs="Arial"/>
          <w:color w:val="000000"/>
          <w:sz w:val="18"/>
          <w:szCs w:val="18"/>
        </w:rPr>
      </w:pPr>
      <w:r w:rsidRPr="00480D1F">
        <w:rPr>
          <w:rStyle w:val="Refdenotaalpie"/>
          <w:rFonts w:ascii="Century Gothic" w:hAnsi="Century Gothic" w:cs="Arial"/>
          <w:color w:val="000000"/>
          <w:sz w:val="18"/>
          <w:szCs w:val="18"/>
        </w:rPr>
        <w:footnoteRef/>
      </w:r>
      <w:r w:rsidRPr="00480D1F">
        <w:rPr>
          <w:rFonts w:ascii="Century Gothic" w:hAnsi="Century Gothic" w:cs="Arial"/>
          <w:color w:val="000000"/>
          <w:sz w:val="18"/>
          <w:szCs w:val="18"/>
        </w:rPr>
        <w:t xml:space="preserve"> Ley 80 de 1993 “</w:t>
      </w:r>
      <w:r w:rsidRPr="00480D1F">
        <w:rPr>
          <w:rStyle w:val="Textoennegrita"/>
          <w:rFonts w:ascii="Century Gothic" w:hAnsi="Century Gothic" w:cs="Arial"/>
          <w:b w:val="0"/>
          <w:bCs w:val="0"/>
          <w:color w:val="000000"/>
          <w:sz w:val="18"/>
          <w:szCs w:val="18"/>
        </w:rPr>
        <w:t>Artículo 25. Del principio de economía.</w:t>
      </w:r>
      <w:r w:rsidRPr="00480D1F">
        <w:rPr>
          <w:rFonts w:ascii="Century Gothic" w:hAnsi="Century Gothic" w:cs="Arial"/>
          <w:color w:val="000000"/>
          <w:sz w:val="18"/>
          <w:szCs w:val="18"/>
        </w:rPr>
        <w:t> En virtud de este principio: </w:t>
      </w:r>
    </w:p>
    <w:p w:rsidRPr="00480D1F" w:rsidR="00DA5D42" w:rsidP="00DA5D42" w:rsidRDefault="00DA5D42" w14:paraId="33EF607F" w14:textId="77777777">
      <w:pPr>
        <w:pStyle w:val="NormalWeb"/>
        <w:spacing w:after="0"/>
        <w:ind w:firstLine="709"/>
        <w:jc w:val="both"/>
        <w:rPr>
          <w:rFonts w:ascii="Century Gothic" w:hAnsi="Century Gothic" w:cs="Arial"/>
          <w:color w:val="000000"/>
          <w:sz w:val="18"/>
          <w:szCs w:val="18"/>
        </w:rPr>
      </w:pPr>
      <w:r w:rsidRPr="00480D1F">
        <w:rPr>
          <w:rFonts w:ascii="Century Gothic" w:hAnsi="Century Gothic" w:cs="Arial"/>
          <w:color w:val="000000"/>
          <w:sz w:val="18"/>
          <w:szCs w:val="18"/>
        </w:rPr>
        <w:t>[…]</w:t>
      </w:r>
    </w:p>
    <w:p w:rsidRPr="00480D1F" w:rsidR="00DA5D42" w:rsidP="00DA5D42" w:rsidRDefault="00DA5D42" w14:paraId="0155B52B" w14:textId="77777777">
      <w:pPr>
        <w:pStyle w:val="NormalWeb"/>
        <w:spacing w:after="0"/>
        <w:ind w:firstLine="709"/>
        <w:jc w:val="both"/>
        <w:rPr>
          <w:rFonts w:ascii="Century Gothic" w:hAnsi="Century Gothic" w:cs="Arial"/>
          <w:color w:val="000000"/>
          <w:sz w:val="18"/>
          <w:szCs w:val="18"/>
        </w:rPr>
      </w:pPr>
      <w:r w:rsidRPr="00480D1F">
        <w:rPr>
          <w:rFonts w:ascii="Century Gothic" w:hAnsi="Century Gothic" w:cs="Arial"/>
          <w:color w:val="000000"/>
          <w:sz w:val="18"/>
          <w:szCs w:val="18"/>
        </w:rPr>
        <w:t>“4o. Los trámites se adelantarán con austeridad de tiempo, medios y gastos y se impedirán las dilaciones y los retardos en la ejecución del contrato. </w:t>
      </w:r>
    </w:p>
    <w:p w:rsidRPr="00480D1F" w:rsidR="00DA5D42" w:rsidP="00DA5D42" w:rsidRDefault="00DA5D42" w14:paraId="5013DB9B" w14:textId="77777777">
      <w:pPr>
        <w:pStyle w:val="NormalWeb"/>
        <w:spacing w:after="0"/>
        <w:jc w:val="both"/>
        <w:rPr>
          <w:rFonts w:ascii="Century Gothic" w:hAnsi="Century Gothic" w:cs="Arial"/>
          <w:color w:val="000000"/>
          <w:sz w:val="18"/>
          <w:szCs w:val="18"/>
        </w:rPr>
      </w:pPr>
      <w:r w:rsidRPr="00480D1F">
        <w:rPr>
          <w:rFonts w:ascii="Century Gothic" w:hAnsi="Century Gothic" w:cs="Arial"/>
          <w:color w:val="000000"/>
          <w:sz w:val="18"/>
          <w:szCs w:val="18"/>
        </w:rPr>
        <w:t>  </w:t>
      </w:r>
      <w:r w:rsidRPr="00480D1F">
        <w:rPr>
          <w:rFonts w:ascii="Century Gothic" w:hAnsi="Century Gothic" w:cs="Arial"/>
          <w:color w:val="000000"/>
          <w:sz w:val="18"/>
          <w:szCs w:val="18"/>
        </w:rPr>
        <w:tab/>
      </w:r>
      <w:r w:rsidRPr="00480D1F">
        <w:rPr>
          <w:rFonts w:ascii="Century Gothic" w:hAnsi="Century Gothic" w:cs="Arial"/>
          <w:color w:val="000000"/>
          <w:sz w:val="18"/>
          <w:szCs w:val="18"/>
        </w:rPr>
        <w:t>“5o. Se adoptarán procedimientos que garanticen la pronta solución de las diferencias y controversias que con motivo de la celebración y ejecución del contrato se presenten […]”.</w:t>
      </w:r>
    </w:p>
    <w:p w:rsidRPr="00480D1F" w:rsidR="00DA5D42" w:rsidP="00DA5D42" w:rsidRDefault="00DA5D42" w14:paraId="24DCB0DD" w14:textId="77777777">
      <w:pPr>
        <w:pStyle w:val="Textonotapie"/>
        <w:jc w:val="both"/>
        <w:rPr>
          <w:rFonts w:ascii="Century Gothic" w:hAnsi="Century Gothic" w:cs="Arial"/>
          <w:color w:val="000000"/>
          <w:sz w:val="18"/>
          <w:szCs w:val="18"/>
          <w:lang w:val="es-CO"/>
        </w:rPr>
      </w:pPr>
    </w:p>
  </w:footnote>
  <w:footnote w:id="44">
    <w:p w:rsidRPr="00480D1F" w:rsidR="00DA5D42" w:rsidP="00DA5D42" w:rsidRDefault="00DA5D42" w14:paraId="4179CE46" w14:textId="77777777">
      <w:pPr>
        <w:pStyle w:val="Textonotapie"/>
        <w:ind w:firstLine="708"/>
        <w:jc w:val="both"/>
        <w:rPr>
          <w:rStyle w:val="Hipervnculo"/>
          <w:rFonts w:ascii="Century Gothic" w:hAnsi="Century Gothic" w:cs="Arial"/>
          <w:sz w:val="18"/>
          <w:szCs w:val="18"/>
        </w:rPr>
      </w:pPr>
      <w:r w:rsidRPr="00480D1F">
        <w:rPr>
          <w:rStyle w:val="Refdenotaalpie"/>
          <w:rFonts w:ascii="Century Gothic" w:hAnsi="Century Gothic" w:cs="Arial"/>
          <w:color w:val="000000"/>
          <w:sz w:val="18"/>
          <w:szCs w:val="18"/>
        </w:rPr>
        <w:footnoteRef/>
      </w:r>
      <w:r w:rsidRPr="00480D1F">
        <w:rPr>
          <w:rFonts w:ascii="Century Gothic" w:hAnsi="Century Gothic" w:cs="Arial"/>
          <w:color w:val="000000"/>
          <w:sz w:val="18"/>
          <w:szCs w:val="18"/>
        </w:rPr>
        <w:t xml:space="preserve"> COLOMBIA COMPRA EFICIENTE. Guía para la Liquidación de los Procesos de Contratación. página 5, disponible en: </w:t>
      </w:r>
      <w:r w:rsidRPr="00480D1F">
        <w:rPr>
          <w:rStyle w:val="Hipervnculo1"/>
          <w:rFonts w:ascii="Century Gothic" w:hAnsi="Century Gothic" w:cs="Arial"/>
          <w:color w:val="000000"/>
          <w:sz w:val="18"/>
          <w:szCs w:val="18"/>
        </w:rPr>
        <w:fldChar w:fldCharType="begin"/>
      </w:r>
      <w:r w:rsidRPr="00480D1F">
        <w:rPr>
          <w:rStyle w:val="Hipervnculo1"/>
          <w:rFonts w:ascii="Century Gothic" w:hAnsi="Century Gothic" w:cs="Arial"/>
          <w:color w:val="000000"/>
          <w:sz w:val="18"/>
          <w:szCs w:val="18"/>
        </w:rPr>
        <w:instrText xml:space="preserve"> HYPERLINK "https://cceficiente.sharepoint.com/sites/SGDEA/TRD_254/EXPEDIENTE_1668/DOCUMENTO_407171/DOCUMENTO_407171.docx" </w:instrText>
      </w:r>
      <w:r w:rsidRPr="00480D1F">
        <w:rPr>
          <w:rStyle w:val="Hipervnculo1"/>
          <w:rFonts w:ascii="Century Gothic" w:hAnsi="Century Gothic" w:cs="Arial"/>
          <w:color w:val="000000"/>
          <w:sz w:val="18"/>
          <w:szCs w:val="18"/>
        </w:rPr>
      </w:r>
      <w:r w:rsidRPr="00480D1F">
        <w:rPr>
          <w:rStyle w:val="Hipervnculo1"/>
          <w:rFonts w:ascii="Century Gothic" w:hAnsi="Century Gothic" w:cs="Arial"/>
          <w:color w:val="000000"/>
          <w:sz w:val="18"/>
          <w:szCs w:val="18"/>
        </w:rPr>
        <w:fldChar w:fldCharType="separate"/>
      </w:r>
      <w:r w:rsidRPr="00480D1F">
        <w:rPr>
          <w:rStyle w:val="Hipervnculo"/>
          <w:rFonts w:ascii="Century Gothic" w:hAnsi="Century Gothic" w:cs="Arial"/>
          <w:sz w:val="18"/>
          <w:szCs w:val="18"/>
        </w:rPr>
        <w:t xml:space="preserve">https://www.colombiacompra.gov.co/sites/cce_public/files/cce_documents/cce_guia_liquidacion_procesos.pdf  </w:t>
      </w:r>
    </w:p>
    <w:p w:rsidRPr="00480D1F" w:rsidR="00DA5D42" w:rsidP="00DA5D42" w:rsidRDefault="00DA5D42" w14:paraId="78EB31E9" w14:textId="77777777">
      <w:pPr>
        <w:pStyle w:val="Textonotapie"/>
        <w:ind w:firstLine="708"/>
        <w:jc w:val="both"/>
        <w:rPr>
          <w:rFonts w:ascii="Century Gothic" w:hAnsi="Century Gothic" w:cs="Arial"/>
          <w:color w:val="000000"/>
          <w:sz w:val="18"/>
          <w:szCs w:val="18"/>
          <w:lang w:val="es-ES"/>
        </w:rPr>
      </w:pPr>
      <w:r w:rsidRPr="00480D1F">
        <w:rPr>
          <w:rStyle w:val="Hipervnculo1"/>
          <w:rFonts w:ascii="Century Gothic" w:hAnsi="Century Gothic" w:cs="Arial"/>
          <w:color w:val="000000"/>
          <w:sz w:val="18"/>
          <w:szCs w:val="18"/>
        </w:rPr>
        <w:fldChar w:fldCharType="end"/>
      </w:r>
    </w:p>
  </w:footnote>
  <w:footnote w:id="45">
    <w:p w:rsidRPr="00480D1F" w:rsidR="00DA5D42" w:rsidP="00DA5D42" w:rsidRDefault="00DA5D42" w14:paraId="71E6B9B8" w14:textId="77777777">
      <w:pPr>
        <w:pStyle w:val="Textonotapie"/>
        <w:ind w:firstLine="708"/>
        <w:jc w:val="both"/>
        <w:rPr>
          <w:rFonts w:ascii="Century Gothic" w:hAnsi="Century Gothic" w:cs="Arial"/>
          <w:color w:val="000000"/>
          <w:sz w:val="18"/>
          <w:szCs w:val="18"/>
        </w:rPr>
      </w:pPr>
      <w:r w:rsidRPr="00480D1F">
        <w:rPr>
          <w:rStyle w:val="Refdenotaalpie"/>
          <w:rFonts w:ascii="Century Gothic" w:hAnsi="Century Gothic" w:cs="Arial"/>
          <w:color w:val="000000"/>
          <w:sz w:val="18"/>
          <w:szCs w:val="18"/>
        </w:rPr>
        <w:footnoteRef/>
      </w:r>
      <w:r w:rsidRPr="00480D1F">
        <w:rPr>
          <w:rFonts w:ascii="Century Gothic" w:hAnsi="Century Gothic" w:cs="Arial"/>
          <w:color w:val="000000"/>
          <w:sz w:val="18"/>
          <w:szCs w:val="18"/>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p w:rsidRPr="00480D1F" w:rsidR="00DA5D42" w:rsidP="00DA5D42" w:rsidRDefault="00DA5D42" w14:paraId="3B6FAE45" w14:textId="77777777">
      <w:pPr>
        <w:pStyle w:val="Textonotapie"/>
        <w:ind w:firstLine="708"/>
        <w:jc w:val="both"/>
        <w:rPr>
          <w:rFonts w:ascii="Century Gothic" w:hAnsi="Century Gothic" w:cs="Arial"/>
          <w:color w:val="000000"/>
          <w:sz w:val="18"/>
          <w:szCs w:val="18"/>
          <w:lang w:val="es-ES"/>
        </w:rPr>
      </w:pPr>
    </w:p>
  </w:footnote>
  <w:footnote w:id="46">
    <w:p w:rsidRPr="00480D1F" w:rsidR="00DA5D42" w:rsidP="00DA5D42" w:rsidRDefault="00DA5D42" w14:paraId="467D7298" w14:textId="77777777">
      <w:pPr>
        <w:pStyle w:val="Textonotapie"/>
        <w:ind w:firstLine="708"/>
        <w:jc w:val="both"/>
        <w:rPr>
          <w:rFonts w:ascii="Century Gothic" w:hAnsi="Century Gothic" w:cs="Arial"/>
          <w:color w:val="000000"/>
          <w:sz w:val="18"/>
          <w:szCs w:val="18"/>
        </w:rPr>
      </w:pPr>
      <w:r w:rsidRPr="00480D1F">
        <w:rPr>
          <w:rStyle w:val="Refdenotaalpie"/>
          <w:rFonts w:ascii="Century Gothic" w:hAnsi="Century Gothic" w:cs="Arial"/>
          <w:color w:val="000000"/>
          <w:sz w:val="18"/>
          <w:szCs w:val="18"/>
        </w:rPr>
        <w:footnoteRef/>
      </w:r>
      <w:r w:rsidRPr="00480D1F">
        <w:rPr>
          <w:rFonts w:ascii="Century Gothic" w:hAnsi="Century Gothic" w:cs="Arial"/>
          <w:color w:val="000000"/>
          <w:sz w:val="18"/>
          <w:szCs w:val="18"/>
        </w:rPr>
        <w:t xml:space="preserve"> CONSEJO DE ESTADO. Sala de Consulta y Servicio Civil. Concepto de 28 de Junio de 2016. Radicación: 2253. C.P. Álvaro Namén Vargas. </w:t>
      </w:r>
    </w:p>
    <w:p w:rsidRPr="00480D1F" w:rsidR="00DA5D42" w:rsidP="00DA5D42" w:rsidRDefault="00DA5D42" w14:paraId="55A20FC7" w14:textId="77777777">
      <w:pPr>
        <w:pStyle w:val="Textonotapie"/>
        <w:jc w:val="both"/>
        <w:rPr>
          <w:rFonts w:ascii="Century Gothic" w:hAnsi="Century Gothic" w:cs="Arial"/>
          <w:color w:val="000000"/>
          <w:sz w:val="18"/>
          <w:szCs w:val="18"/>
          <w:lang w:val="es-ES"/>
        </w:rPr>
      </w:pPr>
    </w:p>
  </w:footnote>
  <w:footnote w:id="47">
    <w:p w:rsidRPr="00480D1F" w:rsidR="00DA5D42" w:rsidP="00DA5D42" w:rsidRDefault="00DA5D42" w14:paraId="454427F9" w14:textId="77777777">
      <w:pPr>
        <w:pStyle w:val="Textonotapie"/>
        <w:ind w:firstLine="708"/>
        <w:jc w:val="both"/>
        <w:rPr>
          <w:rFonts w:ascii="Century Gothic" w:hAnsi="Century Gothic"/>
          <w:color w:val="000000"/>
          <w:sz w:val="18"/>
          <w:szCs w:val="18"/>
          <w:lang w:val="es-ES"/>
        </w:rPr>
      </w:pPr>
      <w:r w:rsidRPr="00480D1F">
        <w:rPr>
          <w:rStyle w:val="Refdenotaalpie"/>
          <w:rFonts w:ascii="Century Gothic" w:hAnsi="Century Gothic" w:cs="Arial"/>
          <w:color w:val="000000"/>
          <w:sz w:val="18"/>
          <w:szCs w:val="18"/>
        </w:rPr>
        <w:footnoteRef/>
      </w:r>
      <w:r w:rsidRPr="00480D1F">
        <w:rPr>
          <w:rFonts w:ascii="Century Gothic" w:hAnsi="Century Gothic" w:cs="Arial"/>
          <w:color w:val="000000"/>
          <w:sz w:val="18"/>
          <w:szCs w:val="18"/>
        </w:rPr>
        <w:t xml:space="preserve"> CONSEJO DE ESTADO. Sección Tercera. </w:t>
      </w:r>
      <w:r w:rsidRPr="00480D1F">
        <w:rPr>
          <w:rFonts w:ascii="Century Gothic" w:hAnsi="Century Gothic" w:cs="Arial"/>
          <w:color w:val="000000"/>
          <w:sz w:val="18"/>
          <w:szCs w:val="18"/>
          <w:lang w:val="es-CO"/>
        </w:rPr>
        <w:t xml:space="preserve">Sala Plena. Auto del 1 de agosto de 2019. </w:t>
      </w:r>
      <w:r w:rsidRPr="00480D1F">
        <w:rPr>
          <w:rFonts w:ascii="Century Gothic" w:hAnsi="Century Gothic" w:cs="Arial"/>
          <w:color w:val="000000"/>
          <w:sz w:val="18"/>
          <w:szCs w:val="18"/>
        </w:rPr>
        <w:t xml:space="preserve">Exp. 62009. C.P. Jaime Enrique Rodríguez Navas. </w:t>
      </w:r>
      <w:r w:rsidRPr="00480D1F">
        <w:rPr>
          <w:rFonts w:ascii="Century Gothic" w:hAnsi="Century Gothic"/>
          <w:color w:val="000000"/>
          <w:sz w:val="18"/>
          <w:szCs w:val="18"/>
          <w:lang w:val="es-ES"/>
        </w:rPr>
        <w:t xml:space="preserve"> </w:t>
      </w:r>
    </w:p>
  </w:footnote>
  <w:footnote w:id="48">
    <w:p w:rsidRPr="00480D1F" w:rsidR="00D97C6B" w:rsidP="00D97C6B" w:rsidRDefault="00D97C6B" w14:paraId="32D20312" w14:textId="77777777">
      <w:pPr>
        <w:pStyle w:val="Textonotapie"/>
        <w:ind w:firstLine="709"/>
        <w:jc w:val="both"/>
        <w:rPr>
          <w:rFonts w:ascii="Century Gothic" w:hAnsi="Century Gothic" w:eastAsia="Times New Roman" w:cs="Arial"/>
          <w:color w:val="000000"/>
          <w:sz w:val="18"/>
          <w:szCs w:val="18"/>
          <w:lang w:val="es-ES" w:eastAsia="es-ES"/>
        </w:rPr>
      </w:pPr>
      <w:r w:rsidRPr="00480D1F">
        <w:rPr>
          <w:rFonts w:ascii="Century Gothic" w:hAnsi="Century Gothic" w:eastAsia="Times New Roman" w:cs="Arial"/>
          <w:color w:val="000000"/>
          <w:sz w:val="18"/>
          <w:szCs w:val="18"/>
          <w:vertAlign w:val="superscript"/>
          <w:lang w:val="es-ES" w:eastAsia="es-ES"/>
        </w:rPr>
        <w:footnoteRef/>
      </w:r>
      <w:r w:rsidRPr="00480D1F">
        <w:rPr>
          <w:rFonts w:ascii="Century Gothic" w:hAnsi="Century Gothic" w:eastAsia="Times New Roman" w:cs="Arial"/>
          <w:color w:val="000000"/>
          <w:sz w:val="18"/>
          <w:szCs w:val="18"/>
          <w:vertAlign w:val="superscript"/>
          <w:lang w:val="es-ES" w:eastAsia="es-ES"/>
        </w:rPr>
        <w:t xml:space="preserve"> </w:t>
      </w:r>
      <w:r w:rsidRPr="00480D1F">
        <w:rPr>
          <w:rFonts w:ascii="Century Gothic" w:hAnsi="Century Gothic" w:eastAsia="Times New Roman" w:cs="Arial"/>
          <w:color w:val="000000"/>
          <w:sz w:val="18"/>
          <w:szCs w:val="18"/>
          <w:lang w:val="es-ES" w:eastAsia="es-ES"/>
        </w:rPr>
        <w:t>“</w:t>
      </w:r>
      <w:r w:rsidRPr="00480D1F">
        <w:rPr>
          <w:rFonts w:ascii="Century Gothic" w:hAnsi="Century Gothic" w:cs="Arial"/>
          <w:color w:val="000000"/>
          <w:sz w:val="18"/>
          <w:szCs w:val="18"/>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r w:rsidRPr="00480D1F">
        <w:rPr>
          <w:rFonts w:ascii="Century Gothic" w:hAnsi="Century Gothic" w:eastAsia="Times New Roman" w:cs="Arial"/>
          <w:color w:val="000000"/>
          <w:sz w:val="18"/>
          <w:szCs w:val="18"/>
          <w:lang w:val="es-ES" w:eastAsia="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7E5E71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13</w:t>
    </w:r>
  </w:p>
  <w:p w:rsidRPr="004A305D" w:rsidR="004A305D" w:rsidP="004A305D" w:rsidRDefault="004A305D" w14:paraId="5E18350A" w14:textId="3833E343">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CB6357">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sidR="00CB6357">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sidR="00961B09">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RDefault="008A446D" w14:paraId="1FD1C243" w14:textId="6D74A3C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85938771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proofState w:spelling="clean" w:grammar="dirty"/>
  <w:trackRevisions w:val="false"/>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B04"/>
    <w:rsid w:val="00011C15"/>
    <w:rsid w:val="00030C89"/>
    <w:rsid w:val="000317E9"/>
    <w:rsid w:val="000407ED"/>
    <w:rsid w:val="00041D69"/>
    <w:rsid w:val="00041F13"/>
    <w:rsid w:val="0004564B"/>
    <w:rsid w:val="00047A9E"/>
    <w:rsid w:val="0005577F"/>
    <w:rsid w:val="00056552"/>
    <w:rsid w:val="00060B2A"/>
    <w:rsid w:val="0009016A"/>
    <w:rsid w:val="000A28BC"/>
    <w:rsid w:val="000A683E"/>
    <w:rsid w:val="000A7643"/>
    <w:rsid w:val="000B19B9"/>
    <w:rsid w:val="000B6E1A"/>
    <w:rsid w:val="000C44E5"/>
    <w:rsid w:val="000D0334"/>
    <w:rsid w:val="000D045B"/>
    <w:rsid w:val="000E15EB"/>
    <w:rsid w:val="000F16D0"/>
    <w:rsid w:val="000F6486"/>
    <w:rsid w:val="00101D0A"/>
    <w:rsid w:val="00126098"/>
    <w:rsid w:val="00127233"/>
    <w:rsid w:val="00131D0D"/>
    <w:rsid w:val="00133231"/>
    <w:rsid w:val="00136F58"/>
    <w:rsid w:val="00145DF2"/>
    <w:rsid w:val="00150396"/>
    <w:rsid w:val="00167543"/>
    <w:rsid w:val="00173696"/>
    <w:rsid w:val="00181083"/>
    <w:rsid w:val="0018184E"/>
    <w:rsid w:val="001B317C"/>
    <w:rsid w:val="001B31E7"/>
    <w:rsid w:val="001D40DF"/>
    <w:rsid w:val="001E4177"/>
    <w:rsid w:val="001E5C94"/>
    <w:rsid w:val="00210423"/>
    <w:rsid w:val="002105D8"/>
    <w:rsid w:val="00212475"/>
    <w:rsid w:val="002172F8"/>
    <w:rsid w:val="002276CC"/>
    <w:rsid w:val="00232C72"/>
    <w:rsid w:val="00243E8F"/>
    <w:rsid w:val="002566CE"/>
    <w:rsid w:val="00261BB8"/>
    <w:rsid w:val="00281BCC"/>
    <w:rsid w:val="00284F46"/>
    <w:rsid w:val="00293466"/>
    <w:rsid w:val="00293D36"/>
    <w:rsid w:val="002951A0"/>
    <w:rsid w:val="002962BC"/>
    <w:rsid w:val="00296F67"/>
    <w:rsid w:val="00297365"/>
    <w:rsid w:val="002A25BC"/>
    <w:rsid w:val="002A26E7"/>
    <w:rsid w:val="002A49AC"/>
    <w:rsid w:val="002A64FD"/>
    <w:rsid w:val="002B19EB"/>
    <w:rsid w:val="002B6E10"/>
    <w:rsid w:val="002C0307"/>
    <w:rsid w:val="002C1D75"/>
    <w:rsid w:val="002C3A4E"/>
    <w:rsid w:val="002C64A4"/>
    <w:rsid w:val="002C7A84"/>
    <w:rsid w:val="002D240C"/>
    <w:rsid w:val="002D2ED8"/>
    <w:rsid w:val="002E2D92"/>
    <w:rsid w:val="002F3377"/>
    <w:rsid w:val="002F567C"/>
    <w:rsid w:val="0030046F"/>
    <w:rsid w:val="003031B5"/>
    <w:rsid w:val="00314098"/>
    <w:rsid w:val="003170F8"/>
    <w:rsid w:val="00317425"/>
    <w:rsid w:val="00320855"/>
    <w:rsid w:val="0033141B"/>
    <w:rsid w:val="00333F43"/>
    <w:rsid w:val="003429AE"/>
    <w:rsid w:val="00354F28"/>
    <w:rsid w:val="003573F3"/>
    <w:rsid w:val="00376515"/>
    <w:rsid w:val="0038297D"/>
    <w:rsid w:val="003A0E5F"/>
    <w:rsid w:val="003A779E"/>
    <w:rsid w:val="003C3148"/>
    <w:rsid w:val="003C3B72"/>
    <w:rsid w:val="003D0F4D"/>
    <w:rsid w:val="003D112A"/>
    <w:rsid w:val="003D155A"/>
    <w:rsid w:val="003D3A8C"/>
    <w:rsid w:val="003D6E89"/>
    <w:rsid w:val="003E0499"/>
    <w:rsid w:val="003E101F"/>
    <w:rsid w:val="003E2F7F"/>
    <w:rsid w:val="003F01A8"/>
    <w:rsid w:val="003F1366"/>
    <w:rsid w:val="003F2469"/>
    <w:rsid w:val="003F3941"/>
    <w:rsid w:val="003F51B4"/>
    <w:rsid w:val="004111FE"/>
    <w:rsid w:val="004132B2"/>
    <w:rsid w:val="0042700B"/>
    <w:rsid w:val="004331FD"/>
    <w:rsid w:val="004549A4"/>
    <w:rsid w:val="00456453"/>
    <w:rsid w:val="004614CB"/>
    <w:rsid w:val="00464B09"/>
    <w:rsid w:val="00465683"/>
    <w:rsid w:val="004666CC"/>
    <w:rsid w:val="0046684D"/>
    <w:rsid w:val="004701CC"/>
    <w:rsid w:val="00476B92"/>
    <w:rsid w:val="00480168"/>
    <w:rsid w:val="00480D1F"/>
    <w:rsid w:val="00484FB3"/>
    <w:rsid w:val="00486554"/>
    <w:rsid w:val="0048667F"/>
    <w:rsid w:val="0049211F"/>
    <w:rsid w:val="00492DF0"/>
    <w:rsid w:val="004A1847"/>
    <w:rsid w:val="004A305D"/>
    <w:rsid w:val="004B1C52"/>
    <w:rsid w:val="004C1C41"/>
    <w:rsid w:val="004C3684"/>
    <w:rsid w:val="004C5972"/>
    <w:rsid w:val="004D3F34"/>
    <w:rsid w:val="004D4F4B"/>
    <w:rsid w:val="004E7E56"/>
    <w:rsid w:val="004F21C4"/>
    <w:rsid w:val="004F51F8"/>
    <w:rsid w:val="004F685F"/>
    <w:rsid w:val="00503199"/>
    <w:rsid w:val="00512FD7"/>
    <w:rsid w:val="005155FB"/>
    <w:rsid w:val="005243CF"/>
    <w:rsid w:val="00534878"/>
    <w:rsid w:val="00534E79"/>
    <w:rsid w:val="00540013"/>
    <w:rsid w:val="00542DF9"/>
    <w:rsid w:val="005447E3"/>
    <w:rsid w:val="005456A6"/>
    <w:rsid w:val="005465E4"/>
    <w:rsid w:val="00546EC0"/>
    <w:rsid w:val="0055362E"/>
    <w:rsid w:val="005566E8"/>
    <w:rsid w:val="00557EBD"/>
    <w:rsid w:val="00567954"/>
    <w:rsid w:val="00567C83"/>
    <w:rsid w:val="00574867"/>
    <w:rsid w:val="00575DFE"/>
    <w:rsid w:val="00582F02"/>
    <w:rsid w:val="005838FF"/>
    <w:rsid w:val="005A67E1"/>
    <w:rsid w:val="005A6E37"/>
    <w:rsid w:val="005B2C59"/>
    <w:rsid w:val="005B3E19"/>
    <w:rsid w:val="005B43B8"/>
    <w:rsid w:val="005C173F"/>
    <w:rsid w:val="005C5CDC"/>
    <w:rsid w:val="005C69F0"/>
    <w:rsid w:val="005D02F1"/>
    <w:rsid w:val="005D25EB"/>
    <w:rsid w:val="005D2F51"/>
    <w:rsid w:val="005D476C"/>
    <w:rsid w:val="005D6619"/>
    <w:rsid w:val="005F585B"/>
    <w:rsid w:val="005F76AD"/>
    <w:rsid w:val="00601047"/>
    <w:rsid w:val="006052B7"/>
    <w:rsid w:val="00621516"/>
    <w:rsid w:val="006219F8"/>
    <w:rsid w:val="00634754"/>
    <w:rsid w:val="006465A9"/>
    <w:rsid w:val="00650DD6"/>
    <w:rsid w:val="006605C9"/>
    <w:rsid w:val="00665D70"/>
    <w:rsid w:val="00670B3A"/>
    <w:rsid w:val="00672C9A"/>
    <w:rsid w:val="006731BE"/>
    <w:rsid w:val="00675C9F"/>
    <w:rsid w:val="006842D8"/>
    <w:rsid w:val="006950AA"/>
    <w:rsid w:val="006A7839"/>
    <w:rsid w:val="006B05B9"/>
    <w:rsid w:val="006B681D"/>
    <w:rsid w:val="006D0631"/>
    <w:rsid w:val="006D07FC"/>
    <w:rsid w:val="006E77C4"/>
    <w:rsid w:val="006F0A8D"/>
    <w:rsid w:val="006F303F"/>
    <w:rsid w:val="006F4645"/>
    <w:rsid w:val="00706C16"/>
    <w:rsid w:val="007110B1"/>
    <w:rsid w:val="007122EE"/>
    <w:rsid w:val="007302E6"/>
    <w:rsid w:val="00732C25"/>
    <w:rsid w:val="00736B14"/>
    <w:rsid w:val="00740652"/>
    <w:rsid w:val="0074162A"/>
    <w:rsid w:val="007432C3"/>
    <w:rsid w:val="007447CC"/>
    <w:rsid w:val="00753C82"/>
    <w:rsid w:val="00754280"/>
    <w:rsid w:val="00756841"/>
    <w:rsid w:val="00756CB2"/>
    <w:rsid w:val="007619AB"/>
    <w:rsid w:val="007649AB"/>
    <w:rsid w:val="007705C9"/>
    <w:rsid w:val="007771FA"/>
    <w:rsid w:val="007833AC"/>
    <w:rsid w:val="007960D4"/>
    <w:rsid w:val="00797A87"/>
    <w:rsid w:val="007A2079"/>
    <w:rsid w:val="007A5BC0"/>
    <w:rsid w:val="007C3DC2"/>
    <w:rsid w:val="007C6DBC"/>
    <w:rsid w:val="007D0D84"/>
    <w:rsid w:val="007D6A2A"/>
    <w:rsid w:val="007D7D65"/>
    <w:rsid w:val="007E5497"/>
    <w:rsid w:val="007F0EF2"/>
    <w:rsid w:val="007F1C56"/>
    <w:rsid w:val="00801A03"/>
    <w:rsid w:val="00806F5F"/>
    <w:rsid w:val="00813095"/>
    <w:rsid w:val="00813B8A"/>
    <w:rsid w:val="00820278"/>
    <w:rsid w:val="00820752"/>
    <w:rsid w:val="008225CE"/>
    <w:rsid w:val="0082271E"/>
    <w:rsid w:val="00824008"/>
    <w:rsid w:val="0082459C"/>
    <w:rsid w:val="00831029"/>
    <w:rsid w:val="00843CA5"/>
    <w:rsid w:val="0084589B"/>
    <w:rsid w:val="00852E38"/>
    <w:rsid w:val="0086353B"/>
    <w:rsid w:val="00865C64"/>
    <w:rsid w:val="00880C1B"/>
    <w:rsid w:val="008843B6"/>
    <w:rsid w:val="0089089E"/>
    <w:rsid w:val="00891928"/>
    <w:rsid w:val="00891DF0"/>
    <w:rsid w:val="00895A0C"/>
    <w:rsid w:val="008A446D"/>
    <w:rsid w:val="008B423C"/>
    <w:rsid w:val="008D65C2"/>
    <w:rsid w:val="008F0EA7"/>
    <w:rsid w:val="00902F97"/>
    <w:rsid w:val="00916305"/>
    <w:rsid w:val="00917D4E"/>
    <w:rsid w:val="00923EEF"/>
    <w:rsid w:val="00925CFF"/>
    <w:rsid w:val="009354C8"/>
    <w:rsid w:val="009419F9"/>
    <w:rsid w:val="00944CED"/>
    <w:rsid w:val="009451A1"/>
    <w:rsid w:val="009541D1"/>
    <w:rsid w:val="00961B09"/>
    <w:rsid w:val="00965334"/>
    <w:rsid w:val="00965886"/>
    <w:rsid w:val="0097093E"/>
    <w:rsid w:val="00981CA6"/>
    <w:rsid w:val="0099582A"/>
    <w:rsid w:val="009C6F14"/>
    <w:rsid w:val="009C71FA"/>
    <w:rsid w:val="009C72E7"/>
    <w:rsid w:val="009D7C1F"/>
    <w:rsid w:val="009F0298"/>
    <w:rsid w:val="009F3A0C"/>
    <w:rsid w:val="009F49D6"/>
    <w:rsid w:val="00A00DB6"/>
    <w:rsid w:val="00A05F1F"/>
    <w:rsid w:val="00A126D0"/>
    <w:rsid w:val="00A17945"/>
    <w:rsid w:val="00A17F13"/>
    <w:rsid w:val="00A20739"/>
    <w:rsid w:val="00A2248D"/>
    <w:rsid w:val="00A23C83"/>
    <w:rsid w:val="00A3317D"/>
    <w:rsid w:val="00A33C78"/>
    <w:rsid w:val="00A37BC5"/>
    <w:rsid w:val="00A45A24"/>
    <w:rsid w:val="00A47716"/>
    <w:rsid w:val="00A617B7"/>
    <w:rsid w:val="00A6404D"/>
    <w:rsid w:val="00A75205"/>
    <w:rsid w:val="00A76FB7"/>
    <w:rsid w:val="00AA17D6"/>
    <w:rsid w:val="00AA19CA"/>
    <w:rsid w:val="00AA3F79"/>
    <w:rsid w:val="00AB0ADB"/>
    <w:rsid w:val="00AB108B"/>
    <w:rsid w:val="00AB208E"/>
    <w:rsid w:val="00AD4ED5"/>
    <w:rsid w:val="00AD7F20"/>
    <w:rsid w:val="00AE25AD"/>
    <w:rsid w:val="00AE5061"/>
    <w:rsid w:val="00AE7F56"/>
    <w:rsid w:val="00AF6B70"/>
    <w:rsid w:val="00AF7B3A"/>
    <w:rsid w:val="00B01BEE"/>
    <w:rsid w:val="00B056EA"/>
    <w:rsid w:val="00B13EA5"/>
    <w:rsid w:val="00B233EA"/>
    <w:rsid w:val="00B3450A"/>
    <w:rsid w:val="00B352E6"/>
    <w:rsid w:val="00B35F46"/>
    <w:rsid w:val="00B41552"/>
    <w:rsid w:val="00B47BA1"/>
    <w:rsid w:val="00B54DD3"/>
    <w:rsid w:val="00B659C9"/>
    <w:rsid w:val="00B7006D"/>
    <w:rsid w:val="00B712F3"/>
    <w:rsid w:val="00B72CD3"/>
    <w:rsid w:val="00B72FFF"/>
    <w:rsid w:val="00B77A4E"/>
    <w:rsid w:val="00B859F9"/>
    <w:rsid w:val="00B9598C"/>
    <w:rsid w:val="00BA58BE"/>
    <w:rsid w:val="00BB0DE7"/>
    <w:rsid w:val="00BB4065"/>
    <w:rsid w:val="00BC0FBA"/>
    <w:rsid w:val="00BC1331"/>
    <w:rsid w:val="00BC42CF"/>
    <w:rsid w:val="00BC64C6"/>
    <w:rsid w:val="00BC6617"/>
    <w:rsid w:val="00BC735C"/>
    <w:rsid w:val="00BC755E"/>
    <w:rsid w:val="00BD7E15"/>
    <w:rsid w:val="00BD7F72"/>
    <w:rsid w:val="00BE1248"/>
    <w:rsid w:val="00BF6024"/>
    <w:rsid w:val="00C001BB"/>
    <w:rsid w:val="00C01636"/>
    <w:rsid w:val="00C07816"/>
    <w:rsid w:val="00C07B58"/>
    <w:rsid w:val="00C142E8"/>
    <w:rsid w:val="00C153F1"/>
    <w:rsid w:val="00C21721"/>
    <w:rsid w:val="00C24A08"/>
    <w:rsid w:val="00C330EB"/>
    <w:rsid w:val="00C354FB"/>
    <w:rsid w:val="00C35703"/>
    <w:rsid w:val="00C36B99"/>
    <w:rsid w:val="00C4440E"/>
    <w:rsid w:val="00C50A2F"/>
    <w:rsid w:val="00C56303"/>
    <w:rsid w:val="00C56EAB"/>
    <w:rsid w:val="00C676CE"/>
    <w:rsid w:val="00C67C22"/>
    <w:rsid w:val="00C72A23"/>
    <w:rsid w:val="00C72E91"/>
    <w:rsid w:val="00C747C8"/>
    <w:rsid w:val="00C754BE"/>
    <w:rsid w:val="00C75CD4"/>
    <w:rsid w:val="00C93352"/>
    <w:rsid w:val="00C96804"/>
    <w:rsid w:val="00CA021E"/>
    <w:rsid w:val="00CB2A25"/>
    <w:rsid w:val="00CB6357"/>
    <w:rsid w:val="00CB6C81"/>
    <w:rsid w:val="00CC0267"/>
    <w:rsid w:val="00CC1B26"/>
    <w:rsid w:val="00CC1C7C"/>
    <w:rsid w:val="00CC30D3"/>
    <w:rsid w:val="00CC7822"/>
    <w:rsid w:val="00CD2B6D"/>
    <w:rsid w:val="00CF55CB"/>
    <w:rsid w:val="00D054AE"/>
    <w:rsid w:val="00D07D28"/>
    <w:rsid w:val="00D07F97"/>
    <w:rsid w:val="00D17094"/>
    <w:rsid w:val="00D273AC"/>
    <w:rsid w:val="00D423A2"/>
    <w:rsid w:val="00D42B2D"/>
    <w:rsid w:val="00D54A11"/>
    <w:rsid w:val="00D56FBF"/>
    <w:rsid w:val="00D610AA"/>
    <w:rsid w:val="00D63AC2"/>
    <w:rsid w:val="00D7067A"/>
    <w:rsid w:val="00D7329C"/>
    <w:rsid w:val="00D7383B"/>
    <w:rsid w:val="00D7647B"/>
    <w:rsid w:val="00D842DA"/>
    <w:rsid w:val="00D863DE"/>
    <w:rsid w:val="00D91063"/>
    <w:rsid w:val="00D95D35"/>
    <w:rsid w:val="00D97C6B"/>
    <w:rsid w:val="00DA04A8"/>
    <w:rsid w:val="00DA5D42"/>
    <w:rsid w:val="00DA675F"/>
    <w:rsid w:val="00DB413E"/>
    <w:rsid w:val="00DB59A7"/>
    <w:rsid w:val="00DC230F"/>
    <w:rsid w:val="00DC4373"/>
    <w:rsid w:val="00DD5603"/>
    <w:rsid w:val="00DE47ED"/>
    <w:rsid w:val="00DF0AB5"/>
    <w:rsid w:val="00DF2979"/>
    <w:rsid w:val="00DF5F0A"/>
    <w:rsid w:val="00E01E2E"/>
    <w:rsid w:val="00E06139"/>
    <w:rsid w:val="00E119E6"/>
    <w:rsid w:val="00E16408"/>
    <w:rsid w:val="00E20894"/>
    <w:rsid w:val="00E245AB"/>
    <w:rsid w:val="00E356E9"/>
    <w:rsid w:val="00E37903"/>
    <w:rsid w:val="00E406B5"/>
    <w:rsid w:val="00E4337E"/>
    <w:rsid w:val="00E455AD"/>
    <w:rsid w:val="00E50AFE"/>
    <w:rsid w:val="00E771DC"/>
    <w:rsid w:val="00E820FB"/>
    <w:rsid w:val="00E84A83"/>
    <w:rsid w:val="00E86B66"/>
    <w:rsid w:val="00E86BEB"/>
    <w:rsid w:val="00E8772A"/>
    <w:rsid w:val="00E90605"/>
    <w:rsid w:val="00E90F6B"/>
    <w:rsid w:val="00E92C27"/>
    <w:rsid w:val="00E93B51"/>
    <w:rsid w:val="00EA0E3D"/>
    <w:rsid w:val="00EB0C15"/>
    <w:rsid w:val="00EB143B"/>
    <w:rsid w:val="00EB4FDF"/>
    <w:rsid w:val="00EC29DB"/>
    <w:rsid w:val="00EE1AA8"/>
    <w:rsid w:val="00EF3C47"/>
    <w:rsid w:val="00EF7169"/>
    <w:rsid w:val="00F057E9"/>
    <w:rsid w:val="00F1280C"/>
    <w:rsid w:val="00F204EB"/>
    <w:rsid w:val="00F31EDC"/>
    <w:rsid w:val="00F50B44"/>
    <w:rsid w:val="00F52DF4"/>
    <w:rsid w:val="00F56460"/>
    <w:rsid w:val="00F5664F"/>
    <w:rsid w:val="00F65A69"/>
    <w:rsid w:val="00F76AFC"/>
    <w:rsid w:val="00F76ED4"/>
    <w:rsid w:val="00F82C14"/>
    <w:rsid w:val="00F95AC5"/>
    <w:rsid w:val="00FA71A5"/>
    <w:rsid w:val="00FB5DD1"/>
    <w:rsid w:val="00FC2B5D"/>
    <w:rsid w:val="00FD2446"/>
    <w:rsid w:val="00FD561A"/>
    <w:rsid w:val="00FE0091"/>
    <w:rsid w:val="00FE012B"/>
    <w:rsid w:val="00FE3211"/>
    <w:rsid w:val="00FF1407"/>
    <w:rsid w:val="00FF1449"/>
    <w:rsid w:val="00FF3414"/>
    <w:rsid w:val="07B24358"/>
    <w:rsid w:val="1109A3D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Hipervnculo">
    <w:name w:val="Hyperlink"/>
    <w:basedOn w:val="Fuentedeprrafopredeter"/>
    <w:uiPriority w:val="99"/>
    <w:unhideWhenUsed/>
    <w:rsid w:val="00296F67"/>
    <w:rPr>
      <w:color w:val="0563C1" w:themeColor="hyperlink"/>
      <w:u w:val="single"/>
    </w:rPr>
  </w:style>
  <w:style w:type="paragraph" w:styleId="Appelnotedebasde" w:customStyle="1">
    <w:name w:val="Appel note de bas de..."/>
    <w:basedOn w:val="Normal"/>
    <w:link w:val="Refdenotaalpie"/>
    <w:rsid w:val="00296F67"/>
    <w:pPr>
      <w:spacing w:line="240" w:lineRule="exact"/>
    </w:pPr>
    <w:rPr>
      <w:vertAlign w:val="superscript"/>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296F67"/>
    <w:rPr>
      <w:rFonts w:ascii="Geomanist Light" w:hAnsi="Geomanist Light"/>
      <w:lang w:val="es-ES"/>
    </w:rPr>
  </w:style>
  <w:style w:type="paragraph" w:styleId="Sinespaciado">
    <w:name w:val="No Spacing"/>
    <w:aliases w:val="No Indent"/>
    <w:link w:val="SinespaciadoCar"/>
    <w:uiPriority w:val="3"/>
    <w:qFormat/>
    <w:rsid w:val="00480168"/>
    <w:pPr>
      <w:spacing w:after="0" w:line="240" w:lineRule="auto"/>
    </w:pPr>
    <w:rPr>
      <w:sz w:val="24"/>
      <w:lang w:val="es-MX"/>
    </w:rPr>
  </w:style>
  <w:style w:type="character" w:styleId="SinespaciadoCar" w:customStyle="1">
    <w:name w:val="Sin espaciado Car"/>
    <w:aliases w:val="No Indent Car"/>
    <w:link w:val="Sinespaciado"/>
    <w:uiPriority w:val="3"/>
    <w:rsid w:val="00480168"/>
    <w:rPr>
      <w:sz w:val="24"/>
      <w:lang w:val="es-MX"/>
    </w:rPr>
  </w:style>
  <w:style w:type="paragraph" w:styleId="NormalWeb">
    <w:name w:val="Normal (Web)"/>
    <w:basedOn w:val="Normal"/>
    <w:uiPriority w:val="99"/>
    <w:semiHidden/>
    <w:unhideWhenUsed/>
    <w:rsid w:val="00BB4065"/>
    <w:rPr>
      <w:rFonts w:ascii="Times New Roman" w:hAnsi="Times New Roman" w:cs="Times New Roman"/>
      <w:sz w:val="24"/>
      <w:szCs w:val="24"/>
    </w:rPr>
  </w:style>
  <w:style w:type="character" w:styleId="Hipervnculo1" w:customStyle="1">
    <w:name w:val="Hipervínculo1"/>
    <w:basedOn w:val="Fuentedeprrafopredeter"/>
    <w:uiPriority w:val="99"/>
    <w:unhideWhenUsed/>
    <w:rsid w:val="00BB4065"/>
    <w:rPr>
      <w:color w:val="F2F2F2"/>
      <w:u w:val="single"/>
    </w:rPr>
  </w:style>
  <w:style w:type="character" w:styleId="Textoennegrita">
    <w:name w:val="Strong"/>
    <w:basedOn w:val="Fuentedeprrafopredeter"/>
    <w:uiPriority w:val="22"/>
    <w:qFormat/>
    <w:rsid w:val="00BB4065"/>
    <w:rPr>
      <w:b/>
      <w:bCs/>
    </w:rPr>
  </w:style>
  <w:style w:type="character" w:styleId="nfasis">
    <w:name w:val="Emphasis"/>
    <w:basedOn w:val="Fuentedeprrafopredeter"/>
    <w:uiPriority w:val="20"/>
    <w:qFormat/>
    <w:rsid w:val="00BB4065"/>
    <w:rPr>
      <w:i/>
      <w:iCs/>
    </w:rPr>
  </w:style>
  <w:style w:type="character" w:styleId="Mencinsinresolver">
    <w:name w:val="Unresolved Mention"/>
    <w:basedOn w:val="Fuentedeprrafopredeter"/>
    <w:uiPriority w:val="99"/>
    <w:semiHidden/>
    <w:unhideWhenUsed/>
    <w:rsid w:val="0074162A"/>
    <w:rPr>
      <w:color w:val="605E5C"/>
      <w:shd w:val="clear" w:color="auto" w:fill="E1DFDD"/>
    </w:rPr>
  </w:style>
  <w:style w:type="paragraph" w:styleId="Revisin">
    <w:name w:val="Revision"/>
    <w:hidden/>
    <w:uiPriority w:val="99"/>
    <w:semiHidden/>
    <w:rsid w:val="00E01E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619799">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716077618">
      <w:bodyDiv w:val="1"/>
      <w:marLeft w:val="0"/>
      <w:marRight w:val="0"/>
      <w:marTop w:val="0"/>
      <w:marBottom w:val="0"/>
      <w:divBdr>
        <w:top w:val="none" w:sz="0" w:space="0" w:color="auto"/>
        <w:left w:val="none" w:sz="0" w:space="0" w:color="auto"/>
        <w:bottom w:val="none" w:sz="0" w:space="0" w:color="auto"/>
        <w:right w:val="none" w:sz="0" w:space="0" w:color="auto"/>
      </w:divBdr>
    </w:div>
    <w:div w:id="2094544345">
      <w:bodyDiv w:val="1"/>
      <w:marLeft w:val="0"/>
      <w:marRight w:val="0"/>
      <w:marTop w:val="0"/>
      <w:marBottom w:val="0"/>
      <w:divBdr>
        <w:top w:val="none" w:sz="0" w:space="0" w:color="auto"/>
        <w:left w:val="none" w:sz="0" w:space="0" w:color="auto"/>
        <w:bottom w:val="none" w:sz="0" w:space="0" w:color="auto"/>
        <w:right w:val="none" w:sz="0" w:space="0" w:color="auto"/>
      </w:divBdr>
      <w:divsChild>
        <w:div w:id="830562070">
          <w:marLeft w:val="0"/>
          <w:marRight w:val="0"/>
          <w:marTop w:val="0"/>
          <w:marBottom w:val="0"/>
          <w:divBdr>
            <w:top w:val="none" w:sz="0" w:space="0" w:color="auto"/>
            <w:left w:val="none" w:sz="0" w:space="0" w:color="auto"/>
            <w:bottom w:val="none" w:sz="0" w:space="0" w:color="auto"/>
            <w:right w:val="none" w:sz="0" w:space="0" w:color="auto"/>
          </w:divBdr>
          <w:divsChild>
            <w:div w:id="1800606534">
              <w:marLeft w:val="0"/>
              <w:marRight w:val="0"/>
              <w:marTop w:val="0"/>
              <w:marBottom w:val="0"/>
              <w:divBdr>
                <w:top w:val="none" w:sz="0" w:space="0" w:color="auto"/>
                <w:left w:val="none" w:sz="0" w:space="0" w:color="auto"/>
                <w:bottom w:val="none" w:sz="0" w:space="0" w:color="auto"/>
                <w:right w:val="none" w:sz="0" w:space="0" w:color="auto"/>
              </w:divBdr>
            </w:div>
            <w:div w:id="1659990173">
              <w:marLeft w:val="0"/>
              <w:marRight w:val="0"/>
              <w:marTop w:val="0"/>
              <w:marBottom w:val="0"/>
              <w:divBdr>
                <w:top w:val="none" w:sz="0" w:space="0" w:color="auto"/>
                <w:left w:val="none" w:sz="0" w:space="0" w:color="auto"/>
                <w:bottom w:val="none" w:sz="0" w:space="0" w:color="auto"/>
                <w:right w:val="none" w:sz="0" w:space="0" w:color="auto"/>
              </w:divBdr>
            </w:div>
            <w:div w:id="1302732581">
              <w:marLeft w:val="0"/>
              <w:marRight w:val="0"/>
              <w:marTop w:val="0"/>
              <w:marBottom w:val="0"/>
              <w:divBdr>
                <w:top w:val="none" w:sz="0" w:space="0" w:color="auto"/>
                <w:left w:val="none" w:sz="0" w:space="0" w:color="auto"/>
                <w:bottom w:val="none" w:sz="0" w:space="0" w:color="auto"/>
                <w:right w:val="none" w:sz="0" w:space="0" w:color="auto"/>
              </w:divBdr>
            </w:div>
            <w:div w:id="1556624568">
              <w:marLeft w:val="0"/>
              <w:marRight w:val="0"/>
              <w:marTop w:val="0"/>
              <w:marBottom w:val="0"/>
              <w:divBdr>
                <w:top w:val="none" w:sz="0" w:space="0" w:color="auto"/>
                <w:left w:val="none" w:sz="0" w:space="0" w:color="auto"/>
                <w:bottom w:val="none" w:sz="0" w:space="0" w:color="auto"/>
                <w:right w:val="none" w:sz="0" w:space="0" w:color="auto"/>
              </w:divBdr>
            </w:div>
            <w:div w:id="294797781">
              <w:marLeft w:val="0"/>
              <w:marRight w:val="0"/>
              <w:marTop w:val="0"/>
              <w:marBottom w:val="0"/>
              <w:divBdr>
                <w:top w:val="none" w:sz="0" w:space="0" w:color="auto"/>
                <w:left w:val="none" w:sz="0" w:space="0" w:color="auto"/>
                <w:bottom w:val="none" w:sz="0" w:space="0" w:color="auto"/>
                <w:right w:val="none" w:sz="0" w:space="0" w:color="auto"/>
              </w:divBdr>
            </w:div>
            <w:div w:id="518662534">
              <w:marLeft w:val="0"/>
              <w:marRight w:val="0"/>
              <w:marTop w:val="0"/>
              <w:marBottom w:val="0"/>
              <w:divBdr>
                <w:top w:val="none" w:sz="0" w:space="0" w:color="auto"/>
                <w:left w:val="none" w:sz="0" w:space="0" w:color="auto"/>
                <w:bottom w:val="none" w:sz="0" w:space="0" w:color="auto"/>
                <w:right w:val="none" w:sz="0" w:space="0" w:color="auto"/>
              </w:divBdr>
            </w:div>
            <w:div w:id="143661939">
              <w:marLeft w:val="0"/>
              <w:marRight w:val="0"/>
              <w:marTop w:val="0"/>
              <w:marBottom w:val="0"/>
              <w:divBdr>
                <w:top w:val="none" w:sz="0" w:space="0" w:color="auto"/>
                <w:left w:val="none" w:sz="0" w:space="0" w:color="auto"/>
                <w:bottom w:val="none" w:sz="0" w:space="0" w:color="auto"/>
                <w:right w:val="none" w:sz="0" w:space="0" w:color="auto"/>
              </w:divBdr>
            </w:div>
            <w:div w:id="331838057">
              <w:marLeft w:val="0"/>
              <w:marRight w:val="0"/>
              <w:marTop w:val="0"/>
              <w:marBottom w:val="0"/>
              <w:divBdr>
                <w:top w:val="none" w:sz="0" w:space="0" w:color="auto"/>
                <w:left w:val="none" w:sz="0" w:space="0" w:color="auto"/>
                <w:bottom w:val="none" w:sz="0" w:space="0" w:color="auto"/>
                <w:right w:val="none" w:sz="0" w:space="0" w:color="auto"/>
              </w:divBdr>
            </w:div>
            <w:div w:id="1389455910">
              <w:marLeft w:val="0"/>
              <w:marRight w:val="0"/>
              <w:marTop w:val="0"/>
              <w:marBottom w:val="0"/>
              <w:divBdr>
                <w:top w:val="none" w:sz="0" w:space="0" w:color="auto"/>
                <w:left w:val="none" w:sz="0" w:space="0" w:color="auto"/>
                <w:bottom w:val="none" w:sz="0" w:space="0" w:color="auto"/>
                <w:right w:val="none" w:sz="0" w:space="0" w:color="auto"/>
              </w:divBdr>
            </w:div>
            <w:div w:id="1626232290">
              <w:marLeft w:val="0"/>
              <w:marRight w:val="0"/>
              <w:marTop w:val="0"/>
              <w:marBottom w:val="0"/>
              <w:divBdr>
                <w:top w:val="none" w:sz="0" w:space="0" w:color="auto"/>
                <w:left w:val="none" w:sz="0" w:space="0" w:color="auto"/>
                <w:bottom w:val="none" w:sz="0" w:space="0" w:color="auto"/>
                <w:right w:val="none" w:sz="0" w:space="0" w:color="auto"/>
              </w:divBdr>
            </w:div>
            <w:div w:id="1436057449">
              <w:marLeft w:val="0"/>
              <w:marRight w:val="0"/>
              <w:marTop w:val="0"/>
              <w:marBottom w:val="0"/>
              <w:divBdr>
                <w:top w:val="none" w:sz="0" w:space="0" w:color="auto"/>
                <w:left w:val="none" w:sz="0" w:space="0" w:color="auto"/>
                <w:bottom w:val="none" w:sz="0" w:space="0" w:color="auto"/>
                <w:right w:val="none" w:sz="0" w:space="0" w:color="auto"/>
              </w:divBdr>
            </w:div>
            <w:div w:id="236329857">
              <w:marLeft w:val="0"/>
              <w:marRight w:val="0"/>
              <w:marTop w:val="0"/>
              <w:marBottom w:val="0"/>
              <w:divBdr>
                <w:top w:val="none" w:sz="0" w:space="0" w:color="auto"/>
                <w:left w:val="none" w:sz="0" w:space="0" w:color="auto"/>
                <w:bottom w:val="none" w:sz="0" w:space="0" w:color="auto"/>
                <w:right w:val="none" w:sz="0" w:space="0" w:color="auto"/>
              </w:divBdr>
            </w:div>
            <w:div w:id="797993066">
              <w:marLeft w:val="0"/>
              <w:marRight w:val="0"/>
              <w:marTop w:val="0"/>
              <w:marBottom w:val="0"/>
              <w:divBdr>
                <w:top w:val="none" w:sz="0" w:space="0" w:color="auto"/>
                <w:left w:val="none" w:sz="0" w:space="0" w:color="auto"/>
                <w:bottom w:val="none" w:sz="0" w:space="0" w:color="auto"/>
                <w:right w:val="none" w:sz="0" w:space="0" w:color="auto"/>
              </w:divBdr>
            </w:div>
            <w:div w:id="1609388629">
              <w:marLeft w:val="0"/>
              <w:marRight w:val="0"/>
              <w:marTop w:val="0"/>
              <w:marBottom w:val="0"/>
              <w:divBdr>
                <w:top w:val="none" w:sz="0" w:space="0" w:color="auto"/>
                <w:left w:val="none" w:sz="0" w:space="0" w:color="auto"/>
                <w:bottom w:val="none" w:sz="0" w:space="0" w:color="auto"/>
                <w:right w:val="none" w:sz="0" w:space="0" w:color="auto"/>
              </w:divBdr>
            </w:div>
            <w:div w:id="795493502">
              <w:marLeft w:val="0"/>
              <w:marRight w:val="0"/>
              <w:marTop w:val="0"/>
              <w:marBottom w:val="0"/>
              <w:divBdr>
                <w:top w:val="none" w:sz="0" w:space="0" w:color="auto"/>
                <w:left w:val="none" w:sz="0" w:space="0" w:color="auto"/>
                <w:bottom w:val="none" w:sz="0" w:space="0" w:color="auto"/>
                <w:right w:val="none" w:sz="0" w:space="0" w:color="auto"/>
              </w:divBdr>
            </w:div>
            <w:div w:id="989946411">
              <w:marLeft w:val="0"/>
              <w:marRight w:val="0"/>
              <w:marTop w:val="0"/>
              <w:marBottom w:val="0"/>
              <w:divBdr>
                <w:top w:val="none" w:sz="0" w:space="0" w:color="auto"/>
                <w:left w:val="none" w:sz="0" w:space="0" w:color="auto"/>
                <w:bottom w:val="none" w:sz="0" w:space="0" w:color="auto"/>
                <w:right w:val="none" w:sz="0" w:space="0" w:color="auto"/>
              </w:divBdr>
            </w:div>
            <w:div w:id="845441774">
              <w:marLeft w:val="0"/>
              <w:marRight w:val="0"/>
              <w:marTop w:val="0"/>
              <w:marBottom w:val="0"/>
              <w:divBdr>
                <w:top w:val="none" w:sz="0" w:space="0" w:color="auto"/>
                <w:left w:val="none" w:sz="0" w:space="0" w:color="auto"/>
                <w:bottom w:val="none" w:sz="0" w:space="0" w:color="auto"/>
                <w:right w:val="none" w:sz="0" w:space="0" w:color="auto"/>
              </w:divBdr>
            </w:div>
            <w:div w:id="1445883717">
              <w:marLeft w:val="0"/>
              <w:marRight w:val="0"/>
              <w:marTop w:val="0"/>
              <w:marBottom w:val="0"/>
              <w:divBdr>
                <w:top w:val="none" w:sz="0" w:space="0" w:color="auto"/>
                <w:left w:val="none" w:sz="0" w:space="0" w:color="auto"/>
                <w:bottom w:val="none" w:sz="0" w:space="0" w:color="auto"/>
                <w:right w:val="none" w:sz="0" w:space="0" w:color="auto"/>
              </w:divBdr>
            </w:div>
            <w:div w:id="1576554626">
              <w:marLeft w:val="0"/>
              <w:marRight w:val="0"/>
              <w:marTop w:val="0"/>
              <w:marBottom w:val="0"/>
              <w:divBdr>
                <w:top w:val="none" w:sz="0" w:space="0" w:color="auto"/>
                <w:left w:val="none" w:sz="0" w:space="0" w:color="auto"/>
                <w:bottom w:val="none" w:sz="0" w:space="0" w:color="auto"/>
                <w:right w:val="none" w:sz="0" w:space="0" w:color="auto"/>
              </w:divBdr>
            </w:div>
            <w:div w:id="62319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secretariasenado.gov.co/senado/basedoc/ley_1955_2019_pr005.html" TargetMode="External" Id="rId13" /><Relationship Type="http://schemas.openxmlformats.org/officeDocument/2006/relationships/hyperlink" Target="https://www.colombiacompra.gov.co/content/06-proyecto-de-documento-tipo-para-la-contratacion-directa-de-convenios-solidarios-para-la" TargetMode="External" Id="rId18"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webSettings" Target="webSettings.xml" Id="rId7" /><Relationship Type="http://schemas.openxmlformats.org/officeDocument/2006/relationships/hyperlink" Target="http://www.secretariasenado.gov.co/senado/basedoc/ley_1955_2019_pr005.html" TargetMode="External" Id="rId12" /><Relationship Type="http://schemas.openxmlformats.org/officeDocument/2006/relationships/hyperlink" Target="https://www.colombiacompra.gov.co/content/06-proyecto-de-documento-tipo-para-la-contratacion-directa-de-convenios-solidarios-para-la" TargetMode="External" Id="rId17" /><Relationship Type="http://schemas.openxmlformats.org/officeDocument/2006/relationships/customXml" Target="../customXml/item2.xml" Id="rId2" /><Relationship Type="http://schemas.openxmlformats.org/officeDocument/2006/relationships/hyperlink" Target="http://www.secretariasenado.gov.co/senado/basedoc/ley_0080_1993.html"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secretariasenado.gov.co/senado/basedoc/ley_0136_1994_pr002.html" TargetMode="External" Id="rId11" /><Relationship Type="http://schemas.openxmlformats.org/officeDocument/2006/relationships/theme" Target="theme/theme1.xml" Id="rId24" /><Relationship Type="http://schemas.openxmlformats.org/officeDocument/2006/relationships/styles" Target="styles.xml" Id="rId5" /><Relationship Type="http://schemas.openxmlformats.org/officeDocument/2006/relationships/hyperlink" Target="http://www.secretariasenado.gov.co/senado/basedoc/decreto_1333_1986_pr008.html" TargetMode="External" Id="rId15" /><Relationship Type="http://schemas.openxmlformats.org/officeDocument/2006/relationships/fontTable" Target="fontTable.xml" Id="rId23" /><Relationship Type="http://schemas.openxmlformats.org/officeDocument/2006/relationships/image" Target="media/image1.png" Id="rId10" /><Relationship Type="http://schemas.openxmlformats.org/officeDocument/2006/relationships/hyperlink" Target="https://www.colombiacompra.gov.co/sites/cce_public/files/cce_documentos/convenio_solidario_jac.pdf"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secretariasenado.gov.co/senado/basedoc/decreto_1333_1986_pr008.html" TargetMode="External" Id="rId14" /><Relationship Type="http://schemas.openxmlformats.org/officeDocument/2006/relationships/footer" Target="footer1.xml" Id="rId22" /><Relationship Type="http://schemas.openxmlformats.org/officeDocument/2006/relationships/image" Target="/media/image7.png" Id="R61ede83170f0498a"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camara.gov.co/juntas-de-accion-comunal" TargetMode="External"/><Relationship Id="rId2" Type="http://schemas.openxmlformats.org/officeDocument/2006/relationships/hyperlink" Target="https://www.suin-juriscol.gov.co/viewDocument.asp?ruta=Leyes/30043742"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D656222D-DDA3-4EB5-8381-F0C1AEA77AB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Richard Andrés Montenegro Siefken</lastModifiedBy>
  <revision>3</revision>
  <lastPrinted>2023-01-10T21:18:00.0000000Z</lastPrinted>
  <dcterms:created xsi:type="dcterms:W3CDTF">2023-08-03T22:54:00.0000000Z</dcterms:created>
  <dcterms:modified xsi:type="dcterms:W3CDTF">2023-08-30T16:54:18.3688962Z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