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C709DD" w14:textId="5ACB03A8" w:rsidR="00B526F2" w:rsidRPr="00345A8A" w:rsidRDefault="000A11E1" w:rsidP="00B526F2">
      <w:pPr>
        <w:spacing w:after="0" w:line="240" w:lineRule="auto"/>
        <w:rPr>
          <w:rFonts w:ascii="Verdana" w:eastAsia="Calibri" w:hAnsi="Verdana" w:cs="Arial"/>
          <w:b/>
          <w:bCs/>
          <w:lang w:val="es-ES" w:eastAsia="es-ES"/>
        </w:rPr>
      </w:pPr>
      <w:r w:rsidRPr="00345A8A">
        <w:rPr>
          <w:rFonts w:ascii="Verdana" w:eastAsia="Calibri" w:hAnsi="Verdana" w:cs="Arial"/>
          <w:b/>
          <w:bCs/>
          <w:lang w:val="es-ES" w:eastAsia="es-ES"/>
        </w:rPr>
        <w:t xml:space="preserve">GARANTÍAS – Fundamento normativo – Requisito de ejecución </w:t>
      </w:r>
    </w:p>
    <w:p w14:paraId="79D21123" w14:textId="77777777" w:rsidR="00B526F2" w:rsidRPr="00345A8A" w:rsidRDefault="00B526F2" w:rsidP="00B526F2">
      <w:pPr>
        <w:spacing w:after="0" w:line="240" w:lineRule="auto"/>
        <w:rPr>
          <w:rFonts w:ascii="Verdana" w:eastAsia="Calibri" w:hAnsi="Verdana" w:cs="Arial"/>
          <w:b/>
          <w:bCs/>
          <w:lang w:val="es-ES" w:eastAsia="es-ES"/>
        </w:rPr>
      </w:pPr>
    </w:p>
    <w:p w14:paraId="0AE87237" w14:textId="6C0F7DC3" w:rsidR="00B526F2" w:rsidRPr="00345A8A" w:rsidRDefault="00B008B6" w:rsidP="00B008B6">
      <w:pPr>
        <w:spacing w:line="240" w:lineRule="auto"/>
        <w:jc w:val="both"/>
        <w:rPr>
          <w:rFonts w:ascii="Verdana" w:eastAsia="Calibri" w:hAnsi="Verdana" w:cs="Arial"/>
          <w:sz w:val="20"/>
          <w:szCs w:val="20"/>
          <w:lang w:val="es-ES"/>
        </w:rPr>
      </w:pPr>
      <w:r w:rsidRPr="00345A8A">
        <w:rPr>
          <w:rFonts w:ascii="Verdana" w:eastAsia="Calibri" w:hAnsi="Verdana" w:cs="Arial"/>
          <w:sz w:val="20"/>
          <w:szCs w:val="20"/>
          <w:lang w:val="es-ES"/>
        </w:rPr>
        <w:t xml:space="preserve">[…] </w:t>
      </w:r>
      <w:r w:rsidRPr="00345A8A">
        <w:rPr>
          <w:rFonts w:ascii="Verdana" w:eastAsia="Calibri" w:hAnsi="Verdana" w:cs="Arial"/>
          <w:sz w:val="20"/>
          <w:szCs w:val="20"/>
          <w:lang w:val="es-ES"/>
        </w:rPr>
        <w:t xml:space="preserve">según el artículo 7 de la Ley 1150 de </w:t>
      </w:r>
      <w:r w:rsidRPr="00345A8A">
        <w:rPr>
          <w:rFonts w:ascii="Verdana" w:eastAsia="Calibri" w:hAnsi="Verdana" w:cs="Arial"/>
          <w:sz w:val="20"/>
          <w:szCs w:val="20"/>
          <w:lang w:val="es-ES"/>
        </w:rPr>
        <w:t>2007,</w:t>
      </w:r>
      <w:r w:rsidRPr="00345A8A">
        <w:rPr>
          <w:rFonts w:ascii="Verdana" w:eastAsia="Calibri" w:hAnsi="Verdana" w:cs="Arial"/>
          <w:sz w:val="20"/>
          <w:szCs w:val="20"/>
          <w:lang w:val="es-ES"/>
        </w:rPr>
        <w:t xml:space="preserve"> es obligación de los contratistas prestar garantía única para el cumplimiento de las obligaciones. Esta norma se complementa con lo dispuesto por el artículo 41 de la Ley 80 de </w:t>
      </w:r>
      <w:r w:rsidRPr="00345A8A">
        <w:rPr>
          <w:rFonts w:ascii="Verdana" w:eastAsia="Calibri" w:hAnsi="Verdana" w:cs="Arial"/>
          <w:sz w:val="20"/>
          <w:szCs w:val="20"/>
          <w:lang w:val="es-ES"/>
        </w:rPr>
        <w:t>1993,</w:t>
      </w:r>
      <w:r w:rsidRPr="00345A8A">
        <w:rPr>
          <w:rFonts w:ascii="Verdana" w:eastAsia="Calibri" w:hAnsi="Verdana" w:cs="Arial"/>
          <w:sz w:val="20"/>
          <w:szCs w:val="20"/>
          <w:lang w:val="es-ES"/>
        </w:rPr>
        <w:t xml:space="preserve"> según el cual para iniciar la ejecución del contrato se requiere que la entidad apruebe la garantía, en resumen, se requiere que el contratista presente para aprobación la garantía, de lo contrario no se podrá iniciar la ejecución del contrato</w:t>
      </w:r>
      <w:r w:rsidR="00B526F2" w:rsidRPr="00345A8A">
        <w:rPr>
          <w:rFonts w:ascii="Verdana" w:eastAsia="Calibri" w:hAnsi="Verdana" w:cs="Arial"/>
          <w:sz w:val="20"/>
          <w:szCs w:val="20"/>
          <w:lang w:val="es-ES"/>
        </w:rPr>
        <w:t>.</w:t>
      </w:r>
    </w:p>
    <w:p w14:paraId="14B4371D" w14:textId="77777777" w:rsidR="00345A8A" w:rsidRPr="00345A8A" w:rsidRDefault="00345A8A" w:rsidP="00B008B6">
      <w:pPr>
        <w:spacing w:line="240" w:lineRule="auto"/>
        <w:jc w:val="both"/>
        <w:rPr>
          <w:rFonts w:ascii="Verdana" w:eastAsia="Calibri" w:hAnsi="Verdana" w:cs="Arial"/>
          <w:sz w:val="20"/>
          <w:szCs w:val="20"/>
          <w:lang w:val="es-ES"/>
        </w:rPr>
      </w:pPr>
    </w:p>
    <w:p w14:paraId="48706612" w14:textId="752511B1" w:rsidR="00B526F2" w:rsidRPr="00345A8A" w:rsidRDefault="00E15366" w:rsidP="00B526F2">
      <w:pPr>
        <w:spacing w:after="0" w:line="240" w:lineRule="auto"/>
        <w:rPr>
          <w:rFonts w:ascii="Verdana" w:eastAsia="Calibri" w:hAnsi="Verdana" w:cs="Arial"/>
          <w:b/>
          <w:bCs/>
          <w:lang w:val="es-ES" w:eastAsia="es-ES"/>
        </w:rPr>
      </w:pPr>
      <w:r w:rsidRPr="00345A8A">
        <w:rPr>
          <w:rFonts w:ascii="Verdana" w:eastAsia="Calibri" w:hAnsi="Verdana" w:cs="Arial"/>
          <w:b/>
          <w:bCs/>
          <w:lang w:val="es-ES" w:eastAsia="es-ES"/>
        </w:rPr>
        <w:t>GARANTÍAS – Reglamentación – Suficiencia – Ampliación – Aprobación</w:t>
      </w:r>
    </w:p>
    <w:p w14:paraId="6C976E6A" w14:textId="77777777" w:rsidR="007D3E8A" w:rsidRPr="00345A8A" w:rsidRDefault="007D3E8A" w:rsidP="00B526F2">
      <w:pPr>
        <w:spacing w:after="0" w:line="240" w:lineRule="auto"/>
        <w:rPr>
          <w:rFonts w:ascii="Verdana" w:eastAsia="Geomanist Light" w:hAnsi="Verdana" w:cs="Arial"/>
          <w:b/>
          <w:bCs/>
          <w:lang w:val="es-ES"/>
        </w:rPr>
      </w:pPr>
    </w:p>
    <w:p w14:paraId="46551491" w14:textId="00E417D1" w:rsidR="000B5DF0" w:rsidRPr="00345A8A" w:rsidRDefault="000B5DF0" w:rsidP="00B526F2">
      <w:pPr>
        <w:spacing w:after="0" w:line="240" w:lineRule="auto"/>
        <w:jc w:val="both"/>
        <w:rPr>
          <w:rFonts w:ascii="Verdana" w:eastAsia="Calibri" w:hAnsi="Verdana" w:cs="Arial"/>
          <w:sz w:val="20"/>
          <w:szCs w:val="20"/>
        </w:rPr>
      </w:pPr>
      <w:r w:rsidRPr="00345A8A">
        <w:rPr>
          <w:rFonts w:ascii="Verdana" w:eastAsia="Calibri" w:hAnsi="Verdana" w:cs="Arial"/>
          <w:sz w:val="20"/>
          <w:szCs w:val="20"/>
        </w:rPr>
        <w:t>[…]</w:t>
      </w:r>
      <w:r w:rsidRPr="00345A8A">
        <w:rPr>
          <w:rFonts w:ascii="Verdana" w:eastAsia="Calibri" w:hAnsi="Verdana" w:cs="Arial"/>
          <w:sz w:val="20"/>
          <w:szCs w:val="20"/>
        </w:rPr>
        <w:t>están reglamentadas por el Decreto 1082 de 2015, el cual entre sus artículos 2.2.1.2.3.1.1. y 2.2.1.2.3.1.19, se refiere a asuntos como las clases de garantías permitidas, la indivisibilidad de estas, los diferentes riesgos que deben ser objeto de cobertura, la vigencia y valores mínimos que deben cubrir los amparos, entre otros aspectos que debe cumplir las garantías constituidas por los contratistas ya sea a través de pólizas de seguro, garantías bancarías o patrimonios autónomos. Dentro de estas disposiciones se indican los amparos y suficiencias que deben cubrir las garantías, y además se establece de manera expresa que las modificaciones contractuales suponen la ampliación de las garantías.</w:t>
      </w:r>
    </w:p>
    <w:p w14:paraId="5791DA66" w14:textId="77777777" w:rsidR="000B5DF0" w:rsidRPr="00345A8A" w:rsidRDefault="000B5DF0" w:rsidP="00B526F2">
      <w:pPr>
        <w:spacing w:after="0" w:line="240" w:lineRule="auto"/>
        <w:jc w:val="both"/>
        <w:rPr>
          <w:rFonts w:ascii="Verdana" w:eastAsia="Calibri" w:hAnsi="Verdana" w:cs="Arial"/>
          <w:sz w:val="20"/>
          <w:szCs w:val="20"/>
        </w:rPr>
      </w:pPr>
    </w:p>
    <w:p w14:paraId="40B5E5F3" w14:textId="0D1A5075" w:rsidR="000B5DF0" w:rsidRPr="00345A8A" w:rsidRDefault="000B5DF0" w:rsidP="00B526F2">
      <w:pPr>
        <w:spacing w:after="0" w:line="240" w:lineRule="auto"/>
        <w:jc w:val="both"/>
        <w:rPr>
          <w:rFonts w:ascii="Verdana" w:eastAsia="Calibri" w:hAnsi="Verdana" w:cs="Arial"/>
          <w:sz w:val="20"/>
          <w:szCs w:val="20"/>
        </w:rPr>
      </w:pPr>
      <w:r w:rsidRPr="00345A8A">
        <w:rPr>
          <w:rFonts w:ascii="Verdana" w:eastAsia="Calibri" w:hAnsi="Verdana" w:cs="Arial"/>
          <w:sz w:val="20"/>
          <w:szCs w:val="20"/>
        </w:rPr>
        <w:t>[…]</w:t>
      </w:r>
    </w:p>
    <w:p w14:paraId="39426BD6" w14:textId="77777777" w:rsidR="000B5DF0" w:rsidRPr="00345A8A" w:rsidRDefault="000B5DF0" w:rsidP="00B526F2">
      <w:pPr>
        <w:spacing w:after="0" w:line="240" w:lineRule="auto"/>
        <w:jc w:val="both"/>
        <w:rPr>
          <w:rFonts w:ascii="Verdana" w:eastAsia="Calibri" w:hAnsi="Verdana" w:cs="Arial"/>
          <w:sz w:val="20"/>
          <w:szCs w:val="20"/>
          <w:lang w:val="es-ES"/>
        </w:rPr>
      </w:pPr>
    </w:p>
    <w:p w14:paraId="1B08AA1E" w14:textId="75D24673" w:rsidR="00B526F2" w:rsidRPr="00345A8A" w:rsidRDefault="000B5DF0" w:rsidP="00B526F2">
      <w:pPr>
        <w:spacing w:after="0" w:line="240" w:lineRule="auto"/>
        <w:jc w:val="both"/>
        <w:rPr>
          <w:rFonts w:ascii="Verdana" w:eastAsia="Geomanist Light" w:hAnsi="Verdana" w:cs="Arial"/>
          <w:b/>
          <w:bCs/>
          <w:sz w:val="20"/>
          <w:szCs w:val="20"/>
          <w:lang w:val="es-ES"/>
        </w:rPr>
      </w:pPr>
      <w:r w:rsidRPr="00345A8A">
        <w:rPr>
          <w:rFonts w:ascii="Verdana" w:eastAsia="Calibri" w:hAnsi="Verdana" w:cs="Arial"/>
          <w:sz w:val="20"/>
          <w:szCs w:val="20"/>
          <w:lang w:val="es-ES"/>
        </w:rPr>
        <w:t xml:space="preserve">[…] </w:t>
      </w:r>
      <w:r w:rsidR="0076174C" w:rsidRPr="00345A8A">
        <w:rPr>
          <w:rFonts w:ascii="Verdana" w:eastAsia="Calibri" w:hAnsi="Verdana" w:cs="Arial"/>
          <w:sz w:val="20"/>
          <w:szCs w:val="20"/>
          <w:lang w:val="es-ES"/>
        </w:rPr>
        <w:t xml:space="preserve">el contrato estatal, como acto jurídico bilateral, es ley para los contratantes y por regla general no puede ser modificado sino por el consentimiento </w:t>
      </w:r>
      <w:r w:rsidRPr="00345A8A">
        <w:rPr>
          <w:rFonts w:ascii="Verdana" w:eastAsia="Calibri" w:hAnsi="Verdana" w:cs="Arial"/>
          <w:sz w:val="20"/>
          <w:szCs w:val="20"/>
          <w:lang w:val="es-ES"/>
        </w:rPr>
        <w:t>mutuo,</w:t>
      </w:r>
      <w:r w:rsidR="0076174C" w:rsidRPr="00345A8A">
        <w:rPr>
          <w:rFonts w:ascii="Verdana" w:eastAsia="Calibri" w:hAnsi="Verdana" w:cs="Arial"/>
          <w:sz w:val="20"/>
          <w:szCs w:val="20"/>
          <w:lang w:val="es-ES"/>
        </w:rPr>
        <w:t xml:space="preserve"> en ese sentido, cualquier modificación contractual implica un nuevo acuerdo de voluntades, o lo que es lo mismo un contrato, por ello este nuevo contrato requiere garantía para ser ejecutado</w:t>
      </w:r>
      <w:r w:rsidR="00B526F2" w:rsidRPr="00345A8A">
        <w:rPr>
          <w:rFonts w:ascii="Verdana" w:eastAsia="Calibri" w:hAnsi="Verdana" w:cs="Arial"/>
          <w:sz w:val="20"/>
          <w:szCs w:val="20"/>
          <w:lang w:val="es-ES"/>
        </w:rPr>
        <w:t>.</w:t>
      </w:r>
    </w:p>
    <w:p w14:paraId="3749F2F9" w14:textId="77777777" w:rsidR="00E15366" w:rsidRPr="00345A8A" w:rsidRDefault="00E15366" w:rsidP="00E15366">
      <w:pPr>
        <w:spacing w:line="276" w:lineRule="auto"/>
        <w:jc w:val="both"/>
        <w:rPr>
          <w:rFonts w:ascii="Verdana" w:eastAsia="Calibri" w:hAnsi="Verdana" w:cs="Arial"/>
          <w:sz w:val="20"/>
          <w:szCs w:val="20"/>
          <w:lang w:val="es-ES"/>
        </w:rPr>
      </w:pPr>
      <w:r w:rsidRPr="00345A8A">
        <w:rPr>
          <w:rFonts w:ascii="Verdana" w:eastAsia="Calibri" w:hAnsi="Verdana" w:cs="Arial"/>
          <w:sz w:val="20"/>
          <w:szCs w:val="20"/>
          <w:lang w:val="es-ES"/>
        </w:rPr>
        <w:t>de transporte, agua potable-saneamiento básico y social.</w:t>
      </w:r>
    </w:p>
    <w:p w14:paraId="524E4B29" w14:textId="77777777" w:rsidR="00345A8A" w:rsidRPr="00345A8A" w:rsidRDefault="00345A8A" w:rsidP="00E15366">
      <w:pPr>
        <w:spacing w:line="276" w:lineRule="auto"/>
        <w:jc w:val="both"/>
        <w:rPr>
          <w:rFonts w:ascii="Verdana" w:eastAsia="Calibri" w:hAnsi="Verdana" w:cs="Arial"/>
          <w:sz w:val="20"/>
          <w:szCs w:val="20"/>
          <w:lang w:val="es-ES"/>
        </w:rPr>
      </w:pPr>
    </w:p>
    <w:p w14:paraId="2AFB114D" w14:textId="24E45810" w:rsidR="00E15366" w:rsidRPr="00345A8A" w:rsidRDefault="007D3E8A" w:rsidP="00E15366">
      <w:pPr>
        <w:spacing w:after="0" w:line="276" w:lineRule="auto"/>
        <w:jc w:val="both"/>
        <w:rPr>
          <w:rFonts w:ascii="Verdana" w:eastAsia="Calibri" w:hAnsi="Verdana" w:cs="Arial"/>
          <w:b/>
          <w:bCs/>
        </w:rPr>
      </w:pPr>
      <w:r w:rsidRPr="00345A8A">
        <w:rPr>
          <w:rFonts w:ascii="Verdana" w:eastAsia="Calibri" w:hAnsi="Verdana" w:cs="Arial"/>
          <w:b/>
          <w:bCs/>
          <w:lang w:val="es-ES" w:eastAsia="es-ES"/>
        </w:rPr>
        <w:t>MODIFICACIÓN DEL CONTRATO – Adición – Prórroga</w:t>
      </w:r>
      <w:r w:rsidRPr="00345A8A">
        <w:rPr>
          <w:rFonts w:ascii="Verdana" w:eastAsia="Calibri" w:hAnsi="Verdana" w:cs="Arial"/>
          <w:b/>
          <w:bCs/>
          <w:lang w:val="es-ES" w:eastAsia="es-ES"/>
        </w:rPr>
        <w:t xml:space="preserve"> </w:t>
      </w:r>
    </w:p>
    <w:p w14:paraId="7CD37E73" w14:textId="77777777" w:rsidR="00E15366" w:rsidRPr="00345A8A" w:rsidRDefault="00E15366" w:rsidP="00E15366">
      <w:pPr>
        <w:spacing w:after="0" w:line="240" w:lineRule="auto"/>
        <w:rPr>
          <w:rFonts w:ascii="Verdana" w:eastAsia="Geomanist Light" w:hAnsi="Verdana" w:cs="Arial"/>
          <w:b/>
          <w:bCs/>
          <w:lang w:val="es-ES"/>
        </w:rPr>
      </w:pPr>
    </w:p>
    <w:p w14:paraId="32B796D1" w14:textId="7919167B" w:rsidR="00E73673" w:rsidRPr="00345A8A" w:rsidRDefault="00E73673" w:rsidP="00E73673">
      <w:pPr>
        <w:spacing w:line="276" w:lineRule="auto"/>
        <w:jc w:val="both"/>
        <w:rPr>
          <w:rFonts w:ascii="Verdana" w:eastAsia="Calibri" w:hAnsi="Verdana" w:cs="Arial"/>
          <w:sz w:val="20"/>
          <w:szCs w:val="20"/>
          <w:lang w:val="es-ES"/>
        </w:rPr>
      </w:pPr>
      <w:r w:rsidRPr="00345A8A">
        <w:rPr>
          <w:rFonts w:ascii="Verdana" w:eastAsia="Calibri" w:hAnsi="Verdana" w:cs="Arial"/>
          <w:sz w:val="20"/>
          <w:szCs w:val="20"/>
          <w:lang w:val="es-ES"/>
        </w:rPr>
        <w:t xml:space="preserve">[…] </w:t>
      </w:r>
      <w:r w:rsidRPr="00345A8A">
        <w:rPr>
          <w:rFonts w:ascii="Verdana" w:eastAsia="Calibri" w:hAnsi="Verdana" w:cs="Arial"/>
          <w:sz w:val="20"/>
          <w:szCs w:val="20"/>
          <w:lang w:val="es-ES"/>
        </w:rPr>
        <w:t xml:space="preserve">la Sala de Consulta y Servicio del Consejo de Estado, </w:t>
      </w:r>
      <w:r w:rsidRPr="00345A8A">
        <w:rPr>
          <w:rFonts w:ascii="Verdana" w:eastAsia="Calibri" w:hAnsi="Verdana" w:cs="Arial"/>
          <w:sz w:val="20"/>
          <w:szCs w:val="20"/>
          <w:lang w:val="es-ES"/>
        </w:rPr>
        <w:t xml:space="preserve">[…] </w:t>
      </w:r>
      <w:r w:rsidRPr="00345A8A">
        <w:rPr>
          <w:rFonts w:ascii="Verdana" w:eastAsia="Calibri" w:hAnsi="Verdana" w:cs="Arial"/>
          <w:sz w:val="20"/>
          <w:szCs w:val="20"/>
          <w:lang w:val="es-ES"/>
        </w:rPr>
        <w:t xml:space="preserve">señaló respecto de las modificaciones de los contratos: </w:t>
      </w:r>
      <w:r w:rsidRPr="00345A8A">
        <w:rPr>
          <w:rFonts w:ascii="Verdana" w:eastAsia="Calibri" w:hAnsi="Verdana" w:cs="Arial"/>
          <w:i/>
          <w:iCs/>
          <w:sz w:val="20"/>
          <w:szCs w:val="20"/>
          <w:lang w:val="es-ES"/>
        </w:rPr>
        <w:t>“[…] puede afirmarse que la regla general es la no modificación del contrato, y la vía excepcional su modificación, sometida a límites legales. Por lo tanto, una modificación necesaria del contrato, surgida por iniciativa del contratista, del interventor o del supervisor, debe ser aprobada por la entidad que ejerce su dirección general, y cumplir, en forma previa, las mismas formalidades de solemnidad del contrato principal”</w:t>
      </w:r>
      <w:r w:rsidRPr="00345A8A">
        <w:rPr>
          <w:rFonts w:ascii="Verdana" w:eastAsia="Calibri" w:hAnsi="Verdana" w:cs="Arial"/>
          <w:sz w:val="20"/>
          <w:szCs w:val="20"/>
          <w:lang w:val="es-ES"/>
        </w:rPr>
        <w:t>. (Énfasis fuera de texto)</w:t>
      </w:r>
    </w:p>
    <w:p w14:paraId="1112CEA8" w14:textId="17FD5293" w:rsidR="00345A8A" w:rsidRPr="00345A8A" w:rsidRDefault="00E73673" w:rsidP="00E73673">
      <w:pPr>
        <w:spacing w:line="276" w:lineRule="auto"/>
        <w:jc w:val="both"/>
        <w:rPr>
          <w:rFonts w:ascii="Verdana" w:eastAsia="Calibri" w:hAnsi="Verdana" w:cs="Arial"/>
          <w:sz w:val="20"/>
          <w:szCs w:val="20"/>
          <w:lang w:val="es-ES"/>
        </w:rPr>
      </w:pPr>
      <w:r w:rsidRPr="00345A8A">
        <w:rPr>
          <w:rFonts w:ascii="Verdana" w:eastAsia="Calibri" w:hAnsi="Verdana" w:cs="Arial"/>
          <w:sz w:val="20"/>
          <w:szCs w:val="20"/>
          <w:lang w:val="es-ES"/>
        </w:rPr>
        <w:t>En definitiva, es necesario que el contratista amplíe la garantía cuando el contrato se prorroga o se adiciona, ampliación que requiere aprobación por parte de la Entidad Estatal contratante, tal como fue aprobada la garantía del contrato inicial</w:t>
      </w:r>
      <w:r w:rsidR="00E15366" w:rsidRPr="00345A8A">
        <w:rPr>
          <w:rFonts w:ascii="Verdana" w:eastAsia="Calibri" w:hAnsi="Verdana" w:cs="Arial"/>
          <w:sz w:val="20"/>
          <w:szCs w:val="20"/>
          <w:lang w:val="es-ES"/>
        </w:rPr>
        <w:t>.</w:t>
      </w:r>
    </w:p>
    <w:p w14:paraId="365D278A" w14:textId="77777777" w:rsidR="00345A8A" w:rsidRPr="00345A8A" w:rsidRDefault="00345A8A" w:rsidP="00E73673">
      <w:pPr>
        <w:spacing w:line="276" w:lineRule="auto"/>
        <w:jc w:val="both"/>
        <w:rPr>
          <w:rFonts w:ascii="Verdana" w:eastAsia="Calibri" w:hAnsi="Verdana" w:cs="Arial"/>
          <w:sz w:val="20"/>
          <w:szCs w:val="20"/>
          <w:lang w:val="es-ES"/>
        </w:rPr>
      </w:pPr>
    </w:p>
    <w:p w14:paraId="1081481F" w14:textId="40A45F6D" w:rsidR="00E15366" w:rsidRPr="00345A8A" w:rsidRDefault="007D3E8A" w:rsidP="00E15366">
      <w:pPr>
        <w:spacing w:after="0" w:line="276" w:lineRule="auto"/>
        <w:jc w:val="both"/>
        <w:rPr>
          <w:rFonts w:ascii="Verdana" w:eastAsia="Calibri" w:hAnsi="Verdana" w:cs="Arial"/>
          <w:b/>
          <w:bCs/>
        </w:rPr>
      </w:pPr>
      <w:r w:rsidRPr="00345A8A">
        <w:rPr>
          <w:rFonts w:ascii="Verdana" w:eastAsia="Calibri" w:hAnsi="Verdana" w:cs="Arial"/>
          <w:b/>
          <w:bCs/>
          <w:lang w:val="es-ES" w:eastAsia="es-ES"/>
        </w:rPr>
        <w:lastRenderedPageBreak/>
        <w:t xml:space="preserve">DECRETO 1082 DE 2015 – Artículo 2.2.1.2.3.1.18 </w:t>
      </w:r>
    </w:p>
    <w:p w14:paraId="4AB878B8" w14:textId="77777777" w:rsidR="00E15366" w:rsidRPr="00345A8A" w:rsidRDefault="00E15366" w:rsidP="00E15366">
      <w:pPr>
        <w:spacing w:after="0" w:line="240" w:lineRule="auto"/>
        <w:rPr>
          <w:rFonts w:ascii="Verdana" w:eastAsia="Geomanist Light" w:hAnsi="Verdana" w:cs="Arial"/>
          <w:b/>
          <w:bCs/>
          <w:lang w:val="es-ES"/>
        </w:rPr>
      </w:pPr>
    </w:p>
    <w:p w14:paraId="5CD7C015" w14:textId="1C0CBD50" w:rsidR="00E15366" w:rsidRPr="00345A8A" w:rsidRDefault="00345A8A" w:rsidP="00345A8A">
      <w:pPr>
        <w:spacing w:after="0" w:line="240" w:lineRule="auto"/>
        <w:jc w:val="both"/>
        <w:rPr>
          <w:rFonts w:ascii="Verdana" w:eastAsia="Calibri" w:hAnsi="Verdana" w:cs="Arial"/>
          <w:sz w:val="20"/>
          <w:szCs w:val="20"/>
          <w:lang w:val="es-ES"/>
        </w:rPr>
      </w:pPr>
      <w:r w:rsidRPr="00345A8A">
        <w:rPr>
          <w:rFonts w:ascii="Verdana" w:eastAsia="Calibri" w:hAnsi="Verdana" w:cs="Arial"/>
          <w:sz w:val="20"/>
          <w:szCs w:val="20"/>
          <w:lang w:val="es-ES"/>
        </w:rPr>
        <w:t>En cumplimiento del artículo 2.2.1.2.3.1.18. del Decreto 1082 de 2015, solo se le exige al contratista que: i) amplié el valor de la garantía cuando hay una adición, y ii) que amplié su vigencia cuando se modifica el plazo del contrato; y en ninguna de las dos hipótesis es necesario que se modifiquen otras condiciones de la garantía, en consecuencia, si el contratista presentó una póliza y el contrato solamente se amplía o adiciona, no debe modificar ni los riesgos asegurados ni las exclusiones del seguro, sino que solo debe ampliar la vigencia o el valor de la póliza</w:t>
      </w:r>
      <w:r w:rsidR="00E15366" w:rsidRPr="00345A8A">
        <w:rPr>
          <w:rFonts w:ascii="Verdana" w:eastAsia="Calibri" w:hAnsi="Verdana" w:cs="Arial"/>
          <w:sz w:val="20"/>
          <w:szCs w:val="20"/>
          <w:lang w:val="es-ES"/>
        </w:rPr>
        <w:t>.</w:t>
      </w:r>
    </w:p>
    <w:p w14:paraId="0BA2F97C" w14:textId="77777777" w:rsidR="00345D7D" w:rsidRPr="00345A8A" w:rsidRDefault="00345D7D" w:rsidP="0057111F">
      <w:pPr>
        <w:spacing w:after="0" w:line="240" w:lineRule="auto"/>
        <w:rPr>
          <w:rFonts w:ascii="Verdana" w:eastAsia="Calibri" w:hAnsi="Verdana" w:cs="Arial"/>
          <w:b/>
          <w:bCs/>
          <w:lang w:val="es-ES" w:eastAsia="es-ES"/>
        </w:rPr>
      </w:pPr>
    </w:p>
    <w:p w14:paraId="6C12BF5C" w14:textId="77777777" w:rsidR="007D3E8A" w:rsidRPr="00345A8A" w:rsidRDefault="007D3E8A" w:rsidP="0057111F">
      <w:pPr>
        <w:spacing w:after="0" w:line="240" w:lineRule="auto"/>
        <w:rPr>
          <w:rFonts w:ascii="Verdana" w:eastAsia="Calibri" w:hAnsi="Verdana" w:cs="Arial"/>
          <w:b/>
          <w:bCs/>
          <w:lang w:val="es-ES" w:eastAsia="es-ES"/>
        </w:rPr>
      </w:pPr>
    </w:p>
    <w:p w14:paraId="21008168" w14:textId="77777777" w:rsidR="007D3E8A" w:rsidRPr="00345A8A" w:rsidRDefault="007D3E8A" w:rsidP="0057111F">
      <w:pPr>
        <w:spacing w:after="0" w:line="240" w:lineRule="auto"/>
        <w:rPr>
          <w:rFonts w:ascii="Verdana" w:eastAsia="Calibri" w:hAnsi="Verdana" w:cs="Arial"/>
          <w:b/>
          <w:bCs/>
          <w:lang w:val="es-ES" w:eastAsia="es-ES"/>
        </w:rPr>
      </w:pPr>
    </w:p>
    <w:p w14:paraId="336D2EC1" w14:textId="77777777" w:rsidR="007D3E8A" w:rsidRPr="00345A8A" w:rsidRDefault="007D3E8A" w:rsidP="0057111F">
      <w:pPr>
        <w:spacing w:after="0" w:line="240" w:lineRule="auto"/>
        <w:rPr>
          <w:rFonts w:ascii="Verdana" w:eastAsia="Calibri" w:hAnsi="Verdana" w:cs="Arial"/>
          <w:b/>
          <w:bCs/>
          <w:lang w:val="es-ES" w:eastAsia="es-ES"/>
        </w:rPr>
      </w:pPr>
    </w:p>
    <w:p w14:paraId="7A98ADD1" w14:textId="77777777" w:rsidR="007D3E8A" w:rsidRPr="00345A8A" w:rsidRDefault="007D3E8A" w:rsidP="0057111F">
      <w:pPr>
        <w:spacing w:after="0" w:line="240" w:lineRule="auto"/>
        <w:rPr>
          <w:rFonts w:ascii="Verdana" w:eastAsia="Calibri" w:hAnsi="Verdana" w:cs="Arial"/>
          <w:b/>
          <w:bCs/>
          <w:lang w:val="es-ES" w:eastAsia="es-ES"/>
        </w:rPr>
      </w:pPr>
    </w:p>
    <w:p w14:paraId="1B749CCA" w14:textId="77777777" w:rsidR="007D3E8A" w:rsidRDefault="007D3E8A" w:rsidP="0057111F">
      <w:pPr>
        <w:spacing w:after="0" w:line="240" w:lineRule="auto"/>
        <w:rPr>
          <w:rFonts w:ascii="Verdana" w:eastAsia="Calibri" w:hAnsi="Verdana" w:cs="Arial"/>
          <w:b/>
          <w:bCs/>
          <w:color w:val="7030A0"/>
          <w:lang w:val="es-ES" w:eastAsia="es-ES"/>
        </w:rPr>
      </w:pPr>
    </w:p>
    <w:p w14:paraId="65A4AE76" w14:textId="77777777" w:rsidR="007D3E8A" w:rsidRDefault="007D3E8A" w:rsidP="0057111F">
      <w:pPr>
        <w:spacing w:after="0" w:line="240" w:lineRule="auto"/>
        <w:rPr>
          <w:rFonts w:ascii="Verdana" w:eastAsia="Calibri" w:hAnsi="Verdana" w:cs="Arial"/>
          <w:b/>
          <w:bCs/>
          <w:color w:val="7030A0"/>
          <w:lang w:val="es-ES" w:eastAsia="es-ES"/>
        </w:rPr>
      </w:pPr>
    </w:p>
    <w:p w14:paraId="2B809340" w14:textId="77777777" w:rsidR="00345A8A" w:rsidRDefault="00345A8A" w:rsidP="0057111F">
      <w:pPr>
        <w:spacing w:after="0" w:line="240" w:lineRule="auto"/>
        <w:rPr>
          <w:rFonts w:ascii="Verdana" w:eastAsia="Calibri" w:hAnsi="Verdana" w:cs="Arial"/>
          <w:b/>
          <w:bCs/>
          <w:color w:val="7030A0"/>
          <w:lang w:val="es-ES" w:eastAsia="es-ES"/>
        </w:rPr>
      </w:pPr>
    </w:p>
    <w:p w14:paraId="0849BE1A" w14:textId="77777777" w:rsidR="00345A8A" w:rsidRDefault="00345A8A" w:rsidP="0057111F">
      <w:pPr>
        <w:spacing w:after="0" w:line="240" w:lineRule="auto"/>
        <w:rPr>
          <w:rFonts w:ascii="Verdana" w:eastAsia="Calibri" w:hAnsi="Verdana" w:cs="Arial"/>
          <w:b/>
          <w:bCs/>
          <w:color w:val="7030A0"/>
          <w:lang w:val="es-ES" w:eastAsia="es-ES"/>
        </w:rPr>
      </w:pPr>
    </w:p>
    <w:p w14:paraId="1A4A288D" w14:textId="77777777" w:rsidR="00345A8A" w:rsidRDefault="00345A8A" w:rsidP="0057111F">
      <w:pPr>
        <w:spacing w:after="0" w:line="240" w:lineRule="auto"/>
        <w:rPr>
          <w:rFonts w:ascii="Verdana" w:eastAsia="Calibri" w:hAnsi="Verdana" w:cs="Arial"/>
          <w:b/>
          <w:bCs/>
          <w:color w:val="7030A0"/>
          <w:lang w:val="es-ES" w:eastAsia="es-ES"/>
        </w:rPr>
      </w:pPr>
    </w:p>
    <w:p w14:paraId="37045833" w14:textId="77777777" w:rsidR="00345A8A" w:rsidRDefault="00345A8A" w:rsidP="0057111F">
      <w:pPr>
        <w:spacing w:after="0" w:line="240" w:lineRule="auto"/>
        <w:rPr>
          <w:rFonts w:ascii="Verdana" w:eastAsia="Calibri" w:hAnsi="Verdana" w:cs="Arial"/>
          <w:b/>
          <w:bCs/>
          <w:color w:val="7030A0"/>
          <w:lang w:val="es-ES" w:eastAsia="es-ES"/>
        </w:rPr>
      </w:pPr>
    </w:p>
    <w:p w14:paraId="0CE3B757" w14:textId="77777777" w:rsidR="00345A8A" w:rsidRDefault="00345A8A" w:rsidP="0057111F">
      <w:pPr>
        <w:spacing w:after="0" w:line="240" w:lineRule="auto"/>
        <w:rPr>
          <w:rFonts w:ascii="Verdana" w:eastAsia="Calibri" w:hAnsi="Verdana" w:cs="Arial"/>
          <w:b/>
          <w:bCs/>
          <w:color w:val="7030A0"/>
          <w:lang w:val="es-ES" w:eastAsia="es-ES"/>
        </w:rPr>
      </w:pPr>
    </w:p>
    <w:p w14:paraId="0B1E1226" w14:textId="77777777" w:rsidR="00345A8A" w:rsidRDefault="00345A8A" w:rsidP="0057111F">
      <w:pPr>
        <w:spacing w:after="0" w:line="240" w:lineRule="auto"/>
        <w:rPr>
          <w:rFonts w:ascii="Verdana" w:eastAsia="Calibri" w:hAnsi="Verdana" w:cs="Arial"/>
          <w:b/>
          <w:bCs/>
          <w:color w:val="7030A0"/>
          <w:lang w:val="es-ES" w:eastAsia="es-ES"/>
        </w:rPr>
      </w:pPr>
    </w:p>
    <w:p w14:paraId="09AFD78E" w14:textId="77777777" w:rsidR="00345A8A" w:rsidRDefault="00345A8A" w:rsidP="0057111F">
      <w:pPr>
        <w:spacing w:after="0" w:line="240" w:lineRule="auto"/>
        <w:rPr>
          <w:rFonts w:ascii="Verdana" w:eastAsia="Calibri" w:hAnsi="Verdana" w:cs="Arial"/>
          <w:b/>
          <w:bCs/>
          <w:color w:val="7030A0"/>
          <w:lang w:val="es-ES" w:eastAsia="es-ES"/>
        </w:rPr>
      </w:pPr>
    </w:p>
    <w:p w14:paraId="55748C81" w14:textId="77777777" w:rsidR="00345A8A" w:rsidRDefault="00345A8A" w:rsidP="0057111F">
      <w:pPr>
        <w:spacing w:after="0" w:line="240" w:lineRule="auto"/>
        <w:rPr>
          <w:rFonts w:ascii="Verdana" w:eastAsia="Calibri" w:hAnsi="Verdana" w:cs="Arial"/>
          <w:b/>
          <w:bCs/>
          <w:color w:val="7030A0"/>
          <w:lang w:val="es-ES" w:eastAsia="es-ES"/>
        </w:rPr>
      </w:pPr>
    </w:p>
    <w:p w14:paraId="552B65D2" w14:textId="77777777" w:rsidR="00345A8A" w:rsidRDefault="00345A8A" w:rsidP="0057111F">
      <w:pPr>
        <w:spacing w:after="0" w:line="240" w:lineRule="auto"/>
        <w:rPr>
          <w:rFonts w:ascii="Verdana" w:eastAsia="Calibri" w:hAnsi="Verdana" w:cs="Arial"/>
          <w:b/>
          <w:bCs/>
          <w:color w:val="7030A0"/>
          <w:lang w:val="es-ES" w:eastAsia="es-ES"/>
        </w:rPr>
      </w:pPr>
    </w:p>
    <w:p w14:paraId="51D85C36" w14:textId="77777777" w:rsidR="00345A8A" w:rsidRDefault="00345A8A" w:rsidP="0057111F">
      <w:pPr>
        <w:spacing w:after="0" w:line="240" w:lineRule="auto"/>
        <w:rPr>
          <w:rFonts w:ascii="Verdana" w:eastAsia="Calibri" w:hAnsi="Verdana" w:cs="Arial"/>
          <w:b/>
          <w:bCs/>
          <w:color w:val="7030A0"/>
          <w:lang w:val="es-ES" w:eastAsia="es-ES"/>
        </w:rPr>
      </w:pPr>
    </w:p>
    <w:p w14:paraId="31EA108E" w14:textId="77777777" w:rsidR="00345A8A" w:rsidRDefault="00345A8A" w:rsidP="0057111F">
      <w:pPr>
        <w:spacing w:after="0" w:line="240" w:lineRule="auto"/>
        <w:rPr>
          <w:rFonts w:ascii="Verdana" w:eastAsia="Calibri" w:hAnsi="Verdana" w:cs="Arial"/>
          <w:b/>
          <w:bCs/>
          <w:color w:val="7030A0"/>
          <w:lang w:val="es-ES" w:eastAsia="es-ES"/>
        </w:rPr>
      </w:pPr>
    </w:p>
    <w:p w14:paraId="734253D2" w14:textId="77777777" w:rsidR="00345A8A" w:rsidRDefault="00345A8A" w:rsidP="0057111F">
      <w:pPr>
        <w:spacing w:after="0" w:line="240" w:lineRule="auto"/>
        <w:rPr>
          <w:rFonts w:ascii="Verdana" w:eastAsia="Calibri" w:hAnsi="Verdana" w:cs="Arial"/>
          <w:b/>
          <w:bCs/>
          <w:color w:val="7030A0"/>
          <w:lang w:val="es-ES" w:eastAsia="es-ES"/>
        </w:rPr>
      </w:pPr>
    </w:p>
    <w:p w14:paraId="789C6911" w14:textId="77777777" w:rsidR="00345A8A" w:rsidRDefault="00345A8A" w:rsidP="0057111F">
      <w:pPr>
        <w:spacing w:after="0" w:line="240" w:lineRule="auto"/>
        <w:rPr>
          <w:rFonts w:ascii="Verdana" w:eastAsia="Calibri" w:hAnsi="Verdana" w:cs="Arial"/>
          <w:b/>
          <w:bCs/>
          <w:color w:val="7030A0"/>
          <w:lang w:val="es-ES" w:eastAsia="es-ES"/>
        </w:rPr>
      </w:pPr>
    </w:p>
    <w:p w14:paraId="41D9C831" w14:textId="77777777" w:rsidR="00345A8A" w:rsidRDefault="00345A8A" w:rsidP="0057111F">
      <w:pPr>
        <w:spacing w:after="0" w:line="240" w:lineRule="auto"/>
        <w:rPr>
          <w:rFonts w:ascii="Verdana" w:eastAsia="Calibri" w:hAnsi="Verdana" w:cs="Arial"/>
          <w:b/>
          <w:bCs/>
          <w:color w:val="7030A0"/>
          <w:lang w:val="es-ES" w:eastAsia="es-ES"/>
        </w:rPr>
      </w:pPr>
    </w:p>
    <w:p w14:paraId="224AFE13" w14:textId="77777777" w:rsidR="00345A8A" w:rsidRDefault="00345A8A" w:rsidP="0057111F">
      <w:pPr>
        <w:spacing w:after="0" w:line="240" w:lineRule="auto"/>
        <w:rPr>
          <w:rFonts w:ascii="Verdana" w:eastAsia="Calibri" w:hAnsi="Verdana" w:cs="Arial"/>
          <w:b/>
          <w:bCs/>
          <w:color w:val="7030A0"/>
          <w:lang w:val="es-ES" w:eastAsia="es-ES"/>
        </w:rPr>
      </w:pPr>
    </w:p>
    <w:p w14:paraId="0F37D3A4" w14:textId="77777777" w:rsidR="00345A8A" w:rsidRDefault="00345A8A" w:rsidP="0057111F">
      <w:pPr>
        <w:spacing w:after="0" w:line="240" w:lineRule="auto"/>
        <w:rPr>
          <w:rFonts w:ascii="Verdana" w:eastAsia="Calibri" w:hAnsi="Verdana" w:cs="Arial"/>
          <w:b/>
          <w:bCs/>
          <w:color w:val="7030A0"/>
          <w:lang w:val="es-ES" w:eastAsia="es-ES"/>
        </w:rPr>
      </w:pPr>
    </w:p>
    <w:p w14:paraId="17187CC0" w14:textId="77777777" w:rsidR="00345A8A" w:rsidRDefault="00345A8A" w:rsidP="0057111F">
      <w:pPr>
        <w:spacing w:after="0" w:line="240" w:lineRule="auto"/>
        <w:rPr>
          <w:rFonts w:ascii="Verdana" w:eastAsia="Calibri" w:hAnsi="Verdana" w:cs="Arial"/>
          <w:b/>
          <w:bCs/>
          <w:color w:val="7030A0"/>
          <w:lang w:val="es-ES" w:eastAsia="es-ES"/>
        </w:rPr>
      </w:pPr>
    </w:p>
    <w:p w14:paraId="5EAD6807" w14:textId="77777777" w:rsidR="00345A8A" w:rsidRDefault="00345A8A" w:rsidP="0057111F">
      <w:pPr>
        <w:spacing w:after="0" w:line="240" w:lineRule="auto"/>
        <w:rPr>
          <w:rFonts w:ascii="Verdana" w:eastAsia="Calibri" w:hAnsi="Verdana" w:cs="Arial"/>
          <w:b/>
          <w:bCs/>
          <w:color w:val="7030A0"/>
          <w:lang w:val="es-ES" w:eastAsia="es-ES"/>
        </w:rPr>
      </w:pPr>
    </w:p>
    <w:p w14:paraId="77230A44" w14:textId="77777777" w:rsidR="00345A8A" w:rsidRDefault="00345A8A" w:rsidP="0057111F">
      <w:pPr>
        <w:spacing w:after="0" w:line="240" w:lineRule="auto"/>
        <w:rPr>
          <w:rFonts w:ascii="Verdana" w:eastAsia="Calibri" w:hAnsi="Verdana" w:cs="Arial"/>
          <w:b/>
          <w:bCs/>
          <w:color w:val="7030A0"/>
          <w:lang w:val="es-ES" w:eastAsia="es-ES"/>
        </w:rPr>
      </w:pPr>
    </w:p>
    <w:p w14:paraId="405C3A27" w14:textId="77777777" w:rsidR="00345A8A" w:rsidRDefault="00345A8A" w:rsidP="0057111F">
      <w:pPr>
        <w:spacing w:after="0" w:line="240" w:lineRule="auto"/>
        <w:rPr>
          <w:rFonts w:ascii="Verdana" w:eastAsia="Calibri" w:hAnsi="Verdana" w:cs="Arial"/>
          <w:b/>
          <w:bCs/>
          <w:color w:val="7030A0"/>
          <w:lang w:val="es-ES" w:eastAsia="es-ES"/>
        </w:rPr>
      </w:pPr>
    </w:p>
    <w:p w14:paraId="1BBEBB11" w14:textId="77777777" w:rsidR="00345A8A" w:rsidRDefault="00345A8A" w:rsidP="0057111F">
      <w:pPr>
        <w:spacing w:after="0" w:line="240" w:lineRule="auto"/>
        <w:rPr>
          <w:rFonts w:ascii="Verdana" w:eastAsia="Calibri" w:hAnsi="Verdana" w:cs="Arial"/>
          <w:b/>
          <w:bCs/>
          <w:color w:val="7030A0"/>
          <w:lang w:val="es-ES" w:eastAsia="es-ES"/>
        </w:rPr>
      </w:pPr>
    </w:p>
    <w:p w14:paraId="51EAA20E" w14:textId="77777777" w:rsidR="00345A8A" w:rsidRDefault="00345A8A" w:rsidP="0057111F">
      <w:pPr>
        <w:spacing w:after="0" w:line="240" w:lineRule="auto"/>
        <w:rPr>
          <w:rFonts w:ascii="Verdana" w:eastAsia="Calibri" w:hAnsi="Verdana" w:cs="Arial"/>
          <w:b/>
          <w:bCs/>
          <w:color w:val="7030A0"/>
          <w:lang w:val="es-ES" w:eastAsia="es-ES"/>
        </w:rPr>
      </w:pPr>
    </w:p>
    <w:p w14:paraId="0F214000" w14:textId="77777777" w:rsidR="00345A8A" w:rsidRDefault="00345A8A" w:rsidP="0057111F">
      <w:pPr>
        <w:spacing w:after="0" w:line="240" w:lineRule="auto"/>
        <w:rPr>
          <w:rFonts w:ascii="Verdana" w:eastAsia="Calibri" w:hAnsi="Verdana" w:cs="Arial"/>
          <w:b/>
          <w:bCs/>
          <w:color w:val="7030A0"/>
          <w:lang w:val="es-ES" w:eastAsia="es-ES"/>
        </w:rPr>
      </w:pPr>
    </w:p>
    <w:p w14:paraId="7D89EDEC" w14:textId="77777777" w:rsidR="00345A8A" w:rsidRDefault="00345A8A" w:rsidP="0057111F">
      <w:pPr>
        <w:spacing w:after="0" w:line="240" w:lineRule="auto"/>
        <w:rPr>
          <w:rFonts w:ascii="Verdana" w:eastAsia="Calibri" w:hAnsi="Verdana" w:cs="Arial"/>
          <w:b/>
          <w:bCs/>
          <w:color w:val="7030A0"/>
          <w:lang w:val="es-ES" w:eastAsia="es-ES"/>
        </w:rPr>
      </w:pPr>
    </w:p>
    <w:p w14:paraId="6047F8C8" w14:textId="77777777" w:rsidR="00345A8A" w:rsidRDefault="00345A8A" w:rsidP="0057111F">
      <w:pPr>
        <w:spacing w:after="0" w:line="240" w:lineRule="auto"/>
        <w:rPr>
          <w:rFonts w:ascii="Verdana" w:eastAsia="Calibri" w:hAnsi="Verdana" w:cs="Arial"/>
          <w:b/>
          <w:bCs/>
          <w:color w:val="7030A0"/>
          <w:lang w:val="es-ES" w:eastAsia="es-ES"/>
        </w:rPr>
      </w:pPr>
    </w:p>
    <w:p w14:paraId="176B3C33" w14:textId="77777777" w:rsidR="00345A8A" w:rsidRDefault="00345A8A" w:rsidP="0057111F">
      <w:pPr>
        <w:spacing w:after="0" w:line="240" w:lineRule="auto"/>
        <w:rPr>
          <w:rFonts w:ascii="Verdana" w:eastAsia="Calibri" w:hAnsi="Verdana" w:cs="Arial"/>
          <w:b/>
          <w:bCs/>
          <w:color w:val="7030A0"/>
          <w:lang w:val="es-ES" w:eastAsia="es-ES"/>
        </w:rPr>
      </w:pPr>
    </w:p>
    <w:p w14:paraId="4AC81779" w14:textId="77777777" w:rsidR="00345A8A" w:rsidRDefault="00345A8A" w:rsidP="0057111F">
      <w:pPr>
        <w:spacing w:after="0" w:line="240" w:lineRule="auto"/>
        <w:rPr>
          <w:rFonts w:ascii="Verdana" w:eastAsia="Calibri" w:hAnsi="Verdana" w:cs="Arial"/>
          <w:b/>
          <w:bCs/>
          <w:color w:val="7030A0"/>
          <w:lang w:val="es-ES" w:eastAsia="es-ES"/>
        </w:rPr>
      </w:pPr>
    </w:p>
    <w:p w14:paraId="349BFB9F" w14:textId="77777777" w:rsidR="007D3E8A" w:rsidRDefault="007D3E8A" w:rsidP="0057111F">
      <w:pPr>
        <w:spacing w:after="0" w:line="240" w:lineRule="auto"/>
        <w:rPr>
          <w:rFonts w:ascii="Verdana" w:eastAsia="Calibri" w:hAnsi="Verdana" w:cs="Arial"/>
          <w:b/>
          <w:bCs/>
          <w:color w:val="7030A0"/>
          <w:lang w:val="es-ES" w:eastAsia="es-ES"/>
        </w:rPr>
      </w:pPr>
    </w:p>
    <w:p w14:paraId="2450989A" w14:textId="77777777" w:rsidR="007D3E8A" w:rsidRDefault="007D3E8A" w:rsidP="0057111F">
      <w:pPr>
        <w:spacing w:after="0" w:line="240" w:lineRule="auto"/>
        <w:rPr>
          <w:rFonts w:ascii="Verdana" w:eastAsia="Geomanist Light" w:hAnsi="Verdana" w:cs="Arial"/>
          <w:color w:val="000000" w:themeColor="text1"/>
          <w:lang w:val="es-MX"/>
        </w:rPr>
      </w:pPr>
    </w:p>
    <w:p w14:paraId="5617C9A3" w14:textId="2F3E7F36" w:rsidR="0057111F" w:rsidRPr="006A288A" w:rsidRDefault="0057111F" w:rsidP="0057111F">
      <w:pPr>
        <w:spacing w:after="0" w:line="240" w:lineRule="auto"/>
        <w:rPr>
          <w:rFonts w:ascii="Verdana" w:eastAsia="Geomanist Light" w:hAnsi="Verdana" w:cs="Arial"/>
          <w:color w:val="201F1E"/>
          <w:lang w:val="es-MX"/>
        </w:rPr>
      </w:pPr>
      <w:r w:rsidRPr="006A288A">
        <w:rPr>
          <w:rFonts w:ascii="Verdana" w:eastAsia="Geomanist Light" w:hAnsi="Verdana" w:cs="Arial"/>
          <w:color w:val="000000" w:themeColor="text1"/>
          <w:lang w:val="es-MX"/>
        </w:rPr>
        <w:lastRenderedPageBreak/>
        <w:t>Bogotá D.C., </w:t>
      </w:r>
      <w:r w:rsidR="00345D7D">
        <w:rPr>
          <w:rFonts w:ascii="Verdana" w:eastAsia="Geomanist Light" w:hAnsi="Verdana" w:cs="Arial"/>
          <w:color w:val="201F1E"/>
          <w:lang w:val="es-MX"/>
        </w:rPr>
        <w:t>5</w:t>
      </w:r>
      <w:r w:rsidRPr="006A288A">
        <w:rPr>
          <w:rFonts w:ascii="Verdana" w:eastAsia="Geomanist Light" w:hAnsi="Verdana" w:cs="Arial"/>
          <w:color w:val="201F1E"/>
          <w:lang w:val="es-MX"/>
        </w:rPr>
        <w:t xml:space="preserve"> de </w:t>
      </w:r>
      <w:r w:rsidR="003113FD">
        <w:rPr>
          <w:rFonts w:ascii="Verdana" w:eastAsia="Geomanist Light" w:hAnsi="Verdana" w:cs="Arial"/>
          <w:color w:val="201F1E"/>
          <w:lang w:val="es-MX"/>
        </w:rPr>
        <w:t xml:space="preserve">Agosto </w:t>
      </w:r>
      <w:r w:rsidRPr="006A288A">
        <w:rPr>
          <w:rFonts w:ascii="Verdana" w:eastAsia="Geomanist Light" w:hAnsi="Verdana" w:cs="Arial"/>
          <w:color w:val="201F1E"/>
          <w:lang w:val="es-MX"/>
        </w:rPr>
        <w:t xml:space="preserve">de </w:t>
      </w:r>
      <w:r w:rsidR="003113FD">
        <w:rPr>
          <w:rFonts w:ascii="Verdana" w:eastAsia="Geomanist Light" w:hAnsi="Verdana" w:cs="Arial"/>
          <w:color w:val="201F1E"/>
          <w:lang w:val="es-MX"/>
        </w:rPr>
        <w:t>2024</w:t>
      </w:r>
    </w:p>
    <w:p w14:paraId="699F5591" w14:textId="24747D4A" w:rsidR="0057111F" w:rsidRPr="006A288A" w:rsidRDefault="008E1987" w:rsidP="0057111F">
      <w:pPr>
        <w:spacing w:after="0" w:line="240" w:lineRule="auto"/>
        <w:jc w:val="both"/>
        <w:rPr>
          <w:rFonts w:ascii="Verdana" w:eastAsia="Calibri" w:hAnsi="Verdana" w:cs="Arial"/>
          <w:color w:val="000000"/>
          <w:lang w:val="es-ES"/>
        </w:rPr>
      </w:pPr>
      <w:r w:rsidRPr="008E1987">
        <w:rPr>
          <w:rStyle w:val="Hipervnculo"/>
          <w:rFonts w:ascii="Verdana" w:eastAsia="Calibri" w:hAnsi="Verdana" w:cs="Arial"/>
          <w:lang w:val="es-ES" w:eastAsia="es-ES"/>
        </w:rPr>
        <w:drawing>
          <wp:anchor distT="0" distB="0" distL="114300" distR="114300" simplePos="0" relativeHeight="251658240" behindDoc="0" locked="0" layoutInCell="1" allowOverlap="1" wp14:anchorId="3FA47054" wp14:editId="23F7578D">
            <wp:simplePos x="0" y="0"/>
            <wp:positionH relativeFrom="margin">
              <wp:align>right</wp:align>
            </wp:positionH>
            <wp:positionV relativeFrom="paragraph">
              <wp:posOffset>12065</wp:posOffset>
            </wp:positionV>
            <wp:extent cx="3286125" cy="942975"/>
            <wp:effectExtent l="0" t="0" r="9525" b="9525"/>
            <wp:wrapNone/>
            <wp:docPr id="191017060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170604"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286125" cy="942975"/>
                    </a:xfrm>
                    <a:prstGeom prst="rect">
                      <a:avLst/>
                    </a:prstGeom>
                  </pic:spPr>
                </pic:pic>
              </a:graphicData>
            </a:graphic>
          </wp:anchor>
        </w:drawing>
      </w:r>
    </w:p>
    <w:p w14:paraId="20A29656" w14:textId="77777777" w:rsidR="0057111F" w:rsidRPr="006A288A" w:rsidRDefault="0057111F" w:rsidP="0057111F">
      <w:pPr>
        <w:spacing w:after="0" w:line="240" w:lineRule="auto"/>
        <w:jc w:val="both"/>
        <w:rPr>
          <w:rFonts w:ascii="Verdana" w:eastAsia="Calibri" w:hAnsi="Verdana" w:cs="Arial"/>
          <w:lang w:val="es-ES" w:eastAsia="es-ES"/>
        </w:rPr>
      </w:pPr>
      <w:r w:rsidRPr="006A288A">
        <w:rPr>
          <w:rFonts w:ascii="Verdana" w:eastAsia="Calibri" w:hAnsi="Verdana" w:cs="Arial"/>
          <w:lang w:val="es-ES" w:eastAsia="es-ES"/>
        </w:rPr>
        <w:t>Señor(a)</w:t>
      </w:r>
    </w:p>
    <w:p w14:paraId="186E21FC" w14:textId="6B7952E3" w:rsidR="0057111F" w:rsidRPr="006A288A" w:rsidRDefault="0057111F" w:rsidP="0057111F">
      <w:pPr>
        <w:spacing w:after="0" w:line="240" w:lineRule="auto"/>
        <w:rPr>
          <w:rFonts w:ascii="Verdana" w:eastAsia="Calibri" w:hAnsi="Verdana" w:cs="Arial"/>
          <w:b/>
          <w:lang w:val="es-ES_tradnl" w:eastAsia="es-ES_tradnl"/>
        </w:rPr>
      </w:pPr>
      <w:r w:rsidRPr="006A288A">
        <w:rPr>
          <w:rFonts w:ascii="Verdana" w:eastAsia="Calibri" w:hAnsi="Verdana" w:cs="Arial"/>
          <w:b/>
          <w:lang w:val="es-ES_tradnl" w:eastAsia="es-ES_tradnl"/>
        </w:rPr>
        <w:t>Peticionario</w:t>
      </w:r>
    </w:p>
    <w:p w14:paraId="541A71A0" w14:textId="6677FEBD" w:rsidR="0057111F" w:rsidRPr="00345A8A" w:rsidRDefault="008F5145" w:rsidP="0057111F">
      <w:pPr>
        <w:spacing w:after="0" w:line="240" w:lineRule="auto"/>
        <w:rPr>
          <w:rFonts w:ascii="Verdana" w:eastAsia="Calibri" w:hAnsi="Verdana" w:cs="Arial"/>
          <w:color w:val="4472C4" w:themeColor="accent1"/>
          <w:u w:val="single"/>
          <w:lang w:val="es-ES" w:eastAsia="es-ES"/>
        </w:rPr>
      </w:pPr>
      <w:hyperlink r:id="rId12" w:history="1">
        <w:r w:rsidR="0057111F" w:rsidRPr="00345A8A">
          <w:rPr>
            <w:rStyle w:val="Hipervnculo"/>
            <w:rFonts w:ascii="Verdana" w:eastAsia="Calibri" w:hAnsi="Verdana" w:cs="Arial"/>
            <w:color w:val="4472C4" w:themeColor="accent1"/>
            <w:lang w:val="es-ES" w:eastAsia="es-ES"/>
          </w:rPr>
          <w:t>jhonvega.2058@gmail.com</w:t>
        </w:r>
      </w:hyperlink>
    </w:p>
    <w:p w14:paraId="24BE293B" w14:textId="1911CDEE" w:rsidR="0057111F" w:rsidRDefault="0057111F" w:rsidP="0057111F">
      <w:pPr>
        <w:spacing w:after="0" w:line="240" w:lineRule="auto"/>
        <w:rPr>
          <w:rFonts w:ascii="Verdana" w:eastAsia="Calibri" w:hAnsi="Verdana" w:cs="Arial"/>
          <w:b/>
          <w:bCs/>
          <w:lang w:val="es-ES" w:eastAsia="es-ES"/>
        </w:rPr>
      </w:pPr>
      <w:r w:rsidRPr="006A288A">
        <w:rPr>
          <w:rFonts w:ascii="Verdana" w:eastAsia="Calibri" w:hAnsi="Verdana" w:cs="Arial"/>
          <w:lang w:val="es-ES" w:eastAsia="es-ES"/>
        </w:rPr>
        <w:t>Ciudad</w:t>
      </w:r>
    </w:p>
    <w:p w14:paraId="7410D6BF" w14:textId="77777777" w:rsidR="00EA0611" w:rsidRPr="00EA0611" w:rsidRDefault="00EA0611" w:rsidP="0057111F">
      <w:pPr>
        <w:spacing w:after="0" w:line="240" w:lineRule="auto"/>
        <w:rPr>
          <w:rFonts w:ascii="Verdana" w:eastAsia="Calibri" w:hAnsi="Verdana" w:cs="Arial"/>
          <w:b/>
          <w:bCs/>
          <w:lang w:val="es-ES"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7111F" w:rsidRPr="00FC4A16" w14:paraId="0D3337E4" w14:textId="77777777" w:rsidTr="00CC764E">
        <w:trPr>
          <w:trHeight w:val="884"/>
        </w:trPr>
        <w:tc>
          <w:tcPr>
            <w:tcW w:w="2689" w:type="dxa"/>
          </w:tcPr>
          <w:p w14:paraId="2E4085CA" w14:textId="77777777" w:rsidR="0057111F" w:rsidRPr="00FC4A16" w:rsidRDefault="0057111F" w:rsidP="00CC764E">
            <w:pPr>
              <w:jc w:val="both"/>
              <w:rPr>
                <w:rFonts w:ascii="Verdana" w:eastAsia="Calibri" w:hAnsi="Verdana" w:cs="Arial"/>
                <w:b/>
                <w:bCs/>
                <w:lang w:val="es-ES_tradnl" w:eastAsia="es-ES_tradnl"/>
              </w:rPr>
            </w:pPr>
          </w:p>
        </w:tc>
        <w:tc>
          <w:tcPr>
            <w:tcW w:w="6100" w:type="dxa"/>
          </w:tcPr>
          <w:p w14:paraId="7C59698D" w14:textId="77777777" w:rsidR="0057111F" w:rsidRPr="00FC4A16" w:rsidRDefault="0057111F" w:rsidP="00CC764E">
            <w:pPr>
              <w:jc w:val="both"/>
              <w:rPr>
                <w:rFonts w:ascii="Verdana" w:eastAsia="Calibri" w:hAnsi="Verdana" w:cs="Arial"/>
                <w:b/>
                <w:bCs/>
                <w:lang w:val="es-ES" w:eastAsia="es-ES"/>
              </w:rPr>
            </w:pPr>
            <w:r w:rsidRPr="00FC4A16">
              <w:rPr>
                <w:rFonts w:ascii="Verdana" w:eastAsia="Calibri" w:hAnsi="Verdana" w:cs="Arial"/>
                <w:b/>
                <w:bCs/>
                <w:lang w:val="es-ES" w:eastAsia="es-ES"/>
              </w:rPr>
              <w:t>Concepto C-209 de 2024</w:t>
            </w:r>
          </w:p>
        </w:tc>
      </w:tr>
      <w:tr w:rsidR="0057111F" w:rsidRPr="00FC4A16" w14:paraId="420FCECE" w14:textId="77777777" w:rsidTr="00CC764E">
        <w:trPr>
          <w:trHeight w:val="884"/>
        </w:trPr>
        <w:tc>
          <w:tcPr>
            <w:tcW w:w="2689" w:type="dxa"/>
          </w:tcPr>
          <w:p w14:paraId="00F3EE70" w14:textId="77777777" w:rsidR="0057111F" w:rsidRPr="00FC4A16" w:rsidRDefault="0057111F" w:rsidP="00CC764E">
            <w:pPr>
              <w:jc w:val="both"/>
              <w:rPr>
                <w:rFonts w:ascii="Verdana" w:eastAsia="Calibri" w:hAnsi="Verdana" w:cs="Arial"/>
                <w:lang w:val="es-ES_tradnl" w:eastAsia="es-ES_tradnl"/>
              </w:rPr>
            </w:pPr>
            <w:r w:rsidRPr="00FC4A16">
              <w:rPr>
                <w:rFonts w:ascii="Verdana" w:eastAsia="Calibri" w:hAnsi="Verdana" w:cs="Arial"/>
                <w:b/>
                <w:lang w:val="es-ES_tradnl" w:eastAsia="es-ES_tradnl"/>
              </w:rPr>
              <w:t>Temas:</w:t>
            </w:r>
            <w:r w:rsidRPr="00FC4A16">
              <w:rPr>
                <w:rFonts w:ascii="Verdana" w:eastAsia="Calibri" w:hAnsi="Verdana" w:cs="Arial"/>
                <w:lang w:val="es-ES_tradnl" w:eastAsia="es-ES_tradnl"/>
              </w:rPr>
              <w:t xml:space="preserve">                   </w:t>
            </w:r>
          </w:p>
        </w:tc>
        <w:tc>
          <w:tcPr>
            <w:tcW w:w="6100" w:type="dxa"/>
          </w:tcPr>
          <w:p w14:paraId="290EF28A" w14:textId="1A1B1186" w:rsidR="0057111F" w:rsidRPr="00FC4A16" w:rsidRDefault="0057111F" w:rsidP="00CC764E">
            <w:pPr>
              <w:spacing w:line="276" w:lineRule="auto"/>
              <w:jc w:val="both"/>
              <w:rPr>
                <w:rFonts w:ascii="Verdana" w:eastAsia="Calibri" w:hAnsi="Verdana" w:cs="Arial"/>
                <w:lang w:val="es-ES" w:eastAsia="es-ES"/>
              </w:rPr>
            </w:pPr>
            <w:r w:rsidRPr="00FC4A16">
              <w:rPr>
                <w:rFonts w:ascii="Verdana" w:eastAsia="Calibri" w:hAnsi="Verdana" w:cs="Arial"/>
                <w:lang w:val="es-ES" w:eastAsia="es-ES"/>
              </w:rPr>
              <w:t>GARANTÍAS – Fundamento normativo –</w:t>
            </w:r>
            <w:r w:rsidR="00725A3D">
              <w:rPr>
                <w:rFonts w:ascii="Verdana" w:eastAsia="Calibri" w:hAnsi="Verdana" w:cs="Arial"/>
                <w:lang w:val="es-ES" w:eastAsia="es-ES"/>
              </w:rPr>
              <w:t xml:space="preserve"> </w:t>
            </w:r>
            <w:r w:rsidRPr="00FC4A16">
              <w:rPr>
                <w:rFonts w:ascii="Verdana" w:eastAsia="Calibri" w:hAnsi="Verdana" w:cs="Arial"/>
                <w:lang w:val="es-ES" w:eastAsia="es-ES"/>
              </w:rPr>
              <w:t xml:space="preserve">Requisito de ejecución / GARANTÍAS – Reglamentación – Suficiencia – Ampliación – Aprobación / MODIFICACIÓN DEL CONTRATO – Adición – Prórroga </w:t>
            </w:r>
            <w:r w:rsidR="00C355CA">
              <w:rPr>
                <w:rFonts w:ascii="Verdana" w:eastAsia="Calibri" w:hAnsi="Verdana" w:cs="Arial"/>
                <w:lang w:val="es-ES" w:eastAsia="es-ES"/>
              </w:rPr>
              <w:t xml:space="preserve">/ DECRETO 1082 DE 2015 – Artículo </w:t>
            </w:r>
            <w:r w:rsidR="00C355CA" w:rsidRPr="004C56EC">
              <w:rPr>
                <w:rFonts w:ascii="Verdana" w:eastAsia="Calibri" w:hAnsi="Verdana" w:cs="Arial"/>
                <w:lang w:val="es-ES"/>
              </w:rPr>
              <w:t>2.2.1.2.3.1.18</w:t>
            </w:r>
            <w:r w:rsidR="00C355CA">
              <w:rPr>
                <w:rFonts w:ascii="Verdana" w:eastAsia="Calibri" w:hAnsi="Verdana" w:cs="Arial"/>
                <w:lang w:val="es-ES"/>
              </w:rPr>
              <w:t xml:space="preserve"> </w:t>
            </w:r>
          </w:p>
          <w:p w14:paraId="3D7B6649" w14:textId="77777777" w:rsidR="0057111F" w:rsidRPr="00FC4A16" w:rsidRDefault="0057111F" w:rsidP="00CC764E">
            <w:pPr>
              <w:spacing w:line="276" w:lineRule="auto"/>
              <w:jc w:val="both"/>
              <w:rPr>
                <w:rFonts w:ascii="Verdana" w:eastAsia="Calibri" w:hAnsi="Verdana" w:cs="Arial"/>
                <w:lang w:val="es-ES" w:eastAsia="es-ES"/>
              </w:rPr>
            </w:pPr>
          </w:p>
        </w:tc>
      </w:tr>
      <w:tr w:rsidR="0057111F" w:rsidRPr="00FC4A16" w14:paraId="09B32EAD" w14:textId="77777777" w:rsidTr="00CC764E">
        <w:tc>
          <w:tcPr>
            <w:tcW w:w="2689" w:type="dxa"/>
          </w:tcPr>
          <w:p w14:paraId="737D938B" w14:textId="77777777" w:rsidR="0057111F" w:rsidRPr="00FC4A16" w:rsidRDefault="0057111F" w:rsidP="00CC764E">
            <w:pPr>
              <w:jc w:val="both"/>
              <w:rPr>
                <w:rFonts w:ascii="Verdana" w:eastAsia="Calibri" w:hAnsi="Verdana" w:cs="Arial"/>
                <w:b/>
                <w:lang w:val="es-ES_tradnl" w:eastAsia="es-ES_tradnl"/>
              </w:rPr>
            </w:pPr>
            <w:r w:rsidRPr="00FC4A16">
              <w:rPr>
                <w:rFonts w:ascii="Verdana" w:eastAsia="Calibri" w:hAnsi="Verdana" w:cs="Arial"/>
                <w:b/>
                <w:lang w:val="es-ES_tradnl" w:eastAsia="es-ES_tradnl"/>
              </w:rPr>
              <w:t>Radicación:</w:t>
            </w:r>
            <w:r w:rsidRPr="00FC4A16">
              <w:rPr>
                <w:rFonts w:ascii="Verdana" w:eastAsia="Calibri" w:hAnsi="Verdana" w:cs="Arial"/>
                <w:lang w:val="es-ES_tradnl" w:eastAsia="es-ES_tradnl"/>
              </w:rPr>
              <w:t xml:space="preserve">               </w:t>
            </w:r>
          </w:p>
        </w:tc>
        <w:tc>
          <w:tcPr>
            <w:tcW w:w="6100" w:type="dxa"/>
          </w:tcPr>
          <w:p w14:paraId="33922C1D" w14:textId="77777777" w:rsidR="0057111F" w:rsidRPr="00FC4A16" w:rsidRDefault="0057111F" w:rsidP="00CC764E">
            <w:pPr>
              <w:jc w:val="both"/>
              <w:rPr>
                <w:rFonts w:ascii="Verdana" w:eastAsia="Calibri" w:hAnsi="Verdana" w:cs="Arial"/>
                <w:lang w:val="es-ES_tradnl" w:eastAsia="es-ES_tradnl"/>
              </w:rPr>
            </w:pPr>
            <w:r w:rsidRPr="00FC4A16">
              <w:rPr>
                <w:rFonts w:ascii="Verdana" w:eastAsia="Calibri" w:hAnsi="Verdana" w:cs="Arial"/>
                <w:lang w:val="es-ES_tradnl" w:eastAsia="es-ES_tradnl"/>
              </w:rPr>
              <w:t>Respuesta a consulta con radicado No. P20240621006368</w:t>
            </w:r>
          </w:p>
        </w:tc>
      </w:tr>
    </w:tbl>
    <w:p w14:paraId="3A126A08" w14:textId="77777777" w:rsidR="0057111F" w:rsidRPr="00FC4A16" w:rsidRDefault="0057111F" w:rsidP="0057111F">
      <w:pPr>
        <w:spacing w:after="0" w:line="240" w:lineRule="auto"/>
        <w:jc w:val="both"/>
        <w:rPr>
          <w:rFonts w:ascii="Verdana" w:eastAsia="Calibri" w:hAnsi="Verdana" w:cs="Arial"/>
          <w:lang w:val="es-ES_tradnl" w:eastAsia="es-ES_tradnl"/>
        </w:rPr>
      </w:pPr>
    </w:p>
    <w:p w14:paraId="6F7A7DCF" w14:textId="77777777" w:rsidR="0057111F" w:rsidRPr="00FC4A16" w:rsidRDefault="0057111F" w:rsidP="0057111F">
      <w:pPr>
        <w:spacing w:after="0" w:line="240" w:lineRule="auto"/>
        <w:jc w:val="both"/>
        <w:rPr>
          <w:rFonts w:ascii="Verdana" w:eastAsia="Calibri" w:hAnsi="Verdana" w:cs="Arial"/>
          <w:lang w:val="es-ES_tradnl" w:eastAsia="es-ES_tradnl"/>
        </w:rPr>
      </w:pPr>
    </w:p>
    <w:p w14:paraId="49396449" w14:textId="77777777" w:rsidR="0057111F" w:rsidRPr="00FC4A16" w:rsidRDefault="0057111F" w:rsidP="0057111F">
      <w:pPr>
        <w:spacing w:after="0" w:line="276" w:lineRule="auto"/>
        <w:jc w:val="both"/>
        <w:rPr>
          <w:rFonts w:ascii="Verdana" w:eastAsia="Calibri" w:hAnsi="Verdana" w:cs="Arial"/>
          <w:lang w:val="es-ES" w:eastAsia="es-ES"/>
        </w:rPr>
      </w:pPr>
      <w:r w:rsidRPr="00FC4A16">
        <w:rPr>
          <w:rFonts w:ascii="Verdana" w:eastAsia="Calibri" w:hAnsi="Verdana" w:cs="Arial"/>
          <w:lang w:val="es-ES" w:eastAsia="es-ES"/>
        </w:rPr>
        <w:t xml:space="preserve">Estimado señor(a) Peticionario: </w:t>
      </w:r>
    </w:p>
    <w:p w14:paraId="39C9288D" w14:textId="77777777" w:rsidR="0057111F" w:rsidRPr="00FC4A16" w:rsidRDefault="0057111F" w:rsidP="0057111F">
      <w:pPr>
        <w:tabs>
          <w:tab w:val="left" w:pos="3768"/>
        </w:tabs>
        <w:spacing w:after="0" w:line="276" w:lineRule="auto"/>
        <w:jc w:val="both"/>
        <w:rPr>
          <w:rFonts w:ascii="Verdana" w:eastAsia="Calibri" w:hAnsi="Verdana" w:cs="Arial"/>
          <w:lang w:val="es-ES" w:eastAsia="es-ES"/>
        </w:rPr>
      </w:pPr>
      <w:r w:rsidRPr="00FC4A16">
        <w:rPr>
          <w:rFonts w:ascii="Verdana" w:eastAsia="Calibri" w:hAnsi="Verdana" w:cs="Arial"/>
          <w:lang w:val="es-ES" w:eastAsia="es-ES"/>
        </w:rPr>
        <w:tab/>
      </w:r>
    </w:p>
    <w:p w14:paraId="75256F81" w14:textId="77777777" w:rsidR="0057111F" w:rsidRPr="00FC4A16" w:rsidRDefault="0057111F" w:rsidP="0057111F">
      <w:pPr>
        <w:spacing w:after="0" w:line="276" w:lineRule="auto"/>
        <w:jc w:val="both"/>
        <w:rPr>
          <w:rFonts w:ascii="Verdana" w:eastAsia="Calibri" w:hAnsi="Verdana" w:cs="Arial"/>
          <w:lang w:val="es-ES" w:eastAsia="es-ES"/>
        </w:rPr>
      </w:pPr>
      <w:r w:rsidRPr="00FC4A16">
        <w:rPr>
          <w:rFonts w:ascii="Verdana" w:eastAsia="Calibri" w:hAnsi="Verdana" w:cs="Arial"/>
          <w:lang w:val="es-ES" w:eastAsia="es-ES"/>
        </w:rPr>
        <w:t>En ejercicio de la competencia otorgada por los artículos 3, numeral 5º, y 11, numeral 8º, del Decreto Ley 4170 de 2011,</w:t>
      </w:r>
      <w:r w:rsidRPr="00FC4A16">
        <w:rPr>
          <w:rFonts w:ascii="Verdana" w:eastAsia="Arial MT" w:hAnsi="Verdana" w:cs="Arial MT"/>
          <w:lang w:val="es-ES" w:eastAsia="es-ES"/>
        </w:rPr>
        <w:t xml:space="preserve"> </w:t>
      </w:r>
      <w:r w:rsidRPr="00FC4A16">
        <w:rPr>
          <w:rFonts w:ascii="Verdana" w:hAnsi="Verdana" w:cs="Arial"/>
        </w:rPr>
        <w:t xml:space="preserve">así como lo establecido en el artículo 4 de la Resolución 1707 de 2018 expedida por esta Entidad, </w:t>
      </w:r>
      <w:r w:rsidRPr="00FC4A16">
        <w:rPr>
          <w:rFonts w:ascii="Verdana" w:eastAsia="Calibri" w:hAnsi="Verdana" w:cs="Arial"/>
          <w:lang w:val="es-ES" w:eastAsia="es-ES"/>
        </w:rPr>
        <w:t xml:space="preserve">la Agencia Nacional de Contratación Pública – Colombia Compra Eficiente– responde su solicitud de consulta de fecha 21 de junio de 2024, en la cual manifiesta lo siguiente: </w:t>
      </w:r>
    </w:p>
    <w:p w14:paraId="274DDC41" w14:textId="77777777" w:rsidR="009A0333" w:rsidRDefault="009A0333" w:rsidP="0057111F">
      <w:pPr>
        <w:spacing w:after="0" w:line="240" w:lineRule="auto"/>
        <w:ind w:left="709" w:right="709"/>
        <w:jc w:val="both"/>
        <w:rPr>
          <w:rFonts w:ascii="Verdana" w:eastAsia="Century Gothic" w:hAnsi="Verdana" w:cs="Century Gothic"/>
          <w:sz w:val="20"/>
          <w:szCs w:val="20"/>
          <w:lang w:val="es-ES"/>
        </w:rPr>
      </w:pPr>
      <w:bookmarkStart w:id="0" w:name="_Hlk95313578"/>
    </w:p>
    <w:p w14:paraId="2D314F0D" w14:textId="7F241BDD" w:rsidR="0057111F" w:rsidRPr="00FC4A16" w:rsidRDefault="0057111F" w:rsidP="0057111F">
      <w:pPr>
        <w:spacing w:after="0" w:line="240" w:lineRule="auto"/>
        <w:ind w:left="709" w:right="709"/>
        <w:jc w:val="both"/>
        <w:rPr>
          <w:rStyle w:val="normaltextrun"/>
          <w:rFonts w:ascii="Verdana" w:hAnsi="Verdana" w:cs="Arial"/>
          <w:sz w:val="20"/>
          <w:szCs w:val="20"/>
          <w:shd w:val="clear" w:color="auto" w:fill="FFFFFF"/>
          <w:lang w:val="es-ES"/>
        </w:rPr>
      </w:pPr>
      <w:r w:rsidRPr="00FC4A16">
        <w:rPr>
          <w:rFonts w:ascii="Verdana" w:eastAsia="Century Gothic" w:hAnsi="Verdana" w:cs="Century Gothic"/>
          <w:sz w:val="20"/>
          <w:szCs w:val="20"/>
          <w:lang w:val="es-ES"/>
        </w:rPr>
        <w:t>“</w:t>
      </w:r>
      <w:r w:rsidRPr="00FC4A16">
        <w:rPr>
          <w:rStyle w:val="normaltextrun"/>
          <w:rFonts w:ascii="Verdana" w:hAnsi="Verdana" w:cs="Arial"/>
          <w:sz w:val="20"/>
          <w:szCs w:val="20"/>
          <w:shd w:val="clear" w:color="auto" w:fill="FFFFFF"/>
          <w:lang w:val="es-ES"/>
        </w:rPr>
        <w:t>¿si aun contrato se prorroga en el tiempo, pero al momento de ampliar las garantías, la expedición de las pólizas queda por fuera del término inicial de ejecución, del contrato seria valido, aprobarlas, esto teniendo en cuenta que el contrato puede quedar desamparado por el amparo de responsabilidad extracontractual?</w:t>
      </w:r>
    </w:p>
    <w:p w14:paraId="57B265DC" w14:textId="77777777" w:rsidR="0057111F" w:rsidRPr="00FC4A16" w:rsidRDefault="0057111F" w:rsidP="0057111F">
      <w:pPr>
        <w:spacing w:after="0" w:line="240" w:lineRule="auto"/>
        <w:ind w:left="709" w:right="709"/>
        <w:jc w:val="both"/>
        <w:rPr>
          <w:rFonts w:ascii="Verdana" w:eastAsia="Century Gothic" w:hAnsi="Verdana" w:cs="Century Gothic"/>
          <w:sz w:val="20"/>
          <w:szCs w:val="20"/>
          <w:lang w:val="es-ES"/>
        </w:rPr>
      </w:pPr>
      <w:r w:rsidRPr="00FC4A16">
        <w:rPr>
          <w:rStyle w:val="normaltextrun"/>
          <w:rFonts w:ascii="Verdana" w:hAnsi="Verdana" w:cs="Arial"/>
          <w:sz w:val="20"/>
          <w:szCs w:val="20"/>
          <w:shd w:val="clear" w:color="auto" w:fill="FFFFFF"/>
          <w:lang w:val="es-ES"/>
        </w:rPr>
        <w:t>tenido en cuenta la pregunta anterior pregunta y entendiéndose que la prórroga y las adiciones se perfecciona con las firmas de las partes y la ampliación de las garantías ¿en qué tiempo el contratista debería llevar las garantías, una vez haya firmado el acta de prórroga, es decir el contratista podría firmar el acta y traer la ampliación de las garantías un mes después? ¿qué pasaría si no se perfecciona una vez vencido el plazo inicial? ¿se terminará el contrato acorde al plazo inicial?</w:t>
      </w:r>
      <w:r w:rsidRPr="00FC4A16">
        <w:rPr>
          <w:rFonts w:ascii="Verdana" w:eastAsia="Century Gothic" w:hAnsi="Verdana" w:cs="Century Gothic"/>
          <w:sz w:val="20"/>
          <w:szCs w:val="20"/>
          <w:lang w:val="es-ES"/>
        </w:rPr>
        <w:t>”</w:t>
      </w:r>
      <w:bookmarkEnd w:id="0"/>
      <w:r w:rsidRPr="00FC4A16">
        <w:rPr>
          <w:rFonts w:ascii="Verdana" w:eastAsia="Century Gothic" w:hAnsi="Verdana" w:cs="Century Gothic"/>
          <w:sz w:val="20"/>
          <w:szCs w:val="20"/>
          <w:lang w:val="es-ES"/>
        </w:rPr>
        <w:t>.</w:t>
      </w:r>
    </w:p>
    <w:p w14:paraId="6F844282" w14:textId="77777777" w:rsidR="009A0333" w:rsidRDefault="009A0333" w:rsidP="00100432">
      <w:pPr>
        <w:spacing w:after="0" w:line="276" w:lineRule="auto"/>
        <w:ind w:firstLine="709"/>
        <w:jc w:val="both"/>
        <w:rPr>
          <w:rFonts w:ascii="Verdana" w:eastAsia="Calibri" w:hAnsi="Verdana" w:cs="Arial"/>
          <w:lang w:val="es-ES" w:eastAsia="es-ES"/>
        </w:rPr>
      </w:pPr>
    </w:p>
    <w:p w14:paraId="35402471" w14:textId="5BD40302" w:rsidR="0057111F" w:rsidRPr="00FC4A16" w:rsidRDefault="0057111F" w:rsidP="0057111F">
      <w:pPr>
        <w:spacing w:after="120" w:line="276" w:lineRule="auto"/>
        <w:ind w:firstLine="709"/>
        <w:jc w:val="both"/>
        <w:rPr>
          <w:rFonts w:ascii="Verdana" w:eastAsia="Calibri" w:hAnsi="Verdana" w:cs="Arial"/>
          <w:szCs w:val="24"/>
          <w:lang w:val="es-ES_tradnl" w:eastAsia="es-ES_tradnl"/>
        </w:rPr>
      </w:pPr>
      <w:r w:rsidRPr="00FC4A16">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FC4A16">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C4A16">
        <w:rPr>
          <w:rFonts w:ascii="Verdana" w:eastAsia="Calibri" w:hAnsi="Verdana" w:cs="Arial"/>
          <w:szCs w:val="24"/>
          <w:lang w:val="es-ES_tradnl" w:eastAsia="es-ES_tradnl"/>
        </w:rPr>
        <w:tab/>
      </w:r>
    </w:p>
    <w:p w14:paraId="78C2C403" w14:textId="77777777" w:rsidR="0057111F" w:rsidRPr="00FC4A16" w:rsidRDefault="0057111F" w:rsidP="0057111F">
      <w:pPr>
        <w:spacing w:after="0" w:line="276" w:lineRule="auto"/>
        <w:ind w:firstLine="709"/>
        <w:jc w:val="both"/>
        <w:rPr>
          <w:rFonts w:ascii="Verdana" w:eastAsia="Calibri" w:hAnsi="Verdana" w:cs="Arial"/>
          <w:lang w:val="es-ES" w:eastAsia="es-ES"/>
        </w:rPr>
      </w:pPr>
      <w:r w:rsidRPr="00FC4A1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2E6936F" w14:textId="77777777" w:rsidR="0057111F" w:rsidRPr="00FC4A16" w:rsidRDefault="0057111F" w:rsidP="0057111F">
      <w:pPr>
        <w:spacing w:after="0" w:line="276" w:lineRule="auto"/>
        <w:ind w:firstLine="709"/>
        <w:jc w:val="both"/>
        <w:rPr>
          <w:rFonts w:ascii="Verdana" w:eastAsia="Calibri" w:hAnsi="Verdana" w:cs="Arial"/>
          <w:lang w:val="es-ES" w:eastAsia="es-ES"/>
        </w:rPr>
      </w:pPr>
    </w:p>
    <w:p w14:paraId="42B2FC57" w14:textId="77777777" w:rsidR="0057111F" w:rsidRPr="00FC4A16" w:rsidRDefault="0057111F" w:rsidP="0057111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C4A16">
        <w:rPr>
          <w:rFonts w:ascii="Verdana" w:eastAsia="Century Gothic" w:hAnsi="Verdana" w:cs="Century Gothic"/>
          <w:b/>
          <w:bCs/>
        </w:rPr>
        <w:t>Problema planteado:</w:t>
      </w:r>
    </w:p>
    <w:p w14:paraId="67876879" w14:textId="77777777" w:rsidR="0057111F" w:rsidRPr="00FC4A16" w:rsidRDefault="0057111F" w:rsidP="0057111F">
      <w:pPr>
        <w:tabs>
          <w:tab w:val="left" w:pos="426"/>
        </w:tabs>
        <w:spacing w:after="0" w:line="276" w:lineRule="auto"/>
        <w:jc w:val="both"/>
        <w:rPr>
          <w:rFonts w:ascii="Verdana" w:eastAsia="Century Gothic" w:hAnsi="Verdana" w:cs="Century Gothic"/>
          <w:lang w:val="es-ES"/>
        </w:rPr>
      </w:pPr>
    </w:p>
    <w:p w14:paraId="50BFE61D" w14:textId="17880DC5" w:rsidR="0057111F" w:rsidRPr="00FC4A16" w:rsidRDefault="0057111F" w:rsidP="0057111F">
      <w:pPr>
        <w:spacing w:after="0" w:line="276" w:lineRule="auto"/>
        <w:jc w:val="both"/>
        <w:rPr>
          <w:rFonts w:ascii="Verdana" w:eastAsia="Century Gothic" w:hAnsi="Verdana" w:cs="Century Gothic"/>
        </w:rPr>
      </w:pPr>
      <w:r w:rsidRPr="00FC4A16">
        <w:rPr>
          <w:rFonts w:ascii="Verdana" w:eastAsia="Century Gothic" w:hAnsi="Verdana" w:cs="Century Gothic"/>
        </w:rPr>
        <w:t xml:space="preserve">De acuerdo con el contenido de su solicitud, esta Agencia resolverá los siguientes problemas jurídicos: </w:t>
      </w:r>
      <w:r w:rsidR="002E4DC1">
        <w:rPr>
          <w:rFonts w:ascii="Verdana" w:eastAsia="Century Gothic" w:hAnsi="Verdana" w:cs="Century Gothic"/>
        </w:rPr>
        <w:t xml:space="preserve">¿en </w:t>
      </w:r>
      <w:r w:rsidR="00100432">
        <w:rPr>
          <w:rFonts w:ascii="Verdana" w:eastAsia="Century Gothic" w:hAnsi="Verdana" w:cs="Century Gothic"/>
        </w:rPr>
        <w:t>qué</w:t>
      </w:r>
      <w:r w:rsidR="002E4DC1">
        <w:rPr>
          <w:rFonts w:ascii="Verdana" w:eastAsia="Century Gothic" w:hAnsi="Verdana" w:cs="Century Gothic"/>
        </w:rPr>
        <w:t xml:space="preserve"> momento </w:t>
      </w:r>
      <w:r w:rsidR="00CE7083">
        <w:rPr>
          <w:rFonts w:ascii="Verdana" w:eastAsia="Century Gothic" w:hAnsi="Verdana" w:cs="Century Gothic"/>
        </w:rPr>
        <w:t>debe</w:t>
      </w:r>
      <w:r w:rsidR="00415E9A">
        <w:rPr>
          <w:rFonts w:ascii="Verdana" w:eastAsia="Century Gothic" w:hAnsi="Verdana" w:cs="Century Gothic"/>
        </w:rPr>
        <w:t xml:space="preserve"> aprobarse la ampliación de las garantías con motivo de la prórroga del contrato?</w:t>
      </w:r>
    </w:p>
    <w:p w14:paraId="6CEBBF8C" w14:textId="77777777" w:rsidR="0057111F" w:rsidRPr="00100432" w:rsidRDefault="0057111F" w:rsidP="0057111F">
      <w:pPr>
        <w:spacing w:after="0" w:line="276" w:lineRule="auto"/>
        <w:jc w:val="both"/>
        <w:rPr>
          <w:rFonts w:ascii="Verdana" w:eastAsia="Calibri" w:hAnsi="Verdana" w:cs="Arial"/>
        </w:rPr>
      </w:pPr>
    </w:p>
    <w:p w14:paraId="2B2055F9" w14:textId="77777777" w:rsidR="0057111F" w:rsidRPr="00FC4A16" w:rsidRDefault="0057111F" w:rsidP="005711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C4A16">
        <w:rPr>
          <w:rFonts w:ascii="Verdana" w:eastAsia="Century Gothic" w:hAnsi="Verdana" w:cs="Century Gothic"/>
          <w:b/>
          <w:bCs/>
        </w:rPr>
        <w:t>Respuesta:</w:t>
      </w:r>
    </w:p>
    <w:p w14:paraId="128EEB88" w14:textId="77777777" w:rsidR="0057111F" w:rsidRPr="00FC4A16" w:rsidRDefault="0057111F" w:rsidP="0057111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7111F" w:rsidRPr="00FC4A16" w14:paraId="5D0AFE1C" w14:textId="77777777" w:rsidTr="00CC764E">
        <w:tc>
          <w:tcPr>
            <w:tcW w:w="8828" w:type="dxa"/>
            <w:shd w:val="clear" w:color="auto" w:fill="auto"/>
          </w:tcPr>
          <w:p w14:paraId="4AE735AA" w14:textId="34F9B5E4" w:rsidR="003359D3" w:rsidRDefault="004C56EC" w:rsidP="004C56EC">
            <w:pPr>
              <w:spacing w:line="276" w:lineRule="auto"/>
              <w:jc w:val="both"/>
              <w:rPr>
                <w:rFonts w:ascii="Verdana" w:eastAsia="Calibri" w:hAnsi="Verdana" w:cs="Arial"/>
                <w:lang w:val="es-ES"/>
              </w:rPr>
            </w:pPr>
            <w:r>
              <w:rPr>
                <w:rFonts w:ascii="Verdana" w:eastAsia="Calibri" w:hAnsi="Verdana" w:cs="Arial"/>
                <w:lang w:val="es-ES"/>
              </w:rPr>
              <w:t xml:space="preserve">De conformidad con el inciso segundo del artículo </w:t>
            </w:r>
            <w:r w:rsidRPr="004C56EC">
              <w:rPr>
                <w:rFonts w:ascii="Verdana" w:eastAsia="Calibri" w:hAnsi="Verdana" w:cs="Arial"/>
                <w:lang w:val="es-ES"/>
              </w:rPr>
              <w:t>2.2.1.2.3.1.18</w:t>
            </w:r>
            <w:r>
              <w:rPr>
                <w:rFonts w:ascii="Verdana" w:eastAsia="Calibri" w:hAnsi="Verdana" w:cs="Arial"/>
                <w:lang w:val="es-ES"/>
              </w:rPr>
              <w:t xml:space="preserve"> del Decreto 1082 de 2015, c</w:t>
            </w:r>
            <w:r w:rsidRPr="004C56EC">
              <w:rPr>
                <w:rFonts w:ascii="Verdana" w:eastAsia="Calibri" w:hAnsi="Verdana" w:cs="Arial"/>
                <w:lang w:val="es-ES"/>
              </w:rPr>
              <w:t xml:space="preserve">uando el contrato es modificado para incrementar su valor o prorrogar su plazo, la Entidad Estatal debe exigir al contratista ampliar el valor de la garantía otorgada o ampliar su vigencia, según el caso. </w:t>
            </w:r>
            <w:r>
              <w:rPr>
                <w:rFonts w:ascii="Verdana" w:eastAsia="Calibri" w:hAnsi="Verdana" w:cs="Arial"/>
                <w:lang w:val="es-ES"/>
              </w:rPr>
              <w:t xml:space="preserve">Esta ampliación de la garantía única de cumplimiento debe </w:t>
            </w:r>
            <w:r w:rsidR="00312F9D">
              <w:rPr>
                <w:rFonts w:ascii="Verdana" w:eastAsia="Calibri" w:hAnsi="Verdana" w:cs="Arial"/>
                <w:lang w:val="es-ES"/>
              </w:rPr>
              <w:t>ser realizada por el contratista una vez se perfecciona la modificación al contrato</w:t>
            </w:r>
            <w:r w:rsidR="00DA7642">
              <w:rPr>
                <w:rFonts w:ascii="Verdana" w:eastAsia="Calibri" w:hAnsi="Verdana" w:cs="Arial"/>
                <w:lang w:val="es-ES"/>
              </w:rPr>
              <w:t>, quien luego deberá presentarla para la aprobación de la Entida</w:t>
            </w:r>
            <w:r w:rsidR="003359D3">
              <w:rPr>
                <w:rFonts w:ascii="Verdana" w:eastAsia="Calibri" w:hAnsi="Verdana" w:cs="Arial"/>
                <w:lang w:val="es-ES"/>
              </w:rPr>
              <w:t>d Estatal.</w:t>
            </w:r>
          </w:p>
          <w:p w14:paraId="35B71063" w14:textId="77777777" w:rsidR="003359D3" w:rsidRDefault="003359D3" w:rsidP="004C56EC">
            <w:pPr>
              <w:spacing w:line="276" w:lineRule="auto"/>
              <w:jc w:val="both"/>
              <w:rPr>
                <w:rFonts w:ascii="Verdana" w:eastAsia="Calibri" w:hAnsi="Verdana" w:cs="Arial"/>
                <w:lang w:val="es-ES"/>
              </w:rPr>
            </w:pPr>
          </w:p>
          <w:p w14:paraId="40D568A9" w14:textId="74159C32" w:rsidR="004C56EC" w:rsidRDefault="003359D3" w:rsidP="009A0333">
            <w:pPr>
              <w:spacing w:line="276" w:lineRule="auto"/>
              <w:jc w:val="both"/>
              <w:rPr>
                <w:rFonts w:ascii="Verdana" w:eastAsia="Calibri" w:hAnsi="Verdana" w:cs="Arial"/>
                <w:lang w:val="es-ES"/>
              </w:rPr>
            </w:pPr>
            <w:r>
              <w:rPr>
                <w:rFonts w:ascii="Verdana" w:eastAsia="Calibri" w:hAnsi="Verdana" w:cs="Arial"/>
                <w:lang w:val="es-ES"/>
              </w:rPr>
              <w:t xml:space="preserve">En todo caso, </w:t>
            </w:r>
            <w:r w:rsidR="00BF405C">
              <w:rPr>
                <w:rFonts w:ascii="Verdana" w:eastAsia="Calibri" w:hAnsi="Verdana" w:cs="Arial"/>
                <w:lang w:val="es-ES"/>
              </w:rPr>
              <w:t>de conformid</w:t>
            </w:r>
            <w:r w:rsidR="008D4742">
              <w:rPr>
                <w:rFonts w:ascii="Verdana" w:eastAsia="Calibri" w:hAnsi="Verdana" w:cs="Arial"/>
                <w:lang w:val="es-ES"/>
              </w:rPr>
              <w:t>ad con el inciso segundo del artículo 41 de la Ley 80 de 1993</w:t>
            </w:r>
            <w:r w:rsidR="00442BBB">
              <w:rPr>
                <w:rFonts w:ascii="Verdana" w:eastAsia="Calibri" w:hAnsi="Verdana" w:cs="Arial"/>
                <w:lang w:val="es-ES"/>
              </w:rPr>
              <w:t xml:space="preserve">, </w:t>
            </w:r>
            <w:r w:rsidR="000A222E">
              <w:rPr>
                <w:rFonts w:ascii="Verdana" w:eastAsia="Calibri" w:hAnsi="Verdana" w:cs="Arial"/>
                <w:lang w:val="es-ES"/>
              </w:rPr>
              <w:t xml:space="preserve">la aprobación de la ampliación de las garantías será un requisito para </w:t>
            </w:r>
            <w:r w:rsidR="00C5499B">
              <w:rPr>
                <w:rFonts w:ascii="Verdana" w:eastAsia="Calibri" w:hAnsi="Verdana" w:cs="Arial"/>
                <w:lang w:val="es-ES"/>
              </w:rPr>
              <w:t xml:space="preserve">la ejecución del contrato durante el periodo objeto de prórroga. </w:t>
            </w:r>
            <w:r w:rsidR="00A158A3">
              <w:rPr>
                <w:rFonts w:ascii="Verdana" w:eastAsia="Calibri" w:hAnsi="Verdana" w:cs="Arial"/>
                <w:lang w:val="es-ES"/>
              </w:rPr>
              <w:t xml:space="preserve">En atención a esto, a efectos evitar interrumpir la ejecución del contrato </w:t>
            </w:r>
            <w:r w:rsidR="00ED507F">
              <w:rPr>
                <w:rFonts w:ascii="Verdana" w:eastAsia="Calibri" w:hAnsi="Verdana" w:cs="Arial"/>
                <w:lang w:val="es-ES"/>
              </w:rPr>
              <w:t xml:space="preserve">la Entidad Estatal debe procurar </w:t>
            </w:r>
            <w:r w:rsidR="008C63B6">
              <w:rPr>
                <w:rFonts w:ascii="Verdana" w:eastAsia="Calibri" w:hAnsi="Verdana" w:cs="Arial"/>
                <w:lang w:val="es-ES"/>
              </w:rPr>
              <w:t xml:space="preserve">aprobar la ampliación de la garantía antes del </w:t>
            </w:r>
            <w:r w:rsidR="008C63B6">
              <w:rPr>
                <w:rFonts w:ascii="Verdana" w:eastAsia="Calibri" w:hAnsi="Verdana" w:cs="Arial"/>
                <w:lang w:val="es-ES"/>
              </w:rPr>
              <w:lastRenderedPageBreak/>
              <w:t xml:space="preserve">vencimiento del plazo inicial del contrato objeto de prórroga, para lo cual el contratista debe presentar </w:t>
            </w:r>
            <w:r w:rsidR="00AB2E7E">
              <w:rPr>
                <w:rFonts w:ascii="Verdana" w:eastAsia="Calibri" w:hAnsi="Verdana" w:cs="Arial"/>
                <w:lang w:val="es-ES"/>
              </w:rPr>
              <w:t>constituir</w:t>
            </w:r>
            <w:r w:rsidR="009A0333">
              <w:rPr>
                <w:rFonts w:ascii="Verdana" w:eastAsia="Calibri" w:hAnsi="Verdana" w:cs="Arial"/>
                <w:lang w:val="es-ES"/>
              </w:rPr>
              <w:t xml:space="preserve"> cumpliendo con los parámetros de suficiencia regulados entre los artículos </w:t>
            </w:r>
            <w:r w:rsidR="009A0333" w:rsidRPr="00F664C3">
              <w:rPr>
                <w:rFonts w:ascii="Verdana" w:eastAsia="Arial" w:hAnsi="Verdana" w:cs="Arial"/>
                <w:szCs w:val="24"/>
              </w:rPr>
              <w:t>2.2.1.2.3.1.10</w:t>
            </w:r>
            <w:r w:rsidR="009A0333">
              <w:rPr>
                <w:rFonts w:ascii="Verdana" w:eastAsia="Arial" w:hAnsi="Verdana" w:cs="Arial"/>
                <w:szCs w:val="24"/>
              </w:rPr>
              <w:t xml:space="preserve"> y </w:t>
            </w:r>
            <w:r w:rsidR="009A0333" w:rsidRPr="00564034">
              <w:rPr>
                <w:rFonts w:ascii="Verdana" w:eastAsia="Arial" w:hAnsi="Verdana" w:cs="Arial"/>
                <w:szCs w:val="24"/>
              </w:rPr>
              <w:t>2.2.1.2.3.1.17</w:t>
            </w:r>
            <w:r w:rsidR="009A0333">
              <w:rPr>
                <w:rFonts w:ascii="Verdana" w:eastAsia="Arial" w:hAnsi="Verdana" w:cs="Arial"/>
                <w:szCs w:val="24"/>
              </w:rPr>
              <w:t xml:space="preserve"> del Decreto 1082 de 2015</w:t>
            </w:r>
            <w:r w:rsidR="00AB2E7E">
              <w:rPr>
                <w:rFonts w:ascii="Verdana" w:eastAsia="Arial" w:hAnsi="Verdana" w:cs="Arial"/>
                <w:szCs w:val="24"/>
              </w:rPr>
              <w:t>, a luz de las nuevas condiciones de plazo o valor del contrato</w:t>
            </w:r>
            <w:r w:rsidR="009A0333">
              <w:rPr>
                <w:rFonts w:ascii="Verdana" w:eastAsia="Arial" w:hAnsi="Verdana" w:cs="Arial"/>
                <w:szCs w:val="24"/>
              </w:rPr>
              <w:t xml:space="preserve">. </w:t>
            </w:r>
            <w:r w:rsidR="00AB2E7E">
              <w:rPr>
                <w:rFonts w:ascii="Verdana" w:eastAsia="Arial" w:hAnsi="Verdana" w:cs="Arial"/>
                <w:szCs w:val="24"/>
              </w:rPr>
              <w:t>E</w:t>
            </w:r>
            <w:r w:rsidR="00417A3E">
              <w:rPr>
                <w:rFonts w:ascii="Verdana" w:eastAsia="Arial" w:hAnsi="Verdana" w:cs="Arial"/>
                <w:szCs w:val="24"/>
              </w:rPr>
              <w:t xml:space="preserve">l contratista debe presentar la ampliación dentro de un plazo razonable, </w:t>
            </w:r>
            <w:r w:rsidR="00417A3E">
              <w:rPr>
                <w:rFonts w:ascii="Verdana" w:hAnsi="Verdana"/>
              </w:rPr>
              <w:t xml:space="preserve">de conformidad </w:t>
            </w:r>
            <w:r w:rsidR="00AB2E7E">
              <w:rPr>
                <w:rFonts w:ascii="Verdana" w:hAnsi="Verdana"/>
              </w:rPr>
              <w:t>con</w:t>
            </w:r>
            <w:r w:rsidR="00417A3E">
              <w:rPr>
                <w:rFonts w:ascii="Verdana" w:hAnsi="Verdana"/>
              </w:rPr>
              <w:t xml:space="preserve"> lo pactado en la respectiva modificación y </w:t>
            </w:r>
            <w:r w:rsidR="00417A3E">
              <w:rPr>
                <w:rFonts w:ascii="Verdana" w:eastAsia="Arial" w:hAnsi="Verdana" w:cs="Arial"/>
                <w:szCs w:val="24"/>
              </w:rPr>
              <w:t xml:space="preserve">a efectos de evitar que opere el mecanismo de restablecimiento que se haya previsto en el pliego de condiciones con arreglo a lo dispuesto en el último inciso del artículo </w:t>
            </w:r>
            <w:r w:rsidR="00417A3E" w:rsidRPr="007E2DF6">
              <w:rPr>
                <w:rFonts w:ascii="Verdana" w:hAnsi="Verdana"/>
              </w:rPr>
              <w:t>2.2.1.2.3.1.18</w:t>
            </w:r>
            <w:r w:rsidR="00417A3E">
              <w:rPr>
                <w:rFonts w:ascii="Verdana" w:hAnsi="Verdana"/>
              </w:rPr>
              <w:t xml:space="preserve"> del Decreto 1082 de 2015.</w:t>
            </w:r>
          </w:p>
          <w:p w14:paraId="489025E8" w14:textId="3156E786" w:rsidR="009A0333" w:rsidRPr="00FC4A16" w:rsidRDefault="009A0333" w:rsidP="009A0333">
            <w:pPr>
              <w:spacing w:line="276" w:lineRule="auto"/>
              <w:jc w:val="both"/>
              <w:rPr>
                <w:rFonts w:ascii="Verdana" w:eastAsia="Calibri" w:hAnsi="Verdana" w:cs="Arial"/>
                <w:sz w:val="20"/>
                <w:szCs w:val="20"/>
                <w:lang w:val="es-ES"/>
              </w:rPr>
            </w:pPr>
          </w:p>
        </w:tc>
      </w:tr>
    </w:tbl>
    <w:p w14:paraId="09C3674B" w14:textId="77777777" w:rsidR="0057111F" w:rsidRPr="00FC4A16" w:rsidRDefault="0057111F" w:rsidP="0057111F">
      <w:pPr>
        <w:tabs>
          <w:tab w:val="left" w:pos="142"/>
          <w:tab w:val="left" w:pos="284"/>
        </w:tabs>
        <w:spacing w:after="0" w:line="276" w:lineRule="auto"/>
        <w:jc w:val="both"/>
        <w:rPr>
          <w:rFonts w:ascii="Verdana" w:eastAsia="Century Gothic" w:hAnsi="Verdana" w:cs="Century Gothic"/>
          <w:b/>
          <w:bCs/>
          <w:lang w:val="es-ES"/>
        </w:rPr>
      </w:pPr>
    </w:p>
    <w:p w14:paraId="285E6A09" w14:textId="77777777" w:rsidR="0057111F" w:rsidRPr="00FC4A16" w:rsidRDefault="0057111F" w:rsidP="005711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C4A16">
        <w:rPr>
          <w:rFonts w:ascii="Verdana" w:eastAsia="Century Gothic" w:hAnsi="Verdana" w:cs="Century Gothic"/>
          <w:b/>
          <w:bCs/>
        </w:rPr>
        <w:t>Razones de la respuesta:</w:t>
      </w:r>
    </w:p>
    <w:p w14:paraId="4916A12D" w14:textId="77777777" w:rsidR="0057111F" w:rsidRPr="00FC4A16" w:rsidRDefault="0057111F" w:rsidP="0057111F">
      <w:pPr>
        <w:spacing w:after="0" w:line="276" w:lineRule="auto"/>
        <w:jc w:val="both"/>
        <w:rPr>
          <w:rFonts w:ascii="Verdana" w:eastAsia="Calibri" w:hAnsi="Verdana" w:cs="Arial"/>
          <w:lang w:val="es-ES"/>
        </w:rPr>
      </w:pPr>
    </w:p>
    <w:p w14:paraId="04322740" w14:textId="77777777" w:rsidR="0057111F" w:rsidRPr="00FC4A16" w:rsidRDefault="0057111F" w:rsidP="0057111F">
      <w:pPr>
        <w:spacing w:after="0" w:line="276" w:lineRule="auto"/>
        <w:jc w:val="both"/>
        <w:rPr>
          <w:rFonts w:ascii="Verdana" w:eastAsia="Calibri" w:hAnsi="Verdana" w:cs="Arial"/>
          <w:lang w:val="es-ES"/>
        </w:rPr>
      </w:pPr>
      <w:r w:rsidRPr="00FC4A16">
        <w:rPr>
          <w:rFonts w:ascii="Verdana" w:eastAsia="Calibri" w:hAnsi="Verdana" w:cs="Arial"/>
          <w:lang w:val="es-ES"/>
        </w:rPr>
        <w:t xml:space="preserve">Lo anterior se sustenta en las siguientes consideraciones: </w:t>
      </w:r>
    </w:p>
    <w:p w14:paraId="131864F2" w14:textId="77777777" w:rsidR="0057111F" w:rsidRPr="00FC4A16" w:rsidRDefault="0057111F" w:rsidP="0057111F">
      <w:pPr>
        <w:spacing w:after="0" w:line="276" w:lineRule="auto"/>
        <w:jc w:val="both"/>
        <w:rPr>
          <w:rFonts w:ascii="Verdana" w:eastAsia="Calibri" w:hAnsi="Verdana" w:cs="Arial"/>
          <w:lang w:val="es-ES"/>
        </w:rPr>
      </w:pPr>
    </w:p>
    <w:p w14:paraId="5D1CA667" w14:textId="607CDC67" w:rsidR="0057111F" w:rsidRPr="002A594D" w:rsidRDefault="0057111F" w:rsidP="002A594D">
      <w:pPr>
        <w:spacing w:after="120" w:line="276" w:lineRule="auto"/>
        <w:jc w:val="both"/>
        <w:rPr>
          <w:rFonts w:ascii="Verdana" w:eastAsia="Calibri" w:hAnsi="Verdana" w:cs="Arial"/>
        </w:rPr>
      </w:pPr>
      <w:r w:rsidRPr="002A594D">
        <w:rPr>
          <w:rFonts w:ascii="Verdana" w:eastAsia="Calibri" w:hAnsi="Verdana" w:cs="Arial"/>
        </w:rPr>
        <w:t xml:space="preserve">Los contratos estatales deben contar con una garantía y para ello, </w:t>
      </w:r>
      <w:bookmarkStart w:id="1" w:name="_Hlk174463835"/>
      <w:r w:rsidRPr="002A594D">
        <w:rPr>
          <w:rFonts w:ascii="Verdana" w:eastAsia="Calibri" w:hAnsi="Verdana" w:cs="Arial"/>
        </w:rPr>
        <w:t>según el artículo 7 de la Ley 1150 de 2007</w:t>
      </w:r>
      <w:r w:rsidRPr="00FC4A16">
        <w:rPr>
          <w:rStyle w:val="Refdenotaalpie"/>
          <w:rFonts w:ascii="Verdana" w:eastAsia="Calibri" w:hAnsi="Verdana" w:cs="Arial"/>
        </w:rPr>
        <w:footnoteReference w:id="2"/>
      </w:r>
      <w:r w:rsidRPr="002A594D">
        <w:rPr>
          <w:rFonts w:ascii="Verdana" w:eastAsia="Calibri" w:hAnsi="Verdana" w:cs="Arial"/>
        </w:rPr>
        <w:t>, es obligación de los contratistas prestar garantía única para el cumplimiento de las obligaciones. Esta norma se complementa con lo dispuesto por el artículo 41 de la Ley 80 de 1993</w:t>
      </w:r>
      <w:r w:rsidRPr="00FC4A16">
        <w:rPr>
          <w:rStyle w:val="Refdenotaalpie"/>
          <w:rFonts w:ascii="Verdana" w:eastAsia="Calibri" w:hAnsi="Verdana" w:cs="Arial"/>
        </w:rPr>
        <w:footnoteReference w:id="3"/>
      </w:r>
      <w:r w:rsidRPr="002A594D">
        <w:rPr>
          <w:rFonts w:ascii="Verdana" w:eastAsia="Calibri" w:hAnsi="Verdana" w:cs="Arial"/>
        </w:rPr>
        <w:t>, según el cual para iniciar la ejecución del contrato se requiere que la entidad apruebe la garantía, en resumen, se requiere que el contratista presente para aprobación la garantía, de lo contrario no se podrá iniciar la ejecución del contrato</w:t>
      </w:r>
      <w:bookmarkEnd w:id="1"/>
      <w:r w:rsidRPr="002A594D">
        <w:rPr>
          <w:rFonts w:ascii="Verdana" w:eastAsia="Calibri" w:hAnsi="Verdana" w:cs="Arial"/>
        </w:rPr>
        <w:t>.</w:t>
      </w:r>
    </w:p>
    <w:p w14:paraId="462DCEE5" w14:textId="294A1198" w:rsidR="0057111F" w:rsidRPr="002A594D" w:rsidRDefault="0057111F" w:rsidP="002A594D">
      <w:pPr>
        <w:spacing w:after="0" w:line="276" w:lineRule="auto"/>
        <w:ind w:firstLine="708"/>
        <w:jc w:val="both"/>
        <w:rPr>
          <w:rFonts w:ascii="Verdana" w:eastAsia="Calibri" w:hAnsi="Verdana" w:cs="Arial"/>
        </w:rPr>
      </w:pPr>
      <w:r w:rsidRPr="002A594D">
        <w:rPr>
          <w:rFonts w:ascii="Verdana" w:eastAsia="Calibri" w:hAnsi="Verdana" w:cs="Arial"/>
        </w:rPr>
        <w:t xml:space="preserve">Las condiciones en las que debe cumplirse esta obligación están reglamentadas por el Decreto 1082 de 2015, el cual entre sus artículos 2.2.1.2.3.1.1. y 2.2.1.2.3.1.19, se refiere a asuntos como las clases de garantías permitidas, la indivisibilidad de estas, los diferentes riesgos que deben ser objeto </w:t>
      </w:r>
      <w:r w:rsidRPr="002A594D">
        <w:rPr>
          <w:rFonts w:ascii="Verdana" w:eastAsia="Calibri" w:hAnsi="Verdana" w:cs="Arial"/>
        </w:rPr>
        <w:lastRenderedPageBreak/>
        <w:t>de cobertura, la vigencia y valores mínimos que deben cubrir los amparos, entre otros aspectos que debe cumplir las garantías constituidas por los contratistas ya sea a través de pólizas de seguro, garantías bancarías o patrimonios autónomos. Dentro de estas disposiciones se indican los amparos y suficiencias que deben cubrir las garantías, y además se establece de manera expresa que las modificaciones contractuales suponen la ampliación de las garantías. Así lo regula el artículo 2.2.1.2.3.1.18. del Decreto 1082 de 2015:</w:t>
      </w:r>
    </w:p>
    <w:p w14:paraId="08CBF070" w14:textId="77777777" w:rsidR="00EA0611" w:rsidRPr="00EA0611" w:rsidRDefault="00EA0611" w:rsidP="00EA0611">
      <w:pPr>
        <w:pStyle w:val="Prrafodelista"/>
        <w:spacing w:after="0" w:line="276" w:lineRule="auto"/>
        <w:jc w:val="both"/>
        <w:rPr>
          <w:rFonts w:ascii="Verdana" w:eastAsia="Calibri" w:hAnsi="Verdana" w:cs="Arial"/>
        </w:rPr>
      </w:pPr>
    </w:p>
    <w:p w14:paraId="6C1B3AC4" w14:textId="6BD2D225" w:rsidR="00DC723E" w:rsidRDefault="0057111F">
      <w:pPr>
        <w:pStyle w:val="Prrafodelista"/>
        <w:spacing w:line="240" w:lineRule="auto"/>
        <w:ind w:right="709"/>
        <w:jc w:val="both"/>
        <w:rPr>
          <w:rFonts w:ascii="Verdana" w:eastAsia="Calibri" w:hAnsi="Verdana" w:cs="Arial"/>
          <w:sz w:val="20"/>
          <w:szCs w:val="20"/>
          <w:lang w:val="es-CO"/>
        </w:rPr>
      </w:pPr>
      <w:r w:rsidRPr="00FC4A16">
        <w:rPr>
          <w:rFonts w:ascii="Verdana" w:eastAsia="Calibri" w:hAnsi="Verdana" w:cs="Arial"/>
          <w:sz w:val="20"/>
          <w:szCs w:val="20"/>
        </w:rPr>
        <w:t xml:space="preserve">“Artículo 2.2.1.2.3.1.18. Restablecimiento o ampliación de la garantía. </w:t>
      </w:r>
      <w:r w:rsidR="00DC723E" w:rsidRPr="00DC723E">
        <w:rPr>
          <w:rFonts w:ascii="Verdana" w:eastAsia="Calibri" w:hAnsi="Verdana" w:cs="Arial"/>
          <w:sz w:val="20"/>
          <w:szCs w:val="20"/>
          <w:lang w:val="es-CO"/>
        </w:rPr>
        <w:t>Cuando con ocasión de las reclamaciones efectuadas por la Entidad Estatal, el valor de la garantía se reduce, la Entidad Estatal debe solicitar al contratista restablecer el valor inicial de la garantía. </w:t>
      </w:r>
      <w:r w:rsidR="00DC723E" w:rsidRPr="00DC723E" w:rsidDel="00DC723E">
        <w:rPr>
          <w:rFonts w:ascii="Verdana" w:eastAsia="Calibri" w:hAnsi="Verdana" w:cs="Arial"/>
          <w:sz w:val="20"/>
          <w:szCs w:val="20"/>
          <w:lang w:val="es-CO"/>
        </w:rPr>
        <w:t xml:space="preserve"> </w:t>
      </w:r>
    </w:p>
    <w:p w14:paraId="5EDF3293" w14:textId="77777777" w:rsidR="00DC723E" w:rsidRDefault="00DC723E">
      <w:pPr>
        <w:pStyle w:val="Prrafodelista"/>
        <w:spacing w:line="240" w:lineRule="auto"/>
        <w:ind w:right="709"/>
        <w:jc w:val="both"/>
        <w:rPr>
          <w:rFonts w:ascii="Verdana" w:eastAsia="Calibri" w:hAnsi="Verdana" w:cs="Arial"/>
          <w:sz w:val="20"/>
          <w:szCs w:val="20"/>
        </w:rPr>
      </w:pPr>
    </w:p>
    <w:p w14:paraId="60EF7282" w14:textId="1CC5D223" w:rsidR="00877ED4" w:rsidRPr="00100432" w:rsidRDefault="00877ED4" w:rsidP="00100432">
      <w:pPr>
        <w:pStyle w:val="Prrafodelista"/>
        <w:spacing w:line="240" w:lineRule="auto"/>
        <w:ind w:right="709"/>
        <w:jc w:val="both"/>
        <w:rPr>
          <w:rFonts w:ascii="Verdana" w:eastAsia="Calibri" w:hAnsi="Verdana" w:cs="Arial"/>
          <w:i/>
          <w:iCs/>
          <w:sz w:val="20"/>
          <w:szCs w:val="20"/>
          <w:lang w:val="es-CO"/>
        </w:rPr>
      </w:pPr>
      <w:r w:rsidRPr="00100432">
        <w:rPr>
          <w:rFonts w:ascii="Verdana" w:eastAsia="Calibri" w:hAnsi="Verdana" w:cs="Arial"/>
          <w:i/>
          <w:iCs/>
          <w:sz w:val="20"/>
          <w:szCs w:val="20"/>
          <w:lang w:val="es-CO"/>
        </w:rPr>
        <w:t>Cuando el contrato es modificado para incrementar su valor o prorrogar su plazo, la Entidad Estatal debe exigir al contratista ampliar el valor de la garantía otorgada o ampliar su vigencia, según el caso. </w:t>
      </w:r>
    </w:p>
    <w:p w14:paraId="5D08C715" w14:textId="77777777" w:rsidR="00877ED4" w:rsidRPr="00877ED4" w:rsidRDefault="00877ED4" w:rsidP="00877ED4">
      <w:pPr>
        <w:pStyle w:val="Prrafodelista"/>
        <w:spacing w:line="240" w:lineRule="auto"/>
        <w:ind w:right="709"/>
        <w:rPr>
          <w:rFonts w:ascii="Verdana" w:eastAsia="Calibri" w:hAnsi="Verdana" w:cs="Arial"/>
          <w:sz w:val="20"/>
          <w:szCs w:val="20"/>
          <w:lang w:val="es-CO"/>
        </w:rPr>
      </w:pPr>
      <w:r w:rsidRPr="00877ED4">
        <w:rPr>
          <w:rFonts w:ascii="Verdana" w:eastAsia="Calibri" w:hAnsi="Verdana" w:cs="Arial"/>
          <w:sz w:val="20"/>
          <w:szCs w:val="20"/>
          <w:lang w:val="es-CO"/>
        </w:rPr>
        <w:t>  </w:t>
      </w:r>
    </w:p>
    <w:p w14:paraId="708EECE3" w14:textId="7D2941DF" w:rsidR="0057111F" w:rsidRPr="009826A8" w:rsidRDefault="00877ED4" w:rsidP="00877ED4">
      <w:pPr>
        <w:pStyle w:val="Prrafodelista"/>
        <w:spacing w:after="0" w:line="240" w:lineRule="auto"/>
        <w:ind w:right="709"/>
        <w:jc w:val="both"/>
        <w:rPr>
          <w:rFonts w:ascii="Verdana" w:eastAsia="Calibri" w:hAnsi="Verdana" w:cs="Arial"/>
          <w:sz w:val="20"/>
          <w:szCs w:val="20"/>
        </w:rPr>
      </w:pPr>
      <w:r w:rsidRPr="00100432">
        <w:rPr>
          <w:rFonts w:ascii="Verdana" w:eastAsia="Calibri" w:hAnsi="Verdana" w:cs="Arial"/>
          <w:i/>
          <w:sz w:val="20"/>
          <w:szCs w:val="20"/>
        </w:rPr>
        <w:t>La Entidad Estatal debe prever en los pliegos de condiciones para la Contratación, el mecanismo que proceda para restablecer la garantía, cuando el contratista incumpla su obligación de obtenerla, ampliarla o adicionarla</w:t>
      </w:r>
      <w:r w:rsidR="0057111F" w:rsidRPr="00100432">
        <w:rPr>
          <w:rFonts w:ascii="Verdana" w:eastAsia="Calibri" w:hAnsi="Verdana" w:cs="Arial"/>
          <w:i/>
          <w:iCs/>
          <w:sz w:val="20"/>
          <w:szCs w:val="20"/>
        </w:rPr>
        <w:t xml:space="preserve">”. </w:t>
      </w:r>
      <w:r w:rsidR="004C56EC">
        <w:rPr>
          <w:rFonts w:ascii="Verdana" w:eastAsia="Calibri" w:hAnsi="Verdana" w:cs="Arial"/>
          <w:sz w:val="20"/>
          <w:szCs w:val="20"/>
        </w:rPr>
        <w:t>(Énfasis fuera de texto)</w:t>
      </w:r>
    </w:p>
    <w:p w14:paraId="3622ABB0" w14:textId="77777777" w:rsidR="0057111F" w:rsidRPr="00FC4A16" w:rsidRDefault="0057111F" w:rsidP="0057111F">
      <w:pPr>
        <w:pStyle w:val="Prrafodelista"/>
        <w:spacing w:after="0" w:line="240" w:lineRule="auto"/>
        <w:ind w:right="709"/>
        <w:jc w:val="both"/>
        <w:rPr>
          <w:rFonts w:ascii="Verdana" w:eastAsia="Calibri" w:hAnsi="Verdana" w:cs="Arial"/>
          <w:sz w:val="20"/>
          <w:szCs w:val="20"/>
        </w:rPr>
      </w:pPr>
    </w:p>
    <w:p w14:paraId="356C6ACC" w14:textId="77777777" w:rsidR="0057111F" w:rsidRPr="00100432" w:rsidRDefault="0057111F" w:rsidP="00100432">
      <w:pPr>
        <w:spacing w:after="0" w:line="276" w:lineRule="auto"/>
        <w:ind w:firstLine="708"/>
        <w:jc w:val="both"/>
        <w:rPr>
          <w:rFonts w:ascii="Verdana" w:eastAsia="Calibri" w:hAnsi="Verdana" w:cs="Arial"/>
        </w:rPr>
      </w:pPr>
      <w:r w:rsidRPr="00100432">
        <w:rPr>
          <w:rFonts w:ascii="Verdana" w:eastAsia="Calibri" w:hAnsi="Verdana" w:cs="Arial"/>
        </w:rPr>
        <w:t>Esta regla se explica porque el contrato estatal, como acto jurídico bilateral, es ley para los contratantes y por regla general no puede ser modificado sino por el consentimiento mutuo</w:t>
      </w:r>
      <w:r w:rsidRPr="00FC4A16">
        <w:rPr>
          <w:rStyle w:val="Refdenotaalpie"/>
          <w:rFonts w:ascii="Verdana" w:eastAsia="Calibri" w:hAnsi="Verdana" w:cs="Arial"/>
        </w:rPr>
        <w:footnoteReference w:id="4"/>
      </w:r>
      <w:r w:rsidRPr="00100432">
        <w:rPr>
          <w:rFonts w:ascii="Verdana" w:eastAsia="Calibri" w:hAnsi="Verdana" w:cs="Arial"/>
        </w:rPr>
        <w:t>, en ese sentido, cualquier modificación contractual implica un nuevo acuerdo de voluntades, o lo que es lo mismo un contrato, por ello este nuevo contrato requiere garantía para ser ejecutado. Respecto a las formalidades requeridas para las modificaciones de los contratos, y refiriéndose al alcance del artículo 39 y 41 de la Ley 80 de 1993, el Consejo de Estado, Sección Tercera, en la sentencia del 18 de febrero de 2010, radicado 85001-23-31-000-1997-00403-01(15.596), con ponencia del consejero Mauricio Fajardo Gómez, señaló:</w:t>
      </w:r>
    </w:p>
    <w:p w14:paraId="78F0209E" w14:textId="77777777" w:rsidR="0057111F" w:rsidRPr="00FC4A16" w:rsidRDefault="0057111F" w:rsidP="0057111F">
      <w:pPr>
        <w:pStyle w:val="Prrafodelista"/>
        <w:spacing w:after="0" w:line="276" w:lineRule="auto"/>
        <w:jc w:val="both"/>
        <w:rPr>
          <w:rFonts w:ascii="Verdana" w:eastAsia="Calibri" w:hAnsi="Verdana" w:cs="Arial"/>
        </w:rPr>
      </w:pPr>
    </w:p>
    <w:p w14:paraId="2F204835" w14:textId="77777777" w:rsidR="0057111F" w:rsidRPr="00FC4A16" w:rsidRDefault="0057111F" w:rsidP="0057111F">
      <w:pPr>
        <w:pStyle w:val="Prrafodelista"/>
        <w:spacing w:after="0" w:line="240" w:lineRule="auto"/>
        <w:ind w:right="709"/>
        <w:jc w:val="both"/>
        <w:rPr>
          <w:rFonts w:ascii="Verdana" w:eastAsia="Calibri" w:hAnsi="Verdana" w:cs="Arial"/>
          <w:sz w:val="20"/>
          <w:szCs w:val="20"/>
        </w:rPr>
      </w:pPr>
      <w:r w:rsidRPr="00FC4A16">
        <w:rPr>
          <w:rFonts w:ascii="Verdana" w:eastAsia="Calibri" w:hAnsi="Verdana" w:cs="Arial"/>
          <w:sz w:val="20"/>
          <w:szCs w:val="20"/>
        </w:rPr>
        <w:t xml:space="preserve">“De conformidad con las normas transcritas, respecto de los contratos estatales no es posible afirmar que con el simple consentimiento de las partes puedan ser perfeccionados, de lo cual se colige, de manera directa, que la modificación de los mismos, consistente en adición de obras, valor y período para la ejecución, también debe constar por escrito para que puedan alcanzar eficacia, existencia y validez. Esto último, en cuanto que la modificación respecto de un acuerdo que consta por escrito debe surtir el mismo proceso que se dio para su constitución, dado que el acuerdo </w:t>
      </w:r>
      <w:r w:rsidRPr="00FC4A16">
        <w:rPr>
          <w:rFonts w:ascii="Verdana" w:eastAsia="Calibri" w:hAnsi="Verdana" w:cs="Arial"/>
          <w:sz w:val="20"/>
          <w:szCs w:val="20"/>
        </w:rPr>
        <w:lastRenderedPageBreak/>
        <w:t>modificatorio está tomando el lugar del acuerdo originario y la solemnidad que se predica legalmente del segundo ha de ser exigida para el reconocimiento de eficacia, existencia y validez del primero”.</w:t>
      </w:r>
    </w:p>
    <w:p w14:paraId="047EE802" w14:textId="77777777" w:rsidR="0057111F" w:rsidRPr="00FC4A16" w:rsidRDefault="0057111F" w:rsidP="0057111F">
      <w:pPr>
        <w:pStyle w:val="Prrafodelista"/>
        <w:spacing w:after="0" w:line="276" w:lineRule="auto"/>
        <w:jc w:val="both"/>
        <w:rPr>
          <w:rFonts w:ascii="Verdana" w:hAnsi="Verdana"/>
          <w:lang w:val="es-CO"/>
        </w:rPr>
      </w:pPr>
    </w:p>
    <w:p w14:paraId="13974489" w14:textId="77777777" w:rsidR="0057111F" w:rsidRPr="00100432" w:rsidRDefault="0057111F" w:rsidP="00100432">
      <w:pPr>
        <w:spacing w:after="120" w:line="276" w:lineRule="auto"/>
        <w:ind w:firstLine="709"/>
        <w:jc w:val="both"/>
        <w:rPr>
          <w:rFonts w:ascii="Verdana" w:hAnsi="Verdana"/>
        </w:rPr>
      </w:pPr>
      <w:r w:rsidRPr="00100432">
        <w:rPr>
          <w:rFonts w:ascii="Verdana" w:hAnsi="Verdana"/>
        </w:rPr>
        <w:t xml:space="preserve">En el mismo sentido, la Sala de Consulta y Servicio del Consejo de Estado, en el concepto con radicado No. 11001-03-06-000-2015-00128-00 (2.263), del 17 de marzo de 2016 con ponencia del consejero Edgar González López, señaló respecto de las modificaciones de los contratos: </w:t>
      </w:r>
      <w:r w:rsidRPr="00100432">
        <w:rPr>
          <w:rFonts w:ascii="Verdana" w:hAnsi="Verdana"/>
          <w:i/>
          <w:iCs/>
        </w:rPr>
        <w:t xml:space="preserve">“[…] puede afirmarse que la regla general es la no modificación del contrato, y la vía excepcional su modificación, sometida a límites legales. Por lo tanto, una modificación necesaria del contrato, surgida por iniciativa del contratista, del interventor o del supervisor, debe ser aprobada por la entidad que ejerce su dirección general, y cumplir, en forma previa, las mismas formalidades de solemnidad del contrato principal”. </w:t>
      </w:r>
      <w:r w:rsidRPr="00100432">
        <w:rPr>
          <w:rFonts w:ascii="Verdana" w:hAnsi="Verdana"/>
        </w:rPr>
        <w:t>(Énfasis fuera de texto)</w:t>
      </w:r>
    </w:p>
    <w:p w14:paraId="2F3C5D10" w14:textId="665C3E74" w:rsidR="0057111F" w:rsidRPr="00100432" w:rsidRDefault="0057111F" w:rsidP="00100432">
      <w:pPr>
        <w:spacing w:after="120" w:line="276" w:lineRule="auto"/>
        <w:ind w:firstLine="709"/>
        <w:jc w:val="both"/>
        <w:rPr>
          <w:rFonts w:ascii="Verdana" w:hAnsi="Verdana"/>
        </w:rPr>
      </w:pPr>
      <w:r w:rsidRPr="00100432">
        <w:rPr>
          <w:rFonts w:ascii="Verdana" w:hAnsi="Verdana"/>
        </w:rPr>
        <w:t xml:space="preserve">En definitiva, es necesario que el contratista amplíe la garantía cuando el contrato se </w:t>
      </w:r>
      <w:r w:rsidR="002A0BD8">
        <w:rPr>
          <w:rFonts w:ascii="Verdana" w:hAnsi="Verdana"/>
        </w:rPr>
        <w:t xml:space="preserve">prorroga </w:t>
      </w:r>
      <w:r w:rsidR="002537B2">
        <w:rPr>
          <w:rFonts w:ascii="Verdana" w:hAnsi="Verdana"/>
        </w:rPr>
        <w:t xml:space="preserve">o </w:t>
      </w:r>
      <w:r w:rsidR="00512AEE">
        <w:rPr>
          <w:rFonts w:ascii="Verdana" w:hAnsi="Verdana"/>
        </w:rPr>
        <w:t xml:space="preserve">se </w:t>
      </w:r>
      <w:r w:rsidR="002537B2">
        <w:rPr>
          <w:rFonts w:ascii="Verdana" w:hAnsi="Verdana"/>
        </w:rPr>
        <w:t>adiciona</w:t>
      </w:r>
      <w:r w:rsidRPr="00100432">
        <w:rPr>
          <w:rFonts w:ascii="Verdana" w:hAnsi="Verdana"/>
        </w:rPr>
        <w:t xml:space="preserve">, </w:t>
      </w:r>
      <w:r w:rsidR="00C51036">
        <w:rPr>
          <w:rFonts w:ascii="Verdana" w:hAnsi="Verdana"/>
        </w:rPr>
        <w:t>a</w:t>
      </w:r>
      <w:r w:rsidRPr="00100432">
        <w:rPr>
          <w:rFonts w:ascii="Verdana" w:hAnsi="Verdana"/>
        </w:rPr>
        <w:t xml:space="preserve">mpliación </w:t>
      </w:r>
      <w:r w:rsidR="00C51036">
        <w:rPr>
          <w:rFonts w:ascii="Verdana" w:hAnsi="Verdana"/>
        </w:rPr>
        <w:t xml:space="preserve">que </w:t>
      </w:r>
      <w:r w:rsidRPr="00100432">
        <w:rPr>
          <w:rFonts w:ascii="Verdana" w:hAnsi="Verdana"/>
        </w:rPr>
        <w:t>requiere aprobación</w:t>
      </w:r>
      <w:r w:rsidR="00C51036">
        <w:rPr>
          <w:rFonts w:ascii="Verdana" w:hAnsi="Verdana"/>
        </w:rPr>
        <w:t xml:space="preserve"> por parte de la Entidad Estatal contratante</w:t>
      </w:r>
      <w:r w:rsidRPr="00100432">
        <w:rPr>
          <w:rFonts w:ascii="Verdana" w:hAnsi="Verdana"/>
        </w:rPr>
        <w:t>, tal como fue aprobada la garantía del contrato inicial. En cumplimiento del artículo 2.2.1.2.3.1.18. del Decreto 1082 de 2015, solo se le exige al contratista que: i) amplié el valor de la garantía cuando hay una adición, y ii)</w:t>
      </w:r>
      <w:r w:rsidRPr="00100432">
        <w:rPr>
          <w:rFonts w:ascii="Verdana" w:hAnsi="Verdana"/>
          <w:b/>
          <w:bCs/>
        </w:rPr>
        <w:t xml:space="preserve"> </w:t>
      </w:r>
      <w:r w:rsidRPr="00100432">
        <w:rPr>
          <w:rFonts w:ascii="Verdana" w:hAnsi="Verdana"/>
        </w:rPr>
        <w:t>que amplié su vigencia cuando se modifica el plazo del contrato; y en ninguna de las dos hipótesis es necesario que se modifiquen otras condiciones de la garantía, en consecuencia, si el contratista presentó una póliza y el contrato solamente se amplía o adiciona, no debe modificar ni los riesgos asegurados ni las exclusiones del seguro, sino que solo debe ampliar la vigencia o el valor de la póliza.</w:t>
      </w:r>
    </w:p>
    <w:p w14:paraId="4431EEC9" w14:textId="5EFE4284" w:rsidR="00415E9A" w:rsidRPr="00100432" w:rsidRDefault="0057111F" w:rsidP="00100432">
      <w:pPr>
        <w:spacing w:after="120" w:line="276" w:lineRule="auto"/>
        <w:ind w:firstLine="709"/>
        <w:jc w:val="both"/>
        <w:rPr>
          <w:rFonts w:ascii="Verdana" w:eastAsia="Arial" w:hAnsi="Verdana" w:cs="Arial"/>
          <w:szCs w:val="24"/>
        </w:rPr>
      </w:pPr>
      <w:r w:rsidRPr="00100432">
        <w:rPr>
          <w:rFonts w:ascii="Verdana" w:hAnsi="Verdana"/>
        </w:rPr>
        <w:t>Vale la pena recordar que según el artículo 1048 del Código de Comercio</w:t>
      </w:r>
      <w:r w:rsidRPr="00FC4A16">
        <w:rPr>
          <w:rStyle w:val="Refdenotaalpie"/>
          <w:rFonts w:ascii="Verdana" w:hAnsi="Verdana"/>
        </w:rPr>
        <w:footnoteReference w:id="5"/>
      </w:r>
      <w:r w:rsidRPr="00100432">
        <w:rPr>
          <w:rFonts w:ascii="Verdana" w:hAnsi="Verdana"/>
        </w:rPr>
        <w:t xml:space="preserve"> las adiciones, modificaciones o renovaciones de las pólizas se consignan en “anexos”, en este sentido, la </w:t>
      </w:r>
      <w:r w:rsidR="000525BB" w:rsidRPr="000525BB">
        <w:rPr>
          <w:rFonts w:ascii="Verdana" w:hAnsi="Verdana"/>
        </w:rPr>
        <w:t xml:space="preserve">Entidad Estatal </w:t>
      </w:r>
      <w:r w:rsidRPr="00100432">
        <w:rPr>
          <w:rFonts w:ascii="Verdana" w:hAnsi="Verdana"/>
        </w:rPr>
        <w:t xml:space="preserve">no requiere una nueva póliza, sino que puede solicitar del contratista un </w:t>
      </w:r>
      <w:r w:rsidRPr="00100432">
        <w:rPr>
          <w:rFonts w:ascii="Verdana" w:hAnsi="Verdana"/>
          <w:i/>
          <w:iCs/>
        </w:rPr>
        <w:t>“anexo”</w:t>
      </w:r>
      <w:r w:rsidRPr="00100432">
        <w:rPr>
          <w:rFonts w:ascii="Verdana" w:hAnsi="Verdana"/>
        </w:rPr>
        <w:t xml:space="preserve"> donde conste la ampliación de la garantía, y con ello cumplir las condiciones antes enunciadas para comenzar a ejecutar la modificación contractual. La </w:t>
      </w:r>
      <w:r w:rsidR="000525BB" w:rsidRPr="000525BB">
        <w:rPr>
          <w:rFonts w:ascii="Verdana" w:hAnsi="Verdana"/>
        </w:rPr>
        <w:t xml:space="preserve">Entidad Estatal </w:t>
      </w:r>
      <w:r w:rsidRPr="00100432">
        <w:rPr>
          <w:rFonts w:ascii="Verdana" w:hAnsi="Verdana"/>
        </w:rPr>
        <w:t>debe actuar de buena fe</w:t>
      </w:r>
      <w:r w:rsidRPr="00FC4A16">
        <w:rPr>
          <w:rStyle w:val="Refdenotaalpie"/>
          <w:rFonts w:ascii="Verdana" w:hAnsi="Verdana"/>
        </w:rPr>
        <w:footnoteReference w:id="6"/>
      </w:r>
      <w:r w:rsidRPr="00100432">
        <w:rPr>
          <w:rFonts w:ascii="Verdana" w:hAnsi="Verdana"/>
        </w:rPr>
        <w:t xml:space="preserve"> </w:t>
      </w:r>
      <w:r w:rsidRPr="00100432">
        <w:rPr>
          <w:rFonts w:ascii="Verdana" w:hAnsi="Verdana"/>
        </w:rPr>
        <w:lastRenderedPageBreak/>
        <w:t xml:space="preserve">y en concordancia con lo expuesto, no debe negarse a aprobar la ampliación de la póliza cuando el contratista presenta un anexo que cumpla con las condiciones del Decreto 1082 de 2015. </w:t>
      </w:r>
      <w:r w:rsidR="000525BB">
        <w:rPr>
          <w:rFonts w:ascii="Verdana" w:hAnsi="Verdana"/>
        </w:rPr>
        <w:t xml:space="preserve">Es necesario tener </w:t>
      </w:r>
      <w:r w:rsidRPr="00100432">
        <w:rPr>
          <w:rFonts w:ascii="Verdana" w:hAnsi="Verdana"/>
        </w:rPr>
        <w:t>en cuenta que el contrato no puede quedar desamparado en ningún momento, pues de no aprobarse la garantía no podrá comenzar la ejecución</w:t>
      </w:r>
      <w:r w:rsidR="000525BB">
        <w:rPr>
          <w:rFonts w:ascii="Verdana" w:hAnsi="Verdana"/>
        </w:rPr>
        <w:t xml:space="preserve"> de la prórroga</w:t>
      </w:r>
      <w:r w:rsidRPr="00100432">
        <w:rPr>
          <w:rFonts w:ascii="Verdana" w:hAnsi="Verdana"/>
        </w:rPr>
        <w:t>, según lo dispuesto por el artículo 41 de la Ley 80 de 1993.</w:t>
      </w:r>
      <w:r w:rsidRPr="00100432">
        <w:rPr>
          <w:rFonts w:ascii="Verdana" w:hAnsi="Verdana"/>
        </w:rPr>
        <w:cr/>
      </w:r>
      <w:r w:rsidR="00415E9A">
        <w:rPr>
          <w:rFonts w:ascii="Verdana" w:hAnsi="Verdana"/>
        </w:rPr>
        <w:tab/>
      </w:r>
      <w:r w:rsidR="004C56EC">
        <w:rPr>
          <w:rFonts w:ascii="Verdana" w:hAnsi="Verdana"/>
        </w:rPr>
        <w:t>De cualquier modo</w:t>
      </w:r>
      <w:r w:rsidR="00415E9A">
        <w:rPr>
          <w:rFonts w:ascii="Verdana" w:hAnsi="Verdana"/>
        </w:rPr>
        <w:t>, es importante precisar que la aprobación de la garantía única de cumplimiento</w:t>
      </w:r>
      <w:r w:rsidR="007E613F">
        <w:rPr>
          <w:rFonts w:ascii="Verdana" w:hAnsi="Verdana"/>
        </w:rPr>
        <w:t xml:space="preserve">, en los términos regulados en el artículo 41 de la Ley 80 de 1993 es un requisito para el inicio de la ejecución del contrato, </w:t>
      </w:r>
      <w:r w:rsidR="00DB15EE">
        <w:rPr>
          <w:rFonts w:ascii="Verdana" w:hAnsi="Verdana"/>
        </w:rPr>
        <w:t xml:space="preserve">más no para su perfeccionamiento. En ese sentido, así como sucede con el contrato inicial, </w:t>
      </w:r>
      <w:r w:rsidR="00FD6996">
        <w:rPr>
          <w:rFonts w:ascii="Verdana" w:hAnsi="Verdana"/>
        </w:rPr>
        <w:t>la</w:t>
      </w:r>
      <w:r w:rsidR="00DB15EE">
        <w:rPr>
          <w:rFonts w:ascii="Verdana" w:hAnsi="Verdana"/>
        </w:rPr>
        <w:t xml:space="preserve"> modificación </w:t>
      </w:r>
      <w:r w:rsidR="00FD6996">
        <w:rPr>
          <w:rFonts w:ascii="Verdana" w:hAnsi="Verdana"/>
        </w:rPr>
        <w:t xml:space="preserve">tendiente a </w:t>
      </w:r>
      <w:r w:rsidR="00A43E91">
        <w:rPr>
          <w:rFonts w:ascii="Verdana" w:hAnsi="Verdana"/>
        </w:rPr>
        <w:t xml:space="preserve">la prórroga del contrato se </w:t>
      </w:r>
      <w:r w:rsidR="001B6B76">
        <w:rPr>
          <w:rFonts w:ascii="Verdana" w:hAnsi="Verdana"/>
        </w:rPr>
        <w:t>perfeccionará</w:t>
      </w:r>
      <w:r w:rsidR="00A43E91">
        <w:rPr>
          <w:rFonts w:ascii="Verdana" w:hAnsi="Verdana"/>
        </w:rPr>
        <w:t xml:space="preserve"> c</w:t>
      </w:r>
      <w:r w:rsidR="006371FF">
        <w:rPr>
          <w:rFonts w:ascii="Verdana" w:hAnsi="Verdana"/>
        </w:rPr>
        <w:t>on</w:t>
      </w:r>
      <w:r w:rsidR="00A43E91">
        <w:rPr>
          <w:rFonts w:ascii="Verdana" w:hAnsi="Verdana"/>
        </w:rPr>
        <w:t xml:space="preserve"> la elevación a escrito del acuerdo </w:t>
      </w:r>
      <w:r w:rsidR="00C05B14">
        <w:rPr>
          <w:rFonts w:ascii="Verdana" w:hAnsi="Verdana"/>
        </w:rPr>
        <w:t xml:space="preserve">de voluntades </w:t>
      </w:r>
      <w:r w:rsidR="00A43E91">
        <w:rPr>
          <w:rFonts w:ascii="Verdana" w:hAnsi="Verdana"/>
        </w:rPr>
        <w:t xml:space="preserve">en virtud del cual se extiende el plazo </w:t>
      </w:r>
      <w:r w:rsidR="00C05B14">
        <w:rPr>
          <w:rFonts w:ascii="Verdana" w:hAnsi="Verdana"/>
        </w:rPr>
        <w:t>de ejecución</w:t>
      </w:r>
      <w:r w:rsidR="004E7524">
        <w:rPr>
          <w:rFonts w:ascii="Verdana" w:hAnsi="Verdana"/>
        </w:rPr>
        <w:t xml:space="preserve"> </w:t>
      </w:r>
      <w:r w:rsidR="006371FF">
        <w:rPr>
          <w:rFonts w:ascii="Verdana" w:hAnsi="Verdana"/>
        </w:rPr>
        <w:t>y</w:t>
      </w:r>
      <w:r w:rsidR="004E7524">
        <w:rPr>
          <w:rFonts w:ascii="Verdana" w:hAnsi="Verdana"/>
        </w:rPr>
        <w:t xml:space="preserve"> la suscripción de ambas partes. </w:t>
      </w:r>
      <w:r w:rsidR="001B6B76">
        <w:rPr>
          <w:rFonts w:ascii="Verdana" w:hAnsi="Verdana"/>
        </w:rPr>
        <w:t xml:space="preserve">Perfeccionado la </w:t>
      </w:r>
      <w:r w:rsidR="00AD111D">
        <w:rPr>
          <w:rFonts w:ascii="Verdana" w:hAnsi="Verdana"/>
        </w:rPr>
        <w:t>modificación del contrato</w:t>
      </w:r>
      <w:r w:rsidR="001B6B76">
        <w:rPr>
          <w:rFonts w:ascii="Verdana" w:hAnsi="Verdana"/>
        </w:rPr>
        <w:t xml:space="preserve">, el contratista deberá tramitar la ampliación de la garantía única de acuerdo con el artículo </w:t>
      </w:r>
      <w:r w:rsidR="001B6B76" w:rsidRPr="007E2DF6">
        <w:rPr>
          <w:rFonts w:ascii="Verdana" w:hAnsi="Verdana"/>
        </w:rPr>
        <w:t>2.2.1.2.3.1.18. del Decreto 1082 de 2015</w:t>
      </w:r>
      <w:r w:rsidR="001B6B76">
        <w:rPr>
          <w:rFonts w:ascii="Verdana" w:hAnsi="Verdana"/>
        </w:rPr>
        <w:t xml:space="preserve"> y presentar la respectiva ampliación </w:t>
      </w:r>
      <w:r w:rsidR="001063EA">
        <w:rPr>
          <w:rFonts w:ascii="Verdana" w:hAnsi="Verdana"/>
        </w:rPr>
        <w:t xml:space="preserve">a la Entidad Estatal.  </w:t>
      </w:r>
      <w:r w:rsidR="001B6B76">
        <w:rPr>
          <w:rFonts w:ascii="Verdana" w:hAnsi="Verdana"/>
        </w:rPr>
        <w:t xml:space="preserve"> </w:t>
      </w:r>
    </w:p>
    <w:p w14:paraId="76681A5C" w14:textId="1A03D9AF" w:rsidR="00AD111D" w:rsidRDefault="00C760A7" w:rsidP="00100432">
      <w:pPr>
        <w:spacing w:after="120" w:line="276" w:lineRule="auto"/>
        <w:ind w:firstLine="709"/>
        <w:jc w:val="both"/>
        <w:rPr>
          <w:rFonts w:ascii="Verdana" w:eastAsia="Arial" w:hAnsi="Verdana" w:cs="Arial"/>
          <w:szCs w:val="24"/>
        </w:rPr>
      </w:pPr>
      <w:r>
        <w:rPr>
          <w:rFonts w:ascii="Verdana" w:eastAsia="Arial" w:hAnsi="Verdana" w:cs="Arial"/>
          <w:szCs w:val="24"/>
        </w:rPr>
        <w:t>Una vez presentada la</w:t>
      </w:r>
      <w:r w:rsidR="00380D74">
        <w:rPr>
          <w:rFonts w:ascii="Verdana" w:eastAsia="Arial" w:hAnsi="Verdana" w:cs="Arial"/>
          <w:szCs w:val="24"/>
        </w:rPr>
        <w:t xml:space="preserve"> ampliación de la garantía por parte del contratista, la Entidad Estatal deberá proceder a</w:t>
      </w:r>
      <w:r w:rsidR="00304C6A">
        <w:rPr>
          <w:rFonts w:ascii="Verdana" w:eastAsia="Arial" w:hAnsi="Verdana" w:cs="Arial"/>
          <w:szCs w:val="24"/>
        </w:rPr>
        <w:t xml:space="preserve"> su aprobación</w:t>
      </w:r>
      <w:r w:rsidR="00380D74">
        <w:rPr>
          <w:rFonts w:ascii="Verdana" w:eastAsia="Arial" w:hAnsi="Verdana" w:cs="Arial"/>
          <w:szCs w:val="24"/>
        </w:rPr>
        <w:t xml:space="preserve">, previa verificación de </w:t>
      </w:r>
      <w:r w:rsidR="00DE7473">
        <w:rPr>
          <w:rFonts w:ascii="Verdana" w:eastAsia="Arial" w:hAnsi="Verdana" w:cs="Arial"/>
          <w:szCs w:val="24"/>
        </w:rPr>
        <w:t xml:space="preserve">las condiciones del correspondiente anexo, en aras de establecer </w:t>
      </w:r>
      <w:r w:rsidR="00625085">
        <w:rPr>
          <w:rFonts w:ascii="Verdana" w:eastAsia="Arial" w:hAnsi="Verdana" w:cs="Arial"/>
          <w:szCs w:val="24"/>
        </w:rPr>
        <w:t xml:space="preserve">que </w:t>
      </w:r>
      <w:r w:rsidR="00DE7473">
        <w:rPr>
          <w:rFonts w:ascii="Verdana" w:eastAsia="Arial" w:hAnsi="Verdana" w:cs="Arial"/>
          <w:szCs w:val="24"/>
        </w:rPr>
        <w:t>la ampliación</w:t>
      </w:r>
      <w:r w:rsidR="00625085">
        <w:rPr>
          <w:rFonts w:ascii="Verdana" w:eastAsia="Arial" w:hAnsi="Verdana" w:cs="Arial"/>
          <w:szCs w:val="24"/>
        </w:rPr>
        <w:t xml:space="preserve"> de l</w:t>
      </w:r>
      <w:r w:rsidR="006F3E07">
        <w:rPr>
          <w:rFonts w:ascii="Verdana" w:eastAsia="Arial" w:hAnsi="Verdana" w:cs="Arial"/>
          <w:szCs w:val="24"/>
        </w:rPr>
        <w:t>as garantía</w:t>
      </w:r>
      <w:r w:rsidR="00735452">
        <w:rPr>
          <w:rFonts w:ascii="Verdana" w:eastAsia="Arial" w:hAnsi="Verdana" w:cs="Arial"/>
          <w:szCs w:val="24"/>
        </w:rPr>
        <w:t xml:space="preserve"> </w:t>
      </w:r>
      <w:r w:rsidR="006F3E07">
        <w:rPr>
          <w:rFonts w:ascii="Verdana" w:eastAsia="Arial" w:hAnsi="Verdana" w:cs="Arial"/>
          <w:szCs w:val="24"/>
        </w:rPr>
        <w:t>en atención a</w:t>
      </w:r>
      <w:r w:rsidR="00735452">
        <w:rPr>
          <w:rFonts w:ascii="Verdana" w:eastAsia="Arial" w:hAnsi="Verdana" w:cs="Arial"/>
          <w:szCs w:val="24"/>
        </w:rPr>
        <w:t xml:space="preserve"> las nuevas condiciones de tiempo y valor del contrat</w:t>
      </w:r>
      <w:r w:rsidR="006F3E07">
        <w:rPr>
          <w:rFonts w:ascii="Verdana" w:eastAsia="Arial" w:hAnsi="Verdana" w:cs="Arial"/>
          <w:szCs w:val="24"/>
        </w:rPr>
        <w:t>o</w:t>
      </w:r>
      <w:r w:rsidR="001E097A">
        <w:rPr>
          <w:rFonts w:ascii="Verdana" w:eastAsia="Arial" w:hAnsi="Verdana" w:cs="Arial"/>
          <w:szCs w:val="24"/>
        </w:rPr>
        <w:t xml:space="preserve"> cumpla con la suficiencia</w:t>
      </w:r>
      <w:r w:rsidR="00564034">
        <w:rPr>
          <w:rFonts w:ascii="Verdana" w:eastAsia="Arial" w:hAnsi="Verdana" w:cs="Arial"/>
          <w:szCs w:val="24"/>
        </w:rPr>
        <w:t>s</w:t>
      </w:r>
      <w:r w:rsidR="009674ED">
        <w:rPr>
          <w:rFonts w:ascii="Verdana" w:eastAsia="Arial" w:hAnsi="Verdana" w:cs="Arial"/>
          <w:szCs w:val="24"/>
        </w:rPr>
        <w:t xml:space="preserve"> e</w:t>
      </w:r>
      <w:r w:rsidR="00FB4B99">
        <w:rPr>
          <w:rFonts w:ascii="Verdana" w:eastAsia="Arial" w:hAnsi="Verdana" w:cs="Arial"/>
          <w:szCs w:val="24"/>
        </w:rPr>
        <w:t>xigida</w:t>
      </w:r>
      <w:r w:rsidR="00564034">
        <w:rPr>
          <w:rFonts w:ascii="Verdana" w:eastAsia="Arial" w:hAnsi="Verdana" w:cs="Arial"/>
          <w:szCs w:val="24"/>
        </w:rPr>
        <w:t>s</w:t>
      </w:r>
      <w:r w:rsidR="00FB4B99">
        <w:rPr>
          <w:rFonts w:ascii="Verdana" w:eastAsia="Arial" w:hAnsi="Verdana" w:cs="Arial"/>
          <w:szCs w:val="24"/>
        </w:rPr>
        <w:t xml:space="preserve"> por </w:t>
      </w:r>
      <w:r w:rsidR="00564034">
        <w:rPr>
          <w:rFonts w:ascii="Verdana" w:eastAsia="Arial" w:hAnsi="Verdana" w:cs="Arial"/>
          <w:szCs w:val="24"/>
        </w:rPr>
        <w:t xml:space="preserve">lo regulado entre los artículos </w:t>
      </w:r>
      <w:r w:rsidR="00783FAA" w:rsidRPr="00100432">
        <w:rPr>
          <w:rFonts w:ascii="Verdana" w:eastAsia="Arial" w:hAnsi="Verdana" w:cs="Arial"/>
          <w:szCs w:val="24"/>
        </w:rPr>
        <w:t>2.2.1.2.3.1.10</w:t>
      </w:r>
      <w:r w:rsidR="00564034">
        <w:rPr>
          <w:rFonts w:ascii="Verdana" w:eastAsia="Arial" w:hAnsi="Verdana" w:cs="Arial"/>
          <w:szCs w:val="24"/>
        </w:rPr>
        <w:t xml:space="preserve"> y </w:t>
      </w:r>
      <w:r w:rsidR="00564034" w:rsidRPr="00564034">
        <w:rPr>
          <w:rFonts w:ascii="Verdana" w:eastAsia="Arial" w:hAnsi="Verdana" w:cs="Arial"/>
          <w:szCs w:val="24"/>
        </w:rPr>
        <w:t>2.2.1.2.3.1.17</w:t>
      </w:r>
      <w:r w:rsidR="00564034">
        <w:rPr>
          <w:rFonts w:ascii="Verdana" w:eastAsia="Arial" w:hAnsi="Verdana" w:cs="Arial"/>
          <w:szCs w:val="24"/>
        </w:rPr>
        <w:t xml:space="preserve"> del Decreto 1082 de 2015. </w:t>
      </w:r>
      <w:r w:rsidR="00380D74">
        <w:rPr>
          <w:rFonts w:ascii="Verdana" w:eastAsia="Arial" w:hAnsi="Verdana" w:cs="Arial"/>
          <w:szCs w:val="24"/>
        </w:rPr>
        <w:t xml:space="preserve"> </w:t>
      </w:r>
      <w:r w:rsidR="00564034">
        <w:rPr>
          <w:rFonts w:ascii="Verdana" w:eastAsia="Arial" w:hAnsi="Verdana" w:cs="Arial"/>
          <w:szCs w:val="24"/>
        </w:rPr>
        <w:t xml:space="preserve">En ese sentido, en aras de </w:t>
      </w:r>
      <w:r w:rsidR="0085469A">
        <w:rPr>
          <w:rFonts w:ascii="Verdana" w:eastAsia="Arial" w:hAnsi="Verdana" w:cs="Arial"/>
          <w:szCs w:val="24"/>
        </w:rPr>
        <w:t xml:space="preserve">evitar </w:t>
      </w:r>
      <w:r w:rsidR="005C3A99">
        <w:rPr>
          <w:rFonts w:ascii="Verdana" w:eastAsia="Arial" w:hAnsi="Verdana" w:cs="Arial"/>
          <w:szCs w:val="24"/>
        </w:rPr>
        <w:t>la</w:t>
      </w:r>
      <w:r w:rsidR="006764E2">
        <w:rPr>
          <w:rFonts w:ascii="Verdana" w:eastAsia="Arial" w:hAnsi="Verdana" w:cs="Arial"/>
          <w:szCs w:val="24"/>
        </w:rPr>
        <w:t xml:space="preserve"> interrupción de la</w:t>
      </w:r>
      <w:r w:rsidR="005C3A99">
        <w:rPr>
          <w:rFonts w:ascii="Verdana" w:eastAsia="Arial" w:hAnsi="Verdana" w:cs="Arial"/>
          <w:szCs w:val="24"/>
        </w:rPr>
        <w:t xml:space="preserve"> ejecución del contrato, las Entidades Estatales deber</w:t>
      </w:r>
      <w:r w:rsidR="00A00DD6">
        <w:rPr>
          <w:rFonts w:ascii="Verdana" w:eastAsia="Arial" w:hAnsi="Verdana" w:cs="Arial"/>
          <w:szCs w:val="24"/>
        </w:rPr>
        <w:t xml:space="preserve">án </w:t>
      </w:r>
      <w:r w:rsidR="00F052EB">
        <w:rPr>
          <w:rFonts w:ascii="Verdana" w:eastAsia="Arial" w:hAnsi="Verdana" w:cs="Arial"/>
          <w:szCs w:val="24"/>
        </w:rPr>
        <w:t xml:space="preserve">procurar aprobar la ampliación de las garantías </w:t>
      </w:r>
      <w:r w:rsidR="005D7417">
        <w:rPr>
          <w:rFonts w:ascii="Verdana" w:eastAsia="Arial" w:hAnsi="Verdana" w:cs="Arial"/>
          <w:szCs w:val="24"/>
        </w:rPr>
        <w:t xml:space="preserve">antes que venza el plazo inicial del contrato objeto de prórroga. </w:t>
      </w:r>
      <w:r w:rsidR="006764E2">
        <w:rPr>
          <w:rFonts w:ascii="Verdana" w:eastAsia="Arial" w:hAnsi="Verdana" w:cs="Arial"/>
          <w:szCs w:val="24"/>
        </w:rPr>
        <w:t xml:space="preserve">Para garantizar esto, el contratista debe presentar la ampliación dentro de un plazo razonable, </w:t>
      </w:r>
      <w:r w:rsidR="00AD2CF0">
        <w:rPr>
          <w:rFonts w:ascii="Verdana" w:hAnsi="Verdana"/>
        </w:rPr>
        <w:t>de conformidad a lo pactado en la respectiva modificación</w:t>
      </w:r>
      <w:r w:rsidR="007F2CCC">
        <w:rPr>
          <w:rFonts w:ascii="Verdana" w:hAnsi="Verdana"/>
        </w:rPr>
        <w:t xml:space="preserve"> </w:t>
      </w:r>
      <w:r w:rsidR="00BE0406">
        <w:rPr>
          <w:rFonts w:ascii="Verdana" w:hAnsi="Verdana"/>
        </w:rPr>
        <w:t>y</w:t>
      </w:r>
      <w:r w:rsidR="0040468E">
        <w:rPr>
          <w:rFonts w:ascii="Verdana" w:hAnsi="Verdana"/>
        </w:rPr>
        <w:t xml:space="preserve"> </w:t>
      </w:r>
      <w:r w:rsidR="00FB5873">
        <w:rPr>
          <w:rFonts w:ascii="Verdana" w:eastAsia="Arial" w:hAnsi="Verdana" w:cs="Arial"/>
          <w:szCs w:val="24"/>
        </w:rPr>
        <w:t xml:space="preserve">a efectos de evitar que opere el mecanismo de restablecimiento que se haya </w:t>
      </w:r>
      <w:r w:rsidR="0040468E">
        <w:rPr>
          <w:rFonts w:ascii="Verdana" w:eastAsia="Arial" w:hAnsi="Verdana" w:cs="Arial"/>
          <w:szCs w:val="24"/>
        </w:rPr>
        <w:t xml:space="preserve">previsto </w:t>
      </w:r>
      <w:r w:rsidR="00FB5873">
        <w:rPr>
          <w:rFonts w:ascii="Verdana" w:eastAsia="Arial" w:hAnsi="Verdana" w:cs="Arial"/>
          <w:szCs w:val="24"/>
        </w:rPr>
        <w:t xml:space="preserve">en </w:t>
      </w:r>
      <w:r w:rsidR="0040468E">
        <w:rPr>
          <w:rFonts w:ascii="Verdana" w:eastAsia="Arial" w:hAnsi="Verdana" w:cs="Arial"/>
          <w:szCs w:val="24"/>
        </w:rPr>
        <w:t xml:space="preserve">el pliego de condiciones con arreglo a lo dispuesto en el último inciso del artículo </w:t>
      </w:r>
      <w:r w:rsidR="0040468E" w:rsidRPr="007E2DF6">
        <w:rPr>
          <w:rFonts w:ascii="Verdana" w:hAnsi="Verdana"/>
        </w:rPr>
        <w:t>2.2.1.2.3.1.18</w:t>
      </w:r>
      <w:r w:rsidR="0040468E">
        <w:rPr>
          <w:rFonts w:ascii="Verdana" w:hAnsi="Verdana"/>
        </w:rPr>
        <w:t xml:space="preserve"> del Decreto 1082 de 2015</w:t>
      </w:r>
      <w:r w:rsidR="00BE0406">
        <w:rPr>
          <w:rFonts w:ascii="Verdana" w:hAnsi="Verdana"/>
        </w:rPr>
        <w:t>.</w:t>
      </w:r>
    </w:p>
    <w:p w14:paraId="05352EBC" w14:textId="74B7FB92" w:rsidR="0057111F" w:rsidRDefault="0057111F">
      <w:pPr>
        <w:spacing w:after="0" w:line="276" w:lineRule="auto"/>
        <w:ind w:firstLine="709"/>
        <w:jc w:val="both"/>
        <w:rPr>
          <w:rFonts w:ascii="Verdana" w:eastAsia="Arial" w:hAnsi="Verdana" w:cs="Arial"/>
          <w:szCs w:val="24"/>
        </w:rPr>
      </w:pPr>
      <w:r w:rsidRPr="00100432">
        <w:rPr>
          <w:rFonts w:ascii="Verdana" w:eastAsia="Arial" w:hAnsi="Verdana" w:cs="Arial"/>
          <w:szCs w:val="24"/>
        </w:rPr>
        <w:t xml:space="preserve">En </w:t>
      </w:r>
      <w:r w:rsidR="00CA7EF6">
        <w:rPr>
          <w:rFonts w:ascii="Verdana" w:eastAsia="Arial" w:hAnsi="Verdana" w:cs="Arial"/>
          <w:szCs w:val="24"/>
        </w:rPr>
        <w:t xml:space="preserve">todo caso, es claro que </w:t>
      </w:r>
      <w:r w:rsidRPr="00100432">
        <w:rPr>
          <w:rFonts w:ascii="Verdana" w:eastAsia="Arial" w:hAnsi="Verdana" w:cs="Arial"/>
          <w:szCs w:val="24"/>
        </w:rPr>
        <w:t>hasta tanto la Entidad Estatal no apruebe el anexo de la póliza prorrogada no será posible iniciar la ejecución de la modificación contractual</w:t>
      </w:r>
      <w:r w:rsidR="00CA7EF6">
        <w:rPr>
          <w:rFonts w:ascii="Verdana" w:eastAsia="Arial" w:hAnsi="Verdana" w:cs="Arial"/>
          <w:szCs w:val="24"/>
        </w:rPr>
        <w:t>.</w:t>
      </w:r>
      <w:r w:rsidRPr="00100432">
        <w:rPr>
          <w:rFonts w:ascii="Verdana" w:eastAsia="Arial" w:hAnsi="Verdana" w:cs="Arial"/>
          <w:szCs w:val="24"/>
        </w:rPr>
        <w:t xml:space="preserve"> </w:t>
      </w:r>
      <w:r w:rsidR="00CA7EF6">
        <w:rPr>
          <w:rFonts w:ascii="Verdana" w:eastAsia="Arial" w:hAnsi="Verdana" w:cs="Arial"/>
          <w:szCs w:val="24"/>
        </w:rPr>
        <w:t>No obstante</w:t>
      </w:r>
      <w:r w:rsidRPr="00100432">
        <w:rPr>
          <w:rFonts w:ascii="Verdana" w:eastAsia="Arial" w:hAnsi="Verdana" w:cs="Arial"/>
          <w:szCs w:val="24"/>
        </w:rPr>
        <w:t xml:space="preserve">, la Entidad Estatal no debe negarse a aprobar la prórroga de la garantía si no tiene una justificación valida. </w:t>
      </w:r>
    </w:p>
    <w:p w14:paraId="3390775A" w14:textId="77777777" w:rsidR="00CA7EF6" w:rsidRPr="00100432" w:rsidRDefault="00CA7EF6" w:rsidP="00100432">
      <w:pPr>
        <w:spacing w:after="0" w:line="276" w:lineRule="auto"/>
        <w:ind w:firstLine="709"/>
        <w:jc w:val="both"/>
        <w:rPr>
          <w:rFonts w:ascii="Verdana" w:hAnsi="Verdana" w:cs="Arial"/>
        </w:rPr>
      </w:pPr>
    </w:p>
    <w:p w14:paraId="644E8DC1" w14:textId="77777777" w:rsidR="0057111F" w:rsidRPr="006A288A" w:rsidRDefault="0057111F" w:rsidP="005711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A288A">
        <w:rPr>
          <w:rFonts w:ascii="Verdana" w:eastAsia="Century Gothic" w:hAnsi="Verdana" w:cs="Century Gothic"/>
          <w:b/>
          <w:bCs/>
        </w:rPr>
        <w:lastRenderedPageBreak/>
        <w:t>Referencias normativas, jurisprudenciales y otras fuentes:</w:t>
      </w:r>
    </w:p>
    <w:p w14:paraId="34A10C71" w14:textId="77777777" w:rsidR="0057111F" w:rsidRPr="006A288A" w:rsidRDefault="0057111F" w:rsidP="0057111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7111F" w:rsidRPr="006A288A" w14:paraId="0E0D49E1" w14:textId="77777777" w:rsidTr="00CC764E">
        <w:trPr>
          <w:trHeight w:val="870"/>
        </w:trPr>
        <w:tc>
          <w:tcPr>
            <w:tcW w:w="8647" w:type="dxa"/>
          </w:tcPr>
          <w:p w14:paraId="5057D06D" w14:textId="1DF458DE" w:rsidR="00725A3D" w:rsidRPr="00100432" w:rsidRDefault="00725A3D" w:rsidP="0057111F">
            <w:pPr>
              <w:pStyle w:val="Prrafodelista"/>
              <w:widowControl w:val="0"/>
              <w:numPr>
                <w:ilvl w:val="0"/>
                <w:numId w:val="18"/>
              </w:numPr>
              <w:autoSpaceDE w:val="0"/>
              <w:autoSpaceDN w:val="0"/>
              <w:spacing w:after="120" w:line="276" w:lineRule="auto"/>
              <w:jc w:val="both"/>
              <w:rPr>
                <w:rFonts w:ascii="Verdana" w:hAnsi="Verdana" w:cs="Arial"/>
                <w:lang w:val="es-CO"/>
              </w:rPr>
            </w:pPr>
            <w:r w:rsidRPr="00FC4A16">
              <w:rPr>
                <w:rFonts w:ascii="Verdana" w:hAnsi="Verdana" w:cs="Arial"/>
              </w:rPr>
              <w:t>Ley 80 de 1993</w:t>
            </w:r>
            <w:r>
              <w:rPr>
                <w:rFonts w:ascii="Verdana" w:hAnsi="Verdana" w:cs="Arial"/>
              </w:rPr>
              <w:t>,</w:t>
            </w:r>
            <w:r w:rsidRPr="00FC4A16">
              <w:rPr>
                <w:rFonts w:ascii="Verdana" w:hAnsi="Verdana" w:cs="Arial"/>
              </w:rPr>
              <w:t xml:space="preserve"> artículo 41</w:t>
            </w:r>
            <w:r>
              <w:rPr>
                <w:rFonts w:ascii="Verdana" w:hAnsi="Verdana" w:cs="Arial"/>
              </w:rPr>
              <w:t>.</w:t>
            </w:r>
          </w:p>
          <w:p w14:paraId="21671109" w14:textId="513AFE2F" w:rsidR="0057111F" w:rsidRPr="00FC4A16" w:rsidRDefault="0057111F" w:rsidP="0057111F">
            <w:pPr>
              <w:pStyle w:val="Prrafodelista"/>
              <w:widowControl w:val="0"/>
              <w:numPr>
                <w:ilvl w:val="0"/>
                <w:numId w:val="18"/>
              </w:numPr>
              <w:autoSpaceDE w:val="0"/>
              <w:autoSpaceDN w:val="0"/>
              <w:spacing w:after="120" w:line="276" w:lineRule="auto"/>
              <w:jc w:val="both"/>
              <w:rPr>
                <w:rFonts w:ascii="Verdana" w:hAnsi="Verdana" w:cs="Arial"/>
                <w:lang w:val="es-CO"/>
              </w:rPr>
            </w:pPr>
            <w:r w:rsidRPr="00FC4A16">
              <w:rPr>
                <w:rFonts w:ascii="Verdana" w:hAnsi="Verdana" w:cs="Arial"/>
              </w:rPr>
              <w:t>Ley 1150 de 2007</w:t>
            </w:r>
            <w:r w:rsidR="00725A3D">
              <w:rPr>
                <w:rFonts w:ascii="Verdana" w:hAnsi="Verdana" w:cs="Arial"/>
              </w:rPr>
              <w:t>,</w:t>
            </w:r>
            <w:r w:rsidRPr="00FC4A16">
              <w:rPr>
                <w:rFonts w:ascii="Verdana" w:hAnsi="Verdana" w:cs="Arial"/>
              </w:rPr>
              <w:t xml:space="preserve"> artículo 7</w:t>
            </w:r>
            <w:r w:rsidR="00725A3D">
              <w:rPr>
                <w:rFonts w:ascii="Verdana" w:hAnsi="Verdana" w:cs="Arial"/>
              </w:rPr>
              <w:t>.</w:t>
            </w:r>
            <w:r w:rsidRPr="00FC4A16">
              <w:rPr>
                <w:rFonts w:ascii="Verdana" w:hAnsi="Verdana" w:cs="Arial"/>
              </w:rPr>
              <w:t xml:space="preserve"> </w:t>
            </w:r>
          </w:p>
          <w:p w14:paraId="09453ADE" w14:textId="750363CA" w:rsidR="0057111F" w:rsidRPr="00725A3D" w:rsidRDefault="0057111F" w:rsidP="00725A3D">
            <w:pPr>
              <w:pStyle w:val="Prrafodelista"/>
              <w:widowControl w:val="0"/>
              <w:numPr>
                <w:ilvl w:val="0"/>
                <w:numId w:val="18"/>
              </w:numPr>
              <w:autoSpaceDE w:val="0"/>
              <w:autoSpaceDN w:val="0"/>
              <w:spacing w:after="120" w:line="276" w:lineRule="auto"/>
              <w:jc w:val="both"/>
              <w:rPr>
                <w:rFonts w:ascii="Verdana" w:hAnsi="Verdana" w:cs="Arial"/>
              </w:rPr>
            </w:pPr>
            <w:r w:rsidRPr="00725A3D">
              <w:rPr>
                <w:rFonts w:ascii="Verdana" w:hAnsi="Verdana" w:cs="Arial"/>
              </w:rPr>
              <w:t>Decreto 1082 de 2015</w:t>
            </w:r>
            <w:r w:rsidR="00725A3D">
              <w:rPr>
                <w:rFonts w:ascii="Verdana" w:hAnsi="Verdana" w:cs="Arial"/>
              </w:rPr>
              <w:t>,</w:t>
            </w:r>
            <w:r w:rsidRPr="00725A3D">
              <w:rPr>
                <w:rFonts w:ascii="Verdana" w:hAnsi="Verdana" w:cs="Arial"/>
              </w:rPr>
              <w:t xml:space="preserve"> artículo 2.2.1.2.3.1.18. </w:t>
            </w:r>
          </w:p>
          <w:p w14:paraId="3FF00E52" w14:textId="1E1838B1" w:rsidR="0057111F" w:rsidRPr="00FC4A16" w:rsidRDefault="0057111F" w:rsidP="0057111F">
            <w:pPr>
              <w:pStyle w:val="Prrafodelista"/>
              <w:widowControl w:val="0"/>
              <w:numPr>
                <w:ilvl w:val="0"/>
                <w:numId w:val="18"/>
              </w:numPr>
              <w:autoSpaceDE w:val="0"/>
              <w:autoSpaceDN w:val="0"/>
              <w:spacing w:after="120" w:line="276" w:lineRule="auto"/>
              <w:jc w:val="both"/>
              <w:rPr>
                <w:rFonts w:ascii="Verdana" w:hAnsi="Verdana" w:cs="Arial"/>
              </w:rPr>
            </w:pPr>
            <w:r w:rsidRPr="00FC4A16">
              <w:rPr>
                <w:rFonts w:ascii="Verdana" w:hAnsi="Verdana"/>
              </w:rPr>
              <w:t>Código de Comercio</w:t>
            </w:r>
            <w:r w:rsidR="00725A3D">
              <w:rPr>
                <w:rFonts w:ascii="Verdana" w:hAnsi="Verdana"/>
              </w:rPr>
              <w:t>,</w:t>
            </w:r>
            <w:r w:rsidRPr="00FC4A16">
              <w:rPr>
                <w:rFonts w:ascii="Verdana" w:hAnsi="Verdana"/>
              </w:rPr>
              <w:t xml:space="preserve"> artículo 1048 </w:t>
            </w:r>
          </w:p>
          <w:p w14:paraId="7762380D" w14:textId="22439EF7" w:rsidR="0057111F" w:rsidRPr="006A288A" w:rsidRDefault="00725A3D" w:rsidP="0057111F">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725A3D">
              <w:rPr>
                <w:rFonts w:ascii="Verdana" w:hAnsi="Verdana" w:cs="Arial"/>
              </w:rPr>
              <w:t>Consejo de Estado,</w:t>
            </w:r>
            <w:r>
              <w:rPr>
                <w:rFonts w:ascii="Verdana" w:hAnsi="Verdana" w:cs="Arial"/>
              </w:rPr>
              <w:t xml:space="preserve"> Sección Tercera,</w:t>
            </w:r>
            <w:r w:rsidRPr="00725A3D">
              <w:rPr>
                <w:rFonts w:ascii="Verdana" w:hAnsi="Verdana" w:cs="Arial"/>
              </w:rPr>
              <w:t xml:space="preserve"> Subsección B, </w:t>
            </w:r>
            <w:r>
              <w:rPr>
                <w:rFonts w:ascii="Verdana" w:hAnsi="Verdana" w:cs="Arial"/>
              </w:rPr>
              <w:t>S</w:t>
            </w:r>
            <w:r w:rsidRPr="00725A3D">
              <w:rPr>
                <w:rFonts w:ascii="Verdana" w:hAnsi="Verdana" w:cs="Arial"/>
              </w:rPr>
              <w:t>entencia de 31 de agosto de 2011, Exp. 18080, C.P. Ruth Stella Correa Palacio</w:t>
            </w:r>
            <w:r w:rsidR="0057111F" w:rsidRPr="00FC4A16">
              <w:rPr>
                <w:rFonts w:ascii="Verdana" w:hAnsi="Verdana" w:cs="Arial"/>
              </w:rPr>
              <w:t xml:space="preserve">. Disponible en: </w:t>
            </w:r>
            <w:hyperlink r:id="rId13" w:history="1">
              <w:r w:rsidR="0057111F" w:rsidRPr="0057111F">
                <w:rPr>
                  <w:rStyle w:val="Hipervnculo"/>
                  <w:rFonts w:ascii="Verdana" w:hAnsi="Verdana" w:cs="Arial"/>
                  <w:color w:val="4472C4" w:themeColor="accent1"/>
                </w:rPr>
                <w:t>https://relatoria.colombiacompra.gov.co/providencias-consejo-de-estado/</w:t>
              </w:r>
            </w:hyperlink>
            <w:r w:rsidR="0057111F" w:rsidRPr="0057111F">
              <w:rPr>
                <w:rFonts w:ascii="Verdana" w:hAnsi="Verdana" w:cs="Arial"/>
                <w:color w:val="4472C4" w:themeColor="accent1"/>
              </w:rPr>
              <w:t xml:space="preserve"> </w:t>
            </w:r>
          </w:p>
        </w:tc>
      </w:tr>
    </w:tbl>
    <w:p w14:paraId="2ED7F9A8" w14:textId="77777777" w:rsidR="0057111F" w:rsidRPr="006A288A" w:rsidRDefault="0057111F" w:rsidP="0057111F">
      <w:pPr>
        <w:widowControl w:val="0"/>
        <w:autoSpaceDE w:val="0"/>
        <w:autoSpaceDN w:val="0"/>
        <w:spacing w:after="0" w:line="276" w:lineRule="auto"/>
        <w:jc w:val="both"/>
        <w:rPr>
          <w:rFonts w:ascii="Verdana" w:hAnsi="Verdana" w:cs="Arial"/>
        </w:rPr>
      </w:pPr>
    </w:p>
    <w:p w14:paraId="2E916F5C" w14:textId="77777777" w:rsidR="0057111F" w:rsidRPr="006A288A" w:rsidRDefault="0057111F" w:rsidP="0057111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A288A">
        <w:rPr>
          <w:rFonts w:ascii="Verdana" w:eastAsia="Century Gothic" w:hAnsi="Verdana" w:cs="Century Gothic"/>
          <w:b/>
          <w:bCs/>
        </w:rPr>
        <w:t>Doctrina de la Agencia Nacional de Contratación Pública:</w:t>
      </w:r>
    </w:p>
    <w:p w14:paraId="1C69E149" w14:textId="77777777" w:rsidR="0057111F" w:rsidRPr="006A288A" w:rsidRDefault="0057111F" w:rsidP="0057111F">
      <w:pPr>
        <w:widowControl w:val="0"/>
        <w:autoSpaceDE w:val="0"/>
        <w:autoSpaceDN w:val="0"/>
        <w:spacing w:after="0" w:line="276" w:lineRule="auto"/>
        <w:jc w:val="both"/>
        <w:rPr>
          <w:rFonts w:ascii="Verdana" w:hAnsi="Verdana" w:cs="Arial"/>
        </w:rPr>
      </w:pPr>
    </w:p>
    <w:p w14:paraId="24F45E3A" w14:textId="77777777" w:rsidR="0057111F" w:rsidRPr="0057111F" w:rsidRDefault="0057111F" w:rsidP="0057111F">
      <w:pPr>
        <w:widowControl w:val="0"/>
        <w:autoSpaceDE w:val="0"/>
        <w:autoSpaceDN w:val="0"/>
        <w:spacing w:after="0" w:line="276" w:lineRule="auto"/>
        <w:jc w:val="both"/>
        <w:rPr>
          <w:rStyle w:val="normaltextrun"/>
          <w:rFonts w:ascii="Verdana" w:hAnsi="Verdana" w:cs="Arial"/>
          <w:shd w:val="clear" w:color="auto" w:fill="FFFFFF"/>
          <w:lang w:val="es-ES"/>
        </w:rPr>
      </w:pPr>
      <w:r w:rsidRPr="00FC4A16">
        <w:rPr>
          <w:rStyle w:val="normaltextrun"/>
          <w:rFonts w:ascii="Verdana" w:hAnsi="Verdana" w:cs="Arial"/>
          <w:shd w:val="clear" w:color="auto" w:fill="FFFFFF"/>
          <w:lang w:val="es-ES"/>
        </w:rPr>
        <w:t>Sobre las garantías en los contratos estatales, y su papel en las adiciones o prorrogas, se pronunció esta Subdirección en los conceptos 2201913000008327 del 8 de noviembre de 2019, C-584 del 26 de septiembre de 2022, C-845 del 7 de diciembre de 2022, C-930 del 30 de diciembre de 2022, C-019 del 3 de marzo de 2023, C-036 del 31 de marzo de 2023 y C-060 del 18 de abril de 2023. En particular, en los conceptos C-036 del 31 de marzo de 2023, C-060 del 18 de abril de 2023 se estudió la definición general de garantías y su papel como requisito para la ejecución del contrato estatal. Es</w:t>
      </w:r>
      <w:r w:rsidRPr="00FC4A16">
        <w:rPr>
          <w:rFonts w:ascii="Verdana" w:hAnsi="Verdana"/>
        </w:rPr>
        <w:t xml:space="preserve">tos y otros conceptos se encuentran disponibles para consulta en el Sistema de relatoría de la Agencia, al cual se puede acceder a través del siguiente </w:t>
      </w:r>
      <w:r w:rsidRPr="006A288A">
        <w:rPr>
          <w:rFonts w:ascii="Verdana" w:hAnsi="Verdana"/>
        </w:rPr>
        <w:t>enlace:</w:t>
      </w:r>
      <w:r w:rsidRPr="006A288A">
        <w:rPr>
          <w:rStyle w:val="normaltextrun"/>
          <w:rFonts w:ascii="Verdana" w:hAnsi="Verdana" w:cs="Arial"/>
          <w:shd w:val="clear" w:color="auto" w:fill="FFFFFF"/>
          <w:lang w:val="es-ES"/>
        </w:rPr>
        <w:t xml:space="preserve"> </w:t>
      </w:r>
      <w:hyperlink r:id="rId14" w:history="1">
        <w:r w:rsidRPr="0057111F">
          <w:rPr>
            <w:rStyle w:val="Hipervnculo"/>
            <w:rFonts w:ascii="Verdana" w:hAnsi="Verdana" w:cs="Arial"/>
            <w:color w:val="4472C4" w:themeColor="accent1"/>
            <w:shd w:val="clear" w:color="auto" w:fill="FFFFFF"/>
            <w:lang w:val="es-ES"/>
          </w:rPr>
          <w:t>https://relatoria.colombiacompra.gov.co/busqueda/conceptos</w:t>
        </w:r>
      </w:hyperlink>
      <w:r w:rsidRPr="0057111F">
        <w:rPr>
          <w:rStyle w:val="normaltextrun"/>
          <w:rFonts w:ascii="Verdana" w:hAnsi="Verdana" w:cs="Arial"/>
          <w:color w:val="4472C4" w:themeColor="accent1"/>
          <w:shd w:val="clear" w:color="auto" w:fill="FFFFFF"/>
          <w:lang w:val="es-ES"/>
        </w:rPr>
        <w:t xml:space="preserve">. </w:t>
      </w:r>
    </w:p>
    <w:p w14:paraId="4DCF8D18" w14:textId="77777777" w:rsidR="0057111F" w:rsidRPr="0057111F" w:rsidRDefault="0057111F" w:rsidP="0057111F">
      <w:pPr>
        <w:widowControl w:val="0"/>
        <w:autoSpaceDE w:val="0"/>
        <w:autoSpaceDN w:val="0"/>
        <w:spacing w:after="0" w:line="276" w:lineRule="auto"/>
        <w:jc w:val="both"/>
        <w:rPr>
          <w:rStyle w:val="normaltextrun"/>
          <w:rFonts w:ascii="Verdana" w:hAnsi="Verdana" w:cs="Arial"/>
          <w:shd w:val="clear" w:color="auto" w:fill="FFFFFF"/>
          <w:lang w:val="es-ES"/>
        </w:rPr>
      </w:pPr>
    </w:p>
    <w:p w14:paraId="2E64AA23" w14:textId="77777777" w:rsidR="0057111F" w:rsidRPr="0057111F" w:rsidRDefault="0057111F" w:rsidP="0057111F">
      <w:pPr>
        <w:widowControl w:val="0"/>
        <w:autoSpaceDE w:val="0"/>
        <w:autoSpaceDN w:val="0"/>
        <w:spacing w:after="0" w:line="276" w:lineRule="auto"/>
        <w:jc w:val="both"/>
        <w:rPr>
          <w:rStyle w:val="normaltextrun"/>
          <w:rFonts w:ascii="Verdana" w:hAnsi="Verdana" w:cs="Arial"/>
          <w:shd w:val="clear" w:color="auto" w:fill="FFFFFF"/>
          <w:lang w:val="es-ES"/>
        </w:rPr>
      </w:pPr>
      <w:r w:rsidRPr="0057111F">
        <w:rPr>
          <w:rStyle w:val="normaltextrun"/>
          <w:rFonts w:ascii="Verdana" w:hAnsi="Verdana" w:cs="Arial"/>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5" w:history="1">
        <w:r w:rsidRPr="0057111F">
          <w:rPr>
            <w:rStyle w:val="Hipervnculo"/>
            <w:rFonts w:ascii="Verdana" w:hAnsi="Verdana" w:cs="Arial"/>
            <w:color w:val="4472C4" w:themeColor="accent1"/>
            <w:shd w:val="clear" w:color="auto" w:fill="FFFFFF"/>
            <w:lang w:val="es-ES"/>
          </w:rPr>
          <w:t>https://www.colombiacompra.gov.co/sala-de-prensa/boletin-digital</w:t>
        </w:r>
      </w:hyperlink>
      <w:r w:rsidRPr="0057111F">
        <w:rPr>
          <w:rStyle w:val="normaltextrun"/>
          <w:rFonts w:ascii="Verdana" w:hAnsi="Verdana" w:cs="Arial"/>
          <w:color w:val="4472C4" w:themeColor="accent1"/>
          <w:shd w:val="clear" w:color="auto" w:fill="FFFFFF"/>
          <w:lang w:val="es-ES"/>
        </w:rPr>
        <w:t xml:space="preserve">      </w:t>
      </w:r>
    </w:p>
    <w:p w14:paraId="30FEF73B" w14:textId="7E68FF5F" w:rsidR="0057111F" w:rsidRPr="006A288A" w:rsidRDefault="0057111F" w:rsidP="0057111F">
      <w:pPr>
        <w:spacing w:after="0" w:line="240" w:lineRule="auto"/>
        <w:jc w:val="both"/>
        <w:rPr>
          <w:rFonts w:ascii="Verdana" w:hAnsi="Verdana"/>
        </w:rPr>
      </w:pPr>
      <w:r w:rsidRPr="006A288A">
        <w:rPr>
          <w:rFonts w:ascii="Verdana" w:hAnsi="Verdana"/>
        </w:rPr>
        <w:t xml:space="preserve">Por último, lo invitamos a seguirnos en las redes sociales en las cuales se difunde información institucional: </w:t>
      </w:r>
    </w:p>
    <w:p w14:paraId="405F598A" w14:textId="77777777" w:rsidR="0057111F" w:rsidRPr="006A288A" w:rsidRDefault="0057111F" w:rsidP="0057111F">
      <w:pPr>
        <w:spacing w:after="0" w:line="240" w:lineRule="auto"/>
        <w:jc w:val="both"/>
        <w:rPr>
          <w:rFonts w:ascii="Verdana" w:hAnsi="Verdana"/>
        </w:rPr>
      </w:pPr>
      <w:r w:rsidRPr="006A288A">
        <w:rPr>
          <w:rFonts w:ascii="Verdana" w:hAnsi="Verdana"/>
        </w:rPr>
        <w:t xml:space="preserve">Twitter: </w:t>
      </w:r>
      <w:r w:rsidRPr="006A288A">
        <w:rPr>
          <w:rStyle w:val="Hipervnculo"/>
          <w:rFonts w:ascii="Verdana" w:hAnsi="Verdana"/>
          <w:color w:val="4472C4" w:themeColor="accent1"/>
        </w:rPr>
        <w:t>@colombiacompra</w:t>
      </w:r>
      <w:r w:rsidRPr="006A288A">
        <w:rPr>
          <w:rFonts w:ascii="Verdana" w:hAnsi="Verdana"/>
          <w:color w:val="4472C4" w:themeColor="accent1"/>
        </w:rPr>
        <w:t xml:space="preserve"> </w:t>
      </w:r>
    </w:p>
    <w:p w14:paraId="24FAEB6F" w14:textId="77777777" w:rsidR="0057111F" w:rsidRPr="006A288A" w:rsidRDefault="0057111F" w:rsidP="0057111F">
      <w:pPr>
        <w:spacing w:after="0" w:line="240" w:lineRule="auto"/>
        <w:jc w:val="both"/>
        <w:rPr>
          <w:rFonts w:ascii="Verdana" w:hAnsi="Verdana"/>
        </w:rPr>
      </w:pPr>
      <w:r w:rsidRPr="006A288A">
        <w:rPr>
          <w:rFonts w:ascii="Verdana" w:hAnsi="Verdana"/>
        </w:rPr>
        <w:t xml:space="preserve">Facebook: </w:t>
      </w:r>
      <w:r w:rsidRPr="006A288A">
        <w:rPr>
          <w:rStyle w:val="Hipervnculo"/>
          <w:rFonts w:ascii="Verdana" w:hAnsi="Verdana"/>
          <w:color w:val="4472C4" w:themeColor="accent1"/>
        </w:rPr>
        <w:t>ColombiaCompraEficiente</w:t>
      </w:r>
    </w:p>
    <w:p w14:paraId="4926D52B" w14:textId="77777777" w:rsidR="0057111F" w:rsidRPr="006A288A" w:rsidRDefault="0057111F" w:rsidP="0057111F">
      <w:pPr>
        <w:spacing w:after="0" w:line="240" w:lineRule="auto"/>
        <w:jc w:val="both"/>
        <w:rPr>
          <w:rFonts w:ascii="Verdana" w:hAnsi="Verdana"/>
        </w:rPr>
      </w:pPr>
      <w:r w:rsidRPr="006A288A">
        <w:rPr>
          <w:rFonts w:ascii="Verdana" w:hAnsi="Verdana"/>
        </w:rPr>
        <w:t xml:space="preserve">LinkedIn: </w:t>
      </w:r>
      <w:r w:rsidRPr="006A288A">
        <w:rPr>
          <w:rStyle w:val="Hipervnculo"/>
          <w:rFonts w:ascii="Verdana" w:hAnsi="Verdana"/>
          <w:color w:val="4472C4" w:themeColor="accent1"/>
        </w:rPr>
        <w:t>Agencia Nacional de Contratación Pública - Colombia Compra Eficiente</w:t>
      </w:r>
      <w:r w:rsidRPr="006A288A">
        <w:rPr>
          <w:rFonts w:ascii="Verdana" w:hAnsi="Verdana"/>
          <w:color w:val="4472C4" w:themeColor="accent1"/>
        </w:rPr>
        <w:t xml:space="preserve"> </w:t>
      </w:r>
      <w:r w:rsidRPr="006A288A">
        <w:rPr>
          <w:rFonts w:ascii="Verdana" w:hAnsi="Verdana"/>
        </w:rPr>
        <w:t xml:space="preserve">Instagram: </w:t>
      </w:r>
      <w:r w:rsidRPr="006A288A">
        <w:rPr>
          <w:rStyle w:val="Hipervnculo"/>
          <w:rFonts w:ascii="Verdana" w:hAnsi="Verdana"/>
          <w:color w:val="4472C4" w:themeColor="accent1"/>
        </w:rPr>
        <w:t>@colombiacompraeficiente_cce</w:t>
      </w:r>
    </w:p>
    <w:p w14:paraId="71CCB646" w14:textId="77777777" w:rsidR="0057111F" w:rsidRPr="006A288A" w:rsidRDefault="0057111F" w:rsidP="0057111F">
      <w:pPr>
        <w:widowControl w:val="0"/>
        <w:autoSpaceDE w:val="0"/>
        <w:autoSpaceDN w:val="0"/>
        <w:spacing w:after="0" w:line="276" w:lineRule="auto"/>
        <w:jc w:val="both"/>
        <w:rPr>
          <w:rFonts w:ascii="Verdana" w:hAnsi="Verdana" w:cs="Arial"/>
        </w:rPr>
      </w:pPr>
    </w:p>
    <w:p w14:paraId="55798B99" w14:textId="77777777" w:rsidR="0057111F" w:rsidRPr="006A288A" w:rsidRDefault="0057111F" w:rsidP="0057111F">
      <w:pPr>
        <w:widowControl w:val="0"/>
        <w:autoSpaceDE w:val="0"/>
        <w:autoSpaceDN w:val="0"/>
        <w:spacing w:after="0" w:line="276" w:lineRule="auto"/>
        <w:jc w:val="both"/>
        <w:rPr>
          <w:rFonts w:ascii="Verdana" w:hAnsi="Verdana" w:cs="Arial"/>
          <w:lang w:val="es-ES_tradnl"/>
        </w:rPr>
      </w:pPr>
      <w:r w:rsidRPr="006A288A">
        <w:rPr>
          <w:rFonts w:ascii="Verdana" w:hAnsi="Verdana" w:cs="Arial"/>
        </w:rPr>
        <w:t xml:space="preserve">Este concepto tiene el alcance previsto en el artículo 28 del Código de Procedimiento Administrativo y de lo Contencioso Administrativo </w:t>
      </w:r>
      <w:r w:rsidRPr="006A288A">
        <w:rPr>
          <w:rFonts w:ascii="Verdana" w:hAnsi="Verdana" w:cs="Arial"/>
          <w:lang w:val="es-ES_tradnl"/>
        </w:rPr>
        <w:t xml:space="preserve">y las expresiones aquí utilizadas con mayúscula inicial deben ser entendidas con el </w:t>
      </w:r>
      <w:r w:rsidRPr="006A288A">
        <w:rPr>
          <w:rFonts w:ascii="Verdana" w:hAnsi="Verdana" w:cs="Arial"/>
          <w:lang w:val="es-ES_tradnl"/>
        </w:rPr>
        <w:lastRenderedPageBreak/>
        <w:t>significado que les otorga el artículo 2.2.1.1.1.3.1. del Decreto 1082 de 2015.</w:t>
      </w:r>
    </w:p>
    <w:p w14:paraId="32ED4346" w14:textId="77777777" w:rsidR="0057111F" w:rsidRPr="006A288A" w:rsidRDefault="0057111F" w:rsidP="0057111F">
      <w:pPr>
        <w:widowControl w:val="0"/>
        <w:autoSpaceDE w:val="0"/>
        <w:autoSpaceDN w:val="0"/>
        <w:spacing w:after="0" w:line="276" w:lineRule="auto"/>
        <w:jc w:val="both"/>
        <w:rPr>
          <w:rFonts w:ascii="Verdana" w:hAnsi="Verdana" w:cs="Arial"/>
        </w:rPr>
      </w:pPr>
    </w:p>
    <w:p w14:paraId="533AB456" w14:textId="77777777" w:rsidR="0057111F" w:rsidRPr="006A288A" w:rsidRDefault="0057111F" w:rsidP="0057111F">
      <w:pPr>
        <w:spacing w:after="0" w:line="240" w:lineRule="auto"/>
        <w:rPr>
          <w:rFonts w:ascii="Verdana" w:hAnsi="Verdana" w:cs="Arial"/>
          <w:lang w:eastAsia="es-CO"/>
        </w:rPr>
      </w:pPr>
      <w:r w:rsidRPr="006A288A">
        <w:rPr>
          <w:rFonts w:ascii="Verdana" w:eastAsia="Times New Roman" w:hAnsi="Verdana" w:cs="Arial"/>
          <w:lang w:eastAsia="es-CO"/>
        </w:rPr>
        <w:t>Atentamente,</w:t>
      </w:r>
      <w:r w:rsidRPr="006A288A">
        <w:rPr>
          <w:rFonts w:ascii="Verdana" w:hAnsi="Verdana" w:cs="Arial"/>
          <w:lang w:eastAsia="es-CO"/>
        </w:rPr>
        <w:t xml:space="preserve"> </w:t>
      </w:r>
    </w:p>
    <w:p w14:paraId="0E253444" w14:textId="20D497B0" w:rsidR="0057111F" w:rsidRPr="006A288A" w:rsidRDefault="002F082C" w:rsidP="0057111F">
      <w:pPr>
        <w:spacing w:line="276" w:lineRule="auto"/>
        <w:jc w:val="center"/>
        <w:rPr>
          <w:rFonts w:ascii="Verdana" w:hAnsi="Verdana" w:cs="Arial"/>
          <w:color w:val="000000"/>
          <w:lang w:val="es-ES_tradnl" w:eastAsia="es-CO"/>
        </w:rPr>
      </w:pPr>
      <w:r>
        <w:rPr>
          <w:noProof/>
        </w:rPr>
        <w:drawing>
          <wp:inline distT="0" distB="0" distL="0" distR="0" wp14:anchorId="54806606" wp14:editId="71E4E891">
            <wp:extent cx="3771429" cy="1400000"/>
            <wp:effectExtent l="0" t="0" r="635" b="0"/>
            <wp:docPr id="143300477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004775" name="Imagen 1" descr="Texto&#10;&#10;Descripción generada automáticamente"/>
                    <pic:cNvPicPr/>
                  </pic:nvPicPr>
                  <pic:blipFill>
                    <a:blip r:embed="rId16"/>
                    <a:stretch>
                      <a:fillRect/>
                    </a:stretch>
                  </pic:blipFill>
                  <pic:spPr>
                    <a:xfrm>
                      <a:off x="0" y="0"/>
                      <a:ext cx="3771429" cy="140000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7111F" w:rsidRPr="00FC4A16" w14:paraId="62EB224E" w14:textId="77777777" w:rsidTr="00CC764E">
        <w:trPr>
          <w:trHeight w:val="315"/>
        </w:trPr>
        <w:tc>
          <w:tcPr>
            <w:tcW w:w="893" w:type="dxa"/>
            <w:vAlign w:val="center"/>
            <w:hideMark/>
          </w:tcPr>
          <w:p w14:paraId="4452D332" w14:textId="77777777" w:rsidR="0057111F" w:rsidRPr="00FC4A16" w:rsidRDefault="0057111F" w:rsidP="00CC764E">
            <w:pPr>
              <w:contextualSpacing/>
              <w:rPr>
                <w:rFonts w:ascii="Verdana" w:hAnsi="Verdana" w:cs="Arial"/>
                <w:sz w:val="16"/>
                <w:szCs w:val="16"/>
                <w:lang w:val="es-ES" w:eastAsia="es-ES"/>
              </w:rPr>
            </w:pPr>
            <w:r w:rsidRPr="00FC4A16">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87CEB5F" w14:textId="77777777" w:rsidR="0057111F" w:rsidRPr="00FC4A16" w:rsidRDefault="0057111F" w:rsidP="00CC764E">
            <w:pPr>
              <w:contextualSpacing/>
              <w:rPr>
                <w:rStyle w:val="normaltextrun"/>
                <w:rFonts w:ascii="Verdana" w:hAnsi="Verdana"/>
                <w:sz w:val="16"/>
                <w:szCs w:val="16"/>
              </w:rPr>
            </w:pPr>
            <w:r w:rsidRPr="00FC4A16">
              <w:rPr>
                <w:rStyle w:val="normaltextrun"/>
                <w:rFonts w:ascii="Verdana" w:hAnsi="Verdana"/>
                <w:sz w:val="16"/>
                <w:szCs w:val="16"/>
              </w:rPr>
              <w:t>Santiago Alberto Herrera Morillo</w:t>
            </w:r>
          </w:p>
          <w:p w14:paraId="2B5E7CEC" w14:textId="77777777" w:rsidR="0057111F" w:rsidRPr="00FC4A16" w:rsidRDefault="0057111F" w:rsidP="00CC764E">
            <w:pPr>
              <w:contextualSpacing/>
              <w:rPr>
                <w:rFonts w:ascii="Verdana" w:eastAsia="Arial" w:hAnsi="Verdana" w:cs="Arial"/>
                <w:sz w:val="16"/>
                <w:szCs w:val="16"/>
              </w:rPr>
            </w:pPr>
            <w:r w:rsidRPr="00FC4A16">
              <w:rPr>
                <w:rStyle w:val="normaltextrun"/>
                <w:rFonts w:ascii="Verdana" w:hAnsi="Verdana"/>
                <w:sz w:val="16"/>
                <w:szCs w:val="16"/>
              </w:rPr>
              <w:t xml:space="preserve">Analista T2-02 </w:t>
            </w:r>
            <w:r w:rsidRPr="00FC4A16">
              <w:rPr>
                <w:rStyle w:val="normaltextrun"/>
                <w:rFonts w:ascii="Verdana" w:eastAsia="Arial" w:hAnsi="Verdana" w:cs="Arial"/>
                <w:sz w:val="16"/>
                <w:szCs w:val="16"/>
              </w:rPr>
              <w:t>de la Subdirección de Gestión Contractual</w:t>
            </w:r>
          </w:p>
        </w:tc>
      </w:tr>
      <w:tr w:rsidR="0057111F" w:rsidRPr="00FC4A16" w14:paraId="0F83F6C0" w14:textId="77777777" w:rsidTr="00CC764E">
        <w:trPr>
          <w:trHeight w:val="330"/>
        </w:trPr>
        <w:tc>
          <w:tcPr>
            <w:tcW w:w="893" w:type="dxa"/>
            <w:vAlign w:val="center"/>
            <w:hideMark/>
          </w:tcPr>
          <w:p w14:paraId="718FE97E" w14:textId="77777777" w:rsidR="0057111F" w:rsidRPr="00FC4A16" w:rsidRDefault="0057111F" w:rsidP="00CC764E">
            <w:pPr>
              <w:contextualSpacing/>
              <w:rPr>
                <w:rFonts w:ascii="Verdana" w:hAnsi="Verdana" w:cs="Arial"/>
                <w:sz w:val="16"/>
                <w:szCs w:val="16"/>
                <w:lang w:val="es-ES" w:eastAsia="es-ES"/>
              </w:rPr>
            </w:pPr>
            <w:r w:rsidRPr="00FC4A16">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8FD7AD7" w14:textId="77777777" w:rsidR="0057111F" w:rsidRPr="00FC4A16" w:rsidRDefault="0057111F" w:rsidP="00CC764E">
            <w:pPr>
              <w:pStyle w:val="paragraph"/>
              <w:spacing w:after="0"/>
              <w:contextualSpacing/>
              <w:textAlignment w:val="baseline"/>
              <w:rPr>
                <w:rStyle w:val="normaltextrun"/>
                <w:rFonts w:ascii="Verdana" w:hAnsi="Verdana" w:cs="Arial"/>
                <w:sz w:val="16"/>
                <w:szCs w:val="16"/>
                <w:lang w:val="es-ES"/>
              </w:rPr>
            </w:pPr>
            <w:r w:rsidRPr="00FC4A16">
              <w:rPr>
                <w:rStyle w:val="normaltextrun"/>
                <w:rFonts w:ascii="Verdana" w:hAnsi="Verdana" w:cs="Arial"/>
                <w:sz w:val="16"/>
                <w:szCs w:val="16"/>
                <w:lang w:val="es-ES"/>
              </w:rPr>
              <w:t xml:space="preserve">Alejandro Sarmiento Cantillo </w:t>
            </w:r>
          </w:p>
          <w:p w14:paraId="6F5E4B84" w14:textId="77777777" w:rsidR="0057111F" w:rsidRPr="00FC4A16" w:rsidRDefault="0057111F" w:rsidP="00CC764E">
            <w:pPr>
              <w:pStyle w:val="paragraph"/>
              <w:contextualSpacing/>
              <w:textAlignment w:val="baseline"/>
              <w:rPr>
                <w:rFonts w:ascii="Verdana" w:hAnsi="Verdana" w:cs="Arial"/>
                <w:sz w:val="16"/>
                <w:szCs w:val="16"/>
                <w:lang w:val="es-ES"/>
              </w:rPr>
            </w:pPr>
            <w:r w:rsidRPr="00FC4A16">
              <w:rPr>
                <w:rStyle w:val="normaltextrun"/>
                <w:rFonts w:ascii="Verdana" w:hAnsi="Verdana" w:cs="Arial"/>
                <w:sz w:val="16"/>
                <w:szCs w:val="16"/>
                <w:lang w:val="es-ES"/>
              </w:rPr>
              <w:t xml:space="preserve">Gestor T1-15 de la Subdirección de Gestión Contractual </w:t>
            </w:r>
          </w:p>
        </w:tc>
      </w:tr>
      <w:tr w:rsidR="0057111F" w:rsidRPr="00FC4A16" w14:paraId="7767008A" w14:textId="77777777" w:rsidTr="00CC764E">
        <w:trPr>
          <w:trHeight w:val="300"/>
        </w:trPr>
        <w:tc>
          <w:tcPr>
            <w:tcW w:w="893" w:type="dxa"/>
            <w:vAlign w:val="center"/>
          </w:tcPr>
          <w:p w14:paraId="549DD786" w14:textId="77777777" w:rsidR="0057111F" w:rsidRPr="00FC4A16" w:rsidRDefault="0057111F" w:rsidP="00CC764E">
            <w:pPr>
              <w:contextualSpacing/>
              <w:rPr>
                <w:rFonts w:ascii="Verdana" w:hAnsi="Verdana" w:cs="Arial"/>
                <w:sz w:val="16"/>
                <w:szCs w:val="16"/>
                <w:lang w:val="es-ES" w:eastAsia="es-ES"/>
              </w:rPr>
            </w:pPr>
            <w:r w:rsidRPr="00FC4A16">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6621D3A" w14:textId="77777777" w:rsidR="0057111F" w:rsidRPr="00FC4A16" w:rsidRDefault="0057111F" w:rsidP="00CC764E">
            <w:pPr>
              <w:contextualSpacing/>
              <w:rPr>
                <w:rFonts w:ascii="Verdana" w:eastAsia="Calibri" w:hAnsi="Verdana" w:cs="Arial"/>
                <w:sz w:val="16"/>
                <w:szCs w:val="16"/>
                <w:lang w:val="pt-BR" w:eastAsia="es-ES"/>
              </w:rPr>
            </w:pPr>
            <w:r w:rsidRPr="00FC4A16">
              <w:rPr>
                <w:rFonts w:ascii="Verdana" w:eastAsia="Calibri" w:hAnsi="Verdana" w:cs="Arial"/>
                <w:sz w:val="16"/>
                <w:szCs w:val="16"/>
                <w:lang w:val="pt-BR" w:eastAsia="es-ES"/>
              </w:rPr>
              <w:t>Carolina Quintero Gacharná</w:t>
            </w:r>
          </w:p>
          <w:p w14:paraId="3D0802FA" w14:textId="77777777" w:rsidR="0057111F" w:rsidRPr="00FC4A16" w:rsidRDefault="0057111F" w:rsidP="00CC764E">
            <w:pPr>
              <w:contextualSpacing/>
              <w:rPr>
                <w:rFonts w:ascii="Verdana" w:eastAsia="Calibri" w:hAnsi="Verdana" w:cs="Arial"/>
                <w:sz w:val="16"/>
                <w:szCs w:val="16"/>
                <w:lang w:val="pt-BR" w:eastAsia="es-ES"/>
              </w:rPr>
            </w:pPr>
            <w:r w:rsidRPr="00FC4A16">
              <w:rPr>
                <w:rFonts w:ascii="Verdana" w:eastAsia="Calibri" w:hAnsi="Verdana" w:cs="Arial"/>
                <w:sz w:val="16"/>
                <w:szCs w:val="16"/>
                <w:lang w:eastAsia="es-ES"/>
              </w:rPr>
              <w:t>Subdirectora</w:t>
            </w:r>
            <w:r w:rsidRPr="00FC4A16">
              <w:rPr>
                <w:rFonts w:ascii="Verdana" w:eastAsia="Calibri" w:hAnsi="Verdana" w:cs="Arial"/>
                <w:sz w:val="16"/>
                <w:szCs w:val="16"/>
                <w:lang w:val="pt-BR" w:eastAsia="es-ES"/>
              </w:rPr>
              <w:t xml:space="preserve"> de Gestión Contractual ANCP – CCE</w:t>
            </w:r>
          </w:p>
        </w:tc>
      </w:tr>
    </w:tbl>
    <w:p w14:paraId="458CB886" w14:textId="77777777" w:rsidR="0057111F" w:rsidRPr="006A288A" w:rsidRDefault="0057111F" w:rsidP="0057111F">
      <w:pPr>
        <w:rPr>
          <w:rFonts w:ascii="Verdana" w:hAnsi="Verdana"/>
        </w:rPr>
      </w:pPr>
    </w:p>
    <w:p w14:paraId="0F293BF4" w14:textId="7BBFAB11" w:rsidR="00127233" w:rsidRPr="0057111F" w:rsidRDefault="00127233" w:rsidP="0057111F"/>
    <w:sectPr w:rsidR="00127233" w:rsidRPr="0057111F"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82D6F5" w14:textId="77777777" w:rsidR="00BB21C5" w:rsidRDefault="00BB21C5" w:rsidP="004A1847">
      <w:pPr>
        <w:spacing w:after="0" w:line="240" w:lineRule="auto"/>
      </w:pPr>
      <w:r>
        <w:separator/>
      </w:r>
    </w:p>
  </w:endnote>
  <w:endnote w:type="continuationSeparator" w:id="0">
    <w:p w14:paraId="1F1ECA7C" w14:textId="77777777" w:rsidR="00BB21C5" w:rsidRDefault="00BB21C5" w:rsidP="004A1847">
      <w:pPr>
        <w:spacing w:after="0" w:line="240" w:lineRule="auto"/>
      </w:pPr>
      <w:r>
        <w:continuationSeparator/>
      </w:r>
    </w:p>
  </w:endnote>
  <w:endnote w:type="continuationNotice" w:id="1">
    <w:p w14:paraId="7B7C7CD7" w14:textId="77777777" w:rsidR="00BB21C5" w:rsidRDefault="00BB21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6EE04D" w14:textId="77777777" w:rsidR="00BB21C5" w:rsidRDefault="00BB21C5" w:rsidP="004A1847">
      <w:pPr>
        <w:spacing w:after="0" w:line="240" w:lineRule="auto"/>
      </w:pPr>
      <w:r>
        <w:separator/>
      </w:r>
    </w:p>
  </w:footnote>
  <w:footnote w:type="continuationSeparator" w:id="0">
    <w:p w14:paraId="7C6A33C5" w14:textId="77777777" w:rsidR="00BB21C5" w:rsidRDefault="00BB21C5" w:rsidP="004A1847">
      <w:pPr>
        <w:spacing w:after="0" w:line="240" w:lineRule="auto"/>
      </w:pPr>
      <w:r>
        <w:continuationSeparator/>
      </w:r>
    </w:p>
  </w:footnote>
  <w:footnote w:type="continuationNotice" w:id="1">
    <w:p w14:paraId="6C7ADDDC" w14:textId="77777777" w:rsidR="00BB21C5" w:rsidRDefault="00BB21C5">
      <w:pPr>
        <w:spacing w:after="0" w:line="240" w:lineRule="auto"/>
      </w:pPr>
    </w:p>
  </w:footnote>
  <w:footnote w:id="2">
    <w:p w14:paraId="01D2D8C0" w14:textId="77777777" w:rsidR="0057111F" w:rsidRPr="00100432" w:rsidRDefault="0057111F" w:rsidP="00100432">
      <w:pPr>
        <w:pStyle w:val="Textonotapie"/>
        <w:ind w:firstLine="708"/>
        <w:jc w:val="both"/>
        <w:rPr>
          <w:rFonts w:ascii="Verdana" w:hAnsi="Verdana"/>
          <w:sz w:val="16"/>
          <w:szCs w:val="16"/>
        </w:rPr>
      </w:pPr>
      <w:r w:rsidRPr="00100432">
        <w:rPr>
          <w:rStyle w:val="Refdenotaalpie"/>
          <w:rFonts w:ascii="Verdana" w:hAnsi="Verdana"/>
          <w:sz w:val="16"/>
          <w:szCs w:val="16"/>
        </w:rPr>
        <w:footnoteRef/>
      </w:r>
      <w:r w:rsidRPr="00100432">
        <w:rPr>
          <w:rFonts w:ascii="Verdana" w:hAnsi="Verdana"/>
          <w:sz w:val="16"/>
          <w:szCs w:val="16"/>
        </w:rPr>
        <w:t xml:space="preserve"> “Artículo 7. De las garantías en la contratación. Los contratistas prestarán garantía única para el cumplimiento de las obligaciones surgidas del contrato. Los proponentes prestarán garantía de seriedad de los ofrecimientos hechos.</w:t>
      </w:r>
    </w:p>
    <w:p w14:paraId="10D1F74C" w14:textId="77777777" w:rsidR="0057111F" w:rsidRPr="00100432" w:rsidRDefault="0057111F" w:rsidP="0057111F">
      <w:pPr>
        <w:pStyle w:val="Textonotapie"/>
        <w:jc w:val="both"/>
        <w:rPr>
          <w:rFonts w:ascii="Verdana" w:hAnsi="Verdana"/>
          <w:sz w:val="16"/>
          <w:szCs w:val="16"/>
        </w:rPr>
      </w:pPr>
      <w:r w:rsidRPr="00100432">
        <w:rPr>
          <w:rFonts w:ascii="Verdana" w:hAnsi="Verdana"/>
          <w:sz w:val="16"/>
          <w:szCs w:val="16"/>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w:t>
      </w:r>
    </w:p>
    <w:p w14:paraId="6208E544" w14:textId="04965700" w:rsidR="0057111F" w:rsidRPr="00100432" w:rsidRDefault="0057111F" w:rsidP="0057111F">
      <w:pPr>
        <w:pStyle w:val="Textonotapie"/>
        <w:jc w:val="both"/>
        <w:rPr>
          <w:rFonts w:ascii="Verdana" w:hAnsi="Verdana"/>
          <w:sz w:val="16"/>
          <w:szCs w:val="16"/>
          <w:lang w:val="es-CO"/>
        </w:rPr>
      </w:pPr>
      <w:r w:rsidRPr="00100432">
        <w:rPr>
          <w:rFonts w:ascii="Verdana" w:hAnsi="Verdana"/>
          <w:sz w:val="16"/>
          <w:szCs w:val="16"/>
        </w:rPr>
        <w:t xml:space="preserve">“El Gobierno Nacional señalará los criterios que seguirán las entidades para la exigencia de garantías, las clases y niveles de amparo de los riesgos de los contratos, así como los casos en </w:t>
      </w:r>
      <w:r w:rsidR="00100432" w:rsidRPr="00100432">
        <w:rPr>
          <w:rFonts w:ascii="Verdana" w:hAnsi="Verdana"/>
          <w:sz w:val="16"/>
          <w:szCs w:val="16"/>
        </w:rPr>
        <w:t>que,</w:t>
      </w:r>
      <w:r w:rsidRPr="00100432">
        <w:rPr>
          <w:rFonts w:ascii="Verdana" w:hAnsi="Verdana"/>
          <w:sz w:val="16"/>
          <w:szCs w:val="16"/>
        </w:rPr>
        <w:t xml:space="preserve"> por las características y complejidad del contrato a celebrar, la garantía pueda ser dividida teniendo en cuenta las etapas o riesgos relativos a la ejecución del respectivo contrato”.</w:t>
      </w:r>
      <w:r w:rsidRPr="00100432">
        <w:rPr>
          <w:rFonts w:ascii="Verdana" w:hAnsi="Verdana"/>
          <w:sz w:val="16"/>
          <w:szCs w:val="16"/>
        </w:rPr>
        <w:cr/>
      </w:r>
      <w:r w:rsidR="003368E6" w:rsidRPr="00100432">
        <w:rPr>
          <w:rFonts w:ascii="Verdana" w:hAnsi="Verdana"/>
          <w:sz w:val="16"/>
          <w:szCs w:val="16"/>
        </w:rPr>
        <w:tab/>
      </w:r>
    </w:p>
  </w:footnote>
  <w:footnote w:id="3">
    <w:p w14:paraId="0A505D90" w14:textId="77777777" w:rsidR="0057111F" w:rsidRPr="00100432" w:rsidRDefault="0057111F" w:rsidP="00100432">
      <w:pPr>
        <w:pStyle w:val="Textonotapie"/>
        <w:ind w:firstLine="708"/>
        <w:jc w:val="both"/>
        <w:rPr>
          <w:rFonts w:ascii="Verdana" w:hAnsi="Verdana"/>
          <w:sz w:val="16"/>
          <w:szCs w:val="16"/>
        </w:rPr>
      </w:pPr>
      <w:r w:rsidRPr="00100432">
        <w:rPr>
          <w:rStyle w:val="Refdenotaalpie"/>
          <w:rFonts w:ascii="Verdana" w:hAnsi="Verdana"/>
          <w:sz w:val="16"/>
          <w:szCs w:val="16"/>
        </w:rPr>
        <w:footnoteRef/>
      </w:r>
      <w:r w:rsidRPr="00100432">
        <w:rPr>
          <w:rFonts w:ascii="Verdana" w:hAnsi="Verdana"/>
          <w:sz w:val="16"/>
          <w:szCs w:val="16"/>
        </w:rPr>
        <w:t xml:space="preserve">  Artículo 41. Del perfeccionamiento del contrato. Los contratos del Estado se perfeccionan cuando se logre acuerdo sobre el objeto y la contraprestación y éste se eleve a escrito.</w:t>
      </w:r>
    </w:p>
    <w:p w14:paraId="48221A74" w14:textId="77777777" w:rsidR="0057111F" w:rsidRPr="00100432" w:rsidRDefault="0057111F" w:rsidP="0057111F">
      <w:pPr>
        <w:pStyle w:val="Textonotapie"/>
        <w:jc w:val="both"/>
        <w:rPr>
          <w:rFonts w:ascii="Verdana" w:hAnsi="Verdana"/>
          <w:sz w:val="16"/>
          <w:szCs w:val="16"/>
          <w:lang w:val="es-CO"/>
        </w:rPr>
      </w:pPr>
      <w:r w:rsidRPr="00100432">
        <w:rPr>
          <w:rFonts w:ascii="Verdana" w:hAnsi="Verdana"/>
          <w:sz w:val="16"/>
          <w:szCs w:val="16"/>
        </w:rPr>
        <w:t>“Para la ejecución se requerirá de la aprobación de la garantía y de la existencia de las disponibilidades presupuestales correspondientes (…)”.</w:t>
      </w:r>
    </w:p>
  </w:footnote>
  <w:footnote w:id="4">
    <w:p w14:paraId="5F5DB65F" w14:textId="77777777" w:rsidR="0057111F" w:rsidRPr="00100432" w:rsidRDefault="0057111F" w:rsidP="00100432">
      <w:pPr>
        <w:pStyle w:val="Textonotapie"/>
        <w:ind w:firstLine="708"/>
        <w:jc w:val="both"/>
        <w:rPr>
          <w:rFonts w:ascii="Verdana" w:hAnsi="Verdana"/>
          <w:sz w:val="16"/>
          <w:szCs w:val="16"/>
          <w:lang w:val="es-CO"/>
        </w:rPr>
      </w:pPr>
      <w:r w:rsidRPr="00100432">
        <w:rPr>
          <w:rStyle w:val="Refdenotaalpie"/>
          <w:rFonts w:ascii="Verdana" w:hAnsi="Verdana"/>
          <w:sz w:val="16"/>
          <w:szCs w:val="16"/>
        </w:rPr>
        <w:footnoteRef/>
      </w:r>
      <w:r w:rsidRPr="00100432">
        <w:rPr>
          <w:rFonts w:ascii="Verdana" w:hAnsi="Verdana"/>
          <w:sz w:val="16"/>
          <w:szCs w:val="16"/>
        </w:rPr>
        <w:t xml:space="preserve"> Código Civil: “Articulo 1602. Todo contrato legalmente celebrado es una ley para los contratantes, y no puede ser invalidado sino por su consentimiento mutuo o por causas legales”.</w:t>
      </w:r>
    </w:p>
  </w:footnote>
  <w:footnote w:id="5">
    <w:p w14:paraId="292A395F" w14:textId="77777777" w:rsidR="0057111F" w:rsidRPr="00100432" w:rsidRDefault="0057111F" w:rsidP="0057111F">
      <w:pPr>
        <w:pStyle w:val="Textonotapie"/>
        <w:ind w:firstLine="708"/>
        <w:jc w:val="both"/>
        <w:rPr>
          <w:rFonts w:ascii="Verdana" w:hAnsi="Verdana"/>
          <w:sz w:val="16"/>
          <w:szCs w:val="16"/>
        </w:rPr>
      </w:pPr>
      <w:r w:rsidRPr="00100432">
        <w:rPr>
          <w:rStyle w:val="Refdenotaalpie"/>
          <w:rFonts w:ascii="Verdana" w:hAnsi="Verdana"/>
          <w:sz w:val="16"/>
          <w:szCs w:val="16"/>
        </w:rPr>
        <w:footnoteRef/>
      </w:r>
      <w:r w:rsidRPr="00100432">
        <w:rPr>
          <w:rFonts w:ascii="Verdana" w:hAnsi="Verdana"/>
          <w:sz w:val="16"/>
          <w:szCs w:val="16"/>
        </w:rPr>
        <w:t xml:space="preserve"> “Artículo 1048. Documentos adicionales que hacen parte de la póliza. Hacen parte de la póliza: “1) La solicitud de seguro firmada por el tomador, y “2) Los anexos que se emitan para adicionar, modificar, suspender, renovar o revocar la póliza.</w:t>
      </w:r>
    </w:p>
    <w:p w14:paraId="53E7C9B4" w14:textId="77777777" w:rsidR="0057111F" w:rsidRPr="00100432" w:rsidRDefault="0057111F" w:rsidP="00100432">
      <w:pPr>
        <w:pStyle w:val="Textonotapie"/>
        <w:ind w:firstLine="708"/>
        <w:jc w:val="both"/>
        <w:rPr>
          <w:rFonts w:ascii="Verdana" w:hAnsi="Verdana"/>
          <w:sz w:val="16"/>
          <w:szCs w:val="16"/>
          <w:lang w:val="es-CO"/>
        </w:rPr>
      </w:pPr>
      <w:r w:rsidRPr="00100432">
        <w:rPr>
          <w:rFonts w:ascii="Verdana" w:hAnsi="Verdana"/>
          <w:sz w:val="16"/>
          <w:szCs w:val="16"/>
        </w:rPr>
        <w:t>“Parágrafo. El tomador podrá en cualquier tiempo exigir que, a su costa, el asegurador le dé copia debidamente autorizada de la solicitud y de sus anexos, así como de los documentos que den fe de la inspección del riesgo”.</w:t>
      </w:r>
    </w:p>
  </w:footnote>
  <w:footnote w:id="6">
    <w:p w14:paraId="2D08ABE9" w14:textId="77777777" w:rsidR="00725A3D" w:rsidRPr="00100432" w:rsidRDefault="00725A3D" w:rsidP="0057111F">
      <w:pPr>
        <w:pStyle w:val="Textonotapie"/>
        <w:ind w:firstLine="708"/>
        <w:jc w:val="both"/>
        <w:rPr>
          <w:rFonts w:ascii="Verdana" w:hAnsi="Verdana"/>
          <w:sz w:val="16"/>
          <w:szCs w:val="16"/>
        </w:rPr>
      </w:pPr>
    </w:p>
    <w:p w14:paraId="580D8EF1" w14:textId="0ADEB02D" w:rsidR="0057111F" w:rsidRPr="00100432" w:rsidRDefault="0057111F" w:rsidP="00725A3D">
      <w:pPr>
        <w:pStyle w:val="Textonotapie"/>
        <w:ind w:firstLine="708"/>
        <w:jc w:val="both"/>
        <w:rPr>
          <w:rFonts w:ascii="Verdana" w:hAnsi="Verdana"/>
          <w:sz w:val="16"/>
          <w:szCs w:val="16"/>
          <w:lang w:val="es-CO"/>
        </w:rPr>
      </w:pPr>
      <w:r w:rsidRPr="00100432">
        <w:rPr>
          <w:rStyle w:val="Refdenotaalpie"/>
          <w:rFonts w:ascii="Verdana" w:hAnsi="Verdana"/>
          <w:sz w:val="16"/>
          <w:szCs w:val="16"/>
        </w:rPr>
        <w:footnoteRef/>
      </w:r>
      <w:r w:rsidRPr="00100432">
        <w:rPr>
          <w:rFonts w:ascii="Verdana" w:hAnsi="Verdana"/>
          <w:sz w:val="16"/>
          <w:szCs w:val="16"/>
        </w:rPr>
        <w:t xml:space="preserve"> Consejo de Estado, Sala de lo Contencioso Administrativo. Sección Tercera, Subsección B, sentencia de 31 de agosto de 2011, Exp. 18080, C.P. Ruth Stella Correa Palacio: “(…)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76C423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70903314" o:spid="_x0000_i1025" type="#_x0000_t75" style="width:11.25pt;height:11.25pt;visibility:visible;mso-wrap-style:square">
            <v:imagedata r:id="rId1" o:title=""/>
          </v:shape>
        </w:pict>
      </mc:Choice>
      <mc:Fallback>
        <w:drawing>
          <wp:inline distT="0" distB="0" distL="0" distR="0" wp14:anchorId="04628F82">
            <wp:extent cx="142875" cy="142875"/>
            <wp:effectExtent l="0" t="0" r="0" b="0"/>
            <wp:docPr id="1370903314" name="Imagen 1370903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140D"/>
    <w:rsid w:val="000525BB"/>
    <w:rsid w:val="00061B2A"/>
    <w:rsid w:val="00082362"/>
    <w:rsid w:val="000A11E1"/>
    <w:rsid w:val="000A222E"/>
    <w:rsid w:val="000A683E"/>
    <w:rsid w:val="000B19B9"/>
    <w:rsid w:val="000B5DF0"/>
    <w:rsid w:val="000D0334"/>
    <w:rsid w:val="000F6486"/>
    <w:rsid w:val="00100432"/>
    <w:rsid w:val="001063EA"/>
    <w:rsid w:val="00117511"/>
    <w:rsid w:val="00125105"/>
    <w:rsid w:val="00127233"/>
    <w:rsid w:val="00144498"/>
    <w:rsid w:val="001B6449"/>
    <w:rsid w:val="001B6B76"/>
    <w:rsid w:val="001E097A"/>
    <w:rsid w:val="001E4177"/>
    <w:rsid w:val="001F7DC6"/>
    <w:rsid w:val="0023088D"/>
    <w:rsid w:val="002421BB"/>
    <w:rsid w:val="002537B2"/>
    <w:rsid w:val="0025796E"/>
    <w:rsid w:val="002707A2"/>
    <w:rsid w:val="002951A0"/>
    <w:rsid w:val="002962BC"/>
    <w:rsid w:val="002A093D"/>
    <w:rsid w:val="002A0BD8"/>
    <w:rsid w:val="002A0DD0"/>
    <w:rsid w:val="002A49AC"/>
    <w:rsid w:val="002A594D"/>
    <w:rsid w:val="002A64FD"/>
    <w:rsid w:val="002C51D1"/>
    <w:rsid w:val="002C7A84"/>
    <w:rsid w:val="002D313F"/>
    <w:rsid w:val="002E4DC1"/>
    <w:rsid w:val="002E4FD9"/>
    <w:rsid w:val="002F082C"/>
    <w:rsid w:val="00304C6A"/>
    <w:rsid w:val="003113FD"/>
    <w:rsid w:val="00312F9D"/>
    <w:rsid w:val="00322A85"/>
    <w:rsid w:val="00324168"/>
    <w:rsid w:val="00331894"/>
    <w:rsid w:val="003359D3"/>
    <w:rsid w:val="003368E6"/>
    <w:rsid w:val="003448F4"/>
    <w:rsid w:val="00345A8A"/>
    <w:rsid w:val="00345D7D"/>
    <w:rsid w:val="00374F5E"/>
    <w:rsid w:val="00377E3E"/>
    <w:rsid w:val="00380D74"/>
    <w:rsid w:val="003A26D1"/>
    <w:rsid w:val="003A779E"/>
    <w:rsid w:val="003D0F4D"/>
    <w:rsid w:val="003D5B0D"/>
    <w:rsid w:val="003E0499"/>
    <w:rsid w:val="003F3941"/>
    <w:rsid w:val="0040468E"/>
    <w:rsid w:val="00406575"/>
    <w:rsid w:val="00415E9A"/>
    <w:rsid w:val="00417A3E"/>
    <w:rsid w:val="0042722E"/>
    <w:rsid w:val="00442BBB"/>
    <w:rsid w:val="0044528D"/>
    <w:rsid w:val="00491667"/>
    <w:rsid w:val="004A1847"/>
    <w:rsid w:val="004A305D"/>
    <w:rsid w:val="004C56EC"/>
    <w:rsid w:val="004E7524"/>
    <w:rsid w:val="004F21C4"/>
    <w:rsid w:val="004F685F"/>
    <w:rsid w:val="00512AEE"/>
    <w:rsid w:val="005566E8"/>
    <w:rsid w:val="00564034"/>
    <w:rsid w:val="0057111F"/>
    <w:rsid w:val="00574867"/>
    <w:rsid w:val="00591460"/>
    <w:rsid w:val="00592628"/>
    <w:rsid w:val="005C3777"/>
    <w:rsid w:val="005C3A99"/>
    <w:rsid w:val="005C5CDC"/>
    <w:rsid w:val="005D476C"/>
    <w:rsid w:val="005D7417"/>
    <w:rsid w:val="005F5FD9"/>
    <w:rsid w:val="0060481C"/>
    <w:rsid w:val="00610812"/>
    <w:rsid w:val="006219F8"/>
    <w:rsid w:val="00625085"/>
    <w:rsid w:val="006371FF"/>
    <w:rsid w:val="00650FF7"/>
    <w:rsid w:val="00665D70"/>
    <w:rsid w:val="00671DAC"/>
    <w:rsid w:val="006764E2"/>
    <w:rsid w:val="006900D9"/>
    <w:rsid w:val="006911A4"/>
    <w:rsid w:val="006A70D5"/>
    <w:rsid w:val="006D12F8"/>
    <w:rsid w:val="006F3E07"/>
    <w:rsid w:val="00706C16"/>
    <w:rsid w:val="00725A3D"/>
    <w:rsid w:val="00735452"/>
    <w:rsid w:val="00756841"/>
    <w:rsid w:val="0076174C"/>
    <w:rsid w:val="007649AB"/>
    <w:rsid w:val="00771D0C"/>
    <w:rsid w:val="007833AC"/>
    <w:rsid w:val="00783FAA"/>
    <w:rsid w:val="007972DC"/>
    <w:rsid w:val="007B268C"/>
    <w:rsid w:val="007B7171"/>
    <w:rsid w:val="007C0C0F"/>
    <w:rsid w:val="007C3DC2"/>
    <w:rsid w:val="007C6837"/>
    <w:rsid w:val="007D3E8A"/>
    <w:rsid w:val="007E5497"/>
    <w:rsid w:val="007E613F"/>
    <w:rsid w:val="007F2CCC"/>
    <w:rsid w:val="00806F5F"/>
    <w:rsid w:val="00820278"/>
    <w:rsid w:val="0085469A"/>
    <w:rsid w:val="00870325"/>
    <w:rsid w:val="00877ED4"/>
    <w:rsid w:val="008843B6"/>
    <w:rsid w:val="00891928"/>
    <w:rsid w:val="008A446D"/>
    <w:rsid w:val="008A637B"/>
    <w:rsid w:val="008C63B6"/>
    <w:rsid w:val="008D180B"/>
    <w:rsid w:val="008D4742"/>
    <w:rsid w:val="008E1987"/>
    <w:rsid w:val="008F0EA7"/>
    <w:rsid w:val="00912200"/>
    <w:rsid w:val="00923EEF"/>
    <w:rsid w:val="00930EF0"/>
    <w:rsid w:val="009419F9"/>
    <w:rsid w:val="0095685E"/>
    <w:rsid w:val="00956E22"/>
    <w:rsid w:val="00961B09"/>
    <w:rsid w:val="00965334"/>
    <w:rsid w:val="009674ED"/>
    <w:rsid w:val="0097093E"/>
    <w:rsid w:val="009826A8"/>
    <w:rsid w:val="00985BF5"/>
    <w:rsid w:val="009A0333"/>
    <w:rsid w:val="009A0DFA"/>
    <w:rsid w:val="009B2D26"/>
    <w:rsid w:val="009C71FA"/>
    <w:rsid w:val="009C72E7"/>
    <w:rsid w:val="009D3058"/>
    <w:rsid w:val="009E3971"/>
    <w:rsid w:val="009F3A13"/>
    <w:rsid w:val="00A00DD6"/>
    <w:rsid w:val="00A122D3"/>
    <w:rsid w:val="00A158A3"/>
    <w:rsid w:val="00A17F13"/>
    <w:rsid w:val="00A20739"/>
    <w:rsid w:val="00A33C78"/>
    <w:rsid w:val="00A43E91"/>
    <w:rsid w:val="00A73351"/>
    <w:rsid w:val="00A970B2"/>
    <w:rsid w:val="00AB0ADB"/>
    <w:rsid w:val="00AB2E7E"/>
    <w:rsid w:val="00AC51B4"/>
    <w:rsid w:val="00AD111D"/>
    <w:rsid w:val="00AD2CF0"/>
    <w:rsid w:val="00AF3C6B"/>
    <w:rsid w:val="00B008B6"/>
    <w:rsid w:val="00B01B1A"/>
    <w:rsid w:val="00B04ED6"/>
    <w:rsid w:val="00B21DC0"/>
    <w:rsid w:val="00B24A0E"/>
    <w:rsid w:val="00B526F2"/>
    <w:rsid w:val="00B65B8F"/>
    <w:rsid w:val="00B72CD3"/>
    <w:rsid w:val="00B72FFF"/>
    <w:rsid w:val="00BB21C5"/>
    <w:rsid w:val="00BB3A91"/>
    <w:rsid w:val="00BC3D36"/>
    <w:rsid w:val="00BD7F72"/>
    <w:rsid w:val="00BE0406"/>
    <w:rsid w:val="00BE16DB"/>
    <w:rsid w:val="00BF405C"/>
    <w:rsid w:val="00C04FB3"/>
    <w:rsid w:val="00C05B14"/>
    <w:rsid w:val="00C27416"/>
    <w:rsid w:val="00C330EB"/>
    <w:rsid w:val="00C33A53"/>
    <w:rsid w:val="00C355CA"/>
    <w:rsid w:val="00C36FAB"/>
    <w:rsid w:val="00C44C04"/>
    <w:rsid w:val="00C50A23"/>
    <w:rsid w:val="00C51036"/>
    <w:rsid w:val="00C5499B"/>
    <w:rsid w:val="00C754BE"/>
    <w:rsid w:val="00C760A7"/>
    <w:rsid w:val="00C76B1C"/>
    <w:rsid w:val="00CA7EF6"/>
    <w:rsid w:val="00CB6357"/>
    <w:rsid w:val="00CC1B26"/>
    <w:rsid w:val="00CE7083"/>
    <w:rsid w:val="00CF35A8"/>
    <w:rsid w:val="00D423A2"/>
    <w:rsid w:val="00D520D8"/>
    <w:rsid w:val="00D60311"/>
    <w:rsid w:val="00D63AC2"/>
    <w:rsid w:val="00D7383B"/>
    <w:rsid w:val="00D9412D"/>
    <w:rsid w:val="00DA231B"/>
    <w:rsid w:val="00DA23A0"/>
    <w:rsid w:val="00DA7642"/>
    <w:rsid w:val="00DB15EE"/>
    <w:rsid w:val="00DC39FC"/>
    <w:rsid w:val="00DC723E"/>
    <w:rsid w:val="00DE7473"/>
    <w:rsid w:val="00DF5254"/>
    <w:rsid w:val="00E00EB6"/>
    <w:rsid w:val="00E15366"/>
    <w:rsid w:val="00E16408"/>
    <w:rsid w:val="00E20894"/>
    <w:rsid w:val="00E245AB"/>
    <w:rsid w:val="00E2764C"/>
    <w:rsid w:val="00E27F2E"/>
    <w:rsid w:val="00E413EA"/>
    <w:rsid w:val="00E50AFE"/>
    <w:rsid w:val="00E73673"/>
    <w:rsid w:val="00E75C92"/>
    <w:rsid w:val="00E771DC"/>
    <w:rsid w:val="00E8772A"/>
    <w:rsid w:val="00E90F6B"/>
    <w:rsid w:val="00E92C27"/>
    <w:rsid w:val="00EA0611"/>
    <w:rsid w:val="00EA0E3D"/>
    <w:rsid w:val="00EC38A7"/>
    <w:rsid w:val="00ED507F"/>
    <w:rsid w:val="00EE1AA8"/>
    <w:rsid w:val="00F052EB"/>
    <w:rsid w:val="00F3080C"/>
    <w:rsid w:val="00F31EDC"/>
    <w:rsid w:val="00F462B3"/>
    <w:rsid w:val="00F5664F"/>
    <w:rsid w:val="00F666C4"/>
    <w:rsid w:val="00F76AFC"/>
    <w:rsid w:val="00FA47C0"/>
    <w:rsid w:val="00FB4B99"/>
    <w:rsid w:val="00FB5873"/>
    <w:rsid w:val="00FB5DD1"/>
    <w:rsid w:val="00FC137C"/>
    <w:rsid w:val="00FC2B5D"/>
    <w:rsid w:val="00FD6996"/>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7111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7111F"/>
    <w:rPr>
      <w:rFonts w:ascii="Geomanist Light" w:hAnsi="Geomanist Light"/>
      <w:lang w:val="es-ES"/>
    </w:rPr>
  </w:style>
  <w:style w:type="character" w:styleId="Refdecomentario">
    <w:name w:val="annotation reference"/>
    <w:basedOn w:val="Fuentedeprrafopredeter"/>
    <w:uiPriority w:val="99"/>
    <w:semiHidden/>
    <w:unhideWhenUsed/>
    <w:rsid w:val="00B526F2"/>
    <w:rPr>
      <w:sz w:val="16"/>
      <w:szCs w:val="16"/>
    </w:rPr>
  </w:style>
  <w:style w:type="paragraph" w:styleId="Textocomentario">
    <w:name w:val="annotation text"/>
    <w:basedOn w:val="Normal"/>
    <w:link w:val="TextocomentarioCar"/>
    <w:uiPriority w:val="99"/>
    <w:unhideWhenUsed/>
    <w:rsid w:val="00B526F2"/>
    <w:pPr>
      <w:spacing w:line="240" w:lineRule="auto"/>
    </w:pPr>
    <w:rPr>
      <w:sz w:val="20"/>
      <w:szCs w:val="20"/>
    </w:rPr>
  </w:style>
  <w:style w:type="character" w:customStyle="1" w:styleId="TextocomentarioCar">
    <w:name w:val="Texto comentario Car"/>
    <w:basedOn w:val="Fuentedeprrafopredeter"/>
    <w:link w:val="Textocomentario"/>
    <w:uiPriority w:val="99"/>
    <w:rsid w:val="00B526F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024981">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77087156">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honvega.2058@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www.colombiacompra.gov.co/sala-de-prensa/boletin-digita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7960D-BF56-4D1C-B732-5F04317F78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36c82cfe-0eda-494d-b392-a9281b89aaf0"/>
    <ds:schemaRef ds:uri="http://schemas.microsoft.com/office/2006/documentManagement/types"/>
    <ds:schemaRef ds:uri="http://schemas.microsoft.com/office/2006/metadata/properties"/>
    <ds:schemaRef ds:uri="8ae15d26-076e-464e-81a7-6f76a0fb3917"/>
    <ds:schemaRef ds:uri="http://purl.org/dc/elements/1.1/"/>
    <ds:schemaRef ds:uri="http://www.w3.org/XML/1998/namespace"/>
    <ds:schemaRef ds:uri="http://purl.org/dc/dcmitype/"/>
    <ds:schemaRef ds:uri="http://schemas.openxmlformats.org/package/2006/metadata/core-properties"/>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F9746284-5F49-4F29-A43E-88AB5ADD3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10</Pages>
  <Words>2930</Words>
  <Characters>16116</Characters>
  <Application>Microsoft Office Word</Application>
  <DocSecurity>0</DocSecurity>
  <Lines>134</Lines>
  <Paragraphs>38</Paragraphs>
  <ScaleCrop>false</ScaleCrop>
  <Company/>
  <LinksUpToDate>false</LinksUpToDate>
  <CharactersWithSpaces>19008</CharactersWithSpaces>
  <SharedDoc>false</SharedDoc>
  <HLinks>
    <vt:vector size="24" baseType="variant">
      <vt:variant>
        <vt:i4>5439494</vt:i4>
      </vt:variant>
      <vt:variant>
        <vt:i4>9</vt:i4>
      </vt:variant>
      <vt:variant>
        <vt:i4>0</vt:i4>
      </vt:variant>
      <vt:variant>
        <vt:i4>5</vt:i4>
      </vt:variant>
      <vt:variant>
        <vt:lpwstr>https://www.colombiacompra.gov.co/sala-de-prensa/boletin-digital</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3801145</vt:i4>
      </vt:variant>
      <vt:variant>
        <vt:i4>3</vt:i4>
      </vt:variant>
      <vt:variant>
        <vt:i4>0</vt:i4>
      </vt:variant>
      <vt:variant>
        <vt:i4>5</vt:i4>
      </vt:variant>
      <vt:variant>
        <vt:lpwstr>https://relatoria.colombiacompra.gov.co/providencias-consejo-de-estado/</vt:lpwstr>
      </vt:variant>
      <vt:variant>
        <vt:lpwstr/>
      </vt:variant>
      <vt:variant>
        <vt:i4>3407946</vt:i4>
      </vt:variant>
      <vt:variant>
        <vt:i4>0</vt:i4>
      </vt:variant>
      <vt:variant>
        <vt:i4>0</vt:i4>
      </vt:variant>
      <vt:variant>
        <vt:i4>5</vt:i4>
      </vt:variant>
      <vt:variant>
        <vt:lpwstr>mailto:jhonvega.2058@gmail.com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17</cp:revision>
  <cp:lastPrinted>2023-01-10T21:18:00Z</cp:lastPrinted>
  <dcterms:created xsi:type="dcterms:W3CDTF">2024-08-05T23:03:00Z</dcterms:created>
  <dcterms:modified xsi:type="dcterms:W3CDTF">2024-08-13T23:00:00Z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