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4E9CF524" w14:textId="77777777" w:rsidR="006E583B" w:rsidRPr="006E583B" w:rsidRDefault="006E583B" w:rsidP="006E583B">
      <w:pPr>
        <w:spacing w:after="0" w:line="240" w:lineRule="auto"/>
        <w:contextualSpacing/>
        <w:jc w:val="both"/>
        <w:rPr>
          <w:rFonts w:ascii="Arial" w:eastAsia="Calibri" w:hAnsi="Arial" w:cs="Arial"/>
          <w:b/>
          <w:bCs/>
          <w:lang w:eastAsia="es-MX"/>
        </w:rPr>
      </w:pPr>
      <w:bookmarkStart w:id="0" w:name="_Hlk34951122"/>
      <w:r w:rsidRPr="006E583B">
        <w:rPr>
          <w:rFonts w:ascii="Arial" w:eastAsia="Calibri" w:hAnsi="Arial" w:cs="Arial"/>
          <w:b/>
          <w:bCs/>
          <w:lang w:eastAsia="es-MX"/>
        </w:rPr>
        <w:t>DOCUMENTOS TIPO – Fundamento jurídico – Aplicación</w:t>
      </w:r>
    </w:p>
    <w:p w14:paraId="76753C64" w14:textId="77777777" w:rsidR="006E583B" w:rsidRPr="006E583B" w:rsidRDefault="006E583B" w:rsidP="006E583B">
      <w:pPr>
        <w:spacing w:after="0" w:line="240" w:lineRule="auto"/>
        <w:contextualSpacing/>
        <w:jc w:val="both"/>
        <w:rPr>
          <w:rFonts w:ascii="Arial" w:eastAsia="Times New Roman" w:hAnsi="Arial" w:cs="Arial"/>
          <w:sz w:val="20"/>
          <w:szCs w:val="20"/>
          <w:lang w:val="es-ES_tradnl" w:eastAsia="es-ES"/>
        </w:rPr>
      </w:pPr>
    </w:p>
    <w:p w14:paraId="0A9AD220" w14:textId="77777777" w:rsidR="006E583B" w:rsidRPr="006E583B" w:rsidRDefault="006E583B" w:rsidP="006E583B">
      <w:pPr>
        <w:spacing w:before="120" w:after="120" w:line="240" w:lineRule="auto"/>
        <w:jc w:val="both"/>
        <w:rPr>
          <w:rFonts w:ascii="Arial" w:eastAsia="Times New Roman" w:hAnsi="Arial" w:cs="Arial"/>
          <w:sz w:val="20"/>
          <w:szCs w:val="20"/>
          <w:lang w:val="es-ES" w:eastAsia="es-MX"/>
        </w:rPr>
      </w:pPr>
      <w:r w:rsidRPr="006E583B">
        <w:rPr>
          <w:rFonts w:ascii="Arial" w:eastAsia="Times New Roman" w:hAnsi="Arial" w:cs="Arial"/>
          <w:sz w:val="20"/>
          <w:szCs w:val="20"/>
          <w:lang w:val="es-ES" w:eastAsia="es-MX"/>
        </w:rPr>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707BCA99" w14:textId="77777777" w:rsidR="006E583B" w:rsidRPr="006E583B" w:rsidRDefault="006E583B" w:rsidP="006E583B">
      <w:pPr>
        <w:spacing w:after="0" w:line="240" w:lineRule="auto"/>
        <w:contextualSpacing/>
        <w:jc w:val="both"/>
        <w:rPr>
          <w:rFonts w:ascii="Arial" w:eastAsia="Times New Roman" w:hAnsi="Arial" w:cs="Arial"/>
          <w:sz w:val="20"/>
          <w:szCs w:val="20"/>
          <w:lang w:val="es-ES" w:eastAsia="es-MX"/>
        </w:rPr>
      </w:pPr>
      <w:r w:rsidRPr="006E583B">
        <w:rPr>
          <w:rFonts w:ascii="Arial" w:eastAsia="Times New Roman" w:hAnsi="Arial" w:cs="Arial"/>
          <w:sz w:val="20"/>
          <w:szCs w:val="20"/>
          <w:lang w:val="es-ES" w:eastAsia="es-MX"/>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p>
    <w:p w14:paraId="58183988" w14:textId="77777777" w:rsidR="006E583B" w:rsidRPr="006E583B" w:rsidRDefault="006E583B" w:rsidP="006E583B">
      <w:pPr>
        <w:spacing w:after="0" w:line="240" w:lineRule="auto"/>
        <w:contextualSpacing/>
        <w:jc w:val="both"/>
        <w:rPr>
          <w:rFonts w:ascii="Arial" w:eastAsia="Calibri" w:hAnsi="Arial" w:cs="Arial"/>
          <w:b/>
          <w:bCs/>
          <w:sz w:val="20"/>
          <w:szCs w:val="20"/>
          <w:lang w:eastAsia="es-MX"/>
        </w:rPr>
      </w:pPr>
    </w:p>
    <w:p w14:paraId="3463EA41" w14:textId="77777777" w:rsidR="006E583B" w:rsidRPr="006E583B" w:rsidRDefault="006E583B" w:rsidP="006E583B">
      <w:pPr>
        <w:spacing w:after="0" w:line="240" w:lineRule="auto"/>
        <w:contextualSpacing/>
        <w:jc w:val="both"/>
        <w:rPr>
          <w:rFonts w:ascii="Arial" w:eastAsia="Calibri" w:hAnsi="Arial" w:cs="Arial"/>
          <w:b/>
          <w:bCs/>
          <w:lang w:eastAsia="es-MX"/>
        </w:rPr>
      </w:pPr>
      <w:r w:rsidRPr="006E583B">
        <w:rPr>
          <w:rFonts w:ascii="Arial" w:eastAsia="Calibri" w:hAnsi="Arial" w:cs="Arial"/>
          <w:b/>
          <w:bCs/>
          <w:lang w:eastAsia="es-MX"/>
        </w:rPr>
        <w:t xml:space="preserve">DOCUMENTOS TIPO DE INFRAESTRUCTURA SOCIAL – Generalidades </w:t>
      </w:r>
    </w:p>
    <w:p w14:paraId="781E7CE7" w14:textId="77777777" w:rsidR="006E583B" w:rsidRPr="006E583B" w:rsidRDefault="006E583B" w:rsidP="006E583B">
      <w:pPr>
        <w:spacing w:after="0" w:line="240" w:lineRule="auto"/>
        <w:contextualSpacing/>
        <w:jc w:val="both"/>
        <w:rPr>
          <w:rFonts w:ascii="Arial" w:eastAsia="Calibri" w:hAnsi="Arial" w:cs="Arial"/>
          <w:sz w:val="20"/>
          <w:szCs w:val="20"/>
          <w:lang w:val="es-ES" w:eastAsia="es-ES"/>
        </w:rPr>
      </w:pPr>
    </w:p>
    <w:p w14:paraId="44AA9A16" w14:textId="083E7670" w:rsidR="006E583B" w:rsidRPr="006E583B" w:rsidRDefault="006E583B" w:rsidP="006E583B">
      <w:pPr>
        <w:spacing w:after="0" w:line="240" w:lineRule="auto"/>
        <w:contextualSpacing/>
        <w:jc w:val="both"/>
        <w:rPr>
          <w:rFonts w:ascii="Arial" w:hAnsi="Arial" w:cs="Arial"/>
          <w:sz w:val="20"/>
          <w:szCs w:val="20"/>
          <w:lang w:val="es-ES"/>
        </w:rPr>
      </w:pPr>
      <w:r w:rsidRPr="006E583B">
        <w:rPr>
          <w:rFonts w:ascii="Arial" w:eastAsia="Calibri" w:hAnsi="Arial" w:cs="Arial"/>
          <w:sz w:val="20"/>
          <w:szCs w:val="20"/>
        </w:rPr>
        <w:t xml:space="preserve">En desarrollo de la Ley 2022 de 2020, la Agencia Nacional de Contratación Pública – Colombia Compra Eficiente expidió la Resolución 219 </w:t>
      </w:r>
      <w:r w:rsidRPr="006E583B">
        <w:rPr>
          <w:rFonts w:ascii="Arial" w:hAnsi="Arial" w:cs="Arial"/>
          <w:bCs/>
          <w:sz w:val="20"/>
          <w:szCs w:val="20"/>
          <w:lang w:eastAsia="es-ES_tradnl"/>
        </w:rPr>
        <w:t xml:space="preserve">del 6 de agosto </w:t>
      </w:r>
      <w:r w:rsidRPr="006E583B">
        <w:rPr>
          <w:rFonts w:ascii="Arial" w:eastAsia="Calibri" w:hAnsi="Arial" w:cs="Arial"/>
          <w:sz w:val="20"/>
          <w:szCs w:val="20"/>
        </w:rPr>
        <w:t xml:space="preserve">de 2021, </w:t>
      </w:r>
      <w:r>
        <w:rPr>
          <w:rFonts w:ascii="Arial" w:eastAsia="Calibri" w:hAnsi="Arial" w:cs="Arial"/>
          <w:i/>
          <w:iCs/>
          <w:sz w:val="20"/>
          <w:szCs w:val="20"/>
        </w:rPr>
        <w:t>“</w:t>
      </w:r>
      <w:r w:rsidRPr="006E583B">
        <w:rPr>
          <w:rFonts w:ascii="Arial" w:eastAsia="Calibri" w:hAnsi="Arial" w:cs="Arial"/>
          <w:i/>
          <w:iCs/>
          <w:sz w:val="20"/>
          <w:szCs w:val="20"/>
        </w:rPr>
        <w:t>Por la cual se adoptan los documentos tipo para los procesos de licitación de obra pública de infraestructura social</w:t>
      </w:r>
      <w:r>
        <w:rPr>
          <w:rFonts w:ascii="Arial" w:eastAsia="Calibri" w:hAnsi="Arial" w:cs="Arial"/>
          <w:i/>
          <w:iCs/>
          <w:sz w:val="20"/>
          <w:szCs w:val="20"/>
        </w:rPr>
        <w:t>”</w:t>
      </w:r>
      <w:r w:rsidRPr="006E583B">
        <w:rPr>
          <w:rFonts w:ascii="Arial" w:eastAsia="Calibri" w:hAnsi="Arial" w:cs="Arial"/>
          <w:sz w:val="20"/>
          <w:szCs w:val="20"/>
        </w:rPr>
        <w:t>. Dentro de esta categoría fue incluida la infraestructura asociada a los sectores de la salud, el educativo y el de cultura, recreación y deporte,</w:t>
      </w:r>
      <w:r w:rsidRPr="006E583B">
        <w:rPr>
          <w:rFonts w:ascii="Arial" w:hAnsi="Arial" w:cs="Arial"/>
          <w:sz w:val="20"/>
          <w:szCs w:val="20"/>
          <w:lang w:val="es-ES"/>
        </w:rPr>
        <w:t xml:space="preserve"> tal como lo establece el parágrafo 2 del artículo 2 de la resolución indicada, de la siguiente manera: </w:t>
      </w:r>
    </w:p>
    <w:p w14:paraId="5FE614AF" w14:textId="77777777" w:rsidR="006E583B" w:rsidRPr="006E583B" w:rsidRDefault="006E583B" w:rsidP="006E583B">
      <w:pPr>
        <w:spacing w:after="120" w:line="240" w:lineRule="auto"/>
        <w:jc w:val="both"/>
        <w:rPr>
          <w:rFonts w:ascii="Arial" w:hAnsi="Arial" w:cs="Arial"/>
          <w:sz w:val="20"/>
          <w:szCs w:val="20"/>
          <w:lang w:val="es-ES"/>
        </w:rPr>
      </w:pPr>
      <w:r w:rsidRPr="006E583B">
        <w:rPr>
          <w:rFonts w:ascii="Arial" w:hAnsi="Arial" w:cs="Arial"/>
          <w:sz w:val="20"/>
          <w:szCs w:val="20"/>
          <w:lang w:val="es-ES"/>
        </w:rPr>
        <w:t>[…]</w:t>
      </w:r>
    </w:p>
    <w:p w14:paraId="18B45D7C" w14:textId="77777777" w:rsidR="006E583B" w:rsidRPr="006E583B" w:rsidRDefault="006E583B" w:rsidP="006E583B">
      <w:pPr>
        <w:spacing w:after="120" w:line="240" w:lineRule="auto"/>
        <w:jc w:val="both"/>
        <w:rPr>
          <w:rFonts w:ascii="Arial" w:hAnsi="Arial" w:cs="Arial"/>
          <w:sz w:val="20"/>
          <w:szCs w:val="20"/>
          <w:lang w:val="es-ES"/>
        </w:rPr>
      </w:pPr>
      <w:r w:rsidRPr="006E583B">
        <w:rPr>
          <w:rFonts w:ascii="Arial" w:hAnsi="Arial" w:cs="Arial"/>
          <w:bCs/>
          <w:sz w:val="20"/>
          <w:szCs w:val="20"/>
          <w:lang w:val="es-ES" w:eastAsia="es-ES_tradnl"/>
        </w:rPr>
        <w:t xml:space="preserve">Cabe anotar que </w:t>
      </w:r>
      <w:r w:rsidRPr="006E583B">
        <w:rPr>
          <w:rFonts w:ascii="Arial" w:hAnsi="Arial" w:cs="Arial"/>
          <w:bCs/>
          <w:sz w:val="20"/>
          <w:szCs w:val="20"/>
          <w:lang w:eastAsia="es-ES_tradnl"/>
        </w:rPr>
        <w:t xml:space="preserve">la Resolución 219 del 6 de agosto de 2021 contiene los documentos tipo que aplican </w:t>
      </w:r>
      <w:r w:rsidRPr="006E583B">
        <w:rPr>
          <w:rFonts w:ascii="Arial" w:hAnsi="Arial" w:cs="Arial"/>
          <w:sz w:val="20"/>
          <w:szCs w:val="20"/>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5A7324B4" w14:textId="342DA5FA" w:rsidR="006E583B" w:rsidRPr="006E583B" w:rsidRDefault="006E583B" w:rsidP="006E583B">
      <w:pPr>
        <w:spacing w:after="0" w:line="240" w:lineRule="auto"/>
        <w:jc w:val="both"/>
        <w:rPr>
          <w:rFonts w:ascii="Arial" w:hAnsi="Arial" w:cs="Arial"/>
          <w:sz w:val="20"/>
          <w:szCs w:val="20"/>
          <w:lang w:val="es-ES"/>
        </w:rPr>
      </w:pPr>
      <w:r w:rsidRPr="006E583B">
        <w:rPr>
          <w:rFonts w:ascii="Arial" w:hAnsi="Arial" w:cs="Arial"/>
          <w:sz w:val="20"/>
          <w:szCs w:val="20"/>
          <w:lang w:val="es-ES"/>
        </w:rPr>
        <w:t xml:space="preserve">En consecuencia, en materia de infraestructura social debe tenerse en cuenta que existen dos (2) clases de documentos tipo que se integran en cada proceso: i) los documentos </w:t>
      </w:r>
      <w:r w:rsidRPr="006E583B">
        <w:rPr>
          <w:rFonts w:ascii="Arial" w:hAnsi="Arial" w:cs="Arial"/>
          <w:i/>
          <w:sz w:val="20"/>
          <w:szCs w:val="20"/>
          <w:lang w:val="es-ES"/>
        </w:rPr>
        <w:t>transversales</w:t>
      </w:r>
      <w:r w:rsidRPr="006E583B">
        <w:rPr>
          <w:rFonts w:ascii="Arial" w:hAnsi="Arial" w:cs="Arial"/>
          <w:sz w:val="20"/>
          <w:szCs w:val="20"/>
          <w:lang w:val="es-ES"/>
        </w:rPr>
        <w:t xml:space="preserve"> a todos los sectores de infraestructura social, es decir, el documento base, los anexos, los formatos, los formularios y las matrices adoptados mediante la Resolución No. 219 de 2021; y ii) los documentos tipo </w:t>
      </w:r>
      <w:r w:rsidRPr="006E583B">
        <w:rPr>
          <w:rFonts w:ascii="Arial" w:hAnsi="Arial" w:cs="Arial"/>
          <w:i/>
          <w:sz w:val="20"/>
          <w:szCs w:val="20"/>
          <w:lang w:val="es-ES"/>
        </w:rPr>
        <w:t>complementarios</w:t>
      </w:r>
      <w:r w:rsidRPr="006E583B">
        <w:rPr>
          <w:rFonts w:ascii="Arial" w:hAnsi="Arial" w:cs="Arial"/>
          <w:iCs/>
          <w:sz w:val="20"/>
          <w:szCs w:val="20"/>
          <w:lang w:val="es-ES"/>
        </w:rPr>
        <w:t>,</w:t>
      </w:r>
      <w:r w:rsidRPr="006E583B">
        <w:rPr>
          <w:rFonts w:ascii="Arial" w:hAnsi="Arial" w:cs="Arial"/>
          <w:i/>
          <w:sz w:val="20"/>
          <w:szCs w:val="20"/>
          <w:lang w:val="es-ES"/>
        </w:rPr>
        <w:t xml:space="preserve"> </w:t>
      </w:r>
      <w:r w:rsidRPr="006E583B">
        <w:rPr>
          <w:rFonts w:ascii="Arial" w:hAnsi="Arial" w:cs="Arial"/>
          <w:sz w:val="20"/>
          <w:szCs w:val="20"/>
          <w:lang w:val="es-ES"/>
        </w:rPr>
        <w:t>referentes a la matriz de experiencia y el glosario, los cuales han sido adoptados en la resolución para cada sector específico.</w:t>
      </w:r>
      <w:r w:rsidRPr="006E583B">
        <w:rPr>
          <w:rFonts w:ascii="Arial" w:eastAsia="Calibri" w:hAnsi="Arial" w:cs="Arial"/>
          <w:sz w:val="20"/>
          <w:szCs w:val="20"/>
          <w:lang w:val="es-ES" w:eastAsia="es-ES"/>
        </w:rPr>
        <w:t xml:space="preserve"> En este orden de ideas, la Agencia ha expedido tres documentos tipo complementarios de infraestructura social: la Resolución 220 del 6 de agosto de 2021, </w:t>
      </w:r>
      <w:r>
        <w:rPr>
          <w:rFonts w:ascii="Arial" w:eastAsia="Calibri" w:hAnsi="Arial" w:cs="Arial"/>
          <w:sz w:val="20"/>
          <w:szCs w:val="20"/>
          <w:lang w:val="es-ES" w:eastAsia="es-ES"/>
        </w:rPr>
        <w:t>“</w:t>
      </w:r>
      <w:r w:rsidRPr="006E583B">
        <w:rPr>
          <w:rFonts w:ascii="Arial" w:eastAsia="Calibri" w:hAnsi="Arial" w:cs="Arial"/>
          <w:sz w:val="20"/>
          <w:szCs w:val="20"/>
          <w:lang w:val="es-ES" w:eastAsia="es-ES"/>
        </w:rPr>
        <w:t>Por la cual se adoptan los documentos tipo complementarios para los procesos de licitación de obra pública de infraestructura social relacionados con el sector educativo</w:t>
      </w:r>
      <w:r>
        <w:rPr>
          <w:rFonts w:ascii="Arial" w:eastAsia="Calibri" w:hAnsi="Arial" w:cs="Arial"/>
          <w:sz w:val="20"/>
          <w:szCs w:val="20"/>
          <w:lang w:val="es-ES" w:eastAsia="es-ES"/>
        </w:rPr>
        <w:t>”</w:t>
      </w:r>
      <w:r w:rsidRPr="006E583B">
        <w:rPr>
          <w:rFonts w:ascii="Arial" w:eastAsia="Calibri" w:hAnsi="Arial" w:cs="Arial"/>
          <w:sz w:val="20"/>
          <w:szCs w:val="20"/>
          <w:lang w:val="es-ES" w:eastAsia="es-ES"/>
        </w:rPr>
        <w:t xml:space="preserve">; la Resolución 392 de 2021 del 18 de noviembre de 2021, </w:t>
      </w:r>
      <w:r>
        <w:rPr>
          <w:rFonts w:ascii="Arial" w:eastAsia="Calibri" w:hAnsi="Arial" w:cs="Arial"/>
          <w:sz w:val="20"/>
          <w:szCs w:val="20"/>
          <w:lang w:val="es-ES" w:eastAsia="es-ES"/>
        </w:rPr>
        <w:t>“</w:t>
      </w:r>
      <w:r w:rsidRPr="006E583B">
        <w:rPr>
          <w:rFonts w:ascii="Arial" w:eastAsia="Calibri" w:hAnsi="Arial" w:cs="Arial"/>
          <w:sz w:val="20"/>
          <w:szCs w:val="20"/>
          <w:lang w:val="es-ES" w:eastAsia="es-ES"/>
        </w:rPr>
        <w:t>Por la cual se adoptan los documentos tipo complementarios para los procesos de licitación de obra pública de infraestructura social relacionados con el sector salud</w:t>
      </w:r>
      <w:r>
        <w:rPr>
          <w:rFonts w:ascii="Arial" w:eastAsia="Calibri" w:hAnsi="Arial" w:cs="Arial"/>
          <w:sz w:val="20"/>
          <w:szCs w:val="20"/>
          <w:lang w:val="es-ES" w:eastAsia="es-ES"/>
        </w:rPr>
        <w:t>”</w:t>
      </w:r>
      <w:r w:rsidRPr="006E583B">
        <w:rPr>
          <w:rFonts w:ascii="Arial" w:eastAsia="Calibri" w:hAnsi="Arial" w:cs="Arial"/>
          <w:sz w:val="20"/>
          <w:szCs w:val="20"/>
          <w:lang w:val="es-ES" w:eastAsia="es-ES"/>
        </w:rPr>
        <w:t xml:space="preserve"> y la Resolución 454 de 2021 del 16 de diciembre de 2021, </w:t>
      </w:r>
      <w:r>
        <w:rPr>
          <w:rFonts w:ascii="Arial" w:eastAsia="Calibri" w:hAnsi="Arial" w:cs="Arial"/>
          <w:sz w:val="20"/>
          <w:szCs w:val="20"/>
          <w:lang w:val="es-ES" w:eastAsia="es-ES"/>
        </w:rPr>
        <w:t>“</w:t>
      </w:r>
      <w:r w:rsidRPr="006E583B">
        <w:rPr>
          <w:rFonts w:ascii="Arial" w:eastAsia="Calibri" w:hAnsi="Arial" w:cs="Arial"/>
          <w:sz w:val="20"/>
          <w:szCs w:val="20"/>
          <w:lang w:val="es-ES" w:eastAsia="es-ES"/>
        </w:rPr>
        <w:t>Por la cual se adoptan los documentos tipo complementarios para los procesos de licitación de obra pública de infraestructura social relacionados con el Sector cultura, recreación y deporte</w:t>
      </w:r>
      <w:r>
        <w:rPr>
          <w:rFonts w:ascii="Arial" w:eastAsia="Calibri" w:hAnsi="Arial" w:cs="Arial"/>
          <w:sz w:val="20"/>
          <w:szCs w:val="20"/>
          <w:lang w:val="es-ES" w:eastAsia="es-ES"/>
        </w:rPr>
        <w:t>”</w:t>
      </w:r>
      <w:r w:rsidRPr="006E583B">
        <w:rPr>
          <w:rFonts w:ascii="Arial" w:eastAsia="Calibri" w:hAnsi="Arial" w:cs="Arial"/>
          <w:sz w:val="20"/>
          <w:szCs w:val="20"/>
          <w:lang w:val="es-ES" w:eastAsia="es-ES"/>
        </w:rPr>
        <w:t>.</w:t>
      </w:r>
    </w:p>
    <w:p w14:paraId="0E53F23F" w14:textId="77777777" w:rsidR="006E583B" w:rsidRPr="006E583B" w:rsidRDefault="006E583B" w:rsidP="006E583B">
      <w:pPr>
        <w:spacing w:after="0" w:line="240" w:lineRule="auto"/>
        <w:jc w:val="both"/>
        <w:rPr>
          <w:rFonts w:ascii="Arial" w:hAnsi="Arial" w:cs="Arial"/>
          <w:sz w:val="20"/>
          <w:szCs w:val="20"/>
          <w:lang w:val="es-ES"/>
        </w:rPr>
      </w:pPr>
    </w:p>
    <w:p w14:paraId="76AAC5DF" w14:textId="26D0E710" w:rsidR="006E583B" w:rsidRPr="006E583B" w:rsidRDefault="006E583B" w:rsidP="00F048FB">
      <w:pPr>
        <w:spacing w:after="0" w:line="240" w:lineRule="auto"/>
        <w:jc w:val="both"/>
        <w:rPr>
          <w:rFonts w:ascii="Arial" w:hAnsi="Arial" w:cs="Arial"/>
          <w:sz w:val="20"/>
          <w:szCs w:val="20"/>
          <w:lang w:val="es-ES"/>
        </w:rPr>
      </w:pPr>
      <w:r w:rsidRPr="006E583B">
        <w:rPr>
          <w:rFonts w:ascii="Arial" w:hAnsi="Arial" w:cs="Arial"/>
          <w:b/>
          <w:bCs/>
          <w:lang w:val="es-ES"/>
        </w:rPr>
        <w:lastRenderedPageBreak/>
        <w:t xml:space="preserve">DOCUMENTOS TIPO DE INFRAESTRUCTURA SOCIAL – </w:t>
      </w:r>
      <w:r w:rsidR="00F048FB" w:rsidRPr="00F048FB">
        <w:rPr>
          <w:rFonts w:ascii="Arial" w:hAnsi="Arial" w:cs="Arial"/>
          <w:b/>
          <w:bCs/>
          <w:lang w:val="es-ES"/>
        </w:rPr>
        <w:t>Factor Técnico Ambiental</w:t>
      </w:r>
    </w:p>
    <w:p w14:paraId="1075E3CA" w14:textId="77777777" w:rsidR="006E583B" w:rsidRPr="006E583B" w:rsidRDefault="006E583B" w:rsidP="006E583B">
      <w:pPr>
        <w:spacing w:after="0" w:line="240" w:lineRule="auto"/>
        <w:contextualSpacing/>
        <w:jc w:val="both"/>
        <w:rPr>
          <w:rFonts w:ascii="Arial" w:eastAsia="Calibri" w:hAnsi="Arial" w:cs="Arial"/>
          <w:b/>
          <w:lang w:val="es-MX" w:eastAsia="es-MX"/>
        </w:rPr>
      </w:pPr>
    </w:p>
    <w:p w14:paraId="300D3693" w14:textId="77777777" w:rsidR="006E583B" w:rsidRPr="006E583B" w:rsidRDefault="006E583B" w:rsidP="006E583B">
      <w:pPr>
        <w:spacing w:after="0" w:line="240" w:lineRule="auto"/>
        <w:rPr>
          <w:rFonts w:ascii="Arial" w:eastAsia="Calibri" w:hAnsi="Arial" w:cs="Arial"/>
          <w:b/>
          <w:bCs/>
          <w:szCs w:val="24"/>
          <w:lang w:eastAsia="es-MX"/>
        </w:rPr>
      </w:pPr>
    </w:p>
    <w:p w14:paraId="2FCA7BEF" w14:textId="77777777" w:rsidR="00F03A3B" w:rsidRPr="00F03A3B" w:rsidRDefault="00F03A3B" w:rsidP="00F03A3B">
      <w:pPr>
        <w:spacing w:after="0" w:line="240" w:lineRule="auto"/>
        <w:rPr>
          <w:rFonts w:ascii="Arial" w:eastAsia="Calibri" w:hAnsi="Arial" w:cs="Arial"/>
          <w:b/>
          <w:bCs/>
          <w:szCs w:val="24"/>
          <w:lang w:eastAsia="es-MX"/>
        </w:rPr>
      </w:pPr>
    </w:p>
    <w:p w14:paraId="05F36878" w14:textId="0601528D" w:rsidR="006E583B" w:rsidRPr="00F03A3B" w:rsidRDefault="00F03A3B" w:rsidP="00F03A3B">
      <w:pPr>
        <w:spacing w:after="0" w:line="240" w:lineRule="auto"/>
        <w:jc w:val="both"/>
        <w:rPr>
          <w:rFonts w:ascii="Arial" w:hAnsi="Arial" w:cs="Arial"/>
          <w:sz w:val="20"/>
          <w:szCs w:val="20"/>
          <w:lang w:val="es-ES"/>
        </w:rPr>
      </w:pPr>
      <w:r w:rsidRPr="00F03A3B">
        <w:rPr>
          <w:rFonts w:ascii="Arial" w:hAnsi="Arial" w:cs="Arial"/>
          <w:sz w:val="20"/>
          <w:szCs w:val="20"/>
          <w:lang w:val="es-ES"/>
        </w:rPr>
        <w:t>Nótese como la fijación de los factores de sostenibilidad técnico ambiental derivan de un análisis propio de la Entidad, es decir, son potestativos de la Entidad, y esta, con fundamento en el principio de planeación, verificará la pertinencia o no de incluir estos factores. En todo caso, y ante eventos particulares que la misma Entidad identifique, como la insuficiencia del espacio físico del predio, por ejemplo, el puntaje inicialmente destinado al factor de sostenibilidad técnico ambiental se trasladará al factor de calidad, tal y como lo indica el documento base.</w:t>
      </w:r>
    </w:p>
    <w:p w14:paraId="65FB6682" w14:textId="77777777" w:rsidR="006E583B" w:rsidRPr="006E583B" w:rsidRDefault="006E583B" w:rsidP="006E583B">
      <w:pPr>
        <w:spacing w:after="0" w:line="240" w:lineRule="auto"/>
        <w:rPr>
          <w:rFonts w:ascii="Arial" w:eastAsia="Calibri" w:hAnsi="Arial" w:cs="Arial"/>
          <w:b/>
          <w:bCs/>
          <w:szCs w:val="24"/>
          <w:lang w:eastAsia="es-MX"/>
        </w:rPr>
      </w:pPr>
    </w:p>
    <w:p w14:paraId="78987BCA" w14:textId="77777777" w:rsidR="006E583B" w:rsidRPr="006E583B" w:rsidRDefault="006E583B" w:rsidP="006E583B">
      <w:pPr>
        <w:spacing w:after="0" w:line="240" w:lineRule="auto"/>
        <w:rPr>
          <w:rFonts w:ascii="Arial" w:eastAsia="Calibri" w:hAnsi="Arial" w:cs="Arial"/>
          <w:b/>
          <w:bCs/>
          <w:szCs w:val="24"/>
          <w:lang w:eastAsia="es-MX"/>
        </w:rPr>
      </w:pPr>
    </w:p>
    <w:p w14:paraId="0CD1EA2C" w14:textId="77777777" w:rsidR="006E583B" w:rsidRPr="006E583B" w:rsidRDefault="006E583B" w:rsidP="006E583B">
      <w:pPr>
        <w:spacing w:after="0" w:line="240" w:lineRule="auto"/>
        <w:rPr>
          <w:rFonts w:ascii="Arial" w:eastAsia="Calibri" w:hAnsi="Arial" w:cs="Arial"/>
          <w:b/>
          <w:bCs/>
          <w:szCs w:val="24"/>
          <w:lang w:eastAsia="es-MX"/>
        </w:rPr>
      </w:pPr>
    </w:p>
    <w:p w14:paraId="6C116223" w14:textId="77777777" w:rsidR="006E583B" w:rsidRPr="006E583B" w:rsidRDefault="006E583B" w:rsidP="006E583B">
      <w:pPr>
        <w:spacing w:after="0" w:line="240" w:lineRule="auto"/>
        <w:rPr>
          <w:rFonts w:ascii="Arial" w:eastAsia="Calibri" w:hAnsi="Arial" w:cs="Arial"/>
          <w:b/>
          <w:bCs/>
          <w:szCs w:val="24"/>
          <w:lang w:eastAsia="es-MX"/>
        </w:rPr>
      </w:pPr>
    </w:p>
    <w:p w14:paraId="71EED5D8" w14:textId="77777777" w:rsidR="006E583B" w:rsidRPr="006E583B" w:rsidRDefault="006E583B" w:rsidP="006E583B">
      <w:pPr>
        <w:spacing w:after="0" w:line="240" w:lineRule="auto"/>
        <w:rPr>
          <w:rFonts w:ascii="Arial" w:eastAsia="Calibri" w:hAnsi="Arial" w:cs="Arial"/>
          <w:b/>
          <w:bCs/>
          <w:szCs w:val="24"/>
          <w:lang w:eastAsia="es-MX"/>
        </w:rPr>
      </w:pPr>
    </w:p>
    <w:p w14:paraId="728EA67E" w14:textId="77777777" w:rsidR="006E583B" w:rsidRPr="006E583B" w:rsidRDefault="006E583B" w:rsidP="006E583B">
      <w:pPr>
        <w:spacing w:after="0" w:line="240" w:lineRule="auto"/>
        <w:rPr>
          <w:rFonts w:ascii="Arial" w:eastAsia="Calibri" w:hAnsi="Arial" w:cs="Arial"/>
          <w:b/>
          <w:bCs/>
          <w:szCs w:val="24"/>
          <w:lang w:eastAsia="es-MX"/>
        </w:rPr>
      </w:pPr>
    </w:p>
    <w:p w14:paraId="659626AF" w14:textId="77777777" w:rsidR="006E583B" w:rsidRPr="006E583B" w:rsidRDefault="006E583B" w:rsidP="006E583B">
      <w:pPr>
        <w:spacing w:after="0" w:line="240" w:lineRule="auto"/>
        <w:rPr>
          <w:rFonts w:ascii="Arial" w:eastAsia="Calibri" w:hAnsi="Arial" w:cs="Arial"/>
          <w:b/>
          <w:bCs/>
          <w:szCs w:val="24"/>
          <w:lang w:eastAsia="es-MX"/>
        </w:rPr>
      </w:pPr>
    </w:p>
    <w:p w14:paraId="4C56EB9A" w14:textId="77777777" w:rsidR="006E583B" w:rsidRPr="006E583B" w:rsidRDefault="006E583B" w:rsidP="006E583B">
      <w:pPr>
        <w:spacing w:after="0" w:line="240" w:lineRule="auto"/>
        <w:rPr>
          <w:rFonts w:ascii="Arial" w:eastAsia="Calibri" w:hAnsi="Arial" w:cs="Arial"/>
          <w:b/>
          <w:bCs/>
          <w:szCs w:val="24"/>
          <w:lang w:eastAsia="es-MX"/>
        </w:rPr>
      </w:pPr>
    </w:p>
    <w:p w14:paraId="3D995F98" w14:textId="77777777" w:rsidR="006E583B" w:rsidRPr="006E583B" w:rsidRDefault="006E583B" w:rsidP="006E583B">
      <w:pPr>
        <w:spacing w:after="0" w:line="240" w:lineRule="auto"/>
        <w:rPr>
          <w:rFonts w:ascii="Arial" w:eastAsia="Calibri" w:hAnsi="Arial" w:cs="Arial"/>
          <w:lang w:val="es-ES" w:eastAsia="es-MX"/>
        </w:rPr>
      </w:pPr>
    </w:p>
    <w:p w14:paraId="3FF50C3B" w14:textId="77777777" w:rsidR="006E583B" w:rsidRPr="006E583B" w:rsidRDefault="006E583B" w:rsidP="006E583B">
      <w:pPr>
        <w:spacing w:after="0" w:line="240" w:lineRule="auto"/>
        <w:rPr>
          <w:rFonts w:ascii="Arial" w:eastAsia="Calibri" w:hAnsi="Arial" w:cs="Arial"/>
          <w:lang w:val="es-ES" w:eastAsia="es-MX"/>
        </w:rPr>
      </w:pPr>
    </w:p>
    <w:p w14:paraId="36E30E3F" w14:textId="77777777" w:rsidR="006E583B" w:rsidRPr="006E583B" w:rsidRDefault="006E583B" w:rsidP="006E583B">
      <w:pPr>
        <w:spacing w:after="0" w:line="240" w:lineRule="auto"/>
        <w:rPr>
          <w:rFonts w:ascii="Arial" w:eastAsia="Calibri" w:hAnsi="Arial" w:cs="Arial"/>
          <w:lang w:val="es-ES" w:eastAsia="es-MX"/>
        </w:rPr>
      </w:pPr>
    </w:p>
    <w:p w14:paraId="3FA6666C" w14:textId="77777777" w:rsidR="006E583B" w:rsidRPr="006E583B" w:rsidRDefault="006E583B" w:rsidP="006E583B">
      <w:pPr>
        <w:spacing w:after="0" w:line="240" w:lineRule="auto"/>
        <w:rPr>
          <w:rFonts w:ascii="Arial" w:eastAsia="Calibri" w:hAnsi="Arial" w:cs="Arial"/>
          <w:lang w:val="es-ES" w:eastAsia="es-MX"/>
        </w:rPr>
      </w:pPr>
    </w:p>
    <w:p w14:paraId="6DB40769" w14:textId="77777777" w:rsidR="006E583B" w:rsidRPr="006E583B" w:rsidRDefault="006E583B" w:rsidP="006E583B">
      <w:pPr>
        <w:spacing w:after="0" w:line="240" w:lineRule="auto"/>
        <w:rPr>
          <w:rFonts w:ascii="Arial" w:eastAsia="Calibri" w:hAnsi="Arial" w:cs="Arial"/>
          <w:lang w:val="es-ES" w:eastAsia="es-MX"/>
        </w:rPr>
      </w:pPr>
    </w:p>
    <w:p w14:paraId="2E8D409B" w14:textId="77777777" w:rsidR="006E583B" w:rsidRPr="006E583B" w:rsidRDefault="006E583B" w:rsidP="006E583B">
      <w:pPr>
        <w:spacing w:after="0" w:line="240" w:lineRule="auto"/>
        <w:rPr>
          <w:rFonts w:ascii="Arial" w:eastAsia="Calibri" w:hAnsi="Arial" w:cs="Arial"/>
          <w:lang w:val="es-ES" w:eastAsia="es-MX"/>
        </w:rPr>
      </w:pPr>
    </w:p>
    <w:p w14:paraId="7BF43EB7" w14:textId="77777777" w:rsidR="006E583B" w:rsidRPr="006E583B" w:rsidRDefault="006E583B" w:rsidP="006E583B">
      <w:pPr>
        <w:spacing w:after="0" w:line="240" w:lineRule="auto"/>
        <w:rPr>
          <w:rFonts w:ascii="Arial" w:eastAsia="Calibri" w:hAnsi="Arial" w:cs="Arial"/>
          <w:lang w:val="es-ES" w:eastAsia="es-MX"/>
        </w:rPr>
      </w:pPr>
    </w:p>
    <w:p w14:paraId="6416EC76" w14:textId="77777777" w:rsidR="006E583B" w:rsidRPr="006E583B" w:rsidRDefault="006E583B" w:rsidP="006E583B">
      <w:pPr>
        <w:spacing w:after="0" w:line="240" w:lineRule="auto"/>
        <w:rPr>
          <w:rFonts w:ascii="Arial" w:eastAsia="Calibri" w:hAnsi="Arial" w:cs="Arial"/>
          <w:lang w:val="es-ES" w:eastAsia="es-MX"/>
        </w:rPr>
      </w:pPr>
    </w:p>
    <w:p w14:paraId="5E7A5FFB" w14:textId="77777777" w:rsidR="006E583B" w:rsidRPr="006E583B" w:rsidRDefault="006E583B" w:rsidP="006E583B">
      <w:pPr>
        <w:spacing w:after="0" w:line="240" w:lineRule="auto"/>
        <w:rPr>
          <w:rFonts w:ascii="Arial" w:eastAsia="Calibri" w:hAnsi="Arial" w:cs="Arial"/>
          <w:lang w:val="es-ES" w:eastAsia="es-MX"/>
        </w:rPr>
      </w:pPr>
    </w:p>
    <w:p w14:paraId="17C0F65B" w14:textId="77777777" w:rsidR="006E583B" w:rsidRPr="006E583B" w:rsidRDefault="006E583B" w:rsidP="006E583B">
      <w:pPr>
        <w:spacing w:after="0" w:line="240" w:lineRule="auto"/>
        <w:rPr>
          <w:rFonts w:ascii="Arial" w:eastAsia="Calibri" w:hAnsi="Arial" w:cs="Arial"/>
          <w:lang w:val="es-ES" w:eastAsia="es-MX"/>
        </w:rPr>
      </w:pPr>
    </w:p>
    <w:p w14:paraId="60B7B030" w14:textId="77777777" w:rsidR="006E583B" w:rsidRPr="006E583B" w:rsidRDefault="006E583B" w:rsidP="006E583B">
      <w:pPr>
        <w:spacing w:after="0" w:line="240" w:lineRule="auto"/>
        <w:rPr>
          <w:rFonts w:ascii="Arial" w:eastAsia="Calibri" w:hAnsi="Arial" w:cs="Arial"/>
          <w:lang w:val="es-ES" w:eastAsia="es-MX"/>
        </w:rPr>
      </w:pPr>
    </w:p>
    <w:p w14:paraId="01EF04F2" w14:textId="77777777" w:rsidR="006E583B" w:rsidRPr="006E583B" w:rsidRDefault="006E583B" w:rsidP="006E583B">
      <w:pPr>
        <w:spacing w:after="0" w:line="240" w:lineRule="auto"/>
        <w:rPr>
          <w:rFonts w:ascii="Arial" w:eastAsia="Calibri" w:hAnsi="Arial" w:cs="Arial"/>
          <w:lang w:val="es-ES" w:eastAsia="es-MX"/>
        </w:rPr>
      </w:pPr>
    </w:p>
    <w:p w14:paraId="499D73C8" w14:textId="77777777" w:rsidR="006E583B" w:rsidRPr="006E583B" w:rsidRDefault="006E583B" w:rsidP="006E583B">
      <w:pPr>
        <w:spacing w:after="0" w:line="240" w:lineRule="auto"/>
        <w:rPr>
          <w:rFonts w:ascii="Arial" w:eastAsia="Calibri" w:hAnsi="Arial" w:cs="Arial"/>
          <w:lang w:val="es-ES" w:eastAsia="es-MX"/>
        </w:rPr>
      </w:pPr>
    </w:p>
    <w:p w14:paraId="386F9E85" w14:textId="77777777" w:rsidR="006E583B" w:rsidRDefault="006E583B" w:rsidP="006E583B">
      <w:pPr>
        <w:spacing w:after="0" w:line="240" w:lineRule="auto"/>
        <w:rPr>
          <w:rFonts w:ascii="Arial" w:eastAsia="Calibri" w:hAnsi="Arial" w:cs="Arial"/>
          <w:lang w:val="es-ES" w:eastAsia="es-MX"/>
        </w:rPr>
      </w:pPr>
    </w:p>
    <w:p w14:paraId="232C8F75" w14:textId="77777777" w:rsidR="00F048FB" w:rsidRDefault="00F048FB" w:rsidP="006E583B">
      <w:pPr>
        <w:spacing w:after="0" w:line="240" w:lineRule="auto"/>
        <w:rPr>
          <w:rFonts w:ascii="Arial" w:eastAsia="Calibri" w:hAnsi="Arial" w:cs="Arial"/>
          <w:lang w:val="es-ES" w:eastAsia="es-MX"/>
        </w:rPr>
      </w:pPr>
    </w:p>
    <w:p w14:paraId="3197A5DF" w14:textId="77777777" w:rsidR="00F048FB" w:rsidRDefault="00F048FB" w:rsidP="006E583B">
      <w:pPr>
        <w:spacing w:after="0" w:line="240" w:lineRule="auto"/>
        <w:rPr>
          <w:rFonts w:ascii="Arial" w:eastAsia="Calibri" w:hAnsi="Arial" w:cs="Arial"/>
          <w:lang w:val="es-ES" w:eastAsia="es-MX"/>
        </w:rPr>
      </w:pPr>
    </w:p>
    <w:p w14:paraId="49AE7E53" w14:textId="77777777" w:rsidR="00F048FB" w:rsidRDefault="00F048FB" w:rsidP="006E583B">
      <w:pPr>
        <w:spacing w:after="0" w:line="240" w:lineRule="auto"/>
        <w:rPr>
          <w:rFonts w:ascii="Arial" w:eastAsia="Calibri" w:hAnsi="Arial" w:cs="Arial"/>
          <w:lang w:val="es-ES" w:eastAsia="es-MX"/>
        </w:rPr>
      </w:pPr>
    </w:p>
    <w:p w14:paraId="38CE6E2E" w14:textId="77777777" w:rsidR="00F048FB" w:rsidRDefault="00F048FB" w:rsidP="006E583B">
      <w:pPr>
        <w:spacing w:after="0" w:line="240" w:lineRule="auto"/>
        <w:rPr>
          <w:rFonts w:ascii="Arial" w:eastAsia="Calibri" w:hAnsi="Arial" w:cs="Arial"/>
          <w:lang w:val="es-ES" w:eastAsia="es-MX"/>
        </w:rPr>
      </w:pPr>
    </w:p>
    <w:p w14:paraId="4E89ED4B" w14:textId="77777777" w:rsidR="00F048FB" w:rsidRDefault="00F048FB" w:rsidP="006E583B">
      <w:pPr>
        <w:spacing w:after="0" w:line="240" w:lineRule="auto"/>
        <w:rPr>
          <w:rFonts w:ascii="Arial" w:eastAsia="Calibri" w:hAnsi="Arial" w:cs="Arial"/>
          <w:lang w:val="es-ES" w:eastAsia="es-MX"/>
        </w:rPr>
      </w:pPr>
    </w:p>
    <w:p w14:paraId="7552ED93" w14:textId="77777777" w:rsidR="00F048FB" w:rsidRDefault="00F048FB" w:rsidP="006E583B">
      <w:pPr>
        <w:spacing w:after="0" w:line="240" w:lineRule="auto"/>
        <w:rPr>
          <w:rFonts w:ascii="Arial" w:eastAsia="Calibri" w:hAnsi="Arial" w:cs="Arial"/>
          <w:lang w:val="es-ES" w:eastAsia="es-MX"/>
        </w:rPr>
      </w:pPr>
    </w:p>
    <w:p w14:paraId="4A43F74C" w14:textId="77777777" w:rsidR="00F048FB" w:rsidRDefault="00F048FB" w:rsidP="006E583B">
      <w:pPr>
        <w:spacing w:after="0" w:line="240" w:lineRule="auto"/>
        <w:rPr>
          <w:rFonts w:ascii="Arial" w:eastAsia="Calibri" w:hAnsi="Arial" w:cs="Arial"/>
          <w:lang w:val="es-ES" w:eastAsia="es-MX"/>
        </w:rPr>
      </w:pPr>
    </w:p>
    <w:p w14:paraId="025D32A0" w14:textId="77777777" w:rsidR="00F048FB" w:rsidRDefault="00F048FB" w:rsidP="006E583B">
      <w:pPr>
        <w:spacing w:after="0" w:line="240" w:lineRule="auto"/>
        <w:rPr>
          <w:rFonts w:ascii="Arial" w:eastAsia="Calibri" w:hAnsi="Arial" w:cs="Arial"/>
          <w:lang w:val="es-ES" w:eastAsia="es-MX"/>
        </w:rPr>
      </w:pPr>
    </w:p>
    <w:p w14:paraId="0C988284" w14:textId="77777777" w:rsidR="00F048FB" w:rsidRDefault="00F048FB" w:rsidP="006E583B">
      <w:pPr>
        <w:spacing w:after="0" w:line="240" w:lineRule="auto"/>
        <w:rPr>
          <w:rFonts w:ascii="Arial" w:eastAsia="Calibri" w:hAnsi="Arial" w:cs="Arial"/>
          <w:lang w:val="es-ES" w:eastAsia="es-MX"/>
        </w:rPr>
      </w:pPr>
    </w:p>
    <w:p w14:paraId="5D009432" w14:textId="77777777" w:rsidR="00F048FB" w:rsidRDefault="00F048FB" w:rsidP="006E583B">
      <w:pPr>
        <w:spacing w:after="0" w:line="240" w:lineRule="auto"/>
        <w:rPr>
          <w:rFonts w:ascii="Arial" w:eastAsia="Calibri" w:hAnsi="Arial" w:cs="Arial"/>
          <w:lang w:val="es-ES" w:eastAsia="es-MX"/>
        </w:rPr>
      </w:pPr>
    </w:p>
    <w:p w14:paraId="2BB61A5A" w14:textId="77777777" w:rsidR="00F048FB" w:rsidRDefault="00F048FB" w:rsidP="006E583B">
      <w:pPr>
        <w:spacing w:after="0" w:line="240" w:lineRule="auto"/>
        <w:rPr>
          <w:rFonts w:ascii="Arial" w:eastAsia="Calibri" w:hAnsi="Arial" w:cs="Arial"/>
          <w:lang w:val="es-ES" w:eastAsia="es-MX"/>
        </w:rPr>
      </w:pPr>
    </w:p>
    <w:p w14:paraId="3910B7A2" w14:textId="77777777" w:rsidR="00F048FB" w:rsidRDefault="00F048FB" w:rsidP="006E583B">
      <w:pPr>
        <w:spacing w:after="0" w:line="240" w:lineRule="auto"/>
        <w:rPr>
          <w:rFonts w:ascii="Arial" w:eastAsia="Calibri" w:hAnsi="Arial" w:cs="Arial"/>
          <w:lang w:val="es-ES" w:eastAsia="es-MX"/>
        </w:rPr>
      </w:pPr>
    </w:p>
    <w:p w14:paraId="51BF795E" w14:textId="77777777" w:rsidR="00F048FB" w:rsidRDefault="00F048FB" w:rsidP="006E583B">
      <w:pPr>
        <w:spacing w:after="0" w:line="240" w:lineRule="auto"/>
        <w:rPr>
          <w:rFonts w:ascii="Arial" w:eastAsia="Calibri" w:hAnsi="Arial" w:cs="Arial"/>
          <w:lang w:val="es-ES" w:eastAsia="es-MX"/>
        </w:rPr>
      </w:pPr>
    </w:p>
    <w:p w14:paraId="25AE7E0A" w14:textId="77777777" w:rsidR="00F048FB" w:rsidRDefault="00F048FB" w:rsidP="006E583B">
      <w:pPr>
        <w:spacing w:after="0" w:line="240" w:lineRule="auto"/>
        <w:rPr>
          <w:rFonts w:ascii="Arial" w:eastAsia="Calibri" w:hAnsi="Arial" w:cs="Arial"/>
          <w:lang w:val="es-ES" w:eastAsia="es-MX"/>
        </w:rPr>
      </w:pPr>
    </w:p>
    <w:p w14:paraId="7C6C627B" w14:textId="77777777" w:rsidR="00F048FB" w:rsidRPr="006E583B" w:rsidRDefault="00F048FB" w:rsidP="006E583B">
      <w:pPr>
        <w:spacing w:after="0" w:line="240" w:lineRule="auto"/>
        <w:rPr>
          <w:rFonts w:ascii="Arial" w:eastAsia="Calibri" w:hAnsi="Arial" w:cs="Arial"/>
          <w:lang w:val="es-ES" w:eastAsia="es-MX"/>
        </w:rPr>
      </w:pPr>
    </w:p>
    <w:p w14:paraId="2D211D26" w14:textId="77777777" w:rsidR="006E583B" w:rsidRPr="006E583B" w:rsidRDefault="006E583B" w:rsidP="006E583B">
      <w:pPr>
        <w:spacing w:after="0" w:line="240" w:lineRule="auto"/>
        <w:contextualSpacing/>
        <w:rPr>
          <w:rFonts w:ascii="Arial" w:hAnsi="Arial" w:cs="Arial"/>
        </w:rPr>
      </w:pPr>
    </w:p>
    <w:p w14:paraId="6A68038F" w14:textId="77777777" w:rsidR="006E583B" w:rsidRDefault="006E583B" w:rsidP="006E583B">
      <w:pPr>
        <w:spacing w:after="0" w:line="240" w:lineRule="auto"/>
        <w:contextualSpacing/>
        <w:rPr>
          <w:rFonts w:ascii="Arial" w:hAnsi="Arial" w:cs="Arial"/>
        </w:rPr>
      </w:pPr>
    </w:p>
    <w:p w14:paraId="0E7EBDA2" w14:textId="3E5B1EFD" w:rsidR="005B33C2" w:rsidRPr="006E583B" w:rsidRDefault="005B33C2" w:rsidP="005B33C2">
      <w:pPr>
        <w:spacing w:after="0" w:line="240" w:lineRule="auto"/>
        <w:contextualSpacing/>
        <w:jc w:val="right"/>
        <w:rPr>
          <w:rFonts w:ascii="Arial" w:hAnsi="Arial" w:cs="Arial"/>
        </w:rPr>
      </w:pPr>
      <w:r w:rsidRPr="005B33C2">
        <w:rPr>
          <w:rFonts w:ascii="Arial" w:hAnsi="Arial" w:cs="Arial"/>
          <w:noProof/>
        </w:rPr>
        <w:drawing>
          <wp:inline distT="0" distB="0" distL="0" distR="0" wp14:anchorId="4C72113F" wp14:editId="2EF3C1D9">
            <wp:extent cx="2760785" cy="691515"/>
            <wp:effectExtent l="0" t="0" r="1905" b="0"/>
            <wp:docPr id="19603352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2787" cy="694521"/>
                    </a:xfrm>
                    <a:prstGeom prst="rect">
                      <a:avLst/>
                    </a:prstGeom>
                    <a:noFill/>
                    <a:ln>
                      <a:noFill/>
                    </a:ln>
                  </pic:spPr>
                </pic:pic>
              </a:graphicData>
            </a:graphic>
          </wp:inline>
        </w:drawing>
      </w:r>
    </w:p>
    <w:p w14:paraId="335D6D1A" w14:textId="77777777" w:rsidR="006E583B" w:rsidRPr="006E583B" w:rsidRDefault="006E583B" w:rsidP="006E583B">
      <w:pPr>
        <w:spacing w:after="0" w:line="240" w:lineRule="auto"/>
        <w:contextualSpacing/>
        <w:rPr>
          <w:rFonts w:ascii="Arial" w:eastAsia="Calibri" w:hAnsi="Arial" w:cs="Arial"/>
          <w:lang w:val="es-ES" w:eastAsia="es-MX"/>
        </w:rPr>
      </w:pPr>
    </w:p>
    <w:p w14:paraId="7D0F5610" w14:textId="77777777" w:rsidR="006E583B" w:rsidRDefault="006E583B" w:rsidP="006E583B">
      <w:pPr>
        <w:spacing w:after="0" w:line="240" w:lineRule="auto"/>
        <w:contextualSpacing/>
        <w:rPr>
          <w:rFonts w:ascii="Arial" w:eastAsia="Calibri" w:hAnsi="Arial" w:cs="Arial"/>
          <w:lang w:val="es-ES" w:eastAsia="es-MX"/>
        </w:rPr>
      </w:pPr>
    </w:p>
    <w:p w14:paraId="222F445B" w14:textId="42C0E49E" w:rsidR="006E583B" w:rsidRPr="006E583B" w:rsidRDefault="006E583B" w:rsidP="006E583B">
      <w:pPr>
        <w:spacing w:after="0" w:line="240" w:lineRule="auto"/>
        <w:contextualSpacing/>
        <w:rPr>
          <w:rFonts w:ascii="Arial" w:eastAsia="Calibri" w:hAnsi="Arial" w:cs="Arial"/>
          <w:lang w:val="es-ES" w:eastAsia="es-MX"/>
        </w:rPr>
      </w:pPr>
      <w:r w:rsidRPr="006E583B">
        <w:rPr>
          <w:rFonts w:ascii="Arial" w:eastAsia="Calibri" w:hAnsi="Arial" w:cs="Arial"/>
          <w:lang w:val="es-ES" w:eastAsia="es-MX"/>
        </w:rPr>
        <w:t>Señor</w:t>
      </w:r>
    </w:p>
    <w:p w14:paraId="0A5E1C98" w14:textId="19D91142" w:rsidR="006E583B" w:rsidRPr="006E583B" w:rsidRDefault="006E583B" w:rsidP="006E583B">
      <w:pPr>
        <w:spacing w:after="0" w:line="240" w:lineRule="auto"/>
        <w:contextualSpacing/>
        <w:rPr>
          <w:rFonts w:ascii="Arial" w:hAnsi="Arial" w:cs="Arial"/>
          <w:b/>
          <w:bCs/>
        </w:rPr>
      </w:pPr>
      <w:r>
        <w:rPr>
          <w:rFonts w:ascii="Arial" w:hAnsi="Arial" w:cs="Arial"/>
          <w:b/>
          <w:bCs/>
        </w:rPr>
        <w:t xml:space="preserve">Martín Elías Salcedo Mendoza </w:t>
      </w:r>
    </w:p>
    <w:p w14:paraId="577BBC46" w14:textId="4EBCAB84" w:rsidR="006E583B" w:rsidRPr="006E583B" w:rsidRDefault="006E583B" w:rsidP="006E583B">
      <w:pPr>
        <w:spacing w:after="0" w:line="240" w:lineRule="auto"/>
        <w:contextualSpacing/>
        <w:rPr>
          <w:rFonts w:ascii="Arial" w:eastAsia="Calibri" w:hAnsi="Arial" w:cs="Arial"/>
          <w:lang w:val="es-ES" w:eastAsia="es-MX"/>
        </w:rPr>
      </w:pPr>
      <w:r>
        <w:rPr>
          <w:rFonts w:ascii="Arial" w:eastAsia="Calibri" w:hAnsi="Arial" w:cs="Arial"/>
          <w:lang w:val="es-ES" w:eastAsia="es-MX"/>
        </w:rPr>
        <w:t>Facatativá, Cundinamarca</w:t>
      </w:r>
    </w:p>
    <w:p w14:paraId="40F2A717" w14:textId="77777777" w:rsidR="006E583B" w:rsidRPr="006E583B" w:rsidRDefault="006E583B" w:rsidP="006E583B">
      <w:pPr>
        <w:spacing w:after="0" w:line="240" w:lineRule="auto"/>
        <w:contextualSpacing/>
        <w:rPr>
          <w:rFonts w:ascii="Arial" w:eastAsia="Calibri" w:hAnsi="Arial" w:cs="Arial"/>
          <w:b/>
          <w:lang w:val="es-ES" w:eastAsia="es-MX"/>
        </w:rPr>
      </w:pPr>
    </w:p>
    <w:p w14:paraId="3800F925" w14:textId="77777777" w:rsidR="006E583B" w:rsidRPr="006E583B" w:rsidRDefault="006E583B" w:rsidP="006E583B">
      <w:pPr>
        <w:spacing w:after="0" w:line="240" w:lineRule="auto"/>
        <w:contextualSpacing/>
        <w:rPr>
          <w:rFonts w:ascii="Arial" w:eastAsia="Calibri" w:hAnsi="Arial" w:cs="Arial"/>
          <w:b/>
          <w:lang w:val="es-ES" w:eastAsia="es-MX"/>
        </w:rPr>
      </w:pPr>
    </w:p>
    <w:p w14:paraId="1862C77A" w14:textId="64812B14" w:rsidR="006E583B" w:rsidRPr="006E583B" w:rsidRDefault="006E583B" w:rsidP="006E583B">
      <w:pPr>
        <w:spacing w:after="0" w:line="240" w:lineRule="auto"/>
        <w:contextualSpacing/>
        <w:rPr>
          <w:rFonts w:ascii="Arial" w:eastAsia="Calibri" w:hAnsi="Arial" w:cs="Arial"/>
          <w:b/>
          <w:lang w:val="es-ES" w:eastAsia="es-MX"/>
        </w:rPr>
      </w:pPr>
      <w:r w:rsidRPr="006E583B">
        <w:rPr>
          <w:rFonts w:ascii="Arial" w:eastAsia="Calibri" w:hAnsi="Arial" w:cs="Arial"/>
          <w:b/>
          <w:lang w:val="es-ES" w:eastAsia="es-MX"/>
        </w:rPr>
        <w:t xml:space="preserve">                                            Concepto C</w:t>
      </w:r>
      <w:r w:rsidR="00EA6507">
        <w:rPr>
          <w:rFonts w:ascii="Arial" w:eastAsia="Calibri" w:hAnsi="Arial" w:cs="Arial"/>
          <w:b/>
          <w:lang w:val="es-ES" w:eastAsia="es-MX"/>
        </w:rPr>
        <w:t>-</w:t>
      </w:r>
      <w:r>
        <w:rPr>
          <w:rFonts w:ascii="Arial" w:eastAsia="Calibri" w:hAnsi="Arial" w:cs="Arial"/>
          <w:b/>
          <w:lang w:val="es-ES" w:eastAsia="es-MX"/>
        </w:rPr>
        <w:t>210</w:t>
      </w:r>
      <w:r w:rsidRPr="006E583B">
        <w:rPr>
          <w:rFonts w:ascii="Arial" w:eastAsia="Calibri" w:hAnsi="Arial" w:cs="Arial"/>
          <w:b/>
          <w:lang w:val="es-ES" w:eastAsia="es-MX"/>
        </w:rPr>
        <w:t xml:space="preserve"> de 202</w:t>
      </w:r>
      <w:r>
        <w:rPr>
          <w:rFonts w:ascii="Arial" w:eastAsia="Calibri" w:hAnsi="Arial" w:cs="Arial"/>
          <w:b/>
          <w:lang w:val="es-ES" w:eastAsia="es-MX"/>
        </w:rPr>
        <w:t>3</w:t>
      </w:r>
    </w:p>
    <w:p w14:paraId="208B4E4B" w14:textId="77777777" w:rsidR="006E583B" w:rsidRPr="006E583B" w:rsidRDefault="006E583B" w:rsidP="006E583B">
      <w:pPr>
        <w:spacing w:after="0" w:line="240" w:lineRule="auto"/>
        <w:contextualSpacing/>
        <w:rPr>
          <w:rFonts w:ascii="Arial" w:eastAsia="Calibri" w:hAnsi="Arial" w:cs="Arial"/>
          <w:b/>
          <w:lang w:val="es-ES"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6E583B" w:rsidRPr="006E583B" w14:paraId="31D95025" w14:textId="77777777" w:rsidTr="00711FA7">
        <w:trPr>
          <w:trHeight w:val="550"/>
        </w:trPr>
        <w:tc>
          <w:tcPr>
            <w:tcW w:w="2552" w:type="dxa"/>
          </w:tcPr>
          <w:p w14:paraId="1B4744DA" w14:textId="77777777" w:rsidR="006E583B" w:rsidRPr="006E583B" w:rsidRDefault="006E583B" w:rsidP="006E583B">
            <w:pPr>
              <w:contextualSpacing/>
              <w:rPr>
                <w:rFonts w:ascii="Arial" w:eastAsia="Calibri" w:hAnsi="Arial" w:cs="Arial"/>
                <w:lang w:val="es-ES" w:eastAsia="es-MX"/>
              </w:rPr>
            </w:pPr>
            <w:r w:rsidRPr="006E583B">
              <w:rPr>
                <w:rFonts w:ascii="Arial" w:eastAsia="Calibri" w:hAnsi="Arial" w:cs="Arial"/>
                <w:b/>
                <w:lang w:val="es-ES" w:eastAsia="es-MX"/>
              </w:rPr>
              <w:t>Temas:</w:t>
            </w:r>
            <w:r w:rsidRPr="006E583B">
              <w:rPr>
                <w:rFonts w:ascii="Arial" w:eastAsia="Calibri" w:hAnsi="Arial" w:cs="Arial"/>
                <w:lang w:val="es-ES" w:eastAsia="es-MX"/>
              </w:rPr>
              <w:t xml:space="preserve">                                    </w:t>
            </w:r>
          </w:p>
        </w:tc>
        <w:tc>
          <w:tcPr>
            <w:tcW w:w="6374" w:type="dxa"/>
          </w:tcPr>
          <w:p w14:paraId="18291C1D" w14:textId="0187C316" w:rsidR="006E583B" w:rsidRPr="006E583B" w:rsidRDefault="006E583B" w:rsidP="006E583B">
            <w:pPr>
              <w:contextualSpacing/>
              <w:jc w:val="both"/>
              <w:rPr>
                <w:rFonts w:ascii="Arial" w:hAnsi="Arial" w:cs="Arial"/>
                <w:highlight w:val="yellow"/>
                <w:lang w:val="es-ES" w:eastAsia="es-ES_tradnl"/>
              </w:rPr>
            </w:pPr>
            <w:r w:rsidRPr="006E583B">
              <w:rPr>
                <w:rFonts w:ascii="Arial" w:eastAsia="Calibri" w:hAnsi="Arial" w:cs="Arial"/>
                <w:lang w:eastAsia="es-MX"/>
              </w:rPr>
              <w:t xml:space="preserve">DOCUMENTOS TIPO – Fundamento jurídico – Aplicación / DOCUMENTOS TIPO DE INFRAESTRUCTURA SOCIAL – Generalidades / DOCUMENTOS TIPO DE INFRAESTRUCTURA SOCIAL – </w:t>
            </w:r>
            <w:r>
              <w:rPr>
                <w:rFonts w:ascii="Arial" w:eastAsia="Calibri" w:hAnsi="Arial" w:cs="Arial"/>
                <w:lang w:eastAsia="es-MX"/>
              </w:rPr>
              <w:t>Factor Técnico Ambiental</w:t>
            </w:r>
          </w:p>
          <w:p w14:paraId="7C2851DC" w14:textId="77777777" w:rsidR="006E583B" w:rsidRPr="006E583B" w:rsidRDefault="006E583B" w:rsidP="006E583B">
            <w:pPr>
              <w:contextualSpacing/>
              <w:jc w:val="both"/>
              <w:rPr>
                <w:rFonts w:ascii="Arial" w:eastAsia="Calibri" w:hAnsi="Arial" w:cs="Arial"/>
                <w:highlight w:val="yellow"/>
                <w:lang w:eastAsia="es-MX"/>
              </w:rPr>
            </w:pPr>
          </w:p>
        </w:tc>
      </w:tr>
      <w:tr w:rsidR="006E583B" w:rsidRPr="006E583B" w14:paraId="529BE67E" w14:textId="77777777" w:rsidTr="00711FA7">
        <w:tc>
          <w:tcPr>
            <w:tcW w:w="2552" w:type="dxa"/>
          </w:tcPr>
          <w:p w14:paraId="78E47294" w14:textId="77777777" w:rsidR="006E583B" w:rsidRPr="006E583B" w:rsidRDefault="006E583B" w:rsidP="006E583B">
            <w:pPr>
              <w:contextualSpacing/>
              <w:rPr>
                <w:rFonts w:ascii="Arial" w:eastAsia="Calibri" w:hAnsi="Arial" w:cs="Arial"/>
                <w:b/>
                <w:bCs/>
                <w:lang w:val="es-ES" w:eastAsia="es-MX"/>
              </w:rPr>
            </w:pPr>
            <w:r w:rsidRPr="006E583B">
              <w:rPr>
                <w:rFonts w:ascii="Arial" w:eastAsia="Calibri" w:hAnsi="Arial" w:cs="Arial"/>
                <w:b/>
                <w:bCs/>
                <w:lang w:val="es-ES" w:eastAsia="es-MX"/>
              </w:rPr>
              <w:t xml:space="preserve">Radicación:                              </w:t>
            </w:r>
          </w:p>
        </w:tc>
        <w:tc>
          <w:tcPr>
            <w:tcW w:w="6374" w:type="dxa"/>
          </w:tcPr>
          <w:p w14:paraId="6F0CA17B" w14:textId="539D08B5" w:rsidR="006E583B" w:rsidRPr="006E583B" w:rsidRDefault="006E583B" w:rsidP="006E583B">
            <w:pPr>
              <w:contextualSpacing/>
              <w:rPr>
                <w:rFonts w:ascii="Arial" w:eastAsia="Calibri" w:hAnsi="Arial" w:cs="Arial"/>
                <w:lang w:val="es-ES" w:eastAsia="es-MX"/>
              </w:rPr>
            </w:pPr>
            <w:r w:rsidRPr="006E583B">
              <w:rPr>
                <w:rFonts w:ascii="Arial" w:eastAsia="Calibri" w:hAnsi="Arial" w:cs="Arial"/>
                <w:lang w:val="es-ES" w:eastAsia="es-MX"/>
              </w:rPr>
              <w:t>Respuesta a consulta P202</w:t>
            </w:r>
            <w:r>
              <w:rPr>
                <w:rFonts w:ascii="Arial" w:eastAsia="Calibri" w:hAnsi="Arial" w:cs="Arial"/>
                <w:lang w:val="es-ES" w:eastAsia="es-MX"/>
              </w:rPr>
              <w:t>30508004034</w:t>
            </w:r>
          </w:p>
        </w:tc>
      </w:tr>
    </w:tbl>
    <w:p w14:paraId="41E63E86" w14:textId="77777777" w:rsidR="006E583B" w:rsidRPr="006E583B" w:rsidRDefault="006E583B" w:rsidP="006E583B">
      <w:pPr>
        <w:spacing w:after="0" w:line="240" w:lineRule="auto"/>
        <w:contextualSpacing/>
        <w:rPr>
          <w:rFonts w:ascii="Arial" w:eastAsia="Calibri" w:hAnsi="Arial" w:cs="Arial"/>
          <w:lang w:val="es-ES" w:eastAsia="es-MX"/>
        </w:rPr>
      </w:pPr>
    </w:p>
    <w:p w14:paraId="38F970D9" w14:textId="77777777" w:rsidR="006E583B" w:rsidRPr="006E583B" w:rsidRDefault="006E583B" w:rsidP="006E583B">
      <w:pPr>
        <w:tabs>
          <w:tab w:val="left" w:pos="3736"/>
        </w:tabs>
        <w:spacing w:after="0" w:line="276" w:lineRule="auto"/>
        <w:contextualSpacing/>
        <w:rPr>
          <w:rFonts w:ascii="Arial" w:eastAsia="Calibri" w:hAnsi="Arial" w:cs="Arial"/>
          <w:lang w:val="es-ES" w:eastAsia="es-MX"/>
        </w:rPr>
      </w:pPr>
    </w:p>
    <w:p w14:paraId="546B0A53" w14:textId="448AEDCA" w:rsidR="006E583B" w:rsidRPr="006E583B" w:rsidRDefault="006E583B" w:rsidP="006E583B">
      <w:pPr>
        <w:tabs>
          <w:tab w:val="left" w:pos="3736"/>
        </w:tabs>
        <w:spacing w:after="0" w:line="276" w:lineRule="auto"/>
        <w:contextualSpacing/>
        <w:rPr>
          <w:rFonts w:ascii="Arial" w:eastAsia="Calibri" w:hAnsi="Arial" w:cs="Arial"/>
          <w:lang w:val="es-ES" w:eastAsia="es-MX"/>
        </w:rPr>
      </w:pPr>
      <w:r w:rsidRPr="006E583B">
        <w:rPr>
          <w:rFonts w:ascii="Arial" w:eastAsia="Calibri" w:hAnsi="Arial" w:cs="Arial"/>
          <w:lang w:val="es-ES" w:eastAsia="es-MX"/>
        </w:rPr>
        <w:t>Estimado señor</w:t>
      </w:r>
      <w:r>
        <w:rPr>
          <w:rFonts w:ascii="Arial" w:eastAsia="Calibri" w:hAnsi="Arial" w:cs="Arial"/>
          <w:lang w:val="es-ES" w:eastAsia="es-MX"/>
        </w:rPr>
        <w:t xml:space="preserve"> Salcedo</w:t>
      </w:r>
      <w:r w:rsidRPr="006E583B">
        <w:rPr>
          <w:rFonts w:ascii="Arial" w:eastAsia="Calibri" w:hAnsi="Arial" w:cs="Arial"/>
          <w:lang w:val="es-ES" w:eastAsia="es-MX"/>
        </w:rPr>
        <w:t>:</w:t>
      </w:r>
      <w:r w:rsidRPr="006E583B">
        <w:rPr>
          <w:rFonts w:ascii="Arial" w:eastAsia="Calibri" w:hAnsi="Arial" w:cs="Arial"/>
          <w:lang w:val="es-ES" w:eastAsia="es-MX"/>
        </w:rPr>
        <w:tab/>
      </w:r>
    </w:p>
    <w:p w14:paraId="2977F5A9" w14:textId="77777777" w:rsidR="006E583B" w:rsidRPr="006E583B" w:rsidRDefault="006E583B" w:rsidP="006E583B">
      <w:pPr>
        <w:spacing w:after="0" w:line="276" w:lineRule="auto"/>
        <w:contextualSpacing/>
        <w:rPr>
          <w:rFonts w:ascii="Arial" w:eastAsia="Calibri" w:hAnsi="Arial" w:cs="Arial"/>
          <w:lang w:val="es-ES" w:eastAsia="es-MX"/>
        </w:rPr>
      </w:pPr>
    </w:p>
    <w:p w14:paraId="7A181042" w14:textId="4835A5F8" w:rsidR="006E583B" w:rsidRPr="006E583B" w:rsidRDefault="006E583B" w:rsidP="006E583B">
      <w:pPr>
        <w:spacing w:after="0" w:line="276" w:lineRule="auto"/>
        <w:contextualSpacing/>
        <w:jc w:val="both"/>
        <w:rPr>
          <w:rFonts w:ascii="Arial" w:eastAsia="Calibri" w:hAnsi="Arial" w:cs="Arial"/>
          <w:lang w:val="es-ES" w:eastAsia="es-MX"/>
        </w:rPr>
      </w:pPr>
      <w:r w:rsidRPr="006E583B">
        <w:rPr>
          <w:rFonts w:ascii="Arial" w:eastAsia="Calibri" w:hAnsi="Arial" w:cs="Arial"/>
          <w:lang w:val="es-ES" w:eastAsia="es-MX"/>
        </w:rPr>
        <w:t xml:space="preserve">La Agencia Nacional de Contratación Pública – Colombia Compra Eficiente, en ejercicio de la competencia otorgada por el numeral 8 del artículo 11 y el numeral 5 del artículo 3 del Decreto Ley 4170 de 2011, responde a su consulta del </w:t>
      </w:r>
      <w:r>
        <w:rPr>
          <w:rFonts w:ascii="Arial" w:eastAsia="Calibri" w:hAnsi="Arial" w:cs="Arial"/>
          <w:lang w:val="es-ES" w:eastAsia="es-MX"/>
        </w:rPr>
        <w:t>8</w:t>
      </w:r>
      <w:r w:rsidRPr="006E583B">
        <w:rPr>
          <w:rFonts w:ascii="Arial" w:eastAsia="Calibri" w:hAnsi="Arial" w:cs="Arial"/>
          <w:lang w:val="es-ES" w:eastAsia="es-MX"/>
        </w:rPr>
        <w:t xml:space="preserve"> de </w:t>
      </w:r>
      <w:r>
        <w:rPr>
          <w:rFonts w:ascii="Arial" w:eastAsia="Calibri" w:hAnsi="Arial" w:cs="Arial"/>
          <w:lang w:val="es-ES" w:eastAsia="es-MX"/>
        </w:rPr>
        <w:t>mayo</w:t>
      </w:r>
      <w:r w:rsidRPr="006E583B">
        <w:rPr>
          <w:rFonts w:ascii="Arial" w:eastAsia="Calibri" w:hAnsi="Arial" w:cs="Arial"/>
          <w:lang w:val="es-ES" w:eastAsia="es-MX"/>
        </w:rPr>
        <w:t xml:space="preserve"> de 202</w:t>
      </w:r>
      <w:r>
        <w:rPr>
          <w:rFonts w:ascii="Arial" w:eastAsia="Calibri" w:hAnsi="Arial" w:cs="Arial"/>
          <w:lang w:val="es-ES" w:eastAsia="es-MX"/>
        </w:rPr>
        <w:t>3</w:t>
      </w:r>
      <w:r w:rsidRPr="006E583B">
        <w:rPr>
          <w:rFonts w:ascii="Arial" w:eastAsia="Calibri" w:hAnsi="Arial" w:cs="Arial"/>
          <w:lang w:val="es-ES" w:eastAsia="es-MX"/>
        </w:rPr>
        <w:t>.</w:t>
      </w:r>
    </w:p>
    <w:p w14:paraId="0834B934" w14:textId="77777777" w:rsidR="006E583B" w:rsidRPr="006E583B" w:rsidRDefault="006E583B" w:rsidP="006E583B">
      <w:pPr>
        <w:spacing w:after="0" w:line="276" w:lineRule="auto"/>
        <w:contextualSpacing/>
        <w:rPr>
          <w:rFonts w:ascii="Arial" w:eastAsia="Calibri" w:hAnsi="Arial" w:cs="Arial"/>
          <w:lang w:val="es-ES"/>
        </w:rPr>
      </w:pPr>
    </w:p>
    <w:p w14:paraId="69B1B1DE" w14:textId="77777777" w:rsidR="006E583B" w:rsidRPr="006E583B" w:rsidRDefault="006E583B" w:rsidP="006E583B">
      <w:pPr>
        <w:tabs>
          <w:tab w:val="left" w:pos="0"/>
        </w:tabs>
        <w:spacing w:after="0" w:line="276" w:lineRule="auto"/>
        <w:contextualSpacing/>
        <w:jc w:val="both"/>
        <w:rPr>
          <w:rFonts w:ascii="Arial" w:eastAsia="Calibri" w:hAnsi="Arial" w:cs="Arial"/>
          <w:b/>
          <w:lang w:val="es-ES" w:eastAsia="es-MX"/>
        </w:rPr>
      </w:pPr>
      <w:r w:rsidRPr="006E583B">
        <w:rPr>
          <w:rFonts w:ascii="Arial" w:eastAsia="Calibri" w:hAnsi="Arial" w:cs="Arial"/>
          <w:b/>
          <w:lang w:val="es-ES" w:eastAsia="es-MX"/>
        </w:rPr>
        <w:t>1. Problema planteado</w:t>
      </w:r>
    </w:p>
    <w:p w14:paraId="61017168" w14:textId="77777777" w:rsidR="006E583B" w:rsidRPr="006E583B" w:rsidRDefault="006E583B" w:rsidP="006E583B">
      <w:pPr>
        <w:spacing w:after="0" w:line="240" w:lineRule="auto"/>
        <w:contextualSpacing/>
        <w:rPr>
          <w:rFonts w:ascii="Arial" w:eastAsia="Calibri" w:hAnsi="Arial" w:cs="Arial"/>
          <w:lang w:val="es-ES" w:eastAsia="es-MX"/>
        </w:rPr>
      </w:pPr>
    </w:p>
    <w:p w14:paraId="0F6881DE" w14:textId="77777777" w:rsidR="006E583B" w:rsidRPr="006E583B" w:rsidRDefault="006E583B" w:rsidP="006E583B">
      <w:pPr>
        <w:spacing w:after="0" w:line="276" w:lineRule="auto"/>
        <w:contextualSpacing/>
        <w:jc w:val="both"/>
        <w:rPr>
          <w:rFonts w:ascii="Arial" w:eastAsia="Calibri" w:hAnsi="Arial" w:cs="Arial"/>
          <w:lang w:val="es-ES" w:eastAsia="es-MX"/>
        </w:rPr>
      </w:pPr>
      <w:r w:rsidRPr="006E583B">
        <w:rPr>
          <w:rFonts w:ascii="Arial" w:eastAsia="Calibri" w:hAnsi="Arial" w:cs="Arial"/>
          <w:lang w:val="es-ES" w:eastAsia="es-MX"/>
        </w:rPr>
        <w:t xml:space="preserve">Usted realiza la siguiente pregunta: </w:t>
      </w:r>
    </w:p>
    <w:p w14:paraId="374AE862" w14:textId="77777777" w:rsidR="006E583B" w:rsidRPr="006E583B" w:rsidRDefault="006E583B" w:rsidP="006E583B">
      <w:pPr>
        <w:spacing w:after="0" w:line="276" w:lineRule="auto"/>
        <w:contextualSpacing/>
        <w:jc w:val="both"/>
        <w:rPr>
          <w:rFonts w:ascii="Arial" w:eastAsia="Calibri" w:hAnsi="Arial" w:cs="Arial"/>
          <w:lang w:val="es-ES" w:eastAsia="es-MX"/>
        </w:rPr>
      </w:pPr>
    </w:p>
    <w:p w14:paraId="4BBB18B0" w14:textId="77777777" w:rsidR="006E583B" w:rsidRPr="006E583B" w:rsidRDefault="006E583B" w:rsidP="006E583B">
      <w:pPr>
        <w:spacing w:after="0" w:line="240" w:lineRule="auto"/>
        <w:ind w:left="709" w:right="709"/>
        <w:contextualSpacing/>
        <w:jc w:val="both"/>
        <w:rPr>
          <w:rFonts w:ascii="Arial" w:eastAsia="Times New Roman" w:hAnsi="Arial" w:cs="Arial"/>
          <w:sz w:val="21"/>
          <w:szCs w:val="21"/>
          <w:lang w:eastAsia="es-MX"/>
        </w:rPr>
      </w:pPr>
      <w:r>
        <w:rPr>
          <w:rFonts w:ascii="Arial" w:eastAsia="Times New Roman" w:hAnsi="Arial" w:cs="Arial"/>
          <w:sz w:val="21"/>
          <w:szCs w:val="21"/>
          <w:lang w:eastAsia="es-MX"/>
        </w:rPr>
        <w:t>“</w:t>
      </w:r>
      <w:r w:rsidRPr="006E583B">
        <w:rPr>
          <w:rFonts w:ascii="Arial" w:eastAsia="Times New Roman" w:hAnsi="Arial" w:cs="Arial"/>
          <w:sz w:val="21"/>
          <w:szCs w:val="21"/>
          <w:lang w:eastAsia="es-MX"/>
        </w:rPr>
        <w:t>Como debe proceder una entidad con la Configuracion del Criterio Puntuable Tecnico</w:t>
      </w:r>
    </w:p>
    <w:p w14:paraId="63AEEC15" w14:textId="77777777" w:rsidR="006E583B" w:rsidRPr="006E583B" w:rsidRDefault="006E583B" w:rsidP="006E583B">
      <w:pPr>
        <w:spacing w:after="0" w:line="240" w:lineRule="auto"/>
        <w:ind w:left="709" w:right="709"/>
        <w:contextualSpacing/>
        <w:jc w:val="both"/>
        <w:rPr>
          <w:rFonts w:ascii="Arial" w:eastAsia="Times New Roman" w:hAnsi="Arial" w:cs="Arial"/>
          <w:sz w:val="21"/>
          <w:szCs w:val="21"/>
          <w:lang w:eastAsia="es-MX"/>
        </w:rPr>
      </w:pPr>
      <w:r w:rsidRPr="006E583B">
        <w:rPr>
          <w:rFonts w:ascii="Arial" w:eastAsia="Times New Roman" w:hAnsi="Arial" w:cs="Arial"/>
          <w:sz w:val="21"/>
          <w:szCs w:val="21"/>
          <w:lang w:eastAsia="es-MX"/>
        </w:rPr>
        <w:t>Ambiental cuando en la obra que se pretende contratar no se cuenta con espacio físico</w:t>
      </w:r>
    </w:p>
    <w:p w14:paraId="48A3BACB" w14:textId="77777777" w:rsidR="006E583B" w:rsidRPr="006E583B" w:rsidRDefault="006E583B" w:rsidP="006E583B">
      <w:pPr>
        <w:spacing w:after="0" w:line="240" w:lineRule="auto"/>
        <w:ind w:left="709" w:right="709"/>
        <w:contextualSpacing/>
        <w:jc w:val="both"/>
        <w:rPr>
          <w:rFonts w:ascii="Arial" w:eastAsia="Times New Roman" w:hAnsi="Arial" w:cs="Arial"/>
          <w:sz w:val="21"/>
          <w:szCs w:val="21"/>
          <w:lang w:eastAsia="es-MX"/>
        </w:rPr>
      </w:pPr>
      <w:r w:rsidRPr="006E583B">
        <w:rPr>
          <w:rFonts w:ascii="Arial" w:eastAsia="Times New Roman" w:hAnsi="Arial" w:cs="Arial"/>
          <w:sz w:val="21"/>
          <w:szCs w:val="21"/>
          <w:lang w:eastAsia="es-MX"/>
        </w:rPr>
        <w:t>para cualquiera de los criterio s técnico ambientales. Debe eleminar el criterio o</w:t>
      </w:r>
    </w:p>
    <w:p w14:paraId="4FC1BD0F" w14:textId="277E12A5" w:rsidR="006E583B" w:rsidRPr="006E583B" w:rsidRDefault="006E583B" w:rsidP="006E583B">
      <w:pPr>
        <w:spacing w:after="0" w:line="240" w:lineRule="auto"/>
        <w:ind w:left="709" w:right="709"/>
        <w:contextualSpacing/>
        <w:jc w:val="both"/>
        <w:rPr>
          <w:rFonts w:ascii="Arial" w:eastAsia="Calibri" w:hAnsi="Arial" w:cs="Arial"/>
          <w:sz w:val="21"/>
          <w:szCs w:val="21"/>
          <w:lang w:val="es-ES" w:eastAsia="es-MX"/>
        </w:rPr>
      </w:pPr>
      <w:r w:rsidRPr="006E583B">
        <w:rPr>
          <w:rFonts w:ascii="Arial" w:eastAsia="Times New Roman" w:hAnsi="Arial" w:cs="Arial"/>
          <w:sz w:val="21"/>
          <w:szCs w:val="21"/>
          <w:lang w:eastAsia="es-MX"/>
        </w:rPr>
        <w:t>construir uno</w:t>
      </w:r>
      <w:r>
        <w:rPr>
          <w:rFonts w:ascii="Arial" w:eastAsia="Times New Roman" w:hAnsi="Arial" w:cs="Arial"/>
          <w:sz w:val="21"/>
          <w:szCs w:val="21"/>
          <w:lang w:eastAsia="es-MX"/>
        </w:rPr>
        <w:t>” (SIC)</w:t>
      </w:r>
      <w:r w:rsidRPr="006E583B">
        <w:rPr>
          <w:rFonts w:ascii="Arial" w:eastAsia="Calibri" w:hAnsi="Arial" w:cs="Arial"/>
          <w:sz w:val="21"/>
          <w:szCs w:val="21"/>
          <w:lang w:val="es-ES" w:eastAsia="es-MX"/>
        </w:rPr>
        <w:t>.</w:t>
      </w:r>
    </w:p>
    <w:p w14:paraId="567ED0E6" w14:textId="77777777" w:rsidR="006E583B" w:rsidRPr="006E583B" w:rsidRDefault="006E583B" w:rsidP="006E583B">
      <w:pPr>
        <w:spacing w:after="0" w:line="276" w:lineRule="auto"/>
        <w:contextualSpacing/>
        <w:jc w:val="both"/>
        <w:rPr>
          <w:rFonts w:ascii="Arial" w:eastAsia="Calibri" w:hAnsi="Arial" w:cs="Arial"/>
          <w:b/>
          <w:lang w:val="es-ES" w:eastAsia="es-MX"/>
        </w:rPr>
      </w:pPr>
    </w:p>
    <w:p w14:paraId="5A20E956" w14:textId="77777777" w:rsidR="006E583B" w:rsidRPr="006E583B" w:rsidRDefault="006E583B" w:rsidP="006E583B">
      <w:pPr>
        <w:spacing w:after="0" w:line="276" w:lineRule="auto"/>
        <w:jc w:val="both"/>
        <w:rPr>
          <w:rFonts w:ascii="Arial" w:eastAsia="Calibri" w:hAnsi="Arial" w:cs="Arial"/>
          <w:b/>
          <w:lang w:val="es-ES" w:eastAsia="es-MX"/>
        </w:rPr>
      </w:pPr>
      <w:r w:rsidRPr="006E583B">
        <w:rPr>
          <w:rFonts w:ascii="Arial" w:eastAsia="Calibri" w:hAnsi="Arial" w:cs="Arial"/>
          <w:b/>
          <w:lang w:val="es-ES" w:eastAsia="es-MX"/>
        </w:rPr>
        <w:t>2. Consideraciones</w:t>
      </w:r>
    </w:p>
    <w:p w14:paraId="3BA463A8" w14:textId="77777777" w:rsidR="006E583B" w:rsidRPr="006E583B" w:rsidRDefault="006E583B" w:rsidP="006E583B">
      <w:pPr>
        <w:spacing w:after="0" w:line="240" w:lineRule="auto"/>
        <w:rPr>
          <w:rFonts w:ascii="Arial" w:eastAsia="Times New Roman" w:hAnsi="Arial" w:cs="Arial"/>
          <w:bCs/>
          <w:szCs w:val="24"/>
          <w:lang w:eastAsia="es-MX"/>
        </w:rPr>
      </w:pPr>
    </w:p>
    <w:p w14:paraId="2C8FEE96" w14:textId="4BC39A15" w:rsidR="006E583B" w:rsidRPr="006E583B" w:rsidRDefault="006E583B" w:rsidP="006E583B">
      <w:pPr>
        <w:spacing w:after="120" w:line="276" w:lineRule="auto"/>
        <w:jc w:val="both"/>
        <w:rPr>
          <w:rFonts w:ascii="Arial" w:eastAsia="Calibri" w:hAnsi="Arial" w:cs="Arial"/>
          <w:lang w:val="es-ES" w:eastAsia="es-ES"/>
        </w:rPr>
      </w:pPr>
      <w:r w:rsidRPr="006E583B">
        <w:rPr>
          <w:rFonts w:ascii="Arial" w:hAnsi="Arial" w:cs="Arial"/>
          <w:lang w:val="es-ES_tradnl"/>
        </w:rPr>
        <w:t xml:space="preserve">Con el fin de absolver los interrogantes planteados en su consulta, se analizaran los siguientes temas: </w:t>
      </w:r>
      <w:r w:rsidRPr="006E583B">
        <w:rPr>
          <w:rFonts w:ascii="Arial" w:eastAsia="Calibri" w:hAnsi="Arial" w:cs="Arial"/>
          <w:lang w:val="es-ES_tradnl" w:eastAsia="es-ES"/>
        </w:rPr>
        <w:t xml:space="preserve">absolverá los interrogantes formulados, previo análisis de los siguientes temas: i) </w:t>
      </w:r>
      <w:r w:rsidRPr="006E583B">
        <w:rPr>
          <w:rFonts w:ascii="Arial" w:eastAsia="Calibri" w:hAnsi="Arial" w:cs="Arial"/>
          <w:lang w:val="es-ES_tradnl" w:eastAsia="es-ES"/>
        </w:rPr>
        <w:lastRenderedPageBreak/>
        <w:t>fundamentos jurídicos y evolución normativa de los documentos tipo</w:t>
      </w:r>
      <w:r>
        <w:rPr>
          <w:rFonts w:ascii="Arial" w:eastAsia="Calibri" w:hAnsi="Arial" w:cs="Arial"/>
          <w:lang w:val="es-ES_tradnl" w:eastAsia="es-ES"/>
        </w:rPr>
        <w:t xml:space="preserve"> e</w:t>
      </w:r>
      <w:r w:rsidRPr="006E583B">
        <w:rPr>
          <w:rFonts w:ascii="Arial" w:eastAsia="Calibri" w:hAnsi="Arial" w:cs="Arial"/>
          <w:lang w:val="es-ES_tradnl" w:eastAsia="es-ES"/>
        </w:rPr>
        <w:t xml:space="preserve"> ii) </w:t>
      </w:r>
      <w:r w:rsidRPr="006E583B">
        <w:rPr>
          <w:rFonts w:ascii="Arial" w:eastAsia="Calibri" w:hAnsi="Arial" w:cs="Arial"/>
          <w:lang w:val="es-ES" w:eastAsia="es-ES"/>
        </w:rPr>
        <w:t xml:space="preserve">implementación y ámbito de aplicación de los documentos tipo de licitación de obra pública de infraestructura social </w:t>
      </w:r>
    </w:p>
    <w:p w14:paraId="28C0C011" w14:textId="77777777" w:rsidR="006E583B" w:rsidRPr="006E583B" w:rsidRDefault="006E583B" w:rsidP="006E583B">
      <w:pPr>
        <w:spacing w:after="0" w:line="276" w:lineRule="auto"/>
        <w:ind w:firstLine="709"/>
        <w:contextualSpacing/>
        <w:jc w:val="both"/>
        <w:rPr>
          <w:rFonts w:ascii="Arial" w:eastAsia="Calibri" w:hAnsi="Arial" w:cs="Arial"/>
          <w:color w:val="000000" w:themeColor="text1"/>
          <w:lang w:val="es-ES_tradnl"/>
        </w:rPr>
      </w:pPr>
      <w:r w:rsidRPr="006E583B">
        <w:rPr>
          <w:rFonts w:ascii="Arial" w:hAnsi="Arial" w:cs="Arial"/>
          <w:lang w:val="es-ES_tradnl"/>
        </w:rPr>
        <w:t xml:space="preserve">La Agencia Nacional de Contratación Pública – Colombia Compra Eficiente se pronunció sobre la definición y el alcance de los documentos tipo en las siguientes consultas </w:t>
      </w:r>
      <w:r w:rsidRPr="006E583B">
        <w:rPr>
          <w:rFonts w:ascii="Arial" w:hAnsi="Arial" w:cs="Arial"/>
          <w:shd w:val="clear" w:color="auto" w:fill="FFFFFF"/>
          <w:lang w:val="es-MX"/>
        </w:rPr>
        <w:t>C-144 del 2 de marzo de 2020, C-143 del 18 de marzo de 2020, C-286 del 26 de mayo de 2020, C-450 del 3 de agosto de 2020, C-643 del 26 de octubre de 2020,</w:t>
      </w:r>
      <w:r w:rsidRPr="006E583B">
        <w:rPr>
          <w:rFonts w:ascii="Arial" w:hAnsi="Arial" w:cs="Arial"/>
          <w:lang w:val="es-MX"/>
        </w:rPr>
        <w:t xml:space="preserve"> C-773 del 14 de enero de 2021, C-789 del 19 de enero de 2021,</w:t>
      </w:r>
      <w:r w:rsidRPr="006E583B">
        <w:rPr>
          <w:rFonts w:ascii="Arial" w:hAnsi="Arial" w:cs="Arial"/>
          <w:shd w:val="clear" w:color="auto" w:fill="FFFFFF"/>
          <w:lang w:val="es-MX"/>
        </w:rPr>
        <w:t xml:space="preserve"> C-064 del 8 de marzo de 2021 y C-157 del 13 de abril del 2021, C-244 del 4 de mayo de 2021, C-224 del 20 de mayo de 2020, C-233 del 24 de mayo de 2021, C-251 del 2 de junio de 2021 y C-273 del 11 de junio de 2021, </w:t>
      </w:r>
      <w:r w:rsidRPr="006E583B">
        <w:rPr>
          <w:rFonts w:ascii="Arial" w:eastAsia="Calibri" w:hAnsi="Arial" w:cs="Arial"/>
        </w:rPr>
        <w:t xml:space="preserve">C-375 de 27 de septiembre de 2021, C-536 de 29 de septiembre de 2021, C-719 de 24 de enero de 2022, C-090 de 16 de marzo de 2022, C-302 del 11 de mayo de 2022, C-410 del 23 de junio de 2022, C-436 del 6 de julio de 2022, </w:t>
      </w:r>
      <w:r w:rsidRPr="006E583B">
        <w:rPr>
          <w:rFonts w:ascii="Arial" w:hAnsi="Arial" w:cs="Arial"/>
          <w:bCs/>
          <w:lang w:val="es-MX"/>
        </w:rPr>
        <w:t>C-242 del 2 de mayo de 2022, C-360 de 2022,</w:t>
      </w:r>
      <w:r w:rsidRPr="006E583B">
        <w:rPr>
          <w:rFonts w:ascii="Arial" w:eastAsia="Calibri" w:hAnsi="Arial" w:cs="Arial"/>
        </w:rPr>
        <w:t xml:space="preserve"> entre otros. </w:t>
      </w:r>
      <w:r w:rsidRPr="006E583B">
        <w:rPr>
          <w:rFonts w:ascii="Arial" w:eastAsia="Times New Roman" w:hAnsi="Arial" w:cs="Arial"/>
          <w:lang w:eastAsia="es-ES_tradnl"/>
        </w:rPr>
        <w:t>De otra parte, la Agencia también ha tenido la oportunidad de pronunciarse en diferentes ocasiones sobre el alcance del artículo 56 de la Ley 2195 de 2022,  específicamente, a partir del concepto C-082 del 2 de marzo de 2022, cuya tesis ha sido desarrollada y complementada en los conceptos C-033 del 4 de marzo de 2022, C-049 del 7 de marzo de 2022, C-059 del 8 de marzo de 2022, C-065 del 9 de marzo de 2022, C-066 del 28 de enero de 2022, C-089 del 22 de marzo de 2022, C-101 del 22 de marzo de 2022, C-120 del 22 de marzo de 2022, C-160 del 5 de abril de 2022, C-168 del 24 de marzo de 2022, C-197 del 12 de abril de 2022, C-198 del 12 de abril de 2022, C-215 del 22 de abril de 2022, C-244 del 2 de mayo de 2022, C-255 del 4 de mayo de 2022, C-259 del 3 de mayo de 2022, C-260 del 4 de mayo de 2022, C-269 del 6 de mayo de 2022, C-320 del 20 de mayo de 2022, C-341 del 27 de mayo de 2022, C-382 del 27 de mayo de 2022, C-388 del 15 de junio de 2022, C-423 del 5 de julio de 2022, C-449 del 25 de julio de 2022, C-453 del 15 de julio de 2022, C-483 del 5 de agosto de 2022, C-488 del 29 de julio de 2022, C-496 del 3 de agosto de 2022, C-501 del 29 de julio de 2022, C-556 el 3 de agosto de 2022 y finalmente, en el Concepto C-486 de 2022, a través del cual se introdujeron nuevos elementos interpretativos en relación con el mencionado artículo.</w:t>
      </w:r>
      <w:r w:rsidRPr="006E583B">
        <w:rPr>
          <w:rFonts w:ascii="Arial" w:hAnsi="Arial" w:cs="Arial"/>
          <w:shd w:val="clear" w:color="auto" w:fill="FFFFFF"/>
          <w:lang w:val="es-MX"/>
        </w:rPr>
        <w:t xml:space="preserve"> </w:t>
      </w:r>
      <w:r w:rsidRPr="006E583B">
        <w:rPr>
          <w:rFonts w:ascii="Arial" w:eastAsia="Calibri" w:hAnsi="Arial" w:cs="Arial"/>
        </w:rPr>
        <w:t xml:space="preserve">Las tesis expuestas en los anteriores conceptos se reiteran a continuación y se complementan en lo pertinente: </w:t>
      </w:r>
    </w:p>
    <w:p w14:paraId="05952246" w14:textId="77777777" w:rsidR="006E583B" w:rsidRPr="006E583B" w:rsidRDefault="006E583B" w:rsidP="006E583B">
      <w:pPr>
        <w:widowControl w:val="0"/>
        <w:autoSpaceDE w:val="0"/>
        <w:autoSpaceDN w:val="0"/>
        <w:spacing w:after="0" w:line="276" w:lineRule="auto"/>
        <w:ind w:right="112"/>
        <w:contextualSpacing/>
        <w:jc w:val="both"/>
        <w:rPr>
          <w:rFonts w:ascii="Arial" w:eastAsia="Arial" w:hAnsi="Arial" w:cs="Arial"/>
          <w:lang w:val="es-ES"/>
        </w:rPr>
      </w:pPr>
    </w:p>
    <w:p w14:paraId="45507F97" w14:textId="77777777" w:rsidR="006E583B" w:rsidRPr="006E583B" w:rsidRDefault="006E583B" w:rsidP="006E583B">
      <w:pPr>
        <w:spacing w:after="0" w:line="276" w:lineRule="auto"/>
        <w:contextualSpacing/>
        <w:jc w:val="both"/>
        <w:rPr>
          <w:rFonts w:ascii="Arial" w:eastAsia="Times New Roman" w:hAnsi="Arial" w:cs="Arial"/>
          <w:b/>
          <w:bCs/>
          <w:lang w:val="es-ES" w:eastAsia="es-MX"/>
        </w:rPr>
      </w:pPr>
      <w:r w:rsidRPr="006E583B">
        <w:rPr>
          <w:rFonts w:ascii="Arial" w:eastAsia="Calibri" w:hAnsi="Arial" w:cs="Arial"/>
          <w:b/>
          <w:bCs/>
          <w:lang w:val="es-ES" w:eastAsia="es-MX"/>
        </w:rPr>
        <w:t>2.1.</w:t>
      </w:r>
      <w:r w:rsidRPr="006E583B">
        <w:rPr>
          <w:rFonts w:ascii="Arial" w:eastAsia="Times New Roman" w:hAnsi="Arial" w:cs="Arial"/>
          <w:b/>
          <w:bCs/>
          <w:lang w:val="es-ES" w:eastAsia="es-MX"/>
        </w:rPr>
        <w:t xml:space="preserve"> Fundamentos jurídicos y evolución normativa de los documentos tipo</w:t>
      </w:r>
      <w:r w:rsidRPr="006E583B" w:rsidDel="00E82F6A">
        <w:rPr>
          <w:rFonts w:ascii="Arial" w:eastAsia="Times New Roman" w:hAnsi="Arial" w:cs="Arial"/>
          <w:b/>
          <w:bCs/>
          <w:lang w:val="es-ES" w:eastAsia="es-MX"/>
        </w:rPr>
        <w:t xml:space="preserve"> </w:t>
      </w:r>
    </w:p>
    <w:p w14:paraId="3C3BAB7B" w14:textId="77777777" w:rsidR="006E583B" w:rsidRPr="006E583B" w:rsidRDefault="006E583B" w:rsidP="006E583B">
      <w:pPr>
        <w:spacing w:after="0" w:line="276" w:lineRule="auto"/>
        <w:contextualSpacing/>
        <w:jc w:val="both"/>
        <w:rPr>
          <w:rFonts w:ascii="Arial" w:eastAsia="Times New Roman" w:hAnsi="Arial" w:cs="Arial"/>
          <w:lang w:val="es-ES" w:eastAsia="es-MX"/>
        </w:rPr>
      </w:pPr>
    </w:p>
    <w:p w14:paraId="582E6F8A" w14:textId="77777777" w:rsidR="006E583B" w:rsidRPr="006E583B" w:rsidRDefault="006E583B" w:rsidP="006E583B">
      <w:pPr>
        <w:spacing w:after="120" w:line="276" w:lineRule="auto"/>
        <w:jc w:val="both"/>
        <w:rPr>
          <w:rFonts w:ascii="Arial" w:eastAsia="Times New Roman" w:hAnsi="Arial" w:cs="Arial"/>
          <w:lang w:val="es-ES" w:eastAsia="es-MX"/>
        </w:rPr>
      </w:pPr>
      <w:r w:rsidRPr="006E583B">
        <w:rPr>
          <w:rFonts w:ascii="Arial" w:eastAsia="Times New Roman" w:hAnsi="Arial" w:cs="Arial"/>
          <w:lang w:val="es-ES" w:eastAsia="es-MX"/>
        </w:rPr>
        <w:t>La adopción de los documentos tipo obligatorios en el ordenamiento jurídico colombiano se incluyó por primera vez en el parágrafo 3 del artículo 2 de la Ley 1150 de 2007</w:t>
      </w:r>
      <w:r w:rsidRPr="006E583B">
        <w:rPr>
          <w:rFonts w:ascii="Arial" w:eastAsia="Times New Roman" w:hAnsi="Arial" w:cs="Arial"/>
          <w:vertAlign w:val="superscript"/>
          <w:lang w:val="es-ES" w:eastAsia="es-MX"/>
        </w:rPr>
        <w:footnoteReference w:id="2"/>
      </w:r>
      <w:r w:rsidRPr="006E583B">
        <w:rPr>
          <w:rFonts w:ascii="Arial" w:eastAsia="Times New Roman" w:hAnsi="Arial" w:cs="Arial"/>
          <w:lang w:val="es-ES" w:eastAsia="es-MX"/>
        </w:rPr>
        <w:t xml:space="preserve">, que facultó al gobierno nacional para expedirlos, pero solo cuando se tratara de la adquisición o suministro de </w:t>
      </w:r>
      <w:r w:rsidRPr="006E583B">
        <w:rPr>
          <w:rFonts w:ascii="Arial" w:eastAsia="Times New Roman" w:hAnsi="Arial" w:cs="Arial"/>
          <w:lang w:val="es-ES" w:eastAsia="es-MX"/>
        </w:rPr>
        <w:lastRenderedPageBreak/>
        <w:t xml:space="preserve">bienes y servicios de características técnicas uniformes y de común utilización. Sin embargo, esta facultad no ha sido ejercida hasta la actualidad. </w:t>
      </w:r>
    </w:p>
    <w:p w14:paraId="0879E384" w14:textId="77777777" w:rsidR="006E583B" w:rsidRPr="006E583B" w:rsidRDefault="006E583B" w:rsidP="006E583B">
      <w:pPr>
        <w:spacing w:after="120" w:line="276" w:lineRule="auto"/>
        <w:ind w:firstLine="708"/>
        <w:jc w:val="both"/>
        <w:rPr>
          <w:rFonts w:ascii="Arial" w:eastAsia="Times New Roman" w:hAnsi="Arial" w:cs="Arial"/>
          <w:lang w:val="es-ES" w:eastAsia="es-MX"/>
        </w:rPr>
      </w:pPr>
      <w:r w:rsidRPr="006E583B">
        <w:rPr>
          <w:rFonts w:ascii="Arial" w:eastAsia="Times New Roman" w:hAnsi="Arial" w:cs="Arial"/>
          <w:lang w:val="es-ES" w:eastAsia="es-MX"/>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471A0563" w14:textId="77777777" w:rsidR="006E583B" w:rsidRPr="006E583B" w:rsidRDefault="006E583B" w:rsidP="006E583B">
      <w:pPr>
        <w:spacing w:before="120" w:after="120" w:line="276" w:lineRule="auto"/>
        <w:ind w:firstLine="709"/>
        <w:jc w:val="both"/>
        <w:rPr>
          <w:rFonts w:ascii="Arial" w:eastAsia="Times New Roman" w:hAnsi="Arial" w:cs="Arial"/>
          <w:lang w:val="es-ES" w:eastAsia="es-MX"/>
        </w:rPr>
      </w:pPr>
      <w:r w:rsidRPr="006E583B">
        <w:rPr>
          <w:rFonts w:ascii="Arial" w:eastAsia="Times New Roman" w:hAnsi="Arial" w:cs="Arial"/>
          <w:lang w:val="es-ES" w:eastAsia="es-MX"/>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E583B">
        <w:rPr>
          <w:rFonts w:ascii="Arial" w:eastAsia="Times New Roman" w:hAnsi="Arial" w:cs="Arial"/>
          <w:vertAlign w:val="superscript"/>
          <w:lang w:val="es-ES" w:eastAsia="es-MX"/>
        </w:rPr>
        <w:footnoteReference w:id="3"/>
      </w:r>
      <w:r w:rsidRPr="006E583B">
        <w:rPr>
          <w:rFonts w:ascii="Arial" w:eastAsia="Times New Roman" w:hAnsi="Arial" w:cs="Arial"/>
          <w:lang w:val="es-ES" w:eastAsia="es-MX"/>
        </w:rPr>
        <w:t>.</w:t>
      </w:r>
    </w:p>
    <w:p w14:paraId="4C4D76EA" w14:textId="77777777" w:rsidR="006E583B" w:rsidRPr="006E583B" w:rsidRDefault="006E583B" w:rsidP="006E583B">
      <w:pPr>
        <w:spacing w:before="120" w:after="120" w:line="276" w:lineRule="auto"/>
        <w:jc w:val="both"/>
        <w:rPr>
          <w:rFonts w:ascii="Arial" w:eastAsia="Times New Roman" w:hAnsi="Arial" w:cs="Arial"/>
          <w:lang w:val="es-ES" w:eastAsia="es-MX"/>
        </w:rPr>
      </w:pPr>
      <w:r w:rsidRPr="006E583B">
        <w:rPr>
          <w:rFonts w:ascii="Arial" w:eastAsia="Times New Roman" w:hAnsi="Arial" w:cs="Arial"/>
          <w:lang w:val="es-ES" w:eastAsia="es-MX"/>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2D7C194" w14:textId="77777777" w:rsidR="006E583B" w:rsidRPr="006E583B" w:rsidRDefault="006E583B" w:rsidP="006E583B">
      <w:pPr>
        <w:spacing w:before="120" w:after="120" w:line="276" w:lineRule="auto"/>
        <w:jc w:val="both"/>
        <w:rPr>
          <w:rFonts w:ascii="Arial" w:eastAsia="Times New Roman" w:hAnsi="Arial" w:cs="Arial"/>
          <w:lang w:val="es-ES" w:eastAsia="es-MX"/>
        </w:rPr>
      </w:pPr>
      <w:r w:rsidRPr="006E583B">
        <w:rPr>
          <w:rFonts w:ascii="Arial" w:eastAsia="Times New Roman" w:hAnsi="Arial" w:cs="Arial"/>
          <w:lang w:val="es-ES" w:eastAsia="es-MX"/>
        </w:rPr>
        <w:tab/>
      </w:r>
      <w:bookmarkStart w:id="1" w:name="_Hlk103952996"/>
      <w:r w:rsidRPr="006E583B">
        <w:rPr>
          <w:rFonts w:ascii="Arial" w:eastAsia="Times New Roman" w:hAnsi="Arial" w:cs="Arial"/>
          <w:lang w:val="es-ES" w:eastAsia="es-MX"/>
        </w:rPr>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w:t>
      </w:r>
      <w:r w:rsidRPr="006E583B">
        <w:rPr>
          <w:rFonts w:ascii="Arial" w:eastAsia="Times New Roman" w:hAnsi="Arial" w:cs="Arial"/>
          <w:lang w:val="es-ES" w:eastAsia="es-MX"/>
        </w:rPr>
        <w:lastRenderedPageBreak/>
        <w:t xml:space="preserve">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3A2A2B0D" w14:textId="77777777" w:rsidR="006E583B" w:rsidRPr="006E583B" w:rsidRDefault="006E583B" w:rsidP="006E583B">
      <w:pPr>
        <w:spacing w:before="120" w:after="120" w:line="276" w:lineRule="auto"/>
        <w:jc w:val="both"/>
        <w:rPr>
          <w:rFonts w:ascii="Arial" w:eastAsia="Times New Roman" w:hAnsi="Arial" w:cs="Arial"/>
          <w:lang w:val="es-ES" w:eastAsia="es-MX"/>
        </w:rPr>
      </w:pPr>
      <w:r w:rsidRPr="006E583B">
        <w:rPr>
          <w:rFonts w:ascii="Arial" w:eastAsia="Times New Roman" w:hAnsi="Arial" w:cs="Arial"/>
          <w:lang w:val="es-ES" w:eastAsia="es-MX"/>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6E583B">
        <w:rPr>
          <w:rFonts w:ascii="Arial" w:eastAsia="Times New Roman" w:hAnsi="Arial" w:cs="Arial"/>
          <w:lang w:val="es-ES" w:eastAsia="es-MX"/>
        </w:rPr>
        <w:t>y los criterios de escogencia, elementos propios del procedimiento de selección del contratista, materia en la que existe reserva de ley y que no se encuentra atribuida a la regulación de las entidades territoriales</w:t>
      </w:r>
      <w:bookmarkEnd w:id="2"/>
      <w:r w:rsidRPr="006E583B">
        <w:rPr>
          <w:rFonts w:ascii="Arial" w:eastAsia="Times New Roman" w:hAnsi="Arial" w:cs="Arial"/>
          <w:lang w:val="es-ES" w:eastAsia="es-MX"/>
        </w:rPr>
        <w:t>. De igual manera, se establece que esta autonomía se garantiza con la identificación autónoma de sus necesidades y la configuración de los elementos del contrato</w:t>
      </w:r>
      <w:bookmarkEnd w:id="1"/>
      <w:r w:rsidRPr="006E583B">
        <w:rPr>
          <w:rFonts w:ascii="Arial" w:eastAsia="Times New Roman" w:hAnsi="Arial" w:cs="Arial"/>
          <w:vertAlign w:val="superscript"/>
          <w:lang w:val="es-ES" w:eastAsia="es-MX"/>
        </w:rPr>
        <w:footnoteReference w:id="4"/>
      </w:r>
      <w:r w:rsidRPr="006E583B">
        <w:rPr>
          <w:rFonts w:ascii="Arial" w:eastAsia="Times New Roman" w:hAnsi="Arial" w:cs="Arial"/>
          <w:lang w:val="es-ES" w:eastAsia="es-MX"/>
        </w:rPr>
        <w:t>.</w:t>
      </w:r>
    </w:p>
    <w:p w14:paraId="7EC254DB" w14:textId="77777777" w:rsidR="006E583B" w:rsidRPr="006E583B" w:rsidRDefault="006E583B" w:rsidP="006E583B">
      <w:pPr>
        <w:spacing w:before="120" w:after="120" w:line="276" w:lineRule="auto"/>
        <w:jc w:val="both"/>
        <w:rPr>
          <w:rFonts w:ascii="Arial" w:eastAsia="Times New Roman" w:hAnsi="Arial" w:cs="Arial"/>
          <w:lang w:val="es-ES" w:eastAsia="es-MX"/>
        </w:rPr>
      </w:pPr>
      <w:r w:rsidRPr="006E583B">
        <w:rPr>
          <w:rFonts w:ascii="Arial" w:eastAsia="Times New Roman" w:hAnsi="Arial" w:cs="Arial"/>
          <w:lang w:val="es-ES" w:eastAsia="es-MX"/>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03E4C2D" w14:textId="77777777" w:rsidR="006E583B" w:rsidRPr="006E583B" w:rsidRDefault="006E583B" w:rsidP="006E583B">
      <w:pPr>
        <w:spacing w:before="120" w:after="120" w:line="276" w:lineRule="auto"/>
        <w:jc w:val="both"/>
        <w:rPr>
          <w:rFonts w:ascii="Arial" w:eastAsia="Times New Roman" w:hAnsi="Arial" w:cs="Arial"/>
          <w:lang w:val="es-ES" w:eastAsia="es-MX"/>
        </w:rPr>
      </w:pPr>
      <w:r w:rsidRPr="006E583B">
        <w:rPr>
          <w:rFonts w:ascii="Arial" w:eastAsia="Times New Roman" w:hAnsi="Arial" w:cs="Arial"/>
          <w:lang w:val="es-ES" w:eastAsia="es-MX"/>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w:t>
      </w:r>
      <w:r w:rsidRPr="006E583B">
        <w:rPr>
          <w:rFonts w:ascii="Arial" w:eastAsia="Times New Roman" w:hAnsi="Arial" w:cs="Arial"/>
          <w:lang w:val="es-ES" w:eastAsia="es-MX"/>
        </w:rPr>
        <w:lastRenderedPageBreak/>
        <w:t xml:space="preserve">con los documentos tipo para los procesos de selección de licitación de obra pública de infraestructura de transporte. </w:t>
      </w:r>
    </w:p>
    <w:p w14:paraId="70FCFC23" w14:textId="77777777" w:rsidR="006E583B" w:rsidRPr="006E583B" w:rsidRDefault="006E583B" w:rsidP="006E583B">
      <w:pPr>
        <w:spacing w:before="120" w:after="120" w:line="276" w:lineRule="auto"/>
        <w:ind w:firstLine="709"/>
        <w:jc w:val="both"/>
        <w:rPr>
          <w:rFonts w:ascii="Arial" w:eastAsia="Times New Roman" w:hAnsi="Arial" w:cs="Arial"/>
          <w:lang w:val="es-ES" w:eastAsia="es-MX"/>
        </w:rPr>
      </w:pPr>
      <w:r w:rsidRPr="006E583B">
        <w:rPr>
          <w:rFonts w:ascii="Arial" w:eastAsia="Times New Roman" w:hAnsi="Arial" w:cs="Arial"/>
          <w:lang w:val="es-ES" w:eastAsia="es-MX"/>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6E583B" w:rsidDel="00A434AB">
        <w:rPr>
          <w:rFonts w:ascii="Arial" w:eastAsia="Times New Roman" w:hAnsi="Arial" w:cs="Arial"/>
          <w:lang w:val="es-ES" w:eastAsia="es-MX"/>
        </w:rPr>
        <w:t xml:space="preserve"> </w:t>
      </w:r>
      <w:r w:rsidRPr="006E583B">
        <w:rPr>
          <w:rFonts w:ascii="Arial" w:eastAsia="Times New Roman" w:hAnsi="Arial" w:cs="Arial"/>
          <w:lang w:val="es-ES" w:eastAsia="es-MX"/>
        </w:rPr>
        <w:t xml:space="preserve">de infraestructura de transporte que se surtieran por la modalidad de mínima cuantía. Estos documentos fueron implementados y desarrollados por la Agencia Nacional de Contratación Pública </w:t>
      </w:r>
      <w:bookmarkStart w:id="3" w:name="_Hlk37841850"/>
      <w:r w:rsidRPr="006E583B">
        <w:rPr>
          <w:rFonts w:ascii="Arial" w:eastAsia="Times New Roman" w:hAnsi="Arial" w:cs="Arial"/>
          <w:lang w:val="es-ES" w:eastAsia="es-MX"/>
        </w:rPr>
        <w:t xml:space="preserve">– Colombia Compra Eficiente, </w:t>
      </w:r>
      <w:bookmarkEnd w:id="3"/>
      <w:r w:rsidRPr="006E583B">
        <w:rPr>
          <w:rFonts w:ascii="Arial" w:eastAsia="Times New Roman" w:hAnsi="Arial" w:cs="Arial"/>
          <w:lang w:val="es-ES" w:eastAsia="es-MX"/>
        </w:rPr>
        <w:t>por medio de la Resolución 1798 de 1 de abril de 2019 –derogada por la Resolución 045 del 14 de febrero de 2020–, la Resolución 044 del 14 de febrero de 2020 y la Resolución 094 del 21 de mayo de 2020.</w:t>
      </w:r>
    </w:p>
    <w:p w14:paraId="3461C7D9" w14:textId="7154C7B8" w:rsidR="006E583B" w:rsidRPr="006E583B" w:rsidRDefault="006E583B" w:rsidP="006E583B">
      <w:pPr>
        <w:spacing w:before="120" w:after="120" w:line="276" w:lineRule="auto"/>
        <w:ind w:firstLine="709"/>
        <w:jc w:val="both"/>
        <w:rPr>
          <w:rFonts w:ascii="Arial" w:eastAsia="Calibri" w:hAnsi="Arial" w:cs="Arial"/>
          <w:lang w:val="es-ES" w:eastAsia="es-ES"/>
        </w:rPr>
      </w:pPr>
      <w:r w:rsidRPr="006E583B">
        <w:rPr>
          <w:rFonts w:ascii="Arial" w:eastAsia="Calibri" w:hAnsi="Arial" w:cs="Arial"/>
          <w:lang w:val="es-ES" w:eastAsia="es-ES"/>
        </w:rPr>
        <w:t>Por otra parte</w:t>
      </w:r>
      <w:r w:rsidRPr="006E583B">
        <w:rPr>
          <w:rFonts w:ascii="Arial" w:eastAsia="Calibri" w:hAnsi="Arial" w:cs="Arial"/>
          <w:i/>
          <w:iCs/>
          <w:lang w:val="es-ES" w:eastAsia="es-ES"/>
        </w:rPr>
        <w:t>,</w:t>
      </w:r>
      <w:r w:rsidRPr="006E583B">
        <w:rPr>
          <w:rFonts w:ascii="Arial" w:eastAsia="Calibri" w:hAnsi="Arial" w:cs="Arial"/>
          <w:lang w:val="es-ES" w:eastAsia="es-ES"/>
        </w:rPr>
        <w:t xml:space="preserve"> debe tenerse en cuenta que </w:t>
      </w:r>
      <w:r w:rsidRPr="006E583B">
        <w:rPr>
          <w:rFonts w:ascii="Arial" w:eastAsia="Times New Roman" w:hAnsi="Arial" w:cs="Arial"/>
          <w:lang w:val="es-ES_tradnl" w:eastAsia="es-ES"/>
        </w:rPr>
        <w:t xml:space="preserve">posteriormente fue expedida la Ley 2022 de 2020 </w:t>
      </w:r>
      <w:r>
        <w:rPr>
          <w:rFonts w:ascii="Arial" w:eastAsia="Times New Roman" w:hAnsi="Arial" w:cs="Arial"/>
          <w:lang w:val="es-ES_tradnl" w:eastAsia="es-ES"/>
        </w:rPr>
        <w:t>“</w:t>
      </w:r>
      <w:r w:rsidRPr="006E583B">
        <w:rPr>
          <w:rFonts w:ascii="Arial" w:eastAsia="Times New Roman" w:hAnsi="Arial" w:cs="Arial"/>
          <w:lang w:val="es-ES_tradnl" w:eastAsia="es-ES"/>
        </w:rPr>
        <w:t>Por la cual modifica el artículo 4 de la ley 1882 de 2018 y se dictan otras disposiciones</w:t>
      </w:r>
      <w:r>
        <w:rPr>
          <w:rFonts w:ascii="Arial" w:eastAsia="Times New Roman" w:hAnsi="Arial" w:cs="Arial"/>
          <w:lang w:val="es-ES_tradnl" w:eastAsia="es-ES"/>
        </w:rPr>
        <w:t>”</w:t>
      </w:r>
      <w:r w:rsidRPr="006E583B">
        <w:rPr>
          <w:rFonts w:ascii="Arial" w:eastAsia="Times New Roman" w:hAnsi="Arial" w:cs="Arial"/>
          <w:lang w:val="es-ES_tradnl" w:eastAsia="es-ES"/>
        </w:rPr>
        <w:t>. En su artículo 1, esta norma modificó el Articulo 4 de la Ley 1882 de 2018</w:t>
      </w:r>
      <w:r w:rsidRPr="006E583B">
        <w:rPr>
          <w:rFonts w:ascii="Arial" w:eastAsia="Times New Roman" w:hAnsi="Arial" w:cs="Arial"/>
          <w:vertAlign w:val="superscript"/>
          <w:lang w:val="es-ES_tradnl" w:eastAsia="es-ES"/>
        </w:rPr>
        <w:footnoteReference w:id="5"/>
      </w:r>
      <w:r w:rsidRPr="006E583B">
        <w:rPr>
          <w:rFonts w:ascii="Arial" w:eastAsia="Times New Roman" w:hAnsi="Arial" w:cs="Arial"/>
          <w:lang w:val="es-ES_tradnl" w:eastAsia="es-ES"/>
        </w:rPr>
        <w:t xml:space="preserve"> , estableciendo a cargo de esta Agencia la adopción de documentos tipo que serán de obligatorio cumplimiento en la actividad contractual de todas las entidades sometidas al Estatuto General de Contratación de la Administración Pública. </w:t>
      </w:r>
      <w:r w:rsidRPr="006E583B">
        <w:rPr>
          <w:rFonts w:ascii="Arial" w:eastAsia="Calibri" w:hAnsi="Arial" w:cs="Arial"/>
          <w:lang w:val="es-ES" w:eastAsia="es-ES"/>
        </w:rPr>
        <w:t xml:space="preserve">En este sentido, con la finalidad de realizar un desarrollo armónico y ajustado a la ley que otorga esta competencia, la Agencia Nacional de Contratación Pública expidió la Resolución 160 del 15 de septiembre de 2020, </w:t>
      </w:r>
      <w:r>
        <w:rPr>
          <w:rFonts w:ascii="Arial" w:eastAsia="Calibri" w:hAnsi="Arial" w:cs="Arial"/>
          <w:lang w:val="es-ES" w:eastAsia="es-ES"/>
        </w:rPr>
        <w:t>“</w:t>
      </w:r>
      <w:r w:rsidRPr="006E583B">
        <w:rPr>
          <w:rFonts w:ascii="Arial" w:eastAsia="Calibri" w:hAnsi="Arial" w:cs="Arial"/>
          <w:lang w:val="es-ES" w:eastAsia="es-ES"/>
        </w:rPr>
        <w:t>Por la cual se adopta el procedimiento para implementar los documentos tipo y se define el sistema para su revisión</w:t>
      </w:r>
      <w:r>
        <w:rPr>
          <w:rFonts w:ascii="Arial" w:eastAsia="Calibri" w:hAnsi="Arial" w:cs="Arial"/>
          <w:lang w:val="es-ES" w:eastAsia="es-ES"/>
        </w:rPr>
        <w:t>”</w:t>
      </w:r>
      <w:r w:rsidRPr="006E583B">
        <w:rPr>
          <w:rFonts w:ascii="Arial" w:eastAsia="Calibri" w:hAnsi="Arial" w:cs="Arial"/>
          <w:lang w:val="es-ES" w:eastAsia="es-ES"/>
        </w:rPr>
        <w:t xml:space="preserve">. </w:t>
      </w:r>
    </w:p>
    <w:p w14:paraId="263C9EBC" w14:textId="57F2D6A3" w:rsidR="006E583B" w:rsidRPr="006E583B" w:rsidRDefault="006E583B" w:rsidP="006E583B">
      <w:pPr>
        <w:spacing w:before="120" w:after="120" w:line="276" w:lineRule="auto"/>
        <w:ind w:firstLine="709"/>
        <w:jc w:val="both"/>
        <w:rPr>
          <w:rFonts w:ascii="Arial" w:eastAsia="Calibri" w:hAnsi="Arial" w:cs="Arial"/>
          <w:lang w:val="es-ES" w:eastAsia="es-ES"/>
        </w:rPr>
      </w:pPr>
      <w:r w:rsidRPr="006E583B">
        <w:rPr>
          <w:rFonts w:ascii="Arial" w:eastAsia="Calibri" w:hAnsi="Arial" w:cs="Arial"/>
          <w:lang w:val="es-ES" w:eastAsia="es-ES"/>
        </w:rPr>
        <w:t xml:space="preserve">Con fundamento en dicha Ley, se profirió la Resolución 240 del 27 de noviembre de 2020, </w:t>
      </w:r>
      <w:r>
        <w:rPr>
          <w:rFonts w:ascii="Arial" w:eastAsia="Calibri" w:hAnsi="Arial" w:cs="Arial"/>
          <w:lang w:val="es-ES" w:eastAsia="es-ES"/>
        </w:rPr>
        <w:t>“</w:t>
      </w:r>
      <w:r w:rsidRPr="006E583B">
        <w:rPr>
          <w:rFonts w:ascii="Arial" w:eastAsia="Calibri" w:hAnsi="Arial" w:cs="Arial"/>
          <w:lang w:val="es-ES" w:eastAsia="es-ES"/>
        </w:rPr>
        <w:t>Por la cual se actualizan los Documentos Tipo para los procesos de selección de licitación de obra pública de infraestructura de transporte y se deroga la Resolución 0045 de 2020</w:t>
      </w:r>
      <w:r>
        <w:rPr>
          <w:rFonts w:ascii="Arial" w:eastAsia="Calibri" w:hAnsi="Arial" w:cs="Arial"/>
          <w:lang w:val="es-ES" w:eastAsia="es-ES"/>
        </w:rPr>
        <w:t>”</w:t>
      </w:r>
      <w:r w:rsidRPr="006E583B">
        <w:rPr>
          <w:rFonts w:ascii="Arial" w:eastAsia="Calibri" w:hAnsi="Arial" w:cs="Arial"/>
          <w:lang w:val="es-ES" w:eastAsia="es-ES"/>
        </w:rPr>
        <w:t xml:space="preserve">. De igual manera, se expidió la Resolución 241 del 27 de noviembre de 2020, </w:t>
      </w:r>
      <w:r>
        <w:rPr>
          <w:rFonts w:ascii="Arial" w:eastAsia="Calibri" w:hAnsi="Arial" w:cs="Arial"/>
          <w:lang w:val="es-ES" w:eastAsia="es-ES"/>
        </w:rPr>
        <w:t>“</w:t>
      </w:r>
      <w:r w:rsidRPr="006E583B">
        <w:rPr>
          <w:rFonts w:ascii="Arial" w:eastAsia="Calibri" w:hAnsi="Arial" w:cs="Arial"/>
          <w:lang w:val="es-ES" w:eastAsia="es-ES"/>
        </w:rPr>
        <w:t>Por la cual se actualizan los Documentos Tipo para los procesos de selección abreviada de menor cuantía de obra pública de infraestructura de transporte y se deroga la Resolución 0044 de 2020</w:t>
      </w:r>
      <w:r>
        <w:rPr>
          <w:rFonts w:ascii="Arial" w:eastAsia="Calibri" w:hAnsi="Arial" w:cs="Arial"/>
          <w:lang w:val="es-ES" w:eastAsia="es-ES"/>
        </w:rPr>
        <w:t>”</w:t>
      </w:r>
      <w:r w:rsidRPr="006E583B">
        <w:rPr>
          <w:rFonts w:ascii="Arial" w:eastAsia="Calibri" w:hAnsi="Arial" w:cs="Arial"/>
          <w:lang w:val="es-ES" w:eastAsia="es-ES"/>
        </w:rPr>
        <w:t xml:space="preserve">. Adicionalmente, entró en vigor la Resolución 256 de 2020, </w:t>
      </w:r>
      <w:r>
        <w:rPr>
          <w:rFonts w:ascii="Arial" w:eastAsia="Calibri" w:hAnsi="Arial" w:cs="Arial"/>
          <w:lang w:val="es-ES" w:eastAsia="es-ES"/>
        </w:rPr>
        <w:t>“</w:t>
      </w:r>
      <w:r w:rsidRPr="006E583B">
        <w:rPr>
          <w:rFonts w:ascii="Arial" w:eastAsia="Calibri" w:hAnsi="Arial" w:cs="Arial"/>
          <w:lang w:val="es-ES" w:eastAsia="es-ES"/>
        </w:rPr>
        <w:t>Por la cual se adoptan los documentos tipo para los procesos de selección de concursos de méritos, para contratar la interventoría de obras públicas de infraestructura de transporte</w:t>
      </w:r>
      <w:r>
        <w:rPr>
          <w:rFonts w:ascii="Arial" w:eastAsia="Calibri" w:hAnsi="Arial" w:cs="Arial"/>
          <w:lang w:val="es-ES" w:eastAsia="es-ES"/>
        </w:rPr>
        <w:t>”</w:t>
      </w:r>
      <w:r w:rsidRPr="006E583B">
        <w:rPr>
          <w:rFonts w:ascii="Arial" w:eastAsia="Calibri" w:hAnsi="Arial" w:cs="Arial"/>
          <w:lang w:val="es-ES" w:eastAsia="es-ES"/>
        </w:rPr>
        <w:t xml:space="preserve">. </w:t>
      </w:r>
    </w:p>
    <w:p w14:paraId="7EA25009" w14:textId="69C072B1" w:rsidR="006E583B" w:rsidRPr="006E583B" w:rsidRDefault="006E583B" w:rsidP="006E583B">
      <w:pPr>
        <w:spacing w:before="120" w:after="120" w:line="276" w:lineRule="auto"/>
        <w:ind w:firstLine="709"/>
        <w:jc w:val="both"/>
        <w:rPr>
          <w:rFonts w:ascii="Arial" w:eastAsia="Calibri" w:hAnsi="Arial" w:cs="Arial"/>
          <w:lang w:val="es-ES" w:eastAsia="es-ES"/>
        </w:rPr>
      </w:pPr>
      <w:r w:rsidRPr="006E583B">
        <w:rPr>
          <w:rFonts w:ascii="Arial" w:eastAsia="Calibri" w:hAnsi="Arial" w:cs="Arial"/>
          <w:lang w:val="es-ES" w:eastAsia="es-ES"/>
        </w:rPr>
        <w:lastRenderedPageBreak/>
        <w:t xml:space="preserve">Por otra parte, se expidió la Resolución 248 de 2020, </w:t>
      </w:r>
      <w:r>
        <w:rPr>
          <w:rFonts w:ascii="Arial" w:eastAsia="Calibri" w:hAnsi="Arial" w:cs="Arial"/>
          <w:lang w:val="es-ES" w:eastAsia="es-ES"/>
        </w:rPr>
        <w:t>“</w:t>
      </w:r>
      <w:r w:rsidRPr="006E583B">
        <w:rPr>
          <w:rFonts w:ascii="Arial" w:eastAsia="Calibri" w:hAnsi="Arial" w:cs="Arial"/>
          <w:lang w:val="es-ES" w:eastAsia="es-ES"/>
        </w:rPr>
        <w:t>Por la cual se adoptan los documentos tipo para los procesos de licitación pública para obras de infraestructura de agua potable y saneamiento básico</w:t>
      </w:r>
      <w:r>
        <w:rPr>
          <w:rFonts w:ascii="Arial" w:eastAsia="Calibri" w:hAnsi="Arial" w:cs="Arial"/>
          <w:lang w:val="es-ES" w:eastAsia="es-ES"/>
        </w:rPr>
        <w:t>”</w:t>
      </w:r>
      <w:r w:rsidRPr="006E583B">
        <w:rPr>
          <w:rFonts w:ascii="Arial" w:eastAsia="Calibri" w:hAnsi="Arial" w:cs="Arial"/>
          <w:lang w:val="es-ES" w:eastAsia="es-ES"/>
        </w:rPr>
        <w:t xml:space="preserve">; la Resolución 249 de 2020, </w:t>
      </w:r>
      <w:r>
        <w:rPr>
          <w:rFonts w:ascii="Arial" w:eastAsia="Calibri" w:hAnsi="Arial" w:cs="Arial"/>
          <w:lang w:val="es-ES" w:eastAsia="es-ES"/>
        </w:rPr>
        <w:t>“</w:t>
      </w:r>
      <w:r w:rsidRPr="006E583B">
        <w:rPr>
          <w:rFonts w:ascii="Arial" w:eastAsia="Calibri" w:hAnsi="Arial" w:cs="Arial"/>
          <w:lang w:val="es-ES" w:eastAsia="es-ES"/>
        </w:rPr>
        <w:t>Por la cual se adoptan los documentos tipo para los procesos de licitación pública para obras de infraestructura de agua potable y saneamiento básico en la modalidad llave en mano</w:t>
      </w:r>
      <w:r>
        <w:rPr>
          <w:rFonts w:ascii="Arial" w:eastAsia="Calibri" w:hAnsi="Arial" w:cs="Arial"/>
          <w:lang w:val="es-ES" w:eastAsia="es-ES"/>
        </w:rPr>
        <w:t>”</w:t>
      </w:r>
      <w:r w:rsidRPr="006E583B">
        <w:rPr>
          <w:rFonts w:ascii="Arial" w:eastAsia="Calibri" w:hAnsi="Arial" w:cs="Arial"/>
          <w:lang w:val="es-ES" w:eastAsia="es-ES"/>
        </w:rPr>
        <w:t xml:space="preserve">; así como la Resolución 269 de 2020, </w:t>
      </w:r>
      <w:r>
        <w:rPr>
          <w:rFonts w:ascii="Arial" w:eastAsia="Calibri" w:hAnsi="Arial" w:cs="Arial"/>
          <w:lang w:val="es-ES" w:eastAsia="es-ES"/>
        </w:rPr>
        <w:t>“</w:t>
      </w:r>
      <w:r w:rsidRPr="006E583B">
        <w:rPr>
          <w:rFonts w:ascii="Arial" w:eastAsia="Calibri" w:hAnsi="Arial" w:cs="Arial"/>
          <w:lang w:val="es-ES" w:eastAsia="es-ES"/>
        </w:rPr>
        <w:t>Por la cual se adopta el documento tipo para los procesos de gestión catastral con enfoque multipropósito que se celebren a través de contratos interadministrativos</w:t>
      </w:r>
      <w:r>
        <w:rPr>
          <w:rFonts w:ascii="Arial" w:eastAsia="Calibri" w:hAnsi="Arial" w:cs="Arial"/>
          <w:lang w:val="es-ES" w:eastAsia="es-ES"/>
        </w:rPr>
        <w:t>”</w:t>
      </w:r>
      <w:r w:rsidRPr="006E583B">
        <w:rPr>
          <w:rFonts w:ascii="Arial" w:eastAsia="Calibri" w:hAnsi="Arial" w:cs="Arial"/>
          <w:lang w:val="es-ES" w:eastAsia="es-ES"/>
        </w:rPr>
        <w:t xml:space="preserve">. </w:t>
      </w:r>
    </w:p>
    <w:p w14:paraId="33E55CE3" w14:textId="2FDEC872" w:rsidR="006E583B" w:rsidRPr="006E583B" w:rsidRDefault="006E583B" w:rsidP="006E583B">
      <w:pPr>
        <w:spacing w:before="120" w:after="120" w:line="276" w:lineRule="auto"/>
        <w:ind w:firstLine="709"/>
        <w:jc w:val="both"/>
        <w:rPr>
          <w:rFonts w:ascii="Arial" w:eastAsia="Times New Roman" w:hAnsi="Arial" w:cs="Arial"/>
          <w:lang w:val="es-ES_tradnl" w:eastAsia="es-ES"/>
        </w:rPr>
      </w:pPr>
      <w:r w:rsidRPr="006E583B">
        <w:rPr>
          <w:rFonts w:ascii="Arial" w:eastAsia="Calibri" w:hAnsi="Arial" w:cs="Arial"/>
          <w:highlight w:val="yellow"/>
          <w:lang w:val="es-ES" w:eastAsia="es-ES"/>
        </w:rPr>
        <w:t xml:space="preserve">De otro lado, en el 2021 se expidió la Resolución 161 de 2021 </w:t>
      </w:r>
      <w:r>
        <w:rPr>
          <w:rFonts w:ascii="Arial" w:eastAsia="Calibri" w:hAnsi="Arial" w:cs="Arial"/>
          <w:highlight w:val="yellow"/>
          <w:lang w:val="es-ES" w:eastAsia="es-ES"/>
        </w:rPr>
        <w:t>“</w:t>
      </w:r>
      <w:r w:rsidRPr="006E583B">
        <w:rPr>
          <w:rFonts w:ascii="Arial" w:eastAsia="Calibri" w:hAnsi="Arial" w:cs="Arial"/>
          <w:highlight w:val="yellow"/>
          <w:lang w:val="es-ES" w:eastAsia="es-ES"/>
        </w:rPr>
        <w:t>Por la cual se modifican los documentos tipo adoptados por la Agencia Nacional de Contratación Pública - Colombia Compra Eficiente</w:t>
      </w:r>
      <w:r>
        <w:rPr>
          <w:rFonts w:ascii="Arial" w:eastAsia="Calibri" w:hAnsi="Arial" w:cs="Arial"/>
          <w:highlight w:val="yellow"/>
          <w:lang w:val="es-ES" w:eastAsia="es-ES"/>
        </w:rPr>
        <w:t>”</w:t>
      </w:r>
      <w:r w:rsidRPr="006E583B">
        <w:rPr>
          <w:rFonts w:ascii="Arial" w:eastAsia="Calibri" w:hAnsi="Arial" w:cs="Arial"/>
          <w:highlight w:val="yellow"/>
          <w:lang w:val="es-ES" w:eastAsia="es-ES"/>
        </w:rPr>
        <w:t xml:space="preserve">, esta última versión de los pliegos tipo rige desde el 28 de junio de 2021. Además, se profirió la Resolución 193 de 2021 </w:t>
      </w:r>
      <w:r>
        <w:rPr>
          <w:rFonts w:ascii="Arial" w:eastAsia="Calibri" w:hAnsi="Arial" w:cs="Arial"/>
          <w:highlight w:val="yellow"/>
          <w:lang w:val="es-ES" w:eastAsia="es-ES"/>
        </w:rPr>
        <w:t>“</w:t>
      </w:r>
      <w:r w:rsidRPr="006E583B">
        <w:rPr>
          <w:rFonts w:ascii="Arial" w:eastAsia="Calibri" w:hAnsi="Arial" w:cs="Arial"/>
          <w:highlight w:val="yellow"/>
          <w:lang w:val="es-ES" w:eastAsia="es-ES"/>
        </w:rPr>
        <w:t>Por la cual se adoptan los documentos tipo para los procesos de selección de concurso de méritos, para contratar la consultoría de estudios de ingeniería de infraestructura de transporte</w:t>
      </w:r>
      <w:r>
        <w:rPr>
          <w:rFonts w:ascii="Arial" w:eastAsia="Calibri" w:hAnsi="Arial" w:cs="Arial"/>
          <w:highlight w:val="yellow"/>
          <w:lang w:val="es-ES" w:eastAsia="es-ES"/>
        </w:rPr>
        <w:t>”</w:t>
      </w:r>
      <w:r w:rsidRPr="006E583B">
        <w:rPr>
          <w:rFonts w:ascii="Arial" w:eastAsia="Calibri" w:hAnsi="Arial" w:cs="Arial"/>
          <w:highlight w:val="yellow"/>
          <w:lang w:val="es-ES" w:eastAsia="es-ES"/>
        </w:rPr>
        <w:t xml:space="preserve">. Finalmente, se expidió la Resolución 219 del 6 de agosto de 2021 </w:t>
      </w:r>
      <w:r>
        <w:rPr>
          <w:rFonts w:ascii="Arial" w:eastAsia="Calibri" w:hAnsi="Arial" w:cs="Arial"/>
          <w:highlight w:val="yellow"/>
          <w:lang w:val="es-ES" w:eastAsia="es-ES"/>
        </w:rPr>
        <w:t>“</w:t>
      </w:r>
      <w:r w:rsidRPr="006E583B">
        <w:rPr>
          <w:rFonts w:ascii="Arial" w:eastAsia="Times New Roman" w:hAnsi="Arial" w:cs="Arial"/>
          <w:highlight w:val="yellow"/>
          <w:lang w:val="es-ES_tradnl" w:eastAsia="es-ES"/>
        </w:rPr>
        <w:t>Por la cual se adoptan los documentos tipo para los procesos de licitación de obra pública de infraestructura social</w:t>
      </w:r>
      <w:r>
        <w:rPr>
          <w:rFonts w:ascii="Arial" w:eastAsia="Times New Roman" w:hAnsi="Arial" w:cs="Arial"/>
          <w:highlight w:val="yellow"/>
          <w:lang w:val="es-ES_tradnl" w:eastAsia="es-ES"/>
        </w:rPr>
        <w:t>”</w:t>
      </w:r>
      <w:r w:rsidRPr="006E583B">
        <w:rPr>
          <w:rFonts w:ascii="Arial" w:eastAsia="Times New Roman" w:hAnsi="Arial" w:cs="Arial"/>
          <w:highlight w:val="yellow"/>
          <w:lang w:val="es-ES_tradnl" w:eastAsia="es-ES"/>
        </w:rPr>
        <w:t xml:space="preserve"> y la Resolución 220 del 6 de agosto de 2021 </w:t>
      </w:r>
      <w:r>
        <w:rPr>
          <w:rFonts w:ascii="Arial" w:eastAsia="Times New Roman" w:hAnsi="Arial" w:cs="Arial"/>
          <w:highlight w:val="yellow"/>
          <w:lang w:val="es-ES_tradnl" w:eastAsia="es-ES"/>
        </w:rPr>
        <w:t>“</w:t>
      </w:r>
      <w:r w:rsidRPr="006E583B">
        <w:rPr>
          <w:rFonts w:ascii="Arial" w:eastAsia="Times New Roman" w:hAnsi="Arial" w:cs="Arial"/>
          <w:highlight w:val="yellow"/>
          <w:lang w:val="es-ES_tradnl" w:eastAsia="es-ES"/>
        </w:rPr>
        <w:t>Por la cual se adoptan los documentos tipo complementarios para los procesos de licitación de obra pública de infraestructura social relacionados con el sector educativo</w:t>
      </w:r>
      <w:r>
        <w:rPr>
          <w:rFonts w:ascii="Arial" w:eastAsia="Times New Roman" w:hAnsi="Arial" w:cs="Arial"/>
          <w:highlight w:val="yellow"/>
          <w:lang w:val="es-ES_tradnl" w:eastAsia="es-ES"/>
        </w:rPr>
        <w:t>”</w:t>
      </w:r>
      <w:r w:rsidRPr="006E583B">
        <w:rPr>
          <w:rFonts w:ascii="Arial" w:eastAsia="Times New Roman" w:hAnsi="Arial" w:cs="Arial"/>
          <w:highlight w:val="yellow"/>
          <w:lang w:val="es-ES_tradnl" w:eastAsia="es-ES"/>
        </w:rPr>
        <w:t>.</w:t>
      </w:r>
      <w:r w:rsidRPr="006E583B">
        <w:rPr>
          <w:rFonts w:ascii="Arial" w:eastAsia="Times New Roman" w:hAnsi="Arial" w:cs="Arial"/>
          <w:lang w:val="es-ES_tradnl" w:eastAsia="es-ES"/>
        </w:rPr>
        <w:t xml:space="preserve"> </w:t>
      </w:r>
    </w:p>
    <w:p w14:paraId="01292E6F"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23E7141E" w14:textId="77777777" w:rsidR="006E583B" w:rsidRPr="006E583B" w:rsidRDefault="006E583B" w:rsidP="006E583B">
      <w:pPr>
        <w:spacing w:after="0" w:line="276" w:lineRule="auto"/>
        <w:ind w:firstLine="709"/>
        <w:jc w:val="both"/>
        <w:rPr>
          <w:rFonts w:ascii="Arial" w:hAnsi="Arial" w:cs="Arial"/>
          <w:spacing w:val="2"/>
          <w:lang w:eastAsia="es-CO"/>
        </w:rPr>
      </w:pPr>
      <w:r w:rsidRPr="006E583B">
        <w:rPr>
          <w:rFonts w:ascii="Arial" w:hAnsi="Arial" w:cs="Arial"/>
          <w:spacing w:val="2"/>
          <w:lang w:eastAsia="es-CO"/>
        </w:rPr>
        <w:t xml:space="preserve">Con posterioridad, el Decreto 1860 de 2021 modificó </w:t>
      </w:r>
      <w:r w:rsidRPr="006E583B">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6E583B">
        <w:rPr>
          <w:rFonts w:ascii="Arial" w:eastAsia="Times New Roman" w:hAnsi="Arial" w:cs="Arial"/>
          <w:szCs w:val="24"/>
          <w:lang w:eastAsia="es-MX"/>
        </w:rPr>
        <w:t>además de incluir algunas disposiciones adicionales para la reglamentación efectiva de la citada Ley.</w:t>
      </w:r>
      <w:r w:rsidRPr="006E583B">
        <w:rPr>
          <w:rFonts w:ascii="Arial" w:eastAsia="Arial" w:hAnsi="Arial" w:cs="Arial"/>
          <w:szCs w:val="24"/>
          <w:lang w:eastAsia="es-CO"/>
        </w:rPr>
        <w:t xml:space="preserve"> </w:t>
      </w:r>
      <w:r w:rsidRPr="006E583B">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6E583B">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Dichas modificaciones aplicarán para los procedimientos de selección cuyo aviso de convocatoria se publique a partir del 29 de agosto de 2022, como se establece en el artículo 179 de dicha resolución</w:t>
      </w:r>
      <w:r w:rsidRPr="006E583B">
        <w:rPr>
          <w:rFonts w:ascii="Arial" w:hAnsi="Arial" w:cs="Arial"/>
          <w:spacing w:val="2"/>
          <w:vertAlign w:val="superscript"/>
          <w:lang w:eastAsia="es-CO"/>
        </w:rPr>
        <w:footnoteReference w:id="6"/>
      </w:r>
      <w:r w:rsidRPr="006E583B">
        <w:rPr>
          <w:rFonts w:ascii="Arial" w:hAnsi="Arial" w:cs="Arial"/>
          <w:spacing w:val="2"/>
          <w:lang w:eastAsia="es-CO"/>
        </w:rPr>
        <w:t>.</w:t>
      </w:r>
    </w:p>
    <w:p w14:paraId="72FB9ACA" w14:textId="2D3D1336" w:rsidR="006E583B" w:rsidRPr="006E583B" w:rsidRDefault="006E583B" w:rsidP="006E583B">
      <w:pPr>
        <w:spacing w:before="120" w:after="0" w:line="276" w:lineRule="auto"/>
        <w:ind w:firstLine="709"/>
        <w:jc w:val="both"/>
        <w:rPr>
          <w:rFonts w:ascii="Arial" w:hAnsi="Arial" w:cs="Arial"/>
          <w:spacing w:val="2"/>
          <w:lang w:eastAsia="es-CO"/>
        </w:rPr>
      </w:pPr>
      <w:r w:rsidRPr="006E583B">
        <w:rPr>
          <w:rFonts w:ascii="Arial" w:hAnsi="Arial" w:cs="Arial"/>
          <w:spacing w:val="2"/>
          <w:lang w:eastAsia="es-CO"/>
        </w:rPr>
        <w:lastRenderedPageBreak/>
        <w:t xml:space="preserve">Finalmente, se expidió la Resolución No. 333 del 27 de julio de 2022 </w:t>
      </w:r>
      <w:r>
        <w:rPr>
          <w:rFonts w:ascii="Arial" w:hAnsi="Arial" w:cs="Arial"/>
          <w:spacing w:val="2"/>
          <w:lang w:eastAsia="es-CO"/>
        </w:rPr>
        <w:t>“</w:t>
      </w:r>
      <w:r w:rsidRPr="006E583B">
        <w:rPr>
          <w:rFonts w:ascii="Arial" w:hAnsi="Arial" w:cs="Arial"/>
          <w:spacing w:val="2"/>
          <w:lang w:eastAsia="es-CO"/>
        </w:rPr>
        <w:t>Por la cual se adoptan los documentos tipo para los procesos de selección de concurso de méritos para contratar la interventoría de obras públicas de infraestructura de agua potable y saneamiento básico</w:t>
      </w:r>
      <w:r>
        <w:rPr>
          <w:rFonts w:ascii="Arial" w:hAnsi="Arial" w:cs="Arial"/>
          <w:spacing w:val="2"/>
          <w:lang w:eastAsia="es-CO"/>
        </w:rPr>
        <w:t>”</w:t>
      </w:r>
      <w:r w:rsidRPr="006E583B">
        <w:rPr>
          <w:rFonts w:ascii="Arial" w:hAnsi="Arial" w:cs="Arial"/>
          <w:spacing w:val="2"/>
          <w:lang w:eastAsia="es-CO"/>
        </w:rPr>
        <w:t>, aplicable a los procesos de selección cuyo aviso de convocatoria se publique a partir del 3 de octubre de 2022.</w:t>
      </w:r>
    </w:p>
    <w:p w14:paraId="396E1F32" w14:textId="77777777" w:rsidR="006E583B" w:rsidRPr="006E583B" w:rsidRDefault="006E583B" w:rsidP="006E583B">
      <w:pPr>
        <w:spacing w:before="120" w:after="120" w:line="276" w:lineRule="auto"/>
        <w:ind w:firstLine="709"/>
        <w:jc w:val="both"/>
        <w:rPr>
          <w:rFonts w:ascii="Arial" w:eastAsia="Calibri" w:hAnsi="Arial" w:cs="Arial"/>
          <w:lang w:val="es-ES" w:eastAsia="es-ES"/>
        </w:rPr>
      </w:pPr>
      <w:r w:rsidRPr="006E583B">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50AFA14C"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7CCBBC2B"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ii) Documentos tipo para licitación de obra pública de infraestructura de transporte –versión 2–, obligatorios para los procesos cuyo aviso de convocatoria se haya publicado desde el 10 de marzo de 2020.</w:t>
      </w:r>
    </w:p>
    <w:p w14:paraId="2EFEBC7A"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iii) Documentos tipo para licitación de obra pública de infraestructura de transporte –versión 3–, obligatorios para los procesos cuyo aviso de convocatoria se haya publicado desde el 1 de enero de 2021.</w:t>
      </w:r>
    </w:p>
    <w:p w14:paraId="7D915BB9"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4C78CC61"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51458EF6"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vi) Documentos tipo para procesos de mínima cuantía de infraestructura de transporte, obligatorios para los procesos cuya invitación pública se haya publicado a partir del 10 de junio de 2020.</w:t>
      </w:r>
    </w:p>
    <w:p w14:paraId="748A5884"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7A72C865"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viii)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207EC20E"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ix) Documentos tipo para procesos de licitación pública para obras de infraestructura de agua potable y saneamiento básico, obligatorios para los procesos cuyo aviso de convocatoria se haya publicado desde el 11 de diciembre de 2020.</w:t>
      </w:r>
    </w:p>
    <w:p w14:paraId="39E75433"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lastRenderedPageBreak/>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A95FC72" w14:textId="77777777" w:rsidR="006E583B" w:rsidRPr="006E583B" w:rsidRDefault="006E583B" w:rsidP="006E583B">
      <w:pPr>
        <w:spacing w:before="120" w:after="120" w:line="276" w:lineRule="auto"/>
        <w:ind w:firstLine="709"/>
        <w:jc w:val="both"/>
        <w:rPr>
          <w:rFonts w:ascii="Arial" w:eastAsia="Calibri" w:hAnsi="Arial" w:cs="Arial"/>
          <w:lang w:val="es-ES_tradnl" w:eastAsia="es-ES"/>
        </w:rPr>
      </w:pPr>
      <w:r w:rsidRPr="006E583B">
        <w:rPr>
          <w:rFonts w:ascii="Arial" w:eastAsia="Calibri" w:hAnsi="Arial" w:cs="Arial"/>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67028C09" w14:textId="77777777" w:rsidR="006E583B" w:rsidRPr="006E583B" w:rsidRDefault="006E583B" w:rsidP="006E583B">
      <w:pPr>
        <w:spacing w:after="120" w:line="276" w:lineRule="auto"/>
        <w:ind w:firstLine="708"/>
        <w:jc w:val="both"/>
        <w:rPr>
          <w:rFonts w:ascii="Arial" w:eastAsia="Calibri" w:hAnsi="Arial" w:cs="Arial"/>
          <w:lang w:val="es-ES_tradnl" w:eastAsia="en-GB"/>
        </w:rPr>
      </w:pPr>
      <w:r w:rsidRPr="006E583B">
        <w:rPr>
          <w:rFonts w:ascii="Arial" w:eastAsia="Calibri" w:hAnsi="Arial" w:cs="Arial"/>
          <w:lang w:val="es-ES_tradnl" w:eastAsia="es-ES"/>
        </w:rPr>
        <w:t xml:space="preserve">xii) </w:t>
      </w:r>
      <w:r w:rsidRPr="006E583B">
        <w:rPr>
          <w:rFonts w:ascii="Arial" w:eastAsia="Calibri" w:hAnsi="Arial" w:cs="Arial"/>
          <w:color w:val="000000"/>
          <w:lang w:val="es-ES" w:eastAsia="es-ES"/>
        </w:rPr>
        <w:t xml:space="preserve">Documentos tipo para procesos de licitación de obra pública de infraestructura social, que </w:t>
      </w:r>
      <w:r w:rsidRPr="006E583B">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r w:rsidRPr="006E583B">
        <w:rPr>
          <w:rFonts w:ascii="Arial" w:eastAsia="Calibri" w:hAnsi="Arial" w:cs="Arial"/>
          <w:lang w:val="es-ES_tradnl" w:eastAsia="en-GB"/>
        </w:rPr>
        <w:t>.</w:t>
      </w:r>
    </w:p>
    <w:p w14:paraId="67C32164" w14:textId="77777777" w:rsidR="006E583B" w:rsidRPr="006E583B" w:rsidRDefault="006E583B" w:rsidP="006E583B">
      <w:pPr>
        <w:spacing w:after="120" w:line="276" w:lineRule="auto"/>
        <w:ind w:firstLine="708"/>
        <w:jc w:val="both"/>
        <w:rPr>
          <w:rFonts w:ascii="Arial" w:eastAsia="Calibri" w:hAnsi="Arial" w:cs="Arial"/>
          <w:lang w:val="es-ES_tradnl" w:eastAsia="en-GB"/>
        </w:rPr>
      </w:pPr>
      <w:r w:rsidRPr="006E583B">
        <w:rPr>
          <w:rFonts w:ascii="Arial" w:eastAsia="Calibri" w:hAnsi="Arial" w:cs="Arial"/>
          <w:color w:val="000000"/>
          <w:lang w:val="es-ES" w:eastAsia="es-ES"/>
        </w:rPr>
        <w:t xml:space="preserve">xiii) Documentos tipo complementarios para los procesos de licitación de obra pública de infraestructura social relacionados con el sector educativo, que </w:t>
      </w:r>
      <w:r w:rsidRPr="006E583B">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p>
    <w:p w14:paraId="43E4D74A" w14:textId="77777777" w:rsidR="006E583B" w:rsidRPr="006E583B" w:rsidRDefault="006E583B" w:rsidP="006E583B">
      <w:pPr>
        <w:spacing w:after="120" w:line="276" w:lineRule="auto"/>
        <w:ind w:firstLine="708"/>
        <w:jc w:val="both"/>
        <w:rPr>
          <w:rFonts w:ascii="Arial" w:eastAsia="Calibri" w:hAnsi="Arial" w:cs="Arial"/>
          <w:lang w:val="es-ES_tradnl" w:eastAsia="en-GB"/>
        </w:rPr>
      </w:pPr>
      <w:r w:rsidRPr="006E583B">
        <w:rPr>
          <w:rFonts w:ascii="Arial" w:eastAsia="Calibri" w:hAnsi="Arial" w:cs="Arial"/>
          <w:color w:val="000000"/>
          <w:lang w:val="es-ES" w:eastAsia="es-ES"/>
        </w:rPr>
        <w:t xml:space="preserve">xiv) Documentos tipo complementarios para los procesos de licitación de obra pública de infraestructura social relacionados con el sector salud, que entraron a regir </w:t>
      </w:r>
      <w:r w:rsidRPr="006E583B">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6E583B">
        <w:rPr>
          <w:rFonts w:ascii="Arial" w:eastAsia="Calibri" w:hAnsi="Arial" w:cs="Arial"/>
          <w:lang w:val="es-ES_tradnl" w:eastAsia="en-GB"/>
        </w:rPr>
        <w:t>.</w:t>
      </w:r>
    </w:p>
    <w:p w14:paraId="3D24032E" w14:textId="77777777" w:rsidR="006E583B" w:rsidRPr="006E583B" w:rsidRDefault="006E583B" w:rsidP="006E583B">
      <w:pPr>
        <w:spacing w:after="120" w:line="276" w:lineRule="auto"/>
        <w:ind w:firstLine="708"/>
        <w:jc w:val="both"/>
        <w:rPr>
          <w:rFonts w:ascii="Arial" w:eastAsia="Times New Roman" w:hAnsi="Arial" w:cs="Arial"/>
          <w:lang w:val="es-ES_tradnl" w:eastAsia="en-GB"/>
        </w:rPr>
      </w:pPr>
      <w:r w:rsidRPr="006E583B">
        <w:rPr>
          <w:rFonts w:ascii="Arial" w:eastAsia="Calibri" w:hAnsi="Arial" w:cs="Arial"/>
          <w:lang w:val="es-ES_tradnl" w:eastAsia="en-GB"/>
        </w:rPr>
        <w:t xml:space="preserve">xv) </w:t>
      </w:r>
      <w:r w:rsidRPr="006E583B">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6E583B">
        <w:rPr>
          <w:rFonts w:ascii="Arial" w:eastAsia="Calibri" w:hAnsi="Arial" w:cs="Arial"/>
          <w:lang w:val="es-ES_tradnl" w:eastAsia="en-GB"/>
        </w:rPr>
        <w:t xml:space="preserve">, </w:t>
      </w:r>
      <w:r w:rsidRPr="006E583B">
        <w:rPr>
          <w:rFonts w:ascii="Arial" w:eastAsia="Calibri" w:hAnsi="Arial" w:cs="Arial"/>
          <w:color w:val="000000"/>
          <w:lang w:val="es-ES" w:eastAsia="es-ES"/>
        </w:rPr>
        <w:t xml:space="preserve">que entraron a regir </w:t>
      </w:r>
      <w:r w:rsidRPr="006E583B">
        <w:rPr>
          <w:rFonts w:ascii="Arial" w:eastAsia="Times New Roman" w:hAnsi="Arial" w:cs="Arial"/>
          <w:lang w:val="es-ES_tradnl" w:eastAsia="en-GB"/>
        </w:rPr>
        <w:t xml:space="preserve">de acuerdo con los términos establecidos en el artículo 4 de la Resolución 454 de 2021. </w:t>
      </w:r>
    </w:p>
    <w:p w14:paraId="299AD8A0" w14:textId="77777777" w:rsidR="006E583B" w:rsidRPr="006E583B" w:rsidRDefault="006E583B" w:rsidP="006E583B">
      <w:pPr>
        <w:spacing w:before="120" w:after="0" w:line="276" w:lineRule="auto"/>
        <w:ind w:firstLine="709"/>
        <w:jc w:val="both"/>
        <w:rPr>
          <w:rFonts w:ascii="Arial" w:hAnsi="Arial" w:cs="Arial"/>
          <w:spacing w:val="2"/>
          <w:lang w:eastAsia="es-CO"/>
        </w:rPr>
      </w:pPr>
      <w:r w:rsidRPr="006E583B">
        <w:rPr>
          <w:rFonts w:ascii="Arial" w:eastAsia="Times New Roman" w:hAnsi="Arial" w:cs="Arial"/>
          <w:lang w:val="es-ES_tradnl" w:eastAsia="en-GB"/>
        </w:rPr>
        <w:t xml:space="preserve">xvi) Documentos tipo para los procesos de selección de concurso de méritos para contratar la interventoría de obras públicas de infraestructura de agua potable y saneamiento básico, obligatorios para </w:t>
      </w:r>
      <w:r w:rsidRPr="006E583B">
        <w:rPr>
          <w:rFonts w:ascii="Arial" w:hAnsi="Arial" w:cs="Arial"/>
          <w:spacing w:val="2"/>
          <w:lang w:eastAsia="es-CO"/>
        </w:rPr>
        <w:t>procesos de selección cuyo aviso de convocatoria se publique a partir del 3 de octubre de 2022.</w:t>
      </w:r>
    </w:p>
    <w:p w14:paraId="34752E98" w14:textId="77777777" w:rsidR="006E583B" w:rsidRPr="006E583B" w:rsidRDefault="006E583B" w:rsidP="006E583B">
      <w:pPr>
        <w:spacing w:before="120" w:after="0" w:line="276" w:lineRule="auto"/>
        <w:ind w:firstLine="709"/>
        <w:jc w:val="both"/>
        <w:rPr>
          <w:rFonts w:ascii="Arial" w:eastAsia="Calibri" w:hAnsi="Arial" w:cs="Arial"/>
          <w:lang w:val="es-ES" w:eastAsia="es-ES"/>
        </w:rPr>
      </w:pPr>
      <w:r w:rsidRPr="006E583B">
        <w:rPr>
          <w:rFonts w:ascii="Arial" w:eastAsia="Calibri" w:hAnsi="Arial" w:cs="Arial"/>
          <w:lang w:val="es-ES" w:eastAsia="es-ES"/>
        </w:rPr>
        <w:t>Cabe aclarar que la Agencia Nacional de Contratación Pública – Colombia Compra Eficiente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0E89471A" w14:textId="77777777" w:rsidR="006E583B" w:rsidRPr="006E583B" w:rsidRDefault="006E583B" w:rsidP="006E583B">
      <w:pPr>
        <w:spacing w:after="0" w:line="276" w:lineRule="auto"/>
        <w:contextualSpacing/>
        <w:rPr>
          <w:rFonts w:ascii="Arial" w:eastAsia="Times New Roman" w:hAnsi="Arial" w:cs="Arial"/>
          <w:lang w:eastAsia="es-MX"/>
        </w:rPr>
      </w:pPr>
    </w:p>
    <w:p w14:paraId="437967AB" w14:textId="77777777" w:rsidR="006E583B" w:rsidRPr="006E583B" w:rsidRDefault="006E583B" w:rsidP="006E583B">
      <w:pPr>
        <w:spacing w:after="0" w:line="276" w:lineRule="auto"/>
        <w:contextualSpacing/>
        <w:jc w:val="both"/>
        <w:rPr>
          <w:rFonts w:ascii="Arial" w:eastAsia="Calibri" w:hAnsi="Arial" w:cs="Arial"/>
          <w:b/>
          <w:bCs/>
          <w:lang w:val="es-ES_tradnl"/>
        </w:rPr>
      </w:pPr>
      <w:r w:rsidRPr="00F03A3B">
        <w:rPr>
          <w:rFonts w:ascii="Arial" w:eastAsia="Calibri" w:hAnsi="Arial" w:cs="Arial"/>
          <w:b/>
          <w:bCs/>
          <w:lang w:val="es-ES" w:eastAsia="es-ES"/>
        </w:rPr>
        <w:t xml:space="preserve">2.2. </w:t>
      </w:r>
      <w:r w:rsidRPr="00F03A3B">
        <w:rPr>
          <w:rFonts w:ascii="Arial" w:eastAsia="Calibri" w:hAnsi="Arial" w:cs="Arial"/>
          <w:b/>
          <w:bCs/>
        </w:rPr>
        <w:t xml:space="preserve">Documentos tipo para </w:t>
      </w:r>
      <w:r w:rsidRPr="00F03A3B">
        <w:rPr>
          <w:rFonts w:ascii="Arial" w:eastAsia="Calibri" w:hAnsi="Arial" w:cs="Arial"/>
          <w:b/>
          <w:lang w:val="es-ES_tradnl"/>
        </w:rPr>
        <w:t>obra pública de infraestructura s</w:t>
      </w:r>
      <w:r w:rsidRPr="00F03A3B">
        <w:rPr>
          <w:rFonts w:ascii="Arial" w:eastAsia="Calibri" w:hAnsi="Arial" w:cs="Arial"/>
          <w:b/>
          <w:bCs/>
          <w:lang w:val="es-ES_tradnl"/>
        </w:rPr>
        <w:t>ocial</w:t>
      </w:r>
    </w:p>
    <w:p w14:paraId="238ADFF1" w14:textId="77777777" w:rsidR="006E583B" w:rsidRPr="006E583B" w:rsidRDefault="006E583B" w:rsidP="006E583B">
      <w:pPr>
        <w:spacing w:after="0" w:line="276" w:lineRule="auto"/>
        <w:contextualSpacing/>
        <w:jc w:val="both"/>
        <w:rPr>
          <w:rFonts w:ascii="Arial" w:eastAsia="Calibri" w:hAnsi="Arial" w:cs="Arial"/>
          <w:b/>
          <w:bCs/>
          <w:lang w:val="es-ES" w:eastAsia="es-ES"/>
        </w:rPr>
      </w:pPr>
    </w:p>
    <w:p w14:paraId="21BDEBB5" w14:textId="530859E1" w:rsidR="006E583B" w:rsidRPr="006E583B" w:rsidRDefault="006E583B" w:rsidP="006E583B">
      <w:pPr>
        <w:spacing w:after="0" w:line="276" w:lineRule="auto"/>
        <w:contextualSpacing/>
        <w:jc w:val="both"/>
        <w:rPr>
          <w:rFonts w:ascii="Arial" w:hAnsi="Arial" w:cs="Arial"/>
          <w:lang w:val="es-ES"/>
        </w:rPr>
      </w:pPr>
      <w:r w:rsidRPr="006E583B">
        <w:rPr>
          <w:rFonts w:ascii="Arial" w:eastAsia="Calibri" w:hAnsi="Arial" w:cs="Arial"/>
        </w:rPr>
        <w:t xml:space="preserve">En desarrollo de la Ley 2022 de 2020, la Agencia Nacional de Contratación Pública – Colombia Compra Eficiente expidió la Resolución 219 </w:t>
      </w:r>
      <w:r w:rsidRPr="006E583B">
        <w:rPr>
          <w:rFonts w:ascii="Arial" w:hAnsi="Arial" w:cs="Arial"/>
          <w:bCs/>
          <w:lang w:eastAsia="es-ES_tradnl"/>
        </w:rPr>
        <w:t xml:space="preserve">del 6 de agosto </w:t>
      </w:r>
      <w:r w:rsidRPr="006E583B">
        <w:rPr>
          <w:rFonts w:ascii="Arial" w:eastAsia="Calibri" w:hAnsi="Arial" w:cs="Arial"/>
        </w:rPr>
        <w:t xml:space="preserve">de 2021, </w:t>
      </w:r>
      <w:r>
        <w:rPr>
          <w:rFonts w:ascii="Arial" w:eastAsia="Calibri" w:hAnsi="Arial" w:cs="Arial"/>
          <w:i/>
          <w:iCs/>
        </w:rPr>
        <w:t>“</w:t>
      </w:r>
      <w:r w:rsidRPr="006E583B">
        <w:rPr>
          <w:rFonts w:ascii="Arial" w:eastAsia="Calibri" w:hAnsi="Arial" w:cs="Arial"/>
          <w:i/>
          <w:iCs/>
        </w:rPr>
        <w:t>Por la cual se adoptan los documentos tipo para los procesos de licitación de obra pública de infraestructura social</w:t>
      </w:r>
      <w:r>
        <w:rPr>
          <w:rFonts w:ascii="Arial" w:eastAsia="Calibri" w:hAnsi="Arial" w:cs="Arial"/>
          <w:i/>
          <w:iCs/>
        </w:rPr>
        <w:t>”</w:t>
      </w:r>
      <w:r w:rsidRPr="006E583B">
        <w:rPr>
          <w:rFonts w:ascii="Arial" w:eastAsia="Calibri" w:hAnsi="Arial" w:cs="Arial"/>
        </w:rPr>
        <w:t xml:space="preserve">. Dentro </w:t>
      </w:r>
      <w:r w:rsidRPr="006E583B">
        <w:rPr>
          <w:rFonts w:ascii="Arial" w:eastAsia="Calibri" w:hAnsi="Arial" w:cs="Arial"/>
        </w:rPr>
        <w:lastRenderedPageBreak/>
        <w:t>de esta categoría fue incluida la infraestructura asociada a los sectores de la salud, el educativo y el de cultura, recreación y deporte,</w:t>
      </w:r>
      <w:r w:rsidRPr="006E583B">
        <w:rPr>
          <w:rFonts w:ascii="Arial" w:hAnsi="Arial" w:cs="Arial"/>
          <w:lang w:val="es-ES"/>
        </w:rPr>
        <w:t xml:space="preserve"> tal como lo establece el parágrafo 2 del artículo 2 de la resolución indicada, de la siguiente manera: </w:t>
      </w:r>
    </w:p>
    <w:p w14:paraId="0E08395A" w14:textId="77777777" w:rsidR="006E583B" w:rsidRPr="006E583B" w:rsidRDefault="006E583B" w:rsidP="006E583B">
      <w:pPr>
        <w:spacing w:after="0" w:line="276" w:lineRule="auto"/>
        <w:ind w:left="709" w:right="709"/>
        <w:contextualSpacing/>
        <w:jc w:val="both"/>
        <w:rPr>
          <w:rFonts w:ascii="Arial" w:hAnsi="Arial" w:cs="Arial"/>
          <w:sz w:val="21"/>
          <w:szCs w:val="21"/>
          <w:lang w:val="es-ES"/>
        </w:rPr>
      </w:pPr>
    </w:p>
    <w:p w14:paraId="6C8CE6D1" w14:textId="77777777" w:rsidR="006E583B" w:rsidRPr="006E583B" w:rsidRDefault="006E583B" w:rsidP="006E583B">
      <w:pPr>
        <w:spacing w:after="0" w:line="240" w:lineRule="auto"/>
        <w:ind w:left="709" w:right="709"/>
        <w:contextualSpacing/>
        <w:jc w:val="both"/>
        <w:rPr>
          <w:rFonts w:ascii="Arial" w:hAnsi="Arial" w:cs="Arial"/>
          <w:sz w:val="21"/>
          <w:szCs w:val="21"/>
          <w:lang w:val="es-ES"/>
        </w:rPr>
      </w:pPr>
      <w:r w:rsidRPr="006E583B">
        <w:rPr>
          <w:rFonts w:ascii="Arial" w:hAnsi="Arial" w:cs="Arial"/>
          <w:sz w:val="21"/>
          <w:szCs w:val="21"/>
          <w:lang w:val="es-ES"/>
        </w:rPr>
        <w:t xml:space="preserve">Estos documentos tipo aplicarán a los proyectos de infraestructura social, tales como, </w:t>
      </w:r>
      <w:r w:rsidRPr="006E583B">
        <w:rPr>
          <w:rFonts w:ascii="Arial" w:hAnsi="Arial" w:cs="Arial"/>
          <w:i/>
          <w:iCs/>
          <w:sz w:val="21"/>
          <w:szCs w:val="21"/>
          <w:lang w:val="es-ES"/>
        </w:rPr>
        <w:t>sector educativo, sector salud y sector cultural, recreación y deporte, de conformidad con cada una de las resoluciones que expida la Agencia Nacional de Contratación Pública -Colombia Compra Eficiente-</w:t>
      </w:r>
      <w:r w:rsidRPr="006E583B">
        <w:rPr>
          <w:rFonts w:ascii="Arial" w:hAnsi="Arial" w:cs="Arial"/>
          <w:sz w:val="21"/>
          <w:szCs w:val="21"/>
          <w:lang w:val="es-ES"/>
        </w:rPr>
        <w:t>, donde se precisará el alcance concreto de estos documentos tipo; sin perjuicio de que se incluyan otros tipos de infraestructura social. (Énfasis fuera del texto)</w:t>
      </w:r>
    </w:p>
    <w:p w14:paraId="747FD7CF" w14:textId="77777777" w:rsidR="006E583B" w:rsidRPr="006E583B" w:rsidRDefault="006E583B" w:rsidP="006E583B">
      <w:pPr>
        <w:spacing w:after="0" w:line="276" w:lineRule="auto"/>
        <w:ind w:firstLine="709"/>
        <w:contextualSpacing/>
        <w:jc w:val="both"/>
        <w:rPr>
          <w:rFonts w:ascii="Arial" w:hAnsi="Arial" w:cs="Arial"/>
          <w:lang w:val="es-ES"/>
        </w:rPr>
      </w:pPr>
    </w:p>
    <w:p w14:paraId="67871203" w14:textId="77777777" w:rsidR="006E583B" w:rsidRPr="006E583B" w:rsidRDefault="006E583B" w:rsidP="006E583B">
      <w:pPr>
        <w:spacing w:after="120" w:line="276" w:lineRule="auto"/>
        <w:ind w:firstLine="709"/>
        <w:jc w:val="both"/>
        <w:rPr>
          <w:rFonts w:ascii="Arial" w:hAnsi="Arial" w:cs="Arial"/>
          <w:lang w:val="es-ES"/>
        </w:rPr>
      </w:pPr>
      <w:r w:rsidRPr="006E583B">
        <w:rPr>
          <w:rFonts w:ascii="Arial" w:hAnsi="Arial" w:cs="Arial"/>
          <w:lang w:val="es-ES"/>
        </w:rPr>
        <w:t xml:space="preserve">Como puede observarse, la Resolución 219 de 2021 contiene un listado enunciativo de </w:t>
      </w:r>
      <w:bookmarkStart w:id="4" w:name="_Hlk104227355"/>
      <w:r w:rsidRPr="006E583B">
        <w:rPr>
          <w:rFonts w:ascii="Arial" w:hAnsi="Arial" w:cs="Arial"/>
          <w:lang w:val="es-ES"/>
        </w:rPr>
        <w:t xml:space="preserve">los sectores relacionados con los proyectos de infraestructura social a los cuales aplican los documentos tipo –educativo; salud; cultura, recreación y deporte–. </w:t>
      </w:r>
      <w:bookmarkEnd w:id="4"/>
      <w:r w:rsidRPr="006E583B">
        <w:rPr>
          <w:rFonts w:ascii="Arial" w:hAnsi="Arial" w:cs="Arial"/>
          <w:lang w:val="es-ES"/>
        </w:rPr>
        <w:t xml:space="preserve">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43CAF9FF" w14:textId="51C0A70B" w:rsidR="006E583B" w:rsidRPr="006E583B" w:rsidRDefault="006E583B" w:rsidP="006E583B">
      <w:pPr>
        <w:spacing w:after="120" w:line="276" w:lineRule="auto"/>
        <w:ind w:firstLine="709"/>
        <w:jc w:val="both"/>
        <w:rPr>
          <w:rFonts w:ascii="Arial" w:hAnsi="Arial" w:cs="Arial"/>
          <w:bCs/>
          <w:lang w:val="es-ES" w:eastAsia="es-ES_tradnl"/>
        </w:rPr>
      </w:pPr>
      <w:r w:rsidRPr="006E583B">
        <w:rPr>
          <w:rFonts w:ascii="Arial" w:hAnsi="Arial" w:cs="Arial"/>
          <w:lang w:val="es-ES"/>
        </w:rPr>
        <w:t>Así lo señala el parágrafo 3 del artículo 2, que dispone lo siguiente:</w:t>
      </w:r>
      <w:r w:rsidRPr="006E583B">
        <w:rPr>
          <w:rFonts w:ascii="Arial" w:eastAsia="Calibri" w:hAnsi="Arial" w:cs="Arial"/>
        </w:rPr>
        <w:t xml:space="preserve"> </w:t>
      </w:r>
      <w:r>
        <w:rPr>
          <w:rFonts w:ascii="Arial" w:eastAsia="Calibri" w:hAnsi="Arial" w:cs="Arial"/>
        </w:rPr>
        <w:t>“</w:t>
      </w:r>
      <w:r w:rsidRPr="006E583B">
        <w:rPr>
          <w:rFonts w:ascii="Arial" w:hAnsi="Arial"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Pr>
          <w:rFonts w:ascii="Arial" w:eastAsia="Calibri" w:hAnsi="Arial" w:cs="Arial"/>
        </w:rPr>
        <w:t>”</w:t>
      </w:r>
      <w:r w:rsidRPr="006E583B">
        <w:rPr>
          <w:rFonts w:ascii="Arial" w:eastAsia="Calibri" w:hAnsi="Arial" w:cs="Arial"/>
        </w:rPr>
        <w:t>.</w:t>
      </w:r>
      <w:r w:rsidRPr="006E583B">
        <w:rPr>
          <w:rFonts w:ascii="Arial" w:hAnsi="Arial" w:cs="Arial"/>
          <w:lang w:val="es-ES"/>
        </w:rPr>
        <w:t xml:space="preserve"> En concordancia, el </w:t>
      </w:r>
      <w:r>
        <w:rPr>
          <w:rFonts w:ascii="Arial" w:hAnsi="Arial" w:cs="Arial"/>
          <w:lang w:val="es-ES"/>
        </w:rPr>
        <w:t>“</w:t>
      </w:r>
      <w:r w:rsidRPr="006E583B">
        <w:rPr>
          <w:rFonts w:ascii="Arial" w:hAnsi="Arial" w:cs="Arial"/>
          <w:lang w:val="es-ES"/>
        </w:rPr>
        <w:t>Documento Base</w:t>
      </w:r>
      <w:r>
        <w:rPr>
          <w:rFonts w:ascii="Arial" w:hAnsi="Arial" w:cs="Arial"/>
          <w:lang w:val="es-ES"/>
        </w:rPr>
        <w:t>”</w:t>
      </w:r>
      <w:r w:rsidRPr="006E583B">
        <w:rPr>
          <w:rFonts w:ascii="Arial" w:hAnsi="Arial" w:cs="Arial"/>
          <w:lang w:val="es-ES"/>
        </w:rPr>
        <w:t xml:space="preserve"> de </w:t>
      </w:r>
      <w:r w:rsidRPr="006E583B">
        <w:rPr>
          <w:rFonts w:ascii="Arial" w:eastAsia="Calibri" w:hAnsi="Arial" w:cs="Arial"/>
        </w:rPr>
        <w:t>licitación de obra pública de infraestructura social</w:t>
      </w:r>
      <w:r w:rsidRPr="006E583B">
        <w:rPr>
          <w:rFonts w:ascii="Arial" w:hAnsi="Arial" w:cs="Arial"/>
          <w:vertAlign w:val="superscript"/>
          <w:lang w:val="es-ES"/>
        </w:rPr>
        <w:footnoteReference w:id="7"/>
      </w:r>
      <w:r w:rsidRPr="006E583B">
        <w:rPr>
          <w:rFonts w:ascii="Arial" w:eastAsia="Calibri" w:hAnsi="Arial" w:cs="Arial"/>
        </w:rPr>
        <w:t xml:space="preserve"> prescribe en la parte introductoria que </w:t>
      </w:r>
      <w:r>
        <w:rPr>
          <w:rFonts w:ascii="Arial" w:eastAsia="Calibri" w:hAnsi="Arial" w:cs="Arial"/>
        </w:rPr>
        <w:t>“</w:t>
      </w:r>
      <w:r w:rsidRPr="006E583B">
        <w:rPr>
          <w:rFonts w:ascii="Arial" w:hAnsi="Arial" w:cs="Arial"/>
          <w:bCs/>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Pr>
          <w:rFonts w:ascii="Arial" w:eastAsia="Calibri" w:hAnsi="Arial" w:cs="Arial"/>
        </w:rPr>
        <w:t>“</w:t>
      </w:r>
      <w:r w:rsidRPr="006E583B">
        <w:rPr>
          <w:rFonts w:ascii="Arial" w:eastAsia="Calibri" w:hAnsi="Arial" w:cs="Arial"/>
        </w:rPr>
        <w:t>.</w:t>
      </w:r>
    </w:p>
    <w:p w14:paraId="5CE57D9B" w14:textId="77777777" w:rsidR="006E583B" w:rsidRPr="006E583B" w:rsidRDefault="006E583B" w:rsidP="006E583B">
      <w:pPr>
        <w:spacing w:after="120" w:line="276" w:lineRule="auto"/>
        <w:ind w:firstLine="709"/>
        <w:jc w:val="both"/>
        <w:rPr>
          <w:rFonts w:ascii="Arial" w:hAnsi="Arial" w:cs="Arial"/>
          <w:lang w:val="es-ES"/>
        </w:rPr>
      </w:pPr>
      <w:bookmarkStart w:id="5" w:name="_Hlk103955412"/>
      <w:r w:rsidRPr="006E583B">
        <w:rPr>
          <w:rFonts w:ascii="Arial" w:hAnsi="Arial" w:cs="Arial"/>
          <w:bCs/>
          <w:lang w:val="es-ES" w:eastAsia="es-ES_tradnl"/>
        </w:rPr>
        <w:t xml:space="preserve">Cabe anotar que </w:t>
      </w:r>
      <w:r w:rsidRPr="006E583B">
        <w:rPr>
          <w:rFonts w:ascii="Arial" w:hAnsi="Arial" w:cs="Arial"/>
          <w:bCs/>
          <w:lang w:eastAsia="es-ES_tradnl"/>
        </w:rPr>
        <w:t xml:space="preserve">la Resolución 219 del 6 de agosto de 2021 contiene los documentos tipo que aplican </w:t>
      </w:r>
      <w:r w:rsidRPr="006E583B">
        <w:rPr>
          <w:rFonts w:ascii="Arial" w:hAnsi="Arial" w:cs="Arial"/>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6B109892" w14:textId="7784D047" w:rsidR="006E583B" w:rsidRPr="006E583B" w:rsidRDefault="006E583B" w:rsidP="006E583B">
      <w:pPr>
        <w:spacing w:after="120" w:line="276" w:lineRule="auto"/>
        <w:ind w:firstLine="709"/>
        <w:jc w:val="both"/>
        <w:rPr>
          <w:rFonts w:ascii="Arial" w:hAnsi="Arial" w:cs="Arial"/>
          <w:lang w:val="es-ES"/>
        </w:rPr>
      </w:pPr>
      <w:r w:rsidRPr="006E583B">
        <w:rPr>
          <w:rFonts w:ascii="Arial" w:hAnsi="Arial" w:cs="Arial"/>
          <w:lang w:val="es-ES"/>
        </w:rPr>
        <w:t xml:space="preserve">En consecuencia, en materia de infraestructura social debe tenerse en cuenta que existen dos (2) clases de documentos tipo que se integran en cada proceso: i) los documentos </w:t>
      </w:r>
      <w:r w:rsidRPr="006E583B">
        <w:rPr>
          <w:rFonts w:ascii="Arial" w:hAnsi="Arial" w:cs="Arial"/>
          <w:i/>
          <w:lang w:val="es-ES"/>
        </w:rPr>
        <w:t>transversales</w:t>
      </w:r>
      <w:r w:rsidRPr="006E583B">
        <w:rPr>
          <w:rFonts w:ascii="Arial" w:hAnsi="Arial" w:cs="Arial"/>
          <w:lang w:val="es-ES"/>
        </w:rPr>
        <w:t xml:space="preserve"> a todos los sectores de infraestructura social, es decir, el documento base, los anexos, los formatos, los formularios y las matrices adoptados mediante la Resolución No. 219 </w:t>
      </w:r>
      <w:r w:rsidRPr="006E583B">
        <w:rPr>
          <w:rFonts w:ascii="Arial" w:hAnsi="Arial" w:cs="Arial"/>
          <w:lang w:val="es-ES"/>
        </w:rPr>
        <w:lastRenderedPageBreak/>
        <w:t xml:space="preserve">de 2021; y ii) los documentos tipo </w:t>
      </w:r>
      <w:r w:rsidRPr="006E583B">
        <w:rPr>
          <w:rFonts w:ascii="Arial" w:hAnsi="Arial" w:cs="Arial"/>
          <w:i/>
          <w:lang w:val="es-ES"/>
        </w:rPr>
        <w:t>complementarios</w:t>
      </w:r>
      <w:r w:rsidRPr="006E583B">
        <w:rPr>
          <w:rFonts w:ascii="Arial" w:hAnsi="Arial" w:cs="Arial"/>
          <w:iCs/>
          <w:lang w:val="es-ES"/>
        </w:rPr>
        <w:t>,</w:t>
      </w:r>
      <w:r w:rsidRPr="006E583B">
        <w:rPr>
          <w:rFonts w:ascii="Arial" w:hAnsi="Arial" w:cs="Arial"/>
          <w:i/>
          <w:lang w:val="es-ES"/>
        </w:rPr>
        <w:t xml:space="preserve"> </w:t>
      </w:r>
      <w:r w:rsidRPr="006E583B">
        <w:rPr>
          <w:rFonts w:ascii="Arial" w:hAnsi="Arial" w:cs="Arial"/>
          <w:lang w:val="es-ES"/>
        </w:rPr>
        <w:t>referentes a la matriz de experiencia y el glosario, los cuales han sido adoptados en la resolución para cada sector específico.</w:t>
      </w:r>
      <w:r w:rsidRPr="006E583B">
        <w:rPr>
          <w:rFonts w:ascii="Arial" w:eastAsia="Calibri" w:hAnsi="Arial" w:cs="Arial"/>
          <w:lang w:val="es-ES" w:eastAsia="es-ES"/>
        </w:rPr>
        <w:t xml:space="preserve"> En este orden de ideas, la Agencia ha expedido tres documentos tipo complementarios de infraestructura social: la Resolución 220 del 6 de agosto de 2021, </w:t>
      </w:r>
      <w:r>
        <w:rPr>
          <w:rFonts w:ascii="Arial" w:eastAsia="Calibri" w:hAnsi="Arial" w:cs="Arial"/>
          <w:lang w:val="es-ES" w:eastAsia="es-ES"/>
        </w:rPr>
        <w:t>“</w:t>
      </w:r>
      <w:r w:rsidRPr="006E583B">
        <w:rPr>
          <w:rFonts w:ascii="Arial" w:eastAsia="Calibri" w:hAnsi="Arial" w:cs="Arial"/>
          <w:lang w:val="es-ES" w:eastAsia="es-ES"/>
        </w:rPr>
        <w:t>Por la cual se adoptan los documentos tipo complementarios para los procesos de licitación de obra pública de infraestructura social relacionados con el sector educativo</w:t>
      </w:r>
      <w:r>
        <w:rPr>
          <w:rFonts w:ascii="Arial" w:eastAsia="Calibri" w:hAnsi="Arial" w:cs="Arial"/>
          <w:lang w:val="es-ES" w:eastAsia="es-ES"/>
        </w:rPr>
        <w:t>”</w:t>
      </w:r>
      <w:r w:rsidRPr="006E583B">
        <w:rPr>
          <w:rFonts w:ascii="Arial" w:eastAsia="Calibri" w:hAnsi="Arial" w:cs="Arial"/>
          <w:lang w:val="es-ES" w:eastAsia="es-ES"/>
        </w:rPr>
        <w:t xml:space="preserve">; la Resolución 392 de 2021 del 18 de noviembre de 2021, </w:t>
      </w:r>
      <w:r>
        <w:rPr>
          <w:rFonts w:ascii="Arial" w:eastAsia="Calibri" w:hAnsi="Arial" w:cs="Arial"/>
          <w:lang w:val="es-ES" w:eastAsia="es-ES"/>
        </w:rPr>
        <w:t>“</w:t>
      </w:r>
      <w:r w:rsidRPr="006E583B">
        <w:rPr>
          <w:rFonts w:ascii="Arial" w:eastAsia="Calibri" w:hAnsi="Arial" w:cs="Arial"/>
          <w:lang w:val="es-ES" w:eastAsia="es-ES"/>
        </w:rPr>
        <w:t>Por la cual se adoptan los documentos tipo complementarios para los procesos de licitación de obra pública de infraestructura social relacionados con el sector salud</w:t>
      </w:r>
      <w:r>
        <w:rPr>
          <w:rFonts w:ascii="Arial" w:eastAsia="Calibri" w:hAnsi="Arial" w:cs="Arial"/>
          <w:lang w:val="es-ES" w:eastAsia="es-ES"/>
        </w:rPr>
        <w:t>”</w:t>
      </w:r>
      <w:r w:rsidRPr="006E583B">
        <w:rPr>
          <w:rFonts w:ascii="Arial" w:eastAsia="Calibri" w:hAnsi="Arial" w:cs="Arial"/>
          <w:lang w:val="es-ES" w:eastAsia="es-ES"/>
        </w:rPr>
        <w:t xml:space="preserve"> y la Resolución 454 de 2021 del 16 de diciembre de 2021, </w:t>
      </w:r>
      <w:r>
        <w:rPr>
          <w:rFonts w:ascii="Arial" w:eastAsia="Calibri" w:hAnsi="Arial" w:cs="Arial"/>
          <w:lang w:val="es-ES" w:eastAsia="es-ES"/>
        </w:rPr>
        <w:t>“</w:t>
      </w:r>
      <w:r w:rsidRPr="006E583B">
        <w:rPr>
          <w:rFonts w:ascii="Arial" w:eastAsia="Calibri" w:hAnsi="Arial" w:cs="Arial"/>
          <w:lang w:val="es-ES" w:eastAsia="es-ES"/>
        </w:rPr>
        <w:t>Por la cual se adoptan los documentos tipo complementarios para los procesos de licitación de obra pública de infraestructura social relacionados con el Sector cultura, recreación y deporte</w:t>
      </w:r>
      <w:r>
        <w:rPr>
          <w:rFonts w:ascii="Arial" w:eastAsia="Calibri" w:hAnsi="Arial" w:cs="Arial"/>
          <w:lang w:val="es-ES" w:eastAsia="es-ES"/>
        </w:rPr>
        <w:t>”</w:t>
      </w:r>
      <w:r w:rsidRPr="006E583B">
        <w:rPr>
          <w:rFonts w:ascii="Arial" w:eastAsia="Calibri" w:hAnsi="Arial" w:cs="Arial"/>
          <w:lang w:val="es-ES" w:eastAsia="es-ES"/>
        </w:rPr>
        <w:t>.</w:t>
      </w:r>
    </w:p>
    <w:bookmarkEnd w:id="5"/>
    <w:p w14:paraId="76B9FD24" w14:textId="214A181A" w:rsidR="006E583B" w:rsidRPr="006E583B" w:rsidRDefault="006E583B" w:rsidP="006E583B">
      <w:pPr>
        <w:spacing w:after="120" w:line="276" w:lineRule="auto"/>
        <w:ind w:firstLine="709"/>
        <w:jc w:val="both"/>
        <w:rPr>
          <w:rFonts w:ascii="Arial" w:eastAsia="Calibri" w:hAnsi="Arial" w:cs="Arial"/>
          <w:lang w:val="es-ES" w:eastAsia="es-ES"/>
        </w:rPr>
      </w:pPr>
      <w:r w:rsidRPr="006E583B">
        <w:rPr>
          <w:rFonts w:ascii="Arial" w:eastAsia="Calibri" w:hAnsi="Arial" w:cs="Arial"/>
          <w:lang w:val="es-ES" w:eastAsia="es-ES"/>
        </w:rPr>
        <w:t xml:space="preserve">Debe destacarse que, en principio, las Resoluciones 219 y 220 del 6 de agosto de 2021 señalaban como fecha de inicio de implementación de estos documentos tipo el 30 de agosto de 2021. No obstante, diferentes entidades de los sectores involucrados, solicitaron a esta Agencia el aplazamiento de dicha fecha de aplicación, con el propósito de generar una mejor aproximación, apropiación y capacitación sobre el contenido de estos documentos, motivo por el cual se expidió la Resolución 261 del 27 de agosto de 2021, la cual aplazó la aplicación obligatoria de los documentos tipo de obra pública de infraestructura social y los complementarios del sector educativo para aquellos procesos </w:t>
      </w:r>
      <w:r>
        <w:rPr>
          <w:rFonts w:ascii="Arial" w:eastAsia="Calibri" w:hAnsi="Arial" w:cs="Arial"/>
          <w:lang w:val="es-ES" w:eastAsia="es-ES"/>
        </w:rPr>
        <w:t>“</w:t>
      </w:r>
      <w:r w:rsidRPr="006E583B">
        <w:rPr>
          <w:rFonts w:ascii="Arial" w:eastAsia="Calibri" w:hAnsi="Arial" w:cs="Arial"/>
          <w:lang w:val="es-ES" w:eastAsia="es-ES"/>
        </w:rPr>
        <w:t>[…] cuyo aviso de convocatoria sea publicado a partir del 2 de noviembre del 2021</w:t>
      </w:r>
      <w:r>
        <w:rPr>
          <w:rFonts w:ascii="Arial" w:eastAsia="Calibri" w:hAnsi="Arial" w:cs="Arial"/>
          <w:lang w:val="es-ES" w:eastAsia="es-ES"/>
        </w:rPr>
        <w:t>”</w:t>
      </w:r>
      <w:r w:rsidRPr="006E583B">
        <w:rPr>
          <w:rFonts w:ascii="Arial" w:eastAsia="Calibri" w:hAnsi="Arial" w:cs="Arial"/>
          <w:lang w:val="es-ES" w:eastAsia="es-ES"/>
        </w:rPr>
        <w:t>.</w:t>
      </w:r>
    </w:p>
    <w:p w14:paraId="583141B1" w14:textId="77777777" w:rsidR="006E583B" w:rsidRPr="006E583B" w:rsidRDefault="006E583B" w:rsidP="006E583B">
      <w:pPr>
        <w:spacing w:before="120" w:after="0" w:line="276" w:lineRule="auto"/>
        <w:ind w:firstLine="709"/>
        <w:contextualSpacing/>
        <w:jc w:val="both"/>
        <w:rPr>
          <w:rFonts w:ascii="Arial" w:eastAsia="Calibri" w:hAnsi="Arial" w:cs="Arial"/>
          <w:lang w:val="es-ES" w:eastAsia="es-ES"/>
        </w:rPr>
      </w:pPr>
      <w:r w:rsidRPr="006E583B">
        <w:rPr>
          <w:rFonts w:ascii="Arial" w:eastAsia="Calibri" w:hAnsi="Arial" w:cs="Arial"/>
          <w:lang w:val="es-ES" w:eastAsia="es-ES"/>
        </w:rPr>
        <w:t>Sin embargo, el 2 de noviembre de 2021 se expidió la Resolución 336 de 2021, “Por la cual se aplaza y se dispone la implementación gradual y progresiva de los Documentos tipo de obra pública de infraestructura social”, aplicable para los tres documentos tipo complementarios que se han expedido. En su artículo 1 se establece:</w:t>
      </w:r>
    </w:p>
    <w:p w14:paraId="74B207A0" w14:textId="77777777" w:rsidR="006E583B" w:rsidRPr="006E583B" w:rsidRDefault="006E583B" w:rsidP="006E583B">
      <w:pPr>
        <w:spacing w:after="0" w:line="276" w:lineRule="auto"/>
        <w:ind w:firstLine="708"/>
        <w:contextualSpacing/>
        <w:jc w:val="both"/>
        <w:rPr>
          <w:rFonts w:ascii="Arial" w:eastAsia="Calibri" w:hAnsi="Arial" w:cs="Arial"/>
          <w:lang w:val="es-ES" w:eastAsia="es-ES"/>
        </w:rPr>
      </w:pPr>
    </w:p>
    <w:p w14:paraId="6CDB8DA4" w14:textId="780AA863" w:rsidR="006E583B" w:rsidRPr="006E583B" w:rsidRDefault="006E583B" w:rsidP="006E583B">
      <w:pPr>
        <w:spacing w:after="0" w:line="240" w:lineRule="auto"/>
        <w:ind w:left="709" w:right="1327"/>
        <w:contextualSpacing/>
        <w:jc w:val="both"/>
        <w:rPr>
          <w:rFonts w:ascii="Arial" w:eastAsia="Calibri" w:hAnsi="Arial" w:cs="Arial"/>
          <w:sz w:val="21"/>
          <w:szCs w:val="21"/>
          <w:lang w:val="es-ES" w:eastAsia="es-ES"/>
        </w:rPr>
      </w:pPr>
      <w:r>
        <w:rPr>
          <w:rFonts w:ascii="Arial" w:eastAsia="Calibri" w:hAnsi="Arial" w:cs="Arial"/>
          <w:sz w:val="21"/>
          <w:szCs w:val="21"/>
          <w:lang w:val="es-ES" w:eastAsia="es-ES"/>
        </w:rPr>
        <w:t>“</w:t>
      </w:r>
      <w:r w:rsidRPr="006E583B">
        <w:rPr>
          <w:rFonts w:ascii="Arial" w:eastAsia="Calibri" w:hAnsi="Arial" w:cs="Arial"/>
          <w:sz w:val="21"/>
          <w:szCs w:val="21"/>
          <w:lang w:val="es-ES" w:eastAsia="es-ES"/>
        </w:rPr>
        <w:t>Artículo 1.  Modifíquese el artículo 6 de la Resolución 219 del 6 de agosto de 2021.  Modifíquese el artículo 6 de la Resolución 219 del 6 de agosto de 2021, modificado por la Resolución 261 del 27 de agosto de 2021, por medio de la cual se expidieron los documentos tipo para procesos de licitación de obra pública de infraestructura social, en los siguientes términos:</w:t>
      </w:r>
    </w:p>
    <w:p w14:paraId="3DD5CAFC"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p>
    <w:p w14:paraId="4DD8E982"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r w:rsidRPr="006E583B">
        <w:rPr>
          <w:rFonts w:ascii="Arial" w:eastAsia="Calibri" w:hAnsi="Arial" w:cs="Arial"/>
          <w:sz w:val="21"/>
          <w:szCs w:val="21"/>
          <w:lang w:val="es-ES" w:eastAsia="es-ES"/>
        </w:rPr>
        <w:t>“Artículo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1582F067"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p>
    <w:p w14:paraId="5B4D6088"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r w:rsidRPr="006E583B">
        <w:rPr>
          <w:rFonts w:ascii="Arial" w:eastAsia="Calibri" w:hAnsi="Arial" w:cs="Arial"/>
          <w:sz w:val="21"/>
          <w:szCs w:val="21"/>
          <w:lang w:val="es-ES" w:eastAsia="es-ES"/>
        </w:rPr>
        <w:t>1. Las entidades de los sectores central y descentralizado de la Rama Ejecutiva del orden nacional deberán aplicar lo dispuesto en esta resolución en los procedimientos de selección de licitación de obra pública de infraestructura social, cuyo aviso de convocatoria sea publicado a partir del 2 de noviembre de 2021.</w:t>
      </w:r>
    </w:p>
    <w:p w14:paraId="427D1553"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p>
    <w:p w14:paraId="53A7FBC6"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r w:rsidRPr="006E583B">
        <w:rPr>
          <w:rFonts w:ascii="Arial" w:eastAsia="Calibri" w:hAnsi="Arial" w:cs="Arial"/>
          <w:sz w:val="21"/>
          <w:szCs w:val="21"/>
          <w:lang w:val="es-ES" w:eastAsia="es-ES"/>
        </w:rPr>
        <w:t xml:space="preserve">2.Las entidades del sector central y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6E72C6F9"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p>
    <w:p w14:paraId="44483BD0"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r w:rsidRPr="006E583B">
        <w:rPr>
          <w:rFonts w:ascii="Arial" w:eastAsia="Calibri" w:hAnsi="Arial" w:cs="Arial"/>
          <w:sz w:val="21"/>
          <w:szCs w:val="21"/>
          <w:lang w:val="es-ES" w:eastAsia="es-ES"/>
        </w:rPr>
        <w:t xml:space="preserve">3. Las entidades del sector central y del sector descentralizado del nivel departamental, así como las de los municipios de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222B700F"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p>
    <w:p w14:paraId="7776AC96"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r w:rsidRPr="006E583B">
        <w:rPr>
          <w:rFonts w:ascii="Arial" w:eastAsia="Calibri" w:hAnsi="Arial" w:cs="Arial"/>
          <w:sz w:val="21"/>
          <w:szCs w:val="21"/>
          <w:lang w:val="es-ES" w:eastAsia="es-ES"/>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1EC7FF17" w14:textId="77777777"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p>
    <w:p w14:paraId="7991CDEC" w14:textId="26083B45" w:rsidR="006E583B" w:rsidRPr="006E583B" w:rsidRDefault="006E583B" w:rsidP="006E583B">
      <w:pPr>
        <w:spacing w:after="0" w:line="240" w:lineRule="auto"/>
        <w:ind w:left="708" w:right="1325"/>
        <w:contextualSpacing/>
        <w:jc w:val="both"/>
        <w:rPr>
          <w:rFonts w:ascii="Arial" w:eastAsia="Calibri" w:hAnsi="Arial" w:cs="Arial"/>
          <w:sz w:val="21"/>
          <w:szCs w:val="21"/>
          <w:lang w:val="es-ES" w:eastAsia="es-ES"/>
        </w:rPr>
      </w:pPr>
      <w:r w:rsidRPr="006E583B">
        <w:rPr>
          <w:rFonts w:ascii="Arial" w:eastAsia="Calibri" w:hAnsi="Arial" w:cs="Arial"/>
          <w:sz w:val="21"/>
          <w:szCs w:val="21"/>
          <w:lang w:val="es-ES" w:eastAsia="es-ES"/>
        </w:rPr>
        <w:t>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r>
        <w:rPr>
          <w:rFonts w:ascii="Arial" w:eastAsia="Calibri" w:hAnsi="Arial" w:cs="Arial"/>
          <w:sz w:val="21"/>
          <w:szCs w:val="21"/>
          <w:lang w:val="es-ES" w:eastAsia="es-ES"/>
        </w:rPr>
        <w:t>”</w:t>
      </w:r>
    </w:p>
    <w:p w14:paraId="6995DC41" w14:textId="77777777" w:rsidR="006E583B" w:rsidRPr="006E583B" w:rsidRDefault="006E583B" w:rsidP="006E583B">
      <w:pPr>
        <w:spacing w:after="0" w:line="276" w:lineRule="auto"/>
        <w:contextualSpacing/>
        <w:jc w:val="both"/>
        <w:rPr>
          <w:rFonts w:ascii="Arial" w:eastAsia="Calibri" w:hAnsi="Arial" w:cs="Arial"/>
          <w:lang w:val="es-ES" w:eastAsia="es-ES"/>
        </w:rPr>
      </w:pPr>
    </w:p>
    <w:p w14:paraId="352F9DD4" w14:textId="562C36B2" w:rsidR="006E583B" w:rsidRPr="006E583B" w:rsidRDefault="006E583B" w:rsidP="006E583B">
      <w:pPr>
        <w:spacing w:after="0" w:line="276" w:lineRule="auto"/>
        <w:ind w:firstLine="708"/>
        <w:contextualSpacing/>
        <w:jc w:val="both"/>
        <w:rPr>
          <w:rFonts w:ascii="Arial" w:eastAsia="Times New Roman" w:hAnsi="Arial" w:cs="Arial"/>
          <w:lang w:val="es-ES_tradnl" w:eastAsia="es-ES"/>
        </w:rPr>
      </w:pPr>
      <w:r w:rsidRPr="006E583B">
        <w:rPr>
          <w:rFonts w:ascii="Arial" w:eastAsia="Times New Roman" w:hAnsi="Arial" w:cs="Arial"/>
          <w:lang w:val="es-ES_tradnl" w:eastAsia="es-ES"/>
        </w:rPr>
        <w:t xml:space="preserve">En este contexto, sobre la base de las reglas de vigencia de los documentos tipo de infraestructura social transversales y los tres documentos tipo complementarios expedidos, es importante resaltar que, de conformidad con el parágrafo 2 de la Resolución 219 de 2021 los documentos tipo de infraestructura social </w:t>
      </w:r>
      <w:r>
        <w:rPr>
          <w:rFonts w:ascii="Arial" w:eastAsia="Times New Roman" w:hAnsi="Arial" w:cs="Arial"/>
          <w:lang w:val="es-ES_tradnl" w:eastAsia="es-ES"/>
        </w:rPr>
        <w:t>“</w:t>
      </w:r>
      <w:r w:rsidRPr="006E583B">
        <w:rPr>
          <w:rFonts w:ascii="Arial" w:eastAsia="Times New Roman" w:hAnsi="Arial" w:cs="Arial"/>
          <w:lang w:val="es-ES_tradnl" w:eastAsia="es-ES"/>
        </w:rPr>
        <w:t>[…]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r>
        <w:rPr>
          <w:rFonts w:ascii="Arial" w:eastAsia="Times New Roman" w:hAnsi="Arial" w:cs="Arial"/>
          <w:lang w:val="es-ES_tradnl" w:eastAsia="es-ES"/>
        </w:rPr>
        <w:t>”</w:t>
      </w:r>
      <w:r w:rsidRPr="006E583B">
        <w:rPr>
          <w:rFonts w:ascii="Arial" w:eastAsia="Times New Roman" w:hAnsi="Arial" w:cs="Arial"/>
          <w:lang w:val="es-ES_tradnl" w:eastAsia="es-ES"/>
        </w:rPr>
        <w:t>.</w:t>
      </w:r>
    </w:p>
    <w:p w14:paraId="7EC69D49" w14:textId="77777777" w:rsidR="006E583B" w:rsidRDefault="006E583B" w:rsidP="006E583B">
      <w:pPr>
        <w:spacing w:after="0" w:line="276" w:lineRule="auto"/>
        <w:ind w:firstLine="708"/>
        <w:contextualSpacing/>
        <w:jc w:val="both"/>
        <w:rPr>
          <w:rFonts w:ascii="Arial" w:eastAsia="Times New Roman" w:hAnsi="Arial" w:cs="Arial"/>
          <w:lang w:val="es-ES_tradnl" w:eastAsia="es-ES"/>
        </w:rPr>
      </w:pPr>
    </w:p>
    <w:p w14:paraId="78C30442" w14:textId="41EE52EF" w:rsidR="00FF4245" w:rsidRDefault="009D19B1" w:rsidP="006E583B">
      <w:pPr>
        <w:spacing w:after="0" w:line="276" w:lineRule="auto"/>
        <w:ind w:firstLine="708"/>
        <w:contextualSpacing/>
        <w:jc w:val="both"/>
        <w:rPr>
          <w:rFonts w:ascii="Arial" w:eastAsia="Times New Roman" w:hAnsi="Arial" w:cs="Arial"/>
          <w:lang w:val="es-ES_tradnl" w:eastAsia="es-ES"/>
        </w:rPr>
      </w:pPr>
      <w:r>
        <w:rPr>
          <w:rFonts w:ascii="Arial" w:eastAsia="Times New Roman" w:hAnsi="Arial" w:cs="Arial"/>
          <w:lang w:val="es-ES_tradnl" w:eastAsia="es-ES"/>
        </w:rPr>
        <w:t xml:space="preserve">Ahora bien, conforme a la consulta planteada, resulta pertinente hacer mención a lo consagrado </w:t>
      </w:r>
      <w:r w:rsidR="00B50112">
        <w:rPr>
          <w:rFonts w:ascii="Arial" w:eastAsia="Times New Roman" w:hAnsi="Arial" w:cs="Arial"/>
          <w:lang w:val="es-ES_tradnl" w:eastAsia="es-ES"/>
        </w:rPr>
        <w:t xml:space="preserve">en el numeral </w:t>
      </w:r>
      <w:r w:rsidR="00C9734C">
        <w:rPr>
          <w:rFonts w:ascii="Arial" w:eastAsia="Times New Roman" w:hAnsi="Arial" w:cs="Arial"/>
          <w:lang w:val="es-ES_tradnl" w:eastAsia="es-ES"/>
        </w:rPr>
        <w:t>4.3</w:t>
      </w:r>
      <w:r w:rsidR="002810D3">
        <w:rPr>
          <w:rFonts w:ascii="Arial" w:eastAsia="Times New Roman" w:hAnsi="Arial" w:cs="Arial"/>
          <w:lang w:val="es-ES_tradnl" w:eastAsia="es-ES"/>
        </w:rPr>
        <w:t xml:space="preserve">, del documento base </w:t>
      </w:r>
      <w:r w:rsidR="004B43FC">
        <w:rPr>
          <w:rFonts w:ascii="Arial" w:eastAsia="Times New Roman" w:hAnsi="Arial" w:cs="Arial"/>
          <w:lang w:val="es-ES_tradnl" w:eastAsia="es-ES"/>
        </w:rPr>
        <w:t>de Licitación de Obra Pública de Infraestructura Social,</w:t>
      </w:r>
      <w:r w:rsidR="00DD0265">
        <w:rPr>
          <w:rFonts w:ascii="Arial" w:eastAsia="Times New Roman" w:hAnsi="Arial" w:cs="Arial"/>
          <w:lang w:val="es-ES_tradnl" w:eastAsia="es-ES"/>
        </w:rPr>
        <w:t xml:space="preserve"> sobre </w:t>
      </w:r>
      <w:r w:rsidR="003235F0" w:rsidRPr="00F03A3B">
        <w:rPr>
          <w:rFonts w:ascii="Arial" w:eastAsia="Times New Roman" w:hAnsi="Arial" w:cs="Arial"/>
          <w:u w:val="single"/>
          <w:lang w:val="es-ES_tradnl" w:eastAsia="es-ES"/>
        </w:rPr>
        <w:t xml:space="preserve">los factores de </w:t>
      </w:r>
      <w:r w:rsidR="00825CE1" w:rsidRPr="00F03A3B">
        <w:rPr>
          <w:rFonts w:ascii="Arial" w:eastAsia="Times New Roman" w:hAnsi="Arial" w:cs="Arial"/>
          <w:u w:val="single"/>
          <w:lang w:val="es-ES_tradnl" w:eastAsia="es-ES"/>
        </w:rPr>
        <w:t>sostenibilidad técnico ambiental</w:t>
      </w:r>
      <w:r w:rsidR="00825CE1">
        <w:rPr>
          <w:rFonts w:ascii="Arial" w:eastAsia="Times New Roman" w:hAnsi="Arial" w:cs="Arial"/>
          <w:lang w:val="es-ES_tradnl" w:eastAsia="es-ES"/>
        </w:rPr>
        <w:t xml:space="preserve"> agregado</w:t>
      </w:r>
      <w:r w:rsidR="00BE5C28">
        <w:rPr>
          <w:rFonts w:ascii="Arial" w:eastAsia="Times New Roman" w:hAnsi="Arial" w:cs="Arial"/>
          <w:lang w:val="es-ES_tradnl" w:eastAsia="es-ES"/>
        </w:rPr>
        <w:t xml:space="preserve">, al respecto el documento base señala lo siguiente: </w:t>
      </w:r>
    </w:p>
    <w:p w14:paraId="3A7A6C3E" w14:textId="77777777" w:rsidR="00BE5C28" w:rsidRDefault="00BE5C28" w:rsidP="006E583B">
      <w:pPr>
        <w:spacing w:after="0" w:line="276" w:lineRule="auto"/>
        <w:ind w:firstLine="708"/>
        <w:contextualSpacing/>
        <w:jc w:val="both"/>
        <w:rPr>
          <w:rFonts w:ascii="Arial" w:eastAsia="Times New Roman" w:hAnsi="Arial" w:cs="Arial"/>
          <w:lang w:val="es-ES_tradnl" w:eastAsia="es-ES"/>
        </w:rPr>
      </w:pPr>
    </w:p>
    <w:p w14:paraId="5895D464" w14:textId="77777777" w:rsidR="00672552" w:rsidRDefault="00672552" w:rsidP="00672552">
      <w:pPr>
        <w:spacing w:after="0" w:line="240" w:lineRule="auto"/>
        <w:ind w:left="708" w:right="1325"/>
        <w:contextualSpacing/>
        <w:jc w:val="both"/>
        <w:rPr>
          <w:rFonts w:ascii="Arial" w:eastAsia="Calibri" w:hAnsi="Arial" w:cs="Arial"/>
          <w:sz w:val="21"/>
          <w:szCs w:val="21"/>
          <w:lang w:val="es-ES" w:eastAsia="es-ES"/>
        </w:rPr>
      </w:pPr>
      <w:r w:rsidRPr="00F03A3B">
        <w:rPr>
          <w:rFonts w:ascii="Arial" w:eastAsia="Calibri" w:hAnsi="Arial" w:cs="Arial"/>
          <w:sz w:val="21"/>
          <w:szCs w:val="21"/>
          <w:lang w:val="es-ES" w:eastAsia="es-ES"/>
        </w:rPr>
        <w:lastRenderedPageBreak/>
        <w:t xml:space="preserve">[La Entidad analizará la pertinencia de establecer uno (1) o dos (2) de los siguientes factores técnico-ambientales agregados, asociados con el proyecto de infraestructura social, distribuyendo el puntaje total de nueve (9) puntos entre los factores escogidos. En caso de que no se considere procedente ninguno de los mismos, la Entidad dejará la constancia del análisis realizado y la improcedencia de estos, en el Estudio Previo, ya sea por causas atribuibles al </w:t>
      </w:r>
      <w:r w:rsidRPr="00F03A3B">
        <w:rPr>
          <w:rFonts w:ascii="Arial" w:eastAsia="Calibri" w:hAnsi="Arial" w:cs="Arial"/>
          <w:b/>
          <w:bCs/>
          <w:sz w:val="21"/>
          <w:szCs w:val="21"/>
          <w:u w:val="single"/>
          <w:lang w:val="es-ES" w:eastAsia="es-ES"/>
        </w:rPr>
        <w:t>espacio físico</w:t>
      </w:r>
      <w:r w:rsidRPr="00F03A3B">
        <w:rPr>
          <w:rFonts w:ascii="Arial" w:eastAsia="Calibri" w:hAnsi="Arial" w:cs="Arial"/>
          <w:sz w:val="21"/>
          <w:szCs w:val="21"/>
          <w:lang w:val="es-ES" w:eastAsia="es-ES"/>
        </w:rPr>
        <w:t xml:space="preserve"> en el predio, zonas verdes, o los aspectos directamente relacionados con el predio en el cual se desarrollará la obra pública. </w:t>
      </w:r>
    </w:p>
    <w:p w14:paraId="1FA87976" w14:textId="77777777" w:rsidR="0088159D" w:rsidRPr="00F03A3B" w:rsidRDefault="0088159D" w:rsidP="00F03A3B">
      <w:pPr>
        <w:spacing w:after="0" w:line="240" w:lineRule="auto"/>
        <w:ind w:right="1325"/>
        <w:contextualSpacing/>
        <w:jc w:val="both"/>
        <w:rPr>
          <w:rFonts w:ascii="Arial" w:eastAsia="Calibri" w:hAnsi="Arial" w:cs="Arial"/>
          <w:sz w:val="21"/>
          <w:szCs w:val="21"/>
          <w:lang w:val="es-ES" w:eastAsia="es-ES"/>
        </w:rPr>
      </w:pPr>
    </w:p>
    <w:p w14:paraId="4A8482DF" w14:textId="77777777" w:rsidR="00672552" w:rsidRPr="00672552" w:rsidRDefault="00672552" w:rsidP="00672552">
      <w:pPr>
        <w:spacing w:after="0" w:line="276" w:lineRule="auto"/>
        <w:ind w:firstLine="708"/>
        <w:contextualSpacing/>
        <w:jc w:val="both"/>
        <w:rPr>
          <w:rFonts w:ascii="Arial" w:eastAsia="Times New Roman" w:hAnsi="Arial" w:cs="Arial"/>
          <w:lang w:val="es-ES_tradnl" w:eastAsia="es-ES"/>
        </w:rPr>
      </w:pPr>
    </w:p>
    <w:p w14:paraId="339D6647" w14:textId="0701DC45" w:rsidR="00BE5C28" w:rsidRPr="00F03A3B" w:rsidRDefault="00672552" w:rsidP="00F03A3B">
      <w:pPr>
        <w:spacing w:after="0" w:line="240" w:lineRule="auto"/>
        <w:ind w:left="708" w:right="1325"/>
        <w:contextualSpacing/>
        <w:jc w:val="both"/>
        <w:rPr>
          <w:rFonts w:ascii="Arial" w:eastAsia="Calibri" w:hAnsi="Arial" w:cs="Arial"/>
          <w:sz w:val="21"/>
          <w:szCs w:val="21"/>
          <w:lang w:val="es-ES" w:eastAsia="es-ES"/>
        </w:rPr>
      </w:pPr>
      <w:r w:rsidRPr="00F03A3B">
        <w:rPr>
          <w:rFonts w:ascii="Arial" w:eastAsia="Calibri" w:hAnsi="Arial" w:cs="Arial"/>
          <w:sz w:val="21"/>
          <w:szCs w:val="21"/>
          <w:lang w:val="es-ES" w:eastAsia="es-ES"/>
        </w:rPr>
        <w:t>En este último caso, en el cual no sean procedentes los mencionados factores, los nueve (9) puntos serán sumados al factor de calidad. De este modo, el factor de calidad tendrá un total de diecinueve (19) puntos.]</w:t>
      </w:r>
    </w:p>
    <w:p w14:paraId="3E6D85D0" w14:textId="77777777" w:rsidR="0088159D" w:rsidRDefault="0088159D" w:rsidP="00672552">
      <w:pPr>
        <w:spacing w:after="0" w:line="276" w:lineRule="auto"/>
        <w:ind w:firstLine="708"/>
        <w:contextualSpacing/>
        <w:jc w:val="both"/>
        <w:rPr>
          <w:rFonts w:ascii="Arial" w:eastAsia="Times New Roman" w:hAnsi="Arial" w:cs="Arial"/>
          <w:lang w:val="es-ES_tradnl" w:eastAsia="es-ES"/>
        </w:rPr>
      </w:pPr>
    </w:p>
    <w:p w14:paraId="5F93F5FE" w14:textId="3E0D12E7" w:rsidR="00393869" w:rsidRDefault="0088159D" w:rsidP="00672552">
      <w:pPr>
        <w:spacing w:after="0" w:line="276" w:lineRule="auto"/>
        <w:ind w:firstLine="708"/>
        <w:contextualSpacing/>
        <w:jc w:val="both"/>
        <w:rPr>
          <w:rFonts w:ascii="Arial" w:eastAsia="Times New Roman" w:hAnsi="Arial" w:cs="Arial"/>
          <w:lang w:val="es-ES_tradnl" w:eastAsia="es-ES"/>
        </w:rPr>
      </w:pPr>
      <w:r w:rsidRPr="00F03A3B">
        <w:rPr>
          <w:rFonts w:ascii="Arial" w:eastAsia="Times New Roman" w:hAnsi="Arial" w:cs="Arial"/>
          <w:highlight w:val="yellow"/>
          <w:lang w:val="es-ES_tradnl" w:eastAsia="es-ES"/>
        </w:rPr>
        <w:t>Nótese como</w:t>
      </w:r>
      <w:r w:rsidR="00EA4291" w:rsidRPr="00F03A3B">
        <w:rPr>
          <w:rFonts w:ascii="Arial" w:eastAsia="Times New Roman" w:hAnsi="Arial" w:cs="Arial"/>
          <w:highlight w:val="yellow"/>
          <w:lang w:val="es-ES_tradnl" w:eastAsia="es-ES"/>
        </w:rPr>
        <w:t xml:space="preserve"> la fijación de los factores de sostenibilidad técnico ambiental</w:t>
      </w:r>
      <w:r w:rsidR="00793446" w:rsidRPr="00F03A3B">
        <w:rPr>
          <w:rFonts w:ascii="Arial" w:eastAsia="Times New Roman" w:hAnsi="Arial" w:cs="Arial"/>
          <w:highlight w:val="yellow"/>
          <w:lang w:val="es-ES_tradnl" w:eastAsia="es-ES"/>
        </w:rPr>
        <w:t xml:space="preserve"> derivan de un análisis propio de la</w:t>
      </w:r>
      <w:r w:rsidR="000D5C17" w:rsidRPr="00F03A3B">
        <w:rPr>
          <w:rFonts w:ascii="Arial" w:eastAsia="Times New Roman" w:hAnsi="Arial" w:cs="Arial"/>
          <w:highlight w:val="yellow"/>
          <w:lang w:val="es-ES_tradnl" w:eastAsia="es-ES"/>
        </w:rPr>
        <w:t xml:space="preserve"> </w:t>
      </w:r>
      <w:r w:rsidR="00793446" w:rsidRPr="00F03A3B">
        <w:rPr>
          <w:rFonts w:ascii="Arial" w:eastAsia="Times New Roman" w:hAnsi="Arial" w:cs="Arial"/>
          <w:highlight w:val="yellow"/>
          <w:lang w:val="es-ES_tradnl" w:eastAsia="es-ES"/>
        </w:rPr>
        <w:t>Entidad</w:t>
      </w:r>
      <w:r w:rsidR="000D5C17" w:rsidRPr="00F03A3B">
        <w:rPr>
          <w:rFonts w:ascii="Arial" w:eastAsia="Times New Roman" w:hAnsi="Arial" w:cs="Arial"/>
          <w:highlight w:val="yellow"/>
          <w:lang w:val="es-ES_tradnl" w:eastAsia="es-ES"/>
        </w:rPr>
        <w:t>, es decir, son potestativos de la Entidad</w:t>
      </w:r>
      <w:r w:rsidR="00843EFF" w:rsidRPr="00F03A3B">
        <w:rPr>
          <w:rFonts w:ascii="Arial" w:eastAsia="Times New Roman" w:hAnsi="Arial" w:cs="Arial"/>
          <w:highlight w:val="yellow"/>
          <w:lang w:val="es-ES_tradnl" w:eastAsia="es-ES"/>
        </w:rPr>
        <w:t>, y esta</w:t>
      </w:r>
      <w:r w:rsidR="00643731" w:rsidRPr="00F03A3B">
        <w:rPr>
          <w:rFonts w:ascii="Arial" w:eastAsia="Times New Roman" w:hAnsi="Arial" w:cs="Arial"/>
          <w:highlight w:val="yellow"/>
          <w:lang w:val="es-ES_tradnl" w:eastAsia="es-ES"/>
        </w:rPr>
        <w:t>,</w:t>
      </w:r>
      <w:r w:rsidR="00240D82" w:rsidRPr="00F03A3B">
        <w:rPr>
          <w:rFonts w:ascii="Arial" w:eastAsia="Times New Roman" w:hAnsi="Arial" w:cs="Arial"/>
          <w:highlight w:val="yellow"/>
          <w:lang w:val="es-ES_tradnl" w:eastAsia="es-ES"/>
        </w:rPr>
        <w:t xml:space="preserve"> </w:t>
      </w:r>
      <w:r w:rsidR="00643731" w:rsidRPr="00F03A3B">
        <w:rPr>
          <w:rFonts w:ascii="Arial" w:eastAsia="Times New Roman" w:hAnsi="Arial" w:cs="Arial"/>
          <w:highlight w:val="yellow"/>
          <w:lang w:val="es-ES_tradnl" w:eastAsia="es-ES"/>
        </w:rPr>
        <w:t>c</w:t>
      </w:r>
      <w:r w:rsidR="00240D82" w:rsidRPr="00F03A3B">
        <w:rPr>
          <w:rFonts w:ascii="Arial" w:eastAsia="Times New Roman" w:hAnsi="Arial" w:cs="Arial"/>
          <w:highlight w:val="yellow"/>
          <w:lang w:val="es-ES_tradnl" w:eastAsia="es-ES"/>
        </w:rPr>
        <w:t>on fundamento en el principio de planeación</w:t>
      </w:r>
      <w:r w:rsidR="00643731" w:rsidRPr="00F03A3B">
        <w:rPr>
          <w:rFonts w:ascii="Arial" w:eastAsia="Times New Roman" w:hAnsi="Arial" w:cs="Arial"/>
          <w:highlight w:val="yellow"/>
          <w:lang w:val="es-ES_tradnl" w:eastAsia="es-ES"/>
        </w:rPr>
        <w:t>,</w:t>
      </w:r>
      <w:r w:rsidR="00240D82" w:rsidRPr="00F03A3B">
        <w:rPr>
          <w:rFonts w:ascii="Arial" w:eastAsia="Times New Roman" w:hAnsi="Arial" w:cs="Arial"/>
          <w:highlight w:val="yellow"/>
          <w:lang w:val="es-ES_tradnl" w:eastAsia="es-ES"/>
        </w:rPr>
        <w:t xml:space="preserve"> verificará </w:t>
      </w:r>
      <w:r w:rsidR="008B53F2" w:rsidRPr="00F03A3B">
        <w:rPr>
          <w:rFonts w:ascii="Arial" w:eastAsia="Times New Roman" w:hAnsi="Arial" w:cs="Arial"/>
          <w:highlight w:val="yellow"/>
          <w:lang w:val="es-ES_tradnl" w:eastAsia="es-ES"/>
        </w:rPr>
        <w:t xml:space="preserve">la pertinencia o no de incluir estos factores. </w:t>
      </w:r>
      <w:r w:rsidR="00E018CF" w:rsidRPr="00F03A3B">
        <w:rPr>
          <w:rFonts w:ascii="Arial" w:eastAsia="Times New Roman" w:hAnsi="Arial" w:cs="Arial"/>
          <w:highlight w:val="yellow"/>
          <w:lang w:val="es-ES_tradnl" w:eastAsia="es-ES"/>
        </w:rPr>
        <w:t xml:space="preserve">En todo caso, </w:t>
      </w:r>
      <w:r w:rsidR="0067263D" w:rsidRPr="00F03A3B">
        <w:rPr>
          <w:rFonts w:ascii="Arial" w:eastAsia="Times New Roman" w:hAnsi="Arial" w:cs="Arial"/>
          <w:highlight w:val="yellow"/>
          <w:lang w:val="es-ES_tradnl" w:eastAsia="es-ES"/>
        </w:rPr>
        <w:t xml:space="preserve">y ante eventos particulares que </w:t>
      </w:r>
      <w:r w:rsidR="00630E52" w:rsidRPr="00F03A3B">
        <w:rPr>
          <w:rFonts w:ascii="Arial" w:eastAsia="Times New Roman" w:hAnsi="Arial" w:cs="Arial"/>
          <w:highlight w:val="yellow"/>
          <w:lang w:val="es-ES_tradnl" w:eastAsia="es-ES"/>
        </w:rPr>
        <w:t>la misma Entidad identifique,</w:t>
      </w:r>
      <w:r w:rsidR="000C0314" w:rsidRPr="00F03A3B">
        <w:rPr>
          <w:rFonts w:ascii="Arial" w:eastAsia="Times New Roman" w:hAnsi="Arial" w:cs="Arial"/>
          <w:highlight w:val="yellow"/>
          <w:lang w:val="es-ES_tradnl" w:eastAsia="es-ES"/>
        </w:rPr>
        <w:t xml:space="preserve"> como la insuficiencia del espacio físico del </w:t>
      </w:r>
      <w:r w:rsidR="00AC7A74" w:rsidRPr="00F03A3B">
        <w:rPr>
          <w:rFonts w:ascii="Arial" w:eastAsia="Times New Roman" w:hAnsi="Arial" w:cs="Arial"/>
          <w:highlight w:val="yellow"/>
          <w:lang w:val="es-ES_tradnl" w:eastAsia="es-ES"/>
        </w:rPr>
        <w:t>predio,</w:t>
      </w:r>
      <w:r w:rsidR="000C0314" w:rsidRPr="00F03A3B">
        <w:rPr>
          <w:rFonts w:ascii="Arial" w:eastAsia="Times New Roman" w:hAnsi="Arial" w:cs="Arial"/>
          <w:highlight w:val="yellow"/>
          <w:lang w:val="es-ES_tradnl" w:eastAsia="es-ES"/>
        </w:rPr>
        <w:t xml:space="preserve"> por ejemplo, </w:t>
      </w:r>
      <w:r w:rsidR="00AF29F7" w:rsidRPr="00F03A3B">
        <w:rPr>
          <w:rFonts w:ascii="Arial" w:eastAsia="Times New Roman" w:hAnsi="Arial" w:cs="Arial"/>
          <w:highlight w:val="yellow"/>
          <w:lang w:val="es-ES_tradnl" w:eastAsia="es-ES"/>
        </w:rPr>
        <w:t xml:space="preserve">el puntaje inicialmente </w:t>
      </w:r>
      <w:r w:rsidR="00393869" w:rsidRPr="00F03A3B">
        <w:rPr>
          <w:rFonts w:ascii="Arial" w:eastAsia="Times New Roman" w:hAnsi="Arial" w:cs="Arial"/>
          <w:highlight w:val="yellow"/>
          <w:lang w:val="es-ES_tradnl" w:eastAsia="es-ES"/>
        </w:rPr>
        <w:t>destinado al</w:t>
      </w:r>
      <w:r w:rsidR="00AF29F7" w:rsidRPr="00F03A3B">
        <w:rPr>
          <w:rFonts w:ascii="Arial" w:eastAsia="Times New Roman" w:hAnsi="Arial" w:cs="Arial"/>
          <w:highlight w:val="yellow"/>
          <w:lang w:val="es-ES_tradnl" w:eastAsia="es-ES"/>
        </w:rPr>
        <w:t xml:space="preserve"> factor de sostenibilidad técnico ambiental se trasladará</w:t>
      </w:r>
      <w:r w:rsidR="00E663BD" w:rsidRPr="00F03A3B">
        <w:rPr>
          <w:rFonts w:ascii="Arial" w:eastAsia="Times New Roman" w:hAnsi="Arial" w:cs="Arial"/>
          <w:highlight w:val="yellow"/>
          <w:lang w:val="es-ES_tradnl" w:eastAsia="es-ES"/>
        </w:rPr>
        <w:t xml:space="preserve"> al factor de calidad, tal y como lo indica el documento base.</w:t>
      </w:r>
      <w:r w:rsidR="00E663BD">
        <w:rPr>
          <w:rFonts w:ascii="Arial" w:eastAsia="Times New Roman" w:hAnsi="Arial" w:cs="Arial"/>
          <w:lang w:val="es-ES_tradnl" w:eastAsia="es-ES"/>
        </w:rPr>
        <w:t xml:space="preserve"> </w:t>
      </w:r>
    </w:p>
    <w:p w14:paraId="6C10263C" w14:textId="77777777" w:rsidR="00393869" w:rsidRDefault="00393869" w:rsidP="00672552">
      <w:pPr>
        <w:spacing w:after="0" w:line="276" w:lineRule="auto"/>
        <w:ind w:firstLine="708"/>
        <w:contextualSpacing/>
        <w:jc w:val="both"/>
        <w:rPr>
          <w:rFonts w:ascii="Arial" w:eastAsia="Times New Roman" w:hAnsi="Arial" w:cs="Arial"/>
          <w:lang w:val="es-ES_tradnl" w:eastAsia="es-ES"/>
        </w:rPr>
      </w:pPr>
    </w:p>
    <w:p w14:paraId="0447AB9A" w14:textId="1392EA8D" w:rsidR="0088159D" w:rsidRPr="006E583B" w:rsidRDefault="00E663BD" w:rsidP="00672552">
      <w:pPr>
        <w:spacing w:after="0" w:line="276" w:lineRule="auto"/>
        <w:ind w:firstLine="708"/>
        <w:contextualSpacing/>
        <w:jc w:val="both"/>
        <w:rPr>
          <w:rFonts w:ascii="Arial" w:eastAsia="Times New Roman" w:hAnsi="Arial" w:cs="Arial"/>
          <w:lang w:val="es-ES_tradnl" w:eastAsia="es-ES"/>
        </w:rPr>
      </w:pPr>
      <w:r>
        <w:rPr>
          <w:rFonts w:ascii="Arial" w:eastAsia="Times New Roman" w:hAnsi="Arial" w:cs="Arial"/>
          <w:lang w:val="es-ES_tradnl" w:eastAsia="es-ES"/>
        </w:rPr>
        <w:t xml:space="preserve"> </w:t>
      </w:r>
      <w:r w:rsidR="00393869" w:rsidRPr="00393869">
        <w:rPr>
          <w:rFonts w:ascii="Arial" w:eastAsia="Times New Roman" w:hAnsi="Arial" w:cs="Arial"/>
          <w:lang w:val="es-ES_tradnl" w:eastAsia="es-ES"/>
        </w:rPr>
        <w:t xml:space="preserve">Bajo estas consideraciones, corresponde a cada entidad pública, en ejercicio de su competencia y previa valoración de los elementos fácticos y jurídicos, determinar si es procedente o no la </w:t>
      </w:r>
      <w:r w:rsidR="009771E2">
        <w:rPr>
          <w:rFonts w:ascii="Arial" w:eastAsia="Times New Roman" w:hAnsi="Arial" w:cs="Arial"/>
          <w:lang w:val="es-ES_tradnl" w:eastAsia="es-ES"/>
        </w:rPr>
        <w:t xml:space="preserve">adecuación del factor de </w:t>
      </w:r>
      <w:r w:rsidR="009771E2" w:rsidRPr="009771E2">
        <w:rPr>
          <w:rFonts w:ascii="Arial" w:eastAsia="Times New Roman" w:hAnsi="Arial" w:cs="Arial"/>
          <w:lang w:val="es-ES_tradnl" w:eastAsia="es-ES"/>
        </w:rPr>
        <w:t xml:space="preserve">sostenibilidad técnico </w:t>
      </w:r>
      <w:r w:rsidR="002E0398" w:rsidRPr="009771E2">
        <w:rPr>
          <w:rFonts w:ascii="Arial" w:eastAsia="Times New Roman" w:hAnsi="Arial" w:cs="Arial"/>
          <w:lang w:val="es-ES_tradnl" w:eastAsia="es-ES"/>
        </w:rPr>
        <w:t>ambiental</w:t>
      </w:r>
      <w:r w:rsidR="002E0398">
        <w:rPr>
          <w:rFonts w:ascii="Arial" w:eastAsia="Times New Roman" w:hAnsi="Arial" w:cs="Arial"/>
          <w:lang w:val="es-ES_tradnl" w:eastAsia="es-ES"/>
        </w:rPr>
        <w:t xml:space="preserve"> para</w:t>
      </w:r>
      <w:r w:rsidR="00D478D3">
        <w:rPr>
          <w:rFonts w:ascii="Arial" w:eastAsia="Times New Roman" w:hAnsi="Arial" w:cs="Arial"/>
          <w:lang w:val="es-ES_tradnl" w:eastAsia="es-ES"/>
        </w:rPr>
        <w:t xml:space="preserve"> un caso en específico</w:t>
      </w:r>
      <w:r w:rsidR="00393869" w:rsidRPr="00393869">
        <w:rPr>
          <w:rFonts w:ascii="Arial" w:eastAsia="Times New Roman" w:hAnsi="Arial" w:cs="Arial"/>
          <w:lang w:val="es-ES_tradnl" w:eastAsia="es-ES"/>
        </w:rPr>
        <w:t>.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40DDB0B5" w14:textId="77777777" w:rsidR="006E583B" w:rsidRPr="006E583B" w:rsidRDefault="006E583B" w:rsidP="006E583B">
      <w:pPr>
        <w:spacing w:after="0" w:line="276" w:lineRule="auto"/>
        <w:ind w:firstLine="709"/>
        <w:contextualSpacing/>
        <w:jc w:val="both"/>
        <w:rPr>
          <w:rFonts w:ascii="Arial" w:eastAsia="Calibri" w:hAnsi="Arial" w:cs="Arial"/>
          <w:lang w:val="es-ES_tradnl" w:eastAsia="es-ES"/>
        </w:rPr>
      </w:pPr>
      <w:r w:rsidRPr="006E583B">
        <w:rPr>
          <w:rFonts w:ascii="Arial" w:eastAsia="Times New Roman" w:hAnsi="Arial" w:cs="Arial"/>
          <w:lang w:val="es-ES_tradnl" w:eastAsia="es-ES"/>
        </w:rPr>
        <w:tab/>
      </w:r>
    </w:p>
    <w:p w14:paraId="13D0D91D" w14:textId="77777777" w:rsidR="006E583B" w:rsidRDefault="006E583B" w:rsidP="006E583B">
      <w:pPr>
        <w:tabs>
          <w:tab w:val="left" w:pos="709"/>
        </w:tabs>
        <w:spacing w:after="0" w:line="276" w:lineRule="auto"/>
        <w:contextualSpacing/>
        <w:jc w:val="both"/>
        <w:rPr>
          <w:rFonts w:ascii="Arial" w:eastAsia="Calibri" w:hAnsi="Arial" w:cs="Arial"/>
          <w:b/>
          <w:lang w:val="es-ES" w:eastAsia="es-MX"/>
        </w:rPr>
      </w:pPr>
      <w:r w:rsidRPr="006E583B">
        <w:rPr>
          <w:rFonts w:ascii="Arial" w:eastAsia="Calibri" w:hAnsi="Arial" w:cs="Arial"/>
          <w:b/>
          <w:lang w:val="es-ES" w:eastAsia="es-MX"/>
        </w:rPr>
        <w:t>3. Respuesta</w:t>
      </w:r>
    </w:p>
    <w:p w14:paraId="06E0C824" w14:textId="77777777" w:rsidR="00F048FB" w:rsidRPr="006E583B" w:rsidRDefault="00F048FB" w:rsidP="006E583B">
      <w:pPr>
        <w:tabs>
          <w:tab w:val="left" w:pos="709"/>
        </w:tabs>
        <w:spacing w:after="0" w:line="276" w:lineRule="auto"/>
        <w:contextualSpacing/>
        <w:jc w:val="both"/>
        <w:rPr>
          <w:rFonts w:ascii="Arial" w:eastAsia="Calibri" w:hAnsi="Arial" w:cs="Arial"/>
          <w:b/>
          <w:lang w:val="es-ES" w:eastAsia="es-MX"/>
        </w:rPr>
      </w:pPr>
    </w:p>
    <w:p w14:paraId="7B5C6944" w14:textId="77777777" w:rsidR="00F048FB" w:rsidRPr="006E583B" w:rsidRDefault="00F048FB" w:rsidP="00F048FB">
      <w:pPr>
        <w:spacing w:after="0" w:line="240" w:lineRule="auto"/>
        <w:ind w:left="709" w:right="709"/>
        <w:contextualSpacing/>
        <w:jc w:val="both"/>
        <w:rPr>
          <w:rFonts w:ascii="Arial" w:eastAsia="Times New Roman" w:hAnsi="Arial" w:cs="Arial"/>
          <w:sz w:val="21"/>
          <w:szCs w:val="21"/>
          <w:lang w:eastAsia="es-MX"/>
        </w:rPr>
      </w:pPr>
      <w:r>
        <w:rPr>
          <w:rFonts w:ascii="Arial" w:eastAsia="Times New Roman" w:hAnsi="Arial" w:cs="Arial"/>
          <w:sz w:val="21"/>
          <w:szCs w:val="21"/>
          <w:lang w:eastAsia="es-MX"/>
        </w:rPr>
        <w:t>“</w:t>
      </w:r>
      <w:r w:rsidRPr="006E583B">
        <w:rPr>
          <w:rFonts w:ascii="Arial" w:eastAsia="Times New Roman" w:hAnsi="Arial" w:cs="Arial"/>
          <w:sz w:val="21"/>
          <w:szCs w:val="21"/>
          <w:lang w:eastAsia="es-MX"/>
        </w:rPr>
        <w:t>Como debe proceder una entidad con la Configuracion del Criterio Puntuable Tecnico</w:t>
      </w:r>
    </w:p>
    <w:p w14:paraId="233F4439" w14:textId="77777777" w:rsidR="00F048FB" w:rsidRPr="006E583B" w:rsidRDefault="00F048FB" w:rsidP="00F048FB">
      <w:pPr>
        <w:spacing w:after="0" w:line="240" w:lineRule="auto"/>
        <w:ind w:left="709" w:right="709"/>
        <w:contextualSpacing/>
        <w:jc w:val="both"/>
        <w:rPr>
          <w:rFonts w:ascii="Arial" w:eastAsia="Times New Roman" w:hAnsi="Arial" w:cs="Arial"/>
          <w:sz w:val="21"/>
          <w:szCs w:val="21"/>
          <w:lang w:eastAsia="es-MX"/>
        </w:rPr>
      </w:pPr>
      <w:r w:rsidRPr="006E583B">
        <w:rPr>
          <w:rFonts w:ascii="Arial" w:eastAsia="Times New Roman" w:hAnsi="Arial" w:cs="Arial"/>
          <w:sz w:val="21"/>
          <w:szCs w:val="21"/>
          <w:lang w:eastAsia="es-MX"/>
        </w:rPr>
        <w:t>Ambiental cuando en la obra que se pretende contratar no se cuenta con espacio físico</w:t>
      </w:r>
    </w:p>
    <w:p w14:paraId="4D29158C" w14:textId="77777777" w:rsidR="00F048FB" w:rsidRPr="006E583B" w:rsidRDefault="00F048FB" w:rsidP="00F048FB">
      <w:pPr>
        <w:spacing w:after="0" w:line="240" w:lineRule="auto"/>
        <w:ind w:left="709" w:right="709"/>
        <w:contextualSpacing/>
        <w:jc w:val="both"/>
        <w:rPr>
          <w:rFonts w:ascii="Arial" w:eastAsia="Times New Roman" w:hAnsi="Arial" w:cs="Arial"/>
          <w:sz w:val="21"/>
          <w:szCs w:val="21"/>
          <w:lang w:eastAsia="es-MX"/>
        </w:rPr>
      </w:pPr>
      <w:r w:rsidRPr="006E583B">
        <w:rPr>
          <w:rFonts w:ascii="Arial" w:eastAsia="Times New Roman" w:hAnsi="Arial" w:cs="Arial"/>
          <w:sz w:val="21"/>
          <w:szCs w:val="21"/>
          <w:lang w:eastAsia="es-MX"/>
        </w:rPr>
        <w:t>para cualquiera de los criterio s técnico ambientales. Debe eleminar el criterio o</w:t>
      </w:r>
    </w:p>
    <w:p w14:paraId="3C2C89B4" w14:textId="77777777" w:rsidR="00F048FB" w:rsidRPr="006E583B" w:rsidRDefault="00F048FB" w:rsidP="00F048FB">
      <w:pPr>
        <w:spacing w:after="0" w:line="240" w:lineRule="auto"/>
        <w:ind w:left="709" w:right="709"/>
        <w:contextualSpacing/>
        <w:jc w:val="both"/>
        <w:rPr>
          <w:rFonts w:ascii="Arial" w:eastAsia="Calibri" w:hAnsi="Arial" w:cs="Arial"/>
          <w:sz w:val="21"/>
          <w:szCs w:val="21"/>
          <w:lang w:val="es-ES" w:eastAsia="es-MX"/>
        </w:rPr>
      </w:pPr>
      <w:r w:rsidRPr="006E583B">
        <w:rPr>
          <w:rFonts w:ascii="Arial" w:eastAsia="Times New Roman" w:hAnsi="Arial" w:cs="Arial"/>
          <w:sz w:val="21"/>
          <w:szCs w:val="21"/>
          <w:lang w:eastAsia="es-MX"/>
        </w:rPr>
        <w:t>construir uno</w:t>
      </w:r>
      <w:r>
        <w:rPr>
          <w:rFonts w:ascii="Arial" w:eastAsia="Times New Roman" w:hAnsi="Arial" w:cs="Arial"/>
          <w:sz w:val="21"/>
          <w:szCs w:val="21"/>
          <w:lang w:eastAsia="es-MX"/>
        </w:rPr>
        <w:t>” (SIC)</w:t>
      </w:r>
      <w:r w:rsidRPr="006E583B">
        <w:rPr>
          <w:rFonts w:ascii="Arial" w:eastAsia="Calibri" w:hAnsi="Arial" w:cs="Arial"/>
          <w:sz w:val="21"/>
          <w:szCs w:val="21"/>
          <w:lang w:val="es-ES" w:eastAsia="es-MX"/>
        </w:rPr>
        <w:t>.</w:t>
      </w:r>
    </w:p>
    <w:p w14:paraId="4E25DA57" w14:textId="77777777" w:rsidR="006E583B" w:rsidRPr="006E583B" w:rsidRDefault="006E583B" w:rsidP="006E583B">
      <w:pPr>
        <w:tabs>
          <w:tab w:val="left" w:pos="709"/>
        </w:tabs>
        <w:spacing w:after="0" w:line="276" w:lineRule="auto"/>
        <w:contextualSpacing/>
        <w:jc w:val="both"/>
        <w:rPr>
          <w:rFonts w:ascii="Arial" w:eastAsia="Calibri" w:hAnsi="Arial" w:cs="Arial"/>
          <w:b/>
          <w:lang w:val="es-ES" w:eastAsia="es-MX"/>
        </w:rPr>
      </w:pPr>
    </w:p>
    <w:p w14:paraId="42739EF6" w14:textId="77777777" w:rsidR="006E583B" w:rsidRPr="006E583B" w:rsidRDefault="006E583B" w:rsidP="006E583B">
      <w:pPr>
        <w:spacing w:after="0" w:line="240" w:lineRule="auto"/>
        <w:ind w:left="709" w:right="709"/>
        <w:contextualSpacing/>
        <w:jc w:val="both"/>
        <w:rPr>
          <w:rFonts w:ascii="Arial" w:hAnsi="Arial" w:cs="Arial"/>
          <w:sz w:val="21"/>
          <w:szCs w:val="21"/>
        </w:rPr>
      </w:pPr>
    </w:p>
    <w:p w14:paraId="68A6169C" w14:textId="77777777" w:rsidR="006E583B" w:rsidRPr="006E583B" w:rsidRDefault="006E583B" w:rsidP="006E583B">
      <w:pPr>
        <w:spacing w:after="120" w:line="276" w:lineRule="auto"/>
        <w:ind w:right="51"/>
        <w:jc w:val="both"/>
        <w:rPr>
          <w:rFonts w:ascii="Arial" w:eastAsia="Calibri" w:hAnsi="Arial" w:cs="Arial"/>
          <w:lang w:val="es-ES_tradnl"/>
        </w:rPr>
      </w:pPr>
      <w:r w:rsidRPr="006E583B">
        <w:rPr>
          <w:rFonts w:ascii="Arial" w:eastAsia="Calibri" w:hAnsi="Arial" w:cs="Arial"/>
          <w:lang w:val="es-ES" w:eastAsia="es-ES" w:bidi="es-ES"/>
        </w:rPr>
        <w:t>Conforme a lo expuesto, los documentos tipo expedidos por esta Agencia son de obligatorio cumplimiento para las entidades sometidas al Estatuto General de Contratación de la Administración Pública, quienes deben aplicarlos en aquellos procesos cuyos objetos contractuales se subsuman dentro de alguna</w:t>
      </w:r>
      <w:r w:rsidRPr="006E583B">
        <w:rPr>
          <w:rFonts w:ascii="Arial" w:hAnsi="Arial" w:cs="Arial"/>
          <w:lang w:val="es-ES"/>
        </w:rPr>
        <w:t xml:space="preserve"> de las actividades establecidas de forma detallada </w:t>
      </w:r>
      <w:r w:rsidRPr="006E583B">
        <w:rPr>
          <w:rFonts w:ascii="Arial" w:eastAsia="Calibri" w:hAnsi="Arial" w:cs="Arial"/>
          <w:lang w:val="es-ES" w:eastAsia="es-ES" w:bidi="es-ES"/>
        </w:rPr>
        <w:t xml:space="preserve">en las matrices de experiencia de los documentos tipo proferidos para los diferentes sectores. </w:t>
      </w:r>
      <w:r w:rsidRPr="006E583B">
        <w:rPr>
          <w:rFonts w:ascii="Arial" w:eastAsia="Calibri" w:hAnsi="Arial" w:cs="Arial"/>
          <w:shd w:val="clear" w:color="auto" w:fill="FFFFFF"/>
          <w:lang w:val="es-MX"/>
        </w:rPr>
        <w:lastRenderedPageBreak/>
        <w:t xml:space="preserve">Por tanto, para determinar si una entidad estatal se encuentra obligada o no aplicar documentos tipo para un proyecto en específico, </w:t>
      </w:r>
      <w:r w:rsidRPr="006E583B">
        <w:rPr>
          <w:rFonts w:ascii="Arial" w:eastAsia="Arial" w:hAnsi="Arial" w:cs="Arial"/>
          <w:lang w:val="es-ES" w:eastAsia="es-ES" w:bidi="es-ES"/>
        </w:rPr>
        <w:t xml:space="preserve">le corresponde identificar, de manera preliminar, el tipo de infraestructura sobre la cual recae el objeto a contratar, acorde con lo señalado en la respectiva </w:t>
      </w:r>
      <w:r w:rsidRPr="006E583B">
        <w:rPr>
          <w:rFonts w:ascii="Arial" w:eastAsia="Calibri" w:hAnsi="Arial" w:cs="Arial"/>
          <w:lang w:val="es-MX"/>
        </w:rPr>
        <w:t>matriz de experiencia</w:t>
      </w:r>
      <w:r w:rsidRPr="006E583B">
        <w:rPr>
          <w:rFonts w:ascii="Arial" w:eastAsia="Calibri" w:hAnsi="Arial" w:cs="Arial"/>
          <w:lang w:val="es-ES_tradnl" w:eastAsia="es-ES"/>
        </w:rPr>
        <w:t>.</w:t>
      </w:r>
      <w:r w:rsidRPr="006E583B">
        <w:rPr>
          <w:rFonts w:ascii="Arial" w:eastAsia="Calibri" w:hAnsi="Arial" w:cs="Arial"/>
          <w:lang w:val="es-ES_tradnl"/>
        </w:rPr>
        <w:t xml:space="preserve"> Las actividades contempladas en las </w:t>
      </w:r>
      <w:r w:rsidRPr="006E583B">
        <w:rPr>
          <w:rFonts w:ascii="Arial" w:eastAsia="Calibri" w:hAnsi="Arial" w:cs="Arial"/>
          <w:lang w:val="es-MX"/>
        </w:rPr>
        <w:t>matrices</w:t>
      </w:r>
      <w:r w:rsidRPr="006E583B">
        <w:rPr>
          <w:rFonts w:ascii="Arial" w:eastAsia="Calibri" w:hAnsi="Arial" w:cs="Arial"/>
          <w:lang w:val="es-ES_tradnl"/>
        </w:rPr>
        <w:t xml:space="preserve"> de experiencia de cada sector deben interpretarse de acuerdo con las definiciones que consagran los </w:t>
      </w:r>
      <w:r w:rsidRPr="006E583B">
        <w:rPr>
          <w:rFonts w:ascii="Arial" w:eastAsia="Times New Roman" w:hAnsi="Arial" w:cs="Arial"/>
          <w:lang w:val="es-ES"/>
        </w:rPr>
        <w:t xml:space="preserve">glosarios adoptados para cada sector, pues en estas se determinan las nociones necesarias para entender que se incluyen las actividades de obra pública respecto de la infraestructura educativa, en salud y de cultura, recreación y deporte.    </w:t>
      </w:r>
      <w:r w:rsidRPr="006E583B">
        <w:rPr>
          <w:rFonts w:ascii="Arial" w:eastAsia="Calibri" w:hAnsi="Arial" w:cs="Arial"/>
          <w:lang w:val="es-ES_tradnl"/>
        </w:rPr>
        <w:t xml:space="preserve"> </w:t>
      </w:r>
    </w:p>
    <w:p w14:paraId="14B0A3CB" w14:textId="05552079" w:rsidR="006E583B" w:rsidRPr="006E583B" w:rsidRDefault="00817950" w:rsidP="00F03A3B">
      <w:pPr>
        <w:spacing w:before="120" w:after="120" w:line="276" w:lineRule="auto"/>
        <w:ind w:right="51" w:firstLine="709"/>
        <w:jc w:val="both"/>
        <w:rPr>
          <w:rFonts w:ascii="Arial" w:eastAsia="Calibri" w:hAnsi="Arial" w:cs="Arial"/>
          <w:bCs/>
          <w:szCs w:val="24"/>
          <w:lang w:val="es-ES_tradnl" w:eastAsia="es-ES_tradnl"/>
        </w:rPr>
      </w:pPr>
      <w:r>
        <w:rPr>
          <w:rFonts w:ascii="Arial" w:eastAsia="Calibri" w:hAnsi="Arial" w:cs="Arial"/>
          <w:lang w:val="es-ES_tradnl"/>
        </w:rPr>
        <w:t xml:space="preserve">Visto lo consagrado en el </w:t>
      </w:r>
      <w:r w:rsidR="007106E6" w:rsidRPr="007106E6">
        <w:rPr>
          <w:rFonts w:ascii="Arial" w:eastAsia="Calibri" w:hAnsi="Arial" w:cs="Arial"/>
          <w:lang w:val="es-ES_tradnl"/>
        </w:rPr>
        <w:t>numeral 4.3, del documento base de Licitación de Obra Pública de Infraestructura Social, sobre los factores de sostenibilidad técnico ambiental agregado</w:t>
      </w:r>
      <w:r w:rsidR="00331306">
        <w:rPr>
          <w:rFonts w:ascii="Arial" w:eastAsia="Calibri" w:hAnsi="Arial" w:cs="Arial"/>
          <w:lang w:val="es-ES_tradnl"/>
        </w:rPr>
        <w:t xml:space="preserve">, es claro </w:t>
      </w:r>
      <w:r w:rsidR="00331306" w:rsidRPr="00331306">
        <w:rPr>
          <w:rFonts w:ascii="Arial" w:eastAsia="Calibri" w:hAnsi="Arial" w:cs="Arial"/>
          <w:lang w:val="es-ES_tradnl"/>
        </w:rPr>
        <w:t>como la fijación de los factores de sostenibilidad técnico ambiental derivan de un análisis propio de la Entidad, es decir, son potestativos de la Entidad, y esta, con fundamento en el principio de planeación, verificará la pertinencia o no de incluir estos factores. En todo caso, y ante eventos particulares que la misma Entidad identifique, como la insuficiencia del espacio físico del predio, por ejemplo, el puntaje inicialmente destinado al factor de sostenibilidad técnico ambiental se trasladará al factor de calidad, tal y como lo indica el documento base.</w:t>
      </w:r>
      <w:r w:rsidR="00E159DF">
        <w:rPr>
          <w:rFonts w:ascii="Arial" w:eastAsia="Calibri" w:hAnsi="Arial" w:cs="Arial"/>
          <w:lang w:val="es-ES_tradnl"/>
        </w:rPr>
        <w:t xml:space="preserve"> </w:t>
      </w:r>
    </w:p>
    <w:p w14:paraId="3624807F" w14:textId="31625BE8" w:rsidR="00C9405D" w:rsidRDefault="00C9405D" w:rsidP="006219F8">
      <w:pPr>
        <w:spacing w:after="0" w:line="240" w:lineRule="auto"/>
        <w:rPr>
          <w:rFonts w:ascii="Geomanist Light" w:hAnsi="Geomanist Light"/>
          <w:b/>
          <w:color w:val="002060"/>
          <w:lang w:val="es-ES"/>
        </w:rPr>
      </w:pPr>
    </w:p>
    <w:p w14:paraId="7EB355E1" w14:textId="77777777" w:rsidR="00EB0A4D" w:rsidRPr="00EB0A4D" w:rsidRDefault="00EB0A4D" w:rsidP="00EB0A4D">
      <w:pPr>
        <w:shd w:val="clear" w:color="auto" w:fill="FFFFFF"/>
        <w:spacing w:after="0" w:line="276" w:lineRule="auto"/>
        <w:jc w:val="both"/>
        <w:rPr>
          <w:rFonts w:ascii="Arial" w:hAnsi="Arial" w:cs="Arial"/>
        </w:rPr>
      </w:pPr>
      <w:bookmarkStart w:id="6" w:name="_Hlk57650395"/>
      <w:bookmarkEnd w:id="0"/>
    </w:p>
    <w:p w14:paraId="40F29977" w14:textId="77777777" w:rsidR="00EB0A4D" w:rsidRPr="00EB0A4D" w:rsidRDefault="00EB0A4D" w:rsidP="00EB0A4D">
      <w:pPr>
        <w:widowControl w:val="0"/>
        <w:autoSpaceDE w:val="0"/>
        <w:autoSpaceDN w:val="0"/>
        <w:spacing w:after="0" w:line="276" w:lineRule="auto"/>
        <w:contextualSpacing/>
        <w:jc w:val="both"/>
        <w:rPr>
          <w:rFonts w:ascii="Arial" w:eastAsia="Times New Roman" w:hAnsi="Arial" w:cs="Arial"/>
          <w:lang w:eastAsia="es-ES_tradnl"/>
        </w:rPr>
      </w:pPr>
      <w:r w:rsidRPr="00EB0A4D">
        <w:rPr>
          <w:rFonts w:ascii="Arial" w:eastAsia="Calibri" w:hAnsi="Arial" w:cs="Arial"/>
        </w:rPr>
        <w:t>Este concepto tiene el alcance previsto en el artículo 28 del Código de Procedimiento Administrativo y de lo Contencioso Administrativo</w:t>
      </w:r>
      <w:r w:rsidRPr="00EB0A4D">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3408F871" wp14:editId="572FC6D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6B6B65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EB0A4D">
        <w:rPr>
          <w:rFonts w:ascii="Arial" w:eastAsia="Calibri" w:hAnsi="Arial" w:cs="Arial"/>
        </w:rPr>
        <w:t xml:space="preserve"> y las expresiones utilizadas con mayúscula inicial deben ser entendidas con el significado que les otorga el artículo 2.2.1.1.1.3.1 del Decreto 1082 de 2015.</w:t>
      </w:r>
    </w:p>
    <w:p w14:paraId="35F64678" w14:textId="77777777" w:rsidR="00EB0A4D" w:rsidRPr="00EB0A4D" w:rsidRDefault="00EB0A4D" w:rsidP="00EB0A4D">
      <w:pPr>
        <w:spacing w:after="120" w:line="276" w:lineRule="auto"/>
        <w:jc w:val="both"/>
        <w:rPr>
          <w:rFonts w:ascii="Arial" w:eastAsia="Times New Roman" w:hAnsi="Arial" w:cs="Arial"/>
          <w:lang w:eastAsia="es-ES_tradnl"/>
        </w:rPr>
      </w:pPr>
    </w:p>
    <w:p w14:paraId="43FA3413" w14:textId="77777777" w:rsidR="00EB0A4D" w:rsidRPr="00EB0A4D" w:rsidRDefault="00EB0A4D" w:rsidP="00EB0A4D">
      <w:pPr>
        <w:spacing w:after="200" w:line="276" w:lineRule="auto"/>
        <w:jc w:val="both"/>
        <w:rPr>
          <w:rFonts w:ascii="Arial" w:eastAsia="Times New Roman" w:hAnsi="Arial" w:cs="Arial"/>
          <w:lang w:eastAsia="es-CO"/>
        </w:rPr>
      </w:pPr>
      <w:r w:rsidRPr="00EB0A4D">
        <w:rPr>
          <w:rFonts w:ascii="Arial" w:eastAsia="Times New Roman" w:hAnsi="Arial" w:cs="Arial"/>
          <w:lang w:eastAsia="es-CO"/>
        </w:rPr>
        <w:t>Atentamente,</w:t>
      </w:r>
    </w:p>
    <w:p w14:paraId="70AC8581" w14:textId="2CC8A9DA" w:rsidR="00EB0A4D" w:rsidRDefault="005B33C2" w:rsidP="00EB0A4D">
      <w:pPr>
        <w:spacing w:after="200" w:line="276" w:lineRule="auto"/>
        <w:jc w:val="center"/>
        <w:rPr>
          <w:rFonts w:ascii="Arial" w:eastAsia="Calibri" w:hAnsi="Arial" w:cs="Arial"/>
          <w:b/>
          <w:bCs/>
          <w:sz w:val="20"/>
          <w:szCs w:val="20"/>
          <w:lang w:val="es-MX"/>
        </w:rPr>
      </w:pPr>
      <w:bookmarkStart w:id="7" w:name="_Hlk130981267"/>
      <w:bookmarkEnd w:id="6"/>
      <w:r w:rsidRPr="005B33C2">
        <w:rPr>
          <w:rFonts w:ascii="Calibri" w:eastAsia="Calibri" w:hAnsi="Calibri" w:cs="Times New Roman"/>
          <w:noProof/>
          <w:lang w:val="es-ES"/>
        </w:rPr>
        <w:drawing>
          <wp:inline distT="0" distB="0" distL="0" distR="0" wp14:anchorId="2928DC66" wp14:editId="1F9C047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6422ECC9" w14:textId="77777777" w:rsidR="005B33C2" w:rsidRPr="00EB0A4D" w:rsidRDefault="005B33C2" w:rsidP="00EB0A4D">
      <w:pPr>
        <w:spacing w:after="200" w:line="276" w:lineRule="auto"/>
        <w:jc w:val="center"/>
        <w:rPr>
          <w:rFonts w:ascii="Arial" w:eastAsia="Calibri" w:hAnsi="Arial" w:cs="Arial"/>
          <w:b/>
          <w:bCs/>
          <w:sz w:val="20"/>
          <w:szCs w:val="20"/>
          <w:lang w:val="es-MX"/>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B0A4D" w:rsidRPr="00EB0A4D" w14:paraId="202052F3" w14:textId="77777777" w:rsidTr="0642704E">
        <w:trPr>
          <w:trHeight w:val="315"/>
        </w:trPr>
        <w:tc>
          <w:tcPr>
            <w:tcW w:w="812" w:type="dxa"/>
            <w:vAlign w:val="center"/>
            <w:hideMark/>
          </w:tcPr>
          <w:bookmarkEnd w:id="7"/>
          <w:p w14:paraId="258AA671"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3200B33" w14:textId="77777777" w:rsidR="00EB0A4D" w:rsidRPr="00EB0A4D" w:rsidRDefault="00EB0A4D" w:rsidP="00EB0A4D">
            <w:pPr>
              <w:rPr>
                <w:rFonts w:ascii="Arial" w:eastAsia="Calibri" w:hAnsi="Arial" w:cs="Arial"/>
                <w:sz w:val="16"/>
                <w:szCs w:val="16"/>
                <w:lang w:val="es-ES_tradnl" w:eastAsia="es-ES"/>
              </w:rPr>
            </w:pPr>
            <w:r w:rsidRPr="00EB0A4D">
              <w:rPr>
                <w:rFonts w:ascii="Arial" w:eastAsia="Calibri" w:hAnsi="Arial" w:cs="Arial"/>
                <w:sz w:val="16"/>
                <w:szCs w:val="16"/>
                <w:lang w:val="es-ES_tradnl" w:eastAsia="es-ES"/>
              </w:rPr>
              <w:t>Gabriel Alejandro Murcia Taboada</w:t>
            </w:r>
          </w:p>
          <w:p w14:paraId="0F5A8EAE"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Calibri" w:hAnsi="Arial" w:cs="Arial"/>
                <w:sz w:val="16"/>
                <w:szCs w:val="16"/>
                <w:lang w:val="es-ES_tradnl" w:eastAsia="es-ES"/>
              </w:rPr>
              <w:t>Contratista de la Subdirección de Gestión Contractual</w:t>
            </w:r>
          </w:p>
        </w:tc>
      </w:tr>
      <w:tr w:rsidR="00EB0A4D" w:rsidRPr="00EB0A4D" w14:paraId="705D6C6A" w14:textId="77777777" w:rsidTr="0642704E">
        <w:trPr>
          <w:trHeight w:val="330"/>
        </w:trPr>
        <w:tc>
          <w:tcPr>
            <w:tcW w:w="812" w:type="dxa"/>
            <w:vAlign w:val="center"/>
            <w:hideMark/>
          </w:tcPr>
          <w:p w14:paraId="131AEE6D"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B397D47" w14:textId="77777777" w:rsidR="00EB0A4D" w:rsidRPr="00EB0A4D" w:rsidRDefault="00EB0A4D" w:rsidP="00EB0A4D">
            <w:pPr>
              <w:rPr>
                <w:rFonts w:ascii="Arial" w:eastAsia="Times New Roman" w:hAnsi="Arial" w:cs="Arial"/>
                <w:color w:val="000000"/>
                <w:sz w:val="16"/>
                <w:szCs w:val="16"/>
                <w:lang w:val="es-ES" w:eastAsia="es-ES"/>
              </w:rPr>
            </w:pPr>
            <w:r w:rsidRPr="00EB0A4D">
              <w:rPr>
                <w:rFonts w:ascii="Arial" w:eastAsia="Times New Roman" w:hAnsi="Arial" w:cs="Arial"/>
                <w:color w:val="000000"/>
                <w:sz w:val="16"/>
                <w:szCs w:val="16"/>
                <w:lang w:val="es-ES" w:eastAsia="es-ES"/>
              </w:rPr>
              <w:t xml:space="preserve">Diana Carolina Armenta Celis </w:t>
            </w:r>
          </w:p>
          <w:p w14:paraId="3787D0AE" w14:textId="063B93EC" w:rsidR="00EB0A4D" w:rsidRPr="00A93A86" w:rsidRDefault="00EB0A4D" w:rsidP="00EB0A4D">
            <w:pPr>
              <w:rPr>
                <w:rFonts w:ascii="Arial" w:eastAsia="Times New Roman" w:hAnsi="Arial" w:cs="Arial"/>
                <w:color w:val="000000" w:themeColor="text1"/>
                <w:sz w:val="16"/>
                <w:szCs w:val="16"/>
                <w:lang w:val="es-ES" w:eastAsia="es-ES"/>
              </w:rPr>
            </w:pPr>
            <w:r w:rsidRPr="0642704E">
              <w:rPr>
                <w:rFonts w:ascii="Arial" w:eastAsia="Times New Roman" w:hAnsi="Arial" w:cs="Arial"/>
                <w:color w:val="000000" w:themeColor="text1"/>
                <w:sz w:val="16"/>
                <w:szCs w:val="16"/>
                <w:lang w:val="es-ES" w:eastAsia="es-ES"/>
              </w:rPr>
              <w:t xml:space="preserve">Contratista de la Subdirección de Gestión Contractual   </w:t>
            </w:r>
          </w:p>
        </w:tc>
      </w:tr>
      <w:tr w:rsidR="00EB0A4D" w:rsidRPr="00EB0A4D" w14:paraId="1A9CDD66" w14:textId="77777777" w:rsidTr="0642704E">
        <w:trPr>
          <w:trHeight w:val="300"/>
        </w:trPr>
        <w:tc>
          <w:tcPr>
            <w:tcW w:w="812" w:type="dxa"/>
            <w:vAlign w:val="center"/>
            <w:hideMark/>
          </w:tcPr>
          <w:p w14:paraId="4B150A1B"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31815C" w14:textId="77777777" w:rsidR="00EB0A4D" w:rsidRPr="00EB0A4D" w:rsidRDefault="00EB0A4D" w:rsidP="00EB0A4D">
            <w:pPr>
              <w:spacing w:line="276" w:lineRule="auto"/>
              <w:rPr>
                <w:rFonts w:ascii="Arial" w:eastAsia="Calibri" w:hAnsi="Arial" w:cs="Arial"/>
                <w:sz w:val="16"/>
                <w:szCs w:val="16"/>
                <w:lang w:val="es-ES_tradnl" w:eastAsia="es-ES"/>
              </w:rPr>
            </w:pPr>
            <w:r w:rsidRPr="00EB0A4D">
              <w:rPr>
                <w:rFonts w:ascii="Arial" w:eastAsia="Calibri" w:hAnsi="Arial" w:cs="Arial"/>
                <w:sz w:val="16"/>
                <w:szCs w:val="16"/>
                <w:lang w:val="es-ES_tradnl" w:eastAsia="es-ES"/>
              </w:rPr>
              <w:t>Nohelia del Carmen Zawady Palacio</w:t>
            </w:r>
          </w:p>
          <w:p w14:paraId="633C47D7"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Calibri" w:hAnsi="Arial" w:cs="Arial"/>
                <w:sz w:val="16"/>
                <w:szCs w:val="16"/>
                <w:lang w:val="es-ES_tradnl" w:eastAsia="es-ES"/>
              </w:rPr>
              <w:t>Subdirectora de Gestión Contractual</w:t>
            </w:r>
          </w:p>
        </w:tc>
      </w:tr>
    </w:tbl>
    <w:p w14:paraId="0F293BF4" w14:textId="0F6FB6C1" w:rsidR="00127233" w:rsidRPr="006219F8" w:rsidRDefault="00127233" w:rsidP="00182432">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DD0C1" w14:textId="77777777" w:rsidR="00810C6A" w:rsidRDefault="00810C6A" w:rsidP="004A1847">
      <w:pPr>
        <w:spacing w:after="0" w:line="240" w:lineRule="auto"/>
      </w:pPr>
      <w:r>
        <w:separator/>
      </w:r>
    </w:p>
  </w:endnote>
  <w:endnote w:type="continuationSeparator" w:id="0">
    <w:p w14:paraId="4E8B2939" w14:textId="77777777" w:rsidR="00810C6A" w:rsidRDefault="00810C6A" w:rsidP="004A1847">
      <w:pPr>
        <w:spacing w:after="0" w:line="240" w:lineRule="auto"/>
      </w:pPr>
      <w:r>
        <w:continuationSeparator/>
      </w:r>
    </w:p>
  </w:endnote>
  <w:endnote w:type="continuationNotice" w:id="1">
    <w:p w14:paraId="1FA321E3" w14:textId="77777777" w:rsidR="00810C6A" w:rsidRDefault="00810C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B7735" w14:textId="77777777" w:rsidR="00810C6A" w:rsidRDefault="00810C6A" w:rsidP="004A1847">
      <w:pPr>
        <w:spacing w:after="0" w:line="240" w:lineRule="auto"/>
      </w:pPr>
      <w:r>
        <w:separator/>
      </w:r>
    </w:p>
  </w:footnote>
  <w:footnote w:type="continuationSeparator" w:id="0">
    <w:p w14:paraId="5A80EA8E" w14:textId="77777777" w:rsidR="00810C6A" w:rsidRDefault="00810C6A" w:rsidP="004A1847">
      <w:pPr>
        <w:spacing w:after="0" w:line="240" w:lineRule="auto"/>
      </w:pPr>
      <w:r>
        <w:continuationSeparator/>
      </w:r>
    </w:p>
  </w:footnote>
  <w:footnote w:type="continuationNotice" w:id="1">
    <w:p w14:paraId="5CB5B7FD" w14:textId="77777777" w:rsidR="00810C6A" w:rsidRDefault="00810C6A">
      <w:pPr>
        <w:spacing w:after="0" w:line="240" w:lineRule="auto"/>
      </w:pPr>
    </w:p>
  </w:footnote>
  <w:footnote w:id="2">
    <w:p w14:paraId="5788717F" w14:textId="136AEEB6" w:rsidR="006E583B" w:rsidRPr="003C1782" w:rsidRDefault="006E583B" w:rsidP="006E583B">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w:t>
      </w:r>
      <w:r w:rsidR="00F048FB">
        <w:rPr>
          <w:rFonts w:ascii="Arial" w:hAnsi="Arial" w:cs="Arial"/>
          <w:sz w:val="18"/>
          <w:szCs w:val="18"/>
        </w:rPr>
        <w:t>“</w:t>
      </w:r>
      <w:r w:rsidRPr="003C1782">
        <w:rPr>
          <w:rFonts w:ascii="Arial" w:hAnsi="Arial" w:cs="Arial"/>
          <w:sz w:val="18"/>
          <w:szCs w:val="18"/>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sidR="00F048FB">
        <w:rPr>
          <w:rFonts w:ascii="Arial" w:hAnsi="Arial" w:cs="Arial"/>
          <w:sz w:val="18"/>
          <w:szCs w:val="18"/>
        </w:rPr>
        <w:t>”</w:t>
      </w:r>
      <w:r w:rsidRPr="003C1782">
        <w:rPr>
          <w:rFonts w:ascii="Arial" w:hAnsi="Arial" w:cs="Arial"/>
          <w:sz w:val="18"/>
          <w:szCs w:val="18"/>
        </w:rPr>
        <w:t>.</w:t>
      </w:r>
    </w:p>
    <w:p w14:paraId="2876EB4E" w14:textId="77777777" w:rsidR="006E583B" w:rsidRPr="003C1782" w:rsidRDefault="006E583B" w:rsidP="006E583B">
      <w:pPr>
        <w:pStyle w:val="Textonotapie"/>
        <w:ind w:firstLine="709"/>
        <w:jc w:val="both"/>
        <w:rPr>
          <w:rFonts w:ascii="Arial" w:hAnsi="Arial" w:cs="Arial"/>
          <w:sz w:val="18"/>
          <w:szCs w:val="18"/>
          <w:lang w:val="es-CO"/>
        </w:rPr>
      </w:pPr>
    </w:p>
  </w:footnote>
  <w:footnote w:id="3">
    <w:p w14:paraId="752DE4D4" w14:textId="075B82D6" w:rsidR="006E583B" w:rsidRPr="003C1782" w:rsidRDefault="006E583B" w:rsidP="006E583B">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3C1782">
        <w:rPr>
          <w:rFonts w:ascii="Arial" w:hAnsi="Arial" w:cs="Arial"/>
          <w:sz w:val="18"/>
          <w:szCs w:val="18"/>
        </w:rPr>
        <w:t xml:space="preserve"> </w:t>
      </w:r>
      <w:r w:rsidRPr="003C1782">
        <w:rPr>
          <w:rFonts w:ascii="Arial" w:hAnsi="Arial" w:cs="Arial"/>
          <w:sz w:val="18"/>
          <w:szCs w:val="18"/>
          <w:lang w:val="es-CO"/>
        </w:rPr>
        <w:t xml:space="preserve">Ley 1882 de 2018: </w:t>
      </w:r>
      <w:r w:rsidR="00F048FB">
        <w:rPr>
          <w:rFonts w:ascii="Arial" w:hAnsi="Arial" w:cs="Arial"/>
          <w:sz w:val="18"/>
          <w:szCs w:val="18"/>
          <w:lang w:val="es-CO"/>
        </w:rPr>
        <w:t>“</w:t>
      </w:r>
      <w:r w:rsidRPr="003C1782">
        <w:rPr>
          <w:rFonts w:ascii="Arial" w:hAnsi="Arial" w:cs="Arial"/>
          <w:sz w:val="18"/>
          <w:szCs w:val="18"/>
          <w:lang w:val="es-CO"/>
        </w:rPr>
        <w:t xml:space="preserve">Artículo 4. </w:t>
      </w:r>
      <w:r w:rsidRPr="003C1782">
        <w:rPr>
          <w:rFonts w:ascii="Arial" w:hAnsi="Arial" w:cs="Arial"/>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CB07C84" w14:textId="2C2156AF" w:rsidR="006E583B" w:rsidRPr="003C1782" w:rsidRDefault="00F048FB" w:rsidP="006E583B">
      <w:pPr>
        <w:pStyle w:val="Textonotapie"/>
        <w:ind w:firstLine="709"/>
        <w:jc w:val="both"/>
        <w:rPr>
          <w:rFonts w:ascii="Arial" w:hAnsi="Arial" w:cs="Arial"/>
          <w:sz w:val="18"/>
          <w:szCs w:val="18"/>
          <w:lang w:val="es-CO"/>
        </w:rPr>
      </w:pPr>
      <w:r>
        <w:rPr>
          <w:rFonts w:ascii="Arial" w:hAnsi="Arial" w:cs="Arial"/>
          <w:sz w:val="18"/>
          <w:szCs w:val="18"/>
          <w:lang w:val="es-CO"/>
        </w:rPr>
        <w:t>“</w:t>
      </w:r>
      <w:r w:rsidR="006E583B" w:rsidRPr="003C1782">
        <w:rPr>
          <w:rFonts w:ascii="Arial" w:hAnsi="Arial" w:cs="Arial"/>
          <w:sz w:val="18"/>
          <w:szCs w:val="18"/>
          <w:lang w:val="es-CO"/>
        </w:rPr>
        <w:t>La facultad de adoptar documentos tipo la tendrá el Gobierno nacional, cuando lo considere necesario, en relación con otros contratos o procesos de selección.</w:t>
      </w:r>
    </w:p>
    <w:p w14:paraId="19A5DC8D" w14:textId="684DC161" w:rsidR="006E583B" w:rsidRPr="003C1782" w:rsidRDefault="00F048FB" w:rsidP="006E583B">
      <w:pPr>
        <w:pStyle w:val="Textonotapie"/>
        <w:ind w:firstLine="709"/>
        <w:jc w:val="both"/>
        <w:rPr>
          <w:rFonts w:ascii="Arial" w:hAnsi="Arial" w:cs="Arial"/>
          <w:sz w:val="18"/>
          <w:szCs w:val="18"/>
          <w:lang w:val="es-CO"/>
        </w:rPr>
      </w:pPr>
      <w:r>
        <w:rPr>
          <w:rFonts w:ascii="Arial" w:hAnsi="Arial" w:cs="Arial"/>
          <w:sz w:val="18"/>
          <w:szCs w:val="18"/>
          <w:lang w:val="es-CO"/>
        </w:rPr>
        <w:t>“</w:t>
      </w:r>
      <w:r w:rsidR="006E583B" w:rsidRPr="003C1782">
        <w:rPr>
          <w:rFonts w:ascii="Arial" w:hAnsi="Arial" w:cs="Arial"/>
          <w:sz w:val="18"/>
          <w:szCs w:val="18"/>
          <w:lang w:val="es-CO"/>
        </w:rPr>
        <w:t>Los pliegos tipo se adoptarán por categorías de acuerdo con la cuantía de la contratación, según la reglamentación que expida el Gobierno nacional</w:t>
      </w:r>
      <w:r>
        <w:rPr>
          <w:rFonts w:ascii="Arial" w:hAnsi="Arial" w:cs="Arial"/>
          <w:sz w:val="18"/>
          <w:szCs w:val="18"/>
          <w:lang w:val="es-CO"/>
        </w:rPr>
        <w:t>”</w:t>
      </w:r>
      <w:r w:rsidR="006E583B" w:rsidRPr="003C1782">
        <w:rPr>
          <w:rFonts w:ascii="Arial" w:hAnsi="Arial" w:cs="Arial"/>
          <w:sz w:val="18"/>
          <w:szCs w:val="18"/>
          <w:lang w:val="es-CO"/>
        </w:rPr>
        <w:t>.</w:t>
      </w:r>
    </w:p>
    <w:p w14:paraId="0B0AC5CC" w14:textId="77777777" w:rsidR="006E583B" w:rsidRPr="003C1782" w:rsidRDefault="006E583B" w:rsidP="006E583B">
      <w:pPr>
        <w:pStyle w:val="Textonotapie"/>
        <w:ind w:firstLine="709"/>
        <w:jc w:val="both"/>
        <w:rPr>
          <w:rFonts w:ascii="Arial" w:hAnsi="Arial" w:cs="Arial"/>
          <w:sz w:val="18"/>
          <w:szCs w:val="18"/>
          <w:lang w:val="es-CO"/>
        </w:rPr>
      </w:pPr>
    </w:p>
  </w:footnote>
  <w:footnote w:id="4">
    <w:p w14:paraId="3752DBE8" w14:textId="51580443" w:rsidR="006E583B" w:rsidRPr="003C1782" w:rsidRDefault="006E583B" w:rsidP="006E583B">
      <w:pPr>
        <w:pStyle w:val="Textonotapie"/>
        <w:ind w:firstLine="709"/>
        <w:jc w:val="both"/>
        <w:rPr>
          <w:rFonts w:ascii="Arial" w:hAnsi="Arial" w:cs="Arial"/>
          <w:sz w:val="18"/>
          <w:szCs w:val="18"/>
        </w:rPr>
      </w:pPr>
      <w:r w:rsidRPr="003C1782">
        <w:rPr>
          <w:rStyle w:val="Refdenotaalpie"/>
          <w:rFonts w:ascii="Arial" w:hAnsi="Arial" w:cs="Arial"/>
          <w:sz w:val="18"/>
          <w:szCs w:val="18"/>
        </w:rPr>
        <w:footnoteRef/>
      </w:r>
      <w:r w:rsidRPr="004E1A48">
        <w:rPr>
          <w:rFonts w:ascii="Arial" w:hAnsi="Arial" w:cs="Arial"/>
          <w:sz w:val="18"/>
          <w:szCs w:val="18"/>
          <w:lang w:val="pt-BR"/>
        </w:rPr>
        <w:t xml:space="preserve"> Corte Constitucional. Sentencia C-119 de 2020. </w:t>
      </w:r>
      <w:r w:rsidRPr="003C1782">
        <w:rPr>
          <w:rFonts w:ascii="Arial" w:hAnsi="Arial" w:cs="Arial"/>
          <w:sz w:val="18"/>
          <w:szCs w:val="18"/>
        </w:rPr>
        <w:t xml:space="preserve">M.P. Alejandro Linares Cantillo. </w:t>
      </w:r>
      <w:r w:rsidR="00F048FB">
        <w:rPr>
          <w:rFonts w:ascii="Arial" w:hAnsi="Arial" w:cs="Arial"/>
          <w:sz w:val="18"/>
          <w:szCs w:val="18"/>
        </w:rPr>
        <w:t>“</w:t>
      </w:r>
      <w:r w:rsidRPr="003C1782">
        <w:rPr>
          <w:rFonts w:ascii="Arial" w:hAnsi="Arial" w:cs="Arial"/>
          <w:sz w:val="18"/>
          <w:szCs w:val="18"/>
        </w:rPr>
        <w:t>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r w:rsidR="00F048FB">
        <w:rPr>
          <w:rFonts w:ascii="Arial" w:hAnsi="Arial" w:cs="Arial"/>
          <w:sz w:val="18"/>
          <w:szCs w:val="18"/>
        </w:rPr>
        <w:t>”</w:t>
      </w:r>
      <w:r w:rsidRPr="003C1782">
        <w:rPr>
          <w:rFonts w:ascii="Arial" w:hAnsi="Arial" w:cs="Arial"/>
          <w:sz w:val="18"/>
          <w:szCs w:val="18"/>
        </w:rPr>
        <w:t>.</w:t>
      </w:r>
    </w:p>
    <w:p w14:paraId="00CB20FC" w14:textId="77777777" w:rsidR="006E583B" w:rsidRPr="003C1782" w:rsidRDefault="006E583B" w:rsidP="006E583B">
      <w:pPr>
        <w:pStyle w:val="Textonotapie"/>
        <w:ind w:firstLine="709"/>
        <w:jc w:val="both"/>
        <w:rPr>
          <w:rFonts w:ascii="Arial" w:hAnsi="Arial" w:cs="Arial"/>
          <w:sz w:val="18"/>
          <w:szCs w:val="18"/>
        </w:rPr>
      </w:pPr>
    </w:p>
  </w:footnote>
  <w:footnote w:id="5">
    <w:p w14:paraId="0BBD24E3" w14:textId="77777777" w:rsidR="006E583B" w:rsidRPr="003C1782" w:rsidRDefault="006E583B" w:rsidP="006E583B">
      <w:pPr>
        <w:pStyle w:val="Normal11pt"/>
        <w:ind w:firstLine="709"/>
        <w:rPr>
          <w:rFonts w:eastAsia="Calibri"/>
          <w:color w:val="000000" w:themeColor="text1"/>
          <w:sz w:val="18"/>
          <w:szCs w:val="18"/>
        </w:rPr>
      </w:pPr>
      <w:r w:rsidRPr="003C1782">
        <w:rPr>
          <w:rStyle w:val="Refdenotaalpie"/>
          <w:sz w:val="18"/>
          <w:szCs w:val="18"/>
        </w:rPr>
        <w:footnoteRef/>
      </w:r>
      <w:r w:rsidRPr="003C1782">
        <w:rPr>
          <w:sz w:val="18"/>
          <w:szCs w:val="18"/>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723CDAED" w14:textId="77777777" w:rsidR="006E583B" w:rsidRPr="003C1782" w:rsidRDefault="006E583B" w:rsidP="006E583B">
      <w:pPr>
        <w:pStyle w:val="Textonotapie"/>
        <w:jc w:val="both"/>
        <w:rPr>
          <w:rFonts w:ascii="Arial" w:hAnsi="Arial" w:cs="Arial"/>
          <w:sz w:val="18"/>
          <w:szCs w:val="18"/>
        </w:rPr>
      </w:pPr>
    </w:p>
  </w:footnote>
  <w:footnote w:id="6">
    <w:p w14:paraId="23A79FDC" w14:textId="2FF20FDD" w:rsidR="006E583B" w:rsidRPr="002A46CC" w:rsidRDefault="006E583B" w:rsidP="006E583B">
      <w:pPr>
        <w:pStyle w:val="Textonotapie"/>
        <w:ind w:firstLine="708"/>
        <w:jc w:val="both"/>
      </w:pPr>
      <w:r>
        <w:rPr>
          <w:rStyle w:val="Refdenotaalpie"/>
        </w:rPr>
        <w:footnoteRef/>
      </w:r>
      <w:r>
        <w:t xml:space="preserve"> </w:t>
      </w:r>
      <w:r w:rsidR="00F048FB">
        <w:t>“</w:t>
      </w:r>
      <w:r w:rsidRPr="00EF0E26">
        <w:rPr>
          <w:rFonts w:ascii="Arial" w:eastAsia="Calibri" w:hAnsi="Arial" w:cs="Arial"/>
          <w:sz w:val="19"/>
          <w:szCs w:val="19"/>
          <w:lang w:val="es-ES" w:eastAsia="es-ES"/>
        </w:rPr>
        <w:t>Artículo 179 – VIGENCIA.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Esta resolución</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rige</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partir</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de</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su</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publicación</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y</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aplicará</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a</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los</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Procesos</w:t>
      </w:r>
      <w:r>
        <w:rPr>
          <w:rFonts w:ascii="Arial" w:eastAsia="Calibri" w:hAnsi="Arial" w:cs="Arial"/>
          <w:sz w:val="19"/>
          <w:szCs w:val="19"/>
          <w:lang w:val="es-ES" w:eastAsia="es-ES"/>
        </w:rPr>
        <w:t xml:space="preserve"> </w:t>
      </w:r>
      <w:r w:rsidRPr="00EF0E26">
        <w:rPr>
          <w:rFonts w:ascii="Arial" w:eastAsia="Calibri" w:hAnsi="Arial" w:cs="Arial"/>
          <w:sz w:val="19"/>
          <w:szCs w:val="19"/>
          <w:lang w:val="es-ES" w:eastAsia="es-ES"/>
        </w:rPr>
        <w:t>de Contratación cuyo aviso de convocatoria se publique a partir del 29 de agosto de 2022</w:t>
      </w:r>
      <w:r w:rsidR="00F048FB">
        <w:rPr>
          <w:rFonts w:ascii="Arial" w:eastAsia="Calibri" w:hAnsi="Arial" w:cs="Arial"/>
          <w:sz w:val="19"/>
          <w:szCs w:val="19"/>
          <w:lang w:val="es-ES" w:eastAsia="es-ES"/>
        </w:rPr>
        <w:t>”</w:t>
      </w:r>
      <w:r w:rsidRPr="00EF0E26">
        <w:rPr>
          <w:rFonts w:ascii="Arial" w:eastAsia="Calibri" w:hAnsi="Arial" w:cs="Arial"/>
          <w:sz w:val="19"/>
          <w:szCs w:val="19"/>
          <w:lang w:val="es-ES" w:eastAsia="es-ES"/>
        </w:rPr>
        <w:t>.</w:t>
      </w:r>
    </w:p>
  </w:footnote>
  <w:footnote w:id="7">
    <w:p w14:paraId="70AC906A" w14:textId="77777777" w:rsidR="006E583B" w:rsidRPr="003C1782" w:rsidRDefault="006E583B" w:rsidP="006E583B">
      <w:pPr>
        <w:pStyle w:val="Textonotapie"/>
        <w:ind w:firstLine="708"/>
        <w:rPr>
          <w:rFonts w:ascii="Arial" w:hAnsi="Arial" w:cs="Arial"/>
          <w:sz w:val="18"/>
          <w:szCs w:val="18"/>
          <w:lang w:val="es-ES"/>
        </w:rPr>
      </w:pPr>
      <w:r w:rsidRPr="003C1782">
        <w:rPr>
          <w:rStyle w:val="Refdenotaalpie"/>
          <w:rFonts w:ascii="Arial" w:hAnsi="Arial" w:cs="Arial"/>
          <w:sz w:val="18"/>
          <w:szCs w:val="18"/>
        </w:rPr>
        <w:footnoteRef/>
      </w:r>
      <w:r w:rsidRPr="003C1782">
        <w:rPr>
          <w:rFonts w:ascii="Arial" w:hAnsi="Arial" w:cs="Arial"/>
          <w:sz w:val="18"/>
          <w:szCs w:val="18"/>
        </w:rPr>
        <w:t xml:space="preserve"> Código: CCE-EICP-GI-14. Versión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7143F"/>
    <w:rsid w:val="00083334"/>
    <w:rsid w:val="000956CF"/>
    <w:rsid w:val="000A683E"/>
    <w:rsid w:val="000C0314"/>
    <w:rsid w:val="000D5C17"/>
    <w:rsid w:val="0011595A"/>
    <w:rsid w:val="001220C5"/>
    <w:rsid w:val="001267F7"/>
    <w:rsid w:val="00127233"/>
    <w:rsid w:val="00130999"/>
    <w:rsid w:val="00164D81"/>
    <w:rsid w:val="00182432"/>
    <w:rsid w:val="001A1011"/>
    <w:rsid w:val="001A48D0"/>
    <w:rsid w:val="00240D82"/>
    <w:rsid w:val="002653C1"/>
    <w:rsid w:val="0026611D"/>
    <w:rsid w:val="002810D3"/>
    <w:rsid w:val="002951A0"/>
    <w:rsid w:val="002A64FD"/>
    <w:rsid w:val="002D104A"/>
    <w:rsid w:val="002E0398"/>
    <w:rsid w:val="002F0839"/>
    <w:rsid w:val="00301469"/>
    <w:rsid w:val="00306EE1"/>
    <w:rsid w:val="00310B9B"/>
    <w:rsid w:val="003235F0"/>
    <w:rsid w:val="00331306"/>
    <w:rsid w:val="00342860"/>
    <w:rsid w:val="0036461C"/>
    <w:rsid w:val="00367884"/>
    <w:rsid w:val="00393869"/>
    <w:rsid w:val="0039439C"/>
    <w:rsid w:val="003B69E7"/>
    <w:rsid w:val="003C013B"/>
    <w:rsid w:val="003D0F4D"/>
    <w:rsid w:val="003F3A07"/>
    <w:rsid w:val="003F58A1"/>
    <w:rsid w:val="00410DD6"/>
    <w:rsid w:val="004134C9"/>
    <w:rsid w:val="0043138C"/>
    <w:rsid w:val="00462A59"/>
    <w:rsid w:val="004A1847"/>
    <w:rsid w:val="004B43FC"/>
    <w:rsid w:val="004B6B0E"/>
    <w:rsid w:val="004D25B3"/>
    <w:rsid w:val="00506C39"/>
    <w:rsid w:val="00511405"/>
    <w:rsid w:val="00520D34"/>
    <w:rsid w:val="00526E9D"/>
    <w:rsid w:val="00547856"/>
    <w:rsid w:val="00547A74"/>
    <w:rsid w:val="005566AA"/>
    <w:rsid w:val="005566E8"/>
    <w:rsid w:val="005746AB"/>
    <w:rsid w:val="0059357F"/>
    <w:rsid w:val="005A1130"/>
    <w:rsid w:val="005B33C2"/>
    <w:rsid w:val="005D65C8"/>
    <w:rsid w:val="005D75AE"/>
    <w:rsid w:val="006219F8"/>
    <w:rsid w:val="00630E52"/>
    <w:rsid w:val="00643731"/>
    <w:rsid w:val="00672552"/>
    <w:rsid w:val="0067263D"/>
    <w:rsid w:val="00681FDB"/>
    <w:rsid w:val="006A7DAD"/>
    <w:rsid w:val="006D70BA"/>
    <w:rsid w:val="006E583B"/>
    <w:rsid w:val="006F1539"/>
    <w:rsid w:val="007106E6"/>
    <w:rsid w:val="007566FE"/>
    <w:rsid w:val="0076726F"/>
    <w:rsid w:val="0077144B"/>
    <w:rsid w:val="00793403"/>
    <w:rsid w:val="00793446"/>
    <w:rsid w:val="007C0CDF"/>
    <w:rsid w:val="007E2A2F"/>
    <w:rsid w:val="007F2B7C"/>
    <w:rsid w:val="00810C6A"/>
    <w:rsid w:val="00811651"/>
    <w:rsid w:val="00817950"/>
    <w:rsid w:val="00820F5B"/>
    <w:rsid w:val="00825CE1"/>
    <w:rsid w:val="00833452"/>
    <w:rsid w:val="00843EFF"/>
    <w:rsid w:val="008614E5"/>
    <w:rsid w:val="008642E3"/>
    <w:rsid w:val="008678EB"/>
    <w:rsid w:val="00875894"/>
    <w:rsid w:val="0088159D"/>
    <w:rsid w:val="00881C10"/>
    <w:rsid w:val="00890411"/>
    <w:rsid w:val="008B53F2"/>
    <w:rsid w:val="008D5C70"/>
    <w:rsid w:val="009025AF"/>
    <w:rsid w:val="00904F23"/>
    <w:rsid w:val="00906B3C"/>
    <w:rsid w:val="0095342C"/>
    <w:rsid w:val="009771E2"/>
    <w:rsid w:val="009D19B1"/>
    <w:rsid w:val="009E20A1"/>
    <w:rsid w:val="009F33F2"/>
    <w:rsid w:val="009F6C77"/>
    <w:rsid w:val="00A07532"/>
    <w:rsid w:val="00A1085C"/>
    <w:rsid w:val="00A309E2"/>
    <w:rsid w:val="00A8066E"/>
    <w:rsid w:val="00A93A86"/>
    <w:rsid w:val="00AA4B8A"/>
    <w:rsid w:val="00AA6BF7"/>
    <w:rsid w:val="00AC7A74"/>
    <w:rsid w:val="00AD09FD"/>
    <w:rsid w:val="00AF29F7"/>
    <w:rsid w:val="00B01ED6"/>
    <w:rsid w:val="00B06D09"/>
    <w:rsid w:val="00B50112"/>
    <w:rsid w:val="00B771A9"/>
    <w:rsid w:val="00B809BB"/>
    <w:rsid w:val="00B8248A"/>
    <w:rsid w:val="00BB7726"/>
    <w:rsid w:val="00BD787D"/>
    <w:rsid w:val="00BE5C28"/>
    <w:rsid w:val="00C2329E"/>
    <w:rsid w:val="00C30461"/>
    <w:rsid w:val="00C754BE"/>
    <w:rsid w:val="00C87572"/>
    <w:rsid w:val="00C9405D"/>
    <w:rsid w:val="00C9734C"/>
    <w:rsid w:val="00CC05CE"/>
    <w:rsid w:val="00CC1B26"/>
    <w:rsid w:val="00CD284F"/>
    <w:rsid w:val="00CF23AA"/>
    <w:rsid w:val="00D01921"/>
    <w:rsid w:val="00D2628E"/>
    <w:rsid w:val="00D478D3"/>
    <w:rsid w:val="00D752B7"/>
    <w:rsid w:val="00DA1854"/>
    <w:rsid w:val="00DB0887"/>
    <w:rsid w:val="00DD0265"/>
    <w:rsid w:val="00DF1E43"/>
    <w:rsid w:val="00E018CF"/>
    <w:rsid w:val="00E031D9"/>
    <w:rsid w:val="00E159DF"/>
    <w:rsid w:val="00E20894"/>
    <w:rsid w:val="00E26B7C"/>
    <w:rsid w:val="00E663BD"/>
    <w:rsid w:val="00E74485"/>
    <w:rsid w:val="00EA3003"/>
    <w:rsid w:val="00EA4291"/>
    <w:rsid w:val="00EA6507"/>
    <w:rsid w:val="00EB0A4D"/>
    <w:rsid w:val="00EB3C91"/>
    <w:rsid w:val="00EB66DA"/>
    <w:rsid w:val="00F03A3B"/>
    <w:rsid w:val="00F048FB"/>
    <w:rsid w:val="00F605F2"/>
    <w:rsid w:val="00F76AFC"/>
    <w:rsid w:val="00F8319B"/>
    <w:rsid w:val="00FA5516"/>
    <w:rsid w:val="00FD6F73"/>
    <w:rsid w:val="00FF4245"/>
    <w:rsid w:val="0642704E"/>
    <w:rsid w:val="1CC63BF5"/>
    <w:rsid w:val="205B834B"/>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EB0A4D"/>
    <w:rPr>
      <w:rFonts w:ascii="Times New Roman" w:hAnsi="Times New Roman" w:cs="Times New Roman"/>
      <w:sz w:val="24"/>
      <w:szCs w:val="24"/>
    </w:rPr>
  </w:style>
  <w:style w:type="table" w:customStyle="1" w:styleId="Tablaconcuadrcula1">
    <w:name w:val="Tabla con cuadrícula1"/>
    <w:basedOn w:val="Tablanormal"/>
    <w:next w:val="Tablaconcuadrcula"/>
    <w:uiPriority w:val="39"/>
    <w:rsid w:val="00EB0A4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B0A4D"/>
    <w:pPr>
      <w:spacing w:line="240" w:lineRule="exact"/>
      <w:jc w:val="both"/>
    </w:pPr>
    <w:rPr>
      <w:vertAlign w:val="superscript"/>
    </w:rPr>
  </w:style>
  <w:style w:type="table" w:customStyle="1" w:styleId="Tablaconcuadrcula11">
    <w:name w:val="Tabla con cuadrícula11"/>
    <w:basedOn w:val="Tablanormal"/>
    <w:next w:val="Tablaconcuadrcula"/>
    <w:uiPriority w:val="39"/>
    <w:rsid w:val="00EB0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EB0A4D"/>
  </w:style>
  <w:style w:type="paragraph" w:customStyle="1" w:styleId="Normal11pt">
    <w:name w:val="Normal + 11 pt"/>
    <w:aliases w:val="Negro,Justificado,Izquierda:  -0,95 cm,Derecha:  0,04 cm"/>
    <w:basedOn w:val="Normal"/>
    <w:uiPriority w:val="99"/>
    <w:rsid w:val="006E583B"/>
    <w:pPr>
      <w:spacing w:after="0" w:line="240" w:lineRule="auto"/>
      <w:ind w:left="-540"/>
      <w:jc w:val="both"/>
    </w:pPr>
    <w:rPr>
      <w:rFonts w:ascii="Arial" w:eastAsia="Times New Roman" w:hAnsi="Arial" w:cs="Arial"/>
      <w:color w:val="000000"/>
      <w:lang w:val="es-ES_tradnl" w:eastAsia="es-ES"/>
    </w:rPr>
  </w:style>
  <w:style w:type="character" w:styleId="Hipervnculo">
    <w:name w:val="Hyperlink"/>
    <w:basedOn w:val="Fuentedeprrafopredeter"/>
    <w:uiPriority w:val="99"/>
    <w:unhideWhenUsed/>
    <w:rsid w:val="006E58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2DDE732-6BA7-4EE1-8CFC-E227AC240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5990</Words>
  <Characters>32946</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Olga Isabel Pertuz De La Hoz</cp:lastModifiedBy>
  <cp:revision>3</cp:revision>
  <dcterms:created xsi:type="dcterms:W3CDTF">2023-06-30T20:04:00Z</dcterms:created>
  <dcterms:modified xsi:type="dcterms:W3CDTF">2023-07-10T14:22:00Z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