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BC263" w14:textId="420D4BBF" w:rsidR="00754B06" w:rsidRDefault="00754B06" w:rsidP="00307833">
      <w:pPr>
        <w:spacing w:after="200" w:line="276" w:lineRule="auto"/>
        <w:jc w:val="both"/>
        <w:rPr>
          <w:rFonts w:ascii="Arial" w:eastAsia="Calibri" w:hAnsi="Arial" w:cs="Arial"/>
          <w:b/>
          <w:sz w:val="22"/>
          <w:szCs w:val="22"/>
          <w:lang w:val="es-ES_tradnl"/>
        </w:rPr>
      </w:pPr>
      <w:r w:rsidRPr="00754B06">
        <w:rPr>
          <w:rFonts w:ascii="Arial" w:eastAsia="Calibri" w:hAnsi="Arial" w:cs="Arial"/>
          <w:b/>
          <w:sz w:val="22"/>
          <w:szCs w:val="22"/>
          <w:lang w:val="es-ES_tradnl"/>
        </w:rPr>
        <w:t>LEY DE EMPRENDIMIENTO – Ley 2069 de 2020 – Vigencia</w:t>
      </w:r>
    </w:p>
    <w:p w14:paraId="7B573A63" w14:textId="77777777" w:rsidR="007A5741" w:rsidRPr="007A5741" w:rsidRDefault="007A5741" w:rsidP="007A5741">
      <w:pPr>
        <w:spacing w:after="200"/>
        <w:jc w:val="both"/>
        <w:rPr>
          <w:rFonts w:ascii="Arial" w:eastAsia="Calibri" w:hAnsi="Arial" w:cs="Arial"/>
          <w:bCs/>
          <w:sz w:val="20"/>
          <w:szCs w:val="20"/>
          <w:lang w:val="es-ES_tradnl"/>
        </w:rPr>
      </w:pPr>
      <w:r w:rsidRPr="007A5741">
        <w:rPr>
          <w:rFonts w:ascii="Arial" w:eastAsia="Calibri" w:hAnsi="Arial" w:cs="Arial"/>
          <w:bCs/>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DBE7BCB" w14:textId="06ABF40B" w:rsidR="007A5741" w:rsidRDefault="007A5741" w:rsidP="007A5741">
      <w:pPr>
        <w:spacing w:after="200"/>
        <w:jc w:val="both"/>
        <w:rPr>
          <w:rFonts w:ascii="Arial" w:eastAsia="Calibri" w:hAnsi="Arial" w:cs="Arial"/>
          <w:bCs/>
          <w:sz w:val="20"/>
          <w:szCs w:val="20"/>
          <w:lang w:val="es-ES_tradnl"/>
        </w:rPr>
      </w:pPr>
      <w:r w:rsidRPr="007A5741">
        <w:rPr>
          <w:rFonts w:ascii="Arial" w:eastAsia="Calibri" w:hAnsi="Arial" w:cs="Arial"/>
          <w:bCs/>
          <w:sz w:val="20"/>
          <w:szCs w:val="20"/>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7A5741">
        <w:rPr>
          <w:rFonts w:ascii="Arial" w:eastAsia="Calibri" w:hAnsi="Arial" w:cs="Arial"/>
          <w:bCs/>
          <w:sz w:val="20"/>
          <w:szCs w:val="20"/>
          <w:lang w:val="es-ES_tradnl"/>
        </w:rPr>
        <w:t>de acuerdo a</w:t>
      </w:r>
      <w:proofErr w:type="gramEnd"/>
      <w:r w:rsidRPr="007A5741">
        <w:rPr>
          <w:rFonts w:ascii="Arial" w:eastAsia="Calibri" w:hAnsi="Arial" w:cs="Arial"/>
          <w:bCs/>
          <w:sz w:val="20"/>
          <w:szCs w:val="20"/>
          <w:lang w:val="es-ES_tradnl"/>
        </w:rPr>
        <w:t xml:space="preserve"> las realidades socioeconómicas de cada región». En desarrollo de esta finalidad, se establecen medidas de apoyo para las micro, pequeñas y medianas empresas –</w:t>
      </w:r>
      <w:proofErr w:type="spellStart"/>
      <w:r w:rsidRPr="007A5741">
        <w:rPr>
          <w:rFonts w:ascii="Arial" w:eastAsia="Calibri" w:hAnsi="Arial" w:cs="Arial"/>
          <w:bCs/>
          <w:sz w:val="20"/>
          <w:szCs w:val="20"/>
          <w:lang w:val="es-ES_tradnl"/>
        </w:rPr>
        <w:t>mipymes</w:t>
      </w:r>
      <w:proofErr w:type="spellEnd"/>
      <w:r w:rsidRPr="007A5741">
        <w:rPr>
          <w:rFonts w:ascii="Arial" w:eastAsia="Calibri" w:hAnsi="Arial" w:cs="Arial"/>
          <w:bCs/>
          <w:sz w:val="20"/>
          <w:szCs w:val="20"/>
          <w:lang w:val="es-ES_tradnl"/>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6BFD5455" w14:textId="58CA0ACE" w:rsidR="00754B06" w:rsidRDefault="00754B06" w:rsidP="007A5741">
      <w:pPr>
        <w:spacing w:after="200" w:line="276" w:lineRule="auto"/>
        <w:jc w:val="both"/>
        <w:rPr>
          <w:rFonts w:ascii="Arial" w:eastAsia="Calibri" w:hAnsi="Arial" w:cs="Arial"/>
          <w:b/>
          <w:sz w:val="22"/>
          <w:szCs w:val="22"/>
          <w:lang w:val="es-ES_tradnl"/>
        </w:rPr>
      </w:pPr>
      <w:r w:rsidRPr="00754B06">
        <w:rPr>
          <w:rFonts w:ascii="Arial" w:eastAsia="Calibri" w:hAnsi="Arial" w:cs="Arial"/>
          <w:b/>
          <w:sz w:val="22"/>
          <w:szCs w:val="22"/>
          <w:lang w:val="es-ES_tradnl"/>
        </w:rPr>
        <w:t xml:space="preserve">PROMOCIÓN DEL DESARROLLO – Contratación estatal – Ley 2069 – Artículo 34 – </w:t>
      </w:r>
      <w:r w:rsidR="007A5741">
        <w:rPr>
          <w:rFonts w:ascii="Arial" w:eastAsia="Calibri" w:hAnsi="Arial" w:cs="Arial"/>
          <w:b/>
          <w:sz w:val="22"/>
          <w:szCs w:val="22"/>
          <w:lang w:val="es-ES_tradnl"/>
        </w:rPr>
        <w:t xml:space="preserve">Contenido </w:t>
      </w:r>
    </w:p>
    <w:p w14:paraId="5FE39D8A" w14:textId="77777777" w:rsidR="007A5741" w:rsidRDefault="007A5741" w:rsidP="007A5741">
      <w:pPr>
        <w:spacing w:after="200" w:line="276" w:lineRule="auto"/>
        <w:jc w:val="both"/>
        <w:rPr>
          <w:rFonts w:ascii="Arial" w:eastAsia="Calibri" w:hAnsi="Arial" w:cs="Arial"/>
          <w:bCs/>
          <w:sz w:val="20"/>
          <w:szCs w:val="20"/>
          <w:lang w:val="es-ES_tradnl"/>
        </w:rPr>
      </w:pPr>
      <w:r w:rsidRPr="007A5741">
        <w:rPr>
          <w:rFonts w:ascii="Arial" w:eastAsia="Calibri" w:hAnsi="Arial" w:cs="Arial"/>
          <w:bCs/>
          <w:sz w:val="20"/>
          <w:szCs w:val="20"/>
          <w:lang w:val="es-ES_tradnl"/>
        </w:rPr>
        <w:t>El artículo 34 de la Ley 2069 de 2020 establece nuevas reglas sobre la promoción al desarrollo en la contratación estatal. Concretamente, modifica el contenido del artículo 12 de la Ley 1150 de 2007, prescribiendo lo que se indica a continuación:</w:t>
      </w:r>
      <w:r>
        <w:rPr>
          <w:rFonts w:ascii="Arial" w:eastAsia="Calibri" w:hAnsi="Arial" w:cs="Arial"/>
          <w:bCs/>
          <w:sz w:val="20"/>
          <w:szCs w:val="20"/>
          <w:lang w:val="es-ES_tradnl"/>
        </w:rPr>
        <w:t xml:space="preserve"> </w:t>
      </w:r>
      <w:r w:rsidRPr="007A5741">
        <w:rPr>
          <w:rFonts w:ascii="Arial" w:eastAsia="Calibri" w:hAnsi="Arial" w:cs="Arial"/>
          <w:bCs/>
          <w:sz w:val="20"/>
          <w:szCs w:val="20"/>
          <w:lang w:val="es-ES_tradnl"/>
        </w:rPr>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7A5741">
        <w:rPr>
          <w:rFonts w:ascii="Arial" w:eastAsia="Calibri" w:hAnsi="Arial" w:cs="Arial"/>
          <w:bCs/>
          <w:sz w:val="20"/>
          <w:szCs w:val="20"/>
          <w:lang w:val="es-ES_tradnl"/>
        </w:rPr>
        <w:t>mipymes</w:t>
      </w:r>
      <w:proofErr w:type="spellEnd"/>
      <w:r w:rsidRPr="007A5741">
        <w:rPr>
          <w:rFonts w:ascii="Arial" w:eastAsia="Calibri" w:hAnsi="Arial" w:cs="Arial"/>
          <w:bCs/>
          <w:sz w:val="20"/>
          <w:szCs w:val="20"/>
          <w:lang w:val="es-ES_tradnl"/>
        </w:rPr>
        <w:t xml:space="preserve"> en los procesos de contratación. Y agrega que estas convocatorias se pueden realizar también en el ámbito municipal o departamental en el que se ejecute el contrato. ii) Indica que dichas convocatorias se deben efectuar –y así lo deberá reglamentar el gobierno nacional– siempre y cuando, antes del acto administrativo de apertura del proceso de selección, por lo menos dos (2) </w:t>
      </w:r>
      <w:proofErr w:type="spellStart"/>
      <w:r w:rsidRPr="007A5741">
        <w:rPr>
          <w:rFonts w:ascii="Arial" w:eastAsia="Calibri" w:hAnsi="Arial" w:cs="Arial"/>
          <w:bCs/>
          <w:sz w:val="20"/>
          <w:szCs w:val="20"/>
          <w:lang w:val="es-ES_tradnl"/>
        </w:rPr>
        <w:t>mipymes</w:t>
      </w:r>
      <w:proofErr w:type="spellEnd"/>
      <w:r w:rsidRPr="007A5741">
        <w:rPr>
          <w:rFonts w:ascii="Arial" w:eastAsia="Calibri" w:hAnsi="Arial" w:cs="Arial"/>
          <w:bCs/>
          <w:sz w:val="20"/>
          <w:szCs w:val="20"/>
          <w:lang w:val="es-ES_tradnl"/>
        </w:rPr>
        <w:t xml:space="preserve"> hayan manifestado su interés.</w:t>
      </w:r>
      <w:r>
        <w:rPr>
          <w:rFonts w:ascii="Arial" w:eastAsia="Calibri" w:hAnsi="Arial" w:cs="Arial"/>
          <w:bCs/>
          <w:sz w:val="20"/>
          <w:szCs w:val="20"/>
          <w:lang w:val="es-ES_tradnl"/>
        </w:rPr>
        <w:t xml:space="preserve"> </w:t>
      </w:r>
      <w:r w:rsidRPr="007A5741">
        <w:rPr>
          <w:rFonts w:ascii="Arial" w:eastAsia="Calibri" w:hAnsi="Arial" w:cs="Arial"/>
          <w:bCs/>
          <w:sz w:val="20"/>
          <w:szCs w:val="20"/>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r>
        <w:rPr>
          <w:rFonts w:ascii="Arial" w:eastAsia="Calibri" w:hAnsi="Arial" w:cs="Arial"/>
          <w:bCs/>
          <w:sz w:val="20"/>
          <w:szCs w:val="20"/>
          <w:lang w:val="es-ES_tradnl"/>
        </w:rPr>
        <w:t xml:space="preserve"> </w:t>
      </w:r>
      <w:r w:rsidRPr="007A5741">
        <w:rPr>
          <w:rFonts w:ascii="Arial" w:eastAsia="Calibri" w:hAnsi="Arial" w:cs="Arial"/>
          <w:bCs/>
          <w:sz w:val="20"/>
          <w:szCs w:val="20"/>
          <w:lang w:val="es-ES_tradnl"/>
        </w:rPr>
        <w:t xml:space="preserve">iv) Establece que, en el reglamento, el gobierno nacional podría establecer condiciones preferenciales para los bienes y servicios producidos por las </w:t>
      </w:r>
      <w:proofErr w:type="spellStart"/>
      <w:r w:rsidRPr="007A5741">
        <w:rPr>
          <w:rFonts w:ascii="Arial" w:eastAsia="Calibri" w:hAnsi="Arial" w:cs="Arial"/>
          <w:bCs/>
          <w:sz w:val="20"/>
          <w:szCs w:val="20"/>
          <w:lang w:val="es-ES_tradnl"/>
        </w:rPr>
        <w:t>mipymes</w:t>
      </w:r>
      <w:proofErr w:type="spellEnd"/>
      <w:r w:rsidRPr="007A5741">
        <w:rPr>
          <w:rFonts w:ascii="Arial" w:eastAsia="Calibri" w:hAnsi="Arial" w:cs="Arial"/>
          <w:bCs/>
          <w:sz w:val="20"/>
          <w:szCs w:val="20"/>
          <w:lang w:val="es-ES_tradnl"/>
        </w:rPr>
        <w:t>, sin contrariar los compromisos internacionales vigentes.</w:t>
      </w:r>
      <w:r>
        <w:rPr>
          <w:rFonts w:ascii="Arial" w:eastAsia="Calibri" w:hAnsi="Arial" w:cs="Arial"/>
          <w:bCs/>
          <w:sz w:val="20"/>
          <w:szCs w:val="20"/>
          <w:lang w:val="es-ES_tradnl"/>
        </w:rPr>
        <w:t xml:space="preserve"> </w:t>
      </w:r>
      <w:r w:rsidRPr="007A5741">
        <w:rPr>
          <w:rFonts w:ascii="Arial" w:eastAsia="Calibri" w:hAnsi="Arial" w:cs="Arial"/>
          <w:bCs/>
          <w:sz w:val="20"/>
          <w:szCs w:val="20"/>
          <w:lang w:val="es-ES_tradnl"/>
        </w:rPr>
        <w:t xml:space="preserve">v)  Aclara que tanto las convocatorias limitadas a </w:t>
      </w:r>
      <w:proofErr w:type="spellStart"/>
      <w:r w:rsidRPr="007A5741">
        <w:rPr>
          <w:rFonts w:ascii="Arial" w:eastAsia="Calibri" w:hAnsi="Arial" w:cs="Arial"/>
          <w:bCs/>
          <w:sz w:val="20"/>
          <w:szCs w:val="20"/>
          <w:lang w:val="es-ES_tradnl"/>
        </w:rPr>
        <w:t>mipymes</w:t>
      </w:r>
      <w:proofErr w:type="spellEnd"/>
      <w:r w:rsidRPr="007A5741">
        <w:rPr>
          <w:rFonts w:ascii="Arial" w:eastAsia="Calibri" w:hAnsi="Arial" w:cs="Arial"/>
          <w:bCs/>
          <w:sz w:val="20"/>
          <w:szCs w:val="20"/>
          <w:lang w:val="es-ES_tradnl"/>
        </w:rPr>
        <w:t>, como las condiciones preferenciales a favor de los bienes y servicios producidos por estas, no es óbice para que deban cumplir las exigencias técnicas y económicas del proceso de selección.</w:t>
      </w:r>
      <w:r>
        <w:rPr>
          <w:rFonts w:ascii="Arial" w:eastAsia="Calibri" w:hAnsi="Arial" w:cs="Arial"/>
          <w:bCs/>
          <w:sz w:val="20"/>
          <w:szCs w:val="20"/>
          <w:lang w:val="es-ES_tradnl"/>
        </w:rPr>
        <w:t xml:space="preserve"> </w:t>
      </w:r>
      <w:r w:rsidRPr="007A5741">
        <w:rPr>
          <w:rFonts w:ascii="Arial" w:eastAsia="Calibri" w:hAnsi="Arial" w:cs="Arial"/>
          <w:bCs/>
          <w:sz w:val="20"/>
          <w:szCs w:val="20"/>
          <w:lang w:val="es-ES_tradnl"/>
        </w:rPr>
        <w:t xml:space="preserve">vi) Señala que el reglamento que expida el gobierno nacional, además de las convocatorias limitadas a </w:t>
      </w:r>
      <w:proofErr w:type="spellStart"/>
      <w:r w:rsidRPr="007A5741">
        <w:rPr>
          <w:rFonts w:ascii="Arial" w:eastAsia="Calibri" w:hAnsi="Arial" w:cs="Arial"/>
          <w:bCs/>
          <w:sz w:val="20"/>
          <w:szCs w:val="20"/>
          <w:lang w:val="es-ES_tradnl"/>
        </w:rPr>
        <w:t>mipymes</w:t>
      </w:r>
      <w:proofErr w:type="spellEnd"/>
      <w:r w:rsidRPr="007A5741">
        <w:rPr>
          <w:rFonts w:ascii="Arial" w:eastAsia="Calibri" w:hAnsi="Arial" w:cs="Arial"/>
          <w:bCs/>
          <w:sz w:val="20"/>
          <w:szCs w:val="20"/>
          <w:lang w:val="es-ES_tradnl"/>
        </w:rPr>
        <w:t xml:space="preserve">, deberá contener disposiciones normativas que permitan la provisión de bienes y servicios, a través de la celebración de contratos estatales con algunas personas que gozan de especial protección constitucional. Entre tales </w:t>
      </w:r>
      <w:r w:rsidRPr="007A5741">
        <w:rPr>
          <w:rFonts w:ascii="Arial" w:eastAsia="Calibri" w:hAnsi="Arial" w:cs="Arial"/>
          <w:bCs/>
          <w:sz w:val="20"/>
          <w:szCs w:val="20"/>
          <w:lang w:val="es-ES_tradnl"/>
        </w:rPr>
        <w:lastRenderedPageBreak/>
        <w:t>personas se encuentran las que tengan condiciones de pobreza extrema, las desplazadas por la violencia y quienes estén en procesos de reintegración o reincorporación, entre otras que incluya el reglamento.</w:t>
      </w:r>
      <w:r>
        <w:rPr>
          <w:rFonts w:ascii="Arial" w:eastAsia="Calibri" w:hAnsi="Arial" w:cs="Arial"/>
          <w:bCs/>
          <w:sz w:val="20"/>
          <w:szCs w:val="20"/>
          <w:lang w:val="es-ES_tradnl"/>
        </w:rPr>
        <w:t xml:space="preserve"> </w:t>
      </w:r>
      <w:r w:rsidRPr="007A5741">
        <w:rPr>
          <w:rFonts w:ascii="Arial" w:eastAsia="Calibri" w:hAnsi="Arial" w:cs="Arial"/>
          <w:bCs/>
          <w:sz w:val="20"/>
          <w:szCs w:val="20"/>
          <w:lang w:val="es-ES_tradnl"/>
        </w:rPr>
        <w:t xml:space="preserve">vii) Precisa que la posibilidad de participar en convocatorias limitadas a </w:t>
      </w:r>
      <w:proofErr w:type="spellStart"/>
      <w:r w:rsidRPr="007A5741">
        <w:rPr>
          <w:rFonts w:ascii="Arial" w:eastAsia="Calibri" w:hAnsi="Arial" w:cs="Arial"/>
          <w:bCs/>
          <w:sz w:val="20"/>
          <w:szCs w:val="20"/>
          <w:lang w:val="es-ES_tradnl"/>
        </w:rPr>
        <w:t>mipymes</w:t>
      </w:r>
      <w:proofErr w:type="spellEnd"/>
      <w:r w:rsidRPr="007A5741">
        <w:rPr>
          <w:rFonts w:ascii="Arial" w:eastAsia="Calibri" w:hAnsi="Arial" w:cs="Arial"/>
          <w:bCs/>
          <w:sz w:val="20"/>
          <w:szCs w:val="20"/>
          <w:lang w:val="es-ES_tradnl"/>
        </w:rPr>
        <w:t xml:space="preserve"> se encuentra condicionada a que estas acrediten como mínimo un año de existencia, con el certificado expedido por la cámara de comercio respectiva o por la autoridad que sea competente para ello.</w:t>
      </w:r>
      <w:r>
        <w:rPr>
          <w:rFonts w:ascii="Arial" w:eastAsia="Calibri" w:hAnsi="Arial" w:cs="Arial"/>
          <w:bCs/>
          <w:sz w:val="20"/>
          <w:szCs w:val="20"/>
          <w:lang w:val="es-ES_tradnl"/>
        </w:rPr>
        <w:t xml:space="preserve"> </w:t>
      </w:r>
      <w:r w:rsidRPr="007A5741">
        <w:rPr>
          <w:rFonts w:ascii="Arial" w:eastAsia="Calibri" w:hAnsi="Arial" w:cs="Arial"/>
          <w:bCs/>
          <w:sz w:val="20"/>
          <w:szCs w:val="20"/>
          <w:lang w:val="es-ES_tradnl"/>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1F8A0D3E" w14:textId="463AFC08" w:rsidR="00754B06" w:rsidRPr="007A5741" w:rsidRDefault="00754B06" w:rsidP="007A5741">
      <w:pPr>
        <w:spacing w:after="200" w:line="276" w:lineRule="auto"/>
        <w:jc w:val="both"/>
        <w:rPr>
          <w:rFonts w:ascii="Arial" w:eastAsia="Calibri" w:hAnsi="Arial" w:cs="Arial"/>
          <w:bCs/>
          <w:sz w:val="20"/>
          <w:szCs w:val="20"/>
          <w:lang w:val="es-ES_tradnl"/>
        </w:rPr>
      </w:pPr>
      <w:r w:rsidRPr="00754B06">
        <w:rPr>
          <w:rFonts w:ascii="Arial" w:eastAsia="Calibri" w:hAnsi="Arial" w:cs="Arial"/>
          <w:b/>
          <w:sz w:val="22"/>
          <w:szCs w:val="22"/>
          <w:lang w:val="es-ES_tradnl"/>
        </w:rPr>
        <w:t>MIPYMES – Ley 2069 – Artículo 34 – Convocatorias limitadas – Vigencia.</w:t>
      </w:r>
    </w:p>
    <w:p w14:paraId="31F43C66" w14:textId="2B65ABC4" w:rsidR="00754B06" w:rsidRPr="00754B06" w:rsidRDefault="00754B06" w:rsidP="00754B06">
      <w:pPr>
        <w:spacing w:after="200"/>
        <w:jc w:val="both"/>
        <w:rPr>
          <w:rFonts w:ascii="Arial" w:eastAsia="Calibri" w:hAnsi="Arial" w:cs="Arial"/>
          <w:bCs/>
          <w:sz w:val="20"/>
          <w:szCs w:val="20"/>
          <w:lang w:val="es-ES_tradnl"/>
        </w:rPr>
      </w:pPr>
      <w:r w:rsidRPr="00754B06">
        <w:rPr>
          <w:rFonts w:ascii="Arial" w:eastAsia="Calibri" w:hAnsi="Arial" w:cs="Arial"/>
          <w:bCs/>
          <w:sz w:val="20"/>
          <w:szCs w:val="20"/>
          <w:lang w:val="es-ES_tradnl"/>
        </w:rPr>
        <w:t xml:space="preserve">[…] </w:t>
      </w:r>
      <w:r w:rsidR="007A5741" w:rsidRPr="007A5741">
        <w:rPr>
          <w:rFonts w:ascii="Arial" w:eastAsia="Calibri" w:hAnsi="Arial" w:cs="Arial"/>
          <w:bCs/>
          <w:sz w:val="20"/>
          <w:szCs w:val="20"/>
          <w:lang w:val="es-ES_tradnl"/>
        </w:rPr>
        <w:t>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«deroga […] todas las disposiciones que le sean contrarias». Entonces, puede afirmarse que, además del decaimiento del artículo 2.2.1.2.4.2.2. del Decreto 1082 de 2015, debe entenderse derogado.</w:t>
      </w:r>
    </w:p>
    <w:p w14:paraId="3E498898" w14:textId="651F23FB" w:rsidR="004C27BD" w:rsidRDefault="007A5741" w:rsidP="007A5741">
      <w:pPr>
        <w:spacing w:after="200" w:line="276" w:lineRule="auto"/>
        <w:jc w:val="both"/>
        <w:rPr>
          <w:rFonts w:ascii="Arial" w:eastAsia="Calibri" w:hAnsi="Arial" w:cs="Arial"/>
          <w:bCs/>
          <w:sz w:val="20"/>
          <w:szCs w:val="20"/>
          <w:lang w:val="es-ES_tradnl"/>
        </w:rPr>
      </w:pPr>
      <w:r w:rsidRPr="007A5741">
        <w:rPr>
          <w:rFonts w:ascii="Arial" w:eastAsia="Calibri" w:hAnsi="Arial" w:cs="Arial"/>
          <w:bCs/>
          <w:sz w:val="20"/>
          <w:szCs w:val="20"/>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7A5741">
        <w:rPr>
          <w:rFonts w:ascii="Arial" w:eastAsia="Calibri" w:hAnsi="Arial" w:cs="Arial"/>
          <w:bCs/>
          <w:sz w:val="20"/>
          <w:szCs w:val="20"/>
          <w:lang w:val="es-ES_tradnl"/>
        </w:rPr>
        <w:t>mipymes</w:t>
      </w:r>
      <w:proofErr w:type="spellEnd"/>
      <w:r w:rsidRPr="007A5741">
        <w:rPr>
          <w:rFonts w:ascii="Arial" w:eastAsia="Calibri" w:hAnsi="Arial" w:cs="Arial"/>
          <w:bCs/>
          <w:sz w:val="20"/>
          <w:szCs w:val="20"/>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7A5741">
        <w:rPr>
          <w:rFonts w:ascii="Arial" w:eastAsia="Calibri" w:hAnsi="Arial" w:cs="Arial"/>
          <w:bCs/>
          <w:sz w:val="20"/>
          <w:szCs w:val="20"/>
          <w:lang w:val="es-ES_tradnl"/>
        </w:rPr>
        <w:t>mipymes</w:t>
      </w:r>
      <w:proofErr w:type="spellEnd"/>
      <w:r w:rsidRPr="007A5741">
        <w:rPr>
          <w:rFonts w:ascii="Arial" w:eastAsia="Calibri" w:hAnsi="Arial" w:cs="Arial"/>
          <w:bCs/>
          <w:sz w:val="20"/>
          <w:szCs w:val="20"/>
          <w:lang w:val="es-ES_tradnl"/>
        </w:rPr>
        <w:t xml:space="preserve">. Por ende, mientras ello no suceda, las entidades estatales indistintamente de su régimen de contratación, los patrimonios autónomos constituidos por estas y los particulares que ejecuten recursos públicos, no pueden adoptar convocatorias limitadas a </w:t>
      </w:r>
      <w:proofErr w:type="spellStart"/>
      <w:r w:rsidRPr="007A5741">
        <w:rPr>
          <w:rFonts w:ascii="Arial" w:eastAsia="Calibri" w:hAnsi="Arial" w:cs="Arial"/>
          <w:bCs/>
          <w:sz w:val="20"/>
          <w:szCs w:val="20"/>
          <w:lang w:val="es-ES_tradnl"/>
        </w:rPr>
        <w:t>mipymes</w:t>
      </w:r>
      <w:proofErr w:type="spellEnd"/>
      <w:r w:rsidRPr="007A5741">
        <w:rPr>
          <w:rFonts w:ascii="Arial" w:eastAsia="Calibri" w:hAnsi="Arial" w:cs="Arial"/>
          <w:bCs/>
          <w:sz w:val="20"/>
          <w:szCs w:val="20"/>
          <w:lang w:val="es-ES_tradnl"/>
        </w:rPr>
        <w:t xml:space="preserve">, pues al tenor del artículo 34 de la Ley 2069 de 2020, la eficacia de esta norma quedó condicionada a la expedición del decreto reglamentario que fije las condiciones de su operatividad.    </w:t>
      </w:r>
      <w:r w:rsidR="004C27BD">
        <w:rPr>
          <w:rFonts w:ascii="Arial" w:eastAsia="Calibri" w:hAnsi="Arial" w:cs="Arial"/>
          <w:bCs/>
          <w:sz w:val="20"/>
          <w:szCs w:val="20"/>
          <w:lang w:val="es-ES_tradnl"/>
        </w:rPr>
        <w:br w:type="page"/>
      </w:r>
    </w:p>
    <w:p w14:paraId="30F44DAD" w14:textId="6D68E589" w:rsidR="00754B06" w:rsidRPr="00754B06" w:rsidRDefault="00754B06" w:rsidP="00FF0A6D">
      <w:pPr>
        <w:jc w:val="both"/>
        <w:rPr>
          <w:rFonts w:ascii="Arial" w:eastAsia="Calibri" w:hAnsi="Arial" w:cs="Arial"/>
          <w:bCs/>
          <w:sz w:val="22"/>
          <w:szCs w:val="22"/>
          <w:lang w:val="es-ES_tradnl"/>
        </w:rPr>
      </w:pPr>
    </w:p>
    <w:p w14:paraId="7F8781BE" w14:textId="3FC6B6C0" w:rsidR="00C5587F" w:rsidRDefault="00A7600B" w:rsidP="00A7600B">
      <w:pPr>
        <w:jc w:val="right"/>
        <w:rPr>
          <w:rFonts w:ascii="Arial" w:hAnsi="Arial" w:cs="Arial"/>
          <w:sz w:val="22"/>
          <w:szCs w:val="20"/>
        </w:rPr>
      </w:pPr>
      <w:r w:rsidRPr="00A7600B">
        <w:rPr>
          <w:rFonts w:ascii="Arial" w:hAnsi="Arial" w:cs="Arial"/>
          <w:sz w:val="22"/>
          <w:szCs w:val="20"/>
        </w:rPr>
        <w:drawing>
          <wp:inline distT="0" distB="0" distL="0" distR="0" wp14:anchorId="455DC109" wp14:editId="335DA249">
            <wp:extent cx="3438525" cy="917512"/>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3463598" cy="924202"/>
                    </a:xfrm>
                    <a:prstGeom prst="rect">
                      <a:avLst/>
                    </a:prstGeom>
                  </pic:spPr>
                </pic:pic>
              </a:graphicData>
            </a:graphic>
          </wp:inline>
        </w:drawing>
      </w:r>
    </w:p>
    <w:p w14:paraId="17B8B155" w14:textId="77777777" w:rsidR="00A7600B" w:rsidRDefault="00A7600B" w:rsidP="00900530">
      <w:pPr>
        <w:rPr>
          <w:rFonts w:ascii="Arial" w:hAnsi="Arial" w:cs="Arial"/>
          <w:sz w:val="22"/>
          <w:szCs w:val="20"/>
        </w:rPr>
      </w:pPr>
      <w:bookmarkStart w:id="0" w:name="_Hlk64030265"/>
    </w:p>
    <w:p w14:paraId="44BC1151" w14:textId="77777777" w:rsidR="00A7600B" w:rsidRDefault="00A7600B" w:rsidP="00900530">
      <w:pPr>
        <w:rPr>
          <w:rFonts w:ascii="Arial" w:hAnsi="Arial" w:cs="Arial"/>
          <w:sz w:val="22"/>
          <w:szCs w:val="20"/>
        </w:rPr>
      </w:pPr>
    </w:p>
    <w:p w14:paraId="261219D8" w14:textId="77777777" w:rsidR="00A7600B" w:rsidRDefault="00A7600B" w:rsidP="00900530">
      <w:pPr>
        <w:rPr>
          <w:rFonts w:ascii="Arial" w:hAnsi="Arial" w:cs="Arial"/>
          <w:sz w:val="22"/>
          <w:szCs w:val="20"/>
        </w:rPr>
      </w:pPr>
    </w:p>
    <w:p w14:paraId="00183F5E" w14:textId="7DF11DD3" w:rsidR="00900530" w:rsidRPr="00900530" w:rsidRDefault="009172B1" w:rsidP="00900530">
      <w:pPr>
        <w:rPr>
          <w:rFonts w:ascii="Arial" w:eastAsia="Arial" w:hAnsi="Arial" w:cs="Arial"/>
          <w:b/>
          <w:sz w:val="22"/>
          <w:szCs w:val="22"/>
          <w:lang w:val="es-MX" w:eastAsia="en-US"/>
        </w:rPr>
      </w:pPr>
      <w:r>
        <w:rPr>
          <w:rFonts w:ascii="Arial" w:hAnsi="Arial" w:cs="Arial"/>
          <w:sz w:val="22"/>
          <w:szCs w:val="20"/>
        </w:rPr>
        <w:t>Bogotá D.C.</w:t>
      </w:r>
      <w:bookmarkEnd w:id="0"/>
      <w:r>
        <w:rPr>
          <w:rFonts w:ascii="Arial" w:hAnsi="Arial" w:cs="Arial"/>
          <w:sz w:val="22"/>
          <w:szCs w:val="20"/>
        </w:rPr>
        <w:t xml:space="preserve">, </w:t>
      </w:r>
      <w:r w:rsidR="000D4F4E">
        <w:rPr>
          <w:rFonts w:ascii="Arial" w:eastAsia="Arial" w:hAnsi="Arial" w:cs="Arial"/>
          <w:b/>
          <w:bCs/>
          <w:sz w:val="22"/>
          <w:szCs w:val="22"/>
          <w:lang w:val="es-MX" w:eastAsia="en-US"/>
        </w:rPr>
        <w:t>11</w:t>
      </w:r>
      <w:r w:rsidR="00151DD4">
        <w:rPr>
          <w:rFonts w:ascii="Arial" w:eastAsia="Arial" w:hAnsi="Arial" w:cs="Arial"/>
          <w:b/>
          <w:bCs/>
          <w:sz w:val="22"/>
          <w:szCs w:val="22"/>
          <w:lang w:val="es-MX" w:eastAsia="en-US"/>
        </w:rPr>
        <w:t>/</w:t>
      </w:r>
      <w:r w:rsidR="000D4F4E">
        <w:rPr>
          <w:rFonts w:ascii="Arial" w:eastAsia="Arial" w:hAnsi="Arial" w:cs="Arial"/>
          <w:b/>
          <w:bCs/>
          <w:sz w:val="22"/>
          <w:szCs w:val="22"/>
          <w:lang w:val="es-MX" w:eastAsia="en-US"/>
        </w:rPr>
        <w:t>05</w:t>
      </w:r>
      <w:r w:rsidR="00151DD4">
        <w:rPr>
          <w:rFonts w:ascii="Arial" w:eastAsia="Arial" w:hAnsi="Arial" w:cs="Arial"/>
          <w:b/>
          <w:bCs/>
          <w:sz w:val="22"/>
          <w:szCs w:val="22"/>
          <w:lang w:val="es-MX" w:eastAsia="en-US"/>
        </w:rPr>
        <w:t>/</w:t>
      </w:r>
      <w:r w:rsidR="000D4F4E">
        <w:rPr>
          <w:rFonts w:ascii="Arial" w:eastAsia="Arial" w:hAnsi="Arial" w:cs="Arial"/>
          <w:b/>
          <w:bCs/>
          <w:sz w:val="22"/>
          <w:szCs w:val="22"/>
          <w:lang w:val="es-MX" w:eastAsia="en-US"/>
        </w:rPr>
        <w:t>2021</w:t>
      </w:r>
    </w:p>
    <w:p w14:paraId="2153E1FF" w14:textId="77777777" w:rsidR="004C27BD" w:rsidRDefault="004C27BD" w:rsidP="00900530">
      <w:pPr>
        <w:rPr>
          <w:rFonts w:ascii="Arial" w:hAnsi="Arial" w:cs="Arial"/>
          <w:bCs/>
          <w:color w:val="000000" w:themeColor="text1"/>
          <w:sz w:val="22"/>
          <w:lang w:val="es-ES_tradnl"/>
        </w:rPr>
      </w:pPr>
    </w:p>
    <w:p w14:paraId="12C8F066" w14:textId="58A0867A" w:rsidR="00900530" w:rsidRPr="00900530" w:rsidRDefault="00900530" w:rsidP="00900530">
      <w:pPr>
        <w:rPr>
          <w:rFonts w:ascii="Arial" w:hAnsi="Arial" w:cs="Arial"/>
          <w:bCs/>
          <w:color w:val="000000" w:themeColor="text1"/>
          <w:sz w:val="22"/>
          <w:lang w:val="es-ES_tradnl"/>
        </w:rPr>
      </w:pPr>
      <w:r w:rsidRPr="00900530">
        <w:rPr>
          <w:rFonts w:ascii="Arial" w:hAnsi="Arial" w:cs="Arial"/>
          <w:bCs/>
          <w:color w:val="000000" w:themeColor="text1"/>
          <w:sz w:val="22"/>
          <w:lang w:val="es-ES_tradnl"/>
        </w:rPr>
        <w:t>Señor</w:t>
      </w:r>
    </w:p>
    <w:p w14:paraId="41BB2B8F" w14:textId="3548A417" w:rsidR="00900530" w:rsidRPr="00900530" w:rsidRDefault="00B73062" w:rsidP="00900530">
      <w:pPr>
        <w:jc w:val="both"/>
        <w:rPr>
          <w:rFonts w:ascii="Arial" w:hAnsi="Arial" w:cs="Arial"/>
          <w:b/>
          <w:color w:val="000000" w:themeColor="text1"/>
          <w:sz w:val="22"/>
          <w:lang w:val="es-ES_tradnl"/>
        </w:rPr>
      </w:pPr>
      <w:r>
        <w:rPr>
          <w:rFonts w:ascii="Arial" w:hAnsi="Arial" w:cs="Arial"/>
          <w:b/>
          <w:color w:val="000000" w:themeColor="text1"/>
          <w:sz w:val="22"/>
          <w:lang w:val="es-ES_tradnl"/>
        </w:rPr>
        <w:t>Luis Alberto Alfonso Álvarez</w:t>
      </w:r>
    </w:p>
    <w:p w14:paraId="4482E7C3" w14:textId="383CC1E3" w:rsidR="00900530" w:rsidRPr="00900530" w:rsidRDefault="00C31D6D" w:rsidP="00900530">
      <w:pPr>
        <w:jc w:val="both"/>
        <w:rPr>
          <w:rFonts w:ascii="Arial" w:hAnsi="Arial" w:cs="Arial"/>
          <w:bCs/>
          <w:color w:val="000000" w:themeColor="text1"/>
          <w:sz w:val="22"/>
          <w:lang w:val="es-ES_tradnl"/>
        </w:rPr>
      </w:pPr>
      <w:r>
        <w:rPr>
          <w:rFonts w:ascii="Arial" w:hAnsi="Arial" w:cs="Arial"/>
          <w:bCs/>
          <w:color w:val="000000" w:themeColor="text1"/>
          <w:sz w:val="22"/>
          <w:lang w:val="es-ES_tradnl"/>
        </w:rPr>
        <w:t>Paipa, Boyacá</w:t>
      </w:r>
    </w:p>
    <w:p w14:paraId="6D02035F" w14:textId="77777777" w:rsidR="00900530" w:rsidRPr="00900530" w:rsidRDefault="00900530" w:rsidP="00900530">
      <w:pPr>
        <w:jc w:val="both"/>
        <w:rPr>
          <w:rFonts w:ascii="Arial" w:hAnsi="Arial" w:cs="Arial"/>
          <w:b/>
          <w:color w:val="000000" w:themeColor="text1"/>
          <w:sz w:val="22"/>
          <w:lang w:val="es-ES_tradnl"/>
        </w:rPr>
      </w:pPr>
    </w:p>
    <w:p w14:paraId="7FEA18D2" w14:textId="77777777" w:rsidR="0031674D" w:rsidRPr="00C440B6" w:rsidRDefault="0031674D" w:rsidP="00B95C30">
      <w:pPr>
        <w:jc w:val="both"/>
        <w:rPr>
          <w:rFonts w:ascii="Arial" w:eastAsia="Calibri" w:hAnsi="Arial" w:cs="Arial"/>
          <w:color w:val="000000" w:themeColor="text1"/>
          <w:sz w:val="22"/>
          <w:lang w:val="es-ES_tradnl"/>
        </w:rPr>
      </w:pPr>
    </w:p>
    <w:p w14:paraId="12E66182" w14:textId="1C6C6AAF" w:rsidR="00B95C30" w:rsidRPr="00C440B6" w:rsidRDefault="0031674D" w:rsidP="006E3937">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C440B6">
        <w:rPr>
          <w:rFonts w:ascii="Arial" w:eastAsia="Calibri" w:hAnsi="Arial" w:cs="Arial"/>
          <w:b/>
          <w:bCs/>
          <w:color w:val="000000" w:themeColor="text1"/>
          <w:sz w:val="22"/>
          <w:lang w:val="es-ES_tradnl"/>
        </w:rPr>
        <w:t xml:space="preserve">Concepto C ‒ </w:t>
      </w:r>
      <w:r w:rsidR="004C27BD">
        <w:rPr>
          <w:rFonts w:ascii="Arial" w:eastAsia="Calibri" w:hAnsi="Arial" w:cs="Arial"/>
          <w:b/>
          <w:bCs/>
          <w:color w:val="000000" w:themeColor="text1"/>
          <w:sz w:val="22"/>
          <w:lang w:val="es-ES_tradnl"/>
        </w:rPr>
        <w:t>211</w:t>
      </w:r>
      <w:r w:rsidR="00F412AF">
        <w:rPr>
          <w:rFonts w:ascii="Arial" w:eastAsia="Calibri" w:hAnsi="Arial" w:cs="Arial"/>
          <w:b/>
          <w:bCs/>
          <w:color w:val="000000" w:themeColor="text1"/>
          <w:sz w:val="22"/>
          <w:lang w:val="es-ES_tradnl"/>
        </w:rPr>
        <w:t xml:space="preserve"> </w:t>
      </w:r>
      <w:r w:rsidR="00B95C30" w:rsidRPr="00C440B6">
        <w:rPr>
          <w:rFonts w:ascii="Arial" w:eastAsia="Calibri" w:hAnsi="Arial" w:cs="Arial"/>
          <w:b/>
          <w:bCs/>
          <w:color w:val="000000" w:themeColor="text1"/>
          <w:sz w:val="22"/>
          <w:lang w:val="es-ES_tradnl"/>
        </w:rPr>
        <w:t>de 202</w:t>
      </w:r>
      <w:r w:rsidR="005E781C" w:rsidRPr="00C440B6">
        <w:rPr>
          <w:rFonts w:ascii="Arial" w:eastAsia="Calibri" w:hAnsi="Arial" w:cs="Arial"/>
          <w:b/>
          <w:bCs/>
          <w:color w:val="000000" w:themeColor="text1"/>
          <w:sz w:val="22"/>
          <w:lang w:val="es-ES_tradnl"/>
        </w:rPr>
        <w:t>1</w:t>
      </w:r>
    </w:p>
    <w:p w14:paraId="1BD594F9" w14:textId="77777777" w:rsidR="00B95C30" w:rsidRPr="00C440B6"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C440B6" w14:paraId="19DFC051" w14:textId="77777777" w:rsidTr="008F4163">
        <w:tc>
          <w:tcPr>
            <w:tcW w:w="2689" w:type="dxa"/>
          </w:tcPr>
          <w:p w14:paraId="6BC0D1AC" w14:textId="77777777" w:rsidR="00B95C30" w:rsidRPr="00C440B6" w:rsidRDefault="00B95C30" w:rsidP="008F4163">
            <w:pPr>
              <w:jc w:val="both"/>
              <w:rPr>
                <w:rFonts w:ascii="Arial" w:eastAsia="Calibri" w:hAnsi="Arial" w:cs="Arial"/>
                <w:color w:val="000000" w:themeColor="text1"/>
                <w:sz w:val="22"/>
                <w:lang w:val="es-ES_tradnl"/>
              </w:rPr>
            </w:pPr>
            <w:r w:rsidRPr="00C440B6">
              <w:rPr>
                <w:rFonts w:ascii="Arial" w:eastAsia="Calibri" w:hAnsi="Arial" w:cs="Arial"/>
                <w:b/>
                <w:color w:val="000000" w:themeColor="text1"/>
                <w:sz w:val="22"/>
                <w:lang w:val="es-ES_tradnl"/>
              </w:rPr>
              <w:t>Temas:</w:t>
            </w:r>
            <w:r w:rsidRPr="00C440B6">
              <w:rPr>
                <w:rFonts w:ascii="Arial" w:eastAsia="Calibri" w:hAnsi="Arial" w:cs="Arial"/>
                <w:color w:val="000000" w:themeColor="text1"/>
                <w:sz w:val="22"/>
                <w:lang w:val="es-ES_tradnl"/>
              </w:rPr>
              <w:t xml:space="preserve">                                      </w:t>
            </w:r>
          </w:p>
        </w:tc>
        <w:tc>
          <w:tcPr>
            <w:tcW w:w="6237" w:type="dxa"/>
          </w:tcPr>
          <w:p w14:paraId="5F389CAF" w14:textId="62DE3360" w:rsidR="00B95C30" w:rsidRPr="00C440B6" w:rsidRDefault="00162D5A" w:rsidP="008F4163">
            <w:pPr>
              <w:jc w:val="both"/>
              <w:rPr>
                <w:rFonts w:ascii="Arial" w:eastAsia="Calibri" w:hAnsi="Arial" w:cs="Arial"/>
                <w:color w:val="000000" w:themeColor="text1"/>
                <w:sz w:val="22"/>
                <w:lang w:val="es-ES_tradnl"/>
              </w:rPr>
            </w:pPr>
            <w:r w:rsidRPr="000578FF">
              <w:rPr>
                <w:rFonts w:ascii="Arial" w:eastAsia="Calibri" w:hAnsi="Arial" w:cs="Arial"/>
                <w:bCs/>
                <w:sz w:val="22"/>
                <w:lang w:val="es-ES_tradnl"/>
              </w:rPr>
              <w:t xml:space="preserve">LEY DE EMPRENDIMIENTO – Ley </w:t>
            </w:r>
            <w:r>
              <w:rPr>
                <w:rFonts w:ascii="Arial" w:eastAsia="Calibri" w:hAnsi="Arial" w:cs="Arial"/>
                <w:bCs/>
                <w:sz w:val="22"/>
                <w:lang w:val="es-ES_tradnl"/>
              </w:rPr>
              <w:t>2069</w:t>
            </w:r>
            <w:r w:rsidRPr="000578FF">
              <w:rPr>
                <w:rFonts w:ascii="Arial" w:eastAsia="Calibri" w:hAnsi="Arial" w:cs="Arial"/>
                <w:bCs/>
                <w:sz w:val="22"/>
                <w:lang w:val="es-ES_tradnl"/>
              </w:rPr>
              <w:t xml:space="preserve"> de 2020 – Vigencia </w:t>
            </w:r>
            <w:r w:rsidRPr="005419DA">
              <w:rPr>
                <w:rFonts w:ascii="Arial" w:eastAsia="Calibri" w:hAnsi="Arial" w:cs="Arial"/>
                <w:bCs/>
                <w:sz w:val="22"/>
                <w:lang w:val="es-ES_tradnl"/>
              </w:rPr>
              <w:t xml:space="preserve">/ </w:t>
            </w:r>
            <w:bookmarkStart w:id="1" w:name="_Hlk66195675"/>
            <w:r w:rsidR="00804A94" w:rsidRPr="00804A94">
              <w:rPr>
                <w:rFonts w:ascii="Arial" w:eastAsia="Calibri" w:hAnsi="Arial" w:cs="Arial"/>
                <w:bCs/>
                <w:sz w:val="22"/>
                <w:lang w:val="es-ES_tradnl"/>
              </w:rPr>
              <w:t xml:space="preserve">PROMOCIÓN DEL DESARROLLO – Contratación estatal – Ley 2069 – Artículo 34 – </w:t>
            </w:r>
            <w:bookmarkEnd w:id="1"/>
            <w:r w:rsidR="007A5741">
              <w:rPr>
                <w:rFonts w:ascii="Arial" w:eastAsia="Calibri" w:hAnsi="Arial" w:cs="Arial"/>
                <w:bCs/>
                <w:sz w:val="22"/>
                <w:lang w:val="es-ES_tradnl"/>
              </w:rPr>
              <w:t xml:space="preserve">Contenido </w:t>
            </w:r>
            <w:r w:rsidR="00804A94">
              <w:rPr>
                <w:rFonts w:ascii="Arial" w:eastAsia="Calibri" w:hAnsi="Arial" w:cs="Arial"/>
                <w:bCs/>
                <w:sz w:val="22"/>
                <w:lang w:val="es-ES_tradnl"/>
              </w:rPr>
              <w:t xml:space="preserve">/ </w:t>
            </w:r>
            <w:r w:rsidR="00804A94" w:rsidRPr="000578FF">
              <w:rPr>
                <w:rFonts w:ascii="Arial" w:eastAsia="Calibri" w:hAnsi="Arial" w:cs="Arial"/>
                <w:bCs/>
                <w:sz w:val="22"/>
                <w:lang w:val="es-ES_tradnl"/>
              </w:rPr>
              <w:t xml:space="preserve">MIPYMES – Ley </w:t>
            </w:r>
            <w:r w:rsidR="00804A94">
              <w:rPr>
                <w:rFonts w:ascii="Arial" w:eastAsia="Calibri" w:hAnsi="Arial" w:cs="Arial"/>
                <w:bCs/>
                <w:sz w:val="22"/>
                <w:lang w:val="es-ES_tradnl"/>
              </w:rPr>
              <w:t>2069</w:t>
            </w:r>
            <w:r w:rsidR="00804A94" w:rsidRPr="000578FF">
              <w:rPr>
                <w:rFonts w:ascii="Arial" w:eastAsia="Calibri" w:hAnsi="Arial" w:cs="Arial"/>
                <w:bCs/>
                <w:sz w:val="22"/>
                <w:lang w:val="es-ES_tradnl"/>
              </w:rPr>
              <w:t xml:space="preserve"> – Artículo 34 – Convocatorias limitadas – </w:t>
            </w:r>
            <w:r w:rsidR="00804A94">
              <w:rPr>
                <w:rFonts w:ascii="Arial" w:eastAsia="Calibri" w:hAnsi="Arial" w:cs="Arial"/>
                <w:bCs/>
                <w:sz w:val="22"/>
                <w:lang w:val="es-ES_tradnl"/>
              </w:rPr>
              <w:t>Vigencia.</w:t>
            </w:r>
          </w:p>
        </w:tc>
      </w:tr>
      <w:tr w:rsidR="00B95C30" w:rsidRPr="00C440B6" w14:paraId="27CD52AB" w14:textId="77777777" w:rsidTr="008F4163">
        <w:tc>
          <w:tcPr>
            <w:tcW w:w="2689" w:type="dxa"/>
          </w:tcPr>
          <w:p w14:paraId="37E195A1" w14:textId="1BA218D5" w:rsidR="00B95C30" w:rsidRPr="00C440B6" w:rsidRDefault="00B95C30" w:rsidP="008F4163">
            <w:pPr>
              <w:spacing w:before="12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Radicación:</w:t>
            </w:r>
            <w:r w:rsidRPr="00C440B6">
              <w:rPr>
                <w:rFonts w:ascii="Arial" w:eastAsia="Calibri" w:hAnsi="Arial" w:cs="Arial"/>
                <w:color w:val="000000" w:themeColor="text1"/>
                <w:sz w:val="22"/>
                <w:lang w:val="es-ES_tradnl"/>
              </w:rPr>
              <w:t xml:space="preserve">                              </w:t>
            </w:r>
          </w:p>
        </w:tc>
        <w:tc>
          <w:tcPr>
            <w:tcW w:w="6237" w:type="dxa"/>
          </w:tcPr>
          <w:p w14:paraId="09088B1B" w14:textId="2C8B2428" w:rsidR="00B95C30" w:rsidRPr="00C440B6" w:rsidRDefault="00900530" w:rsidP="008F4163">
            <w:pPr>
              <w:spacing w:before="120"/>
              <w:jc w:val="both"/>
              <w:rPr>
                <w:rFonts w:ascii="Arial" w:eastAsia="Calibri" w:hAnsi="Arial" w:cs="Arial"/>
                <w:color w:val="000000" w:themeColor="text1"/>
                <w:sz w:val="22"/>
                <w:lang w:val="es-ES_tradnl"/>
              </w:rPr>
            </w:pPr>
            <w:r w:rsidRPr="00900530">
              <w:rPr>
                <w:rFonts w:ascii="Arial" w:eastAsia="Arial" w:hAnsi="Arial" w:cs="Arial"/>
                <w:sz w:val="22"/>
                <w:szCs w:val="22"/>
                <w:lang w:val="es-ES" w:eastAsia="en-US"/>
              </w:rPr>
              <w:t xml:space="preserve">Respuesta a </w:t>
            </w:r>
            <w:r w:rsidRPr="004E3152">
              <w:rPr>
                <w:rFonts w:ascii="Arial" w:eastAsia="Arial" w:hAnsi="Arial" w:cs="Arial"/>
                <w:sz w:val="22"/>
                <w:szCs w:val="22"/>
                <w:lang w:val="es-ES" w:eastAsia="en-US"/>
              </w:rPr>
              <w:t xml:space="preserve">consulta # </w:t>
            </w:r>
            <w:r w:rsidR="00F412AF" w:rsidRPr="00F412AF">
              <w:rPr>
                <w:rFonts w:ascii="Arial" w:eastAsia="Arial" w:hAnsi="Arial" w:cs="Arial"/>
                <w:sz w:val="22"/>
                <w:szCs w:val="22"/>
                <w:lang w:eastAsia="en-US"/>
              </w:rPr>
              <w:t>P2021</w:t>
            </w:r>
            <w:r w:rsidR="00C31D6D">
              <w:rPr>
                <w:rFonts w:ascii="Arial" w:eastAsia="Arial" w:hAnsi="Arial" w:cs="Arial"/>
                <w:sz w:val="22"/>
                <w:szCs w:val="22"/>
                <w:lang w:eastAsia="en-US"/>
              </w:rPr>
              <w:t>0329002534</w:t>
            </w:r>
          </w:p>
        </w:tc>
      </w:tr>
    </w:tbl>
    <w:p w14:paraId="69729BEF" w14:textId="77777777" w:rsidR="00096D30" w:rsidRDefault="00096D30" w:rsidP="003C3339">
      <w:pPr>
        <w:jc w:val="both"/>
        <w:rPr>
          <w:rFonts w:ascii="Arial" w:eastAsia="Calibri" w:hAnsi="Arial" w:cs="Arial"/>
          <w:color w:val="000000" w:themeColor="text1"/>
          <w:sz w:val="22"/>
          <w:lang w:val="es-ES_tradnl"/>
        </w:rPr>
      </w:pPr>
    </w:p>
    <w:p w14:paraId="43664A51" w14:textId="77777777" w:rsidR="00096D30" w:rsidRDefault="00096D30" w:rsidP="003C3339">
      <w:pPr>
        <w:jc w:val="both"/>
        <w:rPr>
          <w:rFonts w:ascii="Arial" w:eastAsia="Calibri" w:hAnsi="Arial" w:cs="Arial"/>
          <w:color w:val="000000" w:themeColor="text1"/>
          <w:sz w:val="22"/>
          <w:lang w:val="es-ES_tradnl"/>
        </w:rPr>
      </w:pPr>
    </w:p>
    <w:p w14:paraId="1CF4AEA0" w14:textId="27F99382" w:rsidR="003C3339" w:rsidRPr="00C440B6" w:rsidRDefault="003C3339" w:rsidP="003C3339">
      <w:pPr>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Estimad</w:t>
      </w:r>
      <w:r w:rsidR="00C018F7" w:rsidRPr="00C440B6">
        <w:rPr>
          <w:rFonts w:ascii="Arial" w:eastAsia="Calibri" w:hAnsi="Arial" w:cs="Arial"/>
          <w:color w:val="000000" w:themeColor="text1"/>
          <w:sz w:val="22"/>
          <w:lang w:val="es-ES_tradnl"/>
        </w:rPr>
        <w:t>o</w:t>
      </w:r>
      <w:r w:rsidRPr="00C440B6">
        <w:rPr>
          <w:rFonts w:ascii="Arial" w:eastAsia="Calibri" w:hAnsi="Arial" w:cs="Arial"/>
          <w:color w:val="000000" w:themeColor="text1"/>
          <w:sz w:val="22"/>
          <w:lang w:val="es-ES_tradnl"/>
        </w:rPr>
        <w:t xml:space="preserve"> </w:t>
      </w:r>
      <w:r w:rsidR="0063732C" w:rsidRPr="00C440B6">
        <w:rPr>
          <w:rFonts w:ascii="Arial" w:eastAsia="Calibri" w:hAnsi="Arial" w:cs="Arial"/>
          <w:color w:val="000000" w:themeColor="text1"/>
          <w:sz w:val="22"/>
          <w:lang w:val="es-ES_tradnl"/>
        </w:rPr>
        <w:t>señor</w:t>
      </w:r>
      <w:r w:rsidR="00BE4FBF" w:rsidRPr="00C440B6">
        <w:rPr>
          <w:rFonts w:ascii="Arial" w:eastAsia="Calibri" w:hAnsi="Arial" w:cs="Arial"/>
          <w:color w:val="000000" w:themeColor="text1"/>
          <w:sz w:val="22"/>
          <w:lang w:val="es-ES_tradnl"/>
        </w:rPr>
        <w:t xml:space="preserve"> </w:t>
      </w:r>
      <w:r w:rsidR="00572C37">
        <w:rPr>
          <w:rFonts w:ascii="Arial" w:eastAsia="Calibri" w:hAnsi="Arial" w:cs="Arial"/>
          <w:color w:val="000000" w:themeColor="text1"/>
          <w:sz w:val="22"/>
          <w:lang w:val="es-ES_tradnl"/>
        </w:rPr>
        <w:t>Alfonso Álvarez</w:t>
      </w:r>
      <w:r w:rsidRPr="00C440B6">
        <w:rPr>
          <w:rFonts w:ascii="Arial" w:eastAsia="Calibri" w:hAnsi="Arial" w:cs="Arial"/>
          <w:color w:val="000000" w:themeColor="text1"/>
          <w:sz w:val="22"/>
          <w:lang w:val="es-ES_tradnl"/>
        </w:rPr>
        <w:t>:</w:t>
      </w:r>
    </w:p>
    <w:p w14:paraId="1EAE5543" w14:textId="77777777" w:rsidR="00DD5B04" w:rsidRPr="00C440B6" w:rsidRDefault="00DD5B04" w:rsidP="00DF76A2">
      <w:pPr>
        <w:jc w:val="both"/>
        <w:rPr>
          <w:rFonts w:ascii="Arial" w:eastAsia="Calibri" w:hAnsi="Arial" w:cs="Arial"/>
          <w:color w:val="000000" w:themeColor="text1"/>
          <w:sz w:val="22"/>
          <w:lang w:val="es-ES_tradnl"/>
        </w:rPr>
      </w:pPr>
    </w:p>
    <w:p w14:paraId="2109B2D3" w14:textId="13D66AA0" w:rsidR="00DD5B04" w:rsidRPr="00C440B6" w:rsidRDefault="00DD5B04" w:rsidP="00DF76A2">
      <w:pPr>
        <w:spacing w:line="276" w:lineRule="auto"/>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31674D">
        <w:rPr>
          <w:rFonts w:ascii="Arial" w:eastAsia="Calibri" w:hAnsi="Arial" w:cs="Arial"/>
          <w:color w:val="000000" w:themeColor="text1"/>
          <w:sz w:val="22"/>
          <w:lang w:val="es-ES_tradnl"/>
        </w:rPr>
        <w:t>–</w:t>
      </w:r>
      <w:r w:rsidRPr="00C440B6">
        <w:rPr>
          <w:rFonts w:ascii="Arial" w:eastAsia="Calibri" w:hAnsi="Arial" w:cs="Arial"/>
          <w:color w:val="000000" w:themeColor="text1"/>
          <w:sz w:val="22"/>
          <w:lang w:val="es-ES_tradnl"/>
        </w:rPr>
        <w:t xml:space="preserve"> Colombia Compra Eficiente</w:t>
      </w:r>
      <w:r w:rsidR="008C3C57" w:rsidRPr="00C440B6">
        <w:rPr>
          <w:rFonts w:ascii="Arial" w:eastAsia="Calibri" w:hAnsi="Arial" w:cs="Arial"/>
          <w:color w:val="000000" w:themeColor="text1"/>
          <w:sz w:val="22"/>
          <w:lang w:val="es-ES_tradnl"/>
        </w:rPr>
        <w:t xml:space="preserve"> </w:t>
      </w:r>
      <w:r w:rsidRPr="00C440B6">
        <w:rPr>
          <w:rFonts w:ascii="Arial" w:eastAsia="Calibri" w:hAnsi="Arial" w:cs="Arial"/>
          <w:color w:val="000000" w:themeColor="text1"/>
          <w:sz w:val="22"/>
          <w:lang w:val="es-ES_tradnl"/>
        </w:rPr>
        <w:t xml:space="preserve">responde </w:t>
      </w:r>
      <w:r w:rsidR="00C31D6D">
        <w:rPr>
          <w:rFonts w:ascii="Arial" w:eastAsia="Calibri" w:hAnsi="Arial" w:cs="Arial"/>
          <w:color w:val="000000" w:themeColor="text1"/>
          <w:sz w:val="22"/>
          <w:lang w:val="es-ES_tradnl"/>
        </w:rPr>
        <w:t>a su</w:t>
      </w:r>
      <w:r w:rsidRPr="00C440B6">
        <w:rPr>
          <w:rFonts w:ascii="Arial" w:eastAsia="Calibri" w:hAnsi="Arial" w:cs="Arial"/>
          <w:color w:val="000000" w:themeColor="text1"/>
          <w:sz w:val="22"/>
          <w:lang w:val="es-ES_tradnl"/>
        </w:rPr>
        <w:t xml:space="preserve"> consulta </w:t>
      </w:r>
      <w:r w:rsidR="00C31D6D">
        <w:rPr>
          <w:rFonts w:ascii="Arial" w:eastAsia="Calibri" w:hAnsi="Arial" w:cs="Arial"/>
          <w:color w:val="000000" w:themeColor="text1"/>
          <w:sz w:val="22"/>
          <w:lang w:val="es-ES_tradnl"/>
        </w:rPr>
        <w:t xml:space="preserve">remitida a esta entidad por la Sección Primera del Consejo de Estado, mediante </w:t>
      </w:r>
      <w:r w:rsidR="00572C37">
        <w:rPr>
          <w:rFonts w:ascii="Arial" w:eastAsia="Calibri" w:hAnsi="Arial" w:cs="Arial"/>
          <w:color w:val="000000" w:themeColor="text1"/>
          <w:sz w:val="22"/>
          <w:lang w:val="es-ES_tradnl"/>
        </w:rPr>
        <w:t>O</w:t>
      </w:r>
      <w:r w:rsidR="00C31D6D">
        <w:rPr>
          <w:rFonts w:ascii="Arial" w:eastAsia="Calibri" w:hAnsi="Arial" w:cs="Arial"/>
          <w:color w:val="000000" w:themeColor="text1"/>
          <w:sz w:val="22"/>
          <w:lang w:val="es-ES_tradnl"/>
        </w:rPr>
        <w:t xml:space="preserve">ficio núm. OPS1-017 del 26 de marzo de 2021, radicado ante la Agencia el 29 de marzo de 2021. </w:t>
      </w:r>
    </w:p>
    <w:p w14:paraId="4DE70520" w14:textId="77777777" w:rsidR="009D631B" w:rsidRPr="00C440B6" w:rsidRDefault="009D631B" w:rsidP="00DF76A2">
      <w:pPr>
        <w:spacing w:line="276" w:lineRule="auto"/>
        <w:jc w:val="both"/>
        <w:rPr>
          <w:rFonts w:ascii="Arial" w:eastAsia="Calibri" w:hAnsi="Arial" w:cs="Arial"/>
          <w:b/>
          <w:color w:val="000000" w:themeColor="text1"/>
          <w:sz w:val="22"/>
          <w:lang w:val="es-ES_tradnl"/>
        </w:rPr>
      </w:pPr>
    </w:p>
    <w:p w14:paraId="7701FCC7" w14:textId="77777777" w:rsidR="00DD5B04" w:rsidRPr="00C440B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 xml:space="preserve">Problema planteado </w:t>
      </w:r>
    </w:p>
    <w:p w14:paraId="224B43D3" w14:textId="77777777" w:rsidR="00DD5B04" w:rsidRPr="00C440B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0E9EAB0" w14:textId="289C3519" w:rsidR="00454589" w:rsidRPr="007321B0" w:rsidRDefault="004C27BD" w:rsidP="00FF0A6D">
      <w:pPr>
        <w:spacing w:line="276" w:lineRule="auto"/>
        <w:jc w:val="both"/>
        <w:rPr>
          <w:rFonts w:ascii="Arial" w:eastAsia="Calibri" w:hAnsi="Arial" w:cs="Arial"/>
          <w:color w:val="000000" w:themeColor="text1"/>
          <w:sz w:val="22"/>
          <w:szCs w:val="22"/>
          <w:lang w:val="es-ES_tradnl"/>
        </w:rPr>
      </w:pPr>
      <w:bookmarkStart w:id="2" w:name="_Hlk64534095"/>
      <w:bookmarkStart w:id="3" w:name="_Hlk66194921"/>
      <w:r>
        <w:rPr>
          <w:rFonts w:ascii="Arial" w:hAnsi="Arial" w:cs="Arial"/>
          <w:color w:val="000000" w:themeColor="text1"/>
          <w:sz w:val="22"/>
          <w:lang w:val="es-ES_tradnl"/>
        </w:rPr>
        <w:t>R</w:t>
      </w:r>
      <w:r w:rsidR="007321B0">
        <w:rPr>
          <w:rFonts w:ascii="Arial" w:hAnsi="Arial" w:cs="Arial"/>
          <w:color w:val="000000" w:themeColor="text1"/>
          <w:sz w:val="22"/>
          <w:lang w:val="es-ES_tradnl"/>
        </w:rPr>
        <w:t>especto a</w:t>
      </w:r>
      <w:r w:rsidR="008C77EF">
        <w:rPr>
          <w:rFonts w:ascii="Arial" w:hAnsi="Arial" w:cs="Arial"/>
          <w:color w:val="000000" w:themeColor="text1"/>
          <w:sz w:val="22"/>
          <w:lang w:val="es-ES_tradnl"/>
        </w:rPr>
        <w:t>l</w:t>
      </w:r>
      <w:r w:rsidR="007321B0">
        <w:rPr>
          <w:rFonts w:ascii="Arial" w:hAnsi="Arial" w:cs="Arial"/>
          <w:color w:val="000000" w:themeColor="text1"/>
          <w:sz w:val="22"/>
          <w:lang w:val="es-ES_tradnl"/>
        </w:rPr>
        <w:t xml:space="preserve"> artículo 34 de la Ley </w:t>
      </w:r>
      <w:r>
        <w:rPr>
          <w:rFonts w:ascii="Arial" w:hAnsi="Arial" w:cs="Arial"/>
          <w:color w:val="000000" w:themeColor="text1"/>
          <w:sz w:val="22"/>
          <w:lang w:val="es-ES_tradnl"/>
        </w:rPr>
        <w:t>de Emprendimiento, u</w:t>
      </w:r>
      <w:r w:rsidRPr="00900530">
        <w:rPr>
          <w:rFonts w:ascii="Arial" w:hAnsi="Arial" w:cs="Arial"/>
          <w:color w:val="000000" w:themeColor="text1"/>
          <w:sz w:val="22"/>
          <w:lang w:val="es-ES_tradnl"/>
        </w:rPr>
        <w:t xml:space="preserve">sted </w:t>
      </w:r>
      <w:r>
        <w:rPr>
          <w:rFonts w:ascii="Arial" w:hAnsi="Arial" w:cs="Arial"/>
          <w:color w:val="000000" w:themeColor="text1"/>
          <w:sz w:val="22"/>
          <w:lang w:val="es-ES_tradnl"/>
        </w:rPr>
        <w:t>realiza</w:t>
      </w:r>
      <w:r w:rsidRPr="00900530">
        <w:rPr>
          <w:rFonts w:ascii="Arial" w:hAnsi="Arial" w:cs="Arial"/>
          <w:color w:val="000000" w:themeColor="text1"/>
          <w:sz w:val="22"/>
          <w:lang w:val="es-ES_tradnl"/>
        </w:rPr>
        <w:t xml:space="preserve"> la siguiente </w:t>
      </w:r>
      <w:r>
        <w:rPr>
          <w:rFonts w:ascii="Arial" w:hAnsi="Arial" w:cs="Arial"/>
          <w:color w:val="000000" w:themeColor="text1"/>
          <w:sz w:val="22"/>
          <w:lang w:val="es-ES_tradnl"/>
        </w:rPr>
        <w:t>consulta</w:t>
      </w:r>
      <w:r w:rsidR="00900530" w:rsidRPr="00900530">
        <w:rPr>
          <w:rFonts w:ascii="Arial" w:hAnsi="Arial" w:cs="Arial"/>
          <w:color w:val="000000" w:themeColor="text1"/>
          <w:sz w:val="22"/>
          <w:lang w:val="es-ES_tradnl"/>
        </w:rPr>
        <w:t>:</w:t>
      </w:r>
      <w:r w:rsidR="004E3152" w:rsidRPr="004E3152">
        <w:rPr>
          <w:rFonts w:ascii="Arial" w:eastAsia="Calibri" w:hAnsi="Arial" w:cs="Arial"/>
          <w:color w:val="000000" w:themeColor="text1"/>
          <w:sz w:val="22"/>
          <w:szCs w:val="22"/>
          <w:lang w:val="es-ES_tradnl"/>
        </w:rPr>
        <w:t xml:space="preserve"> </w:t>
      </w:r>
      <w:bookmarkEnd w:id="2"/>
      <w:r w:rsidR="00F412AF">
        <w:rPr>
          <w:rFonts w:ascii="Arial" w:eastAsia="Calibri" w:hAnsi="Arial" w:cs="Arial"/>
          <w:color w:val="000000" w:themeColor="text1"/>
          <w:sz w:val="22"/>
          <w:szCs w:val="22"/>
          <w:lang w:val="es-ES_tradnl"/>
        </w:rPr>
        <w:t>i) «</w:t>
      </w:r>
      <w:proofErr w:type="gramStart"/>
      <w:r w:rsidR="00C31D6D">
        <w:rPr>
          <w:rFonts w:ascii="Arial" w:eastAsia="Calibri" w:hAnsi="Arial" w:cs="Arial"/>
          <w:color w:val="000000" w:themeColor="text1"/>
          <w:sz w:val="22"/>
          <w:szCs w:val="22"/>
          <w:lang w:val="es-ES_tradnl"/>
        </w:rPr>
        <w:t xml:space="preserve">¿Para limitar una convocatoria pública a la participación de </w:t>
      </w:r>
      <w:proofErr w:type="spellStart"/>
      <w:r w:rsidR="00C31D6D">
        <w:rPr>
          <w:rFonts w:ascii="Arial" w:eastAsia="Calibri" w:hAnsi="Arial" w:cs="Arial"/>
          <w:color w:val="000000" w:themeColor="text1"/>
          <w:sz w:val="22"/>
          <w:szCs w:val="22"/>
          <w:lang w:val="es-ES_tradnl"/>
        </w:rPr>
        <w:t>Mipymes</w:t>
      </w:r>
      <w:proofErr w:type="spellEnd"/>
      <w:r w:rsidR="009D631B">
        <w:rPr>
          <w:rFonts w:ascii="Arial" w:eastAsia="Calibri" w:hAnsi="Arial" w:cs="Arial"/>
          <w:color w:val="000000" w:themeColor="text1"/>
          <w:sz w:val="22"/>
          <w:szCs w:val="22"/>
          <w:lang w:val="es-ES_tradnl"/>
        </w:rPr>
        <w:t>, debe o no aplicarse lo dispuesto en el numeral 2 del artículo 2.</w:t>
      </w:r>
      <w:proofErr w:type="gramEnd"/>
      <w:r w:rsidR="009D631B">
        <w:rPr>
          <w:rFonts w:ascii="Arial" w:eastAsia="Calibri" w:hAnsi="Arial" w:cs="Arial"/>
          <w:color w:val="000000" w:themeColor="text1"/>
          <w:sz w:val="22"/>
          <w:szCs w:val="22"/>
          <w:lang w:val="es-ES_tradnl"/>
        </w:rPr>
        <w:t xml:space="preserve">2.1.2.4.2.2. “Convocatorias limitadas a </w:t>
      </w:r>
      <w:proofErr w:type="spellStart"/>
      <w:r w:rsidR="009D631B">
        <w:rPr>
          <w:rFonts w:ascii="Arial" w:eastAsia="Calibri" w:hAnsi="Arial" w:cs="Arial"/>
          <w:color w:val="000000" w:themeColor="text1"/>
          <w:sz w:val="22"/>
          <w:szCs w:val="22"/>
          <w:lang w:val="es-ES_tradnl"/>
        </w:rPr>
        <w:t>Mipyme</w:t>
      </w:r>
      <w:proofErr w:type="spellEnd"/>
      <w:r w:rsidR="009D631B">
        <w:rPr>
          <w:rFonts w:ascii="Arial" w:eastAsia="Calibri" w:hAnsi="Arial" w:cs="Arial"/>
          <w:color w:val="000000" w:themeColor="text1"/>
          <w:sz w:val="22"/>
          <w:szCs w:val="22"/>
          <w:lang w:val="es-ES_tradnl"/>
        </w:rPr>
        <w:t xml:space="preserve">” del Decreto 1082 de 2015 en relación con el número de solicitudes requeridas para limitar un proceso a </w:t>
      </w:r>
      <w:proofErr w:type="spellStart"/>
      <w:r w:rsidR="009D631B">
        <w:rPr>
          <w:rFonts w:ascii="Arial" w:eastAsia="Calibri" w:hAnsi="Arial" w:cs="Arial"/>
          <w:color w:val="000000" w:themeColor="text1"/>
          <w:sz w:val="22"/>
          <w:szCs w:val="22"/>
          <w:lang w:val="es-ES_tradnl"/>
        </w:rPr>
        <w:t>Mipyme</w:t>
      </w:r>
      <w:proofErr w:type="spellEnd"/>
      <w:r w:rsidR="009D631B">
        <w:rPr>
          <w:rFonts w:ascii="Arial" w:eastAsia="Calibri" w:hAnsi="Arial" w:cs="Arial"/>
          <w:color w:val="000000" w:themeColor="text1"/>
          <w:sz w:val="22"/>
          <w:szCs w:val="22"/>
          <w:lang w:val="es-ES_tradnl"/>
        </w:rPr>
        <w:t>?»</w:t>
      </w:r>
      <w:r w:rsidR="002924E3">
        <w:rPr>
          <w:rFonts w:ascii="Arial" w:eastAsia="Calibri" w:hAnsi="Arial" w:cs="Arial"/>
          <w:color w:val="000000" w:themeColor="text1"/>
          <w:sz w:val="22"/>
          <w:szCs w:val="22"/>
          <w:lang w:val="es-ES_tradnl"/>
        </w:rPr>
        <w:t xml:space="preserve"> y</w:t>
      </w:r>
      <w:r w:rsidR="009D631B">
        <w:rPr>
          <w:rFonts w:ascii="Arial" w:eastAsia="Calibri" w:hAnsi="Arial" w:cs="Arial"/>
          <w:color w:val="000000" w:themeColor="text1"/>
          <w:sz w:val="22"/>
          <w:szCs w:val="22"/>
          <w:lang w:val="es-ES_tradnl"/>
        </w:rPr>
        <w:t xml:space="preserve"> </w:t>
      </w:r>
      <w:proofErr w:type="spellStart"/>
      <w:r w:rsidR="009D631B">
        <w:rPr>
          <w:rFonts w:ascii="Arial" w:eastAsia="Calibri" w:hAnsi="Arial" w:cs="Arial"/>
          <w:color w:val="000000" w:themeColor="text1"/>
          <w:sz w:val="22"/>
          <w:szCs w:val="22"/>
          <w:lang w:val="es-ES_tradnl"/>
        </w:rPr>
        <w:t>ii</w:t>
      </w:r>
      <w:proofErr w:type="spellEnd"/>
      <w:r w:rsidR="009D631B">
        <w:rPr>
          <w:rFonts w:ascii="Arial" w:eastAsia="Calibri" w:hAnsi="Arial" w:cs="Arial"/>
          <w:color w:val="000000" w:themeColor="text1"/>
          <w:sz w:val="22"/>
          <w:szCs w:val="22"/>
          <w:lang w:val="es-ES_tradnl"/>
        </w:rPr>
        <w:t>) «</w:t>
      </w:r>
      <w:proofErr w:type="gramStart"/>
      <w:r w:rsidR="009D631B">
        <w:rPr>
          <w:rFonts w:ascii="Arial" w:eastAsia="Calibri" w:hAnsi="Arial" w:cs="Arial"/>
          <w:color w:val="000000" w:themeColor="text1"/>
          <w:sz w:val="22"/>
          <w:szCs w:val="22"/>
          <w:lang w:val="es-ES_tradnl"/>
        </w:rPr>
        <w:t>¿Deben seguirse aplicando los demás requisitos establecidos en el artículo 2.</w:t>
      </w:r>
      <w:proofErr w:type="gramEnd"/>
      <w:r w:rsidR="009D631B">
        <w:rPr>
          <w:rFonts w:ascii="Arial" w:eastAsia="Calibri" w:hAnsi="Arial" w:cs="Arial"/>
          <w:color w:val="000000" w:themeColor="text1"/>
          <w:sz w:val="22"/>
          <w:szCs w:val="22"/>
          <w:lang w:val="es-ES_tradnl"/>
        </w:rPr>
        <w:t xml:space="preserve">2.1.2.4.2.2. “Convocatorias limitadas a </w:t>
      </w:r>
      <w:proofErr w:type="spellStart"/>
      <w:r w:rsidR="009D631B">
        <w:rPr>
          <w:rFonts w:ascii="Arial" w:eastAsia="Calibri" w:hAnsi="Arial" w:cs="Arial"/>
          <w:color w:val="000000" w:themeColor="text1"/>
          <w:sz w:val="22"/>
          <w:szCs w:val="22"/>
          <w:lang w:val="es-ES_tradnl"/>
        </w:rPr>
        <w:t>Mipyme</w:t>
      </w:r>
      <w:proofErr w:type="spellEnd"/>
      <w:r w:rsidR="009D631B">
        <w:rPr>
          <w:rFonts w:ascii="Arial" w:eastAsia="Calibri" w:hAnsi="Arial" w:cs="Arial"/>
          <w:color w:val="000000" w:themeColor="text1"/>
          <w:sz w:val="22"/>
          <w:szCs w:val="22"/>
          <w:lang w:val="es-ES_tradnl"/>
        </w:rPr>
        <w:t xml:space="preserve">” del Decreto 1082 de 2015, los cuales se refieren al plazo de existencia de la </w:t>
      </w:r>
      <w:proofErr w:type="spellStart"/>
      <w:r w:rsidR="009D631B">
        <w:rPr>
          <w:rFonts w:ascii="Arial" w:eastAsia="Calibri" w:hAnsi="Arial" w:cs="Arial"/>
          <w:color w:val="000000" w:themeColor="text1"/>
          <w:sz w:val="22"/>
          <w:szCs w:val="22"/>
          <w:lang w:val="es-ES_tradnl"/>
        </w:rPr>
        <w:t>Mipyme</w:t>
      </w:r>
      <w:proofErr w:type="spellEnd"/>
      <w:r w:rsidR="009D631B">
        <w:rPr>
          <w:rFonts w:ascii="Arial" w:eastAsia="Calibri" w:hAnsi="Arial" w:cs="Arial"/>
          <w:color w:val="000000" w:themeColor="text1"/>
          <w:sz w:val="22"/>
          <w:szCs w:val="22"/>
          <w:lang w:val="es-ES_tradnl"/>
        </w:rPr>
        <w:t xml:space="preserve">, el monto de la cuantía del proceso que es susceptible de limitar a </w:t>
      </w:r>
      <w:proofErr w:type="spellStart"/>
      <w:r w:rsidR="009D631B">
        <w:rPr>
          <w:rFonts w:ascii="Arial" w:eastAsia="Calibri" w:hAnsi="Arial" w:cs="Arial"/>
          <w:color w:val="000000" w:themeColor="text1"/>
          <w:sz w:val="22"/>
          <w:szCs w:val="22"/>
          <w:lang w:val="es-ES_tradnl"/>
        </w:rPr>
        <w:t>Mipyme</w:t>
      </w:r>
      <w:proofErr w:type="spellEnd"/>
      <w:r w:rsidR="009D631B">
        <w:rPr>
          <w:rFonts w:ascii="Arial" w:eastAsia="Calibri" w:hAnsi="Arial" w:cs="Arial"/>
          <w:color w:val="000000" w:themeColor="text1"/>
          <w:sz w:val="22"/>
          <w:szCs w:val="22"/>
          <w:lang w:val="es-ES_tradnl"/>
        </w:rPr>
        <w:t xml:space="preserve">, el origen nacional de la </w:t>
      </w:r>
      <w:proofErr w:type="spellStart"/>
      <w:r w:rsidR="009D631B">
        <w:rPr>
          <w:rFonts w:ascii="Arial" w:eastAsia="Calibri" w:hAnsi="Arial" w:cs="Arial"/>
          <w:color w:val="000000" w:themeColor="text1"/>
          <w:sz w:val="22"/>
          <w:szCs w:val="22"/>
          <w:lang w:val="es-ES_tradnl"/>
        </w:rPr>
        <w:t>Mipyme</w:t>
      </w:r>
      <w:proofErr w:type="spellEnd"/>
      <w:r w:rsidR="009D631B">
        <w:rPr>
          <w:rFonts w:ascii="Arial" w:eastAsia="Calibri" w:hAnsi="Arial" w:cs="Arial"/>
          <w:color w:val="000000" w:themeColor="text1"/>
          <w:sz w:val="22"/>
          <w:szCs w:val="22"/>
          <w:lang w:val="es-ES_tradnl"/>
        </w:rPr>
        <w:t xml:space="preserve"> y el plazo </w:t>
      </w:r>
      <w:r w:rsidR="009D631B">
        <w:rPr>
          <w:rFonts w:ascii="Arial" w:eastAsia="Calibri" w:hAnsi="Arial" w:cs="Arial"/>
          <w:color w:val="000000" w:themeColor="text1"/>
          <w:sz w:val="22"/>
          <w:szCs w:val="22"/>
          <w:lang w:val="es-ES_tradnl"/>
        </w:rPr>
        <w:lastRenderedPageBreak/>
        <w:t xml:space="preserve">para recibir las manifestaciones para limitar el proceso o, en su defecto, las entidades deben abstenerse de aplicarlos hasta tanto no sea expedida una nueva reglamentación en la materia que fije los montos y demás condiciones para limitar convocatorias públicas a la participación de </w:t>
      </w:r>
      <w:proofErr w:type="spellStart"/>
      <w:r w:rsidR="009D631B">
        <w:rPr>
          <w:rFonts w:ascii="Arial" w:eastAsia="Calibri" w:hAnsi="Arial" w:cs="Arial"/>
          <w:color w:val="000000" w:themeColor="text1"/>
          <w:sz w:val="22"/>
          <w:szCs w:val="22"/>
          <w:lang w:val="es-ES_tradnl"/>
        </w:rPr>
        <w:t>Mipymes</w:t>
      </w:r>
      <w:proofErr w:type="spellEnd"/>
      <w:r w:rsidR="009D631B">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w:t>
      </w:r>
    </w:p>
    <w:p w14:paraId="7C90D8BB" w14:textId="77777777" w:rsidR="00900530" w:rsidRPr="005419DA" w:rsidRDefault="00900530" w:rsidP="00900530">
      <w:pPr>
        <w:jc w:val="both"/>
        <w:rPr>
          <w:rFonts w:ascii="Arial" w:hAnsi="Arial" w:cs="Arial"/>
          <w:color w:val="000000" w:themeColor="text1"/>
          <w:sz w:val="21"/>
          <w:szCs w:val="21"/>
          <w:lang w:val="es-ES_tradnl"/>
        </w:rPr>
      </w:pPr>
    </w:p>
    <w:bookmarkEnd w:id="3"/>
    <w:p w14:paraId="4805B484" w14:textId="77777777" w:rsidR="00F80411" w:rsidRPr="005419DA"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0F04AF6B" w14:textId="77777777" w:rsidR="003A06CA" w:rsidRDefault="003A06CA" w:rsidP="004E667A">
      <w:pPr>
        <w:spacing w:line="276" w:lineRule="auto"/>
        <w:jc w:val="both"/>
        <w:rPr>
          <w:rFonts w:ascii="Arial" w:eastAsia="Calibri" w:hAnsi="Arial" w:cs="Arial"/>
          <w:color w:val="000000" w:themeColor="text1"/>
          <w:sz w:val="22"/>
          <w:szCs w:val="22"/>
          <w:lang w:val="es-ES_tradnl"/>
        </w:rPr>
      </w:pPr>
    </w:p>
    <w:p w14:paraId="177E45DF" w14:textId="1A6FEA33" w:rsidR="008C77EF" w:rsidRDefault="00F412AF" w:rsidP="00FF0A6D">
      <w:pPr>
        <w:spacing w:after="120" w:line="276" w:lineRule="auto"/>
        <w:jc w:val="both"/>
        <w:rPr>
          <w:rFonts w:ascii="Arial" w:eastAsia="Calibri" w:hAnsi="Arial" w:cs="Arial"/>
          <w:color w:val="000000" w:themeColor="text1"/>
          <w:sz w:val="22"/>
          <w:szCs w:val="22"/>
          <w:lang w:val="es-ES_tradnl"/>
        </w:rPr>
      </w:pPr>
      <w:r w:rsidRPr="0027683D">
        <w:rPr>
          <w:rFonts w:ascii="Arial" w:eastAsia="Calibri" w:hAnsi="Arial" w:cs="Arial"/>
          <w:color w:val="000000" w:themeColor="text1"/>
          <w:sz w:val="22"/>
          <w:szCs w:val="22"/>
          <w:lang w:val="es-ES_tradnl"/>
        </w:rPr>
        <w:t>La Subdirección de Gestión Contractual responderá la consulta, luego de analizar los siguientes temas: i) vigencia y ámbito de aplicación de la Ley 2069 de 2020,</w:t>
      </w:r>
      <w:r>
        <w:rPr>
          <w:rFonts w:ascii="Arial" w:eastAsia="Calibri" w:hAnsi="Arial" w:cs="Arial"/>
          <w:color w:val="000000" w:themeColor="text1"/>
          <w:sz w:val="22"/>
          <w:szCs w:val="22"/>
          <w:lang w:val="es-ES_tradnl"/>
        </w:rPr>
        <w:t xml:space="preserve"> y</w:t>
      </w:r>
      <w:r w:rsidRPr="0027683D">
        <w:rPr>
          <w:rFonts w:ascii="Arial" w:eastAsia="Calibri" w:hAnsi="Arial" w:cs="Arial"/>
          <w:color w:val="000000" w:themeColor="text1"/>
          <w:sz w:val="22"/>
          <w:szCs w:val="22"/>
          <w:lang w:val="es-ES_tradnl"/>
        </w:rPr>
        <w:t xml:space="preserve"> ii)</w:t>
      </w:r>
      <w:r>
        <w:rPr>
          <w:rFonts w:ascii="Arial" w:eastAsia="Calibri" w:hAnsi="Arial" w:cs="Arial"/>
          <w:color w:val="000000" w:themeColor="text1"/>
          <w:sz w:val="22"/>
          <w:szCs w:val="22"/>
          <w:lang w:val="es-ES_tradnl"/>
        </w:rPr>
        <w:t xml:space="preserve"> la</w:t>
      </w:r>
      <w:r w:rsidRPr="0027683D">
        <w:rPr>
          <w:rFonts w:ascii="Arial" w:eastAsia="Calibri" w:hAnsi="Arial" w:cs="Arial"/>
          <w:color w:val="000000" w:themeColor="text1"/>
          <w:sz w:val="22"/>
          <w:szCs w:val="22"/>
          <w:lang w:val="es-ES_tradnl"/>
        </w:rPr>
        <w:t xml:space="preserve"> nueva regulación de la promoción del desarrollo en la contratación estatal en el artículo 34 de la Ley 2069 de 2020 y subrogación del artículo 12 de la Ley 1150 de 2007</w:t>
      </w:r>
      <w:r>
        <w:rPr>
          <w:rFonts w:ascii="Arial" w:eastAsia="Calibri" w:hAnsi="Arial" w:cs="Arial"/>
          <w:color w:val="000000" w:themeColor="text1"/>
          <w:sz w:val="22"/>
          <w:szCs w:val="22"/>
          <w:lang w:val="es-ES_tradnl"/>
        </w:rPr>
        <w:t>.</w:t>
      </w:r>
    </w:p>
    <w:p w14:paraId="63E98AA0" w14:textId="62AF2A04" w:rsidR="00F412AF" w:rsidRDefault="00F412AF" w:rsidP="008C77EF">
      <w:pPr>
        <w:spacing w:line="276" w:lineRule="auto"/>
        <w:ind w:firstLine="708"/>
        <w:jc w:val="both"/>
        <w:rPr>
          <w:rFonts w:ascii="Arial" w:eastAsia="Calibri" w:hAnsi="Arial" w:cs="Arial"/>
          <w:sz w:val="22"/>
          <w:lang w:val="es-ES"/>
        </w:rPr>
      </w:pPr>
      <w:r w:rsidRPr="0027683D">
        <w:rPr>
          <w:rFonts w:ascii="Arial" w:eastAsia="Calibri" w:hAnsi="Arial" w:cs="Arial"/>
          <w:color w:val="000000" w:themeColor="text1"/>
          <w:sz w:val="22"/>
          <w:szCs w:val="22"/>
          <w:lang w:val="es-ES_tradnl"/>
        </w:rPr>
        <w:t>Es importante destacar que la Agencia Nacional de Contratación Pública – Colombia Compra Eficiente</w:t>
      </w:r>
      <w:r w:rsidR="008C77EF">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 xml:space="preserve"> </w:t>
      </w:r>
      <w:r w:rsidR="007321B0">
        <w:rPr>
          <w:rFonts w:ascii="Arial" w:eastAsia="Calibri" w:hAnsi="Arial" w:cs="Arial"/>
          <w:color w:val="000000" w:themeColor="text1"/>
          <w:sz w:val="22"/>
          <w:szCs w:val="22"/>
          <w:lang w:val="es-ES_tradnl"/>
        </w:rPr>
        <w:t>en los conceptos C-043 del 9 de febrero de 2021 y C-081 del 23 de febrero del 2021,</w:t>
      </w:r>
      <w:r>
        <w:rPr>
          <w:rFonts w:ascii="Arial" w:eastAsia="Calibri" w:hAnsi="Arial" w:cs="Arial"/>
          <w:color w:val="000000" w:themeColor="text1"/>
          <w:sz w:val="22"/>
          <w:szCs w:val="22"/>
          <w:lang w:val="es-ES_tradnl"/>
        </w:rPr>
        <w:t xml:space="preserve"> </w:t>
      </w:r>
      <w:r w:rsidR="00FF0A6D" w:rsidRPr="00FF0A6D">
        <w:rPr>
          <w:rFonts w:ascii="Arial" w:eastAsia="Calibri" w:hAnsi="Arial" w:cs="Arial"/>
          <w:color w:val="000000" w:themeColor="text1"/>
          <w:sz w:val="22"/>
          <w:szCs w:val="22"/>
          <w:lang w:val="es-ES_tradnl"/>
        </w:rPr>
        <w:t>C-087 del 23 de febrero 2021, C-025 del 25 de febrero de 2021, C-037 del 26 de febrero 2021, C-035 y C-040 ambos del 02 de marzo de 2021, C-044 del 03 de marzo de 2021</w:t>
      </w:r>
      <w:r w:rsidR="00FF0A6D">
        <w:rPr>
          <w:rFonts w:ascii="Arial" w:eastAsia="Calibri" w:hAnsi="Arial" w:cs="Arial"/>
          <w:color w:val="000000" w:themeColor="text1"/>
          <w:sz w:val="22"/>
          <w:szCs w:val="22"/>
          <w:lang w:val="es-ES_tradnl"/>
        </w:rPr>
        <w:t xml:space="preserve">, </w:t>
      </w:r>
      <w:r w:rsidR="00FF0A6D" w:rsidRPr="00FF0A6D">
        <w:rPr>
          <w:rFonts w:ascii="Arial" w:eastAsia="Calibri" w:hAnsi="Arial" w:cs="Arial"/>
          <w:color w:val="000000" w:themeColor="text1"/>
          <w:sz w:val="22"/>
          <w:szCs w:val="22"/>
          <w:lang w:val="es-ES_tradnl"/>
        </w:rPr>
        <w:t>C-102 del 25 de marzo de 2021</w:t>
      </w:r>
      <w:r w:rsidR="00FF0A6D">
        <w:rPr>
          <w:rFonts w:ascii="Arial" w:eastAsia="Calibri" w:hAnsi="Arial" w:cs="Arial"/>
          <w:color w:val="000000" w:themeColor="text1"/>
          <w:sz w:val="22"/>
          <w:szCs w:val="22"/>
          <w:lang w:val="es-ES_tradnl"/>
        </w:rPr>
        <w:t xml:space="preserve"> y C-208 del 10 de mayo de 2021, se </w:t>
      </w:r>
      <w:r w:rsidR="007321B0">
        <w:rPr>
          <w:rFonts w:ascii="Arial" w:eastAsia="Calibri" w:hAnsi="Arial" w:cs="Arial"/>
          <w:color w:val="000000" w:themeColor="text1"/>
          <w:sz w:val="22"/>
          <w:szCs w:val="22"/>
          <w:lang w:val="es-ES_tradnl"/>
        </w:rPr>
        <w:t xml:space="preserve">estudió la vigencia del artículo 12 de la Ley 1150 de 2007 </w:t>
      </w:r>
      <w:r w:rsidR="00145C1A">
        <w:rPr>
          <w:rFonts w:ascii="Arial" w:eastAsia="Calibri" w:hAnsi="Arial" w:cs="Arial"/>
          <w:color w:val="000000" w:themeColor="text1"/>
          <w:sz w:val="22"/>
          <w:szCs w:val="22"/>
          <w:lang w:val="es-ES_tradnl"/>
        </w:rPr>
        <w:t>así como la</w:t>
      </w:r>
      <w:r w:rsidR="007321B0">
        <w:rPr>
          <w:rFonts w:ascii="Arial" w:eastAsia="Calibri" w:hAnsi="Arial" w:cs="Arial"/>
          <w:color w:val="000000" w:themeColor="text1"/>
          <w:sz w:val="22"/>
          <w:szCs w:val="22"/>
          <w:lang w:val="es-ES_tradnl"/>
        </w:rPr>
        <w:t xml:space="preserve"> pérdida de ejecutoria </w:t>
      </w:r>
      <w:r w:rsidR="00145C1A">
        <w:rPr>
          <w:rFonts w:ascii="Arial" w:hAnsi="Arial" w:cs="Arial"/>
          <w:color w:val="000000"/>
          <w:sz w:val="22"/>
          <w:szCs w:val="22"/>
        </w:rPr>
        <w:t>del</w:t>
      </w:r>
      <w:r w:rsidR="007321B0" w:rsidRPr="00A719D1">
        <w:rPr>
          <w:rFonts w:ascii="Arial" w:hAnsi="Arial" w:cs="Arial"/>
          <w:color w:val="000000"/>
          <w:sz w:val="22"/>
          <w:szCs w:val="22"/>
        </w:rPr>
        <w:t xml:space="preserve"> artículo 2.2.1.2.4.2.2. del Decreto 1082 de 2015</w:t>
      </w:r>
      <w:r w:rsidR="007321B0">
        <w:rPr>
          <w:rFonts w:ascii="Arial" w:eastAsia="Calibri" w:hAnsi="Arial" w:cs="Arial"/>
          <w:color w:val="000000" w:themeColor="text1"/>
          <w:sz w:val="22"/>
          <w:szCs w:val="22"/>
          <w:lang w:val="es-ES_tradnl"/>
        </w:rPr>
        <w:t>, a partir de lo establecido en el artículo 34 de la Ley 2069 de 2020.</w:t>
      </w:r>
      <w:r>
        <w:rPr>
          <w:rFonts w:ascii="Arial" w:eastAsia="Calibri" w:hAnsi="Arial" w:cs="Arial"/>
          <w:color w:val="000000" w:themeColor="text1"/>
          <w:sz w:val="22"/>
          <w:szCs w:val="22"/>
          <w:lang w:val="es-ES_tradnl"/>
        </w:rPr>
        <w:t xml:space="preserve"> </w:t>
      </w:r>
      <w:r w:rsidR="007321B0">
        <w:rPr>
          <w:rFonts w:ascii="Arial" w:eastAsia="Calibri" w:hAnsi="Arial" w:cs="Arial"/>
          <w:color w:val="000000" w:themeColor="text1"/>
          <w:sz w:val="22"/>
          <w:szCs w:val="22"/>
          <w:lang w:val="es-ES_tradnl"/>
        </w:rPr>
        <w:t>La tesis y fundamentos</w:t>
      </w:r>
      <w:r w:rsidR="00145C1A">
        <w:rPr>
          <w:rFonts w:ascii="Arial" w:eastAsia="Calibri" w:hAnsi="Arial" w:cs="Arial"/>
          <w:color w:val="000000" w:themeColor="text1"/>
          <w:sz w:val="22"/>
          <w:szCs w:val="22"/>
          <w:lang w:val="es-ES_tradnl"/>
        </w:rPr>
        <w:t xml:space="preserve"> pertinentes</w:t>
      </w:r>
      <w:r w:rsidR="007321B0">
        <w:rPr>
          <w:rFonts w:ascii="Arial" w:eastAsia="Calibri" w:hAnsi="Arial" w:cs="Arial"/>
          <w:color w:val="000000" w:themeColor="text1"/>
          <w:sz w:val="22"/>
          <w:szCs w:val="22"/>
          <w:lang w:val="es-ES_tradnl"/>
        </w:rPr>
        <w:t xml:space="preserve"> </w:t>
      </w:r>
      <w:r w:rsidR="00145C1A">
        <w:rPr>
          <w:rFonts w:ascii="Arial" w:eastAsia="Calibri" w:hAnsi="Arial" w:cs="Arial"/>
          <w:color w:val="000000" w:themeColor="text1"/>
          <w:sz w:val="22"/>
          <w:szCs w:val="22"/>
          <w:lang w:val="es-ES_tradnl"/>
        </w:rPr>
        <w:t xml:space="preserve">de estos </w:t>
      </w:r>
      <w:r w:rsidR="007321B0">
        <w:rPr>
          <w:rFonts w:ascii="Arial" w:eastAsia="Calibri" w:hAnsi="Arial" w:cs="Arial"/>
          <w:color w:val="000000" w:themeColor="text1"/>
          <w:sz w:val="22"/>
          <w:szCs w:val="22"/>
          <w:lang w:val="es-ES_tradnl"/>
        </w:rPr>
        <w:t>conceptos se reiteran a continuación</w:t>
      </w:r>
      <w:r w:rsidR="00145C1A">
        <w:rPr>
          <w:rFonts w:ascii="Arial" w:eastAsia="Calibri" w:hAnsi="Arial" w:cs="Arial"/>
          <w:color w:val="000000" w:themeColor="text1"/>
          <w:sz w:val="22"/>
          <w:szCs w:val="22"/>
          <w:lang w:val="es-ES_tradnl"/>
        </w:rPr>
        <w:t>.</w:t>
      </w:r>
    </w:p>
    <w:p w14:paraId="0BF93C7D" w14:textId="77777777" w:rsidR="003A06CA" w:rsidRPr="000E0D71" w:rsidRDefault="003A06CA" w:rsidP="004E667A">
      <w:pPr>
        <w:spacing w:line="276" w:lineRule="auto"/>
        <w:jc w:val="both"/>
        <w:rPr>
          <w:rFonts w:ascii="Arial" w:eastAsia="Calibri" w:hAnsi="Arial" w:cs="Arial"/>
          <w:color w:val="000000" w:themeColor="text1"/>
          <w:sz w:val="22"/>
          <w:szCs w:val="22"/>
          <w:lang w:val="es-ES_tradnl"/>
        </w:rPr>
      </w:pPr>
    </w:p>
    <w:p w14:paraId="4091264D" w14:textId="77777777" w:rsidR="007321B0" w:rsidRPr="005419DA" w:rsidRDefault="007321B0" w:rsidP="007321B0">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w:t>
      </w:r>
      <w:r>
        <w:rPr>
          <w:rFonts w:ascii="Arial" w:eastAsia="Calibri" w:hAnsi="Arial" w:cs="Arial"/>
          <w:b/>
          <w:bCs/>
          <w:color w:val="000000" w:themeColor="text1"/>
          <w:sz w:val="22"/>
          <w:szCs w:val="22"/>
          <w:lang w:val="es-ES_tradnl"/>
        </w:rPr>
        <w:t>1</w:t>
      </w:r>
      <w:r w:rsidRPr="005419DA">
        <w:rPr>
          <w:rFonts w:ascii="Arial" w:eastAsia="Calibri" w:hAnsi="Arial" w:cs="Arial"/>
          <w:b/>
          <w:bCs/>
          <w:color w:val="000000" w:themeColor="text1"/>
          <w:sz w:val="22"/>
          <w:szCs w:val="22"/>
          <w:lang w:val="es-ES_tradnl"/>
        </w:rPr>
        <w:t xml:space="preserve">. Vigencia y ámbito de aplicación de la Ley </w:t>
      </w:r>
      <w:r>
        <w:rPr>
          <w:rFonts w:ascii="Arial" w:eastAsia="Calibri" w:hAnsi="Arial" w:cs="Arial"/>
          <w:b/>
          <w:bCs/>
          <w:color w:val="000000" w:themeColor="text1"/>
          <w:sz w:val="22"/>
          <w:szCs w:val="22"/>
          <w:lang w:val="es-ES_tradnl"/>
        </w:rPr>
        <w:t>2069</w:t>
      </w:r>
      <w:r w:rsidRPr="005419DA">
        <w:rPr>
          <w:rFonts w:ascii="Arial" w:eastAsia="Calibri" w:hAnsi="Arial" w:cs="Arial"/>
          <w:b/>
          <w:bCs/>
          <w:color w:val="000000" w:themeColor="text1"/>
          <w:sz w:val="22"/>
          <w:szCs w:val="22"/>
          <w:lang w:val="es-ES_tradnl"/>
        </w:rPr>
        <w:t xml:space="preserve"> de 2020</w:t>
      </w:r>
    </w:p>
    <w:p w14:paraId="1B7721A1" w14:textId="77777777" w:rsidR="007321B0" w:rsidRPr="005419DA" w:rsidRDefault="007321B0" w:rsidP="007321B0">
      <w:pPr>
        <w:spacing w:line="276" w:lineRule="auto"/>
        <w:jc w:val="both"/>
        <w:rPr>
          <w:rFonts w:ascii="Arial" w:eastAsia="Calibri" w:hAnsi="Arial" w:cs="Arial"/>
          <w:color w:val="000000" w:themeColor="text1"/>
          <w:sz w:val="22"/>
          <w:szCs w:val="22"/>
          <w:lang w:val="es-ES_tradnl"/>
        </w:rPr>
      </w:pPr>
    </w:p>
    <w:p w14:paraId="4451E62B" w14:textId="77777777" w:rsidR="007321B0" w:rsidRPr="005419DA" w:rsidRDefault="007321B0" w:rsidP="007321B0">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31 de diciembre de 2020 se promulgó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4F7E0CE" w14:textId="6A16DD3B" w:rsidR="007321B0" w:rsidRPr="005419DA"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cuan</w:t>
      </w:r>
      <w:r w:rsidR="007A5741">
        <w:rPr>
          <w:rFonts w:ascii="Arial" w:eastAsia="Calibri" w:hAnsi="Arial" w:cs="Arial"/>
          <w:color w:val="000000" w:themeColor="text1"/>
          <w:sz w:val="22"/>
          <w:szCs w:val="22"/>
          <w:lang w:val="es-ES_tradnl"/>
        </w:rPr>
        <w:t>t</w:t>
      </w:r>
      <w:r w:rsidRPr="005419DA">
        <w:rPr>
          <w:rFonts w:ascii="Arial" w:eastAsia="Calibri" w:hAnsi="Arial" w:cs="Arial"/>
          <w:color w:val="000000" w:themeColor="text1"/>
          <w:sz w:val="22"/>
          <w:szCs w:val="22"/>
          <w:lang w:val="es-ES_tradnl"/>
        </w:rPr>
        <w:t xml:space="preserve">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419DA">
        <w:rPr>
          <w:rFonts w:ascii="Arial" w:eastAsia="Calibri" w:hAnsi="Arial" w:cs="Arial"/>
          <w:color w:val="000000" w:themeColor="text1"/>
          <w:sz w:val="22"/>
          <w:szCs w:val="22"/>
          <w:lang w:val="es-ES_tradnl"/>
        </w:rPr>
        <w:t>de acuerdo a</w:t>
      </w:r>
      <w:proofErr w:type="gramEnd"/>
      <w:r w:rsidRPr="005419DA">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mediante la racionalización y simplificación de los trámites y tarifas</w:t>
      </w:r>
      <w:r w:rsidRPr="005419DA">
        <w:rPr>
          <w:rStyle w:val="Refdenotaalpie"/>
          <w:rFonts w:ascii="Arial" w:eastAsia="Calibri" w:hAnsi="Arial" w:cs="Arial"/>
          <w:color w:val="000000" w:themeColor="text1"/>
          <w:sz w:val="22"/>
          <w:szCs w:val="22"/>
          <w:lang w:val="es-ES_tradnl"/>
        </w:rPr>
        <w:footnoteReference w:id="2"/>
      </w:r>
      <w:r w:rsidRPr="005419DA">
        <w:rPr>
          <w:rFonts w:ascii="Arial" w:eastAsia="Calibri" w:hAnsi="Arial" w:cs="Arial"/>
          <w:color w:val="000000" w:themeColor="text1"/>
          <w:sz w:val="22"/>
          <w:szCs w:val="22"/>
          <w:lang w:val="es-ES_tradnl"/>
        </w:rPr>
        <w:t xml:space="preserve">, así como </w:t>
      </w:r>
      <w:r w:rsidRPr="005419DA">
        <w:rPr>
          <w:rFonts w:ascii="Arial" w:eastAsia="Calibri" w:hAnsi="Arial" w:cs="Arial"/>
          <w:color w:val="000000" w:themeColor="text1"/>
          <w:sz w:val="22"/>
          <w:szCs w:val="22"/>
          <w:lang w:val="es-ES_tradnl"/>
        </w:rPr>
        <w:lastRenderedPageBreak/>
        <w:t>incentivos a favor de aquellas dentro del sistema de compras y contratación pública</w:t>
      </w:r>
      <w:r w:rsidRPr="005419DA">
        <w:rPr>
          <w:rStyle w:val="Refdenotaalpie"/>
          <w:rFonts w:ascii="Arial" w:eastAsia="Calibri" w:hAnsi="Arial" w:cs="Arial"/>
          <w:color w:val="000000" w:themeColor="text1"/>
          <w:sz w:val="22"/>
          <w:szCs w:val="22"/>
          <w:lang w:val="es-ES_tradnl"/>
        </w:rPr>
        <w:footnoteReference w:id="3"/>
      </w:r>
      <w:r w:rsidRPr="005419DA">
        <w:rPr>
          <w:rFonts w:ascii="Arial" w:eastAsia="Calibri" w:hAnsi="Arial" w:cs="Arial"/>
          <w:color w:val="000000" w:themeColor="text1"/>
          <w:sz w:val="22"/>
          <w:szCs w:val="22"/>
          <w:lang w:val="es-ES_tradnl"/>
        </w:rPr>
        <w:t>. También se consagran mecanismos de acceso al financiamiento</w:t>
      </w:r>
      <w:r w:rsidRPr="005419DA">
        <w:rPr>
          <w:rStyle w:val="Refdenotaalpie"/>
          <w:rFonts w:ascii="Arial" w:eastAsia="Calibri" w:hAnsi="Arial" w:cs="Arial"/>
          <w:color w:val="000000" w:themeColor="text1"/>
          <w:sz w:val="22"/>
          <w:szCs w:val="22"/>
          <w:lang w:val="es-ES_tradnl"/>
        </w:rPr>
        <w:footnoteReference w:id="4"/>
      </w:r>
      <w:r w:rsidRPr="005419DA">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eastAsia="Calibri" w:hAnsi="Arial" w:cs="Arial"/>
          <w:color w:val="000000" w:themeColor="text1"/>
          <w:sz w:val="22"/>
          <w:szCs w:val="22"/>
          <w:lang w:val="es-ES_tradnl"/>
        </w:rPr>
        <w:footnoteReference w:id="5"/>
      </w:r>
      <w:r w:rsidRPr="005419DA">
        <w:rPr>
          <w:rFonts w:ascii="Arial" w:eastAsia="Calibri" w:hAnsi="Arial" w:cs="Arial"/>
          <w:color w:val="000000" w:themeColor="text1"/>
          <w:sz w:val="22"/>
          <w:szCs w:val="22"/>
          <w:lang w:val="es-ES_tradnl"/>
        </w:rPr>
        <w:t xml:space="preserve"> y se prevén medidas de educación para el emprendimiento y la innovación</w:t>
      </w:r>
      <w:r w:rsidRPr="005419DA">
        <w:rPr>
          <w:rStyle w:val="Refdenotaalpie"/>
          <w:rFonts w:ascii="Arial" w:eastAsia="Calibri" w:hAnsi="Arial" w:cs="Arial"/>
          <w:color w:val="000000" w:themeColor="text1"/>
          <w:sz w:val="22"/>
          <w:szCs w:val="22"/>
          <w:lang w:val="es-ES_tradnl"/>
        </w:rPr>
        <w:footnoteReference w:id="6"/>
      </w:r>
      <w:r w:rsidRPr="005419DA">
        <w:rPr>
          <w:rFonts w:ascii="Arial" w:eastAsia="Calibri" w:hAnsi="Arial" w:cs="Arial"/>
          <w:color w:val="000000" w:themeColor="text1"/>
          <w:sz w:val="22"/>
          <w:szCs w:val="22"/>
          <w:lang w:val="es-ES_tradnl"/>
        </w:rPr>
        <w:t>.</w:t>
      </w:r>
    </w:p>
    <w:p w14:paraId="3556BD58" w14:textId="0B0441D0" w:rsidR="007321B0"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955541">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w:t>
      </w:r>
      <w:r>
        <w:rPr>
          <w:rFonts w:ascii="Arial" w:eastAsia="Calibri" w:hAnsi="Arial" w:cs="Arial"/>
          <w:color w:val="000000" w:themeColor="text1"/>
          <w:sz w:val="22"/>
          <w:szCs w:val="22"/>
          <w:lang w:val="es-ES_tradnl"/>
        </w:rPr>
        <w:t>l</w:t>
      </w:r>
      <w:r w:rsidRPr="00955541">
        <w:rPr>
          <w:rFonts w:ascii="Arial" w:eastAsia="Calibri" w:hAnsi="Arial" w:cs="Arial"/>
          <w:color w:val="000000" w:themeColor="text1"/>
          <w:sz w:val="22"/>
          <w:szCs w:val="22"/>
          <w:lang w:val="es-ES_tradnl"/>
        </w:rPr>
        <w:t xml:space="preserve"> artículo 34 de la referida Ley, a continuación, se estudiará el contenido y alcance de dicha norma.</w:t>
      </w:r>
    </w:p>
    <w:p w14:paraId="3D5D7DC3" w14:textId="77777777" w:rsidR="007321B0" w:rsidRDefault="007321B0" w:rsidP="00FF0A6D">
      <w:pPr>
        <w:spacing w:line="276" w:lineRule="auto"/>
        <w:ind w:firstLine="709"/>
        <w:jc w:val="both"/>
        <w:rPr>
          <w:rFonts w:ascii="Arial" w:eastAsia="Calibri" w:hAnsi="Arial" w:cs="Arial"/>
          <w:color w:val="000000" w:themeColor="text1"/>
          <w:sz w:val="22"/>
          <w:szCs w:val="22"/>
          <w:lang w:val="es-ES_tradnl"/>
        </w:rPr>
      </w:pPr>
    </w:p>
    <w:p w14:paraId="5BAAA70B" w14:textId="0163FFEF" w:rsidR="007321B0" w:rsidRPr="004F2364" w:rsidRDefault="007321B0" w:rsidP="007321B0">
      <w:pPr>
        <w:spacing w:line="276" w:lineRule="auto"/>
        <w:jc w:val="both"/>
        <w:rPr>
          <w:rFonts w:ascii="Arial" w:eastAsia="Calibri" w:hAnsi="Arial" w:cs="Arial"/>
          <w:b/>
          <w:bCs/>
          <w:color w:val="000000" w:themeColor="text1"/>
          <w:sz w:val="22"/>
          <w:szCs w:val="22"/>
          <w:lang w:val="es-ES_tradnl"/>
        </w:rPr>
      </w:pPr>
      <w:r w:rsidRPr="0027683D">
        <w:rPr>
          <w:rFonts w:ascii="Arial" w:eastAsia="Calibri" w:hAnsi="Arial" w:cs="Arial"/>
          <w:b/>
          <w:bCs/>
          <w:color w:val="000000" w:themeColor="text1"/>
          <w:sz w:val="22"/>
          <w:szCs w:val="22"/>
          <w:lang w:val="es-ES_tradnl"/>
        </w:rPr>
        <w:t>2.2. Nueva regulación de la promoción del desarrollo en la contratación estatal en el artículo 34 de la Ley 2069 de 2020</w:t>
      </w:r>
    </w:p>
    <w:p w14:paraId="2A0EA8F1" w14:textId="77777777" w:rsidR="007321B0" w:rsidRDefault="007321B0" w:rsidP="007321B0">
      <w:pPr>
        <w:spacing w:line="276" w:lineRule="auto"/>
        <w:jc w:val="both"/>
        <w:rPr>
          <w:rFonts w:ascii="Arial" w:eastAsia="Calibri" w:hAnsi="Arial" w:cs="Arial"/>
          <w:color w:val="000000" w:themeColor="text1"/>
          <w:sz w:val="22"/>
          <w:szCs w:val="22"/>
          <w:lang w:val="es-ES_tradnl"/>
        </w:rPr>
      </w:pPr>
    </w:p>
    <w:p w14:paraId="45318439" w14:textId="6D06699D" w:rsidR="007321B0" w:rsidRPr="004F2364" w:rsidRDefault="007321B0" w:rsidP="007321B0">
      <w:pPr>
        <w:spacing w:line="276" w:lineRule="auto"/>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El artículo 34 de la Ley 2069 de 2020 establece nuevas reglas sobre la promoción al desarrollo en la contratación estatal. Concretamente, modifica el contenido del artículo 12 de la Ley 1150 de 2007</w:t>
      </w:r>
      <w:r w:rsidRPr="004F2364">
        <w:rPr>
          <w:rStyle w:val="Refdenotaalpie"/>
          <w:rFonts w:ascii="Arial" w:eastAsia="Calibri" w:hAnsi="Arial" w:cs="Arial"/>
          <w:color w:val="000000" w:themeColor="text1"/>
          <w:sz w:val="22"/>
          <w:szCs w:val="22"/>
          <w:lang w:val="es-ES_tradnl"/>
        </w:rPr>
        <w:footnoteReference w:id="7"/>
      </w:r>
      <w:r w:rsidRPr="004F2364">
        <w:rPr>
          <w:rFonts w:ascii="Arial" w:eastAsia="Calibri" w:hAnsi="Arial" w:cs="Arial"/>
          <w:color w:val="000000" w:themeColor="text1"/>
          <w:sz w:val="22"/>
          <w:szCs w:val="22"/>
          <w:lang w:val="es-ES_tradnl"/>
        </w:rPr>
        <w:t>, prescribiendo lo que se indica a continuación:</w:t>
      </w:r>
    </w:p>
    <w:p w14:paraId="17AA5F71" w14:textId="5597527E"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w:t>
      </w:r>
      <w:r w:rsidR="00162D5A" w:rsidRPr="004F2364">
        <w:rPr>
          <w:rFonts w:ascii="Arial" w:eastAsia="Calibri" w:hAnsi="Arial" w:cs="Arial"/>
          <w:color w:val="000000" w:themeColor="text1"/>
          <w:sz w:val="22"/>
          <w:szCs w:val="22"/>
          <w:lang w:val="es-ES_tradnl"/>
        </w:rPr>
        <w:t>públicos</w:t>
      </w:r>
      <w:r w:rsidR="00162D5A">
        <w:rPr>
          <w:rFonts w:ascii="Arial" w:eastAsia="Calibri" w:hAnsi="Arial" w:cs="Arial"/>
          <w:color w:val="000000" w:themeColor="text1"/>
          <w:sz w:val="22"/>
          <w:szCs w:val="22"/>
          <w:lang w:val="es-ES_tradnl"/>
        </w:rPr>
        <w:t xml:space="preserve"> </w:t>
      </w:r>
      <w:r w:rsidRPr="004F2364">
        <w:rPr>
          <w:rFonts w:ascii="Arial" w:eastAsia="Calibri" w:hAnsi="Arial" w:cs="Arial"/>
          <w:color w:val="000000" w:themeColor="text1"/>
          <w:sz w:val="22"/>
          <w:szCs w:val="22"/>
          <w:lang w:val="es-ES_tradnl"/>
        </w:rPr>
        <w:t xml:space="preserve">efectúen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en los procesos de contratación. Y agrega que estas convocatorias se pueden realizar también en el ámbito municipal o departamental en el que se ejecute el contrato. </w:t>
      </w:r>
    </w:p>
    <w:p w14:paraId="7E1C38A1"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ii) Indica que dichas convocatorias se deben efectuar –y así lo deberá reglamentar el gobierno nacional– siempre y cuando, antes del acto administrativo de apertura del proceso de selección, por lo menos dos (2)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hayan manifestado su interés.</w:t>
      </w:r>
    </w:p>
    <w:p w14:paraId="1BB57CBD"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1C7F2911"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iv) Establece que, en el reglamento, el gobierno nacional podría establecer condiciones preferenciales para los bienes y servicios producidos por las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sin contrariar los compromisos internacionales vigentes.</w:t>
      </w:r>
    </w:p>
    <w:p w14:paraId="555732D0"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  Aclara que tanto las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como las condiciones preferenciales a favor de los bienes y servicios producidos por estas, no es óbice para que deban cumplir las exigencias técnicas y económicas del proceso de selección.</w:t>
      </w:r>
    </w:p>
    <w:p w14:paraId="0D4533E7"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vi) Señala que el reglamento que expida el gobierno nacional, además de las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deberá contener disposiciones normativas que </w:t>
      </w:r>
      <w:r w:rsidRPr="004F2364">
        <w:rPr>
          <w:rFonts w:ascii="Arial" w:eastAsia="Calibri" w:hAnsi="Arial" w:cs="Arial"/>
          <w:color w:val="000000" w:themeColor="text1"/>
          <w:sz w:val="22"/>
          <w:szCs w:val="22"/>
          <w:lang w:val="es-ES_tradnl"/>
        </w:rPr>
        <w:lastRenderedPageBreak/>
        <w:t>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32E4CC55"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vii) Precisa que la posibilidad de participar en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se encuentra condicionada a que estas acrediten como mínimo un año de existencia, con el certificado expedido por la cámara de comercio respectiva o por la autoridad que sea competente para ello.</w:t>
      </w:r>
    </w:p>
    <w:p w14:paraId="0E7FA130" w14:textId="77777777" w:rsidR="007321B0" w:rsidRPr="0061221C"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viii) Hace obligatorio el cumplimiento de lo dispuesto en los artículos 90 a 95 de la Ley 418 de 1997 –normas que establecen la obligación de declarar la caducidad y la </w:t>
      </w:r>
      <w:r w:rsidRPr="0061221C">
        <w:rPr>
          <w:rFonts w:ascii="Arial" w:eastAsia="Calibri" w:hAnsi="Arial" w:cs="Arial"/>
          <w:color w:val="000000" w:themeColor="text1"/>
          <w:sz w:val="22"/>
          <w:szCs w:val="22"/>
          <w:lang w:val="es-ES_tradnl"/>
        </w:rPr>
        <w:t>liquidación unilateral cuando el contratista beneficie grupos armados organizados al margen de la ley– en la ejecución de los contratos celebrados en virtud del artículo 34 de la Ley 2069 de 2020.</w:t>
      </w:r>
    </w:p>
    <w:p w14:paraId="427F0F58" w14:textId="318D360C"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Luego de explicar las reglas incluidas en la nueva regulación de la promoción del desarrollo en la contratación estatal, previstas en el artículo 34 de la Ley 2069 de 2020, y habiendo aclarado que dicha norma </w:t>
      </w:r>
      <w:r w:rsidR="00754B06">
        <w:rPr>
          <w:rFonts w:ascii="Arial" w:eastAsia="Calibri" w:hAnsi="Arial" w:cs="Arial"/>
          <w:color w:val="000000" w:themeColor="text1"/>
          <w:sz w:val="22"/>
          <w:szCs w:val="22"/>
          <w:lang w:val="es-ES_tradnl"/>
        </w:rPr>
        <w:t>subrogó</w:t>
      </w:r>
      <w:r w:rsidRPr="004F2364">
        <w:rPr>
          <w:rFonts w:ascii="Arial" w:eastAsia="Calibri" w:hAnsi="Arial" w:cs="Arial"/>
          <w:color w:val="000000" w:themeColor="text1"/>
          <w:sz w:val="22"/>
          <w:szCs w:val="22"/>
          <w:lang w:val="es-ES_tradnl"/>
        </w:rPr>
        <w:t xml:space="preserve"> el artículo 12 de la Ley 1150 de 2007, conviene preguntarse qué sucede con la vigencia del artículo 2.2.1.2.4.2.2. del Decreto 1082 de 2015, que, hasta la expedición de la Ley 2069 de 2020, </w:t>
      </w:r>
      <w:r w:rsidR="00815436">
        <w:rPr>
          <w:rFonts w:ascii="Arial" w:eastAsia="Calibri" w:hAnsi="Arial" w:cs="Arial"/>
          <w:color w:val="000000" w:themeColor="text1"/>
          <w:sz w:val="22"/>
          <w:szCs w:val="22"/>
          <w:lang w:val="es-ES_tradnl"/>
        </w:rPr>
        <w:t>regulaba</w:t>
      </w:r>
      <w:r w:rsidR="00815436" w:rsidRPr="004F2364">
        <w:rPr>
          <w:rFonts w:ascii="Arial" w:eastAsia="Calibri" w:hAnsi="Arial" w:cs="Arial"/>
          <w:color w:val="000000" w:themeColor="text1"/>
          <w:sz w:val="22"/>
          <w:szCs w:val="22"/>
          <w:lang w:val="es-ES_tradnl"/>
        </w:rPr>
        <w:t xml:space="preserve"> </w:t>
      </w:r>
      <w:r w:rsidRPr="004F2364">
        <w:rPr>
          <w:rFonts w:ascii="Arial" w:eastAsia="Calibri" w:hAnsi="Arial" w:cs="Arial"/>
          <w:color w:val="000000" w:themeColor="text1"/>
          <w:sz w:val="22"/>
          <w:szCs w:val="22"/>
          <w:lang w:val="es-ES_tradnl"/>
        </w:rPr>
        <w:t xml:space="preserve">las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En opinión de esta Agencia, dicho artículo del Decreto reglamentario no está vigente, porque su contenido es contrario al del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1F7C6D3A"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Si los decretos reglamentarios que profiere el </w:t>
      </w:r>
      <w:proofErr w:type="gramStart"/>
      <w:r w:rsidRPr="004F2364">
        <w:rPr>
          <w:rFonts w:ascii="Arial" w:eastAsia="Calibri" w:hAnsi="Arial" w:cs="Arial"/>
          <w:color w:val="000000" w:themeColor="text1"/>
          <w:sz w:val="22"/>
          <w:szCs w:val="22"/>
          <w:lang w:val="es-ES_tradnl"/>
        </w:rPr>
        <w:t>Presidente</w:t>
      </w:r>
      <w:proofErr w:type="gramEnd"/>
      <w:r w:rsidRPr="004F2364">
        <w:rPr>
          <w:rFonts w:ascii="Arial" w:eastAsia="Calibri" w:hAnsi="Arial" w:cs="Arial"/>
          <w:color w:val="000000" w:themeColor="text1"/>
          <w:sz w:val="22"/>
          <w:szCs w:val="22"/>
          <w:lang w:val="es-ES_tradnl"/>
        </w:rPr>
        <w:t xml:space="preserv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0376FDC6"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Además de que el artículo 2.2.1.2.4.2.2. del Decreto 1082 de 2015 perdió el fundamento legal, su contenido es contrario al del nuevo artículo 12 de la Ley 1150 de 2007, </w:t>
      </w:r>
      <w:r w:rsidRPr="004F2364">
        <w:rPr>
          <w:rFonts w:ascii="Arial" w:eastAsia="Calibri" w:hAnsi="Arial" w:cs="Arial"/>
          <w:color w:val="000000" w:themeColor="text1"/>
          <w:sz w:val="22"/>
          <w:szCs w:val="22"/>
          <w:lang w:val="es-ES_tradnl"/>
        </w:rPr>
        <w:lastRenderedPageBreak/>
        <w:t xml:space="preserve">modificado por el artículo 34 de la Ley 2069 de 2020. En efecto, este último artículo no consagra las mismas exigencias para las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Concretamente, no incluye todos los requisitos que, hasta la </w:t>
      </w:r>
      <w:proofErr w:type="gramStart"/>
      <w:r w:rsidRPr="004F2364">
        <w:rPr>
          <w:rFonts w:ascii="Arial" w:eastAsia="Calibri" w:hAnsi="Arial" w:cs="Arial"/>
          <w:color w:val="000000" w:themeColor="text1"/>
          <w:sz w:val="22"/>
          <w:szCs w:val="22"/>
          <w:lang w:val="es-ES_tradnl"/>
        </w:rPr>
        <w:t>entrada en vigencia</w:t>
      </w:r>
      <w:proofErr w:type="gramEnd"/>
      <w:r w:rsidRPr="004F2364">
        <w:rPr>
          <w:rFonts w:ascii="Arial" w:eastAsia="Calibri" w:hAnsi="Arial" w:cs="Arial"/>
          <w:color w:val="000000" w:themeColor="text1"/>
          <w:sz w:val="22"/>
          <w:szCs w:val="22"/>
          <w:lang w:val="es-ES_tradnl"/>
        </w:rPr>
        <w:t xml:space="preserve"> de la Ley 2069 de 2020, establecía el artículo 2.2.1.2.4.2.2. del Decreto 1082 de 2015. Esta norma indicaba en su primer inciso que la entidad estatal solo podía limitar la convocatoria a las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nacionales si se trataba de procesos de selección de licitación pública, selección abreviada y concursos de méritos. Por su parte, tal restricción no se encuentra en el artículo 34 de la Ley 2069 de 2020.</w:t>
      </w:r>
    </w:p>
    <w:p w14:paraId="06F25526"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Adicionalmente, el numeral 1 del artículo 2.2.1.2.4.2.2. del Decreto 1082 de 2015 exigía que el valor del proceso de contratación en el que pretendiera limitarse la convocatoria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en el artículo 34 de la Ley 2069 de 2020.</w:t>
      </w:r>
    </w:p>
    <w:p w14:paraId="19B93978"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A lo anterior debe agregarse que mientras la nueva disposición legal indica que la convocatoria limitada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debe hacerse cuando por lo menos </w:t>
      </w:r>
      <w:r w:rsidRPr="004F2364">
        <w:rPr>
          <w:rFonts w:ascii="Arial" w:eastAsia="Calibri" w:hAnsi="Arial" w:cs="Arial"/>
          <w:i/>
          <w:iCs/>
          <w:color w:val="000000" w:themeColor="text1"/>
          <w:sz w:val="22"/>
          <w:szCs w:val="22"/>
          <w:lang w:val="es-ES_tradnl"/>
        </w:rPr>
        <w:t>dos (2)</w:t>
      </w:r>
      <w:r w:rsidRPr="004F2364">
        <w:rPr>
          <w:rFonts w:ascii="Arial" w:eastAsia="Calibri" w:hAnsi="Arial" w:cs="Arial"/>
          <w:color w:val="000000" w:themeColor="text1"/>
          <w:sz w:val="22"/>
          <w:szCs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4F2364">
        <w:rPr>
          <w:rFonts w:ascii="Arial" w:eastAsia="Calibri" w:hAnsi="Arial" w:cs="Arial"/>
          <w:i/>
          <w:iCs/>
          <w:color w:val="000000" w:themeColor="text1"/>
          <w:sz w:val="22"/>
          <w:szCs w:val="22"/>
          <w:lang w:val="es-ES_tradnl"/>
        </w:rPr>
        <w:t>tres (3)</w:t>
      </w:r>
      <w:r w:rsidRPr="004F2364">
        <w:rPr>
          <w:rFonts w:ascii="Arial" w:eastAsia="Calibri" w:hAnsi="Arial" w:cs="Arial"/>
          <w:color w:val="000000" w:themeColor="text1"/>
          <w:sz w:val="22"/>
          <w:szCs w:val="22"/>
          <w:lang w:val="es-ES_tradnl"/>
        </w:rPr>
        <w:t xml:space="preserve">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a más tardar un día hábil antes de la apertura del proceso de selección.</w:t>
      </w:r>
    </w:p>
    <w:p w14:paraId="71DE7FF1" w14:textId="090A6E66"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Las diferencias evidenciadas son suficientes para mostrar que, </w:t>
      </w:r>
      <w:bookmarkStart w:id="4" w:name="_Hlk66196033"/>
      <w:r w:rsidRPr="004F2364">
        <w:rPr>
          <w:rFonts w:ascii="Arial" w:eastAsia="Calibri" w:hAnsi="Arial" w:cs="Arial"/>
          <w:color w:val="000000" w:themeColor="text1"/>
          <w:sz w:val="22"/>
          <w:szCs w:val="22"/>
          <w:lang w:val="es-ES_tradnl"/>
        </w:rPr>
        <w:t>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w:t>
      </w:r>
      <w:r w:rsidR="00754B06">
        <w:rPr>
          <w:rFonts w:ascii="Arial" w:eastAsia="Calibri" w:hAnsi="Arial" w:cs="Arial"/>
          <w:color w:val="000000" w:themeColor="text1"/>
          <w:sz w:val="22"/>
          <w:szCs w:val="22"/>
          <w:lang w:val="es-ES_tradnl"/>
        </w:rPr>
        <w:t xml:space="preserve"> </w:t>
      </w:r>
      <w:r w:rsidRPr="004F2364">
        <w:rPr>
          <w:rFonts w:ascii="Arial" w:eastAsia="Calibri" w:hAnsi="Arial" w:cs="Arial"/>
          <w:color w:val="000000" w:themeColor="text1"/>
          <w:sz w:val="22"/>
          <w:szCs w:val="22"/>
          <w:lang w:val="es-ES_tradnl"/>
        </w:rPr>
        <w:t>«deroga […] todas las disposiciones que le sean contrarias». Entonces, puede afirmarse que, además del decaimiento del artículo 2.2.1.2.4.2.2. del Decreto 1082 de 2015, debe entenderse derogado.</w:t>
      </w:r>
    </w:p>
    <w:p w14:paraId="18A6650B" w14:textId="4BD729B3" w:rsidR="00145C1A" w:rsidRPr="0061221C"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w:t>
      </w:r>
      <w:r w:rsidRPr="004F2364">
        <w:rPr>
          <w:rFonts w:ascii="Arial" w:eastAsia="Calibri" w:hAnsi="Arial" w:cs="Arial"/>
          <w:color w:val="000000" w:themeColor="text1"/>
          <w:sz w:val="22"/>
          <w:szCs w:val="22"/>
          <w:lang w:val="es-ES_tradnl"/>
        </w:rPr>
        <w:lastRenderedPageBreak/>
        <w:t xml:space="preserve">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w:t>
      </w:r>
      <w:bookmarkStart w:id="5" w:name="_Hlk66196213"/>
      <w:r w:rsidRPr="004F2364">
        <w:rPr>
          <w:rFonts w:ascii="Arial" w:eastAsia="Calibri" w:hAnsi="Arial" w:cs="Arial"/>
          <w:color w:val="000000" w:themeColor="text1"/>
          <w:sz w:val="22"/>
          <w:szCs w:val="22"/>
          <w:lang w:val="es-ES_tradnl"/>
        </w:rPr>
        <w:t>Por ende, mientras ello no suceda, las entidades estatales</w:t>
      </w:r>
      <w:r w:rsidR="008C77EF">
        <w:rPr>
          <w:rFonts w:ascii="Arial" w:eastAsia="Calibri" w:hAnsi="Arial" w:cs="Arial"/>
          <w:color w:val="000000" w:themeColor="text1"/>
          <w:sz w:val="22"/>
          <w:szCs w:val="22"/>
          <w:lang w:val="es-ES_tradnl"/>
        </w:rPr>
        <w:t xml:space="preserve"> indistintamente de su régimen de contratación</w:t>
      </w:r>
      <w:r w:rsidRPr="004F2364">
        <w:rPr>
          <w:rFonts w:ascii="Arial" w:eastAsia="Calibri" w:hAnsi="Arial" w:cs="Arial"/>
          <w:color w:val="000000" w:themeColor="text1"/>
          <w:sz w:val="22"/>
          <w:szCs w:val="22"/>
          <w:lang w:val="es-ES_tradnl"/>
        </w:rPr>
        <w:t xml:space="preserve">, los patrimonios autónomos constituidos por estas y los particulares que ejecuten recursos públicos, no pueden adoptar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pues al tenor del artículo 34 de la Ley 2069 de 2020, la eficacia de esta norma quedó condicionada a la expedición del decreto reglamentario que fije las condiciones de su operatividad.</w:t>
      </w:r>
      <w:r>
        <w:rPr>
          <w:rFonts w:ascii="Arial" w:eastAsia="Calibri" w:hAnsi="Arial" w:cs="Arial"/>
          <w:color w:val="000000" w:themeColor="text1"/>
          <w:sz w:val="22"/>
          <w:szCs w:val="22"/>
          <w:lang w:val="es-ES_tradnl"/>
        </w:rPr>
        <w:t xml:space="preserve">    </w:t>
      </w:r>
    </w:p>
    <w:bookmarkEnd w:id="4"/>
    <w:bookmarkEnd w:id="5"/>
    <w:p w14:paraId="32224228" w14:textId="77777777" w:rsidR="00454589" w:rsidRPr="00C440B6" w:rsidRDefault="00454589" w:rsidP="00510DE9">
      <w:pPr>
        <w:tabs>
          <w:tab w:val="left" w:pos="0"/>
        </w:tabs>
        <w:jc w:val="both"/>
        <w:rPr>
          <w:rFonts w:ascii="Arial" w:eastAsia="Calibri" w:hAnsi="Arial" w:cs="Arial"/>
          <w:b/>
          <w:color w:val="000000" w:themeColor="text1"/>
          <w:sz w:val="22"/>
          <w:lang w:val="es-ES_tradnl"/>
        </w:rPr>
      </w:pPr>
    </w:p>
    <w:p w14:paraId="37CA9805" w14:textId="74A99BE5" w:rsidR="00DD5B04" w:rsidRPr="00C440B6" w:rsidRDefault="004177A6" w:rsidP="00510DE9">
      <w:pPr>
        <w:tabs>
          <w:tab w:val="left" w:pos="0"/>
        </w:tabs>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3</w:t>
      </w:r>
      <w:r w:rsidR="00B011A9" w:rsidRPr="00C440B6">
        <w:rPr>
          <w:rFonts w:ascii="Arial" w:eastAsia="Calibri" w:hAnsi="Arial" w:cs="Arial"/>
          <w:b/>
          <w:color w:val="000000" w:themeColor="text1"/>
          <w:sz w:val="22"/>
          <w:lang w:val="es-ES_tradnl"/>
        </w:rPr>
        <w:t xml:space="preserve">. </w:t>
      </w:r>
      <w:r w:rsidR="00DD5B04" w:rsidRPr="00C440B6">
        <w:rPr>
          <w:rFonts w:ascii="Arial" w:eastAsia="Calibri" w:hAnsi="Arial" w:cs="Arial"/>
          <w:b/>
          <w:color w:val="000000" w:themeColor="text1"/>
          <w:sz w:val="22"/>
          <w:lang w:val="es-ES_tradnl"/>
        </w:rPr>
        <w:t>Respuesta</w:t>
      </w:r>
      <w:r w:rsidR="002A7D84" w:rsidRPr="00C440B6">
        <w:rPr>
          <w:rFonts w:ascii="Arial" w:eastAsia="Calibri" w:hAnsi="Arial" w:cs="Arial"/>
          <w:b/>
          <w:color w:val="000000" w:themeColor="text1"/>
          <w:sz w:val="22"/>
          <w:lang w:val="es-ES_tradnl"/>
        </w:rPr>
        <w:t>s</w:t>
      </w:r>
    </w:p>
    <w:p w14:paraId="0B74D5B8" w14:textId="7F0A7F13" w:rsidR="00C4581D" w:rsidRPr="00C440B6" w:rsidRDefault="00C4581D" w:rsidP="00FF0A6D">
      <w:pPr>
        <w:tabs>
          <w:tab w:val="left" w:pos="0"/>
        </w:tabs>
        <w:spacing w:line="276" w:lineRule="auto"/>
        <w:jc w:val="both"/>
        <w:rPr>
          <w:rFonts w:ascii="Arial" w:eastAsia="Calibri" w:hAnsi="Arial" w:cs="Arial"/>
          <w:color w:val="000000" w:themeColor="text1"/>
          <w:sz w:val="22"/>
          <w:lang w:val="es-ES_tradnl"/>
        </w:rPr>
      </w:pPr>
    </w:p>
    <w:p w14:paraId="0F628557" w14:textId="46D68DBE" w:rsidR="00815436" w:rsidRDefault="002924E3" w:rsidP="00FF0A6D">
      <w:pPr>
        <w:spacing w:after="120"/>
        <w:ind w:left="709" w:right="709"/>
        <w:jc w:val="both"/>
        <w:rPr>
          <w:rFonts w:ascii="Arial" w:hAnsi="Arial" w:cs="Arial"/>
          <w:color w:val="000000" w:themeColor="text1"/>
          <w:sz w:val="21"/>
          <w:szCs w:val="21"/>
          <w:lang w:val="es-ES_tradnl"/>
        </w:rPr>
      </w:pPr>
      <w:r w:rsidRPr="002924E3">
        <w:rPr>
          <w:rFonts w:ascii="Arial" w:hAnsi="Arial" w:cs="Arial"/>
          <w:color w:val="000000" w:themeColor="text1"/>
          <w:sz w:val="21"/>
          <w:szCs w:val="21"/>
          <w:lang w:val="es-ES_tradnl"/>
        </w:rPr>
        <w:t>i) «</w:t>
      </w:r>
      <w:proofErr w:type="gramStart"/>
      <w:r w:rsidRPr="002924E3">
        <w:rPr>
          <w:rFonts w:ascii="Arial" w:hAnsi="Arial" w:cs="Arial"/>
          <w:color w:val="000000" w:themeColor="text1"/>
          <w:sz w:val="21"/>
          <w:szCs w:val="21"/>
          <w:lang w:val="es-ES_tradnl"/>
        </w:rPr>
        <w:t xml:space="preserve">¿Para limitar una convocatoria pública a la participación de </w:t>
      </w:r>
      <w:proofErr w:type="spellStart"/>
      <w:r w:rsidRPr="002924E3">
        <w:rPr>
          <w:rFonts w:ascii="Arial" w:hAnsi="Arial" w:cs="Arial"/>
          <w:color w:val="000000" w:themeColor="text1"/>
          <w:sz w:val="21"/>
          <w:szCs w:val="21"/>
          <w:lang w:val="es-ES_tradnl"/>
        </w:rPr>
        <w:t>Mipymes</w:t>
      </w:r>
      <w:proofErr w:type="spellEnd"/>
      <w:r w:rsidRPr="002924E3">
        <w:rPr>
          <w:rFonts w:ascii="Arial" w:hAnsi="Arial" w:cs="Arial"/>
          <w:color w:val="000000" w:themeColor="text1"/>
          <w:sz w:val="21"/>
          <w:szCs w:val="21"/>
          <w:lang w:val="es-ES_tradnl"/>
        </w:rPr>
        <w:t>, debe o no aplicarse lo dispuesto en el numeral 2 del artículo 2.</w:t>
      </w:r>
      <w:proofErr w:type="gramEnd"/>
      <w:r w:rsidRPr="002924E3">
        <w:rPr>
          <w:rFonts w:ascii="Arial" w:hAnsi="Arial" w:cs="Arial"/>
          <w:color w:val="000000" w:themeColor="text1"/>
          <w:sz w:val="21"/>
          <w:szCs w:val="21"/>
          <w:lang w:val="es-ES_tradnl"/>
        </w:rPr>
        <w:t xml:space="preserve">2.1.2.4.2.2. “Convocatorias limitadas a </w:t>
      </w:r>
      <w:proofErr w:type="spellStart"/>
      <w:r w:rsidRPr="002924E3">
        <w:rPr>
          <w:rFonts w:ascii="Arial" w:hAnsi="Arial" w:cs="Arial"/>
          <w:color w:val="000000" w:themeColor="text1"/>
          <w:sz w:val="21"/>
          <w:szCs w:val="21"/>
          <w:lang w:val="es-ES_tradnl"/>
        </w:rPr>
        <w:t>Mipyme</w:t>
      </w:r>
      <w:proofErr w:type="spellEnd"/>
      <w:r w:rsidRPr="002924E3">
        <w:rPr>
          <w:rFonts w:ascii="Arial" w:hAnsi="Arial" w:cs="Arial"/>
          <w:color w:val="000000" w:themeColor="text1"/>
          <w:sz w:val="21"/>
          <w:szCs w:val="21"/>
          <w:lang w:val="es-ES_tradnl"/>
        </w:rPr>
        <w:t xml:space="preserve">” del Decreto 1082 de 2015 en relación con el número de solicitudes requeridas para limitar un proceso a </w:t>
      </w:r>
      <w:proofErr w:type="spellStart"/>
      <w:r w:rsidRPr="002924E3">
        <w:rPr>
          <w:rFonts w:ascii="Arial" w:hAnsi="Arial" w:cs="Arial"/>
          <w:color w:val="000000" w:themeColor="text1"/>
          <w:sz w:val="21"/>
          <w:szCs w:val="21"/>
          <w:lang w:val="es-ES_tradnl"/>
        </w:rPr>
        <w:t>Mipyme</w:t>
      </w:r>
      <w:proofErr w:type="spellEnd"/>
      <w:r w:rsidRPr="002924E3">
        <w:rPr>
          <w:rFonts w:ascii="Arial" w:hAnsi="Arial" w:cs="Arial"/>
          <w:color w:val="000000" w:themeColor="text1"/>
          <w:sz w:val="21"/>
          <w:szCs w:val="21"/>
          <w:lang w:val="es-ES_tradnl"/>
        </w:rPr>
        <w:t>?»</w:t>
      </w:r>
      <w:r w:rsidR="00815436">
        <w:rPr>
          <w:rFonts w:ascii="Arial" w:hAnsi="Arial" w:cs="Arial"/>
          <w:color w:val="000000" w:themeColor="text1"/>
          <w:sz w:val="21"/>
          <w:szCs w:val="21"/>
          <w:lang w:val="es-ES_tradnl"/>
        </w:rPr>
        <w:t>.</w:t>
      </w:r>
    </w:p>
    <w:p w14:paraId="5157CE7B" w14:textId="53B965A5" w:rsidR="00145C1A" w:rsidRPr="00145C1A" w:rsidRDefault="002924E3" w:rsidP="00145C1A">
      <w:pPr>
        <w:ind w:left="709" w:right="709"/>
        <w:jc w:val="both"/>
        <w:rPr>
          <w:rFonts w:ascii="Arial" w:hAnsi="Arial" w:cs="Arial"/>
          <w:color w:val="000000" w:themeColor="text1"/>
          <w:sz w:val="21"/>
          <w:szCs w:val="21"/>
          <w:lang w:val="es-ES_tradnl"/>
        </w:rPr>
      </w:pPr>
      <w:r w:rsidRPr="002924E3">
        <w:rPr>
          <w:rFonts w:ascii="Arial" w:hAnsi="Arial" w:cs="Arial"/>
          <w:color w:val="000000" w:themeColor="text1"/>
          <w:sz w:val="21"/>
          <w:szCs w:val="21"/>
          <w:lang w:val="es-ES_tradnl"/>
        </w:rPr>
        <w:t>ii) «</w:t>
      </w:r>
      <w:proofErr w:type="gramStart"/>
      <w:r w:rsidRPr="002924E3">
        <w:rPr>
          <w:rFonts w:ascii="Arial" w:hAnsi="Arial" w:cs="Arial"/>
          <w:color w:val="000000" w:themeColor="text1"/>
          <w:sz w:val="21"/>
          <w:szCs w:val="21"/>
          <w:lang w:val="es-ES_tradnl"/>
        </w:rPr>
        <w:t>¿Deben seguirse aplicando los demás requisitos establecidos en el artículo 2.</w:t>
      </w:r>
      <w:proofErr w:type="gramEnd"/>
      <w:r w:rsidRPr="002924E3">
        <w:rPr>
          <w:rFonts w:ascii="Arial" w:hAnsi="Arial" w:cs="Arial"/>
          <w:color w:val="000000" w:themeColor="text1"/>
          <w:sz w:val="21"/>
          <w:szCs w:val="21"/>
          <w:lang w:val="es-ES_tradnl"/>
        </w:rPr>
        <w:t xml:space="preserve">2.1.2.4.2.2. “Convocatorias limitadas a </w:t>
      </w:r>
      <w:proofErr w:type="spellStart"/>
      <w:r w:rsidRPr="002924E3">
        <w:rPr>
          <w:rFonts w:ascii="Arial" w:hAnsi="Arial" w:cs="Arial"/>
          <w:color w:val="000000" w:themeColor="text1"/>
          <w:sz w:val="21"/>
          <w:szCs w:val="21"/>
          <w:lang w:val="es-ES_tradnl"/>
        </w:rPr>
        <w:t>Mipyme</w:t>
      </w:r>
      <w:proofErr w:type="spellEnd"/>
      <w:r w:rsidRPr="002924E3">
        <w:rPr>
          <w:rFonts w:ascii="Arial" w:hAnsi="Arial" w:cs="Arial"/>
          <w:color w:val="000000" w:themeColor="text1"/>
          <w:sz w:val="21"/>
          <w:szCs w:val="21"/>
          <w:lang w:val="es-ES_tradnl"/>
        </w:rPr>
        <w:t xml:space="preserve">” del Decreto 1082 de 2015, los cuales se refieren al plazo de existencia de la </w:t>
      </w:r>
      <w:proofErr w:type="spellStart"/>
      <w:r w:rsidRPr="002924E3">
        <w:rPr>
          <w:rFonts w:ascii="Arial" w:hAnsi="Arial" w:cs="Arial"/>
          <w:color w:val="000000" w:themeColor="text1"/>
          <w:sz w:val="21"/>
          <w:szCs w:val="21"/>
          <w:lang w:val="es-ES_tradnl"/>
        </w:rPr>
        <w:t>Mipyme</w:t>
      </w:r>
      <w:proofErr w:type="spellEnd"/>
      <w:r w:rsidRPr="002924E3">
        <w:rPr>
          <w:rFonts w:ascii="Arial" w:hAnsi="Arial" w:cs="Arial"/>
          <w:color w:val="000000" w:themeColor="text1"/>
          <w:sz w:val="21"/>
          <w:szCs w:val="21"/>
          <w:lang w:val="es-ES_tradnl"/>
        </w:rPr>
        <w:t xml:space="preserve">, el monto de la cuantía del proceso que es susceptible de limitar a </w:t>
      </w:r>
      <w:proofErr w:type="spellStart"/>
      <w:r w:rsidRPr="002924E3">
        <w:rPr>
          <w:rFonts w:ascii="Arial" w:hAnsi="Arial" w:cs="Arial"/>
          <w:color w:val="000000" w:themeColor="text1"/>
          <w:sz w:val="21"/>
          <w:szCs w:val="21"/>
          <w:lang w:val="es-ES_tradnl"/>
        </w:rPr>
        <w:t>Mipyme</w:t>
      </w:r>
      <w:proofErr w:type="spellEnd"/>
      <w:r w:rsidRPr="002924E3">
        <w:rPr>
          <w:rFonts w:ascii="Arial" w:hAnsi="Arial" w:cs="Arial"/>
          <w:color w:val="000000" w:themeColor="text1"/>
          <w:sz w:val="21"/>
          <w:szCs w:val="21"/>
          <w:lang w:val="es-ES_tradnl"/>
        </w:rPr>
        <w:t xml:space="preserve">, el origen nacional de la </w:t>
      </w:r>
      <w:proofErr w:type="spellStart"/>
      <w:r w:rsidRPr="002924E3">
        <w:rPr>
          <w:rFonts w:ascii="Arial" w:hAnsi="Arial" w:cs="Arial"/>
          <w:color w:val="000000" w:themeColor="text1"/>
          <w:sz w:val="21"/>
          <w:szCs w:val="21"/>
          <w:lang w:val="es-ES_tradnl"/>
        </w:rPr>
        <w:t>Mipyme</w:t>
      </w:r>
      <w:proofErr w:type="spellEnd"/>
      <w:r w:rsidRPr="002924E3">
        <w:rPr>
          <w:rFonts w:ascii="Arial" w:hAnsi="Arial" w:cs="Arial"/>
          <w:color w:val="000000" w:themeColor="text1"/>
          <w:sz w:val="21"/>
          <w:szCs w:val="21"/>
          <w:lang w:val="es-ES_tradnl"/>
        </w:rPr>
        <w:t xml:space="preserve"> y el plazo para recibir las manifestaciones para limitar el proceso o, en su defecto, las entidades deben abstenerse de aplicarlos hasta tanto no sea expedida una nueva reglamentación en la materia que fije los montos y demás condiciones para limitar convocatorias públicas a la participación de </w:t>
      </w:r>
      <w:proofErr w:type="spellStart"/>
      <w:r w:rsidRPr="002924E3">
        <w:rPr>
          <w:rFonts w:ascii="Arial" w:hAnsi="Arial" w:cs="Arial"/>
          <w:color w:val="000000" w:themeColor="text1"/>
          <w:sz w:val="21"/>
          <w:szCs w:val="21"/>
          <w:lang w:val="es-ES_tradnl"/>
        </w:rPr>
        <w:t>Mipymes</w:t>
      </w:r>
      <w:proofErr w:type="spellEnd"/>
      <w:r w:rsidRPr="002924E3">
        <w:rPr>
          <w:rFonts w:ascii="Arial" w:hAnsi="Arial" w:cs="Arial"/>
          <w:color w:val="000000" w:themeColor="text1"/>
          <w:sz w:val="21"/>
          <w:szCs w:val="21"/>
          <w:lang w:val="es-ES_tradnl"/>
        </w:rPr>
        <w:t>?»</w:t>
      </w:r>
      <w:r w:rsidR="00815436">
        <w:rPr>
          <w:rFonts w:ascii="Arial" w:hAnsi="Arial" w:cs="Arial"/>
          <w:color w:val="000000" w:themeColor="text1"/>
          <w:sz w:val="21"/>
          <w:szCs w:val="21"/>
          <w:lang w:val="es-ES_tradnl"/>
        </w:rPr>
        <w:t>.</w:t>
      </w:r>
    </w:p>
    <w:p w14:paraId="35D2EB08" w14:textId="30991EF9" w:rsidR="00F740A0" w:rsidRPr="00C440B6" w:rsidRDefault="00F740A0" w:rsidP="00FF0A6D">
      <w:pPr>
        <w:spacing w:line="276" w:lineRule="auto"/>
        <w:ind w:left="709" w:right="709"/>
        <w:jc w:val="both"/>
        <w:rPr>
          <w:rFonts w:ascii="Arial" w:eastAsia="Calibri" w:hAnsi="Arial" w:cs="Arial"/>
          <w:color w:val="000000" w:themeColor="text1"/>
          <w:sz w:val="22"/>
          <w:szCs w:val="22"/>
          <w:lang w:val="es-ES_tradnl"/>
        </w:rPr>
      </w:pPr>
    </w:p>
    <w:p w14:paraId="1DAF43CB" w14:textId="52FAF949" w:rsidR="00145C1A" w:rsidRPr="00043652" w:rsidRDefault="00145C1A" w:rsidP="00FF0A6D">
      <w:pPr>
        <w:spacing w:line="276" w:lineRule="auto"/>
        <w:jc w:val="both"/>
        <w:rPr>
          <w:rFonts w:ascii="Arial" w:eastAsia="Calibri" w:hAnsi="Arial" w:cs="Arial"/>
          <w:color w:val="000000" w:themeColor="text1"/>
          <w:sz w:val="22"/>
          <w:szCs w:val="22"/>
          <w:lang w:val="es-ES_tradnl"/>
        </w:rPr>
      </w:pPr>
      <w:r w:rsidRPr="00043652">
        <w:rPr>
          <w:rFonts w:ascii="Arial" w:eastAsia="Calibri" w:hAnsi="Arial" w:cs="Arial"/>
          <w:color w:val="000000" w:themeColor="text1"/>
          <w:sz w:val="22"/>
          <w:szCs w:val="22"/>
          <w:lang w:val="es-ES_tradnl"/>
        </w:rPr>
        <w:t>De las consideraciones efectuadas con anterioridad por la Agencia, se puede concluir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«deroga […] todas las disposiciones que le sean contrarias». Entonces, puede afirmarse que, además del decaimiento del artículo 2.2.1.2.4.2.2. del Decreto 1082 de 2015, debe entenderse derogado.</w:t>
      </w:r>
    </w:p>
    <w:p w14:paraId="67C87F83" w14:textId="56484BC6" w:rsidR="00145C1A" w:rsidRPr="00774337"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043652">
        <w:rPr>
          <w:rFonts w:ascii="Arial" w:eastAsia="Calibri" w:hAnsi="Arial" w:cs="Arial"/>
          <w:color w:val="000000" w:themeColor="text1"/>
          <w:sz w:val="22"/>
          <w:szCs w:val="22"/>
          <w:lang w:val="es-ES_tradnl"/>
        </w:rPr>
        <w:t xml:space="preserve">Además,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043652">
        <w:rPr>
          <w:rFonts w:ascii="Arial" w:eastAsia="Calibri" w:hAnsi="Arial" w:cs="Arial"/>
          <w:color w:val="000000" w:themeColor="text1"/>
          <w:sz w:val="22"/>
          <w:szCs w:val="22"/>
          <w:lang w:val="es-ES_tradnl"/>
        </w:rPr>
        <w:t>mipymes</w:t>
      </w:r>
      <w:proofErr w:type="spellEnd"/>
      <w:r w:rsidRPr="00043652">
        <w:rPr>
          <w:rFonts w:ascii="Arial" w:eastAsia="Calibri" w:hAnsi="Arial" w:cs="Arial"/>
          <w:color w:val="000000" w:themeColor="text1"/>
          <w:sz w:val="22"/>
          <w:szCs w:val="22"/>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043652">
        <w:rPr>
          <w:rFonts w:ascii="Arial" w:eastAsia="Calibri" w:hAnsi="Arial" w:cs="Arial"/>
          <w:color w:val="000000" w:themeColor="text1"/>
          <w:sz w:val="22"/>
          <w:szCs w:val="22"/>
          <w:lang w:val="es-ES_tradnl"/>
        </w:rPr>
        <w:t>mipymes</w:t>
      </w:r>
      <w:proofErr w:type="spellEnd"/>
      <w:r w:rsidRPr="00043652">
        <w:rPr>
          <w:rFonts w:ascii="Arial" w:eastAsia="Calibri" w:hAnsi="Arial" w:cs="Arial"/>
          <w:color w:val="000000" w:themeColor="text1"/>
          <w:sz w:val="22"/>
          <w:szCs w:val="22"/>
          <w:lang w:val="es-ES_tradnl"/>
        </w:rPr>
        <w:t>. Por ende, mientras ello no suceda, las entidades estatales</w:t>
      </w:r>
      <w:r w:rsidR="008C77EF">
        <w:rPr>
          <w:rFonts w:ascii="Arial" w:eastAsia="Calibri" w:hAnsi="Arial" w:cs="Arial"/>
          <w:color w:val="000000" w:themeColor="text1"/>
          <w:sz w:val="22"/>
          <w:szCs w:val="22"/>
          <w:lang w:val="es-ES_tradnl"/>
        </w:rPr>
        <w:t xml:space="preserve"> indistintamente de su régimen de contratación</w:t>
      </w:r>
      <w:r w:rsidRPr="00043652">
        <w:rPr>
          <w:rFonts w:ascii="Arial" w:eastAsia="Calibri" w:hAnsi="Arial" w:cs="Arial"/>
          <w:color w:val="000000" w:themeColor="text1"/>
          <w:sz w:val="22"/>
          <w:szCs w:val="22"/>
          <w:lang w:val="es-ES_tradnl"/>
        </w:rPr>
        <w:t xml:space="preserve">, los patrimonios autónomos constituidos por </w:t>
      </w:r>
      <w:r w:rsidRPr="00043652">
        <w:rPr>
          <w:rFonts w:ascii="Arial" w:eastAsia="Calibri" w:hAnsi="Arial" w:cs="Arial"/>
          <w:color w:val="000000" w:themeColor="text1"/>
          <w:sz w:val="22"/>
          <w:szCs w:val="22"/>
          <w:lang w:val="es-ES_tradnl"/>
        </w:rPr>
        <w:lastRenderedPageBreak/>
        <w:t xml:space="preserve">estas y los particulares que ejecuten recursos públicos, no pueden adoptar convocatorias limitadas a </w:t>
      </w:r>
      <w:proofErr w:type="spellStart"/>
      <w:r w:rsidRPr="00043652">
        <w:rPr>
          <w:rFonts w:ascii="Arial" w:eastAsia="Calibri" w:hAnsi="Arial" w:cs="Arial"/>
          <w:color w:val="000000" w:themeColor="text1"/>
          <w:sz w:val="22"/>
          <w:szCs w:val="22"/>
          <w:lang w:val="es-ES_tradnl"/>
        </w:rPr>
        <w:t>mipymes</w:t>
      </w:r>
      <w:proofErr w:type="spellEnd"/>
      <w:r w:rsidRPr="00043652">
        <w:rPr>
          <w:rFonts w:ascii="Arial" w:eastAsia="Calibri" w:hAnsi="Arial" w:cs="Arial"/>
          <w:color w:val="000000" w:themeColor="text1"/>
          <w:sz w:val="22"/>
          <w:szCs w:val="22"/>
          <w:lang w:val="es-ES_tradnl"/>
        </w:rPr>
        <w:t>, pues al tenor del artículo 34 de la Ley 2069 de 2020, la eficacia de esta norma quedó condicionada a la expedición del decreto reglamentario que fije las condiciones de su operatividad.</w:t>
      </w:r>
      <w:r>
        <w:rPr>
          <w:rFonts w:ascii="Arial" w:eastAsia="Calibri" w:hAnsi="Arial" w:cs="Arial"/>
          <w:color w:val="000000" w:themeColor="text1"/>
          <w:sz w:val="22"/>
          <w:szCs w:val="22"/>
          <w:lang w:val="es-ES_tradnl"/>
        </w:rPr>
        <w:t xml:space="preserve">    </w:t>
      </w:r>
    </w:p>
    <w:p w14:paraId="5A584EDD" w14:textId="77777777" w:rsidR="004B07E6" w:rsidRPr="00C440B6" w:rsidRDefault="004B07E6" w:rsidP="00FF0A6D">
      <w:pPr>
        <w:spacing w:after="120" w:line="276" w:lineRule="auto"/>
        <w:jc w:val="both"/>
        <w:rPr>
          <w:rFonts w:ascii="Arial" w:hAnsi="Arial" w:cs="Arial"/>
          <w:color w:val="000000" w:themeColor="text1"/>
          <w:sz w:val="22"/>
          <w:szCs w:val="22"/>
          <w:lang w:val="es-ES_tradnl"/>
        </w:rPr>
      </w:pPr>
    </w:p>
    <w:p w14:paraId="7B2C921D" w14:textId="6360A462" w:rsidR="00DD5B04" w:rsidRPr="00C440B6" w:rsidRDefault="00DD5B04" w:rsidP="00DF76A2">
      <w:pPr>
        <w:spacing w:line="276" w:lineRule="auto"/>
        <w:jc w:val="both"/>
        <w:rPr>
          <w:rFonts w:ascii="Arial" w:hAnsi="Arial" w:cs="Arial"/>
          <w:color w:val="000000" w:themeColor="text1"/>
          <w:sz w:val="22"/>
          <w:lang w:val="es-ES_tradnl"/>
        </w:rPr>
      </w:pPr>
      <w:r w:rsidRPr="00C440B6">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C440B6">
        <w:rPr>
          <w:rFonts w:ascii="Arial" w:hAnsi="Arial" w:cs="Arial"/>
          <w:color w:val="000000" w:themeColor="text1"/>
          <w:sz w:val="22"/>
          <w:szCs w:val="22"/>
          <w:lang w:val="es-ES_tradnl"/>
        </w:rPr>
        <w:t>Atentamente,</w:t>
      </w:r>
    </w:p>
    <w:p w14:paraId="692FC307" w14:textId="210AA6B5" w:rsidR="00921304" w:rsidRPr="00C440B6"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4B8EFA66" w:rsidR="00921304" w:rsidRPr="00C440B6" w:rsidRDefault="00151DD4"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4729078D" wp14:editId="0C1386AA">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2"/>
                    <a:stretch>
                      <a:fillRect/>
                    </a:stretch>
                  </pic:blipFill>
                  <pic:spPr>
                    <a:xfrm>
                      <a:off x="0" y="0"/>
                      <a:ext cx="2514600" cy="1114425"/>
                    </a:xfrm>
                    <a:prstGeom prst="rect">
                      <a:avLst/>
                    </a:prstGeom>
                  </pic:spPr>
                </pic:pic>
              </a:graphicData>
            </a:graphic>
          </wp:inline>
        </w:drawing>
      </w:r>
    </w:p>
    <w:p w14:paraId="5CBAE239" w14:textId="77777777" w:rsidR="00425C43" w:rsidRPr="00C440B6" w:rsidRDefault="00425C43" w:rsidP="00B37657">
      <w:pPr>
        <w:jc w:val="center"/>
        <w:rPr>
          <w:rFonts w:ascii="Arial" w:hAnsi="Arial" w:cs="Arial"/>
          <w:color w:val="000000" w:themeColor="text1"/>
          <w:sz w:val="18"/>
          <w:szCs w:val="20"/>
          <w:lang w:val="es-ES_tradnl" w:eastAsia="es-CO"/>
        </w:rPr>
      </w:pPr>
    </w:p>
    <w:p w14:paraId="49730030" w14:textId="217D35F3" w:rsidR="00DD5B04" w:rsidRPr="00C440B6"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C440B6" w14:paraId="0C7DC5F7" w14:textId="77777777" w:rsidTr="008F4163">
        <w:trPr>
          <w:trHeight w:val="315"/>
        </w:trPr>
        <w:tc>
          <w:tcPr>
            <w:tcW w:w="812" w:type="dxa"/>
            <w:vAlign w:val="center"/>
            <w:hideMark/>
          </w:tcPr>
          <w:p w14:paraId="5BDB1AC9" w14:textId="77777777"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664EE7D" w14:textId="7ED59253" w:rsidR="00B253CE" w:rsidRPr="00C440B6" w:rsidRDefault="001A422D" w:rsidP="00B253CE">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David Torres Rojas</w:t>
            </w:r>
          </w:p>
          <w:p w14:paraId="240C71FD" w14:textId="490C7B4C" w:rsidR="00DD5B04" w:rsidRPr="00C440B6" w:rsidRDefault="001A422D"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w:t>
            </w:r>
            <w:r w:rsidR="00B253CE">
              <w:rPr>
                <w:rFonts w:ascii="Arial" w:hAnsi="Arial" w:cs="Arial"/>
                <w:color w:val="000000" w:themeColor="text1"/>
                <w:sz w:val="16"/>
                <w:szCs w:val="16"/>
                <w:lang w:val="es-ES_tradnl" w:eastAsia="es-ES"/>
              </w:rPr>
              <w:t xml:space="preserve"> de la </w:t>
            </w:r>
            <w:r w:rsidR="00B253CE" w:rsidRPr="005F5694">
              <w:rPr>
                <w:rFonts w:ascii="Arial" w:hAnsi="Arial" w:cs="Arial"/>
                <w:color w:val="000000" w:themeColor="text1"/>
                <w:sz w:val="16"/>
                <w:szCs w:val="16"/>
                <w:lang w:val="es-ES_tradnl" w:eastAsia="es-ES"/>
              </w:rPr>
              <w:t>Subdirección de Gestión Contractual</w:t>
            </w:r>
          </w:p>
        </w:tc>
      </w:tr>
      <w:tr w:rsidR="00C42160" w:rsidRPr="00C440B6" w14:paraId="2F8FD650" w14:textId="77777777" w:rsidTr="008F4163">
        <w:trPr>
          <w:trHeight w:val="330"/>
        </w:trPr>
        <w:tc>
          <w:tcPr>
            <w:tcW w:w="812" w:type="dxa"/>
            <w:vAlign w:val="center"/>
            <w:hideMark/>
          </w:tcPr>
          <w:p w14:paraId="50203A0B" w14:textId="77777777"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0D0C689" w14:textId="77777777" w:rsidR="00C42160" w:rsidRDefault="00145C1A" w:rsidP="00C42160">
            <w:pPr>
              <w:jc w:val="both"/>
              <w:rPr>
                <w:rFonts w:ascii="Arial" w:eastAsia="Arial" w:hAnsi="Arial" w:cs="Arial"/>
                <w:sz w:val="16"/>
                <w:szCs w:val="16"/>
                <w:lang w:val="es-ES"/>
              </w:rPr>
            </w:pPr>
            <w:r>
              <w:rPr>
                <w:rFonts w:ascii="Arial" w:eastAsia="Arial" w:hAnsi="Arial" w:cs="Arial"/>
                <w:sz w:val="16"/>
                <w:szCs w:val="16"/>
                <w:lang w:val="es-ES"/>
              </w:rPr>
              <w:t>Juan David Montoya Penagos</w:t>
            </w:r>
          </w:p>
          <w:p w14:paraId="130B3228" w14:textId="3313A0CF" w:rsidR="00145C1A" w:rsidRPr="00C440B6" w:rsidRDefault="00145C1A" w:rsidP="00C4216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rPr>
              <w:t>Gestor T1-15 de la Subdirección de Gestión Contractual</w:t>
            </w:r>
          </w:p>
        </w:tc>
      </w:tr>
      <w:tr w:rsidR="00C42160" w:rsidRPr="00C440B6" w14:paraId="0FCBCA4A" w14:textId="77777777" w:rsidTr="008F4163">
        <w:trPr>
          <w:trHeight w:val="300"/>
        </w:trPr>
        <w:tc>
          <w:tcPr>
            <w:tcW w:w="812" w:type="dxa"/>
            <w:vAlign w:val="center"/>
            <w:hideMark/>
          </w:tcPr>
          <w:p w14:paraId="3C1D943A" w14:textId="77777777"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Jorge Augusto Tirado Navarro</w:t>
            </w:r>
          </w:p>
          <w:p w14:paraId="1ADC483B" w14:textId="0B6A3583"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ANCP – CCE</w:t>
            </w:r>
          </w:p>
        </w:tc>
      </w:tr>
    </w:tbl>
    <w:p w14:paraId="35B56F46" w14:textId="77777777" w:rsidR="00746E08" w:rsidRPr="00C440B6" w:rsidRDefault="00746E08" w:rsidP="00215B8E">
      <w:pPr>
        <w:jc w:val="both"/>
        <w:rPr>
          <w:rFonts w:ascii="Arial" w:hAnsi="Arial" w:cs="Arial"/>
          <w:lang w:val="es-ES_tradnl"/>
        </w:rPr>
      </w:pPr>
    </w:p>
    <w:sectPr w:rsidR="00746E08" w:rsidRPr="00C440B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15F4C" w14:textId="77777777" w:rsidR="008D3A2F" w:rsidRDefault="008D3A2F">
      <w:r>
        <w:separator/>
      </w:r>
    </w:p>
  </w:endnote>
  <w:endnote w:type="continuationSeparator" w:id="0">
    <w:p w14:paraId="488AAC49" w14:textId="77777777" w:rsidR="008D3A2F" w:rsidRDefault="008D3A2F">
      <w:r>
        <w:continuationSeparator/>
      </w:r>
    </w:p>
  </w:endnote>
  <w:endnote w:type="continuationNotice" w:id="1">
    <w:p w14:paraId="24B7A7AC" w14:textId="77777777" w:rsidR="008D3A2F" w:rsidRDefault="008D3A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C42160" w:rsidRDefault="00C42160" w:rsidP="00322937">
    <w:pPr>
      <w:pStyle w:val="Sinespaciado"/>
      <w:jc w:val="right"/>
      <w:rPr>
        <w:rFonts w:ascii="Arial" w:hAnsi="Arial" w:cs="Arial"/>
        <w:sz w:val="18"/>
        <w:szCs w:val="18"/>
      </w:rPr>
    </w:pPr>
  </w:p>
  <w:p w14:paraId="7A3785F3" w14:textId="2EF28465" w:rsidR="00C42160" w:rsidRPr="008217B7" w:rsidRDefault="00C4216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C42160" w:rsidRDefault="00C42160"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C42160" w:rsidRDefault="00C42160" w:rsidP="007B0854">
    <w:pPr>
      <w:pStyle w:val="Piedepgina"/>
      <w:jc w:val="center"/>
      <w:rPr>
        <w:lang w:val="es-ES"/>
      </w:rPr>
    </w:pPr>
  </w:p>
  <w:p w14:paraId="6C0EFC49" w14:textId="77777777" w:rsidR="00C42160" w:rsidRPr="007B0854" w:rsidRDefault="00C4216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8D20C" w14:textId="77777777" w:rsidR="008D3A2F" w:rsidRDefault="008D3A2F">
      <w:r>
        <w:separator/>
      </w:r>
    </w:p>
  </w:footnote>
  <w:footnote w:type="continuationSeparator" w:id="0">
    <w:p w14:paraId="0FCDD80D" w14:textId="77777777" w:rsidR="008D3A2F" w:rsidRDefault="008D3A2F">
      <w:r>
        <w:continuationSeparator/>
      </w:r>
    </w:p>
  </w:footnote>
  <w:footnote w:type="continuationNotice" w:id="1">
    <w:p w14:paraId="2729A4CB" w14:textId="77777777" w:rsidR="008D3A2F" w:rsidRDefault="008D3A2F"/>
  </w:footnote>
  <w:footnote w:id="2">
    <w:p w14:paraId="0BF8F1D0"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2 al 29.</w:t>
      </w:r>
    </w:p>
    <w:p w14:paraId="68615EC6" w14:textId="77777777" w:rsidR="007321B0" w:rsidRPr="001F29DD" w:rsidRDefault="007321B0" w:rsidP="007321B0">
      <w:pPr>
        <w:pStyle w:val="Textonotapie"/>
        <w:ind w:firstLine="709"/>
        <w:jc w:val="both"/>
        <w:rPr>
          <w:rFonts w:ascii="Arial" w:hAnsi="Arial" w:cs="Arial"/>
          <w:sz w:val="19"/>
          <w:szCs w:val="19"/>
          <w:lang w:val="es-ES"/>
        </w:rPr>
      </w:pPr>
    </w:p>
  </w:footnote>
  <w:footnote w:id="3">
    <w:p w14:paraId="7A7DC431"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30 al 36.</w:t>
      </w:r>
    </w:p>
    <w:p w14:paraId="45DC8C14" w14:textId="77777777" w:rsidR="007321B0" w:rsidRPr="001F29DD" w:rsidRDefault="007321B0" w:rsidP="007321B0">
      <w:pPr>
        <w:pStyle w:val="Textonotapie"/>
        <w:ind w:firstLine="709"/>
        <w:jc w:val="both"/>
        <w:rPr>
          <w:rFonts w:ascii="Arial" w:hAnsi="Arial" w:cs="Arial"/>
          <w:sz w:val="19"/>
          <w:szCs w:val="19"/>
          <w:lang w:val="es-ES"/>
        </w:rPr>
      </w:pPr>
    </w:p>
  </w:footnote>
  <w:footnote w:id="4">
    <w:p w14:paraId="38F6B3E8"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37 al 45.</w:t>
      </w:r>
    </w:p>
    <w:p w14:paraId="6B60A08C" w14:textId="77777777" w:rsidR="007321B0" w:rsidRPr="001F29DD" w:rsidRDefault="007321B0" w:rsidP="007321B0">
      <w:pPr>
        <w:pStyle w:val="Textonotapie"/>
        <w:ind w:firstLine="709"/>
        <w:jc w:val="both"/>
        <w:rPr>
          <w:rFonts w:ascii="Arial" w:hAnsi="Arial" w:cs="Arial"/>
          <w:sz w:val="19"/>
          <w:szCs w:val="19"/>
          <w:lang w:val="es-ES"/>
        </w:rPr>
      </w:pPr>
    </w:p>
  </w:footnote>
  <w:footnote w:id="5">
    <w:p w14:paraId="74FC0FD2"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46 al 73.</w:t>
      </w:r>
    </w:p>
    <w:p w14:paraId="04F7D9F6" w14:textId="77777777" w:rsidR="007321B0" w:rsidRPr="001F29DD" w:rsidRDefault="007321B0" w:rsidP="007321B0">
      <w:pPr>
        <w:pStyle w:val="Textonotapie"/>
        <w:ind w:firstLine="709"/>
        <w:jc w:val="both"/>
        <w:rPr>
          <w:rFonts w:ascii="Arial" w:hAnsi="Arial" w:cs="Arial"/>
          <w:sz w:val="19"/>
          <w:szCs w:val="19"/>
          <w:lang w:val="es-ES"/>
        </w:rPr>
      </w:pPr>
    </w:p>
  </w:footnote>
  <w:footnote w:id="6">
    <w:p w14:paraId="337170C9"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74 al 83.</w:t>
      </w:r>
    </w:p>
    <w:p w14:paraId="22008E43" w14:textId="77777777" w:rsidR="007321B0" w:rsidRPr="001F29DD" w:rsidRDefault="007321B0" w:rsidP="007321B0">
      <w:pPr>
        <w:pStyle w:val="Textonotapie"/>
        <w:ind w:firstLine="709"/>
        <w:jc w:val="both"/>
        <w:rPr>
          <w:rFonts w:ascii="Arial" w:hAnsi="Arial" w:cs="Arial"/>
          <w:sz w:val="19"/>
          <w:szCs w:val="19"/>
          <w:lang w:val="es-ES"/>
        </w:rPr>
      </w:pPr>
    </w:p>
  </w:footnote>
  <w:footnote w:id="7">
    <w:p w14:paraId="70335D73" w14:textId="77777777" w:rsidR="007321B0" w:rsidRPr="001F29DD" w:rsidRDefault="007321B0" w:rsidP="007321B0">
      <w:pPr>
        <w:ind w:firstLine="709"/>
        <w:jc w:val="both"/>
        <w:rPr>
          <w:rFonts w:ascii="Arial" w:hAnsi="Arial" w:cs="Arial"/>
          <w:sz w:val="19"/>
          <w:szCs w:val="19"/>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En efecto, el artículo 34 de la Ley 2069 de 2020 establece: «</w:t>
      </w:r>
      <w:r w:rsidRPr="001F29DD">
        <w:rPr>
          <w:rFonts w:ascii="Arial" w:hAnsi="Arial" w:cs="Arial"/>
          <w:sz w:val="19"/>
          <w:szCs w:val="19"/>
        </w:rPr>
        <w:t xml:space="preserve">Modifíquese el artículo 12 de la Ley 1150 de 2007, el cual quedará así: </w:t>
      </w:r>
    </w:p>
    <w:p w14:paraId="7D94F145"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rPr>
        <w:t>»</w:t>
      </w:r>
      <w:r w:rsidRPr="001F29DD">
        <w:rPr>
          <w:rFonts w:ascii="Arial" w:eastAsia="Calibri" w:hAnsi="Arial" w:cs="Arial"/>
          <w:color w:val="000000" w:themeColor="text1"/>
          <w:sz w:val="19"/>
          <w:szCs w:val="19"/>
          <w:lang w:val="es-ES_tradnl"/>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 xml:space="preserve">, convocatorias limitadas a estas en las que, previo a la Resolución de apertura del proceso respectivo, se haya manifestado el interés de por lo menos dos (2)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w:t>
      </w:r>
    </w:p>
    <w:p w14:paraId="55F8E4DE"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»Asimismo</w:t>
      </w:r>
      <w:proofErr w:type="gramEnd"/>
      <w:r w:rsidRPr="001F29DD">
        <w:rPr>
          <w:rFonts w:ascii="Arial" w:eastAsia="Calibri" w:hAnsi="Arial" w:cs="Arial"/>
          <w:color w:val="000000" w:themeColor="text1"/>
          <w:sz w:val="19"/>
          <w:szCs w:val="19"/>
          <w:lang w:val="es-ES_tradnl"/>
        </w:rPr>
        <w:t xml:space="preserve">, el reglamento podrá establecer condiciones preferenciales a favor de la oferta de bienes y servicios producidos por las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 xml:space="preserve"> respetando los montos y las condiciones contenidas en los compromisos internacionales vigentes, cuando sean aplicables.</w:t>
      </w:r>
    </w:p>
    <w:p w14:paraId="4870FBC7"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»En</w:t>
      </w:r>
      <w:proofErr w:type="gramEnd"/>
      <w:r w:rsidRPr="001F29DD">
        <w:rPr>
          <w:rFonts w:ascii="Arial" w:eastAsia="Calibri" w:hAnsi="Arial" w:cs="Arial"/>
          <w:color w:val="000000" w:themeColor="text1"/>
          <w:sz w:val="19"/>
          <w:szCs w:val="19"/>
          <w:lang w:val="es-ES_tradnl"/>
        </w:rPr>
        <w:t xml:space="preserve"> todo caso, se deberá garantizar la satisfacción de las condiciones técnicas y económicas requeridas en el Proceso de Contratación.</w:t>
      </w:r>
    </w:p>
    <w:p w14:paraId="3177E70C"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»De</w:t>
      </w:r>
      <w:proofErr w:type="gramEnd"/>
      <w:r w:rsidRPr="001F29DD">
        <w:rPr>
          <w:rFonts w:ascii="Arial" w:eastAsia="Calibri" w:hAnsi="Arial" w:cs="Arial"/>
          <w:color w:val="000000" w:themeColor="text1"/>
          <w:sz w:val="19"/>
          <w:szCs w:val="19"/>
          <w:lang w:val="es-ES_tradnl"/>
        </w:rPr>
        <w:t xml:space="preserv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5FE78475"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»Parágrafo</w:t>
      </w:r>
      <w:proofErr w:type="gramEnd"/>
      <w:r w:rsidRPr="001F29DD">
        <w:rPr>
          <w:rFonts w:ascii="Arial" w:eastAsia="Calibri" w:hAnsi="Arial" w:cs="Arial"/>
          <w:color w:val="000000" w:themeColor="text1"/>
          <w:sz w:val="19"/>
          <w:szCs w:val="19"/>
          <w:lang w:val="es-ES_tradnl"/>
        </w:rPr>
        <w:t xml:space="preserve"> Primero. En los Procesos de Contratación que se desarrollen con base en el primer inciso, las entidades podrán realizar las convocatorias limitadas que beneficien a las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 xml:space="preserve"> del ámbito municipal o departamental correspondiente al de la ejecución del contrato.</w:t>
      </w:r>
    </w:p>
    <w:p w14:paraId="4FD1792F"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»Parágrafo</w:t>
      </w:r>
      <w:proofErr w:type="gramEnd"/>
      <w:r w:rsidRPr="001F29DD">
        <w:rPr>
          <w:rFonts w:ascii="Arial" w:eastAsia="Calibri" w:hAnsi="Arial" w:cs="Arial"/>
          <w:color w:val="000000" w:themeColor="text1"/>
          <w:sz w:val="19"/>
          <w:szCs w:val="19"/>
          <w:lang w:val="es-ES_tradnl"/>
        </w:rPr>
        <w:t xml:space="preserve"> Segundo. Sin perjuicio de lo dispuesto en los artículos 5 y 6 de la Ley 1150 de 2007, para que las </w:t>
      </w:r>
      <w:proofErr w:type="spellStart"/>
      <w:r w:rsidRPr="001F29DD">
        <w:rPr>
          <w:rFonts w:ascii="Arial" w:eastAsia="Calibri" w:hAnsi="Arial" w:cs="Arial"/>
          <w:color w:val="000000" w:themeColor="text1"/>
          <w:sz w:val="19"/>
          <w:szCs w:val="19"/>
          <w:lang w:val="es-ES_tradnl"/>
        </w:rPr>
        <w:t>Mipymes</w:t>
      </w:r>
      <w:proofErr w:type="spellEnd"/>
      <w:r w:rsidRPr="001F29DD">
        <w:rPr>
          <w:rFonts w:ascii="Arial" w:eastAsia="Calibri" w:hAnsi="Arial" w:cs="Arial"/>
          <w:color w:val="000000" w:themeColor="text1"/>
          <w:sz w:val="19"/>
          <w:szCs w:val="19"/>
          <w:lang w:val="es-ES_tradnl"/>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3222E381"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»Parágrafo</w:t>
      </w:r>
      <w:proofErr w:type="gramEnd"/>
      <w:r w:rsidRPr="001F29DD">
        <w:rPr>
          <w:rFonts w:ascii="Arial" w:eastAsia="Calibri" w:hAnsi="Arial" w:cs="Arial"/>
          <w:color w:val="000000" w:themeColor="text1"/>
          <w:sz w:val="19"/>
          <w:szCs w:val="19"/>
          <w:lang w:val="es-ES_tradnl"/>
        </w:rPr>
        <w:t xml:space="preserve"> Tercero. En la ejecución de los contratos a que se refiere el presente artículo, las entidades y los contratistas, deberán observar lo dispuesto en los artículos 90 a 95 de la Ley 418 de 1997 y las normas que la modifiquen, adicionen o subroguen."»  </w:t>
      </w:r>
    </w:p>
    <w:p w14:paraId="7F7EA71F" w14:textId="77777777" w:rsidR="007321B0" w:rsidRPr="001F29DD" w:rsidRDefault="007321B0" w:rsidP="007321B0">
      <w:pPr>
        <w:pStyle w:val="Textonotapie"/>
        <w:ind w:firstLine="709"/>
        <w:jc w:val="both"/>
        <w:rPr>
          <w:rFonts w:ascii="Arial" w:hAnsi="Arial" w:cs="Arial"/>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C42160" w:rsidRDefault="00C42160">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6D5057DB"/>
    <w:multiLevelType w:val="hybridMultilevel"/>
    <w:tmpl w:val="353A75E4"/>
    <w:lvl w:ilvl="0" w:tplc="51E09002">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370767585">
    <w:abstractNumId w:val="9"/>
  </w:num>
  <w:num w:numId="2" w16cid:durableId="336620426">
    <w:abstractNumId w:val="7"/>
  </w:num>
  <w:num w:numId="3" w16cid:durableId="1635715034">
    <w:abstractNumId w:val="12"/>
  </w:num>
  <w:num w:numId="4" w16cid:durableId="313679758">
    <w:abstractNumId w:val="15"/>
  </w:num>
  <w:num w:numId="5" w16cid:durableId="62456308">
    <w:abstractNumId w:val="19"/>
  </w:num>
  <w:num w:numId="6" w16cid:durableId="39655901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5427994">
    <w:abstractNumId w:val="17"/>
  </w:num>
  <w:num w:numId="8" w16cid:durableId="1726371928">
    <w:abstractNumId w:val="0"/>
  </w:num>
  <w:num w:numId="9" w16cid:durableId="270020086">
    <w:abstractNumId w:val="3"/>
  </w:num>
  <w:num w:numId="10" w16cid:durableId="18379208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48870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6148569">
    <w:abstractNumId w:val="8"/>
  </w:num>
  <w:num w:numId="13" w16cid:durableId="397479091">
    <w:abstractNumId w:val="11"/>
  </w:num>
  <w:num w:numId="14" w16cid:durableId="1003583976">
    <w:abstractNumId w:val="6"/>
  </w:num>
  <w:num w:numId="15" w16cid:durableId="194526598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6131845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4867516">
    <w:abstractNumId w:val="22"/>
  </w:num>
  <w:num w:numId="18" w16cid:durableId="155532731">
    <w:abstractNumId w:val="13"/>
  </w:num>
  <w:num w:numId="19" w16cid:durableId="1738628180">
    <w:abstractNumId w:val="2"/>
  </w:num>
  <w:num w:numId="20" w16cid:durableId="1842432438">
    <w:abstractNumId w:val="23"/>
  </w:num>
  <w:num w:numId="21" w16cid:durableId="118382336">
    <w:abstractNumId w:val="14"/>
  </w:num>
  <w:num w:numId="22" w16cid:durableId="1485396674">
    <w:abstractNumId w:val="5"/>
  </w:num>
  <w:num w:numId="23" w16cid:durableId="168253075">
    <w:abstractNumId w:val="4"/>
  </w:num>
  <w:num w:numId="24" w16cid:durableId="602151561">
    <w:abstractNumId w:val="21"/>
  </w:num>
  <w:num w:numId="25" w16cid:durableId="1800563200">
    <w:abstractNumId w:val="16"/>
  </w:num>
  <w:num w:numId="26" w16cid:durableId="115691605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0F9A"/>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5FA"/>
    <w:rsid w:val="00025D0A"/>
    <w:rsid w:val="000263F0"/>
    <w:rsid w:val="00026407"/>
    <w:rsid w:val="00026608"/>
    <w:rsid w:val="00027787"/>
    <w:rsid w:val="000278D2"/>
    <w:rsid w:val="00027BBA"/>
    <w:rsid w:val="00030DFB"/>
    <w:rsid w:val="00031364"/>
    <w:rsid w:val="000315E1"/>
    <w:rsid w:val="0003236E"/>
    <w:rsid w:val="0003339A"/>
    <w:rsid w:val="000341F2"/>
    <w:rsid w:val="00035046"/>
    <w:rsid w:val="000351F2"/>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3F"/>
    <w:rsid w:val="000B1057"/>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4F4E"/>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C90"/>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1F58"/>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C30"/>
    <w:rsid w:val="00132EFD"/>
    <w:rsid w:val="00133AED"/>
    <w:rsid w:val="00134BCD"/>
    <w:rsid w:val="00134C9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918"/>
    <w:rsid w:val="00141DBF"/>
    <w:rsid w:val="00142EFD"/>
    <w:rsid w:val="00144335"/>
    <w:rsid w:val="0014502F"/>
    <w:rsid w:val="00145282"/>
    <w:rsid w:val="001453B0"/>
    <w:rsid w:val="001454D9"/>
    <w:rsid w:val="00145C1A"/>
    <w:rsid w:val="00145D8E"/>
    <w:rsid w:val="00146083"/>
    <w:rsid w:val="001462F7"/>
    <w:rsid w:val="001471AB"/>
    <w:rsid w:val="00147F35"/>
    <w:rsid w:val="00150005"/>
    <w:rsid w:val="00151AEB"/>
    <w:rsid w:val="00151B99"/>
    <w:rsid w:val="00151DD4"/>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2D5A"/>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BE2"/>
    <w:rsid w:val="00175E49"/>
    <w:rsid w:val="0017649F"/>
    <w:rsid w:val="0017655B"/>
    <w:rsid w:val="001766CA"/>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22D"/>
    <w:rsid w:val="001A4A9B"/>
    <w:rsid w:val="001A4B32"/>
    <w:rsid w:val="001A4C48"/>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863"/>
    <w:rsid w:val="001F1A52"/>
    <w:rsid w:val="001F2356"/>
    <w:rsid w:val="001F2A68"/>
    <w:rsid w:val="001F2C47"/>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82E"/>
    <w:rsid w:val="002748F1"/>
    <w:rsid w:val="00274DB5"/>
    <w:rsid w:val="00275BB1"/>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C7"/>
    <w:rsid w:val="00286CEC"/>
    <w:rsid w:val="002870F9"/>
    <w:rsid w:val="002871A9"/>
    <w:rsid w:val="00287505"/>
    <w:rsid w:val="00287727"/>
    <w:rsid w:val="00287BDB"/>
    <w:rsid w:val="00290781"/>
    <w:rsid w:val="00291784"/>
    <w:rsid w:val="002920DF"/>
    <w:rsid w:val="002924E3"/>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A1F"/>
    <w:rsid w:val="00311B47"/>
    <w:rsid w:val="00311D52"/>
    <w:rsid w:val="00312190"/>
    <w:rsid w:val="003125E0"/>
    <w:rsid w:val="0031271D"/>
    <w:rsid w:val="0031277A"/>
    <w:rsid w:val="003132BB"/>
    <w:rsid w:val="00313337"/>
    <w:rsid w:val="00313447"/>
    <w:rsid w:val="00313748"/>
    <w:rsid w:val="00313EA3"/>
    <w:rsid w:val="003151FE"/>
    <w:rsid w:val="00315365"/>
    <w:rsid w:val="00315457"/>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CA8"/>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AC5"/>
    <w:rsid w:val="00357E83"/>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6CA"/>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631"/>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47EF7"/>
    <w:rsid w:val="00450846"/>
    <w:rsid w:val="00451A52"/>
    <w:rsid w:val="00452663"/>
    <w:rsid w:val="0045271D"/>
    <w:rsid w:val="00452755"/>
    <w:rsid w:val="00452803"/>
    <w:rsid w:val="004529C6"/>
    <w:rsid w:val="00452EAD"/>
    <w:rsid w:val="004533D1"/>
    <w:rsid w:val="004534D1"/>
    <w:rsid w:val="00454548"/>
    <w:rsid w:val="00454589"/>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347"/>
    <w:rsid w:val="004636CC"/>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1DF7"/>
    <w:rsid w:val="004734CF"/>
    <w:rsid w:val="00473F33"/>
    <w:rsid w:val="0047586C"/>
    <w:rsid w:val="00475C5A"/>
    <w:rsid w:val="00475C9C"/>
    <w:rsid w:val="00475FF6"/>
    <w:rsid w:val="0047676B"/>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7E6"/>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7BD"/>
    <w:rsid w:val="004C2B27"/>
    <w:rsid w:val="004C3929"/>
    <w:rsid w:val="004C4160"/>
    <w:rsid w:val="004C5212"/>
    <w:rsid w:val="004C560A"/>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152"/>
    <w:rsid w:val="004E3B71"/>
    <w:rsid w:val="004E4055"/>
    <w:rsid w:val="004E40CE"/>
    <w:rsid w:val="004E5736"/>
    <w:rsid w:val="004E5A3C"/>
    <w:rsid w:val="004E5B36"/>
    <w:rsid w:val="004E5D5D"/>
    <w:rsid w:val="004E6045"/>
    <w:rsid w:val="004E667A"/>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CE3"/>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2C37"/>
    <w:rsid w:val="00573355"/>
    <w:rsid w:val="0057337D"/>
    <w:rsid w:val="00573504"/>
    <w:rsid w:val="0057355F"/>
    <w:rsid w:val="00573BA3"/>
    <w:rsid w:val="00574708"/>
    <w:rsid w:val="00574D81"/>
    <w:rsid w:val="005756AA"/>
    <w:rsid w:val="0057696F"/>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3DE"/>
    <w:rsid w:val="005A5608"/>
    <w:rsid w:val="005A5A3D"/>
    <w:rsid w:val="005A6035"/>
    <w:rsid w:val="005A6B75"/>
    <w:rsid w:val="005A6E00"/>
    <w:rsid w:val="005A70B2"/>
    <w:rsid w:val="005A718A"/>
    <w:rsid w:val="005A72DD"/>
    <w:rsid w:val="005A7885"/>
    <w:rsid w:val="005B12B2"/>
    <w:rsid w:val="005B143B"/>
    <w:rsid w:val="005B19BD"/>
    <w:rsid w:val="005B1D7A"/>
    <w:rsid w:val="005B1E45"/>
    <w:rsid w:val="005B21C4"/>
    <w:rsid w:val="005B2A28"/>
    <w:rsid w:val="005B35AB"/>
    <w:rsid w:val="005B3621"/>
    <w:rsid w:val="005B3EBE"/>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917"/>
    <w:rsid w:val="005D2EB2"/>
    <w:rsid w:val="005D2F48"/>
    <w:rsid w:val="005D30A1"/>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7D"/>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17B"/>
    <w:rsid w:val="00730CD6"/>
    <w:rsid w:val="00730F74"/>
    <w:rsid w:val="0073114B"/>
    <w:rsid w:val="00732151"/>
    <w:rsid w:val="007321B0"/>
    <w:rsid w:val="00732EBC"/>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22F"/>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4B06"/>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741"/>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3BF2"/>
    <w:rsid w:val="007F46E6"/>
    <w:rsid w:val="007F4976"/>
    <w:rsid w:val="007F4B40"/>
    <w:rsid w:val="007F5A56"/>
    <w:rsid w:val="007F5D42"/>
    <w:rsid w:val="007F616E"/>
    <w:rsid w:val="007F6B46"/>
    <w:rsid w:val="007F72CB"/>
    <w:rsid w:val="007F736A"/>
    <w:rsid w:val="007F7635"/>
    <w:rsid w:val="007F785F"/>
    <w:rsid w:val="007F7961"/>
    <w:rsid w:val="007F7AF6"/>
    <w:rsid w:val="007F7E36"/>
    <w:rsid w:val="008000EC"/>
    <w:rsid w:val="00800E6D"/>
    <w:rsid w:val="008014D9"/>
    <w:rsid w:val="0080150F"/>
    <w:rsid w:val="0080153A"/>
    <w:rsid w:val="00801A2A"/>
    <w:rsid w:val="00802041"/>
    <w:rsid w:val="008022C9"/>
    <w:rsid w:val="00802605"/>
    <w:rsid w:val="00802F9E"/>
    <w:rsid w:val="00803700"/>
    <w:rsid w:val="00803D9D"/>
    <w:rsid w:val="00804A94"/>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A7B"/>
    <w:rsid w:val="00813F04"/>
    <w:rsid w:val="0081513E"/>
    <w:rsid w:val="00815436"/>
    <w:rsid w:val="00815DA5"/>
    <w:rsid w:val="00816221"/>
    <w:rsid w:val="008174F3"/>
    <w:rsid w:val="00817661"/>
    <w:rsid w:val="0081766B"/>
    <w:rsid w:val="00817843"/>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63B0"/>
    <w:rsid w:val="00856C06"/>
    <w:rsid w:val="0085790B"/>
    <w:rsid w:val="008579B9"/>
    <w:rsid w:val="00857C31"/>
    <w:rsid w:val="00857C95"/>
    <w:rsid w:val="00857E78"/>
    <w:rsid w:val="00860AEF"/>
    <w:rsid w:val="00860B18"/>
    <w:rsid w:val="00860D5E"/>
    <w:rsid w:val="0086122C"/>
    <w:rsid w:val="00861310"/>
    <w:rsid w:val="00861C4D"/>
    <w:rsid w:val="00861D0B"/>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61E"/>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7EF"/>
    <w:rsid w:val="008C7EF7"/>
    <w:rsid w:val="008D021B"/>
    <w:rsid w:val="008D094D"/>
    <w:rsid w:val="008D18AA"/>
    <w:rsid w:val="008D1A2A"/>
    <w:rsid w:val="008D1ADE"/>
    <w:rsid w:val="008D3199"/>
    <w:rsid w:val="008D35D9"/>
    <w:rsid w:val="008D3A2F"/>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6D9"/>
    <w:rsid w:val="008E28BD"/>
    <w:rsid w:val="008E2BE6"/>
    <w:rsid w:val="008E3038"/>
    <w:rsid w:val="008E30C4"/>
    <w:rsid w:val="008E38B4"/>
    <w:rsid w:val="008E3BA4"/>
    <w:rsid w:val="008E3F17"/>
    <w:rsid w:val="008E44AB"/>
    <w:rsid w:val="008E4786"/>
    <w:rsid w:val="008E4CAE"/>
    <w:rsid w:val="008E5179"/>
    <w:rsid w:val="008E57FE"/>
    <w:rsid w:val="008E6598"/>
    <w:rsid w:val="008E710F"/>
    <w:rsid w:val="008E7214"/>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530"/>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2408"/>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422F"/>
    <w:rsid w:val="009B46BC"/>
    <w:rsid w:val="009B4D1A"/>
    <w:rsid w:val="009B519D"/>
    <w:rsid w:val="009B558B"/>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D17"/>
    <w:rsid w:val="009D604F"/>
    <w:rsid w:val="009D61BB"/>
    <w:rsid w:val="009D631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426D"/>
    <w:rsid w:val="00A24560"/>
    <w:rsid w:val="00A25B0F"/>
    <w:rsid w:val="00A25BBB"/>
    <w:rsid w:val="00A27FB6"/>
    <w:rsid w:val="00A30121"/>
    <w:rsid w:val="00A30368"/>
    <w:rsid w:val="00A3043A"/>
    <w:rsid w:val="00A30E02"/>
    <w:rsid w:val="00A30F6A"/>
    <w:rsid w:val="00A31060"/>
    <w:rsid w:val="00A31A57"/>
    <w:rsid w:val="00A31C3E"/>
    <w:rsid w:val="00A31DE3"/>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600B"/>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2B5A"/>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062"/>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276"/>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1BCD"/>
    <w:rsid w:val="00C31D6D"/>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160"/>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284"/>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5084"/>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2FB"/>
    <w:rsid w:val="00CD4506"/>
    <w:rsid w:val="00CD4F50"/>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ABB"/>
    <w:rsid w:val="00CF1E1D"/>
    <w:rsid w:val="00CF24FE"/>
    <w:rsid w:val="00CF287F"/>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693"/>
    <w:rsid w:val="00D33FA4"/>
    <w:rsid w:val="00D34B25"/>
    <w:rsid w:val="00D34C7F"/>
    <w:rsid w:val="00D34F4E"/>
    <w:rsid w:val="00D357F3"/>
    <w:rsid w:val="00D35C0E"/>
    <w:rsid w:val="00D36FBF"/>
    <w:rsid w:val="00D373A8"/>
    <w:rsid w:val="00D3762A"/>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5D68"/>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831"/>
    <w:rsid w:val="00DA7AD0"/>
    <w:rsid w:val="00DB02D7"/>
    <w:rsid w:val="00DB03CC"/>
    <w:rsid w:val="00DB12D4"/>
    <w:rsid w:val="00DB14F0"/>
    <w:rsid w:val="00DB1745"/>
    <w:rsid w:val="00DB19BB"/>
    <w:rsid w:val="00DB1AFF"/>
    <w:rsid w:val="00DB219A"/>
    <w:rsid w:val="00DB3165"/>
    <w:rsid w:val="00DB31EE"/>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DA0"/>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2186"/>
    <w:rsid w:val="00E025C2"/>
    <w:rsid w:val="00E026BB"/>
    <w:rsid w:val="00E027C5"/>
    <w:rsid w:val="00E03124"/>
    <w:rsid w:val="00E031C3"/>
    <w:rsid w:val="00E03951"/>
    <w:rsid w:val="00E03DB8"/>
    <w:rsid w:val="00E03F17"/>
    <w:rsid w:val="00E0420C"/>
    <w:rsid w:val="00E0451C"/>
    <w:rsid w:val="00E04EDD"/>
    <w:rsid w:val="00E05E70"/>
    <w:rsid w:val="00E06255"/>
    <w:rsid w:val="00E064BC"/>
    <w:rsid w:val="00E07225"/>
    <w:rsid w:val="00E076B4"/>
    <w:rsid w:val="00E07B5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1EA8"/>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2AF"/>
    <w:rsid w:val="00F41596"/>
    <w:rsid w:val="00F41D8B"/>
    <w:rsid w:val="00F42121"/>
    <w:rsid w:val="00F424B3"/>
    <w:rsid w:val="00F428B1"/>
    <w:rsid w:val="00F428B4"/>
    <w:rsid w:val="00F4345D"/>
    <w:rsid w:val="00F4387B"/>
    <w:rsid w:val="00F4387F"/>
    <w:rsid w:val="00F44120"/>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1A7"/>
    <w:rsid w:val="00F612CE"/>
    <w:rsid w:val="00F6133C"/>
    <w:rsid w:val="00F61405"/>
    <w:rsid w:val="00F621D3"/>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721"/>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43C"/>
    <w:rsid w:val="00F86B5D"/>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0F1"/>
    <w:rsid w:val="00FE6432"/>
    <w:rsid w:val="00FE72A0"/>
    <w:rsid w:val="00FF0050"/>
    <w:rsid w:val="00FF045F"/>
    <w:rsid w:val="00FF0A6D"/>
    <w:rsid w:val="00FF13D4"/>
    <w:rsid w:val="00FF2053"/>
    <w:rsid w:val="00FF3B37"/>
    <w:rsid w:val="00FF3CC7"/>
    <w:rsid w:val="00FF3D6F"/>
    <w:rsid w:val="00FF441A"/>
    <w:rsid w:val="00FF4BD8"/>
    <w:rsid w:val="00FF4D11"/>
    <w:rsid w:val="00FF5214"/>
    <w:rsid w:val="00FF596E"/>
    <w:rsid w:val="00FF5B59"/>
    <w:rsid w:val="00FF5BFD"/>
    <w:rsid w:val="00FF5E27"/>
    <w:rsid w:val="00FF6095"/>
    <w:rsid w:val="00FF62FE"/>
    <w:rsid w:val="00FF6553"/>
    <w:rsid w:val="00FF70BD"/>
    <w:rsid w:val="00FF7124"/>
    <w:rsid w:val="00FF7A39"/>
    <w:rsid w:val="00FF7D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C1A"/>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apple-converted-space">
    <w:name w:val="apple-converted-space"/>
    <w:basedOn w:val="Fuentedeprrafopredeter"/>
    <w:rsid w:val="003A06CA"/>
  </w:style>
  <w:style w:type="paragraph" w:styleId="Revisin">
    <w:name w:val="Revision"/>
    <w:hidden/>
    <w:uiPriority w:val="99"/>
    <w:semiHidden/>
    <w:rsid w:val="00C31BCD"/>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230913">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3835">
      <w:bodyDiv w:val="1"/>
      <w:marLeft w:val="0"/>
      <w:marRight w:val="0"/>
      <w:marTop w:val="0"/>
      <w:marBottom w:val="0"/>
      <w:divBdr>
        <w:top w:val="none" w:sz="0" w:space="0" w:color="auto"/>
        <w:left w:val="none" w:sz="0" w:space="0" w:color="auto"/>
        <w:bottom w:val="none" w:sz="0" w:space="0" w:color="auto"/>
        <w:right w:val="none" w:sz="0" w:space="0" w:color="auto"/>
      </w:divBdr>
    </w:div>
    <w:div w:id="233012928">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685334">
      <w:bodyDiv w:val="1"/>
      <w:marLeft w:val="0"/>
      <w:marRight w:val="0"/>
      <w:marTop w:val="0"/>
      <w:marBottom w:val="0"/>
      <w:divBdr>
        <w:top w:val="none" w:sz="0" w:space="0" w:color="auto"/>
        <w:left w:val="none" w:sz="0" w:space="0" w:color="auto"/>
        <w:bottom w:val="none" w:sz="0" w:space="0" w:color="auto"/>
        <w:right w:val="none" w:sz="0" w:space="0" w:color="auto"/>
      </w:divBdr>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441662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00403">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42847">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3180127">
      <w:bodyDiv w:val="1"/>
      <w:marLeft w:val="0"/>
      <w:marRight w:val="0"/>
      <w:marTop w:val="0"/>
      <w:marBottom w:val="0"/>
      <w:divBdr>
        <w:top w:val="none" w:sz="0" w:space="0" w:color="auto"/>
        <w:left w:val="none" w:sz="0" w:space="0" w:color="auto"/>
        <w:bottom w:val="none" w:sz="0" w:space="0" w:color="auto"/>
        <w:right w:val="none" w:sz="0" w:space="0" w:color="auto"/>
      </w:divBdr>
      <w:divsChild>
        <w:div w:id="1920870200">
          <w:marLeft w:val="0"/>
          <w:marRight w:val="0"/>
          <w:marTop w:val="0"/>
          <w:marBottom w:val="0"/>
          <w:divBdr>
            <w:top w:val="none" w:sz="0" w:space="0" w:color="auto"/>
            <w:left w:val="none" w:sz="0" w:space="0" w:color="auto"/>
            <w:bottom w:val="none" w:sz="0" w:space="0" w:color="auto"/>
            <w:right w:val="none" w:sz="0" w:space="0" w:color="auto"/>
          </w:divBdr>
          <w:divsChild>
            <w:div w:id="851648674">
              <w:marLeft w:val="0"/>
              <w:marRight w:val="0"/>
              <w:marTop w:val="0"/>
              <w:marBottom w:val="0"/>
              <w:divBdr>
                <w:top w:val="none" w:sz="0" w:space="0" w:color="auto"/>
                <w:left w:val="none" w:sz="0" w:space="0" w:color="auto"/>
                <w:bottom w:val="none" w:sz="0" w:space="0" w:color="auto"/>
                <w:right w:val="none" w:sz="0" w:space="0" w:color="auto"/>
              </w:divBdr>
              <w:divsChild>
                <w:div w:id="12373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4774086">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014347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951950">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465043">
      <w:bodyDiv w:val="1"/>
      <w:marLeft w:val="0"/>
      <w:marRight w:val="0"/>
      <w:marTop w:val="0"/>
      <w:marBottom w:val="0"/>
      <w:divBdr>
        <w:top w:val="none" w:sz="0" w:space="0" w:color="auto"/>
        <w:left w:val="none" w:sz="0" w:space="0" w:color="auto"/>
        <w:bottom w:val="none" w:sz="0" w:space="0" w:color="auto"/>
        <w:right w:val="none" w:sz="0" w:space="0" w:color="auto"/>
      </w:divBdr>
      <w:divsChild>
        <w:div w:id="960645241">
          <w:marLeft w:val="0"/>
          <w:marRight w:val="0"/>
          <w:marTop w:val="0"/>
          <w:marBottom w:val="0"/>
          <w:divBdr>
            <w:top w:val="none" w:sz="0" w:space="0" w:color="auto"/>
            <w:left w:val="none" w:sz="0" w:space="0" w:color="auto"/>
            <w:bottom w:val="none" w:sz="0" w:space="0" w:color="auto"/>
            <w:right w:val="none" w:sz="0" w:space="0" w:color="auto"/>
          </w:divBdr>
          <w:divsChild>
            <w:div w:id="2127236759">
              <w:marLeft w:val="0"/>
              <w:marRight w:val="0"/>
              <w:marTop w:val="0"/>
              <w:marBottom w:val="0"/>
              <w:divBdr>
                <w:top w:val="none" w:sz="0" w:space="0" w:color="auto"/>
                <w:left w:val="none" w:sz="0" w:space="0" w:color="auto"/>
                <w:bottom w:val="none" w:sz="0" w:space="0" w:color="auto"/>
                <w:right w:val="none" w:sz="0" w:space="0" w:color="auto"/>
              </w:divBdr>
              <w:divsChild>
                <w:div w:id="174078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060202">
      <w:bodyDiv w:val="1"/>
      <w:marLeft w:val="0"/>
      <w:marRight w:val="0"/>
      <w:marTop w:val="0"/>
      <w:marBottom w:val="0"/>
      <w:divBdr>
        <w:top w:val="none" w:sz="0" w:space="0" w:color="auto"/>
        <w:left w:val="none" w:sz="0" w:space="0" w:color="auto"/>
        <w:bottom w:val="none" w:sz="0" w:space="0" w:color="auto"/>
        <w:right w:val="none" w:sz="0" w:space="0" w:color="auto"/>
      </w:divBdr>
      <w:divsChild>
        <w:div w:id="198133236">
          <w:marLeft w:val="0"/>
          <w:marRight w:val="0"/>
          <w:marTop w:val="0"/>
          <w:marBottom w:val="0"/>
          <w:divBdr>
            <w:top w:val="single" w:sz="6" w:space="0" w:color="BEE5EB"/>
            <w:left w:val="single" w:sz="6" w:space="0" w:color="BEE5EB"/>
            <w:bottom w:val="single" w:sz="6" w:space="0" w:color="BEE5EB"/>
            <w:right w:val="single" w:sz="6" w:space="0" w:color="BEE5EB"/>
          </w:divBdr>
        </w:div>
        <w:div w:id="997346022">
          <w:marLeft w:val="0"/>
          <w:marRight w:val="0"/>
          <w:marTop w:val="0"/>
          <w:marBottom w:val="0"/>
          <w:divBdr>
            <w:top w:val="single" w:sz="6" w:space="0" w:color="C4C4C4"/>
            <w:left w:val="single" w:sz="6" w:space="0" w:color="C4C4C4"/>
            <w:bottom w:val="single" w:sz="6" w:space="0" w:color="C4C4C4"/>
            <w:right w:val="single" w:sz="6" w:space="0" w:color="C4C4C4"/>
          </w:divBdr>
        </w:div>
      </w:divsChild>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208209">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25051A2-5B88-4472-9C92-01C75E388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10</Pages>
  <Words>3748</Words>
  <Characters>20619</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2022-04-08T16:58:00Z</dcterms:created>
  <dcterms:modified xsi:type="dcterms:W3CDTF">2022-04-08T16:58:00Z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