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23C4C" w14:textId="5CA10468" w:rsidR="006E39EA" w:rsidRPr="00E92199" w:rsidRDefault="00800DEA" w:rsidP="00CC79DE">
      <w:pPr>
        <w:spacing w:before="120"/>
        <w:jc w:val="right"/>
        <w:rPr>
          <w:rFonts w:ascii="Arial" w:hAnsi="Arial" w:cs="Arial"/>
          <w:b/>
          <w:sz w:val="16"/>
          <w:szCs w:val="16"/>
          <w:lang w:eastAsia="es-ES"/>
        </w:rPr>
      </w:pPr>
      <w:bookmarkStart w:id="0" w:name="_Hlk31875101"/>
      <w:bookmarkStart w:id="1" w:name="_Hlk29890381"/>
      <w:r w:rsidRPr="00D35139">
        <w:rPr>
          <w:rFonts w:ascii="Arial" w:hAnsi="Arial" w:cs="Arial"/>
          <w:b/>
          <w:sz w:val="16"/>
          <w:szCs w:val="16"/>
          <w:lang w:eastAsia="es-ES"/>
        </w:rPr>
        <w:t>CCE-DES-FM-17</w:t>
      </w:r>
    </w:p>
    <w:p w14:paraId="355E2F5A" w14:textId="77777777" w:rsidR="00D20164" w:rsidRDefault="00D20164" w:rsidP="00591F55">
      <w:pPr>
        <w:jc w:val="both"/>
        <w:rPr>
          <w:rFonts w:ascii="Arial" w:eastAsia="Calibri" w:hAnsi="Arial" w:cs="Arial"/>
          <w:b/>
          <w:bCs/>
          <w:sz w:val="22"/>
          <w:lang w:val="es-ES"/>
        </w:rPr>
      </w:pPr>
    </w:p>
    <w:p w14:paraId="19F2B65C" w14:textId="6AA37755" w:rsidR="00591F55" w:rsidRPr="005B5E75" w:rsidRDefault="00591F55" w:rsidP="00591F55">
      <w:pPr>
        <w:jc w:val="both"/>
        <w:rPr>
          <w:rFonts w:ascii="Arial" w:eastAsia="Calibri" w:hAnsi="Arial" w:cs="Arial"/>
          <w:b/>
          <w:bCs/>
          <w:sz w:val="22"/>
          <w:lang w:val="es-ES"/>
        </w:rPr>
      </w:pPr>
      <w:r w:rsidRPr="005B5E75">
        <w:rPr>
          <w:rFonts w:ascii="Arial" w:eastAsia="Calibri" w:hAnsi="Arial" w:cs="Arial"/>
          <w:b/>
          <w:bCs/>
          <w:sz w:val="22"/>
          <w:lang w:val="es-ES"/>
        </w:rPr>
        <w:t xml:space="preserve">CONTRATO DE ARRENDAMIENTO </w:t>
      </w:r>
      <w:r w:rsidRPr="005B5E75">
        <w:rPr>
          <w:rFonts w:ascii="Arial" w:eastAsia="Calibri" w:hAnsi="Arial" w:cs="Arial"/>
          <w:b/>
          <w:sz w:val="22"/>
          <w:lang w:val="es-ES"/>
        </w:rPr>
        <w:t>–</w:t>
      </w:r>
      <w:r w:rsidR="007129AB">
        <w:rPr>
          <w:rFonts w:ascii="Arial" w:eastAsia="Calibri" w:hAnsi="Arial" w:cs="Arial"/>
          <w:b/>
          <w:bCs/>
          <w:sz w:val="22"/>
          <w:lang w:val="es-ES"/>
        </w:rPr>
        <w:t xml:space="preserve"> Contrato estatal</w:t>
      </w:r>
      <w:r w:rsidRPr="005B5E75">
        <w:rPr>
          <w:rFonts w:ascii="Arial" w:eastAsia="Calibri" w:hAnsi="Arial" w:cs="Arial"/>
          <w:b/>
          <w:bCs/>
          <w:sz w:val="22"/>
          <w:lang w:val="es-ES"/>
        </w:rPr>
        <w:t xml:space="preserve"> </w:t>
      </w:r>
      <w:r w:rsidRPr="005B5E75">
        <w:rPr>
          <w:rFonts w:ascii="Arial" w:eastAsia="Calibri" w:hAnsi="Arial" w:cs="Arial"/>
          <w:b/>
          <w:sz w:val="22"/>
          <w:lang w:val="es-ES"/>
        </w:rPr>
        <w:t>–</w:t>
      </w:r>
      <w:r w:rsidR="00D20164">
        <w:rPr>
          <w:rFonts w:ascii="Arial" w:eastAsia="Calibri" w:hAnsi="Arial" w:cs="Arial"/>
          <w:b/>
          <w:bCs/>
          <w:sz w:val="22"/>
          <w:lang w:val="es-ES"/>
        </w:rPr>
        <w:t xml:space="preserve"> Regulación </w:t>
      </w:r>
      <w:r w:rsidRPr="005B5E75">
        <w:rPr>
          <w:rFonts w:ascii="Arial" w:eastAsia="Calibri" w:hAnsi="Arial" w:cs="Arial"/>
          <w:b/>
          <w:sz w:val="22"/>
          <w:lang w:val="es-ES"/>
        </w:rPr>
        <w:t>–</w:t>
      </w:r>
      <w:r w:rsidR="00D20164">
        <w:rPr>
          <w:rFonts w:ascii="Arial" w:eastAsia="Calibri" w:hAnsi="Arial" w:cs="Arial"/>
          <w:b/>
          <w:sz w:val="22"/>
          <w:lang w:val="es-ES"/>
        </w:rPr>
        <w:t xml:space="preserve"> Bienes</w:t>
      </w:r>
      <w:r w:rsidR="006778BF">
        <w:rPr>
          <w:rFonts w:ascii="Arial" w:eastAsia="Calibri" w:hAnsi="Arial" w:cs="Arial"/>
          <w:b/>
          <w:sz w:val="22"/>
          <w:lang w:val="es-ES"/>
        </w:rPr>
        <w:t xml:space="preserve"> fiscales</w:t>
      </w:r>
    </w:p>
    <w:p w14:paraId="0F4AAA69" w14:textId="77777777" w:rsidR="00591F55" w:rsidRPr="005B5E75" w:rsidRDefault="00591F55" w:rsidP="00591F55">
      <w:pPr>
        <w:rPr>
          <w:rFonts w:ascii="Arial" w:eastAsia="Calibri" w:hAnsi="Arial" w:cs="Arial"/>
          <w:b/>
          <w:bCs/>
          <w:sz w:val="20"/>
          <w:szCs w:val="20"/>
          <w:lang w:val="es-ES"/>
        </w:rPr>
      </w:pPr>
    </w:p>
    <w:p w14:paraId="62AA5838" w14:textId="4D244998" w:rsidR="00591F55" w:rsidRDefault="008F1D35" w:rsidP="00591F55">
      <w:pPr>
        <w:jc w:val="both"/>
        <w:rPr>
          <w:rFonts w:ascii="Arial" w:hAnsi="Arial" w:cs="Arial"/>
          <w:sz w:val="20"/>
          <w:szCs w:val="20"/>
          <w:lang w:val="es-ES"/>
        </w:rPr>
      </w:pPr>
      <w:r w:rsidRPr="008F1D35">
        <w:rPr>
          <w:rFonts w:ascii="Arial" w:hAnsi="Arial" w:cs="Arial"/>
          <w:sz w:val="20"/>
          <w:szCs w:val="20"/>
          <w:lang w:val="es-ES"/>
        </w:rPr>
        <w:t>Aunque el contrato de arrendamiento no se encuentra dentro del listado enunciativo del artículo 32 de la Ley 80 de 1993, su regulación se encuentra en el Código Civil y en el Código de Comercio, principalmente, los artículos 1973 al 2078 del Código Civil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r>
        <w:rPr>
          <w:rFonts w:ascii="Arial" w:hAnsi="Arial" w:cs="Arial"/>
          <w:sz w:val="20"/>
          <w:szCs w:val="20"/>
          <w:lang w:val="es-ES"/>
        </w:rPr>
        <w:t>.</w:t>
      </w:r>
    </w:p>
    <w:p w14:paraId="11CD7032" w14:textId="77777777" w:rsidR="008F1D35" w:rsidRDefault="008F1D35" w:rsidP="00591F55">
      <w:pPr>
        <w:jc w:val="both"/>
        <w:rPr>
          <w:rFonts w:ascii="Arial" w:hAnsi="Arial" w:cs="Arial"/>
          <w:sz w:val="20"/>
          <w:szCs w:val="20"/>
          <w:lang w:val="es-ES"/>
        </w:rPr>
      </w:pPr>
    </w:p>
    <w:p w14:paraId="1748022B" w14:textId="2D82872F" w:rsidR="00591F55" w:rsidRDefault="00711B86" w:rsidP="00591F55">
      <w:pPr>
        <w:jc w:val="both"/>
        <w:rPr>
          <w:rFonts w:ascii="Arial" w:hAnsi="Arial" w:cs="Arial"/>
          <w:sz w:val="20"/>
          <w:szCs w:val="20"/>
          <w:lang w:val="es-ES"/>
        </w:rPr>
      </w:pPr>
      <w:r>
        <w:rPr>
          <w:rFonts w:ascii="Arial" w:hAnsi="Arial" w:cs="Arial"/>
          <w:sz w:val="20"/>
          <w:szCs w:val="20"/>
          <w:lang w:val="es-ES"/>
        </w:rPr>
        <w:t xml:space="preserve">[…] </w:t>
      </w:r>
      <w:r w:rsidR="00567B54" w:rsidRPr="00567B54">
        <w:rPr>
          <w:rFonts w:ascii="Arial" w:hAnsi="Arial" w:cs="Arial"/>
          <w:sz w:val="20"/>
          <w:szCs w:val="20"/>
          <w:lang w:val="es-ES"/>
        </w:rPr>
        <w:t>en los casos en donde una de las partes del contrato de arrendamiento sea una entidad pública, este contrato adquiere el carácter de estatal y su contenido se enmarcará en las normas civiles y comerciales que lo regulan, además de las establecidas en el Estatuto General de Contratación de la Administración Pública.  En este tipo de contratos no podrán pactarse cláusulas de prórroga automática y únicamente serán susceptibles de darse en arrendamiento los bienes fiscales, puesto que las entidades pueden disponer de ellos, lo que no ocurre con los bienes de uso público, pues se encuentran fuera del comercio</w:t>
      </w:r>
      <w:r w:rsidRPr="00711B86">
        <w:rPr>
          <w:rFonts w:ascii="Arial" w:hAnsi="Arial" w:cs="Arial"/>
          <w:sz w:val="20"/>
          <w:szCs w:val="20"/>
          <w:lang w:val="es-ES"/>
        </w:rPr>
        <w:t>.</w:t>
      </w:r>
    </w:p>
    <w:p w14:paraId="34AB5F66" w14:textId="7784161E" w:rsidR="007129AB" w:rsidRDefault="007129AB" w:rsidP="00591F55">
      <w:pPr>
        <w:jc w:val="both"/>
        <w:rPr>
          <w:rFonts w:ascii="Arial" w:hAnsi="Arial" w:cs="Arial"/>
          <w:sz w:val="20"/>
          <w:szCs w:val="20"/>
          <w:lang w:val="es-ES"/>
        </w:rPr>
      </w:pPr>
    </w:p>
    <w:p w14:paraId="1C93C162" w14:textId="0BE7E5F9" w:rsidR="007129AB" w:rsidRPr="005B5E75" w:rsidRDefault="007129AB" w:rsidP="007129AB">
      <w:pPr>
        <w:jc w:val="both"/>
        <w:rPr>
          <w:rFonts w:ascii="Arial" w:eastAsia="Calibri" w:hAnsi="Arial" w:cs="Arial"/>
          <w:b/>
          <w:bCs/>
          <w:sz w:val="22"/>
          <w:lang w:val="es-ES"/>
        </w:rPr>
      </w:pPr>
      <w:r w:rsidRPr="005B5E75">
        <w:rPr>
          <w:rFonts w:ascii="Arial" w:eastAsia="Calibri" w:hAnsi="Arial" w:cs="Arial"/>
          <w:b/>
          <w:bCs/>
          <w:sz w:val="22"/>
          <w:lang w:val="es-ES"/>
        </w:rPr>
        <w:t xml:space="preserve">CONTRATO DE ARRENDAMIENTO </w:t>
      </w:r>
      <w:r w:rsidRPr="005B5E75">
        <w:rPr>
          <w:rFonts w:ascii="Arial" w:eastAsia="Calibri" w:hAnsi="Arial" w:cs="Arial"/>
          <w:b/>
          <w:sz w:val="22"/>
          <w:lang w:val="es-ES"/>
        </w:rPr>
        <w:t>–</w:t>
      </w:r>
      <w:r w:rsidRPr="005B5E75">
        <w:rPr>
          <w:rFonts w:ascii="Arial" w:eastAsia="Calibri" w:hAnsi="Arial" w:cs="Arial"/>
          <w:b/>
          <w:bCs/>
          <w:sz w:val="22"/>
          <w:lang w:val="es-ES"/>
        </w:rPr>
        <w:t xml:space="preserve"> Concepto </w:t>
      </w:r>
      <w:r w:rsidRPr="005B5E75">
        <w:rPr>
          <w:rFonts w:ascii="Arial" w:eastAsia="Calibri" w:hAnsi="Arial" w:cs="Arial"/>
          <w:b/>
          <w:sz w:val="22"/>
          <w:lang w:val="es-ES"/>
        </w:rPr>
        <w:t>–</w:t>
      </w:r>
      <w:r w:rsidRPr="005B5E75">
        <w:rPr>
          <w:rFonts w:ascii="Arial" w:eastAsia="Calibri" w:hAnsi="Arial" w:cs="Arial"/>
          <w:b/>
          <w:bCs/>
          <w:sz w:val="22"/>
          <w:lang w:val="es-ES"/>
        </w:rPr>
        <w:t xml:space="preserve"> Elementos </w:t>
      </w:r>
    </w:p>
    <w:p w14:paraId="1F25276F" w14:textId="29519F2B" w:rsidR="00711B86" w:rsidRDefault="00711B86" w:rsidP="00591F55">
      <w:pPr>
        <w:jc w:val="both"/>
        <w:rPr>
          <w:rFonts w:ascii="Arial" w:hAnsi="Arial" w:cs="Arial"/>
          <w:sz w:val="20"/>
          <w:szCs w:val="20"/>
          <w:lang w:val="es-ES"/>
        </w:rPr>
      </w:pPr>
    </w:p>
    <w:p w14:paraId="0A541053" w14:textId="3F775FD5" w:rsidR="00ED4025" w:rsidRDefault="00ED4025" w:rsidP="00ED4025">
      <w:pPr>
        <w:jc w:val="both"/>
        <w:rPr>
          <w:rFonts w:ascii="Arial" w:hAnsi="Arial" w:cs="Arial"/>
          <w:sz w:val="20"/>
          <w:szCs w:val="20"/>
          <w:lang w:val="es-ES"/>
        </w:rPr>
      </w:pPr>
      <w:r w:rsidRPr="00ED4025">
        <w:rPr>
          <w:rFonts w:ascii="Arial" w:hAnsi="Arial" w:cs="Arial"/>
          <w:sz w:val="20"/>
          <w:szCs w:val="20"/>
          <w:lang w:val="es-ES"/>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 Por tanto, se diferencia del contrato de compraventa en que no opera una transferencia del dominio del bien cuyo uso y goce se entrega.</w:t>
      </w:r>
    </w:p>
    <w:p w14:paraId="1AE0DC7D" w14:textId="77777777" w:rsidR="00ED4025" w:rsidRPr="00ED4025" w:rsidRDefault="00ED4025" w:rsidP="00ED4025">
      <w:pPr>
        <w:jc w:val="both"/>
        <w:rPr>
          <w:rFonts w:ascii="Arial" w:hAnsi="Arial" w:cs="Arial"/>
          <w:sz w:val="20"/>
          <w:szCs w:val="20"/>
          <w:lang w:val="es-ES"/>
        </w:rPr>
      </w:pPr>
    </w:p>
    <w:p w14:paraId="09ECCC12" w14:textId="5602EF6E" w:rsidR="00591F55" w:rsidRDefault="00ED4025" w:rsidP="00ED4025">
      <w:pPr>
        <w:jc w:val="both"/>
        <w:rPr>
          <w:rFonts w:ascii="Arial" w:hAnsi="Arial" w:cs="Arial"/>
          <w:sz w:val="20"/>
          <w:szCs w:val="20"/>
          <w:lang w:val="es-ES"/>
        </w:rPr>
      </w:pPr>
      <w:r w:rsidRPr="00ED4025">
        <w:rPr>
          <w:rFonts w:ascii="Arial" w:hAnsi="Arial" w:cs="Arial"/>
          <w:sz w:val="20"/>
          <w:szCs w:val="20"/>
          <w:lang w:val="es-ES"/>
        </w:rPr>
        <w:t xml:space="preserve">En cuanto a sus características, la doctrina ha indicado que el arrendamiento es un contrato: i) bilateral, pues ambas partes se obligan recíprocamente; </w:t>
      </w:r>
      <w:proofErr w:type="spellStart"/>
      <w:r w:rsidRPr="00ED4025">
        <w:rPr>
          <w:rFonts w:ascii="Arial" w:hAnsi="Arial" w:cs="Arial"/>
          <w:sz w:val="20"/>
          <w:szCs w:val="20"/>
          <w:lang w:val="es-ES"/>
        </w:rPr>
        <w:t>ii</w:t>
      </w:r>
      <w:proofErr w:type="spellEnd"/>
      <w:r w:rsidRPr="00ED4025">
        <w:rPr>
          <w:rFonts w:ascii="Arial" w:hAnsi="Arial" w:cs="Arial"/>
          <w:sz w:val="20"/>
          <w:szCs w:val="20"/>
          <w:lang w:val="es-ES"/>
        </w:rPr>
        <w:t xml:space="preserve">) consensual, dado que se perfecciona con el consentimiento ; </w:t>
      </w:r>
      <w:proofErr w:type="spellStart"/>
      <w:r w:rsidRPr="00ED4025">
        <w:rPr>
          <w:rFonts w:ascii="Arial" w:hAnsi="Arial" w:cs="Arial"/>
          <w:sz w:val="20"/>
          <w:szCs w:val="20"/>
          <w:lang w:val="es-ES"/>
        </w:rPr>
        <w:t>iii</w:t>
      </w:r>
      <w:proofErr w:type="spellEnd"/>
      <w:r w:rsidRPr="00ED4025">
        <w:rPr>
          <w:rFonts w:ascii="Arial" w:hAnsi="Arial" w:cs="Arial"/>
          <w:sz w:val="20"/>
          <w:szCs w:val="20"/>
          <w:lang w:val="es-ES"/>
        </w:rPr>
        <w:t xml:space="preserve">) oneroso, ya que ambas partes obtienen utilidades –el arrendatario, el uso y goce del bien, y el arrendador la renta o canon–; </w:t>
      </w:r>
      <w:proofErr w:type="spellStart"/>
      <w:r w:rsidRPr="00ED4025">
        <w:rPr>
          <w:rFonts w:ascii="Arial" w:hAnsi="Arial" w:cs="Arial"/>
          <w:sz w:val="20"/>
          <w:szCs w:val="20"/>
          <w:lang w:val="es-ES"/>
        </w:rPr>
        <w:t>iv</w:t>
      </w:r>
      <w:proofErr w:type="spellEnd"/>
      <w:r w:rsidRPr="00ED4025">
        <w:rPr>
          <w:rFonts w:ascii="Arial" w:hAnsi="Arial" w:cs="Arial"/>
          <w:sz w:val="20"/>
          <w:szCs w:val="20"/>
          <w:lang w:val="es-ES"/>
        </w:rPr>
        <w:t>) de ejecución sucesiva, en la medida en que se ejecuta en forma periódica; v) principal, porque existe en forma autónoma; y v) nominado, porque está tipificado y desarrollado en la ley</w:t>
      </w:r>
      <w:r w:rsidR="00591F55" w:rsidRPr="004C5CA1">
        <w:rPr>
          <w:rFonts w:ascii="Arial" w:hAnsi="Arial" w:cs="Arial"/>
          <w:sz w:val="20"/>
          <w:szCs w:val="20"/>
          <w:lang w:val="es-ES"/>
        </w:rPr>
        <w:t>.</w:t>
      </w:r>
    </w:p>
    <w:p w14:paraId="5E153D19" w14:textId="77777777" w:rsidR="00591F55" w:rsidRDefault="00591F55" w:rsidP="00591F55">
      <w:pPr>
        <w:jc w:val="both"/>
        <w:rPr>
          <w:rFonts w:ascii="Arial" w:hAnsi="Arial" w:cs="Arial"/>
          <w:sz w:val="20"/>
          <w:szCs w:val="20"/>
          <w:lang w:val="es-ES"/>
        </w:rPr>
      </w:pPr>
    </w:p>
    <w:p w14:paraId="458777E4" w14:textId="62707198" w:rsidR="000C400F" w:rsidRPr="00656F7A" w:rsidRDefault="001A11F5" w:rsidP="000C400F">
      <w:pPr>
        <w:jc w:val="both"/>
        <w:rPr>
          <w:rFonts w:ascii="Arial" w:hAnsi="Arial" w:cs="Arial"/>
          <w:b/>
          <w:sz w:val="22"/>
        </w:rPr>
      </w:pPr>
      <w:r>
        <w:rPr>
          <w:rFonts w:ascii="Arial" w:hAnsi="Arial" w:cs="Arial"/>
          <w:b/>
          <w:sz w:val="22"/>
        </w:rPr>
        <w:t xml:space="preserve">CONTRATO DE </w:t>
      </w:r>
      <w:r w:rsidR="00656F7A" w:rsidRPr="00656F7A">
        <w:rPr>
          <w:rFonts w:ascii="Arial" w:hAnsi="Arial" w:cs="Arial"/>
          <w:b/>
          <w:sz w:val="22"/>
        </w:rPr>
        <w:t>ARRENDAMIENTO</w:t>
      </w:r>
      <w:r w:rsidR="000E0A1D">
        <w:rPr>
          <w:rFonts w:ascii="Arial" w:hAnsi="Arial" w:cs="Arial"/>
          <w:b/>
          <w:sz w:val="22"/>
        </w:rPr>
        <w:t xml:space="preserve"> –</w:t>
      </w:r>
      <w:r w:rsidR="00656F7A" w:rsidRPr="00656F7A">
        <w:rPr>
          <w:rFonts w:ascii="Arial" w:hAnsi="Arial" w:cs="Arial"/>
          <w:b/>
          <w:sz w:val="22"/>
        </w:rPr>
        <w:t xml:space="preserve"> Bienes inmuebles </w:t>
      </w:r>
    </w:p>
    <w:p w14:paraId="790F2DAE" w14:textId="77777777" w:rsidR="000C400F" w:rsidRPr="00F71B57" w:rsidRDefault="000C400F" w:rsidP="000C400F">
      <w:pPr>
        <w:jc w:val="both"/>
        <w:rPr>
          <w:rFonts w:ascii="Arial" w:eastAsia="Calibri" w:hAnsi="Arial" w:cs="Arial"/>
          <w:b/>
          <w:highlight w:val="yellow"/>
        </w:rPr>
      </w:pPr>
      <w:r w:rsidRPr="00F71B57">
        <w:rPr>
          <w:rFonts w:ascii="Arial" w:eastAsia="Calibri" w:hAnsi="Arial" w:cs="Arial"/>
          <w:b/>
          <w:highlight w:val="yellow"/>
        </w:rPr>
        <w:t xml:space="preserve"> </w:t>
      </w:r>
    </w:p>
    <w:p w14:paraId="6CA0CBF2" w14:textId="72A10DA7" w:rsidR="008A5B86" w:rsidRDefault="00B502A4" w:rsidP="008A5B86">
      <w:pPr>
        <w:jc w:val="both"/>
        <w:rPr>
          <w:rFonts w:ascii="Arial" w:hAnsi="Arial" w:cs="Arial"/>
          <w:sz w:val="20"/>
          <w:szCs w:val="20"/>
        </w:rPr>
      </w:pPr>
      <w:r w:rsidRPr="00B502A4">
        <w:rPr>
          <w:rFonts w:ascii="Arial" w:hAnsi="Arial" w:cs="Arial"/>
          <w:sz w:val="20"/>
          <w:szCs w:val="20"/>
        </w:rPr>
        <w:t>un bien inmueble que se encuentra afectado con la medida cautelar de embargo, es susceptible de ser arrendado, comoquiera que no existe prohibición legal al respecto en el derecho privado, ni en el Estatuto General de Contratación de la Administración Pública. Esto además se sustenta en que, el contrato de arrendamiento no constituye un acto de enajenación del dominio, por lo que no se configura objeto ilícito de conformidad con el artículo 1521 del Código Civil.  En todo caso, debe tenerse en cuenta que en los casos en los que el inmueble además de encontrarse embargado es objeto de secuestro, el propietario se encuentra impedido para «disponer libremente del predio, por lo que se abstendrá de arrendarlo o explotarlo económicamente, actos que pueden ser realizados por el auxiliar de la justicia</w:t>
      </w:r>
      <w:proofErr w:type="gramStart"/>
      <w:r w:rsidRPr="00B502A4">
        <w:rPr>
          <w:rFonts w:ascii="Arial" w:hAnsi="Arial" w:cs="Arial"/>
          <w:sz w:val="20"/>
          <w:szCs w:val="20"/>
        </w:rPr>
        <w:t>» ,</w:t>
      </w:r>
      <w:proofErr w:type="gramEnd"/>
      <w:r w:rsidRPr="00B502A4">
        <w:rPr>
          <w:rFonts w:ascii="Arial" w:hAnsi="Arial" w:cs="Arial"/>
          <w:sz w:val="20"/>
          <w:szCs w:val="20"/>
        </w:rPr>
        <w:t xml:space="preserve"> es decir, el secuestre</w:t>
      </w:r>
      <w:r w:rsidR="001A11F5" w:rsidRPr="001A11F5">
        <w:rPr>
          <w:rFonts w:ascii="Arial" w:hAnsi="Arial" w:cs="Arial"/>
          <w:sz w:val="20"/>
          <w:szCs w:val="20"/>
        </w:rPr>
        <w:t>.</w:t>
      </w:r>
    </w:p>
    <w:p w14:paraId="3A041669" w14:textId="49DC93D5" w:rsidR="002D63A0" w:rsidRDefault="002D63A0" w:rsidP="008A5B86">
      <w:pPr>
        <w:jc w:val="both"/>
        <w:rPr>
          <w:rFonts w:ascii="Arial" w:hAnsi="Arial" w:cs="Arial"/>
          <w:sz w:val="20"/>
          <w:szCs w:val="20"/>
        </w:rPr>
      </w:pPr>
    </w:p>
    <w:p w14:paraId="63611C8E" w14:textId="3990340B" w:rsidR="000E0A1D" w:rsidRPr="00656F7A" w:rsidRDefault="000E0A1D" w:rsidP="000E0A1D">
      <w:pPr>
        <w:jc w:val="both"/>
        <w:rPr>
          <w:rFonts w:ascii="Arial" w:hAnsi="Arial" w:cs="Arial"/>
          <w:b/>
          <w:sz w:val="22"/>
        </w:rPr>
      </w:pPr>
      <w:r>
        <w:rPr>
          <w:rFonts w:ascii="Arial" w:hAnsi="Arial" w:cs="Arial"/>
          <w:b/>
          <w:sz w:val="22"/>
        </w:rPr>
        <w:t>MEDIDAS CAUT</w:t>
      </w:r>
      <w:r w:rsidR="002105B4">
        <w:rPr>
          <w:rFonts w:ascii="Arial" w:hAnsi="Arial" w:cs="Arial"/>
          <w:b/>
          <w:sz w:val="22"/>
        </w:rPr>
        <w:t>ELARES</w:t>
      </w:r>
      <w:r>
        <w:rPr>
          <w:rFonts w:ascii="Arial" w:hAnsi="Arial" w:cs="Arial"/>
          <w:b/>
          <w:sz w:val="22"/>
        </w:rPr>
        <w:t xml:space="preserve"> –</w:t>
      </w:r>
      <w:r w:rsidRPr="00656F7A">
        <w:rPr>
          <w:rFonts w:ascii="Arial" w:hAnsi="Arial" w:cs="Arial"/>
          <w:b/>
          <w:sz w:val="22"/>
        </w:rPr>
        <w:t xml:space="preserve"> </w:t>
      </w:r>
      <w:r w:rsidR="002105B4">
        <w:rPr>
          <w:rFonts w:ascii="Arial" w:hAnsi="Arial" w:cs="Arial"/>
          <w:b/>
          <w:sz w:val="22"/>
        </w:rPr>
        <w:t>Embargo – Noción</w:t>
      </w:r>
    </w:p>
    <w:p w14:paraId="310D396F" w14:textId="77777777" w:rsidR="000E0A1D" w:rsidRDefault="000E0A1D" w:rsidP="008A5B86">
      <w:pPr>
        <w:jc w:val="both"/>
        <w:rPr>
          <w:rFonts w:ascii="Arial" w:hAnsi="Arial" w:cs="Arial"/>
          <w:sz w:val="20"/>
          <w:szCs w:val="20"/>
        </w:rPr>
      </w:pPr>
    </w:p>
    <w:p w14:paraId="281FD9A9" w14:textId="15FFF28E" w:rsidR="000E0A1D" w:rsidRDefault="00EB622E" w:rsidP="000E0A1D">
      <w:pPr>
        <w:jc w:val="both"/>
        <w:rPr>
          <w:rFonts w:ascii="Arial" w:hAnsi="Arial" w:cs="Arial"/>
          <w:sz w:val="20"/>
          <w:szCs w:val="20"/>
        </w:rPr>
      </w:pPr>
      <w:r>
        <w:rPr>
          <w:rFonts w:ascii="Arial" w:hAnsi="Arial" w:cs="Arial"/>
          <w:sz w:val="20"/>
          <w:szCs w:val="20"/>
        </w:rPr>
        <w:lastRenderedPageBreak/>
        <w:t xml:space="preserve">[…] </w:t>
      </w:r>
      <w:r w:rsidRPr="00EB622E">
        <w:rPr>
          <w:rFonts w:ascii="Arial" w:hAnsi="Arial" w:cs="Arial"/>
          <w:sz w:val="20"/>
          <w:szCs w:val="20"/>
        </w:rPr>
        <w:t>el embargo es una medida cautelar, cuyo procedimiento se encuentra regulado en el artículo 593 de la Ley 1564 de 2012, y en virtud de la cual se «[…] saca del comercio el bien cautelado, de tal suerte que, si se llegare a vender un bien que soporta un embargo, tal contrato será materia de nulidad absoluta por objeto ilícito</w:t>
      </w:r>
      <w:r w:rsidR="00C90E7D" w:rsidRPr="00EB622E">
        <w:rPr>
          <w:rFonts w:ascii="Arial" w:hAnsi="Arial" w:cs="Arial"/>
          <w:sz w:val="20"/>
          <w:szCs w:val="20"/>
        </w:rPr>
        <w:t>».</w:t>
      </w:r>
      <w:r w:rsidRPr="00EB622E">
        <w:rPr>
          <w:rFonts w:ascii="Arial" w:hAnsi="Arial" w:cs="Arial"/>
          <w:sz w:val="20"/>
          <w:szCs w:val="20"/>
        </w:rPr>
        <w:t xml:space="preserve"> Esto es concordante con el artículo 1521 del Código Civil que en su numeral 3 establece la enajenación de bienes embargados, como uno de los supuestos de objeto </w:t>
      </w:r>
      <w:r w:rsidR="00C90E7D" w:rsidRPr="00EB622E">
        <w:rPr>
          <w:rFonts w:ascii="Arial" w:hAnsi="Arial" w:cs="Arial"/>
          <w:sz w:val="20"/>
          <w:szCs w:val="20"/>
        </w:rPr>
        <w:t>ilícito.</w:t>
      </w:r>
      <w:r w:rsidRPr="00EB622E">
        <w:rPr>
          <w:rFonts w:ascii="Arial" w:hAnsi="Arial" w:cs="Arial"/>
          <w:sz w:val="20"/>
          <w:szCs w:val="20"/>
        </w:rPr>
        <w:t xml:space="preserve"> Dado lo anterior, respecto de los bienes sujetos a registro, como es el caso de los inmuebles, de llegarse a inscribir un embargo, «el correspondiente registrador debe abstenerse de registrar cualquier acto de disposición sobre el bien, como una venta o una hipoteca»</w:t>
      </w:r>
      <w:r w:rsidR="000E0A1D" w:rsidRPr="001A11F5">
        <w:rPr>
          <w:rFonts w:ascii="Arial" w:hAnsi="Arial" w:cs="Arial"/>
          <w:sz w:val="20"/>
          <w:szCs w:val="20"/>
        </w:rPr>
        <w:t>.</w:t>
      </w:r>
    </w:p>
    <w:p w14:paraId="2E203C7B" w14:textId="77777777" w:rsidR="002D63A0" w:rsidRDefault="002D63A0" w:rsidP="008A5B86">
      <w:pPr>
        <w:jc w:val="both"/>
        <w:rPr>
          <w:rFonts w:ascii="Arial" w:hAnsi="Arial" w:cs="Arial"/>
          <w:sz w:val="20"/>
          <w:szCs w:val="20"/>
        </w:rPr>
      </w:pPr>
    </w:p>
    <w:p w14:paraId="5B050C24" w14:textId="156E6B8B" w:rsidR="002105B4" w:rsidRPr="00656F7A" w:rsidRDefault="002105B4" w:rsidP="002105B4">
      <w:pPr>
        <w:jc w:val="both"/>
        <w:rPr>
          <w:rFonts w:ascii="Arial" w:hAnsi="Arial" w:cs="Arial"/>
          <w:b/>
          <w:sz w:val="22"/>
        </w:rPr>
      </w:pPr>
      <w:r>
        <w:rPr>
          <w:rFonts w:ascii="Arial" w:hAnsi="Arial" w:cs="Arial"/>
          <w:b/>
          <w:sz w:val="22"/>
        </w:rPr>
        <w:t>MEDIDAS CAUTELARES –</w:t>
      </w:r>
      <w:r w:rsidRPr="00656F7A">
        <w:rPr>
          <w:rFonts w:ascii="Arial" w:hAnsi="Arial" w:cs="Arial"/>
          <w:b/>
          <w:sz w:val="22"/>
        </w:rPr>
        <w:t xml:space="preserve"> </w:t>
      </w:r>
      <w:r>
        <w:rPr>
          <w:rFonts w:ascii="Arial" w:hAnsi="Arial" w:cs="Arial"/>
          <w:b/>
          <w:sz w:val="22"/>
        </w:rPr>
        <w:t>Secuestro</w:t>
      </w:r>
      <w:r>
        <w:rPr>
          <w:rFonts w:ascii="Arial" w:hAnsi="Arial" w:cs="Arial"/>
          <w:b/>
          <w:sz w:val="22"/>
        </w:rPr>
        <w:t xml:space="preserve"> – Noción</w:t>
      </w:r>
    </w:p>
    <w:p w14:paraId="6BAFAA80" w14:textId="77777777" w:rsidR="002105B4" w:rsidRDefault="002105B4" w:rsidP="002105B4">
      <w:pPr>
        <w:jc w:val="both"/>
        <w:rPr>
          <w:rFonts w:ascii="Arial" w:hAnsi="Arial" w:cs="Arial"/>
          <w:sz w:val="20"/>
          <w:szCs w:val="20"/>
        </w:rPr>
      </w:pPr>
    </w:p>
    <w:p w14:paraId="3758BDEC" w14:textId="24DB9C62" w:rsidR="00E51411" w:rsidRDefault="00C90E7D" w:rsidP="00C90E7D">
      <w:pPr>
        <w:jc w:val="both"/>
        <w:rPr>
          <w:rFonts w:ascii="Arial" w:hAnsi="Arial" w:cs="Arial"/>
          <w:b/>
          <w:sz w:val="22"/>
        </w:rPr>
      </w:pPr>
      <w:r w:rsidRPr="00C90E7D">
        <w:rPr>
          <w:rFonts w:ascii="Arial" w:hAnsi="Arial" w:cs="Arial"/>
          <w:sz w:val="20"/>
          <w:szCs w:val="20"/>
        </w:rPr>
        <w:t>Otro tipo de medida cautelar relevante para la consulta de la referencia es el secuestro, el cual es regulado por los artículos 2273 a 2281 del Código Civil y 595 del Código General del Proceso. El artículo 2273 define al secuestro como: «[…] el depósito de una cosa que se disputan dos o más individuos, en manos de otro que debe restituirla al que obtenga una decisión a su favor». Esta medida cautelar cumple importantes objetivos, pues además de garantizar la conservación del bien, impidiéndole a su propietario disponer libremente del predio, ya que «[…] existe aprehensión material del bien cautelado, que queda en manos del tercero</w:t>
      </w:r>
      <w:r w:rsidRPr="00C90E7D">
        <w:rPr>
          <w:rFonts w:ascii="Arial" w:hAnsi="Arial" w:cs="Arial"/>
          <w:sz w:val="20"/>
          <w:szCs w:val="20"/>
        </w:rPr>
        <w:t>»,</w:t>
      </w:r>
      <w:r w:rsidRPr="00C90E7D">
        <w:rPr>
          <w:rFonts w:ascii="Arial" w:hAnsi="Arial" w:cs="Arial"/>
          <w:sz w:val="20"/>
          <w:szCs w:val="20"/>
        </w:rPr>
        <w:t xml:space="preserve"> denominado secuestre, quien pasa ser el responsable de la administración del bien</w:t>
      </w:r>
      <w:r>
        <w:rPr>
          <w:rFonts w:ascii="Arial" w:hAnsi="Arial" w:cs="Arial"/>
          <w:sz w:val="20"/>
          <w:szCs w:val="20"/>
        </w:rPr>
        <w:t>.</w:t>
      </w:r>
    </w:p>
    <w:p w14:paraId="3BCD8342" w14:textId="37ABD96B" w:rsidR="009A3A77" w:rsidRDefault="009A3A77">
      <w:pPr>
        <w:spacing w:after="200" w:line="276" w:lineRule="auto"/>
        <w:rPr>
          <w:rFonts w:ascii="Arial" w:hAnsi="Arial" w:cs="Arial"/>
          <w:sz w:val="22"/>
        </w:rPr>
      </w:pPr>
      <w:r>
        <w:rPr>
          <w:rFonts w:ascii="Arial" w:hAnsi="Arial" w:cs="Arial"/>
          <w:sz w:val="22"/>
        </w:rPr>
        <w:br w:type="page"/>
      </w:r>
    </w:p>
    <w:p w14:paraId="231BE941" w14:textId="3CB16CF9" w:rsidR="003E6461" w:rsidRDefault="001B1A42" w:rsidP="00EB0BBE">
      <w:pPr>
        <w:rPr>
          <w:rFonts w:ascii="Arial" w:eastAsia="Calibri" w:hAnsi="Arial" w:cs="Arial"/>
          <w:sz w:val="22"/>
          <w:highlight w:val="yellow"/>
        </w:rPr>
      </w:pPr>
      <w:r w:rsidRPr="001B1A42">
        <w:rPr>
          <w:rFonts w:ascii="Arial" w:eastAsia="Calibri" w:hAnsi="Arial" w:cs="Arial"/>
          <w:noProof/>
          <w:sz w:val="22"/>
          <w:highlight w:val="yellow"/>
        </w:rPr>
        <w:lastRenderedPageBreak/>
        <w:drawing>
          <wp:anchor distT="0" distB="0" distL="114300" distR="114300" simplePos="0" relativeHeight="251658240" behindDoc="1" locked="0" layoutInCell="1" allowOverlap="1" wp14:anchorId="6CBAB4A6" wp14:editId="329D6E6C">
            <wp:simplePos x="0" y="0"/>
            <wp:positionH relativeFrom="margin">
              <wp:posOffset>3040083</wp:posOffset>
            </wp:positionH>
            <wp:positionV relativeFrom="paragraph">
              <wp:posOffset>-559930</wp:posOffset>
            </wp:positionV>
            <wp:extent cx="2639298" cy="65314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9298" cy="6531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FE28E0" w14:textId="6F91853D" w:rsidR="001B1A42" w:rsidRDefault="001B1A42" w:rsidP="00EB0BBE">
      <w:pPr>
        <w:rPr>
          <w:rFonts w:ascii="Arial" w:eastAsia="Calibri" w:hAnsi="Arial" w:cs="Arial"/>
          <w:sz w:val="22"/>
          <w:highlight w:val="yellow"/>
        </w:rPr>
      </w:pPr>
    </w:p>
    <w:p w14:paraId="29A790A6" w14:textId="77777777" w:rsidR="001B1A42" w:rsidRDefault="001B1A42" w:rsidP="00EB0BBE">
      <w:pPr>
        <w:rPr>
          <w:rFonts w:ascii="Arial" w:eastAsia="Calibri" w:hAnsi="Arial" w:cs="Arial"/>
          <w:sz w:val="22"/>
          <w:highlight w:val="yellow"/>
        </w:rPr>
      </w:pPr>
    </w:p>
    <w:p w14:paraId="68D8FAEB" w14:textId="7608656C" w:rsidR="001B1A42" w:rsidRDefault="001B1A42" w:rsidP="00EB0BBE">
      <w:pPr>
        <w:rPr>
          <w:rFonts w:ascii="Arial" w:eastAsia="Calibri" w:hAnsi="Arial" w:cs="Arial"/>
          <w:sz w:val="22"/>
          <w:highlight w:val="yellow"/>
        </w:rPr>
      </w:pPr>
      <w:r>
        <w:rPr>
          <w:rFonts w:ascii="ArialMT" w:eastAsia="ArialMT" w:cs="ArialMT"/>
          <w:color w:val="4E4D4D"/>
          <w:sz w:val="22"/>
          <w:lang w:val="es-CO"/>
        </w:rPr>
        <w:t>Bogot</w:t>
      </w:r>
      <w:r>
        <w:rPr>
          <w:rFonts w:ascii="ArialMT" w:eastAsia="ArialMT" w:cs="ArialMT" w:hint="eastAsia"/>
          <w:color w:val="4E4D4D"/>
          <w:sz w:val="22"/>
          <w:lang w:val="es-CO"/>
        </w:rPr>
        <w:t>á</w:t>
      </w:r>
      <w:r>
        <w:rPr>
          <w:rFonts w:ascii="ArialMT" w:eastAsia="ArialMT" w:cs="ArialMT"/>
          <w:color w:val="4E4D4D"/>
          <w:sz w:val="22"/>
          <w:lang w:val="es-CO"/>
        </w:rPr>
        <w:t>, 22 Abril 2022</w:t>
      </w:r>
    </w:p>
    <w:p w14:paraId="4E13C9F4" w14:textId="77777777" w:rsidR="001B1A42" w:rsidRPr="00F71B57" w:rsidRDefault="001B1A42" w:rsidP="00EB0BBE">
      <w:pPr>
        <w:rPr>
          <w:rFonts w:ascii="Arial" w:eastAsia="Calibri" w:hAnsi="Arial" w:cs="Arial"/>
          <w:sz w:val="22"/>
          <w:highlight w:val="yellow"/>
        </w:rPr>
      </w:pPr>
    </w:p>
    <w:p w14:paraId="1F3E67BB" w14:textId="00F3F068" w:rsidR="00AF1718" w:rsidRPr="001A11F5" w:rsidRDefault="001A11F5" w:rsidP="00EB0BBE">
      <w:pPr>
        <w:rPr>
          <w:rFonts w:ascii="Arial" w:eastAsia="Calibri" w:hAnsi="Arial" w:cs="Arial"/>
          <w:sz w:val="22"/>
        </w:rPr>
      </w:pPr>
      <w:r w:rsidRPr="001A11F5">
        <w:rPr>
          <w:rFonts w:ascii="Arial" w:eastAsia="Calibri" w:hAnsi="Arial" w:cs="Arial"/>
          <w:sz w:val="22"/>
        </w:rPr>
        <w:t>Señor</w:t>
      </w:r>
    </w:p>
    <w:p w14:paraId="0C4BCB54" w14:textId="6873D6B5" w:rsidR="00AF1718" w:rsidRPr="001A11F5" w:rsidRDefault="001A11F5" w:rsidP="00EB0BBE">
      <w:pPr>
        <w:rPr>
          <w:rFonts w:ascii="Arial" w:eastAsia="Calibri" w:hAnsi="Arial" w:cs="Arial"/>
          <w:b/>
          <w:bCs/>
          <w:sz w:val="22"/>
          <w:lang w:val="es-ES"/>
        </w:rPr>
      </w:pPr>
      <w:r w:rsidRPr="001A11F5">
        <w:rPr>
          <w:rFonts w:ascii="Arial" w:eastAsia="Calibri" w:hAnsi="Arial" w:cs="Arial"/>
          <w:b/>
          <w:bCs/>
          <w:sz w:val="22"/>
        </w:rPr>
        <w:t>Kevin Fernando Henao</w:t>
      </w:r>
      <w:r w:rsidR="00892B83" w:rsidRPr="001A11F5">
        <w:rPr>
          <w:rFonts w:ascii="Arial" w:eastAsia="Calibri" w:hAnsi="Arial" w:cs="Arial"/>
          <w:b/>
          <w:bCs/>
          <w:sz w:val="22"/>
        </w:rPr>
        <w:t xml:space="preserve">                                                        </w:t>
      </w:r>
    </w:p>
    <w:p w14:paraId="52C41654" w14:textId="0358B5B2" w:rsidR="00AF1718" w:rsidRDefault="001A11F5" w:rsidP="001A11F5">
      <w:pPr>
        <w:rPr>
          <w:rFonts w:ascii="Arial" w:eastAsia="Calibri" w:hAnsi="Arial" w:cs="Arial"/>
          <w:sz w:val="22"/>
        </w:rPr>
      </w:pPr>
      <w:r w:rsidRPr="001A11F5">
        <w:rPr>
          <w:rFonts w:ascii="Arial" w:eastAsia="Calibri" w:hAnsi="Arial" w:cs="Arial"/>
          <w:sz w:val="22"/>
          <w:lang w:val="es-ES"/>
        </w:rPr>
        <w:t>kev.fhm@gmail.com</w:t>
      </w:r>
    </w:p>
    <w:p w14:paraId="479972ED" w14:textId="77777777" w:rsidR="00AF1718" w:rsidRPr="003F6F8C" w:rsidRDefault="00AF1718" w:rsidP="00B67F3A">
      <w:pPr>
        <w:spacing w:line="276" w:lineRule="auto"/>
        <w:rPr>
          <w:rFonts w:ascii="Arial" w:eastAsia="Calibri" w:hAnsi="Arial" w:cs="Arial"/>
          <w:sz w:val="22"/>
        </w:rPr>
      </w:pPr>
    </w:p>
    <w:p w14:paraId="5D5D21AD" w14:textId="2ECB1351" w:rsidR="00DF5076" w:rsidRPr="003F6F8C" w:rsidRDefault="00C71C51" w:rsidP="00F71F33">
      <w:pPr>
        <w:jc w:val="center"/>
        <w:rPr>
          <w:rFonts w:ascii="Arial" w:eastAsia="Calibri" w:hAnsi="Arial" w:cs="Arial"/>
          <w:b/>
          <w:sz w:val="22"/>
        </w:rPr>
      </w:pPr>
      <w:r>
        <w:rPr>
          <w:rFonts w:ascii="Arial" w:eastAsia="Calibri" w:hAnsi="Arial" w:cs="Arial"/>
          <w:b/>
          <w:sz w:val="22"/>
        </w:rPr>
        <w:t>Concepto C</w:t>
      </w:r>
      <w:r w:rsidR="00967D10">
        <w:rPr>
          <w:rFonts w:ascii="Arial" w:eastAsia="Calibri" w:hAnsi="Arial" w:cs="Arial"/>
          <w:b/>
          <w:sz w:val="22"/>
        </w:rPr>
        <w:t xml:space="preserve"> –</w:t>
      </w:r>
      <w:r w:rsidR="00892B83">
        <w:rPr>
          <w:rFonts w:ascii="Arial" w:eastAsia="Calibri" w:hAnsi="Arial" w:cs="Arial"/>
          <w:b/>
          <w:sz w:val="22"/>
        </w:rPr>
        <w:t xml:space="preserve"> </w:t>
      </w:r>
      <w:r w:rsidR="009A3A77" w:rsidRPr="009A3A77">
        <w:rPr>
          <w:rFonts w:ascii="Arial" w:eastAsia="Calibri" w:hAnsi="Arial" w:cs="Arial"/>
          <w:b/>
          <w:sz w:val="22"/>
        </w:rPr>
        <w:t>214</w:t>
      </w:r>
      <w:r w:rsidRPr="009A3A77">
        <w:rPr>
          <w:rFonts w:ascii="Arial" w:eastAsia="Calibri" w:hAnsi="Arial" w:cs="Arial"/>
          <w:b/>
          <w:sz w:val="22"/>
        </w:rPr>
        <w:t xml:space="preserve"> </w:t>
      </w:r>
      <w:r w:rsidR="001A11F5" w:rsidRPr="001A11F5">
        <w:rPr>
          <w:rFonts w:ascii="Arial" w:eastAsia="Calibri" w:hAnsi="Arial" w:cs="Arial"/>
          <w:b/>
          <w:sz w:val="22"/>
        </w:rPr>
        <w:t>de 2022</w:t>
      </w:r>
    </w:p>
    <w:p w14:paraId="3E52E0FD" w14:textId="77777777" w:rsidR="00E92199" w:rsidRPr="003F6F8C" w:rsidRDefault="00E92199" w:rsidP="00B67F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3F6F8C" w14:paraId="00B1888F" w14:textId="77777777" w:rsidTr="004E51E3">
        <w:tc>
          <w:tcPr>
            <w:tcW w:w="2689" w:type="dxa"/>
            <w:hideMark/>
          </w:tcPr>
          <w:p w14:paraId="6531557F" w14:textId="1160258F" w:rsidR="00AF1718" w:rsidRPr="007F2E82" w:rsidRDefault="00AF1718" w:rsidP="007F2E82">
            <w:pPr>
              <w:jc w:val="both"/>
              <w:rPr>
                <w:rFonts w:ascii="Arial" w:eastAsia="Calibri" w:hAnsi="Arial" w:cs="Arial"/>
                <w:b/>
                <w:color w:val="000000" w:themeColor="text1"/>
                <w:sz w:val="22"/>
                <w:lang w:val="es-ES_tradnl" w:eastAsia="es-ES_tradnl"/>
              </w:rPr>
            </w:pPr>
            <w:r w:rsidRPr="007F2E82">
              <w:rPr>
                <w:rFonts w:ascii="Arial" w:eastAsia="Calibri" w:hAnsi="Arial" w:cs="Arial"/>
                <w:b/>
                <w:color w:val="000000" w:themeColor="text1"/>
                <w:sz w:val="22"/>
                <w:lang w:val="es-ES_tradnl" w:eastAsia="es-ES_tradnl"/>
              </w:rPr>
              <w:t xml:space="preserve">Temas: </w:t>
            </w:r>
          </w:p>
        </w:tc>
        <w:tc>
          <w:tcPr>
            <w:tcW w:w="6237" w:type="dxa"/>
            <w:hideMark/>
          </w:tcPr>
          <w:p w14:paraId="30A9E48B" w14:textId="296CD9BA" w:rsidR="000261BB" w:rsidRPr="00F73D35" w:rsidRDefault="009A0EF8" w:rsidP="00F73D35">
            <w:pPr>
              <w:widowControl w:val="0"/>
              <w:autoSpaceDE w:val="0"/>
              <w:autoSpaceDN w:val="0"/>
              <w:adjustRightInd w:val="0"/>
              <w:spacing w:line="300" w:lineRule="atLeast"/>
              <w:jc w:val="both"/>
              <w:rPr>
                <w:rFonts w:ascii="Arial" w:hAnsi="Arial" w:cs="Arial"/>
                <w:color w:val="000000" w:themeColor="text1"/>
                <w:sz w:val="22"/>
                <w:lang w:val="es-ES_tradnl"/>
              </w:rPr>
            </w:pPr>
            <w:r w:rsidRPr="00F73D35">
              <w:rPr>
                <w:rFonts w:ascii="Arial" w:hAnsi="Arial" w:cs="Arial"/>
                <w:color w:val="000000" w:themeColor="text1"/>
                <w:sz w:val="22"/>
                <w:lang w:val="es-ES_tradnl"/>
              </w:rPr>
              <w:t>CONTRATO DE ARRENDAMIENTO – Contrato estatal – Regulación – Bienes fiscales</w:t>
            </w:r>
            <w:r w:rsidR="00460793" w:rsidRPr="00F73D35">
              <w:rPr>
                <w:rFonts w:ascii="Arial" w:hAnsi="Arial" w:cs="Arial"/>
                <w:color w:val="000000" w:themeColor="text1"/>
                <w:sz w:val="22"/>
                <w:lang w:val="es-ES_tradnl"/>
              </w:rPr>
              <w:t xml:space="preserve"> / </w:t>
            </w:r>
            <w:r w:rsidRPr="00F73D35">
              <w:rPr>
                <w:rFonts w:ascii="Arial" w:hAnsi="Arial" w:cs="Arial"/>
                <w:color w:val="000000" w:themeColor="text1"/>
                <w:sz w:val="22"/>
                <w:lang w:val="es-ES_tradnl"/>
              </w:rPr>
              <w:t xml:space="preserve">CONTRATO DE ARRENDAMIENTO – Concepto – Elementos </w:t>
            </w:r>
            <w:r w:rsidR="00E92199" w:rsidRPr="00F73D35">
              <w:rPr>
                <w:rFonts w:ascii="Arial" w:hAnsi="Arial" w:cs="Arial"/>
                <w:color w:val="000000" w:themeColor="text1"/>
                <w:sz w:val="22"/>
                <w:lang w:val="es-ES_tradnl"/>
              </w:rPr>
              <w:t xml:space="preserve">/ </w:t>
            </w:r>
            <w:r w:rsidR="001A11F5" w:rsidRPr="00F73D35">
              <w:rPr>
                <w:rFonts w:ascii="Arial" w:hAnsi="Arial" w:cs="Arial"/>
                <w:color w:val="000000" w:themeColor="text1"/>
                <w:sz w:val="22"/>
                <w:lang w:val="es-ES_tradnl"/>
              </w:rPr>
              <w:t>CONTRATO DE ARRENDAMIENTO</w:t>
            </w:r>
            <w:r w:rsidR="002D63A0">
              <w:rPr>
                <w:rFonts w:ascii="Arial" w:hAnsi="Arial" w:cs="Arial"/>
                <w:color w:val="000000" w:themeColor="text1"/>
                <w:sz w:val="22"/>
                <w:lang w:val="es-ES_tradnl"/>
              </w:rPr>
              <w:t xml:space="preserve"> </w:t>
            </w:r>
            <w:r w:rsidR="001A11F5" w:rsidRPr="00F73D35">
              <w:rPr>
                <w:rFonts w:ascii="Arial" w:hAnsi="Arial" w:cs="Arial"/>
                <w:color w:val="000000" w:themeColor="text1"/>
                <w:sz w:val="22"/>
                <w:lang w:val="es-ES_tradnl"/>
              </w:rPr>
              <w:t xml:space="preserve">- Bienes inmuebles </w:t>
            </w:r>
            <w:r w:rsidR="002D63A0">
              <w:rPr>
                <w:rFonts w:ascii="Arial" w:hAnsi="Arial" w:cs="Arial"/>
                <w:color w:val="000000" w:themeColor="text1"/>
                <w:sz w:val="22"/>
                <w:lang w:val="es-ES_tradnl"/>
              </w:rPr>
              <w:t>/ MEDIDAS CAUTELARES – Embargo – Noción / MEDIDAS CAUTELARES – Secuestro - Noción</w:t>
            </w:r>
          </w:p>
        </w:tc>
      </w:tr>
      <w:tr w:rsidR="00AF1718" w:rsidRPr="009A4A28" w14:paraId="0E180394" w14:textId="77777777" w:rsidTr="004E51E3">
        <w:tc>
          <w:tcPr>
            <w:tcW w:w="2689" w:type="dxa"/>
          </w:tcPr>
          <w:p w14:paraId="35D0842E" w14:textId="479A2990" w:rsidR="00AF1718" w:rsidRPr="007F2E82" w:rsidRDefault="00AF1718" w:rsidP="007F2E82">
            <w:pPr>
              <w:jc w:val="both"/>
              <w:rPr>
                <w:rFonts w:ascii="Arial" w:eastAsia="Calibri" w:hAnsi="Arial" w:cs="Arial"/>
                <w:b/>
                <w:color w:val="000000" w:themeColor="text1"/>
                <w:sz w:val="22"/>
                <w:lang w:val="es-ES_tradnl" w:eastAsia="es-ES_tradnl"/>
              </w:rPr>
            </w:pPr>
            <w:r w:rsidRPr="007F2E82">
              <w:rPr>
                <w:rFonts w:ascii="Arial" w:eastAsia="Calibri" w:hAnsi="Arial" w:cs="Arial"/>
                <w:b/>
                <w:color w:val="000000" w:themeColor="text1"/>
                <w:sz w:val="22"/>
                <w:lang w:val="es-ES_tradnl" w:eastAsia="es-ES_tradnl"/>
              </w:rPr>
              <w:t>Radicación:</w:t>
            </w:r>
          </w:p>
        </w:tc>
        <w:tc>
          <w:tcPr>
            <w:tcW w:w="6237" w:type="dxa"/>
          </w:tcPr>
          <w:p w14:paraId="1B6BB553" w14:textId="765BF970" w:rsidR="00AF1718" w:rsidRPr="00F73D35" w:rsidRDefault="00FF6BBB" w:rsidP="00F73D35">
            <w:pPr>
              <w:widowControl w:val="0"/>
              <w:autoSpaceDE w:val="0"/>
              <w:autoSpaceDN w:val="0"/>
              <w:adjustRightInd w:val="0"/>
              <w:spacing w:line="300" w:lineRule="atLeast"/>
              <w:jc w:val="both"/>
              <w:rPr>
                <w:rFonts w:ascii="Arial" w:hAnsi="Arial" w:cs="Arial"/>
                <w:color w:val="000000" w:themeColor="text1"/>
                <w:sz w:val="22"/>
                <w:lang w:val="es-ES_tradnl"/>
              </w:rPr>
            </w:pPr>
            <w:r w:rsidRPr="00F73D35">
              <w:rPr>
                <w:rFonts w:ascii="Arial" w:hAnsi="Arial" w:cs="Arial"/>
                <w:color w:val="000000" w:themeColor="text1"/>
                <w:sz w:val="22"/>
                <w:lang w:val="es-ES_tradnl"/>
              </w:rPr>
              <w:t xml:space="preserve">Respuesta a </w:t>
            </w:r>
            <w:r w:rsidR="000261BB" w:rsidRPr="00F73D35">
              <w:rPr>
                <w:rFonts w:ascii="Arial" w:hAnsi="Arial" w:cs="Arial"/>
                <w:color w:val="000000" w:themeColor="text1"/>
                <w:sz w:val="22"/>
                <w:lang w:val="es-ES_tradnl"/>
              </w:rPr>
              <w:t xml:space="preserve">la </w:t>
            </w:r>
            <w:r w:rsidRPr="00F73D35">
              <w:rPr>
                <w:rFonts w:ascii="Arial" w:hAnsi="Arial" w:cs="Arial"/>
                <w:color w:val="000000" w:themeColor="text1"/>
                <w:sz w:val="22"/>
                <w:lang w:val="es-ES_tradnl"/>
              </w:rPr>
              <w:t>consulta</w:t>
            </w:r>
            <w:r w:rsidR="00AF1718" w:rsidRPr="00F73D35">
              <w:rPr>
                <w:rFonts w:ascii="Arial" w:hAnsi="Arial" w:cs="Arial"/>
                <w:color w:val="000000" w:themeColor="text1"/>
                <w:sz w:val="22"/>
                <w:lang w:val="es-ES_tradnl"/>
              </w:rPr>
              <w:t xml:space="preserve"> # </w:t>
            </w:r>
            <w:r w:rsidR="00E1233F" w:rsidRPr="00F73D35">
              <w:rPr>
                <w:rFonts w:ascii="Arial" w:hAnsi="Arial" w:cs="Arial"/>
                <w:color w:val="000000" w:themeColor="text1"/>
                <w:sz w:val="22"/>
                <w:lang w:val="es-ES_tradnl"/>
              </w:rPr>
              <w:t>P20220307002187</w:t>
            </w:r>
          </w:p>
        </w:tc>
      </w:tr>
    </w:tbl>
    <w:p w14:paraId="5032701F" w14:textId="548DDDB5" w:rsidR="00E658C9" w:rsidRDefault="00E658C9" w:rsidP="00B67F3A">
      <w:pPr>
        <w:spacing w:line="276" w:lineRule="auto"/>
        <w:rPr>
          <w:rFonts w:ascii="Arial" w:eastAsia="Calibri" w:hAnsi="Arial" w:cs="Arial"/>
          <w:sz w:val="22"/>
        </w:rPr>
      </w:pPr>
    </w:p>
    <w:p w14:paraId="330D2A6B" w14:textId="77777777" w:rsidR="000261BB" w:rsidRDefault="000261BB" w:rsidP="00BF2AB3">
      <w:pPr>
        <w:spacing w:line="276" w:lineRule="auto"/>
        <w:rPr>
          <w:rFonts w:ascii="Arial" w:eastAsia="Calibri" w:hAnsi="Arial" w:cs="Arial"/>
          <w:sz w:val="22"/>
        </w:rPr>
      </w:pPr>
    </w:p>
    <w:p w14:paraId="5585167A" w14:textId="43664228" w:rsidR="00B20EEE" w:rsidRPr="00AF1718" w:rsidRDefault="00E1233F" w:rsidP="00145C2E">
      <w:pPr>
        <w:spacing w:after="120" w:line="276" w:lineRule="auto"/>
        <w:rPr>
          <w:rFonts w:ascii="Arial" w:eastAsia="Calibri" w:hAnsi="Arial" w:cs="Arial"/>
          <w:sz w:val="22"/>
        </w:rPr>
      </w:pPr>
      <w:r w:rsidRPr="00E1233F">
        <w:rPr>
          <w:rFonts w:ascii="Arial" w:eastAsia="Calibri" w:hAnsi="Arial" w:cs="Arial"/>
          <w:sz w:val="22"/>
        </w:rPr>
        <w:t>Estimado señor Henao:</w:t>
      </w:r>
    </w:p>
    <w:p w14:paraId="08C8CA6B" w14:textId="34967E71" w:rsidR="00AF1718" w:rsidRPr="00AF1718" w:rsidRDefault="00AF1718" w:rsidP="0059750E">
      <w:pPr>
        <w:spacing w:line="276" w:lineRule="auto"/>
        <w:jc w:val="both"/>
        <w:rPr>
          <w:rFonts w:ascii="Arial" w:eastAsia="Calibri" w:hAnsi="Arial" w:cs="Arial"/>
          <w:sz w:val="22"/>
        </w:rPr>
      </w:pPr>
      <w:r w:rsidRPr="00AF1718">
        <w:rPr>
          <w:rFonts w:ascii="Arial" w:eastAsia="Calibri" w:hAnsi="Arial" w:cs="Arial"/>
          <w:sz w:val="22"/>
        </w:rPr>
        <w:t>En ejercicio de la competencia otorgada por el numeral 8 del artículo 11 y el numeral 5 del artícul</w:t>
      </w:r>
      <w:r w:rsidR="00E1233F">
        <w:rPr>
          <w:rFonts w:ascii="Arial" w:eastAsia="Calibri" w:hAnsi="Arial" w:cs="Arial"/>
          <w:sz w:val="22"/>
        </w:rPr>
        <w:t>o 3 del Decreto Ley 4170 de 2011</w:t>
      </w:r>
      <w:r w:rsidRPr="00AF1718">
        <w:rPr>
          <w:rFonts w:ascii="Arial" w:eastAsia="Calibri" w:hAnsi="Arial" w:cs="Arial"/>
          <w:sz w:val="22"/>
        </w:rPr>
        <w:t>, la Agencia Nacional de Contratación Pública – Colombia Compra Eficien</w:t>
      </w:r>
      <w:r w:rsidR="004F2FA6">
        <w:rPr>
          <w:rFonts w:ascii="Arial" w:eastAsia="Calibri" w:hAnsi="Arial" w:cs="Arial"/>
          <w:sz w:val="22"/>
        </w:rPr>
        <w:t xml:space="preserve">te responde su </w:t>
      </w:r>
      <w:r w:rsidR="004F2FA6" w:rsidRPr="00E1233F">
        <w:rPr>
          <w:rFonts w:ascii="Arial" w:eastAsia="Calibri" w:hAnsi="Arial" w:cs="Arial"/>
          <w:sz w:val="22"/>
        </w:rPr>
        <w:t xml:space="preserve">consulta del </w:t>
      </w:r>
      <w:r w:rsidR="00E1233F" w:rsidRPr="00E1233F">
        <w:rPr>
          <w:rFonts w:ascii="Arial" w:eastAsia="Calibri" w:hAnsi="Arial" w:cs="Arial"/>
          <w:sz w:val="22"/>
        </w:rPr>
        <w:t>07</w:t>
      </w:r>
      <w:r w:rsidR="005F0274" w:rsidRPr="00E1233F">
        <w:rPr>
          <w:rFonts w:ascii="Arial" w:eastAsia="Calibri" w:hAnsi="Arial" w:cs="Arial"/>
          <w:sz w:val="22"/>
        </w:rPr>
        <w:t xml:space="preserve"> de</w:t>
      </w:r>
      <w:r w:rsidR="00E1233F" w:rsidRPr="00E1233F">
        <w:rPr>
          <w:rFonts w:ascii="Arial" w:eastAsia="Calibri" w:hAnsi="Arial" w:cs="Arial"/>
          <w:sz w:val="22"/>
        </w:rPr>
        <w:t xml:space="preserve"> marzo</w:t>
      </w:r>
      <w:r w:rsidR="00146306" w:rsidRPr="00E1233F">
        <w:rPr>
          <w:rFonts w:ascii="Arial" w:eastAsia="Calibri" w:hAnsi="Arial" w:cs="Arial"/>
          <w:sz w:val="22"/>
        </w:rPr>
        <w:t xml:space="preserve"> </w:t>
      </w:r>
      <w:r w:rsidR="00E1233F" w:rsidRPr="00E1233F">
        <w:rPr>
          <w:rFonts w:ascii="Arial" w:eastAsia="Calibri" w:hAnsi="Arial" w:cs="Arial"/>
          <w:sz w:val="22"/>
        </w:rPr>
        <w:t>de 2022</w:t>
      </w:r>
      <w:r w:rsidR="00A002DA" w:rsidRPr="00E1233F">
        <w:rPr>
          <w:rFonts w:ascii="Arial" w:eastAsia="Calibri" w:hAnsi="Arial" w:cs="Arial"/>
          <w:sz w:val="22"/>
        </w:rPr>
        <w:t>.</w:t>
      </w:r>
    </w:p>
    <w:p w14:paraId="1A0A2BD6" w14:textId="77777777" w:rsidR="00AF1718" w:rsidRPr="009A4A28" w:rsidRDefault="00AF1718" w:rsidP="0059750E">
      <w:pPr>
        <w:spacing w:line="276" w:lineRule="auto"/>
        <w:jc w:val="both"/>
        <w:rPr>
          <w:rFonts w:ascii="Arial" w:eastAsia="Calibri" w:hAnsi="Arial" w:cs="Arial"/>
        </w:rPr>
      </w:pPr>
    </w:p>
    <w:p w14:paraId="269B720F" w14:textId="42FCF7F8" w:rsidR="00722C4F" w:rsidRDefault="00AF1718" w:rsidP="0059750E">
      <w:pPr>
        <w:pStyle w:val="Prrafodelista"/>
        <w:numPr>
          <w:ilvl w:val="0"/>
          <w:numId w:val="33"/>
        </w:numPr>
        <w:tabs>
          <w:tab w:val="left" w:pos="284"/>
        </w:tabs>
        <w:spacing w:line="276" w:lineRule="auto"/>
        <w:ind w:left="360"/>
        <w:jc w:val="both"/>
        <w:rPr>
          <w:rFonts w:ascii="Arial" w:eastAsia="Calibri" w:hAnsi="Arial" w:cs="Arial"/>
          <w:b/>
          <w:sz w:val="22"/>
        </w:rPr>
      </w:pPr>
      <w:r w:rsidRPr="003F6F8C">
        <w:rPr>
          <w:rFonts w:ascii="Arial" w:eastAsia="Calibri" w:hAnsi="Arial" w:cs="Arial"/>
          <w:b/>
          <w:sz w:val="22"/>
        </w:rPr>
        <w:t>Problema</w:t>
      </w:r>
      <w:r w:rsidR="00E51411">
        <w:rPr>
          <w:rFonts w:ascii="Arial" w:eastAsia="Calibri" w:hAnsi="Arial" w:cs="Arial"/>
          <w:b/>
          <w:sz w:val="22"/>
        </w:rPr>
        <w:t>s</w:t>
      </w:r>
      <w:r w:rsidRPr="003F6F8C">
        <w:rPr>
          <w:rFonts w:ascii="Arial" w:eastAsia="Calibri" w:hAnsi="Arial" w:cs="Arial"/>
          <w:b/>
          <w:sz w:val="22"/>
        </w:rPr>
        <w:t xml:space="preserve"> planteado</w:t>
      </w:r>
      <w:bookmarkStart w:id="2" w:name="_Hlk68679800"/>
      <w:r w:rsidR="00E51411">
        <w:rPr>
          <w:rFonts w:ascii="Arial" w:eastAsia="Calibri" w:hAnsi="Arial" w:cs="Arial"/>
          <w:b/>
          <w:sz w:val="22"/>
        </w:rPr>
        <w:t>s</w:t>
      </w:r>
    </w:p>
    <w:p w14:paraId="616B73D6" w14:textId="77777777" w:rsidR="00440BFC" w:rsidRPr="0059750E" w:rsidRDefault="00440BFC" w:rsidP="0059750E">
      <w:pPr>
        <w:tabs>
          <w:tab w:val="left" w:pos="284"/>
        </w:tabs>
        <w:spacing w:line="276" w:lineRule="auto"/>
        <w:jc w:val="both"/>
        <w:rPr>
          <w:rFonts w:ascii="Arial" w:eastAsia="Calibri" w:hAnsi="Arial" w:cs="Arial"/>
          <w:b/>
          <w:sz w:val="22"/>
        </w:rPr>
      </w:pPr>
    </w:p>
    <w:p w14:paraId="46B94649" w14:textId="6F8BAD01" w:rsidR="00172E61" w:rsidRDefault="003B0B8D" w:rsidP="00672538">
      <w:pPr>
        <w:spacing w:line="276" w:lineRule="auto"/>
        <w:jc w:val="both"/>
        <w:rPr>
          <w:rFonts w:ascii="Arial" w:eastAsia="Calibri" w:hAnsi="Arial" w:cs="Arial"/>
          <w:sz w:val="22"/>
        </w:rPr>
      </w:pPr>
      <w:r>
        <w:rPr>
          <w:rFonts w:ascii="Arial" w:eastAsia="Calibri" w:hAnsi="Arial" w:cs="Arial"/>
          <w:sz w:val="22"/>
        </w:rPr>
        <w:t>En</w:t>
      </w:r>
      <w:r w:rsidR="00F2227D">
        <w:rPr>
          <w:rFonts w:ascii="Arial" w:eastAsia="Calibri" w:hAnsi="Arial" w:cs="Arial"/>
          <w:sz w:val="22"/>
        </w:rPr>
        <w:t xml:space="preserve"> relación con el contrato de arrendamiento </w:t>
      </w:r>
      <w:r w:rsidR="008D626F">
        <w:rPr>
          <w:rFonts w:ascii="Arial" w:eastAsia="Calibri" w:hAnsi="Arial" w:cs="Arial"/>
          <w:sz w:val="22"/>
        </w:rPr>
        <w:t>de bienes inmuebles,</w:t>
      </w:r>
      <w:r w:rsidR="00495B88">
        <w:rPr>
          <w:rFonts w:ascii="Arial" w:eastAsia="Calibri" w:hAnsi="Arial" w:cs="Arial"/>
          <w:sz w:val="22"/>
        </w:rPr>
        <w:t xml:space="preserve"> </w:t>
      </w:r>
      <w:r w:rsidR="00672538">
        <w:rPr>
          <w:rFonts w:ascii="Arial" w:eastAsia="Calibri" w:hAnsi="Arial" w:cs="Arial"/>
          <w:sz w:val="22"/>
        </w:rPr>
        <w:t xml:space="preserve">usted realiza la siguiente consulta: </w:t>
      </w:r>
    </w:p>
    <w:p w14:paraId="7E46F76E" w14:textId="79071BF1" w:rsidR="00892B83" w:rsidRPr="00A87250" w:rsidRDefault="00892B83" w:rsidP="00672538">
      <w:pPr>
        <w:spacing w:line="276" w:lineRule="auto"/>
        <w:jc w:val="both"/>
        <w:rPr>
          <w:rFonts w:ascii="Arial" w:eastAsia="Calibri" w:hAnsi="Arial" w:cs="Arial"/>
          <w:sz w:val="21"/>
          <w:szCs w:val="21"/>
        </w:rPr>
      </w:pPr>
    </w:p>
    <w:p w14:paraId="0D051550" w14:textId="7190668E" w:rsidR="00D73D9F" w:rsidRDefault="00A87250" w:rsidP="00D36B0C">
      <w:pPr>
        <w:ind w:left="709" w:right="709"/>
        <w:jc w:val="both"/>
        <w:rPr>
          <w:rFonts w:ascii="Arial" w:eastAsia="Calibri" w:hAnsi="Arial" w:cs="Arial"/>
          <w:sz w:val="21"/>
          <w:szCs w:val="21"/>
        </w:rPr>
      </w:pPr>
      <w:r w:rsidRPr="00A87250">
        <w:rPr>
          <w:rFonts w:ascii="Arial" w:eastAsia="Calibri" w:hAnsi="Arial" w:cs="Arial"/>
          <w:sz w:val="21"/>
          <w:szCs w:val="21"/>
        </w:rPr>
        <w:t>«</w:t>
      </w:r>
      <w:r w:rsidR="00574F1D">
        <w:rPr>
          <w:rFonts w:ascii="Arial" w:hAnsi="Arial" w:cs="Arial"/>
          <w:sz w:val="21"/>
          <w:szCs w:val="21"/>
        </w:rPr>
        <w:t xml:space="preserve">[…] </w:t>
      </w:r>
      <w:r w:rsidRPr="00A87250">
        <w:rPr>
          <w:rFonts w:ascii="Arial" w:hAnsi="Arial" w:cs="Arial"/>
          <w:sz w:val="21"/>
          <w:szCs w:val="21"/>
        </w:rPr>
        <w:t>¿Cuáles son los requisitos que exige la norma general a las entidades estatales para llevar a cabo la contratación directa por causal de arrendamiento contemplada en el literal i), numeral 4º, artículo 2º de la Ley 1150 de 2007? ¿Impone la norma general como requisito que el inmueble a ser tomado bajo arriendo no tenga algún tipo medida cautelar como lo es un embargo?</w:t>
      </w:r>
      <w:r w:rsidRPr="00A87250">
        <w:rPr>
          <w:rFonts w:ascii="Arial" w:eastAsia="Calibri" w:hAnsi="Arial" w:cs="Arial"/>
          <w:sz w:val="21"/>
          <w:szCs w:val="21"/>
        </w:rPr>
        <w:t>»</w:t>
      </w:r>
      <w:r w:rsidR="00574F1D">
        <w:rPr>
          <w:rFonts w:ascii="Arial" w:eastAsia="Calibri" w:hAnsi="Arial" w:cs="Arial"/>
          <w:sz w:val="21"/>
          <w:szCs w:val="21"/>
        </w:rPr>
        <w:t>.</w:t>
      </w:r>
    </w:p>
    <w:p w14:paraId="31A2DCC8" w14:textId="77777777" w:rsidR="00A87250" w:rsidRPr="00A87250" w:rsidRDefault="00A87250" w:rsidP="0059750E">
      <w:pPr>
        <w:shd w:val="clear" w:color="auto" w:fill="FFFFFF"/>
        <w:spacing w:line="276" w:lineRule="auto"/>
        <w:ind w:left="709" w:right="709"/>
        <w:jc w:val="both"/>
        <w:rPr>
          <w:rFonts w:ascii="Arial" w:hAnsi="Arial" w:cs="Arial"/>
          <w:color w:val="0D0D0D"/>
          <w:sz w:val="21"/>
          <w:szCs w:val="21"/>
          <w:bdr w:val="none" w:sz="0" w:space="0" w:color="auto" w:frame="1"/>
          <w:lang w:eastAsia="es-CO"/>
        </w:rPr>
      </w:pPr>
    </w:p>
    <w:bookmarkEnd w:id="2"/>
    <w:p w14:paraId="1BB295BA" w14:textId="479A9D07" w:rsidR="00722C4F" w:rsidRDefault="00E7138C" w:rsidP="0059750E">
      <w:pPr>
        <w:spacing w:line="276" w:lineRule="auto"/>
        <w:jc w:val="both"/>
        <w:rPr>
          <w:rFonts w:ascii="Arial" w:eastAsia="Calibri" w:hAnsi="Arial" w:cs="Arial"/>
          <w:b/>
          <w:sz w:val="22"/>
        </w:rPr>
      </w:pPr>
      <w:r w:rsidRPr="001E1DB9">
        <w:rPr>
          <w:rFonts w:ascii="Arial" w:eastAsia="Calibri" w:hAnsi="Arial" w:cs="Arial"/>
          <w:b/>
          <w:sz w:val="22"/>
        </w:rPr>
        <w:t xml:space="preserve">2. </w:t>
      </w:r>
      <w:r w:rsidR="00817EA3" w:rsidRPr="001E1DB9">
        <w:rPr>
          <w:rFonts w:ascii="Arial" w:eastAsia="Calibri" w:hAnsi="Arial" w:cs="Arial"/>
          <w:b/>
          <w:sz w:val="22"/>
        </w:rPr>
        <w:t>C</w:t>
      </w:r>
      <w:r w:rsidRPr="001E1DB9">
        <w:rPr>
          <w:rFonts w:ascii="Arial" w:eastAsia="Calibri" w:hAnsi="Arial" w:cs="Arial"/>
          <w:b/>
          <w:sz w:val="22"/>
        </w:rPr>
        <w:t>onsideraciones</w:t>
      </w:r>
    </w:p>
    <w:p w14:paraId="4506F692" w14:textId="77777777" w:rsidR="009734F2" w:rsidRPr="005873AF" w:rsidRDefault="009734F2" w:rsidP="009734F2">
      <w:pPr>
        <w:spacing w:after="120" w:line="276" w:lineRule="auto"/>
        <w:jc w:val="both"/>
        <w:rPr>
          <w:rFonts w:ascii="Arial" w:hAnsi="Arial" w:cs="Arial"/>
          <w:bCs/>
          <w:color w:val="000000" w:themeColor="text1"/>
          <w:sz w:val="22"/>
        </w:rPr>
      </w:pPr>
      <w:r w:rsidRPr="005873AF">
        <w:rPr>
          <w:rFonts w:ascii="Arial" w:hAnsi="Arial" w:cs="Arial"/>
          <w:bCs/>
          <w:color w:val="000000" w:themeColor="text1"/>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3" w:name="_Hlk61701014"/>
      <w:bookmarkStart w:id="4" w:name="_Hlk62136649"/>
      <w:r w:rsidRPr="005873AF">
        <w:rPr>
          <w:rFonts w:ascii="Arial" w:hAnsi="Arial" w:cs="Arial"/>
          <w:bCs/>
          <w:color w:val="000000" w:themeColor="text1"/>
          <w:sz w:val="22"/>
        </w:rPr>
        <w:t xml:space="preserve"> </w:t>
      </w:r>
      <w:r w:rsidRPr="005873AF">
        <w:rPr>
          <w:rFonts w:ascii="Arial" w:hAnsi="Arial" w:cs="Arial"/>
          <w:color w:val="000000" w:themeColor="text1"/>
          <w:sz w:val="22"/>
          <w:lang w:val="es-ES"/>
        </w:rPr>
        <w:t xml:space="preserve">Es necesario tener en cuenta que </w:t>
      </w:r>
      <w:bookmarkStart w:id="5" w:name="_Hlk61026958"/>
      <w:r w:rsidRPr="005873AF">
        <w:rPr>
          <w:rFonts w:ascii="Arial" w:hAnsi="Arial" w:cs="Arial"/>
          <w:color w:val="000000" w:themeColor="text1"/>
          <w:sz w:val="22"/>
          <w:lang w:val="es-ES"/>
        </w:rPr>
        <w:t xml:space="preserve">esta entidad solo tiene competencia para responder </w:t>
      </w:r>
      <w:r w:rsidRPr="005873AF">
        <w:rPr>
          <w:rFonts w:ascii="Arial" w:hAnsi="Arial" w:cs="Arial"/>
          <w:color w:val="000000" w:themeColor="text1"/>
          <w:sz w:val="22"/>
          <w:lang w:val="es-ES"/>
        </w:rPr>
        <w:lastRenderedPageBreak/>
        <w:t>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873AF">
        <w:rPr>
          <w:rFonts w:ascii="Arial" w:hAnsi="Arial" w:cs="Arial"/>
          <w:bCs/>
          <w:color w:val="000000" w:themeColor="text1"/>
          <w:sz w:val="22"/>
        </w:rPr>
        <w:t xml:space="preserve"> de todos los partícipes de la contratación estatal.</w:t>
      </w:r>
    </w:p>
    <w:p w14:paraId="372E07DF" w14:textId="77777777" w:rsidR="009734F2" w:rsidRDefault="009734F2" w:rsidP="009734F2">
      <w:pPr>
        <w:spacing w:after="120" w:line="276" w:lineRule="auto"/>
        <w:ind w:firstLine="708"/>
        <w:jc w:val="both"/>
        <w:rPr>
          <w:rFonts w:ascii="Arial" w:hAnsi="Arial" w:cs="Arial"/>
          <w:color w:val="000000" w:themeColor="text1"/>
          <w:sz w:val="22"/>
          <w:lang w:val="es-ES"/>
        </w:rPr>
      </w:pPr>
      <w:r w:rsidRPr="005873AF">
        <w:rPr>
          <w:rFonts w:ascii="Arial" w:hAnsi="Arial" w:cs="Arial"/>
          <w:color w:val="000000" w:themeColor="text1"/>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873AF">
        <w:rPr>
          <w:rFonts w:ascii="Arial" w:hAnsi="Arial" w:cs="Arial"/>
          <w:color w:val="000000" w:themeColor="text1"/>
          <w:sz w:val="22"/>
          <w:vertAlign w:val="superscript"/>
          <w:lang w:val="es-ES"/>
        </w:rPr>
        <w:footnoteReference w:id="1"/>
      </w:r>
      <w:r w:rsidRPr="005873AF">
        <w:rPr>
          <w:rFonts w:ascii="Arial" w:hAnsi="Arial" w:cs="Arial"/>
          <w:color w:val="000000" w:themeColor="text1"/>
          <w:sz w:val="22"/>
          <w:lang w:val="es-ES"/>
        </w:rPr>
        <w:t>. Esta competencia de interpretación de normas generales</w:t>
      </w:r>
      <w:r>
        <w:rPr>
          <w:rFonts w:ascii="Arial" w:hAnsi="Arial" w:cs="Arial"/>
          <w:color w:val="000000" w:themeColor="text1"/>
          <w:sz w:val="22"/>
          <w:lang w:val="es-ES"/>
        </w:rPr>
        <w:t xml:space="preserve"> </w:t>
      </w:r>
      <w:r w:rsidRPr="005873AF">
        <w:rPr>
          <w:rFonts w:ascii="Arial" w:hAnsi="Arial" w:cs="Arial"/>
          <w:color w:val="000000" w:themeColor="text1"/>
          <w:sz w:val="22"/>
          <w:lang w:val="es-ES"/>
        </w:rPr>
        <w:t>no puede extenderse a la resolución de controversias, ni a brindar asesorías sobre casos puntuales.</w:t>
      </w:r>
      <w:bookmarkEnd w:id="5"/>
      <w:r w:rsidRPr="005873AF">
        <w:rPr>
          <w:rFonts w:ascii="Arial" w:hAnsi="Arial" w:cs="Arial"/>
          <w:color w:val="000000" w:themeColor="text1"/>
          <w:sz w:val="22"/>
          <w:lang w:val="es-ES"/>
        </w:rPr>
        <w:t xml:space="preserve"> En este contexto, previo concepto de sus órganos asesores, la solución de estos temas corresponde a la entidad que adelanta el procedimiento de selección y, en caso de conflicto, a las autoridades judiciales, fiscales y disciplinarias. </w:t>
      </w:r>
      <w:bookmarkEnd w:id="3"/>
      <w:bookmarkEnd w:id="4"/>
    </w:p>
    <w:p w14:paraId="6AB1DD89" w14:textId="2F288E30" w:rsidR="008D626F" w:rsidRDefault="009734F2" w:rsidP="00D36B0C">
      <w:pPr>
        <w:spacing w:after="120" w:line="276" w:lineRule="auto"/>
        <w:ind w:firstLine="708"/>
        <w:jc w:val="both"/>
        <w:rPr>
          <w:rFonts w:ascii="Arial" w:eastAsia="Calibri" w:hAnsi="Arial" w:cs="Arial"/>
          <w:sz w:val="22"/>
        </w:rPr>
      </w:pPr>
      <w:r>
        <w:rPr>
          <w:rFonts w:ascii="Arial" w:eastAsia="Calibri" w:hAnsi="Arial" w:cs="Arial"/>
          <w:sz w:val="22"/>
        </w:rPr>
        <w:t>Conforme a lo anterior</w:t>
      </w:r>
      <w:r w:rsidR="00321A6D" w:rsidRPr="00B86532">
        <w:rPr>
          <w:rFonts w:ascii="Arial" w:eastAsia="Calibri" w:hAnsi="Arial" w:cs="Arial"/>
          <w:sz w:val="22"/>
        </w:rPr>
        <w:t>,</w:t>
      </w:r>
      <w:r>
        <w:rPr>
          <w:rFonts w:ascii="Arial" w:eastAsia="Calibri" w:hAnsi="Arial" w:cs="Arial"/>
          <w:sz w:val="22"/>
        </w:rPr>
        <w:t xml:space="preserve"> dentro de los </w:t>
      </w:r>
      <w:r w:rsidR="004B5AA3">
        <w:rPr>
          <w:rFonts w:ascii="Arial" w:eastAsia="Calibri" w:hAnsi="Arial" w:cs="Arial"/>
          <w:sz w:val="22"/>
        </w:rPr>
        <w:t>límites</w:t>
      </w:r>
      <w:r>
        <w:rPr>
          <w:rFonts w:ascii="Arial" w:eastAsia="Calibri" w:hAnsi="Arial" w:cs="Arial"/>
          <w:sz w:val="22"/>
        </w:rPr>
        <w:t xml:space="preserve"> de su competencia, </w:t>
      </w:r>
      <w:r w:rsidR="00321A6D" w:rsidRPr="00B86532">
        <w:rPr>
          <w:rFonts w:ascii="Arial" w:eastAsia="Calibri" w:hAnsi="Arial" w:cs="Arial"/>
          <w:sz w:val="22"/>
        </w:rPr>
        <w:t>esta dependencia analizará los siguientes temas</w:t>
      </w:r>
      <w:r>
        <w:rPr>
          <w:rFonts w:ascii="Arial" w:eastAsia="Calibri" w:hAnsi="Arial" w:cs="Arial"/>
          <w:sz w:val="22"/>
        </w:rPr>
        <w:t xml:space="preserve"> en el presente concepto</w:t>
      </w:r>
      <w:r w:rsidR="00321A6D" w:rsidRPr="00B86532">
        <w:rPr>
          <w:rFonts w:ascii="Arial" w:eastAsia="Calibri" w:hAnsi="Arial" w:cs="Arial"/>
          <w:sz w:val="22"/>
        </w:rPr>
        <w:t>:</w:t>
      </w:r>
      <w:r w:rsidR="00321A6D">
        <w:rPr>
          <w:rFonts w:ascii="Arial" w:eastAsia="Calibri" w:hAnsi="Arial" w:cs="Arial"/>
          <w:sz w:val="22"/>
        </w:rPr>
        <w:t xml:space="preserve"> i) </w:t>
      </w:r>
      <w:r w:rsidR="007D259E">
        <w:rPr>
          <w:rFonts w:ascii="Arial" w:eastAsia="Calibri" w:hAnsi="Arial" w:cs="Arial"/>
          <w:sz w:val="22"/>
        </w:rPr>
        <w:t xml:space="preserve">el contrato de arrendamiento en la Ley 80 de 1993 </w:t>
      </w:r>
      <w:r w:rsidR="007D259E" w:rsidRPr="008D626F">
        <w:rPr>
          <w:rFonts w:ascii="Arial" w:eastAsia="Calibri" w:hAnsi="Arial" w:cs="Arial"/>
          <w:sz w:val="22"/>
        </w:rPr>
        <w:t>y</w:t>
      </w:r>
      <w:r w:rsidR="00321A6D" w:rsidRPr="008D626F">
        <w:rPr>
          <w:rFonts w:ascii="Arial" w:eastAsia="Calibri" w:hAnsi="Arial" w:cs="Arial"/>
          <w:sz w:val="22"/>
        </w:rPr>
        <w:t xml:space="preserve"> </w:t>
      </w:r>
      <w:proofErr w:type="spellStart"/>
      <w:r w:rsidR="00321A6D" w:rsidRPr="008D626F">
        <w:rPr>
          <w:rFonts w:ascii="Arial" w:eastAsia="Calibri" w:hAnsi="Arial" w:cs="Arial"/>
          <w:sz w:val="22"/>
        </w:rPr>
        <w:t>ii</w:t>
      </w:r>
      <w:proofErr w:type="spellEnd"/>
      <w:r w:rsidR="00321A6D" w:rsidRPr="008D626F">
        <w:rPr>
          <w:rFonts w:ascii="Arial" w:eastAsia="Calibri" w:hAnsi="Arial" w:cs="Arial"/>
          <w:sz w:val="22"/>
        </w:rPr>
        <w:t xml:space="preserve">) </w:t>
      </w:r>
      <w:r w:rsidR="008D626F" w:rsidRPr="008D626F">
        <w:rPr>
          <w:rFonts w:ascii="Arial" w:eastAsia="Calibri" w:hAnsi="Arial" w:cs="Arial"/>
          <w:sz w:val="22"/>
        </w:rPr>
        <w:t>el arrendamiento de inmuebles afectados con medida cautelar de embargo</w:t>
      </w:r>
      <w:r w:rsidR="008D626F">
        <w:rPr>
          <w:rFonts w:ascii="Arial" w:eastAsia="Calibri" w:hAnsi="Arial" w:cs="Arial"/>
          <w:sz w:val="22"/>
        </w:rPr>
        <w:t>.</w:t>
      </w:r>
      <w:r w:rsidR="008D626F" w:rsidRPr="008D626F">
        <w:rPr>
          <w:rFonts w:ascii="Arial" w:eastAsia="Calibri" w:hAnsi="Arial" w:cs="Arial"/>
          <w:sz w:val="22"/>
        </w:rPr>
        <w:t xml:space="preserve"> </w:t>
      </w:r>
    </w:p>
    <w:p w14:paraId="63E1B742" w14:textId="07599152" w:rsidR="006378B6" w:rsidRDefault="007D259E" w:rsidP="0059750E">
      <w:pPr>
        <w:spacing w:line="276" w:lineRule="auto"/>
        <w:ind w:firstLine="708"/>
        <w:jc w:val="both"/>
        <w:rPr>
          <w:rFonts w:ascii="Arial" w:eastAsia="Calibri" w:hAnsi="Arial" w:cs="Arial"/>
          <w:sz w:val="22"/>
        </w:rPr>
      </w:pPr>
      <w:r w:rsidRPr="00591F55">
        <w:rPr>
          <w:rFonts w:ascii="Arial" w:eastAsia="Calibri" w:hAnsi="Arial" w:cs="Arial"/>
          <w:sz w:val="22"/>
        </w:rPr>
        <w:t>La Agencia</w:t>
      </w:r>
      <w:r w:rsidR="00333DA4" w:rsidRPr="00591F55">
        <w:rPr>
          <w:rFonts w:ascii="Arial" w:eastAsia="Calibri" w:hAnsi="Arial" w:cs="Arial"/>
          <w:sz w:val="22"/>
        </w:rPr>
        <w:t xml:space="preserve"> Nacional de Contratación Pública − Colombia Compra Eficiente </w:t>
      </w:r>
      <w:r w:rsidR="002109B6" w:rsidRPr="00591F55">
        <w:rPr>
          <w:rFonts w:ascii="Arial" w:eastAsia="Calibri" w:hAnsi="Arial" w:cs="Arial"/>
          <w:color w:val="000000" w:themeColor="text1"/>
          <w:sz w:val="22"/>
        </w:rPr>
        <w:t xml:space="preserve">analizó </w:t>
      </w:r>
      <w:r w:rsidRPr="00591F55">
        <w:rPr>
          <w:rFonts w:ascii="Arial" w:hAnsi="Arial" w:cs="Arial"/>
          <w:sz w:val="22"/>
        </w:rPr>
        <w:t xml:space="preserve">el contrato de arrendamiento </w:t>
      </w:r>
      <w:r w:rsidR="00591F55">
        <w:rPr>
          <w:rFonts w:ascii="Arial" w:hAnsi="Arial" w:cs="Arial"/>
          <w:sz w:val="22"/>
        </w:rPr>
        <w:t xml:space="preserve">en el Estatuto General de Contratación de la Administración Pública </w:t>
      </w:r>
      <w:r w:rsidRPr="00591F55">
        <w:rPr>
          <w:rFonts w:ascii="Arial" w:hAnsi="Arial" w:cs="Arial"/>
          <w:sz w:val="22"/>
        </w:rPr>
        <w:t>e</w:t>
      </w:r>
      <w:r w:rsidRPr="00591F55">
        <w:rPr>
          <w:rFonts w:ascii="Arial" w:eastAsia="Calibri" w:hAnsi="Arial" w:cs="Arial"/>
          <w:sz w:val="22"/>
        </w:rPr>
        <w:t>n los conceptos No. 420191300004738</w:t>
      </w:r>
      <w:r>
        <w:rPr>
          <w:rFonts w:ascii="Arial" w:eastAsia="Calibri" w:hAnsi="Arial" w:cs="Arial"/>
          <w:sz w:val="22"/>
        </w:rPr>
        <w:t xml:space="preserve"> del 18 de agosto de 2019, </w:t>
      </w:r>
      <w:r w:rsidR="00100F00">
        <w:rPr>
          <w:rFonts w:ascii="Arial" w:eastAsia="Calibri" w:hAnsi="Arial" w:cs="Arial"/>
          <w:sz w:val="22"/>
        </w:rPr>
        <w:t>C-183 del 17 de marzo de 2020, C-126 del 26 de marzo de 2021 y C-6</w:t>
      </w:r>
      <w:r w:rsidR="008F1F71">
        <w:rPr>
          <w:rFonts w:ascii="Arial" w:eastAsia="Calibri" w:hAnsi="Arial" w:cs="Arial"/>
          <w:sz w:val="22"/>
        </w:rPr>
        <w:t>67 del 19 de noviembre de 2020</w:t>
      </w:r>
      <w:r w:rsidR="00A8001C">
        <w:rPr>
          <w:rFonts w:ascii="Arial" w:eastAsia="Calibri" w:hAnsi="Arial" w:cs="Arial"/>
          <w:sz w:val="22"/>
        </w:rPr>
        <w:t>,</w:t>
      </w:r>
      <w:r w:rsidR="008F1F71">
        <w:rPr>
          <w:rFonts w:ascii="Arial" w:eastAsia="Calibri" w:hAnsi="Arial" w:cs="Arial"/>
          <w:sz w:val="22"/>
        </w:rPr>
        <w:t xml:space="preserve"> C-780 del 18 de enero de 2021,</w:t>
      </w:r>
      <w:r w:rsidR="00F71B57">
        <w:rPr>
          <w:rFonts w:ascii="Arial" w:eastAsia="Calibri" w:hAnsi="Arial" w:cs="Arial"/>
          <w:sz w:val="22"/>
        </w:rPr>
        <w:t xml:space="preserve"> C-561 del 8 de octubre de 2021 y C-646 del 22 de noviembre de 2021,</w:t>
      </w:r>
      <w:r w:rsidR="008F1F71">
        <w:rPr>
          <w:rFonts w:ascii="Arial" w:eastAsia="Calibri" w:hAnsi="Arial" w:cs="Arial"/>
          <w:sz w:val="22"/>
        </w:rPr>
        <w:t xml:space="preserve"> </w:t>
      </w:r>
      <w:r w:rsidR="00100F00">
        <w:rPr>
          <w:rFonts w:ascii="Arial" w:eastAsia="Calibri" w:hAnsi="Arial" w:cs="Arial"/>
          <w:sz w:val="22"/>
        </w:rPr>
        <w:t>entre otros.</w:t>
      </w:r>
      <w:r w:rsidR="00591F55">
        <w:rPr>
          <w:rFonts w:ascii="Arial" w:eastAsia="Calibri" w:hAnsi="Arial" w:cs="Arial"/>
          <w:sz w:val="22"/>
        </w:rPr>
        <w:t xml:space="preserve"> </w:t>
      </w:r>
      <w:r w:rsidR="00892B83" w:rsidRPr="00591F55">
        <w:rPr>
          <w:rFonts w:ascii="Arial" w:eastAsia="Calibri" w:hAnsi="Arial" w:cs="Arial"/>
          <w:sz w:val="22"/>
        </w:rPr>
        <w:t xml:space="preserve">Las tesis </w:t>
      </w:r>
      <w:r w:rsidR="00333DA4" w:rsidRPr="00591F55">
        <w:rPr>
          <w:rFonts w:ascii="Arial" w:eastAsia="Calibri" w:hAnsi="Arial" w:cs="Arial"/>
          <w:sz w:val="22"/>
        </w:rPr>
        <w:t>expue</w:t>
      </w:r>
      <w:r w:rsidR="00892B83" w:rsidRPr="00591F55">
        <w:rPr>
          <w:rFonts w:ascii="Arial" w:eastAsia="Calibri" w:hAnsi="Arial" w:cs="Arial"/>
          <w:sz w:val="22"/>
        </w:rPr>
        <w:t xml:space="preserve">stas en </w:t>
      </w:r>
      <w:r w:rsidR="00591F55">
        <w:rPr>
          <w:rFonts w:ascii="Arial" w:eastAsia="Calibri" w:hAnsi="Arial" w:cs="Arial"/>
          <w:sz w:val="22"/>
        </w:rPr>
        <w:t xml:space="preserve">estos </w:t>
      </w:r>
      <w:r w:rsidR="00892B83" w:rsidRPr="00591F55">
        <w:rPr>
          <w:rFonts w:ascii="Arial" w:eastAsia="Calibri" w:hAnsi="Arial" w:cs="Arial"/>
          <w:sz w:val="22"/>
        </w:rPr>
        <w:t xml:space="preserve">conceptos se reiteran </w:t>
      </w:r>
      <w:r w:rsidR="00591F55">
        <w:rPr>
          <w:rFonts w:ascii="Arial" w:eastAsia="Calibri" w:hAnsi="Arial" w:cs="Arial"/>
          <w:sz w:val="22"/>
        </w:rPr>
        <w:t>y complementa</w:t>
      </w:r>
      <w:r w:rsidR="009734F2">
        <w:rPr>
          <w:rFonts w:ascii="Arial" w:eastAsia="Calibri" w:hAnsi="Arial" w:cs="Arial"/>
          <w:sz w:val="22"/>
        </w:rPr>
        <w:t>n a continuación</w:t>
      </w:r>
      <w:r w:rsidR="00F71B57">
        <w:rPr>
          <w:rFonts w:ascii="Arial" w:eastAsia="Calibri" w:hAnsi="Arial" w:cs="Arial"/>
          <w:sz w:val="22"/>
        </w:rPr>
        <w:t>.</w:t>
      </w:r>
    </w:p>
    <w:p w14:paraId="626F8154" w14:textId="77777777" w:rsidR="00CA6AC1" w:rsidRDefault="00CA6AC1" w:rsidP="0059750E">
      <w:pPr>
        <w:spacing w:line="276" w:lineRule="auto"/>
        <w:ind w:firstLine="708"/>
        <w:jc w:val="both"/>
        <w:rPr>
          <w:rFonts w:ascii="Arial" w:eastAsia="Calibri" w:hAnsi="Arial" w:cs="Arial"/>
          <w:sz w:val="22"/>
        </w:rPr>
      </w:pPr>
    </w:p>
    <w:p w14:paraId="65A04E7C" w14:textId="4669FB06" w:rsidR="002B6D04" w:rsidRDefault="00F74F42" w:rsidP="0059750E">
      <w:pPr>
        <w:pStyle w:val="Prrafodelista"/>
        <w:tabs>
          <w:tab w:val="left" w:pos="142"/>
          <w:tab w:val="left" w:pos="426"/>
        </w:tabs>
        <w:spacing w:line="276" w:lineRule="auto"/>
        <w:ind w:left="0"/>
        <w:jc w:val="both"/>
        <w:rPr>
          <w:rFonts w:ascii="Arial" w:eastAsia="Calibri" w:hAnsi="Arial" w:cs="Arial"/>
          <w:b/>
          <w:sz w:val="22"/>
          <w:lang w:val="es-ES"/>
        </w:rPr>
      </w:pPr>
      <w:r>
        <w:rPr>
          <w:rFonts w:ascii="Arial" w:eastAsia="Calibri" w:hAnsi="Arial" w:cs="Arial"/>
          <w:b/>
          <w:sz w:val="22"/>
          <w:lang w:val="es-ES"/>
        </w:rPr>
        <w:t xml:space="preserve">2.1. </w:t>
      </w:r>
      <w:r w:rsidR="003C3283">
        <w:rPr>
          <w:rFonts w:ascii="Arial" w:eastAsia="Calibri" w:hAnsi="Arial" w:cs="Arial"/>
          <w:b/>
          <w:sz w:val="22"/>
          <w:lang w:val="es-ES"/>
        </w:rPr>
        <w:t>El c</w:t>
      </w:r>
      <w:r w:rsidR="002B6D04">
        <w:rPr>
          <w:rFonts w:ascii="Arial" w:eastAsia="Calibri" w:hAnsi="Arial" w:cs="Arial"/>
          <w:b/>
          <w:sz w:val="22"/>
          <w:lang w:val="es-ES"/>
        </w:rPr>
        <w:t>ontrato de arrendamiento en la Ley 80 de 1993</w:t>
      </w:r>
    </w:p>
    <w:p w14:paraId="45CD70CE" w14:textId="77777777" w:rsidR="00E51411" w:rsidRDefault="00E51411" w:rsidP="0059750E">
      <w:pPr>
        <w:pStyle w:val="Prrafodelista"/>
        <w:tabs>
          <w:tab w:val="left" w:pos="142"/>
          <w:tab w:val="left" w:pos="426"/>
        </w:tabs>
        <w:spacing w:line="276" w:lineRule="auto"/>
        <w:ind w:left="0"/>
        <w:jc w:val="both"/>
        <w:rPr>
          <w:rFonts w:ascii="Arial" w:eastAsia="Calibri" w:hAnsi="Arial" w:cs="Arial"/>
          <w:b/>
          <w:sz w:val="22"/>
          <w:lang w:val="es-ES"/>
        </w:rPr>
      </w:pPr>
    </w:p>
    <w:p w14:paraId="579FB403" w14:textId="6A2FDC27" w:rsidR="00FF6544" w:rsidRDefault="00C35AAF" w:rsidP="0059750E">
      <w:pPr>
        <w:spacing w:after="120" w:line="276" w:lineRule="auto"/>
        <w:jc w:val="both"/>
        <w:rPr>
          <w:rFonts w:ascii="Arial" w:hAnsi="Arial" w:cs="Arial"/>
          <w:sz w:val="22"/>
        </w:rPr>
      </w:pPr>
      <w:r w:rsidRPr="002B6D04">
        <w:rPr>
          <w:rFonts w:ascii="Arial" w:hAnsi="Arial" w:cs="Arial"/>
          <w:bCs/>
          <w:color w:val="000000" w:themeColor="text1"/>
          <w:sz w:val="22"/>
          <w:lang w:val="es-ES"/>
        </w:rPr>
        <w:t>La Ley 80 de 1993</w:t>
      </w:r>
      <w:r w:rsidRPr="002B6D04">
        <w:rPr>
          <w:rFonts w:ascii="Arial" w:hAnsi="Arial" w:cs="Arial"/>
          <w:sz w:val="22"/>
        </w:rPr>
        <w:t xml:space="preserve"> define los contratos estatales en el artículo 32 y establece un listado enunciativo de contratos estatales entre los que se encuentran el contrato de obra, el contrato de consultoría, el contrato de prestación de servicios, el contrato de concesión y </w:t>
      </w:r>
      <w:r w:rsidRPr="002B6D04">
        <w:rPr>
          <w:rFonts w:ascii="Arial" w:hAnsi="Arial" w:cs="Arial"/>
          <w:sz w:val="22"/>
        </w:rPr>
        <w:lastRenderedPageBreak/>
        <w:t>los encargos fiduciarios y fiducia pública.</w:t>
      </w:r>
      <w:r w:rsidR="00FF6544">
        <w:rPr>
          <w:rFonts w:ascii="Arial" w:hAnsi="Arial" w:cs="Arial"/>
          <w:sz w:val="22"/>
        </w:rPr>
        <w:t xml:space="preserve"> </w:t>
      </w:r>
      <w:r w:rsidRPr="002B6D04">
        <w:rPr>
          <w:rFonts w:ascii="Arial" w:hAnsi="Arial" w:cs="Arial"/>
          <w:sz w:val="22"/>
        </w:rPr>
        <w:t>De acuerdo con esta disposición todos los actos jurídicos, cualquiera que sea su denominación, que celebren las entidades a las que se refiere el E</w:t>
      </w:r>
      <w:r w:rsidR="00591F55">
        <w:rPr>
          <w:rFonts w:ascii="Arial" w:hAnsi="Arial" w:cs="Arial"/>
          <w:sz w:val="22"/>
        </w:rPr>
        <w:t xml:space="preserve">statuto </w:t>
      </w:r>
      <w:r w:rsidRPr="002B6D04">
        <w:rPr>
          <w:rFonts w:ascii="Arial" w:hAnsi="Arial" w:cs="Arial"/>
          <w:sz w:val="22"/>
        </w:rPr>
        <w:t>G</w:t>
      </w:r>
      <w:r w:rsidR="00591F55">
        <w:rPr>
          <w:rFonts w:ascii="Arial" w:hAnsi="Arial" w:cs="Arial"/>
          <w:sz w:val="22"/>
        </w:rPr>
        <w:t xml:space="preserve">eneral de </w:t>
      </w:r>
      <w:r w:rsidRPr="002B6D04">
        <w:rPr>
          <w:rFonts w:ascii="Arial" w:hAnsi="Arial" w:cs="Arial"/>
          <w:sz w:val="22"/>
        </w:rPr>
        <w:t>C</w:t>
      </w:r>
      <w:r w:rsidR="00591F55">
        <w:rPr>
          <w:rFonts w:ascii="Arial" w:hAnsi="Arial" w:cs="Arial"/>
          <w:sz w:val="22"/>
        </w:rPr>
        <w:t>ontratación de la Administración Pública</w:t>
      </w:r>
      <w:r w:rsidRPr="002B6D04">
        <w:rPr>
          <w:rFonts w:ascii="Arial" w:hAnsi="Arial" w:cs="Arial"/>
          <w:sz w:val="22"/>
        </w:rPr>
        <w:t xml:space="preserve"> y que generen obligaciones, son contratos estatales</w:t>
      </w:r>
      <w:r w:rsidRPr="002B6D04">
        <w:rPr>
          <w:rStyle w:val="Refdenotaalpie"/>
          <w:rFonts w:ascii="Arial" w:hAnsi="Arial" w:cs="Arial"/>
          <w:bCs/>
          <w:color w:val="000000" w:themeColor="text1"/>
          <w:sz w:val="22"/>
          <w:lang w:val="es-ES"/>
        </w:rPr>
        <w:footnoteReference w:id="2"/>
      </w:r>
      <w:r w:rsidR="00A8001C">
        <w:rPr>
          <w:rFonts w:ascii="Arial" w:hAnsi="Arial" w:cs="Arial"/>
          <w:sz w:val="22"/>
        </w:rPr>
        <w:t>.</w:t>
      </w:r>
      <w:r w:rsidRPr="002B6D04">
        <w:rPr>
          <w:rFonts w:ascii="Arial" w:hAnsi="Arial" w:cs="Arial"/>
          <w:sz w:val="22"/>
        </w:rPr>
        <w:t xml:space="preserve"> </w:t>
      </w:r>
    </w:p>
    <w:p w14:paraId="06BB7044" w14:textId="00685446" w:rsidR="00632569" w:rsidRDefault="00A8001C" w:rsidP="0059750E">
      <w:pPr>
        <w:spacing w:after="120" w:line="276" w:lineRule="auto"/>
        <w:ind w:firstLine="708"/>
        <w:jc w:val="both"/>
        <w:rPr>
          <w:lang w:val="es-ES"/>
        </w:rPr>
      </w:pPr>
      <w:r>
        <w:rPr>
          <w:rFonts w:ascii="Arial" w:hAnsi="Arial" w:cs="Arial"/>
          <w:sz w:val="22"/>
        </w:rPr>
        <w:t>D</w:t>
      </w:r>
      <w:r w:rsidR="00C35AAF" w:rsidRPr="002B6D04">
        <w:rPr>
          <w:rFonts w:ascii="Arial" w:hAnsi="Arial" w:cs="Arial"/>
          <w:sz w:val="22"/>
        </w:rPr>
        <w:t xml:space="preserve">e </w:t>
      </w:r>
      <w:r>
        <w:rPr>
          <w:rFonts w:ascii="Arial" w:hAnsi="Arial" w:cs="Arial"/>
          <w:sz w:val="22"/>
        </w:rPr>
        <w:t>esta</w:t>
      </w:r>
      <w:r w:rsidR="00C35AAF" w:rsidRPr="002B6D04">
        <w:rPr>
          <w:rFonts w:ascii="Arial" w:hAnsi="Arial" w:cs="Arial"/>
          <w:sz w:val="22"/>
        </w:rPr>
        <w:t xml:space="preserve"> manera</w:t>
      </w:r>
      <w:r>
        <w:rPr>
          <w:rFonts w:ascii="Arial" w:hAnsi="Arial" w:cs="Arial"/>
          <w:sz w:val="22"/>
        </w:rPr>
        <w:t xml:space="preserve">, </w:t>
      </w:r>
      <w:r w:rsidR="00C35AAF" w:rsidRPr="002B6D04">
        <w:rPr>
          <w:rFonts w:ascii="Arial" w:hAnsi="Arial" w:cs="Arial"/>
          <w:sz w:val="22"/>
        </w:rPr>
        <w:t xml:space="preserve">el contrato estatal está determinado por un criterio orgánico, pues si en su celebración interviene una entidad </w:t>
      </w:r>
      <w:r w:rsidR="00432805">
        <w:rPr>
          <w:rFonts w:ascii="Arial" w:hAnsi="Arial" w:cs="Arial"/>
          <w:sz w:val="22"/>
        </w:rPr>
        <w:t>regida por</w:t>
      </w:r>
      <w:r w:rsidR="00C35AAF" w:rsidRPr="002B6D04">
        <w:rPr>
          <w:rFonts w:ascii="Arial" w:hAnsi="Arial" w:cs="Arial"/>
          <w:sz w:val="22"/>
        </w:rPr>
        <w:t xml:space="preserve"> el </w:t>
      </w:r>
      <w:r w:rsidR="007129AB" w:rsidRPr="007129AB">
        <w:rPr>
          <w:rFonts w:ascii="Arial" w:hAnsi="Arial" w:cs="Arial"/>
          <w:sz w:val="22"/>
        </w:rPr>
        <w:t>Estatuto General de Contratación de la Administración Pública</w:t>
      </w:r>
      <w:r w:rsidR="00C35AAF" w:rsidRPr="002B6D04">
        <w:rPr>
          <w:rFonts w:ascii="Arial" w:hAnsi="Arial" w:cs="Arial"/>
          <w:sz w:val="22"/>
        </w:rPr>
        <w:t>, será un contrato estatal independientemente de las disposiciones en que estén regulados los contratos que celebren.</w:t>
      </w:r>
      <w:r w:rsidR="00FF6544">
        <w:rPr>
          <w:rFonts w:ascii="Arial" w:hAnsi="Arial" w:cs="Arial"/>
          <w:sz w:val="22"/>
        </w:rPr>
        <w:t xml:space="preserve"> </w:t>
      </w:r>
      <w:r w:rsidR="00C35AAF" w:rsidRPr="002B6D04">
        <w:rPr>
          <w:rFonts w:ascii="Arial" w:hAnsi="Arial" w:cs="Arial"/>
          <w:sz w:val="22"/>
        </w:rPr>
        <w:t xml:space="preserve">En tal sentido, adquieren esta connotación los contratos </w:t>
      </w:r>
      <w:r w:rsidR="00C35AAF" w:rsidRPr="002B6D04">
        <w:rPr>
          <w:rFonts w:ascii="Arial" w:hAnsi="Arial" w:cs="Arial"/>
          <w:bCs/>
          <w:color w:val="000000" w:themeColor="text1"/>
          <w:sz w:val="22"/>
          <w:lang w:val="es-ES"/>
        </w:rPr>
        <w:t>enunciados en el artículo 32 de la Ley 80 de 1993, y, además, los previstos en el derecho privado, en disposiciones especiales y los que se deriven de la autonomía de la voluntad cuando son celebrados por entidades estatales.</w:t>
      </w:r>
      <w:r w:rsidR="00820D32">
        <w:rPr>
          <w:rFonts w:ascii="Arial" w:hAnsi="Arial" w:cs="Arial"/>
          <w:bCs/>
          <w:color w:val="000000" w:themeColor="text1"/>
          <w:sz w:val="22"/>
          <w:lang w:val="es-ES"/>
        </w:rPr>
        <w:t xml:space="preserve"> </w:t>
      </w:r>
    </w:p>
    <w:p w14:paraId="1C8C66A4" w14:textId="691149C9" w:rsidR="00632569" w:rsidRPr="003349C9" w:rsidRDefault="00795AD8" w:rsidP="0059750E">
      <w:pPr>
        <w:spacing w:after="120" w:line="276" w:lineRule="auto"/>
        <w:ind w:firstLine="708"/>
        <w:jc w:val="both"/>
        <w:rPr>
          <w:rFonts w:ascii="Arial" w:hAnsi="Arial" w:cs="Arial"/>
          <w:bCs/>
          <w:color w:val="000000" w:themeColor="text1"/>
          <w:sz w:val="22"/>
          <w:lang w:val="es-ES"/>
        </w:rPr>
      </w:pPr>
      <w:r>
        <w:rPr>
          <w:rFonts w:ascii="Arial" w:eastAsia="Times New Roman" w:hAnsi="Arial" w:cs="Arial"/>
          <w:sz w:val="22"/>
          <w:lang w:eastAsia="es-MX"/>
        </w:rPr>
        <w:t>Aunque e</w:t>
      </w:r>
      <w:r w:rsidR="00632569" w:rsidRPr="003349C9">
        <w:rPr>
          <w:rFonts w:ascii="Arial" w:eastAsia="Times New Roman" w:hAnsi="Arial" w:cs="Arial"/>
          <w:sz w:val="22"/>
          <w:lang w:eastAsia="es-MX"/>
        </w:rPr>
        <w:t>l contrato de arrendamiento no se encuentra dentro del listado enunciativo del</w:t>
      </w:r>
      <w:r w:rsidR="00632569" w:rsidRPr="003349C9">
        <w:rPr>
          <w:rFonts w:ascii="Arial" w:hAnsi="Arial" w:cs="Arial"/>
          <w:bCs/>
          <w:color w:val="000000" w:themeColor="text1"/>
          <w:sz w:val="22"/>
          <w:lang w:val="es-ES"/>
        </w:rPr>
        <w:t xml:space="preserve"> artículo 32 de la Ley 80 de 1993, su regulación se encuentra en el Código Civil y en el Código de Comercio, principalmente, los artículos 1973 al 2078 del Código Civil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61CDA6A5" w14:textId="6509A205" w:rsidR="00F74F42" w:rsidRPr="007840F7" w:rsidRDefault="003C3283" w:rsidP="0059750E">
      <w:pPr>
        <w:pStyle w:val="Prrafodelista"/>
        <w:tabs>
          <w:tab w:val="left" w:pos="142"/>
          <w:tab w:val="left" w:pos="426"/>
        </w:tabs>
        <w:spacing w:after="120" w:line="276" w:lineRule="auto"/>
        <w:ind w:left="0"/>
        <w:jc w:val="both"/>
        <w:rPr>
          <w:rFonts w:ascii="Arial" w:eastAsia="Calibri" w:hAnsi="Arial" w:cs="Arial"/>
          <w:bCs/>
          <w:sz w:val="22"/>
          <w:lang w:val="es-ES"/>
        </w:rPr>
      </w:pPr>
      <w:r>
        <w:rPr>
          <w:rFonts w:ascii="Arial" w:eastAsia="Calibri" w:hAnsi="Arial" w:cs="Arial"/>
          <w:bCs/>
          <w:sz w:val="22"/>
          <w:lang w:val="es-ES"/>
        </w:rPr>
        <w:tab/>
      </w:r>
      <w:r>
        <w:rPr>
          <w:rFonts w:ascii="Arial" w:eastAsia="Calibri" w:hAnsi="Arial" w:cs="Arial"/>
          <w:bCs/>
          <w:sz w:val="22"/>
          <w:lang w:val="es-ES"/>
        </w:rPr>
        <w:tab/>
      </w:r>
      <w:r>
        <w:rPr>
          <w:rFonts w:ascii="Arial" w:eastAsia="Calibri" w:hAnsi="Arial" w:cs="Arial"/>
          <w:bCs/>
          <w:sz w:val="22"/>
          <w:lang w:val="es-ES"/>
        </w:rPr>
        <w:tab/>
      </w:r>
      <w:r w:rsidR="00F74F42" w:rsidRPr="007840F7">
        <w:rPr>
          <w:rFonts w:ascii="Arial" w:eastAsia="Calibri" w:hAnsi="Arial" w:cs="Arial"/>
          <w:bCs/>
          <w:sz w:val="22"/>
          <w:lang w:val="es-ES"/>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w:t>
      </w:r>
      <w:r w:rsidR="00F74F42" w:rsidRPr="007840F7">
        <w:rPr>
          <w:rStyle w:val="Refdenotaalpie"/>
          <w:rFonts w:ascii="Arial" w:eastAsia="Calibri" w:hAnsi="Arial" w:cs="Arial"/>
          <w:bCs/>
          <w:sz w:val="22"/>
          <w:lang w:val="es-ES"/>
        </w:rPr>
        <w:footnoteReference w:id="3"/>
      </w:r>
      <w:r w:rsidR="00E544FA">
        <w:rPr>
          <w:rFonts w:ascii="Arial" w:eastAsia="Calibri" w:hAnsi="Arial" w:cs="Arial"/>
          <w:bCs/>
          <w:sz w:val="22"/>
          <w:lang w:val="es-ES"/>
        </w:rPr>
        <w:t>. Por tanto, se</w:t>
      </w:r>
      <w:r w:rsidR="00F74F42" w:rsidRPr="007840F7">
        <w:rPr>
          <w:rFonts w:ascii="Arial" w:eastAsia="Calibri" w:hAnsi="Arial" w:cs="Arial"/>
          <w:bCs/>
          <w:sz w:val="22"/>
          <w:lang w:val="es-ES"/>
        </w:rPr>
        <w:t xml:space="preserve"> diferenci</w:t>
      </w:r>
      <w:r w:rsidR="00E544FA">
        <w:rPr>
          <w:rFonts w:ascii="Arial" w:eastAsia="Calibri" w:hAnsi="Arial" w:cs="Arial"/>
          <w:bCs/>
          <w:sz w:val="22"/>
          <w:lang w:val="es-ES"/>
        </w:rPr>
        <w:t>a</w:t>
      </w:r>
      <w:r w:rsidR="00F74F42" w:rsidRPr="007840F7">
        <w:rPr>
          <w:rFonts w:ascii="Arial" w:eastAsia="Calibri" w:hAnsi="Arial" w:cs="Arial"/>
          <w:bCs/>
          <w:sz w:val="22"/>
          <w:lang w:val="es-ES"/>
        </w:rPr>
        <w:t xml:space="preserve"> del contrato de compraventa en que no opera una transferencia del dominio del bien cuyo uso y goce se entrega.</w:t>
      </w:r>
    </w:p>
    <w:p w14:paraId="297EE1B5" w14:textId="77777777" w:rsidR="00F74F42" w:rsidRPr="007840F7" w:rsidRDefault="00F74F42" w:rsidP="0059750E">
      <w:pPr>
        <w:spacing w:after="120" w:line="276" w:lineRule="auto"/>
        <w:ind w:firstLine="709"/>
        <w:jc w:val="both"/>
        <w:rPr>
          <w:rFonts w:ascii="Arial" w:eastAsia="Calibri" w:hAnsi="Arial" w:cs="Arial"/>
          <w:bCs/>
          <w:sz w:val="22"/>
          <w:lang w:val="es-ES"/>
        </w:rPr>
      </w:pPr>
      <w:r w:rsidRPr="007840F7">
        <w:rPr>
          <w:rFonts w:ascii="Arial" w:eastAsia="Calibri" w:hAnsi="Arial" w:cs="Arial"/>
          <w:bCs/>
          <w:sz w:val="22"/>
          <w:lang w:val="es-ES"/>
        </w:rPr>
        <w:lastRenderedPageBreak/>
        <w:t xml:space="preserve">En </w:t>
      </w:r>
      <w:r w:rsidRPr="007840F7">
        <w:rPr>
          <w:rFonts w:ascii="Arial" w:hAnsi="Arial" w:cs="Arial"/>
          <w:sz w:val="22"/>
          <w:lang w:val="es-ES"/>
        </w:rPr>
        <w:t>cuanto</w:t>
      </w:r>
      <w:r w:rsidRPr="007840F7">
        <w:rPr>
          <w:rFonts w:ascii="Arial" w:eastAsia="Calibri" w:hAnsi="Arial" w:cs="Arial"/>
          <w:bCs/>
          <w:sz w:val="22"/>
          <w:lang w:val="es-ES"/>
        </w:rPr>
        <w:t xml:space="preserve"> a sus características, la doctrina ha indicado que el arrendamiento es un contrato: i) bilateral, pues ambas partes se obligan recíprocamente; </w:t>
      </w:r>
      <w:proofErr w:type="spellStart"/>
      <w:r w:rsidRPr="007840F7">
        <w:rPr>
          <w:rFonts w:ascii="Arial" w:eastAsia="Calibri" w:hAnsi="Arial" w:cs="Arial"/>
          <w:bCs/>
          <w:sz w:val="22"/>
          <w:lang w:val="es-ES"/>
        </w:rPr>
        <w:t>ii</w:t>
      </w:r>
      <w:proofErr w:type="spellEnd"/>
      <w:r w:rsidRPr="007840F7">
        <w:rPr>
          <w:rFonts w:ascii="Arial" w:eastAsia="Calibri" w:hAnsi="Arial" w:cs="Arial"/>
          <w:bCs/>
          <w:sz w:val="22"/>
          <w:lang w:val="es-ES"/>
        </w:rPr>
        <w:t>) consensual, dado que se perfecciona con el consentimiento</w:t>
      </w:r>
      <w:r w:rsidRPr="007840F7">
        <w:rPr>
          <w:rStyle w:val="Refdenotaalpie"/>
          <w:rFonts w:ascii="Arial" w:eastAsia="Calibri" w:hAnsi="Arial" w:cs="Arial"/>
          <w:bCs/>
          <w:sz w:val="22"/>
          <w:lang w:val="es-ES"/>
        </w:rPr>
        <w:footnoteReference w:id="4"/>
      </w:r>
      <w:r w:rsidRPr="007840F7">
        <w:rPr>
          <w:rFonts w:ascii="Arial" w:eastAsia="Calibri" w:hAnsi="Arial" w:cs="Arial"/>
          <w:bCs/>
          <w:sz w:val="22"/>
          <w:lang w:val="es-ES"/>
        </w:rPr>
        <w:t xml:space="preserve">; </w:t>
      </w:r>
      <w:proofErr w:type="spellStart"/>
      <w:r w:rsidRPr="007840F7">
        <w:rPr>
          <w:rFonts w:ascii="Arial" w:eastAsia="Calibri" w:hAnsi="Arial" w:cs="Arial"/>
          <w:bCs/>
          <w:sz w:val="22"/>
          <w:lang w:val="es-ES"/>
        </w:rPr>
        <w:t>iii</w:t>
      </w:r>
      <w:proofErr w:type="spellEnd"/>
      <w:r w:rsidRPr="007840F7">
        <w:rPr>
          <w:rFonts w:ascii="Arial" w:eastAsia="Calibri" w:hAnsi="Arial" w:cs="Arial"/>
          <w:bCs/>
          <w:sz w:val="22"/>
          <w:lang w:val="es-ES"/>
        </w:rPr>
        <w:t xml:space="preserve">) oneroso, ya que ambas partes obtienen utilidades –el arrendatario, el uso y goce del bien, y el arrendador la renta o canon–; </w:t>
      </w:r>
      <w:proofErr w:type="spellStart"/>
      <w:r w:rsidRPr="007840F7">
        <w:rPr>
          <w:rFonts w:ascii="Arial" w:eastAsia="Calibri" w:hAnsi="Arial" w:cs="Arial"/>
          <w:bCs/>
          <w:sz w:val="22"/>
          <w:lang w:val="es-ES"/>
        </w:rPr>
        <w:t>iv</w:t>
      </w:r>
      <w:proofErr w:type="spellEnd"/>
      <w:r w:rsidRPr="007840F7">
        <w:rPr>
          <w:rFonts w:ascii="Arial" w:eastAsia="Calibri" w:hAnsi="Arial" w:cs="Arial"/>
          <w:bCs/>
          <w:sz w:val="22"/>
          <w:lang w:val="es-ES"/>
        </w:rPr>
        <w:t>) de ejecución sucesiva, en la medida en que se ejecuta en forma periódica; v) principal, porque existe en forma autónoma; y v) nominado, porque está tipificado y desarrollado en la ley</w:t>
      </w:r>
      <w:r w:rsidRPr="007840F7">
        <w:rPr>
          <w:rStyle w:val="Refdenotaalpie"/>
          <w:rFonts w:ascii="Arial" w:eastAsia="Calibri" w:hAnsi="Arial" w:cs="Arial"/>
          <w:bCs/>
          <w:sz w:val="22"/>
          <w:lang w:val="es-ES"/>
        </w:rPr>
        <w:footnoteReference w:id="5"/>
      </w:r>
      <w:r w:rsidRPr="007840F7">
        <w:rPr>
          <w:rFonts w:ascii="Arial" w:eastAsia="Calibri" w:hAnsi="Arial" w:cs="Arial"/>
          <w:bCs/>
          <w:sz w:val="22"/>
          <w:lang w:val="es-ES"/>
        </w:rPr>
        <w:t>.</w:t>
      </w:r>
    </w:p>
    <w:p w14:paraId="37E92E5A" w14:textId="04FCD26F" w:rsidR="00E14829" w:rsidRPr="007840F7" w:rsidRDefault="00E14829" w:rsidP="0059750E">
      <w:pPr>
        <w:spacing w:after="120" w:line="276" w:lineRule="auto"/>
        <w:ind w:firstLine="709"/>
        <w:jc w:val="both"/>
        <w:rPr>
          <w:rFonts w:ascii="Arial" w:eastAsia="Calibri" w:hAnsi="Arial" w:cs="Arial"/>
          <w:sz w:val="22"/>
          <w:lang w:val="es-ES"/>
        </w:rPr>
      </w:pPr>
      <w:r w:rsidRPr="007840F7">
        <w:rPr>
          <w:rFonts w:ascii="Arial" w:eastAsia="Calibri" w:hAnsi="Arial" w:cs="Arial"/>
          <w:bCs/>
          <w:sz w:val="22"/>
          <w:lang w:val="es-ES"/>
        </w:rPr>
        <w:t xml:space="preserve">Ahora, para efectos de </w:t>
      </w:r>
      <w:r w:rsidR="00F2227D">
        <w:rPr>
          <w:rFonts w:ascii="Arial" w:eastAsia="Calibri" w:hAnsi="Arial" w:cs="Arial"/>
          <w:bCs/>
          <w:sz w:val="22"/>
          <w:lang w:val="es-ES"/>
        </w:rPr>
        <w:t xml:space="preserve">determinar </w:t>
      </w:r>
      <w:r w:rsidRPr="007840F7">
        <w:rPr>
          <w:rFonts w:ascii="Arial" w:eastAsia="Calibri" w:hAnsi="Arial" w:cs="Arial"/>
          <w:bCs/>
          <w:sz w:val="22"/>
          <w:lang w:val="es-ES"/>
        </w:rPr>
        <w:t xml:space="preserve">la modalidad de selección del contratista debe precisarse que esta depende </w:t>
      </w:r>
      <w:r w:rsidRPr="007840F7">
        <w:rPr>
          <w:rFonts w:ascii="Arial" w:eastAsia="Calibri" w:hAnsi="Arial" w:cs="Arial"/>
          <w:sz w:val="22"/>
          <w:lang w:val="es-ES"/>
        </w:rPr>
        <w:t xml:space="preserve">del régimen de contratación </w:t>
      </w:r>
      <w:r w:rsidR="007840F7">
        <w:rPr>
          <w:rFonts w:ascii="Arial" w:eastAsia="Calibri" w:hAnsi="Arial" w:cs="Arial"/>
          <w:sz w:val="22"/>
          <w:lang w:val="es-ES"/>
        </w:rPr>
        <w:t xml:space="preserve">aplicable a la entidad estatal y del tipo de bienes objeto de arrendamiento.  </w:t>
      </w:r>
      <w:r w:rsidRPr="007840F7">
        <w:rPr>
          <w:rFonts w:ascii="Arial" w:eastAsia="Calibri" w:hAnsi="Arial" w:cs="Arial"/>
          <w:sz w:val="22"/>
          <w:lang w:val="es-ES"/>
        </w:rPr>
        <w:t xml:space="preserve">Esto significa </w:t>
      </w:r>
      <w:r w:rsidR="00F71B57" w:rsidRPr="007840F7">
        <w:rPr>
          <w:rFonts w:ascii="Arial" w:eastAsia="Calibri" w:hAnsi="Arial" w:cs="Arial"/>
          <w:sz w:val="22"/>
          <w:lang w:val="es-ES"/>
        </w:rPr>
        <w:t>que,</w:t>
      </w:r>
      <w:r w:rsidRPr="007840F7">
        <w:rPr>
          <w:rFonts w:ascii="Arial" w:eastAsia="Calibri" w:hAnsi="Arial" w:cs="Arial"/>
          <w:sz w:val="22"/>
          <w:lang w:val="es-ES"/>
        </w:rPr>
        <w:t xml:space="preserve"> si está exceptuada del Estatuto General de Contratación de la Administración Pública, </w:t>
      </w:r>
      <w:r w:rsidR="00E544FA">
        <w:rPr>
          <w:rFonts w:ascii="Arial" w:eastAsia="Calibri" w:hAnsi="Arial" w:cs="Arial"/>
          <w:sz w:val="22"/>
          <w:lang w:val="es-ES"/>
        </w:rPr>
        <w:t xml:space="preserve">la </w:t>
      </w:r>
      <w:r w:rsidR="00F71B57">
        <w:rPr>
          <w:rFonts w:ascii="Arial" w:eastAsia="Calibri" w:hAnsi="Arial" w:cs="Arial"/>
          <w:sz w:val="22"/>
          <w:lang w:val="es-ES"/>
        </w:rPr>
        <w:t xml:space="preserve">entidad </w:t>
      </w:r>
      <w:r w:rsidRPr="007840F7">
        <w:rPr>
          <w:rFonts w:ascii="Arial" w:eastAsia="Calibri" w:hAnsi="Arial" w:cs="Arial"/>
          <w:sz w:val="22"/>
          <w:lang w:val="es-ES"/>
        </w:rPr>
        <w:t xml:space="preserve">debe aplicar en principio las normas civiles y comerciales mencionadas, </w:t>
      </w:r>
      <w:r w:rsidR="00E544FA">
        <w:rPr>
          <w:rFonts w:ascii="Arial" w:eastAsia="Calibri" w:hAnsi="Arial" w:cs="Arial"/>
          <w:sz w:val="22"/>
          <w:lang w:val="es-ES"/>
        </w:rPr>
        <w:t>sin perjuicio de lo dispuesto en</w:t>
      </w:r>
      <w:r w:rsidR="009E6D21">
        <w:rPr>
          <w:rFonts w:ascii="Arial" w:eastAsia="Calibri" w:hAnsi="Arial" w:cs="Arial"/>
          <w:sz w:val="22"/>
          <w:lang w:val="es-ES"/>
        </w:rPr>
        <w:t xml:space="preserve"> el</w:t>
      </w:r>
      <w:r w:rsidR="00E544FA">
        <w:rPr>
          <w:rFonts w:ascii="Arial" w:eastAsia="Calibri" w:hAnsi="Arial" w:cs="Arial"/>
          <w:sz w:val="22"/>
          <w:lang w:val="es-ES"/>
        </w:rPr>
        <w:t xml:space="preserve"> manual</w:t>
      </w:r>
      <w:r w:rsidR="00F71B57">
        <w:rPr>
          <w:rFonts w:ascii="Arial" w:eastAsia="Calibri" w:hAnsi="Arial" w:cs="Arial"/>
          <w:sz w:val="22"/>
          <w:lang w:val="es-ES"/>
        </w:rPr>
        <w:t xml:space="preserve"> de contratación</w:t>
      </w:r>
      <w:r w:rsidR="00E544FA">
        <w:rPr>
          <w:rFonts w:ascii="Arial" w:eastAsia="Calibri" w:hAnsi="Arial" w:cs="Arial"/>
          <w:sz w:val="22"/>
          <w:lang w:val="es-ES"/>
        </w:rPr>
        <w:t xml:space="preserve"> para efectos de la selección del contratista</w:t>
      </w:r>
      <w:r w:rsidRPr="007840F7">
        <w:rPr>
          <w:rFonts w:ascii="Arial" w:eastAsia="Calibri" w:hAnsi="Arial" w:cs="Arial"/>
          <w:sz w:val="22"/>
          <w:lang w:val="es-ES"/>
        </w:rPr>
        <w:t>.  En contraste, si la entidad estatal se rige por el Estatuto General de Contratación de la Administración Pública, bien sea que obre en calidad de arrendadora o arrendataria, debe acudir a las modalidades de selección del contratista establecidos en dicho estatuto</w:t>
      </w:r>
      <w:r w:rsidR="00E544FA" w:rsidRPr="007840F7">
        <w:rPr>
          <w:rStyle w:val="Refdenotaalpie"/>
          <w:rFonts w:ascii="Arial" w:eastAsia="Calibri" w:hAnsi="Arial" w:cs="Arial"/>
          <w:sz w:val="22"/>
          <w:lang w:val="es-ES"/>
        </w:rPr>
        <w:footnoteReference w:id="6"/>
      </w:r>
      <w:r w:rsidR="007840F7">
        <w:rPr>
          <w:rFonts w:ascii="Arial" w:eastAsia="Calibri" w:hAnsi="Arial" w:cs="Arial"/>
          <w:sz w:val="22"/>
          <w:lang w:val="es-ES"/>
        </w:rPr>
        <w:t>.</w:t>
      </w:r>
    </w:p>
    <w:p w14:paraId="26637B40" w14:textId="0EEDA517" w:rsidR="00D051A4" w:rsidRDefault="007840F7" w:rsidP="0059750E">
      <w:pPr>
        <w:spacing w:line="276" w:lineRule="auto"/>
        <w:ind w:firstLine="709"/>
        <w:jc w:val="both"/>
        <w:rPr>
          <w:rFonts w:ascii="Arial" w:hAnsi="Arial" w:cs="Arial"/>
          <w:bCs/>
          <w:color w:val="000000" w:themeColor="text1"/>
          <w:sz w:val="22"/>
          <w:lang w:val="es-ES"/>
        </w:rPr>
      </w:pPr>
      <w:r>
        <w:rPr>
          <w:rFonts w:ascii="Arial" w:eastAsia="Calibri" w:hAnsi="Arial" w:cs="Arial"/>
          <w:sz w:val="22"/>
          <w:lang w:val="es-ES"/>
        </w:rPr>
        <w:t>En efecto</w:t>
      </w:r>
      <w:r w:rsidRPr="007840F7">
        <w:rPr>
          <w:rFonts w:ascii="Arial" w:eastAsia="Calibri" w:hAnsi="Arial" w:cs="Arial"/>
          <w:sz w:val="22"/>
          <w:lang w:val="es-ES"/>
        </w:rPr>
        <w:t xml:space="preserve">, tratándose del arrendamiento de bienes </w:t>
      </w:r>
      <w:r w:rsidRPr="007840F7">
        <w:rPr>
          <w:rFonts w:ascii="Arial" w:eastAsia="Calibri" w:hAnsi="Arial" w:cs="Arial"/>
          <w:i/>
          <w:sz w:val="22"/>
          <w:lang w:val="es-ES"/>
        </w:rPr>
        <w:t>inmuebles</w:t>
      </w:r>
      <w:r w:rsidRPr="007840F7">
        <w:rPr>
          <w:rFonts w:ascii="Arial" w:eastAsia="Calibri" w:hAnsi="Arial" w:cs="Arial"/>
          <w:sz w:val="22"/>
          <w:lang w:val="es-ES"/>
        </w:rPr>
        <w:t xml:space="preserve"> el artículo 2º, numeral 4° literal i)</w:t>
      </w:r>
      <w:r w:rsidR="00065C8D">
        <w:rPr>
          <w:rFonts w:ascii="Arial" w:eastAsia="Calibri" w:hAnsi="Arial" w:cs="Arial"/>
          <w:sz w:val="22"/>
          <w:lang w:val="es-ES"/>
        </w:rPr>
        <w:t>,</w:t>
      </w:r>
      <w:r w:rsidRPr="007840F7">
        <w:rPr>
          <w:rFonts w:ascii="Arial" w:eastAsia="Calibri" w:hAnsi="Arial" w:cs="Arial"/>
          <w:sz w:val="22"/>
          <w:lang w:val="es-ES"/>
        </w:rPr>
        <w:t xml:space="preserve"> de la Ley 1150 de 2007 dispone </w:t>
      </w:r>
      <w:r w:rsidR="00E14829" w:rsidRPr="007840F7">
        <w:rPr>
          <w:rFonts w:ascii="Arial" w:eastAsia="Calibri" w:hAnsi="Arial" w:cs="Arial"/>
          <w:sz w:val="22"/>
          <w:lang w:val="es-ES"/>
        </w:rPr>
        <w:t>la modalidad de selección de contratación directa, pues</w:t>
      </w:r>
      <w:r w:rsidR="00F2227D">
        <w:rPr>
          <w:rFonts w:ascii="Arial" w:eastAsia="Calibri" w:hAnsi="Arial" w:cs="Arial"/>
          <w:sz w:val="22"/>
          <w:lang w:val="es-ES"/>
        </w:rPr>
        <w:t>,</w:t>
      </w:r>
      <w:r w:rsidR="00E14829" w:rsidRPr="007840F7">
        <w:rPr>
          <w:rFonts w:ascii="Arial" w:eastAsia="Calibri" w:hAnsi="Arial" w:cs="Arial"/>
          <w:sz w:val="22"/>
          <w:lang w:val="es-ES"/>
        </w:rPr>
        <w:t xml:space="preserve"> establece que una de las causales de este procedimiento es «i) El arrendamiento o adquisición de inmuebles». </w:t>
      </w:r>
      <w:r w:rsidR="00D80F25">
        <w:rPr>
          <w:rFonts w:ascii="Arial" w:hAnsi="Arial" w:cs="Arial"/>
          <w:bCs/>
          <w:color w:val="000000" w:themeColor="text1"/>
          <w:sz w:val="22"/>
          <w:lang w:val="es-ES"/>
        </w:rPr>
        <w:t>Adicionalmente</w:t>
      </w:r>
      <w:r w:rsidR="00D051A4" w:rsidRPr="00D051A4">
        <w:rPr>
          <w:rFonts w:ascii="Arial" w:hAnsi="Arial" w:cs="Arial"/>
          <w:bCs/>
          <w:color w:val="000000" w:themeColor="text1"/>
          <w:sz w:val="22"/>
          <w:lang w:val="es-ES"/>
        </w:rPr>
        <w:t xml:space="preserve">, el artículo 2.2.1.2.1.4.11 del Decreto 1082 de 2015 </w:t>
      </w:r>
      <w:r w:rsidR="00A91A6D">
        <w:rPr>
          <w:rFonts w:ascii="Arial" w:hAnsi="Arial" w:cs="Arial"/>
          <w:bCs/>
          <w:color w:val="000000" w:themeColor="text1"/>
          <w:sz w:val="22"/>
          <w:lang w:val="es-ES"/>
        </w:rPr>
        <w:t>dispone que l</w:t>
      </w:r>
      <w:r w:rsidR="00A91A6D" w:rsidRPr="00A91A6D">
        <w:rPr>
          <w:rFonts w:ascii="Arial" w:hAnsi="Arial" w:cs="Arial"/>
          <w:bCs/>
          <w:color w:val="000000" w:themeColor="text1"/>
          <w:sz w:val="22"/>
          <w:lang w:val="es-ES"/>
        </w:rPr>
        <w:t>as entidades estatales pueden alquilar o arrendar inmuebles mediante contratación directa para lo cual deben seguir las siguientes reglas</w:t>
      </w:r>
      <w:r w:rsidR="00D051A4" w:rsidRPr="00D051A4">
        <w:rPr>
          <w:rFonts w:ascii="Arial" w:hAnsi="Arial" w:cs="Arial"/>
          <w:bCs/>
          <w:color w:val="000000" w:themeColor="text1"/>
          <w:sz w:val="22"/>
          <w:lang w:val="es-ES"/>
        </w:rPr>
        <w:t xml:space="preserve">: </w:t>
      </w:r>
    </w:p>
    <w:p w14:paraId="60312B26" w14:textId="77777777" w:rsidR="00D80F25" w:rsidRPr="00D051A4" w:rsidRDefault="00D80F25" w:rsidP="0059750E">
      <w:pPr>
        <w:spacing w:line="276" w:lineRule="auto"/>
        <w:ind w:firstLine="709"/>
        <w:jc w:val="both"/>
        <w:rPr>
          <w:rFonts w:ascii="Arial" w:hAnsi="Arial" w:cs="Arial"/>
          <w:bCs/>
          <w:color w:val="000000" w:themeColor="text1"/>
          <w:sz w:val="22"/>
          <w:lang w:val="es-ES"/>
        </w:rPr>
      </w:pPr>
    </w:p>
    <w:p w14:paraId="50A746C8" w14:textId="122680F5" w:rsidR="00D051A4" w:rsidRPr="002166FB" w:rsidRDefault="00D051A4" w:rsidP="0059750E">
      <w:pPr>
        <w:ind w:left="709" w:right="709"/>
        <w:jc w:val="both"/>
        <w:rPr>
          <w:rFonts w:ascii="Arial" w:eastAsia="Calibri" w:hAnsi="Arial" w:cs="Arial"/>
          <w:sz w:val="21"/>
          <w:szCs w:val="21"/>
        </w:rPr>
      </w:pPr>
      <w:r w:rsidRPr="002166FB">
        <w:rPr>
          <w:rFonts w:ascii="Arial" w:eastAsia="Calibri" w:hAnsi="Arial" w:cs="Arial"/>
          <w:sz w:val="21"/>
          <w:szCs w:val="21"/>
        </w:rPr>
        <w:t>1.    Verificar las condiciones del mercado inmobiliario en la ciudad en la que la Entidad Estatal requiere el inmueble.</w:t>
      </w:r>
    </w:p>
    <w:p w14:paraId="3C5359AC" w14:textId="19E8BB5F" w:rsidR="00D051A4" w:rsidRDefault="00D051A4" w:rsidP="0059750E">
      <w:pPr>
        <w:ind w:left="709" w:right="709"/>
        <w:jc w:val="both"/>
        <w:rPr>
          <w:rFonts w:ascii="Arial" w:eastAsia="Calibri" w:hAnsi="Arial" w:cs="Arial"/>
          <w:sz w:val="21"/>
          <w:szCs w:val="21"/>
        </w:rPr>
      </w:pPr>
      <w:r w:rsidRPr="002166FB">
        <w:rPr>
          <w:rFonts w:ascii="Arial" w:eastAsia="Calibri" w:hAnsi="Arial" w:cs="Arial"/>
          <w:sz w:val="21"/>
          <w:szCs w:val="21"/>
        </w:rPr>
        <w:t>2.    Analizar y comparar las condiciones de los bienes inmuebles que satisfacen las necesidades identificadas y las opciones de arrendamiento, análisis que deberá tener en cuenta los principios y objetivos del sistema de compra y contratación pública.</w:t>
      </w:r>
    </w:p>
    <w:p w14:paraId="134C124D" w14:textId="77777777" w:rsidR="00D80F25" w:rsidRDefault="00D80F25" w:rsidP="0059750E">
      <w:pPr>
        <w:spacing w:line="276" w:lineRule="auto"/>
        <w:ind w:firstLine="708"/>
        <w:jc w:val="both"/>
        <w:rPr>
          <w:rFonts w:ascii="Arial" w:eastAsia="Calibri" w:hAnsi="Arial" w:cs="Arial"/>
          <w:color w:val="000000" w:themeColor="text1"/>
          <w:sz w:val="22"/>
        </w:rPr>
      </w:pPr>
    </w:p>
    <w:p w14:paraId="01203CE7" w14:textId="774CE49E" w:rsidR="00BC4FCF" w:rsidRDefault="00A91A6D" w:rsidP="0059750E">
      <w:pPr>
        <w:spacing w:after="120" w:line="276" w:lineRule="auto"/>
        <w:ind w:firstLine="709"/>
        <w:jc w:val="both"/>
        <w:rPr>
          <w:rFonts w:ascii="Arial" w:hAnsi="Arial" w:cs="Arial"/>
          <w:bCs/>
          <w:color w:val="000000" w:themeColor="text1"/>
          <w:sz w:val="22"/>
          <w:lang w:val="es-ES"/>
        </w:rPr>
      </w:pPr>
      <w:r>
        <w:rPr>
          <w:rFonts w:ascii="Arial" w:eastAsia="Calibri" w:hAnsi="Arial" w:cs="Arial"/>
          <w:sz w:val="22"/>
          <w:lang w:val="es-ES"/>
        </w:rPr>
        <w:t>En contraste, s</w:t>
      </w:r>
      <w:r w:rsidR="007840F7" w:rsidRPr="007840F7">
        <w:rPr>
          <w:rFonts w:ascii="Arial" w:eastAsia="Calibri" w:hAnsi="Arial" w:cs="Arial"/>
          <w:sz w:val="22"/>
          <w:lang w:val="es-ES"/>
        </w:rPr>
        <w:t xml:space="preserve">i se trata de arrendamiento de bienes </w:t>
      </w:r>
      <w:r w:rsidR="007840F7" w:rsidRPr="007840F7">
        <w:rPr>
          <w:rFonts w:ascii="Arial" w:eastAsia="Calibri" w:hAnsi="Arial" w:cs="Arial"/>
          <w:i/>
          <w:sz w:val="22"/>
          <w:lang w:val="es-ES"/>
        </w:rPr>
        <w:t>muebles,</w:t>
      </w:r>
      <w:r w:rsidR="007840F7" w:rsidRPr="007840F7">
        <w:rPr>
          <w:rFonts w:ascii="Arial" w:eastAsia="Calibri" w:hAnsi="Arial" w:cs="Arial"/>
          <w:sz w:val="22"/>
          <w:lang w:val="es-ES"/>
        </w:rPr>
        <w:t xml:space="preserve"> la modalidad aplicable será la</w:t>
      </w:r>
      <w:r w:rsidR="00E14829" w:rsidRPr="007840F7">
        <w:rPr>
          <w:rFonts w:ascii="Arial" w:eastAsia="Calibri" w:hAnsi="Arial" w:cs="Arial"/>
          <w:sz w:val="22"/>
          <w:lang w:val="es-ES"/>
        </w:rPr>
        <w:t xml:space="preserve"> licitación pública, </w:t>
      </w:r>
      <w:r w:rsidR="007840F7" w:rsidRPr="007840F7">
        <w:rPr>
          <w:rFonts w:ascii="Arial" w:eastAsia="Calibri" w:hAnsi="Arial" w:cs="Arial"/>
          <w:sz w:val="22"/>
          <w:lang w:val="es-ES"/>
        </w:rPr>
        <w:t xml:space="preserve">la </w:t>
      </w:r>
      <w:r w:rsidR="00E14829" w:rsidRPr="007840F7">
        <w:rPr>
          <w:rFonts w:ascii="Arial" w:eastAsia="Calibri" w:hAnsi="Arial" w:cs="Arial"/>
          <w:sz w:val="22"/>
          <w:lang w:val="es-ES"/>
        </w:rPr>
        <w:t xml:space="preserve">selección abreviada o </w:t>
      </w:r>
      <w:r w:rsidR="007840F7" w:rsidRPr="007840F7">
        <w:rPr>
          <w:rFonts w:ascii="Arial" w:eastAsia="Calibri" w:hAnsi="Arial" w:cs="Arial"/>
          <w:sz w:val="22"/>
          <w:lang w:val="es-ES"/>
        </w:rPr>
        <w:t xml:space="preserve">la </w:t>
      </w:r>
      <w:r w:rsidR="00E14829" w:rsidRPr="007840F7">
        <w:rPr>
          <w:rFonts w:ascii="Arial" w:eastAsia="Calibri" w:hAnsi="Arial" w:cs="Arial"/>
          <w:sz w:val="22"/>
          <w:lang w:val="es-ES"/>
        </w:rPr>
        <w:t>mínima cuantía,</w:t>
      </w:r>
      <w:r w:rsidR="007840F7" w:rsidRPr="007840F7">
        <w:rPr>
          <w:rFonts w:ascii="Arial" w:eastAsia="Calibri" w:hAnsi="Arial" w:cs="Arial"/>
          <w:sz w:val="22"/>
          <w:lang w:val="es-ES"/>
        </w:rPr>
        <w:t xml:space="preserve"> según corresponda</w:t>
      </w:r>
      <w:r w:rsidR="00E14829" w:rsidRPr="007840F7">
        <w:rPr>
          <w:rFonts w:ascii="Arial" w:eastAsia="Calibri" w:hAnsi="Arial" w:cs="Arial"/>
          <w:sz w:val="22"/>
          <w:lang w:val="es-ES"/>
        </w:rPr>
        <w:t xml:space="preserve"> dependien</w:t>
      </w:r>
      <w:r w:rsidR="00D051A4">
        <w:rPr>
          <w:rFonts w:ascii="Arial" w:eastAsia="Calibri" w:hAnsi="Arial" w:cs="Arial"/>
          <w:sz w:val="22"/>
          <w:lang w:val="es-ES"/>
        </w:rPr>
        <w:t>do del valor de la contratación</w:t>
      </w:r>
      <w:r>
        <w:rPr>
          <w:rFonts w:ascii="Arial" w:eastAsia="Calibri" w:hAnsi="Arial" w:cs="Arial"/>
          <w:sz w:val="22"/>
          <w:lang w:val="es-ES"/>
        </w:rPr>
        <w:t>. Lo anterior en la medida</w:t>
      </w:r>
      <w:r w:rsidR="00D051A4">
        <w:rPr>
          <w:rFonts w:ascii="Arial" w:eastAsia="Calibri" w:hAnsi="Arial" w:cs="Arial"/>
          <w:sz w:val="22"/>
          <w:lang w:val="es-ES"/>
        </w:rPr>
        <w:t xml:space="preserve"> que no se encuentran dentro de las causales</w:t>
      </w:r>
      <w:r w:rsidR="00E14829" w:rsidRPr="007840F7">
        <w:rPr>
          <w:rFonts w:ascii="Arial" w:eastAsia="Calibri" w:hAnsi="Arial" w:cs="Arial"/>
          <w:sz w:val="22"/>
          <w:lang w:val="es-ES"/>
        </w:rPr>
        <w:t xml:space="preserve"> </w:t>
      </w:r>
      <w:r w:rsidR="00D051A4">
        <w:rPr>
          <w:rFonts w:ascii="Arial" w:eastAsia="Calibri" w:hAnsi="Arial" w:cs="Arial"/>
          <w:sz w:val="22"/>
          <w:lang w:val="es-ES"/>
        </w:rPr>
        <w:t>de contratación directa que expresamente se</w:t>
      </w:r>
      <w:r w:rsidR="00F2227D">
        <w:rPr>
          <w:rFonts w:ascii="Arial" w:eastAsia="Calibri" w:hAnsi="Arial" w:cs="Arial"/>
          <w:sz w:val="22"/>
          <w:lang w:val="es-ES"/>
        </w:rPr>
        <w:t xml:space="preserve">ñala el </w:t>
      </w:r>
      <w:r w:rsidR="00F2227D">
        <w:rPr>
          <w:rFonts w:ascii="Arial" w:eastAsia="Calibri" w:hAnsi="Arial" w:cs="Arial"/>
          <w:sz w:val="22"/>
          <w:lang w:val="es-ES"/>
        </w:rPr>
        <w:lastRenderedPageBreak/>
        <w:t xml:space="preserve">numeral 4 del artículo </w:t>
      </w:r>
      <w:r w:rsidR="00D051A4">
        <w:rPr>
          <w:rFonts w:ascii="Arial" w:eastAsia="Calibri" w:hAnsi="Arial" w:cs="Arial"/>
          <w:sz w:val="22"/>
          <w:lang w:val="es-ES"/>
        </w:rPr>
        <w:t>2 de la Ley 1150 de 2007.</w:t>
      </w:r>
      <w:r w:rsidR="00A67075">
        <w:rPr>
          <w:rFonts w:ascii="Arial" w:hAnsi="Arial" w:cs="Arial"/>
          <w:bCs/>
          <w:color w:val="000000" w:themeColor="text1"/>
          <w:sz w:val="22"/>
          <w:lang w:val="es-ES"/>
        </w:rPr>
        <w:t xml:space="preserve"> </w:t>
      </w:r>
      <w:r w:rsidR="00632277">
        <w:rPr>
          <w:rFonts w:ascii="Arial" w:hAnsi="Arial" w:cs="Arial"/>
          <w:bCs/>
          <w:color w:val="000000" w:themeColor="text1"/>
          <w:sz w:val="22"/>
          <w:lang w:val="es-ES"/>
        </w:rPr>
        <w:t xml:space="preserve">Por otra parte, </w:t>
      </w:r>
      <w:r w:rsidR="00EA1AE3">
        <w:rPr>
          <w:rFonts w:ascii="Arial" w:hAnsi="Arial" w:cs="Arial"/>
          <w:bCs/>
          <w:color w:val="000000" w:themeColor="text1"/>
          <w:sz w:val="22"/>
          <w:lang w:val="es-ES"/>
        </w:rPr>
        <w:t>si</w:t>
      </w:r>
      <w:r w:rsidR="00632277">
        <w:rPr>
          <w:rFonts w:ascii="Arial" w:hAnsi="Arial" w:cs="Arial"/>
          <w:bCs/>
          <w:color w:val="000000" w:themeColor="text1"/>
          <w:sz w:val="22"/>
          <w:lang w:val="es-ES"/>
        </w:rPr>
        <w:t xml:space="preserve"> el arrendamiento recae sobre bienes públicos debe tener</w:t>
      </w:r>
      <w:r w:rsidR="00A67075">
        <w:rPr>
          <w:rFonts w:ascii="Arial" w:hAnsi="Arial" w:cs="Arial"/>
          <w:bCs/>
          <w:color w:val="000000" w:themeColor="text1"/>
          <w:sz w:val="22"/>
          <w:lang w:val="es-ES"/>
        </w:rPr>
        <w:t>se</w:t>
      </w:r>
      <w:r w:rsidR="00632277">
        <w:rPr>
          <w:rFonts w:ascii="Arial" w:hAnsi="Arial" w:cs="Arial"/>
          <w:bCs/>
          <w:color w:val="000000" w:themeColor="text1"/>
          <w:sz w:val="22"/>
          <w:lang w:val="es-ES"/>
        </w:rPr>
        <w:t xml:space="preserve"> en cuenta que </w:t>
      </w:r>
      <w:r w:rsidR="00BC4FCF">
        <w:rPr>
          <w:rFonts w:ascii="Arial" w:hAnsi="Arial" w:cs="Arial"/>
          <w:bCs/>
          <w:color w:val="000000" w:themeColor="text1"/>
          <w:sz w:val="22"/>
          <w:lang w:val="es-ES"/>
        </w:rPr>
        <w:t>la Sección Tercera d</w:t>
      </w:r>
      <w:r w:rsidR="00632277">
        <w:rPr>
          <w:rFonts w:ascii="Arial" w:hAnsi="Arial" w:cs="Arial"/>
          <w:bCs/>
          <w:color w:val="000000" w:themeColor="text1"/>
          <w:sz w:val="22"/>
          <w:lang w:val="es-ES"/>
        </w:rPr>
        <w:t>el Consejo de Estado</w:t>
      </w:r>
      <w:r w:rsidR="00BC4FCF">
        <w:rPr>
          <w:rFonts w:ascii="Arial" w:hAnsi="Arial" w:cs="Arial"/>
          <w:bCs/>
          <w:color w:val="000000" w:themeColor="text1"/>
          <w:sz w:val="22"/>
          <w:lang w:val="es-ES"/>
        </w:rPr>
        <w:t xml:space="preserve"> </w:t>
      </w:r>
      <w:r w:rsidR="00BC4FCF">
        <w:rPr>
          <w:rFonts w:ascii="Arial" w:hAnsi="Arial" w:cs="Arial"/>
          <w:bCs/>
          <w:color w:val="000000" w:themeColor="text1"/>
          <w:sz w:val="22"/>
        </w:rPr>
        <w:t xml:space="preserve">señaló que </w:t>
      </w:r>
      <w:r w:rsidR="00EA1AE3" w:rsidRPr="00D051A4">
        <w:rPr>
          <w:rFonts w:ascii="Arial" w:hAnsi="Arial" w:cs="Arial"/>
          <w:bCs/>
          <w:color w:val="000000" w:themeColor="text1"/>
          <w:sz w:val="22"/>
          <w:lang w:val="es-ES"/>
        </w:rPr>
        <w:t>los bienes que pueden ser susceptibles de arrendamiento son únicamente los bienes fiscales</w:t>
      </w:r>
      <w:r w:rsidR="00A67075">
        <w:rPr>
          <w:rFonts w:ascii="Arial" w:hAnsi="Arial" w:cs="Arial"/>
          <w:bCs/>
          <w:color w:val="000000" w:themeColor="text1"/>
          <w:sz w:val="22"/>
          <w:lang w:val="es-ES"/>
        </w:rPr>
        <w:t xml:space="preserve">, </w:t>
      </w:r>
      <w:r w:rsidR="00EA1AE3" w:rsidRPr="00D051A4">
        <w:rPr>
          <w:rFonts w:ascii="Arial" w:hAnsi="Arial" w:cs="Arial"/>
          <w:bCs/>
          <w:color w:val="000000" w:themeColor="text1"/>
          <w:sz w:val="22"/>
          <w:lang w:val="es-ES"/>
        </w:rPr>
        <w:t>no los bienes de uso público</w:t>
      </w:r>
      <w:r w:rsidRPr="005671A5">
        <w:rPr>
          <w:rStyle w:val="Refdenotaalpie"/>
          <w:rFonts w:ascii="Arial" w:hAnsi="Arial" w:cs="Arial"/>
          <w:sz w:val="22"/>
        </w:rPr>
        <w:footnoteReference w:id="7"/>
      </w:r>
      <w:r w:rsidR="00BC4FCF">
        <w:rPr>
          <w:rFonts w:ascii="Arial" w:hAnsi="Arial" w:cs="Arial"/>
          <w:bCs/>
          <w:color w:val="000000" w:themeColor="text1"/>
          <w:sz w:val="22"/>
          <w:lang w:val="es-ES"/>
        </w:rPr>
        <w:t>.</w:t>
      </w:r>
    </w:p>
    <w:p w14:paraId="102E863C" w14:textId="6D8C1270" w:rsidR="004A4DA9" w:rsidRDefault="00853B9D" w:rsidP="0059750E">
      <w:pPr>
        <w:pStyle w:val="Textonotapie"/>
        <w:spacing w:after="120" w:line="276" w:lineRule="auto"/>
        <w:ind w:firstLine="720"/>
        <w:jc w:val="both"/>
        <w:rPr>
          <w:rFonts w:ascii="Arial" w:hAnsi="Arial" w:cs="Arial"/>
          <w:sz w:val="22"/>
          <w:szCs w:val="22"/>
        </w:rPr>
      </w:pPr>
      <w:r>
        <w:rPr>
          <w:rFonts w:ascii="Arial" w:hAnsi="Arial" w:cs="Arial"/>
          <w:sz w:val="22"/>
          <w:szCs w:val="22"/>
        </w:rPr>
        <w:t>La jurisprudencia</w:t>
      </w:r>
      <w:r w:rsidR="006465DF" w:rsidRPr="006465DF">
        <w:rPr>
          <w:rFonts w:ascii="Arial" w:hAnsi="Arial" w:cs="Arial"/>
          <w:sz w:val="22"/>
          <w:szCs w:val="22"/>
        </w:rPr>
        <w:t xml:space="preserve"> </w:t>
      </w:r>
      <w:r w:rsidR="00CD12B2" w:rsidRPr="006465DF">
        <w:rPr>
          <w:rFonts w:ascii="Arial" w:hAnsi="Arial" w:cs="Arial"/>
          <w:sz w:val="22"/>
          <w:szCs w:val="22"/>
        </w:rPr>
        <w:t xml:space="preserve">define </w:t>
      </w:r>
      <w:r w:rsidR="006465DF" w:rsidRPr="006465DF">
        <w:rPr>
          <w:rFonts w:ascii="Arial" w:hAnsi="Arial" w:cs="Arial"/>
          <w:sz w:val="22"/>
          <w:szCs w:val="22"/>
        </w:rPr>
        <w:t xml:space="preserve">los bienes fiscales </w:t>
      </w:r>
      <w:r w:rsidR="00CD12B2" w:rsidRPr="006465DF">
        <w:rPr>
          <w:rFonts w:ascii="Arial" w:hAnsi="Arial" w:cs="Arial"/>
          <w:sz w:val="22"/>
          <w:szCs w:val="22"/>
        </w:rPr>
        <w:t xml:space="preserve">como </w:t>
      </w:r>
      <w:r w:rsidR="006465DF">
        <w:rPr>
          <w:rFonts w:ascii="Arial" w:hAnsi="Arial" w:cs="Arial"/>
          <w:sz w:val="22"/>
          <w:szCs w:val="22"/>
        </w:rPr>
        <w:t>«</w:t>
      </w:r>
      <w:r w:rsidR="00CD12B2" w:rsidRPr="006465DF">
        <w:rPr>
          <w:rFonts w:ascii="Arial" w:hAnsi="Arial" w:cs="Arial"/>
          <w:sz w:val="22"/>
          <w:szCs w:val="22"/>
        </w:rPr>
        <w:t xml:space="preserve">aquellos que pertenecen </w:t>
      </w:r>
      <w:r w:rsidR="006465DF" w:rsidRPr="006465DF">
        <w:rPr>
          <w:rFonts w:ascii="Arial" w:hAnsi="Arial" w:cs="Arial"/>
          <w:sz w:val="22"/>
          <w:szCs w:val="22"/>
        </w:rPr>
        <w:t xml:space="preserve"> </w:t>
      </w:r>
      <w:r w:rsidR="006465DF" w:rsidRPr="006465DF">
        <w:rPr>
          <w:rFonts w:ascii="Arial" w:hAnsi="Arial" w:cs="Arial"/>
          <w:color w:val="000000" w:themeColor="text1"/>
          <w:sz w:val="22"/>
          <w:szCs w:val="22"/>
        </w:rPr>
        <w:t>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006465DF" w:rsidRPr="006465DF">
        <w:rPr>
          <w:rFonts w:ascii="Arial" w:hAnsi="Arial" w:cs="Arial"/>
          <w:color w:val="000000" w:themeColor="text1"/>
          <w:spacing w:val="-27"/>
          <w:sz w:val="22"/>
          <w:szCs w:val="22"/>
        </w:rPr>
        <w:t xml:space="preserve"> </w:t>
      </w:r>
      <w:r w:rsidR="006465DF">
        <w:rPr>
          <w:rFonts w:ascii="Arial" w:hAnsi="Arial" w:cs="Arial"/>
          <w:color w:val="000000" w:themeColor="text1"/>
          <w:sz w:val="22"/>
          <w:szCs w:val="22"/>
        </w:rPr>
        <w:t>propiedad»</w:t>
      </w:r>
      <w:r w:rsidR="004A4DA9" w:rsidRPr="004A4DA9">
        <w:rPr>
          <w:rStyle w:val="Refdenotaalpie"/>
          <w:rFonts w:ascii="Arial" w:hAnsi="Arial" w:cs="Arial"/>
          <w:sz w:val="22"/>
          <w:szCs w:val="22"/>
        </w:rPr>
        <w:footnoteReference w:id="8"/>
      </w:r>
      <w:r>
        <w:rPr>
          <w:rStyle w:val="Refdenotaalpie"/>
          <w:rFonts w:ascii="Arial" w:hAnsi="Arial" w:cs="Arial"/>
          <w:sz w:val="22"/>
          <w:szCs w:val="22"/>
          <w:vertAlign w:val="baseline"/>
        </w:rPr>
        <w:t>.</w:t>
      </w:r>
      <w:r w:rsidR="000E57F0">
        <w:rPr>
          <w:rFonts w:ascii="Arial" w:hAnsi="Arial" w:cs="Arial"/>
          <w:color w:val="000000" w:themeColor="text1"/>
          <w:sz w:val="22"/>
          <w:szCs w:val="22"/>
        </w:rPr>
        <w:t xml:space="preserve"> </w:t>
      </w:r>
      <w:r w:rsidR="00CD12B2" w:rsidRPr="004A4DA9">
        <w:rPr>
          <w:rFonts w:ascii="Arial" w:hAnsi="Arial" w:cs="Arial"/>
          <w:sz w:val="22"/>
          <w:szCs w:val="22"/>
        </w:rPr>
        <w:t>De esta forma, sobre los bienes fiscales, a pesar de estar destinados a la prestación de servicios públicos, las entidades estatales tienen la facultad de disponer de ellos a través de un acto jurídico como la compraventa, la donación, el arriendo, entre</w:t>
      </w:r>
      <w:r w:rsidR="00CD12B2" w:rsidRPr="004A4DA9">
        <w:rPr>
          <w:rFonts w:ascii="Arial" w:hAnsi="Arial" w:cs="Arial"/>
          <w:spacing w:val="-3"/>
          <w:sz w:val="22"/>
          <w:szCs w:val="22"/>
        </w:rPr>
        <w:t xml:space="preserve"> </w:t>
      </w:r>
      <w:r w:rsidR="00CD12B2" w:rsidRPr="004A4DA9">
        <w:rPr>
          <w:rFonts w:ascii="Arial" w:hAnsi="Arial" w:cs="Arial"/>
          <w:sz w:val="22"/>
          <w:szCs w:val="22"/>
        </w:rPr>
        <w:t>otros.</w:t>
      </w:r>
      <w:r w:rsidR="006465DF" w:rsidRPr="004A4DA9">
        <w:rPr>
          <w:rStyle w:val="Refdenotaalpie"/>
          <w:rFonts w:ascii="Arial" w:hAnsi="Arial" w:cs="Arial"/>
          <w:sz w:val="22"/>
          <w:szCs w:val="22"/>
        </w:rPr>
        <w:t xml:space="preserve"> </w:t>
      </w:r>
    </w:p>
    <w:p w14:paraId="2074BDE7" w14:textId="060259F3" w:rsidR="00CD12B2" w:rsidRDefault="000E57F0" w:rsidP="0059750E">
      <w:pPr>
        <w:pStyle w:val="Textonotapie"/>
        <w:spacing w:after="120" w:line="276" w:lineRule="auto"/>
        <w:ind w:firstLine="720"/>
        <w:jc w:val="both"/>
        <w:rPr>
          <w:rFonts w:ascii="Arial" w:hAnsi="Arial" w:cs="Arial"/>
          <w:sz w:val="22"/>
          <w:szCs w:val="22"/>
        </w:rPr>
      </w:pPr>
      <w:r>
        <w:rPr>
          <w:rFonts w:ascii="Arial" w:hAnsi="Arial" w:cs="Arial"/>
          <w:sz w:val="22"/>
          <w:szCs w:val="22"/>
        </w:rPr>
        <w:t xml:space="preserve">Acerca de </w:t>
      </w:r>
      <w:r w:rsidRPr="004A4DA9">
        <w:rPr>
          <w:rFonts w:ascii="Arial" w:hAnsi="Arial" w:cs="Arial"/>
          <w:sz w:val="22"/>
          <w:szCs w:val="22"/>
        </w:rPr>
        <w:t>los bienes de uso público</w:t>
      </w:r>
      <w:r>
        <w:rPr>
          <w:rFonts w:ascii="Arial" w:hAnsi="Arial" w:cs="Arial"/>
          <w:sz w:val="22"/>
          <w:szCs w:val="22"/>
        </w:rPr>
        <w:t>,</w:t>
      </w:r>
      <w:r w:rsidRPr="004A4DA9">
        <w:rPr>
          <w:rFonts w:ascii="Arial" w:hAnsi="Arial" w:cs="Arial"/>
          <w:sz w:val="22"/>
          <w:szCs w:val="22"/>
        </w:rPr>
        <w:t xml:space="preserve"> </w:t>
      </w:r>
      <w:r w:rsidR="004A4DA9">
        <w:rPr>
          <w:rFonts w:ascii="Arial" w:hAnsi="Arial" w:cs="Arial"/>
          <w:sz w:val="22"/>
          <w:szCs w:val="22"/>
        </w:rPr>
        <w:t>el Consejo de E</w:t>
      </w:r>
      <w:r>
        <w:rPr>
          <w:rFonts w:ascii="Arial" w:hAnsi="Arial" w:cs="Arial"/>
          <w:sz w:val="22"/>
          <w:szCs w:val="22"/>
        </w:rPr>
        <w:t xml:space="preserve">stado los </w:t>
      </w:r>
      <w:r w:rsidR="00CD12B2" w:rsidRPr="004A4DA9">
        <w:rPr>
          <w:rFonts w:ascii="Arial" w:hAnsi="Arial" w:cs="Arial"/>
          <w:sz w:val="22"/>
          <w:szCs w:val="22"/>
        </w:rPr>
        <w:t xml:space="preserve">define como </w:t>
      </w:r>
      <w:r w:rsidR="006465DF" w:rsidRPr="004A4DA9">
        <w:rPr>
          <w:rFonts w:ascii="Arial" w:hAnsi="Arial" w:cs="Arial"/>
          <w:sz w:val="22"/>
          <w:szCs w:val="22"/>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w:t>
      </w:r>
      <w:r w:rsidR="004A4DA9">
        <w:rPr>
          <w:rFonts w:ascii="Arial" w:hAnsi="Arial" w:cs="Arial"/>
          <w:sz w:val="22"/>
          <w:szCs w:val="22"/>
        </w:rPr>
        <w:t>os de interés general</w:t>
      </w:r>
      <w:r w:rsidR="006465DF" w:rsidRPr="004A4DA9">
        <w:rPr>
          <w:rFonts w:ascii="Arial" w:hAnsi="Arial" w:cs="Arial"/>
          <w:sz w:val="22"/>
          <w:szCs w:val="22"/>
        </w:rPr>
        <w:t>»</w:t>
      </w:r>
      <w:r w:rsidR="006465DF" w:rsidRPr="004A4DA9">
        <w:rPr>
          <w:rStyle w:val="Refdenotaalpie"/>
          <w:rFonts w:ascii="Arial" w:hAnsi="Arial" w:cs="Arial"/>
          <w:sz w:val="22"/>
          <w:szCs w:val="22"/>
        </w:rPr>
        <w:footnoteReference w:id="9"/>
      </w:r>
      <w:r w:rsidR="00200718">
        <w:rPr>
          <w:rFonts w:ascii="Arial" w:hAnsi="Arial" w:cs="Arial"/>
          <w:sz w:val="22"/>
          <w:szCs w:val="22"/>
        </w:rPr>
        <w:t>.</w:t>
      </w:r>
      <w:r w:rsidR="00CD12B2" w:rsidRPr="00632277">
        <w:rPr>
          <w:sz w:val="22"/>
          <w:szCs w:val="22"/>
        </w:rPr>
        <w:t xml:space="preserve"> </w:t>
      </w:r>
      <w:r w:rsidR="00CD12B2" w:rsidRPr="004A4DA9">
        <w:rPr>
          <w:rFonts w:ascii="Arial" w:hAnsi="Arial" w:cs="Arial"/>
          <w:sz w:val="22"/>
          <w:szCs w:val="22"/>
        </w:rPr>
        <w:t xml:space="preserve">Por lo tanto, como </w:t>
      </w:r>
      <w:r w:rsidR="00200718">
        <w:rPr>
          <w:rFonts w:ascii="Arial" w:hAnsi="Arial" w:cs="Arial"/>
          <w:sz w:val="22"/>
          <w:szCs w:val="22"/>
        </w:rPr>
        <w:t xml:space="preserve">estos </w:t>
      </w:r>
      <w:r w:rsidR="00CD12B2" w:rsidRPr="004A4DA9">
        <w:rPr>
          <w:rFonts w:ascii="Arial" w:hAnsi="Arial" w:cs="Arial"/>
          <w:sz w:val="22"/>
          <w:szCs w:val="22"/>
        </w:rPr>
        <w:t>bienes están destinados al uso de los habitantes de un territorio</w:t>
      </w:r>
      <w:r w:rsidR="00200718">
        <w:rPr>
          <w:rFonts w:ascii="Arial" w:hAnsi="Arial" w:cs="Arial"/>
          <w:sz w:val="22"/>
          <w:szCs w:val="22"/>
        </w:rPr>
        <w:t>,</w:t>
      </w:r>
      <w:r w:rsidR="00CD12B2" w:rsidRPr="004A4DA9">
        <w:rPr>
          <w:rFonts w:ascii="Arial" w:hAnsi="Arial" w:cs="Arial"/>
          <w:sz w:val="22"/>
          <w:szCs w:val="22"/>
        </w:rPr>
        <w:t xml:space="preserve"> el Estado no puede disponer de ellos por encontrarse fuera del comercio</w:t>
      </w:r>
      <w:r w:rsidR="00D6341C" w:rsidRPr="00632277">
        <w:rPr>
          <w:rStyle w:val="Refdenotaalpie"/>
          <w:sz w:val="22"/>
          <w:szCs w:val="22"/>
        </w:rPr>
        <w:footnoteReference w:id="10"/>
      </w:r>
      <w:r w:rsidR="00CD12B2" w:rsidRPr="004A4DA9">
        <w:rPr>
          <w:rFonts w:ascii="Arial" w:hAnsi="Arial" w:cs="Arial"/>
          <w:sz w:val="22"/>
          <w:szCs w:val="22"/>
        </w:rPr>
        <w:t>.</w:t>
      </w:r>
      <w:r w:rsidR="006465DF" w:rsidRPr="004A4DA9">
        <w:rPr>
          <w:rStyle w:val="Refdenotaalpie"/>
          <w:rFonts w:ascii="Arial" w:hAnsi="Arial" w:cs="Arial"/>
          <w:sz w:val="22"/>
          <w:szCs w:val="22"/>
        </w:rPr>
        <w:t xml:space="preserve"> </w:t>
      </w:r>
    </w:p>
    <w:p w14:paraId="61A3187E" w14:textId="515AC391" w:rsidR="00D051A4" w:rsidRPr="00BF2AB3" w:rsidRDefault="004A4DA9" w:rsidP="0059750E">
      <w:pPr>
        <w:spacing w:after="120" w:line="276" w:lineRule="auto"/>
        <w:ind w:firstLine="708"/>
        <w:jc w:val="both"/>
        <w:rPr>
          <w:rFonts w:ascii="Arial" w:hAnsi="Arial" w:cs="Arial"/>
          <w:bCs/>
          <w:color w:val="000000" w:themeColor="text1"/>
          <w:sz w:val="22"/>
          <w:vertAlign w:val="subscript"/>
          <w:lang w:val="es-ES"/>
        </w:rPr>
      </w:pPr>
      <w:r>
        <w:rPr>
          <w:rFonts w:ascii="Arial" w:hAnsi="Arial" w:cs="Arial"/>
          <w:bCs/>
          <w:color w:val="000000" w:themeColor="text1"/>
          <w:sz w:val="22"/>
          <w:lang w:val="es-ES"/>
        </w:rPr>
        <w:t xml:space="preserve">Otro aspecto importante </w:t>
      </w:r>
      <w:r w:rsidR="000E57F0">
        <w:rPr>
          <w:rFonts w:ascii="Arial" w:hAnsi="Arial" w:cs="Arial"/>
          <w:bCs/>
          <w:color w:val="000000" w:themeColor="text1"/>
          <w:sz w:val="22"/>
          <w:lang w:val="es-ES"/>
        </w:rPr>
        <w:t xml:space="preserve">del contrato de arrendamiento </w:t>
      </w:r>
      <w:r w:rsidR="00794D0F">
        <w:rPr>
          <w:rFonts w:ascii="Arial" w:hAnsi="Arial" w:cs="Arial"/>
          <w:bCs/>
          <w:color w:val="000000" w:themeColor="text1"/>
          <w:sz w:val="22"/>
          <w:lang w:val="es-ES"/>
        </w:rPr>
        <w:t>consiste en</w:t>
      </w:r>
      <w:r>
        <w:rPr>
          <w:rFonts w:ascii="Arial" w:hAnsi="Arial" w:cs="Arial"/>
          <w:bCs/>
          <w:color w:val="000000" w:themeColor="text1"/>
          <w:sz w:val="22"/>
          <w:lang w:val="es-ES"/>
        </w:rPr>
        <w:t xml:space="preserve"> la imposibilidad de pactar cláusulas de prórroga automática</w:t>
      </w:r>
      <w:r w:rsidR="00C35AAF">
        <w:rPr>
          <w:rFonts w:ascii="Arial" w:hAnsi="Arial" w:cs="Arial"/>
          <w:bCs/>
          <w:color w:val="000000" w:themeColor="text1"/>
          <w:sz w:val="22"/>
          <w:lang w:val="es-ES"/>
        </w:rPr>
        <w:t xml:space="preserve">, puesto que </w:t>
      </w:r>
      <w:r w:rsidR="00D051A4" w:rsidRPr="00D051A4">
        <w:rPr>
          <w:rFonts w:ascii="Arial" w:hAnsi="Arial" w:cs="Arial"/>
          <w:bCs/>
          <w:color w:val="000000" w:themeColor="text1"/>
          <w:sz w:val="22"/>
          <w:lang w:val="es-ES"/>
        </w:rPr>
        <w:t xml:space="preserve">el Consejo de Estado </w:t>
      </w:r>
      <w:r w:rsidR="00794D0F">
        <w:rPr>
          <w:rFonts w:ascii="Arial" w:hAnsi="Arial" w:cs="Arial"/>
          <w:bCs/>
          <w:color w:val="000000" w:themeColor="text1"/>
          <w:sz w:val="22"/>
          <w:lang w:val="es-ES"/>
        </w:rPr>
        <w:t>explica que</w:t>
      </w:r>
      <w:r w:rsidR="00D051A4" w:rsidRPr="00D051A4">
        <w:rPr>
          <w:rFonts w:ascii="Arial" w:hAnsi="Arial" w:cs="Arial"/>
          <w:bCs/>
          <w:color w:val="000000" w:themeColor="text1"/>
          <w:sz w:val="22"/>
          <w:lang w:val="es-ES"/>
        </w:rPr>
        <w:t xml:space="preserve">  «en </w:t>
      </w:r>
      <w:r w:rsidR="00D051A4" w:rsidRPr="00D051A4">
        <w:rPr>
          <w:rFonts w:ascii="Arial" w:hAnsi="Arial" w:cs="Arial"/>
          <w:sz w:val="22"/>
        </w:rPr>
        <w:t xml:space="preserve">el Estatuto General de la Contratación de la Administración Pública no existe norma alguna que autorice pactar prórrogas automáticas que favorezcan a un determinado contratista, resulta violatorio de los principios generales de libre concurrencia, de igualdad, </w:t>
      </w:r>
      <w:r w:rsidR="00D051A4" w:rsidRPr="00D051A4">
        <w:rPr>
          <w:rFonts w:ascii="Arial" w:hAnsi="Arial" w:cs="Arial"/>
          <w:sz w:val="22"/>
        </w:rPr>
        <w:lastRenderedPageBreak/>
        <w:t>de imparcialidad, de prevalencia del interés general y de transparencia que rigen todas las actuaciones contractuales de las entidades estatales»</w:t>
      </w:r>
      <w:r w:rsidR="00C35AAF" w:rsidRPr="00D051A4">
        <w:rPr>
          <w:rStyle w:val="Refdenotaalpie"/>
          <w:rFonts w:ascii="Arial" w:hAnsi="Arial" w:cs="Arial"/>
          <w:bCs/>
          <w:color w:val="000000" w:themeColor="text1"/>
          <w:sz w:val="22"/>
          <w:lang w:val="es-ES"/>
        </w:rPr>
        <w:footnoteReference w:id="11"/>
      </w:r>
      <w:r w:rsidR="00794D0F">
        <w:rPr>
          <w:rFonts w:ascii="Arial" w:hAnsi="Arial" w:cs="Arial"/>
          <w:bCs/>
          <w:color w:val="000000" w:themeColor="text1"/>
          <w:sz w:val="22"/>
          <w:vertAlign w:val="subscript"/>
          <w:lang w:val="es-ES"/>
        </w:rPr>
        <w:t>.</w:t>
      </w:r>
    </w:p>
    <w:p w14:paraId="21809423" w14:textId="220D7269" w:rsidR="003C3283" w:rsidRDefault="000E57F0" w:rsidP="0059750E">
      <w:pPr>
        <w:spacing w:after="120" w:line="276" w:lineRule="auto"/>
        <w:ind w:firstLine="708"/>
        <w:jc w:val="both"/>
        <w:rPr>
          <w:rFonts w:ascii="Arial" w:hAnsi="Arial" w:cs="Arial"/>
          <w:bCs/>
          <w:color w:val="000000" w:themeColor="text1"/>
          <w:sz w:val="22"/>
          <w:lang w:val="es-ES"/>
        </w:rPr>
      </w:pPr>
      <w:r>
        <w:rPr>
          <w:rFonts w:ascii="Arial" w:hAnsi="Arial" w:cs="Arial"/>
          <w:sz w:val="22"/>
        </w:rPr>
        <w:t>En síntesis,</w:t>
      </w:r>
      <w:r w:rsidR="003C3283" w:rsidRPr="003C3283">
        <w:rPr>
          <w:rFonts w:ascii="Arial" w:hAnsi="Arial" w:cs="Arial"/>
          <w:sz w:val="22"/>
        </w:rPr>
        <w:t xml:space="preserve"> </w:t>
      </w:r>
      <w:r w:rsidR="003C3283" w:rsidRPr="003C3283">
        <w:rPr>
          <w:rFonts w:ascii="Arial" w:hAnsi="Arial" w:cs="Arial"/>
          <w:bCs/>
          <w:color w:val="000000" w:themeColor="text1"/>
          <w:sz w:val="22"/>
          <w:lang w:val="es-ES"/>
        </w:rPr>
        <w:t>en los</w:t>
      </w:r>
      <w:r w:rsidR="003C3283" w:rsidRPr="003349C9">
        <w:rPr>
          <w:rFonts w:ascii="Arial" w:hAnsi="Arial" w:cs="Arial"/>
          <w:bCs/>
          <w:color w:val="000000" w:themeColor="text1"/>
          <w:sz w:val="22"/>
          <w:lang w:val="es-ES"/>
        </w:rPr>
        <w:t xml:space="preserve"> casos en donde una de las partes del contrato de arrendamiento sea una entidad </w:t>
      </w:r>
      <w:r w:rsidR="00794D0F">
        <w:rPr>
          <w:rFonts w:ascii="Arial" w:hAnsi="Arial" w:cs="Arial"/>
          <w:bCs/>
          <w:color w:val="000000" w:themeColor="text1"/>
          <w:sz w:val="22"/>
          <w:lang w:val="es-ES"/>
        </w:rPr>
        <w:t>pública</w:t>
      </w:r>
      <w:r w:rsidR="003C3283" w:rsidRPr="003349C9">
        <w:rPr>
          <w:rFonts w:ascii="Arial" w:hAnsi="Arial" w:cs="Arial"/>
          <w:bCs/>
          <w:color w:val="000000" w:themeColor="text1"/>
          <w:sz w:val="22"/>
          <w:lang w:val="es-ES"/>
        </w:rPr>
        <w:t>, este contrato adquiere el carácter de estatal y su contenido se enmarcará en las normas civiles y comerciales que lo regulan, además d</w:t>
      </w:r>
      <w:r w:rsidR="003C3283">
        <w:rPr>
          <w:rFonts w:ascii="Arial" w:hAnsi="Arial" w:cs="Arial"/>
          <w:bCs/>
          <w:color w:val="000000" w:themeColor="text1"/>
          <w:sz w:val="22"/>
          <w:lang w:val="es-ES"/>
        </w:rPr>
        <w:t xml:space="preserve">e las establecidas en el </w:t>
      </w:r>
      <w:r w:rsidR="007129AB" w:rsidRPr="007129AB">
        <w:rPr>
          <w:rFonts w:ascii="Arial" w:hAnsi="Arial" w:cs="Arial"/>
          <w:bCs/>
          <w:color w:val="000000" w:themeColor="text1"/>
          <w:sz w:val="22"/>
          <w:lang w:val="es-ES"/>
        </w:rPr>
        <w:t>Estatuto General de Contratación de la Administración Pública</w:t>
      </w:r>
      <w:r w:rsidR="003C3283">
        <w:rPr>
          <w:rFonts w:ascii="Arial" w:hAnsi="Arial" w:cs="Arial"/>
          <w:bCs/>
          <w:color w:val="000000" w:themeColor="text1"/>
          <w:sz w:val="22"/>
          <w:lang w:val="es-ES"/>
        </w:rPr>
        <w:t>.  En este tipo de contratos no podrán pactarse cláusulas de prórroga automática y únicamente serán susceptibles de darse en arrendamiento los bienes fiscales</w:t>
      </w:r>
      <w:r w:rsidR="00FE0E7C">
        <w:rPr>
          <w:rFonts w:ascii="Arial" w:hAnsi="Arial" w:cs="Arial"/>
          <w:bCs/>
          <w:color w:val="000000" w:themeColor="text1"/>
          <w:sz w:val="22"/>
          <w:lang w:val="es-ES"/>
        </w:rPr>
        <w:t>,</w:t>
      </w:r>
      <w:r w:rsidR="003C3283">
        <w:rPr>
          <w:rFonts w:ascii="Arial" w:hAnsi="Arial" w:cs="Arial"/>
          <w:bCs/>
          <w:color w:val="000000" w:themeColor="text1"/>
          <w:sz w:val="22"/>
          <w:lang w:val="es-ES"/>
        </w:rPr>
        <w:t xml:space="preserve"> puesto que las entid</w:t>
      </w:r>
      <w:r w:rsidR="00FE0E7C">
        <w:rPr>
          <w:rFonts w:ascii="Arial" w:hAnsi="Arial" w:cs="Arial"/>
          <w:bCs/>
          <w:color w:val="000000" w:themeColor="text1"/>
          <w:sz w:val="22"/>
          <w:lang w:val="es-ES"/>
        </w:rPr>
        <w:t>ades pueden disponer de ellos, lo que no ocurre con los bienes de uso público, pues se encuentran fuera del comercio.</w:t>
      </w:r>
    </w:p>
    <w:p w14:paraId="4DD2DD71" w14:textId="1EBA8BB7" w:rsidR="008F1F71" w:rsidRDefault="005C286C">
      <w:pPr>
        <w:spacing w:line="276" w:lineRule="auto"/>
        <w:ind w:firstLine="708"/>
        <w:jc w:val="both"/>
        <w:rPr>
          <w:rFonts w:ascii="Arial" w:eastAsia="Calibri" w:hAnsi="Arial" w:cs="Arial"/>
          <w:sz w:val="22"/>
        </w:rPr>
      </w:pPr>
      <w:r>
        <w:rPr>
          <w:rFonts w:ascii="Arial" w:eastAsia="Calibri" w:hAnsi="Arial" w:cs="Arial"/>
          <w:sz w:val="22"/>
        </w:rPr>
        <w:t>P</w:t>
      </w:r>
      <w:r w:rsidR="000E57F0">
        <w:rPr>
          <w:rFonts w:ascii="Arial" w:eastAsia="Calibri" w:hAnsi="Arial" w:cs="Arial"/>
          <w:sz w:val="22"/>
        </w:rPr>
        <w:t>or último, c</w:t>
      </w:r>
      <w:r w:rsidR="008F1F71">
        <w:rPr>
          <w:rFonts w:ascii="Arial" w:eastAsia="Calibri" w:hAnsi="Arial" w:cs="Arial"/>
          <w:sz w:val="22"/>
        </w:rPr>
        <w:t xml:space="preserve">abe mencionar que </w:t>
      </w:r>
      <w:r w:rsidR="008F1F71" w:rsidRPr="00606E0A">
        <w:rPr>
          <w:rFonts w:ascii="Arial" w:eastAsia="Calibri" w:hAnsi="Arial" w:cs="Arial"/>
          <w:sz w:val="22"/>
        </w:rPr>
        <w:t>independientemente del régimen aplicable</w:t>
      </w:r>
      <w:r w:rsidR="008F1F71">
        <w:rPr>
          <w:rFonts w:ascii="Arial" w:eastAsia="Calibri" w:hAnsi="Arial" w:cs="Arial"/>
          <w:sz w:val="22"/>
        </w:rPr>
        <w:t>, el contrato de arrendamiento</w:t>
      </w:r>
      <w:r w:rsidR="00591F55">
        <w:rPr>
          <w:rFonts w:ascii="Arial" w:eastAsia="Calibri" w:hAnsi="Arial" w:cs="Arial"/>
          <w:sz w:val="22"/>
        </w:rPr>
        <w:t xml:space="preserve"> </w:t>
      </w:r>
      <w:r w:rsidR="008F1F71">
        <w:rPr>
          <w:rFonts w:ascii="Arial" w:eastAsia="Calibri" w:hAnsi="Arial" w:cs="Arial"/>
          <w:sz w:val="22"/>
        </w:rPr>
        <w:t>debe publica</w:t>
      </w:r>
      <w:r w:rsidR="00794D0F">
        <w:rPr>
          <w:rFonts w:ascii="Arial" w:eastAsia="Calibri" w:hAnsi="Arial" w:cs="Arial"/>
          <w:sz w:val="22"/>
        </w:rPr>
        <w:t>rse</w:t>
      </w:r>
      <w:r w:rsidR="008F1F71">
        <w:rPr>
          <w:rFonts w:ascii="Arial" w:eastAsia="Calibri" w:hAnsi="Arial" w:cs="Arial"/>
          <w:sz w:val="22"/>
        </w:rPr>
        <w:t xml:space="preserve"> en el SECOP como los demás contratos estatales, en virtud </w:t>
      </w:r>
      <w:r w:rsidR="008F1F71" w:rsidRPr="00606E0A">
        <w:rPr>
          <w:rFonts w:ascii="Arial" w:eastAsia="Calibri" w:hAnsi="Arial" w:cs="Arial"/>
          <w:sz w:val="22"/>
        </w:rPr>
        <w:t xml:space="preserve">del principio de publicidad de la función administrativa consagrado en el artículo 209 de la Constitución Política. Dicho principio fue desarrollado por el legislador en el ámbito de la contratación estatal </w:t>
      </w:r>
      <w:r w:rsidR="008F1F71">
        <w:rPr>
          <w:rFonts w:ascii="Arial" w:eastAsia="Calibri" w:hAnsi="Arial" w:cs="Arial"/>
          <w:sz w:val="22"/>
        </w:rPr>
        <w:t>mediante</w:t>
      </w:r>
      <w:r w:rsidR="008F1F71" w:rsidRPr="00606E0A">
        <w:rPr>
          <w:rFonts w:ascii="Arial" w:eastAsia="Calibri" w:hAnsi="Arial" w:cs="Arial"/>
          <w:sz w:val="22"/>
        </w:rPr>
        <w:t xml:space="preserve"> el artículo 3 de la Ley 1150 de 2007, el artículo 11, literal g de la Ley 1712 de 2014 y su reglamentación, normas que obligan a que la publicidad de los contratos celebrados por las entidades estatales se realice a través del SECOP. </w:t>
      </w:r>
      <w:r w:rsidR="00591F55">
        <w:rPr>
          <w:rFonts w:ascii="Arial" w:eastAsia="Calibri" w:hAnsi="Arial" w:cs="Arial"/>
          <w:sz w:val="22"/>
        </w:rPr>
        <w:t xml:space="preserve"> </w:t>
      </w:r>
      <w:r w:rsidR="008F1F71" w:rsidRPr="00606E0A">
        <w:rPr>
          <w:rFonts w:ascii="Arial" w:eastAsia="Calibri" w:hAnsi="Arial" w:cs="Arial"/>
          <w:sz w:val="22"/>
        </w:rPr>
        <w:t xml:space="preserve">Esto </w:t>
      </w:r>
      <w:r w:rsidR="00591F55">
        <w:rPr>
          <w:rFonts w:ascii="Arial" w:eastAsia="Calibri" w:hAnsi="Arial" w:cs="Arial"/>
          <w:sz w:val="22"/>
        </w:rPr>
        <w:t>debido a que</w:t>
      </w:r>
      <w:r w:rsidR="008F1F71" w:rsidRPr="00606E0A">
        <w:rPr>
          <w:rFonts w:ascii="Arial" w:eastAsia="Calibri" w:hAnsi="Arial" w:cs="Arial"/>
          <w:sz w:val="22"/>
        </w:rPr>
        <w:t xml:space="preserve"> los contratos estatales involucran un interés público, por lo que deben publicarse en el mecanismo establecido para garantizar que se cumplan los principios de publicidad</w:t>
      </w:r>
      <w:r w:rsidR="008F1F71">
        <w:rPr>
          <w:rFonts w:ascii="Arial" w:eastAsia="Calibri" w:hAnsi="Arial" w:cs="Arial"/>
          <w:sz w:val="22"/>
        </w:rPr>
        <w:t xml:space="preserve"> y transparencia </w:t>
      </w:r>
      <w:r w:rsidR="00794D0F">
        <w:rPr>
          <w:rFonts w:ascii="Arial" w:eastAsia="Calibri" w:hAnsi="Arial" w:cs="Arial"/>
          <w:sz w:val="22"/>
        </w:rPr>
        <w:t>en la gestión contractual</w:t>
      </w:r>
      <w:r w:rsidR="008F1F71" w:rsidRPr="00606E0A">
        <w:rPr>
          <w:rFonts w:ascii="Arial" w:eastAsia="Calibri" w:hAnsi="Arial" w:cs="Arial"/>
          <w:sz w:val="22"/>
        </w:rPr>
        <w:t>.</w:t>
      </w:r>
    </w:p>
    <w:p w14:paraId="6357AC27" w14:textId="77777777" w:rsidR="005C286C" w:rsidRDefault="005C286C">
      <w:pPr>
        <w:spacing w:line="276" w:lineRule="auto"/>
        <w:ind w:firstLine="708"/>
        <w:jc w:val="both"/>
        <w:rPr>
          <w:rFonts w:ascii="Arial" w:eastAsia="Calibri" w:hAnsi="Arial" w:cs="Arial"/>
          <w:sz w:val="22"/>
        </w:rPr>
      </w:pPr>
    </w:p>
    <w:p w14:paraId="7349B08D" w14:textId="75BD0BEE" w:rsidR="00A87250" w:rsidRPr="00CA7B58" w:rsidRDefault="002B4EBC" w:rsidP="00613BA0">
      <w:pPr>
        <w:spacing w:line="276" w:lineRule="auto"/>
        <w:jc w:val="both"/>
        <w:rPr>
          <w:rFonts w:ascii="Arial" w:eastAsia="Calibri" w:hAnsi="Arial" w:cs="Arial"/>
          <w:b/>
          <w:color w:val="000000" w:themeColor="text1"/>
          <w:sz w:val="22"/>
          <w:lang w:val="es-ES_tradnl"/>
        </w:rPr>
      </w:pPr>
      <w:r w:rsidRPr="00CA7B58">
        <w:rPr>
          <w:rFonts w:ascii="Arial" w:eastAsia="Calibri" w:hAnsi="Arial" w:cs="Arial"/>
          <w:b/>
          <w:noProof/>
          <w:sz w:val="22"/>
          <w:lang w:val="es-ES_tradnl"/>
        </w:rPr>
        <w:t>2</w:t>
      </w:r>
      <w:r w:rsidR="007D259E" w:rsidRPr="00CA7B58">
        <w:rPr>
          <w:rFonts w:ascii="Arial" w:eastAsia="Calibri" w:hAnsi="Arial" w:cs="Arial"/>
          <w:b/>
          <w:noProof/>
          <w:sz w:val="22"/>
          <w:lang w:val="es-ES_tradnl"/>
        </w:rPr>
        <w:t>.</w:t>
      </w:r>
      <w:r w:rsidR="00C35AAF" w:rsidRPr="00CA7B58">
        <w:rPr>
          <w:rFonts w:ascii="Arial" w:eastAsia="Calibri" w:hAnsi="Arial" w:cs="Arial"/>
          <w:b/>
          <w:noProof/>
          <w:sz w:val="22"/>
          <w:lang w:val="es-ES_tradnl"/>
        </w:rPr>
        <w:t xml:space="preserve">2. </w:t>
      </w:r>
      <w:r w:rsidR="00A87250" w:rsidRPr="00CA7B58">
        <w:rPr>
          <w:rFonts w:ascii="Arial" w:eastAsia="Calibri" w:hAnsi="Arial" w:cs="Arial"/>
          <w:b/>
          <w:color w:val="000000" w:themeColor="text1"/>
          <w:sz w:val="22"/>
          <w:lang w:val="es-ES_tradnl"/>
        </w:rPr>
        <w:t>Arrendamiento de inmuebles afectados con medida cautelar de embargo</w:t>
      </w:r>
    </w:p>
    <w:p w14:paraId="707FA77D" w14:textId="54350656" w:rsidR="004D1C2A" w:rsidRPr="00CA7B58" w:rsidRDefault="004D1C2A" w:rsidP="00D36B0C">
      <w:pPr>
        <w:jc w:val="both"/>
        <w:rPr>
          <w:rFonts w:ascii="Arial" w:eastAsia="Calibri" w:hAnsi="Arial" w:cs="Arial"/>
          <w:b/>
          <w:color w:val="000000" w:themeColor="text1"/>
          <w:sz w:val="22"/>
          <w:lang w:val="es-ES_tradnl"/>
        </w:rPr>
      </w:pPr>
      <w:r w:rsidRPr="00CA7B58">
        <w:rPr>
          <w:rFonts w:ascii="Arial" w:eastAsia="Calibri" w:hAnsi="Arial" w:cs="Arial"/>
          <w:b/>
          <w:color w:val="000000" w:themeColor="text1"/>
          <w:sz w:val="22"/>
          <w:lang w:val="es-ES_tradnl"/>
        </w:rPr>
        <w:tab/>
      </w:r>
    </w:p>
    <w:p w14:paraId="306E43EB" w14:textId="219281B8" w:rsidR="00A800A0" w:rsidRPr="00CA7B58" w:rsidRDefault="00FA4D69" w:rsidP="00E860E8">
      <w:pPr>
        <w:spacing w:after="120" w:line="276" w:lineRule="auto"/>
        <w:jc w:val="both"/>
        <w:rPr>
          <w:rFonts w:ascii="Arial" w:eastAsia="Calibri" w:hAnsi="Arial" w:cs="Arial"/>
          <w:bCs/>
          <w:color w:val="000000" w:themeColor="text1"/>
          <w:sz w:val="22"/>
          <w:lang w:val="es-ES_tradnl"/>
        </w:rPr>
      </w:pPr>
      <w:r w:rsidRPr="00CA7B58">
        <w:rPr>
          <w:rFonts w:ascii="Arial" w:eastAsia="Calibri" w:hAnsi="Arial" w:cs="Arial"/>
          <w:bCs/>
          <w:color w:val="000000" w:themeColor="text1"/>
          <w:sz w:val="22"/>
          <w:lang w:val="es-ES_tradnl"/>
        </w:rPr>
        <w:t>E</w:t>
      </w:r>
      <w:r w:rsidR="00A17950" w:rsidRPr="00CA7B58">
        <w:rPr>
          <w:rFonts w:ascii="Arial" w:eastAsia="Calibri" w:hAnsi="Arial" w:cs="Arial"/>
          <w:bCs/>
          <w:color w:val="000000" w:themeColor="text1"/>
          <w:sz w:val="22"/>
          <w:lang w:val="es-ES_tradnl"/>
        </w:rPr>
        <w:t>n la consulta se indaga sobre la existencia de alg</w:t>
      </w:r>
      <w:r w:rsidR="00AD3635" w:rsidRPr="00CA7B58">
        <w:rPr>
          <w:rFonts w:ascii="Arial" w:eastAsia="Calibri" w:hAnsi="Arial" w:cs="Arial"/>
          <w:bCs/>
          <w:color w:val="000000" w:themeColor="text1"/>
          <w:sz w:val="22"/>
          <w:lang w:val="es-ES_tradnl"/>
        </w:rPr>
        <w:t>ún requisito</w:t>
      </w:r>
      <w:r w:rsidR="00A17950" w:rsidRPr="00CA7B58">
        <w:rPr>
          <w:rFonts w:ascii="Arial" w:eastAsia="Calibri" w:hAnsi="Arial" w:cs="Arial"/>
          <w:bCs/>
          <w:color w:val="000000" w:themeColor="text1"/>
          <w:sz w:val="22"/>
          <w:lang w:val="es-ES_tradnl"/>
        </w:rPr>
        <w:t xml:space="preserve"> </w:t>
      </w:r>
      <w:r w:rsidR="00BA425A" w:rsidRPr="00CA7B58">
        <w:rPr>
          <w:rFonts w:ascii="Arial" w:eastAsia="Calibri" w:hAnsi="Arial" w:cs="Arial"/>
          <w:bCs/>
          <w:color w:val="000000" w:themeColor="text1"/>
          <w:sz w:val="22"/>
          <w:lang w:val="es-ES_tradnl"/>
        </w:rPr>
        <w:t>aplicable a</w:t>
      </w:r>
      <w:r w:rsidR="0094442B" w:rsidRPr="00CA7B58">
        <w:rPr>
          <w:rFonts w:ascii="Arial" w:eastAsia="Calibri" w:hAnsi="Arial" w:cs="Arial"/>
          <w:bCs/>
          <w:color w:val="000000" w:themeColor="text1"/>
          <w:sz w:val="22"/>
          <w:lang w:val="es-ES_tradnl"/>
        </w:rPr>
        <w:t xml:space="preserve"> las entidades estatales</w:t>
      </w:r>
      <w:r w:rsidR="001F52E5" w:rsidRPr="00CA7B58">
        <w:rPr>
          <w:rFonts w:ascii="Arial" w:eastAsia="Calibri" w:hAnsi="Arial" w:cs="Arial"/>
          <w:bCs/>
          <w:color w:val="000000" w:themeColor="text1"/>
          <w:sz w:val="22"/>
          <w:lang w:val="es-ES_tradnl"/>
        </w:rPr>
        <w:t>,</w:t>
      </w:r>
      <w:r w:rsidR="00DC0B10" w:rsidRPr="00CA7B58">
        <w:rPr>
          <w:rFonts w:ascii="Arial" w:eastAsia="Calibri" w:hAnsi="Arial" w:cs="Arial"/>
          <w:bCs/>
          <w:color w:val="000000" w:themeColor="text1"/>
          <w:sz w:val="22"/>
          <w:lang w:val="es-ES_tradnl"/>
        </w:rPr>
        <w:t xml:space="preserve"> </w:t>
      </w:r>
      <w:r w:rsidR="001F52E5" w:rsidRPr="00CA7B58">
        <w:rPr>
          <w:rFonts w:ascii="Arial" w:eastAsia="Calibri" w:hAnsi="Arial" w:cs="Arial"/>
          <w:bCs/>
          <w:color w:val="000000" w:themeColor="text1"/>
          <w:sz w:val="22"/>
          <w:lang w:val="es-ES_tradnl"/>
        </w:rPr>
        <w:t>en virtud del cual</w:t>
      </w:r>
      <w:r w:rsidR="003E6D8A" w:rsidRPr="00CA7B58">
        <w:rPr>
          <w:rFonts w:ascii="Arial" w:eastAsia="Calibri" w:hAnsi="Arial" w:cs="Arial"/>
          <w:bCs/>
          <w:color w:val="000000" w:themeColor="text1"/>
          <w:sz w:val="22"/>
          <w:lang w:val="es-ES_tradnl"/>
        </w:rPr>
        <w:t xml:space="preserve"> los inmuebles </w:t>
      </w:r>
      <w:r w:rsidR="00AD3635" w:rsidRPr="00CA7B58">
        <w:rPr>
          <w:rFonts w:ascii="Arial" w:eastAsia="Calibri" w:hAnsi="Arial" w:cs="Arial"/>
          <w:bCs/>
          <w:color w:val="000000" w:themeColor="text1"/>
          <w:sz w:val="22"/>
          <w:lang w:val="es-ES_tradnl"/>
        </w:rPr>
        <w:t>objeto de</w:t>
      </w:r>
      <w:r w:rsidR="00B20312" w:rsidRPr="00CA7B58">
        <w:rPr>
          <w:rFonts w:ascii="Arial" w:eastAsia="Calibri" w:hAnsi="Arial" w:cs="Arial"/>
          <w:bCs/>
          <w:color w:val="000000" w:themeColor="text1"/>
          <w:sz w:val="22"/>
          <w:lang w:val="es-ES_tradnl"/>
        </w:rPr>
        <w:t xml:space="preserve"> contratos de</w:t>
      </w:r>
      <w:r w:rsidR="00AD3635" w:rsidRPr="00CA7B58">
        <w:rPr>
          <w:rFonts w:ascii="Arial" w:eastAsia="Calibri" w:hAnsi="Arial" w:cs="Arial"/>
          <w:bCs/>
          <w:color w:val="000000" w:themeColor="text1"/>
          <w:sz w:val="22"/>
          <w:lang w:val="es-ES_tradnl"/>
        </w:rPr>
        <w:t xml:space="preserve"> arrendamien</w:t>
      </w:r>
      <w:r w:rsidR="00BA425A" w:rsidRPr="00CA7B58">
        <w:rPr>
          <w:rFonts w:ascii="Arial" w:eastAsia="Calibri" w:hAnsi="Arial" w:cs="Arial"/>
          <w:bCs/>
          <w:color w:val="000000" w:themeColor="text1"/>
          <w:sz w:val="22"/>
          <w:lang w:val="es-ES_tradnl"/>
        </w:rPr>
        <w:t>to no</w:t>
      </w:r>
      <w:r w:rsidR="004673FB" w:rsidRPr="00CA7B58">
        <w:rPr>
          <w:rFonts w:ascii="Arial" w:eastAsia="Calibri" w:hAnsi="Arial" w:cs="Arial"/>
          <w:bCs/>
          <w:color w:val="000000" w:themeColor="text1"/>
          <w:sz w:val="22"/>
          <w:lang w:val="es-ES_tradnl"/>
        </w:rPr>
        <w:t xml:space="preserve"> deban estar afectados por medidas cautelares como el </w:t>
      </w:r>
      <w:r w:rsidR="004673FB" w:rsidRPr="00D36B0C">
        <w:rPr>
          <w:rFonts w:ascii="Arial" w:eastAsia="Calibri" w:hAnsi="Arial" w:cs="Arial"/>
          <w:bCs/>
          <w:i/>
          <w:iCs/>
          <w:color w:val="000000" w:themeColor="text1"/>
          <w:sz w:val="22"/>
          <w:lang w:val="es-ES_tradnl"/>
        </w:rPr>
        <w:t>embargo</w:t>
      </w:r>
      <w:r w:rsidR="004673FB" w:rsidRPr="00CA7B58">
        <w:rPr>
          <w:rFonts w:ascii="Arial" w:eastAsia="Calibri" w:hAnsi="Arial" w:cs="Arial"/>
          <w:bCs/>
          <w:color w:val="000000" w:themeColor="text1"/>
          <w:sz w:val="22"/>
          <w:lang w:val="es-ES_tradnl"/>
        </w:rPr>
        <w:t xml:space="preserve">. </w:t>
      </w:r>
      <w:r w:rsidR="00A800A0" w:rsidRPr="00CA7B58">
        <w:rPr>
          <w:rFonts w:ascii="Arial" w:eastAsia="Calibri" w:hAnsi="Arial" w:cs="Arial"/>
          <w:bCs/>
          <w:color w:val="000000" w:themeColor="text1"/>
          <w:sz w:val="22"/>
          <w:lang w:val="es-ES_tradnl"/>
        </w:rPr>
        <w:t>De conformidad con las normas analizadas en el acápite anterior, no se advierte dentro de las misma</w:t>
      </w:r>
      <w:r w:rsidR="00C91299" w:rsidRPr="00CA7B58">
        <w:rPr>
          <w:rFonts w:ascii="Arial" w:eastAsia="Calibri" w:hAnsi="Arial" w:cs="Arial"/>
          <w:bCs/>
          <w:color w:val="000000" w:themeColor="text1"/>
          <w:sz w:val="22"/>
          <w:lang w:val="es-ES_tradnl"/>
        </w:rPr>
        <w:t>s</w:t>
      </w:r>
      <w:r w:rsidR="00A800A0" w:rsidRPr="00CA7B58">
        <w:rPr>
          <w:rFonts w:ascii="Arial" w:eastAsia="Calibri" w:hAnsi="Arial" w:cs="Arial"/>
          <w:bCs/>
          <w:color w:val="000000" w:themeColor="text1"/>
          <w:sz w:val="22"/>
          <w:lang w:val="es-ES_tradnl"/>
        </w:rPr>
        <w:t xml:space="preserve"> </w:t>
      </w:r>
      <w:r w:rsidR="00C91299" w:rsidRPr="00CA7B58">
        <w:rPr>
          <w:rFonts w:ascii="Arial" w:eastAsia="Calibri" w:hAnsi="Arial" w:cs="Arial"/>
          <w:bCs/>
          <w:color w:val="000000" w:themeColor="text1"/>
          <w:sz w:val="22"/>
          <w:lang w:val="es-ES_tradnl"/>
        </w:rPr>
        <w:t>algún</w:t>
      </w:r>
      <w:r w:rsidR="00A800A0" w:rsidRPr="00CA7B58">
        <w:rPr>
          <w:rFonts w:ascii="Arial" w:eastAsia="Calibri" w:hAnsi="Arial" w:cs="Arial"/>
          <w:bCs/>
          <w:color w:val="000000" w:themeColor="text1"/>
          <w:sz w:val="22"/>
          <w:lang w:val="es-ES_tradnl"/>
        </w:rPr>
        <w:t xml:space="preserve"> </w:t>
      </w:r>
      <w:r w:rsidR="00330D4F" w:rsidRPr="00CA7B58">
        <w:rPr>
          <w:rFonts w:ascii="Arial" w:eastAsia="Calibri" w:hAnsi="Arial" w:cs="Arial"/>
          <w:bCs/>
          <w:color w:val="000000" w:themeColor="text1"/>
          <w:sz w:val="22"/>
          <w:lang w:val="es-ES_tradnl"/>
        </w:rPr>
        <w:t xml:space="preserve">requerimiento </w:t>
      </w:r>
      <w:r w:rsidR="007E7031" w:rsidRPr="00D36B0C">
        <w:rPr>
          <w:rFonts w:ascii="Arial" w:eastAsia="Calibri" w:hAnsi="Arial" w:cs="Arial"/>
          <w:bCs/>
          <w:color w:val="000000" w:themeColor="text1"/>
          <w:sz w:val="22"/>
          <w:lang w:val="es-ES_tradnl"/>
        </w:rPr>
        <w:t>que</w:t>
      </w:r>
      <w:r w:rsidR="00A800A0" w:rsidRPr="00CA7B58">
        <w:rPr>
          <w:rFonts w:ascii="Arial" w:eastAsia="Calibri" w:hAnsi="Arial" w:cs="Arial"/>
          <w:bCs/>
          <w:color w:val="000000" w:themeColor="text1"/>
          <w:sz w:val="22"/>
          <w:lang w:val="es-ES_tradnl"/>
        </w:rPr>
        <w:t xml:space="preserve"> apli</w:t>
      </w:r>
      <w:r w:rsidR="007E7031" w:rsidRPr="00D36B0C">
        <w:rPr>
          <w:rFonts w:ascii="Arial" w:eastAsia="Calibri" w:hAnsi="Arial" w:cs="Arial"/>
          <w:bCs/>
          <w:color w:val="000000" w:themeColor="text1"/>
          <w:sz w:val="22"/>
          <w:lang w:val="es-ES_tradnl"/>
        </w:rPr>
        <w:t>que</w:t>
      </w:r>
      <w:r w:rsidR="00C91299" w:rsidRPr="00CA7B58">
        <w:rPr>
          <w:rFonts w:ascii="Arial" w:eastAsia="Calibri" w:hAnsi="Arial" w:cs="Arial"/>
          <w:bCs/>
          <w:color w:val="000000" w:themeColor="text1"/>
          <w:sz w:val="22"/>
          <w:lang w:val="es-ES_tradnl"/>
        </w:rPr>
        <w:t xml:space="preserve"> a los contratos de arrendamiento </w:t>
      </w:r>
      <w:r w:rsidR="00F44552" w:rsidRPr="00CA7B58">
        <w:rPr>
          <w:rFonts w:ascii="Arial" w:eastAsia="Calibri" w:hAnsi="Arial" w:cs="Arial"/>
          <w:bCs/>
          <w:color w:val="000000" w:themeColor="text1"/>
          <w:sz w:val="22"/>
          <w:lang w:val="es-ES_tradnl"/>
        </w:rPr>
        <w:t xml:space="preserve">de las entidades estatales, que </w:t>
      </w:r>
      <w:r w:rsidR="005100F4" w:rsidRPr="00CA7B58">
        <w:rPr>
          <w:rFonts w:ascii="Arial" w:eastAsia="Calibri" w:hAnsi="Arial" w:cs="Arial"/>
          <w:bCs/>
          <w:color w:val="000000" w:themeColor="text1"/>
          <w:sz w:val="22"/>
          <w:lang w:val="es-ES_tradnl"/>
        </w:rPr>
        <w:t xml:space="preserve">excluya de la celebración de contratos de arrendamiento </w:t>
      </w:r>
      <w:r w:rsidR="005D75ED" w:rsidRPr="00CA7B58">
        <w:rPr>
          <w:rFonts w:ascii="Arial" w:eastAsia="Calibri" w:hAnsi="Arial" w:cs="Arial"/>
          <w:bCs/>
          <w:color w:val="000000" w:themeColor="text1"/>
          <w:sz w:val="22"/>
          <w:lang w:val="es-ES_tradnl"/>
        </w:rPr>
        <w:t>sobre</w:t>
      </w:r>
      <w:r w:rsidR="00040257" w:rsidRPr="00CA7B58">
        <w:rPr>
          <w:rFonts w:ascii="Arial" w:eastAsia="Calibri" w:hAnsi="Arial" w:cs="Arial"/>
          <w:bCs/>
          <w:color w:val="000000" w:themeColor="text1"/>
          <w:sz w:val="22"/>
          <w:lang w:val="es-ES_tradnl"/>
        </w:rPr>
        <w:t xml:space="preserve"> inmuebles</w:t>
      </w:r>
      <w:r w:rsidR="005D75ED" w:rsidRPr="00CA7B58">
        <w:rPr>
          <w:rFonts w:ascii="Arial" w:eastAsia="Calibri" w:hAnsi="Arial" w:cs="Arial"/>
          <w:bCs/>
          <w:color w:val="000000" w:themeColor="text1"/>
          <w:sz w:val="22"/>
          <w:lang w:val="es-ES_tradnl"/>
        </w:rPr>
        <w:t xml:space="preserve"> embargados</w:t>
      </w:r>
      <w:r w:rsidR="00330D4F" w:rsidRPr="00CA7B58">
        <w:rPr>
          <w:rFonts w:ascii="Arial" w:eastAsia="Calibri" w:hAnsi="Arial" w:cs="Arial"/>
          <w:bCs/>
          <w:color w:val="000000" w:themeColor="text1"/>
          <w:sz w:val="22"/>
          <w:lang w:val="es-ES_tradnl"/>
        </w:rPr>
        <w:t>. En ese sentido, la posibilidad de</w:t>
      </w:r>
      <w:r w:rsidR="00040257" w:rsidRPr="00CA7B58">
        <w:rPr>
          <w:rFonts w:ascii="Arial" w:eastAsia="Calibri" w:hAnsi="Arial" w:cs="Arial"/>
          <w:bCs/>
          <w:color w:val="000000" w:themeColor="text1"/>
          <w:sz w:val="22"/>
          <w:lang w:val="es-ES_tradnl"/>
        </w:rPr>
        <w:t xml:space="preserve"> </w:t>
      </w:r>
      <w:r w:rsidR="00BE6664" w:rsidRPr="00CA7B58">
        <w:rPr>
          <w:rFonts w:ascii="Arial" w:eastAsia="Calibri" w:hAnsi="Arial" w:cs="Arial"/>
          <w:bCs/>
          <w:color w:val="000000" w:themeColor="text1"/>
          <w:sz w:val="22"/>
          <w:lang w:val="es-ES_tradnl"/>
        </w:rPr>
        <w:t xml:space="preserve">que las entidades estatales arrienden inmuebles sujetos a embargo está determinada por las normas </w:t>
      </w:r>
      <w:r w:rsidR="002652E2" w:rsidRPr="00CA7B58">
        <w:rPr>
          <w:rFonts w:ascii="Arial" w:eastAsia="Calibri" w:hAnsi="Arial" w:cs="Arial"/>
          <w:bCs/>
          <w:color w:val="000000" w:themeColor="text1"/>
          <w:sz w:val="22"/>
          <w:lang w:val="es-ES_tradnl"/>
        </w:rPr>
        <w:t xml:space="preserve">generales que rigen el contrato de arrendamiento y la referida medida cautelar. </w:t>
      </w:r>
      <w:r w:rsidR="00F44552" w:rsidRPr="00CA7B58">
        <w:rPr>
          <w:rFonts w:ascii="Arial" w:eastAsia="Calibri" w:hAnsi="Arial" w:cs="Arial"/>
          <w:bCs/>
          <w:color w:val="000000" w:themeColor="text1"/>
          <w:sz w:val="22"/>
          <w:lang w:val="es-ES_tradnl"/>
        </w:rPr>
        <w:t xml:space="preserve"> </w:t>
      </w:r>
      <w:r w:rsidR="00A800A0" w:rsidRPr="00CA7B58">
        <w:rPr>
          <w:rFonts w:ascii="Arial" w:eastAsia="Calibri" w:hAnsi="Arial" w:cs="Arial"/>
          <w:bCs/>
          <w:color w:val="000000" w:themeColor="text1"/>
          <w:sz w:val="22"/>
          <w:lang w:val="es-ES_tradnl"/>
        </w:rPr>
        <w:t xml:space="preserve"> </w:t>
      </w:r>
    </w:p>
    <w:p w14:paraId="3E046D73" w14:textId="77777777" w:rsidR="00DC395D" w:rsidRPr="00CA7B58" w:rsidRDefault="000B6270" w:rsidP="002652E2">
      <w:pPr>
        <w:spacing w:after="120" w:line="276" w:lineRule="auto"/>
        <w:ind w:firstLine="708"/>
        <w:jc w:val="both"/>
        <w:rPr>
          <w:rFonts w:ascii="Arial" w:eastAsia="Calibri" w:hAnsi="Arial" w:cs="Arial"/>
          <w:bCs/>
          <w:color w:val="000000" w:themeColor="text1"/>
          <w:sz w:val="22"/>
          <w:lang w:val="es-ES_tradnl"/>
        </w:rPr>
      </w:pPr>
      <w:r w:rsidRPr="00CA7B58">
        <w:rPr>
          <w:rFonts w:ascii="Arial" w:eastAsia="Calibri" w:hAnsi="Arial" w:cs="Arial"/>
          <w:bCs/>
          <w:color w:val="000000" w:themeColor="text1"/>
          <w:sz w:val="22"/>
          <w:lang w:val="es-ES_tradnl"/>
        </w:rPr>
        <w:t xml:space="preserve">Sobre el particular debe </w:t>
      </w:r>
      <w:r w:rsidR="00BF3301" w:rsidRPr="00CA7B58">
        <w:rPr>
          <w:rFonts w:ascii="Arial" w:eastAsia="Calibri" w:hAnsi="Arial" w:cs="Arial"/>
          <w:bCs/>
          <w:color w:val="000000" w:themeColor="text1"/>
          <w:sz w:val="22"/>
          <w:lang w:val="es-ES_tradnl"/>
        </w:rPr>
        <w:t xml:space="preserve">recordarse que </w:t>
      </w:r>
      <w:r w:rsidR="002652E2" w:rsidRPr="00CA7B58">
        <w:rPr>
          <w:rFonts w:ascii="Arial" w:eastAsia="Calibri" w:hAnsi="Arial" w:cs="Arial"/>
          <w:bCs/>
          <w:color w:val="000000" w:themeColor="text1"/>
          <w:sz w:val="22"/>
          <w:lang w:val="es-ES_tradnl"/>
        </w:rPr>
        <w:t xml:space="preserve">el </w:t>
      </w:r>
      <w:r w:rsidR="002652E2" w:rsidRPr="00D36B0C">
        <w:rPr>
          <w:rFonts w:ascii="Arial" w:eastAsia="Calibri" w:hAnsi="Arial" w:cs="Arial"/>
          <w:bCs/>
          <w:i/>
          <w:iCs/>
          <w:color w:val="000000" w:themeColor="text1"/>
          <w:sz w:val="22"/>
          <w:lang w:val="es-ES_tradnl"/>
        </w:rPr>
        <w:t>embargo</w:t>
      </w:r>
      <w:r w:rsidR="00AE03B5" w:rsidRPr="00CA7B58">
        <w:rPr>
          <w:rFonts w:ascii="Arial" w:eastAsia="Calibri" w:hAnsi="Arial" w:cs="Arial"/>
          <w:bCs/>
          <w:color w:val="000000" w:themeColor="text1"/>
          <w:sz w:val="22"/>
          <w:lang w:val="es-ES_tradnl"/>
        </w:rPr>
        <w:t xml:space="preserve"> es una medida cautelar</w:t>
      </w:r>
      <w:r w:rsidR="002343FB" w:rsidRPr="00CA7B58">
        <w:rPr>
          <w:rFonts w:ascii="Arial" w:eastAsia="Calibri" w:hAnsi="Arial" w:cs="Arial"/>
          <w:bCs/>
          <w:color w:val="000000" w:themeColor="text1"/>
          <w:sz w:val="22"/>
          <w:lang w:val="es-ES_tradnl"/>
        </w:rPr>
        <w:t>, cuyo procedimiento se encuentra re</w:t>
      </w:r>
      <w:r w:rsidR="00514D37" w:rsidRPr="00CA7B58">
        <w:rPr>
          <w:rFonts w:ascii="Arial" w:eastAsia="Calibri" w:hAnsi="Arial" w:cs="Arial"/>
          <w:bCs/>
          <w:color w:val="000000" w:themeColor="text1"/>
          <w:sz w:val="22"/>
          <w:lang w:val="es-ES_tradnl"/>
        </w:rPr>
        <w:t>g</w:t>
      </w:r>
      <w:r w:rsidR="002343FB" w:rsidRPr="00CA7B58">
        <w:rPr>
          <w:rFonts w:ascii="Arial" w:eastAsia="Calibri" w:hAnsi="Arial" w:cs="Arial"/>
          <w:bCs/>
          <w:color w:val="000000" w:themeColor="text1"/>
          <w:sz w:val="22"/>
          <w:lang w:val="es-ES_tradnl"/>
        </w:rPr>
        <w:t xml:space="preserve">ulado en el artículo </w:t>
      </w:r>
      <w:r w:rsidR="00EA630B" w:rsidRPr="00CA7B58">
        <w:rPr>
          <w:rFonts w:ascii="Arial" w:eastAsia="Calibri" w:hAnsi="Arial" w:cs="Arial"/>
          <w:bCs/>
          <w:color w:val="000000" w:themeColor="text1"/>
          <w:sz w:val="22"/>
          <w:lang w:val="es-ES_tradnl"/>
        </w:rPr>
        <w:t>593 de</w:t>
      </w:r>
      <w:r w:rsidR="007333E3" w:rsidRPr="00CA7B58">
        <w:rPr>
          <w:rFonts w:ascii="Arial" w:eastAsia="Calibri" w:hAnsi="Arial" w:cs="Arial"/>
          <w:bCs/>
          <w:color w:val="000000" w:themeColor="text1"/>
          <w:sz w:val="22"/>
          <w:lang w:val="es-ES_tradnl"/>
        </w:rPr>
        <w:t xml:space="preserve"> la Ley 1564 de 2012</w:t>
      </w:r>
      <w:r w:rsidR="00FA4D69" w:rsidRPr="00CA7B58">
        <w:rPr>
          <w:rFonts w:ascii="Arial" w:eastAsia="Calibri" w:hAnsi="Arial" w:cs="Arial"/>
          <w:bCs/>
          <w:color w:val="000000" w:themeColor="text1"/>
          <w:sz w:val="22"/>
          <w:lang w:val="es-ES_tradnl"/>
        </w:rPr>
        <w:t>,</w:t>
      </w:r>
      <w:r w:rsidR="007333E3" w:rsidRPr="00CA7B58">
        <w:rPr>
          <w:rFonts w:ascii="Arial" w:eastAsia="Calibri" w:hAnsi="Arial" w:cs="Arial"/>
          <w:bCs/>
          <w:color w:val="000000" w:themeColor="text1"/>
          <w:sz w:val="22"/>
          <w:lang w:val="es-ES_tradnl"/>
        </w:rPr>
        <w:t xml:space="preserve"> y </w:t>
      </w:r>
      <w:r w:rsidR="00AF75B0" w:rsidRPr="00CA7B58">
        <w:rPr>
          <w:rFonts w:ascii="Arial" w:eastAsia="Calibri" w:hAnsi="Arial" w:cs="Arial"/>
          <w:bCs/>
          <w:color w:val="000000" w:themeColor="text1"/>
          <w:sz w:val="22"/>
          <w:lang w:val="es-ES_tradnl"/>
        </w:rPr>
        <w:t>en virtud de la cual se</w:t>
      </w:r>
      <w:r w:rsidR="00AE03B5" w:rsidRPr="00CA7B58">
        <w:rPr>
          <w:rFonts w:ascii="Arial" w:eastAsia="Calibri" w:hAnsi="Arial" w:cs="Arial"/>
          <w:bCs/>
          <w:color w:val="000000" w:themeColor="text1"/>
          <w:sz w:val="22"/>
          <w:lang w:val="es-ES_tradnl"/>
        </w:rPr>
        <w:t xml:space="preserve"> «[…] saca del comercio el bien cautelado, de tal suerte </w:t>
      </w:r>
      <w:r w:rsidR="005F57BF" w:rsidRPr="00CA7B58">
        <w:rPr>
          <w:rFonts w:ascii="Arial" w:eastAsia="Calibri" w:hAnsi="Arial" w:cs="Arial"/>
          <w:bCs/>
          <w:color w:val="000000" w:themeColor="text1"/>
          <w:sz w:val="22"/>
          <w:lang w:val="es-ES_tradnl"/>
        </w:rPr>
        <w:t>que,</w:t>
      </w:r>
      <w:r w:rsidR="00AE03B5" w:rsidRPr="00CA7B58">
        <w:rPr>
          <w:rFonts w:ascii="Arial" w:eastAsia="Calibri" w:hAnsi="Arial" w:cs="Arial"/>
          <w:bCs/>
          <w:color w:val="000000" w:themeColor="text1"/>
          <w:sz w:val="22"/>
          <w:lang w:val="es-ES_tradnl"/>
        </w:rPr>
        <w:t xml:space="preserve"> si se llegare a vender un bien que soporta un embargo, tal contrato será materia de nulidad absoluta por </w:t>
      </w:r>
      <w:r w:rsidR="00AE03B5" w:rsidRPr="00CA7B58">
        <w:rPr>
          <w:rFonts w:ascii="Arial" w:eastAsia="Calibri" w:hAnsi="Arial" w:cs="Arial"/>
          <w:bCs/>
          <w:color w:val="000000" w:themeColor="text1"/>
          <w:sz w:val="22"/>
          <w:lang w:val="es-ES_tradnl"/>
        </w:rPr>
        <w:lastRenderedPageBreak/>
        <w:t>objeto ilícito</w:t>
      </w:r>
      <w:r w:rsidR="00CC677A" w:rsidRPr="00CA7B58">
        <w:rPr>
          <w:rFonts w:ascii="Arial" w:eastAsia="Calibri" w:hAnsi="Arial" w:cs="Arial"/>
          <w:bCs/>
          <w:color w:val="000000" w:themeColor="text1"/>
          <w:sz w:val="22"/>
          <w:lang w:val="es-ES_tradnl"/>
        </w:rPr>
        <w:t>»</w:t>
      </w:r>
      <w:r w:rsidR="008C0166" w:rsidRPr="00CA7B58">
        <w:rPr>
          <w:rStyle w:val="Refdenotaalpie"/>
          <w:rFonts w:ascii="Arial" w:eastAsia="Calibri" w:hAnsi="Arial" w:cs="Arial"/>
          <w:bCs/>
          <w:color w:val="000000" w:themeColor="text1"/>
          <w:sz w:val="22"/>
          <w:lang w:val="es-ES_tradnl"/>
        </w:rPr>
        <w:footnoteReference w:id="12"/>
      </w:r>
      <w:r w:rsidR="00AE03B5" w:rsidRPr="00CA7B58">
        <w:rPr>
          <w:rFonts w:ascii="Arial" w:eastAsia="Calibri" w:hAnsi="Arial" w:cs="Arial"/>
          <w:bCs/>
          <w:color w:val="000000" w:themeColor="text1"/>
          <w:sz w:val="22"/>
          <w:lang w:val="es-ES_tradnl"/>
        </w:rPr>
        <w:t>.</w:t>
      </w:r>
      <w:r w:rsidR="00CC677A" w:rsidRPr="00CA7B58">
        <w:rPr>
          <w:rFonts w:ascii="Arial" w:eastAsia="Calibri" w:hAnsi="Arial" w:cs="Arial"/>
          <w:bCs/>
          <w:color w:val="000000" w:themeColor="text1"/>
          <w:sz w:val="22"/>
          <w:lang w:val="es-ES_tradnl"/>
        </w:rPr>
        <w:t xml:space="preserve"> </w:t>
      </w:r>
      <w:r w:rsidR="00A70A00" w:rsidRPr="00CA7B58">
        <w:rPr>
          <w:rFonts w:ascii="Arial" w:eastAsia="Calibri" w:hAnsi="Arial" w:cs="Arial"/>
          <w:bCs/>
          <w:color w:val="000000" w:themeColor="text1"/>
          <w:sz w:val="22"/>
          <w:lang w:val="es-ES_tradnl"/>
        </w:rPr>
        <w:t>Esto es concordante con el artículo 1521</w:t>
      </w:r>
      <w:r w:rsidR="00E622AE" w:rsidRPr="00CA7B58">
        <w:rPr>
          <w:rFonts w:ascii="Arial" w:eastAsia="Calibri" w:hAnsi="Arial" w:cs="Arial"/>
          <w:bCs/>
          <w:color w:val="000000" w:themeColor="text1"/>
          <w:sz w:val="22"/>
          <w:lang w:val="es-ES_tradnl"/>
        </w:rPr>
        <w:t xml:space="preserve"> del Código Civil que en su numeral 3 establece la enajenación de bienes </w:t>
      </w:r>
      <w:r w:rsidR="00CB6DAD" w:rsidRPr="00CA7B58">
        <w:rPr>
          <w:rFonts w:ascii="Arial" w:eastAsia="Calibri" w:hAnsi="Arial" w:cs="Arial"/>
          <w:bCs/>
          <w:color w:val="000000" w:themeColor="text1"/>
          <w:sz w:val="22"/>
          <w:lang w:val="es-ES_tradnl"/>
        </w:rPr>
        <w:t>embargados, como uno de los supuestos de objeto ilícito</w:t>
      </w:r>
      <w:r w:rsidR="00730D40" w:rsidRPr="00CA7B58">
        <w:rPr>
          <w:rStyle w:val="Refdenotaalpie"/>
          <w:rFonts w:ascii="Arial" w:eastAsia="Calibri" w:hAnsi="Arial" w:cs="Arial"/>
          <w:color w:val="000000" w:themeColor="text1"/>
          <w:sz w:val="22"/>
          <w:lang w:val="es-ES_tradnl"/>
        </w:rPr>
        <w:footnoteReference w:id="13"/>
      </w:r>
      <w:r w:rsidR="00CB6DAD" w:rsidRPr="00CA7B58">
        <w:rPr>
          <w:rFonts w:ascii="Arial" w:eastAsia="Calibri" w:hAnsi="Arial" w:cs="Arial"/>
          <w:bCs/>
          <w:color w:val="000000" w:themeColor="text1"/>
          <w:sz w:val="22"/>
          <w:lang w:val="es-ES_tradnl"/>
        </w:rPr>
        <w:t xml:space="preserve">. </w:t>
      </w:r>
      <w:r w:rsidR="00CC677A" w:rsidRPr="00CA7B58">
        <w:rPr>
          <w:rFonts w:ascii="Arial" w:eastAsia="Calibri" w:hAnsi="Arial" w:cs="Arial"/>
          <w:bCs/>
          <w:color w:val="000000" w:themeColor="text1"/>
          <w:sz w:val="22"/>
          <w:lang w:val="es-ES_tradnl"/>
        </w:rPr>
        <w:t xml:space="preserve">Dado </w:t>
      </w:r>
      <w:r w:rsidR="00E66A53" w:rsidRPr="00CA7B58">
        <w:rPr>
          <w:rFonts w:ascii="Arial" w:eastAsia="Calibri" w:hAnsi="Arial" w:cs="Arial"/>
          <w:bCs/>
          <w:color w:val="000000" w:themeColor="text1"/>
          <w:sz w:val="22"/>
          <w:lang w:val="es-ES_tradnl"/>
        </w:rPr>
        <w:t>lo anterior</w:t>
      </w:r>
      <w:r w:rsidR="00CC677A" w:rsidRPr="00CA7B58">
        <w:rPr>
          <w:rFonts w:ascii="Arial" w:eastAsia="Calibri" w:hAnsi="Arial" w:cs="Arial"/>
          <w:bCs/>
          <w:color w:val="000000" w:themeColor="text1"/>
          <w:sz w:val="22"/>
          <w:lang w:val="es-ES_tradnl"/>
        </w:rPr>
        <w:t xml:space="preserve">, </w:t>
      </w:r>
      <w:r w:rsidR="00166A35" w:rsidRPr="00CA7B58">
        <w:rPr>
          <w:rFonts w:ascii="Arial" w:eastAsia="Calibri" w:hAnsi="Arial" w:cs="Arial"/>
          <w:bCs/>
          <w:color w:val="000000" w:themeColor="text1"/>
          <w:sz w:val="22"/>
          <w:lang w:val="es-ES_tradnl"/>
        </w:rPr>
        <w:t>respecto</w:t>
      </w:r>
      <w:r w:rsidR="00AE03B5" w:rsidRPr="00CA7B58">
        <w:rPr>
          <w:rFonts w:ascii="Arial" w:eastAsia="Calibri" w:hAnsi="Arial" w:cs="Arial"/>
          <w:bCs/>
          <w:color w:val="000000" w:themeColor="text1"/>
          <w:sz w:val="22"/>
          <w:lang w:val="es-ES_tradnl"/>
        </w:rPr>
        <w:t xml:space="preserve"> de</w:t>
      </w:r>
      <w:r w:rsidR="00166A35" w:rsidRPr="00CA7B58">
        <w:rPr>
          <w:rFonts w:ascii="Arial" w:eastAsia="Calibri" w:hAnsi="Arial" w:cs="Arial"/>
          <w:bCs/>
          <w:color w:val="000000" w:themeColor="text1"/>
          <w:sz w:val="22"/>
          <w:lang w:val="es-ES_tradnl"/>
        </w:rPr>
        <w:t xml:space="preserve"> los bienes sujetos a registro, como es el caso de los inmuebles,</w:t>
      </w:r>
      <w:r w:rsidR="00AE03B5" w:rsidRPr="00CA7B58">
        <w:rPr>
          <w:rFonts w:ascii="Arial" w:eastAsia="Calibri" w:hAnsi="Arial" w:cs="Arial"/>
          <w:bCs/>
          <w:color w:val="000000" w:themeColor="text1"/>
          <w:sz w:val="22"/>
          <w:lang w:val="es-ES_tradnl"/>
        </w:rPr>
        <w:t xml:space="preserve"> </w:t>
      </w:r>
      <w:r w:rsidR="005F57BF" w:rsidRPr="00CA7B58">
        <w:rPr>
          <w:rFonts w:ascii="Arial" w:eastAsia="Calibri" w:hAnsi="Arial" w:cs="Arial"/>
          <w:bCs/>
          <w:color w:val="000000" w:themeColor="text1"/>
          <w:sz w:val="22"/>
          <w:lang w:val="es-ES_tradnl"/>
        </w:rPr>
        <w:t xml:space="preserve">de llegarse a inscribir </w:t>
      </w:r>
      <w:r w:rsidR="00AE03B5" w:rsidRPr="00CA7B58">
        <w:rPr>
          <w:rFonts w:ascii="Arial" w:eastAsia="Calibri" w:hAnsi="Arial" w:cs="Arial"/>
          <w:bCs/>
          <w:color w:val="000000" w:themeColor="text1"/>
          <w:sz w:val="22"/>
          <w:lang w:val="es-ES_tradnl"/>
        </w:rPr>
        <w:t xml:space="preserve">un embargo, </w:t>
      </w:r>
      <w:r w:rsidR="005F57BF" w:rsidRPr="00CA7B58">
        <w:rPr>
          <w:rFonts w:ascii="Arial" w:eastAsia="Calibri" w:hAnsi="Arial" w:cs="Arial"/>
          <w:bCs/>
          <w:color w:val="000000" w:themeColor="text1"/>
          <w:sz w:val="22"/>
          <w:lang w:val="es-ES_tradnl"/>
        </w:rPr>
        <w:t>«</w:t>
      </w:r>
      <w:r w:rsidR="00AE03B5" w:rsidRPr="00CA7B58">
        <w:rPr>
          <w:rFonts w:ascii="Arial" w:eastAsia="Calibri" w:hAnsi="Arial" w:cs="Arial"/>
          <w:bCs/>
          <w:color w:val="000000" w:themeColor="text1"/>
          <w:sz w:val="22"/>
          <w:lang w:val="es-ES_tradnl"/>
        </w:rPr>
        <w:t>el correspondiente registrador debe abstenerse de registrar cualquier acto de disposición sobre el bien, como una venta o una hipoteca</w:t>
      </w:r>
      <w:r w:rsidR="005F57BF" w:rsidRPr="00CA7B58">
        <w:rPr>
          <w:rFonts w:ascii="Arial" w:eastAsia="Calibri" w:hAnsi="Arial" w:cs="Arial"/>
          <w:bCs/>
          <w:color w:val="000000" w:themeColor="text1"/>
          <w:sz w:val="22"/>
          <w:lang w:val="es-ES_tradnl"/>
        </w:rPr>
        <w:t>»</w:t>
      </w:r>
      <w:r w:rsidR="006E515E" w:rsidRPr="00CA7B58">
        <w:rPr>
          <w:rStyle w:val="Refdenotaalpie"/>
          <w:rFonts w:ascii="Arial" w:eastAsia="Calibri" w:hAnsi="Arial" w:cs="Arial"/>
          <w:bCs/>
          <w:color w:val="000000" w:themeColor="text1"/>
          <w:sz w:val="22"/>
          <w:lang w:val="es-ES_tradnl"/>
        </w:rPr>
        <w:footnoteReference w:id="14"/>
      </w:r>
      <w:r w:rsidR="005F57BF" w:rsidRPr="00CA7B58">
        <w:rPr>
          <w:rFonts w:ascii="Arial" w:eastAsia="Calibri" w:hAnsi="Arial" w:cs="Arial"/>
          <w:bCs/>
          <w:color w:val="000000" w:themeColor="text1"/>
          <w:sz w:val="22"/>
          <w:lang w:val="es-ES_tradnl"/>
        </w:rPr>
        <w:t>.</w:t>
      </w:r>
    </w:p>
    <w:p w14:paraId="24B98B66" w14:textId="0C873FF2" w:rsidR="002B31B2" w:rsidRPr="00CA7B58" w:rsidRDefault="006A0C86" w:rsidP="00A50C41">
      <w:pPr>
        <w:spacing w:after="120" w:line="276" w:lineRule="auto"/>
        <w:ind w:firstLine="708"/>
        <w:jc w:val="both"/>
        <w:rPr>
          <w:rFonts w:ascii="Arial" w:eastAsia="Calibri" w:hAnsi="Arial" w:cs="Arial"/>
          <w:bCs/>
          <w:color w:val="000000" w:themeColor="text1"/>
          <w:sz w:val="22"/>
          <w:lang w:val="es-ES_tradnl"/>
        </w:rPr>
      </w:pPr>
      <w:r w:rsidRPr="00CA7B58">
        <w:rPr>
          <w:rFonts w:ascii="Arial" w:eastAsia="Calibri" w:hAnsi="Arial" w:cs="Arial"/>
          <w:bCs/>
          <w:color w:val="000000" w:themeColor="text1"/>
          <w:sz w:val="22"/>
          <w:lang w:val="es-ES_tradnl"/>
        </w:rPr>
        <w:t>Otro tipo de medida cautelar</w:t>
      </w:r>
      <w:r w:rsidR="00BA7994" w:rsidRPr="00CA7B58">
        <w:rPr>
          <w:rFonts w:ascii="Arial" w:eastAsia="Calibri" w:hAnsi="Arial" w:cs="Arial"/>
          <w:bCs/>
          <w:color w:val="000000" w:themeColor="text1"/>
          <w:sz w:val="22"/>
          <w:lang w:val="es-ES_tradnl"/>
        </w:rPr>
        <w:t xml:space="preserve"> </w:t>
      </w:r>
      <w:r w:rsidR="008F0746" w:rsidRPr="00CA7B58">
        <w:rPr>
          <w:rFonts w:ascii="Arial" w:eastAsia="Calibri" w:hAnsi="Arial" w:cs="Arial"/>
          <w:bCs/>
          <w:color w:val="000000" w:themeColor="text1"/>
          <w:sz w:val="22"/>
          <w:lang w:val="es-ES_tradnl"/>
        </w:rPr>
        <w:t xml:space="preserve">relevante </w:t>
      </w:r>
      <w:r w:rsidRPr="00CA7B58">
        <w:rPr>
          <w:rFonts w:ascii="Arial" w:eastAsia="Calibri" w:hAnsi="Arial" w:cs="Arial"/>
          <w:bCs/>
          <w:color w:val="000000" w:themeColor="text1"/>
          <w:sz w:val="22"/>
          <w:lang w:val="es-ES_tradnl"/>
        </w:rPr>
        <w:t xml:space="preserve">para </w:t>
      </w:r>
      <w:r w:rsidR="000A5C3A" w:rsidRPr="00CA7B58">
        <w:rPr>
          <w:rFonts w:ascii="Arial" w:eastAsia="Calibri" w:hAnsi="Arial" w:cs="Arial"/>
          <w:bCs/>
          <w:color w:val="000000" w:themeColor="text1"/>
          <w:sz w:val="22"/>
          <w:lang w:val="es-ES_tradnl"/>
        </w:rPr>
        <w:t xml:space="preserve">la consulta de la referencia </w:t>
      </w:r>
      <w:r w:rsidR="005E379D" w:rsidRPr="00CA7B58">
        <w:rPr>
          <w:rFonts w:ascii="Arial" w:eastAsia="Calibri" w:hAnsi="Arial" w:cs="Arial"/>
          <w:bCs/>
          <w:color w:val="000000" w:themeColor="text1"/>
          <w:sz w:val="22"/>
          <w:lang w:val="es-ES_tradnl"/>
        </w:rPr>
        <w:t xml:space="preserve">es </w:t>
      </w:r>
      <w:r w:rsidR="008F0746" w:rsidRPr="00CA7B58">
        <w:rPr>
          <w:rFonts w:ascii="Arial" w:eastAsia="Calibri" w:hAnsi="Arial" w:cs="Arial"/>
          <w:bCs/>
          <w:color w:val="000000" w:themeColor="text1"/>
          <w:sz w:val="22"/>
          <w:lang w:val="es-ES_tradnl"/>
        </w:rPr>
        <w:t xml:space="preserve">el </w:t>
      </w:r>
      <w:r w:rsidR="008F0746" w:rsidRPr="00D36B0C">
        <w:rPr>
          <w:rFonts w:ascii="Arial" w:eastAsia="Calibri" w:hAnsi="Arial" w:cs="Arial"/>
          <w:bCs/>
          <w:i/>
          <w:iCs/>
          <w:color w:val="000000" w:themeColor="text1"/>
          <w:sz w:val="22"/>
          <w:lang w:val="es-ES_tradnl"/>
        </w:rPr>
        <w:t>secuestro</w:t>
      </w:r>
      <w:r w:rsidR="008F0746" w:rsidRPr="00CA7B58">
        <w:rPr>
          <w:rFonts w:ascii="Arial" w:eastAsia="Calibri" w:hAnsi="Arial" w:cs="Arial"/>
          <w:bCs/>
          <w:color w:val="000000" w:themeColor="text1"/>
          <w:sz w:val="22"/>
          <w:lang w:val="es-ES_tradnl"/>
        </w:rPr>
        <w:t xml:space="preserve">, </w:t>
      </w:r>
      <w:r w:rsidR="002B31B2" w:rsidRPr="00CA7B58">
        <w:rPr>
          <w:rFonts w:ascii="Arial" w:eastAsia="Calibri" w:hAnsi="Arial" w:cs="Arial"/>
          <w:bCs/>
          <w:color w:val="000000" w:themeColor="text1"/>
          <w:sz w:val="22"/>
          <w:lang w:val="es-ES_tradnl"/>
        </w:rPr>
        <w:t xml:space="preserve">el cual es </w:t>
      </w:r>
      <w:r w:rsidR="00255364" w:rsidRPr="00CA7B58">
        <w:rPr>
          <w:rFonts w:ascii="Arial" w:eastAsia="Calibri" w:hAnsi="Arial" w:cs="Arial"/>
          <w:bCs/>
          <w:color w:val="000000" w:themeColor="text1"/>
          <w:sz w:val="22"/>
          <w:lang w:val="es-ES_tradnl"/>
        </w:rPr>
        <w:t>regulado por los artículos 2273 a 2281</w:t>
      </w:r>
      <w:r w:rsidR="002B31B2" w:rsidRPr="00CA7B58">
        <w:rPr>
          <w:rFonts w:ascii="Arial" w:eastAsia="Calibri" w:hAnsi="Arial" w:cs="Arial"/>
          <w:bCs/>
          <w:color w:val="000000" w:themeColor="text1"/>
          <w:sz w:val="22"/>
          <w:lang w:val="es-ES_tradnl"/>
        </w:rPr>
        <w:t xml:space="preserve"> del Código Civil</w:t>
      </w:r>
      <w:r w:rsidR="00C15B78" w:rsidRPr="00CA7B58">
        <w:rPr>
          <w:rFonts w:ascii="Arial" w:eastAsia="Calibri" w:hAnsi="Arial" w:cs="Arial"/>
          <w:bCs/>
          <w:color w:val="000000" w:themeColor="text1"/>
          <w:sz w:val="22"/>
          <w:lang w:val="es-ES_tradnl"/>
        </w:rPr>
        <w:t xml:space="preserve"> y 595 del </w:t>
      </w:r>
      <w:r w:rsidR="005A1320" w:rsidRPr="00CA7B58">
        <w:rPr>
          <w:rFonts w:ascii="Arial" w:eastAsia="Calibri" w:hAnsi="Arial" w:cs="Arial"/>
          <w:bCs/>
          <w:color w:val="000000" w:themeColor="text1"/>
          <w:sz w:val="22"/>
          <w:lang w:val="es-ES_tradnl"/>
        </w:rPr>
        <w:t xml:space="preserve">Código General del Proceso. </w:t>
      </w:r>
      <w:r w:rsidR="005875EA" w:rsidRPr="00CA7B58">
        <w:rPr>
          <w:rFonts w:ascii="Arial" w:eastAsia="Calibri" w:hAnsi="Arial" w:cs="Arial"/>
          <w:bCs/>
          <w:color w:val="000000" w:themeColor="text1"/>
          <w:sz w:val="22"/>
          <w:lang w:val="es-ES_tradnl"/>
        </w:rPr>
        <w:t xml:space="preserve">El artículo 2273 define al secuestro </w:t>
      </w:r>
      <w:r w:rsidR="002B31B2" w:rsidRPr="00CA7B58">
        <w:rPr>
          <w:rFonts w:ascii="Arial" w:eastAsia="Calibri" w:hAnsi="Arial" w:cs="Arial"/>
          <w:bCs/>
          <w:color w:val="000000" w:themeColor="text1"/>
          <w:sz w:val="22"/>
          <w:lang w:val="es-ES_tradnl"/>
        </w:rPr>
        <w:t>como: «</w:t>
      </w:r>
      <w:r w:rsidR="00EB4142" w:rsidRPr="00CA7B58">
        <w:rPr>
          <w:rFonts w:ascii="Arial" w:eastAsia="Calibri" w:hAnsi="Arial" w:cs="Arial"/>
          <w:bCs/>
          <w:color w:val="000000" w:themeColor="text1"/>
          <w:sz w:val="22"/>
          <w:lang w:val="es-ES_tradnl"/>
        </w:rPr>
        <w:t xml:space="preserve">[…] </w:t>
      </w:r>
      <w:r w:rsidR="002B31B2" w:rsidRPr="00CA7B58">
        <w:rPr>
          <w:rFonts w:ascii="Arial" w:eastAsia="Calibri" w:hAnsi="Arial" w:cs="Arial"/>
          <w:bCs/>
          <w:color w:val="000000" w:themeColor="text1"/>
          <w:sz w:val="22"/>
          <w:lang w:val="es-ES_tradnl"/>
        </w:rPr>
        <w:t>el depósito de una cosa que se disputan dos o más individuos, en manos de otro que debe restituirla al que obtenga una decisión a su favor</w:t>
      </w:r>
      <w:r w:rsidR="0032243E" w:rsidRPr="00CA7B58">
        <w:rPr>
          <w:rFonts w:ascii="Arial" w:eastAsia="Calibri" w:hAnsi="Arial" w:cs="Arial"/>
          <w:bCs/>
          <w:color w:val="000000" w:themeColor="text1"/>
          <w:sz w:val="22"/>
          <w:lang w:val="es-ES_tradnl"/>
        </w:rPr>
        <w:t>»</w:t>
      </w:r>
      <w:r w:rsidR="002B31B2" w:rsidRPr="00CA7B58">
        <w:rPr>
          <w:rFonts w:ascii="Arial" w:eastAsia="Calibri" w:hAnsi="Arial" w:cs="Arial"/>
          <w:bCs/>
          <w:color w:val="000000" w:themeColor="text1"/>
          <w:sz w:val="22"/>
          <w:lang w:val="es-ES_tradnl"/>
        </w:rPr>
        <w:t xml:space="preserve">. </w:t>
      </w:r>
      <w:r w:rsidR="00841210" w:rsidRPr="00CA7B58">
        <w:rPr>
          <w:rFonts w:ascii="Arial" w:eastAsia="Calibri" w:hAnsi="Arial" w:cs="Arial"/>
          <w:bCs/>
          <w:color w:val="000000" w:themeColor="text1"/>
          <w:sz w:val="22"/>
          <w:lang w:val="es-ES_tradnl"/>
        </w:rPr>
        <w:t xml:space="preserve">Esta medida cautelar cumple importantes objetivos, pues además de garantizar la conservación del bien, </w:t>
      </w:r>
      <w:r w:rsidR="00042F34" w:rsidRPr="00CA7B58">
        <w:rPr>
          <w:rFonts w:ascii="Arial" w:eastAsia="Calibri" w:hAnsi="Arial" w:cs="Arial"/>
          <w:bCs/>
          <w:color w:val="000000" w:themeColor="text1"/>
          <w:sz w:val="22"/>
          <w:lang w:val="es-ES_tradnl"/>
        </w:rPr>
        <w:t>impidiéndole</w:t>
      </w:r>
      <w:r w:rsidR="00841210" w:rsidRPr="00CA7B58">
        <w:rPr>
          <w:rFonts w:ascii="Arial" w:eastAsia="Calibri" w:hAnsi="Arial" w:cs="Arial"/>
          <w:bCs/>
          <w:color w:val="000000" w:themeColor="text1"/>
          <w:sz w:val="22"/>
          <w:lang w:val="es-ES_tradnl"/>
        </w:rPr>
        <w:t xml:space="preserve"> a su propietario disponer libremente del predio</w:t>
      </w:r>
      <w:r w:rsidR="00E11287" w:rsidRPr="00CA7B58">
        <w:rPr>
          <w:rFonts w:ascii="Arial" w:eastAsia="Calibri" w:hAnsi="Arial" w:cs="Arial"/>
          <w:bCs/>
          <w:color w:val="000000" w:themeColor="text1"/>
          <w:sz w:val="22"/>
          <w:lang w:val="es-ES_tradnl"/>
        </w:rPr>
        <w:t>,</w:t>
      </w:r>
      <w:r w:rsidR="00A50C41" w:rsidRPr="00CA7B58">
        <w:rPr>
          <w:rFonts w:ascii="Arial" w:eastAsia="Calibri" w:hAnsi="Arial" w:cs="Arial"/>
          <w:bCs/>
          <w:color w:val="000000" w:themeColor="text1"/>
          <w:sz w:val="22"/>
          <w:lang w:val="es-ES_tradnl"/>
        </w:rPr>
        <w:t xml:space="preserve"> ya que «[…]</w:t>
      </w:r>
      <w:r w:rsidR="002B31B2" w:rsidRPr="00CA7B58">
        <w:rPr>
          <w:rFonts w:ascii="Arial" w:eastAsia="Calibri" w:hAnsi="Arial" w:cs="Arial"/>
          <w:bCs/>
          <w:color w:val="000000" w:themeColor="text1"/>
          <w:sz w:val="22"/>
          <w:lang w:val="es-ES_tradnl"/>
        </w:rPr>
        <w:t xml:space="preserve"> existe aprehensión material del bien cautelad</w:t>
      </w:r>
      <w:r w:rsidR="00A50C41" w:rsidRPr="00CA7B58">
        <w:rPr>
          <w:rFonts w:ascii="Arial" w:eastAsia="Calibri" w:hAnsi="Arial" w:cs="Arial"/>
          <w:bCs/>
          <w:color w:val="000000" w:themeColor="text1"/>
          <w:sz w:val="22"/>
          <w:lang w:val="es-ES_tradnl"/>
        </w:rPr>
        <w:t>o,</w:t>
      </w:r>
      <w:r w:rsidR="002B31B2" w:rsidRPr="00CA7B58">
        <w:rPr>
          <w:rFonts w:ascii="Arial" w:eastAsia="Calibri" w:hAnsi="Arial" w:cs="Arial"/>
          <w:bCs/>
          <w:color w:val="000000" w:themeColor="text1"/>
          <w:sz w:val="22"/>
          <w:lang w:val="es-ES_tradnl"/>
        </w:rPr>
        <w:t xml:space="preserve"> que queda en manos del tercero</w:t>
      </w:r>
      <w:r w:rsidR="00927513" w:rsidRPr="00CA7B58">
        <w:rPr>
          <w:rFonts w:ascii="Arial" w:eastAsia="Calibri" w:hAnsi="Arial" w:cs="Arial"/>
          <w:bCs/>
          <w:color w:val="000000" w:themeColor="text1"/>
          <w:sz w:val="22"/>
          <w:lang w:val="es-ES_tradnl"/>
        </w:rPr>
        <w:t>»</w:t>
      </w:r>
      <w:r w:rsidR="00927513" w:rsidRPr="00CA7B58">
        <w:rPr>
          <w:rStyle w:val="Refdenotaalpie"/>
          <w:rFonts w:ascii="Arial" w:eastAsia="Calibri" w:hAnsi="Arial" w:cs="Arial"/>
          <w:bCs/>
          <w:color w:val="000000" w:themeColor="text1"/>
          <w:sz w:val="22"/>
          <w:lang w:val="es-ES_tradnl"/>
        </w:rPr>
        <w:footnoteReference w:id="15"/>
      </w:r>
      <w:r w:rsidR="00927513" w:rsidRPr="00CA7B58">
        <w:rPr>
          <w:rFonts w:ascii="Arial" w:eastAsia="Calibri" w:hAnsi="Arial" w:cs="Arial"/>
          <w:bCs/>
          <w:color w:val="000000" w:themeColor="text1"/>
          <w:sz w:val="22"/>
          <w:lang w:val="es-ES_tradnl"/>
        </w:rPr>
        <w:t>, denominado</w:t>
      </w:r>
      <w:r w:rsidR="002B31B2" w:rsidRPr="00CA7B58">
        <w:rPr>
          <w:rFonts w:ascii="Arial" w:eastAsia="Calibri" w:hAnsi="Arial" w:cs="Arial"/>
          <w:bCs/>
          <w:color w:val="000000" w:themeColor="text1"/>
          <w:sz w:val="22"/>
          <w:lang w:val="es-ES_tradnl"/>
        </w:rPr>
        <w:t xml:space="preserve"> secuestre</w:t>
      </w:r>
      <w:r w:rsidR="00927513" w:rsidRPr="00CA7B58">
        <w:rPr>
          <w:rFonts w:ascii="Arial" w:eastAsia="Calibri" w:hAnsi="Arial" w:cs="Arial"/>
          <w:bCs/>
          <w:color w:val="000000" w:themeColor="text1"/>
          <w:sz w:val="22"/>
          <w:lang w:val="es-ES_tradnl"/>
        </w:rPr>
        <w:t xml:space="preserve">, </w:t>
      </w:r>
      <w:r w:rsidR="00D3480D" w:rsidRPr="00CA7B58">
        <w:rPr>
          <w:rFonts w:ascii="Arial" w:eastAsia="Calibri" w:hAnsi="Arial" w:cs="Arial"/>
          <w:bCs/>
          <w:color w:val="000000" w:themeColor="text1"/>
          <w:sz w:val="22"/>
          <w:lang w:val="es-ES_tradnl"/>
        </w:rPr>
        <w:t>quien</w:t>
      </w:r>
      <w:r w:rsidR="00C0510B" w:rsidRPr="00CA7B58">
        <w:rPr>
          <w:rFonts w:ascii="Arial" w:eastAsia="Calibri" w:hAnsi="Arial" w:cs="Arial"/>
          <w:bCs/>
          <w:color w:val="000000" w:themeColor="text1"/>
          <w:sz w:val="22"/>
          <w:lang w:val="es-ES_tradnl"/>
        </w:rPr>
        <w:t xml:space="preserve"> pasa ser el responsable de la administración del </w:t>
      </w:r>
      <w:r w:rsidR="0044794D" w:rsidRPr="00CA7B58">
        <w:rPr>
          <w:rFonts w:ascii="Arial" w:eastAsia="Calibri" w:hAnsi="Arial" w:cs="Arial"/>
          <w:bCs/>
          <w:color w:val="000000" w:themeColor="text1"/>
          <w:sz w:val="22"/>
          <w:lang w:val="es-ES_tradnl"/>
        </w:rPr>
        <w:t>bien</w:t>
      </w:r>
      <w:r w:rsidR="0044794D" w:rsidRPr="00CA7B58">
        <w:rPr>
          <w:rStyle w:val="Refdenotaalpie"/>
          <w:rFonts w:ascii="Arial" w:eastAsia="Calibri" w:hAnsi="Arial" w:cs="Arial"/>
          <w:bCs/>
          <w:color w:val="000000" w:themeColor="text1"/>
          <w:sz w:val="22"/>
          <w:lang w:val="es-ES_tradnl"/>
        </w:rPr>
        <w:footnoteReference w:id="16"/>
      </w:r>
      <w:r w:rsidR="007D224D" w:rsidRPr="00D36B0C">
        <w:rPr>
          <w:rFonts w:ascii="Arial" w:eastAsia="Calibri" w:hAnsi="Arial" w:cs="Arial"/>
          <w:bCs/>
          <w:color w:val="000000" w:themeColor="text1"/>
          <w:sz w:val="22"/>
          <w:lang w:val="es-ES_tradnl"/>
        </w:rPr>
        <w:t>.</w:t>
      </w:r>
      <w:r w:rsidR="0044794D" w:rsidRPr="00CA7B58">
        <w:rPr>
          <w:rFonts w:ascii="Arial" w:eastAsia="Calibri" w:hAnsi="Arial" w:cs="Arial"/>
          <w:bCs/>
          <w:color w:val="000000" w:themeColor="text1"/>
          <w:sz w:val="22"/>
          <w:lang w:val="es-ES_tradnl"/>
        </w:rPr>
        <w:t xml:space="preserve"> </w:t>
      </w:r>
    </w:p>
    <w:p w14:paraId="6A3E1C80" w14:textId="46C07024" w:rsidR="005D1F27" w:rsidRPr="00CA7B58" w:rsidRDefault="00E45605" w:rsidP="002652E2">
      <w:pPr>
        <w:spacing w:after="120" w:line="276" w:lineRule="auto"/>
        <w:ind w:firstLine="708"/>
        <w:jc w:val="both"/>
        <w:rPr>
          <w:rFonts w:ascii="Arial" w:eastAsia="Calibri" w:hAnsi="Arial" w:cs="Arial"/>
          <w:bCs/>
          <w:color w:val="000000" w:themeColor="text1"/>
          <w:sz w:val="22"/>
          <w:lang w:val="es-ES_tradnl"/>
        </w:rPr>
      </w:pPr>
      <w:r w:rsidRPr="00CA7B58">
        <w:rPr>
          <w:rFonts w:ascii="Arial" w:eastAsia="Calibri" w:hAnsi="Arial" w:cs="Arial"/>
          <w:bCs/>
          <w:color w:val="000000" w:themeColor="text1"/>
          <w:sz w:val="22"/>
          <w:lang w:val="es-ES_tradnl"/>
        </w:rPr>
        <w:t>Debe</w:t>
      </w:r>
      <w:r w:rsidR="005D1F27" w:rsidRPr="00CA7B58">
        <w:rPr>
          <w:rFonts w:ascii="Arial" w:eastAsia="Calibri" w:hAnsi="Arial" w:cs="Arial"/>
          <w:bCs/>
          <w:color w:val="000000" w:themeColor="text1"/>
          <w:sz w:val="22"/>
          <w:lang w:val="es-ES_tradnl"/>
        </w:rPr>
        <w:t xml:space="preserve"> precisar</w:t>
      </w:r>
      <w:r w:rsidRPr="00CA7B58">
        <w:rPr>
          <w:rFonts w:ascii="Arial" w:eastAsia="Calibri" w:hAnsi="Arial" w:cs="Arial"/>
          <w:bCs/>
          <w:color w:val="000000" w:themeColor="text1"/>
          <w:sz w:val="22"/>
          <w:lang w:val="es-ES_tradnl"/>
        </w:rPr>
        <w:t>se</w:t>
      </w:r>
      <w:r w:rsidR="005D1F27" w:rsidRPr="00CA7B58">
        <w:rPr>
          <w:rFonts w:ascii="Arial" w:eastAsia="Calibri" w:hAnsi="Arial" w:cs="Arial"/>
          <w:bCs/>
          <w:color w:val="000000" w:themeColor="text1"/>
          <w:sz w:val="22"/>
          <w:lang w:val="es-ES_tradnl"/>
        </w:rPr>
        <w:t xml:space="preserve"> que el secuestro por </w:t>
      </w:r>
      <w:proofErr w:type="spellStart"/>
      <w:r w:rsidR="005D1F27" w:rsidRPr="00CA7B58">
        <w:rPr>
          <w:rFonts w:ascii="Arial" w:eastAsia="Calibri" w:hAnsi="Arial" w:cs="Arial"/>
          <w:bCs/>
          <w:color w:val="000000" w:themeColor="text1"/>
          <w:sz w:val="22"/>
          <w:lang w:val="es-ES_tradnl"/>
        </w:rPr>
        <w:t>si</w:t>
      </w:r>
      <w:proofErr w:type="spellEnd"/>
      <w:r w:rsidR="00A81B5F" w:rsidRPr="00CA7B58">
        <w:rPr>
          <w:rFonts w:ascii="Arial" w:eastAsia="Calibri" w:hAnsi="Arial" w:cs="Arial"/>
          <w:bCs/>
          <w:color w:val="000000" w:themeColor="text1"/>
          <w:sz w:val="22"/>
          <w:lang w:val="es-ES_tradnl"/>
        </w:rPr>
        <w:t xml:space="preserve"> solo no saca el bien de comercio</w:t>
      </w:r>
      <w:r w:rsidR="005E152B" w:rsidRPr="00CA7B58">
        <w:rPr>
          <w:rFonts w:ascii="Arial" w:eastAsia="Calibri" w:hAnsi="Arial" w:cs="Arial"/>
          <w:bCs/>
          <w:color w:val="000000" w:themeColor="text1"/>
          <w:sz w:val="22"/>
          <w:lang w:val="es-ES_tradnl"/>
        </w:rPr>
        <w:t>, como si lo hace el embargo,</w:t>
      </w:r>
      <w:r w:rsidRPr="00CA7B58">
        <w:rPr>
          <w:rFonts w:ascii="Arial" w:eastAsia="Calibri" w:hAnsi="Arial" w:cs="Arial"/>
          <w:bCs/>
          <w:color w:val="000000" w:themeColor="text1"/>
          <w:sz w:val="22"/>
          <w:lang w:val="es-ES_tradnl"/>
        </w:rPr>
        <w:t xml:space="preserve"> esto es importante </w:t>
      </w:r>
      <w:r w:rsidR="00037E88" w:rsidRPr="00CA7B58">
        <w:rPr>
          <w:rFonts w:ascii="Arial" w:eastAsia="Calibri" w:hAnsi="Arial" w:cs="Arial"/>
          <w:bCs/>
          <w:color w:val="000000" w:themeColor="text1"/>
          <w:sz w:val="22"/>
          <w:lang w:val="es-ES_tradnl"/>
        </w:rPr>
        <w:t xml:space="preserve">dado que </w:t>
      </w:r>
      <w:r w:rsidRPr="00CA7B58">
        <w:rPr>
          <w:rFonts w:ascii="Arial" w:eastAsia="Calibri" w:hAnsi="Arial" w:cs="Arial"/>
          <w:bCs/>
          <w:color w:val="000000" w:themeColor="text1"/>
          <w:sz w:val="22"/>
          <w:lang w:val="es-ES_tradnl"/>
        </w:rPr>
        <w:t>est</w:t>
      </w:r>
      <w:r w:rsidR="00037E88" w:rsidRPr="00CA7B58">
        <w:rPr>
          <w:rFonts w:ascii="Arial" w:eastAsia="Calibri" w:hAnsi="Arial" w:cs="Arial"/>
          <w:bCs/>
          <w:color w:val="000000" w:themeColor="text1"/>
          <w:sz w:val="22"/>
          <w:lang w:val="es-ES_tradnl"/>
        </w:rPr>
        <w:t>as medidas cautelares</w:t>
      </w:r>
      <w:r w:rsidR="00A87740" w:rsidRPr="00CA7B58">
        <w:rPr>
          <w:rFonts w:ascii="Arial" w:eastAsia="Calibri" w:hAnsi="Arial" w:cs="Arial"/>
          <w:bCs/>
          <w:color w:val="000000" w:themeColor="text1"/>
          <w:sz w:val="22"/>
          <w:lang w:val="es-ES_tradnl"/>
        </w:rPr>
        <w:t xml:space="preserve"> </w:t>
      </w:r>
      <w:r w:rsidR="00BB26DC" w:rsidRPr="00CA7B58">
        <w:rPr>
          <w:rFonts w:ascii="Arial" w:eastAsia="Calibri" w:hAnsi="Arial" w:cs="Arial"/>
          <w:bCs/>
          <w:color w:val="000000" w:themeColor="text1"/>
          <w:sz w:val="22"/>
          <w:lang w:val="es-ES_tradnl"/>
        </w:rPr>
        <w:t xml:space="preserve">se </w:t>
      </w:r>
      <w:r w:rsidR="00A87740" w:rsidRPr="00CA7B58">
        <w:rPr>
          <w:rFonts w:ascii="Arial" w:eastAsia="Calibri" w:hAnsi="Arial" w:cs="Arial"/>
          <w:bCs/>
          <w:color w:val="000000" w:themeColor="text1"/>
          <w:sz w:val="22"/>
          <w:lang w:val="es-ES_tradnl"/>
        </w:rPr>
        <w:t xml:space="preserve">suelen imponer de manera </w:t>
      </w:r>
      <w:r w:rsidR="005B52FC" w:rsidRPr="00CA7B58">
        <w:rPr>
          <w:rFonts w:ascii="Arial" w:eastAsia="Calibri" w:hAnsi="Arial" w:cs="Arial"/>
          <w:bCs/>
          <w:color w:val="000000" w:themeColor="text1"/>
          <w:sz w:val="22"/>
          <w:lang w:val="es-ES_tradnl"/>
        </w:rPr>
        <w:t>concurrente</w:t>
      </w:r>
      <w:r w:rsidR="00B60095" w:rsidRPr="00CA7B58">
        <w:rPr>
          <w:rFonts w:ascii="Arial" w:eastAsia="Calibri" w:hAnsi="Arial" w:cs="Arial"/>
          <w:bCs/>
          <w:color w:val="000000" w:themeColor="text1"/>
          <w:sz w:val="22"/>
          <w:lang w:val="es-ES_tradnl"/>
        </w:rPr>
        <w:t xml:space="preserve"> o consecutiva respecto bienes inmuebles. </w:t>
      </w:r>
      <w:r w:rsidR="00037E88" w:rsidRPr="00CA7B58">
        <w:rPr>
          <w:rFonts w:ascii="Arial" w:eastAsia="Calibri" w:hAnsi="Arial" w:cs="Arial"/>
          <w:bCs/>
          <w:color w:val="000000" w:themeColor="text1"/>
          <w:sz w:val="22"/>
          <w:lang w:val="es-ES_tradnl"/>
        </w:rPr>
        <w:t xml:space="preserve"> </w:t>
      </w:r>
      <w:r w:rsidR="00BB26DC" w:rsidRPr="00CA7B58">
        <w:rPr>
          <w:rFonts w:ascii="Arial" w:eastAsia="Calibri" w:hAnsi="Arial" w:cs="Arial"/>
          <w:bCs/>
          <w:color w:val="000000" w:themeColor="text1"/>
          <w:sz w:val="22"/>
          <w:lang w:val="es-ES_tradnl"/>
        </w:rPr>
        <w:t xml:space="preserve">El primero de estos casos </w:t>
      </w:r>
      <w:r w:rsidR="00FA5FF4" w:rsidRPr="00CA7B58">
        <w:rPr>
          <w:rFonts w:ascii="Arial" w:eastAsia="Calibri" w:hAnsi="Arial" w:cs="Arial"/>
          <w:bCs/>
          <w:color w:val="000000" w:themeColor="text1"/>
          <w:sz w:val="22"/>
          <w:lang w:val="es-ES_tradnl"/>
        </w:rPr>
        <w:t xml:space="preserve">aparece </w:t>
      </w:r>
      <w:r w:rsidR="00351408" w:rsidRPr="00CA7B58">
        <w:rPr>
          <w:rFonts w:ascii="Arial" w:eastAsia="Calibri" w:hAnsi="Arial" w:cs="Arial"/>
          <w:bCs/>
          <w:color w:val="000000" w:themeColor="text1"/>
          <w:sz w:val="22"/>
          <w:lang w:val="es-ES_tradnl"/>
        </w:rPr>
        <w:t>r</w:t>
      </w:r>
      <w:r w:rsidR="00FA5FF4" w:rsidRPr="00CA7B58">
        <w:rPr>
          <w:rFonts w:ascii="Arial" w:eastAsia="Calibri" w:hAnsi="Arial" w:cs="Arial"/>
          <w:bCs/>
          <w:color w:val="000000" w:themeColor="text1"/>
          <w:sz w:val="22"/>
          <w:lang w:val="es-ES_tradnl"/>
        </w:rPr>
        <w:t>egulado en el artículo 59</w:t>
      </w:r>
      <w:r w:rsidR="00A825E9" w:rsidRPr="00CA7B58">
        <w:rPr>
          <w:rFonts w:ascii="Arial" w:eastAsia="Calibri" w:hAnsi="Arial" w:cs="Arial"/>
          <w:bCs/>
          <w:color w:val="000000" w:themeColor="text1"/>
          <w:sz w:val="22"/>
          <w:lang w:val="es-ES_tradnl"/>
        </w:rPr>
        <w:t xml:space="preserve">3-3 del Código General del Proceso, evento en el que el secuestro </w:t>
      </w:r>
      <w:r w:rsidR="00C472C1" w:rsidRPr="00CA7B58">
        <w:rPr>
          <w:rFonts w:ascii="Arial" w:eastAsia="Calibri" w:hAnsi="Arial" w:cs="Arial"/>
          <w:bCs/>
          <w:color w:val="000000" w:themeColor="text1"/>
          <w:sz w:val="22"/>
          <w:lang w:val="es-ES_tradnl"/>
        </w:rPr>
        <w:t>opera como perfeccionador del embargo</w:t>
      </w:r>
      <w:r w:rsidR="00351408" w:rsidRPr="00CA7B58">
        <w:rPr>
          <w:rFonts w:ascii="Arial" w:eastAsia="Calibri" w:hAnsi="Arial" w:cs="Arial"/>
          <w:bCs/>
          <w:color w:val="000000" w:themeColor="text1"/>
          <w:sz w:val="22"/>
          <w:lang w:val="es-ES_tradnl"/>
        </w:rPr>
        <w:t xml:space="preserve">, de manera tal </w:t>
      </w:r>
      <w:r w:rsidR="00A43E09" w:rsidRPr="00D36B0C">
        <w:rPr>
          <w:rFonts w:ascii="Arial" w:eastAsia="Calibri" w:hAnsi="Arial" w:cs="Arial"/>
          <w:bCs/>
          <w:color w:val="000000" w:themeColor="text1"/>
          <w:sz w:val="22"/>
          <w:lang w:val="es-ES_tradnl"/>
        </w:rPr>
        <w:t xml:space="preserve">que </w:t>
      </w:r>
      <w:r w:rsidR="003536CD" w:rsidRPr="00CA7B58">
        <w:rPr>
          <w:rFonts w:ascii="Arial" w:eastAsia="Calibri" w:hAnsi="Arial" w:cs="Arial"/>
          <w:bCs/>
          <w:color w:val="000000" w:themeColor="text1"/>
          <w:sz w:val="22"/>
          <w:lang w:val="es-ES_tradnl"/>
        </w:rPr>
        <w:t>el secuestro es co</w:t>
      </w:r>
      <w:r w:rsidR="00790EC8" w:rsidRPr="00CA7B58">
        <w:rPr>
          <w:rFonts w:ascii="Arial" w:eastAsia="Calibri" w:hAnsi="Arial" w:cs="Arial"/>
          <w:bCs/>
          <w:color w:val="000000" w:themeColor="text1"/>
          <w:sz w:val="22"/>
          <w:lang w:val="es-ES_tradnl"/>
        </w:rPr>
        <w:t xml:space="preserve">ncurrente con el embargo. El segundo supuesto tiene </w:t>
      </w:r>
      <w:r w:rsidR="00BD20FC" w:rsidRPr="00CA7B58">
        <w:rPr>
          <w:rFonts w:ascii="Arial" w:eastAsia="Calibri" w:hAnsi="Arial" w:cs="Arial"/>
          <w:bCs/>
          <w:color w:val="000000" w:themeColor="text1"/>
          <w:sz w:val="22"/>
          <w:lang w:val="es-ES_tradnl"/>
        </w:rPr>
        <w:t>que ver con lo establecido</w:t>
      </w:r>
      <w:r w:rsidR="00F65892" w:rsidRPr="00CA7B58">
        <w:rPr>
          <w:rFonts w:ascii="Arial" w:eastAsia="Calibri" w:hAnsi="Arial" w:cs="Arial"/>
          <w:bCs/>
          <w:color w:val="000000" w:themeColor="text1"/>
          <w:sz w:val="22"/>
          <w:lang w:val="es-ES_tradnl"/>
        </w:rPr>
        <w:t xml:space="preserve">, en el artículo 601 del Código General del Proceso, </w:t>
      </w:r>
      <w:r w:rsidR="00415A22" w:rsidRPr="00CA7B58">
        <w:rPr>
          <w:rFonts w:ascii="Arial" w:eastAsia="Calibri" w:hAnsi="Arial" w:cs="Arial"/>
          <w:bCs/>
          <w:color w:val="000000" w:themeColor="text1"/>
          <w:sz w:val="22"/>
          <w:lang w:val="es-ES_tradnl"/>
        </w:rPr>
        <w:t xml:space="preserve">aplicable en </w:t>
      </w:r>
      <w:r w:rsidR="008A4D93" w:rsidRPr="00CA7B58">
        <w:rPr>
          <w:rFonts w:ascii="Arial" w:eastAsia="Calibri" w:hAnsi="Arial" w:cs="Arial"/>
          <w:bCs/>
          <w:color w:val="000000" w:themeColor="text1"/>
          <w:sz w:val="22"/>
          <w:lang w:val="es-ES_tradnl"/>
        </w:rPr>
        <w:t>eventos</w:t>
      </w:r>
      <w:r w:rsidR="00415A22" w:rsidRPr="00CA7B58">
        <w:rPr>
          <w:rFonts w:ascii="Arial" w:eastAsia="Calibri" w:hAnsi="Arial" w:cs="Arial"/>
          <w:bCs/>
          <w:color w:val="000000" w:themeColor="text1"/>
          <w:sz w:val="22"/>
          <w:lang w:val="es-ES_tradnl"/>
        </w:rPr>
        <w:t xml:space="preserve"> de bienes sujetos a registro que se</w:t>
      </w:r>
      <w:r w:rsidR="008A4D93" w:rsidRPr="00CA7B58">
        <w:rPr>
          <w:rFonts w:ascii="Arial" w:eastAsia="Calibri" w:hAnsi="Arial" w:cs="Arial"/>
          <w:bCs/>
          <w:color w:val="000000" w:themeColor="text1"/>
          <w:sz w:val="22"/>
          <w:lang w:val="es-ES_tradnl"/>
        </w:rPr>
        <w:t xml:space="preserve"> </w:t>
      </w:r>
      <w:r w:rsidR="00415A22" w:rsidRPr="00CA7B58">
        <w:rPr>
          <w:rFonts w:ascii="Arial" w:eastAsia="Calibri" w:hAnsi="Arial" w:cs="Arial"/>
          <w:bCs/>
          <w:color w:val="000000" w:themeColor="text1"/>
          <w:sz w:val="22"/>
          <w:lang w:val="es-ES_tradnl"/>
        </w:rPr>
        <w:t xml:space="preserve">llevaran a remate, </w:t>
      </w:r>
      <w:r w:rsidR="009E6C95" w:rsidRPr="00CA7B58">
        <w:rPr>
          <w:rFonts w:ascii="Arial" w:eastAsia="Calibri" w:hAnsi="Arial" w:cs="Arial"/>
          <w:bCs/>
          <w:color w:val="000000" w:themeColor="text1"/>
          <w:sz w:val="22"/>
          <w:lang w:val="es-ES_tradnl"/>
        </w:rPr>
        <w:t>caso</w:t>
      </w:r>
      <w:r w:rsidR="008A4D93" w:rsidRPr="00CA7B58">
        <w:rPr>
          <w:rFonts w:ascii="Arial" w:eastAsia="Calibri" w:hAnsi="Arial" w:cs="Arial"/>
          <w:bCs/>
          <w:color w:val="000000" w:themeColor="text1"/>
          <w:sz w:val="22"/>
          <w:lang w:val="es-ES_tradnl"/>
        </w:rPr>
        <w:t xml:space="preserve"> </w:t>
      </w:r>
      <w:r w:rsidR="009E6C95" w:rsidRPr="00CA7B58">
        <w:rPr>
          <w:rFonts w:ascii="Arial" w:eastAsia="Calibri" w:hAnsi="Arial" w:cs="Arial"/>
          <w:bCs/>
          <w:color w:val="000000" w:themeColor="text1"/>
          <w:sz w:val="22"/>
          <w:lang w:val="es-ES_tradnl"/>
        </w:rPr>
        <w:t xml:space="preserve">en </w:t>
      </w:r>
      <w:r w:rsidR="00F65892" w:rsidRPr="00CA7B58">
        <w:rPr>
          <w:rFonts w:ascii="Arial" w:eastAsia="Calibri" w:hAnsi="Arial" w:cs="Arial"/>
          <w:bCs/>
          <w:color w:val="000000" w:themeColor="text1"/>
          <w:sz w:val="22"/>
          <w:lang w:val="es-ES_tradnl"/>
        </w:rPr>
        <w:t xml:space="preserve">el que </w:t>
      </w:r>
      <w:r w:rsidR="008A4D93" w:rsidRPr="00CA7B58">
        <w:rPr>
          <w:rFonts w:ascii="Arial" w:eastAsia="Calibri" w:hAnsi="Arial" w:cs="Arial"/>
          <w:bCs/>
          <w:color w:val="000000" w:themeColor="text1"/>
          <w:sz w:val="22"/>
          <w:lang w:val="es-ES_tradnl"/>
        </w:rPr>
        <w:t xml:space="preserve">el </w:t>
      </w:r>
      <w:r w:rsidR="00415A22" w:rsidRPr="00CA7B58">
        <w:rPr>
          <w:rFonts w:ascii="Arial" w:eastAsia="Calibri" w:hAnsi="Arial" w:cs="Arial"/>
          <w:bCs/>
          <w:color w:val="000000" w:themeColor="text1"/>
          <w:sz w:val="22"/>
          <w:lang w:val="es-ES_tradnl"/>
        </w:rPr>
        <w:t xml:space="preserve">secuestro opera como </w:t>
      </w:r>
      <w:r w:rsidR="00415A22" w:rsidRPr="00CA7B58">
        <w:rPr>
          <w:rFonts w:ascii="Arial" w:eastAsia="Calibri" w:hAnsi="Arial" w:cs="Arial"/>
          <w:bCs/>
          <w:color w:val="000000" w:themeColor="text1"/>
          <w:sz w:val="22"/>
          <w:lang w:val="es-ES_tradnl"/>
        </w:rPr>
        <w:lastRenderedPageBreak/>
        <w:t>medida complementaria de</w:t>
      </w:r>
      <w:r w:rsidR="008A4D93" w:rsidRPr="00CA7B58">
        <w:rPr>
          <w:rFonts w:ascii="Arial" w:eastAsia="Calibri" w:hAnsi="Arial" w:cs="Arial"/>
          <w:bCs/>
          <w:color w:val="000000" w:themeColor="text1"/>
          <w:sz w:val="22"/>
          <w:lang w:val="es-ES_tradnl"/>
        </w:rPr>
        <w:t xml:space="preserve">l embargo, </w:t>
      </w:r>
      <w:r w:rsidR="002C636A" w:rsidRPr="00CA7B58">
        <w:rPr>
          <w:rFonts w:ascii="Arial" w:eastAsia="Calibri" w:hAnsi="Arial" w:cs="Arial"/>
          <w:bCs/>
          <w:color w:val="000000" w:themeColor="text1"/>
          <w:sz w:val="22"/>
          <w:lang w:val="es-ES_tradnl"/>
        </w:rPr>
        <w:t xml:space="preserve">dado que primero se impone </w:t>
      </w:r>
      <w:r w:rsidR="006436C8" w:rsidRPr="00CA7B58">
        <w:rPr>
          <w:rFonts w:ascii="Arial" w:eastAsia="Calibri" w:hAnsi="Arial" w:cs="Arial"/>
          <w:bCs/>
          <w:color w:val="000000" w:themeColor="text1"/>
          <w:sz w:val="22"/>
          <w:lang w:val="es-ES_tradnl"/>
        </w:rPr>
        <w:t xml:space="preserve">este </w:t>
      </w:r>
      <w:r w:rsidR="002C636A" w:rsidRPr="00CA7B58">
        <w:rPr>
          <w:rFonts w:ascii="Arial" w:eastAsia="Calibri" w:hAnsi="Arial" w:cs="Arial"/>
          <w:bCs/>
          <w:color w:val="000000" w:themeColor="text1"/>
          <w:sz w:val="22"/>
          <w:lang w:val="es-ES_tradnl"/>
        </w:rPr>
        <w:t>y posteriormente el secuestro</w:t>
      </w:r>
      <w:r w:rsidR="00887B87" w:rsidRPr="00CA7B58">
        <w:rPr>
          <w:rStyle w:val="Refdenotaalpie"/>
          <w:rFonts w:ascii="Arial" w:eastAsia="Calibri" w:hAnsi="Arial" w:cs="Arial"/>
          <w:bCs/>
          <w:color w:val="000000" w:themeColor="text1"/>
          <w:sz w:val="22"/>
          <w:lang w:val="es-ES_tradnl"/>
        </w:rPr>
        <w:footnoteReference w:id="17"/>
      </w:r>
      <w:r w:rsidR="002C636A" w:rsidRPr="00CA7B58">
        <w:rPr>
          <w:rFonts w:ascii="Arial" w:eastAsia="Calibri" w:hAnsi="Arial" w:cs="Arial"/>
          <w:bCs/>
          <w:color w:val="000000" w:themeColor="text1"/>
          <w:sz w:val="22"/>
          <w:lang w:val="es-ES_tradnl"/>
        </w:rPr>
        <w:t>.</w:t>
      </w:r>
      <w:r w:rsidR="00415A22" w:rsidRPr="00CA7B58">
        <w:rPr>
          <w:rFonts w:ascii="Arial" w:eastAsia="Calibri" w:hAnsi="Arial" w:cs="Arial"/>
          <w:bCs/>
          <w:color w:val="000000" w:themeColor="text1"/>
          <w:sz w:val="22"/>
          <w:lang w:val="es-ES_tradnl"/>
        </w:rPr>
        <w:t xml:space="preserve"> </w:t>
      </w:r>
      <w:r w:rsidR="00790EC8" w:rsidRPr="00CA7B58">
        <w:rPr>
          <w:rFonts w:ascii="Arial" w:eastAsia="Calibri" w:hAnsi="Arial" w:cs="Arial"/>
          <w:bCs/>
          <w:color w:val="000000" w:themeColor="text1"/>
          <w:sz w:val="22"/>
          <w:lang w:val="es-ES_tradnl"/>
        </w:rPr>
        <w:t xml:space="preserve"> </w:t>
      </w:r>
      <w:r w:rsidR="00351408" w:rsidRPr="00CA7B58">
        <w:rPr>
          <w:rFonts w:ascii="Arial" w:eastAsia="Calibri" w:hAnsi="Arial" w:cs="Arial"/>
          <w:bCs/>
          <w:color w:val="000000" w:themeColor="text1"/>
          <w:sz w:val="22"/>
          <w:lang w:val="es-ES_tradnl"/>
        </w:rPr>
        <w:t xml:space="preserve"> </w:t>
      </w:r>
      <w:r w:rsidR="00C472C1" w:rsidRPr="00CA7B58">
        <w:rPr>
          <w:rFonts w:ascii="Arial" w:eastAsia="Calibri" w:hAnsi="Arial" w:cs="Arial"/>
          <w:bCs/>
          <w:color w:val="000000" w:themeColor="text1"/>
          <w:sz w:val="22"/>
          <w:lang w:val="es-ES_tradnl"/>
        </w:rPr>
        <w:t xml:space="preserve"> </w:t>
      </w:r>
    </w:p>
    <w:p w14:paraId="03611DA3" w14:textId="356C4288" w:rsidR="00DF5880" w:rsidRPr="00CA7B58" w:rsidRDefault="00BA7994" w:rsidP="00387C8F">
      <w:pPr>
        <w:spacing w:after="120" w:line="276" w:lineRule="auto"/>
        <w:ind w:firstLine="708"/>
        <w:jc w:val="both"/>
        <w:rPr>
          <w:rFonts w:ascii="Arial" w:eastAsia="Calibri" w:hAnsi="Arial" w:cs="Arial"/>
          <w:bCs/>
          <w:color w:val="000000" w:themeColor="text1"/>
          <w:sz w:val="22"/>
          <w:lang w:val="es-ES_tradnl"/>
        </w:rPr>
      </w:pPr>
      <w:r w:rsidRPr="00CA7B58">
        <w:rPr>
          <w:rFonts w:ascii="Arial" w:eastAsia="Calibri" w:hAnsi="Arial" w:cs="Arial"/>
          <w:bCs/>
          <w:color w:val="000000" w:themeColor="text1"/>
          <w:sz w:val="22"/>
          <w:lang w:val="es-ES_tradnl"/>
        </w:rPr>
        <w:t xml:space="preserve"> </w:t>
      </w:r>
      <w:r w:rsidR="005F57BF" w:rsidRPr="00CA7B58">
        <w:rPr>
          <w:rFonts w:ascii="Arial" w:eastAsia="Calibri" w:hAnsi="Arial" w:cs="Arial"/>
          <w:bCs/>
          <w:color w:val="000000" w:themeColor="text1"/>
          <w:sz w:val="22"/>
          <w:lang w:val="es-ES_tradnl"/>
        </w:rPr>
        <w:t xml:space="preserve"> </w:t>
      </w:r>
      <w:r w:rsidR="00E860E8" w:rsidRPr="00CA7B58">
        <w:rPr>
          <w:rFonts w:ascii="Arial" w:eastAsia="Calibri" w:hAnsi="Arial" w:cs="Arial"/>
          <w:bCs/>
          <w:color w:val="000000" w:themeColor="text1"/>
          <w:sz w:val="22"/>
          <w:lang w:val="es-ES_tradnl"/>
        </w:rPr>
        <w:t xml:space="preserve">Ahora bien, </w:t>
      </w:r>
      <w:r w:rsidR="00992A0F" w:rsidRPr="00CA7B58">
        <w:rPr>
          <w:rFonts w:ascii="Arial" w:eastAsia="Calibri" w:hAnsi="Arial" w:cs="Arial"/>
          <w:bCs/>
          <w:color w:val="000000" w:themeColor="text1"/>
          <w:sz w:val="22"/>
          <w:lang w:val="es-ES_tradnl"/>
        </w:rPr>
        <w:t>de acuerdo con l</w:t>
      </w:r>
      <w:r w:rsidR="0075288F" w:rsidRPr="00CA7B58">
        <w:rPr>
          <w:rFonts w:ascii="Arial" w:eastAsia="Calibri" w:hAnsi="Arial" w:cs="Arial"/>
          <w:bCs/>
          <w:color w:val="000000" w:themeColor="text1"/>
          <w:sz w:val="22"/>
          <w:lang w:val="es-ES_tradnl"/>
        </w:rPr>
        <w:t>o</w:t>
      </w:r>
      <w:r w:rsidR="00992A0F" w:rsidRPr="00CA7B58">
        <w:rPr>
          <w:rFonts w:ascii="Arial" w:eastAsia="Calibri" w:hAnsi="Arial" w:cs="Arial"/>
          <w:bCs/>
          <w:color w:val="000000" w:themeColor="text1"/>
          <w:sz w:val="22"/>
          <w:lang w:val="es-ES_tradnl"/>
        </w:rPr>
        <w:t xml:space="preserve"> </w:t>
      </w:r>
      <w:r w:rsidR="0075288F" w:rsidRPr="00CA7B58">
        <w:rPr>
          <w:rFonts w:ascii="Arial" w:eastAsia="Calibri" w:hAnsi="Arial" w:cs="Arial"/>
          <w:bCs/>
          <w:color w:val="000000" w:themeColor="text1"/>
          <w:sz w:val="22"/>
          <w:lang w:val="es-ES_tradnl"/>
        </w:rPr>
        <w:t xml:space="preserve">estudiado en </w:t>
      </w:r>
      <w:r w:rsidR="00992A0F" w:rsidRPr="00CA7B58">
        <w:rPr>
          <w:rFonts w:ascii="Arial" w:eastAsia="Calibri" w:hAnsi="Arial" w:cs="Arial"/>
          <w:bCs/>
          <w:color w:val="000000" w:themeColor="text1"/>
          <w:sz w:val="22"/>
          <w:lang w:val="es-ES_tradnl"/>
        </w:rPr>
        <w:t>el acápite anterior,</w:t>
      </w:r>
      <w:r w:rsidR="001E54E9" w:rsidRPr="00CA7B58">
        <w:rPr>
          <w:rFonts w:ascii="Arial" w:eastAsia="Calibri" w:hAnsi="Arial" w:cs="Arial"/>
          <w:bCs/>
          <w:color w:val="000000" w:themeColor="text1"/>
          <w:sz w:val="22"/>
          <w:lang w:val="es-ES_tradnl"/>
        </w:rPr>
        <w:t xml:space="preserve"> es claro que</w:t>
      </w:r>
      <w:r w:rsidR="00A4535E" w:rsidRPr="00CA7B58">
        <w:rPr>
          <w:rFonts w:ascii="Arial" w:eastAsia="Calibri" w:hAnsi="Arial" w:cs="Arial"/>
          <w:bCs/>
          <w:color w:val="000000" w:themeColor="text1"/>
          <w:sz w:val="22"/>
          <w:lang w:val="es-ES_tradnl"/>
        </w:rPr>
        <w:t xml:space="preserve"> </w:t>
      </w:r>
      <w:r w:rsidR="0081472A" w:rsidRPr="00CA7B58">
        <w:rPr>
          <w:rFonts w:ascii="Arial" w:eastAsia="Calibri" w:hAnsi="Arial" w:cs="Arial"/>
          <w:bCs/>
          <w:color w:val="000000" w:themeColor="text1"/>
          <w:sz w:val="22"/>
          <w:lang w:val="es-ES_tradnl"/>
        </w:rPr>
        <w:t xml:space="preserve">el </w:t>
      </w:r>
      <w:r w:rsidR="000A524C" w:rsidRPr="00CA7B58">
        <w:rPr>
          <w:rFonts w:ascii="Arial" w:eastAsia="Calibri" w:hAnsi="Arial" w:cs="Arial"/>
          <w:bCs/>
          <w:color w:val="000000" w:themeColor="text1"/>
          <w:sz w:val="22"/>
          <w:lang w:val="es-ES_tradnl"/>
        </w:rPr>
        <w:t xml:space="preserve">arrendamiento </w:t>
      </w:r>
      <w:r w:rsidR="0075288F" w:rsidRPr="00CA7B58">
        <w:rPr>
          <w:rFonts w:ascii="Arial" w:eastAsia="Calibri" w:hAnsi="Arial" w:cs="Arial"/>
          <w:bCs/>
          <w:color w:val="000000" w:themeColor="text1"/>
          <w:sz w:val="22"/>
          <w:lang w:val="es-ES_tradnl"/>
        </w:rPr>
        <w:t xml:space="preserve">no supone una </w:t>
      </w:r>
      <w:r w:rsidR="00653CA9" w:rsidRPr="00CA7B58">
        <w:rPr>
          <w:rFonts w:ascii="Arial" w:eastAsia="Calibri" w:hAnsi="Arial" w:cs="Arial"/>
          <w:bCs/>
          <w:color w:val="000000" w:themeColor="text1"/>
          <w:sz w:val="22"/>
          <w:lang w:val="es-ES_tradnl"/>
        </w:rPr>
        <w:t xml:space="preserve">enajenación </w:t>
      </w:r>
      <w:r w:rsidR="0081472A" w:rsidRPr="00CA7B58">
        <w:rPr>
          <w:rFonts w:ascii="Arial" w:eastAsia="Calibri" w:hAnsi="Arial" w:cs="Arial"/>
          <w:bCs/>
          <w:color w:val="000000" w:themeColor="text1"/>
          <w:sz w:val="22"/>
          <w:lang w:val="es-ES_tradnl"/>
        </w:rPr>
        <w:t>del bien que es objeto del contrato,</w:t>
      </w:r>
      <w:r w:rsidR="00827A6D" w:rsidRPr="00CA7B58">
        <w:rPr>
          <w:rFonts w:ascii="Arial" w:eastAsia="Calibri" w:hAnsi="Arial" w:cs="Arial"/>
          <w:bCs/>
          <w:color w:val="000000" w:themeColor="text1"/>
          <w:sz w:val="22"/>
          <w:lang w:val="es-ES_tradnl"/>
        </w:rPr>
        <w:t xml:space="preserve"> en la medida en que este </w:t>
      </w:r>
      <w:r w:rsidR="00475143" w:rsidRPr="00CA7B58">
        <w:rPr>
          <w:rFonts w:ascii="Arial" w:eastAsia="Calibri" w:hAnsi="Arial" w:cs="Arial"/>
          <w:bCs/>
          <w:color w:val="000000" w:themeColor="text1"/>
          <w:sz w:val="22"/>
          <w:lang w:val="es-ES_tradnl"/>
        </w:rPr>
        <w:t xml:space="preserve">consiste en un </w:t>
      </w:r>
      <w:r w:rsidR="00A4535E" w:rsidRPr="00CA7B58">
        <w:rPr>
          <w:rFonts w:ascii="Arial" w:eastAsia="Calibri" w:hAnsi="Arial" w:cs="Arial"/>
          <w:bCs/>
          <w:color w:val="000000" w:themeColor="text1"/>
          <w:sz w:val="22"/>
          <w:lang w:val="es-ES_tradnl"/>
        </w:rPr>
        <w:t>negocio jurídico</w:t>
      </w:r>
      <w:r w:rsidR="00475143" w:rsidRPr="00CA7B58">
        <w:rPr>
          <w:rFonts w:ascii="Arial" w:eastAsia="Calibri" w:hAnsi="Arial" w:cs="Arial"/>
          <w:bCs/>
          <w:color w:val="000000" w:themeColor="text1"/>
          <w:sz w:val="22"/>
          <w:lang w:val="es-ES_tradnl"/>
        </w:rPr>
        <w:t xml:space="preserve"> </w:t>
      </w:r>
      <w:r w:rsidR="00A4535E" w:rsidRPr="00CA7B58">
        <w:rPr>
          <w:rFonts w:ascii="Arial" w:eastAsia="Calibri" w:hAnsi="Arial" w:cs="Arial"/>
          <w:bCs/>
          <w:color w:val="000000" w:themeColor="text1"/>
          <w:sz w:val="22"/>
          <w:lang w:val="es-ES_tradnl"/>
        </w:rPr>
        <w:t>a través</w:t>
      </w:r>
      <w:r w:rsidR="00475143" w:rsidRPr="00CA7B58">
        <w:rPr>
          <w:rFonts w:ascii="Arial" w:eastAsia="Calibri" w:hAnsi="Arial" w:cs="Arial"/>
          <w:bCs/>
          <w:color w:val="000000" w:themeColor="text1"/>
          <w:sz w:val="22"/>
          <w:lang w:val="es-ES_tradnl"/>
        </w:rPr>
        <w:t xml:space="preserve"> del cual </w:t>
      </w:r>
      <w:r w:rsidR="00A4535E" w:rsidRPr="00CA7B58">
        <w:rPr>
          <w:rFonts w:ascii="Arial" w:eastAsia="Calibri" w:hAnsi="Arial" w:cs="Arial"/>
          <w:bCs/>
          <w:color w:val="000000" w:themeColor="text1"/>
          <w:sz w:val="22"/>
          <w:lang w:val="es-ES_tradnl"/>
        </w:rPr>
        <w:t xml:space="preserve">el </w:t>
      </w:r>
      <w:r w:rsidR="00475143" w:rsidRPr="00CA7B58">
        <w:rPr>
          <w:rFonts w:ascii="Arial" w:eastAsia="Calibri" w:hAnsi="Arial" w:cs="Arial"/>
          <w:bCs/>
          <w:color w:val="000000" w:themeColor="text1"/>
          <w:sz w:val="22"/>
          <w:lang w:val="es-ES_tradnl"/>
        </w:rPr>
        <w:t>arrendador entrega el uso y goce del bien al arrendatario</w:t>
      </w:r>
      <w:r w:rsidR="001E54E9" w:rsidRPr="00CA7B58">
        <w:rPr>
          <w:rFonts w:ascii="Arial" w:eastAsia="Calibri" w:hAnsi="Arial" w:cs="Arial"/>
          <w:bCs/>
          <w:color w:val="000000" w:themeColor="text1"/>
          <w:sz w:val="22"/>
          <w:lang w:val="es-ES_tradnl"/>
        </w:rPr>
        <w:t xml:space="preserve"> a cambio de un precio.</w:t>
      </w:r>
      <w:r w:rsidR="00B3091F" w:rsidRPr="00CA7B58">
        <w:rPr>
          <w:rFonts w:ascii="Arial" w:eastAsia="Calibri" w:hAnsi="Arial" w:cs="Arial"/>
          <w:bCs/>
          <w:color w:val="000000" w:themeColor="text1"/>
          <w:sz w:val="22"/>
          <w:lang w:val="es-ES_tradnl"/>
        </w:rPr>
        <w:t xml:space="preserve"> En ese sentido,</w:t>
      </w:r>
      <w:r w:rsidR="00334E18" w:rsidRPr="00CA7B58">
        <w:rPr>
          <w:rFonts w:ascii="Arial" w:eastAsia="Calibri" w:hAnsi="Arial" w:cs="Arial"/>
          <w:bCs/>
          <w:color w:val="000000" w:themeColor="text1"/>
          <w:sz w:val="22"/>
          <w:lang w:val="es-ES_tradnl"/>
        </w:rPr>
        <w:t xml:space="preserve"> el </w:t>
      </w:r>
      <w:r w:rsidR="005D6BFD" w:rsidRPr="00CA7B58">
        <w:rPr>
          <w:rFonts w:ascii="Arial" w:eastAsia="Calibri" w:hAnsi="Arial" w:cs="Arial"/>
          <w:bCs/>
          <w:color w:val="000000" w:themeColor="text1"/>
          <w:sz w:val="22"/>
          <w:lang w:val="es-ES_tradnl"/>
        </w:rPr>
        <w:t>arrendamiento</w:t>
      </w:r>
      <w:r w:rsidR="00DF5880" w:rsidRPr="00CA7B58">
        <w:rPr>
          <w:rFonts w:ascii="Arial" w:eastAsia="Calibri" w:hAnsi="Arial" w:cs="Arial"/>
          <w:bCs/>
          <w:color w:val="000000" w:themeColor="text1"/>
          <w:sz w:val="22"/>
          <w:lang w:val="es-ES_tradnl"/>
        </w:rPr>
        <w:t xml:space="preserve"> </w:t>
      </w:r>
      <w:r w:rsidR="00025092" w:rsidRPr="00CA7B58">
        <w:rPr>
          <w:rFonts w:ascii="Arial" w:eastAsia="Calibri" w:hAnsi="Arial" w:cs="Arial"/>
          <w:bCs/>
          <w:color w:val="000000" w:themeColor="text1"/>
          <w:sz w:val="22"/>
          <w:lang w:val="es-ES_tradnl"/>
        </w:rPr>
        <w:t>no está encaminado a que se transfiera el derecho de dominio</w:t>
      </w:r>
      <w:r w:rsidR="00DF5880" w:rsidRPr="00CA7B58">
        <w:rPr>
          <w:rFonts w:ascii="Arial" w:eastAsia="Calibri" w:hAnsi="Arial" w:cs="Arial"/>
          <w:bCs/>
          <w:color w:val="000000" w:themeColor="text1"/>
          <w:sz w:val="22"/>
          <w:lang w:val="es-ES_tradnl"/>
        </w:rPr>
        <w:t>,</w:t>
      </w:r>
      <w:r w:rsidR="00025092" w:rsidRPr="00CA7B58">
        <w:rPr>
          <w:rFonts w:ascii="Arial" w:eastAsia="Calibri" w:hAnsi="Arial" w:cs="Arial"/>
          <w:bCs/>
          <w:color w:val="000000" w:themeColor="text1"/>
          <w:sz w:val="22"/>
          <w:lang w:val="es-ES_tradnl"/>
        </w:rPr>
        <w:t xml:space="preserve"> ni ning</w:t>
      </w:r>
      <w:r w:rsidR="002B1050" w:rsidRPr="00CA7B58">
        <w:rPr>
          <w:rFonts w:ascii="Arial" w:eastAsia="Calibri" w:hAnsi="Arial" w:cs="Arial"/>
          <w:bCs/>
          <w:color w:val="000000" w:themeColor="text1"/>
          <w:sz w:val="22"/>
          <w:lang w:val="es-ES_tradnl"/>
        </w:rPr>
        <w:t>una otra c</w:t>
      </w:r>
      <w:r w:rsidR="009F1257" w:rsidRPr="00D36B0C">
        <w:rPr>
          <w:rFonts w:ascii="Arial" w:eastAsia="Calibri" w:hAnsi="Arial" w:cs="Arial"/>
          <w:bCs/>
          <w:color w:val="000000" w:themeColor="text1"/>
          <w:sz w:val="22"/>
          <w:lang w:val="es-ES_tradnl"/>
        </w:rPr>
        <w:t>l</w:t>
      </w:r>
      <w:r w:rsidR="002B1050" w:rsidRPr="00CA7B58">
        <w:rPr>
          <w:rFonts w:ascii="Arial" w:eastAsia="Calibri" w:hAnsi="Arial" w:cs="Arial"/>
          <w:bCs/>
          <w:color w:val="000000" w:themeColor="text1"/>
          <w:sz w:val="22"/>
          <w:lang w:val="es-ES_tradnl"/>
        </w:rPr>
        <w:t>ase de</w:t>
      </w:r>
      <w:r w:rsidR="00025092" w:rsidRPr="00CA7B58">
        <w:rPr>
          <w:rFonts w:ascii="Arial" w:eastAsia="Calibri" w:hAnsi="Arial" w:cs="Arial"/>
          <w:bCs/>
          <w:color w:val="000000" w:themeColor="text1"/>
          <w:sz w:val="22"/>
          <w:lang w:val="es-ES_tradnl"/>
        </w:rPr>
        <w:t xml:space="preserve"> derecho real </w:t>
      </w:r>
      <w:r w:rsidR="001D1BCD" w:rsidRPr="00CA7B58">
        <w:rPr>
          <w:rFonts w:ascii="Arial" w:eastAsia="Calibri" w:hAnsi="Arial" w:cs="Arial"/>
          <w:bCs/>
          <w:color w:val="000000" w:themeColor="text1"/>
          <w:sz w:val="22"/>
          <w:lang w:val="es-ES_tradnl"/>
        </w:rPr>
        <w:t>que pese sobre el inmueble</w:t>
      </w:r>
      <w:r w:rsidR="002B1050" w:rsidRPr="00CA7B58">
        <w:rPr>
          <w:rFonts w:ascii="Arial" w:eastAsia="Calibri" w:hAnsi="Arial" w:cs="Arial"/>
          <w:bCs/>
          <w:color w:val="000000" w:themeColor="text1"/>
          <w:sz w:val="22"/>
          <w:lang w:val="es-ES_tradnl"/>
        </w:rPr>
        <w:t>, sino que se limita a permitir el uso y goce del inmueble por parte del arrendatario por un tiempo determinado.</w:t>
      </w:r>
      <w:r w:rsidR="005D7EF3" w:rsidRPr="00CA7B58">
        <w:rPr>
          <w:rFonts w:ascii="Arial" w:eastAsia="Calibri" w:hAnsi="Arial" w:cs="Arial"/>
          <w:bCs/>
          <w:color w:val="000000" w:themeColor="text1"/>
          <w:sz w:val="22"/>
          <w:lang w:val="es-ES_tradnl"/>
        </w:rPr>
        <w:t xml:space="preserve"> </w:t>
      </w:r>
    </w:p>
    <w:p w14:paraId="1EC9FA3C" w14:textId="58DE6F57" w:rsidR="002E5632" w:rsidRPr="00CA7B58" w:rsidRDefault="00DF5880" w:rsidP="00AD29BA">
      <w:pPr>
        <w:spacing w:line="276" w:lineRule="auto"/>
        <w:ind w:firstLine="708"/>
        <w:jc w:val="both"/>
        <w:rPr>
          <w:rFonts w:ascii="Arial" w:eastAsia="Calibri" w:hAnsi="Arial" w:cs="Arial"/>
          <w:bCs/>
          <w:color w:val="000000" w:themeColor="text1"/>
          <w:sz w:val="22"/>
          <w:lang w:val="es-ES_tradnl"/>
        </w:rPr>
      </w:pPr>
      <w:r w:rsidRPr="00CA7B58">
        <w:rPr>
          <w:rFonts w:ascii="Arial" w:eastAsia="Calibri" w:hAnsi="Arial" w:cs="Arial"/>
          <w:bCs/>
          <w:color w:val="000000" w:themeColor="text1"/>
          <w:sz w:val="22"/>
          <w:lang w:val="es-ES_tradnl"/>
        </w:rPr>
        <w:t>Lo anterior</w:t>
      </w:r>
      <w:r w:rsidR="005D7EF3" w:rsidRPr="00CA7B58">
        <w:rPr>
          <w:rFonts w:ascii="Arial" w:eastAsia="Calibri" w:hAnsi="Arial" w:cs="Arial"/>
          <w:bCs/>
          <w:color w:val="000000" w:themeColor="text1"/>
          <w:sz w:val="22"/>
          <w:lang w:val="es-ES_tradnl"/>
        </w:rPr>
        <w:t xml:space="preserve"> </w:t>
      </w:r>
      <w:r w:rsidRPr="00CA7B58">
        <w:rPr>
          <w:rFonts w:ascii="Arial" w:eastAsia="Calibri" w:hAnsi="Arial" w:cs="Arial"/>
          <w:bCs/>
          <w:color w:val="000000" w:themeColor="text1"/>
          <w:sz w:val="22"/>
          <w:lang w:val="es-ES_tradnl"/>
        </w:rPr>
        <w:t xml:space="preserve">permite concluir que </w:t>
      </w:r>
      <w:r w:rsidR="004930C6" w:rsidRPr="00CA7B58">
        <w:rPr>
          <w:rFonts w:ascii="Arial" w:eastAsia="Calibri" w:hAnsi="Arial" w:cs="Arial"/>
          <w:bCs/>
          <w:color w:val="000000" w:themeColor="text1"/>
          <w:sz w:val="22"/>
          <w:lang w:val="es-ES_tradnl"/>
        </w:rPr>
        <w:t>la celebración de un contrato de arrendamiento</w:t>
      </w:r>
      <w:r w:rsidR="00DF2DA5" w:rsidRPr="00CA7B58">
        <w:rPr>
          <w:rFonts w:ascii="Arial" w:eastAsia="Calibri" w:hAnsi="Arial" w:cs="Arial"/>
          <w:bCs/>
          <w:color w:val="000000" w:themeColor="text1"/>
          <w:sz w:val="22"/>
          <w:lang w:val="es-ES_tradnl"/>
        </w:rPr>
        <w:t xml:space="preserve"> no tiene como presupuesto que el bien </w:t>
      </w:r>
      <w:r w:rsidR="00371891" w:rsidRPr="00CA7B58">
        <w:rPr>
          <w:rFonts w:ascii="Arial" w:eastAsia="Calibri" w:hAnsi="Arial" w:cs="Arial"/>
          <w:bCs/>
          <w:color w:val="000000" w:themeColor="text1"/>
          <w:sz w:val="22"/>
          <w:lang w:val="es-ES_tradnl"/>
        </w:rPr>
        <w:t xml:space="preserve">materia </w:t>
      </w:r>
      <w:r w:rsidR="00DF2DA5" w:rsidRPr="00CA7B58">
        <w:rPr>
          <w:rFonts w:ascii="Arial" w:eastAsia="Calibri" w:hAnsi="Arial" w:cs="Arial"/>
          <w:bCs/>
          <w:color w:val="000000" w:themeColor="text1"/>
          <w:sz w:val="22"/>
          <w:lang w:val="es-ES_tradnl"/>
        </w:rPr>
        <w:t>del contrato</w:t>
      </w:r>
      <w:r w:rsidR="00E10247" w:rsidRPr="00CA7B58">
        <w:rPr>
          <w:rFonts w:ascii="Arial" w:eastAsia="Calibri" w:hAnsi="Arial" w:cs="Arial"/>
          <w:bCs/>
          <w:color w:val="000000" w:themeColor="text1"/>
          <w:sz w:val="22"/>
          <w:lang w:val="es-ES_tradnl"/>
        </w:rPr>
        <w:t xml:space="preserve"> no esté sujeto a una medida de embargo, a diferencia de lo que sucedería con el contrato de compraventa</w:t>
      </w:r>
      <w:r w:rsidR="001D5E89" w:rsidRPr="00CA7B58">
        <w:rPr>
          <w:rFonts w:ascii="Arial" w:eastAsia="Calibri" w:hAnsi="Arial" w:cs="Arial"/>
          <w:bCs/>
          <w:color w:val="000000" w:themeColor="text1"/>
          <w:sz w:val="22"/>
          <w:lang w:val="es-ES_tradnl"/>
        </w:rPr>
        <w:t>, el cual</w:t>
      </w:r>
      <w:r w:rsidR="00371891" w:rsidRPr="00CA7B58">
        <w:rPr>
          <w:rFonts w:ascii="Arial" w:eastAsia="Calibri" w:hAnsi="Arial" w:cs="Arial"/>
          <w:bCs/>
          <w:color w:val="000000" w:themeColor="text1"/>
          <w:sz w:val="22"/>
          <w:lang w:val="es-ES_tradnl"/>
        </w:rPr>
        <w:t>,</w:t>
      </w:r>
      <w:r w:rsidR="001D5E89" w:rsidRPr="00CA7B58">
        <w:rPr>
          <w:rFonts w:ascii="Arial" w:eastAsia="Calibri" w:hAnsi="Arial" w:cs="Arial"/>
          <w:bCs/>
          <w:color w:val="000000" w:themeColor="text1"/>
          <w:sz w:val="22"/>
          <w:lang w:val="es-ES_tradnl"/>
        </w:rPr>
        <w:t xml:space="preserve"> de celebrarse sobre un bien embargado, incurr</w:t>
      </w:r>
      <w:r w:rsidR="00371891" w:rsidRPr="00CA7B58">
        <w:rPr>
          <w:rFonts w:ascii="Arial" w:eastAsia="Calibri" w:hAnsi="Arial" w:cs="Arial"/>
          <w:bCs/>
          <w:color w:val="000000" w:themeColor="text1"/>
          <w:sz w:val="22"/>
          <w:lang w:val="es-ES_tradnl"/>
        </w:rPr>
        <w:t>iría</w:t>
      </w:r>
      <w:r w:rsidR="001D5E89" w:rsidRPr="00CA7B58">
        <w:rPr>
          <w:rFonts w:ascii="Arial" w:eastAsia="Calibri" w:hAnsi="Arial" w:cs="Arial"/>
          <w:bCs/>
          <w:color w:val="000000" w:themeColor="text1"/>
          <w:sz w:val="22"/>
          <w:lang w:val="es-ES_tradnl"/>
        </w:rPr>
        <w:t xml:space="preserve"> en </w:t>
      </w:r>
      <w:r w:rsidR="004C72C2" w:rsidRPr="00CA7B58">
        <w:rPr>
          <w:rFonts w:ascii="Arial" w:eastAsia="Calibri" w:hAnsi="Arial" w:cs="Arial"/>
          <w:bCs/>
          <w:color w:val="000000" w:themeColor="text1"/>
          <w:sz w:val="22"/>
          <w:lang w:val="es-ES_tradnl"/>
        </w:rPr>
        <w:t xml:space="preserve">objeto ilícito de conformidad con el artículo 1521 del Código Civil. </w:t>
      </w:r>
      <w:r w:rsidR="00A43448" w:rsidRPr="00CA7B58">
        <w:rPr>
          <w:rFonts w:ascii="Arial" w:eastAsia="Calibri" w:hAnsi="Arial" w:cs="Arial"/>
          <w:bCs/>
          <w:color w:val="000000" w:themeColor="text1"/>
          <w:sz w:val="22"/>
          <w:lang w:val="es-ES_tradnl"/>
        </w:rPr>
        <w:t>Con base en esto,</w:t>
      </w:r>
      <w:r w:rsidR="00AD29BA" w:rsidRPr="00CA7B58">
        <w:rPr>
          <w:rFonts w:ascii="Arial" w:eastAsia="Calibri" w:hAnsi="Arial" w:cs="Arial"/>
          <w:bCs/>
          <w:color w:val="000000" w:themeColor="text1"/>
          <w:sz w:val="22"/>
          <w:lang w:val="es-ES_tradnl"/>
        </w:rPr>
        <w:t xml:space="preserve"> haciendo un paralelo con la compraventa, </w:t>
      </w:r>
      <w:r w:rsidR="00A43448" w:rsidRPr="00CA7B58">
        <w:rPr>
          <w:rFonts w:ascii="Arial" w:eastAsia="Calibri" w:hAnsi="Arial" w:cs="Arial"/>
          <w:bCs/>
          <w:color w:val="000000" w:themeColor="text1"/>
          <w:sz w:val="22"/>
          <w:lang w:val="es-ES_tradnl"/>
        </w:rPr>
        <w:t xml:space="preserve">la doctrina se ha referido a la posibilidad de </w:t>
      </w:r>
      <w:r w:rsidR="00371891" w:rsidRPr="00CA7B58">
        <w:rPr>
          <w:rFonts w:ascii="Arial" w:eastAsia="Calibri" w:hAnsi="Arial" w:cs="Arial"/>
          <w:bCs/>
          <w:color w:val="000000" w:themeColor="text1"/>
          <w:sz w:val="22"/>
          <w:lang w:val="es-ES_tradnl"/>
        </w:rPr>
        <w:t xml:space="preserve">que </w:t>
      </w:r>
      <w:r w:rsidR="006A3ED2" w:rsidRPr="00CA7B58">
        <w:rPr>
          <w:rFonts w:ascii="Arial" w:eastAsia="Calibri" w:hAnsi="Arial" w:cs="Arial"/>
          <w:bCs/>
          <w:color w:val="000000" w:themeColor="text1"/>
          <w:sz w:val="22"/>
          <w:lang w:val="es-ES_tradnl"/>
        </w:rPr>
        <w:t xml:space="preserve">se celebren contratos de arrendamiento sobre bienes inmuebles objeto de embargo, manifestando lo siguiente:  </w:t>
      </w:r>
    </w:p>
    <w:p w14:paraId="37A6DD14" w14:textId="77777777" w:rsidR="00AD29BA" w:rsidRPr="00CA7B58" w:rsidRDefault="00AD29BA" w:rsidP="00D36B0C">
      <w:pPr>
        <w:spacing w:line="276" w:lineRule="auto"/>
        <w:ind w:firstLine="708"/>
        <w:jc w:val="both"/>
        <w:rPr>
          <w:rFonts w:ascii="Arial" w:eastAsia="Calibri" w:hAnsi="Arial" w:cs="Arial"/>
          <w:bCs/>
          <w:color w:val="000000" w:themeColor="text1"/>
          <w:sz w:val="22"/>
          <w:lang w:val="es-ES_tradnl"/>
        </w:rPr>
      </w:pPr>
    </w:p>
    <w:p w14:paraId="3740DC1A" w14:textId="6841DEEA" w:rsidR="00A87250" w:rsidRPr="00CA7B58" w:rsidRDefault="00AD29BA">
      <w:pPr>
        <w:ind w:left="709" w:right="709"/>
        <w:jc w:val="both"/>
        <w:rPr>
          <w:rFonts w:ascii="Arial" w:hAnsi="Arial" w:cs="Arial"/>
          <w:sz w:val="21"/>
          <w:szCs w:val="21"/>
        </w:rPr>
      </w:pPr>
      <w:r w:rsidRPr="00D36B0C">
        <w:rPr>
          <w:rFonts w:ascii="Arial" w:hAnsi="Arial" w:cs="Arial"/>
          <w:sz w:val="21"/>
          <w:szCs w:val="21"/>
        </w:rPr>
        <w:t>«</w:t>
      </w:r>
      <w:r w:rsidR="00A87250" w:rsidRPr="00D36B0C">
        <w:rPr>
          <w:rFonts w:ascii="Arial" w:hAnsi="Arial" w:cs="Arial"/>
          <w:sz w:val="21"/>
          <w:szCs w:val="21"/>
        </w:rPr>
        <w:t xml:space="preserve">El principio general es que todas las cosas se pueden arrendar. Las excepciones surgen de las prohibiciones de ley. Casi todas las cosas que se pueden vender son susceptibles de arrendarse. En cambio, </w:t>
      </w:r>
      <w:r w:rsidR="00A87250" w:rsidRPr="00D36B0C">
        <w:rPr>
          <w:rFonts w:ascii="Arial" w:hAnsi="Arial" w:cs="Arial"/>
          <w:i/>
          <w:iCs/>
          <w:sz w:val="21"/>
          <w:szCs w:val="21"/>
          <w:u w:val="single"/>
        </w:rPr>
        <w:t>no todas las cosas que se pueden arrendar son susceptibles de venderse; por ejemplo: un bien embargado o secuestrado puede ser arrendado, sin autorización del juez o del acreedor, pero no puede ser vendido por tener objeto ilícito, al tenor de lo dispuesto es el artículo 1521 del Código Civil. La Razón emana de la misma naturaleza del contrato de arrendamiento que excluye cualquier posibilidad de disposición de la cosa</w:t>
      </w:r>
      <w:r w:rsidRPr="00D36B0C">
        <w:rPr>
          <w:rFonts w:ascii="Arial" w:hAnsi="Arial" w:cs="Arial"/>
          <w:sz w:val="21"/>
          <w:szCs w:val="21"/>
        </w:rPr>
        <w:t>»</w:t>
      </w:r>
      <w:r w:rsidR="007B4ED2" w:rsidRPr="00CA7B58">
        <w:rPr>
          <w:rStyle w:val="Refdenotaalpie"/>
          <w:rFonts w:ascii="Arial" w:hAnsi="Arial" w:cs="Arial"/>
          <w:sz w:val="21"/>
          <w:szCs w:val="21"/>
        </w:rPr>
        <w:footnoteReference w:id="18"/>
      </w:r>
      <w:r w:rsidR="00E801BC" w:rsidRPr="00CA7B58">
        <w:rPr>
          <w:rFonts w:ascii="Arial" w:hAnsi="Arial" w:cs="Arial"/>
          <w:sz w:val="21"/>
          <w:szCs w:val="21"/>
        </w:rPr>
        <w:t>.</w:t>
      </w:r>
      <w:r w:rsidR="00E4417A" w:rsidRPr="00D36B0C">
        <w:rPr>
          <w:rFonts w:ascii="Arial" w:hAnsi="Arial" w:cs="Arial"/>
          <w:sz w:val="21"/>
          <w:szCs w:val="21"/>
        </w:rPr>
        <w:t xml:space="preserve"> </w:t>
      </w:r>
      <w:r w:rsidR="00E801BC" w:rsidRPr="00CA7B58">
        <w:rPr>
          <w:rFonts w:ascii="Arial" w:hAnsi="Arial" w:cs="Arial"/>
          <w:sz w:val="21"/>
          <w:szCs w:val="21"/>
        </w:rPr>
        <w:t>[Énfasis fuera de texto]</w:t>
      </w:r>
      <w:r w:rsidRPr="00D36B0C">
        <w:rPr>
          <w:rFonts w:ascii="Arial" w:hAnsi="Arial" w:cs="Arial"/>
          <w:sz w:val="21"/>
          <w:szCs w:val="21"/>
        </w:rPr>
        <w:t>.</w:t>
      </w:r>
    </w:p>
    <w:p w14:paraId="4E48B21A" w14:textId="77777777" w:rsidR="00A87250" w:rsidRPr="00CA7B58" w:rsidRDefault="00A87250" w:rsidP="00A87250">
      <w:pPr>
        <w:jc w:val="both"/>
        <w:rPr>
          <w:rFonts w:ascii="Arial" w:hAnsi="Arial" w:cs="Arial"/>
          <w:sz w:val="21"/>
          <w:szCs w:val="21"/>
        </w:rPr>
      </w:pPr>
    </w:p>
    <w:p w14:paraId="48E657A9" w14:textId="2FD5F001" w:rsidR="00372DB5" w:rsidRPr="00CA7B58" w:rsidRDefault="00A87250" w:rsidP="00D36B0C">
      <w:pPr>
        <w:spacing w:after="120" w:line="276" w:lineRule="auto"/>
        <w:ind w:firstLine="709"/>
        <w:jc w:val="both"/>
        <w:rPr>
          <w:rFonts w:ascii="Arial" w:hAnsi="Arial" w:cs="Arial"/>
          <w:sz w:val="22"/>
        </w:rPr>
      </w:pPr>
      <w:r w:rsidRPr="00CA7B58">
        <w:rPr>
          <w:rFonts w:ascii="Arial" w:hAnsi="Arial" w:cs="Arial"/>
          <w:sz w:val="22"/>
        </w:rPr>
        <w:t xml:space="preserve">De acuerdo con </w:t>
      </w:r>
      <w:r w:rsidR="00E801BC" w:rsidRPr="00CA7B58">
        <w:rPr>
          <w:rFonts w:ascii="Arial" w:hAnsi="Arial" w:cs="Arial"/>
          <w:sz w:val="22"/>
        </w:rPr>
        <w:t>esto</w:t>
      </w:r>
      <w:r w:rsidR="008A5B86" w:rsidRPr="00CA7B58">
        <w:rPr>
          <w:rFonts w:ascii="Arial" w:hAnsi="Arial" w:cs="Arial"/>
          <w:sz w:val="22"/>
        </w:rPr>
        <w:t xml:space="preserve">, </w:t>
      </w:r>
      <w:r w:rsidRPr="00CA7B58">
        <w:rPr>
          <w:rFonts w:ascii="Arial" w:hAnsi="Arial" w:cs="Arial"/>
          <w:sz w:val="22"/>
        </w:rPr>
        <w:t>un bien</w:t>
      </w:r>
      <w:r w:rsidR="00656F7A" w:rsidRPr="00CA7B58">
        <w:rPr>
          <w:rFonts w:ascii="Arial" w:hAnsi="Arial" w:cs="Arial"/>
          <w:sz w:val="22"/>
        </w:rPr>
        <w:t xml:space="preserve"> inmueble</w:t>
      </w:r>
      <w:r w:rsidRPr="00CA7B58">
        <w:rPr>
          <w:rFonts w:ascii="Arial" w:hAnsi="Arial" w:cs="Arial"/>
          <w:sz w:val="22"/>
        </w:rPr>
        <w:t xml:space="preserve"> que se encuentra </w:t>
      </w:r>
      <w:r w:rsidR="008A5B86" w:rsidRPr="00CA7B58">
        <w:rPr>
          <w:rFonts w:ascii="Arial" w:hAnsi="Arial" w:cs="Arial"/>
          <w:sz w:val="22"/>
        </w:rPr>
        <w:t>afectado con la medida cautelar de embargo,</w:t>
      </w:r>
      <w:r w:rsidRPr="00CA7B58">
        <w:rPr>
          <w:rFonts w:ascii="Arial" w:hAnsi="Arial" w:cs="Arial"/>
          <w:sz w:val="22"/>
        </w:rPr>
        <w:t xml:space="preserve"> </w:t>
      </w:r>
      <w:r w:rsidR="008A5B86" w:rsidRPr="00CA7B58">
        <w:rPr>
          <w:rFonts w:ascii="Arial" w:hAnsi="Arial" w:cs="Arial"/>
          <w:sz w:val="22"/>
        </w:rPr>
        <w:t>es susceptible de ser</w:t>
      </w:r>
      <w:r w:rsidRPr="00CA7B58">
        <w:rPr>
          <w:rFonts w:ascii="Arial" w:hAnsi="Arial" w:cs="Arial"/>
          <w:sz w:val="22"/>
        </w:rPr>
        <w:t xml:space="preserve"> arrenda</w:t>
      </w:r>
      <w:r w:rsidR="00E801BC" w:rsidRPr="00CA7B58">
        <w:rPr>
          <w:rFonts w:ascii="Arial" w:hAnsi="Arial" w:cs="Arial"/>
          <w:sz w:val="22"/>
        </w:rPr>
        <w:t>do</w:t>
      </w:r>
      <w:r w:rsidRPr="00CA7B58">
        <w:rPr>
          <w:rFonts w:ascii="Arial" w:hAnsi="Arial" w:cs="Arial"/>
          <w:sz w:val="22"/>
        </w:rPr>
        <w:t xml:space="preserve">, </w:t>
      </w:r>
      <w:r w:rsidR="00E801BC" w:rsidRPr="00CA7B58">
        <w:rPr>
          <w:rFonts w:ascii="Arial" w:hAnsi="Arial" w:cs="Arial"/>
          <w:sz w:val="22"/>
        </w:rPr>
        <w:t xml:space="preserve">comoquiera </w:t>
      </w:r>
      <w:r w:rsidRPr="00CA7B58">
        <w:rPr>
          <w:rFonts w:ascii="Arial" w:hAnsi="Arial" w:cs="Arial"/>
          <w:sz w:val="22"/>
        </w:rPr>
        <w:t xml:space="preserve">que </w:t>
      </w:r>
      <w:r w:rsidR="0017225E" w:rsidRPr="00CA7B58">
        <w:rPr>
          <w:rFonts w:ascii="Arial" w:hAnsi="Arial" w:cs="Arial"/>
          <w:bCs/>
          <w:color w:val="000000" w:themeColor="text1"/>
          <w:sz w:val="22"/>
          <w:lang w:val="es-ES"/>
        </w:rPr>
        <w:t>no existe prohibición legal al respecto en el derecho privado, ni en el Estatuto General de Contratación de la Administración Pública.</w:t>
      </w:r>
      <w:r w:rsidR="001A11F5" w:rsidRPr="00CA7B58">
        <w:rPr>
          <w:rFonts w:ascii="Arial" w:hAnsi="Arial" w:cs="Arial"/>
          <w:bCs/>
          <w:color w:val="000000" w:themeColor="text1"/>
          <w:sz w:val="22"/>
          <w:lang w:val="es-ES"/>
        </w:rPr>
        <w:t xml:space="preserve"> </w:t>
      </w:r>
      <w:r w:rsidR="00E801BC" w:rsidRPr="00CA7B58">
        <w:rPr>
          <w:rFonts w:ascii="Arial" w:hAnsi="Arial" w:cs="Arial"/>
          <w:sz w:val="22"/>
        </w:rPr>
        <w:t>Esto además se sustenta en que,</w:t>
      </w:r>
      <w:r w:rsidR="008A5B86" w:rsidRPr="00CA7B58">
        <w:rPr>
          <w:rFonts w:ascii="Arial" w:hAnsi="Arial" w:cs="Arial"/>
          <w:sz w:val="22"/>
        </w:rPr>
        <w:t xml:space="preserve"> </w:t>
      </w:r>
      <w:r w:rsidRPr="00CA7B58">
        <w:rPr>
          <w:rFonts w:ascii="Arial" w:hAnsi="Arial" w:cs="Arial"/>
          <w:sz w:val="22"/>
        </w:rPr>
        <w:t xml:space="preserve">el contrato de arrendamiento no constituye un acto de enajenación del dominio, </w:t>
      </w:r>
      <w:r w:rsidR="004A2EBC" w:rsidRPr="00CA7B58">
        <w:rPr>
          <w:rFonts w:ascii="Arial" w:hAnsi="Arial" w:cs="Arial"/>
          <w:sz w:val="22"/>
        </w:rPr>
        <w:t xml:space="preserve">por lo que no se configura objeto ilícito de conformidad con el </w:t>
      </w:r>
      <w:r w:rsidR="00074599" w:rsidRPr="00CA7B58">
        <w:rPr>
          <w:rFonts w:ascii="Arial" w:hAnsi="Arial" w:cs="Arial"/>
          <w:sz w:val="22"/>
        </w:rPr>
        <w:t xml:space="preserve">artículo 1521 del </w:t>
      </w:r>
      <w:r w:rsidRPr="00CA7B58">
        <w:rPr>
          <w:rFonts w:ascii="Arial" w:hAnsi="Arial" w:cs="Arial"/>
          <w:sz w:val="22"/>
        </w:rPr>
        <w:t>Código Ci</w:t>
      </w:r>
      <w:r w:rsidR="008A5B86" w:rsidRPr="00CA7B58">
        <w:rPr>
          <w:rFonts w:ascii="Arial" w:hAnsi="Arial" w:cs="Arial"/>
          <w:sz w:val="22"/>
        </w:rPr>
        <w:t>vil</w:t>
      </w:r>
      <w:r w:rsidR="004A2EBC" w:rsidRPr="00CA7B58">
        <w:rPr>
          <w:rFonts w:ascii="Arial" w:hAnsi="Arial" w:cs="Arial"/>
          <w:sz w:val="22"/>
        </w:rPr>
        <w:t xml:space="preserve">. </w:t>
      </w:r>
      <w:r w:rsidR="008A5B86" w:rsidRPr="00CA7B58">
        <w:rPr>
          <w:rFonts w:ascii="Arial" w:hAnsi="Arial" w:cs="Arial"/>
          <w:sz w:val="22"/>
        </w:rPr>
        <w:t xml:space="preserve"> </w:t>
      </w:r>
      <w:r w:rsidR="002D65AB" w:rsidRPr="00CA7B58">
        <w:rPr>
          <w:rFonts w:ascii="Arial" w:hAnsi="Arial" w:cs="Arial"/>
          <w:sz w:val="22"/>
        </w:rPr>
        <w:t xml:space="preserve">En todo caso, debe tenerse en cuenta que en los casos en los que </w:t>
      </w:r>
      <w:r w:rsidR="00277457" w:rsidRPr="00CA7B58">
        <w:rPr>
          <w:rFonts w:ascii="Arial" w:hAnsi="Arial" w:cs="Arial"/>
          <w:sz w:val="22"/>
        </w:rPr>
        <w:t xml:space="preserve">el </w:t>
      </w:r>
      <w:r w:rsidR="001E400E" w:rsidRPr="00CA7B58">
        <w:rPr>
          <w:rFonts w:ascii="Arial" w:hAnsi="Arial" w:cs="Arial"/>
          <w:sz w:val="22"/>
        </w:rPr>
        <w:t>inmueble</w:t>
      </w:r>
      <w:r w:rsidR="00277457" w:rsidRPr="00CA7B58">
        <w:rPr>
          <w:rFonts w:ascii="Arial" w:hAnsi="Arial" w:cs="Arial"/>
          <w:sz w:val="22"/>
        </w:rPr>
        <w:t xml:space="preserve"> además de </w:t>
      </w:r>
      <w:r w:rsidR="001E400E" w:rsidRPr="00CA7B58">
        <w:rPr>
          <w:rFonts w:ascii="Arial" w:hAnsi="Arial" w:cs="Arial"/>
          <w:sz w:val="22"/>
        </w:rPr>
        <w:t xml:space="preserve">encontrarse </w:t>
      </w:r>
      <w:r w:rsidR="001032AF" w:rsidRPr="00CA7B58">
        <w:rPr>
          <w:rFonts w:ascii="Arial" w:hAnsi="Arial" w:cs="Arial"/>
          <w:sz w:val="22"/>
        </w:rPr>
        <w:t>embargado</w:t>
      </w:r>
      <w:r w:rsidR="001E400E" w:rsidRPr="00CA7B58">
        <w:rPr>
          <w:rFonts w:ascii="Arial" w:hAnsi="Arial" w:cs="Arial"/>
          <w:sz w:val="22"/>
        </w:rPr>
        <w:t xml:space="preserve"> </w:t>
      </w:r>
      <w:r w:rsidR="00D00AFF" w:rsidRPr="00CA7B58">
        <w:rPr>
          <w:rFonts w:ascii="Arial" w:hAnsi="Arial" w:cs="Arial"/>
          <w:sz w:val="22"/>
        </w:rPr>
        <w:t xml:space="preserve">es objeto de secuestro, </w:t>
      </w:r>
      <w:r w:rsidR="00AA18C4" w:rsidRPr="00CA7B58">
        <w:rPr>
          <w:rFonts w:ascii="Arial" w:hAnsi="Arial" w:cs="Arial"/>
          <w:sz w:val="22"/>
        </w:rPr>
        <w:t>el propietario se encuentr</w:t>
      </w:r>
      <w:r w:rsidR="0073032F" w:rsidRPr="00CA7B58">
        <w:rPr>
          <w:rFonts w:ascii="Arial" w:hAnsi="Arial" w:cs="Arial"/>
          <w:sz w:val="22"/>
        </w:rPr>
        <w:t>a impedido para «</w:t>
      </w:r>
      <w:r w:rsidR="00277457" w:rsidRPr="00CA7B58">
        <w:rPr>
          <w:rFonts w:ascii="Arial" w:hAnsi="Arial" w:cs="Arial"/>
          <w:sz w:val="22"/>
        </w:rPr>
        <w:t xml:space="preserve">disponer </w:t>
      </w:r>
      <w:r w:rsidR="00277457" w:rsidRPr="00CA7B58">
        <w:rPr>
          <w:rFonts w:ascii="Arial" w:hAnsi="Arial" w:cs="Arial"/>
          <w:sz w:val="22"/>
        </w:rPr>
        <w:lastRenderedPageBreak/>
        <w:t xml:space="preserve">libremente del predio, por </w:t>
      </w:r>
      <w:r w:rsidR="0073032F" w:rsidRPr="00CA7B58">
        <w:rPr>
          <w:rFonts w:ascii="Arial" w:hAnsi="Arial" w:cs="Arial"/>
          <w:sz w:val="22"/>
        </w:rPr>
        <w:t>l</w:t>
      </w:r>
      <w:r w:rsidR="00277457" w:rsidRPr="00CA7B58">
        <w:rPr>
          <w:rFonts w:ascii="Arial" w:hAnsi="Arial" w:cs="Arial"/>
          <w:sz w:val="22"/>
        </w:rPr>
        <w:t>o</w:t>
      </w:r>
      <w:r w:rsidR="0073032F" w:rsidRPr="00CA7B58">
        <w:rPr>
          <w:rFonts w:ascii="Arial" w:hAnsi="Arial" w:cs="Arial"/>
          <w:sz w:val="22"/>
        </w:rPr>
        <w:t xml:space="preserve"> </w:t>
      </w:r>
      <w:r w:rsidR="00277457" w:rsidRPr="00CA7B58">
        <w:rPr>
          <w:rFonts w:ascii="Arial" w:hAnsi="Arial" w:cs="Arial"/>
          <w:sz w:val="22"/>
        </w:rPr>
        <w:t>que se abstendrá de arrendarlo o explotarlo económicamente</w:t>
      </w:r>
      <w:r w:rsidR="00E6528C" w:rsidRPr="00D36B0C">
        <w:rPr>
          <w:rFonts w:ascii="Arial" w:hAnsi="Arial" w:cs="Arial"/>
          <w:sz w:val="22"/>
        </w:rPr>
        <w:t>,</w:t>
      </w:r>
      <w:r w:rsidR="00277457" w:rsidRPr="00CA7B58">
        <w:rPr>
          <w:rFonts w:ascii="Arial" w:hAnsi="Arial" w:cs="Arial"/>
          <w:sz w:val="22"/>
        </w:rPr>
        <w:t xml:space="preserve"> actos que pueden ser realizados por el auxiliar de la justicia</w:t>
      </w:r>
      <w:r w:rsidR="00465FD9" w:rsidRPr="00CA7B58">
        <w:rPr>
          <w:rFonts w:ascii="Arial" w:hAnsi="Arial" w:cs="Arial"/>
          <w:sz w:val="22"/>
        </w:rPr>
        <w:t>»</w:t>
      </w:r>
      <w:r w:rsidR="00465FD9" w:rsidRPr="00CA7B58">
        <w:rPr>
          <w:rStyle w:val="Refdenotaalpie"/>
          <w:rFonts w:ascii="Arial" w:hAnsi="Arial" w:cs="Arial"/>
          <w:sz w:val="22"/>
        </w:rPr>
        <w:footnoteReference w:id="19"/>
      </w:r>
      <w:r w:rsidR="00277457" w:rsidRPr="00CA7B58">
        <w:rPr>
          <w:rFonts w:ascii="Arial" w:hAnsi="Arial" w:cs="Arial"/>
          <w:sz w:val="22"/>
        </w:rPr>
        <w:t>,</w:t>
      </w:r>
      <w:r w:rsidR="00465FD9" w:rsidRPr="00CA7B58">
        <w:rPr>
          <w:rFonts w:ascii="Arial" w:hAnsi="Arial" w:cs="Arial"/>
          <w:sz w:val="22"/>
        </w:rPr>
        <w:t xml:space="preserve"> es decir, el secuestre.</w:t>
      </w:r>
      <w:r w:rsidR="00E27AD5" w:rsidRPr="00CA7B58">
        <w:rPr>
          <w:rFonts w:ascii="Arial" w:hAnsi="Arial" w:cs="Arial"/>
          <w:sz w:val="22"/>
        </w:rPr>
        <w:t xml:space="preserve"> </w:t>
      </w:r>
      <w:r w:rsidR="00277457" w:rsidRPr="00CA7B58">
        <w:rPr>
          <w:rFonts w:ascii="Arial" w:hAnsi="Arial" w:cs="Arial"/>
          <w:sz w:val="22"/>
        </w:rPr>
        <w:t xml:space="preserve"> </w:t>
      </w:r>
    </w:p>
    <w:p w14:paraId="5ED6923D" w14:textId="2F595F7C" w:rsidR="00A87250" w:rsidRPr="00CA7B58" w:rsidRDefault="00690130" w:rsidP="00D36B0C">
      <w:pPr>
        <w:spacing w:line="276" w:lineRule="auto"/>
        <w:ind w:firstLine="708"/>
        <w:jc w:val="both"/>
        <w:rPr>
          <w:rFonts w:ascii="Arial" w:hAnsi="Arial" w:cs="Arial"/>
          <w:sz w:val="22"/>
        </w:rPr>
      </w:pPr>
      <w:r w:rsidRPr="00CA7B58">
        <w:rPr>
          <w:rFonts w:ascii="Arial" w:hAnsi="Arial" w:cs="Arial"/>
          <w:sz w:val="22"/>
        </w:rPr>
        <w:t>Sin perjuicio de lo anterior</w:t>
      </w:r>
      <w:r w:rsidR="00A87250" w:rsidRPr="00CA7B58">
        <w:rPr>
          <w:rFonts w:ascii="Arial" w:hAnsi="Arial" w:cs="Arial"/>
          <w:sz w:val="22"/>
        </w:rPr>
        <w:t xml:space="preserve">, </w:t>
      </w:r>
      <w:r w:rsidR="004B2CDC" w:rsidRPr="00D36B0C">
        <w:rPr>
          <w:rFonts w:ascii="Arial" w:hAnsi="Arial" w:cs="Arial"/>
          <w:sz w:val="22"/>
        </w:rPr>
        <w:t xml:space="preserve">a </w:t>
      </w:r>
      <w:r w:rsidR="00A87250" w:rsidRPr="00CA7B58">
        <w:rPr>
          <w:rFonts w:ascii="Arial" w:hAnsi="Arial" w:cs="Arial"/>
          <w:sz w:val="22"/>
        </w:rPr>
        <w:t>cada entidad en</w:t>
      </w:r>
      <w:r w:rsidR="004B2CDC" w:rsidRPr="00D36B0C">
        <w:rPr>
          <w:rFonts w:ascii="Arial" w:hAnsi="Arial" w:cs="Arial"/>
          <w:sz w:val="22"/>
        </w:rPr>
        <w:t xml:space="preserve"> el marco de</w:t>
      </w:r>
      <w:r w:rsidR="00A87250" w:rsidRPr="00CA7B58">
        <w:rPr>
          <w:rFonts w:ascii="Arial" w:hAnsi="Arial" w:cs="Arial"/>
          <w:sz w:val="22"/>
        </w:rPr>
        <w:t xml:space="preserve"> su deber de análisis </w:t>
      </w:r>
      <w:r w:rsidR="004B2CDC" w:rsidRPr="00D36B0C">
        <w:rPr>
          <w:rFonts w:ascii="Arial" w:hAnsi="Arial" w:cs="Arial"/>
          <w:sz w:val="22"/>
        </w:rPr>
        <w:t>le corresponde</w:t>
      </w:r>
      <w:r w:rsidR="00A87250" w:rsidRPr="00CA7B58">
        <w:rPr>
          <w:rFonts w:ascii="Arial" w:hAnsi="Arial" w:cs="Arial"/>
          <w:sz w:val="22"/>
        </w:rPr>
        <w:t xml:space="preserve"> examinar entre otras condiciones del inmueble a arrendar, su situación jurídica, para determinar la conveniencia y la favorabilidad para la entidad estatal en caso de arrendar un inmueble que se encuentre afectado con la medida cautelar de embargo, y las implicaciones que este acto puede tener en la ejecución del contrato</w:t>
      </w:r>
      <w:r w:rsidR="00D3626C" w:rsidRPr="00D36B0C">
        <w:rPr>
          <w:rFonts w:ascii="Arial" w:hAnsi="Arial" w:cs="Arial"/>
          <w:sz w:val="22"/>
        </w:rPr>
        <w:t>. P</w:t>
      </w:r>
      <w:r w:rsidR="00A87250" w:rsidRPr="00CA7B58">
        <w:rPr>
          <w:rFonts w:ascii="Arial" w:hAnsi="Arial" w:cs="Arial"/>
          <w:sz w:val="22"/>
        </w:rPr>
        <w:t>or ejemplo, en el pago de los cánones de arrendamiento, la posible afectación del plazo de ejecución del contrato en caso de llevarse a cabo el remate del bien embargado, entre otros aspectos</w:t>
      </w:r>
      <w:r w:rsidR="008A5B86" w:rsidRPr="00CA7B58">
        <w:rPr>
          <w:rFonts w:ascii="Arial" w:hAnsi="Arial" w:cs="Arial"/>
          <w:sz w:val="22"/>
        </w:rPr>
        <w:t>.</w:t>
      </w:r>
      <w:r w:rsidR="00040F3E" w:rsidRPr="00CA7B58">
        <w:rPr>
          <w:rFonts w:ascii="Arial" w:hAnsi="Arial" w:cs="Arial"/>
          <w:sz w:val="22"/>
        </w:rPr>
        <w:t xml:space="preserve"> </w:t>
      </w:r>
      <w:r w:rsidR="00256D10" w:rsidRPr="00D36B0C">
        <w:rPr>
          <w:rFonts w:ascii="Arial" w:hAnsi="Arial" w:cs="Arial"/>
          <w:sz w:val="22"/>
        </w:rPr>
        <w:t>Además, d</w:t>
      </w:r>
      <w:r w:rsidR="00040F3E" w:rsidRPr="00CA7B58">
        <w:rPr>
          <w:rFonts w:ascii="Arial" w:hAnsi="Arial" w:cs="Arial"/>
          <w:sz w:val="22"/>
        </w:rPr>
        <w:t xml:space="preserve">icho análisis deberá </w:t>
      </w:r>
      <w:r w:rsidR="00DC545B" w:rsidRPr="00CA7B58">
        <w:rPr>
          <w:rFonts w:ascii="Arial" w:hAnsi="Arial" w:cs="Arial"/>
          <w:sz w:val="22"/>
        </w:rPr>
        <w:t>revisar si no existe alguna prohibición espec</w:t>
      </w:r>
      <w:r w:rsidR="00034C4C" w:rsidRPr="00D36B0C">
        <w:rPr>
          <w:rFonts w:ascii="Arial" w:hAnsi="Arial" w:cs="Arial"/>
          <w:sz w:val="22"/>
        </w:rPr>
        <w:t>í</w:t>
      </w:r>
      <w:r w:rsidR="00DC545B" w:rsidRPr="00CA7B58">
        <w:rPr>
          <w:rFonts w:ascii="Arial" w:hAnsi="Arial" w:cs="Arial"/>
          <w:sz w:val="22"/>
        </w:rPr>
        <w:t>fica que impida arrendar el inmueble</w:t>
      </w:r>
      <w:r w:rsidR="00960A62" w:rsidRPr="00CA7B58">
        <w:rPr>
          <w:rFonts w:ascii="Arial" w:hAnsi="Arial" w:cs="Arial"/>
          <w:sz w:val="22"/>
        </w:rPr>
        <w:t xml:space="preserve"> en particular, como podría suceder, por ejemplo, en caso de que la autoridad que decreta el embargo así lo disponga.  </w:t>
      </w:r>
    </w:p>
    <w:p w14:paraId="32F3779E" w14:textId="77777777" w:rsidR="008A5B86" w:rsidRPr="00CA7B58" w:rsidRDefault="008A5B86" w:rsidP="008A5B86">
      <w:pPr>
        <w:spacing w:line="276" w:lineRule="auto"/>
        <w:jc w:val="both"/>
        <w:rPr>
          <w:rFonts w:ascii="Arial" w:hAnsi="Arial" w:cs="Arial"/>
          <w:sz w:val="22"/>
        </w:rPr>
      </w:pPr>
    </w:p>
    <w:p w14:paraId="02F7BE55" w14:textId="05D5B865" w:rsidR="00FC4013" w:rsidRPr="00CA7B58" w:rsidRDefault="00FB4DBF" w:rsidP="002270CB">
      <w:pPr>
        <w:spacing w:line="276" w:lineRule="auto"/>
        <w:jc w:val="both"/>
        <w:rPr>
          <w:rFonts w:ascii="Arial" w:eastAsia="Calibri" w:hAnsi="Arial" w:cs="Arial"/>
          <w:b/>
          <w:sz w:val="22"/>
        </w:rPr>
      </w:pPr>
      <w:r w:rsidRPr="00CA7B58">
        <w:rPr>
          <w:rFonts w:ascii="Arial" w:eastAsia="Calibri" w:hAnsi="Arial" w:cs="Arial"/>
          <w:b/>
          <w:sz w:val="22"/>
        </w:rPr>
        <w:t xml:space="preserve">3. </w:t>
      </w:r>
      <w:r w:rsidR="00305947" w:rsidRPr="00CA7B58">
        <w:rPr>
          <w:rFonts w:ascii="Arial" w:eastAsia="Calibri" w:hAnsi="Arial" w:cs="Arial"/>
          <w:b/>
          <w:sz w:val="22"/>
        </w:rPr>
        <w:t>Respuesta</w:t>
      </w:r>
    </w:p>
    <w:p w14:paraId="730F9CEE" w14:textId="77777777" w:rsidR="002270CB" w:rsidRPr="00CA7B58" w:rsidRDefault="002270CB" w:rsidP="00BF2AB3">
      <w:pPr>
        <w:spacing w:line="276" w:lineRule="auto"/>
        <w:jc w:val="both"/>
        <w:rPr>
          <w:rFonts w:ascii="Arial" w:eastAsia="Calibri" w:hAnsi="Arial" w:cs="Arial"/>
          <w:bCs/>
          <w:sz w:val="22"/>
        </w:rPr>
      </w:pPr>
    </w:p>
    <w:p w14:paraId="657F6726" w14:textId="07F2F959" w:rsidR="00613BA0" w:rsidRPr="00CA7B58" w:rsidRDefault="00613BA0" w:rsidP="00D36B0C">
      <w:pPr>
        <w:shd w:val="clear" w:color="auto" w:fill="FFFFFF"/>
        <w:ind w:left="709" w:right="709"/>
        <w:jc w:val="both"/>
        <w:rPr>
          <w:rFonts w:ascii="Arial" w:eastAsia="Calibri" w:hAnsi="Arial" w:cs="Arial"/>
          <w:sz w:val="21"/>
          <w:szCs w:val="21"/>
        </w:rPr>
      </w:pPr>
      <w:r w:rsidRPr="00CA7B58">
        <w:rPr>
          <w:rFonts w:ascii="Arial" w:eastAsia="Calibri" w:hAnsi="Arial" w:cs="Arial"/>
          <w:sz w:val="21"/>
          <w:szCs w:val="21"/>
        </w:rPr>
        <w:t>«</w:t>
      </w:r>
      <w:r w:rsidR="00960A62" w:rsidRPr="00CA7B58">
        <w:rPr>
          <w:rFonts w:ascii="Arial" w:hAnsi="Arial" w:cs="Arial"/>
          <w:sz w:val="21"/>
          <w:szCs w:val="21"/>
        </w:rPr>
        <w:t xml:space="preserve">[...] </w:t>
      </w:r>
      <w:r w:rsidRPr="00CA7B58">
        <w:rPr>
          <w:rFonts w:ascii="Arial" w:hAnsi="Arial" w:cs="Arial"/>
          <w:sz w:val="21"/>
          <w:szCs w:val="21"/>
        </w:rPr>
        <w:t>¿Cuáles son los requisitos que exige la norma general a las entidades estatales para llevar a cabo la contratación directa por causal de arrendamiento contemplada en el literal i), numeral 4º, artículo 2º de la Ley 1150 de 2007? ¿Impone la norma general como requisito que el inmueble a ser tomado bajo arriendo no tenga algún tipo medida cautelar como lo es un embargo?</w:t>
      </w:r>
      <w:r w:rsidRPr="00CA7B58">
        <w:rPr>
          <w:rFonts w:ascii="Arial" w:eastAsia="Calibri" w:hAnsi="Arial" w:cs="Arial"/>
          <w:sz w:val="21"/>
          <w:szCs w:val="21"/>
        </w:rPr>
        <w:t>»</w:t>
      </w:r>
      <w:r w:rsidR="004D1C2A" w:rsidRPr="00CA7B58">
        <w:rPr>
          <w:rFonts w:ascii="Arial" w:eastAsia="Calibri" w:hAnsi="Arial" w:cs="Arial"/>
          <w:sz w:val="21"/>
          <w:szCs w:val="21"/>
        </w:rPr>
        <w:t>.</w:t>
      </w:r>
    </w:p>
    <w:p w14:paraId="3D99920D" w14:textId="77777777" w:rsidR="002270CB" w:rsidRPr="00CA7B58" w:rsidRDefault="002270CB" w:rsidP="00BF2AB3">
      <w:pPr>
        <w:jc w:val="both"/>
        <w:rPr>
          <w:rFonts w:ascii="Arial" w:hAnsi="Arial" w:cs="Arial"/>
          <w:bCs/>
          <w:color w:val="000000" w:themeColor="text1"/>
          <w:sz w:val="22"/>
        </w:rPr>
      </w:pPr>
    </w:p>
    <w:p w14:paraId="6A87805A" w14:textId="63AF6591" w:rsidR="00613BA0" w:rsidRPr="00CA7B58" w:rsidRDefault="00613BA0" w:rsidP="0059750E">
      <w:pPr>
        <w:spacing w:after="120" w:line="276" w:lineRule="auto"/>
        <w:jc w:val="both"/>
        <w:rPr>
          <w:rFonts w:ascii="Arial" w:hAnsi="Arial" w:cs="Arial"/>
          <w:bCs/>
          <w:color w:val="000000" w:themeColor="text1"/>
          <w:sz w:val="22"/>
          <w:lang w:val="es-ES"/>
        </w:rPr>
      </w:pPr>
      <w:r w:rsidRPr="00CA7B58">
        <w:rPr>
          <w:rFonts w:ascii="Arial" w:hAnsi="Arial" w:cs="Arial"/>
          <w:bCs/>
          <w:color w:val="000000" w:themeColor="text1"/>
          <w:sz w:val="22"/>
          <w:lang w:val="es-ES"/>
        </w:rPr>
        <w:t>De conformidad con l</w:t>
      </w:r>
      <w:r w:rsidR="00960A62" w:rsidRPr="00CA7B58">
        <w:rPr>
          <w:rFonts w:ascii="Arial" w:hAnsi="Arial" w:cs="Arial"/>
          <w:bCs/>
          <w:color w:val="000000" w:themeColor="text1"/>
          <w:sz w:val="22"/>
          <w:lang w:val="es-ES"/>
        </w:rPr>
        <w:t xml:space="preserve">o </w:t>
      </w:r>
      <w:r w:rsidRPr="00CA7B58">
        <w:rPr>
          <w:rFonts w:ascii="Arial" w:hAnsi="Arial" w:cs="Arial"/>
          <w:bCs/>
          <w:color w:val="000000" w:themeColor="text1"/>
          <w:sz w:val="22"/>
          <w:lang w:val="es-ES"/>
        </w:rPr>
        <w:t>expuest</w:t>
      </w:r>
      <w:r w:rsidR="00960A62" w:rsidRPr="00CA7B58">
        <w:rPr>
          <w:rFonts w:ascii="Arial" w:hAnsi="Arial" w:cs="Arial"/>
          <w:bCs/>
          <w:color w:val="000000" w:themeColor="text1"/>
          <w:sz w:val="22"/>
          <w:lang w:val="es-ES"/>
        </w:rPr>
        <w:t>o</w:t>
      </w:r>
      <w:r w:rsidRPr="00CA7B58">
        <w:rPr>
          <w:rFonts w:ascii="Arial" w:hAnsi="Arial" w:cs="Arial"/>
          <w:bCs/>
          <w:color w:val="000000" w:themeColor="text1"/>
          <w:sz w:val="22"/>
          <w:lang w:val="es-ES"/>
        </w:rPr>
        <w:t>, se precisa que dentro de las reglas establecidas en el artículo 2.2.1.2.1.4.11 del Decreto 1082 de 2015 para el arrendamiento de inmuebles de manera directa, no se menciona expresamente la verificación de la existencia o no de medidas cautelares como el embargo del inmueble</w:t>
      </w:r>
      <w:r w:rsidR="00960A62" w:rsidRPr="00CA7B58">
        <w:rPr>
          <w:rFonts w:ascii="Arial" w:hAnsi="Arial" w:cs="Arial"/>
          <w:bCs/>
          <w:color w:val="000000" w:themeColor="text1"/>
          <w:sz w:val="22"/>
          <w:lang w:val="es-ES"/>
        </w:rPr>
        <w:t xml:space="preserve">. </w:t>
      </w:r>
      <w:r w:rsidRPr="00CA7B58">
        <w:rPr>
          <w:rFonts w:ascii="Arial" w:hAnsi="Arial" w:cs="Arial"/>
          <w:bCs/>
          <w:color w:val="000000" w:themeColor="text1"/>
          <w:sz w:val="22"/>
          <w:lang w:val="es-ES"/>
        </w:rPr>
        <w:t xml:space="preserve"> </w:t>
      </w:r>
      <w:r w:rsidR="00960A62" w:rsidRPr="00CA7B58">
        <w:rPr>
          <w:rFonts w:ascii="Arial" w:hAnsi="Arial" w:cs="Arial"/>
          <w:bCs/>
          <w:color w:val="000000" w:themeColor="text1"/>
          <w:sz w:val="22"/>
          <w:lang w:val="es-ES"/>
        </w:rPr>
        <w:t>N</w:t>
      </w:r>
      <w:r w:rsidRPr="00CA7B58">
        <w:rPr>
          <w:rFonts w:ascii="Arial" w:hAnsi="Arial" w:cs="Arial"/>
          <w:bCs/>
          <w:color w:val="000000" w:themeColor="text1"/>
          <w:sz w:val="22"/>
          <w:lang w:val="es-ES"/>
        </w:rPr>
        <w:t xml:space="preserve">o obstante, la segunda regla del artículo mencionado, exige que el Estado desarrolle dos acciones en la etapa de planeación: i) analizar las condiciones de los inmuebles identificados en el mercado que satisfacen la necesidad de la entidad, y las opciones de arrendamiento; y </w:t>
      </w:r>
      <w:proofErr w:type="spellStart"/>
      <w:r w:rsidRPr="00CA7B58">
        <w:rPr>
          <w:rFonts w:ascii="Arial" w:hAnsi="Arial" w:cs="Arial"/>
          <w:bCs/>
          <w:color w:val="000000" w:themeColor="text1"/>
          <w:sz w:val="22"/>
          <w:lang w:val="es-ES"/>
        </w:rPr>
        <w:t>ii</w:t>
      </w:r>
      <w:proofErr w:type="spellEnd"/>
      <w:r w:rsidRPr="00CA7B58">
        <w:rPr>
          <w:rFonts w:ascii="Arial" w:hAnsi="Arial" w:cs="Arial"/>
          <w:bCs/>
          <w:color w:val="000000" w:themeColor="text1"/>
          <w:sz w:val="22"/>
          <w:lang w:val="es-ES"/>
        </w:rPr>
        <w:t>) comparar esas condiciones de los bienes y las opciones de arrendamiento, entre otras razones, para garantizar que el canon se fije a un precio conveniente y que el bien inmueble se arriende en condiciones favorables para el entidad estatal, garantizando así los principios de planeación y selección objetiva.</w:t>
      </w:r>
      <w:r w:rsidR="00F95100" w:rsidRPr="00CA7B58">
        <w:rPr>
          <w:rFonts w:ascii="Arial" w:hAnsi="Arial" w:cs="Arial"/>
          <w:bCs/>
          <w:color w:val="000000" w:themeColor="text1"/>
          <w:sz w:val="22"/>
          <w:lang w:val="es-ES"/>
        </w:rPr>
        <w:t xml:space="preserve"> </w:t>
      </w:r>
      <w:r w:rsidRPr="00CA7B58">
        <w:rPr>
          <w:rFonts w:ascii="Arial" w:hAnsi="Arial" w:cs="Arial"/>
          <w:bCs/>
          <w:color w:val="000000" w:themeColor="text1"/>
          <w:sz w:val="22"/>
          <w:lang w:val="es-ES"/>
        </w:rPr>
        <w:t xml:space="preserve">De tal manera que, para efecto de los estudios previos que requiere el proceso de arrendamiento de bienes inmuebles, es necesario realizar el análisis y comparación de aspectos como las características de los bienes, ubicación, canon, forma de pago y situación jurídica de los bienes identificados, con el fin de seleccionar el inmueble que resulte más favorable para la entidad.  </w:t>
      </w:r>
    </w:p>
    <w:p w14:paraId="6B53F4F4" w14:textId="3A8A359A" w:rsidR="00613BA0" w:rsidRPr="00613BA0" w:rsidRDefault="00613BA0" w:rsidP="00613BA0">
      <w:pPr>
        <w:spacing w:line="276" w:lineRule="auto"/>
        <w:ind w:firstLine="708"/>
        <w:jc w:val="both"/>
        <w:rPr>
          <w:rFonts w:ascii="Arial" w:hAnsi="Arial" w:cs="Arial"/>
          <w:bCs/>
          <w:color w:val="000000" w:themeColor="text1"/>
          <w:sz w:val="22"/>
          <w:lang w:val="es-ES"/>
        </w:rPr>
      </w:pPr>
      <w:r w:rsidRPr="00CA7B58">
        <w:rPr>
          <w:rFonts w:ascii="Arial" w:hAnsi="Arial" w:cs="Arial"/>
          <w:bCs/>
          <w:color w:val="000000" w:themeColor="text1"/>
          <w:sz w:val="22"/>
          <w:lang w:val="es-ES"/>
        </w:rPr>
        <w:t xml:space="preserve">Cabe mencionar que, de acuerdo con la naturaleza del contrato de arrendamiento, el cual, no implica la enajenación del bien, es posible que un inmueble que se encuentra afectado por una medida de embargo sea objeto de arrendamiento, dado que no existe </w:t>
      </w:r>
      <w:r w:rsidRPr="00CA7B58">
        <w:rPr>
          <w:rFonts w:ascii="Arial" w:hAnsi="Arial" w:cs="Arial"/>
          <w:bCs/>
          <w:color w:val="000000" w:themeColor="text1"/>
          <w:sz w:val="22"/>
          <w:lang w:val="es-ES"/>
        </w:rPr>
        <w:lastRenderedPageBreak/>
        <w:t>prohibición legal al respecto en el derecho privado, ni en el Estatuto General de Contratación de la Administración Pública. No obstante, las entidades estatales en su deber de análisis deben examinar en cada caso particular las razones de conveniencia y de favorabilidad para la entidad estatal en caso de tomar en arriendo un inmueble que se encuentre afectado con la medida cautelar de embargo, y las implicaciones que este acto puede tener en la ejecución del contrato</w:t>
      </w:r>
      <w:r w:rsidR="00D3626C" w:rsidRPr="00D36B0C">
        <w:rPr>
          <w:rFonts w:ascii="Arial" w:hAnsi="Arial" w:cs="Arial"/>
          <w:bCs/>
          <w:color w:val="000000" w:themeColor="text1"/>
          <w:sz w:val="22"/>
          <w:lang w:val="es-ES"/>
        </w:rPr>
        <w:t>.</w:t>
      </w:r>
      <w:r w:rsidRPr="00CA7B58">
        <w:rPr>
          <w:rFonts w:ascii="Arial" w:hAnsi="Arial" w:cs="Arial"/>
          <w:bCs/>
          <w:color w:val="000000" w:themeColor="text1"/>
          <w:sz w:val="22"/>
          <w:lang w:val="es-ES"/>
        </w:rPr>
        <w:t xml:space="preserve">, </w:t>
      </w:r>
      <w:r w:rsidR="00D3626C" w:rsidRPr="00D36B0C">
        <w:rPr>
          <w:rFonts w:ascii="Arial" w:hAnsi="Arial" w:cs="Arial"/>
          <w:bCs/>
          <w:color w:val="000000" w:themeColor="text1"/>
          <w:sz w:val="22"/>
          <w:lang w:val="es-ES"/>
        </w:rPr>
        <w:t>P</w:t>
      </w:r>
      <w:r w:rsidRPr="00CA7B58">
        <w:rPr>
          <w:rFonts w:ascii="Arial" w:hAnsi="Arial" w:cs="Arial"/>
          <w:bCs/>
          <w:color w:val="000000" w:themeColor="text1"/>
          <w:sz w:val="22"/>
          <w:lang w:val="es-ES"/>
        </w:rPr>
        <w:t>or ejemplo, podrían analizarse aspectos como el pago de los cánones de arrendamiento ante la autoridad que decretó el embargo</w:t>
      </w:r>
      <w:r w:rsidR="00960A62" w:rsidRPr="00CA7B58">
        <w:rPr>
          <w:rFonts w:ascii="Arial" w:hAnsi="Arial" w:cs="Arial"/>
          <w:bCs/>
          <w:color w:val="000000" w:themeColor="text1"/>
          <w:sz w:val="22"/>
          <w:lang w:val="es-ES"/>
        </w:rPr>
        <w:t xml:space="preserve"> o el secuestre</w:t>
      </w:r>
      <w:r w:rsidRPr="00CA7B58">
        <w:rPr>
          <w:rFonts w:ascii="Arial" w:hAnsi="Arial" w:cs="Arial"/>
          <w:bCs/>
          <w:color w:val="000000" w:themeColor="text1"/>
          <w:sz w:val="22"/>
          <w:lang w:val="es-ES"/>
        </w:rPr>
        <w:t>, la posible afectación del plazo de ejecución del contrato en caso de llevarse a cabo el remate del bien embargado, la intervención del secuestre del inmueble en el contrato, entre otros aspectos.</w:t>
      </w:r>
    </w:p>
    <w:p w14:paraId="0EE92E67" w14:textId="77777777" w:rsidR="00613BA0" w:rsidRPr="00613BA0" w:rsidRDefault="00613BA0" w:rsidP="00613BA0">
      <w:pPr>
        <w:spacing w:line="276" w:lineRule="auto"/>
        <w:jc w:val="both"/>
        <w:rPr>
          <w:rFonts w:ascii="Arial" w:hAnsi="Arial" w:cs="Arial"/>
          <w:bCs/>
          <w:color w:val="000000" w:themeColor="text1"/>
          <w:sz w:val="22"/>
          <w:lang w:val="es-ES"/>
        </w:rPr>
      </w:pPr>
    </w:p>
    <w:p w14:paraId="426B5DCA" w14:textId="027BE431" w:rsidR="00214878" w:rsidRPr="00737DB6" w:rsidRDefault="00CF62EA" w:rsidP="002A3404">
      <w:pPr>
        <w:spacing w:line="276" w:lineRule="auto"/>
        <w:jc w:val="both"/>
        <w:rPr>
          <w:rFonts w:ascii="Arial" w:eastAsia="Calibri" w:hAnsi="Arial" w:cs="Arial"/>
          <w:sz w:val="22"/>
        </w:rPr>
      </w:pPr>
      <w:r>
        <w:rPr>
          <w:rFonts w:ascii="Arial" w:eastAsia="Calibri" w:hAnsi="Arial" w:cs="Arial"/>
          <w:sz w:val="22"/>
        </w:rPr>
        <w:t>E</w:t>
      </w:r>
      <w:r w:rsidR="00214878" w:rsidRPr="00737DB6">
        <w:rPr>
          <w:rFonts w:ascii="Arial" w:eastAsia="Calibri" w:hAnsi="Arial" w:cs="Arial"/>
          <w:sz w:val="22"/>
        </w:rPr>
        <w:t>ste concepto tiene el alcance previsto en el artículo 28 del Código de Procedimiento Administrativo y de lo Contencioso Administrativo.</w:t>
      </w:r>
    </w:p>
    <w:p w14:paraId="5575A5C1" w14:textId="77777777" w:rsidR="002A3404" w:rsidRDefault="002A3404" w:rsidP="002A3404">
      <w:pPr>
        <w:spacing w:line="276" w:lineRule="auto"/>
        <w:rPr>
          <w:rFonts w:ascii="Arial" w:eastAsia="Calibri" w:hAnsi="Arial" w:cs="Arial"/>
          <w:sz w:val="22"/>
        </w:rPr>
      </w:pPr>
    </w:p>
    <w:bookmarkEnd w:id="0"/>
    <w:bookmarkEnd w:id="1"/>
    <w:p w14:paraId="1B8E102A" w14:textId="77777777" w:rsidR="008A5B86" w:rsidRPr="005873AF" w:rsidRDefault="008A5B86" w:rsidP="008A5B86">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873AF">
        <w:rPr>
          <w:rFonts w:ascii="Arial" w:hAnsi="Arial" w:cs="Arial"/>
          <w:color w:val="000000" w:themeColor="text1"/>
          <w:sz w:val="22"/>
          <w:szCs w:val="22"/>
          <w:lang w:val="es-ES_tradnl"/>
        </w:rPr>
        <w:t>Atentamente,</w:t>
      </w:r>
    </w:p>
    <w:p w14:paraId="638ECDAF" w14:textId="425D48EA" w:rsidR="007B4ED2" w:rsidRPr="005873AF" w:rsidRDefault="007B4ED2" w:rsidP="007B4ED2">
      <w:pPr>
        <w:pStyle w:val="NormalWeb"/>
        <w:spacing w:before="0" w:beforeAutospacing="0" w:after="0" w:afterAutospacing="0" w:line="276" w:lineRule="auto"/>
        <w:jc w:val="center"/>
        <w:rPr>
          <w:color w:val="000000" w:themeColor="text1"/>
          <w:lang w:val="es-ES_tradnl"/>
        </w:rPr>
      </w:pPr>
      <w:r w:rsidRPr="007825AE">
        <w:rPr>
          <w:rFonts w:ascii="Arial" w:hAnsi="Arial" w:cs="Arial"/>
          <w:noProof/>
          <w:sz w:val="22"/>
          <w:lang w:val="es-ES"/>
        </w:rPr>
        <w:drawing>
          <wp:inline distT="0" distB="0" distL="0" distR="0" wp14:anchorId="7EF1FBC6" wp14:editId="1A515D6C">
            <wp:extent cx="2970765" cy="1308024"/>
            <wp:effectExtent l="0" t="0" r="1270" b="698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2"/>
                    <a:stretch>
                      <a:fillRect/>
                    </a:stretch>
                  </pic:blipFill>
                  <pic:spPr>
                    <a:xfrm>
                      <a:off x="0" y="0"/>
                      <a:ext cx="2970765" cy="1308024"/>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858"/>
      </w:tblGrid>
      <w:tr w:rsidR="007B4ED2" w:rsidRPr="005873AF" w14:paraId="099B4D08" w14:textId="77777777" w:rsidTr="00340C7C">
        <w:trPr>
          <w:trHeight w:val="315"/>
        </w:trPr>
        <w:tc>
          <w:tcPr>
            <w:tcW w:w="812" w:type="dxa"/>
            <w:vAlign w:val="center"/>
            <w:hideMark/>
          </w:tcPr>
          <w:p w14:paraId="7875B120" w14:textId="77777777" w:rsidR="007B4ED2" w:rsidRPr="005873AF" w:rsidRDefault="007B4ED2" w:rsidP="00340C7C">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Elaboró:</w:t>
            </w:r>
          </w:p>
        </w:tc>
        <w:tc>
          <w:tcPr>
            <w:tcW w:w="4858" w:type="dxa"/>
            <w:tcBorders>
              <w:top w:val="nil"/>
              <w:left w:val="nil"/>
              <w:bottom w:val="dotted" w:sz="4" w:space="0" w:color="7F7F7F" w:themeColor="text1" w:themeTint="80"/>
              <w:right w:val="nil"/>
            </w:tcBorders>
            <w:vAlign w:val="center"/>
            <w:hideMark/>
          </w:tcPr>
          <w:p w14:paraId="561910CF" w14:textId="77777777" w:rsidR="007B4ED2" w:rsidRPr="00E21A8A" w:rsidRDefault="007B4ED2" w:rsidP="00340C7C">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 xml:space="preserve">Guillermo Escolar Flórez </w:t>
            </w:r>
          </w:p>
          <w:p w14:paraId="1AA6BC87" w14:textId="77777777" w:rsidR="007B4ED2" w:rsidRPr="00E21A8A" w:rsidRDefault="007B4ED2" w:rsidP="00340C7C">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Contratista de la Subdirección de Gestión Contractual</w:t>
            </w:r>
          </w:p>
        </w:tc>
      </w:tr>
      <w:tr w:rsidR="007B4ED2" w:rsidRPr="005873AF" w14:paraId="5CEA646C" w14:textId="77777777" w:rsidTr="00340C7C">
        <w:trPr>
          <w:trHeight w:val="330"/>
        </w:trPr>
        <w:tc>
          <w:tcPr>
            <w:tcW w:w="812" w:type="dxa"/>
            <w:vAlign w:val="center"/>
            <w:hideMark/>
          </w:tcPr>
          <w:p w14:paraId="25E6D20C" w14:textId="77777777" w:rsidR="007B4ED2" w:rsidRPr="005873AF" w:rsidRDefault="007B4ED2" w:rsidP="00340C7C">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Revisó: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2314DB4C" w14:textId="77777777" w:rsidR="007B4ED2" w:rsidRPr="00E21A8A" w:rsidRDefault="007B4ED2" w:rsidP="00340C7C">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Alejandro Sarmiento Cantillo</w:t>
            </w:r>
          </w:p>
          <w:p w14:paraId="722DAA47" w14:textId="77777777" w:rsidR="007B4ED2" w:rsidRPr="00E21A8A" w:rsidRDefault="007B4ED2" w:rsidP="00340C7C">
            <w:pPr>
              <w:jc w:val="both"/>
              <w:rPr>
                <w:rFonts w:ascii="Arial" w:hAnsi="Arial" w:cs="Arial"/>
                <w:color w:val="000000" w:themeColor="text1"/>
                <w:sz w:val="16"/>
                <w:szCs w:val="16"/>
                <w:highlight w:val="yellow"/>
                <w:lang w:val="es-ES_tradnl" w:eastAsia="es-ES"/>
              </w:rPr>
            </w:pPr>
            <w:r w:rsidRPr="00E21A8A">
              <w:rPr>
                <w:rFonts w:ascii="Arial" w:hAnsi="Arial" w:cs="Arial"/>
                <w:color w:val="000000" w:themeColor="text1"/>
                <w:sz w:val="16"/>
                <w:szCs w:val="16"/>
                <w:lang w:val="es-ES_tradnl" w:eastAsia="es-ES"/>
              </w:rPr>
              <w:t xml:space="preserve">Gestor T1-15 de la de la Subdirección de Gestión Contractual  </w:t>
            </w:r>
          </w:p>
        </w:tc>
      </w:tr>
      <w:tr w:rsidR="007B4ED2" w:rsidRPr="006A6B87" w14:paraId="6D822289" w14:textId="77777777" w:rsidTr="00340C7C">
        <w:trPr>
          <w:trHeight w:val="300"/>
        </w:trPr>
        <w:tc>
          <w:tcPr>
            <w:tcW w:w="812" w:type="dxa"/>
            <w:vAlign w:val="center"/>
            <w:hideMark/>
          </w:tcPr>
          <w:p w14:paraId="271B5C2D" w14:textId="77777777" w:rsidR="007B4ED2" w:rsidRPr="005873AF" w:rsidRDefault="007B4ED2" w:rsidP="00340C7C">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Aprobó: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5FABF520" w14:textId="77777777" w:rsidR="007B4ED2" w:rsidRPr="007825AE" w:rsidRDefault="007B4ED2" w:rsidP="00340C7C">
            <w:pPr>
              <w:rPr>
                <w:rFonts w:ascii="Arial" w:hAnsi="Arial" w:cs="Arial"/>
                <w:sz w:val="16"/>
                <w:szCs w:val="16"/>
                <w:lang w:val="es-ES" w:eastAsia="es-ES"/>
              </w:rPr>
            </w:pPr>
            <w:r w:rsidRPr="007825AE">
              <w:rPr>
                <w:rFonts w:ascii="Arial" w:hAnsi="Arial" w:cs="Arial"/>
                <w:sz w:val="16"/>
                <w:szCs w:val="16"/>
                <w:lang w:val="es-ES" w:eastAsia="es-ES"/>
              </w:rPr>
              <w:t>Jorge Augusto Tirado Navarro</w:t>
            </w:r>
          </w:p>
          <w:p w14:paraId="62E7B11A" w14:textId="77777777" w:rsidR="007B4ED2" w:rsidRPr="00E21A8A" w:rsidRDefault="007B4ED2" w:rsidP="00340C7C">
            <w:pPr>
              <w:jc w:val="both"/>
              <w:rPr>
                <w:rFonts w:ascii="Arial" w:hAnsi="Arial" w:cs="Arial"/>
                <w:color w:val="000000" w:themeColor="text1"/>
                <w:sz w:val="16"/>
                <w:szCs w:val="16"/>
                <w:lang w:val="es-ES_tradnl" w:eastAsia="es-ES"/>
              </w:rPr>
            </w:pPr>
            <w:r w:rsidRPr="007825AE">
              <w:rPr>
                <w:rFonts w:ascii="Arial" w:hAnsi="Arial" w:cs="Arial"/>
                <w:sz w:val="16"/>
                <w:szCs w:val="16"/>
                <w:lang w:val="es-ES" w:eastAsia="es-ES"/>
              </w:rPr>
              <w:t xml:space="preserve">Subdirector de Gestión Contractual </w:t>
            </w:r>
            <w:proofErr w:type="spellStart"/>
            <w:r w:rsidRPr="007825AE">
              <w:rPr>
                <w:rFonts w:ascii="Arial" w:hAnsi="Arial" w:cs="Arial"/>
                <w:sz w:val="16"/>
                <w:szCs w:val="16"/>
                <w:lang w:val="es-ES" w:eastAsia="es-ES"/>
              </w:rPr>
              <w:t>ANCP</w:t>
            </w:r>
            <w:proofErr w:type="spellEnd"/>
            <w:r w:rsidRPr="007825AE">
              <w:rPr>
                <w:rFonts w:ascii="Arial" w:hAnsi="Arial" w:cs="Arial"/>
                <w:sz w:val="16"/>
                <w:szCs w:val="16"/>
                <w:lang w:val="es-ES" w:eastAsia="es-ES"/>
              </w:rPr>
              <w:t xml:space="preserve"> – CCE</w:t>
            </w:r>
          </w:p>
        </w:tc>
      </w:tr>
    </w:tbl>
    <w:p w14:paraId="3473D7C8" w14:textId="77777777" w:rsidR="007B4ED2" w:rsidRPr="006A6B87" w:rsidRDefault="007B4ED2" w:rsidP="007B4ED2">
      <w:pPr>
        <w:rPr>
          <w:rFonts w:ascii="Arial" w:hAnsi="Arial" w:cs="Arial"/>
          <w:color w:val="000000" w:themeColor="text1"/>
          <w:lang w:val="es-ES_tradnl"/>
        </w:rPr>
      </w:pPr>
    </w:p>
    <w:p w14:paraId="5B29F0CA" w14:textId="77777777" w:rsidR="007B4ED2" w:rsidRPr="006A6B87" w:rsidRDefault="007B4ED2" w:rsidP="007B4ED2">
      <w:pPr>
        <w:tabs>
          <w:tab w:val="left" w:pos="3795"/>
        </w:tabs>
        <w:rPr>
          <w:rFonts w:ascii="Arial" w:hAnsi="Arial" w:cs="Arial"/>
          <w:color w:val="000000" w:themeColor="text1"/>
          <w:lang w:val="es-ES_tradnl"/>
        </w:rPr>
      </w:pPr>
      <w:r w:rsidRPr="006A6B87">
        <w:rPr>
          <w:rFonts w:ascii="Arial" w:hAnsi="Arial" w:cs="Arial"/>
          <w:color w:val="000000" w:themeColor="text1"/>
          <w:lang w:val="es-ES_tradnl"/>
        </w:rPr>
        <w:tab/>
      </w:r>
    </w:p>
    <w:p w14:paraId="0EEB665C" w14:textId="77777777" w:rsidR="00737DB6" w:rsidRPr="002B79DC" w:rsidRDefault="00737DB6" w:rsidP="007B4ED2">
      <w:pPr>
        <w:pStyle w:val="NormalWeb"/>
        <w:spacing w:before="0" w:beforeAutospacing="0" w:after="0" w:afterAutospacing="0" w:line="276" w:lineRule="auto"/>
        <w:jc w:val="center"/>
        <w:rPr>
          <w:rFonts w:ascii="Arial" w:hAnsi="Arial" w:cs="Arial"/>
          <w:sz w:val="14"/>
          <w:szCs w:val="14"/>
        </w:rPr>
      </w:pPr>
    </w:p>
    <w:sectPr w:rsidR="00737DB6" w:rsidRPr="002B79DC" w:rsidSect="00F65E96">
      <w:headerReference w:type="default" r:id="rId13"/>
      <w:footerReference w:type="default" r:id="rId14"/>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D4881" w14:textId="77777777" w:rsidR="00BB0873" w:rsidRDefault="00BB0873">
      <w:r>
        <w:separator/>
      </w:r>
    </w:p>
  </w:endnote>
  <w:endnote w:type="continuationSeparator" w:id="0">
    <w:p w14:paraId="057D210D" w14:textId="77777777" w:rsidR="00BB0873" w:rsidRDefault="00BB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MT">
    <w:altName w:val="Klee One"/>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25899939" w:rsidR="00632277" w:rsidRPr="008217B7" w:rsidRDefault="00632277"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A496B">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A496B">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218ACE78" w14:textId="77777777" w:rsidR="00632277" w:rsidRDefault="00632277" w:rsidP="00214878">
    <w:pPr>
      <w:pStyle w:val="Piedepgina"/>
      <w:jc w:val="center"/>
      <w:rPr>
        <w:lang w:val="es-ES"/>
      </w:rPr>
    </w:pPr>
    <w:r>
      <w:rPr>
        <w:noProof/>
        <w:lang w:val="en-US"/>
      </w:rPr>
      <w:drawing>
        <wp:inline distT="0" distB="0" distL="0" distR="0" wp14:anchorId="53C58075" wp14:editId="1308803E">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632277" w:rsidRDefault="00632277" w:rsidP="00214878">
    <w:pPr>
      <w:pStyle w:val="Piedepgina"/>
      <w:jc w:val="center"/>
      <w:rPr>
        <w:lang w:val="es-ES"/>
      </w:rPr>
    </w:pPr>
  </w:p>
  <w:p w14:paraId="6C0EFC49" w14:textId="77777777" w:rsidR="00632277" w:rsidRPr="00214878" w:rsidRDefault="00632277"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6B36C" w14:textId="77777777" w:rsidR="00BB0873" w:rsidRDefault="00BB0873">
      <w:r>
        <w:separator/>
      </w:r>
    </w:p>
  </w:footnote>
  <w:footnote w:type="continuationSeparator" w:id="0">
    <w:p w14:paraId="1CB70EDD" w14:textId="77777777" w:rsidR="00BB0873" w:rsidRDefault="00BB0873">
      <w:r>
        <w:continuationSeparator/>
      </w:r>
    </w:p>
  </w:footnote>
  <w:footnote w:id="1">
    <w:p w14:paraId="7BF0BEC4" w14:textId="5D3CA97C" w:rsidR="009734F2" w:rsidRDefault="009734F2" w:rsidP="009734F2">
      <w:pPr>
        <w:pStyle w:val="Textonotapie"/>
        <w:ind w:firstLine="709"/>
        <w:jc w:val="both"/>
        <w:rPr>
          <w:rFonts w:ascii="Arial" w:hAnsi="Arial" w:cs="Arial"/>
          <w:color w:val="000000" w:themeColor="text1"/>
          <w:sz w:val="19"/>
          <w:szCs w:val="19"/>
        </w:rPr>
      </w:pPr>
      <w:r w:rsidRPr="00BE6590">
        <w:rPr>
          <w:rStyle w:val="Refdenotaalpie"/>
          <w:rFonts w:ascii="Arial" w:hAnsi="Arial" w:cs="Arial"/>
          <w:color w:val="000000" w:themeColor="text1"/>
          <w:sz w:val="19"/>
          <w:szCs w:val="19"/>
        </w:rPr>
        <w:footnoteRef/>
      </w:r>
      <w:r w:rsidRPr="00BE6590">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E6590">
        <w:rPr>
          <w:rFonts w:ascii="Arial" w:hAnsi="Arial" w:cs="Arial"/>
          <w:i/>
          <w:iCs/>
          <w:color w:val="000000" w:themeColor="text1"/>
          <w:sz w:val="19"/>
          <w:szCs w:val="19"/>
        </w:rPr>
        <w:t xml:space="preserve">ibídem </w:t>
      </w:r>
      <w:r w:rsidRPr="00BE6590">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BE6590">
        <w:rPr>
          <w:rFonts w:ascii="Arial" w:hAnsi="Arial" w:cs="Arial"/>
          <w:color w:val="000000" w:themeColor="text1"/>
          <w:sz w:val="19"/>
          <w:szCs w:val="19"/>
        </w:rPr>
        <w:t>bsolver</w:t>
      </w:r>
      <w:proofErr w:type="spellEnd"/>
      <w:r w:rsidRPr="00BE6590">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ibídem señala que es función de la Subdirección de Gestión Contractual: «[a]</w:t>
      </w:r>
      <w:proofErr w:type="spellStart"/>
      <w:r w:rsidRPr="00BE6590">
        <w:rPr>
          <w:rFonts w:ascii="Arial" w:hAnsi="Arial" w:cs="Arial"/>
          <w:color w:val="000000" w:themeColor="text1"/>
          <w:sz w:val="19"/>
          <w:szCs w:val="19"/>
        </w:rPr>
        <w:t>bsolver</w:t>
      </w:r>
      <w:proofErr w:type="spellEnd"/>
      <w:r w:rsidRPr="00BE6590">
        <w:rPr>
          <w:rFonts w:ascii="Arial" w:hAnsi="Arial" w:cs="Arial"/>
          <w:color w:val="000000" w:themeColor="text1"/>
          <w:sz w:val="19"/>
          <w:szCs w:val="19"/>
        </w:rPr>
        <w:t xml:space="preserve"> consultas sobre la aplicación de normas de carácter general».</w:t>
      </w:r>
    </w:p>
    <w:p w14:paraId="7B3EF227" w14:textId="77777777" w:rsidR="009734F2" w:rsidRPr="00BE6590" w:rsidRDefault="009734F2" w:rsidP="009734F2">
      <w:pPr>
        <w:pStyle w:val="Textonotapie"/>
        <w:ind w:firstLine="709"/>
        <w:jc w:val="both"/>
        <w:rPr>
          <w:rFonts w:ascii="Arial" w:hAnsi="Arial" w:cs="Arial"/>
          <w:color w:val="000000" w:themeColor="text1"/>
          <w:sz w:val="19"/>
          <w:szCs w:val="19"/>
          <w:lang w:val="es-ES"/>
        </w:rPr>
      </w:pPr>
    </w:p>
  </w:footnote>
  <w:footnote w:id="2">
    <w:p w14:paraId="561816E4" w14:textId="6B27EFFC" w:rsidR="00C35AAF" w:rsidRPr="005A1501" w:rsidRDefault="00C35AAF" w:rsidP="009E6C95">
      <w:pPr>
        <w:ind w:firstLine="708"/>
        <w:jc w:val="both"/>
        <w:rPr>
          <w:rFonts w:ascii="Arial" w:hAnsi="Arial" w:cs="Arial"/>
          <w:color w:val="000000" w:themeColor="text1"/>
          <w:sz w:val="19"/>
          <w:szCs w:val="19"/>
          <w:lang w:val="es-ES"/>
        </w:rPr>
      </w:pPr>
      <w:r w:rsidRPr="005A1501">
        <w:rPr>
          <w:rStyle w:val="Refdenotaalpie"/>
          <w:rFonts w:ascii="Arial" w:hAnsi="Arial" w:cs="Arial"/>
          <w:sz w:val="19"/>
          <w:szCs w:val="19"/>
        </w:rPr>
        <w:footnoteRef/>
      </w:r>
      <w:r w:rsidRPr="005A1501">
        <w:rPr>
          <w:rFonts w:ascii="Arial" w:hAnsi="Arial" w:cs="Arial"/>
          <w:sz w:val="19"/>
          <w:szCs w:val="19"/>
        </w:rPr>
        <w:t xml:space="preserve"> </w:t>
      </w:r>
      <w:r w:rsidR="00F71B57" w:rsidRPr="005A1501">
        <w:rPr>
          <w:rFonts w:ascii="Arial" w:hAnsi="Arial" w:cs="Arial"/>
          <w:sz w:val="19"/>
          <w:szCs w:val="19"/>
        </w:rPr>
        <w:t xml:space="preserve">Ley 80 de 1993. </w:t>
      </w:r>
      <w:r w:rsidRPr="005A1501">
        <w:rPr>
          <w:rFonts w:ascii="Arial" w:hAnsi="Arial" w:cs="Arial"/>
          <w:color w:val="000000" w:themeColor="text1"/>
          <w:sz w:val="19"/>
          <w:szCs w:val="19"/>
          <w:lang w:val="es-ES"/>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7532FF25" w14:textId="77777777" w:rsidR="00C35AAF" w:rsidRPr="005A1501" w:rsidRDefault="00C35AAF" w:rsidP="009E6C95">
      <w:pPr>
        <w:pStyle w:val="Textonotapie"/>
        <w:jc w:val="both"/>
        <w:rPr>
          <w:rFonts w:ascii="Arial" w:hAnsi="Arial" w:cs="Arial"/>
          <w:sz w:val="19"/>
          <w:szCs w:val="19"/>
          <w:lang w:val="es-ES"/>
        </w:rPr>
      </w:pPr>
    </w:p>
  </w:footnote>
  <w:footnote w:id="3">
    <w:p w14:paraId="3A97944E" w14:textId="77777777" w:rsidR="00632277" w:rsidRPr="005A1501" w:rsidRDefault="00632277" w:rsidP="009E6C95">
      <w:pPr>
        <w:pStyle w:val="Textonotapie"/>
        <w:ind w:firstLine="709"/>
        <w:jc w:val="both"/>
        <w:rPr>
          <w:rFonts w:ascii="Arial" w:hAnsi="Arial" w:cs="Arial"/>
          <w:color w:val="000000" w:themeColor="text1"/>
          <w:sz w:val="19"/>
          <w:szCs w:val="19"/>
          <w:lang w:val="es-ES"/>
        </w:rPr>
      </w:pPr>
      <w:r w:rsidRPr="005A1501">
        <w:rPr>
          <w:rStyle w:val="Refdenotaalpie"/>
          <w:rFonts w:ascii="Arial" w:hAnsi="Arial" w:cs="Arial"/>
          <w:color w:val="000000" w:themeColor="text1"/>
          <w:sz w:val="19"/>
          <w:szCs w:val="19"/>
        </w:rPr>
        <w:footnoteRef/>
      </w:r>
      <w:r w:rsidRPr="005A1501">
        <w:rPr>
          <w:rFonts w:ascii="Arial" w:hAnsi="Arial" w:cs="Arial"/>
          <w:color w:val="000000" w:themeColor="text1"/>
          <w:sz w:val="19"/>
          <w:szCs w:val="19"/>
        </w:rPr>
        <w:t xml:space="preserve"> </w:t>
      </w:r>
      <w:r w:rsidRPr="005A1501">
        <w:rPr>
          <w:rFonts w:ascii="Arial" w:hAnsi="Arial" w:cs="Arial"/>
          <w:color w:val="000000" w:themeColor="text1"/>
          <w:sz w:val="19"/>
          <w:szCs w:val="19"/>
          <w:lang w:val="es-ES"/>
        </w:rPr>
        <w:t>En palabras de José Alejandro Bonivento Fernández: «El arrendamiento es el contrato en virtud del cual una de las partes se obliga a proporcionarle a otra el uso y goce de una cosa, durante cierto tiempo, y ésta a pagar, como contraprestación, un precio determinado.</w:t>
      </w:r>
    </w:p>
    <w:p w14:paraId="6421439C" w14:textId="77777777" w:rsidR="00632277" w:rsidRPr="005A1501" w:rsidRDefault="00632277" w:rsidP="009E6C95">
      <w:pPr>
        <w:pStyle w:val="Textonotapie"/>
        <w:ind w:firstLine="709"/>
        <w:jc w:val="both"/>
        <w:rPr>
          <w:rFonts w:ascii="Arial" w:hAnsi="Arial" w:cs="Arial"/>
          <w:color w:val="000000" w:themeColor="text1"/>
          <w:sz w:val="19"/>
          <w:szCs w:val="19"/>
          <w:lang w:val="es-ES"/>
        </w:rPr>
      </w:pPr>
      <w:proofErr w:type="gramStart"/>
      <w:r w:rsidRPr="005A1501">
        <w:rPr>
          <w:rFonts w:ascii="Arial" w:hAnsi="Arial" w:cs="Arial"/>
          <w:color w:val="000000" w:themeColor="text1"/>
          <w:sz w:val="19"/>
          <w:szCs w:val="19"/>
          <w:lang w:val="es-ES"/>
        </w:rPr>
        <w:t>»La</w:t>
      </w:r>
      <w:proofErr w:type="gramEnd"/>
      <w:r w:rsidRPr="005A1501">
        <w:rPr>
          <w:rFonts w:ascii="Arial" w:hAnsi="Arial" w:cs="Arial"/>
          <w:color w:val="000000" w:themeColor="text1"/>
          <w:sz w:val="19"/>
          <w:szCs w:val="19"/>
          <w:lang w:val="es-ES"/>
        </w:rPr>
        <w:t xml:space="preserve"> parte que proporciona el goce se llama arrendador y la parte que da el precio arrendatario. También se conoce con el nombre de inquilino cuando se trata de arrendamiento de casas, almacenes u otros edificios, y colono cuando el goce radica en predio rústico» (BONIVENTO FERNÁNDEZ, José Alejandro. Los principales contratos civiles y su paralelo con los comerciales. 16ª ed. Bogotá: Librería Ediciones del Profesional, 2004. p. 401). </w:t>
      </w:r>
    </w:p>
    <w:p w14:paraId="6B2B9841" w14:textId="77777777" w:rsidR="00632277" w:rsidRPr="005A1501" w:rsidRDefault="00632277" w:rsidP="009E6C95">
      <w:pPr>
        <w:pStyle w:val="Textonotapie"/>
        <w:ind w:firstLine="709"/>
        <w:jc w:val="both"/>
        <w:rPr>
          <w:rFonts w:ascii="Arial" w:hAnsi="Arial" w:cs="Arial"/>
          <w:color w:val="000000" w:themeColor="text1"/>
          <w:sz w:val="19"/>
          <w:szCs w:val="19"/>
          <w:lang w:val="es-ES"/>
        </w:rPr>
      </w:pPr>
    </w:p>
  </w:footnote>
  <w:footnote w:id="4">
    <w:p w14:paraId="027CD4A0" w14:textId="053C83DF" w:rsidR="00632277" w:rsidRPr="005A1501" w:rsidRDefault="00632277" w:rsidP="009E6C95">
      <w:pPr>
        <w:pStyle w:val="Textonotapie"/>
        <w:ind w:firstLine="708"/>
        <w:jc w:val="both"/>
        <w:rPr>
          <w:rFonts w:ascii="Arial" w:hAnsi="Arial" w:cs="Arial"/>
          <w:sz w:val="19"/>
          <w:szCs w:val="19"/>
        </w:rPr>
      </w:pPr>
      <w:r w:rsidRPr="005A1501">
        <w:rPr>
          <w:rStyle w:val="Refdenotaalpie"/>
          <w:rFonts w:ascii="Arial" w:hAnsi="Arial" w:cs="Arial"/>
          <w:sz w:val="19"/>
          <w:szCs w:val="19"/>
        </w:rPr>
        <w:footnoteRef/>
      </w:r>
      <w:r w:rsidRPr="005A1501">
        <w:rPr>
          <w:rFonts w:ascii="Arial" w:hAnsi="Arial" w:cs="Arial"/>
          <w:sz w:val="19"/>
          <w:szCs w:val="19"/>
        </w:rPr>
        <w:t xml:space="preserve"> Lo anterior bajo el régimen del derecho privado</w:t>
      </w:r>
      <w:r w:rsidR="00E544FA" w:rsidRPr="005A1501">
        <w:rPr>
          <w:rFonts w:ascii="Arial" w:hAnsi="Arial" w:cs="Arial"/>
          <w:sz w:val="19"/>
          <w:szCs w:val="19"/>
        </w:rPr>
        <w:t>,</w:t>
      </w:r>
      <w:r w:rsidRPr="005A1501">
        <w:rPr>
          <w:rFonts w:ascii="Arial" w:hAnsi="Arial" w:cs="Arial"/>
          <w:sz w:val="19"/>
          <w:szCs w:val="19"/>
        </w:rPr>
        <w:t xml:space="preserve"> sin perjuicio de que cuando se trata de un contrato estatal deben cumplir</w:t>
      </w:r>
      <w:r w:rsidR="00E544FA" w:rsidRPr="005A1501">
        <w:rPr>
          <w:rFonts w:ascii="Arial" w:hAnsi="Arial" w:cs="Arial"/>
          <w:sz w:val="19"/>
          <w:szCs w:val="19"/>
        </w:rPr>
        <w:t>se</w:t>
      </w:r>
      <w:r w:rsidRPr="005A1501">
        <w:rPr>
          <w:rFonts w:ascii="Arial" w:hAnsi="Arial" w:cs="Arial"/>
          <w:sz w:val="19"/>
          <w:szCs w:val="19"/>
        </w:rPr>
        <w:t xml:space="preserve"> los requisitos de perfeccionamiento establecidos en el artículo 41 de la Ley 80 de 1993.</w:t>
      </w:r>
    </w:p>
    <w:p w14:paraId="09F5BDE5" w14:textId="77777777" w:rsidR="00632277" w:rsidRPr="005A1501" w:rsidRDefault="00632277" w:rsidP="009E6C95">
      <w:pPr>
        <w:pStyle w:val="Textonotapie"/>
        <w:ind w:firstLine="708"/>
        <w:jc w:val="both"/>
        <w:rPr>
          <w:rFonts w:ascii="Arial" w:hAnsi="Arial" w:cs="Arial"/>
          <w:sz w:val="19"/>
          <w:szCs w:val="19"/>
        </w:rPr>
      </w:pPr>
    </w:p>
  </w:footnote>
  <w:footnote w:id="5">
    <w:p w14:paraId="32A1E721" w14:textId="3BD9E1F2" w:rsidR="00E544FA" w:rsidRPr="005A1501" w:rsidRDefault="00632277" w:rsidP="009E6C95">
      <w:pPr>
        <w:pStyle w:val="Textonotapie"/>
        <w:ind w:firstLine="709"/>
        <w:jc w:val="both"/>
        <w:rPr>
          <w:rFonts w:ascii="Arial" w:hAnsi="Arial" w:cs="Arial"/>
          <w:color w:val="000000" w:themeColor="text1"/>
          <w:sz w:val="19"/>
          <w:szCs w:val="19"/>
        </w:rPr>
      </w:pPr>
      <w:r w:rsidRPr="005A1501">
        <w:rPr>
          <w:rStyle w:val="Refdenotaalpie"/>
          <w:rFonts w:ascii="Arial" w:hAnsi="Arial" w:cs="Arial"/>
          <w:color w:val="000000" w:themeColor="text1"/>
          <w:sz w:val="19"/>
          <w:szCs w:val="19"/>
        </w:rPr>
        <w:footnoteRef/>
      </w:r>
      <w:r w:rsidRPr="005A1501">
        <w:rPr>
          <w:rFonts w:ascii="Arial" w:hAnsi="Arial" w:cs="Arial"/>
          <w:color w:val="000000" w:themeColor="text1"/>
          <w:sz w:val="19"/>
          <w:szCs w:val="19"/>
        </w:rPr>
        <w:t xml:space="preserve"> </w:t>
      </w:r>
      <w:proofErr w:type="spellStart"/>
      <w:r w:rsidRPr="005A1501">
        <w:rPr>
          <w:rFonts w:ascii="Arial" w:hAnsi="Arial" w:cs="Arial"/>
          <w:color w:val="000000" w:themeColor="text1"/>
          <w:sz w:val="19"/>
          <w:szCs w:val="19"/>
        </w:rPr>
        <w:t>Ibíd</w:t>
      </w:r>
      <w:proofErr w:type="spellEnd"/>
      <w:r w:rsidRPr="005A1501">
        <w:rPr>
          <w:rFonts w:ascii="Arial" w:hAnsi="Arial" w:cs="Arial"/>
          <w:color w:val="000000" w:themeColor="text1"/>
          <w:sz w:val="19"/>
          <w:szCs w:val="19"/>
        </w:rPr>
        <w:t>., pp. 401-402.</w:t>
      </w:r>
    </w:p>
    <w:p w14:paraId="34DD9DDA" w14:textId="77777777" w:rsidR="00632277" w:rsidRPr="005A1501" w:rsidRDefault="00632277" w:rsidP="009E6C95">
      <w:pPr>
        <w:pStyle w:val="Textonotapie"/>
        <w:ind w:firstLine="709"/>
        <w:jc w:val="both"/>
        <w:rPr>
          <w:rFonts w:ascii="Arial" w:hAnsi="Arial" w:cs="Arial"/>
          <w:color w:val="000000" w:themeColor="text1"/>
          <w:sz w:val="19"/>
          <w:szCs w:val="19"/>
        </w:rPr>
      </w:pPr>
    </w:p>
  </w:footnote>
  <w:footnote w:id="6">
    <w:p w14:paraId="3EF00940" w14:textId="77777777" w:rsidR="00E544FA" w:rsidRPr="005A1501" w:rsidRDefault="00E544FA" w:rsidP="009E6C95">
      <w:pPr>
        <w:pStyle w:val="Textonotapie"/>
        <w:ind w:firstLine="709"/>
        <w:jc w:val="both"/>
        <w:rPr>
          <w:rFonts w:ascii="Arial" w:hAnsi="Arial" w:cs="Arial"/>
          <w:color w:val="000000" w:themeColor="text1"/>
          <w:sz w:val="19"/>
          <w:szCs w:val="19"/>
          <w:lang w:val="es-ES"/>
        </w:rPr>
      </w:pPr>
      <w:r w:rsidRPr="005A1501">
        <w:rPr>
          <w:rStyle w:val="Refdenotaalpie"/>
          <w:rFonts w:ascii="Arial" w:hAnsi="Arial" w:cs="Arial"/>
          <w:color w:val="000000" w:themeColor="text1"/>
          <w:sz w:val="19"/>
          <w:szCs w:val="19"/>
        </w:rPr>
        <w:footnoteRef/>
      </w:r>
      <w:r w:rsidRPr="005A1501">
        <w:rPr>
          <w:rFonts w:ascii="Arial" w:hAnsi="Arial" w:cs="Arial"/>
          <w:color w:val="000000" w:themeColor="text1"/>
          <w:sz w:val="19"/>
          <w:szCs w:val="19"/>
        </w:rPr>
        <w:t xml:space="preserve"> </w:t>
      </w:r>
      <w:r w:rsidRPr="005A1501">
        <w:rPr>
          <w:rFonts w:ascii="Arial" w:hAnsi="Arial" w:cs="Arial"/>
          <w:color w:val="000000" w:themeColor="text1"/>
          <w:sz w:val="19"/>
          <w:szCs w:val="19"/>
          <w:lang w:val="es-ES"/>
        </w:rPr>
        <w:t>DÁVILA VINUEZA, Luis Guillermo. Régimen jurídico de la contratación estatal. 3ª ed. Bogotá: Legis, 2016. p. 505.</w:t>
      </w:r>
    </w:p>
    <w:p w14:paraId="199FB81D" w14:textId="77777777" w:rsidR="00E544FA" w:rsidRPr="005A1501" w:rsidRDefault="00E544FA" w:rsidP="009E6C95">
      <w:pPr>
        <w:pStyle w:val="Textonotapie"/>
        <w:ind w:firstLine="709"/>
        <w:jc w:val="both"/>
        <w:rPr>
          <w:rFonts w:ascii="Arial" w:hAnsi="Arial" w:cs="Arial"/>
          <w:color w:val="000000" w:themeColor="text1"/>
          <w:sz w:val="19"/>
          <w:szCs w:val="19"/>
          <w:lang w:val="es-ES"/>
        </w:rPr>
      </w:pPr>
    </w:p>
  </w:footnote>
  <w:footnote w:id="7">
    <w:p w14:paraId="59DB89EA" w14:textId="6AD4AAE9" w:rsidR="00A91A6D" w:rsidRPr="005A1501" w:rsidRDefault="00A91A6D" w:rsidP="009E6C95">
      <w:pPr>
        <w:pStyle w:val="Textonotapie"/>
        <w:ind w:firstLine="708"/>
        <w:jc w:val="both"/>
        <w:rPr>
          <w:rFonts w:ascii="Arial" w:hAnsi="Arial" w:cs="Arial"/>
          <w:sz w:val="19"/>
          <w:szCs w:val="19"/>
        </w:rPr>
      </w:pPr>
      <w:r w:rsidRPr="005A1501">
        <w:rPr>
          <w:rStyle w:val="Refdenotaalpie"/>
          <w:rFonts w:ascii="Arial" w:hAnsi="Arial" w:cs="Arial"/>
          <w:sz w:val="19"/>
          <w:szCs w:val="19"/>
        </w:rPr>
        <w:footnoteRef/>
      </w:r>
      <w:r w:rsidRPr="005A1501">
        <w:rPr>
          <w:rFonts w:ascii="Arial" w:hAnsi="Arial" w:cs="Arial"/>
          <w:sz w:val="19"/>
          <w:szCs w:val="19"/>
        </w:rPr>
        <w:t xml:space="preserve"> </w:t>
      </w:r>
      <w:r w:rsidRPr="005A1501">
        <w:rPr>
          <w:rFonts w:ascii="Arial" w:hAnsi="Arial" w:cs="Arial"/>
          <w:sz w:val="19"/>
          <w:szCs w:val="19"/>
          <w:lang w:val="es-ES"/>
        </w:rPr>
        <w:t xml:space="preserve">Consejo de Estado. Sala de lo Contencioso Administrativo. Sección </w:t>
      </w:r>
      <w:r w:rsidR="00A67075" w:rsidRPr="005A1501">
        <w:rPr>
          <w:rFonts w:ascii="Arial" w:hAnsi="Arial" w:cs="Arial"/>
          <w:sz w:val="19"/>
          <w:szCs w:val="19"/>
          <w:lang w:val="es-ES"/>
        </w:rPr>
        <w:t>Primer</w:t>
      </w:r>
      <w:r w:rsidRPr="005A1501">
        <w:rPr>
          <w:rFonts w:ascii="Arial" w:hAnsi="Arial" w:cs="Arial"/>
          <w:sz w:val="19"/>
          <w:szCs w:val="19"/>
        </w:rPr>
        <w:t>. Sentencia de 11 de noviembre de 1999. Expediente 5286. C.P. Olga Inés Navarrete Barrero.</w:t>
      </w:r>
      <w:r w:rsidR="00853B9D" w:rsidRPr="005A1501">
        <w:rPr>
          <w:rFonts w:ascii="Arial" w:hAnsi="Arial" w:cs="Arial"/>
          <w:sz w:val="19"/>
          <w:szCs w:val="19"/>
        </w:rPr>
        <w:t xml:space="preserve"> Esta postura fue unificada en el Sentencia de la Sala Plena del 14 de agosto de 2018, radicado 05001-33-31-003-2009-00157-01(AP)SU, con ponencia del Magistrado Oswaldo Giraldo López.</w:t>
      </w:r>
    </w:p>
  </w:footnote>
  <w:footnote w:id="8">
    <w:p w14:paraId="41D2AEAD" w14:textId="77777777" w:rsidR="002A3404" w:rsidRPr="005A1501" w:rsidRDefault="002A3404" w:rsidP="009E6C95">
      <w:pPr>
        <w:pStyle w:val="Textonotapie"/>
        <w:jc w:val="both"/>
        <w:rPr>
          <w:rFonts w:ascii="Arial" w:hAnsi="Arial" w:cs="Arial"/>
          <w:color w:val="000000" w:themeColor="text1"/>
          <w:sz w:val="19"/>
          <w:szCs w:val="19"/>
        </w:rPr>
      </w:pPr>
    </w:p>
    <w:p w14:paraId="4C906AB0" w14:textId="4ED44E75" w:rsidR="004A4DA9" w:rsidRPr="005A1501" w:rsidRDefault="004A4DA9" w:rsidP="009E6C95">
      <w:pPr>
        <w:pStyle w:val="Textonotapie"/>
        <w:ind w:firstLine="708"/>
        <w:jc w:val="both"/>
        <w:rPr>
          <w:rFonts w:ascii="Arial" w:hAnsi="Arial" w:cs="Arial"/>
          <w:color w:val="000000" w:themeColor="text1"/>
          <w:sz w:val="19"/>
          <w:szCs w:val="19"/>
          <w:lang w:val="es-CO"/>
        </w:rPr>
      </w:pPr>
      <w:r w:rsidRPr="005A1501">
        <w:rPr>
          <w:rStyle w:val="Refdenotaalpie"/>
          <w:rFonts w:ascii="Arial" w:hAnsi="Arial" w:cs="Arial"/>
          <w:color w:val="000000" w:themeColor="text1"/>
          <w:sz w:val="19"/>
          <w:szCs w:val="19"/>
        </w:rPr>
        <w:footnoteRef/>
      </w:r>
      <w:r w:rsidRPr="005A1501">
        <w:rPr>
          <w:rFonts w:ascii="Arial" w:hAnsi="Arial" w:cs="Arial"/>
          <w:color w:val="000000" w:themeColor="text1"/>
          <w:sz w:val="19"/>
          <w:szCs w:val="19"/>
        </w:rPr>
        <w:t xml:space="preserve"> </w:t>
      </w:r>
      <w:r w:rsidR="00CA01B4" w:rsidRPr="005A1501">
        <w:rPr>
          <w:rFonts w:ascii="Arial" w:hAnsi="Arial" w:cs="Arial"/>
          <w:color w:val="000000" w:themeColor="text1"/>
          <w:sz w:val="19"/>
          <w:szCs w:val="19"/>
        </w:rPr>
        <w:t xml:space="preserve">Consejo de Estado. Sala de lo Contencioso Administrativo. </w:t>
      </w:r>
      <w:r w:rsidRPr="005A1501">
        <w:rPr>
          <w:rFonts w:ascii="Arial" w:hAnsi="Arial" w:cs="Arial"/>
          <w:color w:val="000000" w:themeColor="text1"/>
          <w:sz w:val="19"/>
          <w:szCs w:val="19"/>
        </w:rPr>
        <w:t xml:space="preserve">Sección </w:t>
      </w:r>
      <w:r w:rsidR="00CA01B4" w:rsidRPr="005A1501">
        <w:rPr>
          <w:rFonts w:ascii="Arial" w:hAnsi="Arial" w:cs="Arial"/>
          <w:color w:val="000000" w:themeColor="text1"/>
          <w:sz w:val="19"/>
          <w:szCs w:val="19"/>
        </w:rPr>
        <w:t>Tercera.</w:t>
      </w:r>
      <w:r w:rsidRPr="005A1501">
        <w:rPr>
          <w:rFonts w:ascii="Arial" w:hAnsi="Arial" w:cs="Arial"/>
          <w:color w:val="000000" w:themeColor="text1"/>
          <w:sz w:val="19"/>
          <w:szCs w:val="19"/>
        </w:rPr>
        <w:t xml:space="preserve"> </w:t>
      </w:r>
      <w:r w:rsidR="00CA01B4" w:rsidRPr="005A1501">
        <w:rPr>
          <w:rFonts w:ascii="Arial" w:hAnsi="Arial" w:cs="Arial"/>
          <w:color w:val="000000" w:themeColor="text1"/>
          <w:sz w:val="19"/>
          <w:szCs w:val="19"/>
        </w:rPr>
        <w:t>Sentencia del 30 de abril de 2012. Expediente 21.699</w:t>
      </w:r>
      <w:r w:rsidRPr="005A1501">
        <w:rPr>
          <w:rFonts w:ascii="Arial" w:hAnsi="Arial" w:cs="Arial"/>
          <w:color w:val="000000" w:themeColor="text1"/>
          <w:sz w:val="19"/>
          <w:szCs w:val="19"/>
        </w:rPr>
        <w:t xml:space="preserve">. </w:t>
      </w:r>
      <w:r w:rsidR="00CA01B4" w:rsidRPr="005A1501">
        <w:rPr>
          <w:rFonts w:ascii="Arial" w:hAnsi="Arial" w:cs="Arial"/>
          <w:color w:val="000000" w:themeColor="text1"/>
          <w:sz w:val="19"/>
          <w:szCs w:val="19"/>
        </w:rPr>
        <w:t xml:space="preserve">C.P. Ruth Stella Correa Palacio. </w:t>
      </w:r>
    </w:p>
  </w:footnote>
  <w:footnote w:id="9">
    <w:p w14:paraId="7ADBF0F1" w14:textId="77777777" w:rsidR="002A3404" w:rsidRPr="005A1501" w:rsidRDefault="002A3404" w:rsidP="009E6C95">
      <w:pPr>
        <w:ind w:right="106" w:firstLine="708"/>
        <w:jc w:val="both"/>
        <w:rPr>
          <w:rFonts w:ascii="Arial" w:hAnsi="Arial" w:cs="Arial"/>
          <w:color w:val="000000" w:themeColor="text1"/>
          <w:sz w:val="19"/>
          <w:szCs w:val="19"/>
        </w:rPr>
      </w:pPr>
    </w:p>
    <w:p w14:paraId="2D90AD70" w14:textId="5D9DA42B" w:rsidR="006465DF" w:rsidRPr="005A1501" w:rsidRDefault="006465DF" w:rsidP="009E6C95">
      <w:pPr>
        <w:ind w:right="106" w:firstLine="708"/>
        <w:jc w:val="both"/>
        <w:rPr>
          <w:rFonts w:ascii="Arial" w:hAnsi="Arial" w:cs="Arial"/>
          <w:color w:val="000000" w:themeColor="text1"/>
          <w:sz w:val="19"/>
          <w:szCs w:val="19"/>
        </w:rPr>
      </w:pPr>
      <w:r w:rsidRPr="005A1501">
        <w:rPr>
          <w:rStyle w:val="Refdenotaalpie"/>
          <w:rFonts w:ascii="Arial" w:hAnsi="Arial" w:cs="Arial"/>
          <w:color w:val="000000" w:themeColor="text1"/>
          <w:sz w:val="19"/>
          <w:szCs w:val="19"/>
        </w:rPr>
        <w:footnoteRef/>
      </w:r>
      <w:r w:rsidRPr="005A1501">
        <w:rPr>
          <w:rFonts w:ascii="Arial" w:hAnsi="Arial" w:cs="Arial"/>
          <w:color w:val="000000" w:themeColor="text1"/>
          <w:sz w:val="19"/>
          <w:szCs w:val="19"/>
        </w:rPr>
        <w:t xml:space="preserve"> </w:t>
      </w:r>
      <w:r w:rsidR="00CA01B4" w:rsidRPr="005A1501">
        <w:rPr>
          <w:rFonts w:ascii="Arial" w:hAnsi="Arial" w:cs="Arial"/>
          <w:color w:val="000000" w:themeColor="text1"/>
          <w:sz w:val="19"/>
          <w:szCs w:val="19"/>
        </w:rPr>
        <w:t xml:space="preserve">Consejo de Estado.  </w:t>
      </w:r>
      <w:r w:rsidRPr="005A1501">
        <w:rPr>
          <w:rFonts w:ascii="Arial" w:hAnsi="Arial" w:cs="Arial"/>
          <w:color w:val="000000" w:themeColor="text1"/>
          <w:sz w:val="19"/>
          <w:szCs w:val="19"/>
        </w:rPr>
        <w:t>Sala d</w:t>
      </w:r>
      <w:r w:rsidR="00CA01B4" w:rsidRPr="005A1501">
        <w:rPr>
          <w:rFonts w:ascii="Arial" w:hAnsi="Arial" w:cs="Arial"/>
          <w:color w:val="000000" w:themeColor="text1"/>
          <w:sz w:val="19"/>
          <w:szCs w:val="19"/>
        </w:rPr>
        <w:t>e lo Contencioso Administrativo.</w:t>
      </w:r>
      <w:r w:rsidRPr="005A1501">
        <w:rPr>
          <w:rFonts w:ascii="Arial" w:hAnsi="Arial" w:cs="Arial"/>
          <w:color w:val="000000" w:themeColor="text1"/>
          <w:sz w:val="19"/>
          <w:szCs w:val="19"/>
        </w:rPr>
        <w:t xml:space="preserve"> Sección Tercera.</w:t>
      </w:r>
      <w:r w:rsidR="00CA01B4" w:rsidRPr="005A1501">
        <w:rPr>
          <w:rFonts w:ascii="Arial" w:hAnsi="Arial" w:cs="Arial"/>
          <w:color w:val="000000" w:themeColor="text1"/>
          <w:sz w:val="19"/>
          <w:szCs w:val="19"/>
        </w:rPr>
        <w:t xml:space="preserve"> Sentencia del 19 de julio de 2018, Expediente 36.711</w:t>
      </w:r>
      <w:r w:rsidRPr="005A1501">
        <w:rPr>
          <w:rFonts w:ascii="Arial" w:hAnsi="Arial" w:cs="Arial"/>
          <w:color w:val="000000" w:themeColor="text1"/>
          <w:sz w:val="19"/>
          <w:szCs w:val="19"/>
        </w:rPr>
        <w:t>.</w:t>
      </w:r>
      <w:r w:rsidR="00CA01B4" w:rsidRPr="005A1501">
        <w:rPr>
          <w:rFonts w:ascii="Arial" w:hAnsi="Arial" w:cs="Arial"/>
          <w:color w:val="000000" w:themeColor="text1"/>
          <w:sz w:val="19"/>
          <w:szCs w:val="19"/>
        </w:rPr>
        <w:t xml:space="preserve"> C.P. Carlos Alberto Zambrano Barrera</w:t>
      </w:r>
      <w:r w:rsidR="00853B9D" w:rsidRPr="005A1501">
        <w:rPr>
          <w:rFonts w:ascii="Arial" w:hAnsi="Arial" w:cs="Arial"/>
          <w:color w:val="000000" w:themeColor="text1"/>
          <w:sz w:val="19"/>
          <w:szCs w:val="19"/>
        </w:rPr>
        <w:t>.</w:t>
      </w:r>
    </w:p>
  </w:footnote>
  <w:footnote w:id="10">
    <w:p w14:paraId="23FB137B" w14:textId="77777777" w:rsidR="00D6341C" w:rsidRPr="005A1501" w:rsidRDefault="00D6341C" w:rsidP="009E6C95">
      <w:pPr>
        <w:ind w:firstLine="708"/>
        <w:jc w:val="both"/>
        <w:rPr>
          <w:rFonts w:ascii="Arial" w:hAnsi="Arial" w:cs="Arial"/>
          <w:color w:val="000000" w:themeColor="text1"/>
          <w:sz w:val="19"/>
          <w:szCs w:val="19"/>
        </w:rPr>
      </w:pPr>
    </w:p>
    <w:p w14:paraId="72271EA0" w14:textId="77777777" w:rsidR="00D6341C" w:rsidRPr="005A1501" w:rsidRDefault="00D6341C" w:rsidP="009E6C95">
      <w:pPr>
        <w:ind w:firstLine="708"/>
        <w:jc w:val="both"/>
        <w:rPr>
          <w:rFonts w:ascii="Arial" w:hAnsi="Arial" w:cs="Arial"/>
          <w:color w:val="000000" w:themeColor="text1"/>
          <w:sz w:val="19"/>
          <w:szCs w:val="19"/>
        </w:rPr>
      </w:pPr>
      <w:r w:rsidRPr="005A1501">
        <w:rPr>
          <w:rStyle w:val="Refdenotaalpie"/>
          <w:rFonts w:ascii="Arial" w:hAnsi="Arial" w:cs="Arial"/>
          <w:color w:val="000000" w:themeColor="text1"/>
          <w:sz w:val="19"/>
          <w:szCs w:val="19"/>
        </w:rPr>
        <w:footnoteRef/>
      </w:r>
      <w:r w:rsidRPr="005A1501">
        <w:rPr>
          <w:rFonts w:ascii="Arial" w:hAnsi="Arial" w:cs="Arial"/>
          <w:color w:val="000000" w:themeColor="text1"/>
          <w:sz w:val="19"/>
          <w:szCs w:val="19"/>
        </w:rPr>
        <w:t xml:space="preserve"> Corte Constitucional. Sala Plena. </w:t>
      </w:r>
      <w:proofErr w:type="spellStart"/>
      <w:r w:rsidRPr="005A1501">
        <w:rPr>
          <w:rFonts w:ascii="Arial" w:hAnsi="Arial" w:cs="Arial"/>
          <w:color w:val="000000" w:themeColor="text1"/>
          <w:sz w:val="19"/>
          <w:szCs w:val="19"/>
        </w:rPr>
        <w:t>M.P</w:t>
      </w:r>
      <w:proofErr w:type="spellEnd"/>
      <w:r w:rsidRPr="005A1501">
        <w:rPr>
          <w:rFonts w:ascii="Arial" w:hAnsi="Arial" w:cs="Arial"/>
          <w:color w:val="000000" w:themeColor="text1"/>
          <w:sz w:val="19"/>
          <w:szCs w:val="19"/>
        </w:rPr>
        <w:t>. Alfredo Beltrán Sierra. Sentencia C-183 de 2003. Expediente D-4244.</w:t>
      </w:r>
    </w:p>
    <w:p w14:paraId="61CEC683" w14:textId="77777777" w:rsidR="00D6341C" w:rsidRPr="00D36B0C" w:rsidRDefault="00D6341C" w:rsidP="009E6C95">
      <w:pPr>
        <w:ind w:firstLine="708"/>
        <w:jc w:val="both"/>
        <w:rPr>
          <w:rFonts w:ascii="Arial" w:hAnsi="Arial" w:cs="Arial"/>
          <w:sz w:val="19"/>
          <w:szCs w:val="19"/>
        </w:rPr>
      </w:pPr>
    </w:p>
  </w:footnote>
  <w:footnote w:id="11">
    <w:p w14:paraId="37723B1B" w14:textId="4FFD5A48" w:rsidR="00C35AAF" w:rsidRPr="005A1501" w:rsidRDefault="00C35AAF" w:rsidP="009E6C95">
      <w:pPr>
        <w:pStyle w:val="Textonotapie"/>
        <w:ind w:firstLine="708"/>
        <w:jc w:val="both"/>
        <w:rPr>
          <w:rFonts w:ascii="Arial" w:hAnsi="Arial" w:cs="Arial"/>
          <w:sz w:val="19"/>
          <w:szCs w:val="19"/>
          <w:lang w:val="es-ES"/>
        </w:rPr>
      </w:pPr>
      <w:r w:rsidRPr="005A1501">
        <w:rPr>
          <w:rStyle w:val="Refdenotaalpie"/>
          <w:rFonts w:ascii="Arial" w:hAnsi="Arial" w:cs="Arial"/>
          <w:sz w:val="19"/>
          <w:szCs w:val="19"/>
        </w:rPr>
        <w:footnoteRef/>
      </w:r>
      <w:r w:rsidRPr="005A1501">
        <w:rPr>
          <w:rFonts w:ascii="Arial" w:hAnsi="Arial" w:cs="Arial"/>
          <w:sz w:val="19"/>
          <w:szCs w:val="19"/>
        </w:rPr>
        <w:t xml:space="preserve"> </w:t>
      </w:r>
      <w:r w:rsidR="000E57F0" w:rsidRPr="005A1501">
        <w:rPr>
          <w:rFonts w:ascii="Arial" w:hAnsi="Arial" w:cs="Arial"/>
          <w:sz w:val="19"/>
          <w:szCs w:val="19"/>
          <w:lang w:val="es-ES"/>
        </w:rPr>
        <w:t>Consejo de Estado</w:t>
      </w:r>
      <w:r w:rsidR="00CA01B4" w:rsidRPr="005A1501">
        <w:rPr>
          <w:rFonts w:ascii="Arial" w:hAnsi="Arial" w:cs="Arial"/>
          <w:sz w:val="19"/>
          <w:szCs w:val="19"/>
          <w:lang w:val="es-ES"/>
        </w:rPr>
        <w:t xml:space="preserve">. </w:t>
      </w:r>
      <w:r w:rsidRPr="005A1501">
        <w:rPr>
          <w:rFonts w:ascii="Arial" w:hAnsi="Arial" w:cs="Arial"/>
          <w:sz w:val="19"/>
          <w:szCs w:val="19"/>
          <w:lang w:val="es-ES"/>
        </w:rPr>
        <w:t>Sala de lo Contencioso Admini</w:t>
      </w:r>
      <w:r w:rsidR="00CA01B4" w:rsidRPr="005A1501">
        <w:rPr>
          <w:rFonts w:ascii="Arial" w:hAnsi="Arial" w:cs="Arial"/>
          <w:sz w:val="19"/>
          <w:szCs w:val="19"/>
          <w:lang w:val="es-ES"/>
        </w:rPr>
        <w:t>strativo.</w:t>
      </w:r>
      <w:r w:rsidRPr="005A1501">
        <w:rPr>
          <w:rFonts w:ascii="Arial" w:hAnsi="Arial" w:cs="Arial"/>
          <w:sz w:val="19"/>
          <w:szCs w:val="19"/>
          <w:lang w:val="es-ES"/>
        </w:rPr>
        <w:t xml:space="preserve"> Sección Tercera. Sentencia del 26 de febrero de 2015, Expediente 30834. C.P. Hernán Andrade Rincón</w:t>
      </w:r>
    </w:p>
    <w:p w14:paraId="457D5EFD" w14:textId="77777777" w:rsidR="00E51411" w:rsidRPr="005A1501" w:rsidRDefault="00E51411" w:rsidP="009E6C95">
      <w:pPr>
        <w:pStyle w:val="Textonotapie"/>
        <w:ind w:firstLine="708"/>
        <w:jc w:val="both"/>
        <w:rPr>
          <w:rFonts w:ascii="Arial" w:hAnsi="Arial" w:cs="Arial"/>
          <w:sz w:val="19"/>
          <w:szCs w:val="19"/>
          <w:lang w:val="es-ES"/>
        </w:rPr>
      </w:pPr>
    </w:p>
  </w:footnote>
  <w:footnote w:id="12">
    <w:p w14:paraId="6524FE10" w14:textId="5D95577F" w:rsidR="008C0166" w:rsidRPr="005A1501" w:rsidRDefault="008C0166" w:rsidP="009E6C95">
      <w:pPr>
        <w:pStyle w:val="Textonotapie"/>
        <w:ind w:firstLine="708"/>
        <w:jc w:val="both"/>
        <w:rPr>
          <w:rFonts w:ascii="Arial" w:hAnsi="Arial" w:cs="Arial"/>
          <w:sz w:val="19"/>
          <w:szCs w:val="19"/>
        </w:rPr>
      </w:pPr>
      <w:r w:rsidRPr="00D36B0C">
        <w:rPr>
          <w:rStyle w:val="Refdenotaalpie"/>
          <w:rFonts w:ascii="Arial" w:hAnsi="Arial" w:cs="Arial"/>
          <w:sz w:val="19"/>
          <w:szCs w:val="19"/>
        </w:rPr>
        <w:footnoteRef/>
      </w:r>
      <w:r w:rsidRPr="00D36B0C">
        <w:rPr>
          <w:rFonts w:ascii="Arial" w:hAnsi="Arial" w:cs="Arial"/>
          <w:sz w:val="19"/>
          <w:szCs w:val="19"/>
        </w:rPr>
        <w:t xml:space="preserve"> FORERO SILVA, Jorge. </w:t>
      </w:r>
      <w:r w:rsidR="008967B1" w:rsidRPr="00D36B0C">
        <w:rPr>
          <w:rFonts w:ascii="Arial" w:hAnsi="Arial" w:cs="Arial"/>
          <w:sz w:val="19"/>
          <w:szCs w:val="19"/>
        </w:rPr>
        <w:t xml:space="preserve">Medidas cautelares en el Código General del Proceso. </w:t>
      </w:r>
      <w:r w:rsidR="00EF48C6" w:rsidRPr="00D36B0C">
        <w:rPr>
          <w:rFonts w:ascii="Arial" w:hAnsi="Arial" w:cs="Arial"/>
          <w:sz w:val="19"/>
          <w:szCs w:val="19"/>
        </w:rPr>
        <w:t>Pontific</w:t>
      </w:r>
      <w:r w:rsidR="003A24BF" w:rsidRPr="00D36B0C">
        <w:rPr>
          <w:rFonts w:ascii="Arial" w:hAnsi="Arial" w:cs="Arial"/>
          <w:sz w:val="19"/>
          <w:szCs w:val="19"/>
        </w:rPr>
        <w:t xml:space="preserve">ia Universidad Javeriana, </w:t>
      </w:r>
      <w:r w:rsidR="00B704AC" w:rsidRPr="00D36B0C">
        <w:rPr>
          <w:rFonts w:ascii="Arial" w:hAnsi="Arial" w:cs="Arial"/>
          <w:sz w:val="19"/>
          <w:szCs w:val="19"/>
        </w:rPr>
        <w:t>Colección de profesores No. 65</w:t>
      </w:r>
      <w:r w:rsidR="00EB2A8B" w:rsidRPr="00D36B0C">
        <w:rPr>
          <w:rFonts w:ascii="Arial" w:hAnsi="Arial" w:cs="Arial"/>
          <w:sz w:val="19"/>
          <w:szCs w:val="19"/>
        </w:rPr>
        <w:t>,</w:t>
      </w:r>
      <w:r w:rsidR="00B704AC" w:rsidRPr="00D36B0C">
        <w:rPr>
          <w:rFonts w:ascii="Arial" w:hAnsi="Arial" w:cs="Arial"/>
          <w:sz w:val="19"/>
          <w:szCs w:val="19"/>
        </w:rPr>
        <w:t xml:space="preserve"> Edito</w:t>
      </w:r>
      <w:r w:rsidR="00EB2A8B" w:rsidRPr="00D36B0C">
        <w:rPr>
          <w:rFonts w:ascii="Arial" w:hAnsi="Arial" w:cs="Arial"/>
          <w:sz w:val="19"/>
          <w:szCs w:val="19"/>
        </w:rPr>
        <w:t>rial Temis,</w:t>
      </w:r>
      <w:r w:rsidR="00E24056" w:rsidRPr="00D36B0C">
        <w:rPr>
          <w:rFonts w:ascii="Arial" w:hAnsi="Arial" w:cs="Arial"/>
          <w:sz w:val="19"/>
          <w:szCs w:val="19"/>
        </w:rPr>
        <w:t xml:space="preserve"> </w:t>
      </w:r>
      <w:r w:rsidR="00EB2A8B" w:rsidRPr="00D36B0C">
        <w:rPr>
          <w:rFonts w:ascii="Arial" w:hAnsi="Arial" w:cs="Arial"/>
          <w:sz w:val="19"/>
          <w:szCs w:val="19"/>
        </w:rPr>
        <w:t>Bogot</w:t>
      </w:r>
      <w:r w:rsidR="00F9025F" w:rsidRPr="005A1501">
        <w:rPr>
          <w:rFonts w:ascii="Arial" w:hAnsi="Arial" w:cs="Arial"/>
          <w:sz w:val="19"/>
          <w:szCs w:val="19"/>
        </w:rPr>
        <w:t>á</w:t>
      </w:r>
      <w:r w:rsidR="00F9025F" w:rsidRPr="00D36B0C">
        <w:rPr>
          <w:rFonts w:ascii="Arial" w:hAnsi="Arial" w:cs="Arial"/>
          <w:sz w:val="19"/>
          <w:szCs w:val="19"/>
        </w:rPr>
        <w:t>, 2013, pp. 87.</w:t>
      </w:r>
    </w:p>
    <w:p w14:paraId="454A80B9" w14:textId="77777777" w:rsidR="00C840CE" w:rsidRPr="00D36B0C" w:rsidRDefault="00C840CE" w:rsidP="00D36B0C">
      <w:pPr>
        <w:pStyle w:val="Textonotapie"/>
        <w:ind w:firstLine="708"/>
        <w:jc w:val="both"/>
        <w:rPr>
          <w:rFonts w:ascii="Arial" w:hAnsi="Arial" w:cs="Arial"/>
          <w:sz w:val="19"/>
          <w:szCs w:val="19"/>
        </w:rPr>
      </w:pPr>
    </w:p>
  </w:footnote>
  <w:footnote w:id="13">
    <w:p w14:paraId="79EBD0B0" w14:textId="2175E4B2" w:rsidR="00730D40" w:rsidRPr="005A1501" w:rsidRDefault="00730D40" w:rsidP="00D36B0C">
      <w:pPr>
        <w:pStyle w:val="NormalWeb"/>
        <w:spacing w:before="0" w:beforeAutospacing="0" w:after="0" w:afterAutospacing="0"/>
        <w:ind w:firstLine="708"/>
        <w:jc w:val="both"/>
        <w:rPr>
          <w:rFonts w:ascii="Arial" w:hAnsi="Arial" w:cs="Arial"/>
          <w:sz w:val="19"/>
          <w:szCs w:val="19"/>
          <w:lang w:eastAsia="en-US"/>
        </w:rPr>
      </w:pPr>
      <w:r w:rsidRPr="005A1501">
        <w:rPr>
          <w:rStyle w:val="Refdenotaalpie"/>
          <w:rFonts w:ascii="Arial" w:hAnsi="Arial" w:cs="Arial"/>
          <w:sz w:val="19"/>
          <w:szCs w:val="19"/>
        </w:rPr>
        <w:footnoteRef/>
      </w:r>
      <w:r w:rsidRPr="005A1501">
        <w:rPr>
          <w:rFonts w:ascii="Arial" w:hAnsi="Arial" w:cs="Arial"/>
          <w:sz w:val="19"/>
          <w:szCs w:val="19"/>
        </w:rPr>
        <w:t xml:space="preserve"> Código Civil. </w:t>
      </w:r>
      <w:r w:rsidR="00514D37" w:rsidRPr="005A1501">
        <w:rPr>
          <w:rFonts w:ascii="Arial" w:hAnsi="Arial" w:cs="Arial"/>
          <w:sz w:val="19"/>
          <w:szCs w:val="19"/>
        </w:rPr>
        <w:t>«</w:t>
      </w:r>
      <w:r w:rsidR="00514D37" w:rsidRPr="005A1501">
        <w:rPr>
          <w:rFonts w:ascii="Arial" w:hAnsi="Arial" w:cs="Arial"/>
          <w:bCs/>
          <w:sz w:val="19"/>
          <w:szCs w:val="19"/>
          <w:lang w:eastAsia="en-US"/>
        </w:rPr>
        <w:t>A</w:t>
      </w:r>
      <w:r w:rsidR="00467CE8" w:rsidRPr="005A1501">
        <w:rPr>
          <w:rFonts w:ascii="Arial" w:hAnsi="Arial" w:cs="Arial"/>
          <w:bCs/>
          <w:sz w:val="19"/>
          <w:szCs w:val="19"/>
          <w:lang w:eastAsia="en-US"/>
        </w:rPr>
        <w:t>rtí</w:t>
      </w:r>
      <w:r w:rsidR="00514D37" w:rsidRPr="005A1501">
        <w:rPr>
          <w:rFonts w:ascii="Arial" w:hAnsi="Arial" w:cs="Arial"/>
          <w:bCs/>
          <w:sz w:val="19"/>
          <w:szCs w:val="19"/>
          <w:lang w:eastAsia="en-US"/>
        </w:rPr>
        <w:t>culo</w:t>
      </w:r>
      <w:r w:rsidRPr="005A1501">
        <w:rPr>
          <w:rFonts w:ascii="Arial" w:hAnsi="Arial" w:cs="Arial"/>
          <w:bCs/>
          <w:sz w:val="19"/>
          <w:szCs w:val="19"/>
          <w:lang w:eastAsia="en-US"/>
        </w:rPr>
        <w:t xml:space="preserve"> 1521. </w:t>
      </w:r>
      <w:r w:rsidR="006E515E" w:rsidRPr="005A1501">
        <w:rPr>
          <w:rFonts w:ascii="Arial" w:hAnsi="Arial" w:cs="Arial"/>
          <w:bCs/>
          <w:sz w:val="19"/>
          <w:szCs w:val="19"/>
          <w:lang w:eastAsia="en-US"/>
        </w:rPr>
        <w:t>Enajenaciones con objeto ilícito</w:t>
      </w:r>
      <w:r w:rsidRPr="005A1501">
        <w:rPr>
          <w:rFonts w:ascii="Arial" w:hAnsi="Arial" w:cs="Arial"/>
          <w:bCs/>
          <w:sz w:val="19"/>
          <w:szCs w:val="19"/>
          <w:lang w:eastAsia="en-US"/>
        </w:rPr>
        <w:t>.</w:t>
      </w:r>
      <w:r w:rsidRPr="005A1501">
        <w:rPr>
          <w:rFonts w:ascii="Arial" w:hAnsi="Arial" w:cs="Arial"/>
          <w:sz w:val="19"/>
          <w:szCs w:val="19"/>
          <w:lang w:eastAsia="en-US"/>
        </w:rPr>
        <w:t> Hay un objeto ilícito en la enajenación:</w:t>
      </w:r>
    </w:p>
    <w:p w14:paraId="66B1E952" w14:textId="4550D444" w:rsidR="00730D40" w:rsidRPr="005A1501" w:rsidRDefault="006E515E" w:rsidP="00D36B0C">
      <w:pPr>
        <w:ind w:firstLine="708"/>
        <w:jc w:val="both"/>
        <w:rPr>
          <w:rFonts w:ascii="Arial" w:eastAsia="Times New Roman" w:hAnsi="Arial" w:cs="Arial"/>
          <w:sz w:val="19"/>
          <w:szCs w:val="19"/>
          <w:lang w:val="es-CO"/>
        </w:rPr>
      </w:pPr>
      <w:r w:rsidRPr="005A1501">
        <w:rPr>
          <w:rFonts w:ascii="Arial" w:eastAsia="Times New Roman" w:hAnsi="Arial" w:cs="Arial"/>
          <w:sz w:val="19"/>
          <w:szCs w:val="19"/>
          <w:lang w:val="es-CO"/>
        </w:rPr>
        <w:t>»</w:t>
      </w:r>
      <w:r w:rsidR="00730D40" w:rsidRPr="005A1501">
        <w:rPr>
          <w:rFonts w:ascii="Arial" w:eastAsia="Times New Roman" w:hAnsi="Arial" w:cs="Arial"/>
          <w:sz w:val="19"/>
          <w:szCs w:val="19"/>
          <w:lang w:val="es-CO"/>
        </w:rPr>
        <w:t>1o.) De las cosas que no están en el comercio.</w:t>
      </w:r>
    </w:p>
    <w:p w14:paraId="5250D285" w14:textId="48EC12AA" w:rsidR="00730D40" w:rsidRPr="005A1501" w:rsidRDefault="006E515E" w:rsidP="00D36B0C">
      <w:pPr>
        <w:ind w:firstLine="708"/>
        <w:jc w:val="both"/>
        <w:rPr>
          <w:rFonts w:ascii="Arial" w:eastAsia="Times New Roman" w:hAnsi="Arial" w:cs="Arial"/>
          <w:sz w:val="19"/>
          <w:szCs w:val="19"/>
          <w:lang w:val="es-CO"/>
        </w:rPr>
      </w:pPr>
      <w:r w:rsidRPr="005A1501">
        <w:rPr>
          <w:rFonts w:ascii="Arial" w:eastAsia="Times New Roman" w:hAnsi="Arial" w:cs="Arial"/>
          <w:sz w:val="19"/>
          <w:szCs w:val="19"/>
          <w:lang w:val="es-CO"/>
        </w:rPr>
        <w:t>»</w:t>
      </w:r>
      <w:r w:rsidR="00730D40" w:rsidRPr="005A1501">
        <w:rPr>
          <w:rFonts w:ascii="Arial" w:eastAsia="Times New Roman" w:hAnsi="Arial" w:cs="Arial"/>
          <w:sz w:val="19"/>
          <w:szCs w:val="19"/>
          <w:lang w:val="es-CO"/>
        </w:rPr>
        <w:t>2o.) De los derechos o privilegios que no pueden transferirse a otra persona.</w:t>
      </w:r>
    </w:p>
    <w:p w14:paraId="01A90918" w14:textId="1FBE5700" w:rsidR="00730D40" w:rsidRPr="005A1501" w:rsidRDefault="006E515E" w:rsidP="00D36B0C">
      <w:pPr>
        <w:ind w:firstLine="708"/>
        <w:jc w:val="both"/>
        <w:rPr>
          <w:rFonts w:ascii="Arial" w:eastAsia="Times New Roman" w:hAnsi="Arial" w:cs="Arial"/>
          <w:sz w:val="19"/>
          <w:szCs w:val="19"/>
          <w:lang w:val="es-CO"/>
        </w:rPr>
      </w:pPr>
      <w:r w:rsidRPr="005A1501">
        <w:rPr>
          <w:rFonts w:ascii="Arial" w:eastAsia="Times New Roman" w:hAnsi="Arial" w:cs="Arial"/>
          <w:sz w:val="19"/>
          <w:szCs w:val="19"/>
          <w:lang w:val="es-CO"/>
        </w:rPr>
        <w:t>»</w:t>
      </w:r>
      <w:r w:rsidR="00730D40" w:rsidRPr="005A1501">
        <w:rPr>
          <w:rFonts w:ascii="Arial" w:eastAsia="Times New Roman" w:hAnsi="Arial" w:cs="Arial"/>
          <w:sz w:val="19"/>
          <w:szCs w:val="19"/>
          <w:lang w:val="es-CO"/>
        </w:rPr>
        <w:t>3o.) De las cosas embargadas por decreto judicial, a menos que el juez lo autorice o el acreedor consienta en ello</w:t>
      </w:r>
      <w:r w:rsidRPr="005A1501">
        <w:rPr>
          <w:rFonts w:ascii="Arial" w:eastAsia="Times New Roman" w:hAnsi="Arial" w:cs="Arial"/>
          <w:sz w:val="19"/>
          <w:szCs w:val="19"/>
          <w:lang w:val="es-CO"/>
        </w:rPr>
        <w:t>»</w:t>
      </w:r>
      <w:r w:rsidR="00730D40" w:rsidRPr="005A1501">
        <w:rPr>
          <w:rFonts w:ascii="Arial" w:eastAsia="Times New Roman" w:hAnsi="Arial" w:cs="Arial"/>
          <w:sz w:val="19"/>
          <w:szCs w:val="19"/>
          <w:lang w:val="es-CO"/>
        </w:rPr>
        <w:t>.</w:t>
      </w:r>
    </w:p>
    <w:p w14:paraId="4CCE89DA" w14:textId="77777777" w:rsidR="00730D40" w:rsidRPr="00D36B0C" w:rsidRDefault="00730D40">
      <w:pPr>
        <w:pStyle w:val="Textonotapie"/>
        <w:rPr>
          <w:rFonts w:ascii="Arial" w:hAnsi="Arial" w:cs="Arial"/>
          <w:sz w:val="19"/>
          <w:szCs w:val="19"/>
          <w:lang w:val="es-CO"/>
        </w:rPr>
      </w:pPr>
    </w:p>
  </w:footnote>
  <w:footnote w:id="14">
    <w:p w14:paraId="0213904F" w14:textId="51D3DF52" w:rsidR="006E515E" w:rsidRPr="005A1501" w:rsidRDefault="006E515E">
      <w:pPr>
        <w:pStyle w:val="Textonotapie"/>
        <w:ind w:firstLine="708"/>
        <w:rPr>
          <w:rFonts w:ascii="Arial" w:hAnsi="Arial" w:cs="Arial"/>
          <w:i/>
          <w:iCs/>
          <w:sz w:val="19"/>
          <w:szCs w:val="19"/>
        </w:rPr>
      </w:pPr>
      <w:r w:rsidRPr="00D36B0C">
        <w:rPr>
          <w:rStyle w:val="Refdenotaalpie"/>
          <w:rFonts w:ascii="Arial" w:hAnsi="Arial" w:cs="Arial"/>
          <w:sz w:val="19"/>
          <w:szCs w:val="19"/>
        </w:rPr>
        <w:footnoteRef/>
      </w:r>
      <w:r w:rsidRPr="00D36B0C">
        <w:rPr>
          <w:rFonts w:ascii="Arial" w:hAnsi="Arial" w:cs="Arial"/>
          <w:sz w:val="19"/>
          <w:szCs w:val="19"/>
        </w:rPr>
        <w:t xml:space="preserve"> </w:t>
      </w:r>
      <w:r w:rsidRPr="005A1501">
        <w:rPr>
          <w:rFonts w:ascii="Arial" w:hAnsi="Arial" w:cs="Arial"/>
          <w:sz w:val="19"/>
          <w:szCs w:val="19"/>
        </w:rPr>
        <w:t xml:space="preserve">FORERO SILVA, Jorge, </w:t>
      </w:r>
      <w:proofErr w:type="spellStart"/>
      <w:r w:rsidRPr="00D36B0C">
        <w:rPr>
          <w:rFonts w:ascii="Arial" w:hAnsi="Arial" w:cs="Arial"/>
          <w:i/>
          <w:iCs/>
          <w:sz w:val="19"/>
          <w:szCs w:val="19"/>
        </w:rPr>
        <w:t>Op</w:t>
      </w:r>
      <w:proofErr w:type="spellEnd"/>
      <w:r w:rsidRPr="00D36B0C">
        <w:rPr>
          <w:rFonts w:ascii="Arial" w:hAnsi="Arial" w:cs="Arial"/>
          <w:i/>
          <w:iCs/>
          <w:sz w:val="19"/>
          <w:szCs w:val="19"/>
        </w:rPr>
        <w:t>. cit.</w:t>
      </w:r>
    </w:p>
    <w:p w14:paraId="482B3AB5" w14:textId="77777777" w:rsidR="00FA70BD" w:rsidRPr="00D36B0C" w:rsidRDefault="00FA70BD" w:rsidP="00D36B0C">
      <w:pPr>
        <w:pStyle w:val="Textonotapie"/>
        <w:ind w:firstLine="708"/>
        <w:rPr>
          <w:rFonts w:ascii="Arial" w:hAnsi="Arial" w:cs="Arial"/>
          <w:sz w:val="19"/>
          <w:szCs w:val="19"/>
        </w:rPr>
      </w:pPr>
    </w:p>
  </w:footnote>
  <w:footnote w:id="15">
    <w:p w14:paraId="7FFA3385" w14:textId="77777777" w:rsidR="00927513" w:rsidRPr="005A1501" w:rsidRDefault="00927513">
      <w:pPr>
        <w:pStyle w:val="Textonotapie"/>
        <w:ind w:firstLine="708"/>
        <w:rPr>
          <w:rFonts w:ascii="Arial" w:hAnsi="Arial" w:cs="Arial"/>
          <w:i/>
          <w:iCs/>
          <w:sz w:val="19"/>
          <w:szCs w:val="19"/>
        </w:rPr>
      </w:pPr>
      <w:r w:rsidRPr="00D36B0C">
        <w:rPr>
          <w:rStyle w:val="Refdenotaalpie"/>
          <w:rFonts w:ascii="Arial" w:hAnsi="Arial" w:cs="Arial"/>
          <w:sz w:val="19"/>
          <w:szCs w:val="19"/>
        </w:rPr>
        <w:footnoteRef/>
      </w:r>
      <w:r w:rsidRPr="00D36B0C">
        <w:rPr>
          <w:rFonts w:ascii="Arial" w:hAnsi="Arial" w:cs="Arial"/>
          <w:sz w:val="19"/>
          <w:szCs w:val="19"/>
        </w:rPr>
        <w:t xml:space="preserve"> </w:t>
      </w:r>
      <w:proofErr w:type="spellStart"/>
      <w:r w:rsidRPr="005A1501">
        <w:rPr>
          <w:rFonts w:ascii="Arial" w:hAnsi="Arial" w:cs="Arial"/>
          <w:i/>
          <w:iCs/>
          <w:sz w:val="19"/>
          <w:szCs w:val="19"/>
        </w:rPr>
        <w:t>Ibíd</w:t>
      </w:r>
      <w:proofErr w:type="spellEnd"/>
      <w:r w:rsidRPr="005A1501">
        <w:rPr>
          <w:rFonts w:ascii="Arial" w:hAnsi="Arial" w:cs="Arial"/>
          <w:i/>
          <w:iCs/>
          <w:sz w:val="19"/>
          <w:szCs w:val="19"/>
        </w:rPr>
        <w:t xml:space="preserve">, pp. </w:t>
      </w:r>
      <w:r w:rsidRPr="005A1501">
        <w:rPr>
          <w:rFonts w:ascii="Arial" w:hAnsi="Arial" w:cs="Arial"/>
          <w:sz w:val="19"/>
          <w:szCs w:val="19"/>
        </w:rPr>
        <w:t>95</w:t>
      </w:r>
      <w:r w:rsidRPr="005A1501">
        <w:rPr>
          <w:rFonts w:ascii="Arial" w:hAnsi="Arial" w:cs="Arial"/>
          <w:i/>
          <w:iCs/>
          <w:sz w:val="19"/>
          <w:szCs w:val="19"/>
        </w:rPr>
        <w:t xml:space="preserve">. </w:t>
      </w:r>
    </w:p>
    <w:p w14:paraId="3C977D89" w14:textId="77777777" w:rsidR="00927513" w:rsidRPr="00D36B0C" w:rsidRDefault="00927513">
      <w:pPr>
        <w:pStyle w:val="Textonotapie"/>
        <w:ind w:firstLine="708"/>
        <w:rPr>
          <w:rFonts w:ascii="Arial" w:hAnsi="Arial" w:cs="Arial"/>
          <w:sz w:val="19"/>
          <w:szCs w:val="19"/>
        </w:rPr>
      </w:pPr>
      <w:r w:rsidRPr="00D36B0C">
        <w:rPr>
          <w:rFonts w:ascii="Arial" w:hAnsi="Arial" w:cs="Arial"/>
          <w:sz w:val="19"/>
          <w:szCs w:val="19"/>
        </w:rPr>
        <w:t xml:space="preserve"> </w:t>
      </w:r>
    </w:p>
  </w:footnote>
  <w:footnote w:id="16">
    <w:p w14:paraId="7A97C629" w14:textId="5815FF4C" w:rsidR="0044794D" w:rsidRDefault="0044794D">
      <w:pPr>
        <w:pStyle w:val="Textonotapie"/>
        <w:ind w:firstLine="708"/>
        <w:jc w:val="both"/>
        <w:rPr>
          <w:rFonts w:ascii="Arial" w:hAnsi="Arial" w:cs="Arial"/>
          <w:sz w:val="19"/>
          <w:szCs w:val="19"/>
        </w:rPr>
      </w:pPr>
      <w:r w:rsidRPr="00D36B0C">
        <w:rPr>
          <w:rStyle w:val="Refdenotaalpie"/>
          <w:rFonts w:ascii="Arial" w:hAnsi="Arial" w:cs="Arial"/>
          <w:sz w:val="19"/>
          <w:szCs w:val="19"/>
        </w:rPr>
        <w:footnoteRef/>
      </w:r>
      <w:r w:rsidRPr="00D36B0C">
        <w:rPr>
          <w:rFonts w:ascii="Arial" w:hAnsi="Arial" w:cs="Arial"/>
          <w:sz w:val="19"/>
          <w:szCs w:val="19"/>
        </w:rPr>
        <w:t xml:space="preserve"> Código Civil: «Artículo 2279. Facultades del secuestre de inmueble. El secuestro de un inmueble tiene relativamente a su administración, las facultades y deberes de mandatario, y deberá dar cuenta de sus actos al futuro adjudicatario». </w:t>
      </w:r>
    </w:p>
    <w:p w14:paraId="5EEFF4C1" w14:textId="77777777" w:rsidR="004B2CDC" w:rsidRPr="00D36B0C" w:rsidRDefault="004B2CDC" w:rsidP="00D36B0C">
      <w:pPr>
        <w:pStyle w:val="Textonotapie"/>
        <w:ind w:firstLine="708"/>
        <w:jc w:val="both"/>
        <w:rPr>
          <w:rFonts w:ascii="Arial" w:hAnsi="Arial" w:cs="Arial"/>
          <w:sz w:val="19"/>
          <w:szCs w:val="19"/>
        </w:rPr>
      </w:pPr>
    </w:p>
  </w:footnote>
  <w:footnote w:id="17">
    <w:p w14:paraId="38D1EABA" w14:textId="79CC6028" w:rsidR="00887B87" w:rsidRPr="00D36B0C" w:rsidRDefault="00887B87" w:rsidP="00D36B0C">
      <w:pPr>
        <w:pStyle w:val="Textonotapie"/>
        <w:ind w:firstLine="709"/>
        <w:jc w:val="both"/>
        <w:rPr>
          <w:rFonts w:ascii="Arial" w:hAnsi="Arial" w:cs="Arial"/>
          <w:sz w:val="19"/>
          <w:szCs w:val="19"/>
        </w:rPr>
      </w:pPr>
      <w:r w:rsidRPr="00D36B0C">
        <w:rPr>
          <w:rStyle w:val="Refdenotaalpie"/>
          <w:rFonts w:ascii="Arial" w:hAnsi="Arial" w:cs="Arial"/>
          <w:sz w:val="19"/>
          <w:szCs w:val="19"/>
        </w:rPr>
        <w:footnoteRef/>
      </w:r>
      <w:r w:rsidRPr="00D36B0C">
        <w:rPr>
          <w:rFonts w:ascii="Arial" w:hAnsi="Arial" w:cs="Arial"/>
          <w:sz w:val="19"/>
          <w:szCs w:val="19"/>
        </w:rPr>
        <w:t xml:space="preserve"> LÓPEZ BLANCO, Hernán F. </w:t>
      </w:r>
      <w:r w:rsidR="00CA7B58">
        <w:rPr>
          <w:rFonts w:ascii="Arial" w:hAnsi="Arial" w:cs="Arial"/>
          <w:sz w:val="19"/>
          <w:szCs w:val="19"/>
        </w:rPr>
        <w:t>Código General del Proceso. Parte especial</w:t>
      </w:r>
      <w:r w:rsidR="00456613" w:rsidRPr="00D36B0C">
        <w:rPr>
          <w:rFonts w:ascii="Arial" w:hAnsi="Arial" w:cs="Arial"/>
          <w:sz w:val="19"/>
          <w:szCs w:val="19"/>
        </w:rPr>
        <w:t xml:space="preserve">. </w:t>
      </w:r>
      <w:r w:rsidR="00CA7B58">
        <w:rPr>
          <w:rFonts w:ascii="Arial" w:hAnsi="Arial" w:cs="Arial"/>
          <w:sz w:val="19"/>
          <w:szCs w:val="19"/>
        </w:rPr>
        <w:t>Segunda</w:t>
      </w:r>
      <w:r w:rsidR="00C170CB" w:rsidRPr="00D36B0C">
        <w:rPr>
          <w:rFonts w:ascii="Arial" w:hAnsi="Arial" w:cs="Arial"/>
          <w:sz w:val="19"/>
          <w:szCs w:val="19"/>
        </w:rPr>
        <w:t xml:space="preserve"> edición. </w:t>
      </w:r>
      <w:r w:rsidR="0099267F" w:rsidRPr="00D36B0C">
        <w:rPr>
          <w:rFonts w:ascii="Arial" w:hAnsi="Arial" w:cs="Arial"/>
          <w:sz w:val="19"/>
          <w:szCs w:val="19"/>
        </w:rPr>
        <w:t>Dupre</w:t>
      </w:r>
      <w:r w:rsidR="00283F3A" w:rsidRPr="00D36B0C">
        <w:rPr>
          <w:rFonts w:ascii="Arial" w:hAnsi="Arial" w:cs="Arial"/>
          <w:sz w:val="19"/>
          <w:szCs w:val="19"/>
        </w:rPr>
        <w:t>. 20</w:t>
      </w:r>
      <w:r w:rsidR="00CA7B58">
        <w:rPr>
          <w:rFonts w:ascii="Arial" w:hAnsi="Arial" w:cs="Arial"/>
          <w:sz w:val="19"/>
          <w:szCs w:val="19"/>
        </w:rPr>
        <w:t>18</w:t>
      </w:r>
      <w:r w:rsidR="00283F3A" w:rsidRPr="00D36B0C">
        <w:rPr>
          <w:rFonts w:ascii="Arial" w:hAnsi="Arial" w:cs="Arial"/>
          <w:sz w:val="19"/>
          <w:szCs w:val="19"/>
        </w:rPr>
        <w:t>. Bogotá</w:t>
      </w:r>
      <w:r w:rsidR="00485B78" w:rsidRPr="005A1501">
        <w:rPr>
          <w:rFonts w:ascii="Arial" w:hAnsi="Arial" w:cs="Arial"/>
          <w:sz w:val="19"/>
          <w:szCs w:val="19"/>
        </w:rPr>
        <w:t>,</w:t>
      </w:r>
      <w:r w:rsidR="00283F3A" w:rsidRPr="00D36B0C">
        <w:rPr>
          <w:rFonts w:ascii="Arial" w:hAnsi="Arial" w:cs="Arial"/>
          <w:sz w:val="19"/>
          <w:szCs w:val="19"/>
        </w:rPr>
        <w:t xml:space="preserve"> </w:t>
      </w:r>
      <w:r w:rsidR="00485B78" w:rsidRPr="005A1501">
        <w:rPr>
          <w:rFonts w:ascii="Arial" w:hAnsi="Arial" w:cs="Arial"/>
          <w:sz w:val="19"/>
          <w:szCs w:val="19"/>
        </w:rPr>
        <w:t>pp.</w:t>
      </w:r>
      <w:r w:rsidR="00CA7B58">
        <w:rPr>
          <w:rFonts w:ascii="Arial" w:hAnsi="Arial" w:cs="Arial"/>
          <w:sz w:val="19"/>
          <w:szCs w:val="19"/>
        </w:rPr>
        <w:t>780-781.</w:t>
      </w:r>
    </w:p>
    <w:p w14:paraId="3D2078C3" w14:textId="77777777" w:rsidR="00887B87" w:rsidRPr="00D36B0C" w:rsidRDefault="00887B87" w:rsidP="00D36B0C">
      <w:pPr>
        <w:pStyle w:val="Textonotapie"/>
        <w:ind w:firstLine="709"/>
        <w:rPr>
          <w:rFonts w:ascii="Arial" w:hAnsi="Arial" w:cs="Arial"/>
          <w:sz w:val="19"/>
          <w:szCs w:val="19"/>
        </w:rPr>
      </w:pPr>
    </w:p>
  </w:footnote>
  <w:footnote w:id="18">
    <w:p w14:paraId="5AE3D8B0" w14:textId="3091D525" w:rsidR="007B4ED2" w:rsidRDefault="007B4ED2">
      <w:pPr>
        <w:pStyle w:val="Textonotapie"/>
        <w:ind w:firstLine="709"/>
        <w:jc w:val="both"/>
        <w:rPr>
          <w:rFonts w:ascii="Arial" w:hAnsi="Arial" w:cs="Arial"/>
          <w:sz w:val="19"/>
          <w:szCs w:val="19"/>
        </w:rPr>
      </w:pPr>
      <w:r w:rsidRPr="00D36B0C">
        <w:rPr>
          <w:rStyle w:val="Refdenotaalpie"/>
          <w:rFonts w:ascii="Arial" w:hAnsi="Arial" w:cs="Arial"/>
          <w:sz w:val="19"/>
          <w:szCs w:val="19"/>
        </w:rPr>
        <w:footnoteRef/>
      </w:r>
      <w:r w:rsidRPr="00D36B0C">
        <w:rPr>
          <w:rFonts w:ascii="Arial" w:hAnsi="Arial" w:cs="Arial"/>
          <w:sz w:val="19"/>
          <w:szCs w:val="19"/>
        </w:rPr>
        <w:t xml:space="preserve"> </w:t>
      </w:r>
      <w:r w:rsidR="00280B3F" w:rsidRPr="00D36B0C">
        <w:rPr>
          <w:rFonts w:ascii="Arial" w:hAnsi="Arial" w:cs="Arial"/>
          <w:sz w:val="19"/>
          <w:szCs w:val="19"/>
        </w:rPr>
        <w:t>BONIVENTO FERNÁNDEZ, José</w:t>
      </w:r>
      <w:r w:rsidR="00280B3F">
        <w:rPr>
          <w:rFonts w:ascii="Arial" w:hAnsi="Arial" w:cs="Arial"/>
          <w:sz w:val="19"/>
          <w:szCs w:val="19"/>
        </w:rPr>
        <w:t xml:space="preserve"> A</w:t>
      </w:r>
      <w:r w:rsidR="00280B3F" w:rsidRPr="00D36B0C">
        <w:rPr>
          <w:rFonts w:ascii="Arial" w:hAnsi="Arial" w:cs="Arial"/>
          <w:sz w:val="19"/>
          <w:szCs w:val="19"/>
        </w:rPr>
        <w:t>. Los principales contratos civiles, y su paralelo con los comerciales. Librería Ediciones del Profesional Ltda., 2008,</w:t>
      </w:r>
      <w:r w:rsidR="00280B3F">
        <w:rPr>
          <w:rFonts w:ascii="Arial" w:hAnsi="Arial" w:cs="Arial"/>
          <w:sz w:val="19"/>
          <w:szCs w:val="19"/>
        </w:rPr>
        <w:t xml:space="preserve"> Bogotá,</w:t>
      </w:r>
      <w:r w:rsidR="00280B3F" w:rsidRPr="00D36B0C">
        <w:rPr>
          <w:rFonts w:ascii="Arial" w:hAnsi="Arial" w:cs="Arial"/>
          <w:sz w:val="19"/>
          <w:szCs w:val="19"/>
        </w:rPr>
        <w:t xml:space="preserve"> pp. 406</w:t>
      </w:r>
    </w:p>
    <w:p w14:paraId="6A37C689" w14:textId="77777777" w:rsidR="004B2CDC" w:rsidRPr="00D36B0C" w:rsidRDefault="004B2CDC" w:rsidP="00D36B0C">
      <w:pPr>
        <w:pStyle w:val="Textonotapie"/>
        <w:ind w:firstLine="709"/>
        <w:jc w:val="both"/>
        <w:rPr>
          <w:rFonts w:ascii="Arial" w:hAnsi="Arial" w:cs="Arial"/>
          <w:sz w:val="19"/>
          <w:szCs w:val="19"/>
        </w:rPr>
      </w:pPr>
    </w:p>
  </w:footnote>
  <w:footnote w:id="19">
    <w:p w14:paraId="0F82850B" w14:textId="0C62C926" w:rsidR="00465FD9" w:rsidRPr="00D36B0C" w:rsidRDefault="00465FD9" w:rsidP="00D36B0C">
      <w:pPr>
        <w:pStyle w:val="Textonotapie"/>
        <w:ind w:left="709"/>
        <w:rPr>
          <w:rFonts w:ascii="Arial" w:hAnsi="Arial" w:cs="Arial"/>
          <w:sz w:val="19"/>
          <w:szCs w:val="19"/>
        </w:rPr>
      </w:pPr>
      <w:r w:rsidRPr="00D36B0C">
        <w:rPr>
          <w:rStyle w:val="Refdenotaalpie"/>
          <w:rFonts w:ascii="Arial" w:hAnsi="Arial" w:cs="Arial"/>
          <w:sz w:val="19"/>
          <w:szCs w:val="19"/>
        </w:rPr>
        <w:footnoteRef/>
      </w:r>
      <w:r w:rsidRPr="00D36B0C">
        <w:rPr>
          <w:rFonts w:ascii="Arial" w:hAnsi="Arial" w:cs="Arial"/>
          <w:sz w:val="19"/>
          <w:szCs w:val="19"/>
        </w:rPr>
        <w:t xml:space="preserve"> </w:t>
      </w:r>
      <w:r w:rsidR="001032AF" w:rsidRPr="001032AF">
        <w:rPr>
          <w:rFonts w:ascii="Arial" w:hAnsi="Arial" w:cs="Arial"/>
          <w:sz w:val="19"/>
          <w:szCs w:val="19"/>
        </w:rPr>
        <w:t xml:space="preserve">FORERO SILVA, Jorge, </w:t>
      </w:r>
      <w:proofErr w:type="spellStart"/>
      <w:r w:rsidR="001032AF" w:rsidRPr="001032AF">
        <w:rPr>
          <w:rFonts w:ascii="Arial" w:hAnsi="Arial" w:cs="Arial"/>
          <w:i/>
          <w:iCs/>
          <w:sz w:val="19"/>
          <w:szCs w:val="19"/>
        </w:rPr>
        <w:t>Op</w:t>
      </w:r>
      <w:proofErr w:type="spellEnd"/>
      <w:r w:rsidR="001032AF" w:rsidRPr="001032AF">
        <w:rPr>
          <w:rFonts w:ascii="Arial" w:hAnsi="Arial" w:cs="Arial"/>
          <w:i/>
          <w:iCs/>
          <w:sz w:val="19"/>
          <w:szCs w:val="19"/>
        </w:rPr>
        <w:t xml:space="preserve">. cit. </w:t>
      </w:r>
      <w:r w:rsidR="001032AF" w:rsidRPr="00D36B0C">
        <w:rPr>
          <w:rFonts w:ascii="Arial" w:hAnsi="Arial" w:cs="Arial"/>
          <w:sz w:val="19"/>
          <w:szCs w:val="19"/>
        </w:rPr>
        <w:t>pp. 95</w:t>
      </w:r>
      <w:r w:rsidR="00690130">
        <w:rPr>
          <w:rFonts w:ascii="Arial" w:hAnsi="Arial" w:cs="Arial"/>
          <w:sz w:val="19"/>
          <w:szCs w:val="19"/>
        </w:rPr>
        <w:t>-96</w:t>
      </w:r>
      <w:r w:rsidR="001032AF" w:rsidRPr="00D36B0C">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632277" w:rsidRDefault="00632277"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632277" w:rsidRPr="00214878" w:rsidRDefault="00632277"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6"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3"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4"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7"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8"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2"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90865716">
    <w:abstractNumId w:val="11"/>
  </w:num>
  <w:num w:numId="2" w16cid:durableId="78724293">
    <w:abstractNumId w:val="10"/>
  </w:num>
  <w:num w:numId="3" w16cid:durableId="681399905">
    <w:abstractNumId w:val="18"/>
  </w:num>
  <w:num w:numId="4" w16cid:durableId="1584681197">
    <w:abstractNumId w:val="25"/>
  </w:num>
  <w:num w:numId="5" w16cid:durableId="1277062164">
    <w:abstractNumId w:val="30"/>
  </w:num>
  <w:num w:numId="6" w16cid:durableId="153341928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2578912">
    <w:abstractNumId w:val="26"/>
  </w:num>
  <w:num w:numId="8" w16cid:durableId="2026713546">
    <w:abstractNumId w:val="3"/>
  </w:num>
  <w:num w:numId="9" w16cid:durableId="649867699">
    <w:abstractNumId w:val="29"/>
  </w:num>
  <w:num w:numId="10" w16cid:durableId="1510562065">
    <w:abstractNumId w:val="22"/>
  </w:num>
  <w:num w:numId="11" w16cid:durableId="1930961115">
    <w:abstractNumId w:val="19"/>
  </w:num>
  <w:num w:numId="12" w16cid:durableId="1443037581">
    <w:abstractNumId w:val="1"/>
  </w:num>
  <w:num w:numId="13" w16cid:durableId="1784111034">
    <w:abstractNumId w:val="20"/>
  </w:num>
  <w:num w:numId="14" w16cid:durableId="615791818">
    <w:abstractNumId w:val="24"/>
  </w:num>
  <w:num w:numId="15" w16cid:durableId="1196232701">
    <w:abstractNumId w:val="21"/>
  </w:num>
  <w:num w:numId="16" w16cid:durableId="4229167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2402991">
    <w:abstractNumId w:val="8"/>
  </w:num>
  <w:num w:numId="18" w16cid:durableId="21380667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26229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6989652">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08244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240561">
    <w:abstractNumId w:val="17"/>
  </w:num>
  <w:num w:numId="23" w16cid:durableId="827064375">
    <w:abstractNumId w:val="9"/>
  </w:num>
  <w:num w:numId="24" w16cid:durableId="295453178">
    <w:abstractNumId w:val="32"/>
  </w:num>
  <w:num w:numId="25" w16cid:durableId="401215231">
    <w:abstractNumId w:val="15"/>
  </w:num>
  <w:num w:numId="26" w16cid:durableId="473835123">
    <w:abstractNumId w:val="23"/>
  </w:num>
  <w:num w:numId="27" w16cid:durableId="289097339">
    <w:abstractNumId w:val="7"/>
  </w:num>
  <w:num w:numId="28" w16cid:durableId="876551759">
    <w:abstractNumId w:val="6"/>
  </w:num>
  <w:num w:numId="29" w16cid:durableId="1881428597">
    <w:abstractNumId w:val="12"/>
  </w:num>
  <w:num w:numId="30" w16cid:durableId="1392800944">
    <w:abstractNumId w:val="33"/>
  </w:num>
  <w:num w:numId="31" w16cid:durableId="289752322">
    <w:abstractNumId w:val="28"/>
  </w:num>
  <w:num w:numId="32" w16cid:durableId="298583268">
    <w:abstractNumId w:val="2"/>
  </w:num>
  <w:num w:numId="33" w16cid:durableId="1858157834">
    <w:abstractNumId w:val="13"/>
  </w:num>
  <w:num w:numId="34" w16cid:durableId="18885643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CD3"/>
    <w:rsid w:val="00000DDB"/>
    <w:rsid w:val="00002386"/>
    <w:rsid w:val="000037D1"/>
    <w:rsid w:val="0000666E"/>
    <w:rsid w:val="00007845"/>
    <w:rsid w:val="00015DF9"/>
    <w:rsid w:val="00022430"/>
    <w:rsid w:val="00023BE4"/>
    <w:rsid w:val="00023C87"/>
    <w:rsid w:val="00025092"/>
    <w:rsid w:val="0002551F"/>
    <w:rsid w:val="000261BB"/>
    <w:rsid w:val="000268D8"/>
    <w:rsid w:val="0003099A"/>
    <w:rsid w:val="00031FC6"/>
    <w:rsid w:val="0003293F"/>
    <w:rsid w:val="00033B21"/>
    <w:rsid w:val="00033F9B"/>
    <w:rsid w:val="00034C4C"/>
    <w:rsid w:val="00035210"/>
    <w:rsid w:val="00036204"/>
    <w:rsid w:val="00037E88"/>
    <w:rsid w:val="00040257"/>
    <w:rsid w:val="00040F3E"/>
    <w:rsid w:val="0004125C"/>
    <w:rsid w:val="00042F34"/>
    <w:rsid w:val="00043688"/>
    <w:rsid w:val="00043B8B"/>
    <w:rsid w:val="0004523D"/>
    <w:rsid w:val="00051B4F"/>
    <w:rsid w:val="000546C4"/>
    <w:rsid w:val="00054A7B"/>
    <w:rsid w:val="00056788"/>
    <w:rsid w:val="00060398"/>
    <w:rsid w:val="00060721"/>
    <w:rsid w:val="000626DD"/>
    <w:rsid w:val="000647E2"/>
    <w:rsid w:val="00064B28"/>
    <w:rsid w:val="00064E2F"/>
    <w:rsid w:val="00065C8D"/>
    <w:rsid w:val="00070754"/>
    <w:rsid w:val="000709B9"/>
    <w:rsid w:val="00071077"/>
    <w:rsid w:val="00071287"/>
    <w:rsid w:val="000738A4"/>
    <w:rsid w:val="00074108"/>
    <w:rsid w:val="000743F8"/>
    <w:rsid w:val="00074599"/>
    <w:rsid w:val="00075235"/>
    <w:rsid w:val="00077A71"/>
    <w:rsid w:val="000821B3"/>
    <w:rsid w:val="00084AF1"/>
    <w:rsid w:val="00086C1E"/>
    <w:rsid w:val="000902E3"/>
    <w:rsid w:val="00090373"/>
    <w:rsid w:val="0009126C"/>
    <w:rsid w:val="00091F03"/>
    <w:rsid w:val="00092172"/>
    <w:rsid w:val="00092C97"/>
    <w:rsid w:val="0009351A"/>
    <w:rsid w:val="000942EB"/>
    <w:rsid w:val="000950AA"/>
    <w:rsid w:val="000A0382"/>
    <w:rsid w:val="000A1DB4"/>
    <w:rsid w:val="000A3D48"/>
    <w:rsid w:val="000A4AA5"/>
    <w:rsid w:val="000A524C"/>
    <w:rsid w:val="000A5C3A"/>
    <w:rsid w:val="000A6FC7"/>
    <w:rsid w:val="000A785D"/>
    <w:rsid w:val="000B103F"/>
    <w:rsid w:val="000B1F29"/>
    <w:rsid w:val="000B2127"/>
    <w:rsid w:val="000B3C08"/>
    <w:rsid w:val="000B5754"/>
    <w:rsid w:val="000B6270"/>
    <w:rsid w:val="000B6AB4"/>
    <w:rsid w:val="000B78EF"/>
    <w:rsid w:val="000C0959"/>
    <w:rsid w:val="000C19E1"/>
    <w:rsid w:val="000C400F"/>
    <w:rsid w:val="000C7696"/>
    <w:rsid w:val="000C77F0"/>
    <w:rsid w:val="000D02B3"/>
    <w:rsid w:val="000D3A92"/>
    <w:rsid w:val="000D4A92"/>
    <w:rsid w:val="000D5EAB"/>
    <w:rsid w:val="000E0550"/>
    <w:rsid w:val="000E0A1D"/>
    <w:rsid w:val="000E1BF2"/>
    <w:rsid w:val="000E1FCB"/>
    <w:rsid w:val="000E2D78"/>
    <w:rsid w:val="000E4B5C"/>
    <w:rsid w:val="000E57F0"/>
    <w:rsid w:val="000E699E"/>
    <w:rsid w:val="000E730C"/>
    <w:rsid w:val="000E7352"/>
    <w:rsid w:val="000E7F0F"/>
    <w:rsid w:val="000F14E8"/>
    <w:rsid w:val="000F18A6"/>
    <w:rsid w:val="000F1DBA"/>
    <w:rsid w:val="000F22D6"/>
    <w:rsid w:val="000F4EAF"/>
    <w:rsid w:val="00100F00"/>
    <w:rsid w:val="00101C4D"/>
    <w:rsid w:val="001032AF"/>
    <w:rsid w:val="00103915"/>
    <w:rsid w:val="001069A9"/>
    <w:rsid w:val="00110320"/>
    <w:rsid w:val="001103A2"/>
    <w:rsid w:val="00113958"/>
    <w:rsid w:val="00113AFB"/>
    <w:rsid w:val="00121CD3"/>
    <w:rsid w:val="00122B23"/>
    <w:rsid w:val="00123889"/>
    <w:rsid w:val="00125924"/>
    <w:rsid w:val="00125C5F"/>
    <w:rsid w:val="00130EF4"/>
    <w:rsid w:val="00132FAA"/>
    <w:rsid w:val="001353DC"/>
    <w:rsid w:val="0013568D"/>
    <w:rsid w:val="0013799F"/>
    <w:rsid w:val="00137FFA"/>
    <w:rsid w:val="00140570"/>
    <w:rsid w:val="001407F6"/>
    <w:rsid w:val="00140A32"/>
    <w:rsid w:val="00141FAC"/>
    <w:rsid w:val="001428A2"/>
    <w:rsid w:val="00144C34"/>
    <w:rsid w:val="00145C2E"/>
    <w:rsid w:val="00146306"/>
    <w:rsid w:val="001467B7"/>
    <w:rsid w:val="00151923"/>
    <w:rsid w:val="00152AD5"/>
    <w:rsid w:val="001550A3"/>
    <w:rsid w:val="00156A2A"/>
    <w:rsid w:val="00161B7E"/>
    <w:rsid w:val="00163902"/>
    <w:rsid w:val="00166A35"/>
    <w:rsid w:val="00166B32"/>
    <w:rsid w:val="0017225E"/>
    <w:rsid w:val="00172E61"/>
    <w:rsid w:val="00175FDC"/>
    <w:rsid w:val="00176817"/>
    <w:rsid w:val="0018007B"/>
    <w:rsid w:val="001821C5"/>
    <w:rsid w:val="00185A27"/>
    <w:rsid w:val="001929F9"/>
    <w:rsid w:val="00193DFB"/>
    <w:rsid w:val="00193EFC"/>
    <w:rsid w:val="00195745"/>
    <w:rsid w:val="001A11F5"/>
    <w:rsid w:val="001A1A18"/>
    <w:rsid w:val="001A2276"/>
    <w:rsid w:val="001A36B8"/>
    <w:rsid w:val="001A695E"/>
    <w:rsid w:val="001A6D50"/>
    <w:rsid w:val="001A7009"/>
    <w:rsid w:val="001B1A42"/>
    <w:rsid w:val="001B493A"/>
    <w:rsid w:val="001B5E28"/>
    <w:rsid w:val="001B6613"/>
    <w:rsid w:val="001B67BE"/>
    <w:rsid w:val="001C01AC"/>
    <w:rsid w:val="001C092E"/>
    <w:rsid w:val="001C611F"/>
    <w:rsid w:val="001C6B55"/>
    <w:rsid w:val="001D088A"/>
    <w:rsid w:val="001D175D"/>
    <w:rsid w:val="001D1BCD"/>
    <w:rsid w:val="001D5178"/>
    <w:rsid w:val="001D5C4D"/>
    <w:rsid w:val="001D5E89"/>
    <w:rsid w:val="001E0B25"/>
    <w:rsid w:val="001E0E4F"/>
    <w:rsid w:val="001E1DB9"/>
    <w:rsid w:val="001E400E"/>
    <w:rsid w:val="001E54E9"/>
    <w:rsid w:val="001E62AF"/>
    <w:rsid w:val="001F07C0"/>
    <w:rsid w:val="001F2A9C"/>
    <w:rsid w:val="001F52E5"/>
    <w:rsid w:val="001F5C2F"/>
    <w:rsid w:val="001F7686"/>
    <w:rsid w:val="001F798F"/>
    <w:rsid w:val="002002A3"/>
    <w:rsid w:val="00200718"/>
    <w:rsid w:val="00202212"/>
    <w:rsid w:val="00202304"/>
    <w:rsid w:val="00202A08"/>
    <w:rsid w:val="00202F2E"/>
    <w:rsid w:val="002105B4"/>
    <w:rsid w:val="002109B6"/>
    <w:rsid w:val="0021312A"/>
    <w:rsid w:val="0021354E"/>
    <w:rsid w:val="00213765"/>
    <w:rsid w:val="00214878"/>
    <w:rsid w:val="00215E47"/>
    <w:rsid w:val="002203C2"/>
    <w:rsid w:val="0022174A"/>
    <w:rsid w:val="00224AFF"/>
    <w:rsid w:val="002270CB"/>
    <w:rsid w:val="00233154"/>
    <w:rsid w:val="00233D41"/>
    <w:rsid w:val="002343FB"/>
    <w:rsid w:val="002346FC"/>
    <w:rsid w:val="00234B84"/>
    <w:rsid w:val="002357E1"/>
    <w:rsid w:val="00237377"/>
    <w:rsid w:val="0024024C"/>
    <w:rsid w:val="002411E9"/>
    <w:rsid w:val="0024158B"/>
    <w:rsid w:val="0024213C"/>
    <w:rsid w:val="00242ED7"/>
    <w:rsid w:val="0024480D"/>
    <w:rsid w:val="002451C1"/>
    <w:rsid w:val="002454B3"/>
    <w:rsid w:val="0024669C"/>
    <w:rsid w:val="002501E7"/>
    <w:rsid w:val="00250EB5"/>
    <w:rsid w:val="00252B8B"/>
    <w:rsid w:val="00255364"/>
    <w:rsid w:val="00256D10"/>
    <w:rsid w:val="0025799B"/>
    <w:rsid w:val="00260125"/>
    <w:rsid w:val="0026156A"/>
    <w:rsid w:val="0026186C"/>
    <w:rsid w:val="00261A2E"/>
    <w:rsid w:val="002630D9"/>
    <w:rsid w:val="00263252"/>
    <w:rsid w:val="002652E2"/>
    <w:rsid w:val="002706B4"/>
    <w:rsid w:val="00271593"/>
    <w:rsid w:val="00275DB5"/>
    <w:rsid w:val="00277457"/>
    <w:rsid w:val="00277E34"/>
    <w:rsid w:val="00280B3F"/>
    <w:rsid w:val="00280E65"/>
    <w:rsid w:val="00283F3A"/>
    <w:rsid w:val="0028451A"/>
    <w:rsid w:val="00286EF9"/>
    <w:rsid w:val="00287A42"/>
    <w:rsid w:val="00291854"/>
    <w:rsid w:val="002918F7"/>
    <w:rsid w:val="00294025"/>
    <w:rsid w:val="00294A08"/>
    <w:rsid w:val="00294B09"/>
    <w:rsid w:val="00294E58"/>
    <w:rsid w:val="002A2CEC"/>
    <w:rsid w:val="002A31F8"/>
    <w:rsid w:val="002A3404"/>
    <w:rsid w:val="002A36A9"/>
    <w:rsid w:val="002A42F6"/>
    <w:rsid w:val="002A4D54"/>
    <w:rsid w:val="002A50CA"/>
    <w:rsid w:val="002A62A8"/>
    <w:rsid w:val="002B1050"/>
    <w:rsid w:val="002B31B2"/>
    <w:rsid w:val="002B3D4E"/>
    <w:rsid w:val="002B4BD7"/>
    <w:rsid w:val="002B4EBC"/>
    <w:rsid w:val="002B6D04"/>
    <w:rsid w:val="002B79DC"/>
    <w:rsid w:val="002C45D9"/>
    <w:rsid w:val="002C636A"/>
    <w:rsid w:val="002C71CA"/>
    <w:rsid w:val="002C7B84"/>
    <w:rsid w:val="002C7E55"/>
    <w:rsid w:val="002C7E5B"/>
    <w:rsid w:val="002D1AA6"/>
    <w:rsid w:val="002D6181"/>
    <w:rsid w:val="002D63A0"/>
    <w:rsid w:val="002D65AB"/>
    <w:rsid w:val="002D7A0C"/>
    <w:rsid w:val="002E000E"/>
    <w:rsid w:val="002E1753"/>
    <w:rsid w:val="002E5632"/>
    <w:rsid w:val="002E5D84"/>
    <w:rsid w:val="002E709C"/>
    <w:rsid w:val="002E7375"/>
    <w:rsid w:val="002E7617"/>
    <w:rsid w:val="002E769F"/>
    <w:rsid w:val="002E79A9"/>
    <w:rsid w:val="002F2195"/>
    <w:rsid w:val="002F3127"/>
    <w:rsid w:val="002F33C3"/>
    <w:rsid w:val="002F3B3F"/>
    <w:rsid w:val="002F723E"/>
    <w:rsid w:val="00300384"/>
    <w:rsid w:val="003011A3"/>
    <w:rsid w:val="00302E0A"/>
    <w:rsid w:val="00303001"/>
    <w:rsid w:val="003033BA"/>
    <w:rsid w:val="00305947"/>
    <w:rsid w:val="00306259"/>
    <w:rsid w:val="003067C4"/>
    <w:rsid w:val="00312C5D"/>
    <w:rsid w:val="0031354B"/>
    <w:rsid w:val="00313908"/>
    <w:rsid w:val="003159B5"/>
    <w:rsid w:val="00315C98"/>
    <w:rsid w:val="00316518"/>
    <w:rsid w:val="003177B8"/>
    <w:rsid w:val="00321084"/>
    <w:rsid w:val="00321A6D"/>
    <w:rsid w:val="0032243E"/>
    <w:rsid w:val="00323084"/>
    <w:rsid w:val="003232B1"/>
    <w:rsid w:val="00330D4F"/>
    <w:rsid w:val="00330E9B"/>
    <w:rsid w:val="0033352A"/>
    <w:rsid w:val="00333DA4"/>
    <w:rsid w:val="00333DBC"/>
    <w:rsid w:val="00334344"/>
    <w:rsid w:val="003349C9"/>
    <w:rsid w:val="00334E18"/>
    <w:rsid w:val="00342C0D"/>
    <w:rsid w:val="0034680A"/>
    <w:rsid w:val="003471F9"/>
    <w:rsid w:val="00350DDF"/>
    <w:rsid w:val="00351408"/>
    <w:rsid w:val="00352311"/>
    <w:rsid w:val="003536CD"/>
    <w:rsid w:val="0035408A"/>
    <w:rsid w:val="003559ED"/>
    <w:rsid w:val="0035631B"/>
    <w:rsid w:val="003569FD"/>
    <w:rsid w:val="00356E6F"/>
    <w:rsid w:val="00356FAB"/>
    <w:rsid w:val="00361BB8"/>
    <w:rsid w:val="003644CA"/>
    <w:rsid w:val="003657FD"/>
    <w:rsid w:val="00365891"/>
    <w:rsid w:val="00366E1B"/>
    <w:rsid w:val="00367DDB"/>
    <w:rsid w:val="00367FC8"/>
    <w:rsid w:val="0037000E"/>
    <w:rsid w:val="0037129B"/>
    <w:rsid w:val="00371891"/>
    <w:rsid w:val="00372DB5"/>
    <w:rsid w:val="003751BE"/>
    <w:rsid w:val="00386456"/>
    <w:rsid w:val="00387590"/>
    <w:rsid w:val="00387C8F"/>
    <w:rsid w:val="00391644"/>
    <w:rsid w:val="003925E0"/>
    <w:rsid w:val="00392F03"/>
    <w:rsid w:val="00393C53"/>
    <w:rsid w:val="003945B8"/>
    <w:rsid w:val="003A1AAE"/>
    <w:rsid w:val="003A24BF"/>
    <w:rsid w:val="003A299C"/>
    <w:rsid w:val="003A581E"/>
    <w:rsid w:val="003A6038"/>
    <w:rsid w:val="003B0B5A"/>
    <w:rsid w:val="003B0B8D"/>
    <w:rsid w:val="003B2D22"/>
    <w:rsid w:val="003B4F39"/>
    <w:rsid w:val="003B5BB8"/>
    <w:rsid w:val="003B743E"/>
    <w:rsid w:val="003B7F82"/>
    <w:rsid w:val="003C07D6"/>
    <w:rsid w:val="003C3283"/>
    <w:rsid w:val="003C3470"/>
    <w:rsid w:val="003C5438"/>
    <w:rsid w:val="003C68AE"/>
    <w:rsid w:val="003D14E8"/>
    <w:rsid w:val="003D456C"/>
    <w:rsid w:val="003D7759"/>
    <w:rsid w:val="003E2919"/>
    <w:rsid w:val="003E29A0"/>
    <w:rsid w:val="003E3083"/>
    <w:rsid w:val="003E6461"/>
    <w:rsid w:val="003E6D8A"/>
    <w:rsid w:val="003F1231"/>
    <w:rsid w:val="003F2F99"/>
    <w:rsid w:val="003F6F8C"/>
    <w:rsid w:val="00400DDE"/>
    <w:rsid w:val="00404185"/>
    <w:rsid w:val="00405662"/>
    <w:rsid w:val="00405CFC"/>
    <w:rsid w:val="00406008"/>
    <w:rsid w:val="00407293"/>
    <w:rsid w:val="00407636"/>
    <w:rsid w:val="00410870"/>
    <w:rsid w:val="00411B30"/>
    <w:rsid w:val="0041218E"/>
    <w:rsid w:val="00412C58"/>
    <w:rsid w:val="00412C83"/>
    <w:rsid w:val="00414A77"/>
    <w:rsid w:val="00415395"/>
    <w:rsid w:val="00415A22"/>
    <w:rsid w:val="00416413"/>
    <w:rsid w:val="00416AC0"/>
    <w:rsid w:val="00416B88"/>
    <w:rsid w:val="00417402"/>
    <w:rsid w:val="00421001"/>
    <w:rsid w:val="0042114E"/>
    <w:rsid w:val="00425ACC"/>
    <w:rsid w:val="00425C7A"/>
    <w:rsid w:val="004268A3"/>
    <w:rsid w:val="0043152C"/>
    <w:rsid w:val="00432163"/>
    <w:rsid w:val="00432805"/>
    <w:rsid w:val="00434829"/>
    <w:rsid w:val="004348F9"/>
    <w:rsid w:val="00434BC9"/>
    <w:rsid w:val="00440BFC"/>
    <w:rsid w:val="00441274"/>
    <w:rsid w:val="0044200A"/>
    <w:rsid w:val="004422D6"/>
    <w:rsid w:val="00443F10"/>
    <w:rsid w:val="00444865"/>
    <w:rsid w:val="00445186"/>
    <w:rsid w:val="00445F18"/>
    <w:rsid w:val="0044794D"/>
    <w:rsid w:val="004513E8"/>
    <w:rsid w:val="004537E9"/>
    <w:rsid w:val="00454947"/>
    <w:rsid w:val="00455448"/>
    <w:rsid w:val="00456613"/>
    <w:rsid w:val="00457177"/>
    <w:rsid w:val="00460793"/>
    <w:rsid w:val="004619B2"/>
    <w:rsid w:val="00462527"/>
    <w:rsid w:val="00463385"/>
    <w:rsid w:val="00465FD9"/>
    <w:rsid w:val="00466E78"/>
    <w:rsid w:val="004673FB"/>
    <w:rsid w:val="00467950"/>
    <w:rsid w:val="00467CE8"/>
    <w:rsid w:val="00473A25"/>
    <w:rsid w:val="00474EFB"/>
    <w:rsid w:val="00475143"/>
    <w:rsid w:val="00475159"/>
    <w:rsid w:val="00477B6D"/>
    <w:rsid w:val="00477DEE"/>
    <w:rsid w:val="004812A7"/>
    <w:rsid w:val="00481988"/>
    <w:rsid w:val="004823BF"/>
    <w:rsid w:val="00483490"/>
    <w:rsid w:val="00485AE3"/>
    <w:rsid w:val="00485B78"/>
    <w:rsid w:val="00487048"/>
    <w:rsid w:val="0048775B"/>
    <w:rsid w:val="00490869"/>
    <w:rsid w:val="0049197E"/>
    <w:rsid w:val="004930C6"/>
    <w:rsid w:val="00495B88"/>
    <w:rsid w:val="004A1580"/>
    <w:rsid w:val="004A214E"/>
    <w:rsid w:val="004A2EBC"/>
    <w:rsid w:val="004A34D2"/>
    <w:rsid w:val="004A4DA9"/>
    <w:rsid w:val="004A51B7"/>
    <w:rsid w:val="004B0F82"/>
    <w:rsid w:val="004B1AFD"/>
    <w:rsid w:val="004B2CDC"/>
    <w:rsid w:val="004B38D6"/>
    <w:rsid w:val="004B5AA3"/>
    <w:rsid w:val="004B6213"/>
    <w:rsid w:val="004B62BE"/>
    <w:rsid w:val="004C035A"/>
    <w:rsid w:val="004C35C3"/>
    <w:rsid w:val="004C39C9"/>
    <w:rsid w:val="004C3E24"/>
    <w:rsid w:val="004C4173"/>
    <w:rsid w:val="004C56C4"/>
    <w:rsid w:val="004C64DF"/>
    <w:rsid w:val="004C6B9C"/>
    <w:rsid w:val="004C72C2"/>
    <w:rsid w:val="004C737F"/>
    <w:rsid w:val="004D021E"/>
    <w:rsid w:val="004D1531"/>
    <w:rsid w:val="004D1C2A"/>
    <w:rsid w:val="004D2202"/>
    <w:rsid w:val="004D2FE0"/>
    <w:rsid w:val="004D4D4E"/>
    <w:rsid w:val="004E2DEA"/>
    <w:rsid w:val="004E420A"/>
    <w:rsid w:val="004E51E3"/>
    <w:rsid w:val="004E5772"/>
    <w:rsid w:val="004E6117"/>
    <w:rsid w:val="004F128E"/>
    <w:rsid w:val="004F1A74"/>
    <w:rsid w:val="004F2FA6"/>
    <w:rsid w:val="004F3CEB"/>
    <w:rsid w:val="004F3E22"/>
    <w:rsid w:val="004F6E46"/>
    <w:rsid w:val="004F7336"/>
    <w:rsid w:val="00500C4E"/>
    <w:rsid w:val="0050193D"/>
    <w:rsid w:val="0050196E"/>
    <w:rsid w:val="00501AD2"/>
    <w:rsid w:val="00502A6F"/>
    <w:rsid w:val="00502A9D"/>
    <w:rsid w:val="0050434E"/>
    <w:rsid w:val="00504B90"/>
    <w:rsid w:val="005100F4"/>
    <w:rsid w:val="0051074C"/>
    <w:rsid w:val="00510EAF"/>
    <w:rsid w:val="00512714"/>
    <w:rsid w:val="00513AF2"/>
    <w:rsid w:val="0051416A"/>
    <w:rsid w:val="00514D37"/>
    <w:rsid w:val="00516EA3"/>
    <w:rsid w:val="00517425"/>
    <w:rsid w:val="00517832"/>
    <w:rsid w:val="005242DA"/>
    <w:rsid w:val="00525C51"/>
    <w:rsid w:val="00526D46"/>
    <w:rsid w:val="00526ED8"/>
    <w:rsid w:val="00531345"/>
    <w:rsid w:val="005318F6"/>
    <w:rsid w:val="00531A19"/>
    <w:rsid w:val="0053303D"/>
    <w:rsid w:val="005356EA"/>
    <w:rsid w:val="00536637"/>
    <w:rsid w:val="0053681E"/>
    <w:rsid w:val="00537683"/>
    <w:rsid w:val="00541DD0"/>
    <w:rsid w:val="0054229C"/>
    <w:rsid w:val="00542514"/>
    <w:rsid w:val="005427CF"/>
    <w:rsid w:val="005428CA"/>
    <w:rsid w:val="0054315A"/>
    <w:rsid w:val="00543CC9"/>
    <w:rsid w:val="0054413A"/>
    <w:rsid w:val="00545D32"/>
    <w:rsid w:val="0054602D"/>
    <w:rsid w:val="00546A8C"/>
    <w:rsid w:val="00546CA7"/>
    <w:rsid w:val="00550BD9"/>
    <w:rsid w:val="00550FD8"/>
    <w:rsid w:val="00551AEB"/>
    <w:rsid w:val="00553EAD"/>
    <w:rsid w:val="005546BF"/>
    <w:rsid w:val="005564CA"/>
    <w:rsid w:val="00557C64"/>
    <w:rsid w:val="005637B5"/>
    <w:rsid w:val="00567B54"/>
    <w:rsid w:val="0057006A"/>
    <w:rsid w:val="00570241"/>
    <w:rsid w:val="00572EF9"/>
    <w:rsid w:val="005747F3"/>
    <w:rsid w:val="00574D76"/>
    <w:rsid w:val="00574F1D"/>
    <w:rsid w:val="00576A4A"/>
    <w:rsid w:val="00577104"/>
    <w:rsid w:val="00577185"/>
    <w:rsid w:val="00581EEC"/>
    <w:rsid w:val="00585B13"/>
    <w:rsid w:val="005875EA"/>
    <w:rsid w:val="005877C3"/>
    <w:rsid w:val="005909E4"/>
    <w:rsid w:val="00590CFC"/>
    <w:rsid w:val="00591F55"/>
    <w:rsid w:val="00592702"/>
    <w:rsid w:val="00592E79"/>
    <w:rsid w:val="00593652"/>
    <w:rsid w:val="00595AF8"/>
    <w:rsid w:val="0059750E"/>
    <w:rsid w:val="005A0AC1"/>
    <w:rsid w:val="005A1320"/>
    <w:rsid w:val="005A1501"/>
    <w:rsid w:val="005A1E1D"/>
    <w:rsid w:val="005A3893"/>
    <w:rsid w:val="005A496B"/>
    <w:rsid w:val="005A4AEC"/>
    <w:rsid w:val="005A7711"/>
    <w:rsid w:val="005B0CD4"/>
    <w:rsid w:val="005B11C6"/>
    <w:rsid w:val="005B20E7"/>
    <w:rsid w:val="005B27C3"/>
    <w:rsid w:val="005B2CF7"/>
    <w:rsid w:val="005B2F7D"/>
    <w:rsid w:val="005B37EA"/>
    <w:rsid w:val="005B52FC"/>
    <w:rsid w:val="005B57CE"/>
    <w:rsid w:val="005B5B7D"/>
    <w:rsid w:val="005C1FC3"/>
    <w:rsid w:val="005C286C"/>
    <w:rsid w:val="005C3EA1"/>
    <w:rsid w:val="005C4795"/>
    <w:rsid w:val="005C4E28"/>
    <w:rsid w:val="005C50CF"/>
    <w:rsid w:val="005C6805"/>
    <w:rsid w:val="005C6BD0"/>
    <w:rsid w:val="005C7609"/>
    <w:rsid w:val="005C7CDD"/>
    <w:rsid w:val="005D096F"/>
    <w:rsid w:val="005D0FDD"/>
    <w:rsid w:val="005D12E5"/>
    <w:rsid w:val="005D1B45"/>
    <w:rsid w:val="005D1F27"/>
    <w:rsid w:val="005D25BD"/>
    <w:rsid w:val="005D2E6E"/>
    <w:rsid w:val="005D4405"/>
    <w:rsid w:val="005D4488"/>
    <w:rsid w:val="005D5B4B"/>
    <w:rsid w:val="005D6BFD"/>
    <w:rsid w:val="005D75ED"/>
    <w:rsid w:val="005D7EF3"/>
    <w:rsid w:val="005E152B"/>
    <w:rsid w:val="005E379D"/>
    <w:rsid w:val="005E3FDC"/>
    <w:rsid w:val="005E5A01"/>
    <w:rsid w:val="005E5AD9"/>
    <w:rsid w:val="005F0274"/>
    <w:rsid w:val="005F05AC"/>
    <w:rsid w:val="005F3841"/>
    <w:rsid w:val="005F4C60"/>
    <w:rsid w:val="005F57BF"/>
    <w:rsid w:val="005F6462"/>
    <w:rsid w:val="00600AC5"/>
    <w:rsid w:val="00603487"/>
    <w:rsid w:val="006043A3"/>
    <w:rsid w:val="00604F33"/>
    <w:rsid w:val="00613BA0"/>
    <w:rsid w:val="00615A40"/>
    <w:rsid w:val="00616FE7"/>
    <w:rsid w:val="00617520"/>
    <w:rsid w:val="0062065E"/>
    <w:rsid w:val="0062127A"/>
    <w:rsid w:val="00621E35"/>
    <w:rsid w:val="0062303B"/>
    <w:rsid w:val="0062539B"/>
    <w:rsid w:val="00625A2F"/>
    <w:rsid w:val="00627D61"/>
    <w:rsid w:val="00630230"/>
    <w:rsid w:val="00632277"/>
    <w:rsid w:val="00632569"/>
    <w:rsid w:val="00632B90"/>
    <w:rsid w:val="00633CD6"/>
    <w:rsid w:val="00636072"/>
    <w:rsid w:val="0063778D"/>
    <w:rsid w:val="006378B6"/>
    <w:rsid w:val="00637AC0"/>
    <w:rsid w:val="00640226"/>
    <w:rsid w:val="006402FD"/>
    <w:rsid w:val="00641300"/>
    <w:rsid w:val="006436C8"/>
    <w:rsid w:val="00643774"/>
    <w:rsid w:val="00644299"/>
    <w:rsid w:val="006442AE"/>
    <w:rsid w:val="00645D51"/>
    <w:rsid w:val="006465DF"/>
    <w:rsid w:val="006535D1"/>
    <w:rsid w:val="00653A0D"/>
    <w:rsid w:val="00653CA9"/>
    <w:rsid w:val="006544CE"/>
    <w:rsid w:val="00654AA6"/>
    <w:rsid w:val="006551DC"/>
    <w:rsid w:val="00655371"/>
    <w:rsid w:val="00655A13"/>
    <w:rsid w:val="00656629"/>
    <w:rsid w:val="00656F7A"/>
    <w:rsid w:val="00657AFA"/>
    <w:rsid w:val="0066034E"/>
    <w:rsid w:val="006608BE"/>
    <w:rsid w:val="00662A05"/>
    <w:rsid w:val="00672538"/>
    <w:rsid w:val="0067336C"/>
    <w:rsid w:val="006735A6"/>
    <w:rsid w:val="006754C6"/>
    <w:rsid w:val="00676504"/>
    <w:rsid w:val="00676EE8"/>
    <w:rsid w:val="006778AF"/>
    <w:rsid w:val="006778BF"/>
    <w:rsid w:val="00685F97"/>
    <w:rsid w:val="00687CB8"/>
    <w:rsid w:val="00687EC0"/>
    <w:rsid w:val="00690130"/>
    <w:rsid w:val="00690936"/>
    <w:rsid w:val="00695958"/>
    <w:rsid w:val="00697665"/>
    <w:rsid w:val="006A07D6"/>
    <w:rsid w:val="006A0C86"/>
    <w:rsid w:val="006A1F7F"/>
    <w:rsid w:val="006A3ED2"/>
    <w:rsid w:val="006A5A2E"/>
    <w:rsid w:val="006A61EC"/>
    <w:rsid w:val="006A7FD0"/>
    <w:rsid w:val="006B06BF"/>
    <w:rsid w:val="006B200D"/>
    <w:rsid w:val="006B2ADC"/>
    <w:rsid w:val="006B6ED7"/>
    <w:rsid w:val="006C0B8D"/>
    <w:rsid w:val="006C1038"/>
    <w:rsid w:val="006C1231"/>
    <w:rsid w:val="006C4B58"/>
    <w:rsid w:val="006C6528"/>
    <w:rsid w:val="006C68E6"/>
    <w:rsid w:val="006C731D"/>
    <w:rsid w:val="006D1878"/>
    <w:rsid w:val="006D1D47"/>
    <w:rsid w:val="006D2336"/>
    <w:rsid w:val="006D32A2"/>
    <w:rsid w:val="006D7687"/>
    <w:rsid w:val="006D79C0"/>
    <w:rsid w:val="006E0572"/>
    <w:rsid w:val="006E0DD1"/>
    <w:rsid w:val="006E39EA"/>
    <w:rsid w:val="006E515E"/>
    <w:rsid w:val="006E65A3"/>
    <w:rsid w:val="006F1F20"/>
    <w:rsid w:val="006F5CF0"/>
    <w:rsid w:val="006F5D44"/>
    <w:rsid w:val="006F6BD6"/>
    <w:rsid w:val="006F7B68"/>
    <w:rsid w:val="006F7C6D"/>
    <w:rsid w:val="006F7E30"/>
    <w:rsid w:val="00700D9E"/>
    <w:rsid w:val="00702D5D"/>
    <w:rsid w:val="00704381"/>
    <w:rsid w:val="00704921"/>
    <w:rsid w:val="00704B0B"/>
    <w:rsid w:val="00705631"/>
    <w:rsid w:val="00710F03"/>
    <w:rsid w:val="00711B86"/>
    <w:rsid w:val="007129AB"/>
    <w:rsid w:val="00712A6A"/>
    <w:rsid w:val="007147F4"/>
    <w:rsid w:val="00715C9E"/>
    <w:rsid w:val="00716B0A"/>
    <w:rsid w:val="0071707F"/>
    <w:rsid w:val="0072181F"/>
    <w:rsid w:val="00722B21"/>
    <w:rsid w:val="00722C4F"/>
    <w:rsid w:val="00724C38"/>
    <w:rsid w:val="00727074"/>
    <w:rsid w:val="00727642"/>
    <w:rsid w:val="00727946"/>
    <w:rsid w:val="00727C3C"/>
    <w:rsid w:val="0073032F"/>
    <w:rsid w:val="00730D40"/>
    <w:rsid w:val="007333E3"/>
    <w:rsid w:val="007343CE"/>
    <w:rsid w:val="00734B73"/>
    <w:rsid w:val="00734E1F"/>
    <w:rsid w:val="00735909"/>
    <w:rsid w:val="00737474"/>
    <w:rsid w:val="00737DB6"/>
    <w:rsid w:val="007403F4"/>
    <w:rsid w:val="00742013"/>
    <w:rsid w:val="007424A8"/>
    <w:rsid w:val="00742A52"/>
    <w:rsid w:val="00742DD2"/>
    <w:rsid w:val="00744529"/>
    <w:rsid w:val="00744CB8"/>
    <w:rsid w:val="00744E2B"/>
    <w:rsid w:val="007452CF"/>
    <w:rsid w:val="00746C4F"/>
    <w:rsid w:val="00746D5B"/>
    <w:rsid w:val="0075010E"/>
    <w:rsid w:val="0075101C"/>
    <w:rsid w:val="00751CDD"/>
    <w:rsid w:val="0075288F"/>
    <w:rsid w:val="0075639F"/>
    <w:rsid w:val="0075647A"/>
    <w:rsid w:val="00756B38"/>
    <w:rsid w:val="00756EC8"/>
    <w:rsid w:val="007575ED"/>
    <w:rsid w:val="0075762D"/>
    <w:rsid w:val="007609E9"/>
    <w:rsid w:val="007618B2"/>
    <w:rsid w:val="00761CAA"/>
    <w:rsid w:val="00762C08"/>
    <w:rsid w:val="007634AD"/>
    <w:rsid w:val="00764F47"/>
    <w:rsid w:val="0076747D"/>
    <w:rsid w:val="00771882"/>
    <w:rsid w:val="00773BA7"/>
    <w:rsid w:val="0078122E"/>
    <w:rsid w:val="00781AA8"/>
    <w:rsid w:val="007821CB"/>
    <w:rsid w:val="0078277C"/>
    <w:rsid w:val="0078365A"/>
    <w:rsid w:val="00783D11"/>
    <w:rsid w:val="007840F7"/>
    <w:rsid w:val="00785A23"/>
    <w:rsid w:val="00787D3E"/>
    <w:rsid w:val="00790EC8"/>
    <w:rsid w:val="0079134A"/>
    <w:rsid w:val="0079377E"/>
    <w:rsid w:val="00794D0F"/>
    <w:rsid w:val="00795113"/>
    <w:rsid w:val="007952C4"/>
    <w:rsid w:val="00795AD8"/>
    <w:rsid w:val="007A1954"/>
    <w:rsid w:val="007A61B5"/>
    <w:rsid w:val="007A6A34"/>
    <w:rsid w:val="007B0854"/>
    <w:rsid w:val="007B45EA"/>
    <w:rsid w:val="007B4ED2"/>
    <w:rsid w:val="007C0CCA"/>
    <w:rsid w:val="007C7CE4"/>
    <w:rsid w:val="007C7D4C"/>
    <w:rsid w:val="007D1B79"/>
    <w:rsid w:val="007D224D"/>
    <w:rsid w:val="007D259E"/>
    <w:rsid w:val="007D3323"/>
    <w:rsid w:val="007D4021"/>
    <w:rsid w:val="007D4803"/>
    <w:rsid w:val="007E0B27"/>
    <w:rsid w:val="007E193F"/>
    <w:rsid w:val="007E24A0"/>
    <w:rsid w:val="007E331A"/>
    <w:rsid w:val="007E6D71"/>
    <w:rsid w:val="007E7031"/>
    <w:rsid w:val="007F1761"/>
    <w:rsid w:val="007F2E82"/>
    <w:rsid w:val="007F44E6"/>
    <w:rsid w:val="007F7255"/>
    <w:rsid w:val="007F72CB"/>
    <w:rsid w:val="00800317"/>
    <w:rsid w:val="00800AD9"/>
    <w:rsid w:val="00800DEA"/>
    <w:rsid w:val="00801F73"/>
    <w:rsid w:val="00802FF0"/>
    <w:rsid w:val="008065A8"/>
    <w:rsid w:val="00811EDD"/>
    <w:rsid w:val="0081472A"/>
    <w:rsid w:val="00814AFF"/>
    <w:rsid w:val="00816B40"/>
    <w:rsid w:val="00817EA3"/>
    <w:rsid w:val="008201C7"/>
    <w:rsid w:val="00820D32"/>
    <w:rsid w:val="008229F3"/>
    <w:rsid w:val="00823406"/>
    <w:rsid w:val="008238DA"/>
    <w:rsid w:val="00824A6D"/>
    <w:rsid w:val="008259A3"/>
    <w:rsid w:val="0082768D"/>
    <w:rsid w:val="00827A6D"/>
    <w:rsid w:val="00830306"/>
    <w:rsid w:val="0083119B"/>
    <w:rsid w:val="00833A0B"/>
    <w:rsid w:val="00835448"/>
    <w:rsid w:val="00835C7D"/>
    <w:rsid w:val="0083646A"/>
    <w:rsid w:val="00836EAB"/>
    <w:rsid w:val="00837C23"/>
    <w:rsid w:val="00841210"/>
    <w:rsid w:val="00844F3C"/>
    <w:rsid w:val="00845A51"/>
    <w:rsid w:val="00847C80"/>
    <w:rsid w:val="008502A5"/>
    <w:rsid w:val="0085092D"/>
    <w:rsid w:val="00850EFF"/>
    <w:rsid w:val="008515EE"/>
    <w:rsid w:val="008537E9"/>
    <w:rsid w:val="00853B9D"/>
    <w:rsid w:val="00854B8E"/>
    <w:rsid w:val="008574D1"/>
    <w:rsid w:val="008615FD"/>
    <w:rsid w:val="00862405"/>
    <w:rsid w:val="00862FD9"/>
    <w:rsid w:val="00864A61"/>
    <w:rsid w:val="008659FF"/>
    <w:rsid w:val="008662E2"/>
    <w:rsid w:val="00871A33"/>
    <w:rsid w:val="0087201C"/>
    <w:rsid w:val="008735F6"/>
    <w:rsid w:val="00874B3D"/>
    <w:rsid w:val="0088431F"/>
    <w:rsid w:val="00884F75"/>
    <w:rsid w:val="008865C0"/>
    <w:rsid w:val="00886C7B"/>
    <w:rsid w:val="0088776A"/>
    <w:rsid w:val="00887B87"/>
    <w:rsid w:val="008903AE"/>
    <w:rsid w:val="00892B83"/>
    <w:rsid w:val="008941DC"/>
    <w:rsid w:val="00894712"/>
    <w:rsid w:val="008967B1"/>
    <w:rsid w:val="00896CE7"/>
    <w:rsid w:val="008A088C"/>
    <w:rsid w:val="008A1444"/>
    <w:rsid w:val="008A1F4E"/>
    <w:rsid w:val="008A2F4B"/>
    <w:rsid w:val="008A3882"/>
    <w:rsid w:val="008A4522"/>
    <w:rsid w:val="008A4D93"/>
    <w:rsid w:val="008A56B5"/>
    <w:rsid w:val="008A5B86"/>
    <w:rsid w:val="008A7BB3"/>
    <w:rsid w:val="008B0FC4"/>
    <w:rsid w:val="008B11C1"/>
    <w:rsid w:val="008B3DDE"/>
    <w:rsid w:val="008B48B6"/>
    <w:rsid w:val="008B58DD"/>
    <w:rsid w:val="008B79E0"/>
    <w:rsid w:val="008C0166"/>
    <w:rsid w:val="008C449B"/>
    <w:rsid w:val="008C5872"/>
    <w:rsid w:val="008C5FE5"/>
    <w:rsid w:val="008D1C27"/>
    <w:rsid w:val="008D3488"/>
    <w:rsid w:val="008D4418"/>
    <w:rsid w:val="008D5921"/>
    <w:rsid w:val="008D626F"/>
    <w:rsid w:val="008D7064"/>
    <w:rsid w:val="008E021A"/>
    <w:rsid w:val="008E1C15"/>
    <w:rsid w:val="008E54ED"/>
    <w:rsid w:val="008E65F4"/>
    <w:rsid w:val="008E7DD0"/>
    <w:rsid w:val="008F0746"/>
    <w:rsid w:val="008F125A"/>
    <w:rsid w:val="008F197A"/>
    <w:rsid w:val="008F1D35"/>
    <w:rsid w:val="008F1F71"/>
    <w:rsid w:val="008F3AB1"/>
    <w:rsid w:val="008F53F4"/>
    <w:rsid w:val="00901339"/>
    <w:rsid w:val="00902872"/>
    <w:rsid w:val="009047C5"/>
    <w:rsid w:val="00906FED"/>
    <w:rsid w:val="009101AA"/>
    <w:rsid w:val="00911BF7"/>
    <w:rsid w:val="009123E9"/>
    <w:rsid w:val="009125D0"/>
    <w:rsid w:val="00913B77"/>
    <w:rsid w:val="00913C8E"/>
    <w:rsid w:val="00916DB5"/>
    <w:rsid w:val="009170FB"/>
    <w:rsid w:val="00921955"/>
    <w:rsid w:val="00921D40"/>
    <w:rsid w:val="00923BCA"/>
    <w:rsid w:val="00924BBC"/>
    <w:rsid w:val="00925BC4"/>
    <w:rsid w:val="009272AE"/>
    <w:rsid w:val="00927513"/>
    <w:rsid w:val="009329A4"/>
    <w:rsid w:val="009329BE"/>
    <w:rsid w:val="009344B3"/>
    <w:rsid w:val="0093661C"/>
    <w:rsid w:val="00936B57"/>
    <w:rsid w:val="009377DA"/>
    <w:rsid w:val="00941B45"/>
    <w:rsid w:val="0094442B"/>
    <w:rsid w:val="00945A85"/>
    <w:rsid w:val="00947197"/>
    <w:rsid w:val="00947945"/>
    <w:rsid w:val="00950AE6"/>
    <w:rsid w:val="009513A9"/>
    <w:rsid w:val="00951524"/>
    <w:rsid w:val="0095340A"/>
    <w:rsid w:val="0095385A"/>
    <w:rsid w:val="00954AC6"/>
    <w:rsid w:val="009603B4"/>
    <w:rsid w:val="009605FF"/>
    <w:rsid w:val="00960A62"/>
    <w:rsid w:val="00965006"/>
    <w:rsid w:val="00966595"/>
    <w:rsid w:val="00967D10"/>
    <w:rsid w:val="00967ED9"/>
    <w:rsid w:val="00971321"/>
    <w:rsid w:val="009734F2"/>
    <w:rsid w:val="00973B13"/>
    <w:rsid w:val="00973C2B"/>
    <w:rsid w:val="0097455B"/>
    <w:rsid w:val="00976CDB"/>
    <w:rsid w:val="00977914"/>
    <w:rsid w:val="00981254"/>
    <w:rsid w:val="00982F90"/>
    <w:rsid w:val="009839A9"/>
    <w:rsid w:val="009853D5"/>
    <w:rsid w:val="009859D4"/>
    <w:rsid w:val="00985F2A"/>
    <w:rsid w:val="00985F55"/>
    <w:rsid w:val="0098629E"/>
    <w:rsid w:val="00990443"/>
    <w:rsid w:val="0099267F"/>
    <w:rsid w:val="00992A0F"/>
    <w:rsid w:val="00995D22"/>
    <w:rsid w:val="009A035F"/>
    <w:rsid w:val="009A0487"/>
    <w:rsid w:val="009A0EF8"/>
    <w:rsid w:val="009A3A77"/>
    <w:rsid w:val="009A6978"/>
    <w:rsid w:val="009A7840"/>
    <w:rsid w:val="009A7EAF"/>
    <w:rsid w:val="009B23EB"/>
    <w:rsid w:val="009B319D"/>
    <w:rsid w:val="009B751B"/>
    <w:rsid w:val="009C2F8F"/>
    <w:rsid w:val="009C4045"/>
    <w:rsid w:val="009C501C"/>
    <w:rsid w:val="009C50D0"/>
    <w:rsid w:val="009C7373"/>
    <w:rsid w:val="009D02F9"/>
    <w:rsid w:val="009E1FEB"/>
    <w:rsid w:val="009E27E2"/>
    <w:rsid w:val="009E49CC"/>
    <w:rsid w:val="009E4AF0"/>
    <w:rsid w:val="009E56BA"/>
    <w:rsid w:val="009E5FD4"/>
    <w:rsid w:val="009E6C95"/>
    <w:rsid w:val="009E6D21"/>
    <w:rsid w:val="009E6E5C"/>
    <w:rsid w:val="009F1257"/>
    <w:rsid w:val="009F12D8"/>
    <w:rsid w:val="009F15A3"/>
    <w:rsid w:val="009F2412"/>
    <w:rsid w:val="009F4103"/>
    <w:rsid w:val="009F5190"/>
    <w:rsid w:val="009F7D55"/>
    <w:rsid w:val="00A002DA"/>
    <w:rsid w:val="00A01124"/>
    <w:rsid w:val="00A03D65"/>
    <w:rsid w:val="00A06772"/>
    <w:rsid w:val="00A074BF"/>
    <w:rsid w:val="00A0798E"/>
    <w:rsid w:val="00A12E39"/>
    <w:rsid w:val="00A1440E"/>
    <w:rsid w:val="00A1500F"/>
    <w:rsid w:val="00A17103"/>
    <w:rsid w:val="00A17950"/>
    <w:rsid w:val="00A22C33"/>
    <w:rsid w:val="00A23EDF"/>
    <w:rsid w:val="00A241AD"/>
    <w:rsid w:val="00A24322"/>
    <w:rsid w:val="00A24560"/>
    <w:rsid w:val="00A24780"/>
    <w:rsid w:val="00A24FCF"/>
    <w:rsid w:val="00A257F1"/>
    <w:rsid w:val="00A27EBA"/>
    <w:rsid w:val="00A33992"/>
    <w:rsid w:val="00A34538"/>
    <w:rsid w:val="00A348FB"/>
    <w:rsid w:val="00A408C7"/>
    <w:rsid w:val="00A43448"/>
    <w:rsid w:val="00A43E09"/>
    <w:rsid w:val="00A4436B"/>
    <w:rsid w:val="00A4535E"/>
    <w:rsid w:val="00A504F9"/>
    <w:rsid w:val="00A50C41"/>
    <w:rsid w:val="00A50EA1"/>
    <w:rsid w:val="00A54843"/>
    <w:rsid w:val="00A5495C"/>
    <w:rsid w:val="00A54C72"/>
    <w:rsid w:val="00A54FA1"/>
    <w:rsid w:val="00A56DCE"/>
    <w:rsid w:val="00A60147"/>
    <w:rsid w:val="00A60595"/>
    <w:rsid w:val="00A60725"/>
    <w:rsid w:val="00A60F7F"/>
    <w:rsid w:val="00A620C8"/>
    <w:rsid w:val="00A62356"/>
    <w:rsid w:val="00A64ADC"/>
    <w:rsid w:val="00A6505D"/>
    <w:rsid w:val="00A67075"/>
    <w:rsid w:val="00A70A00"/>
    <w:rsid w:val="00A71A28"/>
    <w:rsid w:val="00A72528"/>
    <w:rsid w:val="00A737CD"/>
    <w:rsid w:val="00A75A39"/>
    <w:rsid w:val="00A76494"/>
    <w:rsid w:val="00A8001C"/>
    <w:rsid w:val="00A800A0"/>
    <w:rsid w:val="00A8084F"/>
    <w:rsid w:val="00A81B5F"/>
    <w:rsid w:val="00A825E9"/>
    <w:rsid w:val="00A85075"/>
    <w:rsid w:val="00A8663D"/>
    <w:rsid w:val="00A87250"/>
    <w:rsid w:val="00A87740"/>
    <w:rsid w:val="00A90E18"/>
    <w:rsid w:val="00A91A6D"/>
    <w:rsid w:val="00A9550C"/>
    <w:rsid w:val="00A95A3C"/>
    <w:rsid w:val="00A95E66"/>
    <w:rsid w:val="00AA18C4"/>
    <w:rsid w:val="00AA3869"/>
    <w:rsid w:val="00AA442B"/>
    <w:rsid w:val="00AA6D04"/>
    <w:rsid w:val="00AA707B"/>
    <w:rsid w:val="00AB31E7"/>
    <w:rsid w:val="00AB5342"/>
    <w:rsid w:val="00AB55A6"/>
    <w:rsid w:val="00AB7B09"/>
    <w:rsid w:val="00AC54C6"/>
    <w:rsid w:val="00AC5719"/>
    <w:rsid w:val="00AC654E"/>
    <w:rsid w:val="00AC7B70"/>
    <w:rsid w:val="00AD017C"/>
    <w:rsid w:val="00AD0BB9"/>
    <w:rsid w:val="00AD0C27"/>
    <w:rsid w:val="00AD0EDA"/>
    <w:rsid w:val="00AD29BA"/>
    <w:rsid w:val="00AD3635"/>
    <w:rsid w:val="00AD64EA"/>
    <w:rsid w:val="00AE03B5"/>
    <w:rsid w:val="00AE3229"/>
    <w:rsid w:val="00AE3C7C"/>
    <w:rsid w:val="00AE7CC6"/>
    <w:rsid w:val="00AF02E3"/>
    <w:rsid w:val="00AF1718"/>
    <w:rsid w:val="00AF2440"/>
    <w:rsid w:val="00AF4CF9"/>
    <w:rsid w:val="00AF693C"/>
    <w:rsid w:val="00AF707D"/>
    <w:rsid w:val="00AF75B0"/>
    <w:rsid w:val="00AF798A"/>
    <w:rsid w:val="00B03D8C"/>
    <w:rsid w:val="00B04223"/>
    <w:rsid w:val="00B05E7C"/>
    <w:rsid w:val="00B05FD5"/>
    <w:rsid w:val="00B06DB4"/>
    <w:rsid w:val="00B114C0"/>
    <w:rsid w:val="00B11CB1"/>
    <w:rsid w:val="00B13059"/>
    <w:rsid w:val="00B15F4A"/>
    <w:rsid w:val="00B174B9"/>
    <w:rsid w:val="00B17644"/>
    <w:rsid w:val="00B20312"/>
    <w:rsid w:val="00B20EEE"/>
    <w:rsid w:val="00B2165B"/>
    <w:rsid w:val="00B221A3"/>
    <w:rsid w:val="00B22E22"/>
    <w:rsid w:val="00B23C3C"/>
    <w:rsid w:val="00B3091F"/>
    <w:rsid w:val="00B333CE"/>
    <w:rsid w:val="00B35AA5"/>
    <w:rsid w:val="00B365D9"/>
    <w:rsid w:val="00B36C98"/>
    <w:rsid w:val="00B37256"/>
    <w:rsid w:val="00B444B2"/>
    <w:rsid w:val="00B46173"/>
    <w:rsid w:val="00B502A4"/>
    <w:rsid w:val="00B52462"/>
    <w:rsid w:val="00B525CB"/>
    <w:rsid w:val="00B53388"/>
    <w:rsid w:val="00B54575"/>
    <w:rsid w:val="00B54C59"/>
    <w:rsid w:val="00B55E9C"/>
    <w:rsid w:val="00B56418"/>
    <w:rsid w:val="00B5744B"/>
    <w:rsid w:val="00B60095"/>
    <w:rsid w:val="00B61BDD"/>
    <w:rsid w:val="00B61FD8"/>
    <w:rsid w:val="00B624BF"/>
    <w:rsid w:val="00B6341B"/>
    <w:rsid w:val="00B63CB2"/>
    <w:rsid w:val="00B6562D"/>
    <w:rsid w:val="00B67F3A"/>
    <w:rsid w:val="00B704AC"/>
    <w:rsid w:val="00B74072"/>
    <w:rsid w:val="00B76167"/>
    <w:rsid w:val="00B761B6"/>
    <w:rsid w:val="00B766AE"/>
    <w:rsid w:val="00B775E8"/>
    <w:rsid w:val="00B800BA"/>
    <w:rsid w:val="00B81BD8"/>
    <w:rsid w:val="00B851DC"/>
    <w:rsid w:val="00B86854"/>
    <w:rsid w:val="00B91AD0"/>
    <w:rsid w:val="00B962FF"/>
    <w:rsid w:val="00BA425A"/>
    <w:rsid w:val="00BA52D6"/>
    <w:rsid w:val="00BA5AD6"/>
    <w:rsid w:val="00BA75AD"/>
    <w:rsid w:val="00BA7994"/>
    <w:rsid w:val="00BA7C60"/>
    <w:rsid w:val="00BB0873"/>
    <w:rsid w:val="00BB26DC"/>
    <w:rsid w:val="00BB2C01"/>
    <w:rsid w:val="00BB3E2C"/>
    <w:rsid w:val="00BB6F85"/>
    <w:rsid w:val="00BC1B41"/>
    <w:rsid w:val="00BC4FCF"/>
    <w:rsid w:val="00BC52A5"/>
    <w:rsid w:val="00BC6BDC"/>
    <w:rsid w:val="00BD0D6C"/>
    <w:rsid w:val="00BD1EF0"/>
    <w:rsid w:val="00BD20FC"/>
    <w:rsid w:val="00BD367E"/>
    <w:rsid w:val="00BD422F"/>
    <w:rsid w:val="00BD5F69"/>
    <w:rsid w:val="00BD6ED0"/>
    <w:rsid w:val="00BD78FE"/>
    <w:rsid w:val="00BE03A7"/>
    <w:rsid w:val="00BE0EDB"/>
    <w:rsid w:val="00BE6664"/>
    <w:rsid w:val="00BF00DE"/>
    <w:rsid w:val="00BF1906"/>
    <w:rsid w:val="00BF2AB3"/>
    <w:rsid w:val="00BF3301"/>
    <w:rsid w:val="00BF46F6"/>
    <w:rsid w:val="00BF624E"/>
    <w:rsid w:val="00C03DC6"/>
    <w:rsid w:val="00C0510B"/>
    <w:rsid w:val="00C056EE"/>
    <w:rsid w:val="00C05841"/>
    <w:rsid w:val="00C0689F"/>
    <w:rsid w:val="00C074B4"/>
    <w:rsid w:val="00C07C55"/>
    <w:rsid w:val="00C11709"/>
    <w:rsid w:val="00C11BC3"/>
    <w:rsid w:val="00C15B78"/>
    <w:rsid w:val="00C170CB"/>
    <w:rsid w:val="00C172E8"/>
    <w:rsid w:val="00C17D54"/>
    <w:rsid w:val="00C20030"/>
    <w:rsid w:val="00C217DB"/>
    <w:rsid w:val="00C22704"/>
    <w:rsid w:val="00C22B69"/>
    <w:rsid w:val="00C3233E"/>
    <w:rsid w:val="00C343AD"/>
    <w:rsid w:val="00C3521A"/>
    <w:rsid w:val="00C35AAF"/>
    <w:rsid w:val="00C35F7C"/>
    <w:rsid w:val="00C36E40"/>
    <w:rsid w:val="00C371A6"/>
    <w:rsid w:val="00C429B4"/>
    <w:rsid w:val="00C472C1"/>
    <w:rsid w:val="00C474AC"/>
    <w:rsid w:val="00C5124A"/>
    <w:rsid w:val="00C5128E"/>
    <w:rsid w:val="00C523AA"/>
    <w:rsid w:val="00C523C2"/>
    <w:rsid w:val="00C5495E"/>
    <w:rsid w:val="00C55E36"/>
    <w:rsid w:val="00C56AE4"/>
    <w:rsid w:val="00C60F20"/>
    <w:rsid w:val="00C61A73"/>
    <w:rsid w:val="00C61ED9"/>
    <w:rsid w:val="00C64FD0"/>
    <w:rsid w:val="00C6675D"/>
    <w:rsid w:val="00C6768A"/>
    <w:rsid w:val="00C67FE4"/>
    <w:rsid w:val="00C7160E"/>
    <w:rsid w:val="00C71C51"/>
    <w:rsid w:val="00C77A9F"/>
    <w:rsid w:val="00C80C66"/>
    <w:rsid w:val="00C82793"/>
    <w:rsid w:val="00C83A28"/>
    <w:rsid w:val="00C840CE"/>
    <w:rsid w:val="00C85959"/>
    <w:rsid w:val="00C85EF8"/>
    <w:rsid w:val="00C8716A"/>
    <w:rsid w:val="00C90E7D"/>
    <w:rsid w:val="00C91299"/>
    <w:rsid w:val="00C914CD"/>
    <w:rsid w:val="00C93A8A"/>
    <w:rsid w:val="00C93E70"/>
    <w:rsid w:val="00C968EC"/>
    <w:rsid w:val="00C97A89"/>
    <w:rsid w:val="00CA01B4"/>
    <w:rsid w:val="00CA14F9"/>
    <w:rsid w:val="00CA2BD8"/>
    <w:rsid w:val="00CA3F2F"/>
    <w:rsid w:val="00CA6816"/>
    <w:rsid w:val="00CA6AC1"/>
    <w:rsid w:val="00CA7B58"/>
    <w:rsid w:val="00CA7D82"/>
    <w:rsid w:val="00CA7FEF"/>
    <w:rsid w:val="00CB1768"/>
    <w:rsid w:val="00CB6DAD"/>
    <w:rsid w:val="00CC00CD"/>
    <w:rsid w:val="00CC1FBB"/>
    <w:rsid w:val="00CC22E3"/>
    <w:rsid w:val="00CC3C08"/>
    <w:rsid w:val="00CC530F"/>
    <w:rsid w:val="00CC677A"/>
    <w:rsid w:val="00CC7461"/>
    <w:rsid w:val="00CC79DE"/>
    <w:rsid w:val="00CC7FF4"/>
    <w:rsid w:val="00CD0562"/>
    <w:rsid w:val="00CD10EE"/>
    <w:rsid w:val="00CD12B2"/>
    <w:rsid w:val="00CD3ACB"/>
    <w:rsid w:val="00CD5C88"/>
    <w:rsid w:val="00CE11B1"/>
    <w:rsid w:val="00CE14B9"/>
    <w:rsid w:val="00CE1F6E"/>
    <w:rsid w:val="00CE352A"/>
    <w:rsid w:val="00CE3995"/>
    <w:rsid w:val="00CE675D"/>
    <w:rsid w:val="00CF10C1"/>
    <w:rsid w:val="00CF2489"/>
    <w:rsid w:val="00CF2BDE"/>
    <w:rsid w:val="00CF2E86"/>
    <w:rsid w:val="00CF3EC4"/>
    <w:rsid w:val="00CF415E"/>
    <w:rsid w:val="00CF482F"/>
    <w:rsid w:val="00CF4890"/>
    <w:rsid w:val="00CF62EA"/>
    <w:rsid w:val="00D00015"/>
    <w:rsid w:val="00D00AFF"/>
    <w:rsid w:val="00D051A4"/>
    <w:rsid w:val="00D10740"/>
    <w:rsid w:val="00D10C4C"/>
    <w:rsid w:val="00D10E69"/>
    <w:rsid w:val="00D117C5"/>
    <w:rsid w:val="00D1627F"/>
    <w:rsid w:val="00D16E39"/>
    <w:rsid w:val="00D20164"/>
    <w:rsid w:val="00D22239"/>
    <w:rsid w:val="00D22541"/>
    <w:rsid w:val="00D2531F"/>
    <w:rsid w:val="00D259D7"/>
    <w:rsid w:val="00D25C34"/>
    <w:rsid w:val="00D309A0"/>
    <w:rsid w:val="00D31956"/>
    <w:rsid w:val="00D32AF5"/>
    <w:rsid w:val="00D3480D"/>
    <w:rsid w:val="00D3626C"/>
    <w:rsid w:val="00D36B0C"/>
    <w:rsid w:val="00D40843"/>
    <w:rsid w:val="00D41357"/>
    <w:rsid w:val="00D433FD"/>
    <w:rsid w:val="00D44C1E"/>
    <w:rsid w:val="00D50CDE"/>
    <w:rsid w:val="00D51773"/>
    <w:rsid w:val="00D52F10"/>
    <w:rsid w:val="00D531FA"/>
    <w:rsid w:val="00D539FC"/>
    <w:rsid w:val="00D54C26"/>
    <w:rsid w:val="00D55602"/>
    <w:rsid w:val="00D60615"/>
    <w:rsid w:val="00D6341C"/>
    <w:rsid w:val="00D648B5"/>
    <w:rsid w:val="00D721FE"/>
    <w:rsid w:val="00D72E9D"/>
    <w:rsid w:val="00D73D97"/>
    <w:rsid w:val="00D73D9F"/>
    <w:rsid w:val="00D74CDA"/>
    <w:rsid w:val="00D75DF3"/>
    <w:rsid w:val="00D763D4"/>
    <w:rsid w:val="00D76F4F"/>
    <w:rsid w:val="00D77683"/>
    <w:rsid w:val="00D802C1"/>
    <w:rsid w:val="00D80F25"/>
    <w:rsid w:val="00D81907"/>
    <w:rsid w:val="00D82CE5"/>
    <w:rsid w:val="00D8775D"/>
    <w:rsid w:val="00D92575"/>
    <w:rsid w:val="00D955D8"/>
    <w:rsid w:val="00D97C64"/>
    <w:rsid w:val="00DA23D6"/>
    <w:rsid w:val="00DA3E32"/>
    <w:rsid w:val="00DA4606"/>
    <w:rsid w:val="00DA5AB1"/>
    <w:rsid w:val="00DA772C"/>
    <w:rsid w:val="00DB36AB"/>
    <w:rsid w:val="00DB4C4A"/>
    <w:rsid w:val="00DB5657"/>
    <w:rsid w:val="00DB6460"/>
    <w:rsid w:val="00DC09FD"/>
    <w:rsid w:val="00DC0B10"/>
    <w:rsid w:val="00DC2432"/>
    <w:rsid w:val="00DC395D"/>
    <w:rsid w:val="00DC5121"/>
    <w:rsid w:val="00DC545B"/>
    <w:rsid w:val="00DC5FAA"/>
    <w:rsid w:val="00DC62E5"/>
    <w:rsid w:val="00DD07F7"/>
    <w:rsid w:val="00DD20BA"/>
    <w:rsid w:val="00DD38D8"/>
    <w:rsid w:val="00DD4605"/>
    <w:rsid w:val="00DD735D"/>
    <w:rsid w:val="00DE208B"/>
    <w:rsid w:val="00DE3119"/>
    <w:rsid w:val="00DE60EA"/>
    <w:rsid w:val="00DE6CFD"/>
    <w:rsid w:val="00DE70FB"/>
    <w:rsid w:val="00DF02DC"/>
    <w:rsid w:val="00DF05A6"/>
    <w:rsid w:val="00DF21D4"/>
    <w:rsid w:val="00DF236B"/>
    <w:rsid w:val="00DF248A"/>
    <w:rsid w:val="00DF2D13"/>
    <w:rsid w:val="00DF2DA5"/>
    <w:rsid w:val="00DF3046"/>
    <w:rsid w:val="00DF5076"/>
    <w:rsid w:val="00DF5488"/>
    <w:rsid w:val="00DF5880"/>
    <w:rsid w:val="00E0099C"/>
    <w:rsid w:val="00E012FA"/>
    <w:rsid w:val="00E01DE8"/>
    <w:rsid w:val="00E03244"/>
    <w:rsid w:val="00E0587A"/>
    <w:rsid w:val="00E100EC"/>
    <w:rsid w:val="00E10247"/>
    <w:rsid w:val="00E11287"/>
    <w:rsid w:val="00E115B4"/>
    <w:rsid w:val="00E1233F"/>
    <w:rsid w:val="00E13AB8"/>
    <w:rsid w:val="00E14829"/>
    <w:rsid w:val="00E203DD"/>
    <w:rsid w:val="00E24056"/>
    <w:rsid w:val="00E263C3"/>
    <w:rsid w:val="00E27716"/>
    <w:rsid w:val="00E27AD5"/>
    <w:rsid w:val="00E27C85"/>
    <w:rsid w:val="00E315A2"/>
    <w:rsid w:val="00E318E0"/>
    <w:rsid w:val="00E33B62"/>
    <w:rsid w:val="00E357DC"/>
    <w:rsid w:val="00E412B7"/>
    <w:rsid w:val="00E429C9"/>
    <w:rsid w:val="00E4417A"/>
    <w:rsid w:val="00E44E00"/>
    <w:rsid w:val="00E45605"/>
    <w:rsid w:val="00E461F1"/>
    <w:rsid w:val="00E47653"/>
    <w:rsid w:val="00E51329"/>
    <w:rsid w:val="00E51411"/>
    <w:rsid w:val="00E51556"/>
    <w:rsid w:val="00E53964"/>
    <w:rsid w:val="00E544FA"/>
    <w:rsid w:val="00E554DC"/>
    <w:rsid w:val="00E57323"/>
    <w:rsid w:val="00E57B05"/>
    <w:rsid w:val="00E602F2"/>
    <w:rsid w:val="00E608C9"/>
    <w:rsid w:val="00E622AE"/>
    <w:rsid w:val="00E62A61"/>
    <w:rsid w:val="00E63AED"/>
    <w:rsid w:val="00E6528C"/>
    <w:rsid w:val="00E658C9"/>
    <w:rsid w:val="00E65F49"/>
    <w:rsid w:val="00E6610F"/>
    <w:rsid w:val="00E66A53"/>
    <w:rsid w:val="00E70322"/>
    <w:rsid w:val="00E7138C"/>
    <w:rsid w:val="00E73815"/>
    <w:rsid w:val="00E7595D"/>
    <w:rsid w:val="00E77706"/>
    <w:rsid w:val="00E801BC"/>
    <w:rsid w:val="00E80C82"/>
    <w:rsid w:val="00E82CAE"/>
    <w:rsid w:val="00E84539"/>
    <w:rsid w:val="00E855D9"/>
    <w:rsid w:val="00E860E8"/>
    <w:rsid w:val="00E8645B"/>
    <w:rsid w:val="00E903AB"/>
    <w:rsid w:val="00E92199"/>
    <w:rsid w:val="00E95B00"/>
    <w:rsid w:val="00E96DEA"/>
    <w:rsid w:val="00E97CD5"/>
    <w:rsid w:val="00EA0711"/>
    <w:rsid w:val="00EA1AE3"/>
    <w:rsid w:val="00EA1C4C"/>
    <w:rsid w:val="00EA4E7D"/>
    <w:rsid w:val="00EA58F4"/>
    <w:rsid w:val="00EA630B"/>
    <w:rsid w:val="00EA6CBF"/>
    <w:rsid w:val="00EA728D"/>
    <w:rsid w:val="00EA76D7"/>
    <w:rsid w:val="00EB0BBE"/>
    <w:rsid w:val="00EB2A8B"/>
    <w:rsid w:val="00EB4142"/>
    <w:rsid w:val="00EB5248"/>
    <w:rsid w:val="00EB622E"/>
    <w:rsid w:val="00EC7366"/>
    <w:rsid w:val="00EC7673"/>
    <w:rsid w:val="00EC7E4C"/>
    <w:rsid w:val="00ED1754"/>
    <w:rsid w:val="00ED305A"/>
    <w:rsid w:val="00ED4025"/>
    <w:rsid w:val="00ED4CA1"/>
    <w:rsid w:val="00ED676F"/>
    <w:rsid w:val="00ED718F"/>
    <w:rsid w:val="00ED7FE6"/>
    <w:rsid w:val="00EE7B12"/>
    <w:rsid w:val="00EF1C91"/>
    <w:rsid w:val="00EF37BA"/>
    <w:rsid w:val="00EF48C6"/>
    <w:rsid w:val="00EF5956"/>
    <w:rsid w:val="00EF7BAE"/>
    <w:rsid w:val="00F0190D"/>
    <w:rsid w:val="00F046A7"/>
    <w:rsid w:val="00F05293"/>
    <w:rsid w:val="00F06B82"/>
    <w:rsid w:val="00F070FE"/>
    <w:rsid w:val="00F10D45"/>
    <w:rsid w:val="00F11BA1"/>
    <w:rsid w:val="00F137C7"/>
    <w:rsid w:val="00F13A3B"/>
    <w:rsid w:val="00F14031"/>
    <w:rsid w:val="00F157F7"/>
    <w:rsid w:val="00F22044"/>
    <w:rsid w:val="00F2227D"/>
    <w:rsid w:val="00F22827"/>
    <w:rsid w:val="00F27621"/>
    <w:rsid w:val="00F30541"/>
    <w:rsid w:val="00F30568"/>
    <w:rsid w:val="00F3057D"/>
    <w:rsid w:val="00F30772"/>
    <w:rsid w:val="00F33293"/>
    <w:rsid w:val="00F341A0"/>
    <w:rsid w:val="00F36A58"/>
    <w:rsid w:val="00F41499"/>
    <w:rsid w:val="00F4285A"/>
    <w:rsid w:val="00F444A4"/>
    <w:rsid w:val="00F44552"/>
    <w:rsid w:val="00F45FE4"/>
    <w:rsid w:val="00F53A3E"/>
    <w:rsid w:val="00F55644"/>
    <w:rsid w:val="00F57426"/>
    <w:rsid w:val="00F6121F"/>
    <w:rsid w:val="00F61462"/>
    <w:rsid w:val="00F617C8"/>
    <w:rsid w:val="00F61BBD"/>
    <w:rsid w:val="00F64252"/>
    <w:rsid w:val="00F65892"/>
    <w:rsid w:val="00F65E96"/>
    <w:rsid w:val="00F6642D"/>
    <w:rsid w:val="00F67D6E"/>
    <w:rsid w:val="00F70C89"/>
    <w:rsid w:val="00F71B57"/>
    <w:rsid w:val="00F71F33"/>
    <w:rsid w:val="00F73D35"/>
    <w:rsid w:val="00F74D1D"/>
    <w:rsid w:val="00F74F42"/>
    <w:rsid w:val="00F75297"/>
    <w:rsid w:val="00F77B02"/>
    <w:rsid w:val="00F80272"/>
    <w:rsid w:val="00F83681"/>
    <w:rsid w:val="00F8436F"/>
    <w:rsid w:val="00F84899"/>
    <w:rsid w:val="00F84C2E"/>
    <w:rsid w:val="00F859F0"/>
    <w:rsid w:val="00F9025F"/>
    <w:rsid w:val="00F9050C"/>
    <w:rsid w:val="00F908C1"/>
    <w:rsid w:val="00F913B5"/>
    <w:rsid w:val="00F95100"/>
    <w:rsid w:val="00F96760"/>
    <w:rsid w:val="00F97396"/>
    <w:rsid w:val="00F974BA"/>
    <w:rsid w:val="00F97C7F"/>
    <w:rsid w:val="00FA128B"/>
    <w:rsid w:val="00FA1EB2"/>
    <w:rsid w:val="00FA2D53"/>
    <w:rsid w:val="00FA4AE4"/>
    <w:rsid w:val="00FA4D0C"/>
    <w:rsid w:val="00FA4D69"/>
    <w:rsid w:val="00FA5FF4"/>
    <w:rsid w:val="00FA6E00"/>
    <w:rsid w:val="00FA70BD"/>
    <w:rsid w:val="00FA7208"/>
    <w:rsid w:val="00FA7689"/>
    <w:rsid w:val="00FA7D4C"/>
    <w:rsid w:val="00FB2490"/>
    <w:rsid w:val="00FB289E"/>
    <w:rsid w:val="00FB46F8"/>
    <w:rsid w:val="00FB4DBF"/>
    <w:rsid w:val="00FB52A0"/>
    <w:rsid w:val="00FC0CF3"/>
    <w:rsid w:val="00FC180A"/>
    <w:rsid w:val="00FC4013"/>
    <w:rsid w:val="00FC750B"/>
    <w:rsid w:val="00FD4DE7"/>
    <w:rsid w:val="00FD579E"/>
    <w:rsid w:val="00FD6AF5"/>
    <w:rsid w:val="00FD71FF"/>
    <w:rsid w:val="00FE04E1"/>
    <w:rsid w:val="00FE0E7C"/>
    <w:rsid w:val="00FE141E"/>
    <w:rsid w:val="00FE1991"/>
    <w:rsid w:val="00FE2E07"/>
    <w:rsid w:val="00FE5042"/>
    <w:rsid w:val="00FE6583"/>
    <w:rsid w:val="00FE6C03"/>
    <w:rsid w:val="00FF3E2C"/>
    <w:rsid w:val="00FF4936"/>
    <w:rsid w:val="00FF4BB8"/>
    <w:rsid w:val="00FF4FDD"/>
    <w:rsid w:val="00FF51FE"/>
    <w:rsid w:val="00FF6544"/>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 w:type="paragraph" w:customStyle="1" w:styleId="xmsonospacing">
    <w:name w:val="x_msonospacing"/>
    <w:basedOn w:val="Normal"/>
    <w:rsid w:val="00D55602"/>
    <w:pPr>
      <w:spacing w:before="100" w:beforeAutospacing="1" w:after="100" w:afterAutospacing="1"/>
    </w:pPr>
    <w:rPr>
      <w:rFonts w:ascii="Times New Roman" w:eastAsia="Times New Roman" w:hAnsi="Times New Roman" w:cs="Times New Roman"/>
      <w:szCs w:val="24"/>
      <w:lang w:val="es-CO"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6562443">
      <w:bodyDiv w:val="1"/>
      <w:marLeft w:val="0"/>
      <w:marRight w:val="0"/>
      <w:marTop w:val="0"/>
      <w:marBottom w:val="0"/>
      <w:divBdr>
        <w:top w:val="none" w:sz="0" w:space="0" w:color="auto"/>
        <w:left w:val="none" w:sz="0" w:space="0" w:color="auto"/>
        <w:bottom w:val="none" w:sz="0" w:space="0" w:color="auto"/>
        <w:right w:val="none" w:sz="0" w:space="0" w:color="auto"/>
      </w:divBdr>
      <w:divsChild>
        <w:div w:id="981428692">
          <w:marLeft w:val="0"/>
          <w:marRight w:val="0"/>
          <w:marTop w:val="0"/>
          <w:marBottom w:val="0"/>
          <w:divBdr>
            <w:top w:val="none" w:sz="0" w:space="0" w:color="auto"/>
            <w:left w:val="none" w:sz="0" w:space="0" w:color="auto"/>
            <w:bottom w:val="none" w:sz="0" w:space="0" w:color="auto"/>
            <w:right w:val="none" w:sz="0" w:space="0" w:color="auto"/>
          </w:divBdr>
          <w:divsChild>
            <w:div w:id="2132941917">
              <w:marLeft w:val="0"/>
              <w:marRight w:val="0"/>
              <w:marTop w:val="0"/>
              <w:marBottom w:val="0"/>
              <w:divBdr>
                <w:top w:val="none" w:sz="0" w:space="0" w:color="auto"/>
                <w:left w:val="none" w:sz="0" w:space="0" w:color="auto"/>
                <w:bottom w:val="none" w:sz="0" w:space="0" w:color="auto"/>
                <w:right w:val="none" w:sz="0" w:space="0" w:color="auto"/>
              </w:divBdr>
              <w:divsChild>
                <w:div w:id="76742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73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12449854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DDA3CDE-7890-4820-A543-C1D72DAE7EA7}">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8D8BA83-666D-4837-99E3-4F6E6880F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TotalTime>
  <Pages>12</Pages>
  <Words>4233</Words>
  <Characters>23284</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Andrea Ramírez Castañeda</cp:lastModifiedBy>
  <cp:revision>10</cp:revision>
  <dcterms:created xsi:type="dcterms:W3CDTF">2022-04-22T12:28:00Z</dcterms:created>
  <dcterms:modified xsi:type="dcterms:W3CDTF">2022-04-29T20:11:00Z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