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1765F" w14:textId="77777777" w:rsidR="001A7B0C" w:rsidRPr="00F420B6" w:rsidRDefault="001A7B0C" w:rsidP="001A7B0C">
      <w:pPr>
        <w:spacing w:after="0" w:line="240" w:lineRule="auto"/>
        <w:jc w:val="both"/>
        <w:rPr>
          <w:rFonts w:ascii="Century Gothic" w:eastAsia="Calibri" w:hAnsi="Century Gothic" w:cs="Arial"/>
          <w:b/>
          <w:bCs/>
          <w:color w:val="000000" w:themeColor="text1"/>
          <w:sz w:val="20"/>
          <w:szCs w:val="20"/>
        </w:rPr>
      </w:pPr>
      <w:bookmarkStart w:id="0" w:name="_Hlk94281581"/>
      <w:bookmarkStart w:id="1" w:name="_Hlk102489058"/>
      <w:bookmarkStart w:id="2" w:name="_Hlk34951122"/>
    </w:p>
    <w:p w14:paraId="73A6E656" w14:textId="77777777" w:rsidR="001A7B0C" w:rsidRPr="00F420B6" w:rsidRDefault="001A7B0C" w:rsidP="001A7B0C">
      <w:pPr>
        <w:spacing w:after="0" w:line="240" w:lineRule="auto"/>
        <w:jc w:val="both"/>
        <w:rPr>
          <w:rFonts w:ascii="Century Gothic" w:eastAsia="Calibri" w:hAnsi="Century Gothic" w:cs="Arial"/>
          <w:b/>
          <w:lang w:val="es-ES_tradnl"/>
        </w:rPr>
      </w:pPr>
      <w:r w:rsidRPr="00F420B6">
        <w:rPr>
          <w:rFonts w:ascii="Century Gothic" w:eastAsia="Calibri" w:hAnsi="Century Gothic" w:cs="Arial"/>
          <w:b/>
          <w:lang w:val="es-ES_tradnl"/>
        </w:rPr>
        <w:t xml:space="preserve">DOCUMENTOS TIPO – Fundamento normativo </w:t>
      </w:r>
    </w:p>
    <w:p w14:paraId="64DF6A8D" w14:textId="77777777" w:rsidR="001A7B0C" w:rsidRPr="00F420B6" w:rsidRDefault="001A7B0C" w:rsidP="001A7B0C">
      <w:pPr>
        <w:spacing w:after="0" w:line="240" w:lineRule="auto"/>
        <w:jc w:val="both"/>
        <w:rPr>
          <w:rFonts w:ascii="Century Gothic" w:eastAsia="Calibri" w:hAnsi="Century Gothic" w:cs="Arial"/>
          <w:b/>
          <w:lang w:val="es-ES_tradnl"/>
        </w:rPr>
      </w:pPr>
    </w:p>
    <w:p w14:paraId="6A07800E" w14:textId="77777777" w:rsidR="001A7B0C" w:rsidRPr="00F420B6" w:rsidRDefault="001A7B0C" w:rsidP="001A7B0C">
      <w:pPr>
        <w:spacing w:after="0" w:line="240" w:lineRule="auto"/>
        <w:jc w:val="both"/>
        <w:rPr>
          <w:rFonts w:ascii="Century Gothic" w:eastAsia="Calibri" w:hAnsi="Century Gothic" w:cs="Arial"/>
          <w:sz w:val="20"/>
          <w:szCs w:val="20"/>
          <w:lang w:val="es-ES_tradnl"/>
        </w:rPr>
      </w:pPr>
      <w:r w:rsidRPr="00F420B6">
        <w:rPr>
          <w:rFonts w:ascii="Century Gothic" w:eastAsia="Calibri" w:hAnsi="Century Gothic" w:cs="Arial"/>
          <w:sz w:val="20"/>
          <w:szCs w:val="20"/>
          <w:lang w:val="es-ES_tradnl"/>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3CC89B50" w14:textId="77777777" w:rsidR="001A7B0C" w:rsidRPr="00F420B6" w:rsidRDefault="001A7B0C" w:rsidP="001A7B0C">
      <w:pPr>
        <w:spacing w:after="0" w:line="240" w:lineRule="auto"/>
        <w:jc w:val="both"/>
        <w:rPr>
          <w:rFonts w:ascii="Century Gothic" w:eastAsia="Calibri" w:hAnsi="Century Gothic" w:cs="Arial"/>
          <w:sz w:val="20"/>
          <w:szCs w:val="20"/>
          <w:lang w:val="es-ES_tradnl"/>
        </w:rPr>
      </w:pPr>
    </w:p>
    <w:p w14:paraId="76FB1A0F" w14:textId="77777777" w:rsidR="001A7B0C" w:rsidRPr="00F420B6" w:rsidRDefault="001A7B0C" w:rsidP="001A7B0C">
      <w:pPr>
        <w:spacing w:after="0" w:line="240" w:lineRule="auto"/>
        <w:jc w:val="both"/>
        <w:rPr>
          <w:rFonts w:ascii="Century Gothic" w:eastAsia="Calibri" w:hAnsi="Century Gothic" w:cs="Arial"/>
          <w:sz w:val="20"/>
          <w:szCs w:val="20"/>
          <w:lang w:val="es-ES_tradnl"/>
        </w:rPr>
      </w:pPr>
      <w:r w:rsidRPr="00F420B6">
        <w:rPr>
          <w:rFonts w:ascii="Century Gothic" w:eastAsia="Calibri" w:hAnsi="Century Gothic" w:cs="Arial"/>
          <w:sz w:val="20"/>
          <w:szCs w:val="20"/>
          <w:lang w:val="es-ES_tradnl"/>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1A23B507" w14:textId="77777777" w:rsidR="001A7B0C" w:rsidRPr="00F420B6" w:rsidRDefault="001A7B0C" w:rsidP="001A7B0C">
      <w:pPr>
        <w:spacing w:after="0" w:line="240" w:lineRule="auto"/>
        <w:jc w:val="both"/>
        <w:rPr>
          <w:rFonts w:ascii="Century Gothic" w:eastAsia="Calibri" w:hAnsi="Century Gothic" w:cs="Arial"/>
          <w:sz w:val="20"/>
          <w:szCs w:val="20"/>
          <w:lang w:val="es-ES_tradnl"/>
        </w:rPr>
      </w:pPr>
    </w:p>
    <w:p w14:paraId="66E47F85" w14:textId="77777777" w:rsidR="001A7B0C" w:rsidRPr="00F420B6" w:rsidRDefault="001A7B0C" w:rsidP="001A7B0C">
      <w:pPr>
        <w:spacing w:after="0"/>
        <w:jc w:val="both"/>
        <w:rPr>
          <w:rFonts w:ascii="Century Gothic" w:eastAsia="Geomanist Light" w:hAnsi="Century Gothic" w:cs="Arial"/>
          <w:b/>
          <w:bCs/>
          <w:color w:val="000000" w:themeColor="text1"/>
          <w:lang w:val="es-MX"/>
        </w:rPr>
      </w:pPr>
      <w:r w:rsidRPr="00F420B6">
        <w:rPr>
          <w:rFonts w:ascii="Century Gothic" w:eastAsia="Geomanist Light" w:hAnsi="Century Gothic" w:cs="Arial"/>
          <w:b/>
          <w:bCs/>
          <w:color w:val="000000" w:themeColor="text1"/>
          <w:lang w:val="es-MX"/>
        </w:rPr>
        <w:t>CONTRATO DE OBRA PÚBLICA – Definición</w:t>
      </w:r>
    </w:p>
    <w:p w14:paraId="66FCF113" w14:textId="77777777" w:rsidR="001A7B0C" w:rsidRPr="00F420B6" w:rsidRDefault="001A7B0C" w:rsidP="001A7B0C">
      <w:pPr>
        <w:spacing w:after="0" w:line="240" w:lineRule="auto"/>
        <w:jc w:val="both"/>
        <w:rPr>
          <w:rFonts w:ascii="Century Gothic" w:eastAsia="Geomanist Light" w:hAnsi="Century Gothic" w:cs="Arial"/>
          <w:color w:val="000000" w:themeColor="text1"/>
          <w:sz w:val="20"/>
          <w:szCs w:val="20"/>
          <w:lang w:val="es-MX"/>
        </w:rPr>
      </w:pPr>
    </w:p>
    <w:p w14:paraId="10B944FD" w14:textId="77777777" w:rsidR="001A7B0C" w:rsidRPr="00F420B6" w:rsidRDefault="001A7B0C" w:rsidP="001A7B0C">
      <w:pPr>
        <w:spacing w:after="0" w:line="240" w:lineRule="auto"/>
        <w:jc w:val="both"/>
        <w:rPr>
          <w:rFonts w:ascii="Century Gothic" w:eastAsia="Calibri" w:hAnsi="Century Gothic" w:cs="Arial"/>
          <w:color w:val="000000"/>
          <w:sz w:val="20"/>
          <w:szCs w:val="20"/>
          <w:lang w:val="es-ES_tradnl" w:eastAsia="es-ES" w:bidi="es-ES"/>
        </w:rPr>
      </w:pPr>
      <w:r w:rsidRPr="00F420B6">
        <w:rPr>
          <w:rFonts w:ascii="Century Gothic" w:eastAsia="Calibri" w:hAnsi="Century Gothic" w:cs="Arial"/>
          <w:color w:val="000000"/>
          <w:sz w:val="20"/>
          <w:szCs w:val="20"/>
          <w:lang w:val="es-ES_tradnl" w:eastAsia="es-ES" w:bidi="es-ES"/>
        </w:rPr>
        <w:t xml:space="preserve">En </w:t>
      </w:r>
      <w:r w:rsidRPr="00F420B6">
        <w:rPr>
          <w:rFonts w:ascii="Century Gothic" w:eastAsia="Calibri" w:hAnsi="Century Gothic" w:cs="Arial"/>
          <w:i/>
          <w:iCs/>
          <w:color w:val="000000"/>
          <w:sz w:val="20"/>
          <w:szCs w:val="20"/>
          <w:lang w:val="es-ES_tradnl" w:eastAsia="es-ES" w:bidi="es-ES"/>
        </w:rPr>
        <w:t>sentido amplio</w:t>
      </w:r>
      <w:r w:rsidRPr="00F420B6">
        <w:rPr>
          <w:rFonts w:ascii="Century Gothic" w:eastAsia="Calibri" w:hAnsi="Century Gothic" w:cs="Arial"/>
          <w:color w:val="000000"/>
          <w:sz w:val="20"/>
          <w:szCs w:val="20"/>
          <w:lang w:val="es-ES_tradnl" w:eastAsia="es-ES" w:bidi="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F420B6">
        <w:rPr>
          <w:rFonts w:ascii="Century Gothic" w:eastAsia="Calibri" w:hAnsi="Century Gothic" w:cs="Arial"/>
          <w:i/>
          <w:iCs/>
          <w:color w:val="000000"/>
          <w:sz w:val="20"/>
          <w:szCs w:val="20"/>
          <w:lang w:val="es-ES_tradnl" w:eastAsia="es-ES" w:bidi="es-ES"/>
        </w:rPr>
        <w:t>sentido restringido</w:t>
      </w:r>
      <w:r w:rsidRPr="00F420B6">
        <w:rPr>
          <w:rFonts w:ascii="Century Gothic" w:eastAsia="Calibri" w:hAnsi="Century Gothic" w:cs="Arial"/>
          <w:color w:val="000000"/>
          <w:sz w:val="20"/>
          <w:szCs w:val="2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2E9864A5" w14:textId="77777777" w:rsidR="001A7B0C" w:rsidRPr="00F420B6" w:rsidRDefault="001A7B0C" w:rsidP="001A7B0C">
      <w:pPr>
        <w:spacing w:after="0" w:line="240" w:lineRule="auto"/>
        <w:jc w:val="both"/>
        <w:rPr>
          <w:rFonts w:ascii="Century Gothic" w:eastAsia="Geomanist Light" w:hAnsi="Century Gothic" w:cs="Arial"/>
          <w:color w:val="000000" w:themeColor="text1"/>
          <w:sz w:val="20"/>
          <w:szCs w:val="20"/>
          <w:lang w:val="es-MX"/>
        </w:rPr>
      </w:pPr>
    </w:p>
    <w:p w14:paraId="2759D367" w14:textId="77777777" w:rsidR="001A7B0C" w:rsidRPr="00F420B6" w:rsidRDefault="001A7B0C" w:rsidP="001A7B0C">
      <w:pPr>
        <w:spacing w:after="0"/>
        <w:jc w:val="both"/>
        <w:rPr>
          <w:rFonts w:ascii="Century Gothic" w:eastAsia="Geomanist Light" w:hAnsi="Century Gothic" w:cs="Arial"/>
          <w:b/>
          <w:bCs/>
          <w:color w:val="000000" w:themeColor="text1"/>
          <w:lang w:val="es-MX"/>
        </w:rPr>
      </w:pPr>
      <w:r w:rsidRPr="00F420B6">
        <w:rPr>
          <w:rFonts w:ascii="Century Gothic" w:eastAsia="Geomanist Light" w:hAnsi="Century Gothic" w:cs="Arial"/>
          <w:b/>
          <w:bCs/>
          <w:color w:val="000000" w:themeColor="text1"/>
          <w:lang w:val="es-MX"/>
        </w:rPr>
        <w:t xml:space="preserve">MODALIDAD LLAVE EN MANO – Contrato EPC – Definición  </w:t>
      </w:r>
    </w:p>
    <w:p w14:paraId="3C0FD881" w14:textId="77777777" w:rsidR="001A7B0C" w:rsidRPr="00F420B6" w:rsidRDefault="001A7B0C" w:rsidP="001A7B0C">
      <w:pPr>
        <w:spacing w:after="0" w:line="240" w:lineRule="auto"/>
        <w:jc w:val="both"/>
        <w:rPr>
          <w:rFonts w:ascii="Century Gothic" w:eastAsia="Geomanist Light" w:hAnsi="Century Gothic" w:cs="Arial"/>
          <w:color w:val="000000" w:themeColor="text1"/>
          <w:sz w:val="20"/>
          <w:szCs w:val="20"/>
          <w:lang w:val="es-MX"/>
        </w:rPr>
      </w:pPr>
    </w:p>
    <w:p w14:paraId="46F1AEA5" w14:textId="77777777" w:rsidR="001A7B0C" w:rsidRPr="00F420B6" w:rsidRDefault="001A7B0C" w:rsidP="001A7B0C">
      <w:pPr>
        <w:spacing w:after="0" w:line="240" w:lineRule="auto"/>
        <w:jc w:val="both"/>
        <w:rPr>
          <w:rFonts w:ascii="Century Gothic" w:hAnsi="Century Gothic" w:cs="Arial"/>
          <w:sz w:val="20"/>
          <w:szCs w:val="20"/>
          <w:lang w:eastAsia="es-MX"/>
        </w:rPr>
      </w:pPr>
      <w:r w:rsidRPr="00F420B6">
        <w:rPr>
          <w:rFonts w:ascii="Century Gothic" w:hAnsi="Century Gothic" w:cs="Arial"/>
          <w:bCs/>
          <w:color w:val="000000" w:themeColor="text1"/>
          <w:sz w:val="20"/>
          <w:szCs w:val="20"/>
          <w:lang w:val="es-ES_tradnl"/>
        </w:rPr>
        <w:t xml:space="preserve">Cuando el contratista se obliga a ejecutar la obra desde la fase inicial de diseño y hasta la puesta en marcha, podemos afirmar que se trata de un contrato de obra bajo la modalidad de llave en mano, también denominado contrato de </w:t>
      </w:r>
      <w:proofErr w:type="spellStart"/>
      <w:r w:rsidRPr="00F420B6">
        <w:rPr>
          <w:rFonts w:ascii="Century Gothic" w:hAnsi="Century Gothic" w:cs="Arial"/>
          <w:bCs/>
          <w:color w:val="000000" w:themeColor="text1"/>
          <w:sz w:val="20"/>
          <w:szCs w:val="20"/>
          <w:lang w:val="es-ES_tradnl"/>
        </w:rPr>
        <w:t>Engineering</w:t>
      </w:r>
      <w:proofErr w:type="spellEnd"/>
      <w:r w:rsidRPr="00F420B6">
        <w:rPr>
          <w:rFonts w:ascii="Century Gothic" w:hAnsi="Century Gothic" w:cs="Arial"/>
          <w:bCs/>
          <w:color w:val="000000" w:themeColor="text1"/>
          <w:sz w:val="20"/>
          <w:szCs w:val="20"/>
          <w:lang w:val="es-ES_tradnl"/>
        </w:rPr>
        <w:t xml:space="preserve">, </w:t>
      </w:r>
      <w:proofErr w:type="spellStart"/>
      <w:r w:rsidRPr="00F420B6">
        <w:rPr>
          <w:rFonts w:ascii="Century Gothic" w:hAnsi="Century Gothic" w:cs="Arial"/>
          <w:bCs/>
          <w:color w:val="000000" w:themeColor="text1"/>
          <w:sz w:val="20"/>
          <w:szCs w:val="20"/>
          <w:lang w:val="es-ES_tradnl"/>
        </w:rPr>
        <w:t>Procurement</w:t>
      </w:r>
      <w:proofErr w:type="spellEnd"/>
      <w:r w:rsidRPr="00F420B6">
        <w:rPr>
          <w:rFonts w:ascii="Century Gothic" w:hAnsi="Century Gothic" w:cs="Arial"/>
          <w:bCs/>
          <w:color w:val="000000" w:themeColor="text1"/>
          <w:sz w:val="20"/>
          <w:szCs w:val="20"/>
          <w:lang w:val="es-ES_tradnl"/>
        </w:rPr>
        <w:t xml:space="preserve"> </w:t>
      </w:r>
      <w:r w:rsidRPr="00F420B6">
        <w:rPr>
          <w:rFonts w:ascii="Century Gothic" w:hAnsi="Century Gothic" w:cs="Arial"/>
          <w:bCs/>
          <w:color w:val="000000" w:themeColor="text1"/>
          <w:sz w:val="20"/>
          <w:szCs w:val="20"/>
          <w:lang w:val="es-ES_tradnl"/>
        </w:rPr>
        <w:lastRenderedPageBreak/>
        <w:t xml:space="preserve">and </w:t>
      </w:r>
      <w:proofErr w:type="spellStart"/>
      <w:r w:rsidRPr="00F420B6">
        <w:rPr>
          <w:rFonts w:ascii="Century Gothic" w:hAnsi="Century Gothic" w:cs="Arial"/>
          <w:bCs/>
          <w:color w:val="000000" w:themeColor="text1"/>
          <w:sz w:val="20"/>
          <w:szCs w:val="20"/>
          <w:lang w:val="es-ES_tradnl"/>
        </w:rPr>
        <w:t>Construction</w:t>
      </w:r>
      <w:proofErr w:type="spellEnd"/>
      <w:r w:rsidRPr="00F420B6">
        <w:rPr>
          <w:rFonts w:ascii="Century Gothic" w:hAnsi="Century Gothic" w:cs="Arial"/>
          <w:bCs/>
          <w:color w:val="000000" w:themeColor="text1"/>
          <w:sz w:val="20"/>
          <w:szCs w:val="20"/>
          <w:lang w:val="es-ES_tradnl"/>
        </w:rPr>
        <w:t xml:space="preserve"> –EPC–. </w:t>
      </w:r>
      <w:r w:rsidRPr="00F420B6">
        <w:rPr>
          <w:rFonts w:ascii="Century Gothic" w:hAnsi="Century Gothic" w:cs="Arial"/>
          <w:bCs/>
          <w:color w:val="000000"/>
          <w:sz w:val="20"/>
          <w:szCs w:val="20"/>
          <w:lang w:val="es-ES_tradnl" w:eastAsia="es-MX"/>
        </w:rPr>
        <w:t>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sidRPr="00F420B6">
        <w:rPr>
          <w:rFonts w:ascii="Century Gothic" w:eastAsia="Calibri" w:hAnsi="Century Gothic" w:cs="Arial"/>
          <w:color w:val="000000"/>
          <w:sz w:val="20"/>
          <w:szCs w:val="20"/>
          <w:lang w:val="es-ES" w:eastAsia="es-MX"/>
        </w:rPr>
        <w:t>”.</w:t>
      </w:r>
      <w:r w:rsidRPr="00F420B6">
        <w:rPr>
          <w:rFonts w:ascii="Century Gothic" w:hAnsi="Century Gothic"/>
          <w:sz w:val="20"/>
          <w:szCs w:val="20"/>
          <w:lang w:eastAsia="es-MX"/>
        </w:rPr>
        <w:t xml:space="preserve"> </w:t>
      </w:r>
      <w:r w:rsidRPr="00F420B6">
        <w:rPr>
          <w:rFonts w:ascii="Century Gothic" w:hAnsi="Century Gothic" w:cs="Arial"/>
          <w:sz w:val="20"/>
          <w:szCs w:val="20"/>
          <w:lang w:eastAsia="es-MX"/>
        </w:rPr>
        <w:t>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w:t>
      </w:r>
      <w:r w:rsidRPr="00F420B6">
        <w:rPr>
          <w:rFonts w:ascii="Century Gothic" w:hAnsi="Century Gothic" w:cs="Arial"/>
          <w:spacing w:val="-16"/>
          <w:sz w:val="20"/>
          <w:szCs w:val="20"/>
          <w:lang w:eastAsia="es-MX"/>
        </w:rPr>
        <w:t xml:space="preserve"> </w:t>
      </w:r>
      <w:r w:rsidRPr="00F420B6">
        <w:rPr>
          <w:rFonts w:ascii="Century Gothic" w:hAnsi="Century Gothic" w:cs="Arial"/>
          <w:sz w:val="20"/>
          <w:szCs w:val="20"/>
          <w:lang w:eastAsia="es-MX"/>
        </w:rPr>
        <w:t>entrega”.</w:t>
      </w:r>
    </w:p>
    <w:p w14:paraId="40C5CB5B" w14:textId="77777777" w:rsidR="001A7B0C" w:rsidRPr="00F420B6" w:rsidRDefault="001A7B0C" w:rsidP="001A7B0C">
      <w:pPr>
        <w:spacing w:after="0" w:line="240" w:lineRule="auto"/>
        <w:jc w:val="both"/>
        <w:rPr>
          <w:rFonts w:ascii="Century Gothic" w:eastAsia="Calibri" w:hAnsi="Century Gothic" w:cs="Arial"/>
          <w:sz w:val="20"/>
          <w:szCs w:val="20"/>
          <w:lang w:val="es-ES_tradnl"/>
        </w:rPr>
      </w:pPr>
    </w:p>
    <w:p w14:paraId="7F172C9C" w14:textId="77777777" w:rsidR="001A7B0C" w:rsidRPr="00F420B6" w:rsidRDefault="001A7B0C" w:rsidP="001A7B0C">
      <w:pPr>
        <w:spacing w:after="0" w:line="240" w:lineRule="auto"/>
        <w:jc w:val="both"/>
        <w:rPr>
          <w:rFonts w:ascii="Century Gothic" w:eastAsia="Calibri" w:hAnsi="Century Gothic" w:cs="Arial"/>
          <w:b/>
        </w:rPr>
      </w:pPr>
      <w:r w:rsidRPr="00F420B6">
        <w:rPr>
          <w:rFonts w:ascii="Century Gothic" w:eastAsia="Calibri" w:hAnsi="Century Gothic" w:cs="Arial"/>
          <w:b/>
        </w:rPr>
        <w:t>PRINCIPIO DE INALTERABILIDAD – Alcance – Documentos tipo de infraestructura social</w:t>
      </w:r>
    </w:p>
    <w:p w14:paraId="3717529C" w14:textId="77777777" w:rsidR="001A7B0C" w:rsidRPr="00F420B6" w:rsidRDefault="001A7B0C" w:rsidP="001A7B0C">
      <w:pPr>
        <w:spacing w:after="0" w:line="240" w:lineRule="auto"/>
        <w:jc w:val="both"/>
        <w:rPr>
          <w:rFonts w:ascii="Century Gothic" w:eastAsia="Calibri" w:hAnsi="Century Gothic" w:cs="Arial"/>
          <w:sz w:val="20"/>
          <w:szCs w:val="20"/>
        </w:rPr>
      </w:pPr>
    </w:p>
    <w:p w14:paraId="14C900EB" w14:textId="77777777" w:rsidR="001A7B0C" w:rsidRPr="00F420B6" w:rsidRDefault="001A7B0C" w:rsidP="001A7B0C">
      <w:pPr>
        <w:tabs>
          <w:tab w:val="left" w:pos="6551"/>
        </w:tabs>
        <w:spacing w:after="0" w:line="240" w:lineRule="auto"/>
        <w:jc w:val="both"/>
        <w:rPr>
          <w:rFonts w:ascii="Century Gothic" w:eastAsia="Calibri" w:hAnsi="Century Gothic" w:cs="Arial"/>
          <w:bCs/>
          <w:sz w:val="20"/>
          <w:szCs w:val="20"/>
        </w:rPr>
      </w:pPr>
      <w:r w:rsidRPr="00F420B6">
        <w:rPr>
          <w:rFonts w:ascii="Century Gothic" w:eastAsia="Calibri" w:hAnsi="Century Gothic" w:cs="Arial"/>
          <w:bCs/>
          <w:sz w:val="20"/>
          <w:szCs w:val="20"/>
        </w:rPr>
        <w:t xml:space="preserve">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social, caso en el que se podrá incluir experiencia adicional de manera excepcional; y, además, cuando el pliego tipo de forma expresa lo permita, es decir, en los aspectos incluidos en corchetes y resaltados en gris. </w:t>
      </w:r>
    </w:p>
    <w:p w14:paraId="7E34ED77" w14:textId="77777777" w:rsidR="001A7B0C" w:rsidRPr="00F420B6" w:rsidRDefault="001A7B0C" w:rsidP="001A7B0C">
      <w:pPr>
        <w:tabs>
          <w:tab w:val="left" w:pos="6551"/>
        </w:tabs>
        <w:spacing w:after="0" w:line="240" w:lineRule="auto"/>
        <w:jc w:val="both"/>
        <w:rPr>
          <w:rFonts w:ascii="Century Gothic" w:eastAsia="Calibri" w:hAnsi="Century Gothic" w:cs="Arial"/>
          <w:bCs/>
          <w:sz w:val="20"/>
          <w:szCs w:val="20"/>
        </w:rPr>
      </w:pPr>
    </w:p>
    <w:p w14:paraId="4F86F3FA" w14:textId="77777777" w:rsidR="001A7B0C" w:rsidRPr="00F420B6" w:rsidRDefault="001A7B0C" w:rsidP="001A7B0C">
      <w:pPr>
        <w:tabs>
          <w:tab w:val="left" w:pos="6551"/>
        </w:tabs>
        <w:spacing w:after="0" w:line="240" w:lineRule="auto"/>
        <w:jc w:val="both"/>
        <w:rPr>
          <w:rFonts w:ascii="Century Gothic" w:eastAsia="Calibri" w:hAnsi="Century Gothic" w:cs="Arial"/>
          <w:bCs/>
          <w:sz w:val="20"/>
          <w:szCs w:val="20"/>
        </w:rPr>
      </w:pPr>
      <w:r w:rsidRPr="00F420B6">
        <w:rPr>
          <w:rFonts w:ascii="Century Gothic" w:eastAsia="Calibri" w:hAnsi="Century Gothic" w:cs="Arial"/>
          <w:bCs/>
          <w:sz w:val="20"/>
          <w:szCs w:val="20"/>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074AA081" w14:textId="77777777" w:rsidR="001A7B0C" w:rsidRPr="00F420B6" w:rsidRDefault="001A7B0C" w:rsidP="001A7B0C">
      <w:pPr>
        <w:tabs>
          <w:tab w:val="left" w:pos="6551"/>
        </w:tabs>
        <w:spacing w:after="0" w:line="240" w:lineRule="auto"/>
        <w:jc w:val="both"/>
        <w:rPr>
          <w:rFonts w:ascii="Century Gothic" w:eastAsia="Calibri" w:hAnsi="Century Gothic" w:cs="Arial"/>
          <w:bCs/>
          <w:sz w:val="20"/>
          <w:szCs w:val="20"/>
        </w:rPr>
      </w:pPr>
    </w:p>
    <w:p w14:paraId="54FC30CE" w14:textId="77777777" w:rsidR="001A7B0C" w:rsidRPr="00F420B6" w:rsidRDefault="001A7B0C" w:rsidP="001A7B0C">
      <w:pPr>
        <w:tabs>
          <w:tab w:val="left" w:pos="6551"/>
        </w:tabs>
        <w:spacing w:after="0" w:line="240" w:lineRule="auto"/>
        <w:jc w:val="both"/>
        <w:rPr>
          <w:rFonts w:ascii="Century Gothic" w:eastAsia="Calibri" w:hAnsi="Century Gothic" w:cs="Arial"/>
          <w:bCs/>
          <w:sz w:val="20"/>
          <w:szCs w:val="20"/>
        </w:rPr>
      </w:pPr>
      <w:r w:rsidRPr="00F420B6">
        <w:rPr>
          <w:rFonts w:ascii="Century Gothic" w:eastAsia="Calibri" w:hAnsi="Century Gothic" w:cs="Arial"/>
          <w:bCs/>
          <w:sz w:val="20"/>
          <w:szCs w:val="20"/>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w:t>
      </w:r>
      <w:proofErr w:type="gramStart"/>
      <w:r w:rsidRPr="00F420B6">
        <w:rPr>
          <w:rFonts w:ascii="Century Gothic" w:eastAsia="Calibri" w:hAnsi="Century Gothic" w:cs="Arial"/>
          <w:bCs/>
          <w:sz w:val="20"/>
          <w:szCs w:val="20"/>
        </w:rPr>
        <w:t>le</w:t>
      </w:r>
      <w:proofErr w:type="gramEnd"/>
      <w:r w:rsidRPr="00F420B6">
        <w:rPr>
          <w:rFonts w:ascii="Century Gothic" w:eastAsia="Calibri" w:hAnsi="Century Gothic" w:cs="Arial"/>
          <w:bCs/>
          <w:sz w:val="20"/>
          <w:szCs w:val="20"/>
        </w:rPr>
        <w:t xml:space="preserv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p>
    <w:p w14:paraId="0F1A1219" w14:textId="77777777" w:rsidR="001A7B0C" w:rsidRDefault="001A7B0C" w:rsidP="009A7952">
      <w:pPr>
        <w:spacing w:after="0"/>
        <w:rPr>
          <w:rFonts w:ascii="Century Gothic" w:eastAsia="Geomanist Light" w:hAnsi="Century Gothic" w:cs="Arial"/>
          <w:color w:val="201F1E"/>
          <w:lang w:val="es-MX"/>
        </w:rPr>
      </w:pPr>
    </w:p>
    <w:p w14:paraId="6A6504A3" w14:textId="77777777" w:rsidR="001A7B0C" w:rsidRDefault="001A7B0C" w:rsidP="009A7952">
      <w:pPr>
        <w:spacing w:after="0"/>
        <w:rPr>
          <w:rFonts w:ascii="Century Gothic" w:eastAsia="Geomanist Light" w:hAnsi="Century Gothic" w:cs="Arial"/>
          <w:color w:val="201F1E"/>
          <w:lang w:val="es-MX"/>
        </w:rPr>
      </w:pPr>
    </w:p>
    <w:p w14:paraId="1A7BCD58" w14:textId="77777777" w:rsidR="001A7B0C" w:rsidRDefault="001A7B0C" w:rsidP="009A7952">
      <w:pPr>
        <w:spacing w:after="0"/>
        <w:rPr>
          <w:rFonts w:ascii="Century Gothic" w:eastAsia="Geomanist Light" w:hAnsi="Century Gothic" w:cs="Arial"/>
          <w:color w:val="201F1E"/>
          <w:lang w:val="es-MX"/>
        </w:rPr>
      </w:pPr>
    </w:p>
    <w:p w14:paraId="6BB0CD04" w14:textId="406FC23F" w:rsidR="009A7952" w:rsidRPr="00F420B6" w:rsidRDefault="009A7952" w:rsidP="009A7952">
      <w:pPr>
        <w:spacing w:after="0"/>
        <w:rPr>
          <w:rFonts w:ascii="Century Gothic" w:eastAsia="Geomanist Light" w:hAnsi="Century Gothic" w:cs="Arial"/>
          <w:color w:val="201F1E"/>
          <w:lang w:val="es-MX"/>
        </w:rPr>
      </w:pPr>
      <w:r w:rsidRPr="00F420B6">
        <w:rPr>
          <w:rFonts w:ascii="Century Gothic" w:eastAsia="Geomanist Light" w:hAnsi="Century Gothic" w:cs="Arial"/>
          <w:color w:val="201F1E"/>
          <w:lang w:val="es-MX"/>
        </w:rPr>
        <w:t xml:space="preserve">Bogotá D.C., </w:t>
      </w:r>
      <w:r w:rsidR="002B2B0E" w:rsidRPr="002B2B0E">
        <w:rPr>
          <w:rFonts w:ascii="Century Gothic" w:eastAsia="Geomanist Light" w:hAnsi="Century Gothic" w:cs="Arial"/>
          <w:color w:val="201F1E"/>
          <w:lang w:val="es-MX"/>
        </w:rPr>
        <w:t>27 de Octubre de 2023</w:t>
      </w:r>
    </w:p>
    <w:p w14:paraId="78B5FB93" w14:textId="77777777" w:rsidR="009A7952" w:rsidRPr="00F420B6" w:rsidRDefault="009A7952" w:rsidP="009A7952">
      <w:pPr>
        <w:spacing w:after="0"/>
        <w:rPr>
          <w:rFonts w:ascii="Century Gothic" w:eastAsia="Times New Roman" w:hAnsi="Century Gothic" w:cs="Arial"/>
          <w:lang w:val="es-MX" w:eastAsia="es-ES"/>
        </w:rPr>
      </w:pPr>
    </w:p>
    <w:p w14:paraId="7881309B" w14:textId="77C8ADD4" w:rsidR="009A7952" w:rsidRDefault="000108D3" w:rsidP="000108D3">
      <w:pPr>
        <w:spacing w:after="0"/>
        <w:contextualSpacing/>
        <w:jc w:val="right"/>
        <w:rPr>
          <w:rFonts w:ascii="Century Gothic" w:eastAsia="Calibri" w:hAnsi="Century Gothic" w:cs="Arial"/>
          <w:lang w:val="es-ES_tradnl" w:eastAsia="es-ES_tradnl"/>
        </w:rPr>
      </w:pPr>
      <w:r>
        <w:rPr>
          <w:noProof/>
        </w:rPr>
        <w:drawing>
          <wp:inline distT="0" distB="0" distL="0" distR="0" wp14:anchorId="68C18B42" wp14:editId="51A55C36">
            <wp:extent cx="2611593" cy="600075"/>
            <wp:effectExtent l="0" t="0" r="0" b="0"/>
            <wp:docPr id="15213658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65812" name=""/>
                    <pic:cNvPicPr/>
                  </pic:nvPicPr>
                  <pic:blipFill>
                    <a:blip r:embed="rId10"/>
                    <a:stretch>
                      <a:fillRect/>
                    </a:stretch>
                  </pic:blipFill>
                  <pic:spPr>
                    <a:xfrm>
                      <a:off x="0" y="0"/>
                      <a:ext cx="2616419" cy="601184"/>
                    </a:xfrm>
                    <a:prstGeom prst="rect">
                      <a:avLst/>
                    </a:prstGeom>
                  </pic:spPr>
                </pic:pic>
              </a:graphicData>
            </a:graphic>
          </wp:inline>
        </w:drawing>
      </w:r>
    </w:p>
    <w:p w14:paraId="2523FE51" w14:textId="77777777" w:rsidR="000108D3" w:rsidRPr="00F420B6" w:rsidRDefault="000108D3" w:rsidP="009A7952">
      <w:pPr>
        <w:spacing w:after="0"/>
        <w:contextualSpacing/>
        <w:jc w:val="both"/>
        <w:rPr>
          <w:rFonts w:ascii="Century Gothic" w:eastAsia="Calibri" w:hAnsi="Century Gothic" w:cs="Arial"/>
          <w:lang w:val="es-ES_tradnl" w:eastAsia="es-ES_tradnl"/>
        </w:rPr>
      </w:pPr>
    </w:p>
    <w:p w14:paraId="0F32B468" w14:textId="77777777" w:rsidR="009A7952" w:rsidRPr="00F420B6" w:rsidRDefault="009A7952" w:rsidP="009A7952">
      <w:pPr>
        <w:contextualSpacing/>
        <w:jc w:val="both"/>
        <w:rPr>
          <w:rFonts w:ascii="Century Gothic" w:eastAsia="Calibri" w:hAnsi="Century Gothic" w:cs="Arial"/>
          <w:lang w:eastAsia="es-ES_tradnl"/>
        </w:rPr>
      </w:pPr>
      <w:r w:rsidRPr="00F420B6">
        <w:rPr>
          <w:rFonts w:ascii="Century Gothic" w:eastAsia="Calibri" w:hAnsi="Century Gothic" w:cs="Arial"/>
          <w:lang w:eastAsia="es-ES_tradnl"/>
        </w:rPr>
        <w:t>Señora</w:t>
      </w:r>
    </w:p>
    <w:p w14:paraId="273FA444" w14:textId="77777777" w:rsidR="009A7952" w:rsidRPr="00F420B6" w:rsidRDefault="009A7952" w:rsidP="009A7952">
      <w:pPr>
        <w:contextualSpacing/>
        <w:jc w:val="both"/>
        <w:rPr>
          <w:rFonts w:ascii="Century Gothic" w:eastAsia="Calibri" w:hAnsi="Century Gothic" w:cs="Arial"/>
          <w:b/>
          <w:lang w:eastAsia="es-ES_tradnl"/>
        </w:rPr>
      </w:pPr>
      <w:r w:rsidRPr="00F420B6">
        <w:rPr>
          <w:rFonts w:ascii="Century Gothic" w:eastAsia="Calibri" w:hAnsi="Century Gothic" w:cs="Arial"/>
          <w:b/>
          <w:lang w:eastAsia="es-ES_tradnl"/>
        </w:rPr>
        <w:t>Vivian Camila Chacón Delgado</w:t>
      </w:r>
    </w:p>
    <w:p w14:paraId="4F8D9E2B" w14:textId="77777777" w:rsidR="009A7952" w:rsidRPr="00F420B6" w:rsidRDefault="009A7952" w:rsidP="009A7952">
      <w:pPr>
        <w:contextualSpacing/>
        <w:jc w:val="both"/>
        <w:rPr>
          <w:rFonts w:ascii="Century Gothic" w:eastAsia="Calibri" w:hAnsi="Century Gothic" w:cs="Arial"/>
          <w:lang w:eastAsia="es-ES_tradnl"/>
        </w:rPr>
      </w:pPr>
      <w:r w:rsidRPr="00F420B6">
        <w:rPr>
          <w:rFonts w:ascii="Century Gothic" w:eastAsia="Geomanist Light" w:hAnsi="Century Gothic" w:cs="Arial"/>
          <w:color w:val="000000" w:themeColor="text1"/>
          <w:lang w:val="es-MX"/>
        </w:rPr>
        <w:t>Bogotá D.C.</w:t>
      </w:r>
      <w:r w:rsidRPr="00F420B6">
        <w:rPr>
          <w:rFonts w:ascii="Century Gothic" w:eastAsia="Calibri" w:hAnsi="Century Gothic" w:cs="Arial"/>
          <w:lang w:eastAsia="es-ES_tradnl"/>
        </w:rPr>
        <w:t xml:space="preserve">  </w:t>
      </w:r>
    </w:p>
    <w:p w14:paraId="06F9ACD2" w14:textId="77777777" w:rsidR="009A7952" w:rsidRPr="00F420B6" w:rsidRDefault="009A7952" w:rsidP="009A7952">
      <w:pPr>
        <w:contextualSpacing/>
        <w:jc w:val="both"/>
        <w:rPr>
          <w:rFonts w:ascii="Century Gothic" w:eastAsia="Calibri" w:hAnsi="Century Gothic" w:cs="Arial"/>
          <w:lang w:val="es-ES_tradnl" w:eastAsia="es-ES_tradnl"/>
        </w:rPr>
      </w:pPr>
    </w:p>
    <w:p w14:paraId="3367958F" w14:textId="77777777" w:rsidR="009A7952" w:rsidRPr="00F420B6" w:rsidRDefault="009A7952" w:rsidP="009A7952">
      <w:pPr>
        <w:contextualSpacing/>
        <w:rPr>
          <w:rFonts w:ascii="Century Gothic" w:eastAsia="Calibri" w:hAnsi="Century Gothic" w:cs="Arial"/>
          <w:b/>
          <w:lang w:val="es-ES_tradnl" w:eastAsia="es-ES_tradnl"/>
        </w:rPr>
      </w:pPr>
    </w:p>
    <w:p w14:paraId="27E15B4E" w14:textId="416B6E85" w:rsidR="009A7952" w:rsidRPr="00F420B6" w:rsidRDefault="009A7952" w:rsidP="009A7952">
      <w:pPr>
        <w:ind w:left="2124" w:firstLine="570"/>
        <w:contextualSpacing/>
        <w:rPr>
          <w:rFonts w:ascii="Century Gothic" w:eastAsia="Calibri" w:hAnsi="Century Gothic" w:cs="Arial"/>
          <w:b/>
          <w:lang w:val="es-ES_tradnl" w:eastAsia="es-ES_tradnl"/>
        </w:rPr>
      </w:pPr>
      <w:r w:rsidRPr="00F420B6">
        <w:rPr>
          <w:rFonts w:ascii="Century Gothic" w:eastAsia="Calibri" w:hAnsi="Century Gothic" w:cs="Arial"/>
          <w:b/>
          <w:lang w:val="es-ES_tradnl" w:eastAsia="es-ES_tradnl"/>
        </w:rPr>
        <w:t xml:space="preserve">Concepto C – </w:t>
      </w:r>
      <w:r w:rsidR="0082534B">
        <w:rPr>
          <w:rFonts w:ascii="Century Gothic" w:eastAsia="Calibri" w:hAnsi="Century Gothic" w:cs="Arial"/>
          <w:b/>
          <w:lang w:val="es-ES_tradnl" w:eastAsia="es-ES_tradnl"/>
        </w:rPr>
        <w:t>214</w:t>
      </w:r>
      <w:r w:rsidRPr="00F420B6">
        <w:rPr>
          <w:rFonts w:ascii="Century Gothic" w:eastAsia="Calibri" w:hAnsi="Century Gothic" w:cs="Arial"/>
          <w:b/>
          <w:lang w:val="es-ES_tradnl" w:eastAsia="es-ES_tradnl"/>
        </w:rPr>
        <w:t xml:space="preserve"> de 2023</w:t>
      </w:r>
    </w:p>
    <w:p w14:paraId="0B787656" w14:textId="77777777" w:rsidR="009A7952" w:rsidRPr="00F420B6" w:rsidRDefault="009A7952" w:rsidP="009A7952">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7952" w:rsidRPr="00F420B6" w14:paraId="6D6344DA" w14:textId="77777777" w:rsidTr="008A6A55">
        <w:tc>
          <w:tcPr>
            <w:tcW w:w="2689" w:type="dxa"/>
          </w:tcPr>
          <w:p w14:paraId="27608128" w14:textId="77777777" w:rsidR="009A7952" w:rsidRPr="00F420B6" w:rsidRDefault="009A7952" w:rsidP="008A6A55">
            <w:pPr>
              <w:contextualSpacing/>
              <w:jc w:val="both"/>
              <w:rPr>
                <w:rFonts w:ascii="Century Gothic" w:eastAsia="Calibri" w:hAnsi="Century Gothic" w:cs="Arial"/>
                <w:lang w:val="es-ES_tradnl" w:eastAsia="es-ES_tradnl"/>
              </w:rPr>
            </w:pPr>
            <w:r w:rsidRPr="00F420B6">
              <w:rPr>
                <w:rFonts w:ascii="Century Gothic" w:eastAsia="Calibri" w:hAnsi="Century Gothic" w:cs="Arial"/>
                <w:b/>
                <w:lang w:val="es-ES_tradnl" w:eastAsia="es-ES_tradnl"/>
              </w:rPr>
              <w:t>Temas:</w:t>
            </w:r>
            <w:r w:rsidRPr="00F420B6">
              <w:rPr>
                <w:rFonts w:ascii="Century Gothic" w:eastAsia="Calibri" w:hAnsi="Century Gothic" w:cs="Arial"/>
                <w:lang w:val="es-ES_tradnl" w:eastAsia="es-ES_tradnl"/>
              </w:rPr>
              <w:t xml:space="preserve">                                      </w:t>
            </w:r>
          </w:p>
        </w:tc>
        <w:tc>
          <w:tcPr>
            <w:tcW w:w="6237" w:type="dxa"/>
          </w:tcPr>
          <w:p w14:paraId="3C47B30C" w14:textId="77777777" w:rsidR="009A7952" w:rsidRPr="00F420B6" w:rsidRDefault="009A7952" w:rsidP="008A6A55">
            <w:pPr>
              <w:spacing w:after="120"/>
              <w:contextualSpacing/>
              <w:jc w:val="both"/>
              <w:rPr>
                <w:rFonts w:ascii="Century Gothic" w:eastAsia="Calibri" w:hAnsi="Century Gothic" w:cs="Arial"/>
                <w:lang w:val="es-MX" w:eastAsia="es-ES_tradnl"/>
              </w:rPr>
            </w:pPr>
            <w:r w:rsidRPr="00F420B6">
              <w:rPr>
                <w:rFonts w:ascii="Century Gothic" w:eastAsia="Calibri" w:hAnsi="Century Gothic" w:cs="Arial"/>
                <w:lang w:val="es-MX" w:eastAsia="es-ES_tradnl"/>
              </w:rPr>
              <w:t xml:space="preserve">DOCUMENTOS TIPO – Fundamento normativo / CONTRATO DE OBRA PÚBLICA – Definición / MODALIDAD LLAVE EN MANO – Contrato EPC – Definición / PRINCIPIO DE INALTERABILIDAD – Alcance – Documentos tipo de infraestructura social  </w:t>
            </w:r>
          </w:p>
          <w:p w14:paraId="25ACB332" w14:textId="77777777" w:rsidR="009A7952" w:rsidRPr="00F420B6" w:rsidRDefault="009A7952" w:rsidP="008A6A55">
            <w:pPr>
              <w:spacing w:after="120"/>
              <w:contextualSpacing/>
              <w:jc w:val="both"/>
              <w:rPr>
                <w:rFonts w:ascii="Century Gothic" w:eastAsia="Calibri" w:hAnsi="Century Gothic" w:cs="Arial"/>
                <w:sz w:val="12"/>
                <w:szCs w:val="12"/>
                <w:lang w:val="es-ES_tradnl" w:eastAsia="es-ES_tradnl"/>
              </w:rPr>
            </w:pPr>
          </w:p>
        </w:tc>
      </w:tr>
      <w:tr w:rsidR="009A7952" w:rsidRPr="00F420B6" w14:paraId="762367B9" w14:textId="77777777" w:rsidTr="008A6A55">
        <w:trPr>
          <w:trHeight w:val="227"/>
        </w:trPr>
        <w:tc>
          <w:tcPr>
            <w:tcW w:w="2689" w:type="dxa"/>
          </w:tcPr>
          <w:p w14:paraId="1455482C" w14:textId="77777777" w:rsidR="009A7952" w:rsidRPr="00F420B6" w:rsidRDefault="009A7952" w:rsidP="008A6A55">
            <w:pPr>
              <w:contextualSpacing/>
              <w:jc w:val="both"/>
              <w:rPr>
                <w:rFonts w:ascii="Century Gothic" w:eastAsia="Calibri" w:hAnsi="Century Gothic" w:cs="Arial"/>
                <w:b/>
                <w:lang w:val="es-ES_tradnl" w:eastAsia="es-ES_tradnl"/>
              </w:rPr>
            </w:pPr>
            <w:r w:rsidRPr="00F420B6">
              <w:rPr>
                <w:rFonts w:ascii="Century Gothic" w:eastAsia="Calibri" w:hAnsi="Century Gothic" w:cs="Arial"/>
                <w:b/>
                <w:lang w:val="es-ES_tradnl" w:eastAsia="es-ES_tradnl"/>
              </w:rPr>
              <w:t>Radicación:</w:t>
            </w:r>
            <w:r w:rsidRPr="00F420B6">
              <w:rPr>
                <w:rFonts w:ascii="Century Gothic" w:eastAsia="Calibri" w:hAnsi="Century Gothic" w:cs="Arial"/>
                <w:lang w:val="es-ES_tradnl" w:eastAsia="es-ES_tradnl"/>
              </w:rPr>
              <w:t xml:space="preserve">                             </w:t>
            </w:r>
          </w:p>
        </w:tc>
        <w:tc>
          <w:tcPr>
            <w:tcW w:w="6237" w:type="dxa"/>
          </w:tcPr>
          <w:p w14:paraId="26BE85E5" w14:textId="77777777" w:rsidR="009A7952" w:rsidRPr="00F420B6" w:rsidRDefault="009A7952" w:rsidP="008A6A55">
            <w:pPr>
              <w:contextualSpacing/>
              <w:jc w:val="both"/>
              <w:rPr>
                <w:rFonts w:ascii="Century Gothic" w:eastAsia="Calibri" w:hAnsi="Century Gothic" w:cs="Arial"/>
                <w:lang w:val="es-ES_tradnl" w:eastAsia="es-ES_tradnl"/>
              </w:rPr>
            </w:pPr>
            <w:r w:rsidRPr="00F420B6">
              <w:rPr>
                <w:rFonts w:ascii="Century Gothic" w:eastAsia="Calibri" w:hAnsi="Century Gothic" w:cs="Arial"/>
                <w:lang w:val="es-ES_tradnl" w:eastAsia="es-ES_tradnl"/>
              </w:rPr>
              <w:t>Respuesta a la consulta P20230914015143</w:t>
            </w:r>
          </w:p>
        </w:tc>
      </w:tr>
    </w:tbl>
    <w:p w14:paraId="474F13A0" w14:textId="77777777" w:rsidR="009A7952" w:rsidRPr="00F420B6" w:rsidRDefault="009A7952" w:rsidP="009A7952">
      <w:pPr>
        <w:contextualSpacing/>
        <w:jc w:val="both"/>
        <w:rPr>
          <w:rFonts w:ascii="Century Gothic" w:eastAsia="Calibri" w:hAnsi="Century Gothic" w:cs="Arial"/>
          <w:lang w:val="es-ES_tradnl" w:eastAsia="es-ES_tradnl"/>
        </w:rPr>
      </w:pPr>
    </w:p>
    <w:p w14:paraId="3FB0BEDC" w14:textId="77777777" w:rsidR="009A7952" w:rsidRPr="00F420B6" w:rsidRDefault="009A7952" w:rsidP="009A7952">
      <w:pPr>
        <w:contextualSpacing/>
        <w:jc w:val="both"/>
        <w:rPr>
          <w:rFonts w:ascii="Century Gothic" w:eastAsia="Calibri" w:hAnsi="Century Gothic" w:cs="Arial"/>
          <w:lang w:val="es-ES_tradnl" w:eastAsia="es-ES_tradnl"/>
        </w:rPr>
      </w:pPr>
    </w:p>
    <w:p w14:paraId="7A96E0AD" w14:textId="77777777" w:rsidR="009A7952" w:rsidRPr="00F420B6" w:rsidRDefault="009A7952" w:rsidP="009A7952">
      <w:pPr>
        <w:contextualSpacing/>
        <w:jc w:val="both"/>
        <w:rPr>
          <w:rFonts w:ascii="Century Gothic" w:eastAsia="Calibri" w:hAnsi="Century Gothic" w:cs="Arial"/>
          <w:lang w:val="es-ES" w:eastAsia="es-ES"/>
        </w:rPr>
      </w:pPr>
      <w:r w:rsidRPr="00F420B6">
        <w:rPr>
          <w:rFonts w:ascii="Century Gothic" w:eastAsia="Calibri" w:hAnsi="Century Gothic" w:cs="Arial"/>
          <w:lang w:val="es-ES" w:eastAsia="es-ES"/>
        </w:rPr>
        <w:t xml:space="preserve">Respetada señora </w:t>
      </w:r>
      <w:r w:rsidRPr="00F420B6">
        <w:rPr>
          <w:rFonts w:ascii="Century Gothic" w:eastAsia="Times New Roman" w:hAnsi="Century Gothic" w:cs="Arial"/>
          <w:lang w:eastAsia="es-ES"/>
        </w:rPr>
        <w:t>Chacón Delgado</w:t>
      </w:r>
      <w:r w:rsidRPr="00F420B6">
        <w:rPr>
          <w:rFonts w:ascii="Century Gothic" w:eastAsia="Calibri" w:hAnsi="Century Gothic" w:cs="Arial"/>
          <w:lang w:val="es-ES" w:eastAsia="es-ES"/>
        </w:rPr>
        <w:t xml:space="preserve">: </w:t>
      </w:r>
    </w:p>
    <w:p w14:paraId="09363620" w14:textId="77777777" w:rsidR="009A7952" w:rsidRPr="00F420B6" w:rsidRDefault="009A7952" w:rsidP="009A7952">
      <w:pPr>
        <w:spacing w:line="276" w:lineRule="auto"/>
        <w:contextualSpacing/>
        <w:jc w:val="both"/>
        <w:rPr>
          <w:rFonts w:ascii="Century Gothic" w:eastAsia="Calibri" w:hAnsi="Century Gothic" w:cs="Arial"/>
          <w:szCs w:val="24"/>
          <w:lang w:val="es-ES_tradnl" w:eastAsia="es-ES_tradnl"/>
        </w:rPr>
      </w:pPr>
    </w:p>
    <w:bookmarkEnd w:id="0"/>
    <w:bookmarkEnd w:id="1"/>
    <w:p w14:paraId="7FC7250A" w14:textId="77777777" w:rsidR="009A7952" w:rsidRPr="00F420B6" w:rsidRDefault="009A7952" w:rsidP="009A7952">
      <w:pPr>
        <w:spacing w:after="0" w:line="276" w:lineRule="auto"/>
        <w:jc w:val="both"/>
        <w:rPr>
          <w:rFonts w:ascii="Century Gothic" w:eastAsia="Calibri" w:hAnsi="Century Gothic" w:cs="Arial"/>
          <w:color w:val="000000" w:themeColor="text1"/>
          <w:lang w:val="es-ES_tradnl"/>
        </w:rPr>
      </w:pPr>
      <w:r w:rsidRPr="00F420B6">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F420B6">
        <w:rPr>
          <w:rFonts w:ascii="Century Gothic" w:eastAsia="Arial MT" w:hAnsi="Century Gothic" w:cs="Arial"/>
          <w:lang w:val="es-ES"/>
        </w:rPr>
        <w:t xml:space="preserve">, </w:t>
      </w:r>
      <w:bookmarkEnd w:id="3"/>
      <w:r w:rsidRPr="00F420B6">
        <w:rPr>
          <w:rFonts w:ascii="Century Gothic" w:eastAsia="Calibri" w:hAnsi="Century Gothic" w:cs="Arial"/>
          <w:color w:val="000000" w:themeColor="text1"/>
          <w:lang w:val="es-ES_tradnl"/>
        </w:rPr>
        <w:t>la Agencia Nacional de Contratación Pública – Colombia Compra Eficiente responde la petición radicada el 14 de septiembre de 2023.</w:t>
      </w:r>
    </w:p>
    <w:p w14:paraId="15E4F269" w14:textId="77777777" w:rsidR="009A7952" w:rsidRPr="00F420B6" w:rsidRDefault="009A7952" w:rsidP="009A7952">
      <w:pPr>
        <w:spacing w:after="0" w:line="276" w:lineRule="auto"/>
        <w:jc w:val="both"/>
        <w:rPr>
          <w:rFonts w:ascii="Century Gothic" w:eastAsia="Calibri" w:hAnsi="Century Gothic" w:cs="Arial"/>
          <w:b/>
          <w:color w:val="000000" w:themeColor="text1"/>
          <w:lang w:val="es-ES_tradnl"/>
        </w:rPr>
      </w:pPr>
    </w:p>
    <w:p w14:paraId="0B3470B4" w14:textId="77777777" w:rsidR="009A7952" w:rsidRPr="00F420B6" w:rsidRDefault="009A7952" w:rsidP="009A7952">
      <w:pPr>
        <w:pStyle w:val="Prrafodelista"/>
        <w:numPr>
          <w:ilvl w:val="0"/>
          <w:numId w:val="1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F420B6">
        <w:rPr>
          <w:rFonts w:ascii="Century Gothic" w:eastAsia="Calibri" w:hAnsi="Century Gothic" w:cs="Arial"/>
          <w:b/>
          <w:color w:val="000000" w:themeColor="text1"/>
          <w:lang w:val="es-ES_tradnl"/>
        </w:rPr>
        <w:t xml:space="preserve">Problemas planteados </w:t>
      </w:r>
    </w:p>
    <w:p w14:paraId="75D45299" w14:textId="77777777" w:rsidR="009A7952" w:rsidRPr="00F420B6" w:rsidRDefault="009A7952" w:rsidP="009A7952">
      <w:pPr>
        <w:tabs>
          <w:tab w:val="left" w:pos="426"/>
        </w:tabs>
        <w:spacing w:after="0" w:line="276" w:lineRule="auto"/>
        <w:jc w:val="both"/>
        <w:rPr>
          <w:rFonts w:ascii="Century Gothic" w:eastAsia="Calibri" w:hAnsi="Century Gothic" w:cs="Arial"/>
          <w:b/>
          <w:color w:val="000000" w:themeColor="text1"/>
          <w:lang w:val="es-ES_tradnl"/>
        </w:rPr>
      </w:pPr>
    </w:p>
    <w:p w14:paraId="6D71B409" w14:textId="77777777" w:rsidR="009A7952" w:rsidRPr="00F420B6" w:rsidRDefault="009A7952" w:rsidP="009A7952">
      <w:pPr>
        <w:spacing w:after="0" w:line="276" w:lineRule="auto"/>
        <w:jc w:val="both"/>
        <w:rPr>
          <w:rFonts w:ascii="Century Gothic" w:hAnsi="Century Gothic" w:cs="Arial"/>
          <w:color w:val="000000" w:themeColor="text1"/>
          <w:lang w:val="es-ES_tradnl"/>
        </w:rPr>
      </w:pPr>
      <w:bookmarkStart w:id="4" w:name="_Hlk145941697"/>
      <w:bookmarkStart w:id="5" w:name="_Hlk132728388"/>
      <w:bookmarkStart w:id="6" w:name="_Hlk142917142"/>
      <w:r w:rsidRPr="00F420B6">
        <w:rPr>
          <w:rFonts w:ascii="Century Gothic" w:hAnsi="Century Gothic" w:cs="Arial"/>
          <w:color w:val="000000" w:themeColor="text1"/>
          <w:lang w:val="es-ES_tradnl"/>
        </w:rPr>
        <w:t>Usted manifiesta que “[…] se pretende desarrollar un proyecto modalidad llave en mano para la elaboración de diseños y construcción de un parque recreativo, consultando los documentos tipo, no se encuentra adoptado modalidad llave en mano - infraestructura social, sin embargo se cuenta con la adopción de documentos tipo para licitación pública de infraestructura social”. En esta medida pregunta si “[…] se debe adelantar el proyecto llave en mano con los documentos adoptados para la licitación pública infraestructura social? considerando la necesidad de adelantar los estudios diseños y obra en un mismo proyecto”.</w:t>
      </w:r>
    </w:p>
    <w:bookmarkEnd w:id="4"/>
    <w:p w14:paraId="3E14B23C" w14:textId="77777777" w:rsidR="009A7952" w:rsidRPr="00F420B6" w:rsidRDefault="009A7952" w:rsidP="009A7952">
      <w:pPr>
        <w:spacing w:after="0" w:line="276" w:lineRule="auto"/>
        <w:jc w:val="both"/>
        <w:rPr>
          <w:rFonts w:ascii="Century Gothic" w:hAnsi="Century Gothic" w:cs="Arial"/>
          <w:color w:val="000000" w:themeColor="text1"/>
          <w:lang w:val="es-ES_tradnl"/>
        </w:rPr>
      </w:pPr>
    </w:p>
    <w:bookmarkEnd w:id="5"/>
    <w:bookmarkEnd w:id="6"/>
    <w:p w14:paraId="3B06701A" w14:textId="77777777" w:rsidR="009A7952" w:rsidRPr="00F420B6" w:rsidRDefault="009A7952" w:rsidP="009A7952">
      <w:pPr>
        <w:pStyle w:val="Prrafodelista"/>
        <w:numPr>
          <w:ilvl w:val="0"/>
          <w:numId w:val="1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F420B6">
        <w:rPr>
          <w:rFonts w:ascii="Century Gothic" w:eastAsia="Calibri" w:hAnsi="Century Gothic" w:cs="Arial"/>
          <w:b/>
          <w:color w:val="000000" w:themeColor="text1"/>
          <w:lang w:val="es-ES_tradnl"/>
        </w:rPr>
        <w:t>Consideraciones</w:t>
      </w:r>
    </w:p>
    <w:p w14:paraId="01077A27" w14:textId="77777777" w:rsidR="009A7952" w:rsidRPr="00F420B6" w:rsidRDefault="009A7952" w:rsidP="009A7952">
      <w:pPr>
        <w:spacing w:after="0" w:line="276" w:lineRule="auto"/>
        <w:jc w:val="both"/>
        <w:rPr>
          <w:rFonts w:ascii="Century Gothic" w:eastAsia="Calibri" w:hAnsi="Century Gothic" w:cs="Arial"/>
          <w:color w:val="000000" w:themeColor="text1"/>
          <w:lang w:val="es-ES"/>
        </w:rPr>
      </w:pPr>
    </w:p>
    <w:p w14:paraId="16E5E271" w14:textId="77777777" w:rsidR="009A7952" w:rsidRPr="00F420B6" w:rsidRDefault="009A7952" w:rsidP="009A7952">
      <w:pPr>
        <w:spacing w:line="276" w:lineRule="auto"/>
        <w:jc w:val="both"/>
        <w:rPr>
          <w:rFonts w:ascii="Century Gothic" w:hAnsi="Century Gothic" w:cs="Arial"/>
          <w:color w:val="000000" w:themeColor="text1"/>
          <w:lang w:val="es-ES"/>
        </w:rPr>
      </w:pPr>
      <w:r w:rsidRPr="00F420B6">
        <w:rPr>
          <w:rFonts w:ascii="Century Gothic" w:hAnsi="Century Gothic" w:cs="Arial"/>
        </w:rPr>
        <w:t>L</w:t>
      </w:r>
      <w:r w:rsidRPr="00F420B6">
        <w:rPr>
          <w:rFonts w:ascii="Century Gothic" w:eastAsia="Calibri" w:hAnsi="Century Gothic" w:cs="Arial"/>
        </w:rPr>
        <w:t xml:space="preserve">a Subdirección resolverá la petición conforme a las normas generales en materia de contratación estatal. Con este objetivo se abordarán </w:t>
      </w:r>
      <w:r w:rsidRPr="00F420B6">
        <w:rPr>
          <w:rFonts w:ascii="Century Gothic" w:eastAsia="Calibri" w:hAnsi="Century Gothic" w:cs="Arial"/>
          <w:lang w:val="es-ES"/>
        </w:rPr>
        <w:t>los siguientes temas:</w:t>
      </w:r>
      <w:r w:rsidRPr="00F420B6">
        <w:rPr>
          <w:rFonts w:ascii="Century Gothic" w:hAnsi="Century Gothic" w:cs="Arial"/>
          <w:color w:val="000000" w:themeColor="text1"/>
          <w:lang w:val="es-ES"/>
        </w:rPr>
        <w:t xml:space="preserve"> </w:t>
      </w:r>
      <w:r w:rsidRPr="00F420B6">
        <w:rPr>
          <w:rFonts w:ascii="Century Gothic" w:hAnsi="Century Gothic" w:cs="Arial"/>
          <w:color w:val="000000" w:themeColor="text1"/>
          <w:lang w:val="es-ES_tradnl"/>
        </w:rPr>
        <w:t xml:space="preserve">i) fundamentos normativos de los documentos tipo; ii) definición del contrato de obra pública en la Ley 80 de 1993; iii) posibilidad de celebrar contratos que incluyan en su objeto la elaboración de estudios, diseños y la construcción de la obra, </w:t>
      </w:r>
      <w:proofErr w:type="spellStart"/>
      <w:r w:rsidRPr="00F420B6">
        <w:rPr>
          <w:rFonts w:ascii="Century Gothic" w:hAnsi="Century Gothic" w:cs="Arial"/>
          <w:color w:val="000000" w:themeColor="text1"/>
          <w:lang w:val="es-ES_tradnl"/>
        </w:rPr>
        <w:t>iv</w:t>
      </w:r>
      <w:proofErr w:type="spellEnd"/>
      <w:r w:rsidRPr="00F420B6">
        <w:rPr>
          <w:rFonts w:ascii="Century Gothic" w:hAnsi="Century Gothic" w:cs="Arial"/>
          <w:color w:val="000000" w:themeColor="text1"/>
          <w:lang w:val="es-ES_tradnl"/>
        </w:rPr>
        <w:t xml:space="preserve">) alcance de los contratos de obra en llave en mano, también denominados contratos de </w:t>
      </w:r>
      <w:proofErr w:type="spellStart"/>
      <w:r w:rsidRPr="00F420B6">
        <w:rPr>
          <w:rFonts w:ascii="Century Gothic" w:hAnsi="Century Gothic" w:cs="Arial"/>
          <w:color w:val="000000" w:themeColor="text1"/>
          <w:lang w:val="es-ES_tradnl"/>
        </w:rPr>
        <w:t>Engineering</w:t>
      </w:r>
      <w:proofErr w:type="spellEnd"/>
      <w:r w:rsidRPr="00F420B6">
        <w:rPr>
          <w:rFonts w:ascii="Century Gothic" w:hAnsi="Century Gothic" w:cs="Arial"/>
          <w:color w:val="000000" w:themeColor="text1"/>
          <w:lang w:val="es-ES_tradnl"/>
        </w:rPr>
        <w:t xml:space="preserve">, </w:t>
      </w:r>
      <w:proofErr w:type="spellStart"/>
      <w:r w:rsidRPr="00F420B6">
        <w:rPr>
          <w:rFonts w:ascii="Century Gothic" w:hAnsi="Century Gothic" w:cs="Arial"/>
          <w:color w:val="000000" w:themeColor="text1"/>
          <w:lang w:val="es-ES_tradnl"/>
        </w:rPr>
        <w:t>Procurement</w:t>
      </w:r>
      <w:proofErr w:type="spellEnd"/>
      <w:r w:rsidRPr="00F420B6">
        <w:rPr>
          <w:rFonts w:ascii="Century Gothic" w:hAnsi="Century Gothic" w:cs="Arial"/>
          <w:color w:val="000000" w:themeColor="text1"/>
          <w:lang w:val="es-ES_tradnl"/>
        </w:rPr>
        <w:t xml:space="preserve"> and </w:t>
      </w:r>
      <w:proofErr w:type="spellStart"/>
      <w:r w:rsidRPr="00F420B6">
        <w:rPr>
          <w:rFonts w:ascii="Century Gothic" w:hAnsi="Century Gothic" w:cs="Arial"/>
          <w:color w:val="000000" w:themeColor="text1"/>
          <w:lang w:val="es-ES_tradnl"/>
        </w:rPr>
        <w:t>Construction</w:t>
      </w:r>
      <w:proofErr w:type="spellEnd"/>
      <w:r w:rsidRPr="00F420B6">
        <w:rPr>
          <w:rFonts w:ascii="Century Gothic" w:hAnsi="Century Gothic" w:cs="Arial"/>
          <w:color w:val="000000" w:themeColor="text1"/>
          <w:lang w:val="es-ES_tradnl"/>
        </w:rPr>
        <w:t xml:space="preserve"> –EPC–; v) inalterabilidad de los documentos tipo de infraestructura social y sus excepciones.</w:t>
      </w:r>
    </w:p>
    <w:p w14:paraId="0C2CCC57" w14:textId="77777777" w:rsidR="009A7952" w:rsidRPr="00F420B6" w:rsidRDefault="009A7952" w:rsidP="009A7952">
      <w:pPr>
        <w:spacing w:before="120" w:after="0" w:line="276" w:lineRule="auto"/>
        <w:ind w:firstLine="709"/>
        <w:jc w:val="both"/>
        <w:rPr>
          <w:rFonts w:ascii="Century Gothic" w:eastAsia="Calibri" w:hAnsi="Century Gothic" w:cs="Arial"/>
          <w:color w:val="000000" w:themeColor="text1"/>
          <w:lang w:val="es-ES"/>
        </w:rPr>
      </w:pPr>
      <w:r w:rsidRPr="00F420B6">
        <w:rPr>
          <w:rFonts w:ascii="Century Gothic" w:eastAsia="Calibri" w:hAnsi="Century Gothic" w:cs="Arial"/>
          <w:color w:val="000000" w:themeColor="text1"/>
          <w:lang w:val="es-ES"/>
        </w:rPr>
        <w:t>La Agencia Nacional de Contratación Pública - Colombia Compra Eficiente se pronunció sobre los pliegos de condiciones tipo en la contratación estatal, y en particular sobre su inalterabilidad,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C-789 del 19 de enero de 2021 y C-031 del 1 de febrero de 2021. Además, expidió los conceptos C-124 del 25 de marzo de 2020, C-406 y C-477 del 13 de julio de 2020, C-612 del 2 de octubre de 2020, C-761 del 5 de enero de 2021, C- 297 del 17 de junio de 2021, C-339 del 14 de junio de 2021, C-367 del 26 de julio de 2021 y C-408 del 13 de agosto de 2021, C-739 del 2 de febrero de 2022, C-043 del 1 de marzo de 2022, C-165 del 6 de abril de 2022, C-284 del 11 de mayo de 2022, C-629 del 26 de septiembre de 2022 y C-862 del 16 de diciembre de 2022.</w:t>
      </w:r>
    </w:p>
    <w:p w14:paraId="2DA7E8EE" w14:textId="77777777" w:rsidR="009A7952" w:rsidRPr="00F420B6" w:rsidRDefault="009A7952" w:rsidP="009A7952">
      <w:pPr>
        <w:spacing w:before="120" w:after="0" w:line="276" w:lineRule="auto"/>
        <w:ind w:firstLine="709"/>
        <w:jc w:val="both"/>
        <w:rPr>
          <w:rFonts w:ascii="Century Gothic" w:eastAsia="Calibri" w:hAnsi="Century Gothic" w:cs="Arial"/>
          <w:color w:val="000000" w:themeColor="text1"/>
          <w:lang w:val="es-ES"/>
        </w:rPr>
      </w:pPr>
      <w:r w:rsidRPr="00F420B6">
        <w:rPr>
          <w:rStyle w:val="normaltextrun"/>
          <w:rFonts w:ascii="Century Gothic" w:hAnsi="Century Gothic" w:cs="Arial"/>
          <w:color w:val="000000"/>
          <w:shd w:val="clear" w:color="auto" w:fill="FFFFFF"/>
        </w:rPr>
        <w:t xml:space="preserve">Asimismo, </w:t>
      </w:r>
      <w:r w:rsidRPr="00F420B6">
        <w:rPr>
          <w:rFonts w:ascii="Century Gothic" w:eastAsia="Calibri" w:hAnsi="Century Gothic" w:cs="Arial"/>
          <w:color w:val="000000" w:themeColor="text1"/>
          <w:lang w:val="es-MX"/>
        </w:rPr>
        <w:t xml:space="preserve">explicó cuál es el objeto y las características del contrato de obra pública en los Conceptos 4201913000008014 del 24 de diciembre del año 2019, </w:t>
      </w:r>
      <w:r w:rsidRPr="00F420B6">
        <w:rPr>
          <w:rFonts w:ascii="Century Gothic" w:eastAsia="Calibri" w:hAnsi="Century Gothic" w:cs="Arial"/>
          <w:color w:val="000000" w:themeColor="text1"/>
          <w:lang w:val="es-ES_tradnl"/>
        </w:rPr>
        <w:t>C-530 del 13 de agosto de 2020 y C-038 del 5 de abril de 2021</w:t>
      </w:r>
      <w:r w:rsidRPr="00F420B6">
        <w:rPr>
          <w:rFonts w:ascii="Century Gothic" w:eastAsia="Calibri" w:hAnsi="Century Gothic" w:cs="Arial"/>
          <w:color w:val="000000" w:themeColor="text1"/>
          <w:lang w:val="es-ES"/>
        </w:rPr>
        <w:t xml:space="preserve">. Por otra parte, en los Conceptos </w:t>
      </w:r>
      <w:r w:rsidRPr="00F420B6">
        <w:rPr>
          <w:rFonts w:ascii="Century Gothic" w:eastAsia="Calibri" w:hAnsi="Century Gothic" w:cs="Arial"/>
          <w:color w:val="000000" w:themeColor="text1"/>
          <w:lang w:val="es-ES" w:bidi="es-ES"/>
        </w:rPr>
        <w:t>4201912000005784</w:t>
      </w:r>
      <w:r w:rsidRPr="00F420B6">
        <w:rPr>
          <w:rFonts w:ascii="Century Gothic" w:eastAsia="Calibri" w:hAnsi="Century Gothic" w:cs="Arial"/>
          <w:color w:val="000000" w:themeColor="text1"/>
          <w:lang w:val="es-ES"/>
        </w:rPr>
        <w:t xml:space="preserve"> del 7 de octubre de 2019, C-702 del 11 de diciembre de 2020, C-177 del 26 de abril de 2021, C-255 del 1 de junio de 2021, C-284 del 11 de mayo de 2022 y C-359 del 21 de julio de 2022 y C-174 del 16 de mayo de 2023, estudió la figura del contrato llave en mano</w:t>
      </w:r>
      <w:r w:rsidRPr="00F420B6">
        <w:rPr>
          <w:rStyle w:val="Refdenotaalpie"/>
          <w:rFonts w:ascii="Century Gothic" w:eastAsia="Calibri" w:hAnsi="Century Gothic" w:cs="Arial"/>
        </w:rPr>
        <w:footnoteReference w:id="1"/>
      </w:r>
      <w:r w:rsidRPr="00F420B6">
        <w:rPr>
          <w:rStyle w:val="normaltextrun"/>
          <w:rFonts w:ascii="Century Gothic" w:hAnsi="Century Gothic" w:cs="Arial"/>
          <w:color w:val="000000"/>
          <w:shd w:val="clear" w:color="auto" w:fill="FFFFFF"/>
        </w:rPr>
        <w:t xml:space="preserve">. </w:t>
      </w:r>
      <w:r w:rsidRPr="00F420B6">
        <w:rPr>
          <w:rFonts w:ascii="Century Gothic" w:eastAsia="Calibri" w:hAnsi="Century Gothic" w:cs="Arial"/>
          <w:color w:val="000000" w:themeColor="text1"/>
          <w:lang w:val="es-ES_tradnl"/>
        </w:rPr>
        <w:t xml:space="preserve">La tesis propuesta en estos conceptos se reitera a continuación y se complementa en lo pertinente. </w:t>
      </w:r>
    </w:p>
    <w:p w14:paraId="1D9FC0F3" w14:textId="77777777" w:rsidR="009A7952" w:rsidRPr="00F420B6" w:rsidRDefault="009A7952" w:rsidP="009A7952">
      <w:pPr>
        <w:spacing w:after="0" w:line="276" w:lineRule="auto"/>
        <w:contextualSpacing/>
        <w:jc w:val="both"/>
        <w:rPr>
          <w:rFonts w:ascii="Century Gothic" w:eastAsia="Times New Roman" w:hAnsi="Century Gothic" w:cs="Arial"/>
          <w:b/>
          <w:szCs w:val="24"/>
          <w:lang w:eastAsia="es-ES_tradnl"/>
        </w:rPr>
      </w:pPr>
    </w:p>
    <w:p w14:paraId="14B9FB3E" w14:textId="77777777" w:rsidR="009A7952" w:rsidRPr="00F420B6" w:rsidRDefault="009A7952" w:rsidP="009A7952">
      <w:pPr>
        <w:spacing w:after="0" w:line="276" w:lineRule="auto"/>
        <w:jc w:val="both"/>
        <w:rPr>
          <w:rFonts w:ascii="Century Gothic" w:eastAsia="Calibri" w:hAnsi="Century Gothic" w:cs="Arial"/>
          <w:b/>
          <w:bCs/>
          <w:lang w:val="es-ES_tradnl"/>
        </w:rPr>
      </w:pPr>
      <w:bookmarkStart w:id="7" w:name="_Hlk75784645"/>
      <w:r w:rsidRPr="00F420B6">
        <w:rPr>
          <w:rFonts w:ascii="Century Gothic" w:eastAsia="Calibri" w:hAnsi="Century Gothic" w:cs="Arial"/>
          <w:b/>
          <w:bCs/>
          <w:lang w:val="es-ES_tradnl"/>
        </w:rPr>
        <w:t xml:space="preserve">2.1. Fundamentos normativos de los documentos tipo </w:t>
      </w:r>
    </w:p>
    <w:p w14:paraId="3DE823E5" w14:textId="77777777" w:rsidR="009A7952" w:rsidRPr="00F420B6" w:rsidRDefault="009A7952" w:rsidP="009A7952">
      <w:pPr>
        <w:spacing w:after="0" w:line="276" w:lineRule="auto"/>
        <w:jc w:val="both"/>
        <w:rPr>
          <w:rFonts w:ascii="Century Gothic" w:eastAsia="Calibri" w:hAnsi="Century Gothic" w:cs="Arial"/>
          <w:b/>
          <w:bCs/>
          <w:lang w:val="es-ES_tradnl"/>
        </w:rPr>
      </w:pPr>
    </w:p>
    <w:p w14:paraId="0DB5EA63" w14:textId="77777777" w:rsidR="009A7952" w:rsidRPr="00F420B6" w:rsidRDefault="009A7952" w:rsidP="009A7952">
      <w:pPr>
        <w:spacing w:after="120" w:line="276" w:lineRule="auto"/>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w:t>
      </w:r>
      <w:r w:rsidRPr="00F420B6">
        <w:rPr>
          <w:rFonts w:ascii="Century Gothic" w:eastAsia="Calibri" w:hAnsi="Century Gothic" w:cs="Arial"/>
          <w:color w:val="000000"/>
          <w:szCs w:val="24"/>
          <w:vertAlign w:val="superscript"/>
          <w:lang w:val="es-ES" w:eastAsia="es-ES_tradnl"/>
        </w:rPr>
        <w:footnoteReference w:id="2"/>
      </w:r>
      <w:r w:rsidRPr="00F420B6">
        <w:rPr>
          <w:rFonts w:ascii="Century Gothic" w:eastAsia="Calibri" w:hAnsi="Century Gothic" w:cs="Arial"/>
          <w:color w:val="000000"/>
          <w:szCs w:val="24"/>
          <w:lang w:val="es-ES" w:eastAsia="es-ES_tradnl"/>
        </w:rPr>
        <w:t xml:space="preserve">. Como esta atribución no ha sido ejercida hasta la actualidad, el artículo 4 de la Ley 1882 de 2018 es el antecedente más relevante de la expedición de documentos tipo con alcance obligatorio. </w:t>
      </w:r>
    </w:p>
    <w:p w14:paraId="16EDA033" w14:textId="77777777" w:rsidR="009A7952" w:rsidRPr="00F420B6" w:rsidRDefault="009A7952" w:rsidP="009A7952">
      <w:pPr>
        <w:spacing w:after="120" w:line="276" w:lineRule="auto"/>
        <w:ind w:firstLine="708"/>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F420B6">
        <w:rPr>
          <w:rFonts w:ascii="Century Gothic" w:eastAsia="Calibri" w:hAnsi="Century Gothic" w:cs="Arial"/>
          <w:color w:val="000000"/>
          <w:szCs w:val="24"/>
          <w:vertAlign w:val="superscript"/>
          <w:lang w:val="es-ES" w:eastAsia="es-ES_tradnl"/>
        </w:rPr>
        <w:footnoteReference w:id="3"/>
      </w:r>
      <w:r w:rsidRPr="00F420B6">
        <w:rPr>
          <w:rFonts w:ascii="Century Gothic" w:eastAsia="Calibri" w:hAnsi="Century Gothic" w:cs="Arial"/>
          <w:color w:val="000000"/>
          <w:szCs w:val="24"/>
          <w:lang w:val="es-ES" w:eastAsia="es-ES_tradnl"/>
        </w:rPr>
        <w:t>.</w:t>
      </w:r>
    </w:p>
    <w:p w14:paraId="35277BE6" w14:textId="77777777" w:rsidR="009A7952" w:rsidRPr="00F420B6" w:rsidRDefault="009A7952" w:rsidP="009A7952">
      <w:pPr>
        <w:spacing w:before="120" w:after="120" w:line="276" w:lineRule="auto"/>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6C9094F" w14:textId="77777777" w:rsidR="009A7952" w:rsidRPr="00F420B6" w:rsidRDefault="009A7952" w:rsidP="009A7952">
      <w:pPr>
        <w:spacing w:before="120" w:after="120" w:line="276" w:lineRule="auto"/>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w:t>
      </w:r>
      <w:proofErr w:type="spellStart"/>
      <w:r w:rsidRPr="00F420B6">
        <w:rPr>
          <w:rFonts w:ascii="Century Gothic" w:eastAsia="Calibri" w:hAnsi="Century Gothic" w:cs="Arial"/>
          <w:color w:val="000000"/>
          <w:szCs w:val="24"/>
          <w:lang w:val="es-ES" w:eastAsia="es-ES_tradnl"/>
        </w:rPr>
        <w:t>iv</w:t>
      </w:r>
      <w:proofErr w:type="spellEnd"/>
      <w:r w:rsidRPr="00F420B6">
        <w:rPr>
          <w:rFonts w:ascii="Century Gothic" w:eastAsia="Calibri" w:hAnsi="Century Gothic"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97704FA" w14:textId="77777777" w:rsidR="009A7952" w:rsidRPr="00F420B6" w:rsidRDefault="009A7952" w:rsidP="009A7952">
      <w:pPr>
        <w:spacing w:before="120" w:after="120" w:line="276" w:lineRule="auto"/>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F420B6">
        <w:rPr>
          <w:rFonts w:ascii="Century Gothic" w:eastAsia="Calibri" w:hAnsi="Century Gothic" w:cs="Arial"/>
          <w:color w:val="000000"/>
          <w:szCs w:val="24"/>
          <w:vertAlign w:val="superscript"/>
          <w:lang w:val="es-ES" w:eastAsia="es-ES_tradnl"/>
        </w:rPr>
        <w:footnoteReference w:id="4"/>
      </w:r>
      <w:r w:rsidRPr="00F420B6">
        <w:rPr>
          <w:rFonts w:ascii="Century Gothic" w:eastAsia="Calibri" w:hAnsi="Century Gothic" w:cs="Arial"/>
          <w:color w:val="000000"/>
          <w:szCs w:val="24"/>
          <w:lang w:val="es-ES" w:eastAsia="es-ES_tradnl"/>
        </w:rPr>
        <w:t>.</w:t>
      </w:r>
    </w:p>
    <w:p w14:paraId="5606A62A" w14:textId="77777777" w:rsidR="009A7952" w:rsidRPr="00F420B6" w:rsidRDefault="009A7952" w:rsidP="009A7952">
      <w:pPr>
        <w:spacing w:before="120" w:after="120" w:line="276" w:lineRule="auto"/>
        <w:jc w:val="both"/>
        <w:rPr>
          <w:rFonts w:ascii="Century Gothic" w:eastAsia="Calibri" w:hAnsi="Century Gothic" w:cs="Arial"/>
          <w:color w:val="000000"/>
          <w:szCs w:val="24"/>
          <w:lang w:val="es-ES" w:eastAsia="es-ES_tradnl"/>
        </w:rPr>
      </w:pPr>
      <w:r w:rsidRPr="00F420B6">
        <w:rPr>
          <w:rFonts w:ascii="Century Gothic" w:eastAsia="Calibri" w:hAnsi="Century Gothic"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58216DB3" w14:textId="77777777" w:rsidR="009A7952" w:rsidRPr="00F420B6" w:rsidRDefault="009A7952" w:rsidP="009A7952">
      <w:pPr>
        <w:spacing w:before="120" w:after="120" w:line="276" w:lineRule="auto"/>
        <w:jc w:val="both"/>
        <w:rPr>
          <w:rFonts w:ascii="Century Gothic" w:eastAsia="Calibri" w:hAnsi="Century Gothic" w:cs="Arial"/>
          <w:lang w:val="es-ES"/>
        </w:rPr>
      </w:pPr>
      <w:r w:rsidRPr="00F420B6">
        <w:rPr>
          <w:rFonts w:ascii="Century Gothic" w:eastAsia="Calibri" w:hAnsi="Century Gothic"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F420B6">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57A6111" w14:textId="77777777" w:rsidR="009A7952" w:rsidRPr="00F420B6" w:rsidRDefault="009A7952" w:rsidP="009A7952">
      <w:pPr>
        <w:spacing w:before="120" w:after="120" w:line="276" w:lineRule="auto"/>
        <w:jc w:val="both"/>
        <w:rPr>
          <w:rFonts w:ascii="Century Gothic" w:eastAsia="Calibri" w:hAnsi="Century Gothic" w:cs="Arial"/>
          <w:color w:val="000000"/>
          <w:lang w:val="es-ES" w:eastAsia="es-ES_tradnl"/>
        </w:rPr>
      </w:pPr>
      <w:r w:rsidRPr="00F420B6">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F420B6" w:rsidDel="00A434AB">
        <w:rPr>
          <w:rFonts w:ascii="Century Gothic" w:eastAsia="Calibri" w:hAnsi="Century Gothic" w:cs="Arial"/>
          <w:lang w:val="es-ES"/>
        </w:rPr>
        <w:t xml:space="preserve"> </w:t>
      </w:r>
      <w:r w:rsidRPr="00F420B6">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12EA9861" w14:textId="77777777" w:rsidR="009A7952" w:rsidRPr="00F420B6" w:rsidRDefault="009A7952" w:rsidP="009A7952">
      <w:pPr>
        <w:spacing w:before="120" w:after="120" w:line="276" w:lineRule="auto"/>
        <w:ind w:firstLine="709"/>
        <w:jc w:val="both"/>
        <w:rPr>
          <w:rFonts w:ascii="Century Gothic" w:eastAsia="Calibri" w:hAnsi="Century Gothic" w:cs="Arial"/>
          <w:bdr w:val="none" w:sz="0" w:space="0" w:color="auto" w:frame="1"/>
        </w:rPr>
      </w:pPr>
      <w:bookmarkStart w:id="8" w:name="_Hlk143271549"/>
      <w:r w:rsidRPr="00F420B6">
        <w:rPr>
          <w:rFonts w:ascii="Century Gothic" w:eastAsia="Calibri" w:hAnsi="Century Gothic" w:cs="Arial"/>
          <w:color w:val="000000"/>
          <w:lang w:val="es-ES" w:eastAsia="es-ES"/>
        </w:rPr>
        <w:t>Por otra parte</w:t>
      </w:r>
      <w:r w:rsidRPr="00F420B6">
        <w:rPr>
          <w:rFonts w:ascii="Century Gothic" w:eastAsia="Calibri" w:hAnsi="Century Gothic" w:cs="Arial"/>
          <w:i/>
          <w:iCs/>
          <w:color w:val="000000"/>
          <w:lang w:val="es-ES" w:eastAsia="es-ES"/>
        </w:rPr>
        <w:t>,</w:t>
      </w:r>
      <w:r w:rsidRPr="00F420B6">
        <w:rPr>
          <w:rFonts w:ascii="Century Gothic" w:eastAsia="Calibri" w:hAnsi="Century Gothic"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F420B6">
        <w:rPr>
          <w:rFonts w:ascii="Century Gothic" w:eastAsia="Calibri" w:hAnsi="Century Gothic" w:cs="Arial"/>
          <w:color w:val="000000"/>
          <w:vertAlign w:val="superscript"/>
          <w:lang w:val="es-ES" w:eastAsia="es-ES"/>
        </w:rPr>
        <w:footnoteReference w:id="5"/>
      </w:r>
      <w:r w:rsidRPr="00F420B6">
        <w:rPr>
          <w:rFonts w:ascii="Century Gothic" w:eastAsia="Calibri" w:hAnsi="Century Gothic"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8"/>
    <w:p w14:paraId="4CE4747D" w14:textId="77777777" w:rsidR="009A7952" w:rsidRPr="00F420B6" w:rsidRDefault="009A7952" w:rsidP="009A7952">
      <w:pPr>
        <w:spacing w:before="120" w:after="120" w:line="276" w:lineRule="auto"/>
        <w:ind w:firstLine="709"/>
        <w:jc w:val="both"/>
        <w:rPr>
          <w:rFonts w:ascii="Century Gothic" w:eastAsia="Calibri" w:hAnsi="Century Gothic" w:cs="Arial"/>
          <w:lang w:val="es-ES" w:eastAsia="es-ES"/>
        </w:rPr>
      </w:pPr>
      <w:r w:rsidRPr="00F420B6">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7355C28A" w14:textId="77777777" w:rsidR="009A7952" w:rsidRPr="00F420B6" w:rsidRDefault="009A7952" w:rsidP="009A7952">
      <w:pPr>
        <w:spacing w:before="120" w:after="120" w:line="276" w:lineRule="auto"/>
        <w:ind w:firstLine="709"/>
        <w:jc w:val="both"/>
        <w:rPr>
          <w:rFonts w:ascii="Century Gothic" w:eastAsia="Calibri" w:hAnsi="Century Gothic" w:cs="Arial"/>
          <w:lang w:val="es-ES" w:eastAsia="es-ES"/>
        </w:rPr>
      </w:pPr>
      <w:r w:rsidRPr="00F420B6">
        <w:rPr>
          <w:rFonts w:ascii="Century Gothic" w:eastAsia="Calibri" w:hAnsi="Century Gothic"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3C150DE3" w14:textId="77777777" w:rsidR="009A7952" w:rsidRPr="00F420B6" w:rsidRDefault="009A7952" w:rsidP="009A7952">
      <w:pPr>
        <w:spacing w:before="120" w:after="120" w:line="276" w:lineRule="auto"/>
        <w:ind w:firstLine="709"/>
        <w:jc w:val="both"/>
        <w:rPr>
          <w:rFonts w:ascii="Century Gothic" w:hAnsi="Century Gothic" w:cs="Arial"/>
        </w:rPr>
      </w:pPr>
      <w:r w:rsidRPr="00F420B6">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F420B6">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F420B6">
        <w:rPr>
          <w:rFonts w:ascii="Century Gothic" w:hAnsi="Century Gothic" w:cs="Arial"/>
          <w:bCs/>
          <w:iCs/>
          <w:shd w:val="clear" w:color="auto" w:fill="FFFFFF"/>
        </w:rPr>
        <w:t>Por la cual se adoptan los documentos tipo complementarios para los procesos de licitación de obra pública de infraestructura social relacionados con el sector salud</w:t>
      </w:r>
      <w:r w:rsidRPr="00F420B6">
        <w:rPr>
          <w:rFonts w:ascii="Century Gothic" w:eastAsia="Calibri" w:hAnsi="Century Gothic" w:cs="Arial"/>
          <w:lang w:val="es-ES" w:eastAsia="es-ES"/>
        </w:rPr>
        <w:t>”. Luego, se expidió la Resolución 454 del 16 de diciembre de 2021, “</w:t>
      </w:r>
      <w:r w:rsidRPr="00F420B6">
        <w:rPr>
          <w:rFonts w:ascii="Century Gothic" w:hAnsi="Century Gothic" w:cs="Arial"/>
        </w:rPr>
        <w:t>Por la cual se adoptan los documentos tipo complementarios para los procesos de licitación de obra pública de infraestructura social relacionados con el sector cultura, recreación y deporte</w:t>
      </w:r>
      <w:r w:rsidRPr="00F420B6">
        <w:rPr>
          <w:rFonts w:ascii="Century Gothic" w:eastAsia="Calibri" w:hAnsi="Century Gothic" w:cs="Arial"/>
          <w:lang w:val="es-ES" w:eastAsia="es-ES"/>
        </w:rPr>
        <w:t>”</w:t>
      </w:r>
      <w:r w:rsidRPr="00F420B6">
        <w:rPr>
          <w:rFonts w:ascii="Century Gothic" w:hAnsi="Century Gothic" w:cs="Arial"/>
        </w:rPr>
        <w:t>.</w:t>
      </w:r>
    </w:p>
    <w:p w14:paraId="0EC28AB8" w14:textId="77777777" w:rsidR="009A7952" w:rsidRPr="00F420B6" w:rsidRDefault="009A7952" w:rsidP="009A7952">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F420B6">
        <w:rPr>
          <w:rFonts w:ascii="Century Gothic" w:eastAsia="Times New Roman" w:hAnsi="Century Gothic" w:cs="Arial"/>
          <w:bdr w:val="none" w:sz="0" w:space="0" w:color="auto" w:frame="1"/>
          <w:lang w:val="es-ES_tradnl" w:eastAsia="es-CO"/>
        </w:rPr>
        <w:t>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También e</w:t>
      </w:r>
      <w:r w:rsidRPr="00F420B6">
        <w:rPr>
          <w:rFonts w:ascii="Century Gothic" w:eastAsia="Calibri" w:hAnsi="Century Gothic" w:cs="Arial"/>
          <w:lang w:val="es-ES_tradnl" w:eastAsia="es-ES"/>
        </w:rPr>
        <w:t>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El principal ajuste realizado en esta resolución consiste en la modificación al factor de evaluación de apoyo a la industria nacional.</w:t>
      </w:r>
    </w:p>
    <w:p w14:paraId="585072BC" w14:textId="77777777" w:rsidR="009A7952" w:rsidRPr="00F420B6" w:rsidRDefault="009A7952" w:rsidP="009A7952">
      <w:pPr>
        <w:spacing w:after="0" w:line="276" w:lineRule="auto"/>
        <w:ind w:firstLine="709"/>
        <w:jc w:val="both"/>
        <w:rPr>
          <w:rFonts w:ascii="Century Gothic" w:hAnsi="Century Gothic" w:cs="Arial"/>
          <w:spacing w:val="2"/>
          <w:lang w:eastAsia="es-CO"/>
        </w:rPr>
      </w:pPr>
      <w:r w:rsidRPr="00F420B6">
        <w:rPr>
          <w:rFonts w:ascii="Century Gothic" w:hAnsi="Century Gothic" w:cs="Arial"/>
          <w:spacing w:val="2"/>
          <w:lang w:eastAsia="es-CO"/>
        </w:rPr>
        <w:t xml:space="preserve">Con posterioridad, el Decreto 1860 de 2021 modificó </w:t>
      </w:r>
      <w:r w:rsidRPr="00F420B6">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F420B6">
        <w:rPr>
          <w:rFonts w:ascii="Century Gothic" w:eastAsia="Times New Roman" w:hAnsi="Century Gothic" w:cs="Arial"/>
          <w:szCs w:val="24"/>
          <w:lang w:eastAsia="es-MX"/>
        </w:rPr>
        <w:t>además de incluir algunas disposiciones adicionales para la reglamentación efectiva de la citada Ley.</w:t>
      </w:r>
      <w:r w:rsidRPr="00F420B6">
        <w:rPr>
          <w:rFonts w:ascii="Century Gothic" w:eastAsia="Arial" w:hAnsi="Century Gothic" w:cs="Arial"/>
          <w:szCs w:val="24"/>
          <w:lang w:eastAsia="es-CO"/>
        </w:rPr>
        <w:t xml:space="preserve"> </w:t>
      </w:r>
      <w:r w:rsidRPr="00F420B6">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F420B6">
        <w:rPr>
          <w:rFonts w:ascii="Century Gothic"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214E717D" w14:textId="77777777" w:rsidR="009A7952" w:rsidRPr="00F420B6" w:rsidRDefault="009A7952" w:rsidP="009A7952">
      <w:pPr>
        <w:spacing w:before="120" w:after="0" w:line="276" w:lineRule="auto"/>
        <w:ind w:firstLine="709"/>
        <w:jc w:val="both"/>
        <w:rPr>
          <w:rFonts w:ascii="Century Gothic" w:hAnsi="Century Gothic" w:cs="Arial"/>
          <w:spacing w:val="2"/>
          <w:lang w:eastAsia="es-CO"/>
        </w:rPr>
      </w:pPr>
      <w:r w:rsidRPr="00F420B6">
        <w:rPr>
          <w:rFonts w:ascii="Century Gothic" w:hAnsi="Century Gothic" w:cs="Arial"/>
          <w:spacing w:val="2"/>
          <w:lang w:eastAsia="es-CO"/>
        </w:rPr>
        <w:t>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infraestructura de transporte que se adelanten por la modalidad de mínima cuantía y se deroga la Resolución 094 de 2020"</w:t>
      </w:r>
      <w:r w:rsidRPr="00F420B6">
        <w:rPr>
          <w:rStyle w:val="Refdenotaalpie"/>
          <w:rFonts w:ascii="Century Gothic" w:hAnsi="Century Gothic" w:cs="Arial"/>
          <w:spacing w:val="2"/>
          <w:lang w:eastAsia="es-CO"/>
        </w:rPr>
        <w:footnoteReference w:id="6"/>
      </w:r>
      <w:r w:rsidRPr="00F420B6">
        <w:rPr>
          <w:rFonts w:ascii="Century Gothic" w:hAnsi="Century Gothic" w:cs="Arial"/>
          <w:spacing w:val="2"/>
          <w:lang w:eastAsia="es-CO"/>
        </w:rPr>
        <w:t xml:space="preserve">. </w:t>
      </w:r>
    </w:p>
    <w:p w14:paraId="59647E0F" w14:textId="77777777" w:rsidR="009A7952" w:rsidRPr="00F420B6" w:rsidRDefault="009A7952" w:rsidP="009A7952">
      <w:pPr>
        <w:spacing w:before="120" w:after="0" w:line="276" w:lineRule="auto"/>
        <w:ind w:firstLine="709"/>
        <w:jc w:val="both"/>
        <w:rPr>
          <w:rFonts w:ascii="Century Gothic" w:hAnsi="Century Gothic" w:cs="Arial"/>
          <w:spacing w:val="2"/>
          <w:lang w:eastAsia="es-CO"/>
        </w:rPr>
      </w:pPr>
      <w:r w:rsidRPr="00F420B6">
        <w:rPr>
          <w:rFonts w:ascii="Century Gothic" w:hAnsi="Century Gothic" w:cs="Arial"/>
          <w:spacing w:val="2"/>
          <w:lang w:eastAsia="es-CO"/>
        </w:rPr>
        <w:t xml:space="preserve">Finalmente, para efectos del artículo 95 de la Ley 2166 de 2021, la Colombia Compra Eficiente también expidió la Resolución 358 del 30 de junio de 2023, “Por la cual se adopta el documento tipo para la contratación directa de convenios solidarios para la ejecución de obras hasta la menor cuantía con organismos de acción comunal”. Para mayor información sobre los actos administrativos que han implementado documentos tipo en el ordenamiento jurídico puede consultar el siguiente enlace: </w:t>
      </w:r>
      <w:hyperlink r:id="rId11" w:history="1">
        <w:r w:rsidRPr="00F420B6">
          <w:rPr>
            <w:rStyle w:val="Hipervnculo"/>
            <w:rFonts w:ascii="Century Gothic" w:hAnsi="Century Gothic" w:cs="Arial"/>
            <w:spacing w:val="2"/>
            <w:lang w:eastAsia="es-CO"/>
          </w:rPr>
          <w:t>https://www.colombiacompra.gov.co/documentos-tipo/documentos-tipo</w:t>
        </w:r>
      </w:hyperlink>
      <w:r w:rsidRPr="00F420B6">
        <w:rPr>
          <w:rFonts w:ascii="Century Gothic" w:hAnsi="Century Gothic" w:cs="Arial"/>
          <w:spacing w:val="2"/>
          <w:lang w:eastAsia="es-CO"/>
        </w:rPr>
        <w:t xml:space="preserve">. </w:t>
      </w:r>
    </w:p>
    <w:p w14:paraId="7F44E162" w14:textId="77777777" w:rsidR="009A7952" w:rsidRPr="00F420B6" w:rsidRDefault="009A7952" w:rsidP="009A7952">
      <w:pPr>
        <w:spacing w:after="0" w:line="276" w:lineRule="auto"/>
        <w:jc w:val="both"/>
        <w:rPr>
          <w:rFonts w:ascii="Century Gothic" w:hAnsi="Century Gothic" w:cs="Arial"/>
          <w:spacing w:val="2"/>
          <w:lang w:eastAsia="es-CO"/>
        </w:rPr>
      </w:pPr>
    </w:p>
    <w:p w14:paraId="108767F0" w14:textId="77777777" w:rsidR="009A7952" w:rsidRPr="00F420B6" w:rsidRDefault="009A7952" w:rsidP="009A7952">
      <w:pPr>
        <w:spacing w:after="0" w:line="276" w:lineRule="auto"/>
        <w:jc w:val="both"/>
        <w:rPr>
          <w:rFonts w:ascii="Century Gothic" w:eastAsia="Calibri" w:hAnsi="Century Gothic" w:cs="Arial"/>
          <w:b/>
          <w:bCs/>
          <w:color w:val="000000" w:themeColor="text1"/>
          <w:lang w:eastAsia="en-GB"/>
        </w:rPr>
      </w:pPr>
      <w:r w:rsidRPr="00F420B6">
        <w:rPr>
          <w:rFonts w:ascii="Century Gothic" w:eastAsia="Calibri" w:hAnsi="Century Gothic" w:cs="Arial"/>
          <w:b/>
          <w:bCs/>
          <w:color w:val="000000" w:themeColor="text1"/>
          <w:lang w:eastAsia="en-GB"/>
        </w:rPr>
        <w:t xml:space="preserve">2.2. </w:t>
      </w:r>
      <w:bookmarkStart w:id="9" w:name="_Hlk131062005"/>
      <w:r w:rsidRPr="00F420B6">
        <w:rPr>
          <w:rFonts w:ascii="Century Gothic" w:eastAsia="Calibri" w:hAnsi="Century Gothic" w:cs="Arial"/>
          <w:b/>
          <w:bCs/>
          <w:color w:val="000000" w:themeColor="text1"/>
          <w:lang w:val="es-ES_tradnl" w:eastAsia="en-GB"/>
        </w:rPr>
        <w:t xml:space="preserve">Definición del contrato de obra pública en la Ley 80 de 1993 </w:t>
      </w:r>
    </w:p>
    <w:p w14:paraId="35AB1511" w14:textId="77777777" w:rsidR="009A7952" w:rsidRPr="00F420B6" w:rsidRDefault="009A7952" w:rsidP="009A7952">
      <w:pPr>
        <w:spacing w:after="0" w:line="276" w:lineRule="auto"/>
        <w:jc w:val="both"/>
        <w:rPr>
          <w:rFonts w:ascii="Century Gothic" w:eastAsia="Calibri" w:hAnsi="Century Gothic" w:cs="Arial"/>
          <w:lang w:val="es-MX"/>
        </w:rPr>
      </w:pPr>
    </w:p>
    <w:p w14:paraId="7F53ED76" w14:textId="77777777" w:rsidR="009A7952" w:rsidRPr="00F420B6" w:rsidRDefault="009A7952" w:rsidP="009A7952">
      <w:pPr>
        <w:widowControl w:val="0"/>
        <w:autoSpaceDE w:val="0"/>
        <w:autoSpaceDN w:val="0"/>
        <w:spacing w:line="276" w:lineRule="auto"/>
        <w:jc w:val="both"/>
        <w:rPr>
          <w:rFonts w:ascii="Century Gothic" w:eastAsia="Calibri" w:hAnsi="Century Gothic" w:cs="Arial"/>
          <w:color w:val="000000"/>
          <w:lang w:val="es-ES_tradnl" w:eastAsia="es-ES" w:bidi="es-ES"/>
        </w:rPr>
      </w:pPr>
      <w:r w:rsidRPr="00F420B6">
        <w:rPr>
          <w:rFonts w:ascii="Century Gothic" w:eastAsia="Calibri" w:hAnsi="Century Gothic" w:cs="Arial"/>
          <w:lang w:val="es-MX"/>
        </w:rPr>
        <w:t>La</w:t>
      </w:r>
      <w:r w:rsidRPr="00F420B6">
        <w:rPr>
          <w:rFonts w:ascii="Century Gothic" w:eastAsia="Calibri" w:hAnsi="Century Gothic"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51C9C239" w14:textId="77777777" w:rsidR="009A7952" w:rsidRPr="00F420B6" w:rsidRDefault="009A7952" w:rsidP="009A7952">
      <w:pPr>
        <w:widowControl w:val="0"/>
        <w:autoSpaceDE w:val="0"/>
        <w:autoSpaceDN w:val="0"/>
        <w:spacing w:before="120" w:after="0" w:line="276" w:lineRule="auto"/>
        <w:ind w:firstLine="708"/>
        <w:jc w:val="both"/>
        <w:rPr>
          <w:rFonts w:ascii="Century Gothic" w:eastAsia="Calibri" w:hAnsi="Century Gothic" w:cs="Arial"/>
          <w:color w:val="000000"/>
          <w:lang w:val="es-ES_tradnl" w:eastAsia="es-ES" w:bidi="es-ES"/>
        </w:rPr>
      </w:pPr>
      <w:r w:rsidRPr="00F420B6">
        <w:rPr>
          <w:rFonts w:ascii="Century Gothic" w:eastAsia="Calibri" w:hAnsi="Century Gothic" w:cs="Arial"/>
          <w:color w:val="000000"/>
          <w:lang w:val="es-ES_tradnl" w:eastAsia="es-ES" w:bidi="es-ES"/>
        </w:rPr>
        <w:t xml:space="preserve">En efecto, </w:t>
      </w:r>
      <w:bookmarkStart w:id="10" w:name="_Hlk81432298"/>
      <w:r w:rsidRPr="00F420B6">
        <w:rPr>
          <w:rFonts w:ascii="Century Gothic" w:eastAsia="Calibri" w:hAnsi="Century Gothic" w:cs="Arial"/>
          <w:color w:val="000000"/>
          <w:lang w:val="es-ES_tradnl"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10"/>
      <w:r w:rsidRPr="00F420B6">
        <w:rPr>
          <w:rFonts w:ascii="Century Gothic" w:eastAsia="Calibri" w:hAnsi="Century Gothic" w:cs="Arial"/>
          <w:color w:val="000000"/>
          <w:lang w:val="es-ES_tradnl" w:eastAsia="es-ES" w:bidi="es-ES"/>
        </w:rPr>
        <w:t>Así, la doctrina considera que:</w:t>
      </w:r>
    </w:p>
    <w:p w14:paraId="442CF660" w14:textId="77777777" w:rsidR="009A7952" w:rsidRPr="00F420B6" w:rsidRDefault="009A7952" w:rsidP="009A7952">
      <w:pPr>
        <w:widowControl w:val="0"/>
        <w:autoSpaceDE w:val="0"/>
        <w:autoSpaceDN w:val="0"/>
        <w:spacing w:after="0" w:line="276" w:lineRule="auto"/>
        <w:ind w:firstLine="708"/>
        <w:jc w:val="both"/>
        <w:rPr>
          <w:rFonts w:ascii="Century Gothic" w:eastAsia="Calibri" w:hAnsi="Century Gothic" w:cs="Arial"/>
          <w:color w:val="000000"/>
          <w:lang w:val="es-ES_tradnl" w:eastAsia="es-ES" w:bidi="es-ES"/>
        </w:rPr>
      </w:pPr>
    </w:p>
    <w:p w14:paraId="0BF48969" w14:textId="77777777" w:rsidR="009A7952" w:rsidRPr="00F420B6" w:rsidRDefault="009A7952" w:rsidP="009A7952">
      <w:pPr>
        <w:widowControl w:val="0"/>
        <w:autoSpaceDE w:val="0"/>
        <w:autoSpaceDN w:val="0"/>
        <w:spacing w:after="120" w:line="240" w:lineRule="auto"/>
        <w:ind w:left="709" w:right="709"/>
        <w:jc w:val="both"/>
        <w:rPr>
          <w:rFonts w:ascii="Century Gothic" w:eastAsia="Calibri" w:hAnsi="Century Gothic" w:cs="Arial"/>
          <w:color w:val="000000"/>
          <w:sz w:val="21"/>
          <w:szCs w:val="21"/>
          <w:lang w:val="es-ES_tradnl" w:eastAsia="es-ES" w:bidi="es-ES"/>
        </w:rPr>
      </w:pPr>
      <w:r w:rsidRPr="00F420B6">
        <w:rPr>
          <w:rFonts w:ascii="Century Gothic" w:eastAsia="Calibri" w:hAnsi="Century Gothic"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3F482E07" w14:textId="77777777" w:rsidR="009A7952" w:rsidRPr="00F420B6" w:rsidRDefault="009A7952" w:rsidP="009A7952">
      <w:pPr>
        <w:widowControl w:val="0"/>
        <w:autoSpaceDE w:val="0"/>
        <w:autoSpaceDN w:val="0"/>
        <w:spacing w:before="120" w:after="0" w:line="240" w:lineRule="auto"/>
        <w:ind w:left="709" w:right="709"/>
        <w:jc w:val="both"/>
        <w:rPr>
          <w:rFonts w:ascii="Century Gothic" w:eastAsia="Calibri" w:hAnsi="Century Gothic" w:cs="Arial"/>
          <w:color w:val="000000"/>
          <w:sz w:val="21"/>
          <w:szCs w:val="21"/>
          <w:lang w:val="es-ES_tradnl" w:eastAsia="es-ES" w:bidi="es-ES"/>
        </w:rPr>
      </w:pPr>
      <w:r w:rsidRPr="00F420B6">
        <w:rPr>
          <w:rFonts w:ascii="Century Gothic" w:eastAsia="Calibri" w:hAnsi="Century Gothic"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F420B6">
        <w:rPr>
          <w:rFonts w:ascii="Century Gothic" w:eastAsia="Calibri" w:hAnsi="Century Gothic" w:cs="Arial"/>
          <w:color w:val="000000"/>
          <w:sz w:val="21"/>
          <w:szCs w:val="21"/>
          <w:vertAlign w:val="superscript"/>
          <w:lang w:val="es-ES_tradnl" w:eastAsia="es-ES" w:bidi="es-ES"/>
        </w:rPr>
        <w:footnoteReference w:id="7"/>
      </w:r>
      <w:r w:rsidRPr="00F420B6">
        <w:rPr>
          <w:rFonts w:ascii="Century Gothic" w:eastAsia="Calibri" w:hAnsi="Century Gothic" w:cs="Arial"/>
          <w:color w:val="000000"/>
          <w:sz w:val="21"/>
          <w:szCs w:val="21"/>
          <w:lang w:val="es-ES_tradnl" w:eastAsia="es-ES" w:bidi="es-ES"/>
        </w:rPr>
        <w:t xml:space="preserve">.  </w:t>
      </w:r>
    </w:p>
    <w:p w14:paraId="4F1A94D0" w14:textId="77777777" w:rsidR="009A7952" w:rsidRPr="00F420B6" w:rsidRDefault="009A7952" w:rsidP="009A7952">
      <w:pPr>
        <w:widowControl w:val="0"/>
        <w:autoSpaceDE w:val="0"/>
        <w:autoSpaceDN w:val="0"/>
        <w:spacing w:after="0" w:line="276" w:lineRule="auto"/>
        <w:ind w:left="709" w:right="709"/>
        <w:jc w:val="both"/>
        <w:rPr>
          <w:rFonts w:ascii="Century Gothic" w:eastAsia="Calibri" w:hAnsi="Century Gothic" w:cs="Arial"/>
          <w:color w:val="000000"/>
          <w:lang w:val="es-ES_tradnl" w:eastAsia="es-ES" w:bidi="es-ES"/>
        </w:rPr>
      </w:pPr>
      <w:r w:rsidRPr="00F420B6">
        <w:rPr>
          <w:rFonts w:ascii="Century Gothic" w:eastAsia="Calibri" w:hAnsi="Century Gothic" w:cs="Arial"/>
          <w:color w:val="000000"/>
          <w:sz w:val="21"/>
          <w:szCs w:val="21"/>
          <w:lang w:val="es-ES_tradnl" w:eastAsia="es-ES" w:bidi="es-ES"/>
        </w:rPr>
        <w:t xml:space="preserve">    </w:t>
      </w:r>
    </w:p>
    <w:p w14:paraId="49CBDA56" w14:textId="77777777" w:rsidR="009A7952" w:rsidRPr="00F420B6" w:rsidRDefault="009A7952" w:rsidP="009A7952">
      <w:pPr>
        <w:widowControl w:val="0"/>
        <w:autoSpaceDE w:val="0"/>
        <w:autoSpaceDN w:val="0"/>
        <w:spacing w:after="0" w:line="276" w:lineRule="auto"/>
        <w:ind w:firstLine="708"/>
        <w:jc w:val="both"/>
        <w:rPr>
          <w:rFonts w:ascii="Century Gothic" w:eastAsia="Calibri" w:hAnsi="Century Gothic" w:cs="Arial"/>
          <w:color w:val="000000"/>
          <w:lang w:val="es-ES_tradnl" w:eastAsia="es-ES" w:bidi="es-ES"/>
        </w:rPr>
      </w:pPr>
      <w:bookmarkStart w:id="11" w:name="_Hlk35420344"/>
      <w:r w:rsidRPr="00F420B6">
        <w:rPr>
          <w:rFonts w:ascii="Century Gothic" w:eastAsia="Calibri" w:hAnsi="Century Gothic" w:cs="Arial"/>
          <w:color w:val="000000"/>
          <w:lang w:val="es-ES_tradnl" w:eastAsia="es-ES" w:bidi="es-ES"/>
        </w:rPr>
        <w:t xml:space="preserve">En </w:t>
      </w:r>
      <w:r w:rsidRPr="00F420B6">
        <w:rPr>
          <w:rFonts w:ascii="Century Gothic" w:eastAsia="Calibri" w:hAnsi="Century Gothic" w:cs="Arial"/>
          <w:i/>
          <w:iCs/>
          <w:color w:val="000000"/>
          <w:lang w:val="es-ES_tradnl" w:eastAsia="es-ES" w:bidi="es-ES"/>
        </w:rPr>
        <w:t>sentido amplio</w:t>
      </w:r>
      <w:r w:rsidRPr="00F420B6">
        <w:rPr>
          <w:rFonts w:ascii="Century Gothic" w:eastAsia="Calibri" w:hAnsi="Century Gothic"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12" w:name="_Hlk81428563"/>
      <w:r w:rsidRPr="00F420B6">
        <w:rPr>
          <w:rFonts w:ascii="Century Gothic" w:eastAsia="Calibri" w:hAnsi="Century Gothic" w:cs="Arial"/>
          <w:color w:val="000000"/>
          <w:lang w:val="es-ES_tradnl" w:eastAsia="es-ES" w:bidi="es-ES"/>
        </w:rPr>
        <w:t xml:space="preserve">el numeral 1 del artículo 32 de la Ley 80 de 1993 opta por un </w:t>
      </w:r>
      <w:r w:rsidRPr="00F420B6">
        <w:rPr>
          <w:rFonts w:ascii="Century Gothic" w:eastAsia="Calibri" w:hAnsi="Century Gothic" w:cs="Arial"/>
          <w:i/>
          <w:iCs/>
          <w:color w:val="000000"/>
          <w:lang w:val="es-ES_tradnl" w:eastAsia="es-ES" w:bidi="es-ES"/>
        </w:rPr>
        <w:t>sentido restringido</w:t>
      </w:r>
      <w:r w:rsidRPr="00F420B6">
        <w:rPr>
          <w:rFonts w:ascii="Century Gothic" w:eastAsia="Calibri" w:hAnsi="Century Gothic" w:cs="Arial"/>
          <w:color w:val="00000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r w:rsidRPr="00F420B6">
        <w:rPr>
          <w:rStyle w:val="Refdenotaalpie"/>
          <w:rFonts w:ascii="Century Gothic" w:eastAsia="Calibri" w:hAnsi="Century Gothic" w:cs="Arial"/>
          <w:color w:val="000000"/>
          <w:lang w:val="es-ES_tradnl" w:eastAsia="es-ES" w:bidi="es-ES"/>
        </w:rPr>
        <w:footnoteReference w:id="8"/>
      </w:r>
      <w:r w:rsidRPr="00F420B6">
        <w:rPr>
          <w:rFonts w:ascii="Century Gothic" w:eastAsia="Calibri" w:hAnsi="Century Gothic" w:cs="Arial"/>
          <w:color w:val="000000"/>
          <w:lang w:val="es-ES_tradnl" w:eastAsia="es-ES" w:bidi="es-ES"/>
        </w:rPr>
        <w:t>.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11"/>
      <w:bookmarkEnd w:id="12"/>
      <w:r w:rsidRPr="00F420B6">
        <w:rPr>
          <w:rFonts w:ascii="Century Gothic" w:eastAsia="Calibri" w:hAnsi="Century Gothic" w:cs="Arial"/>
          <w:color w:val="000000"/>
          <w:vertAlign w:val="superscript"/>
          <w:lang w:val="es-ES_tradnl" w:eastAsia="es-ES" w:bidi="es-ES"/>
        </w:rPr>
        <w:footnoteReference w:id="9"/>
      </w:r>
      <w:r w:rsidRPr="00F420B6">
        <w:rPr>
          <w:rFonts w:ascii="Century Gothic" w:eastAsia="Calibri" w:hAnsi="Century Gothic" w:cs="Arial"/>
          <w:color w:val="000000"/>
          <w:lang w:val="es-ES_tradnl" w:eastAsia="es-ES" w:bidi="es-ES"/>
        </w:rPr>
        <w:t>. De esta manera:</w:t>
      </w:r>
    </w:p>
    <w:p w14:paraId="2C83E8DD" w14:textId="77777777" w:rsidR="009A7952" w:rsidRPr="00F420B6" w:rsidRDefault="009A7952" w:rsidP="009A7952">
      <w:pPr>
        <w:widowControl w:val="0"/>
        <w:autoSpaceDE w:val="0"/>
        <w:autoSpaceDN w:val="0"/>
        <w:spacing w:after="0" w:line="276" w:lineRule="auto"/>
        <w:ind w:firstLine="709"/>
        <w:jc w:val="both"/>
        <w:rPr>
          <w:rFonts w:ascii="Century Gothic" w:eastAsia="Calibri" w:hAnsi="Century Gothic" w:cs="Arial"/>
          <w:color w:val="000000"/>
          <w:lang w:val="es-ES_tradnl" w:eastAsia="es-ES" w:bidi="es-ES"/>
        </w:rPr>
      </w:pPr>
    </w:p>
    <w:p w14:paraId="5B893509" w14:textId="77777777" w:rsidR="009A7952" w:rsidRPr="00F420B6" w:rsidRDefault="009A7952" w:rsidP="009A7952">
      <w:pPr>
        <w:widowControl w:val="0"/>
        <w:autoSpaceDE w:val="0"/>
        <w:autoSpaceDN w:val="0"/>
        <w:spacing w:line="240" w:lineRule="auto"/>
        <w:ind w:left="709" w:right="709"/>
        <w:jc w:val="both"/>
        <w:rPr>
          <w:rFonts w:ascii="Century Gothic" w:eastAsia="Calibri" w:hAnsi="Century Gothic" w:cs="Arial"/>
          <w:color w:val="000000"/>
          <w:sz w:val="21"/>
          <w:szCs w:val="21"/>
          <w:lang w:val="es-ES_tradnl" w:eastAsia="es-ES" w:bidi="es-ES"/>
        </w:rPr>
      </w:pPr>
      <w:r w:rsidRPr="00F420B6">
        <w:rPr>
          <w:rFonts w:ascii="Century Gothic" w:eastAsia="Calibri" w:hAnsi="Century Gothic"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39C47070" w14:textId="77777777" w:rsidR="009A7952" w:rsidRPr="00F420B6" w:rsidRDefault="009A7952" w:rsidP="009A7952">
      <w:pPr>
        <w:widowControl w:val="0"/>
        <w:autoSpaceDE w:val="0"/>
        <w:autoSpaceDN w:val="0"/>
        <w:spacing w:before="120" w:after="0" w:line="240" w:lineRule="auto"/>
        <w:ind w:left="709" w:right="709"/>
        <w:jc w:val="both"/>
        <w:rPr>
          <w:rFonts w:ascii="Century Gothic" w:eastAsia="Calibri" w:hAnsi="Century Gothic" w:cs="Arial"/>
          <w:color w:val="000000"/>
          <w:sz w:val="21"/>
          <w:szCs w:val="21"/>
          <w:lang w:val="es-ES_tradnl" w:eastAsia="es-ES" w:bidi="es-ES"/>
        </w:rPr>
      </w:pPr>
      <w:r w:rsidRPr="00F420B6">
        <w:rPr>
          <w:rFonts w:ascii="Century Gothic" w:eastAsia="Calibri" w:hAnsi="Century Gothic"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F420B6">
        <w:rPr>
          <w:rFonts w:ascii="Century Gothic" w:eastAsia="Calibri" w:hAnsi="Century Gothic" w:cs="Arial"/>
          <w:color w:val="000000"/>
          <w:sz w:val="21"/>
          <w:szCs w:val="21"/>
          <w:vertAlign w:val="superscript"/>
          <w:lang w:val="es-ES_tradnl" w:eastAsia="es-ES" w:bidi="es-ES"/>
        </w:rPr>
        <w:footnoteReference w:id="10"/>
      </w:r>
      <w:r w:rsidRPr="00F420B6">
        <w:rPr>
          <w:rFonts w:ascii="Century Gothic" w:eastAsia="Calibri" w:hAnsi="Century Gothic" w:cs="Arial"/>
          <w:color w:val="000000"/>
          <w:sz w:val="21"/>
          <w:szCs w:val="21"/>
          <w:lang w:val="es-ES_tradnl" w:eastAsia="es-ES" w:bidi="es-ES"/>
        </w:rPr>
        <w:t>.</w:t>
      </w:r>
    </w:p>
    <w:p w14:paraId="401A4E2E" w14:textId="77777777" w:rsidR="009A7952" w:rsidRPr="00F420B6" w:rsidRDefault="009A7952" w:rsidP="009A7952">
      <w:pPr>
        <w:widowControl w:val="0"/>
        <w:autoSpaceDE w:val="0"/>
        <w:autoSpaceDN w:val="0"/>
        <w:spacing w:after="0" w:line="276" w:lineRule="auto"/>
        <w:ind w:left="709" w:right="709"/>
        <w:jc w:val="both"/>
        <w:rPr>
          <w:rFonts w:ascii="Century Gothic" w:eastAsia="Calibri" w:hAnsi="Century Gothic" w:cs="Arial"/>
          <w:color w:val="000000"/>
          <w:lang w:val="es-ES_tradnl" w:eastAsia="es-ES" w:bidi="es-ES"/>
        </w:rPr>
      </w:pPr>
    </w:p>
    <w:p w14:paraId="4C361E37" w14:textId="77777777" w:rsidR="009A7952" w:rsidRPr="00F420B6" w:rsidRDefault="009A7952" w:rsidP="009A7952">
      <w:pPr>
        <w:widowControl w:val="0"/>
        <w:autoSpaceDE w:val="0"/>
        <w:autoSpaceDN w:val="0"/>
        <w:spacing w:after="0" w:line="276" w:lineRule="auto"/>
        <w:ind w:firstLine="708"/>
        <w:jc w:val="both"/>
        <w:rPr>
          <w:rFonts w:ascii="Century Gothic" w:eastAsia="Calibri" w:hAnsi="Century Gothic" w:cs="Arial"/>
          <w:color w:val="000000"/>
          <w:lang w:val="es-ES_tradnl" w:eastAsia="es-ES" w:bidi="es-ES"/>
        </w:rPr>
      </w:pPr>
      <w:r w:rsidRPr="00F420B6">
        <w:rPr>
          <w:rFonts w:ascii="Century Gothic" w:eastAsia="Calibri" w:hAnsi="Century Gothic"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53320636" w14:textId="77777777" w:rsidR="009A7952" w:rsidRPr="00F420B6" w:rsidRDefault="009A7952" w:rsidP="009A7952">
      <w:pPr>
        <w:widowControl w:val="0"/>
        <w:autoSpaceDE w:val="0"/>
        <w:autoSpaceDN w:val="0"/>
        <w:spacing w:after="0" w:line="276" w:lineRule="auto"/>
        <w:jc w:val="both"/>
        <w:rPr>
          <w:rFonts w:ascii="Century Gothic" w:eastAsia="Calibri" w:hAnsi="Century Gothic" w:cs="Arial"/>
          <w:color w:val="000000"/>
          <w:lang w:val="es-ES_tradnl" w:eastAsia="es-ES" w:bidi="es-ES"/>
        </w:rPr>
      </w:pPr>
    </w:p>
    <w:p w14:paraId="4125247A" w14:textId="77777777" w:rsidR="009A7952" w:rsidRPr="00F420B6" w:rsidRDefault="009A7952" w:rsidP="009A7952">
      <w:pPr>
        <w:spacing w:after="0" w:line="276" w:lineRule="auto"/>
        <w:jc w:val="both"/>
        <w:rPr>
          <w:rFonts w:ascii="Century Gothic" w:eastAsia="Calibri" w:hAnsi="Century Gothic" w:cs="Arial"/>
          <w:b/>
          <w:color w:val="000000" w:themeColor="text1"/>
          <w:lang w:val="es-ES_tradnl"/>
        </w:rPr>
      </w:pPr>
      <w:r w:rsidRPr="00F420B6">
        <w:rPr>
          <w:rFonts w:ascii="Century Gothic" w:eastAsia="Calibri" w:hAnsi="Century Gothic" w:cs="Arial"/>
          <w:b/>
          <w:bCs/>
          <w:color w:val="000000"/>
          <w:lang w:eastAsia="en-GB"/>
        </w:rPr>
        <w:t xml:space="preserve">2.3. </w:t>
      </w:r>
      <w:r w:rsidRPr="00F420B6">
        <w:rPr>
          <w:rFonts w:ascii="Century Gothic" w:eastAsia="Calibri" w:hAnsi="Century Gothic" w:cs="Arial"/>
          <w:b/>
          <w:color w:val="000000" w:themeColor="text1"/>
          <w:lang w:val="es-ES_tradnl"/>
        </w:rPr>
        <w:t>Posibilidad de celebrar contratos que incluyan en su objeto la elaboración de estudios, diseños y la construcción de la obra</w:t>
      </w:r>
    </w:p>
    <w:p w14:paraId="48F53483" w14:textId="77777777" w:rsidR="009A7952" w:rsidRPr="00F420B6" w:rsidRDefault="009A7952" w:rsidP="009A7952">
      <w:pPr>
        <w:spacing w:after="0" w:line="276" w:lineRule="auto"/>
        <w:jc w:val="both"/>
        <w:rPr>
          <w:rFonts w:ascii="Century Gothic" w:eastAsia="Calibri" w:hAnsi="Century Gothic" w:cs="Arial"/>
          <w:b/>
          <w:bCs/>
          <w:color w:val="000000"/>
          <w:lang w:eastAsia="en-GB"/>
        </w:rPr>
      </w:pPr>
    </w:p>
    <w:p w14:paraId="01EC576A" w14:textId="77777777" w:rsidR="009A7952" w:rsidRPr="00F420B6" w:rsidRDefault="009A7952" w:rsidP="009A7952">
      <w:pPr>
        <w:spacing w:after="0" w:line="276" w:lineRule="auto"/>
        <w:jc w:val="both"/>
        <w:rPr>
          <w:rFonts w:ascii="Century Gothic" w:hAnsi="Century Gothic" w:cs="Arial"/>
          <w:bCs/>
          <w:color w:val="000000"/>
          <w:lang w:val="es-ES_tradnl" w:eastAsia="es-MX"/>
        </w:rPr>
      </w:pPr>
      <w:r w:rsidRPr="00F420B6">
        <w:rPr>
          <w:rFonts w:ascii="Century Gothic" w:hAnsi="Century Gothic" w:cs="Arial"/>
          <w:bCs/>
          <w:color w:val="000000"/>
          <w:lang w:val="es-ES_tradnl" w:eastAsia="es-MX"/>
        </w:rPr>
        <w:t>Previo a la apertura de un procedimiento de licitación pública para la contratación de una obra pública, la entidad estatal debe contar con “los estudios y diseños que permitan establecer la viabilidad del proyecto y su impacto social, económico y ambiental”, como lo establece el artículo 25.12 de la Ley 80 de 1993, modificado por el artículo 87 de la Ley 1474 de 2011.</w:t>
      </w:r>
      <w:r w:rsidRPr="00F420B6">
        <w:rPr>
          <w:rFonts w:ascii="Century Gothic" w:hAnsi="Century Gothic" w:cs="Arial"/>
          <w:lang w:eastAsia="es-MX"/>
        </w:rPr>
        <w:t xml:space="preserve"> El referido artículo 87 dispone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w:t>
      </w:r>
      <w:r w:rsidRPr="00F420B6">
        <w:rPr>
          <w:rFonts w:ascii="Century Gothic" w:hAnsi="Century Gothic" w:cs="Arial"/>
          <w:bCs/>
          <w:color w:val="000000"/>
          <w:lang w:val="es-ES_tradnl" w:eastAsia="es-MX"/>
        </w:rPr>
        <w:t xml:space="preserve"> Por ello, la norma dispone lo siguiente:</w:t>
      </w:r>
    </w:p>
    <w:p w14:paraId="62E23E78" w14:textId="77777777" w:rsidR="009A7952" w:rsidRPr="00F420B6" w:rsidRDefault="009A7952" w:rsidP="009A7952">
      <w:pPr>
        <w:spacing w:after="0" w:line="276" w:lineRule="auto"/>
        <w:jc w:val="both"/>
        <w:rPr>
          <w:rFonts w:ascii="Century Gothic" w:hAnsi="Century Gothic" w:cs="Arial"/>
          <w:bCs/>
          <w:color w:val="000000"/>
          <w:lang w:val="es-ES_tradnl" w:eastAsia="es-MX"/>
        </w:rPr>
      </w:pPr>
    </w:p>
    <w:p w14:paraId="1C836DF2" w14:textId="77777777" w:rsidR="009A7952" w:rsidRPr="00F420B6" w:rsidRDefault="009A7952" w:rsidP="009A7952">
      <w:pPr>
        <w:spacing w:after="120" w:line="240" w:lineRule="auto"/>
        <w:ind w:left="709" w:right="709"/>
        <w:jc w:val="both"/>
        <w:rPr>
          <w:rFonts w:ascii="Century Gothic" w:hAnsi="Century Gothic" w:cs="Arial"/>
          <w:sz w:val="21"/>
          <w:szCs w:val="21"/>
          <w:lang w:eastAsia="es-MX"/>
        </w:rPr>
      </w:pPr>
      <w:r w:rsidRPr="00F420B6">
        <w:rPr>
          <w:rFonts w:ascii="Century Gothic" w:hAnsi="Century Gothic" w:cs="Arial"/>
          <w:sz w:val="21"/>
          <w:szCs w:val="21"/>
          <w:lang w:eastAsia="es-MX"/>
        </w:rPr>
        <w:t xml:space="preserve">“Artículo 87. Maduración de proyectos. El numeral 12 del artículo </w:t>
      </w:r>
      <w:hyperlink r:id="rId12" w:anchor="25">
        <w:r w:rsidRPr="00F420B6">
          <w:rPr>
            <w:rFonts w:ascii="Century Gothic" w:hAnsi="Century Gothic" w:cs="Arial"/>
            <w:sz w:val="21"/>
            <w:szCs w:val="21"/>
            <w:lang w:eastAsia="es-MX"/>
          </w:rPr>
          <w:t xml:space="preserve">25 </w:t>
        </w:r>
      </w:hyperlink>
      <w:r w:rsidRPr="00F420B6">
        <w:rPr>
          <w:rFonts w:ascii="Century Gothic" w:hAnsi="Century Gothic" w:cs="Arial"/>
          <w:sz w:val="21"/>
          <w:szCs w:val="21"/>
          <w:lang w:eastAsia="es-MX"/>
        </w:rPr>
        <w:t>de la Ley 80 de 1993 quedará así:</w:t>
      </w:r>
    </w:p>
    <w:p w14:paraId="791D9A0D" w14:textId="77777777" w:rsidR="009A7952" w:rsidRPr="00F420B6" w:rsidRDefault="009A7952" w:rsidP="009A7952">
      <w:pPr>
        <w:spacing w:after="120" w:line="240" w:lineRule="auto"/>
        <w:ind w:left="709" w:right="709"/>
        <w:jc w:val="both"/>
        <w:rPr>
          <w:rFonts w:ascii="Century Gothic" w:hAnsi="Century Gothic" w:cs="Arial"/>
          <w:sz w:val="21"/>
          <w:szCs w:val="21"/>
          <w:lang w:eastAsia="es-MX"/>
        </w:rPr>
      </w:pPr>
      <w:r w:rsidRPr="00F420B6">
        <w:rPr>
          <w:rFonts w:ascii="Century Gothic" w:hAnsi="Century Gothic" w:cs="Arial"/>
          <w:sz w:val="21"/>
          <w:szCs w:val="21"/>
          <w:lang w:eastAsia="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FABED50" w14:textId="77777777" w:rsidR="009A7952" w:rsidRPr="00F420B6" w:rsidRDefault="009A7952" w:rsidP="009A7952">
      <w:pPr>
        <w:spacing w:after="0" w:line="240" w:lineRule="auto"/>
        <w:ind w:left="709" w:right="709"/>
        <w:jc w:val="both"/>
        <w:rPr>
          <w:rFonts w:ascii="Century Gothic" w:hAnsi="Century Gothic" w:cs="Arial"/>
          <w:sz w:val="21"/>
          <w:szCs w:val="21"/>
          <w:lang w:eastAsia="es-MX"/>
        </w:rPr>
      </w:pPr>
      <w:r w:rsidRPr="00F420B6">
        <w:rPr>
          <w:rFonts w:ascii="Century Gothic" w:hAnsi="Century Gothic" w:cs="Arial"/>
          <w:sz w:val="21"/>
          <w:szCs w:val="21"/>
          <w:lang w:eastAsia="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1BC1B5D" w14:textId="77777777" w:rsidR="009A7952" w:rsidRPr="00F420B6" w:rsidRDefault="009A7952" w:rsidP="009A7952">
      <w:pPr>
        <w:widowControl w:val="0"/>
        <w:autoSpaceDE w:val="0"/>
        <w:autoSpaceDN w:val="0"/>
        <w:spacing w:before="5" w:after="0" w:line="276" w:lineRule="auto"/>
        <w:rPr>
          <w:rFonts w:ascii="Century Gothic" w:eastAsia="Arial" w:hAnsi="Century Gothic" w:cs="Arial"/>
          <w:lang w:val="es-ES"/>
        </w:rPr>
      </w:pPr>
    </w:p>
    <w:p w14:paraId="287277A8" w14:textId="77777777" w:rsidR="009A7952" w:rsidRPr="00F420B6" w:rsidRDefault="009A7952" w:rsidP="009A7952">
      <w:pPr>
        <w:widowControl w:val="0"/>
        <w:autoSpaceDE w:val="0"/>
        <w:autoSpaceDN w:val="0"/>
        <w:spacing w:after="120" w:line="276" w:lineRule="auto"/>
        <w:ind w:firstLine="708"/>
        <w:jc w:val="both"/>
        <w:rPr>
          <w:rFonts w:ascii="Century Gothic" w:eastAsia="Arial" w:hAnsi="Century Gothic" w:cs="Arial"/>
          <w:lang w:val="es-ES"/>
        </w:rPr>
      </w:pPr>
      <w:r w:rsidRPr="00F420B6">
        <w:rPr>
          <w:rFonts w:ascii="Century Gothic" w:eastAsia="Arial" w:hAnsi="Century Gothic" w:cs="Arial"/>
          <w:lang w:val="es-ES"/>
        </w:rPr>
        <w:t xml:space="preserve">De acuerdo con esta disposición, para adelantar el procedimiento de selección para ejecutar una obra pública, se requerirá que al menos consten los estudios de viabilidad del proyecto. No obstante, no se impide que en un mismo proceso de contratación se adelante de forma conjunta el proceso de construcción de la obra y la elaboración de los estudios y diseños que expliquen con mayor detalle las obras y estructuras que se requieran, de tal forma que un constructor pueda materializar el proyecto, pues solo se requiere que existan unos estudios de viabilidad. </w:t>
      </w:r>
    </w:p>
    <w:p w14:paraId="4A653CB4" w14:textId="77777777" w:rsidR="009A7952" w:rsidRPr="00F420B6" w:rsidRDefault="009A7952" w:rsidP="009A7952">
      <w:pPr>
        <w:widowControl w:val="0"/>
        <w:autoSpaceDE w:val="0"/>
        <w:autoSpaceDN w:val="0"/>
        <w:spacing w:before="120" w:after="0" w:line="276" w:lineRule="auto"/>
        <w:ind w:firstLine="709"/>
        <w:jc w:val="both"/>
        <w:rPr>
          <w:rFonts w:ascii="Century Gothic" w:eastAsia="Arial" w:hAnsi="Century Gothic" w:cs="Arial"/>
          <w:bCs/>
          <w:color w:val="000000"/>
          <w:lang w:val="es-ES_tradnl"/>
        </w:rPr>
      </w:pPr>
      <w:r w:rsidRPr="00F420B6">
        <w:rPr>
          <w:rFonts w:ascii="Century Gothic" w:eastAsia="Arial" w:hAnsi="Century Gothic" w:cs="Arial"/>
          <w:bCs/>
          <w:color w:val="000000"/>
          <w:lang w:val="es-ES_tradnl"/>
        </w:rPr>
        <w:t xml:space="preserve">De hecho, tampoco fue la intención del legislador prohibir la celebración de estos contratos que incluyan los estudios, diseños y la construcción en un mismo objeto. En efecto, </w:t>
      </w:r>
      <w:r w:rsidRPr="00F420B6">
        <w:rPr>
          <w:rFonts w:ascii="Century Gothic" w:hAnsi="Century Gothic" w:cs="Arial"/>
          <w:lang w:val="es-MX"/>
        </w:rPr>
        <w:t xml:space="preserve">en el informe de ponencia para primer debate al proyecto de Ley No. 142 de 2010, </w:t>
      </w:r>
      <w:r w:rsidRPr="00F420B6">
        <w:rPr>
          <w:rFonts w:ascii="Century Gothic" w:hAnsi="Century Gothic" w:cs="Arial"/>
        </w:rPr>
        <w:t>“por la cual se dictan normas orientadas a fortalecer los mecanismos de prevención, investigación y sanción de actos de corrupción y la efectividad del control de la gestión pública”</w:t>
      </w:r>
      <w:r w:rsidRPr="00F420B6">
        <w:rPr>
          <w:rFonts w:ascii="Century Gothic" w:hAnsi="Century Gothic" w:cs="Arial"/>
          <w:lang w:val="es-MX"/>
        </w:rPr>
        <w:t xml:space="preserve">, se resaltó la importancia de adoptar medidas para evitar la improvisación de la contratación, exigiendo que para los contratos de obra se deben contar con estudios de ingeniería básica, sin perjuicio de los llamados contratos llave en mano: </w:t>
      </w:r>
    </w:p>
    <w:p w14:paraId="28D6999D" w14:textId="77777777" w:rsidR="009A7952" w:rsidRPr="00F420B6" w:rsidRDefault="009A7952" w:rsidP="009A7952">
      <w:pPr>
        <w:widowControl w:val="0"/>
        <w:autoSpaceDE w:val="0"/>
        <w:autoSpaceDN w:val="0"/>
        <w:spacing w:after="0" w:line="276" w:lineRule="auto"/>
        <w:ind w:firstLine="709"/>
        <w:jc w:val="both"/>
        <w:rPr>
          <w:rFonts w:ascii="Century Gothic" w:hAnsi="Century Gothic" w:cs="Arial"/>
          <w:lang w:val="es-MX"/>
        </w:rPr>
      </w:pPr>
    </w:p>
    <w:p w14:paraId="4BCFD5CE" w14:textId="77777777" w:rsidR="009A7952" w:rsidRPr="00F420B6" w:rsidRDefault="009A7952" w:rsidP="009A7952">
      <w:pPr>
        <w:spacing w:after="0" w:line="240" w:lineRule="auto"/>
        <w:ind w:left="709" w:right="709"/>
        <w:jc w:val="both"/>
        <w:rPr>
          <w:rFonts w:ascii="Century Gothic" w:hAnsi="Century Gothic" w:cs="Arial"/>
          <w:sz w:val="21"/>
          <w:highlight w:val="yellow"/>
          <w:lang w:eastAsia="es-MX"/>
        </w:rPr>
      </w:pPr>
      <w:r w:rsidRPr="00F420B6">
        <w:rPr>
          <w:rFonts w:ascii="Century Gothic" w:hAnsi="Century Gothic" w:cs="Arial"/>
          <w:sz w:val="21"/>
          <w:szCs w:val="21"/>
          <w:lang w:eastAsia="es-MX"/>
        </w:rPr>
        <w:t>“C. Se toman medidas para evitar la improvisación en la contratación pública. El proyecto exige que para la celebración de contratos de obra o de concesión que involucren obras, se deba contar con estudios suficientes de ingeniería básica con el alcance que establezca el reglamento. Ello garantizará que se cuente de manera previa con los estudios, diseños y demás elementos de juicio que garanticen una correcta ejecución, para que no se malgasten los recursos públicos en proyectos inocuos</w:t>
      </w:r>
      <w:r w:rsidRPr="00F420B6">
        <w:rPr>
          <w:rFonts w:ascii="Century Gothic" w:hAnsi="Century Gothic" w:cs="Arial"/>
          <w:i/>
          <w:iCs/>
          <w:sz w:val="21"/>
          <w:szCs w:val="21"/>
          <w:lang w:eastAsia="es-MX"/>
        </w:rPr>
        <w:t>. Todo ello sin perjuicio de los llamados contratos “llave en mano”, esto es, aquellos que tengan por objeto la contratación integral de diseño y construcción,</w:t>
      </w:r>
      <w:r w:rsidRPr="00F420B6">
        <w:rPr>
          <w:rFonts w:ascii="Century Gothic" w:hAnsi="Century Gothic" w:cs="Arial"/>
          <w:sz w:val="21"/>
          <w:szCs w:val="21"/>
          <w:lang w:eastAsia="es-MX"/>
        </w:rPr>
        <w:t xml:space="preserve"> en cuyo caso los estudios previos deberán ser suficientes para ese propósito”</w:t>
      </w:r>
      <w:r w:rsidRPr="00F420B6">
        <w:rPr>
          <w:rStyle w:val="Refdenotaalpie"/>
          <w:rFonts w:ascii="Century Gothic" w:hAnsi="Century Gothic" w:cs="Arial"/>
          <w:sz w:val="21"/>
          <w:szCs w:val="21"/>
          <w:lang w:eastAsia="es-MX"/>
        </w:rPr>
        <w:footnoteReference w:id="11"/>
      </w:r>
      <w:r w:rsidRPr="00F420B6">
        <w:rPr>
          <w:rFonts w:ascii="Century Gothic" w:hAnsi="Century Gothic" w:cs="Arial"/>
          <w:sz w:val="21"/>
          <w:szCs w:val="21"/>
          <w:lang w:eastAsia="es-MX"/>
        </w:rPr>
        <w:t>.</w:t>
      </w:r>
      <w:r w:rsidRPr="00F420B6">
        <w:rPr>
          <w:rFonts w:ascii="Century Gothic" w:hAnsi="Century Gothic" w:cs="Arial"/>
          <w:sz w:val="21"/>
          <w:lang w:eastAsia="es-MX"/>
        </w:rPr>
        <w:t xml:space="preserve"> (Énfasis fuera del texto)</w:t>
      </w:r>
    </w:p>
    <w:p w14:paraId="7F4A1B65" w14:textId="77777777" w:rsidR="009A7952" w:rsidRPr="00F420B6" w:rsidRDefault="009A7952" w:rsidP="009A7952">
      <w:pPr>
        <w:spacing w:after="0" w:line="276" w:lineRule="auto"/>
        <w:ind w:left="709" w:right="709"/>
        <w:jc w:val="both"/>
        <w:rPr>
          <w:rFonts w:ascii="Century Gothic" w:hAnsi="Century Gothic" w:cs="Arial"/>
          <w:lang w:eastAsia="es-MX"/>
        </w:rPr>
      </w:pPr>
    </w:p>
    <w:p w14:paraId="5909F08B" w14:textId="77777777" w:rsidR="009A7952" w:rsidRPr="00F420B6" w:rsidRDefault="009A7952" w:rsidP="009A7952">
      <w:pPr>
        <w:widowControl w:val="0"/>
        <w:autoSpaceDE w:val="0"/>
        <w:autoSpaceDN w:val="0"/>
        <w:spacing w:line="276" w:lineRule="auto"/>
        <w:ind w:firstLine="709"/>
        <w:jc w:val="both"/>
        <w:rPr>
          <w:rFonts w:ascii="Century Gothic" w:hAnsi="Century Gothic" w:cs="Arial"/>
        </w:rPr>
      </w:pPr>
      <w:r w:rsidRPr="00F420B6">
        <w:rPr>
          <w:rFonts w:ascii="Century Gothic" w:hAnsi="Century Gothic" w:cs="Arial"/>
        </w:rPr>
        <w:t>Lo expuesto se reflejó en el texto inicial del proyecto de ley, cuyo artículo 90 se refería expresamente a los contratos que contemplaran en un mismo objeto el diseño y la construcción</w:t>
      </w:r>
      <w:r w:rsidRPr="00F420B6">
        <w:rPr>
          <w:rStyle w:val="Refdenotaalpie"/>
          <w:rFonts w:ascii="Century Gothic" w:hAnsi="Century Gothic" w:cs="Arial"/>
        </w:rPr>
        <w:footnoteReference w:id="12"/>
      </w:r>
      <w:r w:rsidRPr="00F420B6">
        <w:rPr>
          <w:rFonts w:ascii="Century Gothic" w:hAnsi="Century Gothic" w:cs="Arial"/>
        </w:rPr>
        <w:t xml:space="preserve">. Aunque la redacción del texto sufrió varias modificaciones a lo largo del trámite legislativo y su contenido inicial no es igual al contemplado en el artículo 87 de la Ley 1474 de 2011, la motivación de esta norma no cambió, pues su finalidad es evitar la improvisación en los contratos de obra y no la prohibición de celebrar contratos con objeto de diseños y construcción. Es por ello </w:t>
      </w:r>
      <w:proofErr w:type="gramStart"/>
      <w:r w:rsidRPr="00F420B6">
        <w:rPr>
          <w:rFonts w:ascii="Century Gothic" w:hAnsi="Century Gothic" w:cs="Arial"/>
        </w:rPr>
        <w:t>que</w:t>
      </w:r>
      <w:proofErr w:type="gramEnd"/>
      <w:r w:rsidRPr="00F420B6">
        <w:rPr>
          <w:rFonts w:ascii="Century Gothic" w:hAnsi="Century Gothic" w:cs="Arial"/>
        </w:rPr>
        <w:t xml:space="preserve"> se exige que estos tengan unos estudios suficientes que permitan determinar la viabilidad del proyecto.</w:t>
      </w:r>
    </w:p>
    <w:p w14:paraId="6D5DF243" w14:textId="77777777" w:rsidR="009A7952" w:rsidRPr="00F420B6" w:rsidRDefault="009A7952" w:rsidP="009A7952">
      <w:pPr>
        <w:widowControl w:val="0"/>
        <w:autoSpaceDE w:val="0"/>
        <w:autoSpaceDN w:val="0"/>
        <w:spacing w:before="120" w:line="276" w:lineRule="auto"/>
        <w:ind w:firstLine="709"/>
        <w:jc w:val="both"/>
        <w:rPr>
          <w:rFonts w:ascii="Century Gothic" w:hAnsi="Century Gothic" w:cs="Arial"/>
          <w:sz w:val="19"/>
          <w:szCs w:val="19"/>
        </w:rPr>
      </w:pPr>
      <w:r w:rsidRPr="00F420B6">
        <w:rPr>
          <w:rFonts w:ascii="Century Gothic" w:hAnsi="Century Gothic" w:cs="Arial"/>
        </w:rPr>
        <w:t xml:space="preserve"> Inclusive de la misma redacción del artículo 87 de la Ley 1474 de 2011 puede concluirse que es posible la celebración de estos contratos. De hecho, el inciso final de esta norma dispone que </w:t>
      </w:r>
      <w:r w:rsidRPr="00F420B6">
        <w:rPr>
          <w:rFonts w:ascii="Century Gothic" w:eastAsia="Arial" w:hAnsi="Century Gothic" w:cs="Arial"/>
          <w:lang w:val="es-ES"/>
        </w:rPr>
        <w:t>“</w:t>
      </w:r>
      <w:r w:rsidRPr="00F420B6">
        <w:rPr>
          <w:rFonts w:ascii="Century Gothic" w:hAnsi="Century Gothic" w:cs="Arial"/>
        </w:rPr>
        <w:t xml:space="preserve">Esta condición será aplicable incluso para los contratos que incluyan </w:t>
      </w:r>
      <w:r w:rsidRPr="00F420B6">
        <w:rPr>
          <w:rFonts w:ascii="Century Gothic" w:hAnsi="Century Gothic" w:cs="Arial"/>
          <w:i/>
          <w:iCs/>
        </w:rPr>
        <w:t>dentro del objeto el diseño</w:t>
      </w:r>
      <w:r w:rsidRPr="00F420B6">
        <w:rPr>
          <w:rFonts w:ascii="Century Gothic" w:hAnsi="Century Gothic" w:cs="Arial"/>
        </w:rPr>
        <w:t xml:space="preserve">” (Énfasis fuera del texto). De lo anterior puede interpretarse que al citar la frase </w:t>
      </w:r>
      <w:r w:rsidRPr="00F420B6">
        <w:rPr>
          <w:rFonts w:ascii="Century Gothic" w:eastAsia="Arial" w:hAnsi="Century Gothic" w:cs="Arial"/>
          <w:lang w:val="es-ES"/>
        </w:rPr>
        <w:t>“</w:t>
      </w:r>
      <w:r w:rsidRPr="00F420B6">
        <w:rPr>
          <w:rFonts w:ascii="Century Gothic" w:hAnsi="Century Gothic" w:cs="Arial"/>
        </w:rPr>
        <w:t xml:space="preserve">dentro del objeto”, se refiere al contrato de obra, es decir, cuando se celebren contratos de obra y de diseño en un mismo objeto, de manera que, la exigencia de contar con la viabilidad del proyecto puede extenderse a estos contratos. </w:t>
      </w:r>
    </w:p>
    <w:p w14:paraId="4823F883" w14:textId="77777777" w:rsidR="009A7952" w:rsidRPr="00F420B6" w:rsidRDefault="009A7952" w:rsidP="009A7952">
      <w:pPr>
        <w:widowControl w:val="0"/>
        <w:autoSpaceDE w:val="0"/>
        <w:autoSpaceDN w:val="0"/>
        <w:spacing w:before="120" w:line="276" w:lineRule="auto"/>
        <w:jc w:val="both"/>
        <w:rPr>
          <w:rFonts w:ascii="Century Gothic" w:eastAsia="Arial" w:hAnsi="Century Gothic" w:cs="Arial"/>
          <w:bCs/>
          <w:color w:val="000000"/>
          <w:lang w:val="es-ES_tradnl"/>
        </w:rPr>
      </w:pPr>
      <w:r w:rsidRPr="00F420B6">
        <w:rPr>
          <w:rFonts w:ascii="Century Gothic" w:eastAsia="Arial" w:hAnsi="Century Gothic" w:cs="Arial"/>
          <w:lang w:val="es-ES"/>
        </w:rPr>
        <w:tab/>
        <w:t>Lo anterior es coherente con lo previsto en el artículo 2.2.1.1.2.1.1 del Decreto 1082 de 2015, el cual señala que, dentro de los estudios previos, cuando el objeto de contratación incluye el diseño y construcción, se requieren los documentos técnicos del proyecto</w:t>
      </w:r>
      <w:r w:rsidRPr="00F420B6">
        <w:rPr>
          <w:rFonts w:ascii="Century Gothic" w:eastAsia="Arial" w:hAnsi="Century Gothic" w:cs="Arial"/>
          <w:vertAlign w:val="superscript"/>
          <w:lang w:val="es-ES"/>
        </w:rPr>
        <w:footnoteReference w:id="13"/>
      </w:r>
      <w:r w:rsidRPr="00F420B6">
        <w:rPr>
          <w:rFonts w:ascii="Century Gothic" w:eastAsia="Arial" w:hAnsi="Century Gothic" w:cs="Arial"/>
          <w:lang w:val="es-ES"/>
        </w:rPr>
        <w:t>. En este sentido, de</w:t>
      </w:r>
      <w:r w:rsidRPr="00F420B6">
        <w:rPr>
          <w:rFonts w:ascii="Century Gothic" w:eastAsia="Arial" w:hAnsi="Century Gothic" w:cs="Arial"/>
          <w:spacing w:val="47"/>
          <w:lang w:val="es-ES"/>
        </w:rPr>
        <w:t xml:space="preserve"> </w:t>
      </w:r>
      <w:r w:rsidRPr="00F420B6">
        <w:rPr>
          <w:rFonts w:ascii="Century Gothic" w:eastAsia="Arial" w:hAnsi="Century Gothic" w:cs="Arial"/>
          <w:lang w:val="es-ES"/>
        </w:rPr>
        <w:t>forma expresa, se prevé la posibilidad de que en un mismo proceso de contratación se adelante la elaboración de los diseños y la construcción de una obra. En otras palabras, debe quedar claro que la consagración de la obligación contractual a cargo del contratista de obra de realizar los estudios y diseños para la obra pública constituye una de las formas en las que se satisface plenamente el deber legal de contar, de manera p</w:t>
      </w:r>
      <w:r w:rsidRPr="00F420B6">
        <w:rPr>
          <w:rFonts w:ascii="Century Gothic" w:eastAsia="Arial" w:hAnsi="Century Gothic" w:cs="Arial"/>
          <w:bCs/>
          <w:color w:val="000000"/>
          <w:lang w:val="es-ES"/>
        </w:rPr>
        <w:t>revia</w:t>
      </w:r>
      <w:r w:rsidRPr="00F420B6">
        <w:rPr>
          <w:rFonts w:ascii="Century Gothic" w:eastAsia="Arial" w:hAnsi="Century Gothic" w:cs="Arial"/>
          <w:bCs/>
          <w:color w:val="000000"/>
          <w:lang w:val="es-ES_tradnl"/>
        </w:rPr>
        <w:t xml:space="preserve"> a la apertura de un procedimiento de licitación pública para la contratación de una obra pública, con los estudios y diseños que permitan establecer la viabilidad del proyecto y su impacto social, económico y ambiental</w:t>
      </w:r>
      <w:r w:rsidRPr="00F420B6">
        <w:rPr>
          <w:rFonts w:ascii="Century Gothic" w:eastAsia="Arial" w:hAnsi="Century Gothic" w:cs="Arial"/>
          <w:bCs/>
          <w:color w:val="000000"/>
          <w:vertAlign w:val="superscript"/>
          <w:lang w:val="es-ES_tradnl"/>
        </w:rPr>
        <w:footnoteReference w:id="14"/>
      </w:r>
      <w:r w:rsidRPr="00F420B6">
        <w:rPr>
          <w:rFonts w:ascii="Century Gothic" w:eastAsia="Arial" w:hAnsi="Century Gothic" w:cs="Arial"/>
          <w:bCs/>
          <w:color w:val="000000"/>
          <w:lang w:val="es-ES_tradnl"/>
        </w:rPr>
        <w:t>.</w:t>
      </w:r>
    </w:p>
    <w:p w14:paraId="2701A351" w14:textId="77777777" w:rsidR="009A7952" w:rsidRPr="00F420B6" w:rsidRDefault="009A7952" w:rsidP="009A7952">
      <w:pPr>
        <w:widowControl w:val="0"/>
        <w:autoSpaceDE w:val="0"/>
        <w:autoSpaceDN w:val="0"/>
        <w:spacing w:before="120" w:line="276" w:lineRule="auto"/>
        <w:ind w:firstLine="709"/>
        <w:jc w:val="both"/>
        <w:rPr>
          <w:rFonts w:ascii="Century Gothic" w:eastAsia="Arial" w:hAnsi="Century Gothic" w:cs="Arial"/>
          <w:lang w:val="es-ES"/>
        </w:rPr>
      </w:pPr>
      <w:r w:rsidRPr="00F420B6">
        <w:rPr>
          <w:rFonts w:ascii="Century Gothic" w:eastAsia="Arial" w:hAnsi="Century Gothic" w:cs="Arial"/>
          <w:lang w:val="es-ES"/>
        </w:rPr>
        <w:t>Ahora bien, sobre la viabilidad del proyecto es importante subrayar que en materia de infraestructura de transporte en nuestro ordenamiento jurídico existen distintas fases para la elaboración y contratación de los estudios de viabilidad de un proyecto. En efecto, el artículo 12 de la Ley 1682 de 2013 define y clasifica los diversos estudios de ingeniería que se adelantan para la ejecución de los proyectos de infraestructura en: i) fase I – prefactibilidad, ii) fase II –factibilidad y iii) fase III – estudios y diseños</w:t>
      </w:r>
      <w:r w:rsidRPr="00F420B6">
        <w:rPr>
          <w:rFonts w:ascii="Century Gothic" w:eastAsia="Arial" w:hAnsi="Century Gothic" w:cs="Arial"/>
          <w:spacing w:val="-1"/>
          <w:lang w:val="es-ES"/>
        </w:rPr>
        <w:t xml:space="preserve"> </w:t>
      </w:r>
      <w:r w:rsidRPr="00F420B6">
        <w:rPr>
          <w:rFonts w:ascii="Century Gothic" w:eastAsia="Arial" w:hAnsi="Century Gothic" w:cs="Arial"/>
          <w:lang w:val="es-ES"/>
        </w:rPr>
        <w:t>definitivos.</w:t>
      </w:r>
    </w:p>
    <w:p w14:paraId="04E31938" w14:textId="77777777" w:rsidR="009A7952" w:rsidRPr="00F420B6" w:rsidRDefault="009A7952" w:rsidP="009A7952">
      <w:pPr>
        <w:widowControl w:val="0"/>
        <w:autoSpaceDE w:val="0"/>
        <w:autoSpaceDN w:val="0"/>
        <w:spacing w:before="120" w:after="120" w:line="276" w:lineRule="auto"/>
        <w:ind w:firstLine="709"/>
        <w:jc w:val="both"/>
        <w:rPr>
          <w:rFonts w:ascii="Century Gothic" w:eastAsia="Arial" w:hAnsi="Century Gothic" w:cs="Arial"/>
          <w:lang w:val="es-ES"/>
        </w:rPr>
      </w:pPr>
      <w:r w:rsidRPr="00F420B6">
        <w:rPr>
          <w:rFonts w:ascii="Century Gothic" w:eastAsia="Arial" w:hAnsi="Century Gothic" w:cs="Arial"/>
          <w:lang w:val="es-ES"/>
        </w:rPr>
        <w:t>En los estudios de “Fase 1. Prefactibilidad” se realiza el prediseño aproximado del proyecto, presentando alternativas y adelantando la evaluación económica preliminar recurriendo a costos obtenidos en proyectos con condiciones similares, utilizando modelos de simulación debidamente aprobados por las entidades solicitantes. En el estudio de “Fase 2. Factibilidad” debe diseñarse el proyecto y efectuar la evaluación económica final, y, además, tiene por finalidad establecer si el proyecto es factible para su ejecución, considerando todos los aspectos relacionados con el mismo. Finalmente, en el estudio de “Fase 3. Estudios y diseños definitivos” deben elaborarse los diseños detallados tanto geométrico como de todas las estructuras y obras que se requieran, de tal forma que un constructor pueda materializar el proyecto</w:t>
      </w:r>
      <w:r w:rsidRPr="00F420B6">
        <w:rPr>
          <w:rFonts w:ascii="Century Gothic" w:eastAsia="Arial" w:hAnsi="Century Gothic" w:cs="Arial"/>
          <w:vertAlign w:val="superscript"/>
          <w:lang w:val="es-ES"/>
        </w:rPr>
        <w:footnoteReference w:id="15"/>
      </w:r>
      <w:r w:rsidRPr="00F420B6">
        <w:rPr>
          <w:rFonts w:ascii="Century Gothic" w:eastAsia="Arial" w:hAnsi="Century Gothic" w:cs="Arial"/>
          <w:lang w:val="es-ES"/>
        </w:rPr>
        <w:t xml:space="preserve">. </w:t>
      </w:r>
    </w:p>
    <w:p w14:paraId="174B3510" w14:textId="77777777" w:rsidR="009A7952" w:rsidRPr="00F420B6" w:rsidRDefault="009A7952" w:rsidP="009A7952">
      <w:pPr>
        <w:widowControl w:val="0"/>
        <w:autoSpaceDE w:val="0"/>
        <w:autoSpaceDN w:val="0"/>
        <w:spacing w:before="120" w:after="120" w:line="276" w:lineRule="auto"/>
        <w:ind w:firstLine="709"/>
        <w:jc w:val="both"/>
        <w:rPr>
          <w:rFonts w:ascii="Century Gothic" w:eastAsia="Arial" w:hAnsi="Century Gothic" w:cs="Arial"/>
          <w:lang w:val="es-ES"/>
        </w:rPr>
      </w:pPr>
      <w:r w:rsidRPr="00F420B6">
        <w:rPr>
          <w:rFonts w:ascii="Century Gothic" w:eastAsia="Arial" w:hAnsi="Century Gothic" w:cs="Arial"/>
          <w:lang w:val="es-ES"/>
        </w:rPr>
        <w:t>Aunque no existen definiciones similares para otros tipos de infraestructura</w:t>
      </w:r>
      <w:r w:rsidRPr="00F420B6">
        <w:rPr>
          <w:rFonts w:ascii="Century Gothic" w:eastAsia="Calibri" w:hAnsi="Century Gothic" w:cs="Arial"/>
          <w:lang w:val="es-MX"/>
        </w:rPr>
        <w:t xml:space="preserve">, </w:t>
      </w:r>
      <w:r w:rsidRPr="00F420B6">
        <w:rPr>
          <w:rFonts w:ascii="Century Gothic" w:eastAsia="Arial" w:hAnsi="Century Gothic" w:cs="Arial"/>
          <w:lang w:val="es-ES"/>
        </w:rPr>
        <w:t xml:space="preserve">puede concluirse que, para adelantar el proceso de contratación, se requerirá contar con los estudios de prefactibilidad y factibilidad, porque es a través de estos que se verifica la viabilidad del proyecto. Debido a que los estudios de ingeniería en las fases descritas corresponden a aspectos técnicos propios del área de la ingeniera, podríamos concluir igualmente que, para verificar la viabilidad del proyecto de cualquier obra, la entidad deberá contar con los estudios de ingeniería correspondientes en las fases de prefactibilidad y factibilidad de acuerdo con las normas técnicas que regulan la materia. </w:t>
      </w:r>
    </w:p>
    <w:p w14:paraId="3B3F77BC" w14:textId="77777777" w:rsidR="009A7952" w:rsidRPr="00F420B6" w:rsidRDefault="009A7952" w:rsidP="009A7952">
      <w:pPr>
        <w:spacing w:before="120" w:line="276" w:lineRule="auto"/>
        <w:ind w:firstLine="709"/>
        <w:jc w:val="both"/>
        <w:rPr>
          <w:rFonts w:ascii="Century Gothic" w:hAnsi="Century Gothic" w:cs="Arial"/>
          <w:color w:val="000000" w:themeColor="text1"/>
          <w:lang w:val="es-ES_tradnl"/>
        </w:rPr>
      </w:pPr>
      <w:r w:rsidRPr="00F420B6">
        <w:rPr>
          <w:rFonts w:ascii="Century Gothic" w:hAnsi="Century Gothic" w:cs="Arial"/>
          <w:color w:val="000000" w:themeColor="text1"/>
          <w:lang w:val="es-ES_tradnl"/>
        </w:rPr>
        <w:t xml:space="preserve">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w:t>
      </w:r>
      <w:r w:rsidRPr="00F420B6">
        <w:rPr>
          <w:rFonts w:ascii="Century Gothic" w:hAnsi="Century Gothic" w:cs="Arial"/>
          <w:i/>
          <w:iCs/>
          <w:color w:val="000000" w:themeColor="text1"/>
          <w:lang w:val="es-ES_tradnl"/>
        </w:rPr>
        <w:t>ibidem</w:t>
      </w:r>
      <w:r w:rsidRPr="00F420B6">
        <w:rPr>
          <w:rFonts w:ascii="Century Gothic" w:hAnsi="Century Gothic" w:cs="Arial"/>
          <w:color w:val="000000" w:themeColor="text1"/>
          <w:lang w:val="es-ES_tradnl"/>
        </w:rPr>
        <w:t>, también prescribe que “Las palabras técnicas de toda ciencia o arte se tomarán en el sentido que les den los que profesan la misma ciencia o arte; a menos que aparezca claramente que se han formado en sentido diverso”.</w:t>
      </w:r>
    </w:p>
    <w:p w14:paraId="0CE147BC" w14:textId="77777777" w:rsidR="009A7952" w:rsidRPr="00F420B6" w:rsidRDefault="009A7952" w:rsidP="009A7952">
      <w:pPr>
        <w:spacing w:before="120" w:line="276" w:lineRule="auto"/>
        <w:ind w:firstLine="709"/>
        <w:jc w:val="both"/>
        <w:rPr>
          <w:rFonts w:ascii="Century Gothic" w:hAnsi="Century Gothic" w:cs="Arial"/>
          <w:color w:val="000000" w:themeColor="text1"/>
          <w:lang w:val="es-ES_tradnl"/>
        </w:rPr>
      </w:pPr>
      <w:r w:rsidRPr="00F420B6">
        <w:rPr>
          <w:rFonts w:ascii="Century Gothic" w:hAnsi="Century Gothic" w:cs="Arial"/>
          <w:color w:val="000000" w:themeColor="text1"/>
          <w:lang w:val="es-ES_tradnl"/>
        </w:rPr>
        <w:t xml:space="preserve">Conforme a lo anterior, las fases de prefactibilidad y factibilidad que permitan determinar la viabilidad de proyectos de obra deben entenderse siguiendo los significados técnicos atribuidos en esta materia. En todo caso, es claro que la entidad deberá contar con los estudios de ingeniería correspondientes que permitan determinar la viabilidad del proyecto, para efectos de adelantar el proceso licitatorio. Lo expuesto es congruente con </w:t>
      </w:r>
      <w:r w:rsidRPr="00F420B6">
        <w:rPr>
          <w:rFonts w:ascii="Century Gothic" w:hAnsi="Century Gothic" w:cs="Arial"/>
          <w:color w:val="000000" w:themeColor="text1"/>
          <w:lang w:val="es-ES"/>
        </w:rPr>
        <w:t xml:space="preserve">la “Guía para Proceso de Contratación de Obra Pública” expedida por la Agencia, en la cual se indica que </w:t>
      </w:r>
      <w:r w:rsidRPr="00F420B6">
        <w:rPr>
          <w:rFonts w:ascii="Century Gothic" w:hAnsi="Century Gothic" w:cs="Arial"/>
          <w:color w:val="000000" w:themeColor="text1"/>
          <w:lang w:val="es-ES_tradnl"/>
        </w:rPr>
        <w:t>“</w:t>
      </w:r>
      <w:r w:rsidRPr="00F420B6">
        <w:rPr>
          <w:rFonts w:ascii="Century Gothic" w:hAnsi="Century Gothic" w:cs="Arial"/>
          <w:color w:val="000000" w:themeColor="text1"/>
          <w:lang w:val="es-ES"/>
        </w:rPr>
        <w:t xml:space="preserve">las entidades estatales en la fase de planeación en procesos de contratación de obra pública debe </w:t>
      </w:r>
      <w:r w:rsidRPr="00F420B6">
        <w:rPr>
          <w:rFonts w:ascii="Century Gothic" w:hAnsi="Century Gothic" w:cs="Arial"/>
          <w:color w:val="000000" w:themeColor="text1"/>
        </w:rPr>
        <w:t>elaborar los estudios técnicos que son los análisis necesarios para establecer la viabilidad del proyecto en cuanto corresponde a (i) estudios de ingeniería, (ii) aspectos presupuestales, (iii) establecer el impacto social, económico y ambiental, (</w:t>
      </w:r>
      <w:proofErr w:type="spellStart"/>
      <w:r w:rsidRPr="00F420B6">
        <w:rPr>
          <w:rFonts w:ascii="Century Gothic" w:hAnsi="Century Gothic" w:cs="Arial"/>
          <w:color w:val="000000" w:themeColor="text1"/>
        </w:rPr>
        <w:t>iv</w:t>
      </w:r>
      <w:proofErr w:type="spellEnd"/>
      <w:r w:rsidRPr="00F420B6">
        <w:rPr>
          <w:rFonts w:ascii="Century Gothic" w:hAnsi="Century Gothic" w:cs="Arial"/>
          <w:color w:val="000000" w:themeColor="text1"/>
        </w:rPr>
        <w:t>) identificar los permisos, autorizaciones y licencias requeridas para la ejecución del proyecto y (v) proyectar la gestión predial</w:t>
      </w:r>
      <w:r w:rsidRPr="00F420B6">
        <w:rPr>
          <w:rFonts w:ascii="Century Gothic" w:hAnsi="Century Gothic" w:cs="Arial"/>
          <w:color w:val="000000" w:themeColor="text1"/>
          <w:lang w:val="es-ES_tradnl"/>
        </w:rPr>
        <w:t>”</w:t>
      </w:r>
      <w:r w:rsidRPr="00F420B6">
        <w:rPr>
          <w:rFonts w:ascii="Century Gothic" w:eastAsia="Calibri" w:hAnsi="Century Gothic" w:cs="Arial"/>
          <w:color w:val="000000"/>
          <w:vertAlign w:val="superscript"/>
          <w:lang w:val="es-ES" w:eastAsia="es-MX"/>
        </w:rPr>
        <w:footnoteReference w:id="16"/>
      </w:r>
      <w:r w:rsidRPr="00F420B6">
        <w:rPr>
          <w:rFonts w:ascii="Century Gothic" w:hAnsi="Century Gothic" w:cs="Arial"/>
          <w:color w:val="000000" w:themeColor="text1"/>
        </w:rPr>
        <w:t xml:space="preserve">. </w:t>
      </w:r>
    </w:p>
    <w:p w14:paraId="3989A202" w14:textId="77777777" w:rsidR="009A7952" w:rsidRPr="00F420B6" w:rsidRDefault="009A7952" w:rsidP="009A7952">
      <w:pPr>
        <w:spacing w:after="0" w:line="276" w:lineRule="auto"/>
        <w:ind w:firstLine="709"/>
        <w:jc w:val="both"/>
        <w:rPr>
          <w:rFonts w:ascii="Century Gothic" w:eastAsia="Calibri" w:hAnsi="Century Gothic" w:cs="Arial"/>
          <w:lang w:val="es-ES"/>
        </w:rPr>
      </w:pPr>
      <w:r w:rsidRPr="00F420B6">
        <w:rPr>
          <w:rFonts w:ascii="Century Gothic" w:eastAsia="Calibri" w:hAnsi="Century Gothic" w:cs="Arial"/>
          <w:lang w:val="es-MX"/>
        </w:rPr>
        <w:t xml:space="preserve">En síntesis, el numeral 12 del </w:t>
      </w:r>
      <w:r w:rsidRPr="00F420B6">
        <w:rPr>
          <w:rFonts w:ascii="Century Gothic" w:hAnsi="Century Gothic" w:cs="Arial"/>
          <w:bCs/>
          <w:color w:val="000000"/>
          <w:lang w:val="es-ES_tradnl" w:eastAsia="es-MX"/>
        </w:rPr>
        <w:t xml:space="preserve">del artículo 25 de la Ley 80 de 1993, modificado por el artículo 87 de la Ley 1474 de 2011, no prohíbe </w:t>
      </w:r>
      <w:r w:rsidRPr="00F420B6">
        <w:rPr>
          <w:rFonts w:ascii="Century Gothic" w:eastAsia="Calibri" w:hAnsi="Century Gothic" w:cs="Arial"/>
          <w:lang w:val="es-MX"/>
        </w:rPr>
        <w:t xml:space="preserve">la posibilidad de </w:t>
      </w:r>
      <w:r w:rsidRPr="00F420B6">
        <w:rPr>
          <w:rFonts w:ascii="Century Gothic" w:eastAsia="Calibri" w:hAnsi="Century Gothic" w:cs="Arial"/>
          <w:lang w:val="es-ES"/>
        </w:rPr>
        <w:t xml:space="preserve">que en un mismo proceso de contratación se adelante de forma conjunta la construcción de la obra y la elaboración de los estudios y diseños. Dicha norma exige que, previo a la </w:t>
      </w:r>
      <w:r w:rsidRPr="00F420B6">
        <w:rPr>
          <w:rFonts w:ascii="Century Gothic" w:hAnsi="Century Gothic" w:cs="Arial"/>
          <w:bCs/>
          <w:color w:val="000000"/>
          <w:lang w:val="es-ES_tradnl" w:eastAsia="es-MX"/>
        </w:rPr>
        <w:t>apertura de un procedimiento de licitación pública para la contratación de una obra,</w:t>
      </w:r>
      <w:r w:rsidRPr="00F420B6">
        <w:rPr>
          <w:rFonts w:ascii="Century Gothic" w:eastAsia="Calibri" w:hAnsi="Century Gothic" w:cs="Arial"/>
          <w:lang w:val="es-ES"/>
        </w:rPr>
        <w:t xml:space="preserve"> la entidad deberá contar con estudios que permita establecer la viabilidad del proyecto, es decir, que acredite los estudios de ingeniería correspondientes que determinen un grado de maduración del proyecto que se planea desarrollar. </w:t>
      </w:r>
    </w:p>
    <w:p w14:paraId="7018EEBB" w14:textId="77777777" w:rsidR="009A7952" w:rsidRPr="00F420B6" w:rsidRDefault="009A7952" w:rsidP="009A7952">
      <w:pPr>
        <w:spacing w:after="0" w:line="276" w:lineRule="auto"/>
        <w:jc w:val="both"/>
        <w:rPr>
          <w:rFonts w:ascii="Century Gothic" w:eastAsia="Calibri" w:hAnsi="Century Gothic" w:cs="Arial"/>
          <w:lang w:val="es-ES"/>
        </w:rPr>
      </w:pPr>
    </w:p>
    <w:p w14:paraId="078B6B22" w14:textId="77777777" w:rsidR="009A7952" w:rsidRPr="00F420B6" w:rsidRDefault="009A7952" w:rsidP="009A7952">
      <w:pPr>
        <w:spacing w:after="0" w:line="276" w:lineRule="auto"/>
        <w:jc w:val="both"/>
        <w:rPr>
          <w:rFonts w:ascii="Century Gothic" w:eastAsia="Calibri" w:hAnsi="Century Gothic" w:cs="Arial"/>
          <w:b/>
          <w:color w:val="000000" w:themeColor="text1"/>
          <w:lang w:val="es-ES_tradnl"/>
        </w:rPr>
      </w:pPr>
      <w:r w:rsidRPr="00F420B6">
        <w:rPr>
          <w:rFonts w:ascii="Century Gothic" w:hAnsi="Century Gothic" w:cs="Arial"/>
          <w:b/>
          <w:color w:val="000000"/>
          <w:lang w:val="es-ES_tradnl" w:eastAsia="es-MX"/>
        </w:rPr>
        <w:t>2.4.</w:t>
      </w:r>
      <w:r w:rsidRPr="00F420B6">
        <w:rPr>
          <w:rFonts w:ascii="Century Gothic" w:hAnsi="Century Gothic" w:cs="Arial"/>
          <w:bCs/>
          <w:color w:val="000000"/>
          <w:lang w:val="es-ES_tradnl" w:eastAsia="es-MX"/>
        </w:rPr>
        <w:t xml:space="preserve"> </w:t>
      </w:r>
      <w:r w:rsidRPr="00F420B6">
        <w:rPr>
          <w:rFonts w:ascii="Century Gothic" w:eastAsia="Calibri" w:hAnsi="Century Gothic" w:cs="Arial"/>
          <w:b/>
          <w:color w:val="000000" w:themeColor="text1"/>
          <w:lang w:val="es-ES_tradnl"/>
        </w:rPr>
        <w:t xml:space="preserve">Alcance de los contratos de obra en llave en mano, </w:t>
      </w:r>
      <w:bookmarkStart w:id="13" w:name="_Hlk134106483"/>
      <w:r w:rsidRPr="00F420B6">
        <w:rPr>
          <w:rFonts w:ascii="Century Gothic" w:eastAsia="Calibri" w:hAnsi="Century Gothic" w:cs="Arial"/>
          <w:b/>
          <w:color w:val="000000" w:themeColor="text1"/>
          <w:lang w:val="es-ES_tradnl"/>
        </w:rPr>
        <w:t xml:space="preserve">también denominados contratos de </w:t>
      </w:r>
      <w:proofErr w:type="spellStart"/>
      <w:r w:rsidRPr="00F420B6">
        <w:rPr>
          <w:rFonts w:ascii="Century Gothic" w:eastAsia="Calibri" w:hAnsi="Century Gothic" w:cs="Arial"/>
          <w:b/>
          <w:color w:val="000000" w:themeColor="text1"/>
          <w:lang w:val="es-ES_tradnl"/>
        </w:rPr>
        <w:t>Engineering</w:t>
      </w:r>
      <w:proofErr w:type="spellEnd"/>
      <w:r w:rsidRPr="00F420B6">
        <w:rPr>
          <w:rFonts w:ascii="Century Gothic" w:eastAsia="Calibri" w:hAnsi="Century Gothic" w:cs="Arial"/>
          <w:b/>
          <w:color w:val="000000" w:themeColor="text1"/>
          <w:lang w:val="es-ES_tradnl"/>
        </w:rPr>
        <w:t xml:space="preserve">, </w:t>
      </w:r>
      <w:proofErr w:type="spellStart"/>
      <w:r w:rsidRPr="00F420B6">
        <w:rPr>
          <w:rFonts w:ascii="Century Gothic" w:eastAsia="Calibri" w:hAnsi="Century Gothic" w:cs="Arial"/>
          <w:b/>
          <w:color w:val="000000" w:themeColor="text1"/>
          <w:lang w:val="es-ES_tradnl"/>
        </w:rPr>
        <w:t>Procurement</w:t>
      </w:r>
      <w:proofErr w:type="spellEnd"/>
      <w:r w:rsidRPr="00F420B6">
        <w:rPr>
          <w:rFonts w:ascii="Century Gothic" w:eastAsia="Calibri" w:hAnsi="Century Gothic" w:cs="Arial"/>
          <w:b/>
          <w:color w:val="000000" w:themeColor="text1"/>
          <w:lang w:val="es-ES_tradnl"/>
        </w:rPr>
        <w:t xml:space="preserve"> and </w:t>
      </w:r>
      <w:proofErr w:type="spellStart"/>
      <w:r w:rsidRPr="00F420B6">
        <w:rPr>
          <w:rFonts w:ascii="Century Gothic" w:eastAsia="Calibri" w:hAnsi="Century Gothic" w:cs="Arial"/>
          <w:b/>
          <w:color w:val="000000" w:themeColor="text1"/>
          <w:lang w:val="es-ES_tradnl"/>
        </w:rPr>
        <w:t>Construction</w:t>
      </w:r>
      <w:proofErr w:type="spellEnd"/>
      <w:r w:rsidRPr="00F420B6">
        <w:rPr>
          <w:rFonts w:ascii="Century Gothic" w:eastAsia="Calibri" w:hAnsi="Century Gothic" w:cs="Arial"/>
          <w:b/>
          <w:color w:val="000000" w:themeColor="text1"/>
          <w:lang w:val="es-ES_tradnl"/>
        </w:rPr>
        <w:t xml:space="preserve"> –EPC–</w:t>
      </w:r>
      <w:bookmarkEnd w:id="13"/>
    </w:p>
    <w:p w14:paraId="0A9999BF" w14:textId="77777777" w:rsidR="009A7952" w:rsidRPr="00F420B6" w:rsidRDefault="009A7952" w:rsidP="009A7952">
      <w:pPr>
        <w:spacing w:after="0" w:line="276" w:lineRule="auto"/>
        <w:jc w:val="both"/>
        <w:rPr>
          <w:rFonts w:ascii="Century Gothic" w:eastAsia="Calibri" w:hAnsi="Century Gothic" w:cs="Arial"/>
          <w:b/>
          <w:color w:val="000000" w:themeColor="text1"/>
          <w:lang w:val="es-ES_tradnl"/>
        </w:rPr>
      </w:pPr>
    </w:p>
    <w:p w14:paraId="41ABF62D" w14:textId="77777777" w:rsidR="009A7952" w:rsidRPr="00F420B6" w:rsidRDefault="009A7952" w:rsidP="009A7952">
      <w:pPr>
        <w:spacing w:line="276" w:lineRule="auto"/>
        <w:jc w:val="both"/>
        <w:rPr>
          <w:rFonts w:ascii="Century Gothic" w:hAnsi="Century Gothic" w:cs="Arial"/>
          <w:bCs/>
          <w:color w:val="000000" w:themeColor="text1"/>
          <w:lang w:val="es-ES_tradnl"/>
        </w:rPr>
      </w:pPr>
      <w:r w:rsidRPr="00F420B6">
        <w:rPr>
          <w:rFonts w:ascii="Century Gothic" w:hAnsi="Century Gothic" w:cs="Arial"/>
          <w:color w:val="000000" w:themeColor="text1"/>
          <w:lang w:val="es-ES_tradnl"/>
        </w:rPr>
        <w:t xml:space="preserve">La definición del contrato de obra pública está prevista en el numeral 1° del artículo 32 de la Ley 80 de 1993, como aquel celebrado por una entidad estatal, cuyo objeto sea la construcción, mantenimiento, instalación y, en general, la realización de cualquier otro trabajo material sobre bienes inmuebles, cualquiera que sea la modalidad de ejecución y pago. Al respecto, en sentencia de unificación jurisprudencial de la Sala Plena del Consejo de </w:t>
      </w:r>
      <w:r w:rsidRPr="00F420B6">
        <w:rPr>
          <w:rFonts w:ascii="Century Gothic" w:hAnsi="Century Gothic" w:cs="Arial"/>
          <w:bCs/>
          <w:color w:val="000000" w:themeColor="text1"/>
          <w:lang w:val="es-ES_tradnl"/>
        </w:rPr>
        <w:t>Estado del 25 de febrero de 2020, la jurisprudencia considera que “[…] en términos generales, el contrato de obra pública es el celebrado con entidades de derecho público para la realización de trabajos materiales sobre bienes inmuebles […]”</w:t>
      </w:r>
      <w:r w:rsidRPr="00F420B6">
        <w:rPr>
          <w:rFonts w:ascii="Century Gothic" w:hAnsi="Century Gothic" w:cs="Arial"/>
          <w:bCs/>
          <w:vertAlign w:val="superscript"/>
        </w:rPr>
        <w:footnoteReference w:id="17"/>
      </w:r>
      <w:r w:rsidRPr="00F420B6">
        <w:rPr>
          <w:rFonts w:ascii="Century Gothic" w:hAnsi="Century Gothic" w:cs="Arial"/>
          <w:bCs/>
          <w:color w:val="000000" w:themeColor="text1"/>
          <w:lang w:val="es-ES_tradnl"/>
        </w:rPr>
        <w:t>.</w:t>
      </w:r>
    </w:p>
    <w:p w14:paraId="7D0FE241" w14:textId="77777777" w:rsidR="009A7952" w:rsidRPr="00F420B6" w:rsidRDefault="009A7952" w:rsidP="009A7952">
      <w:pPr>
        <w:spacing w:before="120" w:line="276" w:lineRule="auto"/>
        <w:ind w:firstLine="709"/>
        <w:jc w:val="both"/>
        <w:rPr>
          <w:rFonts w:ascii="Century Gothic" w:hAnsi="Century Gothic" w:cs="Arial"/>
          <w:bCs/>
          <w:color w:val="000000" w:themeColor="text1"/>
          <w:lang w:val="es-ES_tradnl"/>
        </w:rPr>
      </w:pPr>
      <w:bookmarkStart w:id="14" w:name="_Hlk134112705"/>
      <w:r w:rsidRPr="00F420B6">
        <w:rPr>
          <w:rFonts w:ascii="Century Gothic" w:hAnsi="Century Gothic" w:cs="Arial"/>
          <w:bCs/>
          <w:color w:val="000000" w:themeColor="text1"/>
          <w:lang w:val="es-ES_tradnl"/>
        </w:rPr>
        <w:t xml:space="preserve">Cuando el contratista se obliga a ejecutar la obra desde la fase inicial de diseño y hasta la puesta en marcha, podemos afirmar que se trata de un contrato de obra bajo la modalidad de llave en mano, también denominado contrato de </w:t>
      </w:r>
      <w:bookmarkStart w:id="15" w:name="_Hlk134107595"/>
      <w:proofErr w:type="spellStart"/>
      <w:r w:rsidRPr="00F420B6">
        <w:rPr>
          <w:rFonts w:ascii="Century Gothic" w:hAnsi="Century Gothic" w:cs="Arial"/>
          <w:bCs/>
          <w:color w:val="000000" w:themeColor="text1"/>
          <w:lang w:val="es-ES_tradnl"/>
        </w:rPr>
        <w:t>Engineering</w:t>
      </w:r>
      <w:proofErr w:type="spellEnd"/>
      <w:r w:rsidRPr="00F420B6">
        <w:rPr>
          <w:rFonts w:ascii="Century Gothic" w:hAnsi="Century Gothic" w:cs="Arial"/>
          <w:bCs/>
          <w:color w:val="000000" w:themeColor="text1"/>
          <w:lang w:val="es-ES_tradnl"/>
        </w:rPr>
        <w:t xml:space="preserve">, </w:t>
      </w:r>
      <w:proofErr w:type="spellStart"/>
      <w:r w:rsidRPr="00F420B6">
        <w:rPr>
          <w:rFonts w:ascii="Century Gothic" w:hAnsi="Century Gothic" w:cs="Arial"/>
          <w:bCs/>
          <w:color w:val="000000" w:themeColor="text1"/>
          <w:lang w:val="es-ES_tradnl"/>
        </w:rPr>
        <w:t>Procurement</w:t>
      </w:r>
      <w:proofErr w:type="spellEnd"/>
      <w:r w:rsidRPr="00F420B6">
        <w:rPr>
          <w:rFonts w:ascii="Century Gothic" w:hAnsi="Century Gothic" w:cs="Arial"/>
          <w:bCs/>
          <w:color w:val="000000" w:themeColor="text1"/>
          <w:lang w:val="es-ES_tradnl"/>
        </w:rPr>
        <w:t xml:space="preserve"> and </w:t>
      </w:r>
      <w:proofErr w:type="spellStart"/>
      <w:r w:rsidRPr="00F420B6">
        <w:rPr>
          <w:rFonts w:ascii="Century Gothic" w:hAnsi="Century Gothic" w:cs="Arial"/>
          <w:bCs/>
          <w:color w:val="000000" w:themeColor="text1"/>
          <w:lang w:val="es-ES_tradnl"/>
        </w:rPr>
        <w:t>Construction</w:t>
      </w:r>
      <w:bookmarkEnd w:id="15"/>
      <w:proofErr w:type="spellEnd"/>
      <w:r w:rsidRPr="00F420B6">
        <w:rPr>
          <w:rFonts w:ascii="Century Gothic" w:hAnsi="Century Gothic" w:cs="Arial"/>
          <w:bCs/>
          <w:color w:val="000000" w:themeColor="text1"/>
          <w:lang w:val="es-ES_tradnl"/>
        </w:rPr>
        <w:t xml:space="preserve"> –EPC–</w:t>
      </w:r>
      <w:r w:rsidRPr="00F420B6">
        <w:rPr>
          <w:rStyle w:val="Refdenotaalpie"/>
          <w:rFonts w:ascii="Century Gothic" w:hAnsi="Century Gothic" w:cs="Arial"/>
          <w:bCs/>
          <w:color w:val="000000" w:themeColor="text1"/>
          <w:lang w:val="es-ES_tradnl"/>
        </w:rPr>
        <w:footnoteReference w:id="18"/>
      </w:r>
      <w:r w:rsidRPr="00F420B6">
        <w:rPr>
          <w:rFonts w:ascii="Century Gothic" w:hAnsi="Century Gothic" w:cs="Arial"/>
          <w:bCs/>
          <w:color w:val="000000" w:themeColor="text1"/>
          <w:lang w:val="es-ES_tradnl"/>
        </w:rPr>
        <w:t xml:space="preserve">. </w:t>
      </w:r>
      <w:r w:rsidRPr="00F420B6">
        <w:rPr>
          <w:rFonts w:ascii="Century Gothic" w:hAnsi="Century Gothic" w:cs="Arial"/>
          <w:bCs/>
          <w:color w:val="000000"/>
          <w:lang w:val="es-ES_tradnl" w:eastAsia="es-MX"/>
        </w:rPr>
        <w:t>En efecto, según la “Guía para Procesos de Contratación de Obra Pública” expedida por la Agencia, esta es una modalidad en la cual “</w:t>
      </w:r>
      <w:bookmarkStart w:id="16" w:name="_Hlk69292474"/>
      <w:r w:rsidRPr="00F420B6">
        <w:rPr>
          <w:rFonts w:ascii="Century Gothic" w:hAnsi="Century Gothic" w:cs="Arial"/>
          <w:bCs/>
          <w:color w:val="000000"/>
          <w:lang w:val="es-ES_tradnl" w:eastAsia="es-MX"/>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16"/>
      <w:r w:rsidRPr="00F420B6">
        <w:rPr>
          <w:rFonts w:ascii="Century Gothic" w:eastAsia="Calibri" w:hAnsi="Century Gothic" w:cs="Arial"/>
          <w:color w:val="000000"/>
          <w:lang w:val="es-ES" w:eastAsia="es-MX"/>
        </w:rPr>
        <w:t>”</w:t>
      </w:r>
      <w:r w:rsidRPr="00F420B6">
        <w:rPr>
          <w:rFonts w:ascii="Century Gothic" w:eastAsia="Calibri" w:hAnsi="Century Gothic" w:cs="Arial"/>
          <w:color w:val="000000"/>
          <w:vertAlign w:val="superscript"/>
          <w:lang w:val="es-ES" w:eastAsia="es-MX"/>
        </w:rPr>
        <w:footnoteReference w:id="19"/>
      </w:r>
      <w:r w:rsidRPr="00F420B6">
        <w:rPr>
          <w:rFonts w:ascii="Century Gothic" w:eastAsia="Calibri" w:hAnsi="Century Gothic" w:cs="Arial"/>
          <w:color w:val="000000"/>
          <w:lang w:val="es-ES" w:eastAsia="es-MX"/>
        </w:rPr>
        <w:t>.</w:t>
      </w:r>
      <w:r w:rsidRPr="00F420B6">
        <w:rPr>
          <w:rFonts w:ascii="Century Gothic" w:hAnsi="Century Gothic"/>
          <w:lang w:eastAsia="es-MX"/>
        </w:rPr>
        <w:t xml:space="preserve"> </w:t>
      </w:r>
      <w:r w:rsidRPr="00F420B6">
        <w:rPr>
          <w:rFonts w:ascii="Century Gothic" w:hAnsi="Century Gothic" w:cs="Arial"/>
          <w:lang w:eastAsia="es-MX"/>
        </w:rPr>
        <w:t>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w:t>
      </w:r>
      <w:r w:rsidRPr="00F420B6">
        <w:rPr>
          <w:rFonts w:ascii="Century Gothic" w:hAnsi="Century Gothic" w:cs="Arial"/>
          <w:spacing w:val="-16"/>
          <w:lang w:eastAsia="es-MX"/>
        </w:rPr>
        <w:t xml:space="preserve"> </w:t>
      </w:r>
      <w:r w:rsidRPr="00F420B6">
        <w:rPr>
          <w:rFonts w:ascii="Century Gothic" w:hAnsi="Century Gothic" w:cs="Arial"/>
          <w:lang w:eastAsia="es-MX"/>
        </w:rPr>
        <w:t>entrega”</w:t>
      </w:r>
      <w:r w:rsidRPr="00F420B6">
        <w:rPr>
          <w:rStyle w:val="Refdenotaalpie"/>
          <w:rFonts w:ascii="Century Gothic" w:hAnsi="Century Gothic" w:cs="Arial"/>
          <w:lang w:eastAsia="es-MX"/>
        </w:rPr>
        <w:footnoteReference w:id="20"/>
      </w:r>
      <w:r w:rsidRPr="00F420B6">
        <w:rPr>
          <w:rFonts w:ascii="Century Gothic" w:hAnsi="Century Gothic" w:cs="Arial"/>
          <w:lang w:eastAsia="es-MX"/>
        </w:rPr>
        <w:t>.</w:t>
      </w:r>
    </w:p>
    <w:bookmarkEnd w:id="14"/>
    <w:p w14:paraId="6567C382" w14:textId="77777777" w:rsidR="009A7952" w:rsidRPr="00F420B6" w:rsidRDefault="009A7952" w:rsidP="009A7952">
      <w:pPr>
        <w:widowControl w:val="0"/>
        <w:autoSpaceDE w:val="0"/>
        <w:autoSpaceDN w:val="0"/>
        <w:spacing w:before="120" w:line="276" w:lineRule="auto"/>
        <w:ind w:firstLine="707"/>
        <w:jc w:val="both"/>
        <w:rPr>
          <w:rFonts w:ascii="Century Gothic" w:eastAsia="Arial" w:hAnsi="Century Gothic" w:cs="Arial"/>
          <w:lang w:val="es-ES"/>
        </w:rPr>
      </w:pPr>
      <w:r w:rsidRPr="00F420B6">
        <w:rPr>
          <w:rFonts w:ascii="Century Gothic" w:eastAsia="Arial" w:hAnsi="Century Gothic" w:cs="Arial"/>
          <w:lang w:val="es-ES"/>
        </w:rPr>
        <w:t>Por lo tanto, el contrato de obra bajo la modalidad de llave en mano no se agota en la labor constructiva típica, pues incluye tanto la elaboración de los diseños como la puesta en funcionamiento de la obra contratada. En efecto, para la aplicación de esta modalidad, la obra “[…] debe estar provista de todo lo que fuere necesario, según las normas técnicas aplicables, para operar en condiciones de eficiencia y seguridad […]”</w:t>
      </w:r>
      <w:r w:rsidRPr="00F420B6">
        <w:rPr>
          <w:rFonts w:ascii="Century Gothic" w:eastAsia="Arial" w:hAnsi="Century Gothic" w:cs="Arial"/>
          <w:vertAlign w:val="superscript"/>
          <w:lang w:val="es-ES"/>
        </w:rPr>
        <w:footnoteReference w:id="21"/>
      </w:r>
      <w:r w:rsidRPr="00F420B6">
        <w:rPr>
          <w:rFonts w:ascii="Century Gothic" w:eastAsia="Arial" w:hAnsi="Century Gothic" w:cs="Arial"/>
          <w:lang w:val="es-ES"/>
        </w:rPr>
        <w:t>. Además, “[…]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sidRPr="00F420B6">
        <w:rPr>
          <w:rFonts w:ascii="Century Gothic" w:eastAsia="Arial" w:hAnsi="Century Gothic" w:cs="Arial"/>
          <w:vertAlign w:val="superscript"/>
          <w:lang w:val="es-ES"/>
        </w:rPr>
        <w:footnoteReference w:id="22"/>
      </w:r>
      <w:r w:rsidRPr="00F420B6">
        <w:rPr>
          <w:rFonts w:ascii="Century Gothic" w:eastAsia="Arial" w:hAnsi="Century Gothic" w:cs="Arial"/>
          <w:lang w:val="es-ES"/>
        </w:rPr>
        <w:t xml:space="preserve">. Estas características especiales del contrato son una solución eficaz para reducir costos de transacción y los plazos en la licitación de obras, pues en un solo proceso se lleva a cabo la licitación del diseño de las obras y su construcción, responsabilizando al contratante de la planeación de la obra y reduciendo los riesgos asociados con “errores de diseño” que son una causa normal sobrecostos. </w:t>
      </w:r>
    </w:p>
    <w:p w14:paraId="58C441A5" w14:textId="77777777" w:rsidR="009A7952" w:rsidRPr="00F420B6" w:rsidRDefault="009A7952" w:rsidP="009A7952">
      <w:pPr>
        <w:spacing w:before="120" w:after="0" w:line="276" w:lineRule="auto"/>
        <w:ind w:firstLine="709"/>
        <w:jc w:val="both"/>
        <w:rPr>
          <w:rFonts w:ascii="Century Gothic" w:eastAsia="Calibri" w:hAnsi="Century Gothic" w:cs="Arial"/>
          <w:color w:val="000000"/>
          <w:lang w:val="es-ES" w:eastAsia="en-GB"/>
        </w:rPr>
      </w:pPr>
      <w:r w:rsidRPr="00F420B6">
        <w:rPr>
          <w:rFonts w:ascii="Century Gothic" w:eastAsia="Calibri" w:hAnsi="Century Gothic" w:cs="Arial"/>
          <w:color w:val="000000"/>
          <w:lang w:val="es-ES" w:eastAsia="en-GB"/>
        </w:rPr>
        <w:t xml:space="preserve">Para la Sección Cuarta del Consejo de Estado, </w:t>
      </w:r>
      <w:r w:rsidRPr="00F420B6">
        <w:rPr>
          <w:rFonts w:ascii="Century Gothic" w:eastAsia="Arial" w:hAnsi="Century Gothic" w:cs="Arial"/>
          <w:lang w:val="es-ES"/>
        </w:rPr>
        <w:t>“</w:t>
      </w:r>
      <w:r w:rsidRPr="00F420B6">
        <w:rPr>
          <w:rFonts w:ascii="Century Gothic" w:hAnsi="Century Gothic" w:cs="Arial"/>
          <w:lang w:val="es-ES" w:eastAsia="es-ES"/>
        </w:rPr>
        <w:t>En virtud del contrato llave en mano, el contratista se compromete a llevar a cabo una obra, incluyendo los estudios previos, la ejecución de la construcción, el suministro de equipos y la puesta en operación de la obra al momento de su entrega. En general, aunque el contrato llave en mano no se limita a la elaboración de una obra material, se ha considerado como una modalidad especial del contrato de obra pública o de construcción de un bien inmueble</w:t>
      </w:r>
      <w:r w:rsidRPr="00F420B6">
        <w:rPr>
          <w:rFonts w:ascii="Century Gothic" w:eastAsia="Arial" w:hAnsi="Century Gothic" w:cs="Arial"/>
        </w:rPr>
        <w:t>”</w:t>
      </w:r>
      <w:r w:rsidRPr="00F420B6">
        <w:rPr>
          <w:rStyle w:val="Refdenotaalpie"/>
          <w:rFonts w:ascii="Century Gothic" w:hAnsi="Century Gothic" w:cs="Arial"/>
          <w:lang w:val="es-ES" w:eastAsia="es-ES"/>
        </w:rPr>
        <w:footnoteReference w:id="23"/>
      </w:r>
      <w:r w:rsidRPr="00F420B6">
        <w:rPr>
          <w:rFonts w:ascii="Century Gothic" w:eastAsia="Calibri" w:hAnsi="Century Gothic" w:cs="Arial"/>
          <w:color w:val="000000"/>
          <w:lang w:val="es-ES" w:eastAsia="en-GB"/>
        </w:rPr>
        <w:t xml:space="preserve">. Asimismo, la Sala de Consulta y Servicio Civil de esta Corporación, ha señalado que </w:t>
      </w:r>
      <w:r w:rsidRPr="00F420B6">
        <w:rPr>
          <w:rFonts w:ascii="Century Gothic" w:eastAsia="Arial" w:hAnsi="Century Gothic" w:cs="Arial"/>
          <w:lang w:val="es-ES"/>
        </w:rPr>
        <w:t>“</w:t>
      </w:r>
      <w:r w:rsidRPr="00F420B6">
        <w:rPr>
          <w:rFonts w:ascii="Century Gothic" w:eastAsia="Calibri" w:hAnsi="Century Gothic" w:cs="Arial"/>
          <w:color w:val="000000"/>
          <w:lang w:val="es-ES" w:eastAsia="en-GB"/>
        </w:rPr>
        <w:t>dentro de las modalidades que puede adoptar el contrato de obra, se encuentra la de “llave en mano”, negocio jurídico que en términos generales consiste en un acuerdo de voluntades en virtud del cual una parte se compromete frente a otra, a cambio de una remuneración, a diseñar, construir y poner en marcha y lista para su funcionamiento una determinada obra</w:t>
      </w:r>
      <w:r w:rsidRPr="00F420B6">
        <w:rPr>
          <w:rFonts w:ascii="Century Gothic" w:eastAsia="Arial" w:hAnsi="Century Gothic" w:cs="Arial"/>
        </w:rPr>
        <w:t>”</w:t>
      </w:r>
      <w:r w:rsidRPr="00F420B6">
        <w:rPr>
          <w:rStyle w:val="Refdenotaalpie"/>
          <w:rFonts w:ascii="Century Gothic" w:eastAsia="Arial" w:hAnsi="Century Gothic" w:cs="Arial"/>
        </w:rPr>
        <w:footnoteReference w:id="24"/>
      </w:r>
      <w:r w:rsidRPr="00F420B6">
        <w:rPr>
          <w:rFonts w:ascii="Century Gothic" w:eastAsia="Calibri" w:hAnsi="Century Gothic" w:cs="Arial"/>
          <w:color w:val="000000"/>
          <w:lang w:val="es-ES" w:eastAsia="en-GB"/>
        </w:rPr>
        <w:t xml:space="preserve">. La justicia arbitral también concibe el tema de la misma forma, pues tiene el siguiente entendimiento sobre la expresión </w:t>
      </w:r>
      <w:r w:rsidRPr="00F420B6">
        <w:rPr>
          <w:rFonts w:ascii="Century Gothic" w:eastAsia="Arial" w:hAnsi="Century Gothic" w:cs="Arial"/>
          <w:lang w:val="es-ES"/>
        </w:rPr>
        <w:t>“</w:t>
      </w:r>
      <w:r w:rsidRPr="00F420B6">
        <w:rPr>
          <w:rFonts w:ascii="Century Gothic" w:eastAsia="Calibri" w:hAnsi="Century Gothic" w:cs="Arial"/>
          <w:color w:val="000000"/>
          <w:lang w:val="es-ES" w:eastAsia="en-GB"/>
        </w:rPr>
        <w:t>llave en mano</w:t>
      </w:r>
      <w:r w:rsidRPr="00F420B6">
        <w:rPr>
          <w:rFonts w:ascii="Century Gothic" w:eastAsia="Arial" w:hAnsi="Century Gothic" w:cs="Arial"/>
        </w:rPr>
        <w:t>”</w:t>
      </w:r>
      <w:r w:rsidRPr="00F420B6">
        <w:rPr>
          <w:rFonts w:ascii="Century Gothic" w:eastAsia="Calibri" w:hAnsi="Century Gothic" w:cs="Arial"/>
          <w:color w:val="000000"/>
          <w:lang w:val="es-ES" w:eastAsia="en-GB"/>
        </w:rPr>
        <w:t xml:space="preserve"> como una modalidad del contrato de obra:</w:t>
      </w:r>
    </w:p>
    <w:p w14:paraId="7C173499" w14:textId="77777777" w:rsidR="009A7952" w:rsidRPr="00F420B6" w:rsidRDefault="009A7952" w:rsidP="009A7952">
      <w:pPr>
        <w:spacing w:after="0" w:line="276" w:lineRule="auto"/>
        <w:ind w:firstLine="709"/>
        <w:jc w:val="both"/>
        <w:rPr>
          <w:rFonts w:ascii="Century Gothic" w:eastAsia="Calibri" w:hAnsi="Century Gothic" w:cs="Arial"/>
          <w:color w:val="000000"/>
          <w:lang w:val="es-ES" w:eastAsia="en-GB"/>
        </w:rPr>
      </w:pPr>
    </w:p>
    <w:p w14:paraId="2149D3BC" w14:textId="77777777" w:rsidR="009A7952" w:rsidRPr="00F420B6" w:rsidRDefault="009A7952" w:rsidP="009A7952">
      <w:pPr>
        <w:spacing w:after="0" w:line="240" w:lineRule="auto"/>
        <w:ind w:left="709" w:right="476"/>
        <w:jc w:val="both"/>
        <w:rPr>
          <w:rFonts w:ascii="Century Gothic" w:eastAsia="Calibri" w:hAnsi="Century Gothic" w:cs="Arial"/>
          <w:color w:val="000000"/>
          <w:lang w:val="es-ES" w:eastAsia="en-GB"/>
        </w:rPr>
      </w:pPr>
      <w:r w:rsidRPr="00F420B6">
        <w:rPr>
          <w:rFonts w:ascii="Century Gothic" w:hAnsi="Century Gothic" w:cs="Arial"/>
          <w:sz w:val="21"/>
          <w:lang w:eastAsia="es-MX"/>
        </w:rPr>
        <w:t xml:space="preserve">“Para evitar confusiones hay que aclarar que "llave en mano" es una modalidad de contratación. </w:t>
      </w:r>
      <w:r w:rsidRPr="00F420B6">
        <w:rPr>
          <w:rFonts w:ascii="Century Gothic" w:hAnsi="Century Gothic" w:cs="Arial"/>
          <w:i/>
          <w:iCs/>
          <w:sz w:val="21"/>
          <w:lang w:eastAsia="es-MX"/>
        </w:rPr>
        <w:t>El ámbito natural de esta modalidad es el contrato de obras, entonces esa será la clase de contrato: de obra</w:t>
      </w:r>
      <w:r w:rsidRPr="00F420B6">
        <w:rPr>
          <w:rFonts w:ascii="Century Gothic" w:hAnsi="Century Gothic" w:cs="Arial"/>
          <w:sz w:val="21"/>
          <w:lang w:eastAsia="es-MX"/>
        </w:rPr>
        <w:t>, en oposición a otras clases como suministro, servicios, etc. El contrato "</w:t>
      </w:r>
      <w:proofErr w:type="spellStart"/>
      <w:r w:rsidRPr="00F420B6">
        <w:rPr>
          <w:rFonts w:ascii="Century Gothic" w:hAnsi="Century Gothic" w:cs="Arial"/>
          <w:sz w:val="21"/>
          <w:lang w:eastAsia="es-MX"/>
        </w:rPr>
        <w:t>clé</w:t>
      </w:r>
      <w:proofErr w:type="spellEnd"/>
      <w:r w:rsidRPr="00F420B6">
        <w:rPr>
          <w:rFonts w:ascii="Century Gothic" w:hAnsi="Century Gothic" w:cs="Arial"/>
          <w:sz w:val="21"/>
          <w:lang w:eastAsia="es-MX"/>
        </w:rPr>
        <w:t xml:space="preserve"> en </w:t>
      </w:r>
      <w:proofErr w:type="spellStart"/>
      <w:r w:rsidRPr="00F420B6">
        <w:rPr>
          <w:rFonts w:ascii="Century Gothic" w:hAnsi="Century Gothic" w:cs="Arial"/>
          <w:sz w:val="21"/>
          <w:lang w:eastAsia="es-MX"/>
        </w:rPr>
        <w:t>main</w:t>
      </w:r>
      <w:proofErr w:type="spellEnd"/>
      <w:r w:rsidRPr="00F420B6">
        <w:rPr>
          <w:rFonts w:ascii="Century Gothic" w:hAnsi="Century Gothic" w:cs="Arial"/>
          <w:sz w:val="21"/>
          <w:lang w:eastAsia="es-MX"/>
        </w:rPr>
        <w:t>”, implica especialización del contratista así como la obligación de este de entregar un producto plenamente terminado y en “marcha”. Para ello asume una obligación global de realizar todas las prestaciones necesarias, coadyuvantes o complementarias de la obra a realizar”</w:t>
      </w:r>
      <w:r w:rsidRPr="00F420B6">
        <w:rPr>
          <w:rStyle w:val="Refdenotaalpie"/>
          <w:rFonts w:ascii="Century Gothic" w:hAnsi="Century Gothic" w:cs="Arial"/>
          <w:sz w:val="21"/>
          <w:lang w:eastAsia="es-MX"/>
        </w:rPr>
        <w:footnoteReference w:id="25"/>
      </w:r>
      <w:r w:rsidRPr="00F420B6">
        <w:rPr>
          <w:rFonts w:ascii="Century Gothic" w:hAnsi="Century Gothic" w:cs="Arial"/>
          <w:sz w:val="21"/>
          <w:lang w:eastAsia="es-MX"/>
        </w:rPr>
        <w:t xml:space="preserve">. </w:t>
      </w:r>
    </w:p>
    <w:p w14:paraId="284C9A68" w14:textId="77777777" w:rsidR="009A7952" w:rsidRPr="00F420B6" w:rsidRDefault="009A7952" w:rsidP="009A7952">
      <w:pPr>
        <w:spacing w:after="0" w:line="276" w:lineRule="auto"/>
        <w:jc w:val="both"/>
        <w:rPr>
          <w:rFonts w:ascii="Century Gothic" w:eastAsia="Calibri" w:hAnsi="Century Gothic" w:cs="Arial"/>
          <w:b/>
          <w:bCs/>
          <w:color w:val="000000"/>
          <w:lang w:eastAsia="en-GB"/>
        </w:rPr>
      </w:pPr>
    </w:p>
    <w:p w14:paraId="1DCC49B8" w14:textId="77777777" w:rsidR="009A7952" w:rsidRPr="00F420B6" w:rsidRDefault="009A7952" w:rsidP="009A7952">
      <w:pPr>
        <w:spacing w:line="276" w:lineRule="auto"/>
        <w:ind w:firstLine="709"/>
        <w:jc w:val="both"/>
        <w:rPr>
          <w:rFonts w:ascii="Century Gothic" w:eastAsia="Calibri" w:hAnsi="Century Gothic" w:cs="Arial"/>
          <w:color w:val="000000"/>
          <w:lang w:eastAsia="en-GB"/>
        </w:rPr>
      </w:pPr>
      <w:r w:rsidRPr="00F420B6">
        <w:rPr>
          <w:rFonts w:ascii="Century Gothic" w:eastAsia="Calibri" w:hAnsi="Century Gothic" w:cs="Arial"/>
          <w:color w:val="000000"/>
          <w:lang w:eastAsia="en-GB"/>
        </w:rPr>
        <w:t>Igualmente, en la doctrina se concibe como una modalidad de pago del contrato de obra en la que el contratista se compromete a realizar la totalidad de los anteproyectos, proyectos, estudios y diseños de obra requeridos y la ejecución material de las obras, instalaciones y suministros</w:t>
      </w:r>
      <w:r w:rsidRPr="00F420B6">
        <w:rPr>
          <w:rStyle w:val="Refdenotaalpie"/>
          <w:rFonts w:ascii="Century Gothic" w:eastAsia="Calibri" w:hAnsi="Century Gothic" w:cs="Arial"/>
          <w:color w:val="000000"/>
          <w:lang w:eastAsia="en-GB"/>
        </w:rPr>
        <w:footnoteReference w:id="26"/>
      </w:r>
      <w:r w:rsidRPr="00F420B6">
        <w:rPr>
          <w:rFonts w:ascii="Century Gothic" w:eastAsia="Calibri" w:hAnsi="Century Gothic" w:cs="Arial"/>
          <w:color w:val="000000"/>
          <w:lang w:eastAsia="en-GB"/>
        </w:rPr>
        <w:t>.</w:t>
      </w:r>
    </w:p>
    <w:p w14:paraId="4134EBB0" w14:textId="77777777" w:rsidR="009A7952" w:rsidRPr="00F420B6" w:rsidRDefault="009A7952" w:rsidP="009A7952">
      <w:pPr>
        <w:spacing w:before="120" w:after="0" w:line="276" w:lineRule="auto"/>
        <w:ind w:firstLine="709"/>
        <w:jc w:val="both"/>
        <w:rPr>
          <w:rFonts w:ascii="Century Gothic" w:eastAsia="Calibri" w:hAnsi="Century Gothic" w:cs="Arial"/>
          <w:color w:val="000000"/>
          <w:lang w:val="es-ES_tradnl" w:eastAsia="es-ES" w:bidi="es-ES"/>
        </w:rPr>
      </w:pPr>
      <w:r w:rsidRPr="00F420B6">
        <w:rPr>
          <w:rFonts w:ascii="Century Gothic" w:eastAsia="Calibri" w:hAnsi="Century Gothic" w:cs="Arial"/>
          <w:color w:val="000000"/>
          <w:lang w:eastAsia="en-GB"/>
        </w:rPr>
        <w:t xml:space="preserve"> De lo expuesto, es claro que el contrato de obra previsto en </w:t>
      </w:r>
      <w:bookmarkStart w:id="17" w:name="_Hlk74941095"/>
      <w:r w:rsidRPr="00F420B6">
        <w:rPr>
          <w:rFonts w:ascii="Century Gothic" w:eastAsia="Calibri" w:hAnsi="Century Gothic" w:cs="Arial"/>
          <w:color w:val="000000"/>
          <w:lang w:eastAsia="en-GB"/>
        </w:rPr>
        <w:t xml:space="preserve">el </w:t>
      </w:r>
      <w:r w:rsidRPr="00F420B6">
        <w:rPr>
          <w:rFonts w:ascii="Century Gothic" w:hAnsi="Century Gothic" w:cs="Arial"/>
          <w:color w:val="000000" w:themeColor="text1"/>
          <w:lang w:val="es-ES_tradnl"/>
        </w:rPr>
        <w:t>numeral 1° del artículo 32 de la Ley 80 de 1993</w:t>
      </w:r>
      <w:bookmarkEnd w:id="17"/>
      <w:r w:rsidRPr="00F420B6">
        <w:rPr>
          <w:rFonts w:ascii="Century Gothic" w:hAnsi="Century Gothic" w:cs="Arial"/>
          <w:color w:val="000000" w:themeColor="text1"/>
          <w:lang w:val="es-ES_tradnl"/>
        </w:rPr>
        <w:t xml:space="preserve"> puede ejecutarse mediante la modalidad denominada </w:t>
      </w:r>
      <w:r w:rsidRPr="00F420B6">
        <w:rPr>
          <w:rFonts w:ascii="Century Gothic" w:hAnsi="Century Gothic" w:cs="Arial"/>
          <w:lang w:eastAsia="es-MX"/>
        </w:rPr>
        <w:t>“llave en mano”, en la cual además de la obligación típica de estos contratos de realizar los trabajos materiales sobre el bien inmueble, se incluyen otras prestaciones relacionadas con la elaboración de estudios y diseños, suministros de equipos y todas aquellas necesarias para la puesta en marcha de la obra. Sin embargo, la incorporación de estas actividades no desnaturaliza la condición de obra pública del contrato. En otros términos, la modalidad que se emplee para la ejecución y pago del contrato de obra no determina la naturaleza de este, pues mientras el contrato contemple las actividades definidas en el</w:t>
      </w:r>
      <w:r w:rsidRPr="00F420B6">
        <w:rPr>
          <w:rFonts w:ascii="Century Gothic" w:eastAsia="Calibri" w:hAnsi="Century Gothic" w:cs="Arial"/>
          <w:color w:val="000000"/>
          <w:lang w:eastAsia="en-GB"/>
        </w:rPr>
        <w:t xml:space="preserve"> </w:t>
      </w:r>
      <w:r w:rsidRPr="00F420B6">
        <w:rPr>
          <w:rFonts w:ascii="Century Gothic" w:hAnsi="Century Gothic" w:cs="Arial"/>
          <w:color w:val="000000" w:themeColor="text1"/>
          <w:lang w:val="es-ES_tradnl"/>
        </w:rPr>
        <w:t xml:space="preserve">numeral 1° del artículo 32 de la Ley 80 de 1993, tendrá la denominación de obra, aunque incluya otras prestaciones, como es el caso de la modalidad de llave en mano. </w:t>
      </w:r>
      <w:bookmarkEnd w:id="9"/>
    </w:p>
    <w:p w14:paraId="2642A298" w14:textId="77777777" w:rsidR="009A7952" w:rsidRPr="00F420B6" w:rsidRDefault="009A7952" w:rsidP="009A7952">
      <w:pPr>
        <w:spacing w:after="0" w:line="276" w:lineRule="auto"/>
        <w:jc w:val="both"/>
        <w:rPr>
          <w:rFonts w:ascii="Century Gothic" w:hAnsi="Century Gothic" w:cs="Arial"/>
          <w:spacing w:val="2"/>
          <w:lang w:eastAsia="es-CO"/>
        </w:rPr>
      </w:pPr>
    </w:p>
    <w:p w14:paraId="65646B05" w14:textId="77777777" w:rsidR="009A7952" w:rsidRPr="00F420B6" w:rsidRDefault="009A7952" w:rsidP="009A7952">
      <w:pPr>
        <w:spacing w:after="0" w:line="276" w:lineRule="auto"/>
        <w:jc w:val="both"/>
        <w:rPr>
          <w:rFonts w:ascii="Century Gothic" w:hAnsi="Century Gothic" w:cs="Arial"/>
          <w:b/>
          <w:bCs/>
          <w:spacing w:val="2"/>
          <w:lang w:eastAsia="es-CO"/>
        </w:rPr>
      </w:pPr>
      <w:r w:rsidRPr="00F420B6">
        <w:rPr>
          <w:rFonts w:ascii="Century Gothic" w:hAnsi="Century Gothic" w:cs="Arial"/>
          <w:b/>
          <w:bCs/>
          <w:spacing w:val="2"/>
          <w:lang w:eastAsia="es-CO"/>
        </w:rPr>
        <w:t>2.5. Inalterabilidad de los documentos tipo de infraestructura social y sus excepciones</w:t>
      </w:r>
    </w:p>
    <w:p w14:paraId="586A9BCC" w14:textId="77777777" w:rsidR="009A7952" w:rsidRPr="00F420B6" w:rsidRDefault="009A7952" w:rsidP="009A7952">
      <w:pPr>
        <w:spacing w:after="0" w:line="276" w:lineRule="auto"/>
        <w:jc w:val="both"/>
        <w:rPr>
          <w:rFonts w:ascii="Century Gothic" w:hAnsi="Century Gothic" w:cs="Arial"/>
          <w:spacing w:val="2"/>
          <w:lang w:eastAsia="es-CO"/>
        </w:rPr>
      </w:pPr>
    </w:p>
    <w:p w14:paraId="0CE7BA0D" w14:textId="77777777" w:rsidR="009A7952" w:rsidRPr="00F420B6" w:rsidRDefault="009A7952" w:rsidP="009A7952">
      <w:pPr>
        <w:shd w:val="clear" w:color="auto" w:fill="FFFFFF"/>
        <w:spacing w:line="276" w:lineRule="auto"/>
        <w:jc w:val="both"/>
        <w:textAlignment w:val="baseline"/>
        <w:rPr>
          <w:rFonts w:ascii="Century Gothic" w:hAnsi="Century Gothic" w:cs="Arial"/>
          <w:b/>
          <w:bCs/>
          <w:color w:val="000000"/>
          <w:lang w:eastAsia="es-CO"/>
        </w:rPr>
      </w:pPr>
      <w:bookmarkStart w:id="18" w:name="_Hlk72774853"/>
      <w:r w:rsidRPr="00F420B6">
        <w:rPr>
          <w:rFonts w:ascii="Century Gothic" w:hAnsi="Century Gothic" w:cs="Arial"/>
          <w:bCs/>
          <w:lang w:val="es-ES_tradnl"/>
        </w:rPr>
        <w:t xml:space="preserve">Para las obras públicas de infraestructura de transporte, el </w:t>
      </w:r>
      <w:bookmarkStart w:id="19" w:name="_Hlk81313863"/>
      <w:r w:rsidRPr="00F420B6">
        <w:rPr>
          <w:rFonts w:ascii="Century Gothic" w:hAnsi="Century Gothic" w:cs="Arial"/>
          <w:bCs/>
          <w:lang w:val="es-ES_tradnl"/>
        </w:rPr>
        <w:t xml:space="preserve">artículo 2.2.1.2.6.1.4 del Decreto 1082 de 2015 </w:t>
      </w:r>
      <w:bookmarkEnd w:id="19"/>
      <w:r w:rsidRPr="00F420B6">
        <w:rPr>
          <w:rFonts w:ascii="Century Gothic" w:hAnsi="Century Gothic" w:cs="Arial"/>
          <w:bCs/>
          <w:lang w:val="es-ES_tradnl"/>
        </w:rPr>
        <w:t>disponía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F420B6">
        <w:rPr>
          <w:rStyle w:val="Refdenotaalpie"/>
          <w:rFonts w:ascii="Century Gothic" w:hAnsi="Century Gothic" w:cs="Arial"/>
          <w:bCs/>
          <w:lang w:val="es-ES_tradnl"/>
        </w:rPr>
        <w:footnoteReference w:id="27"/>
      </w:r>
      <w:r w:rsidRPr="00F420B6">
        <w:rPr>
          <w:rFonts w:ascii="Century Gothic" w:hAnsi="Century Gothic" w:cs="Arial"/>
          <w:bCs/>
          <w:lang w:val="es-ES_tradnl"/>
        </w:rPr>
        <w:t>. En consecuencia</w:t>
      </w:r>
      <w:bookmarkStart w:id="20" w:name="_Hlk64290904"/>
      <w:r w:rsidRPr="00F420B6">
        <w:rPr>
          <w:rFonts w:ascii="Century Gothic" w:hAnsi="Century Gothic" w:cs="Arial"/>
          <w:bCs/>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que fijados en ellos.</w:t>
      </w:r>
      <w:bookmarkEnd w:id="20"/>
      <w:r w:rsidRPr="00F420B6">
        <w:rPr>
          <w:rFonts w:ascii="Century Gothic" w:hAnsi="Century Gothic" w:cs="Arial"/>
          <w:bCs/>
          <w:lang w:val="es-ES_tradnl"/>
        </w:rPr>
        <w:t xml:space="preserve"> </w:t>
      </w:r>
    </w:p>
    <w:p w14:paraId="30D94F81" w14:textId="77777777" w:rsidR="009A7952" w:rsidRPr="00F420B6" w:rsidRDefault="009A7952" w:rsidP="009A7952">
      <w:pPr>
        <w:spacing w:before="120" w:line="276" w:lineRule="auto"/>
        <w:ind w:firstLine="709"/>
        <w:jc w:val="both"/>
        <w:rPr>
          <w:rFonts w:ascii="Century Gothic" w:hAnsi="Century Gothic" w:cs="Arial"/>
          <w:bCs/>
          <w:lang w:val="es-ES_tradnl"/>
        </w:rPr>
      </w:pPr>
      <w:r w:rsidRPr="00F420B6">
        <w:rPr>
          <w:rFonts w:ascii="Century Gothic" w:hAnsi="Century Gothic" w:cs="Arial"/>
          <w:bCs/>
          <w:lang w:val="es-ES_tradnl"/>
        </w:rPr>
        <w:t xml:space="preserve">Actualmente, para la obras de infraestructura social, esta prohibición se ratifica en el </w:t>
      </w:r>
      <w:bookmarkStart w:id="21" w:name="_Hlk81313856"/>
      <w:r w:rsidRPr="00F420B6">
        <w:rPr>
          <w:rFonts w:ascii="Century Gothic" w:hAnsi="Century Gothic" w:cs="Arial"/>
          <w:bCs/>
          <w:lang w:val="es-ES_tradnl"/>
        </w:rPr>
        <w:t>artículo 3 de la Resolución 219 de 202</w:t>
      </w:r>
      <w:bookmarkEnd w:id="21"/>
      <w:r w:rsidRPr="00F420B6">
        <w:rPr>
          <w:rFonts w:ascii="Century Gothic" w:hAnsi="Century Gothic" w:cs="Arial"/>
          <w:bCs/>
          <w:lang w:val="es-ES_tradnl"/>
        </w:rPr>
        <w:t>1, mediante la cual se implementaron los documentos tipo para esta modalidad de licitación pública, al disponer la inalterabilidad en los siguientes términos: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contratación solo podrán modificarlos en los aspectos en que los documentos tipo lo permitan”.</w:t>
      </w:r>
    </w:p>
    <w:bookmarkEnd w:id="18"/>
    <w:p w14:paraId="1BCBC5FB" w14:textId="77777777" w:rsidR="009A7952" w:rsidRPr="00F420B6" w:rsidRDefault="009A7952" w:rsidP="009A7952">
      <w:pPr>
        <w:spacing w:before="120" w:line="276" w:lineRule="auto"/>
        <w:ind w:firstLine="708"/>
        <w:jc w:val="both"/>
        <w:rPr>
          <w:rFonts w:ascii="Century Gothic" w:hAnsi="Century Gothic" w:cs="Arial"/>
          <w:bCs/>
          <w:lang w:val="es-ES_tradnl"/>
        </w:rPr>
      </w:pPr>
      <w:r w:rsidRPr="00F420B6">
        <w:rPr>
          <w:rFonts w:ascii="Century Gothic" w:hAnsi="Century Gothic" w:cs="Arial"/>
          <w:bCs/>
          <w:lang w:val="es-ES_tradnl"/>
        </w:rPr>
        <w:t xml:space="preserve">Además, las entidades estatales deben garantizar el </w:t>
      </w:r>
      <w:r w:rsidRPr="00F420B6">
        <w:rPr>
          <w:rFonts w:ascii="Century Gothic" w:hAnsi="Century Gothic" w:cs="Arial"/>
          <w:bCs/>
          <w:i/>
          <w:iCs/>
          <w:lang w:val="es-ES_tradnl"/>
        </w:rPr>
        <w:t>principio de economía</w:t>
      </w:r>
      <w:r w:rsidRPr="00F420B6">
        <w:rPr>
          <w:rFonts w:ascii="Century Gothic" w:hAnsi="Century Gothic" w:cs="Arial"/>
          <w:bCs/>
          <w:lang w:val="es-ES_tradnl"/>
        </w:rPr>
        <w:t>, del cual se desprende que no pueden exigir documentos o requisitos más allá de los que permitan la Constitución, la ley y los reglamentos. Este postulado ha encontrado eco no solo en la contratación estatal</w:t>
      </w:r>
      <w:r w:rsidRPr="00F420B6">
        <w:rPr>
          <w:rStyle w:val="Refdenotaalpie"/>
          <w:rFonts w:ascii="Century Gothic" w:hAnsi="Century Gothic" w:cs="Arial"/>
          <w:bCs/>
          <w:lang w:val="es-ES_tradnl"/>
        </w:rPr>
        <w:footnoteReference w:id="28"/>
      </w:r>
      <w:r w:rsidRPr="00F420B6">
        <w:rPr>
          <w:rFonts w:ascii="Century Gothic" w:hAnsi="Century Gothic" w:cs="Arial"/>
          <w:bCs/>
          <w:lang w:val="es-ES_tradnl"/>
        </w:rPr>
        <w:t xml:space="preserve"> sino además en la normativa antitrámites, pues se inscribe dentro de la tendencia de simplificación y racionalización de los procedimientos administrativos</w:t>
      </w:r>
      <w:r w:rsidRPr="00F420B6">
        <w:rPr>
          <w:rStyle w:val="Refdenotaalpie"/>
          <w:rFonts w:ascii="Century Gothic" w:hAnsi="Century Gothic" w:cs="Arial"/>
          <w:bCs/>
          <w:lang w:val="es-ES_tradnl"/>
        </w:rPr>
        <w:footnoteReference w:id="29"/>
      </w:r>
      <w:r w:rsidRPr="00F420B6">
        <w:rPr>
          <w:rFonts w:ascii="Century Gothic" w:hAnsi="Century Gothic" w:cs="Arial"/>
          <w:bCs/>
          <w:lang w:val="es-ES_tradnl"/>
        </w:rPr>
        <w:t>. De ahí que cuando las autoridades solicitan la entrega de documentación innecesaria, menoscaban el principio de economía.</w:t>
      </w:r>
    </w:p>
    <w:p w14:paraId="7376F7E9" w14:textId="77777777" w:rsidR="009A7952" w:rsidRPr="00F420B6" w:rsidRDefault="009A7952" w:rsidP="009A7952">
      <w:pPr>
        <w:spacing w:before="120" w:line="276" w:lineRule="auto"/>
        <w:ind w:firstLine="709"/>
        <w:jc w:val="both"/>
        <w:rPr>
          <w:rFonts w:ascii="Century Gothic" w:hAnsi="Century Gothic" w:cs="Arial"/>
        </w:rPr>
      </w:pPr>
      <w:r w:rsidRPr="00F420B6">
        <w:rPr>
          <w:rFonts w:ascii="Century Gothic" w:hAnsi="Century Gothic" w:cs="Arial"/>
        </w:rPr>
        <w:t xml:space="preserve">Por su parte, la parte introductoria de los documentos tipo dispone que los aspectos incluidos en corchetes y resaltado gris </w:t>
      </w:r>
      <w:r w:rsidRPr="00F420B6">
        <w:rPr>
          <w:rFonts w:ascii="Century Gothic" w:hAnsi="Century Gothic" w:cs="Arial"/>
          <w:highlight w:val="lightGray"/>
        </w:rPr>
        <w:t>–[texto de ejemplo]–</w:t>
      </w:r>
      <w:r w:rsidRPr="00F420B6">
        <w:rPr>
          <w:rFonts w:ascii="Century Gothic" w:hAnsi="Century Gothic" w:cs="Arial"/>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36119BA8" w14:textId="77777777" w:rsidR="009A7952" w:rsidRPr="00F420B6" w:rsidRDefault="009A7952" w:rsidP="009A7952">
      <w:pPr>
        <w:spacing w:before="120" w:line="276" w:lineRule="auto"/>
        <w:ind w:firstLine="709"/>
        <w:jc w:val="both"/>
        <w:rPr>
          <w:rFonts w:ascii="Century Gothic" w:hAnsi="Century Gothic" w:cs="Arial"/>
          <w:bCs/>
        </w:rPr>
      </w:pPr>
      <w:r w:rsidRPr="00F420B6">
        <w:rPr>
          <w:rFonts w:ascii="Century Gothic" w:hAnsi="Century Gothic" w:cs="Arial"/>
          <w:bCs/>
        </w:rPr>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5C8D592A" w14:textId="77777777" w:rsidR="009A7952" w:rsidRPr="00F420B6" w:rsidRDefault="009A7952" w:rsidP="009A7952">
      <w:pPr>
        <w:spacing w:before="120" w:line="276" w:lineRule="auto"/>
        <w:ind w:firstLine="709"/>
        <w:jc w:val="both"/>
        <w:rPr>
          <w:rFonts w:ascii="Century Gothic" w:hAnsi="Century Gothic" w:cs="Arial"/>
        </w:rPr>
      </w:pPr>
      <w:r w:rsidRPr="00F420B6">
        <w:rPr>
          <w:rFonts w:ascii="Century Gothic" w:hAnsi="Century Gothic" w:cs="Arial"/>
        </w:rPr>
        <w:t xml:space="preserve">Además, el artículo 4 de la Resolución 219 de 2021 regula los eventos en los que el objeto contractual incluye bienes o servicios adicionales a la obra pública de infraestructura social. En este caso, la entidad estatal puede complementar experiencia adicional para evaluar la idoneidad respecto de los bienes o servicios ajenos a la obra pública. No obstante, deberá seguir los siguientes parámetros: i)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específica, </w:t>
      </w:r>
      <w:proofErr w:type="spellStart"/>
      <w:r w:rsidRPr="00F420B6">
        <w:rPr>
          <w:rFonts w:ascii="Century Gothic" w:hAnsi="Century Gothic" w:cs="Arial"/>
        </w:rPr>
        <w:t>iv</w:t>
      </w:r>
      <w:proofErr w:type="spellEnd"/>
      <w:r w:rsidRPr="00F420B6">
        <w:rPr>
          <w:rFonts w:ascii="Century Gothic" w:hAnsi="Century Gothic" w:cs="Arial"/>
        </w:rPr>
        <w:t>) clasificar la experiencia requerida solo hasta el tercer nivel del Clasificador de Bienes y Servicios e incluir exclusivamente los códigos que estén relacionados directamente con el objeto a contratar</w:t>
      </w:r>
      <w:r w:rsidRPr="00F420B6">
        <w:rPr>
          <w:rStyle w:val="Refdenotaalpie"/>
          <w:rFonts w:ascii="Century Gothic" w:hAnsi="Century Gothic" w:cs="Arial"/>
        </w:rPr>
        <w:footnoteReference w:id="30"/>
      </w:r>
      <w:r w:rsidRPr="00F420B6">
        <w:rPr>
          <w:rFonts w:ascii="Century Gothic" w:hAnsi="Century Gothic" w:cs="Arial"/>
        </w:rPr>
        <w:t xml:space="preserve">. </w:t>
      </w:r>
    </w:p>
    <w:p w14:paraId="35A297FF" w14:textId="77777777" w:rsidR="009A7952" w:rsidRPr="00F420B6" w:rsidRDefault="009A7952" w:rsidP="009A7952">
      <w:pPr>
        <w:spacing w:before="120" w:after="120" w:line="276" w:lineRule="auto"/>
        <w:ind w:firstLine="709"/>
        <w:jc w:val="both"/>
        <w:rPr>
          <w:rFonts w:ascii="Century Gothic" w:eastAsia="Calibri" w:hAnsi="Century Gothic" w:cs="Arial"/>
        </w:rPr>
      </w:pPr>
      <w:r w:rsidRPr="00F420B6">
        <w:rPr>
          <w:rFonts w:ascii="Century Gothic" w:eastAsia="Calibri" w:hAnsi="Century Gothic" w:cs="Arial"/>
        </w:rPr>
        <w:t>En armonía con lo anterior, la entidad estatal que opte por solicitar experiencia adicional debe evidenciar en los documentos del proceso que agotó estos pasos y cumplió con los parámetros exigidos. Para ello, debe justificar en los estudios y documentos previos, como parte del deber de análisis, que ha verificado que la experiencia adicional relacionada con los bienes o servicios y que dicha experiencia no afecta significativamente la pluralidad de oferentes. Es decir, la entidad estatal debe revisar que al solicitar esta experiencia existan suficientes potenciales proponentes que puedan acreditar estas condiciones. En segundo lugar, la solicitud de esta experiencia no permite que la entidad modifique los requisitos habilitantes y de ponderación de las propuestas, por lo cual se deben mantener los establecidos en los documentos tipo.</w:t>
      </w:r>
    </w:p>
    <w:p w14:paraId="39ADCF27" w14:textId="77777777" w:rsidR="009A7952" w:rsidRPr="00F420B6" w:rsidRDefault="009A7952" w:rsidP="009A7952">
      <w:pPr>
        <w:spacing w:before="120" w:after="120" w:line="276" w:lineRule="auto"/>
        <w:ind w:firstLine="709"/>
        <w:jc w:val="both"/>
        <w:rPr>
          <w:rFonts w:ascii="Century Gothic" w:eastAsia="Calibri" w:hAnsi="Century Gothic" w:cs="Arial"/>
        </w:rPr>
      </w:pPr>
      <w:r w:rsidRPr="00F420B6">
        <w:rPr>
          <w:rFonts w:ascii="Century Gothic" w:eastAsia="Calibri" w:hAnsi="Century Gothic" w:cs="Arial"/>
        </w:rPr>
        <w:t xml:space="preserve">De este modo, conforme al </w:t>
      </w:r>
      <w:r w:rsidRPr="00F420B6">
        <w:rPr>
          <w:rFonts w:ascii="Century Gothic" w:hAnsi="Century Gothic" w:cs="Arial"/>
        </w:rPr>
        <w:t>artículo 4 de la Resolución 219 de 2021</w:t>
      </w:r>
      <w:r w:rsidRPr="00F420B6">
        <w:rPr>
          <w:rFonts w:ascii="Century Gothic" w:eastAsia="Calibri" w:hAnsi="Century Gothic" w:cs="Arial"/>
        </w:rPr>
        <w:t>, si de manera excepcional la entidad estatal considera que el contratista de la obra que debe contratarse a través de la aplicación de los documentos tipo de infraestructura social debe ejecutar bienes o servicios adicionales, como sería el caso de los estudios y diseños necesarios para la obra, puede incluir la experiencia adicional para evaluar la idoneidad de los proponentes, cumpliendo todas las demás exigencias de los documentos tipo. La anterior conclusión, además, se refuerza con consideraciones relativas a la posibilidad de incluir como obligación contractual en un contrato de obra la realización de los estudios y diseños.</w:t>
      </w:r>
    </w:p>
    <w:p w14:paraId="5BF0E9E0" w14:textId="77777777" w:rsidR="009A7952" w:rsidRPr="00F420B6" w:rsidRDefault="009A7952" w:rsidP="009A7952">
      <w:pPr>
        <w:spacing w:before="120" w:after="120" w:line="276" w:lineRule="auto"/>
        <w:ind w:firstLine="709"/>
        <w:jc w:val="both"/>
        <w:rPr>
          <w:rFonts w:ascii="Century Gothic" w:eastAsia="Calibri" w:hAnsi="Century Gothic" w:cs="Arial"/>
        </w:rPr>
      </w:pPr>
      <w:r w:rsidRPr="00F420B6">
        <w:rPr>
          <w:rFonts w:ascii="Century Gothic" w:eastAsia="Calibri" w:hAnsi="Century Gothic" w:cs="Arial"/>
        </w:rPr>
        <w:t xml:space="preserve">Así las cosas, si la obra que pretende ejecutar la entidad estatal se enmarca en alguno de los tipos de proyectos o actividades incluidas en alguna de las matrices de experiencia de los documentos tipo </w:t>
      </w:r>
      <w:r w:rsidRPr="00F420B6">
        <w:rPr>
          <w:rFonts w:ascii="Century Gothic" w:eastAsia="Calibri" w:hAnsi="Century Gothic" w:cs="Arial"/>
          <w:i/>
          <w:iCs/>
        </w:rPr>
        <w:t>complementarios</w:t>
      </w:r>
      <w:r w:rsidRPr="00F420B6">
        <w:rPr>
          <w:rFonts w:ascii="Century Gothic" w:eastAsia="Calibri" w:hAnsi="Century Gothic" w:cs="Arial"/>
        </w:rPr>
        <w:t xml:space="preserve"> relacionados con la infraestructura social, el proceso de selección debe adelantarse utilizando dichos documentos tipo. Esto aplica, incluso, para los contratos de obra “llave en mano” para infraestructura social, en donde se considere necesario exigir experiencia adicional para la ejecución de bienes o servicios adicionales a la obra pública, como sería la realización de los diseños de la obra.</w:t>
      </w:r>
    </w:p>
    <w:p w14:paraId="444926FE" w14:textId="77777777" w:rsidR="009A7952" w:rsidRPr="00F420B6" w:rsidRDefault="009A7952" w:rsidP="009A7952">
      <w:pPr>
        <w:spacing w:before="120" w:line="276" w:lineRule="auto"/>
        <w:ind w:firstLine="709"/>
        <w:jc w:val="both"/>
        <w:rPr>
          <w:rFonts w:ascii="Century Gothic" w:hAnsi="Century Gothic" w:cs="Arial"/>
          <w:bCs/>
        </w:rPr>
      </w:pPr>
      <w:r w:rsidRPr="00F420B6">
        <w:rPr>
          <w:rFonts w:ascii="Century Gothic" w:hAnsi="Century Gothic" w:cs="Arial"/>
          <w:bCs/>
        </w:rPr>
        <w:t xml:space="preserve">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social, caso en el que se podrá incluir experiencia adicional de manera excepcional; y, además, cuando el pliego tipo de forma expresa lo permita, es decir, en los aspectos incluidos en corchetes y resaltados en gris. </w:t>
      </w:r>
    </w:p>
    <w:p w14:paraId="4569B856" w14:textId="77777777" w:rsidR="009A7952" w:rsidRPr="00F420B6" w:rsidRDefault="009A7952" w:rsidP="009A7952">
      <w:pPr>
        <w:spacing w:before="120" w:line="276" w:lineRule="auto"/>
        <w:ind w:firstLine="709"/>
        <w:jc w:val="both"/>
        <w:rPr>
          <w:rFonts w:ascii="Century Gothic" w:hAnsi="Century Gothic" w:cs="Arial"/>
          <w:bCs/>
          <w:lang w:val="es-ES_tradnl"/>
        </w:rPr>
      </w:pPr>
      <w:r w:rsidRPr="00F420B6">
        <w:rPr>
          <w:rFonts w:ascii="Century Gothic" w:hAnsi="Century Gothic" w:cs="Arial"/>
          <w:bCs/>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03D1A1D3" w14:textId="77777777" w:rsidR="009A7952" w:rsidRPr="00F420B6" w:rsidRDefault="009A7952" w:rsidP="009A7952">
      <w:pPr>
        <w:spacing w:before="120" w:line="276" w:lineRule="auto"/>
        <w:ind w:firstLine="709"/>
        <w:jc w:val="both"/>
        <w:rPr>
          <w:rFonts w:ascii="Century Gothic" w:hAnsi="Century Gothic" w:cs="Arial"/>
        </w:rPr>
      </w:pPr>
      <w:r w:rsidRPr="00F420B6">
        <w:rPr>
          <w:rFonts w:ascii="Century Gothic" w:hAnsi="Century Gothic" w:cs="Arial"/>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w:t>
      </w:r>
      <w:proofErr w:type="gramStart"/>
      <w:r w:rsidRPr="00F420B6">
        <w:rPr>
          <w:rFonts w:ascii="Century Gothic" w:hAnsi="Century Gothic" w:cs="Arial"/>
        </w:rPr>
        <w:t>le</w:t>
      </w:r>
      <w:proofErr w:type="gramEnd"/>
      <w:r w:rsidRPr="00F420B6">
        <w:rPr>
          <w:rFonts w:ascii="Century Gothic" w:hAnsi="Century Gothic" w:cs="Arial"/>
        </w:rPr>
        <w:t xml:space="preserv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w:t>
      </w:r>
      <w:r w:rsidRPr="00F420B6">
        <w:rPr>
          <w:rFonts w:ascii="Century Gothic" w:hAnsi="Century Gothic" w:cs="Arial"/>
          <w:i/>
          <w:iCs/>
        </w:rPr>
        <w:t>sub examine</w:t>
      </w:r>
      <w:r w:rsidRPr="00F420B6">
        <w:rPr>
          <w:rFonts w:ascii="Century Gothic" w:hAnsi="Century Gothic"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F420B6">
        <w:rPr>
          <w:rStyle w:val="Refdenotaalpie"/>
          <w:rFonts w:ascii="Century Gothic" w:hAnsi="Century Gothic" w:cs="Arial"/>
        </w:rPr>
        <w:footnoteReference w:id="31"/>
      </w:r>
      <w:r w:rsidRPr="00F420B6">
        <w:rPr>
          <w:rFonts w:ascii="Century Gothic" w:hAnsi="Century Gothic" w:cs="Arial"/>
        </w:rPr>
        <w:t xml:space="preserve">. </w:t>
      </w:r>
    </w:p>
    <w:p w14:paraId="1C39C251" w14:textId="77777777" w:rsidR="009A7952" w:rsidRPr="00F420B6" w:rsidRDefault="009A7952" w:rsidP="009A7952">
      <w:pPr>
        <w:spacing w:before="120" w:after="0" w:line="276" w:lineRule="auto"/>
        <w:ind w:firstLine="709"/>
        <w:jc w:val="both"/>
        <w:rPr>
          <w:rStyle w:val="normaltextrun"/>
          <w:rFonts w:ascii="Century Gothic" w:hAnsi="Century Gothic" w:cs="Arial"/>
        </w:rPr>
      </w:pPr>
      <w:r w:rsidRPr="00F420B6">
        <w:rPr>
          <w:rFonts w:ascii="Century Gothic" w:hAnsi="Century Gothic" w:cs="Arial"/>
        </w:rPr>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r w:rsidRPr="00F420B6">
        <w:rPr>
          <w:rStyle w:val="normaltextrun"/>
          <w:rFonts w:ascii="Century Gothic" w:hAnsi="Century Gothic" w:cs="Arial"/>
          <w:color w:val="000000"/>
          <w:shd w:val="clear" w:color="auto" w:fill="FFFFFF"/>
        </w:rPr>
        <w:t xml:space="preserve"> </w:t>
      </w:r>
    </w:p>
    <w:bookmarkEnd w:id="7"/>
    <w:p w14:paraId="6EE06CC6" w14:textId="77777777" w:rsidR="009A7952" w:rsidRPr="00F420B6" w:rsidRDefault="009A7952" w:rsidP="009A7952">
      <w:pPr>
        <w:tabs>
          <w:tab w:val="left" w:pos="426"/>
        </w:tabs>
        <w:spacing w:after="0" w:line="276" w:lineRule="auto"/>
        <w:jc w:val="both"/>
        <w:rPr>
          <w:rFonts w:ascii="Century Gothic" w:hAnsi="Century Gothic" w:cs="Arial"/>
        </w:rPr>
      </w:pPr>
    </w:p>
    <w:p w14:paraId="32B9CF7B" w14:textId="77777777" w:rsidR="009A7952" w:rsidRPr="00F420B6" w:rsidRDefault="009A7952" w:rsidP="009A7952">
      <w:pPr>
        <w:tabs>
          <w:tab w:val="left" w:pos="0"/>
        </w:tabs>
        <w:spacing w:after="0"/>
        <w:jc w:val="both"/>
        <w:rPr>
          <w:rFonts w:ascii="Century Gothic" w:eastAsia="Calibri" w:hAnsi="Century Gothic" w:cs="Arial"/>
          <w:b/>
          <w:color w:val="000000" w:themeColor="text1"/>
          <w:lang w:val="es-ES_tradnl"/>
        </w:rPr>
      </w:pPr>
      <w:r w:rsidRPr="00F420B6">
        <w:rPr>
          <w:rFonts w:ascii="Century Gothic" w:eastAsia="Calibri" w:hAnsi="Century Gothic" w:cs="Arial"/>
          <w:b/>
          <w:color w:val="000000" w:themeColor="text1"/>
          <w:lang w:val="es-ES_tradnl"/>
        </w:rPr>
        <w:t>3. Respuesta</w:t>
      </w:r>
    </w:p>
    <w:p w14:paraId="1D597CB9" w14:textId="77777777" w:rsidR="009A7952" w:rsidRPr="00F420B6" w:rsidRDefault="009A7952" w:rsidP="009A7952">
      <w:pPr>
        <w:spacing w:after="0" w:line="276" w:lineRule="auto"/>
        <w:ind w:firstLine="709"/>
        <w:jc w:val="both"/>
        <w:rPr>
          <w:rFonts w:ascii="Century Gothic" w:eastAsia="Times New Roman" w:hAnsi="Century Gothic" w:cs="Arial"/>
          <w:lang w:eastAsia="es-CO"/>
        </w:rPr>
      </w:pPr>
      <w:bookmarkStart w:id="22" w:name="_Hlk131064197"/>
    </w:p>
    <w:p w14:paraId="0D129349" w14:textId="77777777" w:rsidR="009A7952" w:rsidRPr="00F420B6" w:rsidRDefault="009A7952" w:rsidP="009A7952">
      <w:pPr>
        <w:spacing w:after="0" w:line="240" w:lineRule="auto"/>
        <w:ind w:left="709" w:right="709"/>
        <w:jc w:val="both"/>
        <w:rPr>
          <w:rFonts w:ascii="Century Gothic" w:hAnsi="Century Gothic" w:cs="Arial"/>
          <w:color w:val="000000" w:themeColor="text1"/>
          <w:sz w:val="21"/>
          <w:szCs w:val="21"/>
          <w:lang w:val="es-ES_tradnl"/>
        </w:rPr>
      </w:pPr>
      <w:r w:rsidRPr="00F420B6">
        <w:rPr>
          <w:rFonts w:ascii="Century Gothic" w:hAnsi="Century Gothic" w:cs="Arial"/>
          <w:color w:val="000000" w:themeColor="text1"/>
          <w:sz w:val="21"/>
          <w:szCs w:val="21"/>
          <w:lang w:val="es-ES_tradnl"/>
        </w:rPr>
        <w:t>Usted manifiesta que “[…] se pretende desarrollar un proyecto modalidad llave en mano para la elaboración de diseños y construcción de un parque recreativo, consultando los documentos tipo, no se encuentra adoptado modalidad llave en mano - infraestructura social, sin embargo se cuenta con la adopción de documentos tipo para licitación pública de infraestructura social”. En esta medida pregunta si “[…] se debe adelantar el proyecto llave en mano con los documentos adoptados para la licitación pública infraestructura social? considerando la necesidad de adelantar los estudios diseños y obra en un mismo proyecto”.</w:t>
      </w:r>
    </w:p>
    <w:p w14:paraId="1CA91556" w14:textId="77777777" w:rsidR="009A7952" w:rsidRPr="00F420B6" w:rsidRDefault="009A7952" w:rsidP="009A7952">
      <w:pPr>
        <w:spacing w:after="0" w:line="276" w:lineRule="auto"/>
        <w:jc w:val="both"/>
        <w:rPr>
          <w:rFonts w:ascii="Century Gothic" w:hAnsi="Century Gothic" w:cs="Arial"/>
          <w:color w:val="000000" w:themeColor="text1"/>
          <w:lang w:val="es-ES_tradnl"/>
        </w:rPr>
      </w:pPr>
    </w:p>
    <w:p w14:paraId="1DA45877" w14:textId="77777777" w:rsidR="009A7952" w:rsidRPr="00F420B6" w:rsidRDefault="009A7952" w:rsidP="009A7952">
      <w:pPr>
        <w:spacing w:after="120" w:line="276" w:lineRule="auto"/>
        <w:jc w:val="both"/>
        <w:rPr>
          <w:rFonts w:ascii="Century Gothic" w:hAnsi="Century Gothic" w:cs="Arial"/>
        </w:rPr>
      </w:pPr>
      <w:r w:rsidRPr="00F420B6">
        <w:rPr>
          <w:rFonts w:ascii="Century Gothic" w:hAnsi="Century Gothic" w:cs="Arial"/>
        </w:rPr>
        <w:t xml:space="preserve">Conforme a la interpretación de las normas generales del sistema de compras públicas, los documentos tipo para la contratación de obra pública de infraestructura social, adoptados por esta Agencia mediante la Resolución 219 del 6 de agosto de 2021, fueron concebidos como unos documentos tipo marco o transversales. Esto en la medida que el documento base, así como los formatos, matrices y anexos implementados mediante la misma, aplican a la contratación de obras en la modalidad de licitación pública, relacionadas con el sector educación, salud, recreación, cultura y deporte. En cada uno de esos sectores la Agencia expidió los respectivos documentos tipo complementarios, donde se especifican las obras que lo componen de acuerdo con cada una de las matrices de experiencia. </w:t>
      </w:r>
    </w:p>
    <w:p w14:paraId="44E28700" w14:textId="77777777" w:rsidR="009A7952" w:rsidRPr="00F420B6" w:rsidRDefault="009A7952" w:rsidP="009A7952">
      <w:pPr>
        <w:spacing w:before="120" w:after="120" w:line="276" w:lineRule="auto"/>
        <w:jc w:val="both"/>
        <w:rPr>
          <w:rFonts w:ascii="Century Gothic" w:eastAsia="Calibri" w:hAnsi="Century Gothic" w:cs="Arial"/>
        </w:rPr>
      </w:pPr>
      <w:r w:rsidRPr="00F420B6">
        <w:rPr>
          <w:rFonts w:ascii="Century Gothic" w:hAnsi="Century Gothic" w:cs="Arial"/>
        </w:rPr>
        <w:tab/>
      </w:r>
      <w:r w:rsidRPr="00F420B6">
        <w:rPr>
          <w:rFonts w:ascii="Century Gothic" w:eastAsia="Times New Roman" w:hAnsi="Century Gothic" w:cs="Arial"/>
          <w:color w:val="000000"/>
          <w:lang w:val="es-ES_tradnl" w:eastAsia="es-ES"/>
        </w:rPr>
        <w:t xml:space="preserve">De esta manera, cada uno de los documentos tipo complementarios de licitación de obra pública de infraestructura social, en cada uno de los tres sectores, aplican para las obras contenidas en cada matriz de experiencia. En este sentido, </w:t>
      </w:r>
      <w:r w:rsidRPr="00F420B6">
        <w:rPr>
          <w:rFonts w:ascii="Century Gothic" w:eastAsia="Calibri" w:hAnsi="Century Gothic" w:cs="Arial"/>
        </w:rPr>
        <w:t xml:space="preserve">si la obra que la entidad pretende ejecutar se enmarca en alguno de los tipos de proyectos o actividades incluidas en alguna de las matrices de experiencia de los documentos tipo </w:t>
      </w:r>
      <w:r w:rsidRPr="00F420B6">
        <w:rPr>
          <w:rFonts w:ascii="Century Gothic" w:eastAsia="Calibri" w:hAnsi="Century Gothic" w:cs="Arial"/>
          <w:i/>
          <w:iCs/>
        </w:rPr>
        <w:t>complementarios</w:t>
      </w:r>
      <w:r w:rsidRPr="00F420B6">
        <w:rPr>
          <w:rFonts w:ascii="Century Gothic" w:eastAsia="Calibri" w:hAnsi="Century Gothic" w:cs="Arial"/>
        </w:rPr>
        <w:t xml:space="preserve"> relacionados con la infraestructura social, el proceso de selección debe adelantarse utilizando dichos documentos tipo. Esto aplica, incluso, para los contratos de obra “llave en mano” para infraestructura social, en donde se considere necesario exigir experiencia adicional para la ejecución de bienes o servicios adicionales a la obra pública, como sería la realización de los diseños de la obra, caso en que procede la aplicación del </w:t>
      </w:r>
      <w:r w:rsidRPr="00F420B6">
        <w:rPr>
          <w:rFonts w:ascii="Century Gothic" w:eastAsia="Times New Roman" w:hAnsi="Century Gothic" w:cs="Arial"/>
          <w:color w:val="000000"/>
          <w:lang w:val="es-ES_tradnl" w:eastAsia="es-ES"/>
        </w:rPr>
        <w:t>artículo 4 de la Resolución 219 de 2021. Esta norma dispone que en los eventos en los que el objeto contractual incluya bienes o servicios adicionales, la entidad puede</w:t>
      </w:r>
      <w:r w:rsidRPr="00F420B6">
        <w:rPr>
          <w:rFonts w:ascii="Century Gothic" w:eastAsia="Calibri" w:hAnsi="Century Gothic" w:cs="Arial"/>
        </w:rPr>
        <w:t xml:space="preserve"> incluir experiencia adicional para evaluar la idoneidad respecto de los bienes o servicios ajenos a la obra pública de infraestructura social, como sería la realización de los diseños de la obra. </w:t>
      </w:r>
    </w:p>
    <w:p w14:paraId="4161E690" w14:textId="77777777" w:rsidR="009A7952" w:rsidRPr="00F420B6" w:rsidRDefault="009A7952" w:rsidP="009A7952">
      <w:pPr>
        <w:spacing w:before="120" w:after="120" w:line="276" w:lineRule="auto"/>
        <w:ind w:firstLine="708"/>
        <w:jc w:val="both"/>
        <w:rPr>
          <w:rFonts w:ascii="Century Gothic" w:eastAsia="Calibri" w:hAnsi="Century Gothic" w:cs="Arial"/>
        </w:rPr>
      </w:pPr>
      <w:r w:rsidRPr="00F420B6">
        <w:rPr>
          <w:rFonts w:ascii="Century Gothic" w:eastAsia="Calibri" w:hAnsi="Century Gothic" w:cs="Arial"/>
        </w:rPr>
        <w:t>En armonía con el artículo señalado, si de manera excepcional la entidad estatal considera que el contratista de la obra que debe contratarse a través de la aplicación de los documentos tipo de infraestructura social debe ejecutar bienes o servicios adicionales, como sería el caso de los diseños necesarios para la obra, puede incluir la experiencia adicional para evaluar la idoneidad de los proponentes, cumpliendo todas las demás exigencias de los documentos tipo. La anterior conclusión además se fundamenta con la posibilidad de incluir como obligación contractual la realización de los diseños en el contrato de obra, como se explicó en las consideraciones.</w:t>
      </w:r>
    </w:p>
    <w:bookmarkEnd w:id="22"/>
    <w:p w14:paraId="63D6FACD" w14:textId="77777777" w:rsidR="009A7952" w:rsidRPr="00F420B6" w:rsidRDefault="009A7952" w:rsidP="009A7952">
      <w:pPr>
        <w:pBdr>
          <w:top w:val="nil"/>
          <w:left w:val="nil"/>
          <w:bottom w:val="nil"/>
          <w:right w:val="nil"/>
          <w:between w:val="nil"/>
        </w:pBdr>
        <w:spacing w:after="0" w:line="276" w:lineRule="auto"/>
        <w:jc w:val="both"/>
        <w:rPr>
          <w:rFonts w:ascii="Century Gothic" w:eastAsia="Arial" w:hAnsi="Century Gothic" w:cs="Arial"/>
          <w:color w:val="000000"/>
        </w:rPr>
      </w:pPr>
    </w:p>
    <w:p w14:paraId="4960782B" w14:textId="77777777" w:rsidR="009A7952" w:rsidRPr="00F420B6" w:rsidRDefault="009A7952" w:rsidP="009A7952">
      <w:pPr>
        <w:widowControl w:val="0"/>
        <w:autoSpaceDE w:val="0"/>
        <w:autoSpaceDN w:val="0"/>
        <w:spacing w:after="0" w:line="276" w:lineRule="auto"/>
        <w:jc w:val="both"/>
        <w:rPr>
          <w:rFonts w:ascii="Century Gothic" w:hAnsi="Century Gothic" w:cs="Arial"/>
          <w:color w:val="000000" w:themeColor="text1"/>
          <w:lang w:val="es-ES_tradnl" w:bidi="es-ES"/>
        </w:rPr>
      </w:pPr>
      <w:r w:rsidRPr="00F420B6">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14EEE077" w14:textId="77777777" w:rsidR="009A7952" w:rsidRPr="00F420B6" w:rsidRDefault="009A7952" w:rsidP="009A7952">
      <w:pPr>
        <w:widowControl w:val="0"/>
        <w:autoSpaceDE w:val="0"/>
        <w:autoSpaceDN w:val="0"/>
        <w:spacing w:after="0" w:line="276" w:lineRule="auto"/>
        <w:jc w:val="both"/>
        <w:rPr>
          <w:rFonts w:ascii="Century Gothic" w:hAnsi="Century Gothic" w:cs="Arial"/>
          <w:color w:val="000000" w:themeColor="text1"/>
          <w:lang w:val="es-ES_tradnl" w:bidi="es-ES"/>
        </w:rPr>
      </w:pPr>
    </w:p>
    <w:p w14:paraId="2B25FCB7" w14:textId="77777777" w:rsidR="009A7952" w:rsidRPr="00F420B6" w:rsidRDefault="009A7952" w:rsidP="009A7952">
      <w:pPr>
        <w:tabs>
          <w:tab w:val="left" w:pos="426"/>
        </w:tabs>
        <w:spacing w:line="276" w:lineRule="auto"/>
        <w:jc w:val="both"/>
        <w:rPr>
          <w:rFonts w:ascii="Century Gothic" w:eastAsia="Times New Roman" w:hAnsi="Century Gothic" w:cs="Arial"/>
          <w:color w:val="000000" w:themeColor="text1"/>
        </w:rPr>
      </w:pPr>
      <w:r w:rsidRPr="00F420B6">
        <w:rPr>
          <w:rFonts w:ascii="Century Gothic" w:eastAsia="Times New Roman" w:hAnsi="Century Gothic" w:cs="Arial"/>
          <w:color w:val="000000" w:themeColor="text1"/>
        </w:rPr>
        <w:t>Atentamente,</w:t>
      </w:r>
    </w:p>
    <w:p w14:paraId="6B5CB6E5" w14:textId="67478BDB" w:rsidR="009A7952" w:rsidRPr="00F420B6" w:rsidRDefault="00DE68C3" w:rsidP="009A7952">
      <w:pPr>
        <w:jc w:val="center"/>
        <w:rPr>
          <w:rFonts w:ascii="Century Gothic" w:eastAsia="Times New Roman" w:hAnsi="Century Gothic" w:cs="Arial"/>
          <w:lang w:eastAsia="es-CO"/>
        </w:rPr>
      </w:pPr>
      <w:r>
        <w:rPr>
          <w:noProof/>
        </w:rPr>
        <w:drawing>
          <wp:inline distT="0" distB="0" distL="0" distR="0" wp14:anchorId="3ECD44B3" wp14:editId="63D14F55">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A7952" w:rsidRPr="00F420B6" w14:paraId="49071897" w14:textId="77777777" w:rsidTr="008A6A55">
        <w:trPr>
          <w:trHeight w:val="409"/>
        </w:trPr>
        <w:tc>
          <w:tcPr>
            <w:tcW w:w="817" w:type="dxa"/>
            <w:tcBorders>
              <w:top w:val="nil"/>
              <w:left w:val="nil"/>
              <w:bottom w:val="nil"/>
              <w:right w:val="nil"/>
            </w:tcBorders>
            <w:vAlign w:val="center"/>
            <w:hideMark/>
          </w:tcPr>
          <w:p w14:paraId="5EE154CB"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57ED547"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Juan David Montoya Penagos</w:t>
            </w:r>
          </w:p>
          <w:p w14:paraId="6DC8BCFD"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Contratista de la Subdirección de Gestión Contractual</w:t>
            </w:r>
          </w:p>
        </w:tc>
      </w:tr>
      <w:tr w:rsidR="009A7952" w:rsidRPr="00F420B6" w14:paraId="7FDE0030" w14:textId="77777777" w:rsidTr="008A6A55">
        <w:trPr>
          <w:trHeight w:val="409"/>
        </w:trPr>
        <w:tc>
          <w:tcPr>
            <w:tcW w:w="817" w:type="dxa"/>
            <w:tcBorders>
              <w:top w:val="nil"/>
              <w:left w:val="nil"/>
              <w:right w:val="nil"/>
            </w:tcBorders>
            <w:vAlign w:val="center"/>
          </w:tcPr>
          <w:p w14:paraId="30473B3D" w14:textId="77777777" w:rsidR="009A7952" w:rsidRPr="00F420B6" w:rsidRDefault="009A7952" w:rsidP="008A6A55">
            <w:pPr>
              <w:jc w:val="both"/>
              <w:rPr>
                <w:rFonts w:ascii="Century Gothic" w:hAnsi="Century Gothic" w:cs="Arial"/>
                <w:sz w:val="16"/>
                <w:szCs w:val="16"/>
              </w:rPr>
            </w:pPr>
            <w:r w:rsidRPr="00F420B6">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37B85998"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Martha Alicia Romero Vargas</w:t>
            </w:r>
          </w:p>
          <w:p w14:paraId="3651EC2B"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 xml:space="preserve">Gestor T1 </w:t>
            </w:r>
            <w:r w:rsidRPr="00F420B6">
              <w:rPr>
                <w:rFonts w:ascii="Arial" w:hAnsi="Arial" w:cs="Arial"/>
                <w:sz w:val="16"/>
                <w:szCs w:val="16"/>
              </w:rPr>
              <w:t>‒</w:t>
            </w:r>
            <w:r w:rsidRPr="00F420B6">
              <w:rPr>
                <w:rFonts w:ascii="Century Gothic" w:hAnsi="Century Gothic" w:cs="Arial"/>
                <w:sz w:val="16"/>
                <w:szCs w:val="16"/>
              </w:rPr>
              <w:t xml:space="preserve"> 15 de la Subdirecci</w:t>
            </w:r>
            <w:r w:rsidRPr="00F420B6">
              <w:rPr>
                <w:rFonts w:ascii="Century Gothic" w:hAnsi="Century Gothic" w:cs="Century Gothic"/>
                <w:sz w:val="16"/>
                <w:szCs w:val="16"/>
              </w:rPr>
              <w:t>ó</w:t>
            </w:r>
            <w:r w:rsidRPr="00F420B6">
              <w:rPr>
                <w:rFonts w:ascii="Century Gothic" w:hAnsi="Century Gothic" w:cs="Arial"/>
                <w:sz w:val="16"/>
                <w:szCs w:val="16"/>
              </w:rPr>
              <w:t>n de Gesti</w:t>
            </w:r>
            <w:r w:rsidRPr="00F420B6">
              <w:rPr>
                <w:rFonts w:ascii="Century Gothic" w:hAnsi="Century Gothic" w:cs="Century Gothic"/>
                <w:sz w:val="16"/>
                <w:szCs w:val="16"/>
              </w:rPr>
              <w:t>ó</w:t>
            </w:r>
            <w:r w:rsidRPr="00F420B6">
              <w:rPr>
                <w:rFonts w:ascii="Century Gothic" w:hAnsi="Century Gothic" w:cs="Arial"/>
                <w:sz w:val="16"/>
                <w:szCs w:val="16"/>
              </w:rPr>
              <w:t>n Contractual</w:t>
            </w:r>
          </w:p>
        </w:tc>
      </w:tr>
      <w:tr w:rsidR="009A7952" w:rsidRPr="00F420B6" w14:paraId="7EADC622" w14:textId="77777777" w:rsidTr="008A6A55">
        <w:trPr>
          <w:trHeight w:val="389"/>
        </w:trPr>
        <w:tc>
          <w:tcPr>
            <w:tcW w:w="817" w:type="dxa"/>
            <w:tcBorders>
              <w:top w:val="nil"/>
              <w:left w:val="nil"/>
              <w:bottom w:val="nil"/>
              <w:right w:val="nil"/>
            </w:tcBorders>
            <w:vAlign w:val="center"/>
            <w:hideMark/>
          </w:tcPr>
          <w:p w14:paraId="02BA3816"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D066734"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Nohelia del Carmen Zawady Palacio</w:t>
            </w:r>
          </w:p>
          <w:p w14:paraId="39B20D1C" w14:textId="77777777" w:rsidR="009A7952" w:rsidRPr="00F420B6" w:rsidRDefault="009A7952" w:rsidP="008A6A55">
            <w:pPr>
              <w:spacing w:after="0" w:line="240" w:lineRule="auto"/>
              <w:jc w:val="both"/>
              <w:rPr>
                <w:rFonts w:ascii="Century Gothic" w:hAnsi="Century Gothic" w:cs="Arial"/>
                <w:sz w:val="16"/>
                <w:szCs w:val="16"/>
              </w:rPr>
            </w:pPr>
            <w:r w:rsidRPr="00F420B6">
              <w:rPr>
                <w:rFonts w:ascii="Century Gothic" w:hAnsi="Century Gothic" w:cs="Arial"/>
                <w:sz w:val="16"/>
                <w:szCs w:val="16"/>
              </w:rPr>
              <w:t>Subdirectora de Gestión Contractual ANCP – CCE</w:t>
            </w:r>
          </w:p>
        </w:tc>
      </w:tr>
      <w:bookmarkEnd w:id="2"/>
    </w:tbl>
    <w:p w14:paraId="6B96F3D2" w14:textId="77777777" w:rsidR="009A7952" w:rsidRPr="00F420B6" w:rsidRDefault="009A7952" w:rsidP="0034760F">
      <w:pPr>
        <w:tabs>
          <w:tab w:val="left" w:pos="0"/>
        </w:tabs>
        <w:spacing w:line="276" w:lineRule="auto"/>
        <w:contextualSpacing/>
        <w:jc w:val="both"/>
        <w:rPr>
          <w:rFonts w:ascii="Century Gothic" w:hAnsi="Century Gothic" w:cs="Arial"/>
          <w:lang w:val="es-MX"/>
        </w:rPr>
      </w:pPr>
    </w:p>
    <w:sectPr w:rsidR="009A7952" w:rsidRPr="00F420B6" w:rsidSect="00610722">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2E26" w14:textId="77777777" w:rsidR="00610722" w:rsidRDefault="00610722" w:rsidP="004A1847">
      <w:pPr>
        <w:spacing w:after="0" w:line="240" w:lineRule="auto"/>
      </w:pPr>
      <w:r>
        <w:separator/>
      </w:r>
    </w:p>
  </w:endnote>
  <w:endnote w:type="continuationSeparator" w:id="0">
    <w:p w14:paraId="5CD1E54E" w14:textId="77777777" w:rsidR="00610722" w:rsidRDefault="0061072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51FA3" w14:textId="77777777" w:rsidR="00610722" w:rsidRDefault="00610722" w:rsidP="004A1847">
      <w:pPr>
        <w:spacing w:after="0" w:line="240" w:lineRule="auto"/>
      </w:pPr>
      <w:r>
        <w:separator/>
      </w:r>
    </w:p>
  </w:footnote>
  <w:footnote w:type="continuationSeparator" w:id="0">
    <w:p w14:paraId="468B43C3" w14:textId="77777777" w:rsidR="00610722" w:rsidRDefault="00610722" w:rsidP="004A1847">
      <w:pPr>
        <w:spacing w:after="0" w:line="240" w:lineRule="auto"/>
      </w:pPr>
      <w:r>
        <w:continuationSeparator/>
      </w:r>
    </w:p>
  </w:footnote>
  <w:footnote w:id="1">
    <w:p w14:paraId="0F6F7FC7"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35649">
          <w:rPr>
            <w:rStyle w:val="Hipervnculo"/>
            <w:rFonts w:ascii="Century Gothic" w:hAnsi="Century Gothic" w:cs="Arial"/>
            <w:sz w:val="16"/>
            <w:szCs w:val="16"/>
          </w:rPr>
          <w:t>https://relatoria.colombiacompra.gov.co/busqueda/conceptos</w:t>
        </w:r>
      </w:hyperlink>
      <w:r w:rsidRPr="00B35649">
        <w:rPr>
          <w:rStyle w:val="Hipervnculo"/>
          <w:rFonts w:ascii="Century Gothic" w:hAnsi="Century Gothic" w:cs="Arial"/>
          <w:sz w:val="16"/>
          <w:szCs w:val="16"/>
        </w:rPr>
        <w:t xml:space="preserve">. </w:t>
      </w:r>
      <w:r w:rsidRPr="00B35649">
        <w:rPr>
          <w:rFonts w:ascii="Century Gothic" w:hAnsi="Century Gothic" w:cs="Arial"/>
          <w:sz w:val="16"/>
          <w:szCs w:val="16"/>
          <w:shd w:val="clear" w:color="auto" w:fill="E6E6E6"/>
        </w:rPr>
        <w:t xml:space="preserve"> </w:t>
      </w:r>
    </w:p>
  </w:footnote>
  <w:footnote w:id="2">
    <w:p w14:paraId="4385AD57" w14:textId="77777777" w:rsidR="009A7952" w:rsidRPr="00B35649" w:rsidRDefault="009A7952" w:rsidP="009A7952">
      <w:pPr>
        <w:pStyle w:val="Textonotapie"/>
        <w:ind w:firstLine="709"/>
        <w:jc w:val="both"/>
        <w:rPr>
          <w:rFonts w:ascii="Century Gothic" w:hAnsi="Century Gothic" w:cs="Arial"/>
          <w:color w:val="000000"/>
          <w:sz w:val="16"/>
          <w:szCs w:val="16"/>
          <w:lang w:val="es-CO"/>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7A57B759" w14:textId="77777777" w:rsidR="009A7952" w:rsidRPr="00B35649" w:rsidRDefault="009A7952" w:rsidP="009A7952">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w:t>
      </w:r>
      <w:r w:rsidRPr="00B35649">
        <w:rPr>
          <w:rFonts w:ascii="Century Gothic" w:hAnsi="Century Gothic" w:cs="Arial"/>
          <w:color w:val="000000"/>
          <w:sz w:val="16"/>
          <w:szCs w:val="16"/>
          <w:lang w:val="es-CO"/>
        </w:rPr>
        <w:t xml:space="preserve">Ley 1882 de 2018: “Artículo 4. </w:t>
      </w:r>
      <w:r w:rsidRPr="00B35649">
        <w:rPr>
          <w:rFonts w:ascii="Century Gothic" w:hAnsi="Century Gothic" w:cs="Arial"/>
          <w:color w:val="000000"/>
          <w:sz w:val="16"/>
          <w:szCs w:val="16"/>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221BBE2" w14:textId="77777777" w:rsidR="009A7952" w:rsidRPr="00B35649" w:rsidRDefault="009A7952" w:rsidP="009A7952">
      <w:pPr>
        <w:pStyle w:val="Textonotapie"/>
        <w:ind w:firstLine="709"/>
        <w:jc w:val="both"/>
        <w:rPr>
          <w:rFonts w:ascii="Century Gothic" w:hAnsi="Century Gothic" w:cs="Arial"/>
          <w:color w:val="000000"/>
          <w:sz w:val="16"/>
          <w:szCs w:val="16"/>
          <w:lang w:val="es-CO"/>
        </w:rPr>
      </w:pPr>
      <w:r w:rsidRPr="00B35649">
        <w:rPr>
          <w:rFonts w:ascii="Century Gothic" w:hAnsi="Century Gothic" w:cs="Arial"/>
          <w:color w:val="000000"/>
          <w:sz w:val="16"/>
          <w:szCs w:val="16"/>
          <w:lang w:val="es-CO"/>
        </w:rPr>
        <w:t>La facultad de adoptar documentos tipo la tendrá el Gobierno nacional, cuando lo considere necesario, en relación con otros contratos o procesos de selección.</w:t>
      </w:r>
    </w:p>
    <w:p w14:paraId="33318BF8" w14:textId="77777777" w:rsidR="009A7952" w:rsidRPr="00B35649" w:rsidRDefault="009A7952" w:rsidP="009A7952">
      <w:pPr>
        <w:pStyle w:val="Textonotapie"/>
        <w:ind w:firstLine="709"/>
        <w:jc w:val="both"/>
        <w:rPr>
          <w:rFonts w:ascii="Century Gothic" w:hAnsi="Century Gothic" w:cs="Arial"/>
          <w:color w:val="000000"/>
          <w:sz w:val="16"/>
          <w:szCs w:val="16"/>
          <w:lang w:val="es-CO"/>
        </w:rPr>
      </w:pPr>
      <w:r w:rsidRPr="00B35649">
        <w:rPr>
          <w:rFonts w:ascii="Century Gothic" w:hAnsi="Century Gothic" w:cs="Arial"/>
          <w:color w:val="000000"/>
          <w:sz w:val="16"/>
          <w:szCs w:val="16"/>
          <w:lang w:val="es-CO"/>
        </w:rPr>
        <w:t>Los pliegos tipo se adoptarán por categorías de acuerdo con la cuantía de la contratación, según la reglamentación que expida el Gobierno nacional”.</w:t>
      </w:r>
    </w:p>
  </w:footnote>
  <w:footnote w:id="4">
    <w:p w14:paraId="0ED36BC9" w14:textId="77777777" w:rsidR="009A7952" w:rsidRPr="00B35649" w:rsidRDefault="009A7952" w:rsidP="009A7952">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5FDAA475"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61E3FD4F"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Artículo 4o. Adiciónese el siguiente parágrafo al artículo 2o de la Ley 1150 de 2007.</w:t>
      </w:r>
    </w:p>
    <w:p w14:paraId="0279B39E"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1EC67CD"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556EE2E"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2FC28DC"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EB86B11" w14:textId="77777777" w:rsidR="009A7952" w:rsidRPr="00B35649" w:rsidRDefault="009A7952" w:rsidP="009A7952">
      <w:pPr>
        <w:pStyle w:val="Textonotapie"/>
        <w:ind w:firstLine="708"/>
        <w:jc w:val="both"/>
        <w:rPr>
          <w:rFonts w:ascii="Century Gothic" w:hAnsi="Century Gothic" w:cs="Arial"/>
          <w:color w:val="000000"/>
          <w:sz w:val="16"/>
          <w:szCs w:val="16"/>
        </w:rPr>
      </w:pPr>
      <w:r w:rsidRPr="00B35649">
        <w:rPr>
          <w:rFonts w:ascii="Century Gothic" w:hAnsi="Century Gothic"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3F061A4" w14:textId="77777777" w:rsidR="009A7952" w:rsidRPr="00B35649" w:rsidRDefault="009A7952" w:rsidP="009A7952">
      <w:pPr>
        <w:pStyle w:val="Textonotapie"/>
        <w:ind w:firstLine="709"/>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El artículo 5 dispone que “</w:t>
      </w:r>
      <w:r w:rsidRPr="00B35649">
        <w:rPr>
          <w:rFonts w:ascii="Century Gothic" w:hAnsi="Century Gothic" w:cs="Arial"/>
          <w:sz w:val="16"/>
          <w:szCs w:val="16"/>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7">
    <w:p w14:paraId="37DE8ACC" w14:textId="77777777" w:rsidR="009A7952" w:rsidRPr="00B35649" w:rsidRDefault="009A7952" w:rsidP="009A7952">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ALESSANDRI RODRÍGUEZ, Arturo. De los contratos. Santiago de Chile: Editorial Jurídica EDIAR-CONOCSUR LTDA, 1988. p. 182. </w:t>
      </w:r>
    </w:p>
  </w:footnote>
  <w:footnote w:id="8">
    <w:p w14:paraId="6F7F931E" w14:textId="77777777" w:rsidR="009A7952" w:rsidRPr="00B35649" w:rsidRDefault="009A7952" w:rsidP="009A7952">
      <w:pPr>
        <w:pStyle w:val="Textonotapie"/>
        <w:ind w:firstLine="708"/>
        <w:jc w:val="both"/>
        <w:rPr>
          <w:rFonts w:ascii="Century Gothic" w:hAnsi="Century Gothic" w:cs="Arial"/>
          <w:sz w:val="16"/>
          <w:szCs w:val="16"/>
          <w:lang w:val="es-ES_tradnl"/>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9">
    <w:p w14:paraId="0C3BCC07" w14:textId="77777777" w:rsidR="009A7952" w:rsidRPr="00B35649" w:rsidRDefault="009A7952" w:rsidP="009A7952">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OSPINA MENA, Jesús Marino. Régimen de la Contratación Estatal. Un salto a la contratación liquida. Bogotá: </w:t>
      </w:r>
      <w:r w:rsidRPr="00B35649">
        <w:rPr>
          <w:rFonts w:ascii="Century Gothic" w:hAnsi="Century Gothic" w:cs="Arial"/>
          <w:color w:val="000000"/>
          <w:sz w:val="16"/>
          <w:szCs w:val="16"/>
        </w:rPr>
        <w:t>Dike, 2020. p. 168.</w:t>
      </w:r>
    </w:p>
  </w:footnote>
  <w:footnote w:id="10">
    <w:p w14:paraId="6D0EF232" w14:textId="77777777" w:rsidR="009A7952" w:rsidRPr="00B35649" w:rsidRDefault="009A7952" w:rsidP="009A7952">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CONSEJO DE ESTADO. Sala de Consulta y Servicio Civil. Concepto del 5 de septiembre de 2018. Rad. 2.386. C.P. Edgar González López.</w:t>
      </w:r>
    </w:p>
  </w:footnote>
  <w:footnote w:id="11">
    <w:p w14:paraId="716E5735" w14:textId="77777777" w:rsidR="009A7952" w:rsidRPr="00B35649" w:rsidRDefault="009A7952" w:rsidP="009A7952">
      <w:pPr>
        <w:pStyle w:val="Textonotapie"/>
        <w:ind w:firstLine="709"/>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color w:val="000000" w:themeColor="text1"/>
          <w:sz w:val="16"/>
          <w:szCs w:val="16"/>
        </w:rPr>
        <w:t xml:space="preserve"> Gaceta del Congreso de la República No. 784/10. Disponible en </w:t>
      </w:r>
      <w:hyperlink r:id="rId2" w:history="1">
        <w:r w:rsidRPr="00B35649">
          <w:rPr>
            <w:rStyle w:val="Hipervnculo"/>
            <w:rFonts w:ascii="Century Gothic" w:hAnsi="Century Gothic" w:cs="Arial"/>
            <w:color w:val="000000" w:themeColor="text1"/>
            <w:sz w:val="16"/>
            <w:szCs w:val="16"/>
          </w:rPr>
          <w:t>http://leyes.senado.gov.co/proyectos/images/documentos/Textos%20Radicados/Ponencias/2010/gaceta_784%20%20.pdf</w:t>
        </w:r>
      </w:hyperlink>
      <w:r w:rsidRPr="00B35649">
        <w:rPr>
          <w:rFonts w:ascii="Century Gothic" w:hAnsi="Century Gothic" w:cs="Arial"/>
          <w:sz w:val="16"/>
          <w:szCs w:val="16"/>
        </w:rPr>
        <w:t xml:space="preserve"> </w:t>
      </w:r>
    </w:p>
  </w:footnote>
  <w:footnote w:id="12">
    <w:p w14:paraId="31146D96" w14:textId="77777777" w:rsidR="009A7952" w:rsidRPr="00B35649" w:rsidRDefault="009A7952" w:rsidP="009A7952">
      <w:pPr>
        <w:pStyle w:val="Textonotapie"/>
        <w:ind w:firstLine="709"/>
        <w:jc w:val="both"/>
        <w:rPr>
          <w:rFonts w:ascii="Century Gothic" w:hAnsi="Century Gothic" w:cs="Arial"/>
          <w:sz w:val="16"/>
          <w:szCs w:val="16"/>
          <w:lang w:val="es-CO"/>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“Artículo 90. </w:t>
      </w:r>
      <w:r w:rsidRPr="00B35649">
        <w:rPr>
          <w:rFonts w:ascii="Century Gothic" w:hAnsi="Century Gothic" w:cs="Arial"/>
          <w:i/>
          <w:iCs/>
          <w:sz w:val="16"/>
          <w:szCs w:val="16"/>
          <w:lang w:val="es-CO"/>
        </w:rPr>
        <w:t xml:space="preserve">Maduración de proyectos. </w:t>
      </w:r>
      <w:r w:rsidRPr="00B35649">
        <w:rPr>
          <w:rFonts w:ascii="Century Gothic" w:hAnsi="Century Gothic" w:cs="Arial"/>
          <w:sz w:val="16"/>
          <w:szCs w:val="16"/>
          <w:lang w:val="es-CO"/>
        </w:rPr>
        <w:t xml:space="preserve">El numeral 12 del artículo 25 de la Ley 80 de 1993 quedará así: Con la debida antelación a la apertura del proceso de selección, deberán elaborarse los estudios, diseños y proyectos requeridos, y el proyecto de pliegos de condiciones según corresponda. Los procesos de selección que tengan por objeto la realización de una obra o la celebración de un contrato de concesión que involucre obra, solamente podrán iniciarse cuando la entidad contratante haya terminado la etapa de </w:t>
      </w:r>
      <w:r w:rsidRPr="00B35649">
        <w:rPr>
          <w:rFonts w:ascii="Century Gothic" w:hAnsi="Century Gothic" w:cs="Arial"/>
          <w:sz w:val="16"/>
          <w:szCs w:val="16"/>
          <w:lang w:val="es-CO"/>
        </w:rPr>
        <w:t>preinversión que incluya los estudios de ingeniería básica de prefactibilidad y factibilidad de los respectivos objetos contractuales, con el alcance que para los mismos establezca el reglamento. Se exceptúan de esta regla los procesos cuando el objeto del contrato se extienda al diseño y a la construcción, caso en el cual los estudios de prefactibilidad y factibilidad atenderán a ese objeto”.</w:t>
      </w:r>
    </w:p>
  </w:footnote>
  <w:footnote w:id="13">
    <w:p w14:paraId="77BCEB88"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Decreto 1082 de 2015: “Artículo 2.2.1.1.2.1.1</w:t>
      </w:r>
      <w:r w:rsidRPr="00B35649">
        <w:rPr>
          <w:rFonts w:ascii="Century Gothic" w:hAnsi="Century Gothic" w:cs="Arial"/>
          <w:b/>
          <w:sz w:val="16"/>
          <w:szCs w:val="16"/>
        </w:rPr>
        <w:t xml:space="preserve">. </w:t>
      </w:r>
      <w:r w:rsidRPr="00B35649">
        <w:rPr>
          <w:rFonts w:ascii="Century Gothic" w:hAnsi="Century Gothic" w:cs="Arial"/>
          <w:sz w:val="16"/>
          <w:szCs w:val="16"/>
        </w:rPr>
        <w:t>Estudios y documentos previos</w:t>
      </w:r>
      <w:r w:rsidRPr="00B35649">
        <w:rPr>
          <w:rFonts w:ascii="Century Gothic" w:hAnsi="Century Gothic" w:cs="Arial"/>
          <w:b/>
          <w:i/>
          <w:sz w:val="16"/>
          <w:szCs w:val="16"/>
        </w:rPr>
        <w:t xml:space="preserve">. </w:t>
      </w:r>
      <w:r w:rsidRPr="00B35649">
        <w:rPr>
          <w:rFonts w:ascii="Century Gothic" w:hAnsi="Century Gothic" w:cs="Arial"/>
          <w:sz w:val="16"/>
          <w:szCs w:val="16"/>
        </w:rPr>
        <w:t xml:space="preserve">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 2. El objeto a contratar, con sus especificaciones, las autorizaciones, permisos y licencias requeridos para su ejecución, </w:t>
      </w:r>
      <w:r w:rsidRPr="00B35649">
        <w:rPr>
          <w:rFonts w:ascii="Century Gothic" w:hAnsi="Century Gothic" w:cs="Arial"/>
          <w:i/>
          <w:sz w:val="16"/>
          <w:szCs w:val="16"/>
        </w:rPr>
        <w:t>y cuando el contrato incluye diseño y construcción, los documentos técnicos para el desarrollo del proyecto</w:t>
      </w:r>
      <w:r w:rsidRPr="00B35649">
        <w:rPr>
          <w:rFonts w:ascii="Century Gothic" w:hAnsi="Century Gothic" w:cs="Arial"/>
          <w:sz w:val="16"/>
          <w:szCs w:val="16"/>
        </w:rPr>
        <w:t xml:space="preserve"> [...]” (Cursivas fuera de texto).</w:t>
      </w:r>
    </w:p>
  </w:footnote>
  <w:footnote w:id="14">
    <w:p w14:paraId="25A4AAA8"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Al respecto, la doctrina considera que “[…]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 (Cfr. SUÁREZ BELTRÁN, Gonzalo. Estudios de derecho público contractual: Bogotá: Legis, 2014. p. 6). Es necesario tener en cuenta que el artículo 20 del Decreto 1510 de 2013 actualmente está compilado en el artículo 2.2.1.1.2.1.1 del Decreto 1082 de 2015, modificado por el artículo 1 del Decreto 399 del 2021.</w:t>
      </w:r>
    </w:p>
  </w:footnote>
  <w:footnote w:id="15">
    <w:p w14:paraId="3933B863"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Ley 1682 de 2013: “Artículo 12. En lo que se refiere a la infraestructura de transporte terrestre, aeronáutica, aeroportuaria y acuática, se tendrán en cuenta las siguientes definiciones:</w:t>
      </w:r>
    </w:p>
    <w:p w14:paraId="10358123"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Estudios de Ingeniería. Sin perjuicio de lo previsto en la Ley</w:t>
      </w:r>
      <w:hyperlink r:id="rId3" w:anchor="Inicio">
        <w:r w:rsidRPr="00B35649">
          <w:rPr>
            <w:rFonts w:ascii="Century Gothic" w:hAnsi="Century Gothic" w:cs="Arial"/>
            <w:sz w:val="16"/>
            <w:szCs w:val="16"/>
          </w:rPr>
          <w:t xml:space="preserve"> 1508 </w:t>
        </w:r>
      </w:hyperlink>
      <w:r w:rsidRPr="00B35649">
        <w:rPr>
          <w:rFonts w:ascii="Century Gothic" w:hAnsi="Century Gothic" w:cs="Arial"/>
          <w:sz w:val="16"/>
          <w:szCs w:val="16"/>
        </w:rPr>
        <w:t>de 2012 y sus decretos reglamentarios, las siguientes definiciones deben tenerse en cuenta en la preparación de los diversos estudios de ingeniería que se adelanten para la ejecución de los proyectos de</w:t>
      </w:r>
      <w:r w:rsidRPr="00B35649">
        <w:rPr>
          <w:rFonts w:ascii="Century Gothic" w:hAnsi="Century Gothic" w:cs="Arial"/>
          <w:spacing w:val="-10"/>
          <w:sz w:val="16"/>
          <w:szCs w:val="16"/>
        </w:rPr>
        <w:t xml:space="preserve"> </w:t>
      </w:r>
      <w:r w:rsidRPr="00B35649">
        <w:rPr>
          <w:rFonts w:ascii="Century Gothic" w:hAnsi="Century Gothic" w:cs="Arial"/>
          <w:sz w:val="16"/>
          <w:szCs w:val="16"/>
        </w:rPr>
        <w:t>infraestructura:</w:t>
      </w:r>
    </w:p>
    <w:p w14:paraId="6FA7E704"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Fase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1756735A"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Fase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6A93F093"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48813009"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Desarrollados los estudios de factibilidad del proyecto, podrá la entidad pública o el responsable del diseño si ya fue adjudicado el proyecto, continuar con la elaboración de los diseños definitivos.</w:t>
      </w:r>
    </w:p>
    <w:p w14:paraId="1F1CB40B" w14:textId="77777777" w:rsidR="009A7952" w:rsidRPr="00B35649" w:rsidRDefault="009A7952" w:rsidP="009A7952">
      <w:pPr>
        <w:spacing w:after="0" w:line="240" w:lineRule="auto"/>
        <w:ind w:firstLine="709"/>
        <w:jc w:val="both"/>
        <w:rPr>
          <w:rFonts w:ascii="Century Gothic" w:hAnsi="Century Gothic" w:cs="Arial"/>
          <w:sz w:val="16"/>
          <w:szCs w:val="16"/>
        </w:rPr>
      </w:pPr>
      <w:r w:rsidRPr="00B35649">
        <w:rPr>
          <w:rFonts w:ascii="Century Gothic" w:hAnsi="Century Gothic" w:cs="Arial"/>
          <w:sz w:val="16"/>
          <w:szCs w:val="16"/>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B35649">
        <w:rPr>
          <w:rFonts w:ascii="Century Gothic" w:hAnsi="Century Gothic" w:cs="Arial"/>
          <w:spacing w:val="-6"/>
          <w:sz w:val="16"/>
          <w:szCs w:val="16"/>
        </w:rPr>
        <w:t xml:space="preserve"> </w:t>
      </w:r>
      <w:r w:rsidRPr="00B35649">
        <w:rPr>
          <w:rFonts w:ascii="Century Gothic" w:hAnsi="Century Gothic" w:cs="Arial"/>
          <w:sz w:val="16"/>
          <w:szCs w:val="16"/>
        </w:rPr>
        <w:t>respectiva.</w:t>
      </w:r>
    </w:p>
    <w:p w14:paraId="2B33DD9E" w14:textId="77777777" w:rsidR="009A7952" w:rsidRPr="00B35649" w:rsidRDefault="009A7952" w:rsidP="009A7952">
      <w:pPr>
        <w:spacing w:after="0" w:line="240" w:lineRule="auto"/>
        <w:ind w:firstLine="708"/>
        <w:jc w:val="both"/>
        <w:rPr>
          <w:rFonts w:ascii="Century Gothic" w:hAnsi="Century Gothic" w:cs="Arial"/>
          <w:sz w:val="16"/>
          <w:szCs w:val="16"/>
        </w:rPr>
      </w:pPr>
      <w:r w:rsidRPr="00B35649">
        <w:rPr>
          <w:rFonts w:ascii="Century Gothic" w:hAnsi="Century Gothic" w:cs="Arial"/>
          <w:sz w:val="16"/>
          <w:szCs w:val="16"/>
        </w:rPr>
        <w:t>Fase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dar inicio a su construcción”.</w:t>
      </w:r>
    </w:p>
  </w:footnote>
  <w:footnote w:id="16">
    <w:p w14:paraId="7FC9C525" w14:textId="77777777" w:rsidR="009A7952" w:rsidRPr="00B35649" w:rsidRDefault="009A7952" w:rsidP="009A7952">
      <w:pPr>
        <w:pStyle w:val="Textonotapie"/>
        <w:ind w:firstLine="709"/>
        <w:jc w:val="both"/>
        <w:rPr>
          <w:rFonts w:ascii="Century Gothic" w:hAnsi="Century Gothic" w:cs="Arial"/>
          <w:sz w:val="16"/>
          <w:szCs w:val="16"/>
          <w:lang w:val="es-ES"/>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ES"/>
        </w:rPr>
        <w:t xml:space="preserve">Guía para los procesos de contratación de obra pública, expedida por Colombia Compra Eficiente. </w:t>
      </w:r>
      <w:r w:rsidRPr="00B35649">
        <w:rPr>
          <w:rFonts w:ascii="Century Gothic" w:hAnsi="Century Gothic" w:cs="Arial"/>
          <w:sz w:val="16"/>
          <w:szCs w:val="16"/>
          <w:lang w:val="es-ES"/>
        </w:rPr>
        <w:t xml:space="preserve">Pág 4. </w:t>
      </w:r>
    </w:p>
  </w:footnote>
  <w:footnote w:id="17">
    <w:p w14:paraId="7A9D18F8"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Consejo de Estado. Sala Plena. Sentencia de unificación del 25 de febrero de 2020. </w:t>
      </w:r>
      <w:r w:rsidRPr="00B35649">
        <w:rPr>
          <w:rFonts w:ascii="Century Gothic" w:hAnsi="Century Gothic" w:cs="Arial"/>
          <w:sz w:val="16"/>
          <w:szCs w:val="16"/>
        </w:rPr>
        <w:t xml:space="preserve">Exp. 25000-23-37-000-2014-00721-01(22473) (IJ). C.P. William Hernández Gómez. </w:t>
      </w:r>
    </w:p>
  </w:footnote>
  <w:footnote w:id="18">
    <w:p w14:paraId="77D3DE19"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Al respecto, la doctrina explica lo siguiente: “En la práctica jurídico-empresarial es muy habitual que también se aluda a este contrato utilizando la denominación “</w:t>
      </w:r>
      <w:r w:rsidRPr="00B35649">
        <w:rPr>
          <w:rFonts w:ascii="Century Gothic" w:hAnsi="Century Gothic" w:cs="Arial"/>
          <w:i/>
          <w:iCs/>
          <w:sz w:val="16"/>
          <w:szCs w:val="16"/>
        </w:rPr>
        <w:t>turnkey contract</w:t>
      </w:r>
      <w:r w:rsidRPr="00B35649">
        <w:rPr>
          <w:rFonts w:ascii="Century Gothic" w:hAnsi="Century Gothic" w:cs="Arial"/>
          <w:sz w:val="16"/>
          <w:szCs w:val="16"/>
        </w:rPr>
        <w:t xml:space="preserve">” –en referencia al término en inglés que ilustra la esencia del contracto, puesto que el cliente solo tiene que “girar la llave” para disfrutar de su prestación–. En ocasiones, se recurre asimismo a la noción de “contrato EPC”, cuyas siglas corresponden con las del inglés </w:t>
      </w:r>
      <w:r w:rsidRPr="00B35649">
        <w:rPr>
          <w:rFonts w:ascii="Century Gothic" w:hAnsi="Century Gothic" w:cs="Arial"/>
          <w:i/>
          <w:iCs/>
          <w:sz w:val="16"/>
          <w:szCs w:val="16"/>
        </w:rPr>
        <w:t>Engineering, Procurement, Construction</w:t>
      </w:r>
      <w:r w:rsidRPr="00B35649">
        <w:rPr>
          <w:rFonts w:ascii="Century Gothic" w:hAnsi="Century Gothic" w:cs="Arial"/>
          <w:sz w:val="16"/>
          <w:szCs w:val="16"/>
        </w:rPr>
        <w:t xml:space="preserve">, en alusión a las múltiples prestaciones que este engloba […]” (Cfr. ABRIL, Antonio. Los contratos mercantiles y su aplicación práctica. Madrid: Bosch, 2017. p 553).  </w:t>
      </w:r>
    </w:p>
  </w:footnote>
  <w:footnote w:id="19">
    <w:p w14:paraId="15FC569A" w14:textId="77777777" w:rsidR="009A7952" w:rsidRPr="00B35649" w:rsidRDefault="009A7952" w:rsidP="009A7952">
      <w:pPr>
        <w:pStyle w:val="Textonotapie"/>
        <w:ind w:firstLine="709"/>
        <w:jc w:val="both"/>
        <w:rPr>
          <w:rFonts w:ascii="Century Gothic" w:hAnsi="Century Gothic" w:cs="Arial"/>
          <w:sz w:val="16"/>
          <w:szCs w:val="16"/>
          <w:lang w:val="es-ES"/>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ES"/>
        </w:rPr>
        <w:t xml:space="preserve">Guía para los procesos de contratación de obra pública, expedida por Colombia Compra Eficiente. </w:t>
      </w:r>
      <w:r w:rsidRPr="00B35649">
        <w:rPr>
          <w:rFonts w:ascii="Century Gothic" w:hAnsi="Century Gothic" w:cs="Arial"/>
          <w:sz w:val="16"/>
          <w:szCs w:val="16"/>
          <w:lang w:val="es-ES"/>
        </w:rPr>
        <w:t xml:space="preserve">Pág 9. </w:t>
      </w:r>
    </w:p>
  </w:footnote>
  <w:footnote w:id="20">
    <w:p w14:paraId="0C930C9E" w14:textId="77777777" w:rsidR="009A7952" w:rsidRPr="00B35649" w:rsidRDefault="009A7952" w:rsidP="009A7952">
      <w:pPr>
        <w:pStyle w:val="Textonotapie"/>
        <w:ind w:firstLine="709"/>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CO"/>
        </w:rPr>
        <w:t xml:space="preserve">DIAN. Concepto No. </w:t>
      </w:r>
      <w:r w:rsidRPr="00B35649">
        <w:rPr>
          <w:rFonts w:ascii="Century Gothic" w:hAnsi="Century Gothic" w:cs="Arial"/>
          <w:sz w:val="16"/>
          <w:szCs w:val="16"/>
        </w:rPr>
        <w:t>32082 del 30 de mayo de 2002.</w:t>
      </w:r>
    </w:p>
  </w:footnote>
  <w:footnote w:id="21">
    <w:p w14:paraId="0057C57F" w14:textId="77777777" w:rsidR="009A7952" w:rsidRPr="00B35649" w:rsidRDefault="009A7952" w:rsidP="009A7952">
      <w:pPr>
        <w:spacing w:after="0" w:line="240" w:lineRule="auto"/>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PODETTI, Humberto. El contrato de construcción. Buenos Aires: Editorial Astrea, 2004, p. 248.</w:t>
      </w:r>
    </w:p>
  </w:footnote>
  <w:footnote w:id="22">
    <w:p w14:paraId="4240402D" w14:textId="77777777" w:rsidR="009A7952" w:rsidRPr="00B35649" w:rsidRDefault="009A7952" w:rsidP="009A7952">
      <w:pPr>
        <w:spacing w:after="0" w:line="240" w:lineRule="auto"/>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w:t>
      </w:r>
      <w:r w:rsidRPr="00B35649">
        <w:rPr>
          <w:rFonts w:ascii="Century Gothic" w:hAnsi="Century Gothic" w:cs="Arial"/>
          <w:i/>
          <w:color w:val="000000"/>
          <w:sz w:val="16"/>
          <w:szCs w:val="16"/>
        </w:rPr>
        <w:t>Ibidem</w:t>
      </w:r>
      <w:r w:rsidRPr="00B35649">
        <w:rPr>
          <w:rFonts w:ascii="Century Gothic" w:hAnsi="Century Gothic" w:cs="Arial"/>
          <w:color w:val="000000"/>
          <w:sz w:val="16"/>
          <w:szCs w:val="16"/>
        </w:rPr>
        <w:t xml:space="preserve">., pp. 248-249. </w:t>
      </w:r>
    </w:p>
  </w:footnote>
  <w:footnote w:id="23">
    <w:p w14:paraId="35EACA2D" w14:textId="77777777" w:rsidR="009A7952" w:rsidRPr="00B35649" w:rsidRDefault="009A7952" w:rsidP="009A7952">
      <w:pPr>
        <w:pStyle w:val="Textonotapie"/>
        <w:ind w:firstLine="709"/>
        <w:jc w:val="both"/>
        <w:rPr>
          <w:rFonts w:ascii="Century Gothic" w:hAnsi="Century Gothic" w:cs="Arial"/>
          <w:sz w:val="16"/>
          <w:szCs w:val="16"/>
          <w:lang w:val="es-CO"/>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ES"/>
        </w:rPr>
        <w:t xml:space="preserve">Sentencia del 13 de marzo del 2018. Sección cuarta. </w:t>
      </w:r>
      <w:r w:rsidRPr="00B35649">
        <w:rPr>
          <w:rFonts w:ascii="Century Gothic" w:hAnsi="Century Gothic" w:cs="Arial"/>
          <w:sz w:val="16"/>
          <w:szCs w:val="16"/>
          <w:lang w:val="es-ES"/>
        </w:rPr>
        <w:t xml:space="preserve">C.P:Hector J. Romero Díaz. </w:t>
      </w:r>
      <w:r w:rsidRPr="00B35649">
        <w:rPr>
          <w:rFonts w:ascii="Century Gothic" w:hAnsi="Century Gothic" w:cs="Arial"/>
          <w:sz w:val="16"/>
          <w:szCs w:val="16"/>
          <w:lang w:val="es-CO"/>
        </w:rPr>
        <w:t>Exp 15009.</w:t>
      </w:r>
    </w:p>
  </w:footnote>
  <w:footnote w:id="24">
    <w:p w14:paraId="0B5B01AF" w14:textId="77777777" w:rsidR="009A7952" w:rsidRPr="00B35649" w:rsidRDefault="009A7952" w:rsidP="009A7952">
      <w:pPr>
        <w:pStyle w:val="Textonotapie"/>
        <w:ind w:firstLine="709"/>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Sala de Consulta y Servicio Civil. 28 de marzo del 2017. </w:t>
      </w:r>
      <w:r w:rsidRPr="00B35649">
        <w:rPr>
          <w:rFonts w:ascii="Century Gothic" w:hAnsi="Century Gothic" w:cs="Arial"/>
          <w:sz w:val="16"/>
          <w:szCs w:val="16"/>
        </w:rPr>
        <w:t>C.P.Edgar González López. Rad.2331.</w:t>
      </w:r>
    </w:p>
  </w:footnote>
  <w:footnote w:id="25">
    <w:p w14:paraId="3D5C482D" w14:textId="77777777" w:rsidR="009A7952" w:rsidRPr="00B35649" w:rsidRDefault="009A7952" w:rsidP="009A7952">
      <w:pPr>
        <w:pStyle w:val="Textonotapie"/>
        <w:ind w:firstLine="709"/>
        <w:jc w:val="both"/>
        <w:rPr>
          <w:rFonts w:ascii="Century Gothic" w:hAnsi="Century Gothic" w:cs="Arial"/>
          <w:sz w:val="16"/>
          <w:szCs w:val="16"/>
          <w:lang w:val="es-ES"/>
        </w:rPr>
      </w:pPr>
      <w:r w:rsidRPr="00B35649">
        <w:rPr>
          <w:rStyle w:val="Refdenotaalpie"/>
          <w:rFonts w:ascii="Century Gothic" w:hAnsi="Century Gothic" w:cs="Arial"/>
          <w:sz w:val="16"/>
          <w:szCs w:val="16"/>
        </w:rPr>
        <w:footnoteRef/>
      </w:r>
      <w:r w:rsidRPr="00B35649">
        <w:rPr>
          <w:rFonts w:ascii="Century Gothic" w:hAnsi="Century Gothic" w:cs="Arial"/>
          <w:sz w:val="16"/>
          <w:szCs w:val="16"/>
          <w:lang w:val="es-CO"/>
        </w:rPr>
        <w:t xml:space="preserve"> </w:t>
      </w:r>
      <w:r w:rsidRPr="00B35649">
        <w:rPr>
          <w:rFonts w:ascii="Century Gothic" w:hAnsi="Century Gothic" w:cs="Arial"/>
          <w:sz w:val="16"/>
          <w:szCs w:val="16"/>
        </w:rPr>
        <w:t>CÁMARA DE COMERCIO DE BOGOTÁ. Laudo TA-CCB-20040531 del 31 de mayo de 2004. Concesión Santa Marta Paraguachón vs. Instituto Nacional de Vías.</w:t>
      </w:r>
    </w:p>
  </w:footnote>
  <w:footnote w:id="26">
    <w:p w14:paraId="1849C9A1" w14:textId="77777777" w:rsidR="009A7952" w:rsidRPr="00B35649" w:rsidRDefault="009A7952" w:rsidP="009A7952">
      <w:pPr>
        <w:pStyle w:val="Textonotapie"/>
        <w:ind w:firstLine="709"/>
        <w:jc w:val="both"/>
        <w:rPr>
          <w:rFonts w:ascii="Century Gothic" w:hAnsi="Century Gothic" w:cs="Arial"/>
          <w:sz w:val="16"/>
          <w:szCs w:val="16"/>
          <w:lang w:val="es-ES"/>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Matallana Camacho, Ernesto. </w:t>
      </w:r>
      <w:r w:rsidRPr="00B35649">
        <w:rPr>
          <w:rFonts w:ascii="Century Gothic" w:hAnsi="Century Gothic" w:cs="Arial"/>
          <w:sz w:val="16"/>
          <w:szCs w:val="16"/>
          <w:lang w:val="es-ES"/>
        </w:rPr>
        <w:t>Manual de contratación de la administración pública: reforma de la Ley 80 de 1993. Bogotá. Universidad Externado de Colombia, 2015 – 4 edición Pág. 957.</w:t>
      </w:r>
    </w:p>
  </w:footnote>
  <w:footnote w:id="27">
    <w:p w14:paraId="61C8F2D0"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8">
    <w:p w14:paraId="751800C8" w14:textId="77777777" w:rsidR="009A7952" w:rsidRPr="00B35649" w:rsidRDefault="009A7952" w:rsidP="009A7952">
      <w:pPr>
        <w:pStyle w:val="Textonotapie"/>
        <w:ind w:firstLine="709"/>
        <w:jc w:val="both"/>
        <w:rPr>
          <w:rFonts w:ascii="Century Gothic" w:hAnsi="Century Gothic" w:cs="Arial"/>
          <w:color w:val="000000" w:themeColor="text1"/>
          <w:sz w:val="16"/>
          <w:szCs w:val="16"/>
        </w:rPr>
      </w:pPr>
      <w:r w:rsidRPr="00B35649">
        <w:rPr>
          <w:rStyle w:val="Refdenotaalpie"/>
          <w:rFonts w:ascii="Century Gothic" w:hAnsi="Century Gothic" w:cs="Arial"/>
          <w:color w:val="000000" w:themeColor="text1"/>
          <w:sz w:val="16"/>
          <w:szCs w:val="16"/>
        </w:rPr>
        <w:footnoteRef/>
      </w:r>
      <w:r w:rsidRPr="00B35649">
        <w:rPr>
          <w:rFonts w:ascii="Century Gothic" w:hAnsi="Century Gothic" w:cs="Arial"/>
          <w:color w:val="000000" w:themeColor="text1"/>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footnote>
  <w:footnote w:id="29">
    <w:p w14:paraId="34E2F616" w14:textId="77777777" w:rsidR="009A7952" w:rsidRPr="00B35649" w:rsidRDefault="009A7952" w:rsidP="009A7952">
      <w:pPr>
        <w:spacing w:after="0" w:line="240" w:lineRule="auto"/>
        <w:ind w:firstLine="709"/>
        <w:jc w:val="both"/>
        <w:rPr>
          <w:rFonts w:ascii="Century Gothic" w:hAnsi="Century Gothic" w:cs="Arial"/>
          <w:color w:val="000000" w:themeColor="text1"/>
          <w:sz w:val="16"/>
          <w:szCs w:val="16"/>
          <w:lang w:val="es-ES"/>
        </w:rPr>
      </w:pPr>
      <w:r w:rsidRPr="00B35649">
        <w:rPr>
          <w:rStyle w:val="Refdenotaalpie"/>
          <w:rFonts w:ascii="Century Gothic" w:hAnsi="Century Gothic" w:cs="Arial"/>
          <w:color w:val="000000" w:themeColor="text1"/>
          <w:sz w:val="16"/>
          <w:szCs w:val="16"/>
        </w:rPr>
        <w:footnoteRef/>
      </w:r>
      <w:r w:rsidRPr="00B35649">
        <w:rPr>
          <w:rFonts w:ascii="Century Gothic" w:hAnsi="Century Gothic" w:cs="Arial"/>
          <w:color w:val="000000" w:themeColor="text1"/>
          <w:sz w:val="16"/>
          <w:szCs w:val="16"/>
        </w:rPr>
        <w:t xml:space="preserve"> </w:t>
      </w:r>
      <w:r w:rsidRPr="00B35649">
        <w:rPr>
          <w:rFonts w:ascii="Century Gothic" w:hAnsi="Century Gothic" w:cs="Arial"/>
          <w:color w:val="000000" w:themeColor="text1"/>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30">
    <w:p w14:paraId="02078688" w14:textId="77777777" w:rsidR="009A7952" w:rsidRPr="00B35649" w:rsidRDefault="009A7952" w:rsidP="009A7952">
      <w:pPr>
        <w:pStyle w:val="Textonotapie"/>
        <w:ind w:firstLine="708"/>
        <w:jc w:val="both"/>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La norma dispone que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la obra pública, deberá seguir los siguientes parámetros:</w:t>
      </w:r>
    </w:p>
    <w:p w14:paraId="75C0CF64" w14:textId="77777777" w:rsidR="009A7952" w:rsidRPr="00B35649" w:rsidRDefault="009A7952" w:rsidP="009A7952">
      <w:pPr>
        <w:pStyle w:val="Textonotapie"/>
        <w:ind w:firstLine="708"/>
        <w:jc w:val="both"/>
        <w:rPr>
          <w:rFonts w:ascii="Century Gothic" w:hAnsi="Century Gothic" w:cs="Arial"/>
          <w:sz w:val="16"/>
          <w:szCs w:val="16"/>
        </w:rPr>
      </w:pPr>
      <w:r w:rsidRPr="00B35649">
        <w:rPr>
          <w:rFonts w:ascii="Century Gothic" w:hAnsi="Century Gothic" w:cs="Arial"/>
          <w:sz w:val="16"/>
          <w:szCs w:val="16"/>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00E1342F" w14:textId="77777777" w:rsidR="009A7952" w:rsidRPr="00B35649" w:rsidRDefault="009A7952" w:rsidP="009A7952">
      <w:pPr>
        <w:pStyle w:val="Textonotapie"/>
        <w:ind w:firstLine="708"/>
        <w:jc w:val="both"/>
        <w:rPr>
          <w:rFonts w:ascii="Century Gothic" w:hAnsi="Century Gothic" w:cs="Arial"/>
          <w:sz w:val="16"/>
          <w:szCs w:val="16"/>
        </w:rPr>
      </w:pPr>
      <w:r w:rsidRPr="00B35649">
        <w:rPr>
          <w:rFonts w:ascii="Century Gothic" w:hAnsi="Century Gothic" w:cs="Arial"/>
          <w:sz w:val="16"/>
          <w:szCs w:val="16"/>
        </w:rPr>
        <w:t>Para tal efecto, la entidad realizará el estudio previo y el análisis del sector en los términos de los artículos 2.2.1.1.1.6.1 y 2.2.1.1.1.6.2 del Decreto 1082 de 2015, o la norma que los adicione, complemente o sustituya.</w:t>
      </w:r>
    </w:p>
    <w:p w14:paraId="5A9B9510" w14:textId="77777777" w:rsidR="009A7952" w:rsidRPr="00B35649" w:rsidRDefault="009A7952" w:rsidP="009A7952">
      <w:pPr>
        <w:pStyle w:val="Textonotapie"/>
        <w:ind w:firstLine="708"/>
        <w:jc w:val="both"/>
        <w:rPr>
          <w:rFonts w:ascii="Century Gothic" w:hAnsi="Century Gothic" w:cs="Arial"/>
          <w:sz w:val="16"/>
          <w:szCs w:val="16"/>
        </w:rPr>
      </w:pPr>
      <w:r w:rsidRPr="00B35649">
        <w:rPr>
          <w:rFonts w:ascii="Century Gothic" w:hAnsi="Century Gothic" w:cs="Arial"/>
          <w:sz w:val="16"/>
          <w:szCs w:val="16"/>
        </w:rPr>
        <w:t>2. Conservar los requisitos exigidos en los documentos tipo.</w:t>
      </w:r>
    </w:p>
    <w:p w14:paraId="1DB2642D" w14:textId="77777777" w:rsidR="009A7952" w:rsidRPr="00B35649" w:rsidRDefault="009A7952" w:rsidP="009A7952">
      <w:pPr>
        <w:pStyle w:val="Textonotapie"/>
        <w:ind w:firstLine="708"/>
        <w:jc w:val="both"/>
        <w:rPr>
          <w:rFonts w:ascii="Century Gothic" w:hAnsi="Century Gothic" w:cs="Arial"/>
          <w:sz w:val="16"/>
          <w:szCs w:val="16"/>
          <w:lang w:val="es-CO"/>
        </w:rPr>
      </w:pPr>
      <w:r w:rsidRPr="00B35649">
        <w:rPr>
          <w:rFonts w:ascii="Century Gothic" w:hAnsi="Century Gothic" w:cs="Arial"/>
          <w:sz w:val="16"/>
          <w:szCs w:val="16"/>
          <w:lang w:val="es-CO"/>
        </w:rPr>
        <w:t>3. Abstenerse de pedir experiencia exclusiva con entidades de cualquier naturaleza, experiencia previa exclusiva en un territorio específico, limitada en el tiempo o que incluya volúmenes o cantidades de obra específica.</w:t>
      </w:r>
    </w:p>
    <w:p w14:paraId="5FB9DDB9" w14:textId="77777777" w:rsidR="009A7952" w:rsidRPr="00B35649" w:rsidRDefault="009A7952" w:rsidP="009A7952">
      <w:pPr>
        <w:pStyle w:val="Textonotapie"/>
        <w:ind w:firstLine="708"/>
        <w:jc w:val="both"/>
        <w:rPr>
          <w:rFonts w:ascii="Century Gothic" w:hAnsi="Century Gothic" w:cs="Arial"/>
          <w:sz w:val="16"/>
          <w:szCs w:val="16"/>
          <w:lang w:val="es-CO"/>
        </w:rPr>
      </w:pPr>
      <w:r w:rsidRPr="00B35649">
        <w:rPr>
          <w:rFonts w:ascii="Century Gothic" w:hAnsi="Century Gothic" w:cs="Arial"/>
          <w:sz w:val="16"/>
          <w:szCs w:val="16"/>
          <w:lang w:val="es-CO"/>
        </w:rPr>
        <w:t>4. Clasificar la experiencia requerida solo hasta el tercer nivel del Clasificador de Bienes y Servicios e incluir exclusivamente los códigos que estén relacionados directamente con el objeto a contratar.</w:t>
      </w:r>
    </w:p>
    <w:p w14:paraId="787BF811" w14:textId="77777777" w:rsidR="009A7952" w:rsidRPr="00B35649" w:rsidRDefault="009A7952" w:rsidP="009A7952">
      <w:pPr>
        <w:pStyle w:val="Textonotapie"/>
        <w:ind w:firstLine="708"/>
        <w:jc w:val="both"/>
        <w:rPr>
          <w:rFonts w:ascii="Century Gothic" w:hAnsi="Century Gothic" w:cs="Arial"/>
          <w:sz w:val="16"/>
          <w:szCs w:val="16"/>
          <w:lang w:val="es-CO"/>
        </w:rPr>
      </w:pPr>
      <w:r w:rsidRPr="00B35649">
        <w:rPr>
          <w:rFonts w:ascii="Century Gothic" w:hAnsi="Century Gothic" w:cs="Arial"/>
          <w:sz w:val="16"/>
          <w:szCs w:val="16"/>
          <w:lang w:val="es-CO"/>
        </w:rPr>
        <w:t>Parágrafo 1. (Modificado por el artículo 177 de la Resolución 275 del 24 de junio de 2022). En los casos que el objeto contractual incluya actividades que son abarcadas por otros Documentos, la Entidad Estatal aplicará las reglas de combinación de experiencia previstas en el numeral 3.5.1 del documento base.</w:t>
      </w:r>
    </w:p>
    <w:p w14:paraId="46E899AA" w14:textId="77777777" w:rsidR="009A7952" w:rsidRPr="00B35649" w:rsidRDefault="009A7952" w:rsidP="009A7952">
      <w:pPr>
        <w:pStyle w:val="Textonotapie"/>
        <w:ind w:firstLine="708"/>
        <w:jc w:val="both"/>
        <w:rPr>
          <w:rFonts w:ascii="Century Gothic" w:hAnsi="Century Gothic" w:cs="Arial"/>
          <w:sz w:val="16"/>
          <w:szCs w:val="16"/>
          <w:lang w:val="es-CO"/>
        </w:rPr>
      </w:pPr>
      <w:r w:rsidRPr="00B35649">
        <w:rPr>
          <w:rFonts w:ascii="Century Gothic" w:hAnsi="Century Gothic" w:cs="Arial"/>
          <w:sz w:val="16"/>
          <w:szCs w:val="16"/>
          <w:lang w:val="es-CO"/>
        </w:rPr>
        <w:t>Parágrafo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w:t>
      </w:r>
    </w:p>
    <w:p w14:paraId="645BE167" w14:textId="77777777" w:rsidR="009A7952" w:rsidRPr="00B35649" w:rsidRDefault="009A7952" w:rsidP="009A7952">
      <w:pPr>
        <w:pStyle w:val="Textonotapie"/>
        <w:ind w:firstLine="708"/>
        <w:jc w:val="both"/>
        <w:rPr>
          <w:rFonts w:ascii="Century Gothic" w:hAnsi="Century Gothic" w:cs="Arial"/>
          <w:sz w:val="16"/>
          <w:szCs w:val="16"/>
          <w:lang w:val="es-CO"/>
        </w:rPr>
      </w:pPr>
      <w:r w:rsidRPr="00B35649">
        <w:rPr>
          <w:rFonts w:ascii="Century Gothic" w:hAnsi="Century Gothic" w:cs="Arial"/>
          <w:sz w:val="16"/>
          <w:szCs w:val="16"/>
          <w:lang w:val="es-CO"/>
        </w:rPr>
        <w:t>Parágrafo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p>
  </w:footnote>
  <w:footnote w:id="31">
    <w:p w14:paraId="33E313AC" w14:textId="77777777" w:rsidR="009A7952" w:rsidRPr="00B35649" w:rsidRDefault="009A7952" w:rsidP="009A7952">
      <w:pPr>
        <w:spacing w:after="0" w:line="240" w:lineRule="auto"/>
        <w:ind w:firstLine="708"/>
        <w:jc w:val="both"/>
        <w:rPr>
          <w:rFonts w:ascii="Century Gothic" w:hAnsi="Century Gothic" w:cs="Arial"/>
          <w:color w:val="000000" w:themeColor="text1"/>
          <w:sz w:val="16"/>
          <w:szCs w:val="16"/>
        </w:rPr>
      </w:pPr>
      <w:r w:rsidRPr="00B35649">
        <w:rPr>
          <w:rStyle w:val="Refdenotaalpie"/>
          <w:rFonts w:ascii="Century Gothic" w:hAnsi="Century Gothic" w:cs="Arial"/>
          <w:color w:val="000000" w:themeColor="text1"/>
          <w:sz w:val="16"/>
          <w:szCs w:val="16"/>
        </w:rPr>
        <w:footnoteRef/>
      </w:r>
      <w:r w:rsidRPr="00B35649">
        <w:rPr>
          <w:rFonts w:ascii="Century Gothic" w:hAnsi="Century Gothic" w:cs="Arial"/>
          <w:color w:val="000000" w:themeColor="text1"/>
          <w:sz w:val="16"/>
          <w:szCs w:val="16"/>
        </w:rPr>
        <w:t xml:space="preserve"> Cita tomada de la providencia del 20 de febrero de 2020, dictada por el Consejo de Estado. Sección Tercera. Subsección A, dentro del expediente 47001-23-33-000-2018-00035-01 (63.854), cuya ponente fue 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64181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108D3"/>
    <w:rsid w:val="00061B2A"/>
    <w:rsid w:val="00082362"/>
    <w:rsid w:val="000A683E"/>
    <w:rsid w:val="000B19B9"/>
    <w:rsid w:val="000D0334"/>
    <w:rsid w:val="000F6486"/>
    <w:rsid w:val="00125105"/>
    <w:rsid w:val="00127233"/>
    <w:rsid w:val="001A7B0C"/>
    <w:rsid w:val="001E4177"/>
    <w:rsid w:val="001F7DC6"/>
    <w:rsid w:val="002421BB"/>
    <w:rsid w:val="002707A2"/>
    <w:rsid w:val="002951A0"/>
    <w:rsid w:val="002962BC"/>
    <w:rsid w:val="002A093D"/>
    <w:rsid w:val="002A0DD0"/>
    <w:rsid w:val="002A49AC"/>
    <w:rsid w:val="002A64FD"/>
    <w:rsid w:val="002B2B0E"/>
    <w:rsid w:val="002C7A84"/>
    <w:rsid w:val="002E4FD9"/>
    <w:rsid w:val="00322A85"/>
    <w:rsid w:val="003448F4"/>
    <w:rsid w:val="0034760F"/>
    <w:rsid w:val="00374F5E"/>
    <w:rsid w:val="00377E3E"/>
    <w:rsid w:val="003A779E"/>
    <w:rsid w:val="003D0F4D"/>
    <w:rsid w:val="003D5B0D"/>
    <w:rsid w:val="003E0499"/>
    <w:rsid w:val="003F3941"/>
    <w:rsid w:val="00406575"/>
    <w:rsid w:val="0042722E"/>
    <w:rsid w:val="004A1847"/>
    <w:rsid w:val="004A305D"/>
    <w:rsid w:val="004B08B1"/>
    <w:rsid w:val="004F21C4"/>
    <w:rsid w:val="004F685F"/>
    <w:rsid w:val="005555B2"/>
    <w:rsid w:val="005566E8"/>
    <w:rsid w:val="00574867"/>
    <w:rsid w:val="00591460"/>
    <w:rsid w:val="005A2340"/>
    <w:rsid w:val="005C3777"/>
    <w:rsid w:val="005C5CDC"/>
    <w:rsid w:val="005D476C"/>
    <w:rsid w:val="00610722"/>
    <w:rsid w:val="006219F8"/>
    <w:rsid w:val="00665D70"/>
    <w:rsid w:val="006900D9"/>
    <w:rsid w:val="006B116B"/>
    <w:rsid w:val="00706C16"/>
    <w:rsid w:val="00756841"/>
    <w:rsid w:val="007649AB"/>
    <w:rsid w:val="00771D0C"/>
    <w:rsid w:val="007833AC"/>
    <w:rsid w:val="007B268C"/>
    <w:rsid w:val="007B7171"/>
    <w:rsid w:val="007C3DC2"/>
    <w:rsid w:val="007E5497"/>
    <w:rsid w:val="00806F5F"/>
    <w:rsid w:val="00820278"/>
    <w:rsid w:val="0082534B"/>
    <w:rsid w:val="008843B6"/>
    <w:rsid w:val="00891928"/>
    <w:rsid w:val="008A446D"/>
    <w:rsid w:val="008D180B"/>
    <w:rsid w:val="008F0EA7"/>
    <w:rsid w:val="00923EEF"/>
    <w:rsid w:val="009419F9"/>
    <w:rsid w:val="00961B09"/>
    <w:rsid w:val="00965334"/>
    <w:rsid w:val="0097093E"/>
    <w:rsid w:val="009A7952"/>
    <w:rsid w:val="009C71FA"/>
    <w:rsid w:val="009C72E7"/>
    <w:rsid w:val="009F3A13"/>
    <w:rsid w:val="00A122D3"/>
    <w:rsid w:val="00A17F13"/>
    <w:rsid w:val="00A20739"/>
    <w:rsid w:val="00A33C78"/>
    <w:rsid w:val="00AB02C6"/>
    <w:rsid w:val="00AB0ADB"/>
    <w:rsid w:val="00AF0370"/>
    <w:rsid w:val="00B41009"/>
    <w:rsid w:val="00B72CD3"/>
    <w:rsid w:val="00B72FFF"/>
    <w:rsid w:val="00BC3D36"/>
    <w:rsid w:val="00BD7F72"/>
    <w:rsid w:val="00C04FB3"/>
    <w:rsid w:val="00C330EB"/>
    <w:rsid w:val="00C745E9"/>
    <w:rsid w:val="00C754BE"/>
    <w:rsid w:val="00C76B1C"/>
    <w:rsid w:val="00CB6357"/>
    <w:rsid w:val="00CC1B26"/>
    <w:rsid w:val="00D423A2"/>
    <w:rsid w:val="00D63AC2"/>
    <w:rsid w:val="00D7383B"/>
    <w:rsid w:val="00DA231B"/>
    <w:rsid w:val="00DE68C3"/>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795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A7952"/>
    <w:rPr>
      <w:rFonts w:ascii="Geomanist Light" w:hAnsi="Geomanist Light"/>
      <w:lang w:val="es-ES"/>
    </w:rPr>
  </w:style>
  <w:style w:type="character" w:styleId="Refdecomentario">
    <w:name w:val="annotation reference"/>
    <w:basedOn w:val="Fuentedeprrafopredeter"/>
    <w:uiPriority w:val="99"/>
    <w:semiHidden/>
    <w:unhideWhenUsed/>
    <w:rsid w:val="009A7952"/>
    <w:rPr>
      <w:sz w:val="16"/>
      <w:szCs w:val="16"/>
    </w:rPr>
  </w:style>
  <w:style w:type="paragraph" w:styleId="Textocomentario">
    <w:name w:val="annotation text"/>
    <w:basedOn w:val="Normal"/>
    <w:link w:val="TextocomentarioCar"/>
    <w:uiPriority w:val="99"/>
    <w:unhideWhenUsed/>
    <w:rsid w:val="009A7952"/>
    <w:pPr>
      <w:spacing w:line="240" w:lineRule="auto"/>
    </w:pPr>
    <w:rPr>
      <w:sz w:val="20"/>
      <w:szCs w:val="20"/>
    </w:rPr>
  </w:style>
  <w:style w:type="character" w:customStyle="1" w:styleId="TextocomentarioCar">
    <w:name w:val="Texto comentario Car"/>
    <w:basedOn w:val="Fuentedeprrafopredeter"/>
    <w:link w:val="Textocomentario"/>
    <w:uiPriority w:val="99"/>
    <w:rsid w:val="009A79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508_2012.html" TargetMode="External"/><Relationship Id="rId2" Type="http://schemas.openxmlformats.org/officeDocument/2006/relationships/hyperlink" Target="http://leyes.senado.gov.co/proyectos/images/documentos/Textos%20Radicados/Ponencias/2010/gaceta_784%20%20.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DB2DF93-E026-4708-829D-C763146E9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9018</Words>
  <Characters>49605</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2024-01-12T19:38:00Z</dcterms:created>
  <dcterms:modified xsi:type="dcterms:W3CDTF">2024-01-12T19:38:00Z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