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CAC71" w14:textId="65FF39C2" w:rsidR="002415B8" w:rsidRPr="00036110" w:rsidRDefault="00B55C69" w:rsidP="002A5A98">
      <w:pPr>
        <w:jc w:val="right"/>
        <w:rPr>
          <w:rFonts w:ascii="Arial" w:eastAsia="Calibri" w:hAnsi="Arial" w:cs="Arial"/>
          <w:b/>
          <w:color w:val="000000" w:themeColor="text1"/>
          <w:sz w:val="22"/>
          <w:szCs w:val="22"/>
          <w:lang w:val="es-ES_tradnl"/>
        </w:rPr>
      </w:pPr>
      <w:bookmarkStart w:id="0" w:name="_Hlk28946138"/>
      <w:bookmarkStart w:id="1" w:name="_Hlk29548183"/>
      <w:r w:rsidRPr="00036110">
        <w:rPr>
          <w:rFonts w:ascii="Arial" w:hAnsi="Arial" w:cs="Arial"/>
          <w:bCs/>
          <w:color w:val="000000" w:themeColor="text1"/>
          <w:sz w:val="22"/>
          <w:szCs w:val="22"/>
          <w:lang w:val="es-ES_tradnl" w:eastAsia="es-ES"/>
        </w:rPr>
        <w:t>CCE-DES-FM-17</w:t>
      </w:r>
      <w:bookmarkEnd w:id="0"/>
      <w:bookmarkEnd w:id="1"/>
    </w:p>
    <w:p w14:paraId="0FACEA89" w14:textId="3669D73D" w:rsidR="00D8597D" w:rsidRPr="00036110" w:rsidRDefault="00036110" w:rsidP="0078356A">
      <w:pPr>
        <w:jc w:val="both"/>
        <w:rPr>
          <w:rFonts w:ascii="Arial" w:hAnsi="Arial" w:cs="Arial"/>
          <w:b/>
          <w:sz w:val="22"/>
          <w:szCs w:val="22"/>
        </w:rPr>
      </w:pPr>
      <w:r w:rsidRPr="00036110">
        <w:rPr>
          <w:rFonts w:ascii="Arial" w:hAnsi="Arial" w:cs="Arial"/>
          <w:b/>
          <w:sz w:val="22"/>
          <w:szCs w:val="22"/>
        </w:rPr>
        <w:t>ANÁLISIS DEL SECTOR –</w:t>
      </w:r>
      <w:r w:rsidR="0015571E">
        <w:rPr>
          <w:rFonts w:ascii="Arial" w:hAnsi="Arial" w:cs="Arial"/>
          <w:b/>
          <w:sz w:val="22"/>
          <w:szCs w:val="22"/>
        </w:rPr>
        <w:t xml:space="preserve"> Documentos tipo – Finalidad </w:t>
      </w:r>
    </w:p>
    <w:p w14:paraId="5BC56F16" w14:textId="77777777" w:rsidR="002A5A98" w:rsidRDefault="002A5A98" w:rsidP="0078356A">
      <w:pPr>
        <w:jc w:val="both"/>
        <w:rPr>
          <w:rFonts w:ascii="Arial" w:hAnsi="Arial" w:cs="Arial"/>
          <w:sz w:val="20"/>
          <w:szCs w:val="20"/>
        </w:rPr>
      </w:pPr>
    </w:p>
    <w:p w14:paraId="244AB150" w14:textId="1A99CDAE" w:rsidR="00D8597D" w:rsidRPr="0015571E" w:rsidRDefault="00036110" w:rsidP="0015571E">
      <w:pPr>
        <w:jc w:val="both"/>
        <w:rPr>
          <w:rFonts w:ascii="Arial" w:hAnsi="Arial" w:cs="Arial"/>
          <w:sz w:val="20"/>
          <w:szCs w:val="20"/>
        </w:rPr>
      </w:pPr>
      <w:r>
        <w:rPr>
          <w:rFonts w:ascii="Arial" w:hAnsi="Arial" w:cs="Arial"/>
          <w:sz w:val="20"/>
          <w:szCs w:val="20"/>
        </w:rPr>
        <w:t>E</w:t>
      </w:r>
      <w:r w:rsidRPr="00036110">
        <w:rPr>
          <w:rFonts w:ascii="Arial" w:hAnsi="Arial" w:cs="Arial"/>
          <w:sz w:val="20"/>
          <w:szCs w:val="20"/>
        </w:rPr>
        <w:t>l análisis del sector abarca los rubros legal, comercial, financiero, organizacional, técnico y de riesgos del sector en donde tendrá lugar la contratación, permitiendo a las entidades acopiar información importante para el desarrollo de los procesos de contratación, irradiando estos con una aplicación más acentuada del principio de planeación. Desde una perspectiva funcional, constituye un deber que permite que las entidades sitúen la adquisición de los bienes, obras o servicios necesarios para la satisfacción de sus necesidades dentro de las condiciones del mercado en donde se ofrecen. Lo anterior, les permite tener un sustento para la decisión de adelantar el proceso de contratación desde el punto de vista de la eficiencia, eficacia y economía.</w:t>
      </w:r>
      <w:r w:rsidR="0015571E">
        <w:rPr>
          <w:rFonts w:ascii="Arial" w:hAnsi="Arial" w:cs="Arial"/>
          <w:sz w:val="20"/>
          <w:szCs w:val="20"/>
        </w:rPr>
        <w:t xml:space="preserve"> […]  E</w:t>
      </w:r>
      <w:r w:rsidR="0015571E" w:rsidRPr="0015571E">
        <w:rPr>
          <w:rFonts w:ascii="Arial" w:hAnsi="Arial" w:cs="Arial"/>
          <w:sz w:val="20"/>
          <w:szCs w:val="20"/>
        </w:rPr>
        <w:t>l artículo 2.2.1.1.2.2.4 del Decreto 1082 de 2015, en el que se regula la metodología para la evaluación y esclarecimiento de ofertas con precios artificialmente bajos, se refiere al artículo 2.2.1.1.1.6.1, que regula el análisis del sector y los rubros que este abarca, situando a este como el principal insumo para llevar a cabo dicho cometido . En desarrollo de esto,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w:t>
      </w:r>
      <w:r w:rsidR="0015571E">
        <w:rPr>
          <w:rFonts w:ascii="Arial" w:hAnsi="Arial" w:cs="Arial"/>
          <w:sz w:val="20"/>
          <w:szCs w:val="20"/>
        </w:rPr>
        <w:t xml:space="preserve">urante el Estudio del Sector». </w:t>
      </w:r>
      <w:r w:rsidR="0015571E" w:rsidRPr="0015571E">
        <w:rPr>
          <w:rFonts w:ascii="Arial" w:hAnsi="Arial" w:cs="Arial"/>
          <w:sz w:val="20"/>
          <w:szCs w:val="20"/>
        </w:rPr>
        <w:t>Esto pone de presente otra importante finalidad de la información recolectada en el ejercicio de análisis o estudio del sector, a la cual no fue ajena la expedición de los documentos tipo, los que, particularmente, en el numeral 4.1.3 del «Documento Base» para licitación pública, hace expresa referencia a la información del estudio del sector como el más importante insumo para determinar si una oferta es artificialmente baja y aplicar el artículo 2.2.1.1.2.2.4 del Decreto 1082 de 2015.</w:t>
      </w:r>
    </w:p>
    <w:p w14:paraId="52822B55" w14:textId="77777777" w:rsidR="00D8597D" w:rsidRPr="00D8597D" w:rsidRDefault="00D8597D" w:rsidP="0078356A">
      <w:pPr>
        <w:jc w:val="both"/>
        <w:rPr>
          <w:rFonts w:ascii="Arial" w:eastAsia="Calibri" w:hAnsi="Arial" w:cs="Arial"/>
          <w:sz w:val="20"/>
          <w:szCs w:val="20"/>
          <w:lang w:val="es-ES_tradnl"/>
        </w:rPr>
      </w:pPr>
    </w:p>
    <w:p w14:paraId="17413F70" w14:textId="06AADA91" w:rsidR="00D8597D" w:rsidRPr="0080532A" w:rsidRDefault="00D8597D" w:rsidP="00D8597D">
      <w:pPr>
        <w:jc w:val="both"/>
        <w:rPr>
          <w:rFonts w:ascii="Arial" w:hAnsi="Arial" w:cs="Arial"/>
          <w:b/>
          <w:color w:val="000000" w:themeColor="text1"/>
          <w:sz w:val="22"/>
          <w:szCs w:val="22"/>
          <w:lang w:val="es-ES_tradnl"/>
        </w:rPr>
      </w:pPr>
      <w:r w:rsidRPr="0080532A">
        <w:rPr>
          <w:rFonts w:ascii="Arial" w:hAnsi="Arial" w:cs="Arial"/>
          <w:b/>
          <w:color w:val="000000" w:themeColor="text1"/>
          <w:sz w:val="22"/>
          <w:szCs w:val="22"/>
          <w:lang w:val="es-ES_tradnl"/>
        </w:rPr>
        <w:t xml:space="preserve">INALTERABILIDAD DOCUMENTOS TIPO – Regla – Desconocimiento –  Consecuencia jurídica </w:t>
      </w:r>
    </w:p>
    <w:p w14:paraId="638FAF96" w14:textId="77777777" w:rsidR="00D8597D" w:rsidRPr="00D8597D" w:rsidRDefault="00D8597D" w:rsidP="00D8597D">
      <w:pPr>
        <w:ind w:right="709"/>
        <w:jc w:val="both"/>
        <w:rPr>
          <w:rFonts w:ascii="Arial" w:hAnsi="Arial" w:cs="Arial"/>
          <w:b/>
          <w:color w:val="000000" w:themeColor="text1"/>
          <w:sz w:val="20"/>
          <w:szCs w:val="20"/>
          <w:lang w:val="es-ES_tradnl"/>
        </w:rPr>
      </w:pPr>
    </w:p>
    <w:p w14:paraId="7CF8523D" w14:textId="77777777" w:rsidR="00036110" w:rsidRPr="00036110" w:rsidRDefault="00036110" w:rsidP="00036110">
      <w:pPr>
        <w:jc w:val="both"/>
        <w:rPr>
          <w:rFonts w:ascii="Arial" w:hAnsi="Arial" w:cs="Arial"/>
          <w:sz w:val="20"/>
          <w:szCs w:val="20"/>
        </w:rPr>
      </w:pPr>
      <w:r w:rsidRPr="00036110">
        <w:rPr>
          <w:rFonts w:ascii="Arial" w:hAnsi="Arial" w:cs="Arial"/>
          <w:sz w:val="20"/>
          <w:szCs w:val="20"/>
        </w:rPr>
        <w:t>Conforme a la «Guía para la comprensión e implementación de los Documentos Tipo de obra pública de infraestructura de transporte bajo las diferentes modalidades de contratación vigentes», los interesados en el proceso de selección deben denunciar ante las autoridades competentes las irregularidades que se presenten con la aplicación de los documentos tipo. Esto aplica a las modificaciones del documento base, los anexos, los formatos, las matrices y los formularios, en los cuales la entidad contratante cambie su contenido violando el principio de inalterabilidad explicado en el apartado 2.2 del presente concepto.</w:t>
      </w:r>
    </w:p>
    <w:p w14:paraId="5D77DEDA" w14:textId="07BA2709" w:rsidR="00036110" w:rsidRPr="00036110" w:rsidRDefault="00036110" w:rsidP="00036110">
      <w:pPr>
        <w:jc w:val="both"/>
        <w:rPr>
          <w:rFonts w:ascii="Arial" w:hAnsi="Arial" w:cs="Arial"/>
          <w:sz w:val="20"/>
          <w:szCs w:val="20"/>
        </w:rPr>
      </w:pPr>
      <w:r w:rsidRPr="00036110">
        <w:rPr>
          <w:rFonts w:ascii="Arial" w:hAnsi="Arial" w:cs="Arial"/>
          <w:sz w:val="20"/>
          <w:szCs w:val="20"/>
        </w:rPr>
        <w:t>Sin perjuicio de las labores de seguimiento del Observatorio Oficial de Contratación Estatal sobre la adecuada implementación de los documentos tipo, el Decreto Ley 4170 de 2011, «Por el cual se crea la Agencia Nacional de Contratación Pública – Colombia Compra Eficiente, se determinan sus objetivos y estructura», no atribuyó a la entidad competencias de control, investigación y seguimiento en la aplicación de los documentos tipo. Por ello, la guía explica que la Agencia «[…] no es competente para sancionar el incumplimiento de la normativa, y por ello su labor se limita a impartir políticas públicas en temas de contratación estatal y hacer el seguimiento estadístico a la implementación de los documentos tipo».</w:t>
      </w:r>
    </w:p>
    <w:p w14:paraId="7D296302" w14:textId="5AAD323A" w:rsidR="00D8597D" w:rsidRDefault="00036110" w:rsidP="00036110">
      <w:pPr>
        <w:jc w:val="both"/>
        <w:rPr>
          <w:rFonts w:ascii="Arial" w:hAnsi="Arial" w:cs="Arial"/>
          <w:sz w:val="20"/>
          <w:szCs w:val="20"/>
        </w:rPr>
      </w:pPr>
      <w:r w:rsidRPr="00036110">
        <w:rPr>
          <w:rFonts w:ascii="Arial" w:hAnsi="Arial" w:cs="Arial"/>
          <w:sz w:val="20"/>
          <w:szCs w:val="20"/>
        </w:rPr>
        <w:t>Por estas razones, sea que afecten el contrato, el procedimiento de selección o al funcionario encargado de adelantarlo, Colombia Compra Eficiente carece de atribuciones para determinar las consecuencias jurídicas que produce la violación del principio de inalterabilidad. Esto en la medida que la calificación de posibles vicios de invalidantes o la investigación de presuntas faltas disciplinarias corresponde a las autoridades judiciales y de control, respectivamente.</w:t>
      </w:r>
    </w:p>
    <w:p w14:paraId="2ABE7F5B" w14:textId="77777777" w:rsidR="00036110" w:rsidRPr="00D8597D" w:rsidRDefault="00036110" w:rsidP="00036110">
      <w:pPr>
        <w:jc w:val="both"/>
        <w:rPr>
          <w:rFonts w:ascii="Arial" w:hAnsi="Arial" w:cs="Arial"/>
          <w:color w:val="000000" w:themeColor="text1"/>
          <w:sz w:val="20"/>
          <w:szCs w:val="20"/>
          <w:lang w:val="es-ES_tradnl"/>
        </w:rPr>
      </w:pPr>
    </w:p>
    <w:p w14:paraId="4CCE23D8" w14:textId="0EBBC840" w:rsidR="00D8597D" w:rsidRPr="00A1224A" w:rsidRDefault="00036110" w:rsidP="00D8597D">
      <w:pPr>
        <w:ind w:right="709"/>
        <w:jc w:val="both"/>
        <w:rPr>
          <w:rFonts w:ascii="Arial" w:hAnsi="Arial" w:cs="Arial"/>
          <w:b/>
          <w:color w:val="000000" w:themeColor="text1"/>
          <w:sz w:val="22"/>
          <w:szCs w:val="22"/>
          <w:lang w:val="es-ES_tradnl"/>
        </w:rPr>
      </w:pPr>
      <w:r>
        <w:rPr>
          <w:rFonts w:ascii="Arial" w:hAnsi="Arial" w:cs="Arial"/>
          <w:b/>
          <w:color w:val="000000" w:themeColor="text1"/>
          <w:sz w:val="22"/>
          <w:szCs w:val="22"/>
          <w:lang w:val="es-ES_tradnl"/>
        </w:rPr>
        <w:t>DOCUMENTOS TIPO – Interventoría – Obligatoriedad – Resolución 256 de 2020</w:t>
      </w:r>
    </w:p>
    <w:p w14:paraId="67659B7D" w14:textId="77777777" w:rsidR="00D8597D" w:rsidRPr="00D8597D" w:rsidRDefault="00D8597D" w:rsidP="00D8597D">
      <w:pPr>
        <w:ind w:right="709"/>
        <w:jc w:val="both"/>
        <w:rPr>
          <w:rFonts w:ascii="Arial" w:hAnsi="Arial" w:cs="Arial"/>
          <w:b/>
          <w:color w:val="000000" w:themeColor="text1"/>
          <w:sz w:val="20"/>
          <w:szCs w:val="20"/>
          <w:lang w:val="es-ES_tradnl"/>
        </w:rPr>
      </w:pPr>
    </w:p>
    <w:p w14:paraId="67D4ED3E" w14:textId="6E9E4634" w:rsidR="00036110" w:rsidRDefault="00036110" w:rsidP="00036110">
      <w:pPr>
        <w:spacing w:after="200" w:line="276" w:lineRule="auto"/>
        <w:jc w:val="both"/>
        <w:rPr>
          <w:rFonts w:ascii="Arial" w:eastAsia="Calibri" w:hAnsi="Arial" w:cs="Arial"/>
          <w:sz w:val="20"/>
          <w:szCs w:val="20"/>
          <w:lang w:val="es-ES" w:eastAsia="es-ES" w:bidi="es-ES"/>
        </w:rPr>
      </w:pPr>
      <w:r>
        <w:rPr>
          <w:rFonts w:ascii="Arial" w:eastAsia="Calibri" w:hAnsi="Arial" w:cs="Arial"/>
          <w:sz w:val="20"/>
          <w:szCs w:val="20"/>
          <w:lang w:val="es-ES" w:eastAsia="es-ES" w:bidi="es-ES"/>
        </w:rPr>
        <w:t>S</w:t>
      </w:r>
      <w:r w:rsidRPr="00036110">
        <w:rPr>
          <w:rFonts w:ascii="Arial" w:eastAsia="Calibri" w:hAnsi="Arial" w:cs="Arial"/>
          <w:sz w:val="20"/>
          <w:szCs w:val="20"/>
          <w:lang w:val="es-ES" w:eastAsia="es-ES" w:bidi="es-ES"/>
        </w:rPr>
        <w:t xml:space="preserve">iempre que el objeto esté relacionado con alguna de las actividades mencionadas en la «Matriz 1 – Experiencia», los documentos tipo adoptados mediante la Resolución 256 del 11 de diciembre de 2020 son obligatorios para las entidades sometidas a la Ley 80 de 1993 que contraten la interventoría de obras públicas de infraestructura de transporte a través de concurso de méritos. Por lo tanto, para la interventoría de obras distintas a las de infraestructura de transporte no existe obligación de aplicar los documentos tipo mencionados, sin perjuicio de que puedan utilizarse como un parámetro de buena práctica contractual en el sistema de compras públicas. </w:t>
      </w:r>
    </w:p>
    <w:p w14:paraId="48F81B32" w14:textId="0D347B5B" w:rsidR="00036110" w:rsidRPr="00036110" w:rsidRDefault="00036110" w:rsidP="00036110">
      <w:pPr>
        <w:spacing w:after="200" w:line="276" w:lineRule="auto"/>
        <w:jc w:val="both"/>
        <w:rPr>
          <w:rFonts w:ascii="Arial" w:eastAsia="Calibri" w:hAnsi="Arial" w:cs="Arial"/>
          <w:b/>
          <w:sz w:val="22"/>
          <w:szCs w:val="22"/>
          <w:lang w:val="es-ES" w:eastAsia="es-ES" w:bidi="es-ES"/>
        </w:rPr>
      </w:pPr>
      <w:r>
        <w:rPr>
          <w:rFonts w:ascii="Arial" w:eastAsia="Calibri" w:hAnsi="Arial" w:cs="Arial"/>
          <w:b/>
          <w:sz w:val="22"/>
          <w:szCs w:val="22"/>
          <w:lang w:val="es-ES" w:eastAsia="es-ES" w:bidi="es-ES"/>
        </w:rPr>
        <w:t>CAUSALES DE RECHAZO – Taxatividad – Principio de inalterabilidad – Modificación de anexos</w:t>
      </w:r>
    </w:p>
    <w:p w14:paraId="560162C5" w14:textId="34C60B55" w:rsidR="00036110" w:rsidRPr="00036110" w:rsidRDefault="00036110" w:rsidP="00036110">
      <w:pPr>
        <w:spacing w:after="200"/>
        <w:jc w:val="both"/>
        <w:rPr>
          <w:rFonts w:ascii="Arial" w:eastAsia="Calibri" w:hAnsi="Arial" w:cs="Arial"/>
          <w:sz w:val="20"/>
          <w:szCs w:val="20"/>
          <w:lang w:val="es-ES" w:eastAsia="es-ES" w:bidi="es-ES"/>
        </w:rPr>
      </w:pPr>
      <w:r w:rsidRPr="00036110">
        <w:rPr>
          <w:rFonts w:ascii="Arial" w:eastAsia="Calibri" w:hAnsi="Arial" w:cs="Arial"/>
          <w:sz w:val="20"/>
          <w:szCs w:val="20"/>
          <w:lang w:val="es-ES" w:eastAsia="es-ES" w:bidi="es-ES"/>
        </w:rPr>
        <w:t>Respecto a las causales de rechazo que aplican para los procedimientos de licitación de obra pública de infraestructura de transporte son las establecidas en la ley y las definidas en el numeral 1.15 del «Documento Base». También se rigen por el principio de inalterabilidad en la medida que «Las entidades no podrán incluir causales de rechazo distintas a las señaladas en la presente sección». Estas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w:t>
      </w:r>
      <w:r>
        <w:rPr>
          <w:rFonts w:ascii="Arial" w:eastAsia="Calibri" w:hAnsi="Arial" w:cs="Arial"/>
          <w:sz w:val="20"/>
          <w:szCs w:val="20"/>
          <w:lang w:val="es-ES" w:eastAsia="es-ES" w:bidi="es-ES"/>
        </w:rPr>
        <w:t xml:space="preserve">culo 5 de la Ley 1150 de 2007. </w:t>
      </w:r>
      <w:r w:rsidRPr="00036110">
        <w:rPr>
          <w:rFonts w:ascii="Arial" w:eastAsia="Calibri" w:hAnsi="Arial" w:cs="Arial"/>
          <w:sz w:val="20"/>
          <w:szCs w:val="20"/>
          <w:lang w:val="es-ES" w:eastAsia="es-ES" w:bidi="es-ES"/>
        </w:rPr>
        <w:t>De esta manera, para los «Documentos Tipo – Versión 3» de licitación para obra pública de infraestructura de transporte, el pliego de condiciones no consagra la modificación de los anexos como causal de rechazo, pues ninguno está relacionado con las condiciones del proponente ni con requisitos de la propuesta en los términos anteriormente explicados. En efecto, los documentos tipo adoptados mediante la Resolución No. 240 de 2020 tienen cinco anexos: i) «Anexo1 – Anexo técnico», ii) «Anexo 2 – Cronograma», iii) «Anexo 3 – Glosario», iv) «Anexo 4 – Pacto de transparencia» y v) «Anexo 5 – Minuta del contrato». La entidad contratante debe diligenciarlos respetando el principio de inalterabilidad, por lo que su modificación indebida –mas que el rechazo de los ofrecimientos– genera consecuencias jurídicas para el funcionario encargado de adelantar el proceso.</w:t>
      </w:r>
    </w:p>
    <w:p w14:paraId="3B842453" w14:textId="7A56AF8F" w:rsidR="00B90BD4" w:rsidRDefault="00036110" w:rsidP="00036110">
      <w:pPr>
        <w:spacing w:after="200" w:line="276" w:lineRule="auto"/>
        <w:jc w:val="both"/>
        <w:rPr>
          <w:rFonts w:ascii="Arial" w:eastAsia="Calibri" w:hAnsi="Arial" w:cs="Arial"/>
          <w:bCs/>
          <w:sz w:val="20"/>
          <w:szCs w:val="20"/>
          <w:lang w:val="es-ES" w:eastAsia="en-US"/>
        </w:rPr>
      </w:pPr>
      <w:r>
        <w:rPr>
          <w:rFonts w:ascii="Arial" w:eastAsia="Calibri" w:hAnsi="Arial" w:cs="Arial"/>
          <w:sz w:val="20"/>
          <w:szCs w:val="20"/>
          <w:lang w:val="es-ES" w:eastAsia="es-ES" w:bidi="es-ES"/>
        </w:rPr>
        <w:tab/>
      </w:r>
      <w:r w:rsidR="00B90BD4">
        <w:rPr>
          <w:rFonts w:ascii="Arial" w:eastAsia="Calibri" w:hAnsi="Arial" w:cs="Arial"/>
          <w:bCs/>
          <w:sz w:val="20"/>
          <w:szCs w:val="20"/>
          <w:lang w:val="es-ES" w:eastAsia="en-US"/>
        </w:rPr>
        <w:br w:type="page"/>
      </w:r>
    </w:p>
    <w:p w14:paraId="6841CF3D" w14:textId="0B3AAB5D" w:rsidR="00D8597D" w:rsidRDefault="00BB3381" w:rsidP="00BB3381">
      <w:pPr>
        <w:spacing w:line="276" w:lineRule="auto"/>
        <w:jc w:val="right"/>
        <w:rPr>
          <w:rFonts w:ascii="Arial" w:hAnsi="Arial" w:cs="Arial"/>
          <w:noProof/>
          <w:color w:val="000000" w:themeColor="text1"/>
          <w:sz w:val="22"/>
          <w:lang w:val="es-ES_tradnl"/>
        </w:rPr>
      </w:pPr>
      <w:r>
        <w:rPr>
          <w:noProof/>
          <w:lang w:eastAsia="es-CO"/>
        </w:rPr>
        <w:lastRenderedPageBreak/>
        <w:drawing>
          <wp:inline distT="0" distB="0" distL="0" distR="0" wp14:anchorId="64CCC57B" wp14:editId="1EC0F074">
            <wp:extent cx="2476500" cy="5810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6500" cy="581025"/>
                    </a:xfrm>
                    <a:prstGeom prst="rect">
                      <a:avLst/>
                    </a:prstGeom>
                  </pic:spPr>
                </pic:pic>
              </a:graphicData>
            </a:graphic>
          </wp:inline>
        </w:drawing>
      </w:r>
    </w:p>
    <w:p w14:paraId="2C2BB4C0" w14:textId="77777777" w:rsidR="00A1224A" w:rsidRDefault="00A1224A" w:rsidP="00B95C30">
      <w:pPr>
        <w:spacing w:line="276" w:lineRule="auto"/>
        <w:jc w:val="both"/>
        <w:rPr>
          <w:rFonts w:ascii="Arial" w:hAnsi="Arial" w:cs="Arial"/>
          <w:noProof/>
          <w:color w:val="000000" w:themeColor="text1"/>
          <w:sz w:val="22"/>
          <w:lang w:val="es-ES_tradnl"/>
        </w:rPr>
      </w:pPr>
    </w:p>
    <w:p w14:paraId="7DD48F49" w14:textId="045D2579" w:rsidR="00B95C30" w:rsidRPr="004A0905" w:rsidRDefault="00B95C30" w:rsidP="00B95C30">
      <w:pPr>
        <w:spacing w:line="276" w:lineRule="auto"/>
        <w:jc w:val="both"/>
        <w:rPr>
          <w:rFonts w:ascii="Arial" w:eastAsia="Calibri" w:hAnsi="Arial" w:cs="Arial"/>
          <w:noProof/>
          <w:color w:val="000000" w:themeColor="text1"/>
          <w:sz w:val="20"/>
          <w:lang w:val="es-ES_tradnl"/>
        </w:rPr>
      </w:pPr>
      <w:r w:rsidRPr="004A0905">
        <w:rPr>
          <w:rFonts w:ascii="Arial" w:hAnsi="Arial" w:cs="Arial"/>
          <w:noProof/>
          <w:color w:val="000000" w:themeColor="text1"/>
          <w:sz w:val="22"/>
          <w:lang w:val="es-ES_tradnl"/>
        </w:rPr>
        <w:t xml:space="preserve">Bogotá D.C., </w:t>
      </w:r>
      <w:r w:rsidR="002C0A5C">
        <w:rPr>
          <w:rFonts w:ascii="Arial" w:hAnsi="Arial" w:cs="Arial"/>
          <w:noProof/>
          <w:color w:val="000000" w:themeColor="text1"/>
          <w:sz w:val="22"/>
          <w:lang w:val="es-ES_tradnl"/>
        </w:rPr>
        <w:t>12 mayo 2021</w:t>
      </w:r>
      <w:bookmarkStart w:id="2" w:name="_GoBack"/>
      <w:bookmarkEnd w:id="2"/>
    </w:p>
    <w:p w14:paraId="6A8A869B" w14:textId="30C28F20" w:rsidR="00B95C30" w:rsidRPr="004A0905" w:rsidRDefault="00B95C30" w:rsidP="00B95C30">
      <w:pPr>
        <w:jc w:val="both"/>
        <w:rPr>
          <w:rFonts w:ascii="Arial" w:hAnsi="Arial" w:cs="Arial"/>
          <w:bCs/>
          <w:color w:val="000000" w:themeColor="text1"/>
          <w:sz w:val="22"/>
          <w:lang w:val="es-ES_tradnl"/>
        </w:rPr>
      </w:pPr>
    </w:p>
    <w:p w14:paraId="32F9970B" w14:textId="77777777" w:rsidR="00A25F2F" w:rsidRPr="004A0905" w:rsidRDefault="00A25F2F" w:rsidP="00B95C30">
      <w:pPr>
        <w:jc w:val="both"/>
        <w:rPr>
          <w:rFonts w:ascii="Arial" w:hAnsi="Arial" w:cs="Arial"/>
          <w:bCs/>
          <w:color w:val="000000" w:themeColor="text1"/>
          <w:sz w:val="22"/>
          <w:lang w:val="es-ES_tradnl"/>
        </w:rPr>
      </w:pPr>
    </w:p>
    <w:p w14:paraId="5F5AE9EF" w14:textId="30537266" w:rsidR="00B95C30" w:rsidRPr="004A0905" w:rsidRDefault="00BE4FBF" w:rsidP="00B95C30">
      <w:pPr>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Señor</w:t>
      </w:r>
    </w:p>
    <w:p w14:paraId="3DCD58CE" w14:textId="41E2727B" w:rsidR="00B95C30" w:rsidRDefault="001131C3"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Felipe Andrés </w:t>
      </w:r>
      <w:bookmarkStart w:id="3" w:name="_Hlk71554290"/>
      <w:r>
        <w:rPr>
          <w:rFonts w:ascii="Arial" w:eastAsia="Calibri" w:hAnsi="Arial" w:cs="Arial"/>
          <w:b/>
          <w:color w:val="000000" w:themeColor="text1"/>
          <w:sz w:val="22"/>
          <w:lang w:val="es-ES_tradnl"/>
        </w:rPr>
        <w:t>Heras Montes</w:t>
      </w:r>
      <w:bookmarkEnd w:id="3"/>
    </w:p>
    <w:p w14:paraId="09D4AEA8" w14:textId="04531736" w:rsidR="00B95C30" w:rsidRPr="0078356A" w:rsidRDefault="007613F2" w:rsidP="0078356A">
      <w:pPr>
        <w:spacing w:line="276" w:lineRule="auto"/>
        <w:jc w:val="both"/>
        <w:rPr>
          <w:rFonts w:ascii="Arial" w:eastAsia="Calibri" w:hAnsi="Arial" w:cs="Arial"/>
          <w:noProof/>
          <w:color w:val="000000" w:themeColor="text1"/>
          <w:sz w:val="20"/>
          <w:lang w:val="es-ES_tradnl"/>
        </w:rPr>
      </w:pPr>
      <w:r w:rsidRPr="004A0905">
        <w:rPr>
          <w:rFonts w:ascii="Arial" w:hAnsi="Arial" w:cs="Arial"/>
          <w:noProof/>
          <w:color w:val="000000" w:themeColor="text1"/>
          <w:sz w:val="22"/>
          <w:lang w:val="es-ES_tradnl"/>
        </w:rPr>
        <w:t>Bogotá D.C.</w:t>
      </w:r>
      <w:r w:rsidR="001131C3">
        <w:rPr>
          <w:rFonts w:ascii="Arial" w:eastAsia="Calibri" w:hAnsi="Arial" w:cs="Arial"/>
          <w:bCs/>
          <w:color w:val="000000" w:themeColor="text1"/>
          <w:sz w:val="22"/>
          <w:lang w:val="es-ES_tradnl"/>
        </w:rPr>
        <w:t xml:space="preserve"> </w:t>
      </w:r>
    </w:p>
    <w:p w14:paraId="490C0C2D" w14:textId="6E3BE8CC" w:rsidR="00A25F2F" w:rsidRPr="004A0905" w:rsidRDefault="00A25F2F" w:rsidP="00B95C30">
      <w:pPr>
        <w:jc w:val="both"/>
        <w:rPr>
          <w:rFonts w:ascii="Arial" w:eastAsia="Calibri" w:hAnsi="Arial" w:cs="Arial"/>
          <w:color w:val="000000" w:themeColor="text1"/>
          <w:sz w:val="22"/>
          <w:lang w:val="es-ES_tradnl"/>
        </w:rPr>
      </w:pPr>
    </w:p>
    <w:p w14:paraId="0B5EBAC5" w14:textId="77777777" w:rsidR="00A25F2F" w:rsidRPr="004A0905" w:rsidRDefault="00A25F2F" w:rsidP="00B95C30">
      <w:pPr>
        <w:jc w:val="both"/>
        <w:rPr>
          <w:rFonts w:ascii="Arial" w:eastAsia="Calibri" w:hAnsi="Arial" w:cs="Arial"/>
          <w:color w:val="000000" w:themeColor="text1"/>
          <w:sz w:val="22"/>
          <w:lang w:val="es-ES_tradnl"/>
        </w:rPr>
      </w:pPr>
    </w:p>
    <w:p w14:paraId="12E66182" w14:textId="0C115996" w:rsidR="00B95C30" w:rsidRPr="004A0905" w:rsidRDefault="00A25F2F" w:rsidP="004004C2">
      <w:pPr>
        <w:rPr>
          <w:rFonts w:ascii="Arial" w:eastAsia="Calibri" w:hAnsi="Arial" w:cs="Arial"/>
          <w:b/>
          <w:bCs/>
          <w:color w:val="000000" w:themeColor="text1"/>
          <w:sz w:val="22"/>
          <w:lang w:val="es-ES_tradnl"/>
        </w:rPr>
      </w:pPr>
      <w:r w:rsidRPr="004A0905">
        <w:rPr>
          <w:rFonts w:ascii="Arial" w:eastAsia="Calibri" w:hAnsi="Arial" w:cs="Arial"/>
          <w:b/>
          <w:bCs/>
          <w:color w:val="000000" w:themeColor="text1"/>
          <w:sz w:val="22"/>
          <w:lang w:val="es-ES_tradnl"/>
        </w:rPr>
        <w:t xml:space="preserve">                                            </w:t>
      </w:r>
      <w:r w:rsidR="00B95C30" w:rsidRPr="004A0905">
        <w:rPr>
          <w:rFonts w:ascii="Arial" w:eastAsia="Calibri" w:hAnsi="Arial" w:cs="Arial"/>
          <w:b/>
          <w:bCs/>
          <w:color w:val="000000" w:themeColor="text1"/>
          <w:sz w:val="22"/>
          <w:lang w:val="es-ES_tradnl"/>
        </w:rPr>
        <w:t xml:space="preserve">Concepto C ‒ </w:t>
      </w:r>
      <w:r w:rsidR="001131C3">
        <w:rPr>
          <w:rFonts w:ascii="Arial" w:eastAsia="Calibri" w:hAnsi="Arial" w:cs="Arial"/>
          <w:b/>
          <w:bCs/>
          <w:color w:val="000000" w:themeColor="text1"/>
          <w:sz w:val="22"/>
          <w:lang w:val="es-ES_tradnl"/>
        </w:rPr>
        <w:t>215</w:t>
      </w:r>
      <w:r w:rsidR="0031184C">
        <w:rPr>
          <w:rFonts w:ascii="Arial" w:eastAsia="Calibri" w:hAnsi="Arial" w:cs="Arial"/>
          <w:b/>
          <w:bCs/>
          <w:color w:val="000000" w:themeColor="text1"/>
          <w:sz w:val="22"/>
          <w:lang w:val="es-ES_tradnl"/>
        </w:rPr>
        <w:t xml:space="preserve"> de 2021</w:t>
      </w:r>
    </w:p>
    <w:p w14:paraId="1BD594F9" w14:textId="77777777" w:rsidR="00B95C30" w:rsidRPr="004A0905"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A0905" w14:paraId="19DFC051" w14:textId="77777777" w:rsidTr="008F4163">
        <w:tc>
          <w:tcPr>
            <w:tcW w:w="2689" w:type="dxa"/>
          </w:tcPr>
          <w:p w14:paraId="6BC0D1AC" w14:textId="77777777" w:rsidR="00B95C30" w:rsidRPr="004A0905" w:rsidRDefault="00B95C30" w:rsidP="008F4163">
            <w:pPr>
              <w:jc w:val="both"/>
              <w:rPr>
                <w:rFonts w:ascii="Arial" w:eastAsia="Calibri" w:hAnsi="Arial" w:cs="Arial"/>
                <w:color w:val="000000" w:themeColor="text1"/>
                <w:sz w:val="22"/>
                <w:lang w:val="es-ES_tradnl"/>
              </w:rPr>
            </w:pPr>
            <w:r w:rsidRPr="004A0905">
              <w:rPr>
                <w:rFonts w:ascii="Arial" w:eastAsia="Calibri" w:hAnsi="Arial" w:cs="Arial"/>
                <w:b/>
                <w:color w:val="000000" w:themeColor="text1"/>
                <w:sz w:val="22"/>
                <w:lang w:val="es-ES_tradnl"/>
              </w:rPr>
              <w:t>Temas:</w:t>
            </w:r>
            <w:r w:rsidRPr="004A0905">
              <w:rPr>
                <w:rFonts w:ascii="Arial" w:eastAsia="Calibri" w:hAnsi="Arial" w:cs="Arial"/>
                <w:color w:val="000000" w:themeColor="text1"/>
                <w:sz w:val="22"/>
                <w:lang w:val="es-ES_tradnl"/>
              </w:rPr>
              <w:t xml:space="preserve">                                      </w:t>
            </w:r>
          </w:p>
        </w:tc>
        <w:tc>
          <w:tcPr>
            <w:tcW w:w="6237" w:type="dxa"/>
          </w:tcPr>
          <w:p w14:paraId="1D0A368C" w14:textId="1F7CD316" w:rsidR="00036110" w:rsidRPr="0015571E" w:rsidRDefault="00036110" w:rsidP="0015571E">
            <w:pPr>
              <w:spacing w:after="200" w:line="276" w:lineRule="auto"/>
              <w:jc w:val="both"/>
              <w:rPr>
                <w:rFonts w:ascii="Arial" w:eastAsia="Calibri" w:hAnsi="Arial" w:cs="Arial"/>
                <w:sz w:val="22"/>
                <w:szCs w:val="22"/>
                <w:lang w:val="es-ES" w:eastAsia="es-ES" w:bidi="es-ES"/>
              </w:rPr>
            </w:pPr>
            <w:r>
              <w:rPr>
                <w:rFonts w:ascii="Arial" w:hAnsi="Arial" w:cs="Arial"/>
                <w:b/>
                <w:color w:val="000000" w:themeColor="text1"/>
                <w:sz w:val="22"/>
                <w:szCs w:val="22"/>
                <w:lang w:val="es-ES_tradnl"/>
              </w:rPr>
              <w:t xml:space="preserve"> </w:t>
            </w:r>
            <w:r w:rsidR="0015571E" w:rsidRPr="0015571E">
              <w:rPr>
                <w:rFonts w:ascii="Arial" w:hAnsi="Arial" w:cs="Arial"/>
                <w:sz w:val="22"/>
                <w:szCs w:val="22"/>
              </w:rPr>
              <w:t>AN</w:t>
            </w:r>
            <w:r w:rsidR="0015571E">
              <w:rPr>
                <w:rFonts w:ascii="Arial" w:hAnsi="Arial" w:cs="Arial"/>
                <w:sz w:val="22"/>
                <w:szCs w:val="22"/>
              </w:rPr>
              <w:t>Á</w:t>
            </w:r>
            <w:r w:rsidR="0015571E" w:rsidRPr="0015571E">
              <w:rPr>
                <w:rFonts w:ascii="Arial" w:hAnsi="Arial" w:cs="Arial"/>
                <w:sz w:val="22"/>
                <w:szCs w:val="22"/>
              </w:rPr>
              <w:t xml:space="preserve">LISIS DEL SECTOR – Documentos tipo – Finalidad / </w:t>
            </w:r>
            <w:r w:rsidRPr="0015571E">
              <w:rPr>
                <w:rFonts w:ascii="Arial" w:hAnsi="Arial" w:cs="Arial"/>
                <w:color w:val="000000" w:themeColor="text1"/>
                <w:sz w:val="22"/>
                <w:szCs w:val="22"/>
                <w:lang w:val="es-ES_tradnl"/>
              </w:rPr>
              <w:t>INALTERABILIDAD DOCUMENTOS TIPO – Regla – Desconocimiento –  Consecuencia jurídica / DOCUMENTOS TIPO – Interventoría – Obligatoriedad – Resolución 256 de 2020/</w:t>
            </w:r>
            <w:r w:rsidRPr="0015571E">
              <w:rPr>
                <w:rFonts w:ascii="Arial" w:eastAsia="Calibri" w:hAnsi="Arial" w:cs="Arial"/>
                <w:sz w:val="22"/>
                <w:szCs w:val="22"/>
                <w:lang w:val="es-ES" w:eastAsia="es-ES" w:bidi="es-ES"/>
              </w:rPr>
              <w:t xml:space="preserve"> CAUSALES DE RECHAZO – Taxatividad – Principio de inalterabilidad – Modificación de anexos /</w:t>
            </w:r>
          </w:p>
          <w:p w14:paraId="5F389CAF" w14:textId="2D0DBE7A" w:rsidR="00B95C30" w:rsidRPr="004A0905" w:rsidRDefault="00B95C30" w:rsidP="0078356A">
            <w:pPr>
              <w:ind w:right="709"/>
              <w:jc w:val="both"/>
              <w:rPr>
                <w:rFonts w:ascii="Arial" w:eastAsia="Calibri" w:hAnsi="Arial" w:cs="Arial"/>
                <w:color w:val="000000" w:themeColor="text1"/>
                <w:sz w:val="22"/>
                <w:lang w:val="es-ES_tradnl"/>
              </w:rPr>
            </w:pPr>
          </w:p>
        </w:tc>
      </w:tr>
      <w:tr w:rsidR="00B95C30" w:rsidRPr="004A0905" w14:paraId="27CD52AB" w14:textId="77777777" w:rsidTr="008F4163">
        <w:tc>
          <w:tcPr>
            <w:tcW w:w="2689" w:type="dxa"/>
          </w:tcPr>
          <w:p w14:paraId="37E195A1" w14:textId="1BA218D5" w:rsidR="00B95C30" w:rsidRPr="004A0905" w:rsidRDefault="00B95C30" w:rsidP="008F4163">
            <w:pPr>
              <w:spacing w:before="120"/>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Radicación:</w:t>
            </w:r>
            <w:r w:rsidRPr="004A0905">
              <w:rPr>
                <w:rFonts w:ascii="Arial" w:eastAsia="Calibri" w:hAnsi="Arial" w:cs="Arial"/>
                <w:color w:val="000000" w:themeColor="text1"/>
                <w:sz w:val="22"/>
                <w:lang w:val="es-ES_tradnl"/>
              </w:rPr>
              <w:t xml:space="preserve">                              </w:t>
            </w:r>
          </w:p>
        </w:tc>
        <w:tc>
          <w:tcPr>
            <w:tcW w:w="6237" w:type="dxa"/>
          </w:tcPr>
          <w:p w14:paraId="09088B1B" w14:textId="6688B3CE" w:rsidR="00B95C30" w:rsidRPr="004A0905" w:rsidRDefault="00B95C30" w:rsidP="001131C3">
            <w:pPr>
              <w:spacing w:before="120"/>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 xml:space="preserve">Respuesta a consulta # </w:t>
            </w:r>
            <w:r w:rsidR="001131C3">
              <w:rPr>
                <w:rFonts w:ascii="Arial" w:eastAsia="Calibri" w:hAnsi="Arial" w:cs="Arial"/>
                <w:color w:val="000000" w:themeColor="text1"/>
                <w:sz w:val="22"/>
                <w:lang w:val="es-ES_tradnl"/>
              </w:rPr>
              <w:t>P20210330002577</w:t>
            </w:r>
            <w:r w:rsidRPr="004A0905">
              <w:rPr>
                <w:rFonts w:ascii="Arial" w:eastAsia="Calibri" w:hAnsi="Arial" w:cs="Arial"/>
                <w:color w:val="000000" w:themeColor="text1"/>
                <w:sz w:val="22"/>
                <w:lang w:val="es-ES_tradnl"/>
              </w:rPr>
              <w:t xml:space="preserve"> </w:t>
            </w:r>
          </w:p>
        </w:tc>
      </w:tr>
    </w:tbl>
    <w:p w14:paraId="6DC1C99D" w14:textId="77777777" w:rsidR="00B90BD4" w:rsidRDefault="00B90BD4" w:rsidP="003C3339">
      <w:pPr>
        <w:jc w:val="both"/>
        <w:rPr>
          <w:rFonts w:ascii="Arial" w:eastAsia="Calibri" w:hAnsi="Arial" w:cs="Arial"/>
          <w:color w:val="000000" w:themeColor="text1"/>
          <w:sz w:val="22"/>
          <w:lang w:val="es-ES_tradnl"/>
        </w:rPr>
      </w:pPr>
    </w:p>
    <w:p w14:paraId="1475E570" w14:textId="77777777" w:rsidR="00B90BD4" w:rsidRDefault="00B90BD4" w:rsidP="003C3339">
      <w:pPr>
        <w:jc w:val="both"/>
        <w:rPr>
          <w:rFonts w:ascii="Arial" w:eastAsia="Calibri" w:hAnsi="Arial" w:cs="Arial"/>
          <w:color w:val="000000" w:themeColor="text1"/>
          <w:sz w:val="22"/>
          <w:lang w:val="es-ES_tradnl"/>
        </w:rPr>
      </w:pPr>
    </w:p>
    <w:p w14:paraId="1CF4AEA0" w14:textId="14036604" w:rsidR="003C3339" w:rsidRPr="004A0905" w:rsidRDefault="003C3339" w:rsidP="003C3339">
      <w:pPr>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Estimad</w:t>
      </w:r>
      <w:r w:rsidR="007613F2">
        <w:rPr>
          <w:rFonts w:ascii="Arial" w:eastAsia="Calibri" w:hAnsi="Arial" w:cs="Arial"/>
          <w:color w:val="000000" w:themeColor="text1"/>
          <w:sz w:val="22"/>
          <w:lang w:val="es-ES_tradnl"/>
        </w:rPr>
        <w:t>o</w:t>
      </w:r>
      <w:r w:rsidRPr="004A0905">
        <w:rPr>
          <w:rFonts w:ascii="Arial" w:eastAsia="Calibri" w:hAnsi="Arial" w:cs="Arial"/>
          <w:color w:val="000000" w:themeColor="text1"/>
          <w:sz w:val="22"/>
          <w:lang w:val="es-ES_tradnl"/>
        </w:rPr>
        <w:t xml:space="preserve"> </w:t>
      </w:r>
      <w:r w:rsidR="0063732C" w:rsidRPr="004A0905">
        <w:rPr>
          <w:rFonts w:ascii="Arial" w:eastAsia="Calibri" w:hAnsi="Arial" w:cs="Arial"/>
          <w:color w:val="000000" w:themeColor="text1"/>
          <w:sz w:val="22"/>
          <w:lang w:val="es-ES_tradnl"/>
        </w:rPr>
        <w:t>señor</w:t>
      </w:r>
      <w:r w:rsidR="00BE4FBF" w:rsidRPr="004A0905">
        <w:rPr>
          <w:rFonts w:ascii="Arial" w:eastAsia="Calibri" w:hAnsi="Arial" w:cs="Arial"/>
          <w:color w:val="000000" w:themeColor="text1"/>
          <w:sz w:val="22"/>
          <w:lang w:val="es-ES_tradnl"/>
        </w:rPr>
        <w:t xml:space="preserve"> </w:t>
      </w:r>
      <w:r w:rsidR="007613F2" w:rsidRPr="007613F2">
        <w:rPr>
          <w:rFonts w:ascii="Arial" w:eastAsia="Calibri" w:hAnsi="Arial" w:cs="Arial"/>
          <w:color w:val="000000" w:themeColor="text1"/>
          <w:sz w:val="22"/>
          <w:lang w:val="es-ES_tradnl"/>
        </w:rPr>
        <w:t>Heras Montes</w:t>
      </w:r>
      <w:r w:rsidRPr="004A0905">
        <w:rPr>
          <w:rFonts w:ascii="Arial" w:eastAsia="Calibri" w:hAnsi="Arial" w:cs="Arial"/>
          <w:color w:val="000000" w:themeColor="text1"/>
          <w:sz w:val="22"/>
          <w:lang w:val="es-ES_tradnl"/>
        </w:rPr>
        <w:t>:</w:t>
      </w:r>
    </w:p>
    <w:p w14:paraId="1EAE5543" w14:textId="77777777" w:rsidR="00DD5B04" w:rsidRPr="004A0905" w:rsidRDefault="00DD5B04" w:rsidP="00DF76A2">
      <w:pPr>
        <w:jc w:val="both"/>
        <w:rPr>
          <w:rFonts w:ascii="Arial" w:eastAsia="Calibri" w:hAnsi="Arial" w:cs="Arial"/>
          <w:color w:val="000000" w:themeColor="text1"/>
          <w:sz w:val="22"/>
          <w:lang w:val="es-ES_tradnl"/>
        </w:rPr>
      </w:pPr>
    </w:p>
    <w:p w14:paraId="2109B2D3" w14:textId="5EEC919A" w:rsidR="00DD5B04" w:rsidRPr="004A0905" w:rsidRDefault="00DD5B04" w:rsidP="00DF76A2">
      <w:pPr>
        <w:spacing w:line="276" w:lineRule="auto"/>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A0905">
        <w:rPr>
          <w:rFonts w:ascii="Arial" w:eastAsia="Calibri" w:hAnsi="Arial" w:cs="Arial"/>
          <w:color w:val="000000" w:themeColor="text1"/>
          <w:sz w:val="22"/>
          <w:lang w:val="es-ES_tradnl"/>
        </w:rPr>
        <w:t xml:space="preserve"> </w:t>
      </w:r>
      <w:r w:rsidRPr="004A0905">
        <w:rPr>
          <w:rFonts w:ascii="Arial" w:eastAsia="Calibri" w:hAnsi="Arial" w:cs="Arial"/>
          <w:color w:val="000000" w:themeColor="text1"/>
          <w:sz w:val="22"/>
          <w:lang w:val="es-ES_tradnl"/>
        </w:rPr>
        <w:t xml:space="preserve">responde su consulta del </w:t>
      </w:r>
      <w:r w:rsidR="00FF547B">
        <w:rPr>
          <w:rFonts w:ascii="Arial" w:eastAsia="Calibri" w:hAnsi="Arial" w:cs="Arial"/>
          <w:color w:val="000000" w:themeColor="text1"/>
          <w:sz w:val="22"/>
          <w:lang w:val="es-ES_tradnl"/>
        </w:rPr>
        <w:t>30 de marzo</w:t>
      </w:r>
      <w:r w:rsidRPr="004A0905">
        <w:rPr>
          <w:rFonts w:ascii="Arial" w:eastAsia="Calibri" w:hAnsi="Arial" w:cs="Arial"/>
          <w:color w:val="000000" w:themeColor="text1"/>
          <w:sz w:val="22"/>
          <w:lang w:val="es-ES_tradnl"/>
        </w:rPr>
        <w:t xml:space="preserve"> del</w:t>
      </w:r>
      <w:r w:rsidR="007E74BF" w:rsidRPr="004A0905">
        <w:rPr>
          <w:rFonts w:ascii="Arial" w:eastAsia="Calibri" w:hAnsi="Arial" w:cs="Arial"/>
          <w:color w:val="000000" w:themeColor="text1"/>
          <w:sz w:val="22"/>
          <w:lang w:val="es-ES_tradnl"/>
        </w:rPr>
        <w:t xml:space="preserve"> </w:t>
      </w:r>
      <w:r w:rsidRPr="004A0905">
        <w:rPr>
          <w:rFonts w:ascii="Arial" w:eastAsia="Calibri" w:hAnsi="Arial" w:cs="Arial"/>
          <w:color w:val="000000" w:themeColor="text1"/>
          <w:sz w:val="22"/>
          <w:lang w:val="es-ES_tradnl"/>
        </w:rPr>
        <w:t>202</w:t>
      </w:r>
      <w:r w:rsidR="00FB0880" w:rsidRPr="004A0905">
        <w:rPr>
          <w:rFonts w:ascii="Arial" w:eastAsia="Calibri" w:hAnsi="Arial" w:cs="Arial"/>
          <w:color w:val="000000" w:themeColor="text1"/>
          <w:sz w:val="22"/>
          <w:lang w:val="es-ES_tradnl"/>
        </w:rPr>
        <w:t>1</w:t>
      </w:r>
      <w:r w:rsidR="008C3C57" w:rsidRPr="004A0905">
        <w:rPr>
          <w:rFonts w:ascii="Arial" w:eastAsia="Calibri" w:hAnsi="Arial" w:cs="Arial"/>
          <w:color w:val="000000" w:themeColor="text1"/>
          <w:sz w:val="22"/>
          <w:lang w:val="es-ES_tradnl"/>
        </w:rPr>
        <w:t>.</w:t>
      </w:r>
    </w:p>
    <w:p w14:paraId="0C1E0712" w14:textId="77777777" w:rsidR="00DD5B04" w:rsidRPr="004A0905"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A090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 xml:space="preserve">Problema planteado </w:t>
      </w:r>
    </w:p>
    <w:p w14:paraId="224B43D3" w14:textId="77777777" w:rsidR="00DD5B04" w:rsidRPr="004A0905"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2BABD66" w14:textId="295B8FCC" w:rsidR="0015571E" w:rsidRPr="004A0905" w:rsidRDefault="00293AEE" w:rsidP="0078356A">
      <w:pPr>
        <w:spacing w:line="276" w:lineRule="auto"/>
        <w:jc w:val="both"/>
        <w:rPr>
          <w:rFonts w:ascii="Arial" w:hAnsi="Arial" w:cs="Arial"/>
          <w:color w:val="000000" w:themeColor="text1"/>
          <w:sz w:val="21"/>
          <w:szCs w:val="21"/>
          <w:lang w:val="es-ES_tradnl"/>
        </w:rPr>
      </w:pPr>
      <w:r>
        <w:rPr>
          <w:rFonts w:ascii="Arial" w:hAnsi="Arial" w:cs="Arial"/>
          <w:color w:val="000000" w:themeColor="text1"/>
          <w:sz w:val="22"/>
          <w:lang w:val="es-ES_tradnl"/>
        </w:rPr>
        <w:t xml:space="preserve">Respecto a los </w:t>
      </w:r>
      <w:r w:rsidR="00DA7311">
        <w:rPr>
          <w:rFonts w:ascii="Arial" w:hAnsi="Arial" w:cs="Arial"/>
          <w:color w:val="000000" w:themeColor="text1"/>
          <w:sz w:val="22"/>
          <w:lang w:val="es-ES_tradnl"/>
        </w:rPr>
        <w:t>d</w:t>
      </w:r>
      <w:r>
        <w:rPr>
          <w:rFonts w:ascii="Arial" w:hAnsi="Arial" w:cs="Arial"/>
          <w:color w:val="000000" w:themeColor="text1"/>
          <w:sz w:val="22"/>
          <w:lang w:val="es-ES_tradnl"/>
        </w:rPr>
        <w:t xml:space="preserve">ocumentos </w:t>
      </w:r>
      <w:r w:rsidR="00DA7311">
        <w:rPr>
          <w:rFonts w:ascii="Arial" w:hAnsi="Arial" w:cs="Arial"/>
          <w:color w:val="000000" w:themeColor="text1"/>
          <w:sz w:val="22"/>
          <w:lang w:val="es-ES_tradnl"/>
        </w:rPr>
        <w:t>t</w:t>
      </w:r>
      <w:r>
        <w:rPr>
          <w:rFonts w:ascii="Arial" w:hAnsi="Arial" w:cs="Arial"/>
          <w:color w:val="000000" w:themeColor="text1"/>
          <w:sz w:val="22"/>
          <w:lang w:val="es-ES_tradnl"/>
        </w:rPr>
        <w:t>ipo de obra pública de infraestructura de transporte, usted realiza las siguientes preguntas</w:t>
      </w:r>
      <w:r w:rsidR="001131C3">
        <w:rPr>
          <w:rFonts w:ascii="Arial" w:hAnsi="Arial" w:cs="Arial"/>
          <w:color w:val="000000" w:themeColor="text1"/>
          <w:sz w:val="22"/>
          <w:lang w:val="es-ES_tradnl"/>
        </w:rPr>
        <w:t>:</w:t>
      </w:r>
      <w:r>
        <w:rPr>
          <w:rFonts w:ascii="Arial" w:hAnsi="Arial" w:cs="Arial"/>
          <w:color w:val="000000" w:themeColor="text1"/>
          <w:sz w:val="21"/>
          <w:szCs w:val="21"/>
          <w:lang w:val="es-ES_tradnl"/>
        </w:rPr>
        <w:t xml:space="preserve"> </w:t>
      </w:r>
      <w:bookmarkStart w:id="4" w:name="_Hlk71624198"/>
      <w:r>
        <w:rPr>
          <w:rFonts w:ascii="Arial" w:hAnsi="Arial" w:cs="Arial"/>
          <w:color w:val="000000" w:themeColor="text1"/>
          <w:sz w:val="21"/>
          <w:szCs w:val="21"/>
          <w:lang w:val="es-ES_tradnl"/>
        </w:rPr>
        <w:t>i) «</w:t>
      </w:r>
      <w:r w:rsidR="001131C3">
        <w:rPr>
          <w:rFonts w:ascii="Arial" w:hAnsi="Arial" w:cs="Arial"/>
          <w:color w:val="000000" w:themeColor="text1"/>
          <w:sz w:val="21"/>
          <w:szCs w:val="21"/>
          <w:lang w:val="es-ES_tradnl"/>
        </w:rPr>
        <w:t>¿</w:t>
      </w:r>
      <w:r w:rsidR="00DA7311">
        <w:rPr>
          <w:rFonts w:ascii="Arial" w:hAnsi="Arial" w:cs="Arial"/>
          <w:color w:val="000000" w:themeColor="text1"/>
          <w:sz w:val="21"/>
          <w:szCs w:val="21"/>
          <w:lang w:val="es-ES_tradnl"/>
        </w:rPr>
        <w:t>Cuándo</w:t>
      </w:r>
      <w:r w:rsidR="001131C3">
        <w:rPr>
          <w:rFonts w:ascii="Arial" w:hAnsi="Arial" w:cs="Arial"/>
          <w:color w:val="000000" w:themeColor="text1"/>
          <w:sz w:val="21"/>
          <w:szCs w:val="21"/>
          <w:lang w:val="es-ES_tradnl"/>
        </w:rPr>
        <w:t xml:space="preserve"> una entidad territorial hace uso de los Pliegos Tipos en proyectos de infraestructura debe publicar el análisis del sector?</w:t>
      </w:r>
      <w:r w:rsidR="00DB144C">
        <w:rPr>
          <w:rFonts w:ascii="Arial" w:hAnsi="Arial" w:cs="Arial"/>
          <w:color w:val="000000" w:themeColor="text1"/>
          <w:sz w:val="21"/>
          <w:szCs w:val="21"/>
          <w:lang w:val="es-ES_tradnl"/>
        </w:rPr>
        <w:t>», ii) «</w:t>
      </w:r>
      <w:r w:rsidR="001131C3">
        <w:rPr>
          <w:rFonts w:ascii="Arial" w:hAnsi="Arial" w:cs="Arial"/>
          <w:color w:val="000000" w:themeColor="text1"/>
          <w:sz w:val="21"/>
          <w:szCs w:val="21"/>
          <w:lang w:val="es-ES_tradnl"/>
        </w:rPr>
        <w:t>¿Es necesario elaborar análisis del sector para licitaciones públicas cuando se utilizan pliegos tipo?</w:t>
      </w:r>
      <w:r w:rsidR="00DB144C">
        <w:rPr>
          <w:rFonts w:ascii="Arial" w:hAnsi="Arial" w:cs="Arial"/>
          <w:color w:val="000000" w:themeColor="text1"/>
          <w:sz w:val="21"/>
          <w:szCs w:val="21"/>
          <w:lang w:val="es-ES_tradnl"/>
        </w:rPr>
        <w:t>»</w:t>
      </w:r>
      <w:bookmarkEnd w:id="4"/>
      <w:r w:rsidR="00DB144C">
        <w:rPr>
          <w:rFonts w:ascii="Arial" w:hAnsi="Arial" w:cs="Arial"/>
          <w:color w:val="000000" w:themeColor="text1"/>
          <w:sz w:val="21"/>
          <w:szCs w:val="21"/>
          <w:lang w:val="es-ES_tradnl"/>
        </w:rPr>
        <w:t>, iii) «</w:t>
      </w:r>
      <w:r w:rsidR="001131C3">
        <w:rPr>
          <w:rFonts w:ascii="Arial" w:hAnsi="Arial" w:cs="Arial"/>
          <w:color w:val="000000" w:themeColor="text1"/>
          <w:sz w:val="21"/>
          <w:szCs w:val="21"/>
          <w:lang w:val="es-ES_tradnl"/>
        </w:rPr>
        <w:t xml:space="preserve">¿Puede una entidad territorial hacer uso de los pliegos tipo para una </w:t>
      </w:r>
      <w:bookmarkStart w:id="5" w:name="_Hlk71556935"/>
      <w:r w:rsidR="001131C3">
        <w:rPr>
          <w:rFonts w:ascii="Arial" w:hAnsi="Arial" w:cs="Arial"/>
          <w:color w:val="000000" w:themeColor="text1"/>
          <w:sz w:val="21"/>
          <w:szCs w:val="21"/>
          <w:lang w:val="es-ES_tradnl"/>
        </w:rPr>
        <w:t>interventoría de proyectos diferentes a la de infraestructura</w:t>
      </w:r>
      <w:bookmarkEnd w:id="5"/>
      <w:r w:rsidR="001131C3">
        <w:rPr>
          <w:rFonts w:ascii="Arial" w:hAnsi="Arial" w:cs="Arial"/>
          <w:color w:val="000000" w:themeColor="text1"/>
          <w:sz w:val="21"/>
          <w:szCs w:val="21"/>
          <w:lang w:val="es-ES_tradnl"/>
        </w:rPr>
        <w:t>?</w:t>
      </w:r>
      <w:r w:rsidR="00DB144C">
        <w:rPr>
          <w:rFonts w:ascii="Arial" w:hAnsi="Arial" w:cs="Arial"/>
          <w:color w:val="000000" w:themeColor="text1"/>
          <w:sz w:val="21"/>
          <w:szCs w:val="21"/>
          <w:lang w:val="es-ES_tradnl"/>
        </w:rPr>
        <w:t>»</w:t>
      </w:r>
      <w:r w:rsidR="00FB3BEC">
        <w:rPr>
          <w:rFonts w:ascii="Arial" w:hAnsi="Arial" w:cs="Arial"/>
          <w:color w:val="000000" w:themeColor="text1"/>
          <w:sz w:val="21"/>
          <w:szCs w:val="21"/>
          <w:lang w:val="es-ES_tradnl"/>
        </w:rPr>
        <w:t xml:space="preserve">, </w:t>
      </w:r>
      <w:bookmarkStart w:id="6" w:name="_Hlk71625378"/>
      <w:r w:rsidR="00FB3BEC">
        <w:rPr>
          <w:rFonts w:ascii="Arial" w:hAnsi="Arial" w:cs="Arial"/>
          <w:color w:val="000000" w:themeColor="text1"/>
          <w:sz w:val="21"/>
          <w:szCs w:val="21"/>
          <w:lang w:val="es-ES_tradnl"/>
        </w:rPr>
        <w:t>iv) «</w:t>
      </w:r>
      <w:r w:rsidR="001131C3">
        <w:rPr>
          <w:rFonts w:ascii="Arial" w:hAnsi="Arial" w:cs="Arial"/>
          <w:color w:val="000000" w:themeColor="text1"/>
          <w:sz w:val="21"/>
          <w:szCs w:val="21"/>
          <w:lang w:val="es-ES_tradnl"/>
        </w:rPr>
        <w:t>¿Qué suerte tiene un proceso licitatorio cuando se han modificado los criterios no modificables de los pliegos tipo?</w:t>
      </w:r>
      <w:r w:rsidR="00FB3BEC">
        <w:rPr>
          <w:rFonts w:ascii="Arial" w:hAnsi="Arial" w:cs="Arial"/>
          <w:color w:val="000000" w:themeColor="text1"/>
          <w:sz w:val="21"/>
          <w:szCs w:val="21"/>
          <w:lang w:val="es-ES_tradnl"/>
        </w:rPr>
        <w:t>» y v) «</w:t>
      </w:r>
      <w:r w:rsidR="001131C3">
        <w:rPr>
          <w:rFonts w:ascii="Arial" w:hAnsi="Arial" w:cs="Arial"/>
          <w:color w:val="000000" w:themeColor="text1"/>
          <w:sz w:val="21"/>
          <w:szCs w:val="21"/>
          <w:lang w:val="es-ES_tradnl"/>
        </w:rPr>
        <w:t>¿La modificación de unos de los formatos tipo anexos en el pliego tipo es causal de rechazo?</w:t>
      </w:r>
      <w:r w:rsidR="006D4AB2" w:rsidRPr="004A0905">
        <w:rPr>
          <w:rFonts w:ascii="Arial" w:hAnsi="Arial" w:cs="Arial"/>
          <w:color w:val="000000" w:themeColor="text1"/>
          <w:sz w:val="21"/>
          <w:szCs w:val="21"/>
          <w:lang w:val="es-ES_tradnl"/>
        </w:rPr>
        <w:t>»</w:t>
      </w:r>
      <w:r w:rsidR="00AC46B0">
        <w:rPr>
          <w:rFonts w:ascii="Arial" w:hAnsi="Arial" w:cs="Arial"/>
          <w:color w:val="000000" w:themeColor="text1"/>
          <w:sz w:val="21"/>
          <w:szCs w:val="21"/>
          <w:lang w:val="es-ES_tradnl"/>
        </w:rPr>
        <w:t xml:space="preserve">. </w:t>
      </w:r>
    </w:p>
    <w:bookmarkEnd w:id="6"/>
    <w:p w14:paraId="39A69248" w14:textId="77777777" w:rsidR="006D4AB2" w:rsidRPr="004A0905" w:rsidRDefault="006D4AB2" w:rsidP="001131C3">
      <w:pPr>
        <w:ind w:right="709"/>
        <w:jc w:val="both"/>
        <w:rPr>
          <w:rFonts w:ascii="Arial" w:hAnsi="Arial" w:cs="Arial"/>
          <w:color w:val="000000" w:themeColor="text1"/>
          <w:sz w:val="22"/>
          <w:lang w:val="es-ES_tradnl"/>
        </w:rPr>
      </w:pPr>
    </w:p>
    <w:p w14:paraId="124D2DCA" w14:textId="77777777" w:rsidR="00DD5B04" w:rsidRPr="004A0905"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lastRenderedPageBreak/>
        <w:t>Consideraciones</w:t>
      </w:r>
    </w:p>
    <w:p w14:paraId="7D050D2E" w14:textId="77777777" w:rsidR="00435703" w:rsidRPr="004A0905" w:rsidRDefault="00435703" w:rsidP="00DF76A2">
      <w:pPr>
        <w:spacing w:line="276" w:lineRule="auto"/>
        <w:jc w:val="both"/>
        <w:rPr>
          <w:rFonts w:ascii="Arial" w:eastAsia="Calibri" w:hAnsi="Arial" w:cs="Arial"/>
          <w:color w:val="000000" w:themeColor="text1"/>
          <w:sz w:val="22"/>
          <w:szCs w:val="22"/>
          <w:lang w:val="es-ES_tradnl"/>
        </w:rPr>
      </w:pPr>
    </w:p>
    <w:p w14:paraId="305BC2F1" w14:textId="67F98515" w:rsidR="003C4317" w:rsidRPr="004A0905" w:rsidRDefault="008E30C4" w:rsidP="00271230">
      <w:pPr>
        <w:spacing w:line="276" w:lineRule="auto"/>
        <w:jc w:val="both"/>
        <w:rPr>
          <w:rFonts w:ascii="Arial" w:eastAsia="Calibri" w:hAnsi="Arial" w:cs="Arial"/>
          <w:color w:val="000000" w:themeColor="text1"/>
          <w:sz w:val="22"/>
          <w:szCs w:val="22"/>
          <w:lang w:val="es-ES_tradnl"/>
        </w:rPr>
      </w:pPr>
      <w:r w:rsidRPr="00F73690">
        <w:rPr>
          <w:rFonts w:ascii="Arial" w:eastAsia="Calibri" w:hAnsi="Arial" w:cs="Arial"/>
          <w:color w:val="000000" w:themeColor="text1"/>
          <w:sz w:val="22"/>
          <w:szCs w:val="22"/>
          <w:lang w:val="es-ES_tradnl"/>
        </w:rPr>
        <w:t xml:space="preserve">La </w:t>
      </w:r>
      <w:r w:rsidR="000A600A" w:rsidRPr="00F73690">
        <w:rPr>
          <w:rFonts w:ascii="Arial" w:eastAsia="Calibri" w:hAnsi="Arial" w:cs="Arial"/>
          <w:color w:val="000000" w:themeColor="text1"/>
          <w:sz w:val="22"/>
          <w:szCs w:val="22"/>
          <w:lang w:val="es-ES_tradnl"/>
        </w:rPr>
        <w:t xml:space="preserve">Agencia Nacional de Contratación Pública – Colombia Compra Eficiente </w:t>
      </w:r>
      <w:r w:rsidR="00271230" w:rsidRPr="00F73690">
        <w:rPr>
          <w:rFonts w:ascii="Arial" w:eastAsia="Calibri" w:hAnsi="Arial" w:cs="Arial"/>
          <w:color w:val="000000" w:themeColor="text1"/>
          <w:sz w:val="22"/>
          <w:szCs w:val="22"/>
          <w:lang w:val="es-ES_tradnl"/>
        </w:rPr>
        <w:t>analizar</w:t>
      </w:r>
      <w:r w:rsidR="00951242" w:rsidRPr="0078356A">
        <w:rPr>
          <w:rFonts w:ascii="Arial" w:eastAsia="Calibri" w:hAnsi="Arial" w:cs="Arial"/>
          <w:color w:val="000000" w:themeColor="text1"/>
          <w:sz w:val="22"/>
          <w:szCs w:val="22"/>
          <w:lang w:val="es-ES_tradnl"/>
        </w:rPr>
        <w:t>á</w:t>
      </w:r>
      <w:r w:rsidR="00271230" w:rsidRPr="00F73690">
        <w:rPr>
          <w:rFonts w:ascii="Arial" w:eastAsia="Calibri" w:hAnsi="Arial" w:cs="Arial"/>
          <w:color w:val="000000" w:themeColor="text1"/>
          <w:sz w:val="22"/>
          <w:szCs w:val="22"/>
          <w:lang w:val="es-ES_tradnl"/>
        </w:rPr>
        <w:t xml:space="preserve"> los</w:t>
      </w:r>
      <w:r w:rsidR="00822EC4" w:rsidRPr="00F73690">
        <w:rPr>
          <w:rFonts w:ascii="Arial" w:eastAsia="Calibri" w:hAnsi="Arial" w:cs="Arial"/>
          <w:color w:val="000000" w:themeColor="text1"/>
          <w:sz w:val="22"/>
          <w:szCs w:val="22"/>
          <w:lang w:val="es-ES_tradnl"/>
        </w:rPr>
        <w:t xml:space="preserve"> siguientes temas: </w:t>
      </w:r>
      <w:r w:rsidR="00833ADA" w:rsidRPr="00F73690">
        <w:rPr>
          <w:rFonts w:ascii="Arial" w:eastAsia="Calibri" w:hAnsi="Arial" w:cs="Arial"/>
          <w:color w:val="000000" w:themeColor="text1"/>
          <w:sz w:val="22"/>
          <w:szCs w:val="22"/>
          <w:lang w:val="es-ES_tradnl"/>
        </w:rPr>
        <w:t>i)</w:t>
      </w:r>
      <w:r w:rsidR="00E60D8D" w:rsidRPr="00F73690">
        <w:rPr>
          <w:rFonts w:ascii="Arial" w:eastAsia="Calibri" w:hAnsi="Arial" w:cs="Arial"/>
          <w:color w:val="000000" w:themeColor="text1"/>
          <w:sz w:val="22"/>
          <w:szCs w:val="22"/>
          <w:lang w:val="es-ES_tradnl"/>
        </w:rPr>
        <w:t xml:space="preserve"> </w:t>
      </w:r>
      <w:r w:rsidR="00F73690">
        <w:rPr>
          <w:rFonts w:ascii="Arial" w:eastAsia="Calibri" w:hAnsi="Arial" w:cs="Arial"/>
          <w:color w:val="000000" w:themeColor="text1"/>
          <w:sz w:val="22"/>
          <w:szCs w:val="22"/>
          <w:lang w:val="es-ES_tradnl"/>
        </w:rPr>
        <w:t>f</w:t>
      </w:r>
      <w:r w:rsidR="00F73690" w:rsidRPr="00F73690">
        <w:rPr>
          <w:rFonts w:ascii="Arial" w:eastAsia="Calibri" w:hAnsi="Arial" w:cs="Arial"/>
          <w:color w:val="000000" w:themeColor="text1"/>
          <w:sz w:val="22"/>
          <w:szCs w:val="22"/>
          <w:lang w:val="es-ES_tradnl"/>
        </w:rPr>
        <w:t xml:space="preserve">undamentos jurídicos para la expedición de los documentos tipo </w:t>
      </w:r>
      <w:r w:rsidR="00084994">
        <w:rPr>
          <w:rFonts w:ascii="Arial" w:eastAsia="Calibri" w:hAnsi="Arial" w:cs="Arial"/>
          <w:color w:val="000000" w:themeColor="text1"/>
          <w:sz w:val="22"/>
          <w:szCs w:val="22"/>
          <w:lang w:val="es-ES_tradnl"/>
        </w:rPr>
        <w:t xml:space="preserve">en el sector de </w:t>
      </w:r>
      <w:r w:rsidR="00F73690" w:rsidRPr="00F73690">
        <w:rPr>
          <w:rFonts w:ascii="Arial" w:eastAsia="Calibri" w:hAnsi="Arial" w:cs="Arial"/>
          <w:color w:val="000000" w:themeColor="text1"/>
          <w:sz w:val="22"/>
          <w:szCs w:val="22"/>
          <w:lang w:val="es-ES_tradnl"/>
        </w:rPr>
        <w:t>infraestructura de transporte</w:t>
      </w:r>
      <w:r w:rsidR="00F73690">
        <w:rPr>
          <w:rFonts w:ascii="Arial" w:eastAsia="Calibri" w:hAnsi="Arial" w:cs="Arial"/>
          <w:color w:val="000000" w:themeColor="text1"/>
          <w:sz w:val="22"/>
          <w:szCs w:val="22"/>
          <w:lang w:val="es-ES_tradnl"/>
        </w:rPr>
        <w:t>,</w:t>
      </w:r>
      <w:r w:rsidR="001A74C1" w:rsidRPr="00F73690">
        <w:rPr>
          <w:rFonts w:ascii="Arial" w:eastAsia="Calibri" w:hAnsi="Arial" w:cs="Arial"/>
          <w:color w:val="000000" w:themeColor="text1"/>
          <w:sz w:val="22"/>
          <w:szCs w:val="22"/>
          <w:lang w:val="es-ES_tradnl"/>
        </w:rPr>
        <w:t xml:space="preserve"> ii) </w:t>
      </w:r>
      <w:r w:rsidR="00F73690">
        <w:rPr>
          <w:rFonts w:ascii="Arial" w:eastAsia="Calibri" w:hAnsi="Arial" w:cs="Arial"/>
          <w:color w:val="000000" w:themeColor="text1"/>
          <w:sz w:val="22"/>
          <w:szCs w:val="22"/>
          <w:lang w:val="es-ES_tradnl"/>
        </w:rPr>
        <w:t>inalterabilidad de los documentos tipo, iii)</w:t>
      </w:r>
      <w:r w:rsidR="00AD3F15">
        <w:rPr>
          <w:rFonts w:ascii="Arial" w:eastAsia="Calibri" w:hAnsi="Arial" w:cs="Arial"/>
          <w:color w:val="000000" w:themeColor="text1"/>
          <w:sz w:val="22"/>
          <w:szCs w:val="22"/>
          <w:lang w:val="es-ES_tradnl"/>
        </w:rPr>
        <w:t xml:space="preserve"> importancia de los estudios previos y el análisis del sector en la contratación estatal,</w:t>
      </w:r>
      <w:r w:rsidR="00352874">
        <w:rPr>
          <w:rFonts w:ascii="Arial" w:eastAsia="Calibri" w:hAnsi="Arial" w:cs="Arial"/>
          <w:color w:val="000000" w:themeColor="text1"/>
          <w:sz w:val="22"/>
          <w:szCs w:val="22"/>
          <w:lang w:val="es-ES_tradnl"/>
        </w:rPr>
        <w:t xml:space="preserve"> así como</w:t>
      </w:r>
      <w:r w:rsidR="00AD3F15">
        <w:rPr>
          <w:rFonts w:ascii="Arial" w:eastAsia="Calibri" w:hAnsi="Arial" w:cs="Arial"/>
          <w:color w:val="000000" w:themeColor="text1"/>
          <w:sz w:val="22"/>
          <w:szCs w:val="22"/>
          <w:lang w:val="es-ES_tradnl"/>
        </w:rPr>
        <w:t xml:space="preserve"> iv) </w:t>
      </w:r>
      <w:r w:rsidR="00352874">
        <w:rPr>
          <w:rFonts w:ascii="Arial" w:eastAsia="Calibri" w:hAnsi="Arial" w:cs="Arial"/>
          <w:color w:val="000000" w:themeColor="text1"/>
          <w:sz w:val="22"/>
          <w:szCs w:val="22"/>
          <w:lang w:val="es-ES_tradnl"/>
        </w:rPr>
        <w:t>su alcance en los procedimientos de selección regidos por los documentos tipo</w:t>
      </w:r>
      <w:r w:rsidR="00084994">
        <w:rPr>
          <w:rFonts w:ascii="Arial" w:eastAsia="Calibri" w:hAnsi="Arial" w:cs="Arial"/>
          <w:color w:val="000000" w:themeColor="text1"/>
          <w:sz w:val="22"/>
          <w:szCs w:val="22"/>
          <w:lang w:val="es-ES_tradnl"/>
        </w:rPr>
        <w:t>.</w:t>
      </w:r>
      <w:r w:rsidR="001A74C1">
        <w:rPr>
          <w:rFonts w:ascii="Arial" w:eastAsia="Calibri" w:hAnsi="Arial" w:cs="Arial"/>
          <w:color w:val="000000" w:themeColor="text1"/>
          <w:sz w:val="22"/>
          <w:szCs w:val="22"/>
          <w:lang w:val="es-ES_tradnl"/>
        </w:rPr>
        <w:t xml:space="preserve"> </w:t>
      </w:r>
    </w:p>
    <w:p w14:paraId="1144E6B3" w14:textId="168538AB" w:rsidR="00C8331F"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A1224A">
        <w:rPr>
          <w:rFonts w:ascii="Arial" w:eastAsia="Calibri" w:hAnsi="Arial" w:cs="Arial"/>
          <w:color w:val="000000" w:themeColor="text1"/>
          <w:sz w:val="22"/>
          <w:szCs w:val="22"/>
          <w:lang w:val="es-ES_tradnl"/>
        </w:rPr>
        <w:t>E</w:t>
      </w:r>
      <w:r w:rsidR="00C8331F" w:rsidRPr="00A1224A">
        <w:rPr>
          <w:rFonts w:ascii="Arial" w:eastAsia="Calibri" w:hAnsi="Arial" w:cs="Arial"/>
          <w:color w:val="000000" w:themeColor="text1"/>
          <w:sz w:val="22"/>
          <w:szCs w:val="22"/>
          <w:lang w:val="es-ES_tradnl"/>
        </w:rPr>
        <w:t>s importante destacar que la Agencia Nacional de Contratación Pública</w:t>
      </w:r>
      <w:r w:rsidRPr="00A1224A">
        <w:rPr>
          <w:rFonts w:ascii="Arial" w:eastAsia="Calibri" w:hAnsi="Arial" w:cs="Arial"/>
          <w:color w:val="000000" w:themeColor="text1"/>
          <w:sz w:val="22"/>
          <w:szCs w:val="22"/>
          <w:lang w:val="es-ES_tradnl"/>
        </w:rPr>
        <w:t xml:space="preserve"> – Colombia Compra Eficiente se pronunció, en términos generales, </w:t>
      </w:r>
      <w:r w:rsidR="00F94458" w:rsidRPr="00A1224A">
        <w:rPr>
          <w:rFonts w:ascii="Arial" w:eastAsia="Calibri" w:hAnsi="Arial" w:cs="Arial"/>
          <w:color w:val="000000" w:themeColor="text1"/>
          <w:sz w:val="22"/>
          <w:szCs w:val="22"/>
          <w:lang w:val="es-ES_tradnl"/>
        </w:rPr>
        <w:t>sobre el deber de elaborar análisis del sector frente a procesos de contratación en los que se apliquen documentos tipo</w:t>
      </w:r>
      <w:r w:rsidR="00442D13" w:rsidRPr="00A1224A">
        <w:rPr>
          <w:rFonts w:ascii="Arial" w:eastAsia="Calibri" w:hAnsi="Arial" w:cs="Arial"/>
          <w:color w:val="000000" w:themeColor="text1"/>
          <w:sz w:val="22"/>
          <w:szCs w:val="22"/>
          <w:lang w:val="es-ES_tradnl"/>
        </w:rPr>
        <w:t>,</w:t>
      </w:r>
      <w:r w:rsidR="001A74C1" w:rsidRPr="00A1224A">
        <w:rPr>
          <w:rFonts w:ascii="Arial" w:eastAsia="Calibri" w:hAnsi="Arial" w:cs="Arial"/>
          <w:sz w:val="22"/>
          <w:lang w:val="es-ES_tradnl"/>
        </w:rPr>
        <w:t xml:space="preserve"> los conceptos </w:t>
      </w:r>
      <w:r w:rsidR="0015571E">
        <w:rPr>
          <w:rFonts w:ascii="Arial" w:eastAsia="Calibri" w:hAnsi="Arial" w:cs="Arial"/>
          <w:sz w:val="22"/>
          <w:lang w:val="es-ES_tradnl"/>
        </w:rPr>
        <w:t>C</w:t>
      </w:r>
      <w:r w:rsidR="0015571E" w:rsidRPr="004E4A61">
        <w:rPr>
          <w:rFonts w:ascii="Arial" w:eastAsia="Calibri" w:hAnsi="Arial" w:cs="Arial"/>
          <w:sz w:val="22"/>
          <w:lang w:val="es-ES_tradnl"/>
        </w:rPr>
        <w:t>onceptos</w:t>
      </w:r>
      <w:r w:rsidR="0015571E">
        <w:rPr>
          <w:rFonts w:ascii="Arial" w:eastAsia="Calibri" w:hAnsi="Arial" w:cs="Arial"/>
          <w:sz w:val="22"/>
          <w:lang w:val="es-ES_tradnl"/>
        </w:rPr>
        <w:t xml:space="preserve"> </w:t>
      </w:r>
      <w:r w:rsidR="0015571E" w:rsidRPr="003E24E5">
        <w:rPr>
          <w:rFonts w:ascii="Arial" w:eastAsia="Calibri" w:hAnsi="Arial" w:cs="Arial"/>
          <w:sz w:val="22"/>
          <w:lang w:val="es-ES_tradnl"/>
        </w:rPr>
        <w:t>2202013000000037</w:t>
      </w:r>
      <w:r w:rsidR="0015571E">
        <w:rPr>
          <w:rFonts w:ascii="Arial" w:eastAsia="Calibri" w:hAnsi="Arial" w:cs="Arial"/>
          <w:sz w:val="22"/>
          <w:lang w:val="es-ES_tradnl"/>
        </w:rPr>
        <w:t xml:space="preserve"> </w:t>
      </w:r>
      <w:r w:rsidR="0015571E" w:rsidRPr="003E24E5">
        <w:rPr>
          <w:rFonts w:ascii="Arial" w:eastAsia="Calibri" w:hAnsi="Arial" w:cs="Arial"/>
          <w:sz w:val="22"/>
          <w:lang w:val="es-ES_tradnl"/>
        </w:rPr>
        <w:t>del 7 de enero de 2020</w:t>
      </w:r>
      <w:r w:rsidR="0015571E">
        <w:rPr>
          <w:rFonts w:ascii="Arial" w:eastAsia="Calibri" w:hAnsi="Arial" w:cs="Arial"/>
          <w:sz w:val="22"/>
          <w:lang w:val="es-ES_tradnl"/>
        </w:rPr>
        <w:t xml:space="preserve"> y</w:t>
      </w:r>
      <w:r w:rsidR="0015571E" w:rsidRPr="004E4A61">
        <w:rPr>
          <w:rFonts w:ascii="Arial" w:eastAsia="Calibri" w:hAnsi="Arial" w:cs="Arial"/>
          <w:sz w:val="22"/>
          <w:lang w:val="es-ES_tradnl"/>
        </w:rPr>
        <w:t xml:space="preserve"> C-223 del 29 de abril de 2020 –radicado No. 2202013000003261– </w:t>
      </w:r>
      <w:r w:rsidR="00696353">
        <w:rPr>
          <w:rFonts w:ascii="Arial" w:eastAsia="Calibri" w:hAnsi="Arial" w:cs="Arial"/>
          <w:sz w:val="22"/>
          <w:lang w:val="es-ES_tradnl"/>
        </w:rPr>
        <w:t xml:space="preserve"> y C – 148 de 2021 </w:t>
      </w:r>
      <w:r w:rsidR="0015571E" w:rsidRPr="004E4A61">
        <w:rPr>
          <w:rFonts w:ascii="Arial" w:eastAsia="Calibri" w:hAnsi="Arial" w:cs="Arial"/>
          <w:sz w:val="22"/>
          <w:lang w:val="es-ES_tradnl"/>
        </w:rPr>
        <w:t>sobre la regulación de los estudios</w:t>
      </w:r>
      <w:r w:rsidR="0015571E">
        <w:rPr>
          <w:rFonts w:ascii="Arial" w:eastAsia="Calibri" w:hAnsi="Arial" w:cs="Arial"/>
          <w:sz w:val="22"/>
          <w:lang w:val="es-ES_tradnl"/>
        </w:rPr>
        <w:t xml:space="preserve"> previos y del sector</w:t>
      </w:r>
      <w:r w:rsidR="0015571E" w:rsidRPr="004E4A61">
        <w:rPr>
          <w:rFonts w:ascii="Arial" w:eastAsia="Calibri" w:hAnsi="Arial" w:cs="Arial"/>
          <w:sz w:val="22"/>
          <w:lang w:val="es-ES_tradnl"/>
        </w:rPr>
        <w:t xml:space="preserve"> en el Estatuto General de Contratación de la Administración Pública</w:t>
      </w:r>
      <w:r w:rsidR="0015571E">
        <w:rPr>
          <w:rFonts w:ascii="Arial" w:eastAsia="Calibri" w:hAnsi="Arial" w:cs="Arial"/>
          <w:sz w:val="22"/>
          <w:lang w:val="es-ES_tradnl"/>
        </w:rPr>
        <w:t>. Igualmente, se reiteran los Conceptos</w:t>
      </w:r>
      <w:r w:rsidR="0015571E" w:rsidRPr="004E4A61">
        <w:rPr>
          <w:rFonts w:ascii="Arial" w:eastAsia="Calibri" w:hAnsi="Arial" w:cs="Arial"/>
          <w:sz w:val="22"/>
          <w:lang w:val="es-ES_tradnl"/>
        </w:rPr>
        <w:t xml:space="preserve"> C-387 del 23 de junio de 2020 –radicado No. 2202013000005289–, </w:t>
      </w:r>
      <w:r w:rsidR="0015571E" w:rsidRPr="004E4A61">
        <w:rPr>
          <w:rFonts w:ascii="Arial" w:eastAsia="Calibri" w:hAnsi="Arial" w:cs="Arial"/>
          <w:color w:val="181818" w:themeColor="accent6" w:themeShade="1A"/>
          <w:sz w:val="22"/>
        </w:rPr>
        <w:t>C-415 del 7 de julio</w:t>
      </w:r>
      <w:r w:rsidR="0015571E">
        <w:rPr>
          <w:rFonts w:ascii="Arial" w:eastAsia="Calibri" w:hAnsi="Arial" w:cs="Arial"/>
          <w:color w:val="181818" w:themeColor="accent6" w:themeShade="1A"/>
          <w:sz w:val="22"/>
        </w:rPr>
        <w:t xml:space="preserve"> </w:t>
      </w:r>
      <w:r w:rsidR="0015571E" w:rsidRPr="004E4A61">
        <w:rPr>
          <w:rFonts w:ascii="Arial" w:eastAsia="Calibri" w:hAnsi="Arial" w:cs="Arial"/>
          <w:sz w:val="22"/>
          <w:lang w:val="es-ES_tradnl"/>
        </w:rPr>
        <w:t xml:space="preserve">–radicado No. </w:t>
      </w:r>
      <w:r w:rsidR="0015571E" w:rsidRPr="004E4A61">
        <w:rPr>
          <w:rFonts w:ascii="Arial" w:hAnsi="Arial" w:cs="Arial"/>
          <w:color w:val="000000"/>
          <w:sz w:val="22"/>
        </w:rPr>
        <w:t>2202013000005931</w:t>
      </w:r>
      <w:r w:rsidR="0015571E">
        <w:rPr>
          <w:rFonts w:ascii="Arial" w:hAnsi="Arial" w:cs="Arial"/>
          <w:color w:val="000000"/>
          <w:sz w:val="22"/>
        </w:rPr>
        <w:t>–</w:t>
      </w:r>
      <w:r w:rsidR="0015571E">
        <w:rPr>
          <w:rFonts w:ascii="Arial" w:eastAsia="Calibri" w:hAnsi="Arial" w:cs="Arial"/>
          <w:color w:val="181818" w:themeColor="accent6" w:themeShade="1A"/>
          <w:sz w:val="22"/>
        </w:rPr>
        <w:t>,</w:t>
      </w:r>
      <w:r w:rsidR="0015571E" w:rsidRPr="004E4A61">
        <w:rPr>
          <w:rFonts w:ascii="Arial" w:eastAsia="Calibri" w:hAnsi="Arial" w:cs="Arial"/>
          <w:color w:val="181818" w:themeColor="accent6" w:themeShade="1A"/>
          <w:sz w:val="22"/>
        </w:rPr>
        <w:t xml:space="preserve"> </w:t>
      </w:r>
      <w:r w:rsidR="0015571E" w:rsidRPr="004E4A61">
        <w:rPr>
          <w:rFonts w:ascii="Arial" w:eastAsia="Calibri" w:hAnsi="Arial" w:cs="Arial"/>
          <w:sz w:val="22"/>
        </w:rPr>
        <w:t xml:space="preserve">C-443 del 7 de julio de 2020 </w:t>
      </w:r>
      <w:r w:rsidR="0015571E">
        <w:rPr>
          <w:rFonts w:ascii="Arial" w:eastAsia="Calibri" w:hAnsi="Arial" w:cs="Arial"/>
          <w:sz w:val="22"/>
        </w:rPr>
        <w:t>–</w:t>
      </w:r>
      <w:r w:rsidR="0015571E" w:rsidRPr="004E4A61">
        <w:rPr>
          <w:rFonts w:ascii="Arial" w:eastAsia="Calibri" w:hAnsi="Arial" w:cs="Arial"/>
          <w:sz w:val="22"/>
          <w:lang w:val="es-ES_tradnl"/>
        </w:rPr>
        <w:t>radicado No.</w:t>
      </w:r>
      <w:r w:rsidR="0015571E" w:rsidRPr="004E4A61">
        <w:rPr>
          <w:rFonts w:ascii="Arial" w:hAnsi="Arial" w:cs="Arial"/>
          <w:color w:val="000000"/>
          <w:sz w:val="22"/>
        </w:rPr>
        <w:t xml:space="preserve"> 2202013000005933</w:t>
      </w:r>
      <w:r w:rsidR="0015571E">
        <w:rPr>
          <w:rFonts w:ascii="Arial" w:hAnsi="Arial" w:cs="Arial"/>
          <w:color w:val="000000"/>
          <w:sz w:val="22"/>
        </w:rPr>
        <w:t xml:space="preserve">– y C-387 del 23 de junio de 2020 –radicado No. </w:t>
      </w:r>
      <w:r w:rsidR="0015571E">
        <w:rPr>
          <w:rStyle w:val="normaltextrun"/>
          <w:rFonts w:ascii="Arial" w:eastAsiaTheme="minorEastAsia" w:hAnsi="Arial" w:cs="Arial"/>
          <w:color w:val="000000"/>
          <w:sz w:val="22"/>
          <w:shd w:val="clear" w:color="auto" w:fill="FFFFFF"/>
        </w:rPr>
        <w:t xml:space="preserve">4202013000004275–, </w:t>
      </w:r>
      <w:r w:rsidR="001A74C1" w:rsidRPr="00A1224A">
        <w:rPr>
          <w:rFonts w:ascii="Arial" w:eastAsia="Calibri" w:hAnsi="Arial" w:cs="Arial"/>
          <w:sz w:val="22"/>
          <w:lang w:val="es-ES_tradnl"/>
        </w:rPr>
        <w:t xml:space="preserve">2202013000000037 del 7 de enero de 2020 y C-223 del 29 de abril de 2020 y </w:t>
      </w:r>
      <w:r w:rsidR="001A74C1" w:rsidRPr="00A1224A">
        <w:rPr>
          <w:rFonts w:ascii="Arial" w:eastAsia="Calibri" w:hAnsi="Arial" w:cs="Arial"/>
          <w:color w:val="000000" w:themeColor="text1"/>
          <w:sz w:val="22"/>
          <w:szCs w:val="22"/>
          <w:lang w:val="es-ES_tradnl"/>
        </w:rPr>
        <w:t xml:space="preserve">C-671 de 2020 de 23 de noviembre de 2020 </w:t>
      </w:r>
      <w:r w:rsidR="001A74C1" w:rsidRPr="00A1224A">
        <w:rPr>
          <w:rFonts w:ascii="Arial" w:eastAsia="Calibri" w:hAnsi="Arial" w:cs="Arial"/>
          <w:sz w:val="22"/>
          <w:lang w:val="es-ES_tradnl"/>
        </w:rPr>
        <w:t>sobre la regulación de los estudios del sector en el Estatuto General de Contratación de la Administración Pública</w:t>
      </w:r>
      <w:r w:rsidR="001A74C1" w:rsidRPr="00A1224A">
        <w:rPr>
          <w:rFonts w:ascii="Arial" w:eastAsia="Calibri" w:hAnsi="Arial" w:cs="Arial"/>
          <w:color w:val="000000" w:themeColor="text1"/>
          <w:sz w:val="22"/>
          <w:szCs w:val="22"/>
          <w:lang w:val="es-ES_tradnl"/>
        </w:rPr>
        <w:t>.</w:t>
      </w:r>
      <w:r w:rsidR="00131486">
        <w:rPr>
          <w:rFonts w:ascii="Arial" w:eastAsia="Calibri" w:hAnsi="Arial" w:cs="Arial"/>
          <w:color w:val="000000" w:themeColor="text1"/>
          <w:sz w:val="22"/>
          <w:szCs w:val="22"/>
          <w:lang w:val="es-ES_tradnl"/>
        </w:rPr>
        <w:t xml:space="preserve"> </w:t>
      </w:r>
      <w:r w:rsidR="004060DC" w:rsidRPr="00A1224A">
        <w:rPr>
          <w:rFonts w:ascii="Arial" w:eastAsia="Calibri" w:hAnsi="Arial" w:cs="Arial"/>
          <w:color w:val="000000" w:themeColor="text1"/>
          <w:sz w:val="22"/>
          <w:szCs w:val="22"/>
          <w:lang w:val="es-ES_tradnl"/>
        </w:rPr>
        <w:t xml:space="preserve">Algunas de las consideraciones </w:t>
      </w:r>
      <w:r w:rsidR="00CC5E38" w:rsidRPr="00A1224A">
        <w:rPr>
          <w:rFonts w:ascii="Arial" w:eastAsia="Calibri" w:hAnsi="Arial" w:cs="Arial"/>
          <w:color w:val="000000" w:themeColor="text1"/>
          <w:sz w:val="22"/>
          <w:szCs w:val="22"/>
          <w:lang w:val="es-ES_tradnl"/>
        </w:rPr>
        <w:t>de estos</w:t>
      </w:r>
      <w:r w:rsidR="004060DC" w:rsidRPr="00A1224A">
        <w:rPr>
          <w:rFonts w:ascii="Arial" w:eastAsia="Calibri" w:hAnsi="Arial" w:cs="Arial"/>
          <w:color w:val="000000" w:themeColor="text1"/>
          <w:sz w:val="22"/>
          <w:szCs w:val="22"/>
          <w:lang w:val="es-ES_tradnl"/>
        </w:rPr>
        <w:t xml:space="preserve"> conceptos se </w:t>
      </w:r>
      <w:r w:rsidR="00CC5E38" w:rsidRPr="00A1224A">
        <w:rPr>
          <w:rFonts w:ascii="Arial" w:eastAsia="Calibri" w:hAnsi="Arial" w:cs="Arial"/>
          <w:color w:val="000000" w:themeColor="text1"/>
          <w:sz w:val="22"/>
          <w:szCs w:val="22"/>
          <w:lang w:val="es-ES_tradnl"/>
        </w:rPr>
        <w:t>reiteran</w:t>
      </w:r>
      <w:r w:rsidR="004060DC" w:rsidRPr="00A1224A">
        <w:rPr>
          <w:rFonts w:ascii="Arial" w:eastAsia="Calibri" w:hAnsi="Arial" w:cs="Arial"/>
          <w:color w:val="000000" w:themeColor="text1"/>
          <w:sz w:val="22"/>
          <w:szCs w:val="22"/>
          <w:lang w:val="es-ES_tradnl"/>
        </w:rPr>
        <w:t xml:space="preserve"> a continuación.</w:t>
      </w:r>
    </w:p>
    <w:p w14:paraId="6C144D3A" w14:textId="77777777" w:rsidR="00592379" w:rsidRDefault="00592379" w:rsidP="0078356A">
      <w:pPr>
        <w:spacing w:line="276" w:lineRule="auto"/>
        <w:ind w:firstLine="709"/>
        <w:jc w:val="both"/>
        <w:rPr>
          <w:rFonts w:ascii="Arial" w:eastAsia="Calibri" w:hAnsi="Arial" w:cs="Arial"/>
          <w:color w:val="000000" w:themeColor="text1"/>
          <w:sz w:val="22"/>
          <w:szCs w:val="22"/>
          <w:lang w:val="es-ES_tradnl"/>
        </w:rPr>
      </w:pPr>
    </w:p>
    <w:p w14:paraId="7259B8A5" w14:textId="6F086BA9" w:rsidR="00592379" w:rsidRDefault="00592379" w:rsidP="00592379">
      <w:pPr>
        <w:spacing w:line="276" w:lineRule="auto"/>
        <w:jc w:val="both"/>
        <w:rPr>
          <w:rFonts w:ascii="Arial" w:eastAsia="Calibri" w:hAnsi="Arial" w:cs="Arial"/>
          <w:b/>
          <w:bCs/>
          <w:sz w:val="22"/>
        </w:rPr>
      </w:pPr>
      <w:r w:rsidRPr="00CA5C6B">
        <w:rPr>
          <w:rFonts w:ascii="Arial" w:eastAsia="Calibri" w:hAnsi="Arial" w:cs="Arial"/>
          <w:b/>
          <w:bCs/>
          <w:sz w:val="22"/>
        </w:rPr>
        <w:t xml:space="preserve">2.1. </w:t>
      </w:r>
      <w:bookmarkStart w:id="7" w:name="_Hlk71621749"/>
      <w:r w:rsidRPr="00CA5C6B">
        <w:rPr>
          <w:rFonts w:ascii="Arial" w:eastAsia="Calibri" w:hAnsi="Arial" w:cs="Arial"/>
          <w:b/>
          <w:bCs/>
          <w:sz w:val="22"/>
        </w:rPr>
        <w:t>Fundamentos jurídicos para la expedición de los documentos tipo</w:t>
      </w:r>
      <w:r w:rsidR="00FA097A">
        <w:rPr>
          <w:rFonts w:ascii="Arial" w:eastAsia="Calibri" w:hAnsi="Arial" w:cs="Arial"/>
          <w:b/>
          <w:bCs/>
          <w:sz w:val="22"/>
        </w:rPr>
        <w:t xml:space="preserve"> de infraestructura de transporte</w:t>
      </w:r>
      <w:r w:rsidRPr="00CA5C6B">
        <w:rPr>
          <w:rFonts w:ascii="Arial" w:eastAsia="Calibri" w:hAnsi="Arial" w:cs="Arial"/>
          <w:b/>
          <w:bCs/>
          <w:sz w:val="22"/>
        </w:rPr>
        <w:t xml:space="preserve"> </w:t>
      </w:r>
    </w:p>
    <w:bookmarkEnd w:id="7"/>
    <w:p w14:paraId="770D8806" w14:textId="77777777" w:rsidR="00592379" w:rsidRPr="00CA5C6B" w:rsidRDefault="00592379" w:rsidP="00592379">
      <w:pPr>
        <w:spacing w:line="276" w:lineRule="auto"/>
        <w:jc w:val="both"/>
        <w:rPr>
          <w:rFonts w:ascii="Arial" w:eastAsia="Calibri" w:hAnsi="Arial" w:cs="Arial"/>
          <w:b/>
          <w:bCs/>
          <w:sz w:val="22"/>
        </w:rPr>
      </w:pPr>
    </w:p>
    <w:p w14:paraId="5D285892" w14:textId="5C2B035E" w:rsidR="00592379" w:rsidRPr="0043040E" w:rsidRDefault="00592379" w:rsidP="00592379">
      <w:pPr>
        <w:shd w:val="clear" w:color="auto" w:fill="FFFFFF"/>
        <w:spacing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Los pliegos tipo aparecieron en nuestro ordenamiento jurídico en el 2007, cuando el legislador facultó al Gobierno Nacional para adoptarlos en la compra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w:t>
      </w:r>
    </w:p>
    <w:p w14:paraId="6FDAC5C2" w14:textId="77777777" w:rsidR="00592379" w:rsidRPr="0043040E" w:rsidRDefault="00592379" w:rsidP="00592379">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lastRenderedPageBreak/>
        <w:t>La intención era agilizar y dar mayor transparencia a los procedimientos de selección, así como evitar el direccionamiento, razón por la cual –conforme a lo explicado 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5"/>
      </w:r>
      <w:r w:rsidRPr="0043040E">
        <w:rPr>
          <w:rFonts w:ascii="Arial" w:hAnsi="Arial" w:cs="Arial"/>
          <w:color w:val="0D0D0D"/>
          <w:sz w:val="22"/>
          <w:bdr w:val="none" w:sz="0" w:space="0" w:color="auto" w:frame="1"/>
          <w:lang w:eastAsia="es-CO"/>
        </w:rPr>
        <w:t>. </w:t>
      </w:r>
    </w:p>
    <w:p w14:paraId="36E192D2" w14:textId="77777777" w:rsidR="00592379" w:rsidRDefault="00592379" w:rsidP="00592379">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06CA5923" w14:textId="77777777" w:rsidR="00592379" w:rsidRPr="0043040E" w:rsidRDefault="00592379" w:rsidP="00592379">
      <w:pPr>
        <w:shd w:val="clear" w:color="auto" w:fill="FFFFFF"/>
        <w:spacing w:line="276" w:lineRule="auto"/>
        <w:ind w:firstLine="709"/>
        <w:jc w:val="both"/>
        <w:rPr>
          <w:rFonts w:ascii="Arial" w:hAnsi="Arial" w:cs="Arial"/>
          <w:color w:val="000000"/>
          <w:sz w:val="22"/>
          <w:lang w:eastAsia="es-CO"/>
        </w:rPr>
      </w:pPr>
    </w:p>
    <w:p w14:paraId="1BCA34D6" w14:textId="77777777" w:rsidR="00592379" w:rsidRDefault="00592379" w:rsidP="00592379">
      <w:pPr>
        <w:shd w:val="clear" w:color="auto" w:fill="FFFFFF"/>
        <w:ind w:left="709" w:right="709"/>
        <w:jc w:val="both"/>
        <w:rPr>
          <w:rFonts w:ascii="Arial" w:hAnsi="Arial" w:cs="Arial"/>
          <w:color w:val="0D0D0D"/>
          <w:sz w:val="21"/>
          <w:szCs w:val="21"/>
          <w:bdr w:val="none" w:sz="0" w:space="0" w:color="auto" w:frame="1"/>
          <w:lang w:eastAsia="es-CO"/>
        </w:rPr>
      </w:pPr>
      <w:r w:rsidRPr="0043040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3759B429" w14:textId="77777777" w:rsidR="00592379" w:rsidRPr="00346E84" w:rsidRDefault="00592379" w:rsidP="00592379">
      <w:pPr>
        <w:shd w:val="clear" w:color="auto" w:fill="FFFFFF"/>
        <w:spacing w:line="276" w:lineRule="auto"/>
        <w:ind w:left="709" w:right="709"/>
        <w:jc w:val="both"/>
        <w:rPr>
          <w:rFonts w:ascii="Arial" w:hAnsi="Arial" w:cs="Arial"/>
          <w:color w:val="000000"/>
          <w:sz w:val="22"/>
          <w:lang w:eastAsia="es-CO"/>
        </w:rPr>
      </w:pPr>
    </w:p>
    <w:p w14:paraId="07614823" w14:textId="77777777" w:rsidR="00592379" w:rsidRPr="0043040E" w:rsidRDefault="00592379" w:rsidP="00592379">
      <w:pPr>
        <w:shd w:val="clear" w:color="auto" w:fill="FFFFFF"/>
        <w:spacing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w:t>
      </w:r>
      <w:r w:rsidRPr="0043040E">
        <w:rPr>
          <w:rFonts w:ascii="Arial" w:hAnsi="Arial" w:cs="Arial"/>
          <w:color w:val="0D0D0D"/>
          <w:sz w:val="22"/>
          <w:bdr w:val="none" w:sz="0" w:space="0" w:color="auto" w:frame="1"/>
          <w:lang w:eastAsia="es-CO"/>
        </w:rPr>
        <w:lastRenderedPageBreak/>
        <w:t>entidades especializadas, recepción de comentarios de los interesados y revisión de los documentos tipo expedidos</w:t>
      </w:r>
      <w:r w:rsidRPr="00CA5C6B">
        <w:rPr>
          <w:rStyle w:val="Refdenotaalpie"/>
          <w:rFonts w:ascii="Arial" w:hAnsi="Arial" w:cs="Arial"/>
          <w:color w:val="0D0D0D"/>
          <w:sz w:val="22"/>
          <w:bdr w:val="none" w:sz="0" w:space="0" w:color="auto" w:frame="1"/>
          <w:lang w:eastAsia="es-CO"/>
        </w:rPr>
        <w:footnoteReference w:id="6"/>
      </w:r>
      <w:r w:rsidRPr="0043040E">
        <w:rPr>
          <w:rFonts w:ascii="Arial" w:hAnsi="Arial" w:cs="Arial"/>
          <w:color w:val="0D0D0D"/>
          <w:sz w:val="22"/>
          <w:bdr w:val="none" w:sz="0" w:space="0" w:color="auto" w:frame="1"/>
          <w:lang w:eastAsia="es-CO"/>
        </w:rPr>
        <w:t>.  </w:t>
      </w:r>
    </w:p>
    <w:p w14:paraId="3A1925E1" w14:textId="77777777" w:rsidR="00592379" w:rsidRPr="0043040E" w:rsidRDefault="00592379" w:rsidP="00592379">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71CF074C" w14:textId="77777777" w:rsidR="00592379" w:rsidRPr="0043040E" w:rsidRDefault="00592379" w:rsidP="00592379">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E57D14B" w14:textId="77777777" w:rsidR="00592379" w:rsidRPr="0043040E" w:rsidRDefault="00592379" w:rsidP="00592379">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w:t>
      </w:r>
      <w:r w:rsidRPr="0043040E">
        <w:rPr>
          <w:rFonts w:ascii="Arial" w:hAnsi="Arial" w:cs="Arial"/>
          <w:color w:val="0D0D0D"/>
          <w:sz w:val="22"/>
          <w:bdr w:val="none" w:sz="0" w:space="0" w:color="auto" w:frame="1"/>
          <w:lang w:eastAsia="es-CO"/>
        </w:rPr>
        <w:lastRenderedPageBreak/>
        <w:t>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7A04E643" w14:textId="77777777" w:rsidR="00592379" w:rsidRPr="0043040E" w:rsidRDefault="00592379" w:rsidP="00592379">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29028523" w14:textId="77777777" w:rsidR="00592379" w:rsidRPr="0043040E" w:rsidRDefault="00592379" w:rsidP="00592379">
      <w:pPr>
        <w:shd w:val="clear" w:color="auto" w:fill="FFFFFF"/>
        <w:spacing w:before="120"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60BA5FA9" w14:textId="77777777" w:rsidR="00592379" w:rsidRPr="0043040E" w:rsidRDefault="00592379" w:rsidP="00592379">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Gobierno Nacional ejerció nuevamente la competencia prevista en el citado artículo 4 de la Ley 1882 de 2018, expidiendo el Decreto 2096 de 2019. A través de él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68F4CF54" w14:textId="77777777" w:rsidR="00592379" w:rsidRPr="0043040E" w:rsidRDefault="00592379" w:rsidP="00592379">
      <w:pPr>
        <w:shd w:val="clear" w:color="auto" w:fill="FFFFFF"/>
        <w:spacing w:before="120"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El artículo 2.2.1.2.6.2.2 del Decreto 1082 de 2015 contiene el listado de los documentos tipo aplicables a los procesos de selección abreviada de menor cuantía para la contratación de obra pública de infraestructura de transporte. Además, el 2.2.1.2.6.2.3 </w:t>
      </w:r>
      <w:r w:rsidRPr="0043040E">
        <w:rPr>
          <w:rFonts w:ascii="Arial" w:hAnsi="Arial" w:cs="Arial"/>
          <w:i/>
          <w:iCs/>
          <w:color w:val="0D0D0D"/>
          <w:sz w:val="22"/>
          <w:bdr w:val="none" w:sz="0" w:space="0" w:color="auto" w:frame="1"/>
          <w:lang w:eastAsia="es-CO"/>
        </w:rPr>
        <w:t>ibidem</w:t>
      </w:r>
      <w:r w:rsidRPr="0043040E">
        <w:rPr>
          <w:rFonts w:ascii="Arial" w:hAnsi="Arial" w:cs="Arial"/>
          <w:color w:val="0D0D0D"/>
          <w:sz w:val="22"/>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12C2A9CD" w14:textId="77777777" w:rsidR="00592379" w:rsidRPr="0043040E" w:rsidRDefault="00592379" w:rsidP="00592379">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w:t>
      </w:r>
      <w:r w:rsidRPr="0043040E">
        <w:rPr>
          <w:rFonts w:ascii="Arial" w:hAnsi="Arial" w:cs="Arial"/>
          <w:color w:val="0D0D0D"/>
          <w:sz w:val="22"/>
          <w:bdr w:val="none" w:sz="0" w:space="0" w:color="auto" w:frame="1"/>
          <w:lang w:eastAsia="es-CO"/>
        </w:rPr>
        <w:lastRenderedPageBreak/>
        <w:t>Subsección 3 a la Sección 6 del Capítulo 2 del Título 1 de la parte 2 del Libro 2 del Decreto 1082 de 2015. </w:t>
      </w:r>
    </w:p>
    <w:p w14:paraId="50F8E09C" w14:textId="77777777" w:rsidR="00592379" w:rsidRPr="0043040E" w:rsidRDefault="00592379" w:rsidP="00592379">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62AC07A1" w14:textId="77777777" w:rsidR="00DF30DA" w:rsidRDefault="00592379" w:rsidP="0078356A">
      <w:pPr>
        <w:shd w:val="clear" w:color="auto" w:fill="FFFFFF"/>
        <w:spacing w:before="120" w:after="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 a través de las cuales se adoptan los documentos tipo de licitación de obra pública – versión 3 y de selección abreviada de menor cuantía – versión 2 de infraestructura de transporte, lo cuales son obligatorios a partir del 1º de enero de 2021. </w:t>
      </w:r>
    </w:p>
    <w:p w14:paraId="7CAD903A" w14:textId="6DF8167D" w:rsidR="00DF30DA" w:rsidRDefault="00710989" w:rsidP="00DF30DA">
      <w:pPr>
        <w:spacing w:after="120" w:line="276" w:lineRule="auto"/>
        <w:ind w:firstLine="708"/>
        <w:jc w:val="both"/>
        <w:rPr>
          <w:rFonts w:ascii="Arial" w:eastAsia="Calibri" w:hAnsi="Arial" w:cs="Arial"/>
          <w:sz w:val="22"/>
          <w:lang w:val="es-ES_tradnl"/>
        </w:rPr>
      </w:pPr>
      <w:r>
        <w:rPr>
          <w:rFonts w:ascii="Arial" w:hAnsi="Arial" w:cs="Arial"/>
          <w:color w:val="0D0D0D"/>
          <w:sz w:val="22"/>
          <w:bdr w:val="none" w:sz="0" w:space="0" w:color="auto" w:frame="1"/>
          <w:lang w:eastAsia="es-CO"/>
        </w:rPr>
        <w:t xml:space="preserve">Por otra parte, </w:t>
      </w:r>
      <w:bookmarkStart w:id="8" w:name="_Hlk71625212"/>
      <w:r w:rsidR="002C2A6C">
        <w:rPr>
          <w:rFonts w:ascii="Arial" w:hAnsi="Arial" w:cs="Arial"/>
          <w:color w:val="0D0D0D"/>
          <w:sz w:val="22"/>
          <w:bdr w:val="none" w:sz="0" w:space="0" w:color="auto" w:frame="1"/>
          <w:lang w:eastAsia="es-CO"/>
        </w:rPr>
        <w:t>la Agencia también expidió</w:t>
      </w:r>
      <w:r w:rsidRPr="00710989">
        <w:rPr>
          <w:rFonts w:ascii="Arial" w:hAnsi="Arial" w:cs="Arial"/>
          <w:color w:val="0D0D0D"/>
          <w:sz w:val="22"/>
          <w:bdr w:val="none" w:sz="0" w:space="0" w:color="auto" w:frame="1"/>
          <w:lang w:eastAsia="es-CO"/>
        </w:rPr>
        <w:t xml:space="preserve"> la Resolución 256 de</w:t>
      </w:r>
      <w:r w:rsidR="003F04F6">
        <w:rPr>
          <w:rFonts w:ascii="Arial" w:hAnsi="Arial" w:cs="Arial"/>
          <w:color w:val="0D0D0D"/>
          <w:sz w:val="22"/>
          <w:bdr w:val="none" w:sz="0" w:space="0" w:color="auto" w:frame="1"/>
          <w:lang w:eastAsia="es-CO"/>
        </w:rPr>
        <w:t>l 11 de diciembre de</w:t>
      </w:r>
      <w:r w:rsidRPr="00710989">
        <w:rPr>
          <w:rFonts w:ascii="Arial" w:hAnsi="Arial" w:cs="Arial"/>
          <w:color w:val="0D0D0D"/>
          <w:sz w:val="22"/>
          <w:bdr w:val="none" w:sz="0" w:space="0" w:color="auto" w:frame="1"/>
          <w:lang w:eastAsia="es-CO"/>
        </w:rPr>
        <w:t xml:space="preserve"> 2020, «Por la cual se adoptan los documentos tipo para los procesos de selección de concursos de méritos, para contratar la interventoría de obras públicas de infraestructura de transporte»</w:t>
      </w:r>
      <w:r w:rsidR="003F04F6">
        <w:rPr>
          <w:rFonts w:ascii="Arial" w:hAnsi="Arial" w:cs="Arial"/>
          <w:color w:val="0D0D0D"/>
          <w:sz w:val="22"/>
          <w:bdr w:val="none" w:sz="0" w:space="0" w:color="auto" w:frame="1"/>
          <w:lang w:eastAsia="es-CO"/>
        </w:rPr>
        <w:t>.</w:t>
      </w:r>
      <w:r w:rsidR="00EF1123">
        <w:rPr>
          <w:rFonts w:ascii="Arial" w:hAnsi="Arial" w:cs="Arial"/>
          <w:color w:val="0D0D0D"/>
          <w:sz w:val="22"/>
          <w:bdr w:val="none" w:sz="0" w:space="0" w:color="auto" w:frame="1"/>
          <w:lang w:eastAsia="es-CO"/>
        </w:rPr>
        <w:t xml:space="preserve"> </w:t>
      </w:r>
      <w:r w:rsidR="00592379" w:rsidRPr="0043040E">
        <w:rPr>
          <w:rFonts w:ascii="Arial" w:hAnsi="Arial" w:cs="Arial"/>
          <w:color w:val="0D0D0D"/>
          <w:sz w:val="22"/>
          <w:bdr w:val="none" w:sz="0" w:space="0" w:color="auto" w:frame="1"/>
          <w:lang w:eastAsia="es-CO"/>
        </w:rPr>
        <w:t> </w:t>
      </w:r>
      <w:r w:rsidR="00416130">
        <w:rPr>
          <w:rStyle w:val="normaltextrun"/>
          <w:rFonts w:ascii="Arial" w:hAnsi="Arial" w:cs="Arial"/>
          <w:color w:val="000000"/>
          <w:sz w:val="22"/>
          <w:shd w:val="clear" w:color="auto" w:fill="FFFFFF"/>
          <w:lang w:val="es-ES_tradnl"/>
        </w:rPr>
        <w:t xml:space="preserve">Las actividades </w:t>
      </w:r>
      <w:r w:rsidR="009B6DF2">
        <w:rPr>
          <w:rStyle w:val="normaltextrun"/>
          <w:rFonts w:ascii="Arial" w:hAnsi="Arial" w:cs="Arial"/>
          <w:color w:val="000000"/>
          <w:sz w:val="22"/>
          <w:shd w:val="clear" w:color="auto" w:fill="FFFFFF"/>
          <w:lang w:val="es-ES_tradnl"/>
        </w:rPr>
        <w:t>en las que aplica el documento tipo</w:t>
      </w:r>
      <w:r w:rsidR="00DF30DA">
        <w:rPr>
          <w:rStyle w:val="normaltextrun"/>
          <w:rFonts w:ascii="Arial" w:hAnsi="Arial" w:cs="Arial"/>
          <w:color w:val="000000"/>
          <w:sz w:val="22"/>
          <w:shd w:val="clear" w:color="auto" w:fill="FFFFFF"/>
          <w:lang w:val="es-ES_tradnl"/>
        </w:rPr>
        <w:t xml:space="preserve"> </w:t>
      </w:r>
      <w:r w:rsidR="009B6DF2">
        <w:rPr>
          <w:rStyle w:val="normaltextrun"/>
          <w:rFonts w:ascii="Arial" w:hAnsi="Arial" w:cs="Arial"/>
          <w:color w:val="000000"/>
          <w:sz w:val="22"/>
          <w:shd w:val="clear" w:color="auto" w:fill="FFFFFF"/>
          <w:lang w:val="es-ES_tradnl"/>
        </w:rPr>
        <w:t>están previstas en la</w:t>
      </w:r>
      <w:r w:rsidR="00DF30DA">
        <w:rPr>
          <w:rFonts w:ascii="Arial" w:eastAsia="Calibri" w:hAnsi="Arial" w:cs="Arial"/>
          <w:sz w:val="22"/>
          <w:lang w:val="es-ES_tradnl"/>
        </w:rPr>
        <w:t xml:space="preserve"> </w:t>
      </w:r>
      <w:r w:rsidR="009B6DF2">
        <w:rPr>
          <w:rFonts w:ascii="Arial" w:eastAsia="Calibri" w:hAnsi="Arial" w:cs="Arial"/>
          <w:sz w:val="22"/>
          <w:lang w:val="es-ES_tradnl"/>
        </w:rPr>
        <w:t>«M</w:t>
      </w:r>
      <w:r w:rsidR="00DF30DA">
        <w:rPr>
          <w:rFonts w:ascii="Arial" w:eastAsia="Calibri" w:hAnsi="Arial" w:cs="Arial"/>
          <w:sz w:val="22"/>
          <w:lang w:val="es-ES_tradnl"/>
        </w:rPr>
        <w:t>atriz 1 – Experiencia</w:t>
      </w:r>
      <w:r w:rsidR="009B6DF2">
        <w:rPr>
          <w:rFonts w:ascii="Arial" w:eastAsia="Calibri" w:hAnsi="Arial" w:cs="Arial"/>
          <w:sz w:val="22"/>
          <w:lang w:val="es-ES_tradnl"/>
        </w:rPr>
        <w:t>»</w:t>
      </w:r>
      <w:r w:rsidR="00DF30DA">
        <w:rPr>
          <w:rFonts w:ascii="Arial" w:eastAsia="Calibri" w:hAnsi="Arial" w:cs="Arial"/>
          <w:sz w:val="22"/>
          <w:lang w:val="es-ES_tradnl"/>
        </w:rPr>
        <w:t xml:space="preserve">, entre las que se encuentran: i) interventoría a obras en vías primarias o secundarias; ii) interventoría a obras terciarias; iii) interventoría a obras marítimas y fluviales; iv) interventoría a obras en vías primarias y secundarias o terciarias o urbanas para atención, prevención o mitigación de emergencias diferentes a contratación directa; v) interventoría a obras férreas; vi) interventoría a obras de infraestructura vial urbana; vii) interventoría a obras en puentes; y viii) interventoría a obras aeroportuarias. En este orden, se le informa que el documento tipo adoptado por la ANCP-CCE, mediante la Resolución 256 de 2020, es de obligatoria aplicación para la intervención de todo tipo de obras de infraestructura de transporte en las tipologías referidas.  </w:t>
      </w:r>
    </w:p>
    <w:p w14:paraId="2033DF02" w14:textId="37FBCA2B" w:rsidR="00DF30DA" w:rsidRDefault="002C5618" w:rsidP="007E23E6">
      <w:pPr>
        <w:spacing w:line="276" w:lineRule="auto"/>
        <w:ind w:firstLine="708"/>
        <w:jc w:val="both"/>
        <w:rPr>
          <w:rFonts w:ascii="Arial" w:eastAsia="Calibri" w:hAnsi="Arial" w:cs="Arial"/>
          <w:sz w:val="22"/>
          <w:lang w:val="es-ES_tradnl"/>
        </w:rPr>
      </w:pPr>
      <w:r>
        <w:rPr>
          <w:rFonts w:ascii="Arial" w:eastAsia="Calibri" w:hAnsi="Arial" w:cs="Arial"/>
          <w:sz w:val="22"/>
          <w:lang w:val="es-ES_tradnl"/>
        </w:rPr>
        <w:t>Siempre que el objeto esté relacionado con alguna de las actividades mencionadas en el párrafo precedente, los documentos tipo adoptados mediante la</w:t>
      </w:r>
      <w:r w:rsidR="005D239E">
        <w:rPr>
          <w:rFonts w:ascii="Arial" w:eastAsia="Calibri" w:hAnsi="Arial" w:cs="Arial"/>
          <w:sz w:val="22"/>
          <w:lang w:val="es-ES_tradnl"/>
        </w:rPr>
        <w:t xml:space="preserve"> </w:t>
      </w:r>
      <w:r w:rsidR="005D239E" w:rsidRPr="00710989">
        <w:rPr>
          <w:rFonts w:ascii="Arial" w:hAnsi="Arial" w:cs="Arial"/>
          <w:color w:val="0D0D0D"/>
          <w:sz w:val="22"/>
          <w:bdr w:val="none" w:sz="0" w:space="0" w:color="auto" w:frame="1"/>
          <w:lang w:eastAsia="es-CO"/>
        </w:rPr>
        <w:t>Resolución 256 de</w:t>
      </w:r>
      <w:r w:rsidR="005D239E">
        <w:rPr>
          <w:rFonts w:ascii="Arial" w:hAnsi="Arial" w:cs="Arial"/>
          <w:color w:val="0D0D0D"/>
          <w:sz w:val="22"/>
          <w:bdr w:val="none" w:sz="0" w:space="0" w:color="auto" w:frame="1"/>
          <w:lang w:eastAsia="es-CO"/>
        </w:rPr>
        <w:t>l 11 de diciembre de</w:t>
      </w:r>
      <w:r w:rsidR="005D239E" w:rsidRPr="00710989">
        <w:rPr>
          <w:rFonts w:ascii="Arial" w:hAnsi="Arial" w:cs="Arial"/>
          <w:color w:val="0D0D0D"/>
          <w:sz w:val="22"/>
          <w:bdr w:val="none" w:sz="0" w:space="0" w:color="auto" w:frame="1"/>
          <w:lang w:eastAsia="es-CO"/>
        </w:rPr>
        <w:t xml:space="preserve"> 2020</w:t>
      </w:r>
      <w:r w:rsidR="005D239E">
        <w:rPr>
          <w:rFonts w:ascii="Arial" w:hAnsi="Arial" w:cs="Arial"/>
          <w:color w:val="0D0D0D"/>
          <w:sz w:val="22"/>
          <w:bdr w:val="none" w:sz="0" w:space="0" w:color="auto" w:frame="1"/>
          <w:lang w:eastAsia="es-CO"/>
        </w:rPr>
        <w:t xml:space="preserve"> son</w:t>
      </w:r>
      <w:r w:rsidR="00813EFC">
        <w:rPr>
          <w:rFonts w:ascii="Arial" w:eastAsia="Calibri" w:hAnsi="Arial" w:cs="Arial"/>
          <w:sz w:val="22"/>
          <w:lang w:val="es-ES_tradnl"/>
        </w:rPr>
        <w:t xml:space="preserve"> obligatorio</w:t>
      </w:r>
      <w:r w:rsidR="005D239E">
        <w:rPr>
          <w:rFonts w:ascii="Arial" w:eastAsia="Calibri" w:hAnsi="Arial" w:cs="Arial"/>
          <w:sz w:val="22"/>
          <w:lang w:val="es-ES_tradnl"/>
        </w:rPr>
        <w:t>s</w:t>
      </w:r>
      <w:r w:rsidR="00813EFC">
        <w:rPr>
          <w:rFonts w:ascii="Arial" w:eastAsia="Calibri" w:hAnsi="Arial" w:cs="Arial"/>
          <w:sz w:val="22"/>
          <w:lang w:val="es-ES_tradnl"/>
        </w:rPr>
        <w:t xml:space="preserve"> para las entidades sometidas a la Ley 80 de 1993 que </w:t>
      </w:r>
      <w:r w:rsidR="005A7802">
        <w:rPr>
          <w:rFonts w:ascii="Arial" w:eastAsia="Calibri" w:hAnsi="Arial" w:cs="Arial"/>
          <w:sz w:val="22"/>
          <w:lang w:val="es-ES_tradnl"/>
        </w:rPr>
        <w:t xml:space="preserve">contraten la interventoría de obras públicas de infraestructura de transporte </w:t>
      </w:r>
      <w:r w:rsidR="006865D3">
        <w:rPr>
          <w:rFonts w:ascii="Arial" w:eastAsia="Calibri" w:hAnsi="Arial" w:cs="Arial"/>
          <w:sz w:val="22"/>
          <w:lang w:val="es-ES_tradnl"/>
        </w:rPr>
        <w:t>a través de concurso de méritos</w:t>
      </w:r>
      <w:r w:rsidR="00536DF2">
        <w:rPr>
          <w:rFonts w:ascii="Arial" w:eastAsia="Calibri" w:hAnsi="Arial" w:cs="Arial"/>
          <w:sz w:val="22"/>
          <w:lang w:val="es-ES_tradnl"/>
        </w:rPr>
        <w:t xml:space="preserve">. </w:t>
      </w:r>
      <w:r w:rsidR="00DF30DA">
        <w:rPr>
          <w:rFonts w:ascii="Arial" w:eastAsia="Calibri" w:hAnsi="Arial" w:cs="Arial"/>
          <w:sz w:val="22"/>
          <w:lang w:val="es-ES_tradnl"/>
        </w:rPr>
        <w:t xml:space="preserve">Por lo tanto, </w:t>
      </w:r>
      <w:r w:rsidR="00B06F05">
        <w:rPr>
          <w:rFonts w:ascii="Arial" w:eastAsia="Calibri" w:hAnsi="Arial" w:cs="Arial"/>
          <w:sz w:val="22"/>
          <w:lang w:val="es-ES_tradnl"/>
        </w:rPr>
        <w:t xml:space="preserve">para la interventoría de </w:t>
      </w:r>
      <w:r w:rsidR="00467E34">
        <w:rPr>
          <w:rFonts w:ascii="Arial" w:eastAsia="Calibri" w:hAnsi="Arial" w:cs="Arial"/>
          <w:sz w:val="22"/>
          <w:lang w:val="es-ES_tradnl"/>
        </w:rPr>
        <w:t>obras distintas a las de infraestructura de transporte</w:t>
      </w:r>
      <w:r w:rsidR="00DF30DA">
        <w:rPr>
          <w:rFonts w:ascii="Arial" w:eastAsia="Calibri" w:hAnsi="Arial" w:cs="Arial"/>
          <w:sz w:val="22"/>
          <w:lang w:val="es-ES_tradnl"/>
        </w:rPr>
        <w:t xml:space="preserve"> no </w:t>
      </w:r>
      <w:r w:rsidR="00467E34">
        <w:rPr>
          <w:rFonts w:ascii="Arial" w:eastAsia="Calibri" w:hAnsi="Arial" w:cs="Arial"/>
          <w:sz w:val="22"/>
          <w:lang w:val="es-ES_tradnl"/>
        </w:rPr>
        <w:t>existe obligación de</w:t>
      </w:r>
      <w:r w:rsidR="00DF30DA">
        <w:rPr>
          <w:rFonts w:ascii="Arial" w:eastAsia="Calibri" w:hAnsi="Arial" w:cs="Arial"/>
          <w:sz w:val="22"/>
          <w:lang w:val="es-ES_tradnl"/>
        </w:rPr>
        <w:t xml:space="preserve"> aplicar </w:t>
      </w:r>
      <w:r w:rsidR="000300EE">
        <w:rPr>
          <w:rFonts w:ascii="Arial" w:eastAsia="Calibri" w:hAnsi="Arial" w:cs="Arial"/>
          <w:sz w:val="22"/>
          <w:lang w:val="es-ES_tradnl"/>
        </w:rPr>
        <w:t xml:space="preserve">los documentos tipo </w:t>
      </w:r>
      <w:r w:rsidR="000300EE">
        <w:rPr>
          <w:rFonts w:ascii="Arial" w:eastAsia="Calibri" w:hAnsi="Arial" w:cs="Arial"/>
          <w:sz w:val="22"/>
          <w:lang w:val="es-ES_tradnl"/>
        </w:rPr>
        <w:lastRenderedPageBreak/>
        <w:t>mencionados</w:t>
      </w:r>
      <w:r w:rsidR="00BA5DBE">
        <w:rPr>
          <w:rFonts w:ascii="Arial" w:eastAsia="Calibri" w:hAnsi="Arial" w:cs="Arial"/>
          <w:sz w:val="22"/>
          <w:lang w:val="es-ES_tradnl"/>
        </w:rPr>
        <w:t xml:space="preserve">, </w:t>
      </w:r>
      <w:r w:rsidR="000011A5">
        <w:rPr>
          <w:rFonts w:ascii="Arial" w:eastAsia="Calibri" w:hAnsi="Arial" w:cs="Arial"/>
          <w:sz w:val="22"/>
          <w:lang w:val="es-ES_tradnl"/>
        </w:rPr>
        <w:t>sin perjuicio de que puedan utilizarse</w:t>
      </w:r>
      <w:r w:rsidR="00DF30DA">
        <w:rPr>
          <w:rFonts w:ascii="Arial" w:eastAsia="Calibri" w:hAnsi="Arial" w:cs="Arial"/>
          <w:sz w:val="22"/>
          <w:lang w:val="es-ES_tradnl"/>
        </w:rPr>
        <w:t xml:space="preserve"> como un parámetro de buena práctica</w:t>
      </w:r>
      <w:r w:rsidR="007D0F62">
        <w:rPr>
          <w:rFonts w:ascii="Arial" w:eastAsia="Calibri" w:hAnsi="Arial" w:cs="Arial"/>
          <w:sz w:val="22"/>
          <w:lang w:val="es-ES_tradnl"/>
        </w:rPr>
        <w:t xml:space="preserve"> contractual en e</w:t>
      </w:r>
      <w:r w:rsidR="00DF30DA">
        <w:rPr>
          <w:rFonts w:ascii="Arial" w:eastAsia="Calibri" w:hAnsi="Arial" w:cs="Arial"/>
          <w:sz w:val="22"/>
          <w:lang w:val="es-ES_tradnl"/>
        </w:rPr>
        <w:t>l sistema de compra</w:t>
      </w:r>
      <w:r w:rsidR="007D0F62">
        <w:rPr>
          <w:rFonts w:ascii="Arial" w:eastAsia="Calibri" w:hAnsi="Arial" w:cs="Arial"/>
          <w:sz w:val="22"/>
          <w:lang w:val="es-ES_tradnl"/>
        </w:rPr>
        <w:t>s</w:t>
      </w:r>
      <w:r w:rsidR="00DF30DA">
        <w:rPr>
          <w:rFonts w:ascii="Arial" w:eastAsia="Calibri" w:hAnsi="Arial" w:cs="Arial"/>
          <w:sz w:val="22"/>
          <w:lang w:val="es-ES_tradnl"/>
        </w:rPr>
        <w:t xml:space="preserve"> pública</w:t>
      </w:r>
      <w:r w:rsidR="007D0F62">
        <w:rPr>
          <w:rFonts w:ascii="Arial" w:eastAsia="Calibri" w:hAnsi="Arial" w:cs="Arial"/>
          <w:sz w:val="22"/>
          <w:lang w:val="es-ES_tradnl"/>
        </w:rPr>
        <w:t>s</w:t>
      </w:r>
      <w:r w:rsidR="00DF30DA">
        <w:rPr>
          <w:rFonts w:ascii="Arial" w:eastAsia="Calibri" w:hAnsi="Arial" w:cs="Arial"/>
          <w:sz w:val="22"/>
          <w:lang w:val="es-ES_tradnl"/>
        </w:rPr>
        <w:t xml:space="preserve">. </w:t>
      </w:r>
    </w:p>
    <w:bookmarkEnd w:id="8"/>
    <w:p w14:paraId="51879D80" w14:textId="77777777" w:rsidR="007E23E6" w:rsidRDefault="007E23E6" w:rsidP="0078356A">
      <w:pPr>
        <w:spacing w:line="276" w:lineRule="auto"/>
        <w:ind w:firstLine="708"/>
        <w:jc w:val="both"/>
        <w:rPr>
          <w:rFonts w:ascii="Arial" w:eastAsia="Calibri" w:hAnsi="Arial" w:cs="Arial"/>
          <w:sz w:val="22"/>
          <w:lang w:val="es-ES_tradnl"/>
        </w:rPr>
      </w:pPr>
    </w:p>
    <w:p w14:paraId="2D6C73A5" w14:textId="77777777" w:rsidR="007E23E6" w:rsidRDefault="007E23E6" w:rsidP="007E23E6">
      <w:pPr>
        <w:shd w:val="clear" w:color="auto" w:fill="FFFFFF"/>
        <w:spacing w:line="276" w:lineRule="auto"/>
        <w:jc w:val="both"/>
        <w:textAlignment w:val="baseline"/>
        <w:rPr>
          <w:rFonts w:ascii="Arial" w:hAnsi="Arial" w:cs="Arial"/>
          <w:b/>
          <w:bCs/>
          <w:color w:val="000000"/>
          <w:sz w:val="22"/>
          <w:lang w:eastAsia="es-CO"/>
        </w:rPr>
      </w:pPr>
      <w:r w:rsidRPr="00CA5C6B">
        <w:rPr>
          <w:rFonts w:ascii="Arial" w:hAnsi="Arial" w:cs="Arial"/>
          <w:b/>
          <w:bCs/>
          <w:color w:val="000000"/>
          <w:sz w:val="22"/>
          <w:lang w:eastAsia="es-CO"/>
        </w:rPr>
        <w:t xml:space="preserve">2.2. Inalterabilidad de los </w:t>
      </w:r>
      <w:r>
        <w:rPr>
          <w:rFonts w:ascii="Arial" w:hAnsi="Arial" w:cs="Arial"/>
          <w:b/>
          <w:bCs/>
          <w:color w:val="000000"/>
          <w:sz w:val="22"/>
          <w:lang w:eastAsia="es-CO"/>
        </w:rPr>
        <w:t>«D</w:t>
      </w:r>
      <w:r w:rsidRPr="00CA5C6B">
        <w:rPr>
          <w:rFonts w:ascii="Arial" w:hAnsi="Arial" w:cs="Arial"/>
          <w:b/>
          <w:bCs/>
          <w:color w:val="000000"/>
          <w:sz w:val="22"/>
          <w:lang w:eastAsia="es-CO"/>
        </w:rPr>
        <w:t xml:space="preserve">ocumentos </w:t>
      </w:r>
      <w:r>
        <w:rPr>
          <w:rFonts w:ascii="Arial" w:hAnsi="Arial" w:cs="Arial"/>
          <w:b/>
          <w:bCs/>
          <w:color w:val="000000"/>
          <w:sz w:val="22"/>
          <w:lang w:eastAsia="es-CO"/>
        </w:rPr>
        <w:t>T</w:t>
      </w:r>
      <w:r w:rsidRPr="00CA5C6B">
        <w:rPr>
          <w:rFonts w:ascii="Arial" w:hAnsi="Arial" w:cs="Arial"/>
          <w:b/>
          <w:bCs/>
          <w:color w:val="000000"/>
          <w:sz w:val="22"/>
          <w:lang w:eastAsia="es-CO"/>
        </w:rPr>
        <w:t>ipo</w:t>
      </w:r>
      <w:r>
        <w:rPr>
          <w:rFonts w:ascii="Arial" w:hAnsi="Arial" w:cs="Arial"/>
          <w:b/>
          <w:bCs/>
          <w:color w:val="000000"/>
          <w:sz w:val="22"/>
          <w:lang w:eastAsia="es-CO"/>
        </w:rPr>
        <w:t xml:space="preserve"> – Versión 3» de licitación para obra pública de infraestructura de transporte</w:t>
      </w:r>
      <w:r w:rsidRPr="00CA5C6B">
        <w:rPr>
          <w:rFonts w:ascii="Arial" w:hAnsi="Arial" w:cs="Arial"/>
          <w:b/>
          <w:bCs/>
          <w:color w:val="000000"/>
          <w:sz w:val="22"/>
          <w:lang w:eastAsia="es-CO"/>
        </w:rPr>
        <w:t xml:space="preserve"> y sus excepciones </w:t>
      </w:r>
    </w:p>
    <w:p w14:paraId="349D43EE" w14:textId="77777777" w:rsidR="007E23E6" w:rsidRDefault="007E23E6" w:rsidP="007E23E6">
      <w:pPr>
        <w:shd w:val="clear" w:color="auto" w:fill="FFFFFF"/>
        <w:spacing w:line="276" w:lineRule="auto"/>
        <w:textAlignment w:val="baseline"/>
        <w:rPr>
          <w:rFonts w:ascii="Arial" w:hAnsi="Arial" w:cs="Arial"/>
          <w:b/>
          <w:bCs/>
          <w:color w:val="000000"/>
          <w:sz w:val="22"/>
          <w:lang w:eastAsia="es-CO"/>
        </w:rPr>
      </w:pPr>
    </w:p>
    <w:p w14:paraId="60A936FA" w14:textId="77777777" w:rsidR="00D7261C" w:rsidRPr="00F476B4" w:rsidRDefault="00D7261C" w:rsidP="00D7261C">
      <w:pPr>
        <w:shd w:val="clear" w:color="auto" w:fill="FFFFFF"/>
        <w:spacing w:line="276" w:lineRule="auto"/>
        <w:jc w:val="both"/>
        <w:textAlignment w:val="baseline"/>
        <w:rPr>
          <w:rFonts w:ascii="Arial" w:hAnsi="Arial" w:cs="Arial"/>
          <w:b/>
          <w:bCs/>
          <w:color w:val="000000"/>
          <w:sz w:val="22"/>
          <w:lang w:eastAsia="es-CO"/>
        </w:rPr>
      </w:pPr>
      <w:r>
        <w:rPr>
          <w:rFonts w:ascii="Arial" w:hAnsi="Arial" w:cs="Arial"/>
          <w:bCs/>
          <w:sz w:val="22"/>
          <w:lang w:val="es-ES_tradnl"/>
        </w:rPr>
        <w:t>El</w:t>
      </w:r>
      <w:r w:rsidRPr="00CA5C6B">
        <w:rPr>
          <w:rFonts w:ascii="Arial" w:hAnsi="Arial" w:cs="Arial"/>
          <w:bCs/>
          <w:sz w:val="22"/>
          <w:lang w:val="es-ES_tradnl"/>
        </w:rPr>
        <w:t xml:space="preserve"> artículo 2.2.1.2.6.1.4</w:t>
      </w:r>
      <w:r>
        <w:rPr>
          <w:rFonts w:ascii="Arial" w:hAnsi="Arial" w:cs="Arial"/>
          <w:bCs/>
          <w:sz w:val="22"/>
          <w:lang w:val="es-ES_tradnl"/>
        </w:rPr>
        <w:t xml:space="preserve"> del Decreto 1082 de 2015 establece</w:t>
      </w:r>
      <w:r w:rsidRPr="00CA5C6B">
        <w:rPr>
          <w:rFonts w:ascii="Arial" w:hAnsi="Arial" w:cs="Arial"/>
          <w:bCs/>
          <w:sz w:val="22"/>
          <w:lang w:val="es-ES_tradnl"/>
        </w:rPr>
        <w:t xml:space="preserv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CA5C6B">
        <w:rPr>
          <w:rStyle w:val="Refdenotaalpie"/>
          <w:rFonts w:ascii="Arial" w:hAnsi="Arial" w:cs="Arial"/>
          <w:bCs/>
          <w:sz w:val="22"/>
          <w:lang w:val="es-ES_tradnl"/>
        </w:rPr>
        <w:footnoteReference w:id="7"/>
      </w:r>
      <w:r w:rsidRPr="00CA5C6B">
        <w:rPr>
          <w:rFonts w:ascii="Arial" w:hAnsi="Arial" w:cs="Arial"/>
          <w:bCs/>
          <w:sz w:val="22"/>
          <w:lang w:val="es-ES_tradnl"/>
        </w:rPr>
        <w:t>. En consecuencia</w:t>
      </w:r>
      <w:bookmarkStart w:id="9" w:name="_Hlk64290904"/>
      <w:r w:rsidRPr="00CA5C6B">
        <w:rPr>
          <w:rFonts w:ascii="Arial" w:hAnsi="Arial" w:cs="Arial"/>
          <w:bCs/>
          <w:sz w:val="22"/>
          <w:lang w:val="es-ES_tradnl"/>
        </w:rPr>
        <w:t>, las condiciones que sean establecidas en los documentos que adopte el Gobierno Nacional, en ejercicio del mandato establecido en el artículo 1 de la Ley 2022 de 2020, como se dijo en el numeral anterior, son de obligatorio cumplimiento para las entidades sometidas al Estatuto General de Contratación de la Administración pública que adelanten procesos que deban regirse por su contenido y no pueden variarse los requisitos que en ellos sean fijados.</w:t>
      </w:r>
      <w:bookmarkEnd w:id="9"/>
      <w:r w:rsidRPr="00CA5C6B">
        <w:rPr>
          <w:rFonts w:ascii="Arial" w:hAnsi="Arial" w:cs="Arial"/>
          <w:bCs/>
          <w:sz w:val="22"/>
          <w:lang w:val="es-ES_tradnl"/>
        </w:rPr>
        <w:t xml:space="preserve"> </w:t>
      </w:r>
    </w:p>
    <w:p w14:paraId="56AEEC1C" w14:textId="77777777" w:rsidR="00D7261C" w:rsidRPr="00CA5C6B" w:rsidRDefault="00D7261C" w:rsidP="00D7261C">
      <w:pPr>
        <w:spacing w:before="120" w:line="276" w:lineRule="auto"/>
        <w:ind w:firstLine="709"/>
        <w:jc w:val="both"/>
        <w:rPr>
          <w:rFonts w:ascii="Arial" w:hAnsi="Arial" w:cs="Arial"/>
          <w:bCs/>
          <w:sz w:val="22"/>
          <w:lang w:val="es-ES_tradnl"/>
        </w:rPr>
      </w:pPr>
      <w:r w:rsidRPr="00CA5C6B">
        <w:rPr>
          <w:rFonts w:ascii="Arial" w:hAnsi="Arial" w:cs="Arial"/>
          <w:bCs/>
          <w:sz w:val="22"/>
          <w:lang w:val="es-ES_tradnl"/>
        </w:rPr>
        <w:t xml:space="preserve">Esta prohibición la ratifica el artículo 3 de la </w:t>
      </w:r>
      <w:r>
        <w:rPr>
          <w:rFonts w:ascii="Arial" w:hAnsi="Arial" w:cs="Arial"/>
          <w:bCs/>
          <w:sz w:val="22"/>
          <w:lang w:val="es-ES_tradnl"/>
        </w:rPr>
        <w:t>R</w:t>
      </w:r>
      <w:r w:rsidRPr="00CA5C6B">
        <w:rPr>
          <w:rFonts w:ascii="Arial" w:hAnsi="Arial" w:cs="Arial"/>
          <w:bCs/>
          <w:sz w:val="22"/>
          <w:lang w:val="es-ES_tradnl"/>
        </w:rPr>
        <w:t>esoluci</w:t>
      </w:r>
      <w:r>
        <w:rPr>
          <w:rFonts w:ascii="Arial" w:hAnsi="Arial" w:cs="Arial"/>
          <w:bCs/>
          <w:sz w:val="22"/>
          <w:lang w:val="es-ES_tradnl"/>
        </w:rPr>
        <w:t>ón</w:t>
      </w:r>
      <w:r w:rsidRPr="00CA5C6B">
        <w:rPr>
          <w:rFonts w:ascii="Arial" w:hAnsi="Arial" w:cs="Arial"/>
          <w:bCs/>
          <w:sz w:val="22"/>
          <w:lang w:val="es-ES_tradnl"/>
        </w:rPr>
        <w:t xml:space="preserve"> No. 240 de 2020, por medio de las que se </w:t>
      </w:r>
      <w:r>
        <w:rPr>
          <w:rFonts w:ascii="Arial" w:hAnsi="Arial" w:cs="Arial"/>
          <w:bCs/>
          <w:sz w:val="22"/>
          <w:lang w:val="es-ES_tradnl"/>
        </w:rPr>
        <w:t>implementan</w:t>
      </w:r>
      <w:r w:rsidRPr="00CA5C6B">
        <w:rPr>
          <w:rFonts w:ascii="Arial" w:hAnsi="Arial" w:cs="Arial"/>
          <w:bCs/>
          <w:sz w:val="22"/>
          <w:lang w:val="es-ES_tradnl"/>
        </w:rPr>
        <w:t xml:space="preserve"> los documentos tipo para </w:t>
      </w:r>
      <w:r>
        <w:rPr>
          <w:rFonts w:ascii="Arial" w:hAnsi="Arial" w:cs="Arial"/>
          <w:bCs/>
          <w:sz w:val="22"/>
          <w:lang w:val="es-ES_tradnl"/>
        </w:rPr>
        <w:t>esta</w:t>
      </w:r>
      <w:r w:rsidRPr="00CA5C6B">
        <w:rPr>
          <w:rFonts w:ascii="Arial" w:hAnsi="Arial" w:cs="Arial"/>
          <w:bCs/>
          <w:sz w:val="22"/>
          <w:lang w:val="es-ES_tradnl"/>
        </w:rPr>
        <w:t xml:space="preserve">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p w14:paraId="0FA4DF77" w14:textId="77777777" w:rsidR="00D7261C" w:rsidRPr="00CA5C6B" w:rsidRDefault="00D7261C" w:rsidP="00D7261C">
      <w:pPr>
        <w:spacing w:before="120" w:line="276" w:lineRule="auto"/>
        <w:ind w:firstLine="708"/>
        <w:jc w:val="both"/>
        <w:rPr>
          <w:rFonts w:ascii="Arial" w:hAnsi="Arial" w:cs="Arial"/>
          <w:bCs/>
          <w:sz w:val="22"/>
          <w:lang w:val="es-ES_tradnl"/>
        </w:rPr>
      </w:pPr>
      <w:r w:rsidRPr="00CA5C6B">
        <w:rPr>
          <w:rFonts w:ascii="Arial" w:hAnsi="Arial" w:cs="Arial"/>
          <w:bCs/>
          <w:sz w:val="22"/>
          <w:lang w:val="es-ES_tradnl"/>
        </w:rPr>
        <w:t xml:space="preserve">Además, las entidades estatales deben garantizar el </w:t>
      </w:r>
      <w:r w:rsidRPr="00CA5C6B">
        <w:rPr>
          <w:rFonts w:ascii="Arial" w:hAnsi="Arial" w:cs="Arial"/>
          <w:bCs/>
          <w:i/>
          <w:iCs/>
          <w:sz w:val="22"/>
          <w:lang w:val="es-ES_tradnl"/>
        </w:rPr>
        <w:t>principio de economía</w:t>
      </w:r>
      <w:r w:rsidRPr="00CA5C6B">
        <w:rPr>
          <w:rFonts w:ascii="Arial"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CA5C6B">
        <w:rPr>
          <w:rStyle w:val="Refdenotaalpie"/>
          <w:rFonts w:ascii="Arial" w:hAnsi="Arial" w:cs="Arial"/>
          <w:bCs/>
          <w:sz w:val="22"/>
          <w:lang w:val="es-ES_tradnl"/>
        </w:rPr>
        <w:footnoteReference w:id="8"/>
      </w:r>
      <w:r w:rsidRPr="00CA5C6B">
        <w:rPr>
          <w:rFonts w:ascii="Arial" w:hAnsi="Arial" w:cs="Arial"/>
          <w:bCs/>
          <w:sz w:val="22"/>
          <w:lang w:val="es-ES_tradnl"/>
        </w:rPr>
        <w:t xml:space="preserve"> sino además en la normativa antitrámites</w:t>
      </w:r>
      <w:r>
        <w:rPr>
          <w:rFonts w:ascii="Arial" w:hAnsi="Arial" w:cs="Arial"/>
          <w:bCs/>
          <w:sz w:val="22"/>
          <w:lang w:val="es-ES_tradnl"/>
        </w:rPr>
        <w:t>,</w:t>
      </w:r>
      <w:r w:rsidRPr="00CA5C6B">
        <w:rPr>
          <w:rFonts w:ascii="Arial" w:hAnsi="Arial" w:cs="Arial"/>
          <w:bCs/>
          <w:sz w:val="22"/>
          <w:lang w:val="es-ES_tradnl"/>
        </w:rPr>
        <w:t xml:space="preserve"> pues se inscribe dentro de </w:t>
      </w:r>
      <w:r w:rsidRPr="00CA5C6B">
        <w:rPr>
          <w:rFonts w:ascii="Arial" w:hAnsi="Arial" w:cs="Arial"/>
          <w:bCs/>
          <w:sz w:val="22"/>
          <w:lang w:val="es-ES_tradnl"/>
        </w:rPr>
        <w:lastRenderedPageBreak/>
        <w:t>la tendencia de simplificación y racionalización de los procedimientos administrativos</w:t>
      </w:r>
      <w:r w:rsidRPr="00CA5C6B">
        <w:rPr>
          <w:rStyle w:val="Refdenotaalpie"/>
          <w:rFonts w:ascii="Arial" w:hAnsi="Arial" w:cs="Arial"/>
          <w:bCs/>
          <w:sz w:val="22"/>
          <w:lang w:val="es-ES_tradnl"/>
        </w:rPr>
        <w:footnoteReference w:id="9"/>
      </w:r>
      <w:r w:rsidRPr="00CA5C6B">
        <w:rPr>
          <w:rFonts w:ascii="Arial" w:hAnsi="Arial" w:cs="Arial"/>
          <w:bCs/>
          <w:sz w:val="22"/>
          <w:lang w:val="es-ES_tradnl"/>
        </w:rPr>
        <w:t>. De ahí que cuando las autoridades solicitan la entrega de documentación innecesaria, menoscaban el principio de economía.</w:t>
      </w:r>
    </w:p>
    <w:p w14:paraId="431DA448" w14:textId="697F2F4C" w:rsidR="00D7261C" w:rsidRDefault="00D7261C" w:rsidP="00D7261C">
      <w:pPr>
        <w:spacing w:before="120" w:line="276" w:lineRule="auto"/>
        <w:ind w:firstLine="709"/>
        <w:jc w:val="both"/>
        <w:rPr>
          <w:rFonts w:ascii="Arial" w:hAnsi="Arial" w:cs="Arial"/>
          <w:sz w:val="22"/>
        </w:rPr>
      </w:pPr>
      <w:r w:rsidRPr="00CA5C6B">
        <w:rPr>
          <w:rFonts w:ascii="Arial" w:hAnsi="Arial" w:cs="Arial"/>
          <w:sz w:val="22"/>
        </w:rPr>
        <w:t xml:space="preserve">Por su parte, la parte introductoria de los documentos tipo </w:t>
      </w:r>
      <w:r>
        <w:rPr>
          <w:rFonts w:ascii="Arial" w:hAnsi="Arial" w:cs="Arial"/>
          <w:sz w:val="22"/>
        </w:rPr>
        <w:t>dispone</w:t>
      </w:r>
      <w:r w:rsidRPr="00CA5C6B">
        <w:rPr>
          <w:rFonts w:ascii="Arial" w:hAnsi="Arial" w:cs="Arial"/>
          <w:sz w:val="22"/>
        </w:rPr>
        <w:t xml:space="preserve"> que los aspectos incluidos en corchetes y resaltado gris</w:t>
      </w:r>
      <w:r>
        <w:rPr>
          <w:rFonts w:ascii="Arial" w:hAnsi="Arial" w:cs="Arial"/>
          <w:sz w:val="22"/>
        </w:rPr>
        <w:t xml:space="preserve"> –</w:t>
      </w:r>
      <w:r w:rsidRPr="00BD57F2">
        <w:rPr>
          <w:rFonts w:ascii="Arial" w:hAnsi="Arial" w:cs="Arial"/>
          <w:sz w:val="22"/>
          <w:highlight w:val="lightGray"/>
        </w:rPr>
        <w:t>[texto de ejemplo]</w:t>
      </w:r>
      <w:r>
        <w:rPr>
          <w:rFonts w:ascii="Arial" w:hAnsi="Arial" w:cs="Arial"/>
          <w:sz w:val="22"/>
        </w:rPr>
        <w:t>–</w:t>
      </w:r>
      <w:r w:rsidRPr="00CA5C6B">
        <w:rPr>
          <w:rFonts w:ascii="Arial"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w:t>
      </w:r>
      <w:r w:rsidR="00520CFE" w:rsidRPr="00CA5C6B">
        <w:rPr>
          <w:rFonts w:ascii="Arial" w:hAnsi="Arial" w:cs="Arial"/>
          <w:sz w:val="22"/>
        </w:rPr>
        <w:t>documentos tipo</w:t>
      </w:r>
      <w:r w:rsidRPr="00CA5C6B">
        <w:rPr>
          <w:rFonts w:ascii="Arial" w:hAnsi="Arial" w:cs="Arial"/>
          <w:sz w:val="22"/>
        </w:rPr>
        <w:t xml:space="preserve">, de acuerdo con su necesidad y las instrucciones </w:t>
      </w:r>
      <w:r w:rsidR="00520CFE">
        <w:rPr>
          <w:rFonts w:ascii="Arial" w:hAnsi="Arial" w:cs="Arial"/>
          <w:sz w:val="22"/>
        </w:rPr>
        <w:t>d</w:t>
      </w:r>
      <w:r w:rsidRPr="00CA5C6B">
        <w:rPr>
          <w:rFonts w:ascii="Arial" w:hAnsi="Arial" w:cs="Arial"/>
          <w:sz w:val="22"/>
        </w:rPr>
        <w:t xml:space="preserve">el </w:t>
      </w:r>
      <w:r w:rsidR="00520CFE">
        <w:rPr>
          <w:rFonts w:ascii="Arial" w:hAnsi="Arial" w:cs="Arial"/>
          <w:sz w:val="22"/>
        </w:rPr>
        <w:t>p</w:t>
      </w:r>
      <w:r w:rsidRPr="00CA5C6B">
        <w:rPr>
          <w:rFonts w:ascii="Arial" w:hAnsi="Arial" w:cs="Arial"/>
          <w:sz w:val="22"/>
        </w:rPr>
        <w:t xml:space="preserve">liego. </w:t>
      </w:r>
    </w:p>
    <w:p w14:paraId="63344601" w14:textId="23EE5BF4" w:rsidR="00D7261C" w:rsidRPr="005F293F" w:rsidRDefault="00F51002" w:rsidP="00D7261C">
      <w:pPr>
        <w:spacing w:before="120" w:line="276" w:lineRule="auto"/>
        <w:ind w:firstLine="709"/>
        <w:jc w:val="both"/>
        <w:rPr>
          <w:rFonts w:ascii="Arial" w:hAnsi="Arial" w:cs="Arial"/>
          <w:bCs/>
          <w:sz w:val="22"/>
        </w:rPr>
      </w:pPr>
      <w:r>
        <w:rPr>
          <w:rFonts w:ascii="Arial" w:hAnsi="Arial" w:cs="Arial"/>
          <w:bCs/>
          <w:sz w:val="22"/>
        </w:rPr>
        <w:t>Debe</w:t>
      </w:r>
      <w:r w:rsidR="00D7261C">
        <w:rPr>
          <w:rFonts w:ascii="Arial" w:hAnsi="Arial" w:cs="Arial"/>
          <w:bCs/>
          <w:sz w:val="22"/>
        </w:rPr>
        <w:t xml:space="preserve"> precisar</w:t>
      </w:r>
      <w:r>
        <w:rPr>
          <w:rFonts w:ascii="Arial" w:hAnsi="Arial" w:cs="Arial"/>
          <w:bCs/>
          <w:sz w:val="22"/>
        </w:rPr>
        <w:t>se</w:t>
      </w:r>
      <w:r w:rsidR="00D7261C">
        <w:rPr>
          <w:rFonts w:ascii="Arial" w:hAnsi="Arial" w:cs="Arial"/>
          <w:bCs/>
          <w:sz w:val="22"/>
        </w:rPr>
        <w:t xml:space="preserve"> que, </w:t>
      </w:r>
      <w:r w:rsidR="00D7261C" w:rsidRPr="00BE6266">
        <w:rPr>
          <w:rFonts w:ascii="Arial" w:hAnsi="Arial" w:cs="Arial"/>
          <w:bCs/>
          <w:sz w:val="22"/>
        </w:rPr>
        <w:t>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676E8B1F" w14:textId="0FBA5C05" w:rsidR="00D7261C" w:rsidRPr="00CA5C6B" w:rsidRDefault="00D7261C" w:rsidP="00D7261C">
      <w:pPr>
        <w:spacing w:before="120" w:line="276" w:lineRule="auto"/>
        <w:ind w:firstLine="709"/>
        <w:jc w:val="both"/>
        <w:rPr>
          <w:rFonts w:ascii="Arial" w:hAnsi="Arial" w:cs="Arial"/>
          <w:sz w:val="22"/>
        </w:rPr>
      </w:pPr>
      <w:r>
        <w:rPr>
          <w:rFonts w:ascii="Arial" w:hAnsi="Arial" w:cs="Arial"/>
          <w:sz w:val="22"/>
        </w:rPr>
        <w:t>Además</w:t>
      </w:r>
      <w:r w:rsidRPr="00CA5C6B">
        <w:rPr>
          <w:rFonts w:ascii="Arial" w:hAnsi="Arial" w:cs="Arial"/>
          <w:sz w:val="22"/>
        </w:rPr>
        <w:t xml:space="preserve">, </w:t>
      </w:r>
      <w:r w:rsidRPr="00F73604">
        <w:rPr>
          <w:rFonts w:ascii="Arial" w:hAnsi="Arial" w:cs="Arial"/>
          <w:sz w:val="22"/>
        </w:rPr>
        <w:t xml:space="preserve">el artículo </w:t>
      </w:r>
      <w:r w:rsidR="007E373E">
        <w:rPr>
          <w:rFonts w:ascii="Arial" w:hAnsi="Arial" w:cs="Arial"/>
          <w:sz w:val="22"/>
        </w:rPr>
        <w:t>4</w:t>
      </w:r>
      <w:r w:rsidRPr="00F73604">
        <w:rPr>
          <w:rFonts w:ascii="Arial" w:hAnsi="Arial" w:cs="Arial"/>
          <w:sz w:val="22"/>
        </w:rPr>
        <w:t xml:space="preserve"> de la Resolución No. 240 de 2020</w:t>
      </w:r>
      <w:r w:rsidRPr="00CA5C6B">
        <w:rPr>
          <w:rFonts w:ascii="Arial" w:hAnsi="Arial" w:cs="Arial"/>
          <w:sz w:val="22"/>
        </w:rPr>
        <w:t xml:space="preserve"> prevé los eventos en los que el objeto contractual incluye bienes o servicios adicionales a la obra pública de infraestructura de transporte</w:t>
      </w:r>
      <w:r w:rsidRPr="00CA5C6B">
        <w:rPr>
          <w:rStyle w:val="Refdenotaalpie"/>
          <w:rFonts w:ascii="Arial" w:hAnsi="Arial" w:cs="Arial"/>
          <w:sz w:val="22"/>
        </w:rPr>
        <w:footnoteReference w:id="10"/>
      </w:r>
      <w:r w:rsidRPr="00CA5C6B">
        <w:rPr>
          <w:rFonts w:ascii="Arial" w:hAnsi="Arial" w:cs="Arial"/>
          <w:sz w:val="22"/>
        </w:rPr>
        <w:t xml:space="preserve">. En este caso, la entidad estatal puede complementar </w:t>
      </w:r>
      <w:r w:rsidRPr="00CA5C6B">
        <w:rPr>
          <w:rFonts w:ascii="Arial" w:hAnsi="Arial" w:cs="Arial"/>
          <w:sz w:val="22"/>
        </w:rPr>
        <w:lastRenderedPageBreak/>
        <w:t xml:space="preserve">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w:t>
      </w:r>
      <w:r w:rsidRPr="00F2200B">
        <w:rPr>
          <w:rFonts w:ascii="Arial" w:hAnsi="Arial" w:cs="Arial"/>
          <w:sz w:val="22"/>
        </w:rPr>
        <w:t>de tal manera que la experiencia adicional que se exija para tales bienes o servicios procure la pluralidad de oferentes, y no limite la concurrencia de proponentes al proceso de contratación</w:t>
      </w:r>
      <w:r w:rsidRPr="00CA5C6B">
        <w:rPr>
          <w:rFonts w:ascii="Arial" w:hAnsi="Arial" w:cs="Arial"/>
          <w:sz w:val="22"/>
        </w:rPr>
        <w:t xml:space="preserve">, ii) conservar los requisitos exigidos en los documentos tipo, iii) abstenerse de pedir experiencia exclusiva con entidades estatales, experiencia previa en un territorio específico, limitada en el tiempo o que incluya volúmenes o cantidades de obra específica, </w:t>
      </w:r>
      <w:r w:rsidR="001704D7">
        <w:rPr>
          <w:rFonts w:ascii="Arial" w:hAnsi="Arial" w:cs="Arial"/>
          <w:sz w:val="22"/>
        </w:rPr>
        <w:t xml:space="preserve">y </w:t>
      </w:r>
      <w:r w:rsidRPr="00CA5C6B">
        <w:rPr>
          <w:rFonts w:ascii="Arial" w:hAnsi="Arial" w:cs="Arial"/>
          <w:sz w:val="22"/>
        </w:rPr>
        <w:t xml:space="preserve">iv) clasificar la experiencia requerida solo hasta el tercer nivel del Clasificador de Bienes y Servicios e incluir exclusivamente los códigos que estén relacionados directamente con el objeto a contratar. </w:t>
      </w:r>
    </w:p>
    <w:p w14:paraId="16DC20A5" w14:textId="77777777" w:rsidR="00D7261C" w:rsidRPr="00CA5C6B" w:rsidRDefault="00D7261C" w:rsidP="00D7261C">
      <w:pPr>
        <w:spacing w:before="120" w:line="276" w:lineRule="auto"/>
        <w:ind w:firstLine="709"/>
        <w:jc w:val="both"/>
        <w:rPr>
          <w:rFonts w:ascii="Arial" w:hAnsi="Arial" w:cs="Arial"/>
          <w:bCs/>
          <w:sz w:val="22"/>
        </w:rPr>
      </w:pPr>
      <w:r w:rsidRPr="00CA5C6B">
        <w:rPr>
          <w:rFonts w:ascii="Arial" w:hAnsi="Arial"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w:t>
      </w:r>
      <w:r>
        <w:rPr>
          <w:rFonts w:ascii="Arial" w:hAnsi="Arial" w:cs="Arial"/>
          <w:bCs/>
          <w:sz w:val="22"/>
        </w:rPr>
        <w:t>. Lo anterior, salvo que</w:t>
      </w:r>
      <w:r w:rsidRPr="00CA5C6B">
        <w:rPr>
          <w:rFonts w:ascii="Arial" w:hAnsi="Arial" w:cs="Arial"/>
          <w:bCs/>
          <w:sz w:val="22"/>
        </w:rPr>
        <w:t xml:space="preserve"> el objeto contractual incluy</w:t>
      </w:r>
      <w:r>
        <w:rPr>
          <w:rFonts w:ascii="Arial" w:hAnsi="Arial" w:cs="Arial"/>
          <w:bCs/>
          <w:sz w:val="22"/>
        </w:rPr>
        <w:t>a</w:t>
      </w:r>
      <w:r w:rsidRPr="00CA5C6B">
        <w:rPr>
          <w:rFonts w:ascii="Arial" w:hAnsi="Arial" w:cs="Arial"/>
          <w:bCs/>
          <w:sz w:val="22"/>
        </w:rPr>
        <w:t xml:space="preserve"> bienes o servicios ajenos a la obra pública de infraestructura de transporte, caso en el que se podrá incluir experiencia adicional</w:t>
      </w:r>
      <w:r>
        <w:rPr>
          <w:rFonts w:ascii="Arial" w:hAnsi="Arial" w:cs="Arial"/>
          <w:bCs/>
          <w:sz w:val="22"/>
        </w:rPr>
        <w:t xml:space="preserve"> de manera excepcional</w:t>
      </w:r>
      <w:r w:rsidRPr="00CA5C6B">
        <w:rPr>
          <w:rFonts w:ascii="Arial" w:hAnsi="Arial" w:cs="Arial"/>
          <w:bCs/>
          <w:sz w:val="22"/>
        </w:rPr>
        <w:t xml:space="preserve">; y, además, cuando el pliego tipo de forma expresa lo </w:t>
      </w:r>
      <w:r>
        <w:rPr>
          <w:rFonts w:ascii="Arial" w:hAnsi="Arial" w:cs="Arial"/>
          <w:bCs/>
          <w:sz w:val="22"/>
        </w:rPr>
        <w:t>permita</w:t>
      </w:r>
      <w:r w:rsidRPr="00CA5C6B">
        <w:rPr>
          <w:rFonts w:ascii="Arial" w:hAnsi="Arial" w:cs="Arial"/>
          <w:bCs/>
          <w:sz w:val="22"/>
        </w:rPr>
        <w:t>, es decir, en los aspectos incluidos en corchetes y resaltados en gris.</w:t>
      </w:r>
      <w:r>
        <w:rPr>
          <w:rFonts w:ascii="Arial" w:hAnsi="Arial" w:cs="Arial"/>
          <w:bCs/>
          <w:sz w:val="22"/>
        </w:rPr>
        <w:t xml:space="preserve"> </w:t>
      </w:r>
    </w:p>
    <w:p w14:paraId="78BA3DC1" w14:textId="0A4A6088" w:rsidR="007E23E6" w:rsidRPr="0078356A" w:rsidRDefault="00D7261C" w:rsidP="0078356A">
      <w:pPr>
        <w:spacing w:before="120" w:after="120" w:line="276" w:lineRule="auto"/>
        <w:ind w:firstLine="709"/>
        <w:jc w:val="both"/>
        <w:rPr>
          <w:rFonts w:ascii="Arial" w:hAnsi="Arial" w:cs="Arial"/>
          <w:bCs/>
          <w:sz w:val="22"/>
        </w:rPr>
      </w:pPr>
      <w:r w:rsidRPr="00CA5C6B">
        <w:rPr>
          <w:rFonts w:ascii="Arial" w:hAnsi="Arial" w:cs="Arial"/>
          <w:bCs/>
          <w:sz w:val="22"/>
        </w:rPr>
        <w:t xml:space="preserve">Este principio de inalterabilidad también es aplicable a los formatos y anexos implementados junto con el «Documento Base», los cuales deben ser usados para desarrollar el procedimiento de contratación y que los proponentes acrediten los diferentes requisitos establecidos para participar en </w:t>
      </w:r>
      <w:r w:rsidR="00EB3D8C">
        <w:rPr>
          <w:rFonts w:ascii="Arial" w:hAnsi="Arial" w:cs="Arial"/>
          <w:bCs/>
          <w:sz w:val="22"/>
        </w:rPr>
        <w:t>el proceso de selección</w:t>
      </w:r>
      <w:r w:rsidRPr="00CA5C6B">
        <w:rPr>
          <w:rFonts w:ascii="Arial" w:hAnsi="Arial" w:cs="Arial"/>
          <w:bCs/>
          <w:sz w:val="22"/>
        </w:rPr>
        <w:t xml:space="preserve">.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A1DF36C" w14:textId="6266006B" w:rsidR="00CC46CE" w:rsidRDefault="00E031ED" w:rsidP="00CC46CE">
      <w:pPr>
        <w:tabs>
          <w:tab w:val="left" w:pos="709"/>
        </w:tabs>
        <w:spacing w:line="276" w:lineRule="auto"/>
        <w:jc w:val="both"/>
        <w:rPr>
          <w:rFonts w:ascii="Arial" w:hAnsi="Arial" w:cs="Arial"/>
          <w:sz w:val="22"/>
          <w:szCs w:val="22"/>
        </w:rPr>
      </w:pPr>
      <w:r>
        <w:rPr>
          <w:rFonts w:ascii="Arial" w:hAnsi="Arial" w:cs="Arial"/>
          <w:sz w:val="22"/>
        </w:rPr>
        <w:tab/>
        <w:t>Ahora bien, respecto a l</w:t>
      </w:r>
      <w:r w:rsidRPr="009237E7">
        <w:rPr>
          <w:rFonts w:ascii="Arial" w:hAnsi="Arial" w:cs="Arial"/>
          <w:sz w:val="22"/>
        </w:rPr>
        <w:t xml:space="preserve">as causales de rechazo que aplican para los procedimientos de licitación de obra pública de infraestructura de transporte son las establecidas en la </w:t>
      </w:r>
      <w:r>
        <w:rPr>
          <w:rFonts w:ascii="Arial" w:hAnsi="Arial" w:cs="Arial"/>
          <w:sz w:val="22"/>
        </w:rPr>
        <w:t>l</w:t>
      </w:r>
      <w:r w:rsidRPr="009237E7">
        <w:rPr>
          <w:rFonts w:ascii="Arial" w:hAnsi="Arial" w:cs="Arial"/>
          <w:sz w:val="22"/>
        </w:rPr>
        <w:t xml:space="preserve">ey y las definidas en el numeral 1.15 del </w:t>
      </w:r>
      <w:r w:rsidRPr="009237E7">
        <w:rPr>
          <w:rFonts w:ascii="Arial" w:hAnsi="Arial" w:cs="Arial"/>
          <w:sz w:val="19"/>
          <w:szCs w:val="19"/>
        </w:rPr>
        <w:t>«</w:t>
      </w:r>
      <w:r w:rsidRPr="009237E7">
        <w:rPr>
          <w:rFonts w:ascii="Arial" w:hAnsi="Arial" w:cs="Arial"/>
          <w:sz w:val="22"/>
        </w:rPr>
        <w:t>Documento Base</w:t>
      </w:r>
      <w:r w:rsidRPr="009237E7">
        <w:rPr>
          <w:rFonts w:ascii="Arial" w:hAnsi="Arial" w:cs="Arial"/>
          <w:sz w:val="19"/>
          <w:szCs w:val="19"/>
        </w:rPr>
        <w:t>»</w:t>
      </w:r>
      <w:r w:rsidRPr="009237E7">
        <w:rPr>
          <w:rFonts w:ascii="Arial" w:hAnsi="Arial" w:cs="Arial"/>
          <w:sz w:val="22"/>
        </w:rPr>
        <w:t>.</w:t>
      </w:r>
      <w:r w:rsidR="00AC58DD">
        <w:rPr>
          <w:rFonts w:ascii="Arial" w:hAnsi="Arial" w:cs="Arial"/>
          <w:sz w:val="22"/>
        </w:rPr>
        <w:t xml:space="preserve"> </w:t>
      </w:r>
      <w:r w:rsidR="00D950E6">
        <w:rPr>
          <w:rFonts w:ascii="Arial" w:hAnsi="Arial" w:cs="Arial"/>
          <w:sz w:val="22"/>
        </w:rPr>
        <w:t>De igual forma,</w:t>
      </w:r>
      <w:r w:rsidR="00AC58DD">
        <w:rPr>
          <w:rFonts w:ascii="Arial" w:hAnsi="Arial" w:cs="Arial"/>
          <w:sz w:val="22"/>
        </w:rPr>
        <w:t xml:space="preserve"> se rigen por el principio de inalterabilidad en la medi</w:t>
      </w:r>
      <w:r w:rsidR="00D950E6">
        <w:rPr>
          <w:rFonts w:ascii="Arial" w:hAnsi="Arial" w:cs="Arial"/>
          <w:sz w:val="22"/>
        </w:rPr>
        <w:t>d</w:t>
      </w:r>
      <w:r w:rsidR="00AC58DD">
        <w:rPr>
          <w:rFonts w:ascii="Arial" w:hAnsi="Arial" w:cs="Arial"/>
          <w:sz w:val="22"/>
        </w:rPr>
        <w:t>a que «</w:t>
      </w:r>
      <w:r w:rsidR="00885AFD" w:rsidRPr="00885AFD">
        <w:rPr>
          <w:rFonts w:ascii="Arial" w:hAnsi="Arial" w:cs="Arial"/>
          <w:sz w:val="22"/>
        </w:rPr>
        <w:t>Las entidades no podrán incluir causales de rechazo distintas a las señaladas en la presente sección</w:t>
      </w:r>
      <w:r w:rsidR="00885AFD">
        <w:rPr>
          <w:rFonts w:ascii="Arial" w:hAnsi="Arial" w:cs="Arial"/>
          <w:sz w:val="22"/>
        </w:rPr>
        <w:t>»</w:t>
      </w:r>
      <w:r w:rsidR="00B501E3">
        <w:rPr>
          <w:rFonts w:ascii="Arial" w:hAnsi="Arial" w:cs="Arial"/>
          <w:sz w:val="22"/>
        </w:rPr>
        <w:t xml:space="preserve">. </w:t>
      </w:r>
      <w:r w:rsidR="00D348C8">
        <w:rPr>
          <w:rFonts w:ascii="Arial" w:hAnsi="Arial" w:cs="Arial"/>
          <w:sz w:val="22"/>
        </w:rPr>
        <w:t xml:space="preserve">Estas </w:t>
      </w:r>
      <w:r w:rsidR="00D348C8" w:rsidRPr="00D348C8">
        <w:rPr>
          <w:rFonts w:ascii="Arial" w:hAnsi="Arial" w:cs="Arial"/>
          <w:sz w:val="22"/>
        </w:rPr>
        <w:t>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sidR="00B9178F">
        <w:rPr>
          <w:rFonts w:ascii="Arial" w:hAnsi="Arial" w:cs="Arial"/>
          <w:sz w:val="22"/>
        </w:rPr>
        <w:t>.</w:t>
      </w:r>
      <w:r w:rsidR="000B4E55" w:rsidRPr="000B4E55">
        <w:rPr>
          <w:rFonts w:ascii="Arial" w:hAnsi="Arial" w:cs="Arial"/>
          <w:sz w:val="19"/>
          <w:szCs w:val="19"/>
        </w:rPr>
        <w:t xml:space="preserve"> </w:t>
      </w:r>
      <w:r w:rsidR="000B4E55" w:rsidRPr="0078356A">
        <w:rPr>
          <w:rFonts w:ascii="Arial" w:hAnsi="Arial" w:cs="Arial"/>
          <w:sz w:val="22"/>
          <w:szCs w:val="22"/>
        </w:rPr>
        <w:t>Al respecto, l</w:t>
      </w:r>
      <w:r w:rsidR="00CC46CE">
        <w:rPr>
          <w:rFonts w:ascii="Arial" w:hAnsi="Arial" w:cs="Arial"/>
          <w:sz w:val="22"/>
          <w:szCs w:val="22"/>
        </w:rPr>
        <w:t>a</w:t>
      </w:r>
      <w:r w:rsidR="000B4E55" w:rsidRPr="0078356A">
        <w:rPr>
          <w:rFonts w:ascii="Arial" w:hAnsi="Arial" w:cs="Arial"/>
          <w:sz w:val="22"/>
          <w:szCs w:val="22"/>
        </w:rPr>
        <w:t xml:space="preserve"> jurisprudencia explica que</w:t>
      </w:r>
      <w:r w:rsidR="00CC46CE">
        <w:rPr>
          <w:rFonts w:ascii="Arial" w:hAnsi="Arial" w:cs="Arial"/>
          <w:sz w:val="22"/>
          <w:szCs w:val="22"/>
        </w:rPr>
        <w:t>:</w:t>
      </w:r>
    </w:p>
    <w:p w14:paraId="68FD4D88" w14:textId="066DC138" w:rsidR="00CC46CE" w:rsidRDefault="00CC46CE" w:rsidP="0078356A">
      <w:pPr>
        <w:tabs>
          <w:tab w:val="left" w:pos="709"/>
        </w:tabs>
        <w:spacing w:line="276" w:lineRule="auto"/>
        <w:jc w:val="both"/>
        <w:rPr>
          <w:rFonts w:ascii="Arial" w:hAnsi="Arial" w:cs="Arial"/>
          <w:sz w:val="22"/>
          <w:szCs w:val="22"/>
        </w:rPr>
      </w:pPr>
    </w:p>
    <w:p w14:paraId="4EFBDD2A" w14:textId="3E3A5ABD" w:rsidR="00AC58DD" w:rsidRDefault="000B4E55" w:rsidP="00CC46CE">
      <w:pPr>
        <w:tabs>
          <w:tab w:val="left" w:pos="709"/>
        </w:tabs>
        <w:ind w:left="709" w:right="709"/>
        <w:jc w:val="both"/>
        <w:rPr>
          <w:rFonts w:ascii="Arial" w:eastAsia="Calibri" w:hAnsi="Arial" w:cs="Arial"/>
          <w:color w:val="404040" w:themeColor="text1" w:themeTint="BF"/>
          <w:sz w:val="21"/>
          <w:szCs w:val="21"/>
          <w:lang w:val="es-ES_tradnl"/>
        </w:rPr>
      </w:pPr>
      <w:r w:rsidRPr="0078356A">
        <w:rPr>
          <w:rFonts w:ascii="Arial" w:hAnsi="Arial" w:cs="Arial"/>
          <w:sz w:val="21"/>
          <w:szCs w:val="21"/>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00AC58DD" w:rsidRPr="0078356A">
        <w:rPr>
          <w:rStyle w:val="Refdenotaalpie"/>
          <w:rFonts w:ascii="Arial" w:eastAsia="Calibri" w:hAnsi="Arial" w:cs="Arial"/>
          <w:sz w:val="21"/>
          <w:szCs w:val="21"/>
          <w:lang w:val="es-ES_tradnl"/>
        </w:rPr>
        <w:footnoteReference w:id="11"/>
      </w:r>
      <w:r w:rsidR="00AC58DD" w:rsidRPr="00CC46CE">
        <w:rPr>
          <w:rFonts w:ascii="Arial" w:eastAsia="Calibri" w:hAnsi="Arial" w:cs="Arial"/>
          <w:color w:val="404040" w:themeColor="text1" w:themeTint="BF"/>
          <w:sz w:val="21"/>
          <w:szCs w:val="21"/>
          <w:lang w:val="es-ES_tradnl"/>
        </w:rPr>
        <w:t>.</w:t>
      </w:r>
    </w:p>
    <w:p w14:paraId="5FB7DB33" w14:textId="77777777" w:rsidR="000B2F49" w:rsidRPr="00D2123A" w:rsidRDefault="000B2F49" w:rsidP="0078356A">
      <w:pPr>
        <w:tabs>
          <w:tab w:val="left" w:pos="709"/>
        </w:tabs>
        <w:spacing w:line="276" w:lineRule="auto"/>
        <w:ind w:left="709" w:right="709"/>
        <w:jc w:val="both"/>
        <w:rPr>
          <w:rFonts w:ascii="Arial" w:hAnsi="Arial" w:cs="Arial"/>
          <w:sz w:val="22"/>
          <w:szCs w:val="22"/>
        </w:rPr>
      </w:pPr>
    </w:p>
    <w:p w14:paraId="32BF7228" w14:textId="6EC171A8" w:rsidR="00B43DF7" w:rsidRDefault="000B4E55" w:rsidP="00806285">
      <w:pPr>
        <w:tabs>
          <w:tab w:val="left" w:pos="709"/>
        </w:tabs>
        <w:spacing w:after="120" w:line="276" w:lineRule="auto"/>
        <w:jc w:val="both"/>
        <w:rPr>
          <w:rFonts w:ascii="Arial" w:eastAsia="Calibri" w:hAnsi="Arial" w:cs="Arial"/>
          <w:sz w:val="22"/>
          <w:szCs w:val="22"/>
          <w:lang w:val="es-ES" w:eastAsia="es-ES" w:bidi="es-ES"/>
        </w:rPr>
      </w:pPr>
      <w:r>
        <w:rPr>
          <w:rFonts w:ascii="Arial" w:hAnsi="Arial" w:cs="Arial"/>
          <w:sz w:val="22"/>
        </w:rPr>
        <w:tab/>
      </w:r>
      <w:r w:rsidR="00A82084">
        <w:rPr>
          <w:rFonts w:ascii="Arial" w:hAnsi="Arial" w:cs="Arial"/>
          <w:sz w:val="22"/>
        </w:rPr>
        <w:t>De esta manera</w:t>
      </w:r>
      <w:r w:rsidR="00E031ED">
        <w:rPr>
          <w:rFonts w:ascii="Arial" w:hAnsi="Arial" w:cs="Arial"/>
          <w:sz w:val="22"/>
        </w:rPr>
        <w:t xml:space="preserve">, </w:t>
      </w:r>
      <w:r w:rsidR="00F148EF">
        <w:rPr>
          <w:rFonts w:ascii="Arial" w:hAnsi="Arial" w:cs="Arial"/>
          <w:sz w:val="22"/>
        </w:rPr>
        <w:t>para</w:t>
      </w:r>
      <w:r w:rsidR="00E031ED">
        <w:rPr>
          <w:rFonts w:ascii="Arial" w:hAnsi="Arial" w:cs="Arial"/>
          <w:sz w:val="22"/>
        </w:rPr>
        <w:t xml:space="preserve"> los «Documentos Tipo – Versión 3» de licitación para obra pública de infraestructura de transporte</w:t>
      </w:r>
      <w:r w:rsidR="00F148EF">
        <w:rPr>
          <w:rFonts w:ascii="Arial" w:hAnsi="Arial" w:cs="Arial"/>
          <w:sz w:val="22"/>
        </w:rPr>
        <w:t>, el pliego de condiciones</w:t>
      </w:r>
      <w:r w:rsidR="00A0558F">
        <w:rPr>
          <w:rFonts w:ascii="Arial" w:hAnsi="Arial" w:cs="Arial"/>
          <w:sz w:val="22"/>
        </w:rPr>
        <w:t xml:space="preserve"> no consagra la modificación de los anexos como</w:t>
      </w:r>
      <w:r w:rsidR="00E031ED">
        <w:rPr>
          <w:rFonts w:ascii="Arial" w:hAnsi="Arial" w:cs="Arial"/>
          <w:sz w:val="22"/>
        </w:rPr>
        <w:t xml:space="preserve"> </w:t>
      </w:r>
      <w:r w:rsidR="00C572D2">
        <w:rPr>
          <w:rFonts w:ascii="Arial" w:hAnsi="Arial" w:cs="Arial"/>
          <w:sz w:val="22"/>
        </w:rPr>
        <w:t>causal de rechazo</w:t>
      </w:r>
      <w:r w:rsidR="00F317AE">
        <w:rPr>
          <w:rFonts w:ascii="Arial" w:hAnsi="Arial" w:cs="Arial"/>
          <w:sz w:val="22"/>
        </w:rPr>
        <w:t xml:space="preserve">, pues ninguno </w:t>
      </w:r>
      <w:r w:rsidR="008B5DD5">
        <w:rPr>
          <w:rFonts w:ascii="Arial" w:hAnsi="Arial" w:cs="Arial"/>
          <w:sz w:val="22"/>
        </w:rPr>
        <w:t>está relacionado con</w:t>
      </w:r>
      <w:r w:rsidR="00DC71BC">
        <w:rPr>
          <w:rFonts w:ascii="Arial" w:hAnsi="Arial" w:cs="Arial"/>
          <w:sz w:val="22"/>
        </w:rPr>
        <w:t xml:space="preserve"> las</w:t>
      </w:r>
      <w:r w:rsidR="008B5DD5">
        <w:rPr>
          <w:rFonts w:ascii="Arial" w:hAnsi="Arial" w:cs="Arial"/>
          <w:sz w:val="22"/>
        </w:rPr>
        <w:t xml:space="preserve"> condiciones de</w:t>
      </w:r>
      <w:r w:rsidR="00983723">
        <w:rPr>
          <w:rFonts w:ascii="Arial" w:hAnsi="Arial" w:cs="Arial"/>
          <w:sz w:val="22"/>
        </w:rPr>
        <w:t>l</w:t>
      </w:r>
      <w:r w:rsidR="008B5DD5">
        <w:rPr>
          <w:rFonts w:ascii="Arial" w:hAnsi="Arial" w:cs="Arial"/>
          <w:sz w:val="22"/>
        </w:rPr>
        <w:t xml:space="preserve"> proponente ni con requisitos de la propuesta</w:t>
      </w:r>
      <w:r w:rsidR="009B758C">
        <w:rPr>
          <w:rFonts w:ascii="Arial" w:hAnsi="Arial" w:cs="Arial"/>
          <w:sz w:val="22"/>
        </w:rPr>
        <w:t xml:space="preserve"> en los términos anteriormente explicados</w:t>
      </w:r>
      <w:r w:rsidR="00285EF3">
        <w:rPr>
          <w:rFonts w:ascii="Arial" w:hAnsi="Arial" w:cs="Arial"/>
          <w:sz w:val="22"/>
        </w:rPr>
        <w:t>.</w:t>
      </w:r>
      <w:r w:rsidR="00DD53E1">
        <w:rPr>
          <w:rFonts w:ascii="Arial" w:hAnsi="Arial" w:cs="Arial"/>
          <w:sz w:val="22"/>
        </w:rPr>
        <w:t xml:space="preserve"> </w:t>
      </w:r>
      <w:r w:rsidR="00A0558F">
        <w:rPr>
          <w:rFonts w:ascii="Arial" w:eastAsia="Calibri" w:hAnsi="Arial" w:cs="Arial"/>
          <w:sz w:val="22"/>
          <w:szCs w:val="22"/>
          <w:lang w:val="es-ES" w:eastAsia="es-ES" w:bidi="es-ES"/>
        </w:rPr>
        <w:t>En efecto,</w:t>
      </w:r>
      <w:r w:rsidR="00AE0F1D">
        <w:rPr>
          <w:rFonts w:ascii="Arial" w:eastAsia="Calibri" w:hAnsi="Arial" w:cs="Arial"/>
          <w:sz w:val="22"/>
          <w:szCs w:val="22"/>
          <w:lang w:val="es-ES" w:eastAsia="es-ES" w:bidi="es-ES"/>
        </w:rPr>
        <w:t xml:space="preserve"> los documentos </w:t>
      </w:r>
      <w:r w:rsidR="00DF03DF">
        <w:rPr>
          <w:rFonts w:ascii="Arial" w:eastAsia="Calibri" w:hAnsi="Arial" w:cs="Arial"/>
          <w:sz w:val="22"/>
          <w:szCs w:val="22"/>
          <w:lang w:val="es-ES" w:eastAsia="es-ES" w:bidi="es-ES"/>
        </w:rPr>
        <w:t xml:space="preserve">tipo adoptados mediante la </w:t>
      </w:r>
      <w:r w:rsidR="00DF03DF" w:rsidRPr="00F73604">
        <w:rPr>
          <w:rFonts w:ascii="Arial" w:hAnsi="Arial" w:cs="Arial"/>
          <w:sz w:val="22"/>
        </w:rPr>
        <w:t>Resolución No. 240 de 2020</w:t>
      </w:r>
      <w:r w:rsidR="00DD53E1">
        <w:rPr>
          <w:rFonts w:ascii="Arial" w:hAnsi="Arial" w:cs="Arial"/>
          <w:sz w:val="22"/>
        </w:rPr>
        <w:t xml:space="preserve"> tiene</w:t>
      </w:r>
      <w:r w:rsidR="00D22E31">
        <w:rPr>
          <w:rFonts w:ascii="Arial" w:hAnsi="Arial" w:cs="Arial"/>
          <w:sz w:val="22"/>
        </w:rPr>
        <w:t>n</w:t>
      </w:r>
      <w:r w:rsidR="00DD53E1">
        <w:rPr>
          <w:rFonts w:ascii="Arial" w:hAnsi="Arial" w:cs="Arial"/>
          <w:sz w:val="22"/>
        </w:rPr>
        <w:t xml:space="preserve"> cinco anexos</w:t>
      </w:r>
      <w:r w:rsidR="00AE0F1D">
        <w:rPr>
          <w:rFonts w:ascii="Arial" w:eastAsia="Calibri" w:hAnsi="Arial" w:cs="Arial"/>
          <w:sz w:val="22"/>
          <w:szCs w:val="22"/>
          <w:lang w:val="es-ES" w:eastAsia="es-ES" w:bidi="es-ES"/>
        </w:rPr>
        <w:t xml:space="preserve">: i) </w:t>
      </w:r>
      <w:r w:rsidR="00DD53E1">
        <w:rPr>
          <w:rFonts w:ascii="Arial" w:eastAsia="Calibri" w:hAnsi="Arial" w:cs="Arial"/>
          <w:sz w:val="22"/>
          <w:szCs w:val="22"/>
          <w:lang w:val="es-ES" w:eastAsia="es-ES" w:bidi="es-ES"/>
        </w:rPr>
        <w:t>«</w:t>
      </w:r>
      <w:r w:rsidR="00AE0F1D">
        <w:rPr>
          <w:rFonts w:ascii="Arial" w:eastAsia="Calibri" w:hAnsi="Arial" w:cs="Arial"/>
          <w:sz w:val="22"/>
          <w:szCs w:val="22"/>
          <w:lang w:val="es-ES" w:eastAsia="es-ES" w:bidi="es-ES"/>
        </w:rPr>
        <w:t>Anexo1</w:t>
      </w:r>
      <w:r w:rsidR="00DD53E1">
        <w:rPr>
          <w:rFonts w:ascii="Arial" w:eastAsia="Calibri" w:hAnsi="Arial" w:cs="Arial"/>
          <w:sz w:val="22"/>
          <w:szCs w:val="22"/>
          <w:lang w:val="es-ES" w:eastAsia="es-ES" w:bidi="es-ES"/>
        </w:rPr>
        <w:t xml:space="preserve"> –</w:t>
      </w:r>
      <w:r w:rsidR="00AE0F1D">
        <w:rPr>
          <w:rFonts w:ascii="Arial" w:eastAsia="Calibri" w:hAnsi="Arial" w:cs="Arial"/>
          <w:sz w:val="22"/>
          <w:szCs w:val="22"/>
          <w:lang w:val="es-ES" w:eastAsia="es-ES" w:bidi="es-ES"/>
        </w:rPr>
        <w:t xml:space="preserve"> Anexo técnico</w:t>
      </w:r>
      <w:r w:rsidR="00DD53E1">
        <w:rPr>
          <w:rFonts w:ascii="Arial" w:eastAsia="Calibri" w:hAnsi="Arial" w:cs="Arial"/>
          <w:sz w:val="22"/>
          <w:szCs w:val="22"/>
          <w:lang w:val="es-ES" w:eastAsia="es-ES" w:bidi="es-ES"/>
        </w:rPr>
        <w:t>»,</w:t>
      </w:r>
      <w:r w:rsidR="00AE0F1D">
        <w:rPr>
          <w:rFonts w:ascii="Arial" w:eastAsia="Calibri" w:hAnsi="Arial" w:cs="Arial"/>
          <w:sz w:val="22"/>
          <w:szCs w:val="22"/>
          <w:lang w:val="es-ES" w:eastAsia="es-ES" w:bidi="es-ES"/>
        </w:rPr>
        <w:t xml:space="preserve"> ii) </w:t>
      </w:r>
      <w:r w:rsidR="00AD1DA0">
        <w:rPr>
          <w:rFonts w:ascii="Arial" w:eastAsia="Calibri" w:hAnsi="Arial" w:cs="Arial"/>
          <w:sz w:val="22"/>
          <w:szCs w:val="22"/>
          <w:lang w:val="es-ES" w:eastAsia="es-ES" w:bidi="es-ES"/>
        </w:rPr>
        <w:t>«A</w:t>
      </w:r>
      <w:r w:rsidR="00AE0F1D">
        <w:rPr>
          <w:rFonts w:ascii="Arial" w:eastAsia="Calibri" w:hAnsi="Arial" w:cs="Arial"/>
          <w:sz w:val="22"/>
          <w:szCs w:val="22"/>
          <w:lang w:val="es-ES" w:eastAsia="es-ES" w:bidi="es-ES"/>
        </w:rPr>
        <w:t xml:space="preserve">nexo 2 – </w:t>
      </w:r>
      <w:r w:rsidR="00AD1DA0">
        <w:rPr>
          <w:rFonts w:ascii="Arial" w:eastAsia="Calibri" w:hAnsi="Arial" w:cs="Arial"/>
          <w:sz w:val="22"/>
          <w:szCs w:val="22"/>
          <w:lang w:val="es-ES" w:eastAsia="es-ES" w:bidi="es-ES"/>
        </w:rPr>
        <w:t>C</w:t>
      </w:r>
      <w:r w:rsidR="00AE0F1D">
        <w:rPr>
          <w:rFonts w:ascii="Arial" w:eastAsia="Calibri" w:hAnsi="Arial" w:cs="Arial"/>
          <w:sz w:val="22"/>
          <w:szCs w:val="22"/>
          <w:lang w:val="es-ES" w:eastAsia="es-ES" w:bidi="es-ES"/>
        </w:rPr>
        <w:t>ronograma</w:t>
      </w:r>
      <w:r w:rsidR="00AD1DA0">
        <w:rPr>
          <w:rFonts w:ascii="Arial" w:eastAsia="Calibri" w:hAnsi="Arial" w:cs="Arial"/>
          <w:sz w:val="22"/>
          <w:szCs w:val="22"/>
          <w:lang w:val="es-ES" w:eastAsia="es-ES" w:bidi="es-ES"/>
        </w:rPr>
        <w:t>»,</w:t>
      </w:r>
      <w:r w:rsidR="00AE0F1D">
        <w:rPr>
          <w:rFonts w:ascii="Arial" w:eastAsia="Calibri" w:hAnsi="Arial" w:cs="Arial"/>
          <w:sz w:val="22"/>
          <w:szCs w:val="22"/>
          <w:lang w:val="es-ES" w:eastAsia="es-ES" w:bidi="es-ES"/>
        </w:rPr>
        <w:t xml:space="preserve"> iii) </w:t>
      </w:r>
      <w:r w:rsidR="00AD1DA0">
        <w:rPr>
          <w:rFonts w:ascii="Arial" w:eastAsia="Calibri" w:hAnsi="Arial" w:cs="Arial"/>
          <w:sz w:val="22"/>
          <w:szCs w:val="22"/>
          <w:lang w:val="es-ES" w:eastAsia="es-ES" w:bidi="es-ES"/>
        </w:rPr>
        <w:t>«A</w:t>
      </w:r>
      <w:r w:rsidR="00AE0F1D">
        <w:rPr>
          <w:rFonts w:ascii="Arial" w:eastAsia="Calibri" w:hAnsi="Arial" w:cs="Arial"/>
          <w:sz w:val="22"/>
          <w:szCs w:val="22"/>
          <w:lang w:val="es-ES" w:eastAsia="es-ES" w:bidi="es-ES"/>
        </w:rPr>
        <w:t>nexo 3</w:t>
      </w:r>
      <w:r w:rsidR="00AD1DA0">
        <w:rPr>
          <w:rFonts w:ascii="Arial" w:eastAsia="Calibri" w:hAnsi="Arial" w:cs="Arial"/>
          <w:sz w:val="22"/>
          <w:szCs w:val="22"/>
          <w:lang w:val="es-ES" w:eastAsia="es-ES" w:bidi="es-ES"/>
        </w:rPr>
        <w:t xml:space="preserve"> –</w:t>
      </w:r>
      <w:r w:rsidR="00AE0F1D">
        <w:rPr>
          <w:rFonts w:ascii="Arial" w:eastAsia="Calibri" w:hAnsi="Arial" w:cs="Arial"/>
          <w:sz w:val="22"/>
          <w:szCs w:val="22"/>
          <w:lang w:val="es-ES" w:eastAsia="es-ES" w:bidi="es-ES"/>
        </w:rPr>
        <w:t xml:space="preserve"> </w:t>
      </w:r>
      <w:r w:rsidR="00AD1DA0">
        <w:rPr>
          <w:rFonts w:ascii="Arial" w:eastAsia="Calibri" w:hAnsi="Arial" w:cs="Arial"/>
          <w:sz w:val="22"/>
          <w:szCs w:val="22"/>
          <w:lang w:val="es-ES" w:eastAsia="es-ES" w:bidi="es-ES"/>
        </w:rPr>
        <w:t>G</w:t>
      </w:r>
      <w:r w:rsidR="00AE0F1D">
        <w:rPr>
          <w:rFonts w:ascii="Arial" w:eastAsia="Calibri" w:hAnsi="Arial" w:cs="Arial"/>
          <w:sz w:val="22"/>
          <w:szCs w:val="22"/>
          <w:lang w:val="es-ES" w:eastAsia="es-ES" w:bidi="es-ES"/>
        </w:rPr>
        <w:t>losario</w:t>
      </w:r>
      <w:r w:rsidR="00AD1DA0">
        <w:rPr>
          <w:rFonts w:ascii="Arial" w:eastAsia="Calibri" w:hAnsi="Arial" w:cs="Arial"/>
          <w:sz w:val="22"/>
          <w:szCs w:val="22"/>
          <w:lang w:val="es-ES" w:eastAsia="es-ES" w:bidi="es-ES"/>
        </w:rPr>
        <w:t>»,</w:t>
      </w:r>
      <w:r w:rsidR="00AE0F1D">
        <w:rPr>
          <w:rFonts w:ascii="Arial" w:eastAsia="Calibri" w:hAnsi="Arial" w:cs="Arial"/>
          <w:sz w:val="22"/>
          <w:szCs w:val="22"/>
          <w:lang w:val="es-ES" w:eastAsia="es-ES" w:bidi="es-ES"/>
        </w:rPr>
        <w:t xml:space="preserve"> iv) </w:t>
      </w:r>
      <w:r w:rsidR="00AD1DA0">
        <w:rPr>
          <w:rFonts w:ascii="Arial" w:eastAsia="Calibri" w:hAnsi="Arial" w:cs="Arial"/>
          <w:sz w:val="22"/>
          <w:szCs w:val="22"/>
          <w:lang w:val="es-ES" w:eastAsia="es-ES" w:bidi="es-ES"/>
        </w:rPr>
        <w:t>«A</w:t>
      </w:r>
      <w:r w:rsidR="00AE0F1D">
        <w:rPr>
          <w:rFonts w:ascii="Arial" w:eastAsia="Calibri" w:hAnsi="Arial" w:cs="Arial"/>
          <w:sz w:val="22"/>
          <w:szCs w:val="22"/>
          <w:lang w:val="es-ES" w:eastAsia="es-ES" w:bidi="es-ES"/>
        </w:rPr>
        <w:t>nexo 4</w:t>
      </w:r>
      <w:r w:rsidR="00AD1DA0">
        <w:rPr>
          <w:rFonts w:ascii="Arial" w:eastAsia="Calibri" w:hAnsi="Arial" w:cs="Arial"/>
          <w:sz w:val="22"/>
          <w:szCs w:val="22"/>
          <w:lang w:val="es-ES" w:eastAsia="es-ES" w:bidi="es-ES"/>
        </w:rPr>
        <w:t xml:space="preserve"> </w:t>
      </w:r>
      <w:r w:rsidR="00D22E31">
        <w:rPr>
          <w:rFonts w:ascii="Arial" w:eastAsia="Calibri" w:hAnsi="Arial" w:cs="Arial"/>
          <w:sz w:val="22"/>
          <w:szCs w:val="22"/>
          <w:lang w:val="es-ES" w:eastAsia="es-ES" w:bidi="es-ES"/>
        </w:rPr>
        <w:t>–</w:t>
      </w:r>
      <w:r w:rsidR="00AE0F1D">
        <w:rPr>
          <w:rFonts w:ascii="Arial" w:eastAsia="Calibri" w:hAnsi="Arial" w:cs="Arial"/>
          <w:sz w:val="22"/>
          <w:szCs w:val="22"/>
          <w:lang w:val="es-ES" w:eastAsia="es-ES" w:bidi="es-ES"/>
        </w:rPr>
        <w:t xml:space="preserve"> </w:t>
      </w:r>
      <w:r w:rsidR="00AD1DA0">
        <w:rPr>
          <w:rFonts w:ascii="Arial" w:eastAsia="Calibri" w:hAnsi="Arial" w:cs="Arial"/>
          <w:sz w:val="22"/>
          <w:szCs w:val="22"/>
          <w:lang w:val="es-ES" w:eastAsia="es-ES" w:bidi="es-ES"/>
        </w:rPr>
        <w:t>P</w:t>
      </w:r>
      <w:r w:rsidR="00AE0F1D">
        <w:rPr>
          <w:rFonts w:ascii="Arial" w:eastAsia="Calibri" w:hAnsi="Arial" w:cs="Arial"/>
          <w:sz w:val="22"/>
          <w:szCs w:val="22"/>
          <w:lang w:val="es-ES" w:eastAsia="es-ES" w:bidi="es-ES"/>
        </w:rPr>
        <w:t>acto de transparencia</w:t>
      </w:r>
      <w:r w:rsidR="00AD1DA0">
        <w:rPr>
          <w:rFonts w:ascii="Arial" w:eastAsia="Calibri" w:hAnsi="Arial" w:cs="Arial"/>
          <w:sz w:val="22"/>
          <w:szCs w:val="22"/>
          <w:lang w:val="es-ES" w:eastAsia="es-ES" w:bidi="es-ES"/>
        </w:rPr>
        <w:t>»</w:t>
      </w:r>
      <w:r w:rsidR="00D22E31">
        <w:rPr>
          <w:rFonts w:ascii="Arial" w:eastAsia="Calibri" w:hAnsi="Arial" w:cs="Arial"/>
          <w:sz w:val="22"/>
          <w:szCs w:val="22"/>
          <w:lang w:val="es-ES" w:eastAsia="es-ES" w:bidi="es-ES"/>
        </w:rPr>
        <w:t xml:space="preserve"> y</w:t>
      </w:r>
      <w:r w:rsidR="00AE0F1D">
        <w:rPr>
          <w:rFonts w:ascii="Arial" w:eastAsia="Calibri" w:hAnsi="Arial" w:cs="Arial"/>
          <w:sz w:val="22"/>
          <w:szCs w:val="22"/>
          <w:lang w:val="es-ES" w:eastAsia="es-ES" w:bidi="es-ES"/>
        </w:rPr>
        <w:t xml:space="preserve"> v) </w:t>
      </w:r>
      <w:r w:rsidR="00D22E31">
        <w:rPr>
          <w:rFonts w:ascii="Arial" w:eastAsia="Calibri" w:hAnsi="Arial" w:cs="Arial"/>
          <w:sz w:val="22"/>
          <w:szCs w:val="22"/>
          <w:lang w:val="es-ES" w:eastAsia="es-ES" w:bidi="es-ES"/>
        </w:rPr>
        <w:t>«A</w:t>
      </w:r>
      <w:r w:rsidR="00AE0F1D">
        <w:rPr>
          <w:rFonts w:ascii="Arial" w:eastAsia="Calibri" w:hAnsi="Arial" w:cs="Arial"/>
          <w:sz w:val="22"/>
          <w:szCs w:val="22"/>
          <w:lang w:val="es-ES" w:eastAsia="es-ES" w:bidi="es-ES"/>
        </w:rPr>
        <w:t>nexo 5</w:t>
      </w:r>
      <w:r w:rsidR="00D22E31">
        <w:rPr>
          <w:rFonts w:ascii="Arial" w:eastAsia="Calibri" w:hAnsi="Arial" w:cs="Arial"/>
          <w:sz w:val="22"/>
          <w:szCs w:val="22"/>
          <w:lang w:val="es-ES" w:eastAsia="es-ES" w:bidi="es-ES"/>
        </w:rPr>
        <w:t xml:space="preserve"> –</w:t>
      </w:r>
      <w:r w:rsidR="00AE0F1D">
        <w:rPr>
          <w:rFonts w:ascii="Arial" w:eastAsia="Calibri" w:hAnsi="Arial" w:cs="Arial"/>
          <w:sz w:val="22"/>
          <w:szCs w:val="22"/>
          <w:lang w:val="es-ES" w:eastAsia="es-ES" w:bidi="es-ES"/>
        </w:rPr>
        <w:t xml:space="preserve"> Minuta del contrato</w:t>
      </w:r>
      <w:r w:rsidR="00D22E31">
        <w:rPr>
          <w:rFonts w:ascii="Arial" w:eastAsia="Calibri" w:hAnsi="Arial" w:cs="Arial"/>
          <w:sz w:val="22"/>
          <w:szCs w:val="22"/>
          <w:lang w:val="es-ES" w:eastAsia="es-ES" w:bidi="es-ES"/>
        </w:rPr>
        <w:t>»</w:t>
      </w:r>
      <w:r w:rsidR="0051013A">
        <w:rPr>
          <w:rFonts w:ascii="Arial" w:eastAsia="Calibri" w:hAnsi="Arial" w:cs="Arial"/>
          <w:sz w:val="22"/>
          <w:szCs w:val="22"/>
          <w:lang w:val="es-ES" w:eastAsia="es-ES" w:bidi="es-ES"/>
        </w:rPr>
        <w:t>. La entidad contratante debe diligenciarlos respetando el principio de inalterabilidad</w:t>
      </w:r>
      <w:r w:rsidR="004D142F">
        <w:rPr>
          <w:rFonts w:ascii="Arial" w:eastAsia="Calibri" w:hAnsi="Arial" w:cs="Arial"/>
          <w:sz w:val="22"/>
          <w:szCs w:val="22"/>
          <w:lang w:val="es-ES" w:eastAsia="es-ES" w:bidi="es-ES"/>
        </w:rPr>
        <w:t xml:space="preserve">, por lo que su modificación indebida –mas que el rechazo </w:t>
      </w:r>
      <w:r w:rsidR="009B758C">
        <w:rPr>
          <w:rFonts w:ascii="Arial" w:eastAsia="Calibri" w:hAnsi="Arial" w:cs="Arial"/>
          <w:sz w:val="22"/>
          <w:szCs w:val="22"/>
          <w:lang w:val="es-ES" w:eastAsia="es-ES" w:bidi="es-ES"/>
        </w:rPr>
        <w:t>de los ofrecimientos</w:t>
      </w:r>
      <w:r w:rsidR="004D142F">
        <w:rPr>
          <w:rFonts w:ascii="Arial" w:eastAsia="Calibri" w:hAnsi="Arial" w:cs="Arial"/>
          <w:sz w:val="22"/>
          <w:szCs w:val="22"/>
          <w:lang w:val="es-ES" w:eastAsia="es-ES" w:bidi="es-ES"/>
        </w:rPr>
        <w:t xml:space="preserve">– </w:t>
      </w:r>
      <w:r w:rsidR="00D93DDE">
        <w:rPr>
          <w:rFonts w:ascii="Arial" w:eastAsia="Calibri" w:hAnsi="Arial" w:cs="Arial"/>
          <w:sz w:val="22"/>
          <w:szCs w:val="22"/>
          <w:lang w:val="es-ES" w:eastAsia="es-ES" w:bidi="es-ES"/>
        </w:rPr>
        <w:t xml:space="preserve">genera consecuencias jurídicas para el funcionario encargado </w:t>
      </w:r>
      <w:r w:rsidR="00D87AEB">
        <w:rPr>
          <w:rFonts w:ascii="Arial" w:eastAsia="Calibri" w:hAnsi="Arial" w:cs="Arial"/>
          <w:sz w:val="22"/>
          <w:szCs w:val="22"/>
          <w:lang w:val="es-ES" w:eastAsia="es-ES" w:bidi="es-ES"/>
        </w:rPr>
        <w:t>de adelantar el proceso</w:t>
      </w:r>
      <w:r w:rsidR="00B43DF7">
        <w:rPr>
          <w:rFonts w:ascii="Arial" w:eastAsia="Calibri" w:hAnsi="Arial" w:cs="Arial"/>
          <w:sz w:val="22"/>
          <w:szCs w:val="22"/>
          <w:lang w:val="es-ES" w:eastAsia="es-ES" w:bidi="es-ES"/>
        </w:rPr>
        <w:t>.</w:t>
      </w:r>
    </w:p>
    <w:p w14:paraId="2936912F" w14:textId="539FAD68" w:rsidR="007E23E6" w:rsidRDefault="00B43DF7" w:rsidP="00806285">
      <w:pPr>
        <w:tabs>
          <w:tab w:val="left" w:pos="709"/>
        </w:tabs>
        <w:spacing w:after="120" w:line="276" w:lineRule="auto"/>
        <w:jc w:val="both"/>
        <w:rPr>
          <w:rFonts w:ascii="Arial" w:eastAsia="Calibri" w:hAnsi="Arial" w:cs="Arial"/>
          <w:bCs/>
          <w:sz w:val="22"/>
          <w:szCs w:val="22"/>
          <w:lang w:val="es-ES" w:eastAsia="en-US"/>
        </w:rPr>
      </w:pPr>
      <w:r>
        <w:rPr>
          <w:rFonts w:ascii="Arial" w:eastAsia="Calibri" w:hAnsi="Arial" w:cs="Arial"/>
          <w:bCs/>
          <w:sz w:val="22"/>
          <w:szCs w:val="22"/>
          <w:lang w:val="es-ES" w:eastAsia="en-US"/>
        </w:rPr>
        <w:tab/>
        <w:t xml:space="preserve">Conforme a </w:t>
      </w:r>
      <w:r w:rsidRPr="00B43DF7">
        <w:rPr>
          <w:rFonts w:ascii="Arial" w:eastAsia="Calibri" w:hAnsi="Arial" w:cs="Arial"/>
          <w:bCs/>
          <w:sz w:val="22"/>
          <w:szCs w:val="22"/>
          <w:lang w:val="es-ES" w:eastAsia="en-US"/>
        </w:rPr>
        <w:t>la «Guía para la comprensión e implementación de los Documentos Tipo de obra pública de infraestructura de transporte bajo las diferentes modalidades de contratación vigentes»</w:t>
      </w:r>
      <w:r w:rsidR="00B06337">
        <w:rPr>
          <w:rFonts w:ascii="Arial" w:eastAsia="Calibri" w:hAnsi="Arial" w:cs="Arial"/>
          <w:bCs/>
          <w:sz w:val="22"/>
          <w:szCs w:val="22"/>
          <w:lang w:val="es-ES" w:eastAsia="en-US"/>
        </w:rPr>
        <w:t>, los interesados en el proceso de selección debe</w:t>
      </w:r>
      <w:r w:rsidR="00E43492">
        <w:rPr>
          <w:rFonts w:ascii="Arial" w:eastAsia="Calibri" w:hAnsi="Arial" w:cs="Arial"/>
          <w:bCs/>
          <w:sz w:val="22"/>
          <w:szCs w:val="22"/>
          <w:lang w:val="es-ES" w:eastAsia="en-US"/>
        </w:rPr>
        <w:t>n</w:t>
      </w:r>
      <w:r w:rsidR="00B06337">
        <w:rPr>
          <w:rFonts w:ascii="Arial" w:eastAsia="Calibri" w:hAnsi="Arial" w:cs="Arial"/>
          <w:bCs/>
          <w:sz w:val="22"/>
          <w:szCs w:val="22"/>
          <w:lang w:val="es-ES" w:eastAsia="en-US"/>
        </w:rPr>
        <w:t xml:space="preserve"> denunciar </w:t>
      </w:r>
      <w:r w:rsidR="0003316B">
        <w:rPr>
          <w:rFonts w:ascii="Arial" w:eastAsia="Calibri" w:hAnsi="Arial" w:cs="Arial"/>
          <w:bCs/>
          <w:sz w:val="22"/>
          <w:szCs w:val="22"/>
          <w:lang w:val="es-ES" w:eastAsia="en-US"/>
        </w:rPr>
        <w:t xml:space="preserve">ante las autoridades competentes las irregularidades que se presenten con </w:t>
      </w:r>
      <w:r w:rsidR="00E43492">
        <w:rPr>
          <w:rFonts w:ascii="Arial" w:eastAsia="Calibri" w:hAnsi="Arial" w:cs="Arial"/>
          <w:bCs/>
          <w:sz w:val="22"/>
          <w:szCs w:val="22"/>
          <w:lang w:val="es-ES" w:eastAsia="en-US"/>
        </w:rPr>
        <w:t>la aplicación de los documentos tipo</w:t>
      </w:r>
      <w:r w:rsidR="00806285">
        <w:rPr>
          <w:rStyle w:val="Refdenotaalpie"/>
          <w:rFonts w:ascii="Arial" w:eastAsia="Calibri" w:hAnsi="Arial" w:cs="Arial"/>
          <w:sz w:val="22"/>
          <w:szCs w:val="22"/>
          <w:lang w:val="es-ES" w:eastAsia="es-ES" w:bidi="es-ES"/>
        </w:rPr>
        <w:footnoteReference w:id="12"/>
      </w:r>
      <w:r w:rsidR="00F90191">
        <w:rPr>
          <w:rFonts w:ascii="Arial" w:eastAsia="Calibri" w:hAnsi="Arial" w:cs="Arial"/>
          <w:bCs/>
          <w:sz w:val="22"/>
          <w:szCs w:val="22"/>
          <w:lang w:val="es-ES" w:eastAsia="en-US"/>
        </w:rPr>
        <w:t xml:space="preserve">. Esto aplica a las modificaciones </w:t>
      </w:r>
      <w:r w:rsidR="00CA15C3">
        <w:rPr>
          <w:rFonts w:ascii="Arial" w:eastAsia="Calibri" w:hAnsi="Arial" w:cs="Arial"/>
          <w:bCs/>
          <w:sz w:val="22"/>
          <w:szCs w:val="22"/>
          <w:lang w:val="es-ES" w:eastAsia="en-US"/>
        </w:rPr>
        <w:t>de</w:t>
      </w:r>
      <w:r w:rsidR="00F90191">
        <w:rPr>
          <w:rFonts w:ascii="Arial" w:eastAsia="Calibri" w:hAnsi="Arial" w:cs="Arial"/>
          <w:bCs/>
          <w:sz w:val="22"/>
          <w:szCs w:val="22"/>
          <w:lang w:val="es-ES" w:eastAsia="en-US"/>
        </w:rPr>
        <w:t>l documento base</w:t>
      </w:r>
      <w:r w:rsidR="008C34DF">
        <w:rPr>
          <w:rFonts w:ascii="Arial" w:eastAsia="Calibri" w:hAnsi="Arial" w:cs="Arial"/>
          <w:bCs/>
          <w:sz w:val="22"/>
          <w:szCs w:val="22"/>
          <w:lang w:val="es-ES" w:eastAsia="en-US"/>
        </w:rPr>
        <w:t>, los anexos</w:t>
      </w:r>
      <w:r w:rsidR="00A738CB">
        <w:rPr>
          <w:rFonts w:ascii="Arial" w:eastAsia="Calibri" w:hAnsi="Arial" w:cs="Arial"/>
          <w:bCs/>
          <w:sz w:val="22"/>
          <w:szCs w:val="22"/>
          <w:lang w:val="es-ES" w:eastAsia="en-US"/>
        </w:rPr>
        <w:t>, los</w:t>
      </w:r>
      <w:r w:rsidR="003457B9">
        <w:rPr>
          <w:rFonts w:ascii="Arial" w:eastAsia="Calibri" w:hAnsi="Arial" w:cs="Arial"/>
          <w:bCs/>
          <w:sz w:val="22"/>
          <w:szCs w:val="22"/>
          <w:lang w:val="es-ES" w:eastAsia="en-US"/>
        </w:rPr>
        <w:t xml:space="preserve"> </w:t>
      </w:r>
      <w:r w:rsidR="003457B9">
        <w:rPr>
          <w:rFonts w:ascii="Arial" w:eastAsia="Calibri" w:hAnsi="Arial" w:cs="Arial"/>
          <w:bCs/>
          <w:sz w:val="22"/>
          <w:szCs w:val="22"/>
          <w:lang w:val="es-ES" w:eastAsia="en-US"/>
        </w:rPr>
        <w:lastRenderedPageBreak/>
        <w:t>formatos, las matrices y los formularios</w:t>
      </w:r>
      <w:r w:rsidR="00677E85">
        <w:rPr>
          <w:rFonts w:ascii="Arial" w:eastAsia="Calibri" w:hAnsi="Arial" w:cs="Arial"/>
          <w:bCs/>
          <w:sz w:val="22"/>
          <w:szCs w:val="22"/>
          <w:lang w:val="es-ES" w:eastAsia="en-US"/>
        </w:rPr>
        <w:t>,</w:t>
      </w:r>
      <w:r w:rsidR="003457B9">
        <w:rPr>
          <w:rFonts w:ascii="Arial" w:eastAsia="Calibri" w:hAnsi="Arial" w:cs="Arial"/>
          <w:bCs/>
          <w:sz w:val="22"/>
          <w:szCs w:val="22"/>
          <w:lang w:val="es-ES" w:eastAsia="en-US"/>
        </w:rPr>
        <w:t xml:space="preserve"> en los </w:t>
      </w:r>
      <w:r w:rsidR="00677E85">
        <w:rPr>
          <w:rFonts w:ascii="Arial" w:eastAsia="Calibri" w:hAnsi="Arial" w:cs="Arial"/>
          <w:bCs/>
          <w:sz w:val="22"/>
          <w:szCs w:val="22"/>
          <w:lang w:val="es-ES" w:eastAsia="en-US"/>
        </w:rPr>
        <w:t xml:space="preserve">cuales la entidad contratante </w:t>
      </w:r>
      <w:r w:rsidR="00034A6A">
        <w:rPr>
          <w:rFonts w:ascii="Arial" w:eastAsia="Calibri" w:hAnsi="Arial" w:cs="Arial"/>
          <w:bCs/>
          <w:sz w:val="22"/>
          <w:szCs w:val="22"/>
          <w:lang w:val="es-ES" w:eastAsia="en-US"/>
        </w:rPr>
        <w:t>cambie</w:t>
      </w:r>
      <w:r w:rsidR="00677E85">
        <w:rPr>
          <w:rFonts w:ascii="Arial" w:eastAsia="Calibri" w:hAnsi="Arial" w:cs="Arial"/>
          <w:bCs/>
          <w:sz w:val="22"/>
          <w:szCs w:val="22"/>
          <w:lang w:val="es-ES" w:eastAsia="en-US"/>
        </w:rPr>
        <w:t xml:space="preserve"> su contenido violando el principio de inalterabilidad explicado </w:t>
      </w:r>
      <w:r w:rsidR="00677E85" w:rsidRPr="0078356A">
        <w:rPr>
          <w:rFonts w:ascii="Arial" w:eastAsia="Calibri" w:hAnsi="Arial" w:cs="Arial"/>
          <w:bCs/>
          <w:i/>
          <w:iCs/>
          <w:sz w:val="22"/>
          <w:szCs w:val="22"/>
          <w:lang w:val="es-ES" w:eastAsia="en-US"/>
        </w:rPr>
        <w:t>ut supra</w:t>
      </w:r>
      <w:r w:rsidR="00677E85">
        <w:rPr>
          <w:rFonts w:ascii="Arial" w:eastAsia="Calibri" w:hAnsi="Arial" w:cs="Arial"/>
          <w:bCs/>
          <w:sz w:val="22"/>
          <w:szCs w:val="22"/>
          <w:lang w:val="es-ES" w:eastAsia="en-US"/>
        </w:rPr>
        <w:t>.</w:t>
      </w:r>
    </w:p>
    <w:p w14:paraId="2FCC41F4" w14:textId="60E986E1" w:rsidR="002B067A" w:rsidRDefault="002B067A" w:rsidP="000F2666">
      <w:pPr>
        <w:tabs>
          <w:tab w:val="left" w:pos="709"/>
        </w:tabs>
        <w:spacing w:after="120" w:line="276" w:lineRule="auto"/>
        <w:jc w:val="both"/>
        <w:rPr>
          <w:rFonts w:ascii="Arial" w:eastAsia="Calibri" w:hAnsi="Arial" w:cs="Arial"/>
          <w:bCs/>
          <w:sz w:val="22"/>
          <w:szCs w:val="22"/>
          <w:lang w:eastAsia="en-US"/>
        </w:rPr>
      </w:pPr>
      <w:r>
        <w:rPr>
          <w:rFonts w:ascii="Arial" w:eastAsia="Calibri" w:hAnsi="Arial" w:cs="Arial"/>
          <w:bCs/>
          <w:sz w:val="22"/>
          <w:szCs w:val="22"/>
          <w:lang w:val="es-ES" w:eastAsia="en-US"/>
        </w:rPr>
        <w:tab/>
        <w:t>Sin perjuicio de las labores de seguimiento d</w:t>
      </w:r>
      <w:r w:rsidRPr="002B067A">
        <w:rPr>
          <w:rFonts w:ascii="Arial" w:eastAsia="Calibri" w:hAnsi="Arial" w:cs="Arial"/>
          <w:bCs/>
          <w:sz w:val="22"/>
          <w:szCs w:val="22"/>
          <w:lang w:val="es-ES" w:eastAsia="en-US"/>
        </w:rPr>
        <w:t xml:space="preserve">el Observatorio Oficial de Contratación Estatal </w:t>
      </w:r>
      <w:r w:rsidR="009F488D">
        <w:rPr>
          <w:rFonts w:ascii="Arial" w:eastAsia="Calibri" w:hAnsi="Arial" w:cs="Arial"/>
          <w:bCs/>
          <w:sz w:val="22"/>
          <w:szCs w:val="22"/>
          <w:lang w:val="es-ES" w:eastAsia="en-US"/>
        </w:rPr>
        <w:t xml:space="preserve">sobre la adecuada implementación de los documentos tipo, </w:t>
      </w:r>
      <w:r w:rsidR="009F488D" w:rsidRPr="009F488D">
        <w:rPr>
          <w:rFonts w:ascii="Arial" w:eastAsia="Calibri" w:hAnsi="Arial" w:cs="Arial"/>
          <w:bCs/>
          <w:sz w:val="22"/>
          <w:szCs w:val="22"/>
          <w:lang w:eastAsia="en-US"/>
        </w:rPr>
        <w:t>el Decreto Ley 4170 de 2011</w:t>
      </w:r>
      <w:r w:rsidR="009F488D">
        <w:rPr>
          <w:rFonts w:ascii="Arial" w:eastAsia="Calibri" w:hAnsi="Arial" w:cs="Arial"/>
          <w:bCs/>
          <w:sz w:val="22"/>
          <w:szCs w:val="22"/>
          <w:lang w:eastAsia="en-US"/>
        </w:rPr>
        <w:t>, «</w:t>
      </w:r>
      <w:r w:rsidR="009F488D" w:rsidRPr="009F488D">
        <w:rPr>
          <w:rFonts w:ascii="Arial" w:eastAsia="Calibri" w:hAnsi="Arial" w:cs="Arial"/>
          <w:bCs/>
          <w:sz w:val="22"/>
          <w:szCs w:val="22"/>
          <w:lang w:eastAsia="en-US"/>
        </w:rPr>
        <w:t xml:space="preserve">Por el cual se crea la Agencia Nacional de Contratación Pública </w:t>
      </w:r>
      <w:r w:rsidR="00D879C4">
        <w:rPr>
          <w:rFonts w:ascii="Arial" w:eastAsia="Calibri" w:hAnsi="Arial" w:cs="Arial"/>
          <w:bCs/>
          <w:sz w:val="22"/>
          <w:szCs w:val="22"/>
          <w:lang w:eastAsia="en-US"/>
        </w:rPr>
        <w:t xml:space="preserve">– </w:t>
      </w:r>
      <w:r w:rsidR="009F488D" w:rsidRPr="009F488D">
        <w:rPr>
          <w:rFonts w:ascii="Arial" w:eastAsia="Calibri" w:hAnsi="Arial" w:cs="Arial"/>
          <w:bCs/>
          <w:sz w:val="22"/>
          <w:szCs w:val="22"/>
          <w:lang w:eastAsia="en-US"/>
        </w:rPr>
        <w:t>Colombia Compra Eficiente, se determinan sus objetivos y estructura</w:t>
      </w:r>
      <w:r w:rsidR="00D879C4">
        <w:rPr>
          <w:rFonts w:ascii="Arial" w:eastAsia="Calibri" w:hAnsi="Arial" w:cs="Arial"/>
          <w:bCs/>
          <w:sz w:val="22"/>
          <w:szCs w:val="22"/>
          <w:lang w:eastAsia="en-US"/>
        </w:rPr>
        <w:t>»</w:t>
      </w:r>
      <w:r w:rsidR="009F488D" w:rsidRPr="009F488D">
        <w:rPr>
          <w:rFonts w:ascii="Arial" w:eastAsia="Calibri" w:hAnsi="Arial" w:cs="Arial"/>
          <w:bCs/>
          <w:sz w:val="22"/>
          <w:szCs w:val="22"/>
          <w:lang w:eastAsia="en-US"/>
        </w:rPr>
        <w:t xml:space="preserve">, no </w:t>
      </w:r>
      <w:r w:rsidR="00D879C4">
        <w:rPr>
          <w:rFonts w:ascii="Arial" w:eastAsia="Calibri" w:hAnsi="Arial" w:cs="Arial"/>
          <w:bCs/>
          <w:sz w:val="22"/>
          <w:szCs w:val="22"/>
          <w:lang w:eastAsia="en-US"/>
        </w:rPr>
        <w:t xml:space="preserve">atribuyó a la entidad </w:t>
      </w:r>
      <w:r w:rsidR="009F488D" w:rsidRPr="009F488D">
        <w:rPr>
          <w:rFonts w:ascii="Arial" w:eastAsia="Calibri" w:hAnsi="Arial" w:cs="Arial"/>
          <w:bCs/>
          <w:sz w:val="22"/>
          <w:szCs w:val="22"/>
          <w:lang w:eastAsia="en-US"/>
        </w:rPr>
        <w:t>competencias de control, investigación y seguimiento</w:t>
      </w:r>
      <w:r w:rsidR="00D50EE7">
        <w:rPr>
          <w:rFonts w:ascii="Arial" w:eastAsia="Calibri" w:hAnsi="Arial" w:cs="Arial"/>
          <w:bCs/>
          <w:sz w:val="22"/>
          <w:szCs w:val="22"/>
          <w:lang w:eastAsia="en-US"/>
        </w:rPr>
        <w:t xml:space="preserve"> en la aplicación de los documentos tipo</w:t>
      </w:r>
      <w:r w:rsidR="00D879C4">
        <w:rPr>
          <w:rFonts w:ascii="Arial" w:eastAsia="Calibri" w:hAnsi="Arial" w:cs="Arial"/>
          <w:bCs/>
          <w:sz w:val="22"/>
          <w:szCs w:val="22"/>
          <w:lang w:eastAsia="en-US"/>
        </w:rPr>
        <w:t xml:space="preserve">. </w:t>
      </w:r>
      <w:r w:rsidR="000F2666">
        <w:rPr>
          <w:rFonts w:ascii="Arial" w:eastAsia="Calibri" w:hAnsi="Arial" w:cs="Arial"/>
          <w:bCs/>
          <w:sz w:val="22"/>
          <w:szCs w:val="22"/>
          <w:lang w:eastAsia="en-US"/>
        </w:rPr>
        <w:t>Por ello, la guía explica que</w:t>
      </w:r>
      <w:r w:rsidR="00CC423B">
        <w:rPr>
          <w:rFonts w:ascii="Arial" w:eastAsia="Calibri" w:hAnsi="Arial" w:cs="Arial"/>
          <w:bCs/>
          <w:sz w:val="22"/>
          <w:szCs w:val="22"/>
          <w:lang w:eastAsia="en-US"/>
        </w:rPr>
        <w:t xml:space="preserve"> la Agencia</w:t>
      </w:r>
      <w:r w:rsidR="000F2666">
        <w:rPr>
          <w:rFonts w:ascii="Arial" w:eastAsia="Calibri" w:hAnsi="Arial" w:cs="Arial"/>
          <w:bCs/>
          <w:sz w:val="22"/>
          <w:szCs w:val="22"/>
          <w:lang w:eastAsia="en-US"/>
        </w:rPr>
        <w:t xml:space="preserve"> «[…] </w:t>
      </w:r>
      <w:r w:rsidR="000F2666" w:rsidRPr="000F2666">
        <w:rPr>
          <w:rFonts w:ascii="Arial" w:eastAsia="Calibri" w:hAnsi="Arial" w:cs="Arial"/>
          <w:bCs/>
          <w:sz w:val="22"/>
          <w:szCs w:val="22"/>
          <w:lang w:eastAsia="en-US"/>
        </w:rPr>
        <w:t>no es competente para sancionar el incumplimiento de la normativa,</w:t>
      </w:r>
      <w:r w:rsidR="000F2666">
        <w:rPr>
          <w:rFonts w:ascii="Arial" w:eastAsia="Calibri" w:hAnsi="Arial" w:cs="Arial"/>
          <w:bCs/>
          <w:sz w:val="22"/>
          <w:szCs w:val="22"/>
          <w:lang w:eastAsia="en-US"/>
        </w:rPr>
        <w:t xml:space="preserve"> </w:t>
      </w:r>
      <w:r w:rsidR="000F2666" w:rsidRPr="000F2666">
        <w:rPr>
          <w:rFonts w:ascii="Arial" w:eastAsia="Calibri" w:hAnsi="Arial" w:cs="Arial"/>
          <w:bCs/>
          <w:sz w:val="22"/>
          <w:szCs w:val="22"/>
          <w:lang w:eastAsia="en-US"/>
        </w:rPr>
        <w:t>y por ello su labor se limita a impartir políticas públicas en temas de contratación estatal y hacer el</w:t>
      </w:r>
      <w:r w:rsidR="000F2666">
        <w:rPr>
          <w:rFonts w:ascii="Arial" w:eastAsia="Calibri" w:hAnsi="Arial" w:cs="Arial"/>
          <w:bCs/>
          <w:sz w:val="22"/>
          <w:szCs w:val="22"/>
          <w:lang w:eastAsia="en-US"/>
        </w:rPr>
        <w:t xml:space="preserve"> </w:t>
      </w:r>
      <w:r w:rsidR="000F2666" w:rsidRPr="000F2666">
        <w:rPr>
          <w:rFonts w:ascii="Arial" w:eastAsia="Calibri" w:hAnsi="Arial" w:cs="Arial"/>
          <w:bCs/>
          <w:sz w:val="22"/>
          <w:szCs w:val="22"/>
          <w:lang w:eastAsia="en-US"/>
        </w:rPr>
        <w:t>seguimiento estadístico a la implementación de los documentos tipo</w:t>
      </w:r>
      <w:r w:rsidR="000F2666">
        <w:rPr>
          <w:rFonts w:ascii="Arial" w:eastAsia="Calibri" w:hAnsi="Arial" w:cs="Arial"/>
          <w:bCs/>
          <w:sz w:val="22"/>
          <w:szCs w:val="22"/>
          <w:lang w:eastAsia="en-US"/>
        </w:rPr>
        <w:t>»</w:t>
      </w:r>
      <w:r w:rsidR="000F2666">
        <w:rPr>
          <w:rStyle w:val="Refdenotaalpie"/>
          <w:rFonts w:ascii="Arial" w:eastAsia="Calibri" w:hAnsi="Arial" w:cs="Arial"/>
          <w:bCs/>
          <w:sz w:val="22"/>
          <w:szCs w:val="22"/>
          <w:lang w:eastAsia="en-US"/>
        </w:rPr>
        <w:footnoteReference w:id="13"/>
      </w:r>
      <w:r w:rsidR="000F2666">
        <w:rPr>
          <w:rFonts w:ascii="Arial" w:eastAsia="Calibri" w:hAnsi="Arial" w:cs="Arial"/>
          <w:bCs/>
          <w:sz w:val="22"/>
          <w:szCs w:val="22"/>
          <w:lang w:eastAsia="en-US"/>
        </w:rPr>
        <w:t>.</w:t>
      </w:r>
    </w:p>
    <w:p w14:paraId="1EA2CA74" w14:textId="52A65F7B" w:rsidR="006557D8" w:rsidRPr="0078356A" w:rsidRDefault="00B904C2" w:rsidP="0078356A">
      <w:pPr>
        <w:spacing w:line="276" w:lineRule="auto"/>
        <w:ind w:firstLine="708"/>
        <w:jc w:val="both"/>
        <w:rPr>
          <w:rFonts w:ascii="Arial" w:hAnsi="Arial" w:cs="Arial"/>
          <w:color w:val="000000"/>
          <w:sz w:val="22"/>
          <w:shd w:val="clear" w:color="auto" w:fill="FFFFFF"/>
        </w:rPr>
      </w:pPr>
      <w:r>
        <w:rPr>
          <w:rFonts w:ascii="Arial" w:eastAsia="Calibri" w:hAnsi="Arial" w:cs="Arial"/>
          <w:bCs/>
          <w:sz w:val="22"/>
        </w:rPr>
        <w:t xml:space="preserve">Por </w:t>
      </w:r>
      <w:r w:rsidR="007D2350">
        <w:rPr>
          <w:rFonts w:ascii="Arial" w:eastAsia="Calibri" w:hAnsi="Arial" w:cs="Arial"/>
          <w:bCs/>
          <w:sz w:val="22"/>
        </w:rPr>
        <w:t>estas razones</w:t>
      </w:r>
      <w:r>
        <w:rPr>
          <w:rFonts w:ascii="Arial" w:eastAsia="Calibri" w:hAnsi="Arial" w:cs="Arial"/>
          <w:bCs/>
          <w:sz w:val="22"/>
        </w:rPr>
        <w:t>,</w:t>
      </w:r>
      <w:r w:rsidR="00B45A60">
        <w:rPr>
          <w:rFonts w:ascii="Arial" w:eastAsia="Calibri" w:hAnsi="Arial" w:cs="Arial"/>
          <w:bCs/>
          <w:sz w:val="22"/>
        </w:rPr>
        <w:t xml:space="preserve"> sea que afecten </w:t>
      </w:r>
      <w:r w:rsidR="009A3F05">
        <w:rPr>
          <w:rFonts w:ascii="Arial" w:eastAsia="Calibri" w:hAnsi="Arial" w:cs="Arial"/>
          <w:bCs/>
          <w:sz w:val="22"/>
        </w:rPr>
        <w:t>e</w:t>
      </w:r>
      <w:r w:rsidR="00B45A60">
        <w:rPr>
          <w:rFonts w:ascii="Arial" w:eastAsia="Calibri" w:hAnsi="Arial" w:cs="Arial"/>
          <w:bCs/>
          <w:sz w:val="22"/>
        </w:rPr>
        <w:t>l contrato, el procedimiento de selección o al funcionario encargado de adelantarlo,</w:t>
      </w:r>
      <w:r>
        <w:rPr>
          <w:rFonts w:ascii="Arial" w:eastAsia="Calibri" w:hAnsi="Arial" w:cs="Arial"/>
          <w:bCs/>
          <w:sz w:val="22"/>
        </w:rPr>
        <w:t xml:space="preserve"> </w:t>
      </w:r>
      <w:r>
        <w:rPr>
          <w:rStyle w:val="normaltextrun"/>
          <w:rFonts w:ascii="Arial" w:hAnsi="Arial" w:cs="Arial"/>
          <w:color w:val="000000"/>
          <w:sz w:val="22"/>
          <w:shd w:val="clear" w:color="auto" w:fill="FFFFFF"/>
        </w:rPr>
        <w:t xml:space="preserve">Colombia Compra Eficiente carece de </w:t>
      </w:r>
      <w:r w:rsidR="0057010E">
        <w:rPr>
          <w:rStyle w:val="normaltextrun"/>
          <w:rFonts w:ascii="Arial" w:hAnsi="Arial" w:cs="Arial"/>
          <w:color w:val="000000"/>
          <w:sz w:val="22"/>
          <w:shd w:val="clear" w:color="auto" w:fill="FFFFFF"/>
        </w:rPr>
        <w:t xml:space="preserve">atribuciones </w:t>
      </w:r>
      <w:r w:rsidR="007D2350">
        <w:rPr>
          <w:rStyle w:val="normaltextrun"/>
          <w:rFonts w:ascii="Arial" w:hAnsi="Arial" w:cs="Arial"/>
          <w:color w:val="000000"/>
          <w:sz w:val="22"/>
          <w:shd w:val="clear" w:color="auto" w:fill="FFFFFF"/>
        </w:rPr>
        <w:t>para determinar las consecuencias</w:t>
      </w:r>
      <w:r w:rsidR="0057010E">
        <w:rPr>
          <w:rStyle w:val="normaltextrun"/>
          <w:rFonts w:ascii="Arial" w:hAnsi="Arial" w:cs="Arial"/>
          <w:color w:val="000000"/>
          <w:sz w:val="22"/>
          <w:shd w:val="clear" w:color="auto" w:fill="FFFFFF"/>
        </w:rPr>
        <w:t xml:space="preserve"> jurídicas</w:t>
      </w:r>
      <w:r w:rsidR="007D2350">
        <w:rPr>
          <w:rStyle w:val="normaltextrun"/>
          <w:rFonts w:ascii="Arial" w:hAnsi="Arial" w:cs="Arial"/>
          <w:color w:val="000000"/>
          <w:sz w:val="22"/>
          <w:shd w:val="clear" w:color="auto" w:fill="FFFFFF"/>
        </w:rPr>
        <w:t xml:space="preserve"> que produce la violación del principio de inalterabilidad</w:t>
      </w:r>
      <w:r>
        <w:rPr>
          <w:rStyle w:val="normaltextrun"/>
          <w:rFonts w:ascii="Arial" w:hAnsi="Arial" w:cs="Arial"/>
          <w:color w:val="000000"/>
          <w:sz w:val="22"/>
          <w:shd w:val="clear" w:color="auto" w:fill="FFFFFF"/>
        </w:rPr>
        <w:t xml:space="preserve">. Esto en la medida que la calificación </w:t>
      </w:r>
      <w:r w:rsidR="000B0B85">
        <w:rPr>
          <w:rStyle w:val="normaltextrun"/>
          <w:rFonts w:ascii="Arial" w:hAnsi="Arial" w:cs="Arial"/>
          <w:color w:val="000000"/>
          <w:sz w:val="22"/>
          <w:shd w:val="clear" w:color="auto" w:fill="FFFFFF"/>
        </w:rPr>
        <w:t xml:space="preserve">de </w:t>
      </w:r>
      <w:r w:rsidR="00A72FE1">
        <w:rPr>
          <w:rStyle w:val="normaltextrun"/>
          <w:rFonts w:ascii="Arial" w:hAnsi="Arial" w:cs="Arial"/>
          <w:color w:val="000000"/>
          <w:sz w:val="22"/>
          <w:shd w:val="clear" w:color="auto" w:fill="FFFFFF"/>
        </w:rPr>
        <w:t>posibles</w:t>
      </w:r>
      <w:r w:rsidR="000B0B85">
        <w:rPr>
          <w:rStyle w:val="normaltextrun"/>
          <w:rFonts w:ascii="Arial" w:hAnsi="Arial" w:cs="Arial"/>
          <w:color w:val="000000"/>
          <w:sz w:val="22"/>
          <w:shd w:val="clear" w:color="auto" w:fill="FFFFFF"/>
        </w:rPr>
        <w:t xml:space="preserve"> vicios </w:t>
      </w:r>
      <w:r w:rsidR="00A72FE1">
        <w:rPr>
          <w:rStyle w:val="normaltextrun"/>
          <w:rFonts w:ascii="Arial" w:hAnsi="Arial" w:cs="Arial"/>
          <w:color w:val="000000"/>
          <w:sz w:val="22"/>
          <w:shd w:val="clear" w:color="auto" w:fill="FFFFFF"/>
        </w:rPr>
        <w:t>invalidantes</w:t>
      </w:r>
      <w:r w:rsidR="000B0B85">
        <w:rPr>
          <w:rStyle w:val="normaltextrun"/>
          <w:rFonts w:ascii="Arial" w:hAnsi="Arial" w:cs="Arial"/>
          <w:color w:val="000000"/>
          <w:sz w:val="22"/>
          <w:shd w:val="clear" w:color="auto" w:fill="FFFFFF"/>
        </w:rPr>
        <w:t xml:space="preserve"> </w:t>
      </w:r>
      <w:r w:rsidR="00A72FE1">
        <w:rPr>
          <w:rStyle w:val="normaltextrun"/>
          <w:rFonts w:ascii="Arial" w:hAnsi="Arial" w:cs="Arial"/>
          <w:color w:val="000000"/>
          <w:sz w:val="22"/>
          <w:shd w:val="clear" w:color="auto" w:fill="FFFFFF"/>
        </w:rPr>
        <w:t xml:space="preserve">o la </w:t>
      </w:r>
      <w:r w:rsidR="00C13E9E">
        <w:rPr>
          <w:rStyle w:val="normaltextrun"/>
          <w:rFonts w:ascii="Arial" w:hAnsi="Arial" w:cs="Arial"/>
          <w:color w:val="000000"/>
          <w:sz w:val="22"/>
          <w:shd w:val="clear" w:color="auto" w:fill="FFFFFF"/>
        </w:rPr>
        <w:t>investigación</w:t>
      </w:r>
      <w:r w:rsidR="00A72FE1">
        <w:rPr>
          <w:rStyle w:val="normaltextrun"/>
          <w:rFonts w:ascii="Arial" w:hAnsi="Arial" w:cs="Arial"/>
          <w:color w:val="000000"/>
          <w:sz w:val="22"/>
          <w:shd w:val="clear" w:color="auto" w:fill="FFFFFF"/>
        </w:rPr>
        <w:t xml:space="preserve"> de presuntas </w:t>
      </w:r>
      <w:r w:rsidR="00791D96">
        <w:rPr>
          <w:rStyle w:val="normaltextrun"/>
          <w:rFonts w:ascii="Arial" w:hAnsi="Arial" w:cs="Arial"/>
          <w:color w:val="000000"/>
          <w:sz w:val="22"/>
          <w:shd w:val="clear" w:color="auto" w:fill="FFFFFF"/>
        </w:rPr>
        <w:t xml:space="preserve">faltas </w:t>
      </w:r>
      <w:r w:rsidR="00A72FE1">
        <w:rPr>
          <w:rStyle w:val="normaltextrun"/>
          <w:rFonts w:ascii="Arial" w:hAnsi="Arial" w:cs="Arial"/>
          <w:color w:val="000000"/>
          <w:sz w:val="22"/>
          <w:shd w:val="clear" w:color="auto" w:fill="FFFFFF"/>
        </w:rPr>
        <w:t>dis</w:t>
      </w:r>
      <w:r w:rsidR="00B13861">
        <w:rPr>
          <w:rStyle w:val="normaltextrun"/>
          <w:rFonts w:ascii="Arial" w:hAnsi="Arial" w:cs="Arial"/>
          <w:color w:val="000000"/>
          <w:sz w:val="22"/>
          <w:shd w:val="clear" w:color="auto" w:fill="FFFFFF"/>
        </w:rPr>
        <w:t>ciplinarias corresponde a las autoridades judiciales y de control, respectivamente</w:t>
      </w:r>
      <w:r>
        <w:rPr>
          <w:rStyle w:val="normaltextrun"/>
          <w:rFonts w:ascii="Arial" w:hAnsi="Arial" w:cs="Arial"/>
          <w:color w:val="000000"/>
          <w:sz w:val="22"/>
          <w:shd w:val="clear" w:color="auto" w:fill="FFFFFF"/>
        </w:rPr>
        <w:t xml:space="preserve">. </w:t>
      </w:r>
    </w:p>
    <w:p w14:paraId="331D0ECA" w14:textId="77777777" w:rsidR="003C4317" w:rsidRPr="004A0905" w:rsidRDefault="003C4317">
      <w:pPr>
        <w:spacing w:line="276" w:lineRule="auto"/>
        <w:jc w:val="both"/>
        <w:rPr>
          <w:rFonts w:ascii="Arial" w:eastAsia="Calibri" w:hAnsi="Arial" w:cs="Arial"/>
          <w:color w:val="000000" w:themeColor="text1"/>
          <w:sz w:val="22"/>
          <w:szCs w:val="22"/>
          <w:lang w:val="es-ES_tradnl"/>
        </w:rPr>
      </w:pPr>
    </w:p>
    <w:p w14:paraId="78B00FC1" w14:textId="53A9D350" w:rsidR="004777DF" w:rsidRDefault="008A6AA1" w:rsidP="00886B09">
      <w:pPr>
        <w:spacing w:line="276" w:lineRule="auto"/>
        <w:jc w:val="both"/>
        <w:rPr>
          <w:rFonts w:ascii="Arial" w:eastAsia="Calibri" w:hAnsi="Arial" w:cs="Arial"/>
          <w:b/>
          <w:bCs/>
          <w:sz w:val="22"/>
          <w:lang w:val="es-ES_tradnl"/>
        </w:rPr>
      </w:pPr>
      <w:r w:rsidRPr="004A0905">
        <w:rPr>
          <w:rFonts w:ascii="Arial" w:eastAsia="Calibri" w:hAnsi="Arial" w:cs="Arial"/>
          <w:b/>
          <w:bCs/>
          <w:color w:val="000000" w:themeColor="text1"/>
          <w:sz w:val="22"/>
          <w:szCs w:val="22"/>
          <w:lang w:val="es-ES_tradnl"/>
        </w:rPr>
        <w:t>2.</w:t>
      </w:r>
      <w:r w:rsidR="006557D8">
        <w:rPr>
          <w:rFonts w:ascii="Arial" w:eastAsia="Calibri" w:hAnsi="Arial" w:cs="Arial"/>
          <w:b/>
          <w:bCs/>
          <w:color w:val="000000" w:themeColor="text1"/>
          <w:sz w:val="22"/>
          <w:szCs w:val="22"/>
          <w:lang w:val="es-ES_tradnl"/>
        </w:rPr>
        <w:t>3</w:t>
      </w:r>
      <w:r w:rsidRPr="004A0905">
        <w:rPr>
          <w:rFonts w:ascii="Arial" w:eastAsia="Calibri" w:hAnsi="Arial" w:cs="Arial"/>
          <w:b/>
          <w:bCs/>
          <w:color w:val="000000" w:themeColor="text1"/>
          <w:sz w:val="22"/>
          <w:szCs w:val="22"/>
          <w:lang w:val="es-ES_tradnl"/>
        </w:rPr>
        <w:t xml:space="preserve">. </w:t>
      </w:r>
      <w:r w:rsidR="001A74C1" w:rsidRPr="00196BCD">
        <w:rPr>
          <w:rFonts w:ascii="Arial" w:eastAsia="Calibri" w:hAnsi="Arial" w:cs="Arial"/>
          <w:b/>
          <w:bCs/>
          <w:sz w:val="22"/>
          <w:lang w:val="es-ES_tradnl"/>
        </w:rPr>
        <w:t xml:space="preserve">Estudios </w:t>
      </w:r>
      <w:r w:rsidR="001A74C1">
        <w:rPr>
          <w:rFonts w:ascii="Arial" w:eastAsia="Calibri" w:hAnsi="Arial" w:cs="Arial"/>
          <w:b/>
          <w:bCs/>
          <w:sz w:val="22"/>
          <w:lang w:val="es-ES_tradnl"/>
        </w:rPr>
        <w:t>previos y del</w:t>
      </w:r>
      <w:r w:rsidR="001A74C1" w:rsidRPr="00196BCD">
        <w:rPr>
          <w:rFonts w:ascii="Arial" w:eastAsia="Calibri" w:hAnsi="Arial" w:cs="Arial"/>
          <w:b/>
          <w:bCs/>
          <w:sz w:val="22"/>
          <w:lang w:val="es-ES_tradnl"/>
        </w:rPr>
        <w:t xml:space="preserve"> sector en el Estatuto General de Contratación de la Administración Pública   </w:t>
      </w:r>
    </w:p>
    <w:p w14:paraId="11B3B0F8" w14:textId="77777777" w:rsidR="001A74C1" w:rsidRDefault="001A74C1" w:rsidP="00886B09">
      <w:pPr>
        <w:spacing w:line="276" w:lineRule="auto"/>
        <w:jc w:val="both"/>
        <w:rPr>
          <w:rFonts w:ascii="Arial" w:eastAsia="Calibri" w:hAnsi="Arial" w:cs="Arial"/>
          <w:b/>
          <w:bCs/>
          <w:sz w:val="22"/>
          <w:lang w:val="es-ES_tradnl"/>
        </w:rPr>
      </w:pPr>
    </w:p>
    <w:p w14:paraId="4568E54D" w14:textId="77777777" w:rsidR="001A74C1" w:rsidRPr="00196BCD" w:rsidRDefault="001A74C1" w:rsidP="001A74C1">
      <w:pPr>
        <w:spacing w:line="276" w:lineRule="auto"/>
        <w:jc w:val="both"/>
      </w:pPr>
      <w:bookmarkStart w:id="10" w:name="_Hlk54011258"/>
      <w:r w:rsidRPr="00196BCD">
        <w:rPr>
          <w:rFonts w:ascii="Arial" w:eastAsia="Calibri" w:hAnsi="Arial" w:cs="Arial"/>
          <w:bCs/>
          <w:sz w:val="22"/>
          <w:lang w:val="es-ES_tradnl"/>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w:t>
      </w:r>
      <w:r>
        <w:rPr>
          <w:rFonts w:ascii="Arial" w:eastAsia="Calibri" w:hAnsi="Arial" w:cs="Arial"/>
          <w:bCs/>
          <w:sz w:val="22"/>
          <w:lang w:val="es-ES_tradnl"/>
        </w:rPr>
        <w:t>Lo anterior con la finalidad de realizar la</w:t>
      </w:r>
      <w:r w:rsidRPr="00196BCD">
        <w:rPr>
          <w:rFonts w:ascii="Arial" w:eastAsia="Calibri" w:hAnsi="Arial" w:cs="Arial"/>
          <w:bCs/>
          <w:sz w:val="22"/>
          <w:lang w:val="es-ES_tradnl"/>
        </w:rPr>
        <w:t xml:space="preserve"> escogencia diligente de la mejor oferta, para beneficiar los intereses y fines públicos inmersos en la contratación de las entidades estatales</w:t>
      </w:r>
      <w:bookmarkEnd w:id="10"/>
      <w:r w:rsidRPr="00196BCD">
        <w:rPr>
          <w:rFonts w:ascii="Arial" w:eastAsia="Calibri" w:hAnsi="Arial" w:cs="Arial"/>
          <w:bCs/>
          <w:sz w:val="21"/>
          <w:szCs w:val="21"/>
          <w:lang w:val="es-ES_tradnl"/>
        </w:rPr>
        <w:t>.</w:t>
      </w:r>
    </w:p>
    <w:p w14:paraId="64319808" w14:textId="77777777" w:rsidR="001A74C1" w:rsidRPr="00196BCD" w:rsidRDefault="001A74C1" w:rsidP="001A74C1">
      <w:pPr>
        <w:pStyle w:val="Sinespaciado"/>
        <w:spacing w:before="120" w:line="276" w:lineRule="auto"/>
        <w:ind w:firstLine="708"/>
        <w:jc w:val="both"/>
        <w:rPr>
          <w:rFonts w:ascii="Arial" w:hAnsi="Arial" w:cs="Arial"/>
          <w:bCs/>
          <w:sz w:val="22"/>
          <w:lang w:val="es-ES"/>
        </w:rPr>
      </w:pPr>
      <w:r w:rsidRPr="00196BCD">
        <w:rPr>
          <w:rFonts w:ascii="Arial" w:hAnsi="Arial" w:cs="Arial"/>
          <w:bCs/>
          <w:sz w:val="22"/>
        </w:rPr>
        <w:t xml:space="preserve">El Estatuto General de Contratación de la Administración Pública contiene disposiciones que </w:t>
      </w:r>
      <w:r>
        <w:rPr>
          <w:rFonts w:ascii="Arial" w:hAnsi="Arial" w:cs="Arial"/>
          <w:bCs/>
          <w:sz w:val="22"/>
        </w:rPr>
        <w:t>exigen a</w:t>
      </w:r>
      <w:r w:rsidRPr="00196BCD">
        <w:rPr>
          <w:rFonts w:ascii="Arial" w:hAnsi="Arial" w:cs="Arial"/>
          <w:bCs/>
          <w:sz w:val="22"/>
        </w:rPr>
        <w:t xml:space="preserv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5DA25BAC" w14:textId="77777777" w:rsidR="001A74C1" w:rsidRPr="00196BCD" w:rsidRDefault="001A74C1" w:rsidP="001A74C1">
      <w:pPr>
        <w:pStyle w:val="Sinespaciado"/>
        <w:spacing w:line="276" w:lineRule="auto"/>
        <w:ind w:firstLine="708"/>
        <w:jc w:val="both"/>
        <w:rPr>
          <w:rFonts w:ascii="Arial" w:hAnsi="Arial" w:cs="Arial"/>
          <w:bCs/>
          <w:sz w:val="22"/>
          <w:lang w:val="es-ES"/>
        </w:rPr>
      </w:pPr>
    </w:p>
    <w:p w14:paraId="38A3BD7C" w14:textId="77777777" w:rsidR="001A74C1" w:rsidRPr="00196BCD" w:rsidRDefault="001A74C1" w:rsidP="001A74C1">
      <w:pPr>
        <w:pStyle w:val="Sinespaciado"/>
        <w:ind w:left="709" w:right="709"/>
        <w:jc w:val="both"/>
        <w:rPr>
          <w:rFonts w:ascii="Arial" w:hAnsi="Arial" w:cs="Arial"/>
          <w:sz w:val="21"/>
          <w:szCs w:val="21"/>
        </w:rPr>
      </w:pPr>
      <w:r w:rsidRPr="00196BCD">
        <w:rPr>
          <w:rFonts w:ascii="Arial" w:hAnsi="Arial" w:cs="Arial"/>
          <w:sz w:val="21"/>
          <w:szCs w:val="21"/>
        </w:rPr>
        <w:lastRenderedPageBreak/>
        <w:t>7o. La conveniencia o inconveniencia del objeto a contratar y las autorizaciones y aprobaciones para ello, se analizarán o impartirán con antelación al inicio del proceso de selección del contratista o al de la firma del contrato, según el caso.</w:t>
      </w:r>
    </w:p>
    <w:p w14:paraId="7CA91C61" w14:textId="77777777" w:rsidR="001A74C1" w:rsidRPr="00196BCD" w:rsidRDefault="001A74C1" w:rsidP="001A74C1">
      <w:pPr>
        <w:pStyle w:val="Sinespaciado"/>
        <w:spacing w:after="120"/>
        <w:ind w:left="709" w:right="709"/>
        <w:jc w:val="both"/>
        <w:rPr>
          <w:rFonts w:ascii="Arial" w:hAnsi="Arial" w:cs="Arial"/>
          <w:sz w:val="21"/>
          <w:szCs w:val="21"/>
        </w:rPr>
      </w:pPr>
      <w:r w:rsidRPr="00196BCD">
        <w:rPr>
          <w:rFonts w:ascii="Arial" w:hAnsi="Arial" w:cs="Arial"/>
          <w:sz w:val="21"/>
          <w:szCs w:val="21"/>
        </w:rPr>
        <w:t>[…]</w:t>
      </w:r>
    </w:p>
    <w:p w14:paraId="7EB2A960" w14:textId="77777777" w:rsidR="001A74C1" w:rsidRPr="00196BCD" w:rsidRDefault="001A74C1" w:rsidP="001A74C1">
      <w:pPr>
        <w:pStyle w:val="Sinespaciado"/>
        <w:spacing w:after="120"/>
        <w:ind w:left="709" w:right="709"/>
        <w:jc w:val="both"/>
        <w:rPr>
          <w:rFonts w:ascii="Arial" w:hAnsi="Arial" w:cs="Arial"/>
          <w:sz w:val="21"/>
          <w:szCs w:val="21"/>
        </w:rPr>
      </w:pPr>
      <w:r w:rsidRPr="00196BCD">
        <w:rPr>
          <w:rFonts w:ascii="Arial" w:hAnsi="Arial" w:cs="Arial"/>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718B6B2" w14:textId="77777777" w:rsidR="001A74C1" w:rsidRPr="00196BCD" w:rsidRDefault="001A74C1" w:rsidP="001A74C1">
      <w:pPr>
        <w:pStyle w:val="Sinespaciado"/>
        <w:spacing w:after="120"/>
        <w:ind w:left="709" w:right="709"/>
        <w:jc w:val="both"/>
        <w:rPr>
          <w:rFonts w:ascii="Arial" w:hAnsi="Arial" w:cs="Arial"/>
          <w:sz w:val="21"/>
          <w:szCs w:val="21"/>
        </w:rPr>
      </w:pPr>
      <w:r w:rsidRPr="00196BCD">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A259703" w14:textId="77777777" w:rsidR="001A74C1" w:rsidRPr="00196BCD" w:rsidRDefault="001A74C1" w:rsidP="001A74C1">
      <w:pPr>
        <w:spacing w:after="120"/>
        <w:ind w:left="709" w:right="709"/>
        <w:jc w:val="both"/>
        <w:rPr>
          <w:rFonts w:ascii="Arial" w:hAnsi="Arial" w:cs="Arial"/>
          <w:sz w:val="21"/>
          <w:szCs w:val="21"/>
        </w:rPr>
      </w:pPr>
      <w:r w:rsidRPr="00196BCD">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0F1F51D1" w14:textId="48AEBE96" w:rsidR="001A74C1" w:rsidRDefault="001A74C1" w:rsidP="001A74C1">
      <w:pPr>
        <w:ind w:left="709" w:right="709"/>
        <w:jc w:val="both"/>
        <w:rPr>
          <w:rFonts w:ascii="Arial" w:hAnsi="Arial" w:cs="Arial"/>
          <w:sz w:val="21"/>
          <w:szCs w:val="21"/>
        </w:rPr>
      </w:pPr>
      <w:r w:rsidRPr="00196BCD">
        <w:rPr>
          <w:rFonts w:ascii="Arial" w:hAnsi="Arial" w:cs="Arial"/>
          <w:sz w:val="21"/>
          <w:szCs w:val="21"/>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w:t>
      </w:r>
      <w:r w:rsidRPr="00FF3BFC">
        <w:rPr>
          <w:rFonts w:ascii="Arial" w:hAnsi="Arial" w:cs="Arial"/>
          <w:sz w:val="21"/>
          <w:szCs w:val="21"/>
        </w:rPr>
        <w:t>por ellas celebrados</w:t>
      </w:r>
      <w:r w:rsidR="00E250AD">
        <w:rPr>
          <w:rFonts w:ascii="Arial" w:hAnsi="Arial" w:cs="Arial"/>
          <w:sz w:val="21"/>
          <w:szCs w:val="21"/>
        </w:rPr>
        <w:t xml:space="preserve"> </w:t>
      </w:r>
      <w:r>
        <w:rPr>
          <w:rFonts w:ascii="Arial" w:hAnsi="Arial" w:cs="Arial"/>
          <w:sz w:val="21"/>
          <w:szCs w:val="21"/>
        </w:rPr>
        <w:t>[…]</w:t>
      </w:r>
      <w:r w:rsidRPr="00FF3BFC">
        <w:rPr>
          <w:rFonts w:ascii="Arial" w:hAnsi="Arial" w:cs="Arial"/>
          <w:sz w:val="21"/>
          <w:szCs w:val="21"/>
        </w:rPr>
        <w:t>.</w:t>
      </w:r>
    </w:p>
    <w:p w14:paraId="3F927EFD" w14:textId="77777777" w:rsidR="001A74C1" w:rsidRPr="00331868" w:rsidRDefault="001A74C1" w:rsidP="001A74C1">
      <w:pPr>
        <w:spacing w:line="276" w:lineRule="auto"/>
        <w:ind w:left="709" w:right="709"/>
        <w:jc w:val="both"/>
        <w:rPr>
          <w:rFonts w:ascii="Arial" w:hAnsi="Arial" w:cs="Arial"/>
          <w:sz w:val="22"/>
        </w:rPr>
      </w:pPr>
    </w:p>
    <w:p w14:paraId="1A54E861" w14:textId="33EDDF79" w:rsidR="001A74C1" w:rsidRPr="00FA2F7F" w:rsidRDefault="001A74C1">
      <w:pPr>
        <w:spacing w:line="276" w:lineRule="auto"/>
        <w:ind w:firstLine="709"/>
        <w:jc w:val="both"/>
        <w:rPr>
          <w:rFonts w:ascii="Arial" w:hAnsi="Arial" w:cs="Arial"/>
          <w:sz w:val="22"/>
        </w:rPr>
      </w:pPr>
      <w:r w:rsidRPr="00FA2F7F">
        <w:rPr>
          <w:rFonts w:ascii="Arial" w:hAnsi="Arial" w:cs="Arial"/>
          <w:sz w:val="22"/>
        </w:rPr>
        <w:t xml:space="preserve">Lo anterior le permitirá a la entidad estatal identificar </w:t>
      </w:r>
      <w:r>
        <w:rPr>
          <w:rFonts w:ascii="Arial" w:hAnsi="Arial" w:cs="Arial"/>
          <w:sz w:val="22"/>
        </w:rPr>
        <w:t xml:space="preserve">desde el punto de vista </w:t>
      </w:r>
      <w:r w:rsidRPr="00FA2F7F">
        <w:rPr>
          <w:rFonts w:ascii="Arial" w:hAnsi="Arial" w:cs="Arial"/>
          <w:sz w:val="22"/>
        </w:rPr>
        <w:t xml:space="preserve">técnico y </w:t>
      </w:r>
      <w:r>
        <w:rPr>
          <w:rFonts w:ascii="Arial" w:hAnsi="Arial" w:cs="Arial"/>
          <w:sz w:val="22"/>
        </w:rPr>
        <w:t>financiero</w:t>
      </w:r>
      <w:r w:rsidRPr="00FA2F7F">
        <w:rPr>
          <w:rFonts w:ascii="Arial" w:hAnsi="Arial" w:cs="Arial"/>
          <w:sz w:val="22"/>
        </w:rPr>
        <w:t xml:space="preserve">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Pr>
          <w:rFonts w:ascii="Arial" w:hAnsi="Arial" w:cs="Arial"/>
          <w:sz w:val="22"/>
        </w:rPr>
        <w:t>«</w:t>
      </w:r>
      <w:r w:rsidRPr="00FA2F7F">
        <w:rPr>
          <w:rFonts w:ascii="Arial" w:hAnsi="Arial" w:cs="Arial"/>
          <w:sz w:val="22"/>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Pr>
          <w:rFonts w:ascii="Arial" w:hAnsi="Arial" w:cs="Arial"/>
          <w:sz w:val="22"/>
        </w:rPr>
        <w:t>»</w:t>
      </w:r>
      <w:r w:rsidRPr="0078356A">
        <w:rPr>
          <w:rFonts w:ascii="Arial" w:hAnsi="Arial" w:cs="Arial"/>
          <w:sz w:val="22"/>
          <w:vertAlign w:val="superscript"/>
        </w:rPr>
        <w:footnoteReference w:id="14"/>
      </w:r>
      <w:r>
        <w:rPr>
          <w:rFonts w:ascii="Arial" w:hAnsi="Arial" w:cs="Arial"/>
          <w:sz w:val="22"/>
        </w:rPr>
        <w:t>.</w:t>
      </w:r>
      <w:r w:rsidR="00C977E0">
        <w:rPr>
          <w:rFonts w:ascii="Arial" w:hAnsi="Arial" w:cs="Arial"/>
          <w:sz w:val="22"/>
        </w:rPr>
        <w:t xml:space="preserve"> En congruencia con el artículo 25</w:t>
      </w:r>
      <w:r w:rsidRPr="00FA2F7F">
        <w:rPr>
          <w:rFonts w:ascii="Arial" w:hAnsi="Arial" w:cs="Arial"/>
          <w:sz w:val="22"/>
        </w:rPr>
        <w:t xml:space="preserve"> de la Ley 80 de 1993, el Decreto Único Reglamentario del Sector Administrativo de Planeación Nacional </w:t>
      </w:r>
      <w:r>
        <w:rPr>
          <w:rFonts w:ascii="Arial" w:hAnsi="Arial" w:cs="Arial"/>
          <w:sz w:val="22"/>
        </w:rPr>
        <w:t>–</w:t>
      </w:r>
      <w:r w:rsidRPr="00FA2F7F">
        <w:rPr>
          <w:rFonts w:ascii="Arial" w:hAnsi="Arial" w:cs="Arial"/>
          <w:sz w:val="22"/>
        </w:rPr>
        <w:t>Decreto 1082 de 2015</w:t>
      </w:r>
      <w:r>
        <w:rPr>
          <w:rFonts w:ascii="Arial" w:hAnsi="Arial" w:cs="Arial"/>
          <w:sz w:val="22"/>
        </w:rPr>
        <w:t>–</w:t>
      </w:r>
      <w:r w:rsidRPr="00FA2F7F">
        <w:rPr>
          <w:rFonts w:ascii="Arial" w:hAnsi="Arial" w:cs="Arial"/>
          <w:sz w:val="22"/>
        </w:rPr>
        <w:t xml:space="preserve">, </w:t>
      </w:r>
      <w:r w:rsidR="00DB6E6D">
        <w:rPr>
          <w:rFonts w:ascii="Arial" w:hAnsi="Arial" w:cs="Arial"/>
          <w:sz w:val="22"/>
        </w:rPr>
        <w:t>dispone</w:t>
      </w:r>
      <w:r w:rsidR="00DB6E6D" w:rsidRPr="00FA2F7F">
        <w:rPr>
          <w:rFonts w:ascii="Arial" w:hAnsi="Arial" w:cs="Arial"/>
          <w:sz w:val="22"/>
        </w:rPr>
        <w:t xml:space="preserve"> </w:t>
      </w:r>
      <w:r w:rsidRPr="00FA2F7F">
        <w:rPr>
          <w:rFonts w:ascii="Arial" w:hAnsi="Arial" w:cs="Arial"/>
          <w:sz w:val="22"/>
        </w:rPr>
        <w:t>en el artículo 2.2.1.1.2.1.1 el contenido mínimo de los estudios y documentos previos:</w:t>
      </w:r>
    </w:p>
    <w:p w14:paraId="466391C0" w14:textId="77777777" w:rsidR="001A74C1" w:rsidRPr="00C0116A" w:rsidRDefault="001A74C1" w:rsidP="0078356A">
      <w:pPr>
        <w:pStyle w:val="Textoindependiente"/>
        <w:spacing w:after="0"/>
        <w:ind w:left="709" w:right="709"/>
      </w:pPr>
    </w:p>
    <w:p w14:paraId="21E599FF" w14:textId="3D463A9D" w:rsidR="009E12BD" w:rsidRPr="009E12BD" w:rsidRDefault="001A74C1">
      <w:pPr>
        <w:spacing w:after="120"/>
        <w:ind w:left="709" w:right="709"/>
        <w:jc w:val="both"/>
        <w:rPr>
          <w:rFonts w:ascii="Arial" w:hAnsi="Arial" w:cs="Arial"/>
          <w:sz w:val="21"/>
          <w:szCs w:val="21"/>
        </w:rPr>
      </w:pPr>
      <w:r w:rsidRPr="00B502E2">
        <w:rPr>
          <w:rFonts w:ascii="Arial" w:hAnsi="Arial" w:cs="Arial"/>
          <w:sz w:val="21"/>
          <w:szCs w:val="21"/>
        </w:rPr>
        <w:t xml:space="preserve">Artículo 2.2.1.1.2.1.1. </w:t>
      </w:r>
      <w:r w:rsidR="009E12BD" w:rsidRPr="009E12BD">
        <w:rPr>
          <w:rFonts w:ascii="Arial" w:hAnsi="Arial" w:cs="Arial"/>
          <w:sz w:val="21"/>
          <w:szCs w:val="21"/>
        </w:rPr>
        <w:t xml:space="preserve">Los estudios y documentos previos son el soporte para elaborar el proyecto de pliegos, los pliegos de condiciones y el contrato. Estos deben permanecer a disposición del público durante el desarrollo del Proceso </w:t>
      </w:r>
      <w:r w:rsidR="009E12BD" w:rsidRPr="009E12BD">
        <w:rPr>
          <w:rFonts w:ascii="Arial" w:hAnsi="Arial" w:cs="Arial"/>
          <w:sz w:val="21"/>
          <w:szCs w:val="21"/>
        </w:rPr>
        <w:lastRenderedPageBreak/>
        <w:t xml:space="preserve">de Contratación y contener los siguientes elementos, además de los indicados para cada modalidad de selección: </w:t>
      </w:r>
    </w:p>
    <w:p w14:paraId="52F63CA7" w14:textId="4A4378DE"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1. La descripción de la necesidad que la Entidad Estatal pretende satisfacer con el Proceso de Contratación. ​</w:t>
      </w:r>
    </w:p>
    <w:p w14:paraId="4A228782" w14:textId="1980C2B4"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2CCECDE3" w14:textId="7BBA3600"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3. La modalidad de selección del contratista y su justificación, incluyendo los fundamentos jurídicos. </w:t>
      </w:r>
    </w:p>
    <w:p w14:paraId="3AD18ACA" w14:textId="31B68A33"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7D7F858" w14:textId="42E08518"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5. Los criterios para seleccionar la oferta más favorable. </w:t>
      </w:r>
    </w:p>
    <w:p w14:paraId="245E8B56" w14:textId="3A5EB6E5"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6. El análisis de Riesgo y la forma de mitigarlo. </w:t>
      </w:r>
    </w:p>
    <w:p w14:paraId="54BC4A06" w14:textId="5E9B4C7A"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7. Las garantías que la Entidad Estatal contempla exigir en el proceso de contratación. </w:t>
      </w:r>
    </w:p>
    <w:p w14:paraId="3D518578" w14:textId="06D1C3A2" w:rsidR="009E12BD" w:rsidRPr="009E12BD" w:rsidRDefault="009E12BD">
      <w:pPr>
        <w:spacing w:after="120"/>
        <w:ind w:left="709" w:right="709"/>
        <w:jc w:val="both"/>
        <w:rPr>
          <w:rFonts w:ascii="Arial" w:hAnsi="Arial" w:cs="Arial"/>
          <w:sz w:val="21"/>
          <w:szCs w:val="21"/>
        </w:rPr>
      </w:pPr>
      <w:r w:rsidRPr="009E12BD">
        <w:rPr>
          <w:rFonts w:ascii="Arial" w:hAnsi="Arial" w:cs="Arial"/>
          <w:sz w:val="21"/>
          <w:szCs w:val="21"/>
        </w:rPr>
        <w:t xml:space="preserve">8. La indicación de si el proceso de contratación está cobijado por un acuerdo comercial. </w:t>
      </w:r>
    </w:p>
    <w:p w14:paraId="7A1984E7" w14:textId="0B440FDD" w:rsidR="001A74C1" w:rsidRDefault="009E12BD" w:rsidP="0078356A">
      <w:pPr>
        <w:ind w:left="709" w:right="709"/>
        <w:jc w:val="both"/>
        <w:rPr>
          <w:rFonts w:ascii="Arial" w:hAnsi="Arial" w:cs="Arial"/>
          <w:sz w:val="21"/>
          <w:szCs w:val="21"/>
        </w:rPr>
      </w:pPr>
      <w:r w:rsidRPr="009E12BD">
        <w:rPr>
          <w:rFonts w:ascii="Arial" w:hAnsi="Arial" w:cs="Arial"/>
          <w:sz w:val="21"/>
          <w:szCs w:val="21"/>
        </w:rPr>
        <w:t>El presente artículo no es aplicable a la contratación por mínima cuantía</w:t>
      </w:r>
      <w:r w:rsidR="001A74C1" w:rsidRPr="00B502E2">
        <w:rPr>
          <w:rFonts w:ascii="Arial" w:hAnsi="Arial" w:cs="Arial"/>
          <w:sz w:val="21"/>
          <w:szCs w:val="21"/>
        </w:rPr>
        <w:t>.</w:t>
      </w:r>
    </w:p>
    <w:p w14:paraId="400C9AE3" w14:textId="77777777" w:rsidR="001A74C1" w:rsidRPr="0078356A" w:rsidRDefault="001A74C1" w:rsidP="0078356A">
      <w:pPr>
        <w:pStyle w:val="Prrafodelista"/>
        <w:widowControl w:val="0"/>
        <w:tabs>
          <w:tab w:val="left" w:pos="1305"/>
        </w:tabs>
        <w:autoSpaceDE w:val="0"/>
        <w:autoSpaceDN w:val="0"/>
        <w:spacing w:line="276" w:lineRule="auto"/>
        <w:ind w:left="828" w:right="822"/>
        <w:contextualSpacing w:val="0"/>
        <w:rPr>
          <w:rFonts w:ascii="Arial" w:hAnsi="Arial" w:cs="Arial"/>
          <w:sz w:val="22"/>
        </w:rPr>
      </w:pPr>
    </w:p>
    <w:p w14:paraId="3E9ED1CE" w14:textId="77777777" w:rsidR="001A74C1" w:rsidRPr="00026A8D" w:rsidRDefault="001A74C1" w:rsidP="001A74C1">
      <w:pPr>
        <w:spacing w:after="120" w:line="276" w:lineRule="auto"/>
        <w:ind w:firstLine="709"/>
        <w:jc w:val="both"/>
        <w:rPr>
          <w:rFonts w:ascii="Arial" w:hAnsi="Arial" w:cs="Arial"/>
          <w:sz w:val="22"/>
        </w:rPr>
      </w:pPr>
      <w:bookmarkStart w:id="11" w:name="_Hlk54011351"/>
      <w:r w:rsidRPr="00026A8D">
        <w:rPr>
          <w:rFonts w:ascii="Arial" w:hAnsi="Arial" w:cs="Arial"/>
          <w:sz w:val="22"/>
        </w:rPr>
        <w:t>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los servicios, etcétera,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r w:rsidRPr="00026A8D">
        <w:rPr>
          <w:rStyle w:val="Refdenotaalpie"/>
          <w:rFonts w:ascii="Arial" w:hAnsi="Arial" w:cs="Arial"/>
          <w:sz w:val="22"/>
        </w:rPr>
        <w:footnoteReference w:id="15"/>
      </w:r>
      <w:r w:rsidRPr="00026A8D">
        <w:rPr>
          <w:rFonts w:ascii="Arial" w:hAnsi="Arial" w:cs="Arial"/>
          <w:sz w:val="22"/>
        </w:rPr>
        <w:t>.</w:t>
      </w:r>
    </w:p>
    <w:bookmarkEnd w:id="11"/>
    <w:p w14:paraId="6DE38F6B" w14:textId="77777777" w:rsidR="001A74C1" w:rsidRPr="00026A8D" w:rsidRDefault="001A74C1" w:rsidP="001A74C1">
      <w:pPr>
        <w:spacing w:after="120" w:line="276" w:lineRule="auto"/>
        <w:ind w:firstLine="709"/>
        <w:jc w:val="both"/>
        <w:rPr>
          <w:rFonts w:ascii="Arial" w:hAnsi="Arial" w:cs="Arial"/>
          <w:sz w:val="22"/>
        </w:rPr>
      </w:pPr>
      <w:r w:rsidRPr="00026A8D">
        <w:rPr>
          <w:rFonts w:ascii="Arial" w:hAnsi="Arial" w:cs="Arial"/>
          <w:sz w:val="22"/>
        </w:rPr>
        <w:lastRenderedPageBreak/>
        <w:t xml:space="preserve">Cuando las entidades cumplen con los elementos mínimos establecidos en la norma y aquellos adicionales que identifiquen en la etapa de planeación de los </w:t>
      </w:r>
      <w:r w:rsidRPr="00026A8D">
        <w:rPr>
          <w:rFonts w:ascii="Arial" w:eastAsia="Calibri" w:hAnsi="Arial" w:cs="Arial"/>
          <w:bCs/>
          <w:sz w:val="22"/>
          <w:lang w:val="es-ES_tradnl"/>
        </w:rPr>
        <w:t xml:space="preserve">procedimientos de contratación, permiten que los contratos resultantes cuenten con el sustento técnico, económico y jurídico que incidirá </w:t>
      </w:r>
      <w:r w:rsidRPr="00026A8D">
        <w:rPr>
          <w:rFonts w:ascii="Arial" w:hAnsi="Arial" w:cs="Arial"/>
          <w:sz w:val="22"/>
        </w:rPr>
        <w:t>en una adecuada ejecución.</w:t>
      </w:r>
    </w:p>
    <w:p w14:paraId="4E01F5EE" w14:textId="77777777" w:rsidR="001A74C1" w:rsidRPr="00026A8D" w:rsidRDefault="001A74C1" w:rsidP="001A74C1">
      <w:pPr>
        <w:spacing w:line="276" w:lineRule="auto"/>
        <w:ind w:right="103" w:firstLine="708"/>
        <w:jc w:val="both"/>
        <w:rPr>
          <w:rFonts w:ascii="Arial" w:hAnsi="Arial" w:cs="Arial"/>
          <w:sz w:val="22"/>
        </w:rPr>
      </w:pPr>
      <w:r w:rsidRPr="00026A8D">
        <w:rPr>
          <w:rFonts w:ascii="Arial" w:hAnsi="Arial" w:cs="Arial"/>
          <w:sz w:val="22"/>
        </w:rPr>
        <w:t>Mas allá del cumplimiento de la normativa, «los estudios y documentos previos son el soporte para elaborar el proyecto de pliegos, los pliegos de condiciones, y el contrato»</w:t>
      </w:r>
      <w:r w:rsidRPr="00026A8D">
        <w:rPr>
          <w:rStyle w:val="Refdenotaalpie"/>
          <w:rFonts w:ascii="Arial" w:hAnsi="Arial" w:cs="Arial"/>
          <w:sz w:val="22"/>
        </w:rPr>
        <w:footnoteReference w:id="16"/>
      </w:r>
      <w:r w:rsidRPr="00026A8D">
        <w:rPr>
          <w:rFonts w:ascii="Arial" w:hAnsi="Arial" w:cs="Arial"/>
          <w:sz w:val="22"/>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3C448141" w14:textId="77777777" w:rsidR="001A74C1" w:rsidRPr="00026A8D" w:rsidRDefault="001A74C1" w:rsidP="001A74C1">
      <w:pPr>
        <w:spacing w:after="120" w:line="276" w:lineRule="auto"/>
        <w:ind w:right="105" w:firstLine="709"/>
        <w:jc w:val="both"/>
        <w:rPr>
          <w:rFonts w:ascii="Arial" w:hAnsi="Arial" w:cs="Arial"/>
          <w:sz w:val="22"/>
        </w:rPr>
      </w:pPr>
      <w:bookmarkStart w:id="13" w:name="_Hlk54011438"/>
      <w:r w:rsidRPr="00026A8D">
        <w:rPr>
          <w:rFonts w:ascii="Arial" w:hAnsi="Arial" w:cs="Arial"/>
          <w:sz w:val="22"/>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13"/>
      <w:r w:rsidRPr="00026A8D">
        <w:rPr>
          <w:rStyle w:val="Refdenotaalpie"/>
          <w:rFonts w:ascii="Arial" w:hAnsi="Arial" w:cs="Arial"/>
          <w:sz w:val="22"/>
        </w:rPr>
        <w:footnoteReference w:id="17"/>
      </w:r>
      <w:r w:rsidRPr="00026A8D">
        <w:rPr>
          <w:rFonts w:ascii="Arial" w:hAnsi="Arial" w:cs="Arial"/>
          <w:sz w:val="22"/>
        </w:rPr>
        <w:t>.</w:t>
      </w:r>
    </w:p>
    <w:p w14:paraId="2B1F73A1" w14:textId="75AF5502" w:rsidR="001A74C1" w:rsidRPr="00026A8D" w:rsidRDefault="001A74C1" w:rsidP="001A74C1">
      <w:pPr>
        <w:spacing w:after="120" w:line="276" w:lineRule="auto"/>
        <w:ind w:right="104" w:firstLine="709"/>
        <w:jc w:val="both"/>
        <w:rPr>
          <w:rFonts w:ascii="Arial" w:hAnsi="Arial" w:cs="Arial"/>
          <w:sz w:val="22"/>
        </w:rPr>
      </w:pPr>
      <w:r w:rsidRPr="00026A8D">
        <w:rPr>
          <w:rFonts w:ascii="Arial" w:hAnsi="Arial" w:cs="Arial"/>
          <w:sz w:val="22"/>
        </w:rPr>
        <w:t xml:space="preserve">El numeral 15 del artículo 25 de la Ley 80 de 1993, antes citado, establece el deber de las entidades de realizar estudios previos en dos momentos específicos: i) previo a la apertura de un proceso de selección y ii) previo a la firma del contrato en el caso en que la modalidad de selección sea contratación directa. Por su parte, el reglamento, es decir los artículos 2.2.1.1.1.6.1 y 2.2.1.1.2.1.1 del Decreto 1082 de 2015, no imponen la obligación de </w:t>
      </w:r>
      <w:r w:rsidR="002B1CE8">
        <w:rPr>
          <w:rFonts w:ascii="Arial" w:hAnsi="Arial" w:cs="Arial"/>
          <w:sz w:val="22"/>
        </w:rPr>
        <w:t>realizar</w:t>
      </w:r>
      <w:r w:rsidR="002B1CE8" w:rsidRPr="00026A8D">
        <w:rPr>
          <w:rFonts w:ascii="Arial" w:hAnsi="Arial" w:cs="Arial"/>
          <w:sz w:val="22"/>
        </w:rPr>
        <w:t xml:space="preserve"> </w:t>
      </w:r>
      <w:r w:rsidRPr="00026A8D">
        <w:rPr>
          <w:rFonts w:ascii="Arial" w:hAnsi="Arial" w:cs="Arial"/>
          <w:sz w:val="22"/>
        </w:rPr>
        <w:t>estudios y documentos previos en etapas diferentes a la de planeación del contrato.</w:t>
      </w:r>
    </w:p>
    <w:p w14:paraId="70A3B93B" w14:textId="77777777" w:rsidR="001A74C1" w:rsidRPr="00026A8D" w:rsidRDefault="001A74C1" w:rsidP="001A74C1">
      <w:pPr>
        <w:spacing w:after="120" w:line="276" w:lineRule="auto"/>
        <w:ind w:firstLine="709"/>
        <w:jc w:val="both"/>
        <w:rPr>
          <w:rFonts w:ascii="Arial" w:hAnsi="Arial" w:cs="Arial"/>
          <w:sz w:val="22"/>
        </w:rPr>
      </w:pPr>
      <w:r w:rsidRPr="00026A8D">
        <w:rPr>
          <w:rFonts w:ascii="Arial" w:hAnsi="Arial" w:cs="Arial"/>
          <w:sz w:val="22"/>
        </w:rPr>
        <w:t xml:space="preserve">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w:t>
      </w:r>
      <w:r w:rsidRPr="00026A8D">
        <w:rPr>
          <w:rFonts w:ascii="Arial" w:hAnsi="Arial" w:cs="Arial"/>
          <w:sz w:val="22"/>
        </w:rPr>
        <w:lastRenderedPageBreak/>
        <w:t>reglamentos vigentes»</w:t>
      </w:r>
      <w:r w:rsidRPr="00026A8D">
        <w:rPr>
          <w:rStyle w:val="Refdenotaalpie"/>
          <w:rFonts w:ascii="Arial" w:hAnsi="Arial" w:cs="Arial"/>
          <w:sz w:val="22"/>
        </w:rPr>
        <w:footnoteReference w:id="18"/>
      </w:r>
      <w:r w:rsidRPr="00026A8D">
        <w:rPr>
          <w:rFonts w:ascii="Arial" w:hAnsi="Arial" w:cs="Arial"/>
          <w:sz w:val="22"/>
        </w:rPr>
        <w:t xml:space="preserve">. De esta manera, de acuerdo con la estructura interna de cada entidad, la elaboración de los estudios previos corresponderá al funcionario responsable de la dependencia </w:t>
      </w:r>
      <w:r w:rsidRPr="00026A8D">
        <w:rPr>
          <w:rFonts w:ascii="Arial" w:hAnsi="Arial" w:cs="Arial"/>
          <w:spacing w:val="2"/>
          <w:sz w:val="22"/>
        </w:rPr>
        <w:t xml:space="preserve">con </w:t>
      </w:r>
      <w:r w:rsidRPr="00026A8D">
        <w:rPr>
          <w:rFonts w:ascii="Arial" w:hAnsi="Arial" w:cs="Arial"/>
          <w:sz w:val="22"/>
        </w:rPr>
        <w:t>la necesidad a</w:t>
      </w:r>
      <w:r w:rsidRPr="00026A8D">
        <w:rPr>
          <w:rFonts w:ascii="Arial" w:hAnsi="Arial" w:cs="Arial"/>
          <w:spacing w:val="-4"/>
          <w:sz w:val="22"/>
        </w:rPr>
        <w:t xml:space="preserve"> </w:t>
      </w:r>
      <w:r w:rsidRPr="00026A8D">
        <w:rPr>
          <w:rFonts w:ascii="Arial" w:hAnsi="Arial" w:cs="Arial"/>
          <w:sz w:val="22"/>
        </w:rPr>
        <w:t>satisfacer.</w:t>
      </w:r>
    </w:p>
    <w:p w14:paraId="54061327" w14:textId="625D266F" w:rsidR="001A74C1" w:rsidRPr="00026A8D" w:rsidRDefault="001A74C1" w:rsidP="001A74C1">
      <w:pPr>
        <w:spacing w:line="276" w:lineRule="auto"/>
        <w:ind w:firstLine="708"/>
        <w:jc w:val="both"/>
        <w:rPr>
          <w:rFonts w:ascii="Arial" w:eastAsia="Calibri" w:hAnsi="Arial" w:cs="Arial"/>
          <w:bCs/>
          <w:sz w:val="22"/>
          <w:lang w:val="es-ES_tradnl"/>
        </w:rPr>
      </w:pPr>
      <w:r w:rsidRPr="00026A8D">
        <w:rPr>
          <w:rFonts w:ascii="Arial" w:hAnsi="Arial" w:cs="Arial"/>
          <w:sz w:val="22"/>
        </w:rPr>
        <w:t xml:space="preserve">Por otra parte, en virtud de los numerales 2 y 4 del artículo 2.2.1.1.2.1.1 del Decreto 1082 de 2015, la norma exige que se determine el objeto a contratar con sus especificaciones y se estime el costo que implica la celebración del contrato. </w:t>
      </w:r>
      <w:r w:rsidRPr="00026A8D">
        <w:rPr>
          <w:rFonts w:ascii="Arial" w:eastAsia="Calibri" w:hAnsi="Arial" w:cs="Arial"/>
          <w:bCs/>
          <w:sz w:val="22"/>
          <w:lang w:val="es-ES_tradnl"/>
        </w:rPr>
        <w:t>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w:t>
      </w:r>
      <w:r w:rsidR="002325AF">
        <w:rPr>
          <w:rFonts w:ascii="Arial" w:eastAsia="Calibri" w:hAnsi="Arial" w:cs="Arial"/>
          <w:bCs/>
          <w:sz w:val="22"/>
          <w:lang w:val="es-ES_tradnl"/>
        </w:rPr>
        <w:t xml:space="preserve"> mediante </w:t>
      </w:r>
      <w:r w:rsidRPr="00026A8D">
        <w:rPr>
          <w:rFonts w:ascii="Arial" w:eastAsia="Calibri" w:hAnsi="Arial" w:cs="Arial"/>
          <w:bCs/>
          <w:sz w:val="22"/>
          <w:lang w:val="es-ES_tradnl"/>
        </w:rPr>
        <w:t xml:space="preserve">el proceso de contratación de bienes, obras o servicios. En este sentido, el artículo </w:t>
      </w:r>
      <w:bookmarkStart w:id="14" w:name="_Hlk36117416"/>
      <w:r w:rsidRPr="00026A8D">
        <w:rPr>
          <w:rFonts w:ascii="Arial" w:eastAsia="Calibri" w:hAnsi="Arial" w:cs="Arial"/>
          <w:bCs/>
          <w:sz w:val="22"/>
          <w:lang w:val="es-ES_tradnl"/>
        </w:rPr>
        <w:t>2.2.1.1.1.6.1 del Decreto 1082 de 2015</w:t>
      </w:r>
      <w:bookmarkEnd w:id="14"/>
      <w:r w:rsidRPr="00026A8D">
        <w:rPr>
          <w:rFonts w:ascii="Arial" w:eastAsia="Calibri" w:hAnsi="Arial" w:cs="Arial"/>
          <w:bCs/>
          <w:sz w:val="22"/>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819AFCA" w14:textId="77777777" w:rsidR="001A74C1" w:rsidRPr="00026A8D" w:rsidRDefault="001A74C1" w:rsidP="001A74C1">
      <w:pPr>
        <w:spacing w:before="120" w:line="276" w:lineRule="auto"/>
        <w:ind w:firstLine="709"/>
        <w:jc w:val="both"/>
        <w:rPr>
          <w:rFonts w:ascii="Arial" w:eastAsia="Calibri" w:hAnsi="Arial" w:cs="Arial"/>
          <w:bCs/>
          <w:sz w:val="22"/>
          <w:lang w:val="es-ES_tradnl"/>
        </w:rPr>
      </w:pPr>
      <w:r w:rsidRPr="00026A8D">
        <w:rPr>
          <w:rFonts w:ascii="Arial" w:eastAsia="Calibri" w:hAnsi="Arial" w:cs="Arial"/>
          <w:bCs/>
          <w:sz w:val="22"/>
          <w:lang w:val="es-ES_tradnl"/>
        </w:rPr>
        <w:t xml:space="preserve">De acuerdo con la norma citada, </w:t>
      </w:r>
      <w:bookmarkStart w:id="15" w:name="_Hlk36140682"/>
      <w:r w:rsidRPr="00026A8D">
        <w:rPr>
          <w:rFonts w:ascii="Arial" w:eastAsia="Calibri" w:hAnsi="Arial" w:cs="Arial"/>
          <w:bCs/>
          <w:sz w:val="22"/>
          <w:lang w:val="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C798C15" w14:textId="77777777" w:rsidR="001A74C1" w:rsidRPr="00196BCD" w:rsidRDefault="001A74C1" w:rsidP="001A74C1">
      <w:pPr>
        <w:spacing w:before="120" w:line="276" w:lineRule="auto"/>
        <w:ind w:firstLine="709"/>
        <w:jc w:val="both"/>
        <w:rPr>
          <w:rFonts w:ascii="Arial" w:eastAsia="Calibri" w:hAnsi="Arial" w:cs="Arial"/>
          <w:bCs/>
          <w:sz w:val="22"/>
          <w:lang w:val="es-ES_tradnl"/>
        </w:rPr>
      </w:pPr>
      <w:r w:rsidRPr="00026A8D">
        <w:rPr>
          <w:rFonts w:ascii="Arial" w:eastAsia="Calibri" w:hAnsi="Arial" w:cs="Arial"/>
          <w:bCs/>
          <w:sz w:val="22"/>
          <w:lang w:val="es-ES_tradnl"/>
        </w:rPr>
        <w:t>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w:t>
      </w:r>
      <w:r w:rsidRPr="00196BCD">
        <w:rPr>
          <w:rFonts w:ascii="Arial" w:eastAsia="Calibri" w:hAnsi="Arial" w:cs="Arial"/>
          <w:bCs/>
          <w:sz w:val="22"/>
          <w:lang w:val="es-ES_tradnl"/>
        </w:rPr>
        <w:t xml:space="preserve"> Administración contratar el bien o servicio con el contratista. En este último punto, el análisis del sector permite sustentar la decisión de realizar un proceso de contratación desde el punto de vista de la eficiencia, eficacia y economía.</w:t>
      </w:r>
    </w:p>
    <w:p w14:paraId="3DFFE835" w14:textId="77777777" w:rsidR="001A74C1" w:rsidRPr="00196BCD" w:rsidRDefault="001A74C1" w:rsidP="001A74C1">
      <w:pPr>
        <w:spacing w:before="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lastRenderedPageBreak/>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w:t>
      </w:r>
    </w:p>
    <w:bookmarkEnd w:id="15"/>
    <w:p w14:paraId="1D7C0648" w14:textId="77777777" w:rsidR="001A74C1" w:rsidRPr="00196BCD" w:rsidRDefault="001A74C1" w:rsidP="001A74C1">
      <w:pPr>
        <w:spacing w:before="120" w:after="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t xml:space="preserve">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w:t>
      </w:r>
      <w:r>
        <w:rPr>
          <w:rFonts w:ascii="Arial" w:eastAsia="Calibri" w:hAnsi="Arial" w:cs="Arial"/>
          <w:bCs/>
          <w:sz w:val="22"/>
          <w:lang w:val="es-ES_tradnl"/>
        </w:rPr>
        <w:t>este</w:t>
      </w:r>
      <w:r w:rsidRPr="00196BCD">
        <w:rPr>
          <w:rFonts w:ascii="Arial" w:eastAsia="Calibri" w:hAnsi="Arial" w:cs="Arial"/>
          <w:bCs/>
          <w:sz w:val="22"/>
          <w:lang w:val="es-ES_tradnl"/>
        </w:rPr>
        <w:t xml:space="preserv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3A09C782" w14:textId="2A986224" w:rsidR="001A74C1" w:rsidRPr="00196BCD" w:rsidRDefault="001A74C1" w:rsidP="001A74C1">
      <w:pPr>
        <w:spacing w:line="276" w:lineRule="auto"/>
        <w:ind w:firstLine="708"/>
        <w:jc w:val="both"/>
        <w:rPr>
          <w:rFonts w:ascii="Arial" w:eastAsia="Calibri" w:hAnsi="Arial" w:cs="Arial"/>
          <w:b/>
          <w:bCs/>
          <w:sz w:val="22"/>
          <w:lang w:val="es-ES_tradnl"/>
        </w:rPr>
      </w:pPr>
      <w:r w:rsidRPr="00196BCD">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Estatal debe consignar en los </w:t>
      </w:r>
      <w:r w:rsidRPr="00196BCD">
        <w:rPr>
          <w:rFonts w:ascii="Arial" w:eastAsia="Calibri" w:hAnsi="Arial" w:cs="Arial"/>
          <w:bCs/>
          <w:i/>
          <w:iCs/>
          <w:sz w:val="22"/>
          <w:lang w:val="es-ES_tradnl"/>
        </w:rPr>
        <w:t>Documentos del Proceso</w:t>
      </w:r>
      <w:r w:rsidRPr="00196BCD">
        <w:rPr>
          <w:rFonts w:ascii="Arial" w:eastAsia="Calibri" w:hAnsi="Arial" w:cs="Arial"/>
          <w:bCs/>
          <w:sz w:val="22"/>
          <w:lang w:val="es-ES_tradnl"/>
        </w:rPr>
        <w:t xml:space="preserve">, bien sea en los estudios previos o en la información de soporte de </w:t>
      </w:r>
      <w:r w:rsidR="00083C2E" w:rsidRPr="00196BCD">
        <w:rPr>
          <w:rFonts w:ascii="Arial" w:eastAsia="Calibri" w:hAnsi="Arial" w:cs="Arial"/>
          <w:bCs/>
          <w:sz w:val="22"/>
          <w:lang w:val="es-ES_tradnl"/>
        </w:rPr>
        <w:t>estos</w:t>
      </w:r>
      <w:r w:rsidRPr="00196BCD">
        <w:rPr>
          <w:rFonts w:ascii="Arial" w:eastAsia="Calibri" w:hAnsi="Arial" w:cs="Arial"/>
          <w:bCs/>
          <w:sz w:val="22"/>
          <w:lang w:val="es-ES_tradnl"/>
        </w:rPr>
        <w:t xml:space="preserve">, los aspectos de que trata el artículo 2.2.1.1.1.6.1 del Decreto 1082 de 2015. </w:t>
      </w:r>
    </w:p>
    <w:p w14:paraId="2437876B" w14:textId="77777777" w:rsidR="001A74C1" w:rsidRPr="00196BCD" w:rsidRDefault="001A74C1" w:rsidP="001A74C1">
      <w:pPr>
        <w:spacing w:line="276" w:lineRule="auto"/>
        <w:jc w:val="both"/>
        <w:rPr>
          <w:rFonts w:ascii="Arial" w:eastAsia="Calibri" w:hAnsi="Arial" w:cs="Arial"/>
          <w:b/>
          <w:bCs/>
          <w:sz w:val="22"/>
          <w:lang w:val="es-ES_tradnl"/>
        </w:rPr>
      </w:pPr>
    </w:p>
    <w:p w14:paraId="25A5BC61" w14:textId="3FCCF711" w:rsidR="004E435F" w:rsidRPr="00196BCD" w:rsidRDefault="004E435F" w:rsidP="004E435F">
      <w:pPr>
        <w:spacing w:line="276" w:lineRule="auto"/>
        <w:jc w:val="both"/>
        <w:rPr>
          <w:rFonts w:ascii="Arial" w:eastAsia="Calibri" w:hAnsi="Arial" w:cs="Arial"/>
          <w:b/>
          <w:bCs/>
          <w:sz w:val="22"/>
          <w:lang w:val="es-ES_tradnl"/>
        </w:rPr>
      </w:pPr>
      <w:r>
        <w:rPr>
          <w:rFonts w:ascii="Arial" w:hAnsi="Arial" w:cs="Arial"/>
          <w:b/>
          <w:color w:val="000000" w:themeColor="text1"/>
          <w:sz w:val="21"/>
          <w:szCs w:val="21"/>
          <w:lang w:val="es-ES_tradnl"/>
        </w:rPr>
        <w:t>2.</w:t>
      </w:r>
      <w:r w:rsidR="00E65016">
        <w:rPr>
          <w:rFonts w:ascii="Arial" w:hAnsi="Arial" w:cs="Arial"/>
          <w:b/>
          <w:color w:val="000000" w:themeColor="text1"/>
          <w:sz w:val="21"/>
          <w:szCs w:val="21"/>
          <w:lang w:val="es-ES_tradnl"/>
        </w:rPr>
        <w:t>4</w:t>
      </w:r>
      <w:r>
        <w:rPr>
          <w:rFonts w:ascii="Arial" w:hAnsi="Arial" w:cs="Arial"/>
          <w:b/>
          <w:color w:val="000000" w:themeColor="text1"/>
          <w:sz w:val="21"/>
          <w:szCs w:val="21"/>
          <w:lang w:val="es-ES_tradnl"/>
        </w:rPr>
        <w:t xml:space="preserve">. </w:t>
      </w:r>
      <w:r w:rsidRPr="00196BCD">
        <w:rPr>
          <w:rFonts w:ascii="Arial" w:eastAsia="Calibri" w:hAnsi="Arial" w:cs="Arial"/>
          <w:b/>
          <w:bCs/>
          <w:sz w:val="22"/>
          <w:lang w:val="es-ES_tradnl"/>
        </w:rPr>
        <w:t>Alcance del estudio del sector</w:t>
      </w:r>
      <w:r>
        <w:rPr>
          <w:rFonts w:ascii="Arial" w:eastAsia="Calibri" w:hAnsi="Arial" w:cs="Arial"/>
          <w:b/>
          <w:bCs/>
          <w:sz w:val="22"/>
          <w:lang w:val="es-ES_tradnl"/>
        </w:rPr>
        <w:t xml:space="preserve"> y los estudios previos</w:t>
      </w:r>
      <w:r w:rsidRPr="00196BCD">
        <w:rPr>
          <w:rFonts w:ascii="Arial" w:eastAsia="Calibri" w:hAnsi="Arial" w:cs="Arial"/>
          <w:b/>
          <w:bCs/>
          <w:sz w:val="22"/>
          <w:lang w:val="es-ES_tradnl"/>
        </w:rPr>
        <w:t xml:space="preserve"> en</w:t>
      </w:r>
      <w:r w:rsidR="00492E44">
        <w:rPr>
          <w:rFonts w:ascii="Arial" w:eastAsia="Calibri" w:hAnsi="Arial" w:cs="Arial"/>
          <w:b/>
          <w:bCs/>
          <w:sz w:val="22"/>
          <w:lang w:val="es-ES_tradnl"/>
        </w:rPr>
        <w:t xml:space="preserve"> los</w:t>
      </w:r>
      <w:r w:rsidRPr="00196BCD">
        <w:rPr>
          <w:rFonts w:ascii="Arial" w:eastAsia="Calibri" w:hAnsi="Arial" w:cs="Arial"/>
          <w:b/>
          <w:bCs/>
          <w:sz w:val="22"/>
          <w:lang w:val="es-ES_tradnl"/>
        </w:rPr>
        <w:t xml:space="preserve"> proce</w:t>
      </w:r>
      <w:r>
        <w:rPr>
          <w:rFonts w:ascii="Arial" w:eastAsia="Calibri" w:hAnsi="Arial" w:cs="Arial"/>
          <w:b/>
          <w:bCs/>
          <w:sz w:val="22"/>
          <w:lang w:val="es-ES_tradnl"/>
        </w:rPr>
        <w:t>dimientos</w:t>
      </w:r>
      <w:r w:rsidRPr="00196BCD">
        <w:rPr>
          <w:rFonts w:ascii="Arial" w:eastAsia="Calibri" w:hAnsi="Arial" w:cs="Arial"/>
          <w:b/>
          <w:bCs/>
          <w:sz w:val="22"/>
          <w:lang w:val="es-ES_tradnl"/>
        </w:rPr>
        <w:t xml:space="preserve"> de selección </w:t>
      </w:r>
      <w:r w:rsidR="00492E44">
        <w:rPr>
          <w:rFonts w:ascii="Arial" w:eastAsia="Calibri" w:hAnsi="Arial" w:cs="Arial"/>
          <w:b/>
          <w:bCs/>
          <w:sz w:val="22"/>
          <w:lang w:val="es-ES_tradnl"/>
        </w:rPr>
        <w:t>regidos por los</w:t>
      </w:r>
      <w:r w:rsidR="00492E44" w:rsidRPr="00196BCD">
        <w:rPr>
          <w:rFonts w:ascii="Arial" w:eastAsia="Calibri" w:hAnsi="Arial" w:cs="Arial"/>
          <w:b/>
          <w:bCs/>
          <w:sz w:val="22"/>
          <w:lang w:val="es-ES_tradnl"/>
        </w:rPr>
        <w:t xml:space="preserve"> </w:t>
      </w:r>
      <w:r w:rsidR="00492E44">
        <w:rPr>
          <w:rFonts w:ascii="Arial" w:eastAsia="Calibri" w:hAnsi="Arial" w:cs="Arial"/>
          <w:b/>
          <w:bCs/>
          <w:sz w:val="22"/>
          <w:lang w:val="es-ES_tradnl"/>
        </w:rPr>
        <w:t>«D</w:t>
      </w:r>
      <w:r w:rsidRPr="00196BCD">
        <w:rPr>
          <w:rFonts w:ascii="Arial" w:eastAsia="Calibri" w:hAnsi="Arial" w:cs="Arial"/>
          <w:b/>
          <w:bCs/>
          <w:sz w:val="22"/>
          <w:lang w:val="es-ES_tradnl"/>
        </w:rPr>
        <w:t xml:space="preserve">ocumentos </w:t>
      </w:r>
      <w:r w:rsidR="00492E44">
        <w:rPr>
          <w:rFonts w:ascii="Arial" w:eastAsia="Calibri" w:hAnsi="Arial" w:cs="Arial"/>
          <w:b/>
          <w:bCs/>
          <w:sz w:val="22"/>
          <w:lang w:val="es-ES_tradnl"/>
        </w:rPr>
        <w:t>T</w:t>
      </w:r>
      <w:r w:rsidRPr="00196BCD">
        <w:rPr>
          <w:rFonts w:ascii="Arial" w:eastAsia="Calibri" w:hAnsi="Arial" w:cs="Arial"/>
          <w:b/>
          <w:bCs/>
          <w:sz w:val="22"/>
          <w:lang w:val="es-ES_tradnl"/>
        </w:rPr>
        <w:t>ipo</w:t>
      </w:r>
      <w:r w:rsidR="00492E44">
        <w:rPr>
          <w:rFonts w:ascii="Arial" w:eastAsia="Calibri" w:hAnsi="Arial" w:cs="Arial"/>
          <w:b/>
          <w:bCs/>
          <w:sz w:val="22"/>
          <w:lang w:val="es-ES_tradnl"/>
        </w:rPr>
        <w:t xml:space="preserve"> – Versión 3» de licitación pública de infraestructura de transporte</w:t>
      </w:r>
    </w:p>
    <w:p w14:paraId="62389EAB" w14:textId="77777777" w:rsidR="004E435F" w:rsidRPr="00196BCD" w:rsidRDefault="004E435F" w:rsidP="004E435F">
      <w:pPr>
        <w:spacing w:line="276" w:lineRule="auto"/>
        <w:jc w:val="both"/>
        <w:rPr>
          <w:rFonts w:ascii="Arial" w:eastAsia="Calibri" w:hAnsi="Arial" w:cs="Arial"/>
          <w:b/>
          <w:bCs/>
          <w:sz w:val="22"/>
          <w:lang w:val="es-ES_tradnl"/>
        </w:rPr>
      </w:pPr>
    </w:p>
    <w:p w14:paraId="3FF40C4B" w14:textId="1F7B9780" w:rsidR="004E435F" w:rsidRPr="00BA7591" w:rsidRDefault="00F61A85" w:rsidP="0078356A">
      <w:pPr>
        <w:spacing w:after="120" w:line="276" w:lineRule="auto"/>
        <w:jc w:val="both"/>
        <w:rPr>
          <w:rFonts w:ascii="Arial" w:hAnsi="Arial" w:cs="Arial"/>
          <w:sz w:val="22"/>
          <w:lang w:val="es-ES"/>
        </w:rPr>
      </w:pPr>
      <w:r>
        <w:rPr>
          <w:rFonts w:ascii="Arial" w:hAnsi="Arial" w:cs="Arial"/>
          <w:sz w:val="22"/>
          <w:lang w:val="es-ES"/>
        </w:rPr>
        <w:t>Como se explicó en el apartado 2.1 del presente concepto, los</w:t>
      </w:r>
      <w:r w:rsidR="004E435F" w:rsidRPr="00196BCD">
        <w:rPr>
          <w:rFonts w:ascii="Arial" w:hAnsi="Arial" w:cs="Arial"/>
          <w:sz w:val="22"/>
          <w:lang w:val="es-ES"/>
        </w:rPr>
        <w:t xml:space="preserve"> documentos contienen parámetros de obligatoria observancia para las entidades estatales regidas </w:t>
      </w:r>
      <w:r w:rsidR="00312C7E">
        <w:rPr>
          <w:rFonts w:ascii="Arial" w:hAnsi="Arial" w:cs="Arial"/>
          <w:sz w:val="22"/>
          <w:lang w:val="es-ES"/>
        </w:rPr>
        <w:t xml:space="preserve">por </w:t>
      </w:r>
      <w:r w:rsidR="004E435F" w:rsidRPr="00196BCD">
        <w:rPr>
          <w:rFonts w:ascii="Arial" w:hAnsi="Arial" w:cs="Arial"/>
          <w:sz w:val="22"/>
          <w:lang w:val="es-ES"/>
        </w:rPr>
        <w:t xml:space="preserve">el régimen de contratación de la Ley 80 de 1993, que adelanten procesos para la contratación de obra pública de infraestructura de transporte. Conforme a lo anterior, y en desarrollo de lo dispuesto en el artículo 4 de la Ley 1882 de 2018, los documentos tipo adoptados </w:t>
      </w:r>
      <w:r w:rsidR="000D47D4">
        <w:rPr>
          <w:rFonts w:ascii="Arial" w:hAnsi="Arial" w:cs="Arial"/>
          <w:sz w:val="22"/>
          <w:lang w:val="es-ES"/>
        </w:rPr>
        <w:t xml:space="preserve">por </w:t>
      </w:r>
      <w:r w:rsidR="00F80E9D">
        <w:rPr>
          <w:rFonts w:ascii="Arial" w:eastAsia="Calibri" w:hAnsi="Arial" w:cs="Arial"/>
          <w:sz w:val="22"/>
          <w:szCs w:val="22"/>
          <w:lang w:val="es-ES" w:eastAsia="es-ES" w:bidi="es-ES"/>
        </w:rPr>
        <w:t xml:space="preserve">la </w:t>
      </w:r>
      <w:r w:rsidR="00F80E9D" w:rsidRPr="00F73604">
        <w:rPr>
          <w:rFonts w:ascii="Arial" w:hAnsi="Arial" w:cs="Arial"/>
          <w:sz w:val="22"/>
        </w:rPr>
        <w:lastRenderedPageBreak/>
        <w:t>Resolución No. 240 de 2020</w:t>
      </w:r>
      <w:r w:rsidR="004E435F" w:rsidRPr="00196BCD">
        <w:rPr>
          <w:rFonts w:ascii="Arial" w:hAnsi="Arial" w:cs="Arial"/>
          <w:sz w:val="22"/>
          <w:lang w:val="es-ES"/>
        </w:rPr>
        <w:t xml:space="preserve"> </w:t>
      </w:r>
      <w:r w:rsidR="00F80E9D">
        <w:rPr>
          <w:rFonts w:ascii="Arial" w:hAnsi="Arial" w:cs="Arial"/>
          <w:sz w:val="22"/>
          <w:lang w:val="es-ES"/>
        </w:rPr>
        <w:t>disponen</w:t>
      </w:r>
      <w:r w:rsidR="00F80E9D" w:rsidRPr="00196BCD">
        <w:rPr>
          <w:rFonts w:ascii="Arial" w:hAnsi="Arial" w:cs="Arial"/>
          <w:sz w:val="22"/>
          <w:lang w:val="es-ES"/>
        </w:rPr>
        <w:t xml:space="preserve"> </w:t>
      </w:r>
      <w:r w:rsidR="004E435F" w:rsidRPr="00196BCD">
        <w:rPr>
          <w:rFonts w:ascii="Arial" w:hAnsi="Arial" w:cs="Arial"/>
          <w:sz w:val="22"/>
          <w:lang w:val="es-ES"/>
        </w:rPr>
        <w:t xml:space="preserve">las condiciones habilitantes aplicables, así como los factores técnicos y económicos de </w:t>
      </w:r>
      <w:r w:rsidR="00AB34F8">
        <w:rPr>
          <w:rFonts w:ascii="Arial" w:hAnsi="Arial" w:cs="Arial"/>
          <w:sz w:val="22"/>
          <w:lang w:val="es-ES"/>
        </w:rPr>
        <w:t>selección</w:t>
      </w:r>
      <w:r w:rsidR="004E435F" w:rsidRPr="00196BCD">
        <w:rPr>
          <w:rFonts w:ascii="Arial" w:hAnsi="Arial" w:cs="Arial"/>
          <w:sz w:val="22"/>
          <w:lang w:val="es-ES"/>
        </w:rPr>
        <w:t xml:space="preserve">, los cuales son de obligatoria observancia. </w:t>
      </w:r>
      <w:r w:rsidR="00E4272D">
        <w:rPr>
          <w:rFonts w:ascii="Arial" w:hAnsi="Arial" w:cs="Arial"/>
          <w:sz w:val="22"/>
          <w:lang w:val="es-ES"/>
        </w:rPr>
        <w:t>Conforme al artículo 3 de la resolución, e</w:t>
      </w:r>
      <w:r w:rsidR="004E435F" w:rsidRPr="00196BCD">
        <w:rPr>
          <w:rFonts w:ascii="Arial" w:hAnsi="Arial" w:cs="Arial"/>
          <w:sz w:val="22"/>
          <w:lang w:val="es-ES"/>
        </w:rPr>
        <w:t>stos factores son inalterables e inmodificables por parte de las entidades a la hora de utilizar los documentos tipo</w:t>
      </w:r>
      <w:r w:rsidR="004E435F" w:rsidRPr="00BA7591">
        <w:rPr>
          <w:rFonts w:ascii="Arial" w:hAnsi="Arial" w:cs="Arial"/>
          <w:sz w:val="22"/>
          <w:lang w:val="es-ES"/>
        </w:rPr>
        <w:t>.</w:t>
      </w:r>
    </w:p>
    <w:p w14:paraId="5A894922" w14:textId="31FD519B" w:rsidR="004E435F" w:rsidRPr="00BA7591" w:rsidRDefault="004E435F">
      <w:pPr>
        <w:spacing w:before="120" w:after="120" w:line="276" w:lineRule="auto"/>
        <w:jc w:val="both"/>
        <w:rPr>
          <w:rFonts w:ascii="Arial" w:hAnsi="Arial" w:cs="Arial"/>
          <w:sz w:val="22"/>
        </w:rPr>
      </w:pPr>
      <w:r w:rsidRPr="00BA7591">
        <w:rPr>
          <w:rFonts w:ascii="Arial" w:hAnsi="Arial" w:cs="Arial"/>
          <w:sz w:val="22"/>
          <w:lang w:val="es-ES"/>
        </w:rPr>
        <w:tab/>
        <w:t xml:space="preserve">Los documentos tipo estandarizaron los diferentes requisitos habilitantes, estableciendo para los </w:t>
      </w:r>
      <w:r w:rsidR="00312C7E" w:rsidRPr="00BA7591">
        <w:rPr>
          <w:rFonts w:ascii="Arial" w:hAnsi="Arial" w:cs="Arial"/>
          <w:sz w:val="22"/>
          <w:lang w:val="es-ES"/>
        </w:rPr>
        <w:t xml:space="preserve">procesos de licitación pública </w:t>
      </w:r>
      <w:r w:rsidRPr="00BA7591">
        <w:rPr>
          <w:rFonts w:ascii="Arial" w:hAnsi="Arial" w:cs="Arial"/>
          <w:sz w:val="22"/>
          <w:lang w:val="es-ES"/>
        </w:rPr>
        <w:t xml:space="preserve">los siguientes: </w:t>
      </w:r>
      <w:bookmarkStart w:id="16" w:name="_Hlk42169679"/>
      <w:r w:rsidRPr="00BA7591">
        <w:rPr>
          <w:rFonts w:ascii="Arial" w:hAnsi="Arial" w:cs="Arial"/>
          <w:sz w:val="22"/>
        </w:rPr>
        <w:t>i) capacidad jurídica</w:t>
      </w:r>
      <w:r w:rsidR="00523294">
        <w:rPr>
          <w:rFonts w:ascii="Arial" w:hAnsi="Arial" w:cs="Arial"/>
          <w:sz w:val="22"/>
        </w:rPr>
        <w:t>,</w:t>
      </w:r>
      <w:r w:rsidRPr="00BA7591">
        <w:rPr>
          <w:rFonts w:ascii="Arial" w:hAnsi="Arial" w:cs="Arial"/>
          <w:sz w:val="22"/>
        </w:rPr>
        <w:t xml:space="preserve"> ii) existencia y representación legal</w:t>
      </w:r>
      <w:r w:rsidR="00523294">
        <w:rPr>
          <w:rFonts w:ascii="Arial" w:hAnsi="Arial" w:cs="Arial"/>
          <w:sz w:val="22"/>
        </w:rPr>
        <w:t>,</w:t>
      </w:r>
      <w:r w:rsidRPr="00BA7591">
        <w:rPr>
          <w:rFonts w:ascii="Arial" w:hAnsi="Arial" w:cs="Arial"/>
          <w:sz w:val="22"/>
        </w:rPr>
        <w:t xml:space="preserve"> iii) certificación de pagos de seguridad social y aportes legales</w:t>
      </w:r>
      <w:r w:rsidR="00523294">
        <w:rPr>
          <w:rFonts w:ascii="Arial" w:hAnsi="Arial" w:cs="Arial"/>
          <w:sz w:val="22"/>
        </w:rPr>
        <w:t>,</w:t>
      </w:r>
      <w:r w:rsidRPr="00BA7591">
        <w:rPr>
          <w:rFonts w:ascii="Arial" w:hAnsi="Arial" w:cs="Arial"/>
          <w:sz w:val="22"/>
        </w:rPr>
        <w:t xml:space="preserve"> iv) experiencia</w:t>
      </w:r>
      <w:r w:rsidR="00523294">
        <w:rPr>
          <w:rFonts w:ascii="Arial" w:hAnsi="Arial" w:cs="Arial"/>
          <w:sz w:val="22"/>
        </w:rPr>
        <w:t>,</w:t>
      </w:r>
      <w:r w:rsidRPr="00BA7591">
        <w:rPr>
          <w:rFonts w:ascii="Arial" w:hAnsi="Arial" w:cs="Arial"/>
          <w:sz w:val="22"/>
        </w:rPr>
        <w:t xml:space="preserve"> </w:t>
      </w:r>
      <w:bookmarkEnd w:id="16"/>
      <w:r w:rsidRPr="00BA7591">
        <w:rPr>
          <w:rFonts w:ascii="Arial" w:hAnsi="Arial" w:cs="Arial"/>
          <w:sz w:val="22"/>
        </w:rPr>
        <w:t>v) capacidad financiera</w:t>
      </w:r>
      <w:r w:rsidR="00523294">
        <w:rPr>
          <w:rFonts w:ascii="Arial" w:hAnsi="Arial" w:cs="Arial"/>
          <w:sz w:val="22"/>
        </w:rPr>
        <w:t>,</w:t>
      </w:r>
      <w:r w:rsidRPr="00BA7591">
        <w:rPr>
          <w:rFonts w:ascii="Arial" w:hAnsi="Arial" w:cs="Arial"/>
          <w:sz w:val="22"/>
        </w:rPr>
        <w:t xml:space="preserve"> vi) capital de trabajo</w:t>
      </w:r>
      <w:r w:rsidR="00523294">
        <w:rPr>
          <w:rFonts w:ascii="Arial" w:hAnsi="Arial" w:cs="Arial"/>
          <w:sz w:val="22"/>
        </w:rPr>
        <w:t>,</w:t>
      </w:r>
      <w:r w:rsidRPr="00BA7591">
        <w:rPr>
          <w:rFonts w:ascii="Arial" w:hAnsi="Arial" w:cs="Arial"/>
          <w:sz w:val="22"/>
        </w:rPr>
        <w:t xml:space="preserve"> vii) capacidad organizacional y </w:t>
      </w:r>
      <w:r w:rsidR="00523294">
        <w:rPr>
          <w:rFonts w:ascii="Arial" w:hAnsi="Arial" w:cs="Arial"/>
          <w:sz w:val="22"/>
        </w:rPr>
        <w:t>v</w:t>
      </w:r>
      <w:r w:rsidRPr="00BA7591">
        <w:rPr>
          <w:rFonts w:ascii="Arial" w:hAnsi="Arial" w:cs="Arial"/>
          <w:sz w:val="22"/>
        </w:rPr>
        <w:t>i</w:t>
      </w:r>
      <w:r w:rsidR="00523294">
        <w:rPr>
          <w:rFonts w:ascii="Arial" w:hAnsi="Arial" w:cs="Arial"/>
          <w:sz w:val="22"/>
        </w:rPr>
        <w:t>ii</w:t>
      </w:r>
      <w:r w:rsidRPr="00BA7591">
        <w:rPr>
          <w:rFonts w:ascii="Arial" w:hAnsi="Arial" w:cs="Arial"/>
          <w:sz w:val="22"/>
        </w:rPr>
        <w:t xml:space="preserve">) capacidad residual. </w:t>
      </w:r>
      <w:r w:rsidR="00CE1594">
        <w:rPr>
          <w:rFonts w:ascii="Arial" w:hAnsi="Arial" w:cs="Arial"/>
          <w:sz w:val="22"/>
        </w:rPr>
        <w:t>Estos</w:t>
      </w:r>
      <w:r w:rsidRPr="00BA7591">
        <w:rPr>
          <w:rFonts w:ascii="Arial" w:hAnsi="Arial" w:cs="Arial"/>
          <w:sz w:val="22"/>
        </w:rPr>
        <w:t xml:space="preserve"> se encuentran detalladamente regulados </w:t>
      </w:r>
      <w:r w:rsidR="00C456EA">
        <w:rPr>
          <w:rFonts w:ascii="Arial" w:hAnsi="Arial" w:cs="Arial"/>
          <w:sz w:val="22"/>
        </w:rPr>
        <w:t>en el</w:t>
      </w:r>
      <w:r w:rsidRPr="00BA7591">
        <w:rPr>
          <w:rFonts w:ascii="Arial" w:hAnsi="Arial" w:cs="Arial"/>
          <w:sz w:val="22"/>
        </w:rPr>
        <w:t xml:space="preserve"> «Documento Base o Pliego Tipo».</w:t>
      </w:r>
    </w:p>
    <w:p w14:paraId="03D251DB" w14:textId="3CABB7BC" w:rsidR="004E435F" w:rsidRPr="00D025AF" w:rsidRDefault="00BF3603">
      <w:pPr>
        <w:spacing w:before="120" w:after="120" w:line="276" w:lineRule="auto"/>
        <w:ind w:firstLine="708"/>
        <w:jc w:val="both"/>
        <w:rPr>
          <w:rFonts w:ascii="Arial" w:hAnsi="Arial" w:cs="Arial"/>
          <w:sz w:val="22"/>
        </w:rPr>
      </w:pPr>
      <w:r>
        <w:rPr>
          <w:rFonts w:ascii="Arial" w:hAnsi="Arial" w:cs="Arial"/>
          <w:sz w:val="22"/>
        </w:rPr>
        <w:t>Respecto a</w:t>
      </w:r>
      <w:r w:rsidR="004E435F" w:rsidRPr="00D025AF">
        <w:rPr>
          <w:rFonts w:ascii="Arial" w:hAnsi="Arial" w:cs="Arial"/>
          <w:sz w:val="22"/>
        </w:rPr>
        <w:t xml:space="preserve"> la experiencia, la «Matriz 1» establece una metodología para la configuración del requisito exigible respecto del objeto específico de contratación, en función de factores como el tipo de obra, actividad a desarrollar y dimensionamiento de la misma, los cuales, subsumidos en la matriz, dan como resultado el requisito que deberán acreditar los proponentes. </w:t>
      </w:r>
      <w:r w:rsidR="00FE31FA">
        <w:rPr>
          <w:rFonts w:ascii="Arial" w:hAnsi="Arial" w:cs="Arial"/>
          <w:sz w:val="22"/>
        </w:rPr>
        <w:t>Incluso</w:t>
      </w:r>
      <w:bookmarkStart w:id="17" w:name="_Hlk56930967"/>
      <w:r w:rsidR="004E435F" w:rsidRPr="00D025AF">
        <w:rPr>
          <w:rFonts w:ascii="Arial" w:hAnsi="Arial" w:cs="Arial"/>
          <w:sz w:val="22"/>
        </w:rPr>
        <w:t xml:space="preserve">, en lo </w:t>
      </w:r>
      <w:r w:rsidR="00FE31FA">
        <w:rPr>
          <w:rFonts w:ascii="Arial" w:hAnsi="Arial" w:cs="Arial"/>
          <w:sz w:val="22"/>
        </w:rPr>
        <w:t>relacionado</w:t>
      </w:r>
      <w:r w:rsidR="004E435F" w:rsidRPr="00D025AF">
        <w:rPr>
          <w:rFonts w:ascii="Arial" w:hAnsi="Arial" w:cs="Arial"/>
          <w:sz w:val="22"/>
        </w:rPr>
        <w:t xml:space="preserve"> con la capacidad financiera y organizacional, la «Matriz 2» establece los respectivos indicadores con los que deben cumplir proponentes para acreditar estos requisitos habilitantes, mientras que el «Documento Base o Pliego Tipo» establece las fórmulas para </w:t>
      </w:r>
      <w:r w:rsidR="008774EA">
        <w:rPr>
          <w:rFonts w:ascii="Arial" w:hAnsi="Arial" w:cs="Arial"/>
          <w:sz w:val="22"/>
        </w:rPr>
        <w:t>su</w:t>
      </w:r>
      <w:r w:rsidR="004E435F" w:rsidRPr="00D025AF">
        <w:rPr>
          <w:rFonts w:ascii="Arial" w:hAnsi="Arial" w:cs="Arial"/>
          <w:sz w:val="22"/>
        </w:rPr>
        <w:t xml:space="preserve"> cálculo. </w:t>
      </w:r>
    </w:p>
    <w:p w14:paraId="369ADF9A" w14:textId="77777777" w:rsidR="004E435F" w:rsidRPr="00D025AF" w:rsidRDefault="004E435F" w:rsidP="004E435F">
      <w:pPr>
        <w:spacing w:before="120" w:after="120" w:line="276" w:lineRule="auto"/>
        <w:ind w:firstLine="708"/>
        <w:jc w:val="both"/>
        <w:rPr>
          <w:rFonts w:ascii="Arial" w:hAnsi="Arial" w:cs="Arial"/>
          <w:sz w:val="22"/>
        </w:rPr>
      </w:pPr>
      <w:r w:rsidRPr="00D025AF">
        <w:rPr>
          <w:rFonts w:ascii="Arial" w:hAnsi="Arial" w:cs="Arial"/>
          <w:sz w:val="22"/>
        </w:rPr>
        <w:t>Conforme a lo anterior, los requisitos habilitantes, entre ellos la experiencia, la capacidad financiera y organizacional, al igual que los indicadores financieros y organizacionales, se encuentran determinados por los documentos tipo. Lo anterior, dada la obligatoria observancia e inalterabilidad, supone un reducido margen de potestad de las entidades estatales en la configuración de estos requisitos, que necesariamente se traduce en una disminución de los esfuerzos que, conforme al principio de planeación, se imponen para la determinación de los requisitos habilitantes para cada proceso de contratación.</w:t>
      </w:r>
    </w:p>
    <w:p w14:paraId="4EC17487" w14:textId="33864AB5" w:rsidR="00ED5FCB" w:rsidRPr="0078356A" w:rsidRDefault="004E435F">
      <w:pPr>
        <w:spacing w:before="120" w:after="120" w:line="276" w:lineRule="auto"/>
        <w:ind w:firstLine="708"/>
        <w:jc w:val="both"/>
        <w:rPr>
          <w:rFonts w:ascii="Arial" w:eastAsia="Calibri" w:hAnsi="Arial" w:cs="Arial"/>
          <w:bCs/>
          <w:sz w:val="22"/>
          <w:szCs w:val="22"/>
          <w:lang w:val="es-ES" w:eastAsia="en-US"/>
        </w:rPr>
      </w:pPr>
      <w:r w:rsidRPr="00D025AF">
        <w:rPr>
          <w:rFonts w:ascii="Arial" w:hAnsi="Arial" w:cs="Arial"/>
          <w:sz w:val="22"/>
        </w:rPr>
        <w:t>En ese entendido, el artículo 2.2.1.1.1.6.2 del Decreto de 2015 establece que uno de los factores, en virtud del cual deben determinarse los requisitos habilitantes aplicables para los procesos de contratación, es el análisis o estudio del sector económico</w:t>
      </w:r>
      <w:r w:rsidR="00DB7735" w:rsidRPr="00D025AF">
        <w:rPr>
          <w:rStyle w:val="Refdenotaalpie"/>
          <w:rFonts w:ascii="Arial" w:hAnsi="Arial" w:cs="Arial"/>
          <w:sz w:val="22"/>
        </w:rPr>
        <w:footnoteReference w:id="19"/>
      </w:r>
      <w:r w:rsidRPr="00D025AF">
        <w:rPr>
          <w:rFonts w:ascii="Arial" w:hAnsi="Arial" w:cs="Arial"/>
          <w:sz w:val="22"/>
        </w:rPr>
        <w:t xml:space="preserve">. Tratándose de procesos en los que resulte obligatoria la aplicación de documentos tipo, tal determinación está limitada a las entidades por cuenta de la obligatoriedad e inalterabilidad de estos requisitos. Por ello, una interpretación integradora de lo dispuesto en el artículo 4 </w:t>
      </w:r>
      <w:r w:rsidRPr="00D025AF">
        <w:rPr>
          <w:rFonts w:ascii="Arial" w:hAnsi="Arial" w:cs="Arial"/>
          <w:sz w:val="22"/>
        </w:rPr>
        <w:lastRenderedPageBreak/>
        <w:t xml:space="preserve">de la Ley 1882 de 2018 y </w:t>
      </w:r>
      <w:r w:rsidR="00DB7735">
        <w:rPr>
          <w:rFonts w:ascii="Arial" w:hAnsi="Arial" w:cs="Arial"/>
          <w:sz w:val="22"/>
        </w:rPr>
        <w:t xml:space="preserve">el artículo 3 de la </w:t>
      </w:r>
      <w:r w:rsidR="00DB7735" w:rsidRPr="00F73604">
        <w:rPr>
          <w:rFonts w:ascii="Arial" w:hAnsi="Arial" w:cs="Arial"/>
          <w:sz w:val="22"/>
        </w:rPr>
        <w:t>Resolución No. 240 de 2020</w:t>
      </w:r>
      <w:r w:rsidRPr="00D025AF">
        <w:rPr>
          <w:rFonts w:ascii="Arial" w:hAnsi="Arial" w:cs="Arial"/>
          <w:sz w:val="22"/>
          <w:lang w:val="es-ES"/>
        </w:rPr>
        <w:t xml:space="preserve">, permite concluir que </w:t>
      </w:r>
      <w:r w:rsidRPr="00D025AF">
        <w:rPr>
          <w:rFonts w:ascii="Arial" w:hAnsi="Arial" w:cs="Arial"/>
          <w:sz w:val="22"/>
        </w:rPr>
        <w:t>en la aplicación del artículo 2.2.1.1.1.6.2 las entidades encuentran reducido su ámbito de discrecionalidad, por lo que deben ceñirse a los parámetros establecidos en los documentos tipo para determinar los requisitos habilitantes</w:t>
      </w:r>
      <w:r w:rsidR="00213914">
        <w:rPr>
          <w:rStyle w:val="Refdenotaalpie"/>
          <w:rFonts w:ascii="Arial" w:hAnsi="Arial" w:cs="Arial"/>
          <w:sz w:val="22"/>
        </w:rPr>
        <w:footnoteReference w:id="20"/>
      </w:r>
      <w:r w:rsidRPr="00D025AF">
        <w:rPr>
          <w:rFonts w:ascii="Arial" w:hAnsi="Arial" w:cs="Arial"/>
          <w:sz w:val="22"/>
        </w:rPr>
        <w:t>.</w:t>
      </w:r>
      <w:r w:rsidR="008C4983">
        <w:rPr>
          <w:rFonts w:ascii="Arial" w:hAnsi="Arial" w:cs="Arial"/>
          <w:sz w:val="22"/>
        </w:rPr>
        <w:t xml:space="preserve"> </w:t>
      </w:r>
    </w:p>
    <w:p w14:paraId="3260EBF9" w14:textId="17F82CB7" w:rsidR="004E435F" w:rsidRPr="00196BCD" w:rsidRDefault="004E435F">
      <w:pPr>
        <w:spacing w:before="120" w:after="120" w:line="276" w:lineRule="auto"/>
        <w:ind w:firstLine="708"/>
        <w:jc w:val="both"/>
        <w:rPr>
          <w:rFonts w:ascii="Arial" w:hAnsi="Arial" w:cs="Arial"/>
          <w:sz w:val="22"/>
        </w:rPr>
      </w:pPr>
      <w:bookmarkStart w:id="18" w:name="_Hlk56931552"/>
      <w:bookmarkEnd w:id="17"/>
      <w:r w:rsidRPr="00D025AF">
        <w:rPr>
          <w:rFonts w:ascii="Arial" w:hAnsi="Arial" w:cs="Arial"/>
          <w:sz w:val="22"/>
        </w:rPr>
        <w:t xml:space="preserve">Lo anterior no significa que </w:t>
      </w:r>
      <w:bookmarkEnd w:id="18"/>
      <w:r w:rsidRPr="00196BCD">
        <w:rPr>
          <w:rFonts w:ascii="Arial" w:hAnsi="Arial" w:cs="Arial"/>
          <w:sz w:val="22"/>
        </w:rPr>
        <w:t xml:space="preserve">las entidades </w:t>
      </w:r>
      <w:r w:rsidR="00A26F11">
        <w:rPr>
          <w:rFonts w:ascii="Arial" w:hAnsi="Arial" w:cs="Arial"/>
          <w:sz w:val="22"/>
        </w:rPr>
        <w:t>encargadas de adelantar</w:t>
      </w:r>
      <w:r w:rsidRPr="00196BCD">
        <w:rPr>
          <w:rFonts w:ascii="Arial" w:hAnsi="Arial" w:cs="Arial"/>
          <w:sz w:val="22"/>
        </w:rPr>
        <w:t xml:space="preserve"> procesos con documentos tipo, dada la estandarización de los requisitos habilitantes e indicadores financieros y organizacionales, se encuentren relevadas del deber de realizar </w:t>
      </w:r>
      <w:r>
        <w:rPr>
          <w:rFonts w:ascii="Arial" w:hAnsi="Arial" w:cs="Arial"/>
          <w:sz w:val="22"/>
        </w:rPr>
        <w:t xml:space="preserve">los estudios previos y </w:t>
      </w:r>
      <w:r w:rsidRPr="00196BCD">
        <w:rPr>
          <w:rFonts w:ascii="Arial" w:hAnsi="Arial" w:cs="Arial"/>
          <w:sz w:val="22"/>
        </w:rPr>
        <w:t>el análisis del sector al que se refiere</w:t>
      </w:r>
      <w:r>
        <w:rPr>
          <w:rFonts w:ascii="Arial" w:hAnsi="Arial" w:cs="Arial"/>
          <w:sz w:val="22"/>
        </w:rPr>
        <w:t>n</w:t>
      </w:r>
      <w:r w:rsidRPr="00196BCD">
        <w:rPr>
          <w:rFonts w:ascii="Arial" w:hAnsi="Arial" w:cs="Arial"/>
          <w:sz w:val="22"/>
        </w:rPr>
        <w:t xml:space="preserve"> </w:t>
      </w:r>
      <w:r>
        <w:rPr>
          <w:rFonts w:ascii="Arial" w:hAnsi="Arial" w:cs="Arial"/>
          <w:sz w:val="22"/>
        </w:rPr>
        <w:t>los</w:t>
      </w:r>
      <w:r w:rsidRPr="00196BCD">
        <w:rPr>
          <w:rFonts w:ascii="Arial" w:hAnsi="Arial" w:cs="Arial"/>
          <w:sz w:val="22"/>
        </w:rPr>
        <w:t xml:space="preserve"> artículo</w:t>
      </w:r>
      <w:r>
        <w:rPr>
          <w:rFonts w:ascii="Arial" w:hAnsi="Arial" w:cs="Arial"/>
          <w:sz w:val="22"/>
        </w:rPr>
        <w:t xml:space="preserve">s </w:t>
      </w:r>
      <w:r w:rsidRPr="00E862A5">
        <w:rPr>
          <w:rFonts w:ascii="Arial" w:hAnsi="Arial" w:cs="Arial"/>
          <w:sz w:val="22"/>
        </w:rPr>
        <w:t>2.2.1.1.2.1.1</w:t>
      </w:r>
      <w:r>
        <w:rPr>
          <w:rFonts w:ascii="Arial" w:hAnsi="Arial" w:cs="Arial"/>
          <w:sz w:val="22"/>
        </w:rPr>
        <w:t xml:space="preserve"> y</w:t>
      </w:r>
      <w:r w:rsidRPr="00196BCD">
        <w:rPr>
          <w:rFonts w:ascii="Arial" w:hAnsi="Arial" w:cs="Arial"/>
          <w:sz w:val="22"/>
        </w:rPr>
        <w:t xml:space="preserve"> 2.2.1.1.1.6.1 del Decreto 1082 de 2015</w:t>
      </w:r>
      <w:r w:rsidR="002F49B2">
        <w:rPr>
          <w:rFonts w:ascii="Arial" w:hAnsi="Arial" w:cs="Arial"/>
          <w:sz w:val="22"/>
        </w:rPr>
        <w:t xml:space="preserve">. Esto considerando que </w:t>
      </w:r>
      <w:r w:rsidRPr="00196BCD">
        <w:rPr>
          <w:rFonts w:ascii="Arial" w:hAnsi="Arial" w:cs="Arial"/>
          <w:sz w:val="22"/>
        </w:rPr>
        <w:t xml:space="preserve">brindar información para la determinación de los requisitos habilitantes e indicadores financieros no es la única finalidad </w:t>
      </w:r>
      <w:r>
        <w:rPr>
          <w:rFonts w:ascii="Arial" w:hAnsi="Arial" w:cs="Arial"/>
          <w:sz w:val="22"/>
        </w:rPr>
        <w:t>de estos estudios</w:t>
      </w:r>
      <w:r w:rsidRPr="00196BCD">
        <w:rPr>
          <w:rFonts w:ascii="Arial" w:hAnsi="Arial" w:cs="Arial"/>
          <w:sz w:val="22"/>
        </w:rPr>
        <w:t>.</w:t>
      </w:r>
    </w:p>
    <w:p w14:paraId="5BACC23E" w14:textId="35522C0D" w:rsidR="004E435F" w:rsidRPr="00196BCD" w:rsidRDefault="004E435F">
      <w:pPr>
        <w:spacing w:before="120" w:after="120" w:line="276" w:lineRule="auto"/>
        <w:ind w:firstLine="708"/>
        <w:jc w:val="both"/>
        <w:rPr>
          <w:rFonts w:ascii="Arial" w:hAnsi="Arial" w:cs="Arial"/>
          <w:sz w:val="22"/>
        </w:rPr>
      </w:pPr>
      <w:bookmarkStart w:id="19" w:name="_Hlk56931794"/>
      <w:r w:rsidRPr="00331868">
        <w:rPr>
          <w:rFonts w:ascii="Arial" w:hAnsi="Arial" w:cs="Arial"/>
          <w:i/>
          <w:iCs/>
          <w:sz w:val="22"/>
        </w:rPr>
        <w:t>Por un lado</w:t>
      </w:r>
      <w:r w:rsidRPr="00210561">
        <w:rPr>
          <w:rFonts w:ascii="Arial" w:hAnsi="Arial" w:cs="Arial"/>
          <w:sz w:val="22"/>
        </w:rPr>
        <w:t>,</w:t>
      </w:r>
      <w:r>
        <w:rPr>
          <w:rFonts w:ascii="Arial" w:hAnsi="Arial" w:cs="Arial"/>
          <w:sz w:val="22"/>
        </w:rPr>
        <w:t xml:space="preserve"> t</w:t>
      </w:r>
      <w:r w:rsidRPr="00196BCD">
        <w:rPr>
          <w:rFonts w:ascii="Arial" w:hAnsi="Arial" w:cs="Arial"/>
          <w:sz w:val="22"/>
        </w:rPr>
        <w:t xml:space="preserve">al como se evidenció en el acápite anterior, el análisis del sector abarca los rubros legal, comercial, financiero, organizacional, técnico y de riesgos del sector en donde tendrá lugar la contratación, permitiendo a las entidades acopiar información importante para el desarrollo de los procesos de contratación, irradiando estos con una aplicación más acentuada del principio de planeación. </w:t>
      </w:r>
      <w:r w:rsidR="005041DE">
        <w:rPr>
          <w:rFonts w:ascii="Arial" w:hAnsi="Arial" w:cs="Arial"/>
          <w:sz w:val="22"/>
        </w:rPr>
        <w:t>D</w:t>
      </w:r>
      <w:r w:rsidRPr="00196BCD">
        <w:rPr>
          <w:rFonts w:ascii="Arial" w:hAnsi="Arial" w:cs="Arial"/>
          <w:sz w:val="22"/>
        </w:rPr>
        <w:t>esde una perspectiva funcional, constituye un deber que permite que las entidades sitúen la adquisición de los bienes, obras o servicios necesarios para la satisfacción de sus necesidades dentro de las condiciones del mercado en donde se ofrecen</w:t>
      </w:r>
      <w:r>
        <w:rPr>
          <w:rFonts w:ascii="Arial" w:hAnsi="Arial" w:cs="Arial"/>
          <w:sz w:val="22"/>
        </w:rPr>
        <w:t>. Lo anterior, les</w:t>
      </w:r>
      <w:r w:rsidRPr="00196BCD">
        <w:rPr>
          <w:rFonts w:ascii="Arial" w:hAnsi="Arial" w:cs="Arial"/>
          <w:sz w:val="22"/>
        </w:rPr>
        <w:t xml:space="preserve"> permit</w:t>
      </w:r>
      <w:r>
        <w:rPr>
          <w:rFonts w:ascii="Arial" w:hAnsi="Arial" w:cs="Arial"/>
          <w:sz w:val="22"/>
        </w:rPr>
        <w:t>e</w:t>
      </w:r>
      <w:r w:rsidRPr="00196BCD">
        <w:rPr>
          <w:rFonts w:ascii="Arial" w:hAnsi="Arial" w:cs="Arial"/>
          <w:sz w:val="22"/>
        </w:rPr>
        <w:t xml:space="preserve"> tener un sustento para la decisión de adelantar el proceso de contratación desde el punto de vista de la eficiencia, eficacia y economía. </w:t>
      </w:r>
    </w:p>
    <w:p w14:paraId="0DA4A556" w14:textId="2C70B30F" w:rsidR="004E435F" w:rsidRPr="00196BCD" w:rsidRDefault="004E435F" w:rsidP="004E435F">
      <w:pPr>
        <w:spacing w:before="120" w:after="120" w:line="276" w:lineRule="auto"/>
        <w:ind w:firstLine="708"/>
        <w:jc w:val="both"/>
        <w:rPr>
          <w:rFonts w:ascii="Arial" w:hAnsi="Arial" w:cs="Arial"/>
          <w:sz w:val="22"/>
        </w:rPr>
      </w:pPr>
      <w:r w:rsidRPr="00196BCD">
        <w:rPr>
          <w:rFonts w:ascii="Arial" w:hAnsi="Arial" w:cs="Arial"/>
          <w:sz w:val="22"/>
        </w:rPr>
        <w:t xml:space="preserve">Un ejemplo de la funcionalidad del análisis </w:t>
      </w:r>
      <w:r w:rsidR="00312C7E">
        <w:rPr>
          <w:rFonts w:ascii="Arial" w:hAnsi="Arial" w:cs="Arial"/>
          <w:sz w:val="22"/>
        </w:rPr>
        <w:t xml:space="preserve">del </w:t>
      </w:r>
      <w:r w:rsidRPr="00196BCD">
        <w:rPr>
          <w:rFonts w:ascii="Arial" w:hAnsi="Arial" w:cs="Arial"/>
          <w:sz w:val="22"/>
        </w:rPr>
        <w:t xml:space="preserve">sector y su importancia en el proceso de contratación lo evidenciamos en su calidad de antecedente </w:t>
      </w:r>
      <w:r w:rsidRPr="00196BCD">
        <w:rPr>
          <w:rFonts w:ascii="Arial" w:eastAsia="Calibri" w:hAnsi="Arial" w:cs="Arial"/>
          <w:sz w:val="22"/>
        </w:rPr>
        <w:t>tanto la disponibilidad como el compromiso presupuestal que involucra cada contrato</w:t>
      </w:r>
      <w:r>
        <w:rPr>
          <w:rFonts w:ascii="Arial" w:eastAsia="Calibri" w:hAnsi="Arial" w:cs="Arial"/>
          <w:sz w:val="22"/>
        </w:rPr>
        <w:t>. C</w:t>
      </w:r>
      <w:r w:rsidRPr="00196BCD">
        <w:rPr>
          <w:rFonts w:ascii="Arial" w:eastAsia="Calibri" w:hAnsi="Arial" w:cs="Arial"/>
          <w:sz w:val="22"/>
        </w:rPr>
        <w:t>omo lo evidenció esta Agencia en el concepto C-291 del 18 de mayo de 2020, el «estudio del sector relativo a los bienes, obras o servicios que adquirirá la entidad mediante el proceso contractual, permite conocer el mercado respecto de los proveedores, cadenas de producción, costos, calidad, entre otros</w:t>
      </w:r>
      <w:r>
        <w:rPr>
          <w:rFonts w:ascii="Arial" w:eastAsia="Calibri" w:hAnsi="Arial" w:cs="Arial"/>
          <w:sz w:val="22"/>
        </w:rPr>
        <w:t>.</w:t>
      </w:r>
      <w:r w:rsidRPr="00196BCD">
        <w:rPr>
          <w:rFonts w:ascii="Arial" w:eastAsia="Calibri" w:hAnsi="Arial" w:cs="Arial"/>
          <w:sz w:val="22"/>
        </w:rPr>
        <w:t xml:space="preserve"> </w:t>
      </w:r>
      <w:r>
        <w:rPr>
          <w:rFonts w:ascii="Arial" w:eastAsia="Calibri" w:hAnsi="Arial" w:cs="Arial"/>
          <w:sz w:val="22"/>
        </w:rPr>
        <w:t>Lo anterior</w:t>
      </w:r>
      <w:r w:rsidRPr="00196BCD">
        <w:rPr>
          <w:rFonts w:ascii="Arial" w:eastAsia="Calibri" w:hAnsi="Arial" w:cs="Arial"/>
          <w:sz w:val="22"/>
        </w:rPr>
        <w:t xml:space="preserve"> </w:t>
      </w:r>
      <w:r>
        <w:rPr>
          <w:rFonts w:ascii="Arial" w:eastAsia="Calibri" w:hAnsi="Arial" w:cs="Arial"/>
          <w:sz w:val="22"/>
        </w:rPr>
        <w:t>permite</w:t>
      </w:r>
      <w:r w:rsidRPr="00196BCD">
        <w:rPr>
          <w:rFonts w:ascii="Arial" w:eastAsia="Calibri" w:hAnsi="Arial" w:cs="Arial"/>
          <w:sz w:val="22"/>
        </w:rPr>
        <w:t xml:space="preserve"> que el presupuesto que se comprometa al proceso corresponda al valor real, y así se cumpla el deber de la entidad de planear y conocer las adquisiciones que pretende realizar, particularmente para estimar el valor del contrato».</w:t>
      </w:r>
    </w:p>
    <w:bookmarkEnd w:id="19"/>
    <w:p w14:paraId="00677B6F" w14:textId="77777777" w:rsidR="004E435F" w:rsidRPr="00196BCD" w:rsidRDefault="004E435F" w:rsidP="004E435F">
      <w:pPr>
        <w:spacing w:before="120" w:after="120" w:line="276" w:lineRule="auto"/>
        <w:ind w:firstLine="708"/>
        <w:jc w:val="both"/>
        <w:rPr>
          <w:rFonts w:ascii="Arial" w:hAnsi="Arial" w:cs="Arial"/>
          <w:sz w:val="22"/>
        </w:rPr>
      </w:pPr>
      <w:r w:rsidRPr="00196BCD">
        <w:rPr>
          <w:rFonts w:ascii="Arial" w:hAnsi="Arial" w:cs="Arial"/>
          <w:sz w:val="22"/>
        </w:rPr>
        <w:lastRenderedPageBreak/>
        <w:t xml:space="preserve">Otro ejemplo lo constituye el análisis de riesgo y la forma de mitigarlo que, según el numeral 6 del artículo 2.2.1.1.2.1.1 del Decreto 1082 de 2015, debe incorporarse en los estudios y documentos previos. El cumplimiento de este requisito necesariamente debe servirse del estudio producto del análisis del sector, comoquiera que este último debe permitir a las entidades conocer las dinámicas y comportamiento de los riesgos relacionados con el objeto a contratar dentro del respectivo sector, lo que brinda herramientas para determinar las posibles formas y mecanismos mediante los que podrían mitigarse. </w:t>
      </w:r>
    </w:p>
    <w:p w14:paraId="1CF704BA" w14:textId="0B364A26" w:rsidR="004E435F" w:rsidRDefault="004E435F" w:rsidP="004E435F">
      <w:pPr>
        <w:spacing w:before="120" w:after="120" w:line="276" w:lineRule="auto"/>
        <w:ind w:firstLine="708"/>
        <w:jc w:val="both"/>
        <w:rPr>
          <w:rFonts w:ascii="Arial" w:hAnsi="Arial" w:cs="Arial"/>
          <w:sz w:val="22"/>
        </w:rPr>
      </w:pPr>
      <w:r w:rsidRPr="00196BCD">
        <w:rPr>
          <w:rFonts w:ascii="Arial" w:hAnsi="Arial" w:cs="Arial"/>
          <w:sz w:val="22"/>
        </w:rPr>
        <w:t xml:space="preserve">De otra parte, el artículo 2.2.1.1.2.2.4 del Decreto 1082 de 2015, en el que se regula la metodología para la evaluación y esclarecimiento de ofertas con precios artificialmente bajos, se refiere al artículo 2.2.1.1.1.6.1, que regula el análisis del sector y los rubros que este abarca, situando a este como el principal insumo para llevar </w:t>
      </w:r>
      <w:r>
        <w:rPr>
          <w:rFonts w:ascii="Arial" w:hAnsi="Arial" w:cs="Arial"/>
          <w:sz w:val="22"/>
        </w:rPr>
        <w:t xml:space="preserve">a cabo </w:t>
      </w:r>
      <w:r w:rsidRPr="00196BCD">
        <w:rPr>
          <w:rFonts w:ascii="Arial" w:hAnsi="Arial" w:cs="Arial"/>
          <w:sz w:val="22"/>
        </w:rPr>
        <w:t>dicho cometido</w:t>
      </w:r>
      <w:r w:rsidR="0018574F" w:rsidRPr="00196BCD">
        <w:rPr>
          <w:rFonts w:ascii="Arial" w:hAnsi="Arial" w:cs="Arial"/>
          <w:sz w:val="22"/>
          <w:vertAlign w:val="superscript"/>
        </w:rPr>
        <w:footnoteReference w:id="21"/>
      </w:r>
      <w:r w:rsidRPr="00196BCD">
        <w:rPr>
          <w:rFonts w:ascii="Arial" w:hAnsi="Arial" w:cs="Arial"/>
          <w:sz w:val="22"/>
        </w:rPr>
        <w:t xml:space="preserve">. En desarrollo de esto,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w:t>
      </w:r>
    </w:p>
    <w:p w14:paraId="4B7D1E46" w14:textId="3BCFD5B2" w:rsidR="004E435F" w:rsidRPr="00196BCD" w:rsidRDefault="004E435F" w:rsidP="004E435F">
      <w:pPr>
        <w:spacing w:before="120" w:after="120" w:line="276" w:lineRule="auto"/>
        <w:ind w:firstLine="708"/>
        <w:jc w:val="both"/>
        <w:rPr>
          <w:rFonts w:ascii="Arial" w:eastAsia="Yu Mincho" w:hAnsi="Arial" w:cs="Arial"/>
          <w:sz w:val="22"/>
          <w:lang w:eastAsia="es-ES"/>
        </w:rPr>
      </w:pPr>
      <w:r w:rsidRPr="00196BCD">
        <w:rPr>
          <w:rFonts w:ascii="Arial" w:hAnsi="Arial" w:cs="Arial"/>
          <w:sz w:val="22"/>
        </w:rPr>
        <w:t xml:space="preserve">Esto pone de presente otra importante finalidad de la información recolectada en el ejercicio de análisis o estudio del sector, a la cual no fue ajena la expedición de los documentos tipo, los que, particularmente, en el numeral 4.1.3 del «Documento Base» para licitación pública, </w:t>
      </w:r>
      <w:r w:rsidR="00C025E6">
        <w:rPr>
          <w:rFonts w:ascii="Arial" w:hAnsi="Arial" w:cs="Arial"/>
          <w:sz w:val="22"/>
        </w:rPr>
        <w:t>hace</w:t>
      </w:r>
      <w:r w:rsidRPr="00196BCD">
        <w:rPr>
          <w:rFonts w:ascii="Arial" w:hAnsi="Arial" w:cs="Arial"/>
          <w:sz w:val="22"/>
        </w:rPr>
        <w:t xml:space="preserve"> expresa referencia a la información del estudio del sector como el más importante insumo para determinar si una oferta es artificialmente baja y aplica</w:t>
      </w:r>
      <w:r w:rsidR="00C70453">
        <w:rPr>
          <w:rFonts w:ascii="Arial" w:hAnsi="Arial" w:cs="Arial"/>
          <w:sz w:val="22"/>
        </w:rPr>
        <w:t>r</w:t>
      </w:r>
      <w:r w:rsidRPr="00196BCD">
        <w:rPr>
          <w:rFonts w:ascii="Arial" w:hAnsi="Arial" w:cs="Arial"/>
          <w:sz w:val="22"/>
        </w:rPr>
        <w:t xml:space="preserve"> </w:t>
      </w:r>
      <w:r w:rsidR="00C70453">
        <w:rPr>
          <w:rFonts w:ascii="Arial" w:hAnsi="Arial" w:cs="Arial"/>
          <w:sz w:val="22"/>
        </w:rPr>
        <w:t>e</w:t>
      </w:r>
      <w:r w:rsidRPr="00196BCD">
        <w:rPr>
          <w:rFonts w:ascii="Arial" w:hAnsi="Arial" w:cs="Arial"/>
          <w:sz w:val="22"/>
        </w:rPr>
        <w:t xml:space="preserve">l artículo </w:t>
      </w:r>
      <w:r w:rsidRPr="00196BCD">
        <w:rPr>
          <w:rFonts w:ascii="Arial" w:eastAsia="Yu Mincho" w:hAnsi="Arial" w:cs="Arial"/>
          <w:sz w:val="22"/>
          <w:lang w:eastAsia="es-ES"/>
        </w:rPr>
        <w:t>2.2.1.1.2.2.4 del Decreto 1082 de 2015.</w:t>
      </w:r>
    </w:p>
    <w:p w14:paraId="19FF4F54" w14:textId="4BAD5B6B" w:rsidR="004E435F" w:rsidRPr="00196BCD" w:rsidRDefault="004E435F" w:rsidP="004E435F">
      <w:pPr>
        <w:spacing w:before="120" w:after="120" w:line="276" w:lineRule="auto"/>
        <w:ind w:firstLine="708"/>
        <w:jc w:val="both"/>
        <w:rPr>
          <w:rFonts w:ascii="Arial" w:hAnsi="Arial" w:cs="Arial"/>
          <w:sz w:val="22"/>
        </w:rPr>
      </w:pPr>
      <w:r w:rsidRPr="00196BCD">
        <w:rPr>
          <w:rFonts w:ascii="Arial" w:hAnsi="Arial" w:cs="Arial"/>
          <w:sz w:val="22"/>
        </w:rPr>
        <w:t xml:space="preserve">Otras referencias al estudio del sector en los documentos tipo </w:t>
      </w:r>
      <w:r>
        <w:rPr>
          <w:rFonts w:ascii="Arial" w:hAnsi="Arial" w:cs="Arial"/>
          <w:sz w:val="22"/>
        </w:rPr>
        <w:t>se encuentran</w:t>
      </w:r>
      <w:r w:rsidRPr="00196BCD">
        <w:rPr>
          <w:rFonts w:ascii="Arial" w:hAnsi="Arial" w:cs="Arial"/>
          <w:sz w:val="22"/>
        </w:rPr>
        <w:t xml:space="preserve"> en el numeral 4.2 de</w:t>
      </w:r>
      <w:r w:rsidR="00447CB4">
        <w:rPr>
          <w:rFonts w:ascii="Arial" w:hAnsi="Arial" w:cs="Arial"/>
          <w:sz w:val="22"/>
        </w:rPr>
        <w:t>l</w:t>
      </w:r>
      <w:r w:rsidRPr="00196BCD">
        <w:rPr>
          <w:rFonts w:ascii="Arial" w:hAnsi="Arial" w:cs="Arial"/>
          <w:sz w:val="22"/>
        </w:rPr>
        <w:t xml:space="preserve"> </w:t>
      </w:r>
      <w:r w:rsidR="00447CB4" w:rsidRPr="00196BCD">
        <w:rPr>
          <w:rFonts w:ascii="Arial" w:hAnsi="Arial" w:cs="Arial"/>
          <w:sz w:val="22"/>
        </w:rPr>
        <w:t>documentos base</w:t>
      </w:r>
      <w:r w:rsidR="00447CB4">
        <w:rPr>
          <w:rFonts w:ascii="Arial" w:hAnsi="Arial" w:cs="Arial"/>
          <w:sz w:val="22"/>
        </w:rPr>
        <w:t>,</w:t>
      </w:r>
      <w:r w:rsidRPr="00196BCD">
        <w:rPr>
          <w:rFonts w:ascii="Arial" w:hAnsi="Arial" w:cs="Arial"/>
          <w:sz w:val="22"/>
        </w:rPr>
        <w:t xml:space="preserve"> donde se alude a la información del estudio del sector, como sustento de la escogencia por parte de las entidades de los criterios que darán lugar a otorgar el puntaje del factor de calidad. Asimismo, el numeral 3.5</w:t>
      </w:r>
      <w:r w:rsidR="00715E96">
        <w:rPr>
          <w:rFonts w:ascii="Arial" w:hAnsi="Arial" w:cs="Arial"/>
          <w:sz w:val="22"/>
        </w:rPr>
        <w:t xml:space="preserve"> </w:t>
      </w:r>
      <w:r w:rsidRPr="00196BCD">
        <w:rPr>
          <w:rFonts w:ascii="Arial" w:hAnsi="Arial" w:cs="Arial"/>
          <w:sz w:val="22"/>
        </w:rPr>
        <w:t xml:space="preserve">se refiere al estudio del sector como una herramienta para determinar que en un proceso de selección </w:t>
      </w:r>
      <w:r w:rsidR="0059096F">
        <w:rPr>
          <w:rFonts w:ascii="Arial" w:hAnsi="Arial" w:cs="Arial"/>
          <w:sz w:val="22"/>
        </w:rPr>
        <w:t>se excepcione</w:t>
      </w:r>
      <w:r w:rsidRPr="00196BCD">
        <w:rPr>
          <w:rFonts w:ascii="Arial" w:hAnsi="Arial" w:cs="Arial"/>
          <w:sz w:val="22"/>
        </w:rPr>
        <w:t xml:space="preserve"> la regla general que solo permite a los proponentes acreditar la experiencia que </w:t>
      </w:r>
      <w:r w:rsidRPr="00196BCD">
        <w:rPr>
          <w:rFonts w:ascii="Arial" w:hAnsi="Arial" w:cs="Arial"/>
          <w:sz w:val="22"/>
        </w:rPr>
        <w:lastRenderedPageBreak/>
        <w:t>han adquirido por cuenta propia y no la de su matriz, subsidiarias o integrantes del mismo grupo empresarial</w:t>
      </w:r>
      <w:r w:rsidRPr="00196BCD">
        <w:rPr>
          <w:rStyle w:val="Refdenotaalpie"/>
          <w:rFonts w:ascii="Arial" w:hAnsi="Arial" w:cs="Arial"/>
          <w:sz w:val="22"/>
        </w:rPr>
        <w:footnoteReference w:id="22"/>
      </w:r>
      <w:r w:rsidRPr="00196BCD">
        <w:rPr>
          <w:rFonts w:ascii="Arial" w:hAnsi="Arial" w:cs="Arial"/>
          <w:sz w:val="22"/>
        </w:rPr>
        <w:t xml:space="preserve">. </w:t>
      </w:r>
    </w:p>
    <w:p w14:paraId="40FEF002" w14:textId="7EC28F22" w:rsidR="004E435F" w:rsidRPr="003D190D" w:rsidRDefault="004E435F" w:rsidP="0078356A">
      <w:pPr>
        <w:spacing w:before="120" w:after="120" w:line="276" w:lineRule="auto"/>
        <w:ind w:firstLine="708"/>
        <w:jc w:val="both"/>
        <w:rPr>
          <w:rFonts w:ascii="Arial" w:eastAsia="Arial Narrow" w:hAnsi="Arial" w:cs="Arial"/>
          <w:sz w:val="22"/>
          <w:lang w:eastAsia="es-ES"/>
        </w:rPr>
      </w:pPr>
      <w:bookmarkStart w:id="20" w:name="_Hlk56932599"/>
      <w:r w:rsidRPr="00196BCD">
        <w:rPr>
          <w:rFonts w:ascii="Arial" w:hAnsi="Arial" w:cs="Arial"/>
          <w:sz w:val="22"/>
        </w:rPr>
        <w:t>Lo</w:t>
      </w:r>
      <w:r w:rsidR="006C1B42">
        <w:rPr>
          <w:rFonts w:ascii="Arial" w:hAnsi="Arial" w:cs="Arial"/>
          <w:sz w:val="22"/>
        </w:rPr>
        <w:t xml:space="preserve"> anterior</w:t>
      </w:r>
      <w:r w:rsidRPr="00196BCD">
        <w:rPr>
          <w:rFonts w:ascii="Arial" w:hAnsi="Arial" w:cs="Arial"/>
          <w:sz w:val="22"/>
        </w:rPr>
        <w:t xml:space="preserve"> ilustra la importancia del análisis o estudio del sector para el desarrollo de los procesos de contratación, como un deber de las entidades en el marco de la planeación de su gestión contractual, cuyo ejercicio permite </w:t>
      </w:r>
      <w:r>
        <w:rPr>
          <w:rFonts w:ascii="Arial" w:hAnsi="Arial" w:cs="Arial"/>
          <w:sz w:val="22"/>
        </w:rPr>
        <w:t>consolidar</w:t>
      </w:r>
      <w:r w:rsidRPr="00196BCD">
        <w:rPr>
          <w:rFonts w:ascii="Arial" w:hAnsi="Arial" w:cs="Arial"/>
          <w:sz w:val="22"/>
        </w:rPr>
        <w:t xml:space="preserve"> información valiosa para la configuración de las condiciones del proce</w:t>
      </w:r>
      <w:r>
        <w:rPr>
          <w:rFonts w:ascii="Arial" w:hAnsi="Arial" w:cs="Arial"/>
          <w:sz w:val="22"/>
        </w:rPr>
        <w:t>dimiento</w:t>
      </w:r>
      <w:r w:rsidRPr="00196BCD">
        <w:rPr>
          <w:rFonts w:ascii="Arial" w:hAnsi="Arial" w:cs="Arial"/>
          <w:sz w:val="22"/>
        </w:rPr>
        <w:t xml:space="preserve"> de contratación</w:t>
      </w:r>
      <w:r>
        <w:rPr>
          <w:rFonts w:ascii="Arial" w:hAnsi="Arial" w:cs="Arial"/>
          <w:sz w:val="22"/>
        </w:rPr>
        <w:t>.</w:t>
      </w:r>
      <w:r w:rsidRPr="00196BCD">
        <w:rPr>
          <w:rFonts w:ascii="Arial" w:hAnsi="Arial" w:cs="Arial"/>
          <w:sz w:val="22"/>
        </w:rPr>
        <w:t xml:space="preserve"> </w:t>
      </w:r>
      <w:r>
        <w:rPr>
          <w:rFonts w:ascii="Arial" w:hAnsi="Arial" w:cs="Arial"/>
          <w:sz w:val="22"/>
        </w:rPr>
        <w:t xml:space="preserve">El </w:t>
      </w:r>
      <w:r w:rsidRPr="00196BCD">
        <w:rPr>
          <w:rFonts w:ascii="Arial" w:hAnsi="Arial" w:cs="Arial"/>
          <w:sz w:val="22"/>
        </w:rPr>
        <w:t>estudio del sector</w:t>
      </w:r>
      <w:r>
        <w:rPr>
          <w:rFonts w:ascii="Arial" w:hAnsi="Arial" w:cs="Arial"/>
          <w:sz w:val="22"/>
        </w:rPr>
        <w:t>,</w:t>
      </w:r>
      <w:r w:rsidRPr="00196BCD">
        <w:rPr>
          <w:rFonts w:ascii="Arial" w:hAnsi="Arial" w:cs="Arial"/>
          <w:sz w:val="22"/>
        </w:rPr>
        <w:t xml:space="preserve"> al suponer un </w:t>
      </w:r>
      <w:r>
        <w:rPr>
          <w:rFonts w:ascii="Arial" w:hAnsi="Arial" w:cs="Arial"/>
          <w:sz w:val="22"/>
        </w:rPr>
        <w:t>análisis</w:t>
      </w:r>
      <w:r w:rsidRPr="00196BCD">
        <w:rPr>
          <w:rFonts w:ascii="Arial" w:hAnsi="Arial" w:cs="Arial"/>
          <w:sz w:val="22"/>
        </w:rPr>
        <w:t xml:space="preserve"> legal, comercial, financiero, organizacional, técnico y de riesgos del sector en donde tendrá lugar la contratación, implica mucho más que una labor dirigida a la determinación de los requisitos habilitantes e índices financieros aplicables a cada proceso.</w:t>
      </w:r>
      <w:r w:rsidR="00A40C13">
        <w:rPr>
          <w:rFonts w:ascii="Arial" w:eastAsiaTheme="minorEastAsia" w:hAnsi="Arial" w:cs="Arial"/>
          <w:iCs/>
          <w:sz w:val="22"/>
          <w:lang w:val="es-ES" w:eastAsia="es-CO"/>
        </w:rPr>
        <w:t xml:space="preserve"> </w:t>
      </w:r>
      <w:bookmarkEnd w:id="20"/>
    </w:p>
    <w:p w14:paraId="0F4A6016" w14:textId="0F10121E" w:rsidR="004E435F" w:rsidRPr="007A739F" w:rsidRDefault="004E435F" w:rsidP="004E435F">
      <w:pPr>
        <w:spacing w:after="120" w:line="276" w:lineRule="auto"/>
        <w:ind w:firstLine="708"/>
        <w:jc w:val="both"/>
        <w:rPr>
          <w:rFonts w:ascii="Arial" w:hAnsi="Arial" w:cs="Arial"/>
          <w:sz w:val="22"/>
        </w:rPr>
      </w:pPr>
      <w:bookmarkStart w:id="21" w:name="_Hlk56933064"/>
      <w:r>
        <w:rPr>
          <w:rFonts w:ascii="Arial" w:hAnsi="Arial" w:cs="Arial"/>
          <w:sz w:val="22"/>
        </w:rPr>
        <w:t>En consecuencia</w:t>
      </w:r>
      <w:r w:rsidR="003119E1">
        <w:rPr>
          <w:rFonts w:ascii="Arial" w:hAnsi="Arial" w:cs="Arial"/>
          <w:sz w:val="22"/>
        </w:rPr>
        <w:t xml:space="preserve">, </w:t>
      </w:r>
      <w:r w:rsidRPr="00196BCD">
        <w:rPr>
          <w:rFonts w:ascii="Arial" w:hAnsi="Arial" w:cs="Arial"/>
          <w:sz w:val="22"/>
        </w:rPr>
        <w:t>los procedimientos para selección de contratistas de obra pública de infraestructura de transporte en la modalidad de licitación pública</w:t>
      </w:r>
      <w:r w:rsidR="00CC734C">
        <w:rPr>
          <w:rFonts w:ascii="Arial" w:hAnsi="Arial" w:cs="Arial"/>
          <w:sz w:val="22"/>
        </w:rPr>
        <w:t xml:space="preserve"> regidos por documentos tipo</w:t>
      </w:r>
      <w:r w:rsidRPr="00196BCD">
        <w:rPr>
          <w:rFonts w:ascii="Arial" w:hAnsi="Arial" w:cs="Arial"/>
          <w:sz w:val="22"/>
        </w:rPr>
        <w:t xml:space="preserve">, a pesar de contar con requisitos habilitantes e índices financieros previamente acotados, </w:t>
      </w:r>
      <w:bookmarkStart w:id="22" w:name="_Hlk56933053"/>
      <w:r w:rsidRPr="00196BCD">
        <w:rPr>
          <w:rFonts w:ascii="Arial" w:hAnsi="Arial" w:cs="Arial"/>
          <w:sz w:val="22"/>
        </w:rPr>
        <w:t>con efectos obligatorios y carácter inalterable</w:t>
      </w:r>
      <w:bookmarkEnd w:id="22"/>
      <w:r w:rsidRPr="00196BCD">
        <w:rPr>
          <w:rFonts w:ascii="Arial" w:hAnsi="Arial" w:cs="Arial"/>
          <w:sz w:val="22"/>
        </w:rPr>
        <w:t>, no se encuentran exentos de la obligación de realizar un análisis del sector en el que tendrá lugar la contratación</w:t>
      </w:r>
      <w:r>
        <w:rPr>
          <w:rFonts w:ascii="Arial" w:hAnsi="Arial" w:cs="Arial"/>
          <w:sz w:val="22"/>
        </w:rPr>
        <w:t xml:space="preserve">. Lo anterior, </w:t>
      </w:r>
      <w:r w:rsidRPr="00196BCD">
        <w:rPr>
          <w:rFonts w:ascii="Arial" w:hAnsi="Arial" w:cs="Arial"/>
          <w:sz w:val="22"/>
        </w:rPr>
        <w:t>necesariamente</w:t>
      </w:r>
      <w:r>
        <w:rPr>
          <w:rFonts w:ascii="Arial" w:hAnsi="Arial" w:cs="Arial"/>
          <w:sz w:val="22"/>
        </w:rPr>
        <w:t xml:space="preserve"> requiere</w:t>
      </w:r>
      <w:r w:rsidRPr="00196BCD">
        <w:rPr>
          <w:rFonts w:ascii="Arial" w:hAnsi="Arial" w:cs="Arial"/>
          <w:sz w:val="22"/>
        </w:rPr>
        <w:t xml:space="preserve"> </w:t>
      </w:r>
      <w:r>
        <w:rPr>
          <w:rFonts w:ascii="Arial" w:hAnsi="Arial" w:cs="Arial"/>
          <w:sz w:val="22"/>
        </w:rPr>
        <w:t xml:space="preserve">aplicar los </w:t>
      </w:r>
      <w:r w:rsidRPr="00196BCD">
        <w:rPr>
          <w:rFonts w:ascii="Arial" w:hAnsi="Arial" w:cs="Arial"/>
          <w:sz w:val="22"/>
        </w:rPr>
        <w:t>artículo</w:t>
      </w:r>
      <w:r>
        <w:rPr>
          <w:rFonts w:ascii="Arial" w:hAnsi="Arial" w:cs="Arial"/>
          <w:sz w:val="22"/>
        </w:rPr>
        <w:t>s</w:t>
      </w:r>
      <w:r w:rsidRPr="00196BCD">
        <w:rPr>
          <w:rFonts w:ascii="Arial" w:hAnsi="Arial" w:cs="Arial"/>
          <w:sz w:val="22"/>
        </w:rPr>
        <w:t xml:space="preserve"> </w:t>
      </w:r>
      <w:r w:rsidRPr="00D2504D">
        <w:rPr>
          <w:rFonts w:ascii="Arial" w:hAnsi="Arial" w:cs="Arial"/>
          <w:sz w:val="22"/>
        </w:rPr>
        <w:t>2.2.1.1.2.1.1</w:t>
      </w:r>
      <w:r>
        <w:rPr>
          <w:rFonts w:ascii="Arial" w:hAnsi="Arial" w:cs="Arial"/>
          <w:sz w:val="22"/>
        </w:rPr>
        <w:t xml:space="preserve"> y </w:t>
      </w:r>
      <w:r w:rsidRPr="00196BCD">
        <w:rPr>
          <w:rFonts w:ascii="Arial" w:hAnsi="Arial" w:cs="Arial"/>
          <w:sz w:val="22"/>
        </w:rPr>
        <w:t xml:space="preserve">2.2.1.1.1.6.1 del Decreto 1082 del 2015, evidenciando </w:t>
      </w:r>
      <w:r>
        <w:rPr>
          <w:rFonts w:ascii="Arial" w:hAnsi="Arial" w:cs="Arial"/>
          <w:sz w:val="22"/>
        </w:rPr>
        <w:t>el cumplimiento de estos requisitos</w:t>
      </w:r>
      <w:r w:rsidRPr="00196BCD">
        <w:rPr>
          <w:rFonts w:ascii="Arial" w:hAnsi="Arial" w:cs="Arial"/>
          <w:sz w:val="22"/>
        </w:rPr>
        <w:t xml:space="preserve"> dentro de los </w:t>
      </w:r>
      <w:r w:rsidRPr="00196BCD">
        <w:rPr>
          <w:rFonts w:ascii="Arial" w:hAnsi="Arial" w:cs="Arial"/>
          <w:i/>
          <w:iCs/>
          <w:sz w:val="22"/>
        </w:rPr>
        <w:t>Documentos del Proceso.</w:t>
      </w:r>
      <w:r w:rsidRPr="00196BCD">
        <w:rPr>
          <w:rFonts w:ascii="Arial" w:hAnsi="Arial" w:cs="Arial"/>
          <w:sz w:val="22"/>
        </w:rPr>
        <w:t xml:space="preserve"> </w:t>
      </w:r>
      <w:bookmarkEnd w:id="21"/>
      <w:r w:rsidR="00C523AC">
        <w:rPr>
          <w:rFonts w:ascii="Arial" w:hAnsi="Arial" w:cs="Arial"/>
          <w:sz w:val="22"/>
        </w:rPr>
        <w:t>Además</w:t>
      </w:r>
      <w:r w:rsidR="007A739F">
        <w:rPr>
          <w:rFonts w:ascii="Arial" w:hAnsi="Arial" w:cs="Arial"/>
          <w:sz w:val="22"/>
        </w:rPr>
        <w:t>, de conformidad con la parte introductoria del</w:t>
      </w:r>
      <w:r w:rsidR="00BB1C62">
        <w:rPr>
          <w:rFonts w:ascii="Arial" w:hAnsi="Arial" w:cs="Arial"/>
          <w:sz w:val="22"/>
        </w:rPr>
        <w:t xml:space="preserve"> pliego de condiciones</w:t>
      </w:r>
      <w:r w:rsidR="007A739F">
        <w:rPr>
          <w:rFonts w:ascii="Arial" w:hAnsi="Arial" w:cs="Arial"/>
          <w:sz w:val="22"/>
          <w:lang w:val="es-ES"/>
        </w:rPr>
        <w:t>,</w:t>
      </w:r>
      <w:r w:rsidR="007A739F">
        <w:rPr>
          <w:rFonts w:ascii="Arial" w:hAnsi="Arial" w:cs="Arial"/>
          <w:sz w:val="22"/>
        </w:rPr>
        <w:t xml:space="preserve"> </w:t>
      </w:r>
      <w:r w:rsidR="007A739F" w:rsidRPr="00183CA4">
        <w:rPr>
          <w:rFonts w:ascii="Arial" w:hAnsi="Arial" w:cs="Arial"/>
          <w:sz w:val="22"/>
        </w:rPr>
        <w:t>«</w:t>
      </w:r>
      <w:r w:rsidR="007A739F">
        <w:rPr>
          <w:rFonts w:ascii="Arial" w:hAnsi="Arial" w:cs="Arial"/>
          <w:sz w:val="22"/>
        </w:rPr>
        <w:t>l</w:t>
      </w:r>
      <w:r w:rsidR="007A739F" w:rsidRPr="007A739F">
        <w:rPr>
          <w:rFonts w:ascii="Arial" w:hAnsi="Arial" w:cs="Arial"/>
          <w:sz w:val="22"/>
        </w:rPr>
        <w:t xml:space="preserve">os documentos del proceso que incluyen los estudios y documentos previos, el estudio de sector, así como cualquiera de sus anexos, están a disposición del público en el Sistema Electrónico </w:t>
      </w:r>
      <w:r w:rsidR="007A739F">
        <w:rPr>
          <w:rFonts w:ascii="Arial" w:hAnsi="Arial" w:cs="Arial"/>
          <w:sz w:val="22"/>
        </w:rPr>
        <w:t>de Contratación Pública –SECOP–</w:t>
      </w:r>
      <w:r w:rsidR="007A739F" w:rsidRPr="00183CA4">
        <w:rPr>
          <w:rFonts w:ascii="Arial" w:hAnsi="Arial" w:cs="Arial"/>
          <w:sz w:val="22"/>
        </w:rPr>
        <w:t>»</w:t>
      </w:r>
      <w:r w:rsidR="00F810B5">
        <w:rPr>
          <w:rFonts w:ascii="Arial" w:hAnsi="Arial" w:cs="Arial"/>
          <w:sz w:val="22"/>
        </w:rPr>
        <w:t>.</w:t>
      </w:r>
      <w:r w:rsidR="00BB1C62">
        <w:rPr>
          <w:rFonts w:ascii="Arial" w:hAnsi="Arial" w:cs="Arial"/>
          <w:sz w:val="22"/>
        </w:rPr>
        <w:t xml:space="preserve"> </w:t>
      </w:r>
      <w:r w:rsidR="004D0164">
        <w:rPr>
          <w:rFonts w:ascii="Arial" w:hAnsi="Arial" w:cs="Arial"/>
          <w:sz w:val="22"/>
        </w:rPr>
        <w:t>Por tanto, las entidades obligadas a aplicar los documentos tipo también deben publicarlos.</w:t>
      </w:r>
    </w:p>
    <w:p w14:paraId="3608A608" w14:textId="0F784A59" w:rsidR="00304FEE" w:rsidRPr="00196BCD" w:rsidRDefault="004E435F" w:rsidP="00460DA4">
      <w:pPr>
        <w:spacing w:before="120" w:line="276" w:lineRule="auto"/>
        <w:ind w:firstLine="708"/>
        <w:jc w:val="both"/>
        <w:rPr>
          <w:rFonts w:ascii="Arial" w:hAnsi="Arial" w:cs="Arial"/>
          <w:sz w:val="22"/>
        </w:rPr>
      </w:pPr>
      <w:r>
        <w:rPr>
          <w:rFonts w:ascii="Arial" w:hAnsi="Arial" w:cs="Arial"/>
          <w:sz w:val="22"/>
        </w:rPr>
        <w:t>L</w:t>
      </w:r>
      <w:r w:rsidRPr="00196BCD">
        <w:rPr>
          <w:rFonts w:ascii="Arial" w:hAnsi="Arial" w:cs="Arial"/>
          <w:sz w:val="22"/>
        </w:rPr>
        <w:t>a información producto de</w:t>
      </w:r>
      <w:r>
        <w:rPr>
          <w:rFonts w:ascii="Arial" w:hAnsi="Arial" w:cs="Arial"/>
          <w:sz w:val="22"/>
        </w:rPr>
        <w:t xml:space="preserve">l </w:t>
      </w:r>
      <w:r w:rsidRPr="00196BCD">
        <w:rPr>
          <w:rFonts w:ascii="Arial" w:hAnsi="Arial" w:cs="Arial"/>
          <w:sz w:val="22"/>
        </w:rPr>
        <w:t>análisis</w:t>
      </w:r>
      <w:r>
        <w:rPr>
          <w:rFonts w:ascii="Arial" w:hAnsi="Arial" w:cs="Arial"/>
          <w:sz w:val="22"/>
        </w:rPr>
        <w:t xml:space="preserve"> del sector</w:t>
      </w:r>
      <w:r w:rsidRPr="00196BCD">
        <w:rPr>
          <w:rFonts w:ascii="Arial" w:hAnsi="Arial" w:cs="Arial"/>
          <w:sz w:val="22"/>
        </w:rPr>
        <w:t>, si bien no s</w:t>
      </w:r>
      <w:r>
        <w:rPr>
          <w:rFonts w:ascii="Arial" w:hAnsi="Arial" w:cs="Arial"/>
          <w:sz w:val="22"/>
        </w:rPr>
        <w:t>irve</w:t>
      </w:r>
      <w:r w:rsidRPr="00196BCD">
        <w:rPr>
          <w:rFonts w:ascii="Arial" w:hAnsi="Arial" w:cs="Arial"/>
          <w:sz w:val="22"/>
        </w:rPr>
        <w:t xml:space="preserve"> a las entidades para determinar los requisitos habilitantes e índices financieros con el margen de discrecionalidad que les compete en  procesos en los que no se apliquen documento</w:t>
      </w:r>
      <w:r>
        <w:rPr>
          <w:rFonts w:ascii="Arial" w:hAnsi="Arial" w:cs="Arial"/>
          <w:sz w:val="22"/>
        </w:rPr>
        <w:t>s</w:t>
      </w:r>
      <w:r w:rsidRPr="00196BCD">
        <w:rPr>
          <w:rFonts w:ascii="Arial" w:hAnsi="Arial" w:cs="Arial"/>
          <w:sz w:val="22"/>
        </w:rPr>
        <w:t xml:space="preserve"> tipo, </w:t>
      </w:r>
      <w:r>
        <w:rPr>
          <w:rFonts w:ascii="Arial" w:hAnsi="Arial" w:cs="Arial"/>
          <w:sz w:val="22"/>
        </w:rPr>
        <w:t>permite –entre otros aspectos–</w:t>
      </w:r>
      <w:r w:rsidRPr="00196BCD">
        <w:rPr>
          <w:rFonts w:ascii="Arial" w:hAnsi="Arial" w:cs="Arial"/>
          <w:sz w:val="22"/>
        </w:rPr>
        <w:t xml:space="preserve"> tener un antecedente del compromiso presupuestal que involucra el contrato, realizar el análisis de los riesgos, determinar si una oferta contiene precios artificialmente bajos, sustentar la escogencia de los factores de calidad, determinar la posibilidad de que en un proceso los proponentes acrediten la experiencia de los integrantes de su grupo empresarial</w:t>
      </w:r>
      <w:r>
        <w:rPr>
          <w:rFonts w:ascii="Arial" w:hAnsi="Arial" w:cs="Arial"/>
          <w:sz w:val="22"/>
        </w:rPr>
        <w:t>, la definición de requisitos de experiencia adicional, etc</w:t>
      </w:r>
      <w:r w:rsidRPr="00196BCD">
        <w:rPr>
          <w:rFonts w:ascii="Arial" w:hAnsi="Arial" w:cs="Arial"/>
          <w:sz w:val="22"/>
        </w:rPr>
        <w:t>.</w:t>
      </w:r>
      <w:r w:rsidR="00357187">
        <w:rPr>
          <w:rFonts w:ascii="Arial" w:hAnsi="Arial" w:cs="Arial"/>
          <w:sz w:val="22"/>
        </w:rPr>
        <w:t xml:space="preserve"> </w:t>
      </w:r>
      <w:r w:rsidR="00304FEE">
        <w:rPr>
          <w:rFonts w:ascii="Arial" w:hAnsi="Arial" w:cs="Arial"/>
          <w:sz w:val="22"/>
        </w:rPr>
        <w:t xml:space="preserve">En esta medida, como explica la guía para la implementación de los documentos tipo, </w:t>
      </w:r>
      <w:r w:rsidR="00357187">
        <w:rPr>
          <w:rFonts w:ascii="Arial" w:hAnsi="Arial" w:cs="Arial"/>
          <w:sz w:val="22"/>
        </w:rPr>
        <w:t xml:space="preserve">su utilización «[…] </w:t>
      </w:r>
      <w:r w:rsidR="00357187" w:rsidRPr="00817633">
        <w:rPr>
          <w:rFonts w:ascii="Arial" w:hAnsi="Arial" w:cs="Arial"/>
          <w:sz w:val="22"/>
        </w:rPr>
        <w:t xml:space="preserve">no exime la labor previa de planeación que debe realizar cada una de </w:t>
      </w:r>
      <w:r w:rsidR="00357187" w:rsidRPr="00817633">
        <w:rPr>
          <w:rFonts w:ascii="Arial" w:hAnsi="Arial" w:cs="Arial"/>
          <w:sz w:val="22"/>
        </w:rPr>
        <w:lastRenderedPageBreak/>
        <w:t>las entidades estatales, como es la realización de los estudios y documentos previos</w:t>
      </w:r>
      <w:r w:rsidR="00357187" w:rsidRPr="00357187">
        <w:rPr>
          <w:rFonts w:ascii="Arial" w:hAnsi="Arial" w:cs="Arial"/>
          <w:sz w:val="22"/>
        </w:rPr>
        <w:t>, análisis de las condiciones económicas del sector y el análisis, tipificación y asignación de riesgos</w:t>
      </w:r>
      <w:r w:rsidR="002263DD">
        <w:rPr>
          <w:rFonts w:ascii="Arial" w:hAnsi="Arial" w:cs="Arial"/>
          <w:sz w:val="22"/>
        </w:rPr>
        <w:t xml:space="preserve"> […]».</w:t>
      </w:r>
    </w:p>
    <w:p w14:paraId="42FC7E3E" w14:textId="77777777" w:rsidR="00A131F8" w:rsidRPr="00A131F8" w:rsidRDefault="00A131F8" w:rsidP="00EF2942">
      <w:pPr>
        <w:spacing w:line="276" w:lineRule="auto"/>
        <w:jc w:val="both"/>
        <w:rPr>
          <w:rFonts w:ascii="Arial" w:eastAsia="Calibri" w:hAnsi="Arial" w:cs="Arial"/>
          <w:b/>
          <w:bCs/>
          <w:sz w:val="22"/>
        </w:rPr>
      </w:pPr>
    </w:p>
    <w:p w14:paraId="5071167E" w14:textId="77777777" w:rsidR="008A6AA1" w:rsidRPr="004A0905" w:rsidRDefault="008A6AA1" w:rsidP="008A6AA1">
      <w:pPr>
        <w:tabs>
          <w:tab w:val="left" w:pos="0"/>
        </w:tabs>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3. Respuestas</w:t>
      </w:r>
    </w:p>
    <w:p w14:paraId="1D78D111" w14:textId="77777777" w:rsidR="008A6AA1" w:rsidRPr="004A0905" w:rsidRDefault="008A6AA1" w:rsidP="0078356A">
      <w:pPr>
        <w:tabs>
          <w:tab w:val="left" w:pos="0"/>
        </w:tabs>
        <w:spacing w:line="276" w:lineRule="auto"/>
        <w:jc w:val="both"/>
        <w:rPr>
          <w:rFonts w:ascii="Arial" w:eastAsia="Calibri" w:hAnsi="Arial" w:cs="Arial"/>
          <w:color w:val="000000" w:themeColor="text1"/>
          <w:sz w:val="22"/>
          <w:lang w:val="es-ES_tradnl"/>
        </w:rPr>
      </w:pPr>
    </w:p>
    <w:p w14:paraId="7E158FEC" w14:textId="77777777" w:rsidR="00DC1E08" w:rsidRDefault="00DC1E08" w:rsidP="0078356A">
      <w:pPr>
        <w:spacing w:after="120"/>
        <w:ind w:left="709" w:right="709"/>
        <w:jc w:val="both"/>
        <w:rPr>
          <w:rFonts w:ascii="Arial" w:hAnsi="Arial" w:cs="Arial"/>
          <w:color w:val="000000" w:themeColor="text1"/>
          <w:sz w:val="21"/>
          <w:szCs w:val="21"/>
          <w:lang w:val="es-ES_tradnl"/>
        </w:rPr>
      </w:pPr>
      <w:r w:rsidRPr="00DC1E08">
        <w:rPr>
          <w:rFonts w:ascii="Arial" w:hAnsi="Arial" w:cs="Arial"/>
          <w:color w:val="000000" w:themeColor="text1"/>
          <w:sz w:val="21"/>
          <w:szCs w:val="21"/>
          <w:lang w:val="es-ES_tradnl"/>
        </w:rPr>
        <w:t>i) «¿Cuándo una entidad territorial hace uso de los Pliegos Tipos en proyectos de infraestructura debe publicar el análisis del sector?»</w:t>
      </w:r>
      <w:r>
        <w:rPr>
          <w:rFonts w:ascii="Arial" w:hAnsi="Arial" w:cs="Arial"/>
          <w:color w:val="000000" w:themeColor="text1"/>
          <w:sz w:val="21"/>
          <w:szCs w:val="21"/>
          <w:lang w:val="es-ES_tradnl"/>
        </w:rPr>
        <w:t>.</w:t>
      </w:r>
    </w:p>
    <w:p w14:paraId="48C287A0" w14:textId="032796B0" w:rsidR="00CA6B20" w:rsidRDefault="00DC1E08" w:rsidP="00CA6B20">
      <w:pPr>
        <w:ind w:left="709" w:right="709"/>
        <w:jc w:val="both"/>
        <w:rPr>
          <w:rFonts w:ascii="Arial" w:hAnsi="Arial" w:cs="Arial"/>
          <w:color w:val="000000" w:themeColor="text1"/>
          <w:sz w:val="21"/>
          <w:szCs w:val="21"/>
          <w:lang w:val="es-ES_tradnl"/>
        </w:rPr>
      </w:pPr>
      <w:r w:rsidRPr="00DC1E08">
        <w:rPr>
          <w:rFonts w:ascii="Arial" w:hAnsi="Arial" w:cs="Arial"/>
          <w:color w:val="000000" w:themeColor="text1"/>
          <w:sz w:val="21"/>
          <w:szCs w:val="21"/>
          <w:lang w:val="es-ES_tradnl"/>
        </w:rPr>
        <w:t>ii) «¿Es necesario elaborar análisis del sector para licitaciones públicas cuando se utilizan pliegos tipo?»</w:t>
      </w:r>
      <w:r>
        <w:rPr>
          <w:rFonts w:ascii="Arial" w:hAnsi="Arial" w:cs="Arial"/>
          <w:color w:val="000000" w:themeColor="text1"/>
          <w:sz w:val="21"/>
          <w:szCs w:val="21"/>
          <w:lang w:val="es-ES_tradnl"/>
        </w:rPr>
        <w:t>.</w:t>
      </w:r>
    </w:p>
    <w:p w14:paraId="64BB960C" w14:textId="77777777" w:rsidR="00D025AF" w:rsidRPr="0078356A" w:rsidRDefault="00D025AF" w:rsidP="0078356A">
      <w:pPr>
        <w:spacing w:line="276" w:lineRule="auto"/>
        <w:ind w:right="709"/>
        <w:jc w:val="both"/>
        <w:rPr>
          <w:rFonts w:ascii="Arial" w:hAnsi="Arial" w:cs="Arial"/>
          <w:color w:val="000000" w:themeColor="text1"/>
          <w:sz w:val="22"/>
          <w:szCs w:val="22"/>
          <w:lang w:val="es-ES_tradnl"/>
        </w:rPr>
      </w:pPr>
    </w:p>
    <w:p w14:paraId="1A1E0F3D" w14:textId="20CC8940" w:rsidR="007234B4" w:rsidRDefault="00460DA4" w:rsidP="00460DA4">
      <w:pPr>
        <w:spacing w:after="120" w:line="276" w:lineRule="auto"/>
        <w:jc w:val="both"/>
        <w:rPr>
          <w:rFonts w:ascii="Arial" w:hAnsi="Arial" w:cs="Arial"/>
          <w:sz w:val="22"/>
        </w:rPr>
      </w:pPr>
      <w:r>
        <w:rPr>
          <w:rFonts w:ascii="Arial" w:hAnsi="Arial" w:cs="Arial"/>
          <w:sz w:val="22"/>
        </w:rPr>
        <w:t>L</w:t>
      </w:r>
      <w:r w:rsidRPr="00196BCD">
        <w:rPr>
          <w:rFonts w:ascii="Arial" w:hAnsi="Arial" w:cs="Arial"/>
          <w:sz w:val="22"/>
        </w:rPr>
        <w:t>a información producto de</w:t>
      </w:r>
      <w:r>
        <w:rPr>
          <w:rFonts w:ascii="Arial" w:hAnsi="Arial" w:cs="Arial"/>
          <w:sz w:val="22"/>
        </w:rPr>
        <w:t xml:space="preserve">l </w:t>
      </w:r>
      <w:r w:rsidRPr="00196BCD">
        <w:rPr>
          <w:rFonts w:ascii="Arial" w:hAnsi="Arial" w:cs="Arial"/>
          <w:sz w:val="22"/>
        </w:rPr>
        <w:t>análisis</w:t>
      </w:r>
      <w:r>
        <w:rPr>
          <w:rFonts w:ascii="Arial" w:hAnsi="Arial" w:cs="Arial"/>
          <w:sz w:val="22"/>
        </w:rPr>
        <w:t xml:space="preserve"> del sector</w:t>
      </w:r>
      <w:r w:rsidRPr="00196BCD">
        <w:rPr>
          <w:rFonts w:ascii="Arial" w:hAnsi="Arial" w:cs="Arial"/>
          <w:sz w:val="22"/>
        </w:rPr>
        <w:t>, si bien no s</w:t>
      </w:r>
      <w:r>
        <w:rPr>
          <w:rFonts w:ascii="Arial" w:hAnsi="Arial" w:cs="Arial"/>
          <w:sz w:val="22"/>
        </w:rPr>
        <w:t>irve</w:t>
      </w:r>
      <w:r w:rsidRPr="00196BCD">
        <w:rPr>
          <w:rFonts w:ascii="Arial" w:hAnsi="Arial" w:cs="Arial"/>
          <w:sz w:val="22"/>
        </w:rPr>
        <w:t xml:space="preserve"> a las entidades para determinar los requisitos habilitantes e índices financieros con el margen de discrecionalidad que les compete en procesos en los que no se apliquen documento</w:t>
      </w:r>
      <w:r>
        <w:rPr>
          <w:rFonts w:ascii="Arial" w:hAnsi="Arial" w:cs="Arial"/>
          <w:sz w:val="22"/>
        </w:rPr>
        <w:t>s</w:t>
      </w:r>
      <w:r w:rsidRPr="00196BCD">
        <w:rPr>
          <w:rFonts w:ascii="Arial" w:hAnsi="Arial" w:cs="Arial"/>
          <w:sz w:val="22"/>
        </w:rPr>
        <w:t xml:space="preserve"> tipo, </w:t>
      </w:r>
      <w:r>
        <w:rPr>
          <w:rFonts w:ascii="Arial" w:hAnsi="Arial" w:cs="Arial"/>
          <w:sz w:val="22"/>
        </w:rPr>
        <w:t>permite –entre otros aspectos–</w:t>
      </w:r>
      <w:r w:rsidRPr="00196BCD">
        <w:rPr>
          <w:rFonts w:ascii="Arial" w:hAnsi="Arial" w:cs="Arial"/>
          <w:sz w:val="22"/>
        </w:rPr>
        <w:t xml:space="preserve"> tener un antecedente del compromiso presupuestal que involucra el contrato, realizar el análisis de los riesgos, determinar si una oferta contiene precios artificialmente bajos, sustentar la escogencia de los factores de calidad, determinar la posibilidad de que en un proceso los proponentes acrediten la experiencia de los integrantes de su grupo empresarial</w:t>
      </w:r>
      <w:r>
        <w:rPr>
          <w:rFonts w:ascii="Arial" w:hAnsi="Arial" w:cs="Arial"/>
          <w:sz w:val="22"/>
        </w:rPr>
        <w:t>, la definición de requisitos de experiencia adicional, etc</w:t>
      </w:r>
      <w:r w:rsidRPr="00196BCD">
        <w:rPr>
          <w:rFonts w:ascii="Arial" w:hAnsi="Arial" w:cs="Arial"/>
          <w:sz w:val="22"/>
        </w:rPr>
        <w:t>.</w:t>
      </w:r>
      <w:r>
        <w:rPr>
          <w:rFonts w:ascii="Arial" w:hAnsi="Arial" w:cs="Arial"/>
          <w:sz w:val="22"/>
        </w:rPr>
        <w:t xml:space="preserve"> </w:t>
      </w:r>
    </w:p>
    <w:p w14:paraId="0FE7C4F4" w14:textId="7E03510D" w:rsidR="000F61EB" w:rsidRDefault="00460DA4" w:rsidP="0078356A">
      <w:pPr>
        <w:spacing w:line="276" w:lineRule="auto"/>
        <w:ind w:firstLine="708"/>
        <w:jc w:val="both"/>
        <w:rPr>
          <w:rFonts w:ascii="Arial" w:hAnsi="Arial" w:cs="Arial"/>
          <w:sz w:val="22"/>
        </w:rPr>
      </w:pPr>
      <w:r>
        <w:rPr>
          <w:rFonts w:ascii="Arial" w:hAnsi="Arial" w:cs="Arial"/>
          <w:sz w:val="22"/>
        </w:rPr>
        <w:t xml:space="preserve">En esta medida, como explica la guía para la implementación de los documentos tipo, su utilización «[…] </w:t>
      </w:r>
      <w:r w:rsidRPr="00422622">
        <w:rPr>
          <w:rFonts w:ascii="Arial" w:hAnsi="Arial" w:cs="Arial"/>
          <w:sz w:val="22"/>
        </w:rPr>
        <w:t>no exime la labor previa de planeación que debe realizar cada una de las entidades estatales, como es la realización de los estudios y documentos previos</w:t>
      </w:r>
      <w:r w:rsidRPr="00357187">
        <w:rPr>
          <w:rFonts w:ascii="Arial" w:hAnsi="Arial" w:cs="Arial"/>
          <w:sz w:val="22"/>
        </w:rPr>
        <w:t>, análisis de las condiciones económicas del sector y el análisis, tipificación y asignación de riesgos</w:t>
      </w:r>
      <w:r>
        <w:rPr>
          <w:rFonts w:ascii="Arial" w:hAnsi="Arial" w:cs="Arial"/>
          <w:sz w:val="22"/>
        </w:rPr>
        <w:t xml:space="preserve"> […]».</w:t>
      </w:r>
      <w:r w:rsidR="007234B4">
        <w:rPr>
          <w:rFonts w:ascii="Arial" w:hAnsi="Arial" w:cs="Arial"/>
          <w:sz w:val="22"/>
        </w:rPr>
        <w:t xml:space="preserve"> </w:t>
      </w:r>
      <w:r w:rsidR="00864639">
        <w:rPr>
          <w:rFonts w:ascii="Arial" w:hAnsi="Arial" w:cs="Arial"/>
          <w:sz w:val="22"/>
        </w:rPr>
        <w:t>D</w:t>
      </w:r>
      <w:r w:rsidR="007F2598">
        <w:rPr>
          <w:rFonts w:ascii="Arial" w:hAnsi="Arial" w:cs="Arial"/>
          <w:sz w:val="22"/>
        </w:rPr>
        <w:t xml:space="preserve">e conformidad </w:t>
      </w:r>
      <w:r w:rsidR="00A435DD">
        <w:rPr>
          <w:rFonts w:ascii="Arial" w:hAnsi="Arial" w:cs="Arial"/>
          <w:sz w:val="22"/>
        </w:rPr>
        <w:t xml:space="preserve">con </w:t>
      </w:r>
      <w:r w:rsidR="007F2598">
        <w:rPr>
          <w:rFonts w:ascii="Arial" w:hAnsi="Arial" w:cs="Arial"/>
          <w:sz w:val="22"/>
        </w:rPr>
        <w:t>la parte introductoria del pliego de condiciones adoptado mediante la</w:t>
      </w:r>
      <w:r w:rsidR="00552DBC">
        <w:rPr>
          <w:rFonts w:ascii="Arial" w:hAnsi="Arial" w:cs="Arial"/>
          <w:sz w:val="22"/>
        </w:rPr>
        <w:t xml:space="preserve"> </w:t>
      </w:r>
      <w:r w:rsidR="00552DBC" w:rsidRPr="00F73604">
        <w:rPr>
          <w:rFonts w:ascii="Arial" w:hAnsi="Arial" w:cs="Arial"/>
          <w:sz w:val="22"/>
        </w:rPr>
        <w:t>Resolución No. 240 de 2020</w:t>
      </w:r>
      <w:r w:rsidR="007F2598">
        <w:rPr>
          <w:rFonts w:ascii="Arial" w:hAnsi="Arial" w:cs="Arial"/>
          <w:sz w:val="22"/>
          <w:lang w:val="es-ES"/>
        </w:rPr>
        <w:t>,</w:t>
      </w:r>
      <w:r w:rsidR="007F2598">
        <w:rPr>
          <w:rFonts w:ascii="Arial" w:hAnsi="Arial" w:cs="Arial"/>
          <w:sz w:val="22"/>
        </w:rPr>
        <w:t xml:space="preserve"> </w:t>
      </w:r>
      <w:r w:rsidR="007F2598" w:rsidRPr="00183CA4">
        <w:rPr>
          <w:rFonts w:ascii="Arial" w:hAnsi="Arial" w:cs="Arial"/>
          <w:sz w:val="22"/>
        </w:rPr>
        <w:t>«</w:t>
      </w:r>
      <w:r w:rsidR="007F2598">
        <w:rPr>
          <w:rFonts w:ascii="Arial" w:hAnsi="Arial" w:cs="Arial"/>
          <w:sz w:val="22"/>
        </w:rPr>
        <w:t>l</w:t>
      </w:r>
      <w:r w:rsidR="007F2598" w:rsidRPr="007A739F">
        <w:rPr>
          <w:rFonts w:ascii="Arial" w:hAnsi="Arial" w:cs="Arial"/>
          <w:sz w:val="22"/>
        </w:rPr>
        <w:t xml:space="preserve">os documentos del proceso que incluyen los estudios y documentos previos, el estudio de sector, así como cualquiera de sus anexos, están a disposición del público en el Sistema Electrónico </w:t>
      </w:r>
      <w:r w:rsidR="007F2598">
        <w:rPr>
          <w:rFonts w:ascii="Arial" w:hAnsi="Arial" w:cs="Arial"/>
          <w:sz w:val="22"/>
        </w:rPr>
        <w:t>de Contratación Pública –SECOP–</w:t>
      </w:r>
      <w:r w:rsidR="007F2598" w:rsidRPr="00183CA4">
        <w:rPr>
          <w:rFonts w:ascii="Arial" w:hAnsi="Arial" w:cs="Arial"/>
          <w:sz w:val="22"/>
        </w:rPr>
        <w:t>»</w:t>
      </w:r>
      <w:r w:rsidR="00552DBC">
        <w:rPr>
          <w:rFonts w:ascii="Arial" w:hAnsi="Arial" w:cs="Arial"/>
          <w:sz w:val="22"/>
        </w:rPr>
        <w:t xml:space="preserve">. Por tanto, </w:t>
      </w:r>
      <w:r w:rsidR="007F2598">
        <w:rPr>
          <w:rFonts w:ascii="Arial" w:hAnsi="Arial" w:cs="Arial"/>
          <w:sz w:val="22"/>
        </w:rPr>
        <w:t xml:space="preserve">las entidades </w:t>
      </w:r>
      <w:r w:rsidR="00552DBC">
        <w:rPr>
          <w:rFonts w:ascii="Arial" w:hAnsi="Arial" w:cs="Arial"/>
          <w:sz w:val="22"/>
        </w:rPr>
        <w:t>obligadas a aplicar los documentos tipo</w:t>
      </w:r>
      <w:r w:rsidR="007F2598">
        <w:rPr>
          <w:rFonts w:ascii="Arial" w:hAnsi="Arial" w:cs="Arial"/>
          <w:sz w:val="22"/>
        </w:rPr>
        <w:t xml:space="preserve"> también </w:t>
      </w:r>
      <w:r w:rsidR="008A61A8">
        <w:rPr>
          <w:rFonts w:ascii="Arial" w:hAnsi="Arial" w:cs="Arial"/>
          <w:sz w:val="22"/>
        </w:rPr>
        <w:t>deben publicar</w:t>
      </w:r>
      <w:r w:rsidR="00F810B5">
        <w:rPr>
          <w:rFonts w:ascii="Arial" w:hAnsi="Arial" w:cs="Arial"/>
          <w:sz w:val="22"/>
        </w:rPr>
        <w:t>los</w:t>
      </w:r>
      <w:r w:rsidR="007F2598">
        <w:rPr>
          <w:rFonts w:ascii="Arial" w:hAnsi="Arial" w:cs="Arial"/>
          <w:sz w:val="22"/>
        </w:rPr>
        <w:t>.</w:t>
      </w:r>
    </w:p>
    <w:p w14:paraId="1C5EE01C" w14:textId="77777777" w:rsidR="005F6857" w:rsidRDefault="005F6857" w:rsidP="00CA6B20">
      <w:pPr>
        <w:ind w:left="709" w:right="709"/>
        <w:jc w:val="both"/>
        <w:rPr>
          <w:rFonts w:ascii="Arial" w:hAnsi="Arial" w:cs="Arial"/>
          <w:color w:val="000000" w:themeColor="text1"/>
          <w:sz w:val="21"/>
          <w:szCs w:val="21"/>
          <w:lang w:val="es-ES_tradnl"/>
        </w:rPr>
      </w:pPr>
    </w:p>
    <w:p w14:paraId="69D9E5B5" w14:textId="74B282A1" w:rsidR="00CA6B20" w:rsidRDefault="00A70F78" w:rsidP="00CA6B2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iii) «</w:t>
      </w:r>
      <w:r w:rsidR="00CA6B20">
        <w:rPr>
          <w:rFonts w:ascii="Arial" w:hAnsi="Arial" w:cs="Arial"/>
          <w:color w:val="000000" w:themeColor="text1"/>
          <w:sz w:val="21"/>
          <w:szCs w:val="21"/>
          <w:lang w:val="es-ES_tradnl"/>
        </w:rPr>
        <w:t>¿Puede una entidad territorial hacer uso de los pliegos tipo para una interventoría de proyectos diferentes a la de infraestructura?</w:t>
      </w:r>
      <w:r>
        <w:rPr>
          <w:rFonts w:ascii="Arial" w:hAnsi="Arial" w:cs="Arial"/>
          <w:color w:val="000000" w:themeColor="text1"/>
          <w:sz w:val="21"/>
          <w:szCs w:val="21"/>
          <w:lang w:val="es-ES_tradnl"/>
        </w:rPr>
        <w:t>».</w:t>
      </w:r>
    </w:p>
    <w:p w14:paraId="47A621F9" w14:textId="77777777" w:rsidR="00D025AF" w:rsidRPr="0078356A" w:rsidRDefault="00D025AF" w:rsidP="0078356A">
      <w:pPr>
        <w:spacing w:line="276" w:lineRule="auto"/>
        <w:ind w:right="709"/>
        <w:jc w:val="both"/>
        <w:rPr>
          <w:rFonts w:ascii="Arial" w:hAnsi="Arial" w:cs="Arial"/>
          <w:color w:val="000000" w:themeColor="text1"/>
          <w:sz w:val="22"/>
          <w:szCs w:val="22"/>
          <w:lang w:val="es-ES_tradnl"/>
        </w:rPr>
      </w:pPr>
    </w:p>
    <w:p w14:paraId="02336F09" w14:textId="6C7B0466" w:rsidR="00571C94" w:rsidRDefault="00BF6AD7" w:rsidP="0078356A">
      <w:pPr>
        <w:spacing w:line="276" w:lineRule="auto"/>
        <w:jc w:val="both"/>
        <w:rPr>
          <w:rFonts w:ascii="Arial" w:eastAsia="Calibri" w:hAnsi="Arial" w:cs="Arial"/>
          <w:sz w:val="22"/>
          <w:lang w:val="es-ES_tradnl"/>
        </w:rPr>
      </w:pPr>
      <w:r>
        <w:rPr>
          <w:rFonts w:ascii="Arial" w:hAnsi="Arial" w:cs="Arial"/>
          <w:color w:val="0D0D0D"/>
          <w:sz w:val="22"/>
          <w:bdr w:val="none" w:sz="0" w:space="0" w:color="auto" w:frame="1"/>
          <w:lang w:eastAsia="es-CO"/>
        </w:rPr>
        <w:t>Conforme a lo explicado en este concepto</w:t>
      </w:r>
      <w:r w:rsidR="00571C94">
        <w:rPr>
          <w:rFonts w:ascii="Arial" w:eastAsia="Calibri" w:hAnsi="Arial" w:cs="Arial"/>
          <w:sz w:val="22"/>
          <w:lang w:val="es-ES_tradnl"/>
        </w:rPr>
        <w:t>,</w:t>
      </w:r>
      <w:r>
        <w:rPr>
          <w:rFonts w:ascii="Arial" w:eastAsia="Calibri" w:hAnsi="Arial" w:cs="Arial"/>
          <w:sz w:val="22"/>
          <w:lang w:val="es-ES_tradnl"/>
        </w:rPr>
        <w:t xml:space="preserve"> s</w:t>
      </w:r>
      <w:r w:rsidRPr="00BF6AD7">
        <w:rPr>
          <w:rFonts w:ascii="Arial" w:eastAsia="Calibri" w:hAnsi="Arial" w:cs="Arial"/>
          <w:sz w:val="22"/>
          <w:lang w:val="es-ES_tradnl"/>
        </w:rPr>
        <w:t xml:space="preserve">iempre que el objeto esté relacionado con alguna de las actividades mencionadas </w:t>
      </w:r>
      <w:r w:rsidR="006F0AB2">
        <w:rPr>
          <w:rFonts w:ascii="Arial" w:eastAsia="Calibri" w:hAnsi="Arial" w:cs="Arial"/>
          <w:sz w:val="22"/>
          <w:lang w:val="es-ES_tradnl"/>
        </w:rPr>
        <w:t>en la «Matriz 1 – Experiencia»,</w:t>
      </w:r>
      <w:r w:rsidR="00571C94">
        <w:rPr>
          <w:rFonts w:ascii="Arial" w:eastAsia="Calibri" w:hAnsi="Arial" w:cs="Arial"/>
          <w:sz w:val="22"/>
          <w:lang w:val="es-ES_tradnl"/>
        </w:rPr>
        <w:t xml:space="preserve"> los documentos tipo adoptados mediante la </w:t>
      </w:r>
      <w:r w:rsidR="00571C94" w:rsidRPr="00710989">
        <w:rPr>
          <w:rFonts w:ascii="Arial" w:hAnsi="Arial" w:cs="Arial"/>
          <w:color w:val="0D0D0D"/>
          <w:sz w:val="22"/>
          <w:bdr w:val="none" w:sz="0" w:space="0" w:color="auto" w:frame="1"/>
          <w:lang w:eastAsia="es-CO"/>
        </w:rPr>
        <w:t>Resolución 256 de</w:t>
      </w:r>
      <w:r w:rsidR="00571C94">
        <w:rPr>
          <w:rFonts w:ascii="Arial" w:hAnsi="Arial" w:cs="Arial"/>
          <w:color w:val="0D0D0D"/>
          <w:sz w:val="22"/>
          <w:bdr w:val="none" w:sz="0" w:space="0" w:color="auto" w:frame="1"/>
          <w:lang w:eastAsia="es-CO"/>
        </w:rPr>
        <w:t>l 11 de diciembre de</w:t>
      </w:r>
      <w:r w:rsidR="00571C94" w:rsidRPr="00710989">
        <w:rPr>
          <w:rFonts w:ascii="Arial" w:hAnsi="Arial" w:cs="Arial"/>
          <w:color w:val="0D0D0D"/>
          <w:sz w:val="22"/>
          <w:bdr w:val="none" w:sz="0" w:space="0" w:color="auto" w:frame="1"/>
          <w:lang w:eastAsia="es-CO"/>
        </w:rPr>
        <w:t xml:space="preserve"> 2020</w:t>
      </w:r>
      <w:r w:rsidR="00571C94">
        <w:rPr>
          <w:rFonts w:ascii="Arial" w:hAnsi="Arial" w:cs="Arial"/>
          <w:color w:val="0D0D0D"/>
          <w:sz w:val="22"/>
          <w:bdr w:val="none" w:sz="0" w:space="0" w:color="auto" w:frame="1"/>
          <w:lang w:eastAsia="es-CO"/>
        </w:rPr>
        <w:t xml:space="preserve"> son</w:t>
      </w:r>
      <w:r w:rsidR="00571C94">
        <w:rPr>
          <w:rFonts w:ascii="Arial" w:eastAsia="Calibri" w:hAnsi="Arial" w:cs="Arial"/>
          <w:sz w:val="22"/>
          <w:lang w:val="es-ES_tradnl"/>
        </w:rPr>
        <w:t xml:space="preserve"> obligatorios para las entidades sometidas a la Ley 80 de 1993 que contraten la interventoría de obras públicas de infraestructura de transporte a través de concurso de méritos. Por lo tanto, para la interventoría de obras distintas a las de infraestructura de transporte no existe obligación </w:t>
      </w:r>
      <w:r w:rsidR="00571C94">
        <w:rPr>
          <w:rFonts w:ascii="Arial" w:eastAsia="Calibri" w:hAnsi="Arial" w:cs="Arial"/>
          <w:sz w:val="22"/>
          <w:lang w:val="es-ES_tradnl"/>
        </w:rPr>
        <w:lastRenderedPageBreak/>
        <w:t xml:space="preserve">de aplicar los documentos tipo mencionados, sin perjuicio de que puedan utilizarse como un parámetro de buena práctica contractual en el sistema de compras públicas. </w:t>
      </w:r>
    </w:p>
    <w:p w14:paraId="7B46FA0F" w14:textId="77777777" w:rsidR="00D025AF" w:rsidRDefault="00D025AF" w:rsidP="0078356A">
      <w:pPr>
        <w:spacing w:line="276" w:lineRule="auto"/>
        <w:ind w:right="709"/>
        <w:jc w:val="both"/>
        <w:rPr>
          <w:rFonts w:ascii="Arial" w:hAnsi="Arial" w:cs="Arial"/>
          <w:color w:val="000000" w:themeColor="text1"/>
          <w:sz w:val="21"/>
          <w:szCs w:val="21"/>
          <w:lang w:val="es-ES_tradnl"/>
        </w:rPr>
      </w:pPr>
    </w:p>
    <w:p w14:paraId="0371A4C4" w14:textId="77777777" w:rsidR="008570F2" w:rsidRDefault="008570F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iv) «¿Qué suerte tiene un proceso licitatorio cuando se han modificado los criterios no modificables de los pliegos tipo?».</w:t>
      </w:r>
    </w:p>
    <w:p w14:paraId="674E2FC3" w14:textId="669EAE7C" w:rsidR="00CA6B20" w:rsidRDefault="00CA6B20" w:rsidP="0078356A">
      <w:pPr>
        <w:spacing w:line="276" w:lineRule="auto"/>
        <w:ind w:left="709" w:right="709"/>
        <w:jc w:val="both"/>
        <w:rPr>
          <w:rFonts w:ascii="Arial" w:hAnsi="Arial" w:cs="Arial"/>
          <w:color w:val="000000" w:themeColor="text1"/>
          <w:sz w:val="21"/>
          <w:szCs w:val="21"/>
          <w:lang w:val="es-ES_tradnl"/>
        </w:rPr>
      </w:pPr>
    </w:p>
    <w:p w14:paraId="0550F20B" w14:textId="2B0F54E2" w:rsidR="009A3F05" w:rsidRDefault="009A3F05" w:rsidP="009A3F05">
      <w:pPr>
        <w:tabs>
          <w:tab w:val="left" w:pos="709"/>
        </w:tabs>
        <w:spacing w:after="120" w:line="276" w:lineRule="auto"/>
        <w:jc w:val="both"/>
        <w:rPr>
          <w:rFonts w:ascii="Arial" w:eastAsia="Calibri" w:hAnsi="Arial" w:cs="Arial"/>
          <w:bCs/>
          <w:sz w:val="22"/>
          <w:szCs w:val="22"/>
          <w:lang w:val="es-ES" w:eastAsia="en-US"/>
        </w:rPr>
      </w:pPr>
      <w:r>
        <w:rPr>
          <w:rFonts w:ascii="Arial" w:eastAsia="Calibri" w:hAnsi="Arial" w:cs="Arial"/>
          <w:bCs/>
          <w:sz w:val="22"/>
          <w:szCs w:val="22"/>
          <w:lang w:val="es-ES" w:eastAsia="en-US"/>
        </w:rPr>
        <w:t xml:space="preserve">Conforme a </w:t>
      </w:r>
      <w:r w:rsidRPr="00B43DF7">
        <w:rPr>
          <w:rFonts w:ascii="Arial" w:eastAsia="Calibri" w:hAnsi="Arial" w:cs="Arial"/>
          <w:bCs/>
          <w:sz w:val="22"/>
          <w:szCs w:val="22"/>
          <w:lang w:val="es-ES" w:eastAsia="en-US"/>
        </w:rPr>
        <w:t>la «Guía para la comprensión e implementación de los Documentos Tipo de obra pública de infraestructura de transporte bajo las diferentes modalidades de contratación vigentes»</w:t>
      </w:r>
      <w:r>
        <w:rPr>
          <w:rFonts w:ascii="Arial" w:eastAsia="Calibri" w:hAnsi="Arial" w:cs="Arial"/>
          <w:bCs/>
          <w:sz w:val="22"/>
          <w:szCs w:val="22"/>
          <w:lang w:val="es-ES" w:eastAsia="en-US"/>
        </w:rPr>
        <w:t xml:space="preserve">, los interesados en el proceso de selección deben denunciar ante las autoridades competentes las irregularidades que se presenten con la aplicación de los documentos tipo. Esto aplica a las modificaciones del documento base, los anexos, los formatos, las matrices y los formularios, en los cuales la entidad contratante cambie su contenido violando el principio de inalterabilidad explicado </w:t>
      </w:r>
      <w:r w:rsidR="00090528">
        <w:rPr>
          <w:rFonts w:ascii="Arial" w:eastAsia="Calibri" w:hAnsi="Arial" w:cs="Arial"/>
          <w:bCs/>
          <w:sz w:val="22"/>
          <w:szCs w:val="22"/>
          <w:lang w:val="es-ES" w:eastAsia="en-US"/>
        </w:rPr>
        <w:t>en el apartado 2.2 del presente concepto</w:t>
      </w:r>
      <w:r>
        <w:rPr>
          <w:rFonts w:ascii="Arial" w:eastAsia="Calibri" w:hAnsi="Arial" w:cs="Arial"/>
          <w:bCs/>
          <w:sz w:val="22"/>
          <w:szCs w:val="22"/>
          <w:lang w:val="es-ES" w:eastAsia="en-US"/>
        </w:rPr>
        <w:t>.</w:t>
      </w:r>
    </w:p>
    <w:p w14:paraId="0D623863" w14:textId="0638380D" w:rsidR="009A3F05" w:rsidRDefault="009A3F05" w:rsidP="009A3F05">
      <w:pPr>
        <w:tabs>
          <w:tab w:val="left" w:pos="709"/>
        </w:tabs>
        <w:spacing w:after="120" w:line="276" w:lineRule="auto"/>
        <w:jc w:val="both"/>
        <w:rPr>
          <w:rFonts w:ascii="Arial" w:eastAsia="Calibri" w:hAnsi="Arial" w:cs="Arial"/>
          <w:bCs/>
          <w:sz w:val="22"/>
          <w:szCs w:val="22"/>
          <w:lang w:eastAsia="en-US"/>
        </w:rPr>
      </w:pPr>
      <w:r>
        <w:rPr>
          <w:rFonts w:ascii="Arial" w:eastAsia="Calibri" w:hAnsi="Arial" w:cs="Arial"/>
          <w:bCs/>
          <w:sz w:val="22"/>
          <w:szCs w:val="22"/>
          <w:lang w:val="es-ES" w:eastAsia="en-US"/>
        </w:rPr>
        <w:tab/>
        <w:t>Sin perjuicio de las labores de seguimiento d</w:t>
      </w:r>
      <w:r w:rsidRPr="002B067A">
        <w:rPr>
          <w:rFonts w:ascii="Arial" w:eastAsia="Calibri" w:hAnsi="Arial" w:cs="Arial"/>
          <w:bCs/>
          <w:sz w:val="22"/>
          <w:szCs w:val="22"/>
          <w:lang w:val="es-ES" w:eastAsia="en-US"/>
        </w:rPr>
        <w:t xml:space="preserve">el Observatorio Oficial de Contratación Estatal </w:t>
      </w:r>
      <w:r>
        <w:rPr>
          <w:rFonts w:ascii="Arial" w:eastAsia="Calibri" w:hAnsi="Arial" w:cs="Arial"/>
          <w:bCs/>
          <w:sz w:val="22"/>
          <w:szCs w:val="22"/>
          <w:lang w:val="es-ES" w:eastAsia="en-US"/>
        </w:rPr>
        <w:t xml:space="preserve">sobre la adecuada implementación de los documentos tipo, </w:t>
      </w:r>
      <w:r w:rsidRPr="009F488D">
        <w:rPr>
          <w:rFonts w:ascii="Arial" w:eastAsia="Calibri" w:hAnsi="Arial" w:cs="Arial"/>
          <w:bCs/>
          <w:sz w:val="22"/>
          <w:szCs w:val="22"/>
          <w:lang w:eastAsia="en-US"/>
        </w:rPr>
        <w:t>el Decreto Ley 4170 de 2011</w:t>
      </w:r>
      <w:r>
        <w:rPr>
          <w:rFonts w:ascii="Arial" w:eastAsia="Calibri" w:hAnsi="Arial" w:cs="Arial"/>
          <w:bCs/>
          <w:sz w:val="22"/>
          <w:szCs w:val="22"/>
          <w:lang w:eastAsia="en-US"/>
        </w:rPr>
        <w:t>, «</w:t>
      </w:r>
      <w:r w:rsidRPr="009F488D">
        <w:rPr>
          <w:rFonts w:ascii="Arial" w:eastAsia="Calibri" w:hAnsi="Arial" w:cs="Arial"/>
          <w:bCs/>
          <w:sz w:val="22"/>
          <w:szCs w:val="22"/>
          <w:lang w:eastAsia="en-US"/>
        </w:rPr>
        <w:t xml:space="preserve">Por el cual se crea la Agencia Nacional de Contratación Pública </w:t>
      </w:r>
      <w:r>
        <w:rPr>
          <w:rFonts w:ascii="Arial" w:eastAsia="Calibri" w:hAnsi="Arial" w:cs="Arial"/>
          <w:bCs/>
          <w:sz w:val="22"/>
          <w:szCs w:val="22"/>
          <w:lang w:eastAsia="en-US"/>
        </w:rPr>
        <w:t xml:space="preserve">– </w:t>
      </w:r>
      <w:r w:rsidRPr="009F488D">
        <w:rPr>
          <w:rFonts w:ascii="Arial" w:eastAsia="Calibri" w:hAnsi="Arial" w:cs="Arial"/>
          <w:bCs/>
          <w:sz w:val="22"/>
          <w:szCs w:val="22"/>
          <w:lang w:eastAsia="en-US"/>
        </w:rPr>
        <w:t>Colombia Compra Eficiente, se determinan sus objetivos y estructura</w:t>
      </w:r>
      <w:r>
        <w:rPr>
          <w:rFonts w:ascii="Arial" w:eastAsia="Calibri" w:hAnsi="Arial" w:cs="Arial"/>
          <w:bCs/>
          <w:sz w:val="22"/>
          <w:szCs w:val="22"/>
          <w:lang w:eastAsia="en-US"/>
        </w:rPr>
        <w:t>»</w:t>
      </w:r>
      <w:r w:rsidRPr="009F488D">
        <w:rPr>
          <w:rFonts w:ascii="Arial" w:eastAsia="Calibri" w:hAnsi="Arial" w:cs="Arial"/>
          <w:bCs/>
          <w:sz w:val="22"/>
          <w:szCs w:val="22"/>
          <w:lang w:eastAsia="en-US"/>
        </w:rPr>
        <w:t xml:space="preserve">, no </w:t>
      </w:r>
      <w:r>
        <w:rPr>
          <w:rFonts w:ascii="Arial" w:eastAsia="Calibri" w:hAnsi="Arial" w:cs="Arial"/>
          <w:bCs/>
          <w:sz w:val="22"/>
          <w:szCs w:val="22"/>
          <w:lang w:eastAsia="en-US"/>
        </w:rPr>
        <w:t xml:space="preserve">atribuyó a la entidad </w:t>
      </w:r>
      <w:r w:rsidRPr="009F488D">
        <w:rPr>
          <w:rFonts w:ascii="Arial" w:eastAsia="Calibri" w:hAnsi="Arial" w:cs="Arial"/>
          <w:bCs/>
          <w:sz w:val="22"/>
          <w:szCs w:val="22"/>
          <w:lang w:eastAsia="en-US"/>
        </w:rPr>
        <w:t>competencias de control, investigación y seguimiento</w:t>
      </w:r>
      <w:r>
        <w:rPr>
          <w:rFonts w:ascii="Arial" w:eastAsia="Calibri" w:hAnsi="Arial" w:cs="Arial"/>
          <w:bCs/>
          <w:sz w:val="22"/>
          <w:szCs w:val="22"/>
          <w:lang w:eastAsia="en-US"/>
        </w:rPr>
        <w:t xml:space="preserve"> en la aplicación de los documentos tipo. Por ello, la guía explica que la Agencia «[…] </w:t>
      </w:r>
      <w:r w:rsidRPr="000F2666">
        <w:rPr>
          <w:rFonts w:ascii="Arial" w:eastAsia="Calibri" w:hAnsi="Arial" w:cs="Arial"/>
          <w:bCs/>
          <w:sz w:val="22"/>
          <w:szCs w:val="22"/>
          <w:lang w:eastAsia="en-US"/>
        </w:rPr>
        <w:t>no es competente para sancionar el incumplimiento de la normativa,</w:t>
      </w:r>
      <w:r>
        <w:rPr>
          <w:rFonts w:ascii="Arial" w:eastAsia="Calibri" w:hAnsi="Arial" w:cs="Arial"/>
          <w:bCs/>
          <w:sz w:val="22"/>
          <w:szCs w:val="22"/>
          <w:lang w:eastAsia="en-US"/>
        </w:rPr>
        <w:t xml:space="preserve"> </w:t>
      </w:r>
      <w:r w:rsidRPr="000F2666">
        <w:rPr>
          <w:rFonts w:ascii="Arial" w:eastAsia="Calibri" w:hAnsi="Arial" w:cs="Arial"/>
          <w:bCs/>
          <w:sz w:val="22"/>
          <w:szCs w:val="22"/>
          <w:lang w:eastAsia="en-US"/>
        </w:rPr>
        <w:t>y por ello su labor se limita a impartir políticas públicas en temas de contratación estatal y hacer el</w:t>
      </w:r>
      <w:r>
        <w:rPr>
          <w:rFonts w:ascii="Arial" w:eastAsia="Calibri" w:hAnsi="Arial" w:cs="Arial"/>
          <w:bCs/>
          <w:sz w:val="22"/>
          <w:szCs w:val="22"/>
          <w:lang w:eastAsia="en-US"/>
        </w:rPr>
        <w:t xml:space="preserve"> </w:t>
      </w:r>
      <w:r w:rsidRPr="000F2666">
        <w:rPr>
          <w:rFonts w:ascii="Arial" w:eastAsia="Calibri" w:hAnsi="Arial" w:cs="Arial"/>
          <w:bCs/>
          <w:sz w:val="22"/>
          <w:szCs w:val="22"/>
          <w:lang w:eastAsia="en-US"/>
        </w:rPr>
        <w:t>seguimiento estadístico a la implementación de los documentos tipo</w:t>
      </w:r>
      <w:r>
        <w:rPr>
          <w:rFonts w:ascii="Arial" w:eastAsia="Calibri" w:hAnsi="Arial" w:cs="Arial"/>
          <w:bCs/>
          <w:sz w:val="22"/>
          <w:szCs w:val="22"/>
          <w:lang w:eastAsia="en-US"/>
        </w:rPr>
        <w:t>».</w:t>
      </w:r>
    </w:p>
    <w:p w14:paraId="0C19DDC6" w14:textId="2164E3BD" w:rsidR="009A3F05" w:rsidRPr="00422622" w:rsidRDefault="009A3F05" w:rsidP="009A3F05">
      <w:pPr>
        <w:spacing w:line="276" w:lineRule="auto"/>
        <w:ind w:firstLine="708"/>
        <w:jc w:val="both"/>
        <w:rPr>
          <w:rFonts w:ascii="Arial" w:hAnsi="Arial" w:cs="Arial"/>
          <w:color w:val="000000"/>
          <w:sz w:val="22"/>
          <w:shd w:val="clear" w:color="auto" w:fill="FFFFFF"/>
        </w:rPr>
      </w:pPr>
      <w:r>
        <w:rPr>
          <w:rFonts w:ascii="Arial" w:eastAsia="Calibri" w:hAnsi="Arial" w:cs="Arial"/>
          <w:bCs/>
          <w:sz w:val="22"/>
        </w:rPr>
        <w:t xml:space="preserve">Por estas razones, sea que afecten el contrato, el procedimiento de selección o al funcionario encargado de adelantarlo, </w:t>
      </w:r>
      <w:r>
        <w:rPr>
          <w:rStyle w:val="normaltextrun"/>
          <w:rFonts w:ascii="Arial" w:hAnsi="Arial" w:cs="Arial"/>
          <w:color w:val="000000"/>
          <w:sz w:val="22"/>
          <w:shd w:val="clear" w:color="auto" w:fill="FFFFFF"/>
        </w:rPr>
        <w:t xml:space="preserve">Colombia Compra Eficiente carece de atribuciones para determinar las consecuencias jurídicas que produce la violación del principio de inalterabilidad. Esto en la medida que la calificación de posibles vicios de invalidantes o la </w:t>
      </w:r>
      <w:r w:rsidR="004D60DB">
        <w:rPr>
          <w:rStyle w:val="normaltextrun"/>
          <w:rFonts w:ascii="Arial" w:hAnsi="Arial" w:cs="Arial"/>
          <w:color w:val="000000"/>
          <w:sz w:val="22"/>
          <w:shd w:val="clear" w:color="auto" w:fill="FFFFFF"/>
        </w:rPr>
        <w:t>investigación</w:t>
      </w:r>
      <w:r>
        <w:rPr>
          <w:rStyle w:val="normaltextrun"/>
          <w:rFonts w:ascii="Arial" w:hAnsi="Arial" w:cs="Arial"/>
          <w:color w:val="000000"/>
          <w:sz w:val="22"/>
          <w:shd w:val="clear" w:color="auto" w:fill="FFFFFF"/>
        </w:rPr>
        <w:t xml:space="preserve"> de presuntas faltas disciplinarias corresponde a las autoridades judiciales y de control, respectivamente. </w:t>
      </w:r>
    </w:p>
    <w:p w14:paraId="70D3E7DE" w14:textId="077324BE" w:rsidR="00D025AF" w:rsidRPr="0078356A" w:rsidRDefault="00D8597D" w:rsidP="0078356A">
      <w:pPr>
        <w:spacing w:line="276" w:lineRule="auto"/>
        <w:ind w:left="709" w:right="709"/>
        <w:jc w:val="both"/>
        <w:rPr>
          <w:rFonts w:ascii="Arial" w:hAnsi="Arial" w:cs="Arial"/>
          <w:color w:val="000000" w:themeColor="text1"/>
          <w:sz w:val="22"/>
          <w:szCs w:val="22"/>
          <w:lang w:val="es-ES_tradnl"/>
        </w:rPr>
      </w:pPr>
      <w:r w:rsidRPr="006C794C">
        <w:rPr>
          <w:rFonts w:ascii="Arial" w:hAnsi="Arial" w:cs="Arial"/>
          <w:sz w:val="22"/>
        </w:rPr>
        <w:t xml:space="preserve"> </w:t>
      </w:r>
    </w:p>
    <w:p w14:paraId="3D8B31F8" w14:textId="4B02F268" w:rsidR="00CA6B20" w:rsidRPr="004A0905" w:rsidRDefault="00E3537E" w:rsidP="00CA6B2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v) «</w:t>
      </w:r>
      <w:r w:rsidR="00CA6B20">
        <w:rPr>
          <w:rFonts w:ascii="Arial" w:hAnsi="Arial" w:cs="Arial"/>
          <w:color w:val="000000" w:themeColor="text1"/>
          <w:sz w:val="21"/>
          <w:szCs w:val="21"/>
          <w:lang w:val="es-ES_tradnl"/>
        </w:rPr>
        <w:t>¿La modificación de unos de los formatos tipo anexos en el pliego tipo es causal de rechazo?</w:t>
      </w:r>
      <w:r w:rsidR="00CA6B20" w:rsidRPr="004A0905">
        <w:rPr>
          <w:rFonts w:ascii="Arial" w:hAnsi="Arial" w:cs="Arial"/>
          <w:color w:val="000000" w:themeColor="text1"/>
          <w:sz w:val="21"/>
          <w:szCs w:val="21"/>
          <w:lang w:val="es-ES_tradnl"/>
        </w:rPr>
        <w:t>»</w:t>
      </w:r>
      <w:r w:rsidR="00CA6B20">
        <w:rPr>
          <w:rFonts w:ascii="Arial" w:hAnsi="Arial" w:cs="Arial"/>
          <w:color w:val="000000" w:themeColor="text1"/>
          <w:sz w:val="21"/>
          <w:szCs w:val="21"/>
          <w:lang w:val="es-ES_tradnl"/>
        </w:rPr>
        <w:t xml:space="preserve">. </w:t>
      </w:r>
    </w:p>
    <w:p w14:paraId="650C5BE4" w14:textId="77777777" w:rsidR="00D8597D" w:rsidRDefault="00D8597D" w:rsidP="0078356A">
      <w:pPr>
        <w:widowControl w:val="0"/>
        <w:autoSpaceDE w:val="0"/>
        <w:autoSpaceDN w:val="0"/>
        <w:spacing w:line="276" w:lineRule="auto"/>
        <w:jc w:val="both"/>
        <w:rPr>
          <w:rFonts w:ascii="Arial" w:eastAsia="Calibri" w:hAnsi="Arial" w:cs="Arial"/>
          <w:sz w:val="22"/>
          <w:szCs w:val="22"/>
          <w:lang w:val="es-ES" w:eastAsia="es-ES" w:bidi="es-ES"/>
        </w:rPr>
      </w:pPr>
    </w:p>
    <w:p w14:paraId="369FA64C" w14:textId="5D3E930F" w:rsidR="007B5F89" w:rsidRPr="00D2123A" w:rsidRDefault="009A5D54" w:rsidP="0078356A">
      <w:pPr>
        <w:tabs>
          <w:tab w:val="left" w:pos="709"/>
        </w:tabs>
        <w:spacing w:after="120" w:line="276" w:lineRule="auto"/>
        <w:jc w:val="both"/>
        <w:rPr>
          <w:rFonts w:ascii="Arial" w:hAnsi="Arial" w:cs="Arial"/>
          <w:sz w:val="22"/>
        </w:rPr>
      </w:pPr>
      <w:r>
        <w:rPr>
          <w:rFonts w:ascii="Arial" w:hAnsi="Arial" w:cs="Arial"/>
          <w:sz w:val="22"/>
        </w:rPr>
        <w:t>R</w:t>
      </w:r>
      <w:r w:rsidR="007B5F89">
        <w:rPr>
          <w:rFonts w:ascii="Arial" w:hAnsi="Arial" w:cs="Arial"/>
          <w:sz w:val="22"/>
        </w:rPr>
        <w:t>especto a l</w:t>
      </w:r>
      <w:r w:rsidR="007B5F89" w:rsidRPr="009237E7">
        <w:rPr>
          <w:rFonts w:ascii="Arial" w:hAnsi="Arial" w:cs="Arial"/>
          <w:sz w:val="22"/>
        </w:rPr>
        <w:t xml:space="preserve">as causales de rechazo que aplican para los procedimientos de licitación de obra pública de infraestructura de transporte son las establecidas en la </w:t>
      </w:r>
      <w:r w:rsidR="007B5F89">
        <w:rPr>
          <w:rFonts w:ascii="Arial" w:hAnsi="Arial" w:cs="Arial"/>
          <w:sz w:val="22"/>
        </w:rPr>
        <w:t>l</w:t>
      </w:r>
      <w:r w:rsidR="007B5F89" w:rsidRPr="009237E7">
        <w:rPr>
          <w:rFonts w:ascii="Arial" w:hAnsi="Arial" w:cs="Arial"/>
          <w:sz w:val="22"/>
        </w:rPr>
        <w:t xml:space="preserve">ey y las definidas en el numeral 1.15 del </w:t>
      </w:r>
      <w:r w:rsidR="007B5F89" w:rsidRPr="009237E7">
        <w:rPr>
          <w:rFonts w:ascii="Arial" w:hAnsi="Arial" w:cs="Arial"/>
          <w:sz w:val="19"/>
          <w:szCs w:val="19"/>
        </w:rPr>
        <w:t>«</w:t>
      </w:r>
      <w:r w:rsidR="007B5F89" w:rsidRPr="009237E7">
        <w:rPr>
          <w:rFonts w:ascii="Arial" w:hAnsi="Arial" w:cs="Arial"/>
          <w:sz w:val="22"/>
        </w:rPr>
        <w:t>Documento Base</w:t>
      </w:r>
      <w:r w:rsidR="007B5F89" w:rsidRPr="009237E7">
        <w:rPr>
          <w:rFonts w:ascii="Arial" w:hAnsi="Arial" w:cs="Arial"/>
          <w:sz w:val="19"/>
          <w:szCs w:val="19"/>
        </w:rPr>
        <w:t>»</w:t>
      </w:r>
      <w:r w:rsidR="007B5F89" w:rsidRPr="009237E7">
        <w:rPr>
          <w:rFonts w:ascii="Arial" w:hAnsi="Arial" w:cs="Arial"/>
          <w:sz w:val="22"/>
        </w:rPr>
        <w:t>.</w:t>
      </w:r>
      <w:r w:rsidR="007B5F89">
        <w:rPr>
          <w:rFonts w:ascii="Arial" w:hAnsi="Arial" w:cs="Arial"/>
          <w:sz w:val="22"/>
        </w:rPr>
        <w:t xml:space="preserve"> También se rigen por el principio de inalterabilidad en la medi</w:t>
      </w:r>
      <w:r w:rsidR="00222757">
        <w:rPr>
          <w:rFonts w:ascii="Arial" w:hAnsi="Arial" w:cs="Arial"/>
          <w:sz w:val="22"/>
        </w:rPr>
        <w:t>d</w:t>
      </w:r>
      <w:r w:rsidR="007B5F89">
        <w:rPr>
          <w:rFonts w:ascii="Arial" w:hAnsi="Arial" w:cs="Arial"/>
          <w:sz w:val="22"/>
        </w:rPr>
        <w:t>a que «</w:t>
      </w:r>
      <w:r w:rsidR="007B5F89" w:rsidRPr="00885AFD">
        <w:rPr>
          <w:rFonts w:ascii="Arial" w:hAnsi="Arial" w:cs="Arial"/>
          <w:sz w:val="22"/>
        </w:rPr>
        <w:t>Las entidades no podrán incluir causales de rechazo distintas a las señaladas en la presente sección</w:t>
      </w:r>
      <w:r w:rsidR="007B5F89">
        <w:rPr>
          <w:rFonts w:ascii="Arial" w:hAnsi="Arial" w:cs="Arial"/>
          <w:sz w:val="22"/>
        </w:rPr>
        <w:t xml:space="preserve">». Estas </w:t>
      </w:r>
      <w:r w:rsidR="007B5F89" w:rsidRPr="00D348C8">
        <w:rPr>
          <w:rFonts w:ascii="Arial" w:hAnsi="Arial" w:cs="Arial"/>
          <w:sz w:val="22"/>
        </w:rPr>
        <w:t xml:space="preserve">deben emanar directamente de la ley o del pliego de condiciones, pero en uno y en otro caso guardan relación con defectos, omisiones o circunstancias impeditivas que permitan deducir que la misma no resulta </w:t>
      </w:r>
      <w:r w:rsidR="007B5F89" w:rsidRPr="00D348C8">
        <w:rPr>
          <w:rFonts w:ascii="Arial" w:hAnsi="Arial" w:cs="Arial"/>
          <w:sz w:val="22"/>
        </w:rPr>
        <w:lastRenderedPageBreak/>
        <w:t>favorable para los intereses de la entidad, en los términos del inciso 1 del artículo 5 de la Ley 1150 de 2007</w:t>
      </w:r>
      <w:r w:rsidR="007B5F89">
        <w:rPr>
          <w:rFonts w:ascii="Arial" w:hAnsi="Arial" w:cs="Arial"/>
          <w:sz w:val="22"/>
        </w:rPr>
        <w:t>.</w:t>
      </w:r>
      <w:r w:rsidR="007B5F89" w:rsidRPr="000B4E55">
        <w:rPr>
          <w:rFonts w:ascii="Arial" w:hAnsi="Arial" w:cs="Arial"/>
          <w:sz w:val="19"/>
          <w:szCs w:val="19"/>
        </w:rPr>
        <w:t xml:space="preserve"> </w:t>
      </w:r>
    </w:p>
    <w:p w14:paraId="25BB768C" w14:textId="6AB7CB97" w:rsidR="007B5F89" w:rsidRPr="0078356A" w:rsidRDefault="007B5F89" w:rsidP="007B5F89">
      <w:pPr>
        <w:tabs>
          <w:tab w:val="left" w:pos="709"/>
        </w:tabs>
        <w:spacing w:after="120" w:line="276" w:lineRule="auto"/>
        <w:jc w:val="both"/>
        <w:rPr>
          <w:rFonts w:ascii="Arial" w:hAnsi="Arial" w:cs="Arial"/>
          <w:sz w:val="22"/>
        </w:rPr>
      </w:pPr>
      <w:r>
        <w:rPr>
          <w:rFonts w:ascii="Arial" w:hAnsi="Arial" w:cs="Arial"/>
          <w:sz w:val="22"/>
        </w:rPr>
        <w:tab/>
        <w:t xml:space="preserve">De esta manera, para los «Documentos Tipo – Versión 3» de licitación para obra pública de infraestructura de transporte, el pliego de condiciones no consagra la modificación de los anexos como causal de rechazo, pues ninguno está relacionado con las condiciones del proponente ni con requisitos de la propuesta en los términos anteriormente explicados. </w:t>
      </w:r>
      <w:r>
        <w:rPr>
          <w:rFonts w:ascii="Arial" w:eastAsia="Calibri" w:hAnsi="Arial" w:cs="Arial"/>
          <w:sz w:val="22"/>
          <w:szCs w:val="22"/>
          <w:lang w:val="es-ES" w:eastAsia="es-ES" w:bidi="es-ES"/>
        </w:rPr>
        <w:t xml:space="preserve">En efecto, los documentos tipo adoptados mediante la </w:t>
      </w:r>
      <w:r w:rsidRPr="00F73604">
        <w:rPr>
          <w:rFonts w:ascii="Arial" w:hAnsi="Arial" w:cs="Arial"/>
          <w:sz w:val="22"/>
        </w:rPr>
        <w:t>Resolución No. 240 de 2020</w:t>
      </w:r>
      <w:r>
        <w:rPr>
          <w:rFonts w:ascii="Arial" w:hAnsi="Arial" w:cs="Arial"/>
          <w:sz w:val="22"/>
        </w:rPr>
        <w:t xml:space="preserve"> tienen cinco anexos</w:t>
      </w:r>
      <w:r>
        <w:rPr>
          <w:rFonts w:ascii="Arial" w:eastAsia="Calibri" w:hAnsi="Arial" w:cs="Arial"/>
          <w:sz w:val="22"/>
          <w:szCs w:val="22"/>
          <w:lang w:val="es-ES" w:eastAsia="es-ES" w:bidi="es-ES"/>
        </w:rPr>
        <w:t xml:space="preserve">: i) «Anexo1 – Anexo técnico», ii) «Anexo 2 – Cronograma», iii) «Anexo 3 – Glosario», iv) «Anexo 4 – Pacto de transparencia» y v) «Anexo 5 – Minuta del contrato». La entidad contratante debe diligenciarlos respetando el principio de inalterabilidad, por lo que su modificación indebida –mas que el rechazo de los ofrecimientos– genera consecuencias jurídicas para el funcionario encargado de </w:t>
      </w:r>
      <w:r w:rsidR="00E73B14">
        <w:rPr>
          <w:rFonts w:ascii="Arial" w:eastAsia="Calibri" w:hAnsi="Arial" w:cs="Arial"/>
          <w:sz w:val="22"/>
          <w:szCs w:val="22"/>
          <w:lang w:val="es-ES" w:eastAsia="es-ES" w:bidi="es-ES"/>
        </w:rPr>
        <w:t>adelantar el proceso</w:t>
      </w:r>
      <w:r>
        <w:rPr>
          <w:rFonts w:ascii="Arial" w:eastAsia="Calibri" w:hAnsi="Arial" w:cs="Arial"/>
          <w:sz w:val="22"/>
          <w:szCs w:val="22"/>
          <w:lang w:val="es-ES" w:eastAsia="es-ES" w:bidi="es-ES"/>
        </w:rPr>
        <w:t>.</w:t>
      </w:r>
    </w:p>
    <w:p w14:paraId="028BF374" w14:textId="0A8920A1" w:rsidR="00122946" w:rsidRDefault="00122946" w:rsidP="0078356A">
      <w:pPr>
        <w:tabs>
          <w:tab w:val="left" w:pos="709"/>
        </w:tabs>
        <w:spacing w:line="276" w:lineRule="auto"/>
        <w:jc w:val="both"/>
        <w:rPr>
          <w:rFonts w:ascii="Arial" w:eastAsia="Calibri" w:hAnsi="Arial" w:cs="Arial"/>
          <w:sz w:val="22"/>
          <w:szCs w:val="22"/>
          <w:lang w:val="es-ES" w:eastAsia="es-ES" w:bidi="es-ES"/>
        </w:rPr>
      </w:pPr>
      <w:r>
        <w:rPr>
          <w:rFonts w:ascii="Arial" w:eastAsia="Calibri" w:hAnsi="Arial" w:cs="Arial"/>
          <w:sz w:val="22"/>
          <w:szCs w:val="22"/>
          <w:lang w:val="es-ES" w:eastAsia="es-ES" w:bidi="es-ES"/>
        </w:rPr>
        <w:tab/>
        <w:t>En este punto se reitera la respuesta de la pregunta anterior</w:t>
      </w:r>
      <w:r w:rsidR="00C3680E">
        <w:rPr>
          <w:rFonts w:ascii="Arial" w:eastAsia="Calibri" w:hAnsi="Arial" w:cs="Arial"/>
          <w:sz w:val="22"/>
          <w:szCs w:val="22"/>
          <w:lang w:val="es-ES" w:eastAsia="es-ES" w:bidi="es-ES"/>
        </w:rPr>
        <w:t>,</w:t>
      </w:r>
      <w:r>
        <w:rPr>
          <w:rFonts w:ascii="Arial" w:eastAsia="Calibri" w:hAnsi="Arial" w:cs="Arial"/>
          <w:sz w:val="22"/>
          <w:szCs w:val="22"/>
          <w:lang w:val="es-ES" w:eastAsia="es-ES" w:bidi="es-ES"/>
        </w:rPr>
        <w:t xml:space="preserve"> en el sentido que</w:t>
      </w:r>
      <w:r w:rsidR="00873B0D">
        <w:rPr>
          <w:rFonts w:ascii="Arial" w:eastAsia="Calibri" w:hAnsi="Arial" w:cs="Arial"/>
          <w:sz w:val="22"/>
          <w:szCs w:val="22"/>
          <w:lang w:val="es-ES" w:eastAsia="es-ES" w:bidi="es-ES"/>
        </w:rPr>
        <w:t xml:space="preserve"> </w:t>
      </w:r>
      <w:r w:rsidR="00873B0D">
        <w:rPr>
          <w:rStyle w:val="normaltextrun"/>
          <w:rFonts w:ascii="Arial" w:hAnsi="Arial" w:cs="Arial"/>
          <w:color w:val="000000"/>
          <w:sz w:val="22"/>
          <w:shd w:val="clear" w:color="auto" w:fill="FFFFFF"/>
        </w:rPr>
        <w:t xml:space="preserve">la calificación de posibles vicios de invalidantes en la actuación administrativa o </w:t>
      </w:r>
      <w:r w:rsidR="00D02DA6">
        <w:rPr>
          <w:rStyle w:val="normaltextrun"/>
          <w:rFonts w:ascii="Arial" w:hAnsi="Arial" w:cs="Arial"/>
          <w:color w:val="000000"/>
          <w:sz w:val="22"/>
          <w:shd w:val="clear" w:color="auto" w:fill="FFFFFF"/>
        </w:rPr>
        <w:t xml:space="preserve">en el </w:t>
      </w:r>
      <w:r w:rsidR="007B065E">
        <w:rPr>
          <w:rStyle w:val="normaltextrun"/>
          <w:rFonts w:ascii="Arial" w:hAnsi="Arial" w:cs="Arial"/>
          <w:color w:val="000000"/>
          <w:sz w:val="22"/>
          <w:shd w:val="clear" w:color="auto" w:fill="FFFFFF"/>
        </w:rPr>
        <w:t>contrato,</w:t>
      </w:r>
      <w:r w:rsidR="00873B0D">
        <w:rPr>
          <w:rStyle w:val="normaltextrun"/>
          <w:rFonts w:ascii="Arial" w:hAnsi="Arial" w:cs="Arial"/>
          <w:color w:val="000000"/>
          <w:sz w:val="22"/>
          <w:shd w:val="clear" w:color="auto" w:fill="FFFFFF"/>
        </w:rPr>
        <w:t xml:space="preserve"> </w:t>
      </w:r>
      <w:r w:rsidR="00D02DA6">
        <w:rPr>
          <w:rStyle w:val="normaltextrun"/>
          <w:rFonts w:ascii="Arial" w:hAnsi="Arial" w:cs="Arial"/>
          <w:color w:val="000000"/>
          <w:sz w:val="22"/>
          <w:shd w:val="clear" w:color="auto" w:fill="FFFFFF"/>
        </w:rPr>
        <w:t>así como</w:t>
      </w:r>
      <w:r w:rsidR="00873B0D">
        <w:rPr>
          <w:rStyle w:val="normaltextrun"/>
          <w:rFonts w:ascii="Arial" w:hAnsi="Arial" w:cs="Arial"/>
          <w:color w:val="000000"/>
          <w:sz w:val="22"/>
          <w:shd w:val="clear" w:color="auto" w:fill="FFFFFF"/>
        </w:rPr>
        <w:t xml:space="preserve"> la </w:t>
      </w:r>
      <w:r w:rsidR="00D02DA6">
        <w:rPr>
          <w:rStyle w:val="normaltextrun"/>
          <w:rFonts w:ascii="Arial" w:hAnsi="Arial" w:cs="Arial"/>
          <w:color w:val="000000"/>
          <w:sz w:val="22"/>
          <w:shd w:val="clear" w:color="auto" w:fill="FFFFFF"/>
        </w:rPr>
        <w:t>investigación</w:t>
      </w:r>
      <w:r w:rsidR="00873B0D">
        <w:rPr>
          <w:rStyle w:val="normaltextrun"/>
          <w:rFonts w:ascii="Arial" w:hAnsi="Arial" w:cs="Arial"/>
          <w:color w:val="000000"/>
          <w:sz w:val="22"/>
          <w:shd w:val="clear" w:color="auto" w:fill="FFFFFF"/>
        </w:rPr>
        <w:t xml:space="preserve"> de presuntas faltas disciplinarias</w:t>
      </w:r>
      <w:r w:rsidR="00D02DA6">
        <w:rPr>
          <w:rStyle w:val="normaltextrun"/>
          <w:rFonts w:ascii="Arial" w:hAnsi="Arial" w:cs="Arial"/>
          <w:color w:val="000000"/>
          <w:sz w:val="22"/>
          <w:shd w:val="clear" w:color="auto" w:fill="FFFFFF"/>
        </w:rPr>
        <w:t>,</w:t>
      </w:r>
      <w:r w:rsidR="00873B0D">
        <w:rPr>
          <w:rStyle w:val="normaltextrun"/>
          <w:rFonts w:ascii="Arial" w:hAnsi="Arial" w:cs="Arial"/>
          <w:color w:val="000000"/>
          <w:sz w:val="22"/>
          <w:shd w:val="clear" w:color="auto" w:fill="FFFFFF"/>
        </w:rPr>
        <w:t xml:space="preserve"> corresponde</w:t>
      </w:r>
      <w:r w:rsidR="002D7804">
        <w:rPr>
          <w:rStyle w:val="normaltextrun"/>
          <w:rFonts w:ascii="Arial" w:hAnsi="Arial" w:cs="Arial"/>
          <w:color w:val="000000"/>
          <w:sz w:val="22"/>
          <w:shd w:val="clear" w:color="auto" w:fill="FFFFFF"/>
        </w:rPr>
        <w:t>n</w:t>
      </w:r>
      <w:r w:rsidR="00873B0D">
        <w:rPr>
          <w:rStyle w:val="normaltextrun"/>
          <w:rFonts w:ascii="Arial" w:hAnsi="Arial" w:cs="Arial"/>
          <w:color w:val="000000"/>
          <w:sz w:val="22"/>
          <w:shd w:val="clear" w:color="auto" w:fill="FFFFFF"/>
        </w:rPr>
        <w:t xml:space="preserve"> a las autoridades judiciales y de control.</w:t>
      </w:r>
      <w:r>
        <w:rPr>
          <w:rFonts w:ascii="Arial" w:eastAsia="Calibri" w:hAnsi="Arial" w:cs="Arial"/>
          <w:sz w:val="22"/>
          <w:szCs w:val="22"/>
          <w:lang w:val="es-ES" w:eastAsia="es-ES" w:bidi="es-ES"/>
        </w:rPr>
        <w:t xml:space="preserve"> </w:t>
      </w:r>
      <w:r w:rsidR="00BF05FC">
        <w:rPr>
          <w:rFonts w:ascii="Arial" w:eastAsia="Calibri" w:hAnsi="Arial" w:cs="Arial"/>
          <w:sz w:val="22"/>
          <w:szCs w:val="22"/>
          <w:lang w:val="es-ES" w:eastAsia="es-ES" w:bidi="es-ES"/>
        </w:rPr>
        <w:t xml:space="preserve">Esto en la medida </w:t>
      </w:r>
      <w:r w:rsidR="00D96DA5">
        <w:rPr>
          <w:rFonts w:ascii="Arial" w:eastAsia="Calibri" w:hAnsi="Arial" w:cs="Arial"/>
          <w:sz w:val="22"/>
          <w:szCs w:val="22"/>
          <w:lang w:val="es-ES" w:eastAsia="es-ES" w:bidi="es-ES"/>
        </w:rPr>
        <w:t>que la</w:t>
      </w:r>
      <w:r w:rsidR="00EA40F3">
        <w:rPr>
          <w:rFonts w:ascii="Arial" w:eastAsia="Calibri" w:hAnsi="Arial" w:cs="Arial"/>
          <w:sz w:val="22"/>
          <w:szCs w:val="22"/>
          <w:lang w:val="es-ES" w:eastAsia="es-ES" w:bidi="es-ES"/>
        </w:rPr>
        <w:t>s atribuciones de la</w:t>
      </w:r>
      <w:r w:rsidR="00D96DA5">
        <w:rPr>
          <w:rFonts w:ascii="Arial" w:eastAsia="Calibri" w:hAnsi="Arial" w:cs="Arial"/>
          <w:sz w:val="22"/>
          <w:szCs w:val="22"/>
          <w:lang w:val="es-ES" w:eastAsia="es-ES" w:bidi="es-ES"/>
        </w:rPr>
        <w:t xml:space="preserve"> Agencia </w:t>
      </w:r>
      <w:r w:rsidR="00BF05FC" w:rsidRPr="000F2666">
        <w:rPr>
          <w:rFonts w:ascii="Arial" w:eastAsia="Calibri" w:hAnsi="Arial" w:cs="Arial"/>
          <w:bCs/>
          <w:sz w:val="22"/>
          <w:szCs w:val="22"/>
          <w:lang w:eastAsia="en-US"/>
        </w:rPr>
        <w:t>se limita</w:t>
      </w:r>
      <w:r w:rsidR="00EA40F3">
        <w:rPr>
          <w:rFonts w:ascii="Arial" w:eastAsia="Calibri" w:hAnsi="Arial" w:cs="Arial"/>
          <w:bCs/>
          <w:sz w:val="22"/>
          <w:szCs w:val="22"/>
          <w:lang w:eastAsia="en-US"/>
        </w:rPr>
        <w:t>n</w:t>
      </w:r>
      <w:r w:rsidR="00BF05FC" w:rsidRPr="000F2666">
        <w:rPr>
          <w:rFonts w:ascii="Arial" w:eastAsia="Calibri" w:hAnsi="Arial" w:cs="Arial"/>
          <w:bCs/>
          <w:sz w:val="22"/>
          <w:szCs w:val="22"/>
          <w:lang w:eastAsia="en-US"/>
        </w:rPr>
        <w:t xml:space="preserve"> a impartir políticas públicas en temas de contratación estatal y hacer el</w:t>
      </w:r>
      <w:r w:rsidR="00BF05FC">
        <w:rPr>
          <w:rFonts w:ascii="Arial" w:eastAsia="Calibri" w:hAnsi="Arial" w:cs="Arial"/>
          <w:bCs/>
          <w:sz w:val="22"/>
          <w:szCs w:val="22"/>
          <w:lang w:eastAsia="en-US"/>
        </w:rPr>
        <w:t xml:space="preserve"> </w:t>
      </w:r>
      <w:r w:rsidR="00BF05FC" w:rsidRPr="000F2666">
        <w:rPr>
          <w:rFonts w:ascii="Arial" w:eastAsia="Calibri" w:hAnsi="Arial" w:cs="Arial"/>
          <w:bCs/>
          <w:sz w:val="22"/>
          <w:szCs w:val="22"/>
          <w:lang w:eastAsia="en-US"/>
        </w:rPr>
        <w:t>seguimiento estadístico a la implementación de los documentos tipo</w:t>
      </w:r>
      <w:r w:rsidR="00EA40F3">
        <w:rPr>
          <w:rFonts w:ascii="Arial" w:eastAsia="Calibri" w:hAnsi="Arial" w:cs="Arial"/>
          <w:bCs/>
          <w:sz w:val="22"/>
          <w:szCs w:val="22"/>
          <w:lang w:eastAsia="en-US"/>
        </w:rPr>
        <w:t>.</w:t>
      </w:r>
    </w:p>
    <w:p w14:paraId="7BEA9144" w14:textId="26AC7C26" w:rsidR="00D025AF" w:rsidRDefault="00D8597D" w:rsidP="0078356A">
      <w:pPr>
        <w:widowControl w:val="0"/>
        <w:autoSpaceDE w:val="0"/>
        <w:autoSpaceDN w:val="0"/>
        <w:spacing w:after="120" w:line="276" w:lineRule="auto"/>
        <w:jc w:val="both"/>
        <w:rPr>
          <w:rFonts w:ascii="Arial" w:eastAsia="Calibri" w:hAnsi="Arial" w:cs="Arial"/>
          <w:color w:val="000000" w:themeColor="text1"/>
          <w:sz w:val="22"/>
          <w:szCs w:val="22"/>
          <w:lang w:val="es-ES_tradnl"/>
        </w:rPr>
      </w:pPr>
      <w:r>
        <w:rPr>
          <w:rFonts w:ascii="Arial" w:eastAsia="Calibri" w:hAnsi="Arial" w:cs="Arial"/>
          <w:bCs/>
          <w:sz w:val="22"/>
          <w:szCs w:val="22"/>
          <w:lang w:val="es-ES" w:eastAsia="en-US"/>
        </w:rPr>
        <w:t xml:space="preserve"> </w:t>
      </w:r>
    </w:p>
    <w:p w14:paraId="7B2C921D" w14:textId="5AFFCB70" w:rsidR="00DD5B04" w:rsidRPr="004A0905" w:rsidRDefault="00DD5B04" w:rsidP="00DF76A2">
      <w:pPr>
        <w:spacing w:line="276" w:lineRule="auto"/>
        <w:jc w:val="both"/>
        <w:rPr>
          <w:rFonts w:ascii="Arial" w:hAnsi="Arial" w:cs="Arial"/>
          <w:color w:val="000000" w:themeColor="text1"/>
          <w:sz w:val="22"/>
          <w:lang w:val="es-ES_tradnl"/>
        </w:rPr>
      </w:pPr>
      <w:r w:rsidRPr="004A090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A090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4A090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Atentamente,</w:t>
      </w:r>
    </w:p>
    <w:p w14:paraId="692FC307" w14:textId="210AA6B5" w:rsidR="00921304" w:rsidRPr="004A0905"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002D8AA6" w:rsidR="00921304" w:rsidRPr="004A0905" w:rsidRDefault="00BB3381"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E2CA8E4" wp14:editId="42582193">
            <wp:extent cx="2514600" cy="1114425"/>
            <wp:effectExtent l="0" t="0" r="0" b="0"/>
            <wp:docPr id="1881124724" name="Imagen 188112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4A0905" w:rsidRDefault="00425C43" w:rsidP="00B37657">
      <w:pPr>
        <w:jc w:val="center"/>
        <w:rPr>
          <w:rFonts w:ascii="Arial" w:hAnsi="Arial" w:cs="Arial"/>
          <w:color w:val="000000" w:themeColor="text1"/>
          <w:sz w:val="18"/>
          <w:szCs w:val="20"/>
          <w:lang w:val="es-ES_tradnl" w:eastAsia="es-CO"/>
        </w:rPr>
      </w:pPr>
    </w:p>
    <w:p w14:paraId="49730030" w14:textId="217D35F3" w:rsidR="00DD5B04" w:rsidRPr="004A0905"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A0905" w14:paraId="0C7DC5F7" w14:textId="77777777" w:rsidTr="008F4163">
        <w:trPr>
          <w:trHeight w:val="315"/>
        </w:trPr>
        <w:tc>
          <w:tcPr>
            <w:tcW w:w="812" w:type="dxa"/>
            <w:vAlign w:val="center"/>
            <w:hideMark/>
          </w:tcPr>
          <w:p w14:paraId="5BDB1AC9"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1F79F0E" w:rsidR="00DD5B04" w:rsidRPr="004A0905" w:rsidRDefault="00A1224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Nina María Padrón Ballestas </w:t>
            </w:r>
          </w:p>
          <w:p w14:paraId="240C71FD" w14:textId="31312C95"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Contratista</w:t>
            </w:r>
            <w:r w:rsidR="00FF0050" w:rsidRPr="004A0905">
              <w:rPr>
                <w:rFonts w:ascii="Arial" w:hAnsi="Arial" w:cs="Arial"/>
                <w:color w:val="000000" w:themeColor="text1"/>
                <w:sz w:val="16"/>
                <w:szCs w:val="16"/>
                <w:lang w:val="es-ES_tradnl" w:eastAsia="es-ES"/>
              </w:rPr>
              <w:t xml:space="preserve"> de la </w:t>
            </w:r>
            <w:r w:rsidRPr="004A0905">
              <w:rPr>
                <w:rFonts w:ascii="Arial" w:hAnsi="Arial" w:cs="Arial"/>
                <w:color w:val="000000" w:themeColor="text1"/>
                <w:sz w:val="16"/>
                <w:szCs w:val="16"/>
                <w:lang w:val="es-ES_tradnl" w:eastAsia="es-ES"/>
              </w:rPr>
              <w:t>Subdirección de Gestión Contractual</w:t>
            </w:r>
          </w:p>
        </w:tc>
      </w:tr>
      <w:tr w:rsidR="00DD5B04" w:rsidRPr="004A0905" w14:paraId="2F8FD650" w14:textId="77777777" w:rsidTr="008F4163">
        <w:trPr>
          <w:trHeight w:val="330"/>
        </w:trPr>
        <w:tc>
          <w:tcPr>
            <w:tcW w:w="812" w:type="dxa"/>
            <w:vAlign w:val="center"/>
            <w:hideMark/>
          </w:tcPr>
          <w:p w14:paraId="50203A0B"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01914AF6" w:rsidR="008623A7" w:rsidRPr="004A0905" w:rsidRDefault="00A1224A" w:rsidP="008623A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p>
          <w:p w14:paraId="130B3228" w14:textId="28536C4B" w:rsidR="00DD5B04" w:rsidRPr="004A0905" w:rsidRDefault="00A1224A"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T1 – 15 Subdirección </w:t>
            </w:r>
            <w:r w:rsidR="008623A7" w:rsidRPr="004A0905">
              <w:rPr>
                <w:rFonts w:ascii="Arial" w:hAnsi="Arial" w:cs="Arial"/>
                <w:color w:val="000000" w:themeColor="text1"/>
                <w:sz w:val="16"/>
                <w:szCs w:val="16"/>
                <w:lang w:val="es-ES_tradnl" w:eastAsia="es-ES"/>
              </w:rPr>
              <w:t>de Gestión Contractual ANCP – CCE</w:t>
            </w:r>
          </w:p>
        </w:tc>
      </w:tr>
      <w:tr w:rsidR="00DD5B04" w:rsidRPr="005E4B72" w14:paraId="0FCBCA4A" w14:textId="77777777" w:rsidTr="008F4163">
        <w:trPr>
          <w:trHeight w:val="300"/>
        </w:trPr>
        <w:tc>
          <w:tcPr>
            <w:tcW w:w="812" w:type="dxa"/>
            <w:vAlign w:val="center"/>
            <w:hideMark/>
          </w:tcPr>
          <w:p w14:paraId="3C1D943A"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A0905" w:rsidRDefault="00C05A61"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 xml:space="preserve">Jorge </w:t>
            </w:r>
            <w:r w:rsidR="00647A36" w:rsidRPr="004A0905">
              <w:rPr>
                <w:rFonts w:ascii="Arial" w:hAnsi="Arial" w:cs="Arial"/>
                <w:color w:val="000000" w:themeColor="text1"/>
                <w:sz w:val="16"/>
                <w:szCs w:val="16"/>
                <w:lang w:val="es-ES_tradnl" w:eastAsia="es-ES"/>
              </w:rPr>
              <w:t xml:space="preserve">Augusto </w:t>
            </w:r>
            <w:r w:rsidRPr="004A0905">
              <w:rPr>
                <w:rFonts w:ascii="Arial" w:hAnsi="Arial" w:cs="Arial"/>
                <w:color w:val="000000" w:themeColor="text1"/>
                <w:sz w:val="16"/>
                <w:szCs w:val="16"/>
                <w:lang w:val="es-ES_tradnl" w:eastAsia="es-ES"/>
              </w:rPr>
              <w:t>Tirado Navarro</w:t>
            </w:r>
          </w:p>
          <w:p w14:paraId="1ADC483B" w14:textId="384FAF72" w:rsidR="00DD5B04" w:rsidRPr="005E4B72"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Subdirector de Gestión Contractual</w:t>
            </w:r>
            <w:r w:rsidR="003D369D" w:rsidRPr="004A0905">
              <w:rPr>
                <w:rFonts w:ascii="Arial" w:hAnsi="Arial" w:cs="Arial"/>
                <w:color w:val="000000" w:themeColor="text1"/>
                <w:sz w:val="16"/>
                <w:szCs w:val="16"/>
                <w:lang w:val="es-ES_tradnl" w:eastAsia="es-ES"/>
              </w:rPr>
              <w:t xml:space="preserve"> ANCP – CCE</w:t>
            </w:r>
          </w:p>
        </w:tc>
      </w:tr>
    </w:tbl>
    <w:p w14:paraId="35B56F46" w14:textId="77777777" w:rsidR="00746E08" w:rsidRPr="005E4B72" w:rsidRDefault="00746E08" w:rsidP="00215B8E">
      <w:pPr>
        <w:jc w:val="both"/>
        <w:rPr>
          <w:rFonts w:ascii="Arial" w:hAnsi="Arial" w:cs="Arial"/>
          <w:lang w:val="es-ES_tradnl"/>
        </w:rPr>
      </w:pPr>
    </w:p>
    <w:sectPr w:rsidR="00746E08" w:rsidRPr="005E4B7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4F1AB" w16cex:dateUtc="2021-05-11T17:06:00Z"/>
  <w16cex:commentExtensible w16cex:durableId="2444F1C6" w16cex:dateUtc="2021-05-11T17:06:00Z"/>
  <w16cex:commentExtensible w16cex:durableId="2443D74C" w16cex:dateUtc="2021-05-10T21:01:00Z"/>
  <w16cex:commentExtensible w16cex:durableId="2444D232" w16cex:dateUtc="2021-05-11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762093" w16cid:durableId="2444F1AB"/>
  <w16cid:commentId w16cid:paraId="24616F04" w16cid:durableId="2444F1C6"/>
  <w16cid:commentId w16cid:paraId="3189947A" w16cid:durableId="2443D74C"/>
  <w16cid:commentId w16cid:paraId="4433CCC7" w16cid:durableId="2444D23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8D448" w14:textId="77777777" w:rsidR="005822A2" w:rsidRDefault="005822A2">
      <w:r>
        <w:separator/>
      </w:r>
    </w:p>
  </w:endnote>
  <w:endnote w:type="continuationSeparator" w:id="0">
    <w:p w14:paraId="0B3917D7" w14:textId="77777777" w:rsidR="005822A2" w:rsidRDefault="005822A2">
      <w:r>
        <w:continuationSeparator/>
      </w:r>
    </w:p>
  </w:endnote>
  <w:endnote w:type="continuationNotice" w:id="1">
    <w:p w14:paraId="42B4A45B" w14:textId="77777777" w:rsidR="005822A2" w:rsidRDefault="00582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C0A5C">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C0A5C">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DF354" w14:textId="77777777" w:rsidR="005822A2" w:rsidRDefault="005822A2">
      <w:r>
        <w:separator/>
      </w:r>
    </w:p>
  </w:footnote>
  <w:footnote w:type="continuationSeparator" w:id="0">
    <w:p w14:paraId="299E8E6C" w14:textId="77777777" w:rsidR="005822A2" w:rsidRDefault="005822A2">
      <w:r>
        <w:continuationSeparator/>
      </w:r>
    </w:p>
  </w:footnote>
  <w:footnote w:type="continuationNotice" w:id="1">
    <w:p w14:paraId="70C9FEA4" w14:textId="77777777" w:rsidR="005822A2" w:rsidRDefault="005822A2"/>
  </w:footnote>
  <w:footnote w:id="2">
    <w:p w14:paraId="473D75D1" w14:textId="77777777" w:rsidR="00592379" w:rsidRDefault="00592379" w:rsidP="00592379">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BDDA2E0" w14:textId="77777777" w:rsidR="00592379" w:rsidRDefault="00592379" w:rsidP="00592379">
      <w:pPr>
        <w:pStyle w:val="Textonotapie"/>
        <w:ind w:firstLine="709"/>
      </w:pPr>
    </w:p>
  </w:footnote>
  <w:footnote w:id="3">
    <w:p w14:paraId="20BE3DF3" w14:textId="77777777" w:rsidR="00592379" w:rsidRDefault="00592379" w:rsidP="00592379">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p w14:paraId="3D5B4D33" w14:textId="77777777" w:rsidR="00592379" w:rsidRDefault="00592379" w:rsidP="00592379">
      <w:pPr>
        <w:pStyle w:val="Textonotapie"/>
        <w:ind w:firstLine="709"/>
      </w:pPr>
    </w:p>
  </w:footnote>
  <w:footnote w:id="4">
    <w:p w14:paraId="72AD60A9" w14:textId="77777777" w:rsidR="00592379" w:rsidRDefault="00592379" w:rsidP="00592379">
      <w:pPr>
        <w:pStyle w:val="Textonotapie"/>
        <w:ind w:firstLine="709"/>
      </w:pPr>
      <w:r>
        <w:rPr>
          <w:rStyle w:val="Refdenotaalpie"/>
        </w:rPr>
        <w:footnoteRef/>
      </w:r>
      <w:r>
        <w:t xml:space="preserve"> </w:t>
      </w:r>
      <w:r w:rsidRPr="0043040E">
        <w:rPr>
          <w:rFonts w:ascii="Arial" w:hAnsi="Arial" w:cs="Arial"/>
          <w:sz w:val="19"/>
          <w:szCs w:val="19"/>
        </w:rPr>
        <w:t>Ibídem.</w:t>
      </w:r>
      <w:r w:rsidRPr="0043040E">
        <w:t xml:space="preserve">  </w:t>
      </w:r>
    </w:p>
    <w:p w14:paraId="00622A03" w14:textId="77777777" w:rsidR="00592379" w:rsidRDefault="00592379" w:rsidP="00592379">
      <w:pPr>
        <w:pStyle w:val="Textonotapie"/>
        <w:ind w:firstLine="709"/>
      </w:pPr>
    </w:p>
  </w:footnote>
  <w:footnote w:id="5">
    <w:p w14:paraId="50F256E2" w14:textId="77777777" w:rsidR="00592379" w:rsidRDefault="00592379" w:rsidP="00592379">
      <w:pPr>
        <w:shd w:val="clear" w:color="auto" w:fill="FFFFFF"/>
        <w:ind w:firstLine="709"/>
        <w:jc w:val="both"/>
        <w:textAlignment w:val="baseline"/>
        <w:rPr>
          <w:rFonts w:ascii="Arial" w:hAnsi="Arial" w:cs="Arial"/>
          <w:color w:val="000000"/>
          <w:sz w:val="19"/>
          <w:szCs w:val="19"/>
          <w:bdr w:val="none" w:sz="0" w:space="0" w:color="auto" w:frame="1"/>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Diario Oficial. Gaceta del Congreso 416 de 2007, Informe de Conciliación Senado. </w:t>
      </w:r>
    </w:p>
    <w:p w14:paraId="7BFBF2DE" w14:textId="77777777" w:rsidR="00592379" w:rsidRPr="0043040E" w:rsidRDefault="00592379" w:rsidP="00592379">
      <w:pPr>
        <w:shd w:val="clear" w:color="auto" w:fill="FFFFFF"/>
        <w:ind w:firstLine="709"/>
        <w:jc w:val="both"/>
        <w:textAlignment w:val="baseline"/>
        <w:rPr>
          <w:rFonts w:ascii="Calibri" w:hAnsi="Calibri" w:cs="Calibri"/>
          <w:color w:val="000000"/>
          <w:sz w:val="20"/>
          <w:szCs w:val="20"/>
          <w:lang w:eastAsia="es-CO"/>
        </w:rPr>
      </w:pPr>
    </w:p>
  </w:footnote>
  <w:footnote w:id="6">
    <w:p w14:paraId="0BA123EA" w14:textId="77777777" w:rsidR="00592379" w:rsidRPr="0043040E" w:rsidRDefault="00592379" w:rsidP="00592379">
      <w:pPr>
        <w:shd w:val="clear" w:color="auto" w:fill="FFFFFF"/>
        <w:ind w:firstLine="709"/>
        <w:jc w:val="both"/>
        <w:textAlignment w:val="baseline"/>
        <w:rPr>
          <w:rFonts w:ascii="Calibri" w:hAnsi="Calibri" w:cs="Calibri"/>
          <w:color w:val="000000"/>
          <w:sz w:val="20"/>
          <w:szCs w:val="20"/>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FEB85D3" w14:textId="77777777" w:rsidR="00592379" w:rsidRPr="0043040E" w:rsidRDefault="00592379" w:rsidP="00592379">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979C3DF" w14:textId="77777777" w:rsidR="00592379" w:rsidRPr="0043040E" w:rsidRDefault="00592379" w:rsidP="00592379">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F5C2225" w14:textId="77777777" w:rsidR="00592379" w:rsidRPr="0043040E" w:rsidRDefault="00592379" w:rsidP="00592379">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C96C100" w14:textId="77777777" w:rsidR="00592379" w:rsidRPr="0043040E" w:rsidRDefault="00592379" w:rsidP="00592379">
      <w:pPr>
        <w:shd w:val="clear" w:color="auto" w:fill="FFFFFF"/>
        <w:ind w:firstLine="708"/>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6E771BDA" w14:textId="77777777" w:rsidR="00592379" w:rsidRDefault="00592379" w:rsidP="00592379">
      <w:pPr>
        <w:pStyle w:val="Textonotapie"/>
      </w:pPr>
    </w:p>
  </w:footnote>
  <w:footnote w:id="7">
    <w:p w14:paraId="5F5AF0E2" w14:textId="77777777" w:rsidR="00D7261C" w:rsidRPr="0045370A" w:rsidRDefault="00D7261C" w:rsidP="00D7261C">
      <w:pPr>
        <w:pStyle w:val="Textonotapie"/>
        <w:ind w:firstLine="708"/>
        <w:jc w:val="both"/>
        <w:rPr>
          <w:rFonts w:ascii="Arial" w:hAnsi="Arial" w:cs="Arial"/>
          <w:sz w:val="19"/>
          <w:szCs w:val="19"/>
        </w:rPr>
      </w:pPr>
      <w:r>
        <w:rPr>
          <w:rStyle w:val="Refdenotaalpie"/>
        </w:rPr>
        <w:footnoteRef/>
      </w:r>
      <w:r>
        <w:t xml:space="preserve"> </w:t>
      </w:r>
      <w:r w:rsidRPr="0045370A">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3ED7EF95" w14:textId="77777777" w:rsidR="00D7261C" w:rsidRPr="0045370A" w:rsidRDefault="00D7261C" w:rsidP="00D7261C">
      <w:pPr>
        <w:pStyle w:val="Textonotapie"/>
        <w:ind w:firstLine="708"/>
        <w:rPr>
          <w:rFonts w:ascii="Arial" w:hAnsi="Arial" w:cs="Arial"/>
          <w:sz w:val="19"/>
          <w:szCs w:val="19"/>
          <w:lang w:val="es-CO"/>
        </w:rPr>
      </w:pPr>
      <w:r w:rsidRPr="0045370A">
        <w:rPr>
          <w:rFonts w:ascii="Arial" w:hAnsi="Arial" w:cs="Arial"/>
          <w:sz w:val="19"/>
          <w:szCs w:val="19"/>
        </w:rPr>
        <w:t xml:space="preserve"> </w:t>
      </w:r>
    </w:p>
  </w:footnote>
  <w:footnote w:id="8">
    <w:p w14:paraId="7D0F0D07" w14:textId="77777777" w:rsidR="00D7261C" w:rsidRPr="00133C4A" w:rsidRDefault="00D7261C" w:rsidP="00D7261C">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573C6F2" w14:textId="77777777" w:rsidR="00D7261C" w:rsidRPr="00133C4A" w:rsidRDefault="00D7261C" w:rsidP="00D7261C">
      <w:pPr>
        <w:pStyle w:val="Textonotapie"/>
        <w:ind w:firstLine="709"/>
        <w:jc w:val="both"/>
        <w:rPr>
          <w:rFonts w:ascii="Arial" w:hAnsi="Arial" w:cs="Arial"/>
          <w:color w:val="000000" w:themeColor="text1"/>
          <w:sz w:val="19"/>
          <w:szCs w:val="19"/>
        </w:rPr>
      </w:pPr>
    </w:p>
  </w:footnote>
  <w:footnote w:id="9">
    <w:p w14:paraId="05A40011" w14:textId="77777777" w:rsidR="00D7261C" w:rsidRDefault="00D7261C" w:rsidP="00D7261C">
      <w:pPr>
        <w:ind w:firstLine="709"/>
        <w:jc w:val="both"/>
        <w:rPr>
          <w:rFonts w:ascii="Arial" w:hAnsi="Arial" w:cs="Arial"/>
          <w:color w:val="000000" w:themeColor="text1"/>
          <w:sz w:val="19"/>
          <w:szCs w:val="19"/>
          <w:lang w:val="es-ES"/>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FA350F5" w14:textId="77777777" w:rsidR="00D7261C" w:rsidRPr="00133C4A" w:rsidRDefault="00D7261C" w:rsidP="00D7261C">
      <w:pPr>
        <w:ind w:firstLine="709"/>
        <w:jc w:val="both"/>
        <w:rPr>
          <w:rFonts w:ascii="Arial" w:hAnsi="Arial" w:cs="Arial"/>
          <w:color w:val="000000" w:themeColor="text1"/>
          <w:sz w:val="19"/>
          <w:szCs w:val="19"/>
          <w:lang w:val="es-ES"/>
        </w:rPr>
      </w:pPr>
    </w:p>
  </w:footnote>
  <w:footnote w:id="10">
    <w:p w14:paraId="3765BD77" w14:textId="77777777" w:rsidR="00D7261C" w:rsidRPr="000F2B47" w:rsidRDefault="00D7261C" w:rsidP="00D7261C">
      <w:pPr>
        <w:pStyle w:val="Textonotapie"/>
        <w:ind w:firstLine="708"/>
        <w:jc w:val="both"/>
        <w:rPr>
          <w:rFonts w:ascii="Arial" w:hAnsi="Arial" w:cs="Arial"/>
          <w:sz w:val="19"/>
          <w:szCs w:val="19"/>
        </w:rPr>
      </w:pPr>
      <w:r w:rsidRPr="000F2B47">
        <w:rPr>
          <w:rStyle w:val="Refdenotaalpie"/>
          <w:rFonts w:ascii="Arial" w:hAnsi="Arial" w:cs="Arial"/>
          <w:sz w:val="19"/>
          <w:szCs w:val="19"/>
        </w:rPr>
        <w:footnoteRef/>
      </w:r>
      <w:r w:rsidRPr="000F2B47">
        <w:rPr>
          <w:rFonts w:ascii="Arial" w:hAnsi="Arial" w:cs="Arial"/>
          <w:sz w:val="19"/>
          <w:szCs w:val="19"/>
        </w:rPr>
        <w:t xml:space="preserve"> </w:t>
      </w:r>
      <w:r>
        <w:rPr>
          <w:rFonts w:ascii="Arial" w:hAnsi="Arial" w:cs="Arial"/>
          <w:sz w:val="19"/>
          <w:szCs w:val="19"/>
        </w:rPr>
        <w:t>La norma dispone que</w:t>
      </w:r>
      <w:r w:rsidRPr="000F2B47">
        <w:rPr>
          <w:rFonts w:ascii="Arial" w:hAnsi="Arial" w:cs="Arial"/>
          <w:sz w:val="19"/>
          <w:szCs w:val="19"/>
        </w:rPr>
        <w:t xml:space="preserve"> </w:t>
      </w:r>
      <w:r>
        <w:rPr>
          <w:rFonts w:ascii="Arial" w:hAnsi="Arial" w:cs="Arial"/>
          <w:sz w:val="19"/>
          <w:szCs w:val="19"/>
        </w:rPr>
        <w:t>«</w:t>
      </w:r>
      <w:r w:rsidRPr="000F2B47">
        <w:rPr>
          <w:rFonts w:ascii="Arial" w:hAnsi="Arial" w:cs="Arial"/>
          <w:sz w:val="19"/>
          <w:szCs w:val="19"/>
        </w:rPr>
        <w:t xml:space="preserve">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55225ED0" w14:textId="77777777" w:rsidR="00D7261C" w:rsidRPr="000F2B47" w:rsidRDefault="00D7261C" w:rsidP="00D7261C">
      <w:pPr>
        <w:pStyle w:val="Textonotapie"/>
        <w:ind w:firstLine="708"/>
        <w:jc w:val="both"/>
        <w:rPr>
          <w:rFonts w:ascii="Arial" w:hAnsi="Arial" w:cs="Arial"/>
          <w:sz w:val="19"/>
          <w:szCs w:val="19"/>
        </w:rPr>
      </w:pPr>
      <w:r w:rsidRPr="000F2B4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229C3093" w14:textId="77777777" w:rsidR="00D7261C" w:rsidRPr="000F2B47" w:rsidRDefault="00D7261C" w:rsidP="00D7261C">
      <w:pPr>
        <w:pStyle w:val="Textonotapie"/>
        <w:ind w:firstLine="708"/>
        <w:jc w:val="both"/>
        <w:rPr>
          <w:rFonts w:ascii="Arial" w:hAnsi="Arial" w:cs="Arial"/>
          <w:sz w:val="19"/>
          <w:szCs w:val="19"/>
        </w:rPr>
      </w:pPr>
      <w:r w:rsidRPr="000F2B47">
        <w:rPr>
          <w:rFonts w:ascii="Arial" w:hAnsi="Arial" w:cs="Arial"/>
          <w:sz w:val="19"/>
          <w:szCs w:val="19"/>
        </w:rPr>
        <w:t xml:space="preserve">»2. Conservar los requisitos exigidos en los Documentos Tipo.  </w:t>
      </w:r>
    </w:p>
    <w:p w14:paraId="5D00372A" w14:textId="77777777" w:rsidR="00D7261C" w:rsidRDefault="00D7261C" w:rsidP="00D7261C">
      <w:pPr>
        <w:pStyle w:val="Textonotapie"/>
        <w:ind w:firstLine="708"/>
        <w:jc w:val="both"/>
        <w:rPr>
          <w:rFonts w:ascii="Arial" w:hAnsi="Arial" w:cs="Arial"/>
          <w:sz w:val="19"/>
          <w:szCs w:val="19"/>
        </w:rPr>
      </w:pPr>
      <w:r w:rsidRPr="000F2B47">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p w14:paraId="6C513633" w14:textId="77777777" w:rsidR="00D7261C" w:rsidRPr="00D5103D" w:rsidRDefault="00D7261C" w:rsidP="00D7261C">
      <w:pPr>
        <w:pStyle w:val="Textonotapie"/>
        <w:ind w:firstLine="708"/>
        <w:jc w:val="both"/>
        <w:rPr>
          <w:lang w:val="es-CO"/>
        </w:rPr>
      </w:pPr>
      <w:r>
        <w:rPr>
          <w:rFonts w:ascii="Arial" w:hAnsi="Arial" w:cs="Arial"/>
          <w:sz w:val="19"/>
          <w:szCs w:val="19"/>
        </w:rPr>
        <w:t xml:space="preserve">»4. </w:t>
      </w:r>
      <w:r w:rsidRPr="006A64CE">
        <w:rPr>
          <w:rFonts w:ascii="Arial" w:hAnsi="Arial" w:cs="Arial"/>
          <w:sz w:val="19"/>
          <w:szCs w:val="19"/>
        </w:rPr>
        <w:t>Clasificar la experiencia requerida solo hasta el tercer nivel del Clasificador de Bienes y Servicios e incluir exclusivamente los códigos que estén relacionados directamente con el objeto a contratar</w:t>
      </w:r>
      <w:r w:rsidRPr="000F2B47">
        <w:rPr>
          <w:rFonts w:ascii="Arial" w:hAnsi="Arial" w:cs="Arial"/>
          <w:sz w:val="19"/>
          <w:szCs w:val="19"/>
        </w:rPr>
        <w:t>».</w:t>
      </w:r>
      <w:r>
        <w:t xml:space="preserve">  </w:t>
      </w:r>
    </w:p>
  </w:footnote>
  <w:footnote w:id="11">
    <w:p w14:paraId="1F69FDE8" w14:textId="458704F7" w:rsidR="00AC58DD" w:rsidRPr="0078356A" w:rsidRDefault="00AC58DD" w:rsidP="00AC58DD">
      <w:pPr>
        <w:pStyle w:val="Textonotapie"/>
        <w:ind w:firstLine="708"/>
        <w:jc w:val="both"/>
        <w:rPr>
          <w:rFonts w:ascii="Arial" w:hAnsi="Arial" w:cs="Arial"/>
          <w:sz w:val="19"/>
          <w:szCs w:val="19"/>
          <w:lang w:val="es-ES"/>
        </w:rPr>
      </w:pPr>
      <w:r w:rsidRPr="0078356A">
        <w:rPr>
          <w:rStyle w:val="Refdenotaalpie"/>
          <w:rFonts w:ascii="Arial" w:hAnsi="Arial" w:cs="Arial"/>
          <w:sz w:val="19"/>
          <w:szCs w:val="19"/>
        </w:rPr>
        <w:footnoteRef/>
      </w:r>
      <w:r w:rsidRPr="0078356A">
        <w:rPr>
          <w:rFonts w:ascii="Arial" w:hAnsi="Arial" w:cs="Arial"/>
          <w:sz w:val="19"/>
          <w:szCs w:val="19"/>
        </w:rPr>
        <w:t xml:space="preserve"> CONSEJO DE ESTADO. Sección Tercera. Sentencia del 4 de junio de 2008. Exp. 17.783. C.P. Myriam Guerrero de Escobar.</w:t>
      </w:r>
    </w:p>
  </w:footnote>
  <w:footnote w:id="12">
    <w:p w14:paraId="679B641F" w14:textId="51DE0651" w:rsidR="00806285" w:rsidRPr="00806285" w:rsidRDefault="00806285" w:rsidP="0078356A">
      <w:pPr>
        <w:pStyle w:val="Textonotapie"/>
        <w:ind w:firstLine="708"/>
        <w:jc w:val="both"/>
        <w:rPr>
          <w:rFonts w:ascii="Arial" w:hAnsi="Arial" w:cs="Arial"/>
          <w:bCs/>
          <w:sz w:val="19"/>
          <w:szCs w:val="19"/>
          <w:lang w:val="es-ES"/>
        </w:rPr>
      </w:pPr>
      <w:r w:rsidRPr="0078356A">
        <w:rPr>
          <w:rStyle w:val="Refdenotaalpie"/>
          <w:rFonts w:ascii="Arial" w:hAnsi="Arial" w:cs="Arial"/>
          <w:sz w:val="19"/>
          <w:szCs w:val="19"/>
        </w:rPr>
        <w:footnoteRef/>
      </w:r>
      <w:r w:rsidRPr="0078356A">
        <w:rPr>
          <w:rFonts w:ascii="Arial" w:hAnsi="Arial" w:cs="Arial"/>
          <w:sz w:val="19"/>
          <w:szCs w:val="19"/>
        </w:rPr>
        <w:t xml:space="preserve"> </w:t>
      </w:r>
      <w:r w:rsidRPr="00806285">
        <w:rPr>
          <w:rFonts w:ascii="Arial" w:hAnsi="Arial" w:cs="Arial"/>
          <w:bCs/>
          <w:sz w:val="19"/>
          <w:szCs w:val="19"/>
          <w:lang w:val="es-ES"/>
        </w:rPr>
        <w:t xml:space="preserve">Sobre este aspecto, </w:t>
      </w:r>
      <w:r w:rsidR="00E43492">
        <w:rPr>
          <w:rFonts w:ascii="Arial" w:hAnsi="Arial" w:cs="Arial"/>
          <w:bCs/>
          <w:sz w:val="19"/>
          <w:szCs w:val="19"/>
          <w:lang w:val="es-ES"/>
        </w:rPr>
        <w:t>la guía explica que</w:t>
      </w:r>
      <w:r>
        <w:rPr>
          <w:rFonts w:ascii="Arial" w:hAnsi="Arial" w:cs="Arial"/>
          <w:bCs/>
          <w:sz w:val="19"/>
          <w:szCs w:val="19"/>
          <w:lang w:val="es-ES"/>
        </w:rPr>
        <w:t xml:space="preserve"> «</w:t>
      </w:r>
      <w:r w:rsidRPr="00806285">
        <w:rPr>
          <w:rFonts w:ascii="Arial" w:hAnsi="Arial" w:cs="Arial"/>
          <w:bCs/>
          <w:sz w:val="19"/>
          <w:szCs w:val="19"/>
          <w:lang w:val="es-CO"/>
        </w:rPr>
        <w:t>Quien incumpla los parámetros definidos en el Decreto 1082 de 2015 y en los Documentos Tipo responderá ante las autoridades correspondientes. Por tanto, quien evidencie el incumplimiento de las condiciones de los Documentos Tipo debe hacer la denuncia correspondiente a las autoridades competentes. Por tal razón, es importante resaltar la labor colaborativa que realizan los interesados en los procesos de selección, para establecer e identificar las oportunidades de mejora, e identificar las situaciones contrarias a la normativa vigente</w:t>
      </w:r>
      <w:r>
        <w:rPr>
          <w:rFonts w:ascii="Arial" w:hAnsi="Arial" w:cs="Arial"/>
          <w:bCs/>
          <w:sz w:val="19"/>
          <w:szCs w:val="19"/>
          <w:lang w:val="es-CO"/>
        </w:rPr>
        <w:t>»</w:t>
      </w:r>
      <w:r w:rsidR="00E42B97">
        <w:rPr>
          <w:rFonts w:ascii="Arial" w:hAnsi="Arial" w:cs="Arial"/>
          <w:bCs/>
          <w:sz w:val="19"/>
          <w:szCs w:val="19"/>
          <w:lang w:val="es-CO"/>
        </w:rPr>
        <w:t xml:space="preserve"> (Cfr. </w:t>
      </w:r>
      <w:hyperlink r:id="rId1" w:history="1">
        <w:r w:rsidR="00E42B97" w:rsidRPr="0078356A">
          <w:rPr>
            <w:rStyle w:val="Hipervnculo"/>
            <w:rFonts w:ascii="Arial" w:hAnsi="Arial" w:cs="Arial"/>
            <w:bCs/>
            <w:color w:val="0E63A8" w:themeColor="text2"/>
            <w:sz w:val="19"/>
            <w:szCs w:val="19"/>
            <w:lang w:val="es-CO"/>
          </w:rPr>
          <w:t>https://www.colombiacompra.gov.co/sites/cce_public/files/cce_documents/guia_para_la_comprension_e_implementacion_de_los_documentos_tipo_obra_publica_de_infraestructura_transporte_-_cce-eicp-gi12.pdf</w:t>
        </w:r>
      </w:hyperlink>
      <w:r w:rsidR="00E42B97">
        <w:rPr>
          <w:rFonts w:ascii="Arial" w:hAnsi="Arial" w:cs="Arial"/>
          <w:bCs/>
          <w:sz w:val="19"/>
          <w:szCs w:val="19"/>
          <w:lang w:val="es-CO"/>
        </w:rPr>
        <w:t>)</w:t>
      </w:r>
      <w:r w:rsidRPr="00806285">
        <w:rPr>
          <w:rFonts w:ascii="Arial" w:hAnsi="Arial" w:cs="Arial"/>
          <w:bCs/>
          <w:sz w:val="19"/>
          <w:szCs w:val="19"/>
          <w:lang w:val="es-CO"/>
        </w:rPr>
        <w:t xml:space="preserve">. </w:t>
      </w:r>
      <w:r w:rsidRPr="00806285">
        <w:rPr>
          <w:rFonts w:ascii="Arial" w:hAnsi="Arial" w:cs="Arial"/>
          <w:bCs/>
          <w:sz w:val="19"/>
          <w:szCs w:val="19"/>
          <w:lang w:val="es-ES"/>
        </w:rPr>
        <w:t xml:space="preserve"> </w:t>
      </w:r>
      <w:r w:rsidRPr="00806285">
        <w:rPr>
          <w:rFonts w:ascii="Arial" w:hAnsi="Arial" w:cs="Arial"/>
          <w:sz w:val="19"/>
          <w:szCs w:val="19"/>
          <w:lang w:val="es-CO"/>
        </w:rPr>
        <w:t xml:space="preserve">  </w:t>
      </w:r>
    </w:p>
    <w:p w14:paraId="15C70758" w14:textId="4F5CDC77" w:rsidR="00806285" w:rsidRPr="0078356A" w:rsidRDefault="00806285" w:rsidP="0078356A">
      <w:pPr>
        <w:pStyle w:val="Textonotapie"/>
        <w:ind w:firstLine="708"/>
        <w:jc w:val="both"/>
        <w:rPr>
          <w:rFonts w:ascii="Arial" w:hAnsi="Arial" w:cs="Arial"/>
          <w:sz w:val="19"/>
          <w:szCs w:val="19"/>
          <w:lang w:val="es-ES"/>
        </w:rPr>
      </w:pPr>
    </w:p>
  </w:footnote>
  <w:footnote w:id="13">
    <w:p w14:paraId="0E3A2409" w14:textId="130EF32E" w:rsidR="000F2666" w:rsidRPr="0078356A" w:rsidRDefault="000F2666" w:rsidP="0078356A">
      <w:pPr>
        <w:pStyle w:val="Textonotapie"/>
        <w:ind w:firstLine="708"/>
        <w:jc w:val="both"/>
        <w:rPr>
          <w:rFonts w:ascii="Arial" w:hAnsi="Arial" w:cs="Arial"/>
          <w:sz w:val="19"/>
          <w:szCs w:val="19"/>
          <w:lang w:val="es-ES"/>
        </w:rPr>
      </w:pPr>
      <w:r w:rsidRPr="0078356A">
        <w:rPr>
          <w:rStyle w:val="Refdenotaalpie"/>
          <w:rFonts w:ascii="Arial" w:hAnsi="Arial" w:cs="Arial"/>
          <w:sz w:val="19"/>
          <w:szCs w:val="19"/>
        </w:rPr>
        <w:footnoteRef/>
      </w:r>
      <w:r w:rsidRPr="0078356A">
        <w:rPr>
          <w:rFonts w:ascii="Arial" w:hAnsi="Arial" w:cs="Arial"/>
          <w:sz w:val="19"/>
          <w:szCs w:val="19"/>
        </w:rPr>
        <w:t xml:space="preserve"> </w:t>
      </w:r>
      <w:r>
        <w:rPr>
          <w:rFonts w:ascii="Arial" w:hAnsi="Arial" w:cs="Arial"/>
          <w:sz w:val="19"/>
          <w:szCs w:val="19"/>
        </w:rPr>
        <w:t>Ibidem.</w:t>
      </w:r>
    </w:p>
  </w:footnote>
  <w:footnote w:id="14">
    <w:p w14:paraId="0152C866" w14:textId="77777777" w:rsidR="001A74C1" w:rsidRPr="00A1224A" w:rsidRDefault="001A74C1" w:rsidP="001A74C1">
      <w:pPr>
        <w:spacing w:line="244" w:lineRule="auto"/>
        <w:ind w:left="120" w:firstLine="707"/>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position w:val="6"/>
          <w:sz w:val="19"/>
          <w:szCs w:val="19"/>
        </w:rPr>
        <w:t xml:space="preserve"> </w:t>
      </w:r>
      <w:r w:rsidRPr="00A1224A">
        <w:rPr>
          <w:rFonts w:ascii="Arial" w:hAnsi="Arial" w:cs="Arial"/>
          <w:sz w:val="19"/>
          <w:szCs w:val="19"/>
        </w:rPr>
        <w:t>DEIK ACOSTAMADIEDO, Carolina, Guía de Contratación Estatal: Deber de planeación y modalidades de selección, Buenos Aires, 2015, p. 59.</w:t>
      </w:r>
    </w:p>
    <w:p w14:paraId="5FDEB131" w14:textId="77777777" w:rsidR="001A74C1" w:rsidRPr="00A1224A" w:rsidRDefault="001A74C1" w:rsidP="001A74C1">
      <w:pPr>
        <w:pStyle w:val="Textonotapie"/>
        <w:rPr>
          <w:rFonts w:ascii="Arial" w:hAnsi="Arial" w:cs="Arial"/>
        </w:rPr>
      </w:pPr>
    </w:p>
  </w:footnote>
  <w:footnote w:id="15">
    <w:p w14:paraId="7D409138" w14:textId="77777777" w:rsidR="001A74C1" w:rsidRPr="00A1224A" w:rsidRDefault="001A74C1" w:rsidP="001A74C1">
      <w:pPr>
        <w:pStyle w:val="Textonotapie"/>
        <w:ind w:firstLine="709"/>
        <w:jc w:val="both"/>
        <w:rPr>
          <w:rFonts w:ascii="Arial" w:hAnsi="Arial" w:cs="Arial"/>
          <w:sz w:val="19"/>
          <w:szCs w:val="19"/>
          <w:lang w:val="pt-BR"/>
        </w:rPr>
      </w:pPr>
      <w:r w:rsidRPr="00A1224A">
        <w:rPr>
          <w:rFonts w:ascii="Arial" w:hAnsi="Arial" w:cs="Arial"/>
          <w:sz w:val="19"/>
          <w:szCs w:val="19"/>
          <w:lang w:val="pt-BR"/>
        </w:rPr>
        <w:t xml:space="preserve">   </w:t>
      </w:r>
      <w:r w:rsidRPr="00A1224A">
        <w:rPr>
          <w:rStyle w:val="Refdenotaalpie"/>
          <w:rFonts w:ascii="Arial" w:hAnsi="Arial" w:cs="Arial"/>
          <w:sz w:val="19"/>
          <w:szCs w:val="19"/>
        </w:rPr>
        <w:footnoteRef/>
      </w:r>
      <w:r w:rsidRPr="00A1224A">
        <w:rPr>
          <w:rFonts w:ascii="Arial" w:hAnsi="Arial" w:cs="Arial"/>
          <w:sz w:val="19"/>
          <w:szCs w:val="19"/>
          <w:lang w:val="pt-BR"/>
        </w:rPr>
        <w:t xml:space="preserve"> Tomado de </w:t>
      </w:r>
      <w:hyperlink r:id="rId2" w:history="1">
        <w:r w:rsidRPr="0078356A">
          <w:rPr>
            <w:rStyle w:val="Hipervnculo"/>
            <w:rFonts w:ascii="Arial" w:hAnsi="Arial" w:cs="Arial"/>
            <w:color w:val="0E63A8" w:themeColor="text2"/>
            <w:sz w:val="19"/>
            <w:szCs w:val="19"/>
            <w:lang w:val="pt-BR"/>
          </w:rPr>
          <w:t>https://sintesis.colombiacompra.gov.co/sintesis/9-etapa-precontractual-estudios-previos</w:t>
        </w:r>
      </w:hyperlink>
      <w:r w:rsidRPr="00A1224A">
        <w:rPr>
          <w:rFonts w:ascii="Arial" w:hAnsi="Arial" w:cs="Arial"/>
          <w:sz w:val="19"/>
          <w:szCs w:val="19"/>
          <w:lang w:val="pt-BR"/>
        </w:rPr>
        <w:t>.</w:t>
      </w:r>
    </w:p>
    <w:p w14:paraId="311016A4" w14:textId="77777777" w:rsidR="001A74C1" w:rsidRPr="00A1224A" w:rsidRDefault="001A74C1" w:rsidP="001A74C1">
      <w:pPr>
        <w:pStyle w:val="Textonotapie"/>
        <w:ind w:left="142" w:firstLine="709"/>
        <w:rPr>
          <w:rFonts w:ascii="Arial" w:hAnsi="Arial" w:cs="Arial"/>
          <w:sz w:val="19"/>
          <w:szCs w:val="19"/>
          <w:lang w:val="pt-BR"/>
        </w:rPr>
      </w:pPr>
    </w:p>
  </w:footnote>
  <w:footnote w:id="16">
    <w:p w14:paraId="514170D0" w14:textId="77777777" w:rsidR="001A74C1" w:rsidRPr="00A1224A" w:rsidRDefault="001A74C1" w:rsidP="001A74C1">
      <w:pPr>
        <w:pStyle w:val="Textoindependiente"/>
        <w:ind w:right="103" w:firstLine="709"/>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w:t>
      </w:r>
      <w:r w:rsidRPr="00A1224A">
        <w:rPr>
          <w:rFonts w:ascii="Arial" w:hAnsi="Arial" w:cs="Arial"/>
          <w:position w:val="6"/>
          <w:sz w:val="19"/>
          <w:szCs w:val="19"/>
        </w:rPr>
        <w:t xml:space="preserve"> </w:t>
      </w:r>
      <w:r w:rsidRPr="00A1224A">
        <w:rPr>
          <w:rFonts w:ascii="Arial" w:hAnsi="Arial" w:cs="Arial"/>
          <w:sz w:val="19"/>
          <w:szCs w:val="19"/>
        </w:rPr>
        <w:t xml:space="preserve">«Artículo </w:t>
      </w:r>
      <w:bookmarkStart w:id="12" w:name="_Hlk54173885"/>
      <w:r w:rsidRPr="00A1224A">
        <w:rPr>
          <w:rFonts w:ascii="Arial" w:hAnsi="Arial" w:cs="Arial"/>
          <w:sz w:val="19"/>
          <w:szCs w:val="19"/>
        </w:rPr>
        <w:t>2.2.1.1.2.1.1</w:t>
      </w:r>
      <w:bookmarkEnd w:id="12"/>
      <w:r w:rsidRPr="00A1224A">
        <w:rPr>
          <w:rFonts w:ascii="Arial" w:hAnsi="Arial" w:cs="Arial"/>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5691B03B" w14:textId="77777777" w:rsidR="001A74C1" w:rsidRPr="00A1224A" w:rsidRDefault="001A74C1" w:rsidP="001A74C1">
      <w:pPr>
        <w:pStyle w:val="Textonotapie"/>
        <w:ind w:firstLine="709"/>
        <w:rPr>
          <w:rFonts w:ascii="Arial" w:hAnsi="Arial" w:cs="Arial"/>
          <w:sz w:val="19"/>
          <w:szCs w:val="19"/>
        </w:rPr>
      </w:pPr>
    </w:p>
  </w:footnote>
  <w:footnote w:id="17">
    <w:p w14:paraId="2E22AB04" w14:textId="77777777" w:rsidR="001A74C1" w:rsidRPr="00A1224A" w:rsidRDefault="001A74C1" w:rsidP="0078356A">
      <w:pPr>
        <w:pStyle w:val="Textoindependiente"/>
        <w:spacing w:before="1" w:after="0"/>
        <w:ind w:right="108" w:firstLine="709"/>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Consejo de Estado, Sala de lo Contencioso Administrativo. Sección Tercera, Subsección B,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3077B4B" w14:textId="77777777" w:rsidR="001A74C1" w:rsidRPr="00A1224A" w:rsidRDefault="001A74C1" w:rsidP="001A74C1">
      <w:pPr>
        <w:pStyle w:val="Textonotapie"/>
        <w:rPr>
          <w:rFonts w:ascii="Arial" w:hAnsi="Arial" w:cs="Arial"/>
        </w:rPr>
      </w:pPr>
    </w:p>
  </w:footnote>
  <w:footnote w:id="18">
    <w:p w14:paraId="5111A09F" w14:textId="77777777" w:rsidR="001A74C1" w:rsidRPr="00A1224A" w:rsidRDefault="001A74C1" w:rsidP="001A74C1">
      <w:pPr>
        <w:ind w:left="709"/>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w:t>
      </w:r>
      <w:r w:rsidRPr="00A1224A">
        <w:rPr>
          <w:rFonts w:ascii="Arial" w:hAnsi="Arial" w:cs="Arial"/>
          <w:i/>
          <w:sz w:val="19"/>
          <w:szCs w:val="19"/>
        </w:rPr>
        <w:t xml:space="preserve">Ibidem, </w:t>
      </w:r>
      <w:r w:rsidRPr="00A1224A">
        <w:rPr>
          <w:rFonts w:ascii="Arial" w:hAnsi="Arial" w:cs="Arial"/>
          <w:sz w:val="19"/>
          <w:szCs w:val="19"/>
        </w:rPr>
        <w:t>p. 70.</w:t>
      </w:r>
    </w:p>
    <w:p w14:paraId="2C4BCC55" w14:textId="77777777" w:rsidR="001A74C1" w:rsidRPr="00A1224A" w:rsidRDefault="001A74C1" w:rsidP="001A74C1">
      <w:pPr>
        <w:spacing w:before="78"/>
        <w:ind w:left="828"/>
        <w:rPr>
          <w:rFonts w:ascii="Arial" w:hAnsi="Arial" w:cs="Arial"/>
          <w:sz w:val="22"/>
        </w:rPr>
      </w:pPr>
    </w:p>
  </w:footnote>
  <w:footnote w:id="19">
    <w:p w14:paraId="76A65A54" w14:textId="66D30382" w:rsidR="00DB7735" w:rsidRDefault="00DB7735" w:rsidP="00DB7735">
      <w:pPr>
        <w:pStyle w:val="Textonotapie"/>
        <w:ind w:firstLine="705"/>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83A780E" w14:textId="77777777" w:rsidR="00213914" w:rsidRPr="00A1224A" w:rsidRDefault="00213914" w:rsidP="00DB7735">
      <w:pPr>
        <w:pStyle w:val="Textonotapie"/>
        <w:ind w:firstLine="705"/>
        <w:jc w:val="both"/>
        <w:rPr>
          <w:rFonts w:ascii="Arial" w:hAnsi="Arial" w:cs="Arial"/>
          <w:sz w:val="19"/>
          <w:szCs w:val="19"/>
          <w:lang w:val="es-CO"/>
        </w:rPr>
      </w:pPr>
    </w:p>
  </w:footnote>
  <w:footnote w:id="20">
    <w:p w14:paraId="7041779B" w14:textId="066724C7" w:rsidR="00213914" w:rsidRPr="0078356A" w:rsidRDefault="00213914" w:rsidP="0078356A">
      <w:pPr>
        <w:pStyle w:val="Textonotapie"/>
        <w:ind w:firstLine="705"/>
        <w:jc w:val="both"/>
        <w:rPr>
          <w:rFonts w:ascii="Arial" w:hAnsi="Arial" w:cs="Arial"/>
          <w:sz w:val="19"/>
          <w:szCs w:val="19"/>
          <w:lang w:val="es-ES"/>
        </w:rPr>
      </w:pPr>
      <w:r w:rsidRPr="0078356A">
        <w:rPr>
          <w:rStyle w:val="Refdenotaalpie"/>
          <w:rFonts w:ascii="Arial" w:hAnsi="Arial" w:cs="Arial"/>
          <w:sz w:val="19"/>
          <w:szCs w:val="19"/>
        </w:rPr>
        <w:footnoteRef/>
      </w:r>
      <w:r w:rsidRPr="0078356A">
        <w:rPr>
          <w:rFonts w:ascii="Arial" w:hAnsi="Arial" w:cs="Arial"/>
          <w:sz w:val="19"/>
          <w:szCs w:val="19"/>
        </w:rPr>
        <w:t xml:space="preserve"> </w:t>
      </w:r>
      <w:r w:rsidRPr="00213914">
        <w:rPr>
          <w:rFonts w:ascii="Arial" w:hAnsi="Arial" w:cs="Arial"/>
          <w:sz w:val="19"/>
          <w:szCs w:val="19"/>
        </w:rPr>
        <w:t>En efecto, la «Guía para la comprensión e implementación de los Documentos Tipo de obra pública de infraestructura de transporte bajo las diferentes modalidades de contratación vigentes» explica lo siguiente</w:t>
      </w:r>
      <w:r w:rsidR="007C2FA2">
        <w:rPr>
          <w:rFonts w:ascii="Arial" w:hAnsi="Arial" w:cs="Arial"/>
          <w:sz w:val="19"/>
          <w:szCs w:val="19"/>
        </w:rPr>
        <w:t xml:space="preserve">: «[…] </w:t>
      </w:r>
      <w:r w:rsidR="007C2FA2" w:rsidRPr="007C2FA2">
        <w:rPr>
          <w:rFonts w:ascii="Arial" w:hAnsi="Arial" w:cs="Arial"/>
          <w:sz w:val="19"/>
          <w:szCs w:val="19"/>
          <w:lang w:val="es-CO"/>
        </w:rPr>
        <w:t>como parte del análisis de las condiciones económicas del sector se establecen los indicadores de capacidad financiera y organizacional del proceso de selección, los cuales ya se encuentran establecidos en los Documentos Tipo. Por tal motivo, este aspecto en particular se encuentra previamente estandarizado</w:t>
      </w:r>
      <w:r w:rsidR="007C2FA2">
        <w:rPr>
          <w:rFonts w:ascii="Arial" w:hAnsi="Arial" w:cs="Arial"/>
          <w:sz w:val="19"/>
          <w:szCs w:val="19"/>
          <w:lang w:val="es-CO"/>
        </w:rPr>
        <w:t xml:space="preserve"> […]» (Cfr. </w:t>
      </w:r>
      <w:hyperlink r:id="rId3" w:history="1">
        <w:r w:rsidR="001E45B6" w:rsidRPr="0078356A">
          <w:rPr>
            <w:rStyle w:val="Hipervnculo"/>
            <w:rFonts w:ascii="Arial" w:hAnsi="Arial" w:cs="Arial"/>
            <w:color w:val="0E63A8" w:themeColor="text2"/>
            <w:sz w:val="19"/>
            <w:szCs w:val="19"/>
            <w:lang w:val="es-CO"/>
          </w:rPr>
          <w:t>https://www.colombiacompra.gov.co/sites/cce_public/files/cce_documents/guia_para_la_comprension_e_implementacion_de_los_documentos_tipo_obra_publica_de_infraestructura_transporte_-_cce-eicp-gi12.pdf</w:t>
        </w:r>
      </w:hyperlink>
      <w:r w:rsidR="001E45B6">
        <w:rPr>
          <w:rFonts w:ascii="Arial" w:hAnsi="Arial" w:cs="Arial"/>
          <w:sz w:val="19"/>
          <w:szCs w:val="19"/>
          <w:lang w:val="es-CO"/>
        </w:rPr>
        <w:t xml:space="preserve">). </w:t>
      </w:r>
    </w:p>
  </w:footnote>
  <w:footnote w:id="21">
    <w:p w14:paraId="56C1D85B" w14:textId="77777777" w:rsidR="0018574F" w:rsidRPr="00A1224A" w:rsidRDefault="0018574F" w:rsidP="0018574F">
      <w:pPr>
        <w:pStyle w:val="Textonotapie"/>
        <w:ind w:firstLine="705"/>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 </w:t>
      </w:r>
    </w:p>
    <w:p w14:paraId="659604DB" w14:textId="77777777" w:rsidR="0018574F" w:rsidRPr="00A1224A" w:rsidRDefault="0018574F" w:rsidP="0018574F">
      <w:pPr>
        <w:pStyle w:val="Textonotapie"/>
        <w:ind w:firstLine="705"/>
        <w:jc w:val="both"/>
        <w:rPr>
          <w:rFonts w:ascii="Arial" w:hAnsi="Arial" w:cs="Arial"/>
          <w:sz w:val="19"/>
          <w:szCs w:val="19"/>
        </w:rPr>
      </w:pPr>
      <w:r w:rsidRPr="00A1224A">
        <w:rPr>
          <w:rFonts w:ascii="Arial" w:hAnsi="Arial" w:cs="Arial"/>
          <w:sz w:val="19"/>
          <w:szCs w:val="19"/>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474531AE" w14:textId="77777777" w:rsidR="0018574F" w:rsidRPr="00A1224A" w:rsidRDefault="0018574F" w:rsidP="0018574F">
      <w:pPr>
        <w:pStyle w:val="Textonotapie"/>
        <w:ind w:firstLine="705"/>
        <w:jc w:val="both"/>
        <w:rPr>
          <w:rFonts w:ascii="Arial" w:hAnsi="Arial" w:cs="Arial"/>
          <w:lang w:val="es-CO"/>
        </w:rPr>
      </w:pPr>
      <w:r w:rsidRPr="00A1224A">
        <w:rPr>
          <w:rFonts w:ascii="Arial" w:hAnsi="Arial" w:cs="Arial"/>
          <w:sz w:val="19"/>
          <w:szCs w:val="19"/>
        </w:rPr>
        <w:t>»En la subasta inversa esta disposición es aplicable sobre el precio obtenido al final de la misma».</w:t>
      </w:r>
    </w:p>
  </w:footnote>
  <w:footnote w:id="22">
    <w:p w14:paraId="5C877730" w14:textId="77777777" w:rsidR="004E435F" w:rsidRPr="00A1224A" w:rsidRDefault="004E435F" w:rsidP="004E435F">
      <w:pPr>
        <w:spacing w:after="120"/>
        <w:ind w:firstLine="708"/>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Los referidos documentos disponen «</w:t>
      </w:r>
      <w:r w:rsidRPr="00A1224A">
        <w:rPr>
          <w:rFonts w:ascii="Arial" w:hAnsi="Arial" w:cs="Arial"/>
          <w:color w:val="565659"/>
          <w:sz w:val="19"/>
          <w:szCs w:val="19"/>
        </w:rPr>
        <w:t>[</w:t>
      </w:r>
      <w:r w:rsidRPr="00A1224A">
        <w:rPr>
          <w:rFonts w:ascii="Arial" w:eastAsia="Arial" w:hAnsi="Arial" w:cs="Arial"/>
          <w:sz w:val="19"/>
          <w:szCs w:val="19"/>
          <w:lang w:eastAsia="es-ES"/>
        </w:rPr>
        <w:t>Por regla general, el Proponente solo puede acreditar la experiencia que ha obtenido y no la experiencia de su matriz, subsidiarias o integrantes del mismo grupo empresarial. No obstante, si de acuerdo con el estudio de sector es necesario que el Proponente acredite la experiencia de su matriz como en los casos de contratos de franquicia, la Entidad Estatal debe justificar dicha circunstancia en los estudios y documentos previos e indicar en el pliego de condiciones la forma de acreditar la experiencia que no aparece en el RUP]».</w:t>
      </w:r>
    </w:p>
    <w:p w14:paraId="53F4631F" w14:textId="77777777" w:rsidR="004E435F" w:rsidRPr="00A1224A" w:rsidRDefault="004E435F" w:rsidP="004E435F">
      <w:pPr>
        <w:pStyle w:val="Textonotapie"/>
        <w:ind w:firstLine="705"/>
        <w:rPr>
          <w:rFonts w:ascii="Arial" w:hAnsi="Arial" w:cs="Arial"/>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A4E379C"/>
    <w:multiLevelType w:val="hybridMultilevel"/>
    <w:tmpl w:val="9A540D78"/>
    <w:lvl w:ilvl="0" w:tplc="FD265EFA">
      <w:start w:val="1"/>
      <w:numFmt w:val="decimal"/>
      <w:pStyle w:val="clusulas"/>
      <w:lvlText w:val="CLÁUSULA %1."/>
      <w:lvlJc w:val="left"/>
      <w:pPr>
        <w:ind w:left="9150" w:hanging="360"/>
      </w:pPr>
      <w:rPr>
        <w:rFonts w:hint="default"/>
        <w:b/>
        <w:color w:val="B5B5B5" w:themeColor="background2" w:themeShade="BF"/>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6036A2"/>
    <w:multiLevelType w:val="multilevel"/>
    <w:tmpl w:val="A6185EC2"/>
    <w:lvl w:ilvl="0">
      <w:start w:val="1"/>
      <w:numFmt w:val="decimal"/>
      <w:lvlText w:val="%1."/>
      <w:lvlJc w:val="left"/>
      <w:pPr>
        <w:ind w:left="44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870" w:hanging="720"/>
      </w:pPr>
      <w:rPr>
        <w:rFonts w:ascii="Arial" w:eastAsia="Arial" w:hAnsi="Arial" w:cs="Arial" w:hint="default"/>
        <w:b/>
        <w:bCs/>
        <w:color w:val="000000" w:themeColor="text1"/>
        <w:spacing w:val="-4"/>
        <w:w w:val="100"/>
        <w:sz w:val="22"/>
        <w:szCs w:val="22"/>
        <w:lang w:val="es-ES" w:eastAsia="en-US" w:bidi="ar-SA"/>
      </w:rPr>
    </w:lvl>
    <w:lvl w:ilvl="2">
      <w:start w:val="1"/>
      <w:numFmt w:val="decimal"/>
      <w:lvlText w:val="%3."/>
      <w:lvlJc w:val="left"/>
      <w:pPr>
        <w:ind w:left="868" w:hanging="223"/>
      </w:pPr>
      <w:rPr>
        <w:rFonts w:ascii="Arial" w:eastAsia="Arial" w:hAnsi="Arial" w:cs="Arial" w:hint="default"/>
        <w:color w:val="000000" w:themeColor="text1"/>
        <w:spacing w:val="-2"/>
        <w:w w:val="100"/>
        <w:sz w:val="20"/>
        <w:szCs w:val="20"/>
        <w:lang w:val="es-ES" w:eastAsia="en-US" w:bidi="ar-SA"/>
      </w:rPr>
    </w:lvl>
    <w:lvl w:ilvl="3">
      <w:numFmt w:val="bullet"/>
      <w:lvlText w:val="•"/>
      <w:lvlJc w:val="left"/>
      <w:pPr>
        <w:ind w:left="1927" w:hanging="223"/>
      </w:pPr>
      <w:rPr>
        <w:rFonts w:hint="default"/>
        <w:lang w:val="es-ES" w:eastAsia="en-US" w:bidi="ar-SA"/>
      </w:rPr>
    </w:lvl>
    <w:lvl w:ilvl="4">
      <w:numFmt w:val="bullet"/>
      <w:lvlText w:val="•"/>
      <w:lvlJc w:val="left"/>
      <w:pPr>
        <w:ind w:left="2975" w:hanging="223"/>
      </w:pPr>
      <w:rPr>
        <w:rFonts w:hint="default"/>
        <w:lang w:val="es-ES" w:eastAsia="en-US" w:bidi="ar-SA"/>
      </w:rPr>
    </w:lvl>
    <w:lvl w:ilvl="5">
      <w:numFmt w:val="bullet"/>
      <w:lvlText w:val="•"/>
      <w:lvlJc w:val="left"/>
      <w:pPr>
        <w:ind w:left="4022" w:hanging="223"/>
      </w:pPr>
      <w:rPr>
        <w:rFonts w:hint="default"/>
        <w:lang w:val="es-ES" w:eastAsia="en-US" w:bidi="ar-SA"/>
      </w:rPr>
    </w:lvl>
    <w:lvl w:ilvl="6">
      <w:numFmt w:val="bullet"/>
      <w:lvlText w:val="•"/>
      <w:lvlJc w:val="left"/>
      <w:pPr>
        <w:ind w:left="5070" w:hanging="223"/>
      </w:pPr>
      <w:rPr>
        <w:rFonts w:hint="default"/>
        <w:lang w:val="es-ES" w:eastAsia="en-US" w:bidi="ar-SA"/>
      </w:rPr>
    </w:lvl>
    <w:lvl w:ilvl="7">
      <w:numFmt w:val="bullet"/>
      <w:lvlText w:val="•"/>
      <w:lvlJc w:val="left"/>
      <w:pPr>
        <w:ind w:left="6117" w:hanging="223"/>
      </w:pPr>
      <w:rPr>
        <w:rFonts w:hint="default"/>
        <w:lang w:val="es-ES" w:eastAsia="en-US" w:bidi="ar-SA"/>
      </w:rPr>
    </w:lvl>
    <w:lvl w:ilvl="8">
      <w:numFmt w:val="bullet"/>
      <w:lvlText w:val="•"/>
      <w:lvlJc w:val="left"/>
      <w:pPr>
        <w:ind w:left="7165" w:hanging="223"/>
      </w:pPr>
      <w:rPr>
        <w:rFonts w:hint="default"/>
        <w:lang w:val="es-ES" w:eastAsia="en-US" w:bidi="ar-SA"/>
      </w:r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5"/>
  </w:num>
  <w:num w:numId="4">
    <w:abstractNumId w:val="20"/>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4"/>
  </w:num>
  <w:num w:numId="14">
    <w:abstractNumId w:val="8"/>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6"/>
  </w:num>
  <w:num w:numId="19">
    <w:abstractNumId w:val="2"/>
  </w:num>
  <w:num w:numId="20">
    <w:abstractNumId w:val="27"/>
  </w:num>
  <w:num w:numId="21">
    <w:abstractNumId w:val="18"/>
  </w:num>
  <w:num w:numId="22">
    <w:abstractNumId w:val="6"/>
  </w:num>
  <w:num w:numId="23">
    <w:abstractNumId w:val="5"/>
  </w:num>
  <w:num w:numId="24">
    <w:abstractNumId w:val="25"/>
  </w:num>
  <w:num w:numId="25">
    <w:abstractNumId w:val="21"/>
  </w:num>
  <w:num w:numId="26">
    <w:abstractNumId w:val="3"/>
  </w:num>
  <w:num w:numId="27">
    <w:abstractNumId w:val="17"/>
  </w:num>
  <w:num w:numId="28">
    <w:abstractNumId w:val="7"/>
  </w:num>
  <w:num w:numId="29">
    <w:abstractNumId w:val="1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activeWritingStyle w:appName="MSWord" w:lang="pt-BR" w:vendorID="64" w:dllVersion="0" w:nlCheck="1" w:checkStyle="0"/>
  <w:activeWritingStyle w:appName="MSWord" w:lang="es-ES_tradnl" w:vendorID="64" w:dllVersion="131078" w:nlCheck="1" w:checkStyle="1"/>
  <w:activeWritingStyle w:appName="MSWord" w:lang="es-CO" w:vendorID="64" w:dllVersion="131078" w:nlCheck="1" w:checkStyle="1"/>
  <w:activeWritingStyle w:appName="MSWord" w:lang="es-ES" w:vendorID="64" w:dllVersion="131078" w:nlCheck="1" w:checkStyle="1"/>
  <w:activeWritingStyle w:appName="MSWord" w:lang="es-MX" w:vendorID="64" w:dllVersion="131078" w:nlCheck="1" w:checkStyle="1"/>
  <w:activeWritingStyle w:appName="MSWord" w:lang="pt-BR"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0F5"/>
    <w:rsid w:val="00000559"/>
    <w:rsid w:val="000011A5"/>
    <w:rsid w:val="0000162E"/>
    <w:rsid w:val="00001A1C"/>
    <w:rsid w:val="00001FFD"/>
    <w:rsid w:val="00002027"/>
    <w:rsid w:val="000020FE"/>
    <w:rsid w:val="00002173"/>
    <w:rsid w:val="000031A8"/>
    <w:rsid w:val="00003C5C"/>
    <w:rsid w:val="00003D39"/>
    <w:rsid w:val="000040D7"/>
    <w:rsid w:val="00004556"/>
    <w:rsid w:val="00004AAC"/>
    <w:rsid w:val="00004D14"/>
    <w:rsid w:val="000051AF"/>
    <w:rsid w:val="000051FE"/>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5E3E"/>
    <w:rsid w:val="00016081"/>
    <w:rsid w:val="000165AC"/>
    <w:rsid w:val="00016651"/>
    <w:rsid w:val="000171A2"/>
    <w:rsid w:val="00017B65"/>
    <w:rsid w:val="00020158"/>
    <w:rsid w:val="000207E0"/>
    <w:rsid w:val="000209E2"/>
    <w:rsid w:val="00020F8F"/>
    <w:rsid w:val="00021A95"/>
    <w:rsid w:val="0002256F"/>
    <w:rsid w:val="00023DAE"/>
    <w:rsid w:val="00024896"/>
    <w:rsid w:val="00024EE3"/>
    <w:rsid w:val="00025D0A"/>
    <w:rsid w:val="000263F0"/>
    <w:rsid w:val="00026407"/>
    <w:rsid w:val="00026608"/>
    <w:rsid w:val="00026A8D"/>
    <w:rsid w:val="00027787"/>
    <w:rsid w:val="000278D2"/>
    <w:rsid w:val="000300EE"/>
    <w:rsid w:val="00031364"/>
    <w:rsid w:val="000315E1"/>
    <w:rsid w:val="0003236E"/>
    <w:rsid w:val="0003316B"/>
    <w:rsid w:val="0003339A"/>
    <w:rsid w:val="000341F2"/>
    <w:rsid w:val="00034A6A"/>
    <w:rsid w:val="00035046"/>
    <w:rsid w:val="000351F2"/>
    <w:rsid w:val="0003562A"/>
    <w:rsid w:val="00036110"/>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235"/>
    <w:rsid w:val="000504DE"/>
    <w:rsid w:val="00050B1C"/>
    <w:rsid w:val="00051074"/>
    <w:rsid w:val="00051DC3"/>
    <w:rsid w:val="000526F0"/>
    <w:rsid w:val="0005273D"/>
    <w:rsid w:val="00052B79"/>
    <w:rsid w:val="00052E4B"/>
    <w:rsid w:val="00052EA0"/>
    <w:rsid w:val="000536A7"/>
    <w:rsid w:val="000536E3"/>
    <w:rsid w:val="00053896"/>
    <w:rsid w:val="00053A00"/>
    <w:rsid w:val="0005474D"/>
    <w:rsid w:val="00054D74"/>
    <w:rsid w:val="00055CB9"/>
    <w:rsid w:val="00056565"/>
    <w:rsid w:val="00056F66"/>
    <w:rsid w:val="0005702F"/>
    <w:rsid w:val="00061010"/>
    <w:rsid w:val="00061470"/>
    <w:rsid w:val="00061D06"/>
    <w:rsid w:val="00062CDD"/>
    <w:rsid w:val="000640AF"/>
    <w:rsid w:val="00064940"/>
    <w:rsid w:val="00064CAE"/>
    <w:rsid w:val="00064DB7"/>
    <w:rsid w:val="00064FA7"/>
    <w:rsid w:val="00065195"/>
    <w:rsid w:val="0006536C"/>
    <w:rsid w:val="00065D20"/>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C2E"/>
    <w:rsid w:val="00083EDC"/>
    <w:rsid w:val="0008457F"/>
    <w:rsid w:val="00084994"/>
    <w:rsid w:val="00084B97"/>
    <w:rsid w:val="0008510E"/>
    <w:rsid w:val="000856DE"/>
    <w:rsid w:val="00085F17"/>
    <w:rsid w:val="00085FB0"/>
    <w:rsid w:val="00085FB3"/>
    <w:rsid w:val="0008686B"/>
    <w:rsid w:val="00086B2A"/>
    <w:rsid w:val="00086C11"/>
    <w:rsid w:val="00086ED2"/>
    <w:rsid w:val="00090528"/>
    <w:rsid w:val="000914D6"/>
    <w:rsid w:val="00091569"/>
    <w:rsid w:val="00092CDB"/>
    <w:rsid w:val="00092DCA"/>
    <w:rsid w:val="000942EB"/>
    <w:rsid w:val="00094E86"/>
    <w:rsid w:val="00095B70"/>
    <w:rsid w:val="0009617E"/>
    <w:rsid w:val="0009628D"/>
    <w:rsid w:val="0009670F"/>
    <w:rsid w:val="000979CF"/>
    <w:rsid w:val="000A03C8"/>
    <w:rsid w:val="000A05F2"/>
    <w:rsid w:val="000A06C4"/>
    <w:rsid w:val="000A0861"/>
    <w:rsid w:val="000A0EC4"/>
    <w:rsid w:val="000A0ED1"/>
    <w:rsid w:val="000A1258"/>
    <w:rsid w:val="000A12DB"/>
    <w:rsid w:val="000A17C8"/>
    <w:rsid w:val="000A1B74"/>
    <w:rsid w:val="000A20D7"/>
    <w:rsid w:val="000A2128"/>
    <w:rsid w:val="000A2142"/>
    <w:rsid w:val="000A362F"/>
    <w:rsid w:val="000A3B49"/>
    <w:rsid w:val="000A46FE"/>
    <w:rsid w:val="000A47E6"/>
    <w:rsid w:val="000A52C0"/>
    <w:rsid w:val="000A5AAF"/>
    <w:rsid w:val="000A5F97"/>
    <w:rsid w:val="000A600A"/>
    <w:rsid w:val="000A648E"/>
    <w:rsid w:val="000A73BB"/>
    <w:rsid w:val="000A73E8"/>
    <w:rsid w:val="000A7EF4"/>
    <w:rsid w:val="000B081A"/>
    <w:rsid w:val="000B0A15"/>
    <w:rsid w:val="000B0B85"/>
    <w:rsid w:val="000B103F"/>
    <w:rsid w:val="000B1437"/>
    <w:rsid w:val="000B1470"/>
    <w:rsid w:val="000B244D"/>
    <w:rsid w:val="000B2B86"/>
    <w:rsid w:val="000B2F49"/>
    <w:rsid w:val="000B3051"/>
    <w:rsid w:val="000B419B"/>
    <w:rsid w:val="000B4E55"/>
    <w:rsid w:val="000B5781"/>
    <w:rsid w:val="000B5CB1"/>
    <w:rsid w:val="000B68EA"/>
    <w:rsid w:val="000B75F4"/>
    <w:rsid w:val="000C0185"/>
    <w:rsid w:val="000C0F81"/>
    <w:rsid w:val="000C128D"/>
    <w:rsid w:val="000C17A3"/>
    <w:rsid w:val="000C1D4B"/>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462"/>
    <w:rsid w:val="000D053D"/>
    <w:rsid w:val="000D0ED2"/>
    <w:rsid w:val="000D1CEB"/>
    <w:rsid w:val="000D2563"/>
    <w:rsid w:val="000D25BF"/>
    <w:rsid w:val="000D3582"/>
    <w:rsid w:val="000D3FDC"/>
    <w:rsid w:val="000D417B"/>
    <w:rsid w:val="000D47D4"/>
    <w:rsid w:val="000D490B"/>
    <w:rsid w:val="000D4E38"/>
    <w:rsid w:val="000D50DB"/>
    <w:rsid w:val="000D6288"/>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666"/>
    <w:rsid w:val="000F290F"/>
    <w:rsid w:val="000F4403"/>
    <w:rsid w:val="000F480B"/>
    <w:rsid w:val="000F4E17"/>
    <w:rsid w:val="000F5615"/>
    <w:rsid w:val="000F61EB"/>
    <w:rsid w:val="000F6578"/>
    <w:rsid w:val="000F722C"/>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B2B"/>
    <w:rsid w:val="001124C3"/>
    <w:rsid w:val="00112774"/>
    <w:rsid w:val="00112B2E"/>
    <w:rsid w:val="00113003"/>
    <w:rsid w:val="00113062"/>
    <w:rsid w:val="001131C3"/>
    <w:rsid w:val="00113705"/>
    <w:rsid w:val="00113975"/>
    <w:rsid w:val="00113CFC"/>
    <w:rsid w:val="00113FEA"/>
    <w:rsid w:val="00114A22"/>
    <w:rsid w:val="00114E9D"/>
    <w:rsid w:val="0011507B"/>
    <w:rsid w:val="00116328"/>
    <w:rsid w:val="001163CF"/>
    <w:rsid w:val="001174C9"/>
    <w:rsid w:val="00117E69"/>
    <w:rsid w:val="00121103"/>
    <w:rsid w:val="00121A9B"/>
    <w:rsid w:val="00121BAB"/>
    <w:rsid w:val="00121E3C"/>
    <w:rsid w:val="00122946"/>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486"/>
    <w:rsid w:val="00131B5A"/>
    <w:rsid w:val="00132C30"/>
    <w:rsid w:val="00132EFD"/>
    <w:rsid w:val="00133AED"/>
    <w:rsid w:val="00134BCD"/>
    <w:rsid w:val="00134E09"/>
    <w:rsid w:val="001350AB"/>
    <w:rsid w:val="00135DB9"/>
    <w:rsid w:val="0013695C"/>
    <w:rsid w:val="00136BF7"/>
    <w:rsid w:val="00136C78"/>
    <w:rsid w:val="001378B9"/>
    <w:rsid w:val="00137DE2"/>
    <w:rsid w:val="00137E75"/>
    <w:rsid w:val="00137FFA"/>
    <w:rsid w:val="00140109"/>
    <w:rsid w:val="0014029B"/>
    <w:rsid w:val="00140464"/>
    <w:rsid w:val="00140A4F"/>
    <w:rsid w:val="001413AB"/>
    <w:rsid w:val="001416FE"/>
    <w:rsid w:val="00141DBF"/>
    <w:rsid w:val="00142EFD"/>
    <w:rsid w:val="00144335"/>
    <w:rsid w:val="0014502F"/>
    <w:rsid w:val="00145282"/>
    <w:rsid w:val="001453B0"/>
    <w:rsid w:val="001454D9"/>
    <w:rsid w:val="00145D8E"/>
    <w:rsid w:val="00146083"/>
    <w:rsid w:val="001462F7"/>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4DD"/>
    <w:rsid w:val="0015571E"/>
    <w:rsid w:val="00155D08"/>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CD9"/>
    <w:rsid w:val="00167D1A"/>
    <w:rsid w:val="00167DF5"/>
    <w:rsid w:val="00170001"/>
    <w:rsid w:val="001704D7"/>
    <w:rsid w:val="00172198"/>
    <w:rsid w:val="00172612"/>
    <w:rsid w:val="00172817"/>
    <w:rsid w:val="001734E3"/>
    <w:rsid w:val="001742BF"/>
    <w:rsid w:val="001742E1"/>
    <w:rsid w:val="00175E49"/>
    <w:rsid w:val="0017649F"/>
    <w:rsid w:val="0017655B"/>
    <w:rsid w:val="001805C1"/>
    <w:rsid w:val="00180A2E"/>
    <w:rsid w:val="001813AF"/>
    <w:rsid w:val="001829CD"/>
    <w:rsid w:val="00182F01"/>
    <w:rsid w:val="001833C2"/>
    <w:rsid w:val="00184219"/>
    <w:rsid w:val="00184F27"/>
    <w:rsid w:val="0018519B"/>
    <w:rsid w:val="0018574F"/>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388B"/>
    <w:rsid w:val="00193ADE"/>
    <w:rsid w:val="00193B9A"/>
    <w:rsid w:val="001940ED"/>
    <w:rsid w:val="001946AE"/>
    <w:rsid w:val="001946D5"/>
    <w:rsid w:val="00194E8C"/>
    <w:rsid w:val="001962EC"/>
    <w:rsid w:val="001963DD"/>
    <w:rsid w:val="001965DB"/>
    <w:rsid w:val="00196D01"/>
    <w:rsid w:val="00196DC9"/>
    <w:rsid w:val="00196E95"/>
    <w:rsid w:val="001A0236"/>
    <w:rsid w:val="001A0915"/>
    <w:rsid w:val="001A09BF"/>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212"/>
    <w:rsid w:val="001A74C1"/>
    <w:rsid w:val="001A7591"/>
    <w:rsid w:val="001A75B1"/>
    <w:rsid w:val="001A7B06"/>
    <w:rsid w:val="001B0366"/>
    <w:rsid w:val="001B0444"/>
    <w:rsid w:val="001B096B"/>
    <w:rsid w:val="001B0F9F"/>
    <w:rsid w:val="001B123C"/>
    <w:rsid w:val="001B1A0D"/>
    <w:rsid w:val="001B1BF1"/>
    <w:rsid w:val="001B2456"/>
    <w:rsid w:val="001B449C"/>
    <w:rsid w:val="001B4AA2"/>
    <w:rsid w:val="001B4ADE"/>
    <w:rsid w:val="001B5530"/>
    <w:rsid w:val="001B5EF8"/>
    <w:rsid w:val="001B5F4C"/>
    <w:rsid w:val="001B71E8"/>
    <w:rsid w:val="001C07C6"/>
    <w:rsid w:val="001C19CD"/>
    <w:rsid w:val="001C22D5"/>
    <w:rsid w:val="001C2515"/>
    <w:rsid w:val="001C26FB"/>
    <w:rsid w:val="001C33C1"/>
    <w:rsid w:val="001C3518"/>
    <w:rsid w:val="001C3801"/>
    <w:rsid w:val="001C3E30"/>
    <w:rsid w:val="001C3E5C"/>
    <w:rsid w:val="001C5072"/>
    <w:rsid w:val="001C5B2A"/>
    <w:rsid w:val="001C600B"/>
    <w:rsid w:val="001C6898"/>
    <w:rsid w:val="001C6DD8"/>
    <w:rsid w:val="001C7C7B"/>
    <w:rsid w:val="001D068D"/>
    <w:rsid w:val="001D12D1"/>
    <w:rsid w:val="001D15DF"/>
    <w:rsid w:val="001D2EEE"/>
    <w:rsid w:val="001D30F3"/>
    <w:rsid w:val="001D31A0"/>
    <w:rsid w:val="001D338E"/>
    <w:rsid w:val="001D56E9"/>
    <w:rsid w:val="001D796A"/>
    <w:rsid w:val="001D7A84"/>
    <w:rsid w:val="001D7C79"/>
    <w:rsid w:val="001E003B"/>
    <w:rsid w:val="001E1CC4"/>
    <w:rsid w:val="001E1D38"/>
    <w:rsid w:val="001E28A0"/>
    <w:rsid w:val="001E320D"/>
    <w:rsid w:val="001E3FFE"/>
    <w:rsid w:val="001E4258"/>
    <w:rsid w:val="001E45B6"/>
    <w:rsid w:val="001E5140"/>
    <w:rsid w:val="001E5D6A"/>
    <w:rsid w:val="001E6A94"/>
    <w:rsid w:val="001E70FB"/>
    <w:rsid w:val="001E780A"/>
    <w:rsid w:val="001F0D15"/>
    <w:rsid w:val="001F0FA0"/>
    <w:rsid w:val="001F1349"/>
    <w:rsid w:val="001F1863"/>
    <w:rsid w:val="001F2356"/>
    <w:rsid w:val="001F2367"/>
    <w:rsid w:val="001F24FE"/>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154A"/>
    <w:rsid w:val="00201AC4"/>
    <w:rsid w:val="00201F1E"/>
    <w:rsid w:val="00202761"/>
    <w:rsid w:val="0020299B"/>
    <w:rsid w:val="00202E44"/>
    <w:rsid w:val="002037AA"/>
    <w:rsid w:val="00203FE3"/>
    <w:rsid w:val="002042D8"/>
    <w:rsid w:val="00204515"/>
    <w:rsid w:val="00204BF5"/>
    <w:rsid w:val="00204E6B"/>
    <w:rsid w:val="002053EF"/>
    <w:rsid w:val="002058D4"/>
    <w:rsid w:val="0020632A"/>
    <w:rsid w:val="0020697F"/>
    <w:rsid w:val="0020726E"/>
    <w:rsid w:val="002110EB"/>
    <w:rsid w:val="00211338"/>
    <w:rsid w:val="00211388"/>
    <w:rsid w:val="0021148C"/>
    <w:rsid w:val="00211694"/>
    <w:rsid w:val="0021201A"/>
    <w:rsid w:val="002138FE"/>
    <w:rsid w:val="00213914"/>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194E"/>
    <w:rsid w:val="002220B1"/>
    <w:rsid w:val="0022210B"/>
    <w:rsid w:val="002221CE"/>
    <w:rsid w:val="00222757"/>
    <w:rsid w:val="00222BE8"/>
    <w:rsid w:val="00223102"/>
    <w:rsid w:val="002232CB"/>
    <w:rsid w:val="00224022"/>
    <w:rsid w:val="00226055"/>
    <w:rsid w:val="0022609C"/>
    <w:rsid w:val="0022613F"/>
    <w:rsid w:val="00226236"/>
    <w:rsid w:val="002263DD"/>
    <w:rsid w:val="002270C9"/>
    <w:rsid w:val="00227A8B"/>
    <w:rsid w:val="00230F0B"/>
    <w:rsid w:val="0023146B"/>
    <w:rsid w:val="002315A0"/>
    <w:rsid w:val="00231748"/>
    <w:rsid w:val="00231EC7"/>
    <w:rsid w:val="002325AF"/>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3FD"/>
    <w:rsid w:val="00240EC1"/>
    <w:rsid w:val="0024120F"/>
    <w:rsid w:val="0024131D"/>
    <w:rsid w:val="002415B8"/>
    <w:rsid w:val="00241816"/>
    <w:rsid w:val="00242D5F"/>
    <w:rsid w:val="00242D62"/>
    <w:rsid w:val="00242E16"/>
    <w:rsid w:val="002430D0"/>
    <w:rsid w:val="002431D7"/>
    <w:rsid w:val="00244058"/>
    <w:rsid w:val="002451A6"/>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18"/>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DB6"/>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5EF3"/>
    <w:rsid w:val="0028663B"/>
    <w:rsid w:val="00286CEC"/>
    <w:rsid w:val="002870F9"/>
    <w:rsid w:val="002871A9"/>
    <w:rsid w:val="002874B9"/>
    <w:rsid w:val="00287505"/>
    <w:rsid w:val="00287BDB"/>
    <w:rsid w:val="00290781"/>
    <w:rsid w:val="00291454"/>
    <w:rsid w:val="00291784"/>
    <w:rsid w:val="002920DF"/>
    <w:rsid w:val="002929BB"/>
    <w:rsid w:val="00293AEE"/>
    <w:rsid w:val="00294368"/>
    <w:rsid w:val="00294B78"/>
    <w:rsid w:val="00294F16"/>
    <w:rsid w:val="00295416"/>
    <w:rsid w:val="002956FB"/>
    <w:rsid w:val="00295949"/>
    <w:rsid w:val="00295D7C"/>
    <w:rsid w:val="0029624A"/>
    <w:rsid w:val="00296922"/>
    <w:rsid w:val="00297098"/>
    <w:rsid w:val="002A05D4"/>
    <w:rsid w:val="002A06DB"/>
    <w:rsid w:val="002A09FF"/>
    <w:rsid w:val="002A0E60"/>
    <w:rsid w:val="002A1A58"/>
    <w:rsid w:val="002A1B02"/>
    <w:rsid w:val="002A1C53"/>
    <w:rsid w:val="002A244B"/>
    <w:rsid w:val="002A287D"/>
    <w:rsid w:val="002A28FC"/>
    <w:rsid w:val="002A2B44"/>
    <w:rsid w:val="002A2EA5"/>
    <w:rsid w:val="002A39B5"/>
    <w:rsid w:val="002A3D94"/>
    <w:rsid w:val="002A4736"/>
    <w:rsid w:val="002A4B1C"/>
    <w:rsid w:val="002A55FE"/>
    <w:rsid w:val="002A5A98"/>
    <w:rsid w:val="002A6AFB"/>
    <w:rsid w:val="002A733D"/>
    <w:rsid w:val="002A774A"/>
    <w:rsid w:val="002A78F3"/>
    <w:rsid w:val="002A7E5C"/>
    <w:rsid w:val="002A7F6D"/>
    <w:rsid w:val="002B067A"/>
    <w:rsid w:val="002B1342"/>
    <w:rsid w:val="002B1CE8"/>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7014"/>
    <w:rsid w:val="002B73B0"/>
    <w:rsid w:val="002C0A5C"/>
    <w:rsid w:val="002C24B4"/>
    <w:rsid w:val="002C2A6C"/>
    <w:rsid w:val="002C2B3A"/>
    <w:rsid w:val="002C2B87"/>
    <w:rsid w:val="002C3CF4"/>
    <w:rsid w:val="002C441A"/>
    <w:rsid w:val="002C4A73"/>
    <w:rsid w:val="002C4B84"/>
    <w:rsid w:val="002C4C0C"/>
    <w:rsid w:val="002C5016"/>
    <w:rsid w:val="002C5618"/>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6B4"/>
    <w:rsid w:val="002D4A45"/>
    <w:rsid w:val="002D4B42"/>
    <w:rsid w:val="002D4B43"/>
    <w:rsid w:val="002D4BC1"/>
    <w:rsid w:val="002D5A1B"/>
    <w:rsid w:val="002D65BC"/>
    <w:rsid w:val="002D7804"/>
    <w:rsid w:val="002E055C"/>
    <w:rsid w:val="002E1050"/>
    <w:rsid w:val="002E107E"/>
    <w:rsid w:val="002E18E5"/>
    <w:rsid w:val="002E1953"/>
    <w:rsid w:val="002E1EA2"/>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40E2"/>
    <w:rsid w:val="002F45F6"/>
    <w:rsid w:val="002F49B2"/>
    <w:rsid w:val="002F5A6F"/>
    <w:rsid w:val="002F692F"/>
    <w:rsid w:val="002F7575"/>
    <w:rsid w:val="002F7961"/>
    <w:rsid w:val="002F7B66"/>
    <w:rsid w:val="00300CB4"/>
    <w:rsid w:val="00300E24"/>
    <w:rsid w:val="003033BA"/>
    <w:rsid w:val="00303C19"/>
    <w:rsid w:val="003043A3"/>
    <w:rsid w:val="00304BD4"/>
    <w:rsid w:val="00304FEE"/>
    <w:rsid w:val="0030500A"/>
    <w:rsid w:val="003052EB"/>
    <w:rsid w:val="00305FCB"/>
    <w:rsid w:val="003063C3"/>
    <w:rsid w:val="003069DC"/>
    <w:rsid w:val="00306B44"/>
    <w:rsid w:val="003070C0"/>
    <w:rsid w:val="0030765A"/>
    <w:rsid w:val="00307C44"/>
    <w:rsid w:val="0031088E"/>
    <w:rsid w:val="00310D01"/>
    <w:rsid w:val="00311376"/>
    <w:rsid w:val="0031184C"/>
    <w:rsid w:val="003119E1"/>
    <w:rsid w:val="00311A1F"/>
    <w:rsid w:val="00311B47"/>
    <w:rsid w:val="00311D52"/>
    <w:rsid w:val="00312190"/>
    <w:rsid w:val="003125E0"/>
    <w:rsid w:val="0031271D"/>
    <w:rsid w:val="00312C7E"/>
    <w:rsid w:val="003132BB"/>
    <w:rsid w:val="00313337"/>
    <w:rsid w:val="00313447"/>
    <w:rsid w:val="00313748"/>
    <w:rsid w:val="00313EA3"/>
    <w:rsid w:val="00315365"/>
    <w:rsid w:val="00315457"/>
    <w:rsid w:val="003161A4"/>
    <w:rsid w:val="00316955"/>
    <w:rsid w:val="0031713F"/>
    <w:rsid w:val="0031720A"/>
    <w:rsid w:val="0031749B"/>
    <w:rsid w:val="003174E5"/>
    <w:rsid w:val="00317C9D"/>
    <w:rsid w:val="00317CD2"/>
    <w:rsid w:val="00317D99"/>
    <w:rsid w:val="003204A5"/>
    <w:rsid w:val="0032078D"/>
    <w:rsid w:val="00320ADF"/>
    <w:rsid w:val="0032137B"/>
    <w:rsid w:val="00321BD6"/>
    <w:rsid w:val="00321FA3"/>
    <w:rsid w:val="003227D3"/>
    <w:rsid w:val="00322937"/>
    <w:rsid w:val="00322FB5"/>
    <w:rsid w:val="00323881"/>
    <w:rsid w:val="00324885"/>
    <w:rsid w:val="003251A8"/>
    <w:rsid w:val="003254B1"/>
    <w:rsid w:val="00325AD9"/>
    <w:rsid w:val="00325D98"/>
    <w:rsid w:val="0032682A"/>
    <w:rsid w:val="00327A5C"/>
    <w:rsid w:val="0033092C"/>
    <w:rsid w:val="0033122A"/>
    <w:rsid w:val="003315AC"/>
    <w:rsid w:val="00331932"/>
    <w:rsid w:val="00331F74"/>
    <w:rsid w:val="00332096"/>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7B9"/>
    <w:rsid w:val="0034680A"/>
    <w:rsid w:val="00346C62"/>
    <w:rsid w:val="00347202"/>
    <w:rsid w:val="0034778E"/>
    <w:rsid w:val="00347A5A"/>
    <w:rsid w:val="003501E2"/>
    <w:rsid w:val="00351E10"/>
    <w:rsid w:val="00352874"/>
    <w:rsid w:val="003533F4"/>
    <w:rsid w:val="003536F6"/>
    <w:rsid w:val="00353DD5"/>
    <w:rsid w:val="00355131"/>
    <w:rsid w:val="00355B12"/>
    <w:rsid w:val="00355F74"/>
    <w:rsid w:val="003560DB"/>
    <w:rsid w:val="003564DB"/>
    <w:rsid w:val="00356F87"/>
    <w:rsid w:val="00357187"/>
    <w:rsid w:val="00357E83"/>
    <w:rsid w:val="00360CF3"/>
    <w:rsid w:val="0036137C"/>
    <w:rsid w:val="00361A59"/>
    <w:rsid w:val="00363348"/>
    <w:rsid w:val="00363857"/>
    <w:rsid w:val="00363D59"/>
    <w:rsid w:val="003640F7"/>
    <w:rsid w:val="003642F8"/>
    <w:rsid w:val="00365D3A"/>
    <w:rsid w:val="003664FF"/>
    <w:rsid w:val="00366BD2"/>
    <w:rsid w:val="003670B8"/>
    <w:rsid w:val="003704A3"/>
    <w:rsid w:val="0037058F"/>
    <w:rsid w:val="003706F2"/>
    <w:rsid w:val="0037124F"/>
    <w:rsid w:val="00373827"/>
    <w:rsid w:val="0037401C"/>
    <w:rsid w:val="0037507B"/>
    <w:rsid w:val="00375C7C"/>
    <w:rsid w:val="00377027"/>
    <w:rsid w:val="00377135"/>
    <w:rsid w:val="00380272"/>
    <w:rsid w:val="003805DB"/>
    <w:rsid w:val="0038152A"/>
    <w:rsid w:val="00382BAD"/>
    <w:rsid w:val="003835FD"/>
    <w:rsid w:val="00384DF1"/>
    <w:rsid w:val="00384FF3"/>
    <w:rsid w:val="0038546A"/>
    <w:rsid w:val="00386456"/>
    <w:rsid w:val="003865A9"/>
    <w:rsid w:val="00387BD9"/>
    <w:rsid w:val="0039092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CB2"/>
    <w:rsid w:val="003A1D25"/>
    <w:rsid w:val="003A22A2"/>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C0F"/>
    <w:rsid w:val="003C0D1F"/>
    <w:rsid w:val="003C116A"/>
    <w:rsid w:val="003C1AF4"/>
    <w:rsid w:val="003C1CB8"/>
    <w:rsid w:val="003C22DA"/>
    <w:rsid w:val="003C2550"/>
    <w:rsid w:val="003C287F"/>
    <w:rsid w:val="003C3251"/>
    <w:rsid w:val="003C3339"/>
    <w:rsid w:val="003C375A"/>
    <w:rsid w:val="003C4317"/>
    <w:rsid w:val="003C4D9F"/>
    <w:rsid w:val="003C5247"/>
    <w:rsid w:val="003C5E8A"/>
    <w:rsid w:val="003C622C"/>
    <w:rsid w:val="003C6505"/>
    <w:rsid w:val="003C6EBA"/>
    <w:rsid w:val="003C73C7"/>
    <w:rsid w:val="003C7CFB"/>
    <w:rsid w:val="003D050B"/>
    <w:rsid w:val="003D0B98"/>
    <w:rsid w:val="003D0C3C"/>
    <w:rsid w:val="003D0DE5"/>
    <w:rsid w:val="003D1351"/>
    <w:rsid w:val="003D190D"/>
    <w:rsid w:val="003D21C1"/>
    <w:rsid w:val="003D2F21"/>
    <w:rsid w:val="003D369D"/>
    <w:rsid w:val="003D3A39"/>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453"/>
    <w:rsid w:val="003E6AB6"/>
    <w:rsid w:val="003E6E0B"/>
    <w:rsid w:val="003E6FDA"/>
    <w:rsid w:val="003E71CD"/>
    <w:rsid w:val="003E78DA"/>
    <w:rsid w:val="003E7A8B"/>
    <w:rsid w:val="003F04F6"/>
    <w:rsid w:val="003F060E"/>
    <w:rsid w:val="003F0F7F"/>
    <w:rsid w:val="003F115C"/>
    <w:rsid w:val="003F153A"/>
    <w:rsid w:val="003F1C15"/>
    <w:rsid w:val="003F23D1"/>
    <w:rsid w:val="003F300D"/>
    <w:rsid w:val="003F391F"/>
    <w:rsid w:val="003F3DE6"/>
    <w:rsid w:val="003F3FA1"/>
    <w:rsid w:val="003F4599"/>
    <w:rsid w:val="003F45E1"/>
    <w:rsid w:val="003F4F6C"/>
    <w:rsid w:val="003F559E"/>
    <w:rsid w:val="003F6181"/>
    <w:rsid w:val="003F6BFC"/>
    <w:rsid w:val="003F6CE8"/>
    <w:rsid w:val="003F6D87"/>
    <w:rsid w:val="003F7343"/>
    <w:rsid w:val="00400002"/>
    <w:rsid w:val="00400054"/>
    <w:rsid w:val="004004C2"/>
    <w:rsid w:val="004016A3"/>
    <w:rsid w:val="00401B31"/>
    <w:rsid w:val="0040202B"/>
    <w:rsid w:val="00402DE1"/>
    <w:rsid w:val="00402EEB"/>
    <w:rsid w:val="004037C2"/>
    <w:rsid w:val="00404041"/>
    <w:rsid w:val="00404B43"/>
    <w:rsid w:val="00404C61"/>
    <w:rsid w:val="00405487"/>
    <w:rsid w:val="00405730"/>
    <w:rsid w:val="00405B8A"/>
    <w:rsid w:val="0040602B"/>
    <w:rsid w:val="0040606C"/>
    <w:rsid w:val="004060DC"/>
    <w:rsid w:val="00406DF5"/>
    <w:rsid w:val="00406F35"/>
    <w:rsid w:val="004077D0"/>
    <w:rsid w:val="00407904"/>
    <w:rsid w:val="00407A7A"/>
    <w:rsid w:val="00407ABC"/>
    <w:rsid w:val="00407F1E"/>
    <w:rsid w:val="00410A88"/>
    <w:rsid w:val="00411317"/>
    <w:rsid w:val="00411692"/>
    <w:rsid w:val="00411A9E"/>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130"/>
    <w:rsid w:val="0041674B"/>
    <w:rsid w:val="004170D7"/>
    <w:rsid w:val="004177A6"/>
    <w:rsid w:val="00417C23"/>
    <w:rsid w:val="00417EFD"/>
    <w:rsid w:val="004200EE"/>
    <w:rsid w:val="00420786"/>
    <w:rsid w:val="004209D2"/>
    <w:rsid w:val="00420D6E"/>
    <w:rsid w:val="0042158C"/>
    <w:rsid w:val="00421617"/>
    <w:rsid w:val="00421BD2"/>
    <w:rsid w:val="00421E00"/>
    <w:rsid w:val="00421FCB"/>
    <w:rsid w:val="00422DCA"/>
    <w:rsid w:val="00423D04"/>
    <w:rsid w:val="00423F9F"/>
    <w:rsid w:val="00425C43"/>
    <w:rsid w:val="004273FA"/>
    <w:rsid w:val="004275A7"/>
    <w:rsid w:val="00430186"/>
    <w:rsid w:val="00430F17"/>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6037"/>
    <w:rsid w:val="004461B0"/>
    <w:rsid w:val="004463DB"/>
    <w:rsid w:val="0044642F"/>
    <w:rsid w:val="0044772C"/>
    <w:rsid w:val="00447C11"/>
    <w:rsid w:val="00447CB4"/>
    <w:rsid w:val="00450846"/>
    <w:rsid w:val="00451847"/>
    <w:rsid w:val="00451A52"/>
    <w:rsid w:val="004521DA"/>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DA4"/>
    <w:rsid w:val="004614A9"/>
    <w:rsid w:val="00461E97"/>
    <w:rsid w:val="0046268F"/>
    <w:rsid w:val="0046284F"/>
    <w:rsid w:val="00462B10"/>
    <w:rsid w:val="00462BB1"/>
    <w:rsid w:val="00462C04"/>
    <w:rsid w:val="0046320A"/>
    <w:rsid w:val="004636CC"/>
    <w:rsid w:val="004638E2"/>
    <w:rsid w:val="00464030"/>
    <w:rsid w:val="004647F8"/>
    <w:rsid w:val="004647FB"/>
    <w:rsid w:val="00465347"/>
    <w:rsid w:val="00465677"/>
    <w:rsid w:val="00466616"/>
    <w:rsid w:val="00466A0C"/>
    <w:rsid w:val="00466A53"/>
    <w:rsid w:val="00467E34"/>
    <w:rsid w:val="00470A6A"/>
    <w:rsid w:val="00470D73"/>
    <w:rsid w:val="00470D92"/>
    <w:rsid w:val="0047179C"/>
    <w:rsid w:val="00471DF7"/>
    <w:rsid w:val="004734CF"/>
    <w:rsid w:val="0047586C"/>
    <w:rsid w:val="00475C5A"/>
    <w:rsid w:val="00475C9C"/>
    <w:rsid w:val="0047676B"/>
    <w:rsid w:val="0047773C"/>
    <w:rsid w:val="004777DF"/>
    <w:rsid w:val="00477C5F"/>
    <w:rsid w:val="00480050"/>
    <w:rsid w:val="0048011C"/>
    <w:rsid w:val="004808DE"/>
    <w:rsid w:val="00481AC4"/>
    <w:rsid w:val="00481DC1"/>
    <w:rsid w:val="00482507"/>
    <w:rsid w:val="0048268A"/>
    <w:rsid w:val="004831B1"/>
    <w:rsid w:val="004835CA"/>
    <w:rsid w:val="004836F8"/>
    <w:rsid w:val="004836FE"/>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C1F"/>
    <w:rsid w:val="00492E44"/>
    <w:rsid w:val="00492E4C"/>
    <w:rsid w:val="00493664"/>
    <w:rsid w:val="004938FD"/>
    <w:rsid w:val="00493E04"/>
    <w:rsid w:val="004940E3"/>
    <w:rsid w:val="0049530F"/>
    <w:rsid w:val="00496664"/>
    <w:rsid w:val="00496786"/>
    <w:rsid w:val="0049695B"/>
    <w:rsid w:val="00496D8F"/>
    <w:rsid w:val="00497463"/>
    <w:rsid w:val="004A054C"/>
    <w:rsid w:val="004A08D1"/>
    <w:rsid w:val="004A0905"/>
    <w:rsid w:val="004A16C1"/>
    <w:rsid w:val="004A1CE2"/>
    <w:rsid w:val="004A34D2"/>
    <w:rsid w:val="004A4301"/>
    <w:rsid w:val="004A4587"/>
    <w:rsid w:val="004A45E5"/>
    <w:rsid w:val="004A4D93"/>
    <w:rsid w:val="004A58EE"/>
    <w:rsid w:val="004A59B7"/>
    <w:rsid w:val="004A6051"/>
    <w:rsid w:val="004A623B"/>
    <w:rsid w:val="004A6A04"/>
    <w:rsid w:val="004A6A52"/>
    <w:rsid w:val="004B0A44"/>
    <w:rsid w:val="004B0F0B"/>
    <w:rsid w:val="004B2197"/>
    <w:rsid w:val="004B298A"/>
    <w:rsid w:val="004B50CB"/>
    <w:rsid w:val="004B578D"/>
    <w:rsid w:val="004B5BE7"/>
    <w:rsid w:val="004B5E2D"/>
    <w:rsid w:val="004B6C07"/>
    <w:rsid w:val="004B74D3"/>
    <w:rsid w:val="004B755E"/>
    <w:rsid w:val="004B788E"/>
    <w:rsid w:val="004B7E5D"/>
    <w:rsid w:val="004C22F7"/>
    <w:rsid w:val="004C2B27"/>
    <w:rsid w:val="004C3929"/>
    <w:rsid w:val="004C5212"/>
    <w:rsid w:val="004C5EF0"/>
    <w:rsid w:val="004C64C9"/>
    <w:rsid w:val="004C7132"/>
    <w:rsid w:val="004C7226"/>
    <w:rsid w:val="004C74C9"/>
    <w:rsid w:val="004C7915"/>
    <w:rsid w:val="004C7D70"/>
    <w:rsid w:val="004D0164"/>
    <w:rsid w:val="004D02F9"/>
    <w:rsid w:val="004D03FE"/>
    <w:rsid w:val="004D0446"/>
    <w:rsid w:val="004D06A3"/>
    <w:rsid w:val="004D0F95"/>
    <w:rsid w:val="004D106A"/>
    <w:rsid w:val="004D142F"/>
    <w:rsid w:val="004D1C7E"/>
    <w:rsid w:val="004D245A"/>
    <w:rsid w:val="004D31EE"/>
    <w:rsid w:val="004D36AF"/>
    <w:rsid w:val="004D3BD1"/>
    <w:rsid w:val="004D4BA1"/>
    <w:rsid w:val="004D584D"/>
    <w:rsid w:val="004D5A7E"/>
    <w:rsid w:val="004D60DB"/>
    <w:rsid w:val="004D6120"/>
    <w:rsid w:val="004D6826"/>
    <w:rsid w:val="004D6917"/>
    <w:rsid w:val="004E023F"/>
    <w:rsid w:val="004E0546"/>
    <w:rsid w:val="004E0742"/>
    <w:rsid w:val="004E0C64"/>
    <w:rsid w:val="004E0F6B"/>
    <w:rsid w:val="004E133F"/>
    <w:rsid w:val="004E1545"/>
    <w:rsid w:val="004E1F1C"/>
    <w:rsid w:val="004E2A35"/>
    <w:rsid w:val="004E40CE"/>
    <w:rsid w:val="004E435F"/>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2911"/>
    <w:rsid w:val="0050306F"/>
    <w:rsid w:val="005041DE"/>
    <w:rsid w:val="00505DCB"/>
    <w:rsid w:val="005075CA"/>
    <w:rsid w:val="00507B06"/>
    <w:rsid w:val="00507BF1"/>
    <w:rsid w:val="0051013A"/>
    <w:rsid w:val="0051074C"/>
    <w:rsid w:val="00510DE9"/>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0CFE"/>
    <w:rsid w:val="00521A30"/>
    <w:rsid w:val="005224E5"/>
    <w:rsid w:val="00523294"/>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405"/>
    <w:rsid w:val="00530522"/>
    <w:rsid w:val="005305E5"/>
    <w:rsid w:val="0053086F"/>
    <w:rsid w:val="00530CBA"/>
    <w:rsid w:val="00530F38"/>
    <w:rsid w:val="00531F26"/>
    <w:rsid w:val="0053277C"/>
    <w:rsid w:val="005327C0"/>
    <w:rsid w:val="00533101"/>
    <w:rsid w:val="00533CA9"/>
    <w:rsid w:val="005346AD"/>
    <w:rsid w:val="00534A10"/>
    <w:rsid w:val="00534C54"/>
    <w:rsid w:val="00534EFB"/>
    <w:rsid w:val="00534F60"/>
    <w:rsid w:val="005357F1"/>
    <w:rsid w:val="00535D15"/>
    <w:rsid w:val="00536053"/>
    <w:rsid w:val="00536398"/>
    <w:rsid w:val="005369E6"/>
    <w:rsid w:val="00536DF2"/>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2DBC"/>
    <w:rsid w:val="005535B9"/>
    <w:rsid w:val="00554D57"/>
    <w:rsid w:val="005551AA"/>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723"/>
    <w:rsid w:val="0056772D"/>
    <w:rsid w:val="005678F5"/>
    <w:rsid w:val="00567AB8"/>
    <w:rsid w:val="0057010E"/>
    <w:rsid w:val="00570A26"/>
    <w:rsid w:val="00570CFD"/>
    <w:rsid w:val="00571872"/>
    <w:rsid w:val="00571C94"/>
    <w:rsid w:val="0057221F"/>
    <w:rsid w:val="00572421"/>
    <w:rsid w:val="00572539"/>
    <w:rsid w:val="00573355"/>
    <w:rsid w:val="0057337D"/>
    <w:rsid w:val="00573504"/>
    <w:rsid w:val="00573BA3"/>
    <w:rsid w:val="00574708"/>
    <w:rsid w:val="00574D81"/>
    <w:rsid w:val="005756AA"/>
    <w:rsid w:val="0057696F"/>
    <w:rsid w:val="005774FE"/>
    <w:rsid w:val="005776CB"/>
    <w:rsid w:val="0058040C"/>
    <w:rsid w:val="00580D6D"/>
    <w:rsid w:val="005813DE"/>
    <w:rsid w:val="00581736"/>
    <w:rsid w:val="00581796"/>
    <w:rsid w:val="00581B45"/>
    <w:rsid w:val="005822A2"/>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6C4"/>
    <w:rsid w:val="0059096F"/>
    <w:rsid w:val="00590F1A"/>
    <w:rsid w:val="00591C03"/>
    <w:rsid w:val="00591E2A"/>
    <w:rsid w:val="00592379"/>
    <w:rsid w:val="005923C4"/>
    <w:rsid w:val="005938C3"/>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711"/>
    <w:rsid w:val="005A7802"/>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247"/>
    <w:rsid w:val="005C7E45"/>
    <w:rsid w:val="005C7F3E"/>
    <w:rsid w:val="005D065E"/>
    <w:rsid w:val="005D06D3"/>
    <w:rsid w:val="005D0C3B"/>
    <w:rsid w:val="005D1051"/>
    <w:rsid w:val="005D1606"/>
    <w:rsid w:val="005D2044"/>
    <w:rsid w:val="005D209E"/>
    <w:rsid w:val="005D2293"/>
    <w:rsid w:val="005D23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4B72"/>
    <w:rsid w:val="005E52C9"/>
    <w:rsid w:val="005F02D8"/>
    <w:rsid w:val="005F305B"/>
    <w:rsid w:val="005F3361"/>
    <w:rsid w:val="005F3ACA"/>
    <w:rsid w:val="005F3B47"/>
    <w:rsid w:val="005F4481"/>
    <w:rsid w:val="005F47AC"/>
    <w:rsid w:val="005F49AF"/>
    <w:rsid w:val="005F4A58"/>
    <w:rsid w:val="005F54DF"/>
    <w:rsid w:val="005F5888"/>
    <w:rsid w:val="005F5984"/>
    <w:rsid w:val="005F5EAB"/>
    <w:rsid w:val="005F6857"/>
    <w:rsid w:val="005F6CE2"/>
    <w:rsid w:val="005F6EC8"/>
    <w:rsid w:val="005F6F24"/>
    <w:rsid w:val="005F72E9"/>
    <w:rsid w:val="005F780B"/>
    <w:rsid w:val="00600473"/>
    <w:rsid w:val="0060139A"/>
    <w:rsid w:val="006013C9"/>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872"/>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229"/>
    <w:rsid w:val="00622470"/>
    <w:rsid w:val="00622725"/>
    <w:rsid w:val="006231AA"/>
    <w:rsid w:val="00623482"/>
    <w:rsid w:val="00623AC2"/>
    <w:rsid w:val="00623EBC"/>
    <w:rsid w:val="00624511"/>
    <w:rsid w:val="00625642"/>
    <w:rsid w:val="006266D7"/>
    <w:rsid w:val="00626D1E"/>
    <w:rsid w:val="00626D42"/>
    <w:rsid w:val="00626EE3"/>
    <w:rsid w:val="006274AD"/>
    <w:rsid w:val="00627519"/>
    <w:rsid w:val="00627532"/>
    <w:rsid w:val="006302AA"/>
    <w:rsid w:val="006307FD"/>
    <w:rsid w:val="006310C3"/>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6B20"/>
    <w:rsid w:val="00646D0F"/>
    <w:rsid w:val="00646D57"/>
    <w:rsid w:val="00647A36"/>
    <w:rsid w:val="00647DCC"/>
    <w:rsid w:val="00647EFA"/>
    <w:rsid w:val="00647F14"/>
    <w:rsid w:val="00650027"/>
    <w:rsid w:val="00650BBF"/>
    <w:rsid w:val="00650E89"/>
    <w:rsid w:val="00651B9C"/>
    <w:rsid w:val="00651C47"/>
    <w:rsid w:val="00651D91"/>
    <w:rsid w:val="00652E70"/>
    <w:rsid w:val="0065339A"/>
    <w:rsid w:val="00653469"/>
    <w:rsid w:val="0065443A"/>
    <w:rsid w:val="00654A38"/>
    <w:rsid w:val="00655301"/>
    <w:rsid w:val="00655371"/>
    <w:rsid w:val="00655507"/>
    <w:rsid w:val="006557D8"/>
    <w:rsid w:val="00656855"/>
    <w:rsid w:val="00656C4B"/>
    <w:rsid w:val="006572A7"/>
    <w:rsid w:val="006573EA"/>
    <w:rsid w:val="006606A4"/>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97C"/>
    <w:rsid w:val="00667ED8"/>
    <w:rsid w:val="0067064C"/>
    <w:rsid w:val="00670B20"/>
    <w:rsid w:val="00670E12"/>
    <w:rsid w:val="00670F27"/>
    <w:rsid w:val="00672E80"/>
    <w:rsid w:val="0067333F"/>
    <w:rsid w:val="006739E4"/>
    <w:rsid w:val="00673ECF"/>
    <w:rsid w:val="0067426B"/>
    <w:rsid w:val="00674A1B"/>
    <w:rsid w:val="00674F1C"/>
    <w:rsid w:val="006754F8"/>
    <w:rsid w:val="00676127"/>
    <w:rsid w:val="00676AED"/>
    <w:rsid w:val="00677212"/>
    <w:rsid w:val="00677E85"/>
    <w:rsid w:val="00677F26"/>
    <w:rsid w:val="006800EE"/>
    <w:rsid w:val="006802A7"/>
    <w:rsid w:val="00680A86"/>
    <w:rsid w:val="006811C9"/>
    <w:rsid w:val="006812CE"/>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5D3"/>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59A5"/>
    <w:rsid w:val="00695C0C"/>
    <w:rsid w:val="00696353"/>
    <w:rsid w:val="00696736"/>
    <w:rsid w:val="00696A05"/>
    <w:rsid w:val="00697665"/>
    <w:rsid w:val="00697C9A"/>
    <w:rsid w:val="00697E68"/>
    <w:rsid w:val="00697FC1"/>
    <w:rsid w:val="006A0274"/>
    <w:rsid w:val="006A27BC"/>
    <w:rsid w:val="006A2948"/>
    <w:rsid w:val="006A2A43"/>
    <w:rsid w:val="006A2BF1"/>
    <w:rsid w:val="006A2F9A"/>
    <w:rsid w:val="006A34E4"/>
    <w:rsid w:val="006A3A5A"/>
    <w:rsid w:val="006A44CF"/>
    <w:rsid w:val="006A457D"/>
    <w:rsid w:val="006A4BAF"/>
    <w:rsid w:val="006A4C06"/>
    <w:rsid w:val="006A55EE"/>
    <w:rsid w:val="006A575B"/>
    <w:rsid w:val="006A59DE"/>
    <w:rsid w:val="006A64C6"/>
    <w:rsid w:val="006A6655"/>
    <w:rsid w:val="006A6BF9"/>
    <w:rsid w:val="006A7CB5"/>
    <w:rsid w:val="006A7FD0"/>
    <w:rsid w:val="006B0099"/>
    <w:rsid w:val="006B025C"/>
    <w:rsid w:val="006B08ED"/>
    <w:rsid w:val="006B0A85"/>
    <w:rsid w:val="006B2534"/>
    <w:rsid w:val="006B2CB2"/>
    <w:rsid w:val="006B347D"/>
    <w:rsid w:val="006B3E19"/>
    <w:rsid w:val="006B4488"/>
    <w:rsid w:val="006B50C4"/>
    <w:rsid w:val="006B53AE"/>
    <w:rsid w:val="006B58B4"/>
    <w:rsid w:val="006B67AC"/>
    <w:rsid w:val="006B786A"/>
    <w:rsid w:val="006B7E4E"/>
    <w:rsid w:val="006C003A"/>
    <w:rsid w:val="006C0630"/>
    <w:rsid w:val="006C107C"/>
    <w:rsid w:val="006C189C"/>
    <w:rsid w:val="006C1B42"/>
    <w:rsid w:val="006C2454"/>
    <w:rsid w:val="006C2551"/>
    <w:rsid w:val="006C37CA"/>
    <w:rsid w:val="006C40D2"/>
    <w:rsid w:val="006C4684"/>
    <w:rsid w:val="006C4B85"/>
    <w:rsid w:val="006C4BBD"/>
    <w:rsid w:val="006C5B15"/>
    <w:rsid w:val="006C5D32"/>
    <w:rsid w:val="006C5DCB"/>
    <w:rsid w:val="006C6475"/>
    <w:rsid w:val="006C70C4"/>
    <w:rsid w:val="006C741F"/>
    <w:rsid w:val="006C794C"/>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5DCB"/>
    <w:rsid w:val="006D62E0"/>
    <w:rsid w:val="006D658F"/>
    <w:rsid w:val="006D6A12"/>
    <w:rsid w:val="006D712D"/>
    <w:rsid w:val="006D7687"/>
    <w:rsid w:val="006D794C"/>
    <w:rsid w:val="006D7D1F"/>
    <w:rsid w:val="006D7D8A"/>
    <w:rsid w:val="006E046C"/>
    <w:rsid w:val="006E0572"/>
    <w:rsid w:val="006E05D8"/>
    <w:rsid w:val="006E08EE"/>
    <w:rsid w:val="006E155A"/>
    <w:rsid w:val="006E2C34"/>
    <w:rsid w:val="006E359B"/>
    <w:rsid w:val="006E39D1"/>
    <w:rsid w:val="006E3B05"/>
    <w:rsid w:val="006E437F"/>
    <w:rsid w:val="006E4D5B"/>
    <w:rsid w:val="006E5089"/>
    <w:rsid w:val="006E602F"/>
    <w:rsid w:val="006E6720"/>
    <w:rsid w:val="006E7275"/>
    <w:rsid w:val="006E77B8"/>
    <w:rsid w:val="006E77DF"/>
    <w:rsid w:val="006E7AAF"/>
    <w:rsid w:val="006F0AB2"/>
    <w:rsid w:val="006F0F74"/>
    <w:rsid w:val="006F13BA"/>
    <w:rsid w:val="006F15CC"/>
    <w:rsid w:val="006F15F6"/>
    <w:rsid w:val="006F2AE6"/>
    <w:rsid w:val="006F36EA"/>
    <w:rsid w:val="006F4147"/>
    <w:rsid w:val="006F4315"/>
    <w:rsid w:val="006F4CB0"/>
    <w:rsid w:val="006F4F78"/>
    <w:rsid w:val="006F547E"/>
    <w:rsid w:val="006F5CCF"/>
    <w:rsid w:val="006F6469"/>
    <w:rsid w:val="006F6F04"/>
    <w:rsid w:val="006F71F5"/>
    <w:rsid w:val="007000A6"/>
    <w:rsid w:val="00700610"/>
    <w:rsid w:val="0070138A"/>
    <w:rsid w:val="0070157E"/>
    <w:rsid w:val="007030D4"/>
    <w:rsid w:val="00703279"/>
    <w:rsid w:val="00703B61"/>
    <w:rsid w:val="00703E11"/>
    <w:rsid w:val="00704102"/>
    <w:rsid w:val="0070437C"/>
    <w:rsid w:val="007045D8"/>
    <w:rsid w:val="0070461C"/>
    <w:rsid w:val="00705631"/>
    <w:rsid w:val="00705818"/>
    <w:rsid w:val="00705F62"/>
    <w:rsid w:val="0070773F"/>
    <w:rsid w:val="00707ED3"/>
    <w:rsid w:val="007101B7"/>
    <w:rsid w:val="00710668"/>
    <w:rsid w:val="00710989"/>
    <w:rsid w:val="00711019"/>
    <w:rsid w:val="007110F4"/>
    <w:rsid w:val="007112B1"/>
    <w:rsid w:val="0071130F"/>
    <w:rsid w:val="00712714"/>
    <w:rsid w:val="007129AB"/>
    <w:rsid w:val="00712B63"/>
    <w:rsid w:val="00713526"/>
    <w:rsid w:val="00713FC5"/>
    <w:rsid w:val="00714DCA"/>
    <w:rsid w:val="00715BBF"/>
    <w:rsid w:val="00715C29"/>
    <w:rsid w:val="00715CBD"/>
    <w:rsid w:val="00715E96"/>
    <w:rsid w:val="00715EAA"/>
    <w:rsid w:val="00716119"/>
    <w:rsid w:val="00716630"/>
    <w:rsid w:val="00716CAD"/>
    <w:rsid w:val="00716F18"/>
    <w:rsid w:val="00717363"/>
    <w:rsid w:val="00717786"/>
    <w:rsid w:val="00717ACB"/>
    <w:rsid w:val="0072138B"/>
    <w:rsid w:val="00721BFF"/>
    <w:rsid w:val="00723040"/>
    <w:rsid w:val="00723475"/>
    <w:rsid w:val="007234B4"/>
    <w:rsid w:val="007236C4"/>
    <w:rsid w:val="00724635"/>
    <w:rsid w:val="00724F21"/>
    <w:rsid w:val="00725134"/>
    <w:rsid w:val="0072554B"/>
    <w:rsid w:val="00725AFD"/>
    <w:rsid w:val="00726603"/>
    <w:rsid w:val="007266AC"/>
    <w:rsid w:val="00727B1D"/>
    <w:rsid w:val="00727DDC"/>
    <w:rsid w:val="00730CD6"/>
    <w:rsid w:val="00730F74"/>
    <w:rsid w:val="0073114B"/>
    <w:rsid w:val="00732151"/>
    <w:rsid w:val="007341D8"/>
    <w:rsid w:val="00734952"/>
    <w:rsid w:val="00734990"/>
    <w:rsid w:val="00734FF5"/>
    <w:rsid w:val="00735B78"/>
    <w:rsid w:val="00735DA7"/>
    <w:rsid w:val="00736700"/>
    <w:rsid w:val="007368B4"/>
    <w:rsid w:val="007378E0"/>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94E"/>
    <w:rsid w:val="00750FA8"/>
    <w:rsid w:val="00750FB5"/>
    <w:rsid w:val="007520F0"/>
    <w:rsid w:val="007522E8"/>
    <w:rsid w:val="00752688"/>
    <w:rsid w:val="007529DB"/>
    <w:rsid w:val="007534AD"/>
    <w:rsid w:val="00753BAC"/>
    <w:rsid w:val="00754A0B"/>
    <w:rsid w:val="00755229"/>
    <w:rsid w:val="007552DB"/>
    <w:rsid w:val="0075549F"/>
    <w:rsid w:val="00755B08"/>
    <w:rsid w:val="00755DD0"/>
    <w:rsid w:val="0075647A"/>
    <w:rsid w:val="00756A2F"/>
    <w:rsid w:val="00756A7E"/>
    <w:rsid w:val="007573E1"/>
    <w:rsid w:val="0075749E"/>
    <w:rsid w:val="00757722"/>
    <w:rsid w:val="00757B2D"/>
    <w:rsid w:val="00757BAD"/>
    <w:rsid w:val="00757D62"/>
    <w:rsid w:val="00760021"/>
    <w:rsid w:val="00760561"/>
    <w:rsid w:val="00760867"/>
    <w:rsid w:val="00760EB6"/>
    <w:rsid w:val="007613F2"/>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4AC"/>
    <w:rsid w:val="007677B5"/>
    <w:rsid w:val="007678B1"/>
    <w:rsid w:val="00767BE6"/>
    <w:rsid w:val="007708A8"/>
    <w:rsid w:val="0077160F"/>
    <w:rsid w:val="00772100"/>
    <w:rsid w:val="00772275"/>
    <w:rsid w:val="00772EE7"/>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356A"/>
    <w:rsid w:val="00784938"/>
    <w:rsid w:val="00784E9F"/>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D96"/>
    <w:rsid w:val="00791FF0"/>
    <w:rsid w:val="007923D0"/>
    <w:rsid w:val="007930D3"/>
    <w:rsid w:val="0079381F"/>
    <w:rsid w:val="00793A57"/>
    <w:rsid w:val="00793B2E"/>
    <w:rsid w:val="007948F5"/>
    <w:rsid w:val="00794AE1"/>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39F"/>
    <w:rsid w:val="007A7714"/>
    <w:rsid w:val="007B0313"/>
    <w:rsid w:val="007B065E"/>
    <w:rsid w:val="007B0854"/>
    <w:rsid w:val="007B0B53"/>
    <w:rsid w:val="007B0E48"/>
    <w:rsid w:val="007B1D1B"/>
    <w:rsid w:val="007B21AA"/>
    <w:rsid w:val="007B2504"/>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5F89"/>
    <w:rsid w:val="007B68ED"/>
    <w:rsid w:val="007B6C64"/>
    <w:rsid w:val="007B6CD8"/>
    <w:rsid w:val="007B6EC8"/>
    <w:rsid w:val="007B6F81"/>
    <w:rsid w:val="007B79DC"/>
    <w:rsid w:val="007B7EA2"/>
    <w:rsid w:val="007C097D"/>
    <w:rsid w:val="007C0AF2"/>
    <w:rsid w:val="007C1672"/>
    <w:rsid w:val="007C17AE"/>
    <w:rsid w:val="007C2FA2"/>
    <w:rsid w:val="007C312A"/>
    <w:rsid w:val="007C3570"/>
    <w:rsid w:val="007C3F3B"/>
    <w:rsid w:val="007C4241"/>
    <w:rsid w:val="007C425E"/>
    <w:rsid w:val="007C434B"/>
    <w:rsid w:val="007C4DA2"/>
    <w:rsid w:val="007C55FF"/>
    <w:rsid w:val="007C6339"/>
    <w:rsid w:val="007C753F"/>
    <w:rsid w:val="007C7C43"/>
    <w:rsid w:val="007C7F0D"/>
    <w:rsid w:val="007D06E3"/>
    <w:rsid w:val="007D0987"/>
    <w:rsid w:val="007D09E4"/>
    <w:rsid w:val="007D0F62"/>
    <w:rsid w:val="007D1134"/>
    <w:rsid w:val="007D231B"/>
    <w:rsid w:val="007D2350"/>
    <w:rsid w:val="007D23F7"/>
    <w:rsid w:val="007D2566"/>
    <w:rsid w:val="007D2C18"/>
    <w:rsid w:val="007D2D74"/>
    <w:rsid w:val="007D30A5"/>
    <w:rsid w:val="007D3693"/>
    <w:rsid w:val="007D36AF"/>
    <w:rsid w:val="007D3C6D"/>
    <w:rsid w:val="007D4050"/>
    <w:rsid w:val="007D481A"/>
    <w:rsid w:val="007D4ED0"/>
    <w:rsid w:val="007D5648"/>
    <w:rsid w:val="007D58C5"/>
    <w:rsid w:val="007D5DE8"/>
    <w:rsid w:val="007D787D"/>
    <w:rsid w:val="007D7CFC"/>
    <w:rsid w:val="007E0812"/>
    <w:rsid w:val="007E18DF"/>
    <w:rsid w:val="007E23E6"/>
    <w:rsid w:val="007E2C36"/>
    <w:rsid w:val="007E350D"/>
    <w:rsid w:val="007E373E"/>
    <w:rsid w:val="007E39C8"/>
    <w:rsid w:val="007E3ACA"/>
    <w:rsid w:val="007E564D"/>
    <w:rsid w:val="007E5C4A"/>
    <w:rsid w:val="007E64D4"/>
    <w:rsid w:val="007E66E9"/>
    <w:rsid w:val="007E69F2"/>
    <w:rsid w:val="007E7432"/>
    <w:rsid w:val="007E74BF"/>
    <w:rsid w:val="007E7D2E"/>
    <w:rsid w:val="007F14D3"/>
    <w:rsid w:val="007F168F"/>
    <w:rsid w:val="007F1D9D"/>
    <w:rsid w:val="007F1E28"/>
    <w:rsid w:val="007F1F63"/>
    <w:rsid w:val="007F22A0"/>
    <w:rsid w:val="007F2598"/>
    <w:rsid w:val="007F2902"/>
    <w:rsid w:val="007F2903"/>
    <w:rsid w:val="007F2F90"/>
    <w:rsid w:val="007F3320"/>
    <w:rsid w:val="007F3AC1"/>
    <w:rsid w:val="007F4976"/>
    <w:rsid w:val="007F5530"/>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D9D"/>
    <w:rsid w:val="0080532A"/>
    <w:rsid w:val="00805898"/>
    <w:rsid w:val="008059C6"/>
    <w:rsid w:val="00805AD7"/>
    <w:rsid w:val="00805BD6"/>
    <w:rsid w:val="00805CEF"/>
    <w:rsid w:val="00805DE3"/>
    <w:rsid w:val="00806285"/>
    <w:rsid w:val="00807C35"/>
    <w:rsid w:val="00807F35"/>
    <w:rsid w:val="00807F69"/>
    <w:rsid w:val="008100F7"/>
    <w:rsid w:val="00810206"/>
    <w:rsid w:val="0081022B"/>
    <w:rsid w:val="00811898"/>
    <w:rsid w:val="00811CDC"/>
    <w:rsid w:val="008124D8"/>
    <w:rsid w:val="00813A7B"/>
    <w:rsid w:val="00813EFC"/>
    <w:rsid w:val="00813F04"/>
    <w:rsid w:val="0081513E"/>
    <w:rsid w:val="00815DA5"/>
    <w:rsid w:val="00816221"/>
    <w:rsid w:val="00817633"/>
    <w:rsid w:val="0081766B"/>
    <w:rsid w:val="008205AC"/>
    <w:rsid w:val="00820705"/>
    <w:rsid w:val="00820CBF"/>
    <w:rsid w:val="00820FA8"/>
    <w:rsid w:val="008212FD"/>
    <w:rsid w:val="00821489"/>
    <w:rsid w:val="008217B7"/>
    <w:rsid w:val="0082239B"/>
    <w:rsid w:val="0082292E"/>
    <w:rsid w:val="00822D06"/>
    <w:rsid w:val="00822EC4"/>
    <w:rsid w:val="0082348D"/>
    <w:rsid w:val="008236BE"/>
    <w:rsid w:val="00823EC5"/>
    <w:rsid w:val="008241CE"/>
    <w:rsid w:val="00825240"/>
    <w:rsid w:val="00825B43"/>
    <w:rsid w:val="00826F71"/>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6BB"/>
    <w:rsid w:val="00853A3C"/>
    <w:rsid w:val="008548CA"/>
    <w:rsid w:val="00856C06"/>
    <w:rsid w:val="008570F2"/>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639"/>
    <w:rsid w:val="0086468A"/>
    <w:rsid w:val="008650BE"/>
    <w:rsid w:val="00865EAF"/>
    <w:rsid w:val="0086633B"/>
    <w:rsid w:val="00866495"/>
    <w:rsid w:val="00866881"/>
    <w:rsid w:val="00866931"/>
    <w:rsid w:val="008669DE"/>
    <w:rsid w:val="00867512"/>
    <w:rsid w:val="008678A3"/>
    <w:rsid w:val="00867C13"/>
    <w:rsid w:val="00867C1D"/>
    <w:rsid w:val="0087033C"/>
    <w:rsid w:val="008715ED"/>
    <w:rsid w:val="008717D8"/>
    <w:rsid w:val="00871E3C"/>
    <w:rsid w:val="00872F97"/>
    <w:rsid w:val="00873B0D"/>
    <w:rsid w:val="00874607"/>
    <w:rsid w:val="008747E9"/>
    <w:rsid w:val="00874915"/>
    <w:rsid w:val="00874B89"/>
    <w:rsid w:val="00875403"/>
    <w:rsid w:val="00875434"/>
    <w:rsid w:val="00875C1F"/>
    <w:rsid w:val="00876215"/>
    <w:rsid w:val="0087646C"/>
    <w:rsid w:val="00876815"/>
    <w:rsid w:val="00877322"/>
    <w:rsid w:val="008774EA"/>
    <w:rsid w:val="00877932"/>
    <w:rsid w:val="008808C7"/>
    <w:rsid w:val="0088106B"/>
    <w:rsid w:val="0088107D"/>
    <w:rsid w:val="0088187A"/>
    <w:rsid w:val="00881E64"/>
    <w:rsid w:val="00882E39"/>
    <w:rsid w:val="008850EB"/>
    <w:rsid w:val="00885228"/>
    <w:rsid w:val="008857E3"/>
    <w:rsid w:val="00885AFD"/>
    <w:rsid w:val="00886B09"/>
    <w:rsid w:val="00886DF2"/>
    <w:rsid w:val="00886FB9"/>
    <w:rsid w:val="00887057"/>
    <w:rsid w:val="00887080"/>
    <w:rsid w:val="00887C79"/>
    <w:rsid w:val="0089107B"/>
    <w:rsid w:val="008913CC"/>
    <w:rsid w:val="008914AE"/>
    <w:rsid w:val="008919CF"/>
    <w:rsid w:val="00891F84"/>
    <w:rsid w:val="00891FC3"/>
    <w:rsid w:val="008921AD"/>
    <w:rsid w:val="008928EC"/>
    <w:rsid w:val="00892E5D"/>
    <w:rsid w:val="008935CF"/>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1A8"/>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5DD5"/>
    <w:rsid w:val="008B63FE"/>
    <w:rsid w:val="008B672C"/>
    <w:rsid w:val="008B7781"/>
    <w:rsid w:val="008C065F"/>
    <w:rsid w:val="008C0743"/>
    <w:rsid w:val="008C0B4C"/>
    <w:rsid w:val="008C11F0"/>
    <w:rsid w:val="008C1DBA"/>
    <w:rsid w:val="008C24E7"/>
    <w:rsid w:val="008C2500"/>
    <w:rsid w:val="008C2CAC"/>
    <w:rsid w:val="008C34DF"/>
    <w:rsid w:val="008C39C9"/>
    <w:rsid w:val="008C3C57"/>
    <w:rsid w:val="008C3E2A"/>
    <w:rsid w:val="008C45BD"/>
    <w:rsid w:val="008C4983"/>
    <w:rsid w:val="008C4B19"/>
    <w:rsid w:val="008C4F47"/>
    <w:rsid w:val="008C62D4"/>
    <w:rsid w:val="008C6B89"/>
    <w:rsid w:val="008C6B97"/>
    <w:rsid w:val="008C7EF7"/>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CAE"/>
    <w:rsid w:val="008E5179"/>
    <w:rsid w:val="008E57FE"/>
    <w:rsid w:val="008E6598"/>
    <w:rsid w:val="008E7214"/>
    <w:rsid w:val="008E7497"/>
    <w:rsid w:val="008E7884"/>
    <w:rsid w:val="008E7D6E"/>
    <w:rsid w:val="008E7E04"/>
    <w:rsid w:val="008F1056"/>
    <w:rsid w:val="008F2E8D"/>
    <w:rsid w:val="008F361D"/>
    <w:rsid w:val="008F387B"/>
    <w:rsid w:val="008F3DD9"/>
    <w:rsid w:val="008F4163"/>
    <w:rsid w:val="008F4814"/>
    <w:rsid w:val="008F4B18"/>
    <w:rsid w:val="008F4DA6"/>
    <w:rsid w:val="008F538E"/>
    <w:rsid w:val="008F5A20"/>
    <w:rsid w:val="008F5ABA"/>
    <w:rsid w:val="008F71AB"/>
    <w:rsid w:val="008F7905"/>
    <w:rsid w:val="008F7989"/>
    <w:rsid w:val="00901F1D"/>
    <w:rsid w:val="009028E8"/>
    <w:rsid w:val="00902905"/>
    <w:rsid w:val="00902E5C"/>
    <w:rsid w:val="0090363E"/>
    <w:rsid w:val="0090466B"/>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4B7"/>
    <w:rsid w:val="00915EFE"/>
    <w:rsid w:val="00915FCE"/>
    <w:rsid w:val="009163DD"/>
    <w:rsid w:val="00916528"/>
    <w:rsid w:val="00916AFE"/>
    <w:rsid w:val="00916FC8"/>
    <w:rsid w:val="009170D3"/>
    <w:rsid w:val="0091759C"/>
    <w:rsid w:val="00920026"/>
    <w:rsid w:val="009203E2"/>
    <w:rsid w:val="00920F61"/>
    <w:rsid w:val="0092119E"/>
    <w:rsid w:val="00921304"/>
    <w:rsid w:val="00921395"/>
    <w:rsid w:val="00921805"/>
    <w:rsid w:val="00921E63"/>
    <w:rsid w:val="00922B4A"/>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32F0"/>
    <w:rsid w:val="00933333"/>
    <w:rsid w:val="0093349A"/>
    <w:rsid w:val="009338BA"/>
    <w:rsid w:val="00933FCB"/>
    <w:rsid w:val="009346C8"/>
    <w:rsid w:val="00934CEC"/>
    <w:rsid w:val="00934E69"/>
    <w:rsid w:val="00935E70"/>
    <w:rsid w:val="00935FEA"/>
    <w:rsid w:val="0093609A"/>
    <w:rsid w:val="00937401"/>
    <w:rsid w:val="009376FB"/>
    <w:rsid w:val="00937D6B"/>
    <w:rsid w:val="00940477"/>
    <w:rsid w:val="00940876"/>
    <w:rsid w:val="00940A53"/>
    <w:rsid w:val="00940F3C"/>
    <w:rsid w:val="009410E0"/>
    <w:rsid w:val="009419E9"/>
    <w:rsid w:val="00941A2D"/>
    <w:rsid w:val="00941FA9"/>
    <w:rsid w:val="00942DD0"/>
    <w:rsid w:val="009439B6"/>
    <w:rsid w:val="009444B4"/>
    <w:rsid w:val="00944644"/>
    <w:rsid w:val="00946A24"/>
    <w:rsid w:val="009470D4"/>
    <w:rsid w:val="00947337"/>
    <w:rsid w:val="00947E6E"/>
    <w:rsid w:val="00951242"/>
    <w:rsid w:val="009512FA"/>
    <w:rsid w:val="009516A9"/>
    <w:rsid w:val="00951E57"/>
    <w:rsid w:val="00952350"/>
    <w:rsid w:val="00952505"/>
    <w:rsid w:val="00953018"/>
    <w:rsid w:val="009533E2"/>
    <w:rsid w:val="00953554"/>
    <w:rsid w:val="0095385A"/>
    <w:rsid w:val="00954F3A"/>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3550"/>
    <w:rsid w:val="00964138"/>
    <w:rsid w:val="009648D6"/>
    <w:rsid w:val="009649AE"/>
    <w:rsid w:val="00964B3F"/>
    <w:rsid w:val="00964C98"/>
    <w:rsid w:val="00967BEF"/>
    <w:rsid w:val="00971441"/>
    <w:rsid w:val="009715D4"/>
    <w:rsid w:val="0097179A"/>
    <w:rsid w:val="009731F4"/>
    <w:rsid w:val="009732A4"/>
    <w:rsid w:val="00973C05"/>
    <w:rsid w:val="0097494E"/>
    <w:rsid w:val="00974999"/>
    <w:rsid w:val="00974B58"/>
    <w:rsid w:val="00974CBD"/>
    <w:rsid w:val="0097521A"/>
    <w:rsid w:val="00975445"/>
    <w:rsid w:val="009761ED"/>
    <w:rsid w:val="0097678A"/>
    <w:rsid w:val="0098022F"/>
    <w:rsid w:val="009810DE"/>
    <w:rsid w:val="00981B91"/>
    <w:rsid w:val="009822D7"/>
    <w:rsid w:val="009827E6"/>
    <w:rsid w:val="00982EB6"/>
    <w:rsid w:val="00982F84"/>
    <w:rsid w:val="009831C3"/>
    <w:rsid w:val="00983723"/>
    <w:rsid w:val="0098427D"/>
    <w:rsid w:val="00984567"/>
    <w:rsid w:val="00985102"/>
    <w:rsid w:val="009854BC"/>
    <w:rsid w:val="00985A66"/>
    <w:rsid w:val="0098606C"/>
    <w:rsid w:val="009865D5"/>
    <w:rsid w:val="00986952"/>
    <w:rsid w:val="009876F2"/>
    <w:rsid w:val="00987C77"/>
    <w:rsid w:val="00987FED"/>
    <w:rsid w:val="00990345"/>
    <w:rsid w:val="00990701"/>
    <w:rsid w:val="0099119C"/>
    <w:rsid w:val="0099137A"/>
    <w:rsid w:val="0099211C"/>
    <w:rsid w:val="00993013"/>
    <w:rsid w:val="00993B78"/>
    <w:rsid w:val="00994E26"/>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D47"/>
    <w:rsid w:val="009A3F05"/>
    <w:rsid w:val="009A4D63"/>
    <w:rsid w:val="009A5356"/>
    <w:rsid w:val="009A5468"/>
    <w:rsid w:val="009A5D54"/>
    <w:rsid w:val="009A5D99"/>
    <w:rsid w:val="009A608C"/>
    <w:rsid w:val="009A6FDF"/>
    <w:rsid w:val="009A715F"/>
    <w:rsid w:val="009A76D6"/>
    <w:rsid w:val="009B13AF"/>
    <w:rsid w:val="009B2374"/>
    <w:rsid w:val="009B2E29"/>
    <w:rsid w:val="009B3163"/>
    <w:rsid w:val="009B35AE"/>
    <w:rsid w:val="009B422F"/>
    <w:rsid w:val="009B46BC"/>
    <w:rsid w:val="009B4D1A"/>
    <w:rsid w:val="009B519D"/>
    <w:rsid w:val="009B558B"/>
    <w:rsid w:val="009B6D21"/>
    <w:rsid w:val="009B6DF2"/>
    <w:rsid w:val="009B758C"/>
    <w:rsid w:val="009B78ED"/>
    <w:rsid w:val="009C0D57"/>
    <w:rsid w:val="009C181C"/>
    <w:rsid w:val="009C1A44"/>
    <w:rsid w:val="009C1C7F"/>
    <w:rsid w:val="009C1EC7"/>
    <w:rsid w:val="009C28A2"/>
    <w:rsid w:val="009C2D70"/>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BDF"/>
    <w:rsid w:val="009D3736"/>
    <w:rsid w:val="009D4529"/>
    <w:rsid w:val="009D604F"/>
    <w:rsid w:val="009D61BB"/>
    <w:rsid w:val="009D6410"/>
    <w:rsid w:val="009D68BB"/>
    <w:rsid w:val="009D6909"/>
    <w:rsid w:val="009D70C2"/>
    <w:rsid w:val="009D7244"/>
    <w:rsid w:val="009D7ADB"/>
    <w:rsid w:val="009D7B33"/>
    <w:rsid w:val="009E020C"/>
    <w:rsid w:val="009E06C3"/>
    <w:rsid w:val="009E0703"/>
    <w:rsid w:val="009E1035"/>
    <w:rsid w:val="009E12BD"/>
    <w:rsid w:val="009E16C2"/>
    <w:rsid w:val="009E16DA"/>
    <w:rsid w:val="009E1CD4"/>
    <w:rsid w:val="009E2391"/>
    <w:rsid w:val="009E476A"/>
    <w:rsid w:val="009E4E05"/>
    <w:rsid w:val="009E56FF"/>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488D"/>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6FB"/>
    <w:rsid w:val="00A04A54"/>
    <w:rsid w:val="00A0558F"/>
    <w:rsid w:val="00A058B8"/>
    <w:rsid w:val="00A05B4B"/>
    <w:rsid w:val="00A066C3"/>
    <w:rsid w:val="00A06754"/>
    <w:rsid w:val="00A069E0"/>
    <w:rsid w:val="00A06E4A"/>
    <w:rsid w:val="00A070E9"/>
    <w:rsid w:val="00A078FB"/>
    <w:rsid w:val="00A0791E"/>
    <w:rsid w:val="00A1036D"/>
    <w:rsid w:val="00A1069F"/>
    <w:rsid w:val="00A10ACA"/>
    <w:rsid w:val="00A10D08"/>
    <w:rsid w:val="00A11BB6"/>
    <w:rsid w:val="00A11E78"/>
    <w:rsid w:val="00A1224A"/>
    <w:rsid w:val="00A12355"/>
    <w:rsid w:val="00A12574"/>
    <w:rsid w:val="00A127D2"/>
    <w:rsid w:val="00A1284E"/>
    <w:rsid w:val="00A131F8"/>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6F11"/>
    <w:rsid w:val="00A27FB6"/>
    <w:rsid w:val="00A30121"/>
    <w:rsid w:val="00A30368"/>
    <w:rsid w:val="00A3043A"/>
    <w:rsid w:val="00A304C0"/>
    <w:rsid w:val="00A30E02"/>
    <w:rsid w:val="00A30F6A"/>
    <w:rsid w:val="00A31C3E"/>
    <w:rsid w:val="00A32254"/>
    <w:rsid w:val="00A32A8C"/>
    <w:rsid w:val="00A34538"/>
    <w:rsid w:val="00A34677"/>
    <w:rsid w:val="00A3540F"/>
    <w:rsid w:val="00A35630"/>
    <w:rsid w:val="00A35914"/>
    <w:rsid w:val="00A36189"/>
    <w:rsid w:val="00A37E73"/>
    <w:rsid w:val="00A37FB6"/>
    <w:rsid w:val="00A409E2"/>
    <w:rsid w:val="00A40C13"/>
    <w:rsid w:val="00A4104A"/>
    <w:rsid w:val="00A41081"/>
    <w:rsid w:val="00A411CA"/>
    <w:rsid w:val="00A42080"/>
    <w:rsid w:val="00A42096"/>
    <w:rsid w:val="00A426F3"/>
    <w:rsid w:val="00A42FDF"/>
    <w:rsid w:val="00A430A9"/>
    <w:rsid w:val="00A431FE"/>
    <w:rsid w:val="00A435DD"/>
    <w:rsid w:val="00A439E5"/>
    <w:rsid w:val="00A4414E"/>
    <w:rsid w:val="00A4497A"/>
    <w:rsid w:val="00A44AB5"/>
    <w:rsid w:val="00A44BE8"/>
    <w:rsid w:val="00A44C96"/>
    <w:rsid w:val="00A44CDD"/>
    <w:rsid w:val="00A44F54"/>
    <w:rsid w:val="00A45F9B"/>
    <w:rsid w:val="00A46574"/>
    <w:rsid w:val="00A47849"/>
    <w:rsid w:val="00A500B1"/>
    <w:rsid w:val="00A52A53"/>
    <w:rsid w:val="00A52B87"/>
    <w:rsid w:val="00A52EE5"/>
    <w:rsid w:val="00A53037"/>
    <w:rsid w:val="00A532B9"/>
    <w:rsid w:val="00A5351D"/>
    <w:rsid w:val="00A53E79"/>
    <w:rsid w:val="00A54031"/>
    <w:rsid w:val="00A5426D"/>
    <w:rsid w:val="00A54959"/>
    <w:rsid w:val="00A54FC2"/>
    <w:rsid w:val="00A55122"/>
    <w:rsid w:val="00A55CEA"/>
    <w:rsid w:val="00A56DE7"/>
    <w:rsid w:val="00A57EB2"/>
    <w:rsid w:val="00A6009E"/>
    <w:rsid w:val="00A60265"/>
    <w:rsid w:val="00A60540"/>
    <w:rsid w:val="00A60B1F"/>
    <w:rsid w:val="00A61AB7"/>
    <w:rsid w:val="00A61C60"/>
    <w:rsid w:val="00A624A5"/>
    <w:rsid w:val="00A62589"/>
    <w:rsid w:val="00A62AD0"/>
    <w:rsid w:val="00A62C3A"/>
    <w:rsid w:val="00A6319C"/>
    <w:rsid w:val="00A63812"/>
    <w:rsid w:val="00A63DF7"/>
    <w:rsid w:val="00A6454D"/>
    <w:rsid w:val="00A64F2F"/>
    <w:rsid w:val="00A6611E"/>
    <w:rsid w:val="00A668BA"/>
    <w:rsid w:val="00A66FA7"/>
    <w:rsid w:val="00A67E16"/>
    <w:rsid w:val="00A67EB1"/>
    <w:rsid w:val="00A703CC"/>
    <w:rsid w:val="00A70C5C"/>
    <w:rsid w:val="00A70F78"/>
    <w:rsid w:val="00A710A2"/>
    <w:rsid w:val="00A71EA7"/>
    <w:rsid w:val="00A72FE1"/>
    <w:rsid w:val="00A730AD"/>
    <w:rsid w:val="00A73855"/>
    <w:rsid w:val="00A738CB"/>
    <w:rsid w:val="00A73D64"/>
    <w:rsid w:val="00A74216"/>
    <w:rsid w:val="00A74360"/>
    <w:rsid w:val="00A744B4"/>
    <w:rsid w:val="00A751E3"/>
    <w:rsid w:val="00A753B9"/>
    <w:rsid w:val="00A7549A"/>
    <w:rsid w:val="00A75504"/>
    <w:rsid w:val="00A75FD7"/>
    <w:rsid w:val="00A77168"/>
    <w:rsid w:val="00A7723B"/>
    <w:rsid w:val="00A773C3"/>
    <w:rsid w:val="00A7793C"/>
    <w:rsid w:val="00A779BF"/>
    <w:rsid w:val="00A77D21"/>
    <w:rsid w:val="00A80085"/>
    <w:rsid w:val="00A8043B"/>
    <w:rsid w:val="00A80DA0"/>
    <w:rsid w:val="00A81323"/>
    <w:rsid w:val="00A82084"/>
    <w:rsid w:val="00A820CB"/>
    <w:rsid w:val="00A82342"/>
    <w:rsid w:val="00A8236F"/>
    <w:rsid w:val="00A83BEF"/>
    <w:rsid w:val="00A84443"/>
    <w:rsid w:val="00A8483D"/>
    <w:rsid w:val="00A8487F"/>
    <w:rsid w:val="00A849A3"/>
    <w:rsid w:val="00A84A0E"/>
    <w:rsid w:val="00A8575D"/>
    <w:rsid w:val="00A86E0B"/>
    <w:rsid w:val="00A90792"/>
    <w:rsid w:val="00A90F12"/>
    <w:rsid w:val="00A91DAA"/>
    <w:rsid w:val="00A93101"/>
    <w:rsid w:val="00A93239"/>
    <w:rsid w:val="00A9413E"/>
    <w:rsid w:val="00A94293"/>
    <w:rsid w:val="00A9496E"/>
    <w:rsid w:val="00A949F0"/>
    <w:rsid w:val="00A94BDE"/>
    <w:rsid w:val="00A94FCA"/>
    <w:rsid w:val="00A95E4C"/>
    <w:rsid w:val="00A96C60"/>
    <w:rsid w:val="00A970A1"/>
    <w:rsid w:val="00A9740B"/>
    <w:rsid w:val="00A9766C"/>
    <w:rsid w:val="00A977F8"/>
    <w:rsid w:val="00A979DB"/>
    <w:rsid w:val="00A97C93"/>
    <w:rsid w:val="00AA03E8"/>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4F8"/>
    <w:rsid w:val="00AB358D"/>
    <w:rsid w:val="00AB37A1"/>
    <w:rsid w:val="00AB3BAD"/>
    <w:rsid w:val="00AB3CFD"/>
    <w:rsid w:val="00AB49BC"/>
    <w:rsid w:val="00AB4DEE"/>
    <w:rsid w:val="00AB4E32"/>
    <w:rsid w:val="00AB5C19"/>
    <w:rsid w:val="00AB724B"/>
    <w:rsid w:val="00AB726C"/>
    <w:rsid w:val="00AB72B4"/>
    <w:rsid w:val="00AB7A7A"/>
    <w:rsid w:val="00AC02AA"/>
    <w:rsid w:val="00AC0537"/>
    <w:rsid w:val="00AC0A84"/>
    <w:rsid w:val="00AC1508"/>
    <w:rsid w:val="00AC2A0B"/>
    <w:rsid w:val="00AC2BEE"/>
    <w:rsid w:val="00AC2E53"/>
    <w:rsid w:val="00AC45BB"/>
    <w:rsid w:val="00AC46B0"/>
    <w:rsid w:val="00AC484F"/>
    <w:rsid w:val="00AC4B20"/>
    <w:rsid w:val="00AC56F2"/>
    <w:rsid w:val="00AC58DD"/>
    <w:rsid w:val="00AC71C3"/>
    <w:rsid w:val="00AD09F7"/>
    <w:rsid w:val="00AD0D42"/>
    <w:rsid w:val="00AD1DA0"/>
    <w:rsid w:val="00AD1EFA"/>
    <w:rsid w:val="00AD2072"/>
    <w:rsid w:val="00AD2DBD"/>
    <w:rsid w:val="00AD2FBF"/>
    <w:rsid w:val="00AD340E"/>
    <w:rsid w:val="00AD3B81"/>
    <w:rsid w:val="00AD3F15"/>
    <w:rsid w:val="00AD455D"/>
    <w:rsid w:val="00AD463C"/>
    <w:rsid w:val="00AD4F60"/>
    <w:rsid w:val="00AD5044"/>
    <w:rsid w:val="00AD5114"/>
    <w:rsid w:val="00AD6236"/>
    <w:rsid w:val="00AD69D5"/>
    <w:rsid w:val="00AD7619"/>
    <w:rsid w:val="00AD76A1"/>
    <w:rsid w:val="00AD7770"/>
    <w:rsid w:val="00AE0F1D"/>
    <w:rsid w:val="00AE1772"/>
    <w:rsid w:val="00AE1990"/>
    <w:rsid w:val="00AE25E8"/>
    <w:rsid w:val="00AE2AD4"/>
    <w:rsid w:val="00AE2CA7"/>
    <w:rsid w:val="00AE2F1D"/>
    <w:rsid w:val="00AE4C81"/>
    <w:rsid w:val="00AE586F"/>
    <w:rsid w:val="00AE6582"/>
    <w:rsid w:val="00AE6DC5"/>
    <w:rsid w:val="00AE7686"/>
    <w:rsid w:val="00AE799A"/>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EB"/>
    <w:rsid w:val="00AF6CA6"/>
    <w:rsid w:val="00AF6EB6"/>
    <w:rsid w:val="00AF7796"/>
    <w:rsid w:val="00B011A9"/>
    <w:rsid w:val="00B018A2"/>
    <w:rsid w:val="00B01BAF"/>
    <w:rsid w:val="00B024ED"/>
    <w:rsid w:val="00B026B8"/>
    <w:rsid w:val="00B02EB3"/>
    <w:rsid w:val="00B02FCB"/>
    <w:rsid w:val="00B033F8"/>
    <w:rsid w:val="00B03C1E"/>
    <w:rsid w:val="00B04400"/>
    <w:rsid w:val="00B04835"/>
    <w:rsid w:val="00B05A55"/>
    <w:rsid w:val="00B05DE1"/>
    <w:rsid w:val="00B06337"/>
    <w:rsid w:val="00B06595"/>
    <w:rsid w:val="00B06862"/>
    <w:rsid w:val="00B06F05"/>
    <w:rsid w:val="00B10109"/>
    <w:rsid w:val="00B1023F"/>
    <w:rsid w:val="00B1085E"/>
    <w:rsid w:val="00B10FD1"/>
    <w:rsid w:val="00B112D5"/>
    <w:rsid w:val="00B1130C"/>
    <w:rsid w:val="00B1219D"/>
    <w:rsid w:val="00B12735"/>
    <w:rsid w:val="00B12F44"/>
    <w:rsid w:val="00B13861"/>
    <w:rsid w:val="00B13C48"/>
    <w:rsid w:val="00B13E35"/>
    <w:rsid w:val="00B13EC0"/>
    <w:rsid w:val="00B14102"/>
    <w:rsid w:val="00B14AB0"/>
    <w:rsid w:val="00B14D32"/>
    <w:rsid w:val="00B1507C"/>
    <w:rsid w:val="00B1557C"/>
    <w:rsid w:val="00B155DC"/>
    <w:rsid w:val="00B15766"/>
    <w:rsid w:val="00B15E4A"/>
    <w:rsid w:val="00B1666A"/>
    <w:rsid w:val="00B167C8"/>
    <w:rsid w:val="00B1686D"/>
    <w:rsid w:val="00B16BF7"/>
    <w:rsid w:val="00B16ECD"/>
    <w:rsid w:val="00B17129"/>
    <w:rsid w:val="00B1741D"/>
    <w:rsid w:val="00B17447"/>
    <w:rsid w:val="00B1771D"/>
    <w:rsid w:val="00B17B91"/>
    <w:rsid w:val="00B20209"/>
    <w:rsid w:val="00B203C9"/>
    <w:rsid w:val="00B2088D"/>
    <w:rsid w:val="00B208FF"/>
    <w:rsid w:val="00B20E8F"/>
    <w:rsid w:val="00B22E22"/>
    <w:rsid w:val="00B22F5F"/>
    <w:rsid w:val="00B23353"/>
    <w:rsid w:val="00B23813"/>
    <w:rsid w:val="00B23FD9"/>
    <w:rsid w:val="00B24591"/>
    <w:rsid w:val="00B245D5"/>
    <w:rsid w:val="00B245EF"/>
    <w:rsid w:val="00B24C36"/>
    <w:rsid w:val="00B24F94"/>
    <w:rsid w:val="00B25126"/>
    <w:rsid w:val="00B25A52"/>
    <w:rsid w:val="00B25AED"/>
    <w:rsid w:val="00B25FC3"/>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953"/>
    <w:rsid w:val="00B35B6A"/>
    <w:rsid w:val="00B36D2B"/>
    <w:rsid w:val="00B37657"/>
    <w:rsid w:val="00B37AFD"/>
    <w:rsid w:val="00B37B07"/>
    <w:rsid w:val="00B4046F"/>
    <w:rsid w:val="00B406B3"/>
    <w:rsid w:val="00B40A36"/>
    <w:rsid w:val="00B40E58"/>
    <w:rsid w:val="00B41BCA"/>
    <w:rsid w:val="00B41D39"/>
    <w:rsid w:val="00B422C0"/>
    <w:rsid w:val="00B426CA"/>
    <w:rsid w:val="00B426E1"/>
    <w:rsid w:val="00B43820"/>
    <w:rsid w:val="00B4387A"/>
    <w:rsid w:val="00B43DF7"/>
    <w:rsid w:val="00B44746"/>
    <w:rsid w:val="00B44854"/>
    <w:rsid w:val="00B44BA5"/>
    <w:rsid w:val="00B4554E"/>
    <w:rsid w:val="00B458D0"/>
    <w:rsid w:val="00B45A60"/>
    <w:rsid w:val="00B46696"/>
    <w:rsid w:val="00B4792C"/>
    <w:rsid w:val="00B501E3"/>
    <w:rsid w:val="00B50CAE"/>
    <w:rsid w:val="00B512AD"/>
    <w:rsid w:val="00B5196C"/>
    <w:rsid w:val="00B525CB"/>
    <w:rsid w:val="00B52697"/>
    <w:rsid w:val="00B5273D"/>
    <w:rsid w:val="00B54215"/>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6EBA"/>
    <w:rsid w:val="00B771F4"/>
    <w:rsid w:val="00B7762A"/>
    <w:rsid w:val="00B777FA"/>
    <w:rsid w:val="00B77850"/>
    <w:rsid w:val="00B7796B"/>
    <w:rsid w:val="00B80476"/>
    <w:rsid w:val="00B80C72"/>
    <w:rsid w:val="00B81964"/>
    <w:rsid w:val="00B81E6F"/>
    <w:rsid w:val="00B82123"/>
    <w:rsid w:val="00B8225B"/>
    <w:rsid w:val="00B82BB5"/>
    <w:rsid w:val="00B83182"/>
    <w:rsid w:val="00B8347E"/>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4C2"/>
    <w:rsid w:val="00B90A49"/>
    <w:rsid w:val="00B90A73"/>
    <w:rsid w:val="00B90BD4"/>
    <w:rsid w:val="00B9178F"/>
    <w:rsid w:val="00B91B8E"/>
    <w:rsid w:val="00B92531"/>
    <w:rsid w:val="00B92618"/>
    <w:rsid w:val="00B92751"/>
    <w:rsid w:val="00B92A4B"/>
    <w:rsid w:val="00B92B69"/>
    <w:rsid w:val="00B92CC6"/>
    <w:rsid w:val="00B935C9"/>
    <w:rsid w:val="00B93E3D"/>
    <w:rsid w:val="00B95464"/>
    <w:rsid w:val="00B95C30"/>
    <w:rsid w:val="00B95E3D"/>
    <w:rsid w:val="00B95ED6"/>
    <w:rsid w:val="00B9691F"/>
    <w:rsid w:val="00B96EEC"/>
    <w:rsid w:val="00B97392"/>
    <w:rsid w:val="00B97678"/>
    <w:rsid w:val="00B976C7"/>
    <w:rsid w:val="00B97A73"/>
    <w:rsid w:val="00BA0C54"/>
    <w:rsid w:val="00BA1382"/>
    <w:rsid w:val="00BA15E3"/>
    <w:rsid w:val="00BA1A8C"/>
    <w:rsid w:val="00BA20B6"/>
    <w:rsid w:val="00BA20D8"/>
    <w:rsid w:val="00BA22FC"/>
    <w:rsid w:val="00BA271E"/>
    <w:rsid w:val="00BA2C2A"/>
    <w:rsid w:val="00BA2CF9"/>
    <w:rsid w:val="00BA2F30"/>
    <w:rsid w:val="00BA3982"/>
    <w:rsid w:val="00BA405F"/>
    <w:rsid w:val="00BA4771"/>
    <w:rsid w:val="00BA482B"/>
    <w:rsid w:val="00BA4BDA"/>
    <w:rsid w:val="00BA5027"/>
    <w:rsid w:val="00BA5DBE"/>
    <w:rsid w:val="00BA658F"/>
    <w:rsid w:val="00BA661F"/>
    <w:rsid w:val="00BA665B"/>
    <w:rsid w:val="00BA6FE8"/>
    <w:rsid w:val="00BA732D"/>
    <w:rsid w:val="00BA7370"/>
    <w:rsid w:val="00BA7591"/>
    <w:rsid w:val="00BA778B"/>
    <w:rsid w:val="00BB0888"/>
    <w:rsid w:val="00BB0DF1"/>
    <w:rsid w:val="00BB0E9B"/>
    <w:rsid w:val="00BB1C62"/>
    <w:rsid w:val="00BB2841"/>
    <w:rsid w:val="00BB300F"/>
    <w:rsid w:val="00BB32C9"/>
    <w:rsid w:val="00BB3381"/>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5A25"/>
    <w:rsid w:val="00BC5FDD"/>
    <w:rsid w:val="00BC68B4"/>
    <w:rsid w:val="00BC7277"/>
    <w:rsid w:val="00BD012C"/>
    <w:rsid w:val="00BD0140"/>
    <w:rsid w:val="00BD02CC"/>
    <w:rsid w:val="00BD061A"/>
    <w:rsid w:val="00BD088E"/>
    <w:rsid w:val="00BD0F18"/>
    <w:rsid w:val="00BD182E"/>
    <w:rsid w:val="00BD2063"/>
    <w:rsid w:val="00BD2950"/>
    <w:rsid w:val="00BD337A"/>
    <w:rsid w:val="00BD33D9"/>
    <w:rsid w:val="00BD38C5"/>
    <w:rsid w:val="00BD3AF1"/>
    <w:rsid w:val="00BD3DEA"/>
    <w:rsid w:val="00BD3E97"/>
    <w:rsid w:val="00BD40E4"/>
    <w:rsid w:val="00BD52FE"/>
    <w:rsid w:val="00BD5744"/>
    <w:rsid w:val="00BD62CF"/>
    <w:rsid w:val="00BD67B2"/>
    <w:rsid w:val="00BD68E2"/>
    <w:rsid w:val="00BD6D41"/>
    <w:rsid w:val="00BD76E5"/>
    <w:rsid w:val="00BD78FE"/>
    <w:rsid w:val="00BE0149"/>
    <w:rsid w:val="00BE0767"/>
    <w:rsid w:val="00BE07A6"/>
    <w:rsid w:val="00BE0CDF"/>
    <w:rsid w:val="00BE12D7"/>
    <w:rsid w:val="00BE1372"/>
    <w:rsid w:val="00BE1775"/>
    <w:rsid w:val="00BE18DA"/>
    <w:rsid w:val="00BE26C0"/>
    <w:rsid w:val="00BE3442"/>
    <w:rsid w:val="00BE37CD"/>
    <w:rsid w:val="00BE47B2"/>
    <w:rsid w:val="00BE48C7"/>
    <w:rsid w:val="00BE4F66"/>
    <w:rsid w:val="00BE4FBF"/>
    <w:rsid w:val="00BE50D0"/>
    <w:rsid w:val="00BE5238"/>
    <w:rsid w:val="00BE5712"/>
    <w:rsid w:val="00BE5742"/>
    <w:rsid w:val="00BE6074"/>
    <w:rsid w:val="00BE6D73"/>
    <w:rsid w:val="00BE7257"/>
    <w:rsid w:val="00BF020D"/>
    <w:rsid w:val="00BF05FC"/>
    <w:rsid w:val="00BF0609"/>
    <w:rsid w:val="00BF0EE8"/>
    <w:rsid w:val="00BF0F4A"/>
    <w:rsid w:val="00BF10ED"/>
    <w:rsid w:val="00BF1DD2"/>
    <w:rsid w:val="00BF23A3"/>
    <w:rsid w:val="00BF2A7E"/>
    <w:rsid w:val="00BF3331"/>
    <w:rsid w:val="00BF3603"/>
    <w:rsid w:val="00BF3A45"/>
    <w:rsid w:val="00BF436F"/>
    <w:rsid w:val="00BF5C05"/>
    <w:rsid w:val="00BF6AD7"/>
    <w:rsid w:val="00BF6FC6"/>
    <w:rsid w:val="00BF7C52"/>
    <w:rsid w:val="00BF7F99"/>
    <w:rsid w:val="00C00713"/>
    <w:rsid w:val="00C009A0"/>
    <w:rsid w:val="00C01F74"/>
    <w:rsid w:val="00C023E4"/>
    <w:rsid w:val="00C02558"/>
    <w:rsid w:val="00C025E6"/>
    <w:rsid w:val="00C0285F"/>
    <w:rsid w:val="00C028F5"/>
    <w:rsid w:val="00C02F35"/>
    <w:rsid w:val="00C031FF"/>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233E"/>
    <w:rsid w:val="00C12FB3"/>
    <w:rsid w:val="00C138BC"/>
    <w:rsid w:val="00C13D85"/>
    <w:rsid w:val="00C13E9E"/>
    <w:rsid w:val="00C145FE"/>
    <w:rsid w:val="00C14639"/>
    <w:rsid w:val="00C14E82"/>
    <w:rsid w:val="00C14FF6"/>
    <w:rsid w:val="00C15A85"/>
    <w:rsid w:val="00C1637C"/>
    <w:rsid w:val="00C1641B"/>
    <w:rsid w:val="00C165FC"/>
    <w:rsid w:val="00C176D5"/>
    <w:rsid w:val="00C17D24"/>
    <w:rsid w:val="00C2082C"/>
    <w:rsid w:val="00C20B85"/>
    <w:rsid w:val="00C20EB0"/>
    <w:rsid w:val="00C21004"/>
    <w:rsid w:val="00C2100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7143"/>
    <w:rsid w:val="00C27490"/>
    <w:rsid w:val="00C27D37"/>
    <w:rsid w:val="00C309E8"/>
    <w:rsid w:val="00C32017"/>
    <w:rsid w:val="00C32571"/>
    <w:rsid w:val="00C325CD"/>
    <w:rsid w:val="00C3322E"/>
    <w:rsid w:val="00C337F5"/>
    <w:rsid w:val="00C3383E"/>
    <w:rsid w:val="00C33B90"/>
    <w:rsid w:val="00C34161"/>
    <w:rsid w:val="00C34B32"/>
    <w:rsid w:val="00C34B5F"/>
    <w:rsid w:val="00C358D4"/>
    <w:rsid w:val="00C365C6"/>
    <w:rsid w:val="00C366F4"/>
    <w:rsid w:val="00C36785"/>
    <w:rsid w:val="00C3680E"/>
    <w:rsid w:val="00C3711C"/>
    <w:rsid w:val="00C37256"/>
    <w:rsid w:val="00C37A7B"/>
    <w:rsid w:val="00C37DC1"/>
    <w:rsid w:val="00C37FFE"/>
    <w:rsid w:val="00C40B50"/>
    <w:rsid w:val="00C419E3"/>
    <w:rsid w:val="00C419F4"/>
    <w:rsid w:val="00C41E6A"/>
    <w:rsid w:val="00C42247"/>
    <w:rsid w:val="00C428E7"/>
    <w:rsid w:val="00C43394"/>
    <w:rsid w:val="00C438A2"/>
    <w:rsid w:val="00C439BE"/>
    <w:rsid w:val="00C4539B"/>
    <w:rsid w:val="00C45466"/>
    <w:rsid w:val="00C455C1"/>
    <w:rsid w:val="00C456EA"/>
    <w:rsid w:val="00C4581D"/>
    <w:rsid w:val="00C4635B"/>
    <w:rsid w:val="00C47472"/>
    <w:rsid w:val="00C500F0"/>
    <w:rsid w:val="00C504A7"/>
    <w:rsid w:val="00C506C9"/>
    <w:rsid w:val="00C50A16"/>
    <w:rsid w:val="00C51C9A"/>
    <w:rsid w:val="00C523AC"/>
    <w:rsid w:val="00C52C68"/>
    <w:rsid w:val="00C52D98"/>
    <w:rsid w:val="00C52DA1"/>
    <w:rsid w:val="00C53D24"/>
    <w:rsid w:val="00C54640"/>
    <w:rsid w:val="00C547A6"/>
    <w:rsid w:val="00C54A3A"/>
    <w:rsid w:val="00C55C32"/>
    <w:rsid w:val="00C56A67"/>
    <w:rsid w:val="00C56CC2"/>
    <w:rsid w:val="00C56D8D"/>
    <w:rsid w:val="00C572D2"/>
    <w:rsid w:val="00C57498"/>
    <w:rsid w:val="00C5763C"/>
    <w:rsid w:val="00C5780C"/>
    <w:rsid w:val="00C5796B"/>
    <w:rsid w:val="00C57C64"/>
    <w:rsid w:val="00C60CE0"/>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453"/>
    <w:rsid w:val="00C71E2A"/>
    <w:rsid w:val="00C733BA"/>
    <w:rsid w:val="00C760DC"/>
    <w:rsid w:val="00C8082B"/>
    <w:rsid w:val="00C81A88"/>
    <w:rsid w:val="00C81BD5"/>
    <w:rsid w:val="00C81D0B"/>
    <w:rsid w:val="00C81D46"/>
    <w:rsid w:val="00C82298"/>
    <w:rsid w:val="00C8331F"/>
    <w:rsid w:val="00C833B4"/>
    <w:rsid w:val="00C83C3E"/>
    <w:rsid w:val="00C84284"/>
    <w:rsid w:val="00C84887"/>
    <w:rsid w:val="00C84E33"/>
    <w:rsid w:val="00C85FFC"/>
    <w:rsid w:val="00C861FC"/>
    <w:rsid w:val="00C86C87"/>
    <w:rsid w:val="00C9005E"/>
    <w:rsid w:val="00C90111"/>
    <w:rsid w:val="00C9038E"/>
    <w:rsid w:val="00C9077B"/>
    <w:rsid w:val="00C90CA9"/>
    <w:rsid w:val="00C90F88"/>
    <w:rsid w:val="00C915F2"/>
    <w:rsid w:val="00C917B1"/>
    <w:rsid w:val="00C9193C"/>
    <w:rsid w:val="00C9196F"/>
    <w:rsid w:val="00C91B77"/>
    <w:rsid w:val="00C920E2"/>
    <w:rsid w:val="00C9370F"/>
    <w:rsid w:val="00C93765"/>
    <w:rsid w:val="00C93877"/>
    <w:rsid w:val="00C93D8C"/>
    <w:rsid w:val="00C93E07"/>
    <w:rsid w:val="00C946CC"/>
    <w:rsid w:val="00C959BD"/>
    <w:rsid w:val="00C95DFE"/>
    <w:rsid w:val="00C95F44"/>
    <w:rsid w:val="00C96D1B"/>
    <w:rsid w:val="00C97106"/>
    <w:rsid w:val="00C977E0"/>
    <w:rsid w:val="00C978D4"/>
    <w:rsid w:val="00CA0031"/>
    <w:rsid w:val="00CA0413"/>
    <w:rsid w:val="00CA043A"/>
    <w:rsid w:val="00CA0E51"/>
    <w:rsid w:val="00CA15C3"/>
    <w:rsid w:val="00CA1691"/>
    <w:rsid w:val="00CA41E7"/>
    <w:rsid w:val="00CA4A99"/>
    <w:rsid w:val="00CA5520"/>
    <w:rsid w:val="00CA5812"/>
    <w:rsid w:val="00CA5BD4"/>
    <w:rsid w:val="00CA5C14"/>
    <w:rsid w:val="00CA6B20"/>
    <w:rsid w:val="00CA76FC"/>
    <w:rsid w:val="00CA7E7B"/>
    <w:rsid w:val="00CB0236"/>
    <w:rsid w:val="00CB1881"/>
    <w:rsid w:val="00CB1969"/>
    <w:rsid w:val="00CB19E3"/>
    <w:rsid w:val="00CB2C3A"/>
    <w:rsid w:val="00CB2D38"/>
    <w:rsid w:val="00CB31B4"/>
    <w:rsid w:val="00CB4137"/>
    <w:rsid w:val="00CB50D0"/>
    <w:rsid w:val="00CB52D0"/>
    <w:rsid w:val="00CB5578"/>
    <w:rsid w:val="00CB5671"/>
    <w:rsid w:val="00CB58D9"/>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23B"/>
    <w:rsid w:val="00CC46CE"/>
    <w:rsid w:val="00CC4CB4"/>
    <w:rsid w:val="00CC4E5D"/>
    <w:rsid w:val="00CC50AE"/>
    <w:rsid w:val="00CC5E38"/>
    <w:rsid w:val="00CC5FFE"/>
    <w:rsid w:val="00CC61B7"/>
    <w:rsid w:val="00CC61CA"/>
    <w:rsid w:val="00CC69EC"/>
    <w:rsid w:val="00CC71D3"/>
    <w:rsid w:val="00CC734C"/>
    <w:rsid w:val="00CC743D"/>
    <w:rsid w:val="00CD02ED"/>
    <w:rsid w:val="00CD050A"/>
    <w:rsid w:val="00CD1017"/>
    <w:rsid w:val="00CD205D"/>
    <w:rsid w:val="00CD2A22"/>
    <w:rsid w:val="00CD2B50"/>
    <w:rsid w:val="00CD3172"/>
    <w:rsid w:val="00CD4506"/>
    <w:rsid w:val="00CD520B"/>
    <w:rsid w:val="00CD592E"/>
    <w:rsid w:val="00CD5982"/>
    <w:rsid w:val="00CD5A1A"/>
    <w:rsid w:val="00CD61D5"/>
    <w:rsid w:val="00CD7EFA"/>
    <w:rsid w:val="00CE020E"/>
    <w:rsid w:val="00CE0566"/>
    <w:rsid w:val="00CE1594"/>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0CF"/>
    <w:rsid w:val="00CE7F26"/>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25AF"/>
    <w:rsid w:val="00D02DA6"/>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94F"/>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104A"/>
    <w:rsid w:val="00D2123A"/>
    <w:rsid w:val="00D21BB5"/>
    <w:rsid w:val="00D21FFC"/>
    <w:rsid w:val="00D223B6"/>
    <w:rsid w:val="00D223E8"/>
    <w:rsid w:val="00D224E1"/>
    <w:rsid w:val="00D22DC8"/>
    <w:rsid w:val="00D22E31"/>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A27"/>
    <w:rsid w:val="00D32ABC"/>
    <w:rsid w:val="00D33FA4"/>
    <w:rsid w:val="00D348C8"/>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0EE7"/>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7940"/>
    <w:rsid w:val="00D60327"/>
    <w:rsid w:val="00D61384"/>
    <w:rsid w:val="00D61526"/>
    <w:rsid w:val="00D61C39"/>
    <w:rsid w:val="00D61F81"/>
    <w:rsid w:val="00D620A6"/>
    <w:rsid w:val="00D62BE6"/>
    <w:rsid w:val="00D63766"/>
    <w:rsid w:val="00D63912"/>
    <w:rsid w:val="00D63923"/>
    <w:rsid w:val="00D6451B"/>
    <w:rsid w:val="00D64B57"/>
    <w:rsid w:val="00D651A1"/>
    <w:rsid w:val="00D65DEA"/>
    <w:rsid w:val="00D6650F"/>
    <w:rsid w:val="00D66579"/>
    <w:rsid w:val="00D676D3"/>
    <w:rsid w:val="00D67B06"/>
    <w:rsid w:val="00D67BC7"/>
    <w:rsid w:val="00D701F1"/>
    <w:rsid w:val="00D705D3"/>
    <w:rsid w:val="00D70E00"/>
    <w:rsid w:val="00D70F7C"/>
    <w:rsid w:val="00D715AC"/>
    <w:rsid w:val="00D71851"/>
    <w:rsid w:val="00D718CF"/>
    <w:rsid w:val="00D7261C"/>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97D"/>
    <w:rsid w:val="00D85D61"/>
    <w:rsid w:val="00D8616D"/>
    <w:rsid w:val="00D8711B"/>
    <w:rsid w:val="00D87384"/>
    <w:rsid w:val="00D879C4"/>
    <w:rsid w:val="00D87AEB"/>
    <w:rsid w:val="00D90683"/>
    <w:rsid w:val="00D90B2A"/>
    <w:rsid w:val="00D911B3"/>
    <w:rsid w:val="00D91483"/>
    <w:rsid w:val="00D915C8"/>
    <w:rsid w:val="00D9310B"/>
    <w:rsid w:val="00D931F3"/>
    <w:rsid w:val="00D93726"/>
    <w:rsid w:val="00D93DDE"/>
    <w:rsid w:val="00D93F3E"/>
    <w:rsid w:val="00D9405B"/>
    <w:rsid w:val="00D94942"/>
    <w:rsid w:val="00D950E6"/>
    <w:rsid w:val="00D95145"/>
    <w:rsid w:val="00D95742"/>
    <w:rsid w:val="00D96594"/>
    <w:rsid w:val="00D967CB"/>
    <w:rsid w:val="00D968D4"/>
    <w:rsid w:val="00D96DA5"/>
    <w:rsid w:val="00D96EE0"/>
    <w:rsid w:val="00D97BD1"/>
    <w:rsid w:val="00DA00C3"/>
    <w:rsid w:val="00DA01E9"/>
    <w:rsid w:val="00DA06B8"/>
    <w:rsid w:val="00DA0A51"/>
    <w:rsid w:val="00DA14A9"/>
    <w:rsid w:val="00DA286D"/>
    <w:rsid w:val="00DA2969"/>
    <w:rsid w:val="00DA29B7"/>
    <w:rsid w:val="00DA2E5F"/>
    <w:rsid w:val="00DA337C"/>
    <w:rsid w:val="00DA4187"/>
    <w:rsid w:val="00DA4842"/>
    <w:rsid w:val="00DA4C97"/>
    <w:rsid w:val="00DA5989"/>
    <w:rsid w:val="00DA5AB1"/>
    <w:rsid w:val="00DA5F9D"/>
    <w:rsid w:val="00DA69B2"/>
    <w:rsid w:val="00DA7311"/>
    <w:rsid w:val="00DA7462"/>
    <w:rsid w:val="00DA7AD0"/>
    <w:rsid w:val="00DB02D7"/>
    <w:rsid w:val="00DB03CC"/>
    <w:rsid w:val="00DB12D4"/>
    <w:rsid w:val="00DB144C"/>
    <w:rsid w:val="00DB14F0"/>
    <w:rsid w:val="00DB1745"/>
    <w:rsid w:val="00DB19BB"/>
    <w:rsid w:val="00DB1AFF"/>
    <w:rsid w:val="00DB219A"/>
    <w:rsid w:val="00DB3165"/>
    <w:rsid w:val="00DB4292"/>
    <w:rsid w:val="00DB5023"/>
    <w:rsid w:val="00DB6895"/>
    <w:rsid w:val="00DB6E46"/>
    <w:rsid w:val="00DB6E6D"/>
    <w:rsid w:val="00DB7117"/>
    <w:rsid w:val="00DB7735"/>
    <w:rsid w:val="00DB7760"/>
    <w:rsid w:val="00DB7DD4"/>
    <w:rsid w:val="00DC00B4"/>
    <w:rsid w:val="00DC0954"/>
    <w:rsid w:val="00DC0DF8"/>
    <w:rsid w:val="00DC15BA"/>
    <w:rsid w:val="00DC18CD"/>
    <w:rsid w:val="00DC1A68"/>
    <w:rsid w:val="00DC1E08"/>
    <w:rsid w:val="00DC30B8"/>
    <w:rsid w:val="00DC478F"/>
    <w:rsid w:val="00DC5560"/>
    <w:rsid w:val="00DC62E5"/>
    <w:rsid w:val="00DC6D70"/>
    <w:rsid w:val="00DC6F33"/>
    <w:rsid w:val="00DC71BC"/>
    <w:rsid w:val="00DC7349"/>
    <w:rsid w:val="00DD0EA9"/>
    <w:rsid w:val="00DD14D8"/>
    <w:rsid w:val="00DD1599"/>
    <w:rsid w:val="00DD16F1"/>
    <w:rsid w:val="00DD1B03"/>
    <w:rsid w:val="00DD1E43"/>
    <w:rsid w:val="00DD2A62"/>
    <w:rsid w:val="00DD2F2F"/>
    <w:rsid w:val="00DD2F7A"/>
    <w:rsid w:val="00DD3885"/>
    <w:rsid w:val="00DD3F8E"/>
    <w:rsid w:val="00DD53E1"/>
    <w:rsid w:val="00DD5489"/>
    <w:rsid w:val="00DD5808"/>
    <w:rsid w:val="00DD5946"/>
    <w:rsid w:val="00DD5B04"/>
    <w:rsid w:val="00DD5DAE"/>
    <w:rsid w:val="00DD5EC6"/>
    <w:rsid w:val="00DD605F"/>
    <w:rsid w:val="00DD7024"/>
    <w:rsid w:val="00DD72A0"/>
    <w:rsid w:val="00DD735D"/>
    <w:rsid w:val="00DD7F7D"/>
    <w:rsid w:val="00DE0159"/>
    <w:rsid w:val="00DE064A"/>
    <w:rsid w:val="00DE082D"/>
    <w:rsid w:val="00DE1410"/>
    <w:rsid w:val="00DE20C6"/>
    <w:rsid w:val="00DE3119"/>
    <w:rsid w:val="00DE3E0B"/>
    <w:rsid w:val="00DE3FF0"/>
    <w:rsid w:val="00DE4105"/>
    <w:rsid w:val="00DE5189"/>
    <w:rsid w:val="00DE7108"/>
    <w:rsid w:val="00DE78D1"/>
    <w:rsid w:val="00DE78FF"/>
    <w:rsid w:val="00DF0263"/>
    <w:rsid w:val="00DF03DF"/>
    <w:rsid w:val="00DF0EB4"/>
    <w:rsid w:val="00DF146A"/>
    <w:rsid w:val="00DF158B"/>
    <w:rsid w:val="00DF193C"/>
    <w:rsid w:val="00DF1E36"/>
    <w:rsid w:val="00DF236B"/>
    <w:rsid w:val="00DF2A91"/>
    <w:rsid w:val="00DF30DA"/>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1ED"/>
    <w:rsid w:val="00E03951"/>
    <w:rsid w:val="00E03DB8"/>
    <w:rsid w:val="00E03F17"/>
    <w:rsid w:val="00E0420C"/>
    <w:rsid w:val="00E047D5"/>
    <w:rsid w:val="00E04EDD"/>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46D"/>
    <w:rsid w:val="00E2012A"/>
    <w:rsid w:val="00E205A2"/>
    <w:rsid w:val="00E20BA4"/>
    <w:rsid w:val="00E210D0"/>
    <w:rsid w:val="00E23137"/>
    <w:rsid w:val="00E23980"/>
    <w:rsid w:val="00E241E9"/>
    <w:rsid w:val="00E250AD"/>
    <w:rsid w:val="00E257C3"/>
    <w:rsid w:val="00E25A2C"/>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3D00"/>
    <w:rsid w:val="00E3403D"/>
    <w:rsid w:val="00E344BD"/>
    <w:rsid w:val="00E34E6C"/>
    <w:rsid w:val="00E3537E"/>
    <w:rsid w:val="00E353E2"/>
    <w:rsid w:val="00E36345"/>
    <w:rsid w:val="00E36C86"/>
    <w:rsid w:val="00E36CEB"/>
    <w:rsid w:val="00E37A28"/>
    <w:rsid w:val="00E40430"/>
    <w:rsid w:val="00E40690"/>
    <w:rsid w:val="00E40AEB"/>
    <w:rsid w:val="00E40E82"/>
    <w:rsid w:val="00E40EE0"/>
    <w:rsid w:val="00E41141"/>
    <w:rsid w:val="00E4143A"/>
    <w:rsid w:val="00E424C8"/>
    <w:rsid w:val="00E4251D"/>
    <w:rsid w:val="00E4272D"/>
    <w:rsid w:val="00E42B97"/>
    <w:rsid w:val="00E43492"/>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2A6E"/>
    <w:rsid w:val="00E53A21"/>
    <w:rsid w:val="00E53BCA"/>
    <w:rsid w:val="00E53DE2"/>
    <w:rsid w:val="00E53F02"/>
    <w:rsid w:val="00E54276"/>
    <w:rsid w:val="00E5428D"/>
    <w:rsid w:val="00E54534"/>
    <w:rsid w:val="00E548C3"/>
    <w:rsid w:val="00E54F27"/>
    <w:rsid w:val="00E55FF1"/>
    <w:rsid w:val="00E56090"/>
    <w:rsid w:val="00E562BE"/>
    <w:rsid w:val="00E565B9"/>
    <w:rsid w:val="00E56E7B"/>
    <w:rsid w:val="00E5733B"/>
    <w:rsid w:val="00E5756C"/>
    <w:rsid w:val="00E57811"/>
    <w:rsid w:val="00E601BE"/>
    <w:rsid w:val="00E60B5F"/>
    <w:rsid w:val="00E60D8D"/>
    <w:rsid w:val="00E60FF7"/>
    <w:rsid w:val="00E613AE"/>
    <w:rsid w:val="00E61429"/>
    <w:rsid w:val="00E61ABB"/>
    <w:rsid w:val="00E61FD7"/>
    <w:rsid w:val="00E623E6"/>
    <w:rsid w:val="00E630A2"/>
    <w:rsid w:val="00E630C0"/>
    <w:rsid w:val="00E63107"/>
    <w:rsid w:val="00E6312C"/>
    <w:rsid w:val="00E634E6"/>
    <w:rsid w:val="00E63DCE"/>
    <w:rsid w:val="00E64700"/>
    <w:rsid w:val="00E65016"/>
    <w:rsid w:val="00E65074"/>
    <w:rsid w:val="00E65E70"/>
    <w:rsid w:val="00E66087"/>
    <w:rsid w:val="00E66D79"/>
    <w:rsid w:val="00E66F5A"/>
    <w:rsid w:val="00E66FF9"/>
    <w:rsid w:val="00E6706F"/>
    <w:rsid w:val="00E673A2"/>
    <w:rsid w:val="00E67856"/>
    <w:rsid w:val="00E679C8"/>
    <w:rsid w:val="00E70314"/>
    <w:rsid w:val="00E70A67"/>
    <w:rsid w:val="00E724E7"/>
    <w:rsid w:val="00E72B41"/>
    <w:rsid w:val="00E7347B"/>
    <w:rsid w:val="00E73792"/>
    <w:rsid w:val="00E73B14"/>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5679"/>
    <w:rsid w:val="00E86556"/>
    <w:rsid w:val="00E86D35"/>
    <w:rsid w:val="00E86DC2"/>
    <w:rsid w:val="00E86E32"/>
    <w:rsid w:val="00E86F2E"/>
    <w:rsid w:val="00E8732E"/>
    <w:rsid w:val="00E9011F"/>
    <w:rsid w:val="00E906EB"/>
    <w:rsid w:val="00E90AEC"/>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2FA"/>
    <w:rsid w:val="00EA2744"/>
    <w:rsid w:val="00EA37B9"/>
    <w:rsid w:val="00EA39F7"/>
    <w:rsid w:val="00EA3DC2"/>
    <w:rsid w:val="00EA40F3"/>
    <w:rsid w:val="00EA434E"/>
    <w:rsid w:val="00EA4757"/>
    <w:rsid w:val="00EA560B"/>
    <w:rsid w:val="00EA5669"/>
    <w:rsid w:val="00EA5CC6"/>
    <w:rsid w:val="00EA63EF"/>
    <w:rsid w:val="00EA6AD4"/>
    <w:rsid w:val="00EA7639"/>
    <w:rsid w:val="00EA7CBF"/>
    <w:rsid w:val="00EB0A89"/>
    <w:rsid w:val="00EB0EF2"/>
    <w:rsid w:val="00EB1573"/>
    <w:rsid w:val="00EB185F"/>
    <w:rsid w:val="00EB1910"/>
    <w:rsid w:val="00EB2D83"/>
    <w:rsid w:val="00EB2E97"/>
    <w:rsid w:val="00EB3416"/>
    <w:rsid w:val="00EB3D8C"/>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5FCB"/>
    <w:rsid w:val="00ED623F"/>
    <w:rsid w:val="00ED63A5"/>
    <w:rsid w:val="00ED69BA"/>
    <w:rsid w:val="00ED6D1A"/>
    <w:rsid w:val="00ED72E9"/>
    <w:rsid w:val="00ED732E"/>
    <w:rsid w:val="00ED77F0"/>
    <w:rsid w:val="00ED7FBC"/>
    <w:rsid w:val="00EE0253"/>
    <w:rsid w:val="00EE0297"/>
    <w:rsid w:val="00EE0801"/>
    <w:rsid w:val="00EE1258"/>
    <w:rsid w:val="00EE13DA"/>
    <w:rsid w:val="00EE1668"/>
    <w:rsid w:val="00EE1EDB"/>
    <w:rsid w:val="00EE24E2"/>
    <w:rsid w:val="00EE2882"/>
    <w:rsid w:val="00EE2BF0"/>
    <w:rsid w:val="00EE366D"/>
    <w:rsid w:val="00EE5454"/>
    <w:rsid w:val="00EE54C4"/>
    <w:rsid w:val="00EE59B5"/>
    <w:rsid w:val="00EE5FB7"/>
    <w:rsid w:val="00EE6783"/>
    <w:rsid w:val="00EE7B54"/>
    <w:rsid w:val="00EE7C47"/>
    <w:rsid w:val="00EE7C88"/>
    <w:rsid w:val="00EE7C8B"/>
    <w:rsid w:val="00EF0209"/>
    <w:rsid w:val="00EF0EA4"/>
    <w:rsid w:val="00EF1123"/>
    <w:rsid w:val="00EF1E97"/>
    <w:rsid w:val="00EF2436"/>
    <w:rsid w:val="00EF2547"/>
    <w:rsid w:val="00EF2942"/>
    <w:rsid w:val="00EF2B2B"/>
    <w:rsid w:val="00EF2E1C"/>
    <w:rsid w:val="00EF2FD6"/>
    <w:rsid w:val="00EF326A"/>
    <w:rsid w:val="00EF427A"/>
    <w:rsid w:val="00EF45DF"/>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E67"/>
    <w:rsid w:val="00F02744"/>
    <w:rsid w:val="00F02BFD"/>
    <w:rsid w:val="00F02D25"/>
    <w:rsid w:val="00F03C3D"/>
    <w:rsid w:val="00F0435D"/>
    <w:rsid w:val="00F04580"/>
    <w:rsid w:val="00F04ECA"/>
    <w:rsid w:val="00F04F8B"/>
    <w:rsid w:val="00F06E19"/>
    <w:rsid w:val="00F06F84"/>
    <w:rsid w:val="00F076E7"/>
    <w:rsid w:val="00F0779D"/>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8EF"/>
    <w:rsid w:val="00F14EA9"/>
    <w:rsid w:val="00F15505"/>
    <w:rsid w:val="00F15BFF"/>
    <w:rsid w:val="00F16E4F"/>
    <w:rsid w:val="00F17244"/>
    <w:rsid w:val="00F20ECE"/>
    <w:rsid w:val="00F213A0"/>
    <w:rsid w:val="00F21D54"/>
    <w:rsid w:val="00F21EF4"/>
    <w:rsid w:val="00F23113"/>
    <w:rsid w:val="00F23255"/>
    <w:rsid w:val="00F23393"/>
    <w:rsid w:val="00F23759"/>
    <w:rsid w:val="00F2445D"/>
    <w:rsid w:val="00F24644"/>
    <w:rsid w:val="00F25947"/>
    <w:rsid w:val="00F262D6"/>
    <w:rsid w:val="00F26F33"/>
    <w:rsid w:val="00F2748A"/>
    <w:rsid w:val="00F300A8"/>
    <w:rsid w:val="00F302C6"/>
    <w:rsid w:val="00F30400"/>
    <w:rsid w:val="00F3079E"/>
    <w:rsid w:val="00F317AE"/>
    <w:rsid w:val="00F3399B"/>
    <w:rsid w:val="00F33F4B"/>
    <w:rsid w:val="00F346ED"/>
    <w:rsid w:val="00F3488F"/>
    <w:rsid w:val="00F34945"/>
    <w:rsid w:val="00F34E1E"/>
    <w:rsid w:val="00F3570C"/>
    <w:rsid w:val="00F363A4"/>
    <w:rsid w:val="00F36613"/>
    <w:rsid w:val="00F36765"/>
    <w:rsid w:val="00F368FF"/>
    <w:rsid w:val="00F37068"/>
    <w:rsid w:val="00F37F3F"/>
    <w:rsid w:val="00F40992"/>
    <w:rsid w:val="00F409C6"/>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00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1405"/>
    <w:rsid w:val="00F61A85"/>
    <w:rsid w:val="00F62227"/>
    <w:rsid w:val="00F624A7"/>
    <w:rsid w:val="00F62AB6"/>
    <w:rsid w:val="00F65A3C"/>
    <w:rsid w:val="00F66009"/>
    <w:rsid w:val="00F66282"/>
    <w:rsid w:val="00F6639E"/>
    <w:rsid w:val="00F670E9"/>
    <w:rsid w:val="00F67AF1"/>
    <w:rsid w:val="00F67D8B"/>
    <w:rsid w:val="00F701C5"/>
    <w:rsid w:val="00F70961"/>
    <w:rsid w:val="00F70A8F"/>
    <w:rsid w:val="00F71397"/>
    <w:rsid w:val="00F72389"/>
    <w:rsid w:val="00F72516"/>
    <w:rsid w:val="00F72FB4"/>
    <w:rsid w:val="00F735E5"/>
    <w:rsid w:val="00F73690"/>
    <w:rsid w:val="00F73B82"/>
    <w:rsid w:val="00F73E80"/>
    <w:rsid w:val="00F7469C"/>
    <w:rsid w:val="00F7492E"/>
    <w:rsid w:val="00F74945"/>
    <w:rsid w:val="00F749A3"/>
    <w:rsid w:val="00F74AE8"/>
    <w:rsid w:val="00F76C11"/>
    <w:rsid w:val="00F76C69"/>
    <w:rsid w:val="00F77021"/>
    <w:rsid w:val="00F770AB"/>
    <w:rsid w:val="00F77E61"/>
    <w:rsid w:val="00F80221"/>
    <w:rsid w:val="00F80A0A"/>
    <w:rsid w:val="00F80C81"/>
    <w:rsid w:val="00F80E9D"/>
    <w:rsid w:val="00F810B5"/>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191"/>
    <w:rsid w:val="00F90C4D"/>
    <w:rsid w:val="00F9167D"/>
    <w:rsid w:val="00F91CB2"/>
    <w:rsid w:val="00F927E8"/>
    <w:rsid w:val="00F9289C"/>
    <w:rsid w:val="00F93DBC"/>
    <w:rsid w:val="00F93E41"/>
    <w:rsid w:val="00F94458"/>
    <w:rsid w:val="00F94644"/>
    <w:rsid w:val="00F952E4"/>
    <w:rsid w:val="00F9537B"/>
    <w:rsid w:val="00F96079"/>
    <w:rsid w:val="00F963FC"/>
    <w:rsid w:val="00F971A3"/>
    <w:rsid w:val="00F97CF1"/>
    <w:rsid w:val="00FA015F"/>
    <w:rsid w:val="00FA097A"/>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3BEC"/>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72B1"/>
    <w:rsid w:val="00FD798D"/>
    <w:rsid w:val="00FE141E"/>
    <w:rsid w:val="00FE144E"/>
    <w:rsid w:val="00FE1768"/>
    <w:rsid w:val="00FE1DD5"/>
    <w:rsid w:val="00FE1E72"/>
    <w:rsid w:val="00FE24F4"/>
    <w:rsid w:val="00FE2560"/>
    <w:rsid w:val="00FE31FA"/>
    <w:rsid w:val="00FE35D0"/>
    <w:rsid w:val="00FE42E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47B"/>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11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clusulas">
    <w:name w:val="cláusulas"/>
    <w:basedOn w:val="Normal"/>
    <w:qFormat/>
    <w:rsid w:val="004E435F"/>
    <w:pPr>
      <w:numPr>
        <w:numId w:val="28"/>
      </w:numPr>
      <w:spacing w:before="120" w:after="120"/>
      <w:jc w:val="both"/>
    </w:pPr>
    <w:rPr>
      <w:rFonts w:asciiTheme="minorHAnsi" w:eastAsiaTheme="minorHAnsi" w:hAnsiTheme="minorHAnsi" w:cstheme="minorBidi"/>
      <w:b/>
      <w:sz w:val="20"/>
      <w:szCs w:val="22"/>
      <w:lang w:eastAsia="en-US"/>
    </w:rPr>
  </w:style>
  <w:style w:type="paragraph" w:customStyle="1" w:styleId="Normal11pt">
    <w:name w:val="Normal + 11 pt"/>
    <w:aliases w:val="Negro,Justificado,Izquierda:  -0,95 cm,Derecha:  0,04 cm"/>
    <w:basedOn w:val="Normal"/>
    <w:uiPriority w:val="99"/>
    <w:rsid w:val="00EE2882"/>
    <w:pPr>
      <w:ind w:left="-540"/>
      <w:jc w:val="both"/>
    </w:pPr>
    <w:rPr>
      <w:rFonts w:ascii="Arial" w:hAnsi="Arial" w:cs="Arial"/>
      <w:color w:val="000000"/>
      <w:sz w:val="22"/>
      <w:szCs w:val="22"/>
      <w:lang w:val="es-ES_tradnl" w:eastAsia="es-ES"/>
    </w:rPr>
  </w:style>
  <w:style w:type="character" w:customStyle="1" w:styleId="UnresolvedMention">
    <w:name w:val="Unresolved Mention"/>
    <w:basedOn w:val="Fuentedeprrafopredeter"/>
    <w:uiPriority w:val="99"/>
    <w:semiHidden/>
    <w:unhideWhenUsed/>
    <w:rsid w:val="00E42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 Id="rId2" Type="http://schemas.openxmlformats.org/officeDocument/2006/relationships/hyperlink" Target="https://sintesis.colombiacompra.gov.co/sintesis/9-etapa-precontractual-estudios-previos" TargetMode="External"/><Relationship Id="rId1"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3B4B3-365B-4A1E-AC45-227A6BDEAF08}"/>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3DE393B-ABB4-4886-97A0-F2697F78D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41</TotalTime>
  <Pages>25</Pages>
  <Words>9762</Words>
  <Characters>53692</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padron</cp:lastModifiedBy>
  <cp:revision>5</cp:revision>
  <cp:lastPrinted>2020-01-30T15:05:00Z</cp:lastPrinted>
  <dcterms:created xsi:type="dcterms:W3CDTF">2021-05-12T20:44:00Z</dcterms:created>
  <dcterms:modified xsi:type="dcterms:W3CDTF">2021-05-12T23:33:00Z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