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6E027" w14:textId="77777777" w:rsidR="009C6854" w:rsidRPr="009C6854" w:rsidRDefault="009C6854" w:rsidP="009C6854">
      <w:pPr>
        <w:spacing w:line="276" w:lineRule="auto"/>
        <w:jc w:val="both"/>
        <w:rPr>
          <w:rFonts w:ascii="Verdana" w:hAnsi="Verdana" w:cs="Arial"/>
          <w:b/>
          <w:sz w:val="21"/>
          <w:szCs w:val="21"/>
          <w:lang w:val="es-ES_tradnl" w:eastAsia="es-ES"/>
        </w:rPr>
      </w:pPr>
      <w:r w:rsidRPr="009C6854">
        <w:rPr>
          <w:rFonts w:ascii="Verdana" w:hAnsi="Verdana" w:cs="Arial"/>
          <w:b/>
          <w:sz w:val="21"/>
          <w:szCs w:val="21"/>
          <w:lang w:val="es-ES_tradnl" w:eastAsia="es-ES"/>
        </w:rPr>
        <w:t>CONCURRENCIA DE MODALIDADES DE SELECCIÓN – Mínima cuantía – Concurso de méritos – Cuantía del proceso - Prevalencia</w:t>
      </w:r>
    </w:p>
    <w:p w14:paraId="21CDE0C8" w14:textId="77777777" w:rsidR="009C6854" w:rsidRPr="009C6854" w:rsidRDefault="009C6854" w:rsidP="009C6854">
      <w:pPr>
        <w:spacing w:after="0" w:line="240" w:lineRule="auto"/>
        <w:jc w:val="both"/>
        <w:rPr>
          <w:rFonts w:ascii="Verdana" w:hAnsi="Verdana" w:cs="Century Gothic"/>
          <w:sz w:val="21"/>
          <w:szCs w:val="21"/>
          <w:lang w:val="es-ES_tradnl"/>
        </w:rPr>
      </w:pPr>
      <w:r w:rsidRPr="009C6854">
        <w:rPr>
          <w:rFonts w:ascii="Verdana" w:eastAsia="Arial" w:hAnsi="Verdana" w:cs="Arial"/>
          <w:bCs/>
          <w:sz w:val="21"/>
          <w:szCs w:val="21"/>
        </w:rPr>
        <w:t>De conformidad con el problema jurídico planteado, en primer lugar, es importante señalar</w:t>
      </w:r>
      <w:r w:rsidRPr="009C6854">
        <w:rPr>
          <w:rFonts w:ascii="Verdana" w:hAnsi="Verdana" w:cs="Century Gothic"/>
          <w:sz w:val="21"/>
          <w:szCs w:val="21"/>
        </w:rPr>
        <w:t xml:space="preserve"> que e</w:t>
      </w:r>
      <w:r w:rsidRPr="009C6854">
        <w:rPr>
          <w:rFonts w:ascii="Verdana" w:hAnsi="Verdana" w:cs="Century Gothic"/>
          <w:sz w:val="21"/>
          <w:szCs w:val="21"/>
          <w:lang w:val="es-ES_tradnl"/>
        </w:rPr>
        <w:t>l artículo 2 de la Ley 1150 de 2007 determinó cuales son las modalidades de selección aplicables a las entidades sometidas al EGCAP, indicando que: “[…] la escogencia del contratista se efectuará por regla general bajo la modalidad de licitación pública, con las excepciones que se señalan en los numerales 2, 3 y 4 del presente artículo”. Particularmente, en el numeral 3° se estableció la modalidad de selección de concurso de méritos, prevista para la selección de “consultores o proyectos”, mientras que en el numeral 5° ibidem se reguló la modalidad de contratación de mínima cuantía, determinando mandatos especiales para su procedimiento, que se aplicará cuando el valor de la contratación “no excede del diez por ciento (10%) de la menor cuantía de la entidad independientemente de su objeto”.</w:t>
      </w:r>
    </w:p>
    <w:p w14:paraId="72352A2D" w14:textId="77777777" w:rsidR="009C6854" w:rsidRPr="009C6854" w:rsidRDefault="009C6854" w:rsidP="009C6854">
      <w:pPr>
        <w:snapToGrid w:val="0"/>
        <w:spacing w:after="0" w:line="240" w:lineRule="auto"/>
        <w:jc w:val="both"/>
        <w:rPr>
          <w:rFonts w:ascii="Verdana" w:hAnsi="Verdana" w:cs="Century Gothic"/>
          <w:sz w:val="21"/>
          <w:szCs w:val="21"/>
          <w:lang w:val="es-ES"/>
        </w:rPr>
      </w:pPr>
      <w:r w:rsidRPr="009C6854">
        <w:rPr>
          <w:rFonts w:ascii="Verdana" w:hAnsi="Verdana" w:cs="Century Gothic"/>
          <w:sz w:val="21"/>
          <w:szCs w:val="21"/>
          <w:lang w:val="es-ES"/>
        </w:rPr>
        <w:t xml:space="preserve">Tal como lo refiere en su consulta, la escogencia del consultor o interventor, a través de concurso de méritos, puede llegar a concurrir con la modalidad de mínima cuantía. En este contexto, según la normativa aplicable, la jurisprudencia del Consejo de Estado y de la Corte Constitucional, y el Manual expedido por esta Agencia en la materia,  resulta claro que la modalidad denominada “mínima cuantía” </w:t>
      </w:r>
      <w:r w:rsidRPr="009C6854">
        <w:rPr>
          <w:rFonts w:ascii="Verdana" w:eastAsiaTheme="minorEastAsia" w:hAnsi="Verdana" w:cs="Century Gothic"/>
          <w:sz w:val="21"/>
          <w:szCs w:val="21"/>
          <w:lang w:val="es-ES"/>
        </w:rPr>
        <w:t>es un procedimiento de selección “exceptivo” porque es una excepción adicional a la regla general constituida por la licitación pública, pero se parece a esta porque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w:t>
      </w:r>
    </w:p>
    <w:p w14:paraId="7C9FF229" w14:textId="77777777" w:rsidR="009C6854" w:rsidRPr="009C6854" w:rsidRDefault="009C6854" w:rsidP="009C6854">
      <w:pPr>
        <w:snapToGrid w:val="0"/>
        <w:spacing w:after="0" w:line="240" w:lineRule="auto"/>
        <w:jc w:val="both"/>
        <w:rPr>
          <w:rFonts w:ascii="Century Gothic" w:hAnsi="Century Gothic" w:cs="Arial"/>
          <w:color w:val="000000"/>
          <w:sz w:val="21"/>
          <w:szCs w:val="21"/>
          <w:lang w:eastAsia="es-ES"/>
        </w:rPr>
      </w:pPr>
      <w:r w:rsidRPr="009C6854">
        <w:rPr>
          <w:rFonts w:ascii="Verdana" w:hAnsi="Verdana" w:cs="Arial"/>
          <w:color w:val="000000"/>
          <w:sz w:val="21"/>
          <w:szCs w:val="21"/>
          <w:lang w:eastAsia="es-ES"/>
        </w:rPr>
        <w:t>De acuerdo con lo expuesto, y considerando tanto el objeto como las modalidades de selección planteadas en la consulta, se observa que existen dos modalidades posibles de selección: la de mínima cuantía y la de concurso de méritos. En principio, el concurso de méritos es la modalidad adecuada para la selección de consultores, dado que permite una evaluación integral que incluye aspectos técnicos y no solo el precio. Sin embargo, si el valor de la contratación no supera el 10% de la menor cuantía establecida por la entidad, el proceso de selección deberá llevarse a cabo bajo la modalidad de mínima cuantía, conforme al artículo 2, numeral 5 de la Ley 1150 de 2007, modificado por el artículo 30 de la Ley 2069 de 2020. En este caso, el criterio de selección será el menor precio, siempre que se cumplan las condiciones especificadas en la invitación, lo que refleja la prevalencia de la eficiencia y la simplificación en procesos de menor cuantía</w:t>
      </w:r>
      <w:r w:rsidRPr="009C6854">
        <w:rPr>
          <w:rFonts w:ascii="Century Gothic" w:hAnsi="Century Gothic" w:cs="Arial"/>
          <w:color w:val="000000"/>
          <w:sz w:val="21"/>
          <w:szCs w:val="21"/>
          <w:lang w:eastAsia="es-ES"/>
        </w:rPr>
        <w:t>.</w:t>
      </w:r>
    </w:p>
    <w:p w14:paraId="32A7BEFE" w14:textId="1F1A0BCD" w:rsidR="009C6854" w:rsidRPr="009C6854" w:rsidRDefault="009C6854" w:rsidP="009C6854">
      <w:pPr>
        <w:spacing w:after="0" w:line="240" w:lineRule="auto"/>
        <w:rPr>
          <w:rFonts w:ascii="Verdana" w:eastAsia="Times New Roman" w:hAnsi="Verdana" w:cs="Arial"/>
          <w:sz w:val="21"/>
          <w:szCs w:val="21"/>
          <w:lang w:val="es-ES_tradnl" w:eastAsia="es-ES"/>
        </w:rPr>
      </w:pPr>
      <w:r w:rsidRPr="009C6854">
        <w:rPr>
          <w:rFonts w:ascii="Verdana" w:hAnsi="Verdana" w:cs="Arial"/>
          <w:sz w:val="21"/>
          <w:szCs w:val="21"/>
        </w:rPr>
        <w:t xml:space="preserve">La anterior tesis, fue confirmada por esta Agencia con la expedición de la nueva versión del Manual de la modalidad de Selección de Mínima Cuantía en donde se indicó en su numeral 12.2. “Concurrencia de concurso de méritos y mínima cuantía”, lo siguiente: “[…] </w:t>
      </w:r>
      <w:r w:rsidRPr="009C6854">
        <w:rPr>
          <w:rFonts w:ascii="Verdana" w:hAnsi="Verdana" w:cs="Arial"/>
          <w:i/>
          <w:iCs/>
          <w:sz w:val="21"/>
          <w:szCs w:val="21"/>
        </w:rPr>
        <w:t xml:space="preserve">Dado que la selección de mínima cuantía es especial para cualquier objeto contractual, de conformidad con el inciso primero del artículo 30 de la Ley 2069 de 2020, </w:t>
      </w:r>
      <w:r w:rsidRPr="009C6854">
        <w:rPr>
          <w:rFonts w:ascii="Verdana" w:hAnsi="Verdana" w:cs="Arial"/>
          <w:i/>
          <w:iCs/>
          <w:sz w:val="21"/>
          <w:szCs w:val="21"/>
          <w:u w:val="single"/>
        </w:rPr>
        <w:t>en caso de concurrencia entre el concurso de méritos y la mínima cuantía, la modalidad de selección aplicable será la de mínima cuantía.</w:t>
      </w:r>
    </w:p>
    <w:p w14:paraId="4AFF892F" w14:textId="77777777" w:rsidR="009C6854" w:rsidRDefault="009C6854" w:rsidP="007E1FB3">
      <w:pPr>
        <w:rPr>
          <w:rFonts w:ascii="Verdana" w:eastAsia="Times New Roman" w:hAnsi="Verdana" w:cs="Arial"/>
          <w:lang w:eastAsia="es-ES"/>
        </w:rPr>
      </w:pPr>
    </w:p>
    <w:p w14:paraId="1316E20F" w14:textId="09250D22" w:rsidR="00C91297" w:rsidRPr="007E1FB3" w:rsidRDefault="00C91297" w:rsidP="007E1FB3">
      <w:pPr>
        <w:rPr>
          <w:rFonts w:ascii="Verdana" w:eastAsia="Times New Roman" w:hAnsi="Verdana" w:cs="Times New Roman"/>
          <w:sz w:val="20"/>
          <w:szCs w:val="20"/>
        </w:rPr>
      </w:pPr>
      <w:r w:rsidRPr="00C91297">
        <w:rPr>
          <w:rFonts w:ascii="Verdana" w:eastAsia="Times New Roman" w:hAnsi="Verdana" w:cs="Arial"/>
          <w:lang w:eastAsia="es-ES"/>
        </w:rPr>
        <w:lastRenderedPageBreak/>
        <w:t xml:space="preserve">Bogotá D.C., </w:t>
      </w:r>
      <w:r w:rsidR="009C6854">
        <w:rPr>
          <w:rFonts w:ascii="Verdana" w:eastAsia="Times New Roman" w:hAnsi="Verdana" w:cs="Arial"/>
          <w:lang w:eastAsia="es-ES"/>
        </w:rPr>
        <w:t>25</w:t>
      </w:r>
      <w:r w:rsidRPr="00C91297">
        <w:rPr>
          <w:rFonts w:ascii="Verdana" w:eastAsia="Times New Roman" w:hAnsi="Verdana" w:cs="Arial"/>
          <w:lang w:eastAsia="es-ES"/>
        </w:rPr>
        <w:t xml:space="preserve"> </w:t>
      </w:r>
      <w:r w:rsidR="009C6854">
        <w:rPr>
          <w:rFonts w:ascii="Verdana" w:eastAsia="Times New Roman" w:hAnsi="Verdana" w:cs="Arial"/>
          <w:lang w:eastAsia="es-ES"/>
        </w:rPr>
        <w:t>marzo</w:t>
      </w:r>
      <w:r w:rsidRPr="00C91297">
        <w:rPr>
          <w:rFonts w:ascii="Verdana" w:eastAsia="Times New Roman" w:hAnsi="Verdana" w:cs="Arial"/>
          <w:lang w:eastAsia="es-ES"/>
        </w:rPr>
        <w:t xml:space="preserve"> </w:t>
      </w:r>
      <w:r w:rsidR="009C6854">
        <w:rPr>
          <w:rFonts w:ascii="Verdana" w:eastAsia="Times New Roman" w:hAnsi="Verdana" w:cs="Arial"/>
          <w:lang w:eastAsia="es-ES"/>
        </w:rPr>
        <w:t>de 2025</w:t>
      </w:r>
      <w:r w:rsidRPr="00C91297">
        <w:rPr>
          <w:rFonts w:ascii="Verdana" w:eastAsia="Times New Roman" w:hAnsi="Verdana" w:cs="Arial"/>
          <w:lang w:eastAsia="es-ES"/>
        </w:rPr>
        <w:tab/>
      </w:r>
    </w:p>
    <w:p w14:paraId="594E4A9B" w14:textId="1BC709BC" w:rsidR="00C91297" w:rsidRPr="00C91297" w:rsidRDefault="009C6854" w:rsidP="009C6854">
      <w:pPr>
        <w:spacing w:after="0" w:line="240" w:lineRule="auto"/>
        <w:ind w:left="4956"/>
        <w:jc w:val="both"/>
        <w:rPr>
          <w:rFonts w:ascii="Verdana" w:eastAsia="Times New Roman" w:hAnsi="Verdana" w:cs="Arial"/>
          <w:lang w:val="es-ES_tradnl" w:eastAsia="es-ES"/>
        </w:rPr>
      </w:pPr>
      <w:r w:rsidRPr="009C6854">
        <w:rPr>
          <w:rFonts w:ascii="Verdana" w:eastAsia="Times New Roman" w:hAnsi="Verdana" w:cs="Arial"/>
          <w:lang w:val="es-ES_tradnl" w:eastAsia="es-ES"/>
        </w:rPr>
        <w:drawing>
          <wp:inline distT="0" distB="0" distL="0" distR="0" wp14:anchorId="3DCD3209" wp14:editId="04055AB7">
            <wp:extent cx="3400900" cy="1028844"/>
            <wp:effectExtent l="0" t="0" r="0" b="0"/>
            <wp:docPr id="12873262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26233" name=""/>
                    <pic:cNvPicPr/>
                  </pic:nvPicPr>
                  <pic:blipFill>
                    <a:blip r:embed="rId11"/>
                    <a:stretch>
                      <a:fillRect/>
                    </a:stretch>
                  </pic:blipFill>
                  <pic:spPr>
                    <a:xfrm>
                      <a:off x="0" y="0"/>
                      <a:ext cx="3400900" cy="1028844"/>
                    </a:xfrm>
                    <a:prstGeom prst="rect">
                      <a:avLst/>
                    </a:prstGeom>
                  </pic:spPr>
                </pic:pic>
              </a:graphicData>
            </a:graphic>
          </wp:inline>
        </w:drawing>
      </w:r>
    </w:p>
    <w:p w14:paraId="7AE33088" w14:textId="77777777" w:rsidR="009C6854" w:rsidRDefault="009C6854" w:rsidP="00C91297">
      <w:pPr>
        <w:spacing w:after="0" w:line="240" w:lineRule="auto"/>
        <w:jc w:val="both"/>
        <w:rPr>
          <w:rFonts w:ascii="Verdana" w:eastAsia="Times New Roman" w:hAnsi="Verdana" w:cs="Arial"/>
          <w:lang w:val="es-ES_tradnl" w:eastAsia="es-ES"/>
        </w:rPr>
      </w:pPr>
    </w:p>
    <w:p w14:paraId="2B910309" w14:textId="57B2A14F" w:rsidR="00C91297" w:rsidRPr="00C91297" w:rsidRDefault="00C91297" w:rsidP="00C91297">
      <w:pPr>
        <w:spacing w:after="0" w:line="240"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Señor</w:t>
      </w:r>
    </w:p>
    <w:p w14:paraId="752E4B3B" w14:textId="17D6D1B4" w:rsidR="00C91297" w:rsidRPr="00C91297" w:rsidRDefault="00E17913" w:rsidP="00C91297">
      <w:pPr>
        <w:spacing w:after="0" w:line="240" w:lineRule="auto"/>
        <w:jc w:val="both"/>
        <w:rPr>
          <w:rFonts w:ascii="Verdana" w:eastAsia="Times New Roman" w:hAnsi="Verdana" w:cs="Arial"/>
          <w:b/>
          <w:lang w:val="es-ES" w:eastAsia="es-ES"/>
        </w:rPr>
      </w:pPr>
      <w:r>
        <w:rPr>
          <w:rFonts w:ascii="Verdana" w:eastAsia="Times New Roman" w:hAnsi="Verdana" w:cs="Arial"/>
          <w:b/>
          <w:lang w:val="es-ES" w:eastAsia="es-ES"/>
        </w:rPr>
        <w:t>JULIAN OROZCO SERNA</w:t>
      </w:r>
    </w:p>
    <w:p w14:paraId="0CB9E50A" w14:textId="1576B5F4" w:rsidR="00E17913" w:rsidRPr="00E17913" w:rsidRDefault="00E17913" w:rsidP="00C91297">
      <w:pPr>
        <w:spacing w:after="0" w:line="240" w:lineRule="auto"/>
        <w:jc w:val="both"/>
        <w:rPr>
          <w:rFonts w:ascii="Verdana" w:hAnsi="Verdana"/>
        </w:rPr>
      </w:pPr>
      <w:hyperlink r:id="rId12" w:history="1">
        <w:r w:rsidRPr="00E17913">
          <w:rPr>
            <w:rStyle w:val="Hipervnculo"/>
            <w:rFonts w:ascii="Verdana" w:hAnsi="Verdana"/>
          </w:rPr>
          <w:t>abogadojulianorozco@hotmail.com</w:t>
        </w:r>
      </w:hyperlink>
    </w:p>
    <w:p w14:paraId="50E79D4B" w14:textId="2F0D1A8F" w:rsidR="00C91297" w:rsidRPr="00C91297" w:rsidRDefault="00E17913" w:rsidP="00C91297">
      <w:pPr>
        <w:spacing w:after="0" w:line="240" w:lineRule="auto"/>
        <w:jc w:val="both"/>
        <w:rPr>
          <w:rFonts w:ascii="Verdana" w:eastAsia="Times New Roman" w:hAnsi="Verdana" w:cs="Arial"/>
          <w:lang w:val="es-ES_tradnl" w:eastAsia="es-ES"/>
        </w:rPr>
      </w:pPr>
      <w:r>
        <w:rPr>
          <w:rFonts w:ascii="Verdana" w:eastAsia="Times New Roman" w:hAnsi="Verdana" w:cs="Arial"/>
          <w:lang w:val="es-ES_tradnl" w:eastAsia="es-ES"/>
        </w:rPr>
        <w:t xml:space="preserve">Armenia, </w:t>
      </w:r>
      <w:r w:rsidR="007E1FB3">
        <w:rPr>
          <w:rFonts w:ascii="Verdana" w:eastAsia="Times New Roman" w:hAnsi="Verdana" w:cs="Arial"/>
          <w:lang w:val="es-ES_tradnl" w:eastAsia="es-ES"/>
        </w:rPr>
        <w:t>Quindío</w:t>
      </w:r>
    </w:p>
    <w:p w14:paraId="2E231BFC" w14:textId="77777777" w:rsidR="00C91297" w:rsidRPr="00C91297" w:rsidRDefault="00C91297" w:rsidP="00C91297">
      <w:pPr>
        <w:spacing w:after="0" w:line="240" w:lineRule="auto"/>
        <w:rPr>
          <w:rFonts w:ascii="Verdana" w:eastAsia="Times New Roman" w:hAnsi="Verdana" w:cs="Arial"/>
          <w:lang w:val="es-ES_tradnl" w:eastAsia="es-ES"/>
        </w:rPr>
      </w:pPr>
    </w:p>
    <w:p w14:paraId="13F55CBB" w14:textId="77777777" w:rsidR="00C91297" w:rsidRDefault="00C91297" w:rsidP="00C91297">
      <w:pPr>
        <w:spacing w:after="0" w:line="240" w:lineRule="auto"/>
        <w:rPr>
          <w:rFonts w:ascii="Verdana" w:eastAsia="Times New Roman" w:hAnsi="Verdana" w:cs="Arial"/>
          <w:b/>
          <w:bCs/>
          <w:lang w:val="es-ES_tradnl" w:eastAsia="es-ES_tradnl"/>
        </w:rPr>
      </w:pPr>
    </w:p>
    <w:p w14:paraId="46F31EAA" w14:textId="77777777" w:rsidR="00C91297" w:rsidRPr="00C91297" w:rsidRDefault="00C91297" w:rsidP="00C91297">
      <w:pPr>
        <w:spacing w:after="0" w:line="240" w:lineRule="auto"/>
        <w:rPr>
          <w:rFonts w:ascii="Verdana" w:eastAsia="Times New Roman" w:hAnsi="Verdana" w:cs="Arial"/>
          <w:b/>
          <w:bCs/>
          <w:lang w:val="es-ES_tradnl" w:eastAsia="es-ES_tradnl"/>
        </w:rPr>
      </w:pPr>
    </w:p>
    <w:tbl>
      <w:tblPr>
        <w:tblStyle w:val="Tablaconcuadrcula1"/>
        <w:tblW w:w="9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40"/>
        <w:gridCol w:w="6444"/>
      </w:tblGrid>
      <w:tr w:rsidR="00C91297" w:rsidRPr="00C91297" w14:paraId="46DDCC7A" w14:textId="77777777" w:rsidTr="00D45F43">
        <w:trPr>
          <w:trHeight w:val="953"/>
        </w:trPr>
        <w:tc>
          <w:tcPr>
            <w:tcW w:w="2840" w:type="dxa"/>
          </w:tcPr>
          <w:p w14:paraId="77EC4A74" w14:textId="77777777" w:rsidR="00C91297" w:rsidRPr="00C91297" w:rsidRDefault="00C91297" w:rsidP="00C91297">
            <w:pPr>
              <w:spacing w:after="160" w:line="259" w:lineRule="auto"/>
              <w:jc w:val="both"/>
              <w:rPr>
                <w:rFonts w:ascii="Verdana" w:hAnsi="Verdana" w:cs="Arial"/>
                <w:b/>
                <w:bCs/>
                <w:lang w:val="es-ES_tradnl" w:eastAsia="es-ES_tradnl"/>
              </w:rPr>
            </w:pPr>
          </w:p>
        </w:tc>
        <w:tc>
          <w:tcPr>
            <w:tcW w:w="6444" w:type="dxa"/>
          </w:tcPr>
          <w:p w14:paraId="3EF13728" w14:textId="0CA8212F" w:rsidR="00C91297" w:rsidRPr="00C91297" w:rsidRDefault="00C91297" w:rsidP="00C91297">
            <w:pPr>
              <w:spacing w:after="160" w:line="259" w:lineRule="auto"/>
              <w:jc w:val="both"/>
              <w:rPr>
                <w:rFonts w:ascii="Verdana" w:hAnsi="Verdana" w:cs="Arial"/>
                <w:b/>
                <w:bCs/>
                <w:lang w:val="es-ES_tradnl" w:eastAsia="es-ES"/>
              </w:rPr>
            </w:pPr>
            <w:r w:rsidRPr="00C91297">
              <w:rPr>
                <w:rFonts w:ascii="Verdana" w:hAnsi="Verdana" w:cs="Arial"/>
                <w:b/>
                <w:bCs/>
                <w:lang w:val="es-ES_tradnl" w:eastAsia="es-ES"/>
              </w:rPr>
              <w:t xml:space="preserve">Concepto C – </w:t>
            </w:r>
            <w:r w:rsidR="00E17913">
              <w:rPr>
                <w:rFonts w:ascii="Verdana" w:hAnsi="Verdana" w:cs="Arial"/>
                <w:b/>
                <w:bCs/>
                <w:lang w:val="es-ES_tradnl" w:eastAsia="es-ES"/>
              </w:rPr>
              <w:t>215</w:t>
            </w:r>
            <w:r w:rsidRPr="00C91297">
              <w:rPr>
                <w:rFonts w:ascii="Verdana" w:hAnsi="Verdana" w:cs="Arial"/>
                <w:b/>
                <w:bCs/>
                <w:lang w:val="es-ES_tradnl" w:eastAsia="es-ES"/>
              </w:rPr>
              <w:t xml:space="preserve"> de 202</w:t>
            </w:r>
            <w:r w:rsidR="00E17913">
              <w:rPr>
                <w:rFonts w:ascii="Verdana" w:hAnsi="Verdana" w:cs="Arial"/>
                <w:b/>
                <w:bCs/>
                <w:lang w:val="es-ES_tradnl" w:eastAsia="es-ES"/>
              </w:rPr>
              <w:t>5</w:t>
            </w:r>
          </w:p>
        </w:tc>
      </w:tr>
      <w:tr w:rsidR="00C91297" w:rsidRPr="00C91297" w14:paraId="5D0BB24F" w14:textId="77777777" w:rsidTr="00D45F43">
        <w:trPr>
          <w:trHeight w:val="953"/>
        </w:trPr>
        <w:tc>
          <w:tcPr>
            <w:tcW w:w="2840" w:type="dxa"/>
          </w:tcPr>
          <w:p w14:paraId="45FA4115" w14:textId="77777777" w:rsidR="00C91297" w:rsidRPr="00C91297" w:rsidRDefault="00C91297" w:rsidP="00C91297">
            <w:pPr>
              <w:spacing w:after="160" w:line="259" w:lineRule="auto"/>
              <w:jc w:val="both"/>
              <w:rPr>
                <w:rFonts w:ascii="Verdana" w:hAnsi="Verdana" w:cs="Arial"/>
                <w:lang w:val="es-ES_tradnl" w:eastAsia="es-ES_tradnl"/>
              </w:rPr>
            </w:pPr>
            <w:r w:rsidRPr="00C91297">
              <w:rPr>
                <w:rFonts w:ascii="Verdana" w:hAnsi="Verdana" w:cs="Arial"/>
                <w:b/>
                <w:lang w:val="es-ES_tradnl" w:eastAsia="es-ES_tradnl"/>
              </w:rPr>
              <w:t>Temas:</w:t>
            </w:r>
            <w:r w:rsidRPr="00C91297">
              <w:rPr>
                <w:rFonts w:ascii="Verdana" w:hAnsi="Verdana" w:cs="Arial"/>
                <w:lang w:val="es-ES_tradnl" w:eastAsia="es-ES_tradnl"/>
              </w:rPr>
              <w:t xml:space="preserve">                   </w:t>
            </w:r>
          </w:p>
        </w:tc>
        <w:tc>
          <w:tcPr>
            <w:tcW w:w="6444" w:type="dxa"/>
          </w:tcPr>
          <w:p w14:paraId="7669FF84" w14:textId="3847F8DD" w:rsidR="00A208F6" w:rsidRPr="00A208F6" w:rsidRDefault="00A208F6" w:rsidP="00A208F6">
            <w:pPr>
              <w:spacing w:line="276" w:lineRule="auto"/>
              <w:jc w:val="both"/>
              <w:rPr>
                <w:rFonts w:ascii="Verdana" w:hAnsi="Verdana" w:cs="Arial"/>
                <w:bCs/>
                <w:lang w:val="es-ES_tradnl" w:eastAsia="es-ES"/>
              </w:rPr>
            </w:pPr>
            <w:r w:rsidRPr="007E1FB3">
              <w:rPr>
                <w:rFonts w:ascii="Verdana" w:hAnsi="Verdana" w:cs="Arial"/>
                <w:bCs/>
                <w:lang w:val="es-ES_tradnl" w:eastAsia="es-ES"/>
              </w:rPr>
              <w:t>CONCURRENCIA DE MODALIDADES DE SELECCIÓN – Mínima cuantía – Concurso de méritos</w:t>
            </w:r>
            <w:r w:rsidR="007E1FB3" w:rsidRPr="007E1FB3">
              <w:rPr>
                <w:rFonts w:ascii="Verdana" w:hAnsi="Verdana" w:cs="Arial"/>
                <w:bCs/>
                <w:lang w:val="es-ES_tradnl" w:eastAsia="es-ES"/>
              </w:rPr>
              <w:t xml:space="preserve"> – Cuantía del proceso - Prevalencia</w:t>
            </w:r>
          </w:p>
          <w:p w14:paraId="0184C1CE" w14:textId="77777777" w:rsidR="00C91297" w:rsidRPr="00C91297" w:rsidRDefault="00C91297" w:rsidP="00C91297">
            <w:pPr>
              <w:spacing w:after="160" w:line="276" w:lineRule="auto"/>
              <w:jc w:val="both"/>
              <w:rPr>
                <w:rFonts w:ascii="Verdana" w:hAnsi="Verdana" w:cs="Arial"/>
                <w:highlight w:val="yellow"/>
                <w:lang w:val="es-ES_tradnl" w:eastAsia="es-ES"/>
              </w:rPr>
            </w:pPr>
          </w:p>
        </w:tc>
      </w:tr>
      <w:tr w:rsidR="00C91297" w:rsidRPr="00C91297" w14:paraId="0CF27C7D" w14:textId="77777777" w:rsidTr="00D45F43">
        <w:trPr>
          <w:trHeight w:val="582"/>
        </w:trPr>
        <w:tc>
          <w:tcPr>
            <w:tcW w:w="2840" w:type="dxa"/>
          </w:tcPr>
          <w:p w14:paraId="24C45C91" w14:textId="77777777" w:rsidR="00C91297" w:rsidRPr="00C91297" w:rsidRDefault="00C91297" w:rsidP="00C91297">
            <w:pPr>
              <w:spacing w:after="160" w:line="259" w:lineRule="auto"/>
              <w:jc w:val="both"/>
              <w:rPr>
                <w:rFonts w:ascii="Verdana" w:hAnsi="Verdana" w:cs="Arial"/>
                <w:b/>
                <w:lang w:val="es-ES_tradnl" w:eastAsia="es-ES_tradnl"/>
              </w:rPr>
            </w:pPr>
            <w:r w:rsidRPr="00C91297">
              <w:rPr>
                <w:rFonts w:ascii="Verdana" w:hAnsi="Verdana" w:cs="Arial"/>
                <w:b/>
                <w:lang w:val="es-ES_tradnl" w:eastAsia="es-ES_tradnl"/>
              </w:rPr>
              <w:t>Radicación:</w:t>
            </w:r>
            <w:r w:rsidRPr="00C91297">
              <w:rPr>
                <w:rFonts w:ascii="Verdana" w:hAnsi="Verdana" w:cs="Arial"/>
                <w:lang w:val="es-ES_tradnl" w:eastAsia="es-ES_tradnl"/>
              </w:rPr>
              <w:t xml:space="preserve">               </w:t>
            </w:r>
          </w:p>
        </w:tc>
        <w:tc>
          <w:tcPr>
            <w:tcW w:w="6444" w:type="dxa"/>
          </w:tcPr>
          <w:p w14:paraId="1C1FD9C8" w14:textId="0E2C23FC" w:rsidR="00C91297" w:rsidRPr="00C91297" w:rsidRDefault="00C91297" w:rsidP="00C91297">
            <w:pPr>
              <w:spacing w:after="160" w:line="259" w:lineRule="auto"/>
              <w:jc w:val="both"/>
              <w:rPr>
                <w:rFonts w:ascii="Verdana" w:hAnsi="Verdana" w:cs="Arial"/>
                <w:lang w:val="es-ES_tradnl" w:eastAsia="es-ES_tradnl"/>
              </w:rPr>
            </w:pPr>
            <w:r w:rsidRPr="00C91297">
              <w:rPr>
                <w:rFonts w:ascii="Verdana" w:hAnsi="Verdana" w:cs="Arial"/>
                <w:lang w:val="es-ES_tradnl" w:eastAsia="es-ES_tradnl"/>
              </w:rPr>
              <w:t xml:space="preserve">Respuesta a consulta con radicado No. </w:t>
            </w:r>
            <w:r w:rsidR="00E17913" w:rsidRPr="00E17913">
              <w:rPr>
                <w:rFonts w:ascii="Verdana" w:hAnsi="Verdana" w:cs="Arial"/>
                <w:lang w:val="es-ES_tradnl" w:eastAsia="es-ES_tradnl"/>
              </w:rPr>
              <w:t>P20250220001668</w:t>
            </w:r>
          </w:p>
        </w:tc>
      </w:tr>
    </w:tbl>
    <w:p w14:paraId="4D9E8F0B" w14:textId="77777777" w:rsidR="00C91297" w:rsidRPr="00C91297" w:rsidRDefault="00C91297" w:rsidP="00C91297">
      <w:pPr>
        <w:spacing w:after="0" w:line="240" w:lineRule="auto"/>
        <w:jc w:val="both"/>
        <w:rPr>
          <w:rFonts w:ascii="Verdana" w:eastAsia="Times New Roman" w:hAnsi="Verdana" w:cs="Arial"/>
          <w:lang w:val="es-ES_tradnl" w:eastAsia="es-ES_tradnl"/>
        </w:rPr>
      </w:pPr>
    </w:p>
    <w:p w14:paraId="56E26559" w14:textId="77777777" w:rsidR="00C91297" w:rsidRPr="00C91297" w:rsidRDefault="00C91297" w:rsidP="00C91297">
      <w:pPr>
        <w:spacing w:after="0" w:line="240" w:lineRule="auto"/>
        <w:jc w:val="both"/>
        <w:rPr>
          <w:rFonts w:ascii="Verdana" w:eastAsia="Times New Roman" w:hAnsi="Verdana" w:cs="Arial"/>
          <w:lang w:val="es-ES_tradnl" w:eastAsia="es-ES_tradnl"/>
        </w:rPr>
      </w:pPr>
    </w:p>
    <w:p w14:paraId="4656E4B1" w14:textId="0B21D9E7" w:rsidR="00C91297" w:rsidRPr="00C91297" w:rsidRDefault="00C91297" w:rsidP="00C91297">
      <w:pPr>
        <w:spacing w:after="0" w:line="276"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Estimad</w:t>
      </w:r>
      <w:r w:rsidR="00E17913">
        <w:rPr>
          <w:rFonts w:ascii="Verdana" w:eastAsia="Times New Roman" w:hAnsi="Verdana" w:cs="Arial"/>
          <w:lang w:val="es-ES_tradnl" w:eastAsia="es-ES"/>
        </w:rPr>
        <w:t>o</w:t>
      </w:r>
      <w:r w:rsidRPr="00C91297">
        <w:rPr>
          <w:rFonts w:ascii="Verdana" w:eastAsia="Times New Roman" w:hAnsi="Verdana" w:cs="Arial"/>
          <w:lang w:val="es-ES_tradnl" w:eastAsia="es-ES"/>
        </w:rPr>
        <w:t xml:space="preserve"> señor </w:t>
      </w:r>
      <w:r w:rsidR="00E17913">
        <w:rPr>
          <w:rFonts w:ascii="Verdana" w:eastAsia="Times New Roman" w:hAnsi="Verdana" w:cs="Arial"/>
          <w:lang w:val="es-ES_tradnl" w:eastAsia="es-ES"/>
        </w:rPr>
        <w:t>Orozco</w:t>
      </w:r>
      <w:r w:rsidRPr="00C91297">
        <w:rPr>
          <w:rFonts w:ascii="Verdana" w:eastAsia="Times New Roman" w:hAnsi="Verdana" w:cs="Arial"/>
          <w:lang w:val="es-ES_tradnl" w:eastAsia="es-ES"/>
        </w:rPr>
        <w:t xml:space="preserve">: </w:t>
      </w:r>
    </w:p>
    <w:p w14:paraId="0E904095" w14:textId="77777777" w:rsidR="00C91297" w:rsidRPr="00C91297" w:rsidRDefault="00C91297" w:rsidP="00C91297">
      <w:pPr>
        <w:tabs>
          <w:tab w:val="left" w:pos="3768"/>
        </w:tabs>
        <w:spacing w:after="0" w:line="276"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ab/>
      </w:r>
    </w:p>
    <w:p w14:paraId="4F0A4548" w14:textId="4CD709C1" w:rsidR="00C91297" w:rsidRPr="00C91297" w:rsidRDefault="00C91297" w:rsidP="00C91297">
      <w:pPr>
        <w:snapToGrid w:val="0"/>
        <w:spacing w:after="0" w:line="276" w:lineRule="auto"/>
        <w:jc w:val="both"/>
        <w:rPr>
          <w:rFonts w:ascii="Verdana" w:eastAsia="Times New Roman" w:hAnsi="Verdana" w:cs="Arial"/>
          <w:lang w:val="es-ES_tradnl" w:eastAsia="es-ES"/>
        </w:rPr>
      </w:pPr>
      <w:r w:rsidRPr="00C91297">
        <w:rPr>
          <w:rFonts w:ascii="Verdana" w:eastAsia="Times New Roman" w:hAnsi="Verdana" w:cs="Arial"/>
          <w:lang w:val="es-ES_tradnl" w:eastAsia="es-ES"/>
        </w:rPr>
        <w:t>En ejercicio de la competencia otorgada por los artículos 3, numeral 5º, y 11, numeral 8º, del Decreto Ley 4170 de 2011,</w:t>
      </w:r>
      <w:r w:rsidRPr="00C91297">
        <w:rPr>
          <w:rFonts w:ascii="Verdana" w:eastAsia="Times New Roman" w:hAnsi="Verdana" w:cs="Arial MT"/>
          <w:lang w:val="es-ES_tradnl" w:eastAsia="es-ES"/>
        </w:rPr>
        <w:t xml:space="preserve"> </w:t>
      </w:r>
      <w:r w:rsidRPr="00C91297">
        <w:rPr>
          <w:rFonts w:ascii="Verdana" w:eastAsia="Times New Roman" w:hAnsi="Verdana" w:cs="Arial"/>
          <w:lang w:val="es-ES_tradnl"/>
        </w:rPr>
        <w:t xml:space="preserve">así como lo establecido en el artículo 4 de la Resolución 1707 de 2018 expedida por esta Entidad, </w:t>
      </w:r>
      <w:r w:rsidRPr="00C91297">
        <w:rPr>
          <w:rFonts w:ascii="Verdana" w:eastAsia="Times New Roman" w:hAnsi="Verdana" w:cs="Arial"/>
          <w:lang w:val="es-ES_tradnl" w:eastAsia="es-ES"/>
        </w:rPr>
        <w:t xml:space="preserve">la Agencia Nacional de Contratación Pública – Colombia Compra Eficiente– responde su solicitud de consulta de fecha </w:t>
      </w:r>
      <w:r w:rsidR="00E17913">
        <w:rPr>
          <w:rFonts w:ascii="Verdana" w:eastAsia="Times New Roman" w:hAnsi="Verdana" w:cs="Arial"/>
          <w:lang w:val="es-ES_tradnl" w:eastAsia="es-ES"/>
        </w:rPr>
        <w:t>20</w:t>
      </w:r>
      <w:r w:rsidRPr="00C91297">
        <w:rPr>
          <w:rFonts w:ascii="Verdana" w:eastAsia="Times New Roman" w:hAnsi="Verdana" w:cs="Arial"/>
          <w:lang w:val="es-ES_tradnl" w:eastAsia="es-ES"/>
        </w:rPr>
        <w:t xml:space="preserve"> de </w:t>
      </w:r>
      <w:r w:rsidR="00E17913">
        <w:rPr>
          <w:rFonts w:ascii="Verdana" w:eastAsia="Times New Roman" w:hAnsi="Verdana" w:cs="Arial"/>
          <w:lang w:val="es-ES_tradnl" w:eastAsia="es-ES"/>
        </w:rPr>
        <w:t>febrero</w:t>
      </w:r>
      <w:r w:rsidRPr="00C91297">
        <w:rPr>
          <w:rFonts w:ascii="Verdana" w:eastAsia="Times New Roman" w:hAnsi="Verdana" w:cs="Arial"/>
          <w:lang w:val="es-ES_tradnl" w:eastAsia="es-ES"/>
        </w:rPr>
        <w:t xml:space="preserve"> de 202</w:t>
      </w:r>
      <w:r w:rsidR="00E17913">
        <w:rPr>
          <w:rFonts w:ascii="Verdana" w:eastAsia="Times New Roman" w:hAnsi="Verdana" w:cs="Arial"/>
          <w:lang w:val="es-ES_tradnl" w:eastAsia="es-ES"/>
        </w:rPr>
        <w:t>5</w:t>
      </w:r>
      <w:r w:rsidRPr="00C91297">
        <w:rPr>
          <w:rFonts w:ascii="Verdana" w:eastAsia="Times New Roman" w:hAnsi="Verdana" w:cs="Arial"/>
          <w:lang w:val="es-ES_tradnl" w:eastAsia="es-ES"/>
        </w:rPr>
        <w:t>, en la cual manifiesta lo siguiente:</w:t>
      </w:r>
    </w:p>
    <w:p w14:paraId="5810BAFD" w14:textId="77777777" w:rsidR="00C91297" w:rsidRPr="00C91297" w:rsidRDefault="00C91297" w:rsidP="00C91297">
      <w:pPr>
        <w:tabs>
          <w:tab w:val="left" w:pos="142"/>
          <w:tab w:val="left" w:pos="284"/>
        </w:tabs>
        <w:snapToGrid w:val="0"/>
        <w:spacing w:after="0" w:line="240" w:lineRule="auto"/>
        <w:jc w:val="both"/>
        <w:rPr>
          <w:rFonts w:ascii="Verdana" w:eastAsia="Times New Roman" w:hAnsi="Verdana" w:cs="Century Gothic"/>
          <w:b/>
          <w:bCs/>
          <w:sz w:val="21"/>
          <w:szCs w:val="21"/>
          <w:lang w:val="es-ES_tradnl"/>
        </w:rPr>
      </w:pPr>
    </w:p>
    <w:p w14:paraId="6C06F615" w14:textId="05B0007A" w:rsidR="00E17913" w:rsidRPr="00E17913" w:rsidRDefault="00C91297" w:rsidP="00E17913">
      <w:pPr>
        <w:snapToGrid w:val="0"/>
        <w:spacing w:after="0" w:line="240" w:lineRule="auto"/>
        <w:ind w:left="720" w:right="709"/>
        <w:jc w:val="both"/>
        <w:rPr>
          <w:rFonts w:ascii="Verdana" w:eastAsia="Times New Roman" w:hAnsi="Verdana" w:cs="Century Gothic"/>
          <w:sz w:val="20"/>
          <w:szCs w:val="20"/>
          <w:lang w:val="es-ES"/>
        </w:rPr>
      </w:pPr>
      <w:r w:rsidRPr="00C91297">
        <w:rPr>
          <w:rFonts w:ascii="Verdana" w:eastAsia="Times New Roman" w:hAnsi="Verdana" w:cs="Century Gothic"/>
          <w:sz w:val="20"/>
          <w:szCs w:val="20"/>
          <w:lang w:val="es-ES"/>
        </w:rPr>
        <w:t>“</w:t>
      </w:r>
      <w:r w:rsidR="00E17913" w:rsidRPr="00E17913">
        <w:rPr>
          <w:rFonts w:ascii="Verdana" w:eastAsia="Times New Roman" w:hAnsi="Verdana" w:cs="Century Gothic"/>
          <w:sz w:val="20"/>
          <w:szCs w:val="20"/>
          <w:lang w:val="es-ES"/>
        </w:rPr>
        <w:t>De acuerdo con el numeral 3 del artículo 2 de la Ley 1150 de 2007, modificado por</w:t>
      </w:r>
      <w:r w:rsidR="00E17913">
        <w:rPr>
          <w:rFonts w:ascii="Verdana" w:eastAsia="Times New Roman" w:hAnsi="Verdana" w:cs="Century Gothic"/>
          <w:sz w:val="20"/>
          <w:szCs w:val="20"/>
          <w:lang w:val="es-ES"/>
        </w:rPr>
        <w:t xml:space="preserve"> </w:t>
      </w:r>
      <w:r w:rsidR="00E17913" w:rsidRPr="00E17913">
        <w:rPr>
          <w:rFonts w:ascii="Verdana" w:eastAsia="Times New Roman" w:hAnsi="Verdana" w:cs="Century Gothic"/>
          <w:sz w:val="20"/>
          <w:szCs w:val="20"/>
          <w:lang w:val="es-ES"/>
        </w:rPr>
        <w:t>el artículo 219 del Decreto 19 de 2012, la selección de consultores debe hacerse</w:t>
      </w:r>
      <w:r w:rsidR="00E17913">
        <w:rPr>
          <w:rFonts w:ascii="Verdana" w:eastAsia="Times New Roman" w:hAnsi="Verdana" w:cs="Century Gothic"/>
          <w:sz w:val="20"/>
          <w:szCs w:val="20"/>
          <w:lang w:val="es-ES"/>
        </w:rPr>
        <w:t xml:space="preserve"> </w:t>
      </w:r>
      <w:r w:rsidR="00E17913" w:rsidRPr="00E17913">
        <w:rPr>
          <w:rFonts w:ascii="Verdana" w:eastAsia="Times New Roman" w:hAnsi="Verdana" w:cs="Century Gothic"/>
          <w:sz w:val="20"/>
          <w:szCs w:val="20"/>
          <w:lang w:val="es-ES"/>
        </w:rPr>
        <w:t>mediante concurso de méritos. Por otro lado, el numeral 5 del mismo artículo,</w:t>
      </w:r>
      <w:r w:rsidR="00E17913">
        <w:rPr>
          <w:rFonts w:ascii="Verdana" w:eastAsia="Times New Roman" w:hAnsi="Verdana" w:cs="Century Gothic"/>
          <w:sz w:val="20"/>
          <w:szCs w:val="20"/>
          <w:lang w:val="es-ES"/>
        </w:rPr>
        <w:t xml:space="preserve"> </w:t>
      </w:r>
      <w:r w:rsidR="00E17913" w:rsidRPr="00E17913">
        <w:rPr>
          <w:rFonts w:ascii="Verdana" w:eastAsia="Times New Roman" w:hAnsi="Verdana" w:cs="Century Gothic"/>
          <w:sz w:val="20"/>
          <w:szCs w:val="20"/>
          <w:lang w:val="es-ES"/>
        </w:rPr>
        <w:t>modificado por el artículo 30 de la Ley 2069 de 2020, establece que la contratación</w:t>
      </w:r>
      <w:r w:rsidR="00E17913">
        <w:rPr>
          <w:rFonts w:ascii="Verdana" w:eastAsia="Times New Roman" w:hAnsi="Verdana" w:cs="Century Gothic"/>
          <w:sz w:val="20"/>
          <w:szCs w:val="20"/>
          <w:lang w:val="es-ES"/>
        </w:rPr>
        <w:t xml:space="preserve"> </w:t>
      </w:r>
      <w:r w:rsidR="00E17913" w:rsidRPr="00E17913">
        <w:rPr>
          <w:rFonts w:ascii="Verdana" w:eastAsia="Times New Roman" w:hAnsi="Verdana" w:cs="Century Gothic"/>
          <w:sz w:val="20"/>
          <w:szCs w:val="20"/>
          <w:lang w:val="es-ES"/>
        </w:rPr>
        <w:t>de mínima cuantía aplica "independientemente de su objeto".</w:t>
      </w:r>
    </w:p>
    <w:p w14:paraId="14E261F7" w14:textId="0D3022EC" w:rsidR="00C91297" w:rsidRPr="00C91297" w:rsidRDefault="00E17913" w:rsidP="00E17913">
      <w:pPr>
        <w:snapToGrid w:val="0"/>
        <w:spacing w:after="0" w:line="240" w:lineRule="auto"/>
        <w:ind w:left="720" w:right="709"/>
        <w:jc w:val="both"/>
        <w:rPr>
          <w:rFonts w:ascii="Verdana" w:eastAsia="Times New Roman" w:hAnsi="Verdana" w:cs="Century Gothic"/>
          <w:sz w:val="20"/>
          <w:szCs w:val="20"/>
          <w:lang w:val="es-ES"/>
        </w:rPr>
      </w:pPr>
      <w:r w:rsidRPr="00E17913">
        <w:rPr>
          <w:rFonts w:ascii="Verdana" w:eastAsia="Times New Roman" w:hAnsi="Verdana" w:cs="Century Gothic"/>
          <w:sz w:val="20"/>
          <w:szCs w:val="20"/>
          <w:lang w:val="es-ES"/>
        </w:rPr>
        <w:lastRenderedPageBreak/>
        <w:t>¿Es viable contratar consultores o interventores bajo mínima cuantía, considerando</w:t>
      </w:r>
      <w:r>
        <w:rPr>
          <w:rFonts w:ascii="Verdana" w:eastAsia="Times New Roman" w:hAnsi="Verdana" w:cs="Century Gothic"/>
          <w:sz w:val="20"/>
          <w:szCs w:val="20"/>
          <w:lang w:val="es-ES"/>
        </w:rPr>
        <w:t xml:space="preserve"> </w:t>
      </w:r>
      <w:r w:rsidRPr="00E17913">
        <w:rPr>
          <w:rFonts w:ascii="Verdana" w:eastAsia="Times New Roman" w:hAnsi="Verdana" w:cs="Century Gothic"/>
          <w:sz w:val="20"/>
          <w:szCs w:val="20"/>
          <w:lang w:val="es-ES"/>
        </w:rPr>
        <w:t>que este proceso se adjudica por menor precio sin evaluar aspectos técnicos?</w:t>
      </w:r>
      <w:r>
        <w:rPr>
          <w:rFonts w:ascii="Verdana" w:eastAsia="Times New Roman" w:hAnsi="Verdana" w:cs="Century Gothic"/>
          <w:sz w:val="20"/>
          <w:szCs w:val="20"/>
          <w:lang w:val="es-ES"/>
        </w:rPr>
        <w:t xml:space="preserve"> </w:t>
      </w:r>
      <w:r w:rsidRPr="00E17913">
        <w:rPr>
          <w:rFonts w:ascii="Verdana" w:eastAsia="Times New Roman" w:hAnsi="Verdana" w:cs="Century Gothic"/>
          <w:sz w:val="20"/>
          <w:szCs w:val="20"/>
          <w:lang w:val="es-ES"/>
        </w:rPr>
        <w:t>¿Prevalece la especialidad del concurso de méritos sobre la generalidad de la</w:t>
      </w:r>
      <w:r>
        <w:rPr>
          <w:rFonts w:ascii="Verdana" w:eastAsia="Times New Roman" w:hAnsi="Verdana" w:cs="Century Gothic"/>
          <w:sz w:val="20"/>
          <w:szCs w:val="20"/>
          <w:lang w:val="es-ES"/>
        </w:rPr>
        <w:t xml:space="preserve"> </w:t>
      </w:r>
      <w:r w:rsidRPr="00E17913">
        <w:rPr>
          <w:rFonts w:ascii="Verdana" w:eastAsia="Times New Roman" w:hAnsi="Verdana" w:cs="Century Gothic"/>
          <w:sz w:val="20"/>
          <w:szCs w:val="20"/>
          <w:lang w:val="es-ES"/>
        </w:rPr>
        <w:t>mínima cuantía?</w:t>
      </w:r>
      <w:r w:rsidR="00C91297" w:rsidRPr="00C91297">
        <w:rPr>
          <w:rFonts w:ascii="Verdana" w:eastAsia="Times New Roman" w:hAnsi="Verdana" w:cs="Century Gothic"/>
          <w:sz w:val="20"/>
          <w:szCs w:val="20"/>
          <w:lang w:val="es-ES"/>
        </w:rPr>
        <w:t>”</w:t>
      </w:r>
    </w:p>
    <w:p w14:paraId="4BD50357" w14:textId="77777777" w:rsidR="00C91297" w:rsidRPr="00C91297" w:rsidRDefault="00C91297" w:rsidP="00C91297">
      <w:pPr>
        <w:tabs>
          <w:tab w:val="left" w:pos="142"/>
          <w:tab w:val="left" w:pos="284"/>
        </w:tabs>
        <w:spacing w:line="276" w:lineRule="auto"/>
        <w:contextualSpacing/>
        <w:jc w:val="both"/>
        <w:rPr>
          <w:rFonts w:ascii="Verdana" w:eastAsia="Times New Roman" w:hAnsi="Verdana" w:cs="Century Gothic"/>
          <w:b/>
          <w:bCs/>
          <w:lang w:val="es-ES_tradnl"/>
        </w:rPr>
      </w:pPr>
    </w:p>
    <w:p w14:paraId="45EE0CCD" w14:textId="77777777" w:rsidR="00C91297" w:rsidRPr="00C91297" w:rsidRDefault="00C91297" w:rsidP="00C91297">
      <w:pPr>
        <w:spacing w:after="120" w:line="276" w:lineRule="auto"/>
        <w:ind w:firstLine="709"/>
        <w:jc w:val="both"/>
        <w:rPr>
          <w:rFonts w:ascii="Verdana" w:eastAsia="Times New Roman" w:hAnsi="Verdana" w:cs="Arial"/>
          <w:lang w:val="es-ES" w:eastAsia="es-ES"/>
        </w:rPr>
      </w:pPr>
      <w:r w:rsidRPr="00C91297">
        <w:rPr>
          <w:rFonts w:ascii="Verdana" w:eastAsia="Times New Roman"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91297">
        <w:rPr>
          <w:rFonts w:eastAsia="Times New Roman" w:cs="Times New Roman"/>
        </w:rPr>
        <w:tab/>
      </w:r>
    </w:p>
    <w:p w14:paraId="586DF966" w14:textId="77777777" w:rsidR="00C91297" w:rsidRPr="00C91297" w:rsidRDefault="00C91297" w:rsidP="00C91297">
      <w:pPr>
        <w:snapToGrid w:val="0"/>
        <w:spacing w:after="0" w:line="276" w:lineRule="auto"/>
        <w:ind w:firstLine="709"/>
        <w:jc w:val="both"/>
        <w:rPr>
          <w:rFonts w:ascii="Verdana" w:eastAsia="Times New Roman" w:hAnsi="Verdana" w:cs="Arial"/>
          <w:lang w:val="es-ES_tradnl" w:eastAsia="es-ES"/>
        </w:rPr>
      </w:pPr>
      <w:r w:rsidRPr="00C91297">
        <w:rPr>
          <w:rFonts w:ascii="Verdana" w:eastAsia="Times New Roman"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E05B199" w14:textId="77777777" w:rsidR="00C91297" w:rsidRPr="00C91297" w:rsidRDefault="00C91297" w:rsidP="00C91297">
      <w:pPr>
        <w:snapToGrid w:val="0"/>
        <w:spacing w:after="0" w:line="276" w:lineRule="auto"/>
        <w:ind w:firstLine="709"/>
        <w:jc w:val="both"/>
        <w:rPr>
          <w:rFonts w:ascii="Verdana" w:eastAsia="Times New Roman" w:hAnsi="Verdana" w:cs="Arial"/>
          <w:lang w:val="es-ES_tradnl" w:eastAsia="es-ES"/>
        </w:rPr>
      </w:pPr>
    </w:p>
    <w:p w14:paraId="0B7AF182" w14:textId="77777777" w:rsidR="00C91297" w:rsidRPr="00C91297" w:rsidRDefault="00C91297" w:rsidP="00C91297">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Problema planteado:</w:t>
      </w:r>
    </w:p>
    <w:p w14:paraId="068FC12D" w14:textId="77777777" w:rsidR="00C91297" w:rsidRPr="00C91297" w:rsidRDefault="00C91297" w:rsidP="00C91297">
      <w:pPr>
        <w:tabs>
          <w:tab w:val="left" w:pos="426"/>
        </w:tabs>
        <w:snapToGrid w:val="0"/>
        <w:spacing w:after="0" w:line="276" w:lineRule="auto"/>
        <w:jc w:val="both"/>
        <w:rPr>
          <w:rFonts w:ascii="Verdana" w:eastAsia="Times New Roman" w:hAnsi="Verdana" w:cs="Century Gothic"/>
          <w:lang w:val="es-ES_tradnl"/>
        </w:rPr>
      </w:pPr>
    </w:p>
    <w:p w14:paraId="53F2909F" w14:textId="7E1FB02E" w:rsidR="00C91297" w:rsidRPr="00C91297" w:rsidRDefault="00C91297" w:rsidP="00C91297">
      <w:pPr>
        <w:snapToGrid w:val="0"/>
        <w:spacing w:after="0" w:line="276" w:lineRule="auto"/>
        <w:jc w:val="both"/>
        <w:rPr>
          <w:rFonts w:ascii="Verdana" w:eastAsia="Times New Roman" w:hAnsi="Verdana" w:cs="Century Gothic"/>
          <w:lang w:val="es-ES_tradnl"/>
        </w:rPr>
      </w:pPr>
      <w:r w:rsidRPr="00C91297">
        <w:rPr>
          <w:rFonts w:ascii="Verdana" w:eastAsia="Times New Roman" w:hAnsi="Verdana" w:cs="Century Gothic"/>
          <w:lang w:val="es-ES_tradnl"/>
        </w:rPr>
        <w:t>De acuerdo con el contenido de su solicitud, esta Agencia resolverá el siguiente problema jurídico:</w:t>
      </w:r>
      <w:r w:rsidR="00B24E35">
        <w:rPr>
          <w:rFonts w:ascii="Verdana" w:eastAsia="Times New Roman" w:hAnsi="Verdana" w:cs="Century Gothic"/>
          <w:lang w:val="es-ES_tradnl"/>
        </w:rPr>
        <w:t xml:space="preserve"> ¿Es </w:t>
      </w:r>
      <w:r w:rsidR="00B24E35" w:rsidRPr="00B44549">
        <w:rPr>
          <w:rFonts w:ascii="Verdana" w:eastAsia="Times New Roman" w:hAnsi="Verdana" w:cs="Century Gothic"/>
        </w:rPr>
        <w:t>legal</w:t>
      </w:r>
      <w:r w:rsidR="00B44549" w:rsidRPr="00B44549">
        <w:rPr>
          <w:rFonts w:ascii="Verdana" w:eastAsia="Times New Roman" w:hAnsi="Verdana" w:cs="Century Gothic"/>
        </w:rPr>
        <w:t xml:space="preserve"> contratar consultores o interventores mediante un proceso </w:t>
      </w:r>
      <w:r w:rsidR="00B44549">
        <w:rPr>
          <w:rFonts w:ascii="Verdana" w:eastAsia="Times New Roman" w:hAnsi="Verdana" w:cs="Century Gothic"/>
        </w:rPr>
        <w:t xml:space="preserve">de selección </w:t>
      </w:r>
      <w:r w:rsidR="00B44549" w:rsidRPr="00B44549">
        <w:rPr>
          <w:rFonts w:ascii="Verdana" w:eastAsia="Times New Roman" w:hAnsi="Verdana" w:cs="Century Gothic"/>
        </w:rPr>
        <w:t>de mínima cuantía</w:t>
      </w:r>
      <w:r w:rsidRPr="00C91297">
        <w:rPr>
          <w:rFonts w:ascii="Verdana" w:eastAsia="Times New Roman" w:hAnsi="Verdana" w:cs="Century Gothic"/>
          <w:lang w:val="es-ES_tradnl"/>
        </w:rPr>
        <w:t>?</w:t>
      </w:r>
    </w:p>
    <w:p w14:paraId="1BA30339" w14:textId="77777777" w:rsidR="00C91297" w:rsidRPr="00C91297" w:rsidRDefault="00C91297" w:rsidP="00C91297">
      <w:pPr>
        <w:snapToGrid w:val="0"/>
        <w:spacing w:after="0" w:line="276" w:lineRule="auto"/>
        <w:jc w:val="both"/>
        <w:rPr>
          <w:rFonts w:ascii="Verdana" w:eastAsia="Times New Roman" w:hAnsi="Verdana" w:cs="Century Gothic"/>
          <w:lang w:val="es-ES_tradnl"/>
        </w:rPr>
      </w:pPr>
    </w:p>
    <w:p w14:paraId="648F6296" w14:textId="7DC0145E" w:rsidR="00C91297" w:rsidRPr="00C91297" w:rsidRDefault="00C91297" w:rsidP="00C91297">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Respuesta:</w:t>
      </w:r>
    </w:p>
    <w:p w14:paraId="6BC5FED0" w14:textId="77777777" w:rsidR="00C91297" w:rsidRPr="00C91297" w:rsidRDefault="00C91297" w:rsidP="00C91297">
      <w:pPr>
        <w:tabs>
          <w:tab w:val="left" w:pos="142"/>
          <w:tab w:val="left" w:pos="284"/>
        </w:tabs>
        <w:snapToGrid w:val="0"/>
        <w:spacing w:after="0" w:line="276" w:lineRule="auto"/>
        <w:jc w:val="both"/>
        <w:rPr>
          <w:rFonts w:ascii="Verdana" w:eastAsia="Times New Roman" w:hAnsi="Verdana" w:cs="Century Gothic"/>
          <w:b/>
          <w:bCs/>
          <w:lang w:val="es-ES_tradnl"/>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91297" w:rsidRPr="00C91297" w14:paraId="43295BB6" w14:textId="77777777" w:rsidTr="00D45F43">
        <w:tc>
          <w:tcPr>
            <w:tcW w:w="8828" w:type="dxa"/>
          </w:tcPr>
          <w:p w14:paraId="232B130C" w14:textId="632669B5" w:rsidR="00E21A7A" w:rsidRPr="00A208F6" w:rsidRDefault="00B24E35" w:rsidP="00E21A7A">
            <w:pPr>
              <w:spacing w:after="120" w:line="276" w:lineRule="auto"/>
              <w:jc w:val="both"/>
              <w:rPr>
                <w:rFonts w:ascii="Verdana" w:hAnsi="Verdana" w:cs="Century Gothic"/>
                <w:lang w:val="es-ES_tradnl"/>
              </w:rPr>
            </w:pPr>
            <w:r>
              <w:rPr>
                <w:rFonts w:ascii="Verdana" w:eastAsia="Arial" w:hAnsi="Verdana" w:cs="Arial"/>
                <w:bCs/>
              </w:rPr>
              <w:t>De conformidad con el problema jurídico planteado, e</w:t>
            </w:r>
            <w:r w:rsidRPr="000349C5">
              <w:rPr>
                <w:rFonts w:ascii="Verdana" w:eastAsia="Arial" w:hAnsi="Verdana" w:cs="Arial"/>
                <w:bCs/>
              </w:rPr>
              <w:t>n primer lugar, es importante señalar</w:t>
            </w:r>
            <w:r>
              <w:rPr>
                <w:rFonts w:ascii="Verdana" w:hAnsi="Verdana" w:cs="Century Gothic"/>
              </w:rPr>
              <w:t xml:space="preserve"> que e</w:t>
            </w:r>
            <w:r w:rsidR="00E21A7A" w:rsidRPr="00A208F6">
              <w:rPr>
                <w:rFonts w:ascii="Verdana" w:hAnsi="Verdana" w:cs="Century Gothic"/>
                <w:lang w:val="es-ES_tradnl"/>
              </w:rPr>
              <w:t xml:space="preserve">l artículo 2 de la Ley 1150 de 2007 </w:t>
            </w:r>
            <w:r w:rsidR="00B44549">
              <w:rPr>
                <w:rFonts w:ascii="Verdana" w:hAnsi="Verdana" w:cs="Century Gothic"/>
                <w:lang w:val="es-ES_tradnl"/>
              </w:rPr>
              <w:t>determinó cuales son</w:t>
            </w:r>
            <w:r w:rsidR="00E21A7A" w:rsidRPr="00A208F6">
              <w:rPr>
                <w:rFonts w:ascii="Verdana" w:hAnsi="Verdana" w:cs="Century Gothic"/>
                <w:lang w:val="es-ES_tradnl"/>
              </w:rPr>
              <w:t xml:space="preserve"> las modalidades de selección aplicables a las entidades sometidas al EGCAP, indicando que: “[…] la escogencia del contratista se efectuará por regla general bajo la modalidad de licitación pública, con las excepciones que se señalan en los numerales 2, 3 y 4 del presente artículo”. Particularmente, en el numeral 3° se estableció la modalidad de selección de concurso de </w:t>
            </w:r>
            <w:r w:rsidR="00E21A7A" w:rsidRPr="00A208F6">
              <w:rPr>
                <w:rFonts w:ascii="Verdana" w:hAnsi="Verdana" w:cs="Century Gothic"/>
                <w:lang w:val="es-ES_tradnl"/>
              </w:rPr>
              <w:lastRenderedPageBreak/>
              <w:t>méritos, prevista para la selección de “consultores o proyectos”, mientras que en el numeral 5° ibidem se reguló la modalidad de contratación de mínima cuantía, determinando mandatos especiales para su procedimiento, que se aplicará cuando el valor de la contratación “no excede del</w:t>
            </w:r>
            <w:r w:rsidR="00B44549">
              <w:rPr>
                <w:rFonts w:ascii="Verdana" w:hAnsi="Verdana" w:cs="Century Gothic"/>
                <w:lang w:val="es-ES_tradnl"/>
              </w:rPr>
              <w:t xml:space="preserve"> diez</w:t>
            </w:r>
            <w:r w:rsidR="00E21A7A" w:rsidRPr="00A208F6">
              <w:rPr>
                <w:rFonts w:ascii="Verdana" w:hAnsi="Verdana" w:cs="Century Gothic"/>
                <w:lang w:val="es-ES_tradnl"/>
              </w:rPr>
              <w:t xml:space="preserve"> por ciento</w:t>
            </w:r>
            <w:r w:rsidR="00B44549">
              <w:rPr>
                <w:rFonts w:ascii="Verdana" w:hAnsi="Verdana" w:cs="Century Gothic"/>
                <w:lang w:val="es-ES_tradnl"/>
              </w:rPr>
              <w:t xml:space="preserve"> (10%)</w:t>
            </w:r>
            <w:r w:rsidR="00E21A7A" w:rsidRPr="00A208F6">
              <w:rPr>
                <w:rFonts w:ascii="Verdana" w:hAnsi="Verdana" w:cs="Century Gothic"/>
                <w:lang w:val="es-ES_tradnl"/>
              </w:rPr>
              <w:t xml:space="preserve"> de la menor cuantía de la entidad independientemente de su objeto”.</w:t>
            </w:r>
          </w:p>
          <w:p w14:paraId="1D154887" w14:textId="77777777" w:rsidR="00E21A7A" w:rsidRDefault="00E21A7A" w:rsidP="3B6C6317">
            <w:pPr>
              <w:snapToGrid w:val="0"/>
              <w:spacing w:after="160" w:line="276" w:lineRule="auto"/>
              <w:jc w:val="both"/>
              <w:rPr>
                <w:rFonts w:ascii="Verdana" w:hAnsi="Verdana" w:cs="Century Gothic"/>
                <w:lang w:val="es-ES"/>
              </w:rPr>
            </w:pPr>
            <w:r w:rsidRPr="00A208F6">
              <w:rPr>
                <w:rFonts w:ascii="Verdana" w:hAnsi="Verdana" w:cs="Century Gothic"/>
                <w:lang w:val="es-ES"/>
              </w:rPr>
              <w:t xml:space="preserve">Tal como lo refiere en su consulta, la escogencia del consultor o interventor, a través de concurso de méritos, puede llegar a concurrir con la modalidad de mínima cuantía. En este contexto, según la normativa aplicable, la jurisprudencia del Consejo de Estado y de la Corte Constitucional, y el Manual expedido por esta Agencia en la materia,  resulta claro que la modalidad denominada “mínima cuantía” </w:t>
            </w:r>
            <w:r w:rsidRPr="00A208F6">
              <w:rPr>
                <w:rFonts w:ascii="Verdana" w:eastAsiaTheme="minorEastAsia" w:hAnsi="Verdana" w:cs="Century Gothic"/>
                <w:lang w:val="es-ES"/>
              </w:rPr>
              <w:t>es un procedimiento de selección “exceptivo” porque es una excepción adicional a la regla general constituida por la licitación pública, pero se parece a esta porque también es un llamado general a presentar ofertas, efectuado por la Entidad Estatal interesada en contratar, aunque es distinta en otros aspectos, como su conducencia y su procedimiento; lo primero, porque solo procede por razón de una cuantía específica y, lo segundo, porque sus requisitos, etapas y términos son peculiares.</w:t>
            </w:r>
          </w:p>
          <w:p w14:paraId="406BF063" w14:textId="77777777" w:rsidR="00C91297" w:rsidRDefault="00B24E35" w:rsidP="00C91297">
            <w:pPr>
              <w:snapToGrid w:val="0"/>
              <w:spacing w:after="160" w:line="276" w:lineRule="auto"/>
              <w:jc w:val="both"/>
              <w:rPr>
                <w:rFonts w:ascii="Century Gothic" w:hAnsi="Century Gothic" w:cs="Arial"/>
                <w:color w:val="000000"/>
                <w:lang w:eastAsia="es-ES"/>
              </w:rPr>
            </w:pPr>
            <w:r w:rsidRPr="00B24E35">
              <w:rPr>
                <w:rFonts w:ascii="Verdana" w:hAnsi="Verdana" w:cs="Arial"/>
                <w:color w:val="000000"/>
                <w:lang w:eastAsia="es-ES"/>
              </w:rPr>
              <w:t>De acuerdo con lo expuesto, y considerando tanto el objeto como la</w:t>
            </w:r>
            <w:r>
              <w:rPr>
                <w:rFonts w:ascii="Verdana" w:hAnsi="Verdana" w:cs="Arial"/>
                <w:color w:val="000000"/>
                <w:lang w:eastAsia="es-ES"/>
              </w:rPr>
              <w:t>s</w:t>
            </w:r>
            <w:r w:rsidRPr="00B24E35">
              <w:rPr>
                <w:rFonts w:ascii="Verdana" w:hAnsi="Verdana" w:cs="Arial"/>
                <w:color w:val="000000"/>
                <w:lang w:eastAsia="es-ES"/>
              </w:rPr>
              <w:t xml:space="preserve"> modalidad</w:t>
            </w:r>
            <w:r>
              <w:rPr>
                <w:rFonts w:ascii="Verdana" w:hAnsi="Verdana" w:cs="Arial"/>
                <w:color w:val="000000"/>
                <w:lang w:eastAsia="es-ES"/>
              </w:rPr>
              <w:t>es</w:t>
            </w:r>
            <w:r w:rsidRPr="00B24E35">
              <w:rPr>
                <w:rFonts w:ascii="Verdana" w:hAnsi="Verdana" w:cs="Arial"/>
                <w:color w:val="000000"/>
                <w:lang w:eastAsia="es-ES"/>
              </w:rPr>
              <w:t xml:space="preserve"> de selección plantead</w:t>
            </w:r>
            <w:r>
              <w:rPr>
                <w:rFonts w:ascii="Verdana" w:hAnsi="Verdana" w:cs="Arial"/>
                <w:color w:val="000000"/>
                <w:lang w:eastAsia="es-ES"/>
              </w:rPr>
              <w:t>a</w:t>
            </w:r>
            <w:r w:rsidRPr="00B24E35">
              <w:rPr>
                <w:rFonts w:ascii="Verdana" w:hAnsi="Verdana" w:cs="Arial"/>
                <w:color w:val="000000"/>
                <w:lang w:eastAsia="es-ES"/>
              </w:rPr>
              <w:t>s en la consulta, se observa que existen dos modalidades posibles de selección: la de mínima cuantía y la de concurso de méritos. En principio, el concurso de méritos es la modalidad adecuada para la selección de consultores, dado que permite una evaluación integral que incluye aspectos técnicos y no solo el precio. Sin embargo, si el valor de la contratación no supera el 10% de la menor cuantía establecida por la entidad, el proceso de selección deberá llevarse a cabo bajo la modalidad de mínima cuantía, conforme al artículo 2, numeral 5 de la Ley 1150 de 2007, modificado por el artículo 30 de la Ley 2069 de 2020. En este caso, el criterio de selección será el menor precio, siempre que se cumplan las condiciones especificadas en la invitación, lo que refleja la prevalencia de la eficiencia y la simplificación en procesos de menor cuantía</w:t>
            </w:r>
            <w:r w:rsidRPr="00B24E35">
              <w:rPr>
                <w:rFonts w:ascii="Century Gothic" w:hAnsi="Century Gothic" w:cs="Arial"/>
                <w:color w:val="000000"/>
                <w:lang w:eastAsia="es-ES"/>
              </w:rPr>
              <w:t>.</w:t>
            </w:r>
          </w:p>
          <w:p w14:paraId="1F7E1647" w14:textId="472704AE" w:rsidR="00934CCC" w:rsidRPr="00934CCC" w:rsidRDefault="00934CCC" w:rsidP="00C91297">
            <w:pPr>
              <w:snapToGrid w:val="0"/>
              <w:spacing w:after="160" w:line="276" w:lineRule="auto"/>
              <w:jc w:val="both"/>
              <w:rPr>
                <w:rFonts w:ascii="Verdana" w:hAnsi="Verdana" w:cs="Arial"/>
              </w:rPr>
            </w:pPr>
            <w:r>
              <w:rPr>
                <w:rFonts w:ascii="Verdana" w:hAnsi="Verdana" w:cs="Arial"/>
              </w:rPr>
              <w:t xml:space="preserve">La anterior tesis, fue confirmada por esta Agencia con la expedición de la nueva versión del Manual de la modalidad de Selección de Mínima Cuantía en donde se indicó en su numeral 12.2. “Concurrencia de concurso de méritos y mínima cuantía”, lo siguiente: “[…] </w:t>
            </w:r>
            <w:r w:rsidRPr="00934CCC">
              <w:rPr>
                <w:rFonts w:ascii="Verdana" w:hAnsi="Verdana" w:cs="Arial"/>
                <w:i/>
                <w:iCs/>
              </w:rPr>
              <w:t xml:space="preserve">Dado que la selección de mínima cuantía es especial para cualquier objeto contractual, de conformidad con el inciso </w:t>
            </w:r>
            <w:r w:rsidRPr="00934CCC">
              <w:rPr>
                <w:rFonts w:ascii="Verdana" w:hAnsi="Verdana" w:cs="Arial"/>
                <w:i/>
                <w:iCs/>
              </w:rPr>
              <w:lastRenderedPageBreak/>
              <w:t xml:space="preserve">primero del artículo 30 de la Ley 2069 de 2020, </w:t>
            </w:r>
            <w:r w:rsidRPr="00934CCC">
              <w:rPr>
                <w:rFonts w:ascii="Verdana" w:hAnsi="Verdana" w:cs="Arial"/>
                <w:i/>
                <w:iCs/>
                <w:u w:val="single"/>
              </w:rPr>
              <w:t>en caso de concurrencia entre el concurso de méritos y la mínima cuantía, la modalidad de selección aplicable será la de mínima cuantía.</w:t>
            </w:r>
          </w:p>
        </w:tc>
      </w:tr>
    </w:tbl>
    <w:p w14:paraId="24B03E9E" w14:textId="77777777" w:rsidR="00C91297" w:rsidRPr="00C91297" w:rsidRDefault="00C91297" w:rsidP="00C91297">
      <w:pPr>
        <w:tabs>
          <w:tab w:val="left" w:pos="142"/>
          <w:tab w:val="left" w:pos="284"/>
        </w:tabs>
        <w:snapToGrid w:val="0"/>
        <w:spacing w:after="0" w:line="276" w:lineRule="auto"/>
        <w:jc w:val="both"/>
        <w:rPr>
          <w:rFonts w:ascii="Verdana" w:eastAsia="Times New Roman" w:hAnsi="Verdana" w:cs="Century Gothic"/>
          <w:b/>
          <w:bCs/>
          <w:lang w:val="es-ES_tradnl"/>
        </w:rPr>
      </w:pPr>
    </w:p>
    <w:p w14:paraId="185F03A6" w14:textId="77777777" w:rsidR="00C91297" w:rsidRPr="00C91297" w:rsidRDefault="00C91297" w:rsidP="00C91297">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Razones de la respuesta:</w:t>
      </w:r>
    </w:p>
    <w:p w14:paraId="101BBF64" w14:textId="77777777" w:rsidR="00C91297" w:rsidRPr="00C91297" w:rsidRDefault="00C91297" w:rsidP="00C91297">
      <w:pPr>
        <w:snapToGrid w:val="0"/>
        <w:spacing w:after="0" w:line="276" w:lineRule="auto"/>
        <w:jc w:val="both"/>
        <w:rPr>
          <w:rFonts w:ascii="Verdana" w:eastAsia="Times New Roman" w:hAnsi="Verdana" w:cs="Arial"/>
          <w:lang w:val="es-ES_tradnl"/>
        </w:rPr>
      </w:pPr>
    </w:p>
    <w:p w14:paraId="138A08C4" w14:textId="77777777" w:rsidR="00C91297" w:rsidRDefault="00C91297" w:rsidP="00C91297">
      <w:pPr>
        <w:snapToGrid w:val="0"/>
        <w:spacing w:after="0" w:line="276" w:lineRule="auto"/>
        <w:jc w:val="both"/>
        <w:rPr>
          <w:rFonts w:ascii="Verdana" w:eastAsia="Times New Roman" w:hAnsi="Verdana" w:cs="Arial"/>
          <w:lang w:val="es-ES_tradnl"/>
        </w:rPr>
      </w:pPr>
      <w:r w:rsidRPr="00C91297">
        <w:rPr>
          <w:rFonts w:ascii="Verdana" w:eastAsia="Times New Roman" w:hAnsi="Verdana" w:cs="Arial"/>
          <w:lang w:val="es-ES_tradnl"/>
        </w:rPr>
        <w:t xml:space="preserve">Lo anterior se sustenta en las siguientes consideraciones: </w:t>
      </w:r>
    </w:p>
    <w:p w14:paraId="0E00019F" w14:textId="77777777" w:rsidR="00C15DBA" w:rsidRDefault="00C15DBA" w:rsidP="00C91297">
      <w:pPr>
        <w:snapToGrid w:val="0"/>
        <w:spacing w:after="0" w:line="276" w:lineRule="auto"/>
        <w:jc w:val="both"/>
        <w:rPr>
          <w:rFonts w:ascii="Verdana" w:eastAsia="Times New Roman" w:hAnsi="Verdana" w:cs="Arial"/>
          <w:lang w:val="es-ES_tradnl"/>
        </w:rPr>
      </w:pPr>
    </w:p>
    <w:p w14:paraId="541E20D9" w14:textId="77777777" w:rsidR="00B24E35" w:rsidRPr="00FB0801" w:rsidRDefault="00B24E35" w:rsidP="00B24E35">
      <w:pPr>
        <w:spacing w:after="120" w:line="276" w:lineRule="auto"/>
        <w:jc w:val="both"/>
        <w:rPr>
          <w:rFonts w:ascii="Verdana" w:eastAsia="Times New Roman" w:hAnsi="Verdana" w:cs="Arial"/>
          <w:b/>
          <w:lang w:eastAsia="es-ES_tradnl"/>
        </w:rPr>
      </w:pPr>
      <w:r w:rsidRPr="00FB0801">
        <w:rPr>
          <w:rFonts w:ascii="Verdana" w:eastAsia="Times New Roman" w:hAnsi="Verdana" w:cs="Arial"/>
          <w:lang w:val="es-ES_tradnl" w:eastAsia="es-MX"/>
        </w:rPr>
        <w:t xml:space="preserve">Conforme se ha expuesto en el presente concepto, mediante el artículo 2 de la Ley 1150 de 2007 se determinaron las modalidades de selección aplicables a las entidades sometidas al EGCAP, indicando que: “[…] la escogencia del contratista se efectuará por regla general bajo la modalidad de licitación pública, con las excepciones que se señalan en los numerales 2, 3 y 4 del presente artículo”. </w:t>
      </w:r>
    </w:p>
    <w:p w14:paraId="22DF154D" w14:textId="77777777" w:rsidR="00B24E35" w:rsidRPr="00FB0801" w:rsidRDefault="00B24E35" w:rsidP="00B24E35">
      <w:pPr>
        <w:spacing w:after="120" w:line="276" w:lineRule="auto"/>
        <w:ind w:firstLine="708"/>
        <w:jc w:val="both"/>
        <w:rPr>
          <w:rFonts w:ascii="Verdana" w:eastAsia="Times New Roman" w:hAnsi="Verdana" w:cs="Arial"/>
          <w:lang w:val="es-ES_tradnl" w:eastAsia="es-ES_tradnl"/>
        </w:rPr>
      </w:pPr>
      <w:r w:rsidRPr="00FB0801">
        <w:rPr>
          <w:rFonts w:ascii="Verdana" w:eastAsia="Times New Roman" w:hAnsi="Verdana" w:cs="Arial"/>
          <w:lang w:val="es-ES_tradnl" w:eastAsia="es-ES_tradnl"/>
        </w:rPr>
        <w:t>Particularmente, en el numeral</w:t>
      </w:r>
      <w:r w:rsidRPr="00FB0801">
        <w:rPr>
          <w:rFonts w:ascii="Verdana" w:eastAsia="Times New Roman" w:hAnsi="Verdana" w:cs="Arial"/>
          <w:lang w:eastAsia="es-ES_tradnl"/>
        </w:rPr>
        <w:t xml:space="preserve"> 3° se estableció la modalidad de selección de concurso de méritos, prevista para la selección de</w:t>
      </w:r>
      <w:r w:rsidRPr="00FB0801">
        <w:rPr>
          <w:rFonts w:ascii="Verdana" w:eastAsia="Times New Roman" w:hAnsi="Verdana" w:cs="Arial"/>
          <w:lang w:val="es-ES_tradnl" w:eastAsia="es-ES_tradnl"/>
        </w:rPr>
        <w:t xml:space="preserve"> </w:t>
      </w:r>
      <w:r w:rsidRPr="00FB0801">
        <w:rPr>
          <w:rFonts w:ascii="Verdana" w:eastAsia="Times New Roman" w:hAnsi="Verdana" w:cs="Arial"/>
          <w:lang w:eastAsia="es-ES_tradnl"/>
        </w:rPr>
        <w:t>“</w:t>
      </w:r>
      <w:r w:rsidRPr="00FB0801">
        <w:rPr>
          <w:rFonts w:ascii="Verdana" w:eastAsia="Times New Roman" w:hAnsi="Verdana" w:cs="Arial"/>
          <w:lang w:val="es-ES_tradnl" w:eastAsia="es-ES_tradnl"/>
        </w:rPr>
        <w:t>consultores o proyectos”</w:t>
      </w:r>
      <w:r w:rsidRPr="00FB0801">
        <w:rPr>
          <w:rFonts w:ascii="Verdana" w:eastAsia="Times New Roman" w:hAnsi="Verdana" w:cs="Arial"/>
          <w:vertAlign w:val="superscript"/>
          <w:lang w:val="es-ES_tradnl" w:eastAsia="es-ES_tradnl"/>
        </w:rPr>
        <w:footnoteReference w:id="2"/>
      </w:r>
      <w:r w:rsidRPr="00FB0801">
        <w:rPr>
          <w:rFonts w:ascii="Verdana" w:eastAsia="Times New Roman" w:hAnsi="Verdana" w:cs="Arial"/>
          <w:lang w:val="es-ES_tradnl" w:eastAsia="es-ES_tradnl"/>
        </w:rPr>
        <w:t xml:space="preserve">, mientras que en el numeral 5° </w:t>
      </w:r>
      <w:r w:rsidRPr="00FB0801">
        <w:rPr>
          <w:rFonts w:ascii="Verdana" w:eastAsia="Times New Roman" w:hAnsi="Verdana" w:cs="Arial"/>
          <w:i/>
          <w:iCs/>
          <w:lang w:val="es-ES_tradnl" w:eastAsia="es-ES_tradnl"/>
        </w:rPr>
        <w:t>ibidem</w:t>
      </w:r>
      <w:r w:rsidRPr="00FB0801">
        <w:rPr>
          <w:rFonts w:ascii="Verdana" w:eastAsia="Times New Roman" w:hAnsi="Verdana" w:cs="Arial"/>
          <w:lang w:val="es-ES_tradnl" w:eastAsia="es-ES_tradnl"/>
        </w:rPr>
        <w:t>, se reguló la modalidad de contratación de mínima cuantía, determinando mandatos especiales para su procedimiento, que se aplicará cuando el valor de la contratación no excede del diez por ciento (10%) de la menor cuantía de la entidad.</w:t>
      </w:r>
    </w:p>
    <w:p w14:paraId="6340F719" w14:textId="77777777" w:rsidR="00B24E35" w:rsidRPr="00FB0801" w:rsidRDefault="00B24E35" w:rsidP="00B24E35">
      <w:pPr>
        <w:spacing w:after="120" w:line="276" w:lineRule="auto"/>
        <w:ind w:firstLine="708"/>
        <w:jc w:val="both"/>
        <w:rPr>
          <w:rFonts w:ascii="Verdana" w:eastAsia="Times New Roman" w:hAnsi="Verdana" w:cs="Arial"/>
          <w:bCs/>
          <w:lang w:eastAsia="es-ES_tradnl"/>
        </w:rPr>
      </w:pPr>
      <w:r w:rsidRPr="00FB0801">
        <w:rPr>
          <w:rFonts w:ascii="Verdana" w:eastAsia="Times New Roman" w:hAnsi="Verdana" w:cs="Arial"/>
          <w:bCs/>
          <w:lang w:eastAsia="es-ES_tradnl"/>
        </w:rPr>
        <w:t xml:space="preserve">De este modo, es importante analizar la solución específica para aquellos eventos en donde podría considerarse en principio que existe concurrencia de modalidades de selección, como es el caso de la consulta. En efecto, por regla general la escogencia de interventores se surte por concurso de méritos, el cual, según el numeral 3° del artículo 2 de la Ley 1150 de 2007, corresponde a la modalidad prevista para la selección </w:t>
      </w:r>
      <w:r w:rsidRPr="00FB0801">
        <w:rPr>
          <w:rFonts w:ascii="Verdana" w:eastAsia="Times New Roman" w:hAnsi="Verdana" w:cs="Arial"/>
          <w:lang w:val="es-ES_tradnl" w:eastAsia="es-ES_tradnl"/>
        </w:rPr>
        <w:t>“</w:t>
      </w:r>
      <w:r w:rsidRPr="00FB0801">
        <w:rPr>
          <w:rFonts w:ascii="Verdana" w:eastAsia="Times New Roman" w:hAnsi="Verdana" w:cs="Arial"/>
          <w:bCs/>
          <w:lang w:eastAsia="es-ES_tradnl"/>
        </w:rPr>
        <w:t>de consultores o proyectos, en la que se podrán utilizar sistemas de concurso abierto o de precalificación</w:t>
      </w:r>
      <w:r w:rsidRPr="00FB0801">
        <w:rPr>
          <w:rFonts w:ascii="Verdana" w:eastAsia="Times New Roman" w:hAnsi="Verdana" w:cs="Arial"/>
          <w:lang w:val="es-ES_tradnl" w:eastAsia="es-ES_tradnl"/>
        </w:rPr>
        <w:t>”</w:t>
      </w:r>
      <w:r w:rsidRPr="00FB0801">
        <w:rPr>
          <w:rFonts w:ascii="Verdana" w:eastAsia="Times New Roman" w:hAnsi="Verdana" w:cs="Arial"/>
          <w:bCs/>
          <w:lang w:eastAsia="es-ES_tradnl"/>
        </w:rPr>
        <w:t>.</w:t>
      </w:r>
    </w:p>
    <w:p w14:paraId="4E5468E7" w14:textId="77777777" w:rsidR="00B24E35" w:rsidRPr="00FB0801" w:rsidRDefault="00B24E35" w:rsidP="00B24E35">
      <w:pPr>
        <w:spacing w:after="0" w:line="276" w:lineRule="auto"/>
        <w:jc w:val="both"/>
        <w:rPr>
          <w:rFonts w:ascii="Verdana" w:eastAsia="Times New Roman" w:hAnsi="Verdana" w:cs="Arial"/>
          <w:bCs/>
          <w:lang w:eastAsia="es-ES_tradnl"/>
        </w:rPr>
      </w:pPr>
      <w:r w:rsidRPr="00FB0801">
        <w:rPr>
          <w:rFonts w:ascii="Verdana" w:eastAsia="Times New Roman" w:hAnsi="Verdana" w:cs="Arial"/>
          <w:bCs/>
          <w:lang w:eastAsia="es-ES_tradnl"/>
        </w:rPr>
        <w:tab/>
        <w:t xml:space="preserve">En este contexto, la escogencia del interventor, a través de concurso de méritos, podría parecer que concurre con la modalidad de mínima cuantía que, como se referenció, según el artículo 94 de la Ley 1474 de 2011, modificado por </w:t>
      </w:r>
      <w:r w:rsidRPr="00FB0801">
        <w:rPr>
          <w:rFonts w:ascii="Verdana" w:eastAsia="Times New Roman" w:hAnsi="Verdana" w:cs="Arial"/>
          <w:bCs/>
          <w:lang w:eastAsia="es-ES_tradnl"/>
        </w:rPr>
        <w:lastRenderedPageBreak/>
        <w:t>el artículo 30 de la Ley 2069 de 2020, consiste en la contratación cuyo valor no excede del diez por ciento (10%) de la menor cuantía de la entidad independientemente de su objeto. Al respecto, la Corte Constitucional, en sentencia C-004 de 2017, consideró que:</w:t>
      </w:r>
    </w:p>
    <w:p w14:paraId="17493233" w14:textId="77777777" w:rsidR="00B24E35" w:rsidRPr="00FB0801" w:rsidRDefault="00B24E35" w:rsidP="00B24E35">
      <w:pPr>
        <w:spacing w:after="0" w:line="276" w:lineRule="auto"/>
        <w:jc w:val="both"/>
        <w:rPr>
          <w:rFonts w:ascii="Verdana" w:eastAsia="Times New Roman" w:hAnsi="Verdana" w:cs="Arial"/>
          <w:bCs/>
          <w:lang w:eastAsia="es-ES_tradnl"/>
        </w:rPr>
      </w:pPr>
    </w:p>
    <w:p w14:paraId="6E177E8E" w14:textId="77777777" w:rsidR="00B24E35" w:rsidRPr="00FB0801" w:rsidRDefault="00B24E35" w:rsidP="00B24E35">
      <w:pPr>
        <w:spacing w:after="0" w:line="240" w:lineRule="auto"/>
        <w:ind w:left="709" w:right="709"/>
        <w:jc w:val="both"/>
        <w:rPr>
          <w:rFonts w:ascii="Verdana" w:eastAsia="Times New Roman" w:hAnsi="Verdana" w:cs="Arial"/>
          <w:bCs/>
          <w:sz w:val="20"/>
          <w:szCs w:val="20"/>
          <w:lang w:eastAsia="es-ES_tradnl"/>
        </w:rPr>
      </w:pPr>
      <w:r w:rsidRPr="00FB0801">
        <w:rPr>
          <w:rFonts w:ascii="Verdana" w:eastAsia="Times New Roman" w:hAnsi="Verdana" w:cs="Arial"/>
          <w:bCs/>
          <w:sz w:val="20"/>
          <w:szCs w:val="20"/>
          <w:lang w:eastAsia="es-ES_tradnl"/>
        </w:rPr>
        <w:t>“[…] la expresión “independientemente de su objeto”, relativa a la procedencia del procedimiento de contratación de mínima cuantía no excluye ni la contratación directa, cuando ésta sea procedente, ni la selección abreviada por Acuerdo Marco de Precios, celebrado a instancias de la Agencia Colombia Compra Eficiente, pero sí el concurso de méritos.</w:t>
      </w:r>
    </w:p>
    <w:p w14:paraId="165EF7FD" w14:textId="77777777" w:rsidR="00B24E35" w:rsidRPr="00FB0801" w:rsidRDefault="00B24E35" w:rsidP="00B24E35">
      <w:pPr>
        <w:spacing w:after="0" w:line="240" w:lineRule="auto"/>
        <w:ind w:left="709" w:right="709"/>
        <w:jc w:val="both"/>
        <w:rPr>
          <w:rFonts w:ascii="Verdana" w:eastAsia="Times New Roman" w:hAnsi="Verdana" w:cs="Arial"/>
          <w:bCs/>
          <w:sz w:val="20"/>
          <w:szCs w:val="20"/>
          <w:lang w:eastAsia="es-ES_tradnl"/>
        </w:rPr>
      </w:pPr>
    </w:p>
    <w:p w14:paraId="545C55B0" w14:textId="77777777" w:rsidR="00B24E35" w:rsidRPr="00FB0801" w:rsidRDefault="00B24E35" w:rsidP="00B24E35">
      <w:pPr>
        <w:spacing w:after="0" w:line="240" w:lineRule="auto"/>
        <w:ind w:left="709" w:right="709"/>
        <w:jc w:val="both"/>
        <w:rPr>
          <w:rFonts w:ascii="Verdana" w:eastAsia="Times New Roman" w:hAnsi="Verdana" w:cs="Arial"/>
          <w:bCs/>
          <w:sz w:val="20"/>
          <w:szCs w:val="20"/>
          <w:lang w:eastAsia="es-ES_tradnl"/>
        </w:rPr>
      </w:pPr>
      <w:r w:rsidRPr="00FB0801">
        <w:rPr>
          <w:rFonts w:ascii="Verdana" w:eastAsia="Times New Roman" w:hAnsi="Verdana" w:cs="Arial"/>
          <w:bCs/>
          <w:sz w:val="20"/>
          <w:szCs w:val="20"/>
          <w:lang w:eastAsia="es-ES_tradnl"/>
        </w:rPr>
        <w:t>[…]</w:t>
      </w:r>
    </w:p>
    <w:p w14:paraId="7550244A" w14:textId="77777777" w:rsidR="00B24E35" w:rsidRPr="00FB0801" w:rsidRDefault="00B24E35" w:rsidP="00B24E35">
      <w:pPr>
        <w:spacing w:after="0" w:line="240" w:lineRule="auto"/>
        <w:ind w:left="709" w:right="709"/>
        <w:jc w:val="both"/>
        <w:rPr>
          <w:rFonts w:ascii="Verdana" w:eastAsia="Times New Roman" w:hAnsi="Verdana" w:cs="Arial"/>
          <w:bCs/>
          <w:sz w:val="20"/>
          <w:szCs w:val="20"/>
          <w:lang w:eastAsia="es-ES_tradnl"/>
        </w:rPr>
      </w:pPr>
    </w:p>
    <w:p w14:paraId="1E8D258B" w14:textId="77777777" w:rsidR="00B24E35" w:rsidRPr="00FB0801" w:rsidRDefault="00B24E35" w:rsidP="00B24E35">
      <w:pPr>
        <w:spacing w:after="0" w:line="240" w:lineRule="auto"/>
        <w:ind w:left="709" w:right="709"/>
        <w:jc w:val="both"/>
        <w:rPr>
          <w:rFonts w:ascii="Verdana" w:eastAsia="Times New Roman" w:hAnsi="Verdana" w:cs="Arial"/>
          <w:bCs/>
          <w:sz w:val="20"/>
          <w:szCs w:val="20"/>
          <w:lang w:eastAsia="es-ES_tradnl"/>
        </w:rPr>
      </w:pPr>
      <w:r w:rsidRPr="00FB0801">
        <w:rPr>
          <w:rFonts w:ascii="Verdana" w:eastAsia="Times New Roman" w:hAnsi="Verdana" w:cs="Arial"/>
          <w:bCs/>
          <w:sz w:val="20"/>
          <w:szCs w:val="20"/>
          <w:lang w:eastAsia="es-ES_tradnl"/>
        </w:rPr>
        <w:t xml:space="preserve">[…] respecto del concurso de méritos, la contratación de mínima cuantía sí prevalece, ya que la especificidad del objeto a contratar mediante el </w:t>
      </w:r>
      <w:proofErr w:type="gramStart"/>
      <w:r w:rsidRPr="00FB0801">
        <w:rPr>
          <w:rFonts w:ascii="Verdana" w:eastAsia="Times New Roman" w:hAnsi="Verdana" w:cs="Arial"/>
          <w:bCs/>
          <w:sz w:val="20"/>
          <w:szCs w:val="20"/>
          <w:lang w:eastAsia="es-ES_tradnl"/>
        </w:rPr>
        <w:t>concurso,</w:t>
      </w:r>
      <w:proofErr w:type="gramEnd"/>
      <w:r w:rsidRPr="00FB0801">
        <w:rPr>
          <w:rFonts w:ascii="Verdana" w:eastAsia="Times New Roman" w:hAnsi="Verdana" w:cs="Arial"/>
          <w:bCs/>
          <w:sz w:val="20"/>
          <w:szCs w:val="20"/>
          <w:lang w:eastAsia="es-ES_tradnl"/>
        </w:rPr>
        <w:t xml:space="preserve"> no es suficiente para excluir la contratación de mínima cuantía, cuando el monto de la contratación no supere dicha cuantía. Esto quiere decir que el criterio relativo a la cuantía es subsidiario y se excluye cuando exista una causal específica, relativa al objeto, lo que no ocurre en el caso del concurso de méritos. Por esta razón, la selección de consultores o de proyectos, deberá realizarse, según la cuantía, mediante contratación de mínima cuantía o mediante un concurso de méritos, en aplicación del principio de economía”.</w:t>
      </w:r>
    </w:p>
    <w:p w14:paraId="27E60650" w14:textId="77777777" w:rsidR="00B24E35" w:rsidRPr="00FB0801" w:rsidRDefault="00B24E35" w:rsidP="00B24E35">
      <w:pPr>
        <w:spacing w:after="0" w:line="276" w:lineRule="auto"/>
        <w:jc w:val="both"/>
        <w:rPr>
          <w:rFonts w:ascii="Verdana" w:eastAsia="Times New Roman" w:hAnsi="Verdana" w:cs="Arial"/>
          <w:bCs/>
          <w:lang w:eastAsia="es-ES_tradnl"/>
        </w:rPr>
      </w:pPr>
    </w:p>
    <w:p w14:paraId="3E8CE31C" w14:textId="77777777" w:rsidR="00B24E35" w:rsidRPr="00FB0801" w:rsidRDefault="00B24E35" w:rsidP="00B24E35">
      <w:pPr>
        <w:spacing w:after="0" w:line="276" w:lineRule="auto"/>
        <w:ind w:firstLine="709"/>
        <w:jc w:val="both"/>
        <w:rPr>
          <w:rFonts w:ascii="Verdana" w:eastAsia="Times New Roman" w:hAnsi="Verdana" w:cs="Arial"/>
          <w:color w:val="000000"/>
          <w:lang w:val="es-ES_tradnl" w:eastAsia="es-ES"/>
        </w:rPr>
      </w:pPr>
      <w:r w:rsidRPr="00FB0801">
        <w:rPr>
          <w:rFonts w:ascii="Verdana" w:eastAsia="Times New Roman" w:hAnsi="Verdana" w:cs="Arial"/>
          <w:color w:val="000000"/>
          <w:lang w:val="es-ES_tradnl" w:eastAsia="es-ES"/>
        </w:rPr>
        <w:t xml:space="preserve">De igual forma, esta ha sido la interpretación del Consejo de Estado, que, al estudiar la concurrencia entre la mínima cuantía y otras modalidades de selección –incluido el concurso de méritos para la selección de </w:t>
      </w:r>
      <w:r w:rsidRPr="00FB0801">
        <w:rPr>
          <w:rFonts w:ascii="Verdana" w:eastAsia="Times New Roman" w:hAnsi="Verdana" w:cs="Arial"/>
          <w:i/>
          <w:iCs/>
          <w:color w:val="000000"/>
          <w:lang w:val="es-ES_tradnl" w:eastAsia="es-ES"/>
        </w:rPr>
        <w:t>consultores</w:t>
      </w:r>
      <w:r w:rsidRPr="00FB0801">
        <w:rPr>
          <w:rFonts w:ascii="Verdana" w:eastAsia="Times New Roman" w:hAnsi="Verdana" w:cs="Arial"/>
          <w:color w:val="000000"/>
          <w:lang w:val="es-ES_tradnl" w:eastAsia="es-ES"/>
        </w:rPr>
        <w:t>, al tenor del artículo 32, numeral 2 de la Ley 80 de 1993</w:t>
      </w:r>
      <w:r w:rsidRPr="00FB0801">
        <w:rPr>
          <w:rFonts w:ascii="Verdana" w:eastAsia="Times New Roman" w:hAnsi="Verdana" w:cs="Arial"/>
          <w:color w:val="000000"/>
          <w:vertAlign w:val="superscript"/>
          <w:lang w:val="es-ES_tradnl" w:eastAsia="es-ES"/>
        </w:rPr>
        <w:footnoteReference w:id="3"/>
      </w:r>
      <w:r w:rsidRPr="00FB0801">
        <w:rPr>
          <w:rFonts w:ascii="Verdana" w:eastAsia="Times New Roman" w:hAnsi="Verdana" w:cs="Arial"/>
          <w:color w:val="000000"/>
          <w:lang w:val="es-ES_tradnl" w:eastAsia="es-ES"/>
        </w:rPr>
        <w:t>–, ha concluido que:</w:t>
      </w:r>
    </w:p>
    <w:p w14:paraId="3DF17DEB" w14:textId="77777777" w:rsidR="00B24E35" w:rsidRPr="00FB0801" w:rsidRDefault="00B24E35" w:rsidP="00B24E35">
      <w:pPr>
        <w:spacing w:after="0" w:line="276" w:lineRule="auto"/>
        <w:jc w:val="both"/>
        <w:rPr>
          <w:rFonts w:ascii="Verdana" w:eastAsia="Times New Roman" w:hAnsi="Verdana" w:cs="Arial"/>
          <w:sz w:val="21"/>
          <w:szCs w:val="21"/>
          <w:lang w:val="es-ES_tradnl" w:eastAsia="es-ES_tradnl"/>
        </w:rPr>
      </w:pPr>
    </w:p>
    <w:p w14:paraId="7478648E" w14:textId="77777777" w:rsidR="00B24E35" w:rsidRPr="00FB0801" w:rsidRDefault="00B24E35" w:rsidP="00B24E35">
      <w:pPr>
        <w:spacing w:after="0" w:line="240" w:lineRule="auto"/>
        <w:ind w:left="709" w:right="709"/>
        <w:jc w:val="both"/>
        <w:rPr>
          <w:rFonts w:ascii="Verdana" w:eastAsia="Times New Roman" w:hAnsi="Verdana" w:cs="Arial"/>
          <w:sz w:val="20"/>
          <w:szCs w:val="20"/>
          <w:lang w:val="es-ES_tradnl" w:eastAsia="es-ES_tradnl"/>
        </w:rPr>
      </w:pPr>
      <w:r w:rsidRPr="00FB0801">
        <w:rPr>
          <w:rFonts w:ascii="Verdana" w:eastAsia="Times New Roman" w:hAnsi="Verdana" w:cs="Arial"/>
          <w:sz w:val="20"/>
          <w:szCs w:val="20"/>
          <w:lang w:val="es-ES_tradnl" w:eastAsia="es-ES_tradnl"/>
        </w:rPr>
        <w:t xml:space="preserve">“[…],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w:t>
      </w:r>
      <w:r w:rsidRPr="00FB0801">
        <w:rPr>
          <w:rFonts w:ascii="Verdana" w:eastAsia="Times New Roman" w:hAnsi="Verdana" w:cs="Arial"/>
          <w:sz w:val="20"/>
          <w:szCs w:val="20"/>
          <w:lang w:val="es-ES_tradnl" w:eastAsia="es-ES_tradnl"/>
        </w:rPr>
        <w:lastRenderedPageBreak/>
        <w:t>este último será el criterio que se debe tener en cuenta para la escogencia del contratista; por tanto, el procedimiento que debe seguirse será el de mínima cuantía, independientemente –se insiste– del objeto a contratar. Lo mismo se aplica cuando se necesita contratar una consultoría o adquirir bienes o servicios de características técnicas uniformes y de común utilización, entre otros, siempre que el costo de la contratación no supere la mínima cuantía de la entidad”</w:t>
      </w:r>
      <w:r w:rsidRPr="00FB0801">
        <w:rPr>
          <w:rFonts w:ascii="Verdana" w:eastAsia="Times New Roman" w:hAnsi="Verdana" w:cs="Arial"/>
          <w:sz w:val="20"/>
          <w:szCs w:val="20"/>
          <w:vertAlign w:val="superscript"/>
          <w:lang w:eastAsia="es-ES_tradnl"/>
        </w:rPr>
        <w:footnoteReference w:id="4"/>
      </w:r>
      <w:r w:rsidRPr="00FB0801">
        <w:rPr>
          <w:rFonts w:ascii="Verdana" w:eastAsia="Times New Roman" w:hAnsi="Verdana" w:cs="Arial"/>
          <w:sz w:val="20"/>
          <w:szCs w:val="20"/>
          <w:lang w:val="es-ES_tradnl" w:eastAsia="es-ES_tradnl"/>
        </w:rPr>
        <w:t xml:space="preserve">. </w:t>
      </w:r>
    </w:p>
    <w:p w14:paraId="49B680AA" w14:textId="77777777" w:rsidR="00B24E35" w:rsidRPr="00FB0801" w:rsidRDefault="00B24E35" w:rsidP="00B24E35">
      <w:pPr>
        <w:spacing w:after="0" w:line="276" w:lineRule="auto"/>
        <w:jc w:val="both"/>
        <w:rPr>
          <w:rFonts w:ascii="Verdana" w:eastAsia="Times New Roman" w:hAnsi="Verdana" w:cs="Arial"/>
          <w:lang w:val="es-ES_tradnl" w:eastAsia="es-ES_tradnl"/>
        </w:rPr>
      </w:pPr>
    </w:p>
    <w:p w14:paraId="7972D4F1" w14:textId="77777777" w:rsidR="00B24E35" w:rsidRPr="00FB0801" w:rsidRDefault="00B24E35" w:rsidP="00B24E35">
      <w:pPr>
        <w:spacing w:after="0" w:line="276" w:lineRule="auto"/>
        <w:ind w:firstLine="709"/>
        <w:jc w:val="both"/>
        <w:rPr>
          <w:rFonts w:ascii="Verdana" w:eastAsia="Times New Roman" w:hAnsi="Verdana" w:cs="Arial"/>
          <w:lang w:val="es-ES_tradnl" w:eastAsia="es-ES_tradnl"/>
        </w:rPr>
      </w:pPr>
      <w:r w:rsidRPr="00FB0801">
        <w:rPr>
          <w:rFonts w:ascii="Verdana" w:eastAsia="Times New Roman" w:hAnsi="Verdana" w:cs="Arial"/>
          <w:lang w:val="es-ES_tradnl" w:eastAsia="es-ES_tradnl"/>
        </w:rPr>
        <w:t>Lo anterior, para efectos de la concurrencia de la modalidad de selección de mínima cuantía y la de concurso de méritos. Sin embargo, es importante considerar que la modalidad de mínima cuantía también podría concurrir con otras modalidades de selección, como la contratación directa, por lo que en cada caso corresponderá a las Entidades Estatales efectuar el análisis correspondiente. De esta manera, el Consejo de Estado efectuó una reflexión similar a la sostenida por esta Agencia, frente a otra problemática asociada con la mínima cuantía, particularmente, cuando esta concurre con una causal de contratación directa:</w:t>
      </w:r>
    </w:p>
    <w:p w14:paraId="456023ED" w14:textId="77777777" w:rsidR="00B24E35" w:rsidRPr="00FB0801" w:rsidRDefault="00B24E35" w:rsidP="00B24E35">
      <w:pPr>
        <w:spacing w:after="0" w:line="276" w:lineRule="auto"/>
        <w:ind w:firstLine="709"/>
        <w:jc w:val="both"/>
        <w:rPr>
          <w:rFonts w:ascii="Verdana" w:eastAsia="Times New Roman" w:hAnsi="Verdana" w:cs="Arial"/>
          <w:sz w:val="21"/>
          <w:szCs w:val="21"/>
          <w:lang w:val="es-ES_tradnl" w:eastAsia="es-ES_tradnl"/>
        </w:rPr>
      </w:pPr>
    </w:p>
    <w:p w14:paraId="144F170A" w14:textId="77777777" w:rsidR="00B24E35" w:rsidRPr="00FB0801" w:rsidRDefault="00B24E35" w:rsidP="00B24E35">
      <w:pPr>
        <w:spacing w:after="0" w:line="240" w:lineRule="auto"/>
        <w:ind w:right="709" w:firstLine="708"/>
        <w:jc w:val="both"/>
        <w:rPr>
          <w:rFonts w:ascii="Verdana" w:eastAsia="Times New Roman" w:hAnsi="Verdana" w:cs="Arial"/>
          <w:sz w:val="20"/>
          <w:szCs w:val="20"/>
          <w:lang w:val="es-ES_tradnl" w:eastAsia="es-ES_tradnl"/>
        </w:rPr>
      </w:pPr>
      <w:r w:rsidRPr="00FB0801">
        <w:rPr>
          <w:rFonts w:ascii="Verdana" w:eastAsia="Times New Roman" w:hAnsi="Verdana" w:cs="Arial"/>
          <w:color w:val="000000"/>
          <w:sz w:val="20"/>
          <w:szCs w:val="20"/>
          <w:lang w:eastAsia="es-ES_tradnl"/>
        </w:rPr>
        <w:t>“[…]</w:t>
      </w:r>
    </w:p>
    <w:p w14:paraId="3933893D" w14:textId="77777777" w:rsidR="00B24E35" w:rsidRPr="00FB0801" w:rsidRDefault="00B24E35" w:rsidP="00B24E35">
      <w:pPr>
        <w:spacing w:after="0" w:line="240" w:lineRule="auto"/>
        <w:ind w:left="709" w:right="709"/>
        <w:jc w:val="both"/>
        <w:rPr>
          <w:rFonts w:ascii="Verdana" w:eastAsia="Times New Roman" w:hAnsi="Verdana" w:cs="Arial"/>
          <w:color w:val="000000"/>
          <w:sz w:val="20"/>
          <w:szCs w:val="20"/>
          <w:lang w:eastAsia="es-ES_tradnl"/>
        </w:rPr>
      </w:pPr>
    </w:p>
    <w:p w14:paraId="0924C241" w14:textId="77777777" w:rsidR="00B24E35" w:rsidRPr="00FB0801" w:rsidRDefault="00B24E35" w:rsidP="00B24E35">
      <w:pPr>
        <w:spacing w:after="0" w:line="240" w:lineRule="auto"/>
        <w:ind w:left="709" w:right="709"/>
        <w:jc w:val="both"/>
        <w:rPr>
          <w:rFonts w:ascii="Verdana" w:eastAsia="Times New Roman" w:hAnsi="Verdana" w:cs="Arial"/>
          <w:color w:val="000000"/>
          <w:sz w:val="20"/>
          <w:szCs w:val="20"/>
          <w:lang w:eastAsia="es-ES_tradnl"/>
        </w:rPr>
      </w:pPr>
      <w:r w:rsidRPr="00FB0801">
        <w:rPr>
          <w:rFonts w:ascii="Verdana" w:eastAsia="Times New Roman" w:hAnsi="Verdana" w:cs="Arial"/>
          <w:color w:val="000000"/>
          <w:sz w:val="20"/>
          <w:szCs w:val="20"/>
          <w:lang w:eastAsia="es-ES_tradnl"/>
        </w:rPr>
        <w:t>Precisamente, frente a la concurrencia de procedimientos de selección, el ente rector de la contratación pública (Agencia Nacional de Contratación Pública-Colombia Compra Eficiente), en su “</w:t>
      </w:r>
      <w:r w:rsidRPr="00FB0801">
        <w:rPr>
          <w:rFonts w:ascii="Verdana" w:eastAsia="Times New Roman" w:hAnsi="Verdana" w:cs="Arial"/>
          <w:i/>
          <w:iCs/>
          <w:color w:val="000000"/>
          <w:sz w:val="20"/>
          <w:szCs w:val="20"/>
          <w:lang w:eastAsia="es-ES_tradnl"/>
        </w:rPr>
        <w:t>Manual de Modalidad de Selección de Mínima Cuantía</w:t>
      </w:r>
      <w:r w:rsidRPr="00FB0801">
        <w:rPr>
          <w:rFonts w:ascii="Verdana" w:eastAsia="Times New Roman" w:hAnsi="Verdana" w:cs="Arial"/>
          <w:color w:val="000000"/>
          <w:sz w:val="20"/>
          <w:szCs w:val="20"/>
          <w:lang w:eastAsia="es-ES_tradnl"/>
        </w:rPr>
        <w:t>”, tras identificar la posibilidad de que confluyeran diversos modalidades de selección con la mínima cuantía, concluyó, para el caso de la contratación directa, que sería esta última la que debía adelantarse “</w:t>
      </w:r>
      <w:r w:rsidRPr="00FB0801">
        <w:rPr>
          <w:rFonts w:ascii="Verdana" w:eastAsia="Times New Roman" w:hAnsi="Verdana" w:cs="Arial"/>
          <w:i/>
          <w:iCs/>
          <w:color w:val="000000"/>
          <w:sz w:val="20"/>
          <w:szCs w:val="20"/>
          <w:lang w:eastAsia="es-ES_tradnl"/>
        </w:rPr>
        <w:t>dado que las causales de contratación directa son especiales y expresas frente a otras modalidades de selección y que la contratación directa permite obtener una mayor economía en el trámite del Proceso de Contratación</w:t>
      </w:r>
      <w:r w:rsidRPr="00FB0801">
        <w:rPr>
          <w:rFonts w:ascii="Verdana" w:eastAsia="Times New Roman" w:hAnsi="Verdana" w:cs="Arial"/>
          <w:color w:val="000000"/>
          <w:sz w:val="20"/>
          <w:szCs w:val="20"/>
          <w:lang w:eastAsia="es-ES_tradnl"/>
        </w:rPr>
        <w:t>” […] en la actualidad se ha identificado que la concurrencia de procedimientos puede llegarse a presentar, y ha sido precisado por la entidad encargada de “</w:t>
      </w:r>
      <w:r w:rsidRPr="00FB0801">
        <w:rPr>
          <w:rFonts w:ascii="Verdana" w:eastAsia="Times New Roman" w:hAnsi="Verdana" w:cs="Arial"/>
          <w:i/>
          <w:iCs/>
          <w:color w:val="000000"/>
          <w:sz w:val="20"/>
          <w:szCs w:val="20"/>
          <w:lang w:eastAsia="es-ES_tradnl"/>
        </w:rPr>
        <w:t>desarrollar, implementar y difundir las políticas públicas, planes, programas, normas, instrumentos y herramientas que faciliten las compras y contratación pública del Estado”</w:t>
      </w:r>
      <w:r w:rsidRPr="00FB0801">
        <w:rPr>
          <w:rFonts w:ascii="Verdana" w:eastAsia="Times New Roman" w:hAnsi="Verdana" w:cs="Arial"/>
          <w:color w:val="000000"/>
          <w:sz w:val="20"/>
          <w:szCs w:val="20"/>
          <w:lang w:eastAsia="es-ES_tradnl"/>
        </w:rPr>
        <w:t xml:space="preserve"> […]  (tal y como lo advirtió el Ministerio de Justicia y del Derecho en su contestación de la demanda), que el principio de economía podría ser el elemento que permitiría solucionar, para el caso, la concurrencia de modalidades de selección”</w:t>
      </w:r>
      <w:r w:rsidRPr="00FB0801">
        <w:rPr>
          <w:rFonts w:ascii="Verdana" w:eastAsia="Times New Roman" w:hAnsi="Verdana" w:cs="Arial"/>
          <w:color w:val="000000"/>
          <w:sz w:val="20"/>
          <w:szCs w:val="20"/>
          <w:vertAlign w:val="superscript"/>
          <w:lang w:eastAsia="es-ES_tradnl"/>
        </w:rPr>
        <w:footnoteReference w:id="5"/>
      </w:r>
      <w:r w:rsidRPr="00FB0801">
        <w:rPr>
          <w:rFonts w:ascii="Verdana" w:eastAsia="Times New Roman" w:hAnsi="Verdana" w:cs="Arial"/>
          <w:color w:val="000000"/>
          <w:sz w:val="20"/>
          <w:szCs w:val="20"/>
          <w:lang w:eastAsia="es-ES_tradnl"/>
        </w:rPr>
        <w:t>.</w:t>
      </w:r>
    </w:p>
    <w:p w14:paraId="623CE9F7" w14:textId="77777777" w:rsidR="00B24E35" w:rsidRPr="00FB0801" w:rsidRDefault="00B24E35" w:rsidP="00B24E35">
      <w:pPr>
        <w:spacing w:after="0" w:line="276" w:lineRule="auto"/>
        <w:ind w:firstLine="709"/>
        <w:jc w:val="both"/>
        <w:rPr>
          <w:rFonts w:ascii="Verdana" w:eastAsia="Times New Roman" w:hAnsi="Verdana" w:cs="Arial"/>
          <w:color w:val="000000"/>
          <w:lang w:val="es-ES_tradnl" w:eastAsia="es-ES"/>
        </w:rPr>
      </w:pPr>
    </w:p>
    <w:p w14:paraId="55E884F7" w14:textId="77777777" w:rsidR="00B24E35" w:rsidRPr="00FB0801" w:rsidRDefault="00B24E35" w:rsidP="00B24E35">
      <w:pPr>
        <w:spacing w:after="0" w:line="276" w:lineRule="auto"/>
        <w:ind w:right="49" w:firstLine="708"/>
        <w:jc w:val="both"/>
        <w:rPr>
          <w:rFonts w:ascii="Verdana" w:eastAsia="Times New Roman" w:hAnsi="Verdana" w:cs="Arial"/>
          <w:lang w:val="es-ES_tradnl" w:eastAsia="es-ES_tradnl"/>
        </w:rPr>
      </w:pPr>
      <w:r w:rsidRPr="00FB0801">
        <w:rPr>
          <w:rFonts w:ascii="Verdana" w:eastAsia="Times New Roman" w:hAnsi="Verdana" w:cs="Arial"/>
          <w:lang w:val="es-ES_tradnl" w:eastAsia="es-ES_tradnl"/>
        </w:rPr>
        <w:lastRenderedPageBreak/>
        <w:t>Igualmente, el numeral 12.2, del “Manual de la modalidad de selección de mínima cuantía”</w:t>
      </w:r>
      <w:r w:rsidRPr="00FB0801">
        <w:rPr>
          <w:rFonts w:ascii="Verdana" w:eastAsia="Times New Roman" w:hAnsi="Verdana" w:cs="Arial"/>
          <w:vertAlign w:val="superscript"/>
          <w:lang w:val="es-ES_tradnl" w:eastAsia="es-ES_tradnl"/>
        </w:rPr>
        <w:footnoteReference w:id="6"/>
      </w:r>
      <w:r w:rsidRPr="00FB0801">
        <w:rPr>
          <w:rFonts w:ascii="Verdana" w:eastAsia="Times New Roman" w:hAnsi="Verdana" w:cs="Arial"/>
          <w:lang w:val="es-ES_tradnl" w:eastAsia="es-ES_tradnl"/>
        </w:rPr>
        <w:t>, expedido por la Agencia Nacional de Contratación Pública – Colombia Compra Eficiente, se expresa que:</w:t>
      </w:r>
    </w:p>
    <w:p w14:paraId="5441E892" w14:textId="77777777" w:rsidR="00B24E35" w:rsidRPr="00FB0801" w:rsidRDefault="00B24E35" w:rsidP="00B24E35">
      <w:pPr>
        <w:spacing w:after="0" w:line="276" w:lineRule="auto"/>
        <w:ind w:left="708" w:right="49" w:firstLine="60"/>
        <w:jc w:val="both"/>
        <w:rPr>
          <w:rFonts w:ascii="Verdana" w:eastAsia="Times New Roman" w:hAnsi="Verdana" w:cs="Arial"/>
          <w:lang w:val="es-ES_tradnl" w:eastAsia="es-ES_tradnl"/>
        </w:rPr>
      </w:pPr>
    </w:p>
    <w:p w14:paraId="7F841801" w14:textId="77777777" w:rsidR="00B24E35" w:rsidRPr="00FB0801" w:rsidRDefault="00B24E35" w:rsidP="00B24E35">
      <w:pPr>
        <w:spacing w:after="0" w:line="240" w:lineRule="auto"/>
        <w:ind w:left="708" w:right="709"/>
        <w:jc w:val="both"/>
        <w:rPr>
          <w:rFonts w:ascii="Verdana" w:eastAsia="Times New Roman" w:hAnsi="Verdana" w:cs="Arial"/>
          <w:sz w:val="20"/>
          <w:szCs w:val="20"/>
          <w:lang w:val="es-ES_tradnl" w:eastAsia="es-ES_tradnl"/>
        </w:rPr>
      </w:pPr>
      <w:r w:rsidRPr="00FB0801">
        <w:rPr>
          <w:rFonts w:ascii="Verdana" w:eastAsia="Times New Roman" w:hAnsi="Verdana" w:cs="Arial"/>
          <w:sz w:val="20"/>
          <w:szCs w:val="20"/>
          <w:lang w:val="es-ES_tradnl" w:eastAsia="es-ES_tradnl"/>
        </w:rPr>
        <w:t xml:space="preserve">“Las modalidades de selección de concurso de méritos y de mínima cuantía concurren cuando </w:t>
      </w:r>
      <w:r w:rsidRPr="00FB0801">
        <w:rPr>
          <w:rFonts w:ascii="Verdana" w:eastAsia="Times New Roman" w:hAnsi="Verdana" w:cs="Arial"/>
          <w:b/>
          <w:bCs/>
          <w:sz w:val="20"/>
          <w:szCs w:val="20"/>
          <w:lang w:val="es-ES_tradnl" w:eastAsia="es-ES_tradnl"/>
        </w:rPr>
        <w:t>[a]</w:t>
      </w:r>
      <w:r w:rsidRPr="00FB0801">
        <w:rPr>
          <w:rFonts w:ascii="Verdana" w:eastAsia="Times New Roman" w:hAnsi="Verdana" w:cs="Arial"/>
          <w:sz w:val="20"/>
          <w:szCs w:val="20"/>
          <w:lang w:val="es-ES_tradnl" w:eastAsia="es-ES_tradnl"/>
        </w:rPr>
        <w:t xml:space="preserve"> el presupuesto del Proceso de Contratación es menor o igual que la mínima cuantía de la Entidad Estatal; y </w:t>
      </w:r>
      <w:r w:rsidRPr="00FB0801">
        <w:rPr>
          <w:rFonts w:ascii="Verdana" w:eastAsia="Times New Roman" w:hAnsi="Verdana" w:cs="Arial"/>
          <w:b/>
          <w:bCs/>
          <w:sz w:val="20"/>
          <w:szCs w:val="20"/>
          <w:lang w:val="es-ES_tradnl" w:eastAsia="es-ES_tradnl"/>
        </w:rPr>
        <w:t>[b]</w:t>
      </w:r>
      <w:r w:rsidRPr="00FB0801">
        <w:rPr>
          <w:rFonts w:ascii="Verdana" w:eastAsia="Times New Roman" w:hAnsi="Verdana" w:cs="Arial"/>
          <w:sz w:val="20"/>
          <w:szCs w:val="20"/>
          <w:lang w:val="es-ES_tradnl" w:eastAsia="es-ES_tradnl"/>
        </w:rPr>
        <w:t xml:space="preserve"> el objeto del Proceso de Contratación es la selección de consultores o proyectos, de conformidad con el numeral 3 del artículo 2 de la Ley 1150 de 2007.</w:t>
      </w:r>
    </w:p>
    <w:p w14:paraId="0999DEF2" w14:textId="77777777" w:rsidR="00B24E35" w:rsidRPr="00FB0801" w:rsidRDefault="00B24E35" w:rsidP="00B24E35">
      <w:pPr>
        <w:spacing w:after="0" w:line="240" w:lineRule="auto"/>
        <w:ind w:left="708" w:right="709"/>
        <w:jc w:val="both"/>
        <w:rPr>
          <w:rFonts w:ascii="Verdana" w:eastAsia="Times New Roman" w:hAnsi="Verdana" w:cs="Arial"/>
          <w:sz w:val="20"/>
          <w:szCs w:val="20"/>
          <w:lang w:val="es-ES_tradnl" w:eastAsia="es-ES_tradnl"/>
        </w:rPr>
      </w:pPr>
    </w:p>
    <w:p w14:paraId="6F0A91B3" w14:textId="77777777" w:rsidR="00B24E35" w:rsidRPr="00FB0801" w:rsidRDefault="00B24E35" w:rsidP="00B24E35">
      <w:pPr>
        <w:spacing w:after="0" w:line="240" w:lineRule="auto"/>
        <w:ind w:left="708" w:right="709"/>
        <w:jc w:val="both"/>
        <w:rPr>
          <w:rFonts w:ascii="Verdana" w:eastAsia="Times New Roman" w:hAnsi="Verdana" w:cs="Arial"/>
          <w:sz w:val="20"/>
          <w:szCs w:val="20"/>
          <w:lang w:val="es-ES_tradnl" w:eastAsia="es-ES_tradnl"/>
        </w:rPr>
      </w:pPr>
      <w:r w:rsidRPr="00FB0801">
        <w:rPr>
          <w:rFonts w:ascii="Verdana" w:eastAsia="Times New Roman" w:hAnsi="Verdana" w:cs="Arial"/>
          <w:sz w:val="20"/>
          <w:szCs w:val="20"/>
          <w:lang w:val="es-ES_tradnl" w:eastAsia="es-ES_tradnl"/>
        </w:rPr>
        <w:t xml:space="preserve">Dado que la selección de mínima cuantía es especial para cualquier objeto contractual, de conformidad con el inciso primero del artículo 30 de la Ley 2069 de 2020, </w:t>
      </w:r>
      <w:r w:rsidRPr="00FB0801">
        <w:rPr>
          <w:rFonts w:ascii="Verdana" w:eastAsia="Times New Roman" w:hAnsi="Verdana" w:cs="Arial"/>
          <w:i/>
          <w:iCs/>
          <w:sz w:val="20"/>
          <w:szCs w:val="20"/>
          <w:lang w:val="es-ES_tradnl" w:eastAsia="es-ES_tradnl"/>
        </w:rPr>
        <w:t>en caso de concurrencia entre el concurso de méritos y la mínima cuantía, la modalidad de selección aplicable será la de mínima cuantía”</w:t>
      </w:r>
      <w:r w:rsidRPr="00FB0801">
        <w:rPr>
          <w:rFonts w:ascii="Verdana" w:eastAsia="Times New Roman" w:hAnsi="Verdana" w:cs="Arial"/>
          <w:sz w:val="20"/>
          <w:szCs w:val="20"/>
          <w:vertAlign w:val="superscript"/>
          <w:lang w:val="es-ES_tradnl" w:eastAsia="es-ES_tradnl"/>
        </w:rPr>
        <w:footnoteReference w:id="7"/>
      </w:r>
      <w:r w:rsidRPr="00FB0801">
        <w:rPr>
          <w:rFonts w:ascii="Verdana" w:eastAsia="Times New Roman" w:hAnsi="Verdana" w:cs="Arial"/>
          <w:sz w:val="20"/>
          <w:szCs w:val="20"/>
          <w:lang w:val="es-ES_tradnl" w:eastAsia="es-ES_tradnl"/>
        </w:rPr>
        <w:t xml:space="preserve"> (énfasis fuera de texto).</w:t>
      </w:r>
    </w:p>
    <w:p w14:paraId="03846B2E" w14:textId="77777777" w:rsidR="00B24E35" w:rsidRPr="00FB0801" w:rsidRDefault="00B24E35" w:rsidP="00B24E35">
      <w:pPr>
        <w:spacing w:after="0" w:line="276" w:lineRule="auto"/>
        <w:ind w:right="49"/>
        <w:jc w:val="both"/>
        <w:rPr>
          <w:rFonts w:ascii="Verdana" w:eastAsia="Times New Roman" w:hAnsi="Verdana" w:cs="Arial"/>
          <w:lang w:val="es-ES_tradnl" w:eastAsia="es-ES_tradnl"/>
        </w:rPr>
      </w:pPr>
    </w:p>
    <w:p w14:paraId="3797EBDD" w14:textId="0A106D99" w:rsidR="000C7529" w:rsidRPr="00FB0801" w:rsidRDefault="00B24E35" w:rsidP="00B24E35">
      <w:pPr>
        <w:snapToGrid w:val="0"/>
        <w:spacing w:after="0" w:line="276" w:lineRule="auto"/>
        <w:jc w:val="both"/>
        <w:rPr>
          <w:rFonts w:ascii="Verdana" w:eastAsia="Times New Roman" w:hAnsi="Verdana" w:cs="Arial"/>
          <w:color w:val="000000"/>
          <w:lang w:val="es-ES_tradnl" w:eastAsia="es-ES"/>
        </w:rPr>
      </w:pPr>
      <w:r w:rsidRPr="00FB0801">
        <w:rPr>
          <w:rFonts w:ascii="Verdana" w:eastAsia="Times New Roman" w:hAnsi="Verdana" w:cs="Arial"/>
          <w:color w:val="000000"/>
          <w:lang w:val="es-ES_tradnl" w:eastAsia="es-ES"/>
        </w:rPr>
        <w:t xml:space="preserve">De acuerdo con lo expuesto, considerando el objeto y la modalidad de selección planteados en la consulta, se observa la concurrencia de las modalidades de selección de mínima cuantía y de concurso de méritos, siendo esta última la procedente, por regla general, para la selección de consultores. No obstante, como se indicó, si el valor de la contratación no excede del diez por ciento (10%) de la menor cuantía de la entidad, independientemente de su objeto –y sin perjuicio del análisis de procedencia de otros mecanismos especiales de selección del contratista–, el proceso de selección deberá adelantarse mediante la modalidad de selección de </w:t>
      </w:r>
      <w:r w:rsidRPr="00FB0801">
        <w:rPr>
          <w:rFonts w:ascii="Verdana" w:eastAsia="Times New Roman" w:hAnsi="Verdana" w:cs="Arial"/>
          <w:i/>
          <w:iCs/>
          <w:color w:val="000000"/>
          <w:lang w:val="es-ES_tradnl" w:eastAsia="es-ES"/>
        </w:rPr>
        <w:t>mínima cuantía</w:t>
      </w:r>
      <w:r w:rsidRPr="00FB0801">
        <w:rPr>
          <w:rFonts w:ascii="Verdana" w:eastAsia="Times New Roman" w:hAnsi="Verdana" w:cs="Arial"/>
          <w:color w:val="000000"/>
          <w:lang w:val="es-ES_tradnl" w:eastAsia="es-ES"/>
        </w:rPr>
        <w:t>, en aplicación de lo preceptuado en el artículo 2, numeral 5, de la Ley 1150 de 2007, modificado por el artículo 30 de la Ley 2069 de 2020. En consecuencia, el criterio para la escogencia del contratista será el menor precio, siempre y cuando cumpla con las condiciones exigidas en la invitación.</w:t>
      </w:r>
    </w:p>
    <w:p w14:paraId="16BDC308" w14:textId="77777777" w:rsidR="00B24E35" w:rsidRPr="00A208F6" w:rsidRDefault="00B24E35" w:rsidP="00B24E35">
      <w:pPr>
        <w:snapToGrid w:val="0"/>
        <w:spacing w:after="0" w:line="276" w:lineRule="auto"/>
        <w:jc w:val="both"/>
        <w:rPr>
          <w:rFonts w:ascii="Verdana" w:hAnsi="Verdana" w:cs="Arial"/>
          <w:lang w:val="es-ES_tradnl"/>
        </w:rPr>
      </w:pPr>
    </w:p>
    <w:p w14:paraId="6C2C63E0" w14:textId="77777777" w:rsidR="00C91297" w:rsidRPr="00C91297" w:rsidRDefault="00C91297" w:rsidP="00C91297">
      <w:pPr>
        <w:numPr>
          <w:ilvl w:val="0"/>
          <w:numId w:val="16"/>
        </w:numPr>
        <w:tabs>
          <w:tab w:val="left" w:pos="142"/>
          <w:tab w:val="left" w:pos="284"/>
        </w:tabs>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Referencias normativas, jurisprudenciales y otras fuentes:</w:t>
      </w:r>
    </w:p>
    <w:p w14:paraId="7E0067C1" w14:textId="77777777" w:rsidR="00C91297" w:rsidRPr="00C91297" w:rsidRDefault="00C91297" w:rsidP="00C91297">
      <w:pPr>
        <w:widowControl w:val="0"/>
        <w:autoSpaceDE w:val="0"/>
        <w:autoSpaceDN w:val="0"/>
        <w:spacing w:after="0" w:line="276" w:lineRule="auto"/>
        <w:jc w:val="both"/>
        <w:rPr>
          <w:rFonts w:ascii="Verdana" w:eastAsia="Times New Roman" w:hAnsi="Verdana" w:cs="Arial"/>
          <w:lang w:val="es-ES_tradnl"/>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91297" w:rsidRPr="00C91297" w14:paraId="0A8F5C86" w14:textId="77777777" w:rsidTr="00D45F43">
        <w:trPr>
          <w:trHeight w:val="870"/>
        </w:trPr>
        <w:tc>
          <w:tcPr>
            <w:tcW w:w="8647" w:type="dxa"/>
            <w:tcBorders>
              <w:top w:val="dotted" w:sz="4" w:space="0" w:color="auto"/>
              <w:bottom w:val="dotted" w:sz="4" w:space="0" w:color="auto"/>
            </w:tcBorders>
          </w:tcPr>
          <w:p w14:paraId="54F9ABC0" w14:textId="77777777" w:rsidR="00C91297" w:rsidRPr="00C91297" w:rsidRDefault="00C91297"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sidRPr="00C91297">
              <w:rPr>
                <w:rFonts w:ascii="Verdana" w:hAnsi="Verdana" w:cs="Arial"/>
                <w:lang w:val="es-ES_tradnl"/>
              </w:rPr>
              <w:t>Ley 80 de 1993, artículo 32.</w:t>
            </w:r>
          </w:p>
          <w:p w14:paraId="02979785" w14:textId="77777777" w:rsidR="00C91297" w:rsidRPr="00C91297" w:rsidRDefault="00C91297"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sidRPr="00C91297">
              <w:rPr>
                <w:rFonts w:ascii="Verdana" w:hAnsi="Verdana" w:cs="Arial"/>
                <w:lang w:val="es-ES_tradnl"/>
              </w:rPr>
              <w:t>Ley 1150 de 2007, artículo 2.</w:t>
            </w:r>
          </w:p>
          <w:p w14:paraId="42A04477" w14:textId="77777777" w:rsidR="00EE19AB" w:rsidRDefault="00EE19AB" w:rsidP="00EE19AB">
            <w:pPr>
              <w:widowControl w:val="0"/>
              <w:numPr>
                <w:ilvl w:val="0"/>
                <w:numId w:val="18"/>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Ley 1474 de 2011, articulo 94</w:t>
            </w:r>
          </w:p>
          <w:p w14:paraId="47B22028" w14:textId="77777777" w:rsidR="00EE19AB" w:rsidRDefault="00EE19AB" w:rsidP="00EE19AB">
            <w:pPr>
              <w:widowControl w:val="0"/>
              <w:numPr>
                <w:ilvl w:val="0"/>
                <w:numId w:val="18"/>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lastRenderedPageBreak/>
              <w:t>Ley 2069 de 2020, articulo 30</w:t>
            </w:r>
          </w:p>
          <w:p w14:paraId="0C9C79E0" w14:textId="7F39A184" w:rsidR="00C91297" w:rsidRDefault="00C91297"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sidRPr="00C91297">
              <w:rPr>
                <w:rFonts w:ascii="Verdana" w:hAnsi="Verdana" w:cs="Arial"/>
                <w:lang w:val="es-ES_tradnl"/>
              </w:rPr>
              <w:t xml:space="preserve">Decreto 1082 de </w:t>
            </w:r>
            <w:r w:rsidR="00CE796E" w:rsidRPr="00C91297">
              <w:rPr>
                <w:rFonts w:ascii="Verdana" w:hAnsi="Verdana" w:cs="Arial"/>
                <w:lang w:val="es-ES_tradnl"/>
              </w:rPr>
              <w:t>2015</w:t>
            </w:r>
          </w:p>
          <w:p w14:paraId="2E90EC4A" w14:textId="15903009" w:rsidR="00237435" w:rsidRDefault="00237435"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Decreto 1860 de 2021</w:t>
            </w:r>
          </w:p>
          <w:p w14:paraId="6FAB2E31" w14:textId="761988DC" w:rsidR="00444752" w:rsidRDefault="00444752"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Sentencia C-004 de 2017</w:t>
            </w:r>
          </w:p>
          <w:p w14:paraId="00DF43B2" w14:textId="123D4D3C" w:rsidR="00F94BD7" w:rsidRDefault="00F94BD7" w:rsidP="00C91297">
            <w:pPr>
              <w:widowControl w:val="0"/>
              <w:numPr>
                <w:ilvl w:val="0"/>
                <w:numId w:val="18"/>
              </w:numPr>
              <w:autoSpaceDE w:val="0"/>
              <w:autoSpaceDN w:val="0"/>
              <w:spacing w:after="120" w:line="276" w:lineRule="auto"/>
              <w:ind w:left="714" w:hanging="357"/>
              <w:jc w:val="both"/>
              <w:rPr>
                <w:rFonts w:ascii="Verdana" w:hAnsi="Verdana" w:cs="Arial"/>
                <w:lang w:val="es-ES_tradnl"/>
              </w:rPr>
            </w:pPr>
            <w:r w:rsidRPr="00F94BD7">
              <w:rPr>
                <w:rFonts w:ascii="Verdana" w:hAnsi="Verdana" w:cs="Arial"/>
                <w:lang w:val="es-ES_tradnl"/>
              </w:rPr>
              <w:t xml:space="preserve">Manual de la modalidad de selección de mínima cuantía”, expedido por la Agencia Nacional de Contratación Pública puede ser consultado en el siguiente enlace: </w:t>
            </w:r>
            <w:hyperlink r:id="rId13" w:history="1">
              <w:r w:rsidRPr="00F94BD7">
                <w:rPr>
                  <w:rStyle w:val="Hipervnculo"/>
                  <w:rFonts w:ascii="Verdana" w:hAnsi="Verdana" w:cs="Arial"/>
                  <w:lang w:val="es-ES_tradnl"/>
                </w:rPr>
                <w:t>https://www.colombiacompra.gov.co/sites/cce_public/files/cce_documents/cce-eicp-ma-05._manual_de_modalidad_de_seleccion_de_minima_cuantia_v.02.pdf</w:t>
              </w:r>
            </w:hyperlink>
          </w:p>
          <w:p w14:paraId="69FC2E76" w14:textId="741102D4" w:rsidR="00C91297" w:rsidRPr="00C91297" w:rsidRDefault="00C91297" w:rsidP="00F94BD7">
            <w:pPr>
              <w:widowControl w:val="0"/>
              <w:autoSpaceDE w:val="0"/>
              <w:autoSpaceDN w:val="0"/>
              <w:spacing w:after="160" w:line="276" w:lineRule="auto"/>
              <w:ind w:left="720"/>
              <w:jc w:val="both"/>
              <w:rPr>
                <w:rFonts w:ascii="Verdana" w:hAnsi="Verdana" w:cs="Arial"/>
                <w:lang w:val="es-ES_tradnl"/>
              </w:rPr>
            </w:pPr>
          </w:p>
        </w:tc>
      </w:tr>
    </w:tbl>
    <w:p w14:paraId="38DD27F1" w14:textId="77777777" w:rsidR="00C91297" w:rsidRPr="00C91297" w:rsidRDefault="00C91297" w:rsidP="00C91297">
      <w:pPr>
        <w:widowControl w:val="0"/>
        <w:autoSpaceDE w:val="0"/>
        <w:autoSpaceDN w:val="0"/>
        <w:snapToGrid w:val="0"/>
        <w:spacing w:after="0" w:line="276" w:lineRule="auto"/>
        <w:jc w:val="both"/>
        <w:rPr>
          <w:rFonts w:ascii="Verdana" w:eastAsia="Times New Roman" w:hAnsi="Verdana" w:cs="Arial"/>
          <w:lang w:val="es-ES_tradnl"/>
        </w:rPr>
      </w:pPr>
    </w:p>
    <w:p w14:paraId="17522949" w14:textId="77777777" w:rsidR="00C91297" w:rsidRDefault="00C91297" w:rsidP="00C91297">
      <w:pPr>
        <w:numPr>
          <w:ilvl w:val="0"/>
          <w:numId w:val="16"/>
        </w:numPr>
        <w:tabs>
          <w:tab w:val="left" w:pos="142"/>
          <w:tab w:val="left" w:pos="284"/>
        </w:tabs>
        <w:snapToGrid w:val="0"/>
        <w:spacing w:after="0" w:line="276" w:lineRule="auto"/>
        <w:ind w:left="357" w:hanging="357"/>
        <w:jc w:val="both"/>
        <w:rPr>
          <w:rFonts w:ascii="Verdana" w:eastAsia="Times New Roman" w:hAnsi="Verdana" w:cs="Century Gothic"/>
          <w:b/>
          <w:bCs/>
          <w:lang w:val="es-ES_tradnl"/>
        </w:rPr>
      </w:pPr>
      <w:r w:rsidRPr="00C91297">
        <w:rPr>
          <w:rFonts w:ascii="Verdana" w:eastAsia="Times New Roman" w:hAnsi="Verdana" w:cs="Century Gothic"/>
          <w:b/>
          <w:bCs/>
          <w:lang w:val="es-ES_tradnl"/>
        </w:rPr>
        <w:t>Doctrina de la Agencia Nacional de Contratación Pública:</w:t>
      </w:r>
    </w:p>
    <w:p w14:paraId="788857A8" w14:textId="77777777" w:rsidR="004F7AF1" w:rsidRDefault="004F7AF1" w:rsidP="004F7AF1">
      <w:pPr>
        <w:tabs>
          <w:tab w:val="left" w:pos="142"/>
          <w:tab w:val="left" w:pos="284"/>
        </w:tabs>
        <w:snapToGrid w:val="0"/>
        <w:spacing w:after="0" w:line="276" w:lineRule="auto"/>
        <w:jc w:val="both"/>
        <w:rPr>
          <w:rFonts w:ascii="Verdana" w:eastAsia="Times New Roman" w:hAnsi="Verdana" w:cs="Century Gothic"/>
          <w:b/>
          <w:bCs/>
          <w:lang w:val="es-ES_tradnl"/>
        </w:rPr>
      </w:pPr>
    </w:p>
    <w:p w14:paraId="3CF91D23" w14:textId="77777777" w:rsidR="007E1FB3" w:rsidRDefault="007E1FB3" w:rsidP="007E1FB3">
      <w:pPr>
        <w:spacing w:after="0" w:line="276" w:lineRule="auto"/>
        <w:jc w:val="both"/>
        <w:rPr>
          <w:rFonts w:ascii="Verdana" w:hAnsi="Verdana" w:cs="Arial"/>
          <w:shd w:val="clear" w:color="auto" w:fill="FFFFFF"/>
        </w:rPr>
      </w:pPr>
      <w:r w:rsidRPr="007E1FB3">
        <w:rPr>
          <w:rFonts w:ascii="Verdana" w:eastAsia="Century Gothic" w:hAnsi="Verdana" w:cs="Century Gothic"/>
          <w:lang w:val="es-ES" w:eastAsia="es-ES_tradnl"/>
        </w:rPr>
        <w:t xml:space="preserve">La Agencia Nacional de Contratación Pública – Colombia Compra Eficiente, en los </w:t>
      </w:r>
      <w:r w:rsidRPr="007E1FB3">
        <w:rPr>
          <w:rFonts w:ascii="Verdana" w:eastAsia="Times New Roman" w:hAnsi="Verdana" w:cs="Arial"/>
          <w:lang w:eastAsia="es-ES_tradnl"/>
        </w:rPr>
        <w:t>conceptos</w:t>
      </w:r>
      <w:r w:rsidRPr="007E1FB3">
        <w:rPr>
          <w:rFonts w:ascii="Verdana" w:eastAsia="Times New Roman" w:hAnsi="Verdana" w:cs="Arial"/>
          <w:spacing w:val="1"/>
          <w:lang w:eastAsia="es-ES_tradnl"/>
        </w:rPr>
        <w:t xml:space="preserve"> </w:t>
      </w:r>
      <w:r w:rsidRPr="007E1FB3">
        <w:rPr>
          <w:rFonts w:ascii="Verdana" w:eastAsia="Times New Roman" w:hAnsi="Verdana" w:cs="Arial"/>
          <w:lang w:eastAsia="es-ES_tradnl"/>
        </w:rPr>
        <w:t>C-107 de 2020,</w:t>
      </w:r>
      <w:r w:rsidRPr="007E1FB3">
        <w:rPr>
          <w:rFonts w:ascii="Verdana" w:eastAsia="Calibri" w:hAnsi="Verdana" w:cs="Arial"/>
          <w:lang w:eastAsia="es-ES_tradnl"/>
        </w:rPr>
        <w:t xml:space="preserve"> C-295 del 30 de abril de 2020,</w:t>
      </w:r>
      <w:r w:rsidRPr="007E1FB3">
        <w:rPr>
          <w:rFonts w:ascii="Verdana" w:eastAsia="Times New Roman" w:hAnsi="Verdana" w:cs="Arial"/>
          <w:lang w:eastAsia="es-ES_tradnl"/>
        </w:rPr>
        <w:t xml:space="preserve"> C-557 del 21 de agosto de 2020, C-562 del 25 de octubre de 2021, C-625 del 14 de septiembre de 2022, estudió la modalidad de selección de mínima cuantía su regulación y las</w:t>
      </w:r>
      <w:r w:rsidRPr="007E1FB3">
        <w:rPr>
          <w:rFonts w:ascii="Verdana" w:eastAsia="Times New Roman" w:hAnsi="Verdana" w:cs="Arial"/>
          <w:spacing w:val="1"/>
          <w:lang w:eastAsia="es-ES_tradnl"/>
        </w:rPr>
        <w:t xml:space="preserve"> </w:t>
      </w:r>
      <w:r w:rsidRPr="007E1FB3">
        <w:rPr>
          <w:rFonts w:ascii="Verdana" w:eastAsia="Times New Roman" w:hAnsi="Verdana" w:cs="Arial"/>
          <w:lang w:eastAsia="es-ES_tradnl"/>
        </w:rPr>
        <w:t>características</w:t>
      </w:r>
      <w:r w:rsidRPr="007E1FB3">
        <w:rPr>
          <w:rFonts w:ascii="Verdana" w:eastAsia="Times New Roman" w:hAnsi="Verdana" w:cs="Arial"/>
          <w:spacing w:val="1"/>
          <w:lang w:eastAsia="es-ES_tradnl"/>
        </w:rPr>
        <w:t xml:space="preserve"> </w:t>
      </w:r>
      <w:r w:rsidRPr="007E1FB3">
        <w:rPr>
          <w:rFonts w:ascii="Verdana" w:eastAsia="Times New Roman" w:hAnsi="Verdana" w:cs="Arial"/>
          <w:lang w:eastAsia="es-ES_tradnl"/>
        </w:rPr>
        <w:t>del</w:t>
      </w:r>
      <w:r w:rsidRPr="007E1FB3">
        <w:rPr>
          <w:rFonts w:ascii="Verdana" w:eastAsia="Times New Roman" w:hAnsi="Verdana" w:cs="Arial"/>
          <w:spacing w:val="1"/>
          <w:lang w:eastAsia="es-ES_tradnl"/>
        </w:rPr>
        <w:t xml:space="preserve"> </w:t>
      </w:r>
      <w:r w:rsidRPr="007E1FB3">
        <w:rPr>
          <w:rFonts w:ascii="Verdana" w:eastAsia="Times New Roman" w:hAnsi="Verdana" w:cs="Arial"/>
          <w:lang w:eastAsia="es-ES_tradnl"/>
        </w:rPr>
        <w:t>procedimiento. Igualmente, se refirió</w:t>
      </w:r>
      <w:r w:rsidRPr="007E1FB3">
        <w:rPr>
          <w:rFonts w:ascii="Verdana" w:eastAsia="Arial" w:hAnsi="Verdana" w:cs="Arial"/>
          <w:lang w:val="es-ES_tradnl" w:eastAsia="es-ES_tradnl"/>
        </w:rPr>
        <w:t xml:space="preserve"> a la concurrencia entre la mínima cuantía y otras modalidades de selección, mediante los conceptos C-108 del 3 de marzo de 2020, C-157 del 13 de abril de 2021, </w:t>
      </w:r>
      <w:r w:rsidRPr="007E1FB3">
        <w:rPr>
          <w:rFonts w:ascii="Verdana" w:eastAsia="Calibri" w:hAnsi="Verdana" w:cs="Arial"/>
          <w:color w:val="000000"/>
          <w:lang w:val="es-ES_tradnl" w:eastAsia="es-MX"/>
        </w:rPr>
        <w:t>C-587 de 19 de octubre de 2021</w:t>
      </w:r>
      <w:r w:rsidRPr="007E1FB3">
        <w:rPr>
          <w:rFonts w:ascii="Verdana" w:eastAsia="Arial" w:hAnsi="Verdana" w:cs="Arial"/>
          <w:lang w:val="es-ES_tradnl" w:eastAsia="es-ES_tradnl"/>
        </w:rPr>
        <w:t xml:space="preserve">, C-557 del 6 de septiembre de 2022, C-927 del 29 de diciembre de 2022 </w:t>
      </w:r>
      <w:r w:rsidR="003573F7" w:rsidRPr="007E1FB3">
        <w:rPr>
          <w:rFonts w:ascii="Verdana" w:hAnsi="Verdana" w:cs="Arial"/>
          <w:lang w:val="es-ES_tradnl" w:eastAsia="es-ES_tradnl"/>
        </w:rPr>
        <w:t>y C- 393 del 27 d</w:t>
      </w:r>
      <w:r w:rsidR="001F652E" w:rsidRPr="007E1FB3">
        <w:rPr>
          <w:rFonts w:ascii="Verdana" w:hAnsi="Verdana" w:cs="Arial"/>
          <w:lang w:val="es-ES_tradnl" w:eastAsia="es-ES_tradnl"/>
        </w:rPr>
        <w:t>e septiembre de 2023</w:t>
      </w:r>
      <w:r w:rsidR="00C91297" w:rsidRPr="00C91297">
        <w:rPr>
          <w:rFonts w:ascii="Verdana" w:eastAsia="Times New Roman" w:hAnsi="Verdana" w:cs="Arial"/>
          <w:shd w:val="clear" w:color="auto" w:fill="FFFFFF"/>
          <w:lang w:val="es-ES_tradnl"/>
        </w:rPr>
        <w:t xml:space="preserve">. </w:t>
      </w:r>
      <w:r w:rsidRPr="00113921">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113921">
          <w:rPr>
            <w:rStyle w:val="Hipervnculo"/>
            <w:rFonts w:ascii="Verdana" w:hAnsi="Verdana" w:cs="Arial"/>
            <w:shd w:val="clear" w:color="auto" w:fill="FFFFFF"/>
          </w:rPr>
          <w:t>https://relatoria.colombiacompra.gov.co/</w:t>
        </w:r>
      </w:hyperlink>
      <w:r w:rsidRPr="00113921">
        <w:rPr>
          <w:rFonts w:ascii="Verdana" w:hAnsi="Verdana" w:cs="Arial"/>
          <w:shd w:val="clear" w:color="auto" w:fill="FFFFFF"/>
        </w:rPr>
        <w:t>.</w:t>
      </w:r>
    </w:p>
    <w:p w14:paraId="33C96F1F" w14:textId="3BDFA740" w:rsidR="00EE19AB" w:rsidRDefault="00EE19AB" w:rsidP="00EE19AB">
      <w:pPr>
        <w:tabs>
          <w:tab w:val="left" w:pos="142"/>
          <w:tab w:val="left" w:pos="284"/>
        </w:tabs>
        <w:snapToGrid w:val="0"/>
        <w:spacing w:after="0" w:line="276" w:lineRule="auto"/>
        <w:jc w:val="both"/>
        <w:rPr>
          <w:rFonts w:ascii="Verdana" w:hAnsi="Verdana" w:cs="Arial"/>
          <w:color w:val="000000" w:themeColor="text1"/>
          <w:shd w:val="clear" w:color="auto" w:fill="FFFFFF"/>
        </w:rPr>
      </w:pPr>
    </w:p>
    <w:p w14:paraId="77852E0E" w14:textId="77777777" w:rsidR="007E1FB3" w:rsidRPr="00113921" w:rsidRDefault="007E1FB3" w:rsidP="007E1FB3">
      <w:pPr>
        <w:spacing w:after="0" w:line="276" w:lineRule="auto"/>
        <w:jc w:val="both"/>
        <w:rPr>
          <w:rFonts w:ascii="Verdana" w:eastAsia="Calibri" w:hAnsi="Verdana" w:cs="Arial"/>
          <w:color w:val="000000" w:themeColor="text1"/>
        </w:rPr>
      </w:pPr>
      <w:r w:rsidRPr="00113921">
        <w:rPr>
          <w:rFonts w:ascii="Verdana" w:eastAsia="Calibri" w:hAnsi="Verdana" w:cs="Arial"/>
          <w:color w:val="000000" w:themeColor="text1"/>
        </w:rPr>
        <w:t xml:space="preserve">Te informamos que ya se encuentra disponible la </w:t>
      </w:r>
      <w:r w:rsidRPr="00113921">
        <w:rPr>
          <w:rFonts w:ascii="Verdana" w:eastAsia="Calibri" w:hAnsi="Verdana" w:cs="Arial"/>
          <w:b/>
          <w:bCs/>
          <w:color w:val="000000" w:themeColor="text1"/>
        </w:rPr>
        <w:t>Cartilla para incentivar y fortalecer el acceso a las compras y contratación pública de los pueblos y comunidades étnicas en Colombia.</w:t>
      </w:r>
      <w:r w:rsidRPr="00113921">
        <w:rPr>
          <w:rFonts w:ascii="Verdana" w:eastAsia="Calibri" w:hAnsi="Verdana" w:cs="Arial"/>
          <w:color w:val="000000" w:themeColor="text1"/>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w:t>
      </w:r>
      <w:r w:rsidRPr="00113921">
        <w:rPr>
          <w:rFonts w:ascii="Verdana" w:eastAsia="Calibri" w:hAnsi="Verdana" w:cs="Arial"/>
          <w:color w:val="000000" w:themeColor="text1"/>
        </w:rPr>
        <w:lastRenderedPageBreak/>
        <w:t xml:space="preserve">equidad e inclusión social. Puede consultar la versión actualizada en el siguiente enlace: </w:t>
      </w:r>
      <w:hyperlink r:id="rId15" w:history="1">
        <w:r w:rsidRPr="00113921">
          <w:rPr>
            <w:rStyle w:val="Hipervnculo"/>
            <w:rFonts w:ascii="Verdana" w:eastAsia="Calibri" w:hAnsi="Verdana" w:cs="Arial"/>
          </w:rPr>
          <w:t>Cartilla para incentivar y fortalecer el acceso a las compras y contratación pública de los pueblos y comunidades étnicas en Colombia | Colombia Compra Eficiente | Agencia Nacional de Contratación Pública</w:t>
        </w:r>
      </w:hyperlink>
    </w:p>
    <w:p w14:paraId="4B44BD4E" w14:textId="77777777" w:rsidR="007E1FB3" w:rsidRDefault="007E1FB3" w:rsidP="007E1FB3">
      <w:pPr>
        <w:spacing w:after="0" w:line="276" w:lineRule="auto"/>
        <w:jc w:val="both"/>
        <w:rPr>
          <w:rFonts w:ascii="Verdana" w:eastAsia="Calibri" w:hAnsi="Verdana" w:cs="Arial"/>
          <w:color w:val="000000" w:themeColor="text1"/>
        </w:rPr>
      </w:pPr>
    </w:p>
    <w:p w14:paraId="271F3AAB" w14:textId="77777777" w:rsidR="007E1FB3" w:rsidRDefault="007E1FB3" w:rsidP="007E1FB3">
      <w:pPr>
        <w:spacing w:after="0" w:line="276" w:lineRule="auto"/>
        <w:jc w:val="both"/>
        <w:rPr>
          <w:rFonts w:ascii="Verdana" w:eastAsia="Calibri" w:hAnsi="Verdana" w:cs="Arial"/>
          <w:color w:val="000000" w:themeColor="text1"/>
        </w:rPr>
      </w:pPr>
      <w:r w:rsidRPr="00113921">
        <w:rPr>
          <w:rFonts w:ascii="Verdana" w:eastAsia="Calibri" w:hAnsi="Verdana" w:cs="Arial"/>
          <w:color w:val="000000" w:themeColor="text1"/>
        </w:rPr>
        <w:t xml:space="preserve">De otra parte, te informamos que, con el objetivo de garantizar un conocimiento adecuado de las </w:t>
      </w:r>
      <w:r w:rsidRPr="00113921">
        <w:rPr>
          <w:rFonts w:ascii="Verdana" w:eastAsia="Calibri" w:hAnsi="Verdana" w:cs="Arial"/>
          <w:b/>
          <w:bCs/>
          <w:color w:val="000000" w:themeColor="text1"/>
        </w:rPr>
        <w:t>modificaciones y/o actualizaciones realizadas a los Documentos Tipo</w:t>
      </w:r>
      <w:r w:rsidRPr="00113921">
        <w:rPr>
          <w:rFonts w:ascii="Verdana" w:eastAsia="Calibri" w:hAnsi="Verdana" w:cs="Arial"/>
          <w:color w:val="000000" w:themeColor="text1"/>
        </w:rPr>
        <w:t xml:space="preserve">, hemos programado una serie de </w:t>
      </w:r>
      <w:r w:rsidRPr="00113921">
        <w:rPr>
          <w:rFonts w:ascii="Verdana" w:eastAsia="Calibri" w:hAnsi="Verdana" w:cs="Arial"/>
          <w:b/>
          <w:bCs/>
          <w:color w:val="000000" w:themeColor="text1"/>
        </w:rPr>
        <w:t xml:space="preserve">capacitaciones </w:t>
      </w:r>
      <w:r w:rsidRPr="00113921">
        <w:rPr>
          <w:rFonts w:ascii="Verdana" w:eastAsia="Calibri" w:hAnsi="Verdana" w:cs="Arial"/>
          <w:color w:val="000000" w:themeColor="text1"/>
        </w:rPr>
        <w:t xml:space="preserve">dirigidas a todos los actores involucrados en los procesos de selección. Podrás conocer la programación y realizar tu inscripción a estas capacitaciones a través del siguiente enlace: </w:t>
      </w:r>
      <w:hyperlink r:id="rId16" w:history="1">
        <w:r w:rsidRPr="00113921">
          <w:rPr>
            <w:rStyle w:val="Hipervnculo"/>
            <w:rFonts w:ascii="Verdana" w:eastAsia="Calibri" w:hAnsi="Verdana" w:cs="Arial"/>
          </w:rPr>
          <w:t>Calendario | Colombia Compra Eficiente | Agencia Nacional de Contratación Pública</w:t>
        </w:r>
      </w:hyperlink>
    </w:p>
    <w:p w14:paraId="741A8A16" w14:textId="77777777" w:rsidR="007E1FB3" w:rsidRPr="00113921" w:rsidRDefault="007E1FB3" w:rsidP="007E1FB3">
      <w:pPr>
        <w:spacing w:after="0" w:line="276" w:lineRule="auto"/>
        <w:jc w:val="both"/>
        <w:rPr>
          <w:rFonts w:ascii="Verdana" w:eastAsia="Calibri" w:hAnsi="Verdana" w:cs="Arial"/>
          <w:color w:val="000000" w:themeColor="text1"/>
        </w:rPr>
      </w:pPr>
    </w:p>
    <w:p w14:paraId="39305146" w14:textId="77777777" w:rsidR="007E1FB3" w:rsidRPr="00113921" w:rsidRDefault="007E1FB3" w:rsidP="007E1FB3">
      <w:pPr>
        <w:spacing w:after="0" w:line="276" w:lineRule="auto"/>
        <w:jc w:val="both"/>
        <w:rPr>
          <w:rFonts w:ascii="Verdana" w:eastAsia="Calibri" w:hAnsi="Verdana" w:cs="Arial"/>
          <w:color w:val="000000" w:themeColor="text1"/>
        </w:rPr>
      </w:pPr>
      <w:r w:rsidRPr="00113921">
        <w:rPr>
          <w:rFonts w:ascii="Verdana" w:eastAsia="Calibri" w:hAnsi="Verdana" w:cs="Arial"/>
          <w:color w:val="000000" w:themeColor="text1"/>
        </w:rPr>
        <w:t xml:space="preserve">También, te contamos que ya publicamos </w:t>
      </w:r>
      <w:r w:rsidRPr="00113921">
        <w:rPr>
          <w:rFonts w:ascii="Verdana" w:eastAsia="Calibri" w:hAnsi="Verdana" w:cs="Arial"/>
          <w:b/>
          <w:bCs/>
          <w:color w:val="000000" w:themeColor="text1"/>
        </w:rPr>
        <w:t>la nueva Guía de Contratación Pública Sostenible y Socialmente Responsable</w:t>
      </w:r>
      <w:r w:rsidRPr="00113921">
        <w:rPr>
          <w:rFonts w:ascii="Verdana" w:eastAsia="Calibri" w:hAnsi="Verdana" w:cs="Arial"/>
          <w:color w:val="000000" w:themeColor="text1"/>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7" w:history="1">
        <w:r w:rsidRPr="00113921">
          <w:rPr>
            <w:rStyle w:val="Hipervnculo"/>
            <w:rFonts w:ascii="Verdana" w:eastAsia="Calibri" w:hAnsi="Verdana" w:cs="Arial"/>
          </w:rPr>
          <w:t>Guía de Contratación Pública Sostenible y Socialmente Responsable | Colombia Compra Eficiente | Agencia Nacional de Contratación Pública</w:t>
        </w:r>
      </w:hyperlink>
    </w:p>
    <w:p w14:paraId="0DAAB7D6" w14:textId="77777777" w:rsidR="007E1FB3" w:rsidRPr="00113921" w:rsidRDefault="007E1FB3" w:rsidP="007E1FB3">
      <w:pPr>
        <w:widowControl w:val="0"/>
        <w:autoSpaceDE w:val="0"/>
        <w:autoSpaceDN w:val="0"/>
        <w:spacing w:after="0" w:line="276" w:lineRule="auto"/>
        <w:jc w:val="both"/>
        <w:rPr>
          <w:rFonts w:ascii="Verdana" w:eastAsia="Calibri" w:hAnsi="Verdana" w:cs="Arial"/>
          <w:color w:val="000000" w:themeColor="text1"/>
          <w:lang w:val="es-MX"/>
        </w:rPr>
      </w:pPr>
    </w:p>
    <w:p w14:paraId="695B3234" w14:textId="77777777" w:rsidR="007E1FB3" w:rsidRPr="00113921" w:rsidRDefault="007E1FB3" w:rsidP="007E1FB3">
      <w:pPr>
        <w:widowControl w:val="0"/>
        <w:autoSpaceDE w:val="0"/>
        <w:autoSpaceDN w:val="0"/>
        <w:spacing w:after="0" w:line="276" w:lineRule="auto"/>
        <w:jc w:val="both"/>
        <w:rPr>
          <w:rFonts w:ascii="Verdana" w:hAnsi="Verdana" w:cs="Arial"/>
          <w:lang w:val="es-ES_tradnl"/>
        </w:rPr>
      </w:pPr>
      <w:r w:rsidRPr="00113921">
        <w:rPr>
          <w:rFonts w:ascii="Verdana" w:hAnsi="Verdana" w:cs="Arial"/>
        </w:rPr>
        <w:t xml:space="preserve">Este concepto tiene el alcance previsto en el artículo 28 del Código de Procedimiento Administrativo y de lo Contencioso Administrativo </w:t>
      </w:r>
      <w:r w:rsidRPr="00113921">
        <w:rPr>
          <w:rFonts w:ascii="Verdana" w:hAnsi="Verdana" w:cs="Arial"/>
          <w:lang w:val="es-ES_tradnl"/>
        </w:rPr>
        <w:t>y las expresiones aquí utilizadas con mayúscula inicial deben ser entendidas con el significado que les otorga el artículo 2.2.1.1.1.3.1. del Decreto 1082 de 2015.</w:t>
      </w:r>
    </w:p>
    <w:p w14:paraId="6AA1EE32" w14:textId="77777777" w:rsidR="007E1FB3" w:rsidRPr="00113921" w:rsidRDefault="007E1FB3" w:rsidP="007E1FB3">
      <w:pPr>
        <w:widowControl w:val="0"/>
        <w:autoSpaceDE w:val="0"/>
        <w:autoSpaceDN w:val="0"/>
        <w:spacing w:after="0" w:line="276" w:lineRule="auto"/>
        <w:jc w:val="both"/>
        <w:rPr>
          <w:rFonts w:ascii="Verdana" w:hAnsi="Verdana" w:cs="Arial"/>
        </w:rPr>
      </w:pPr>
    </w:p>
    <w:p w14:paraId="613BF749" w14:textId="77777777" w:rsidR="007E1FB3" w:rsidRPr="00113921" w:rsidRDefault="007E1FB3" w:rsidP="007E1FB3">
      <w:pPr>
        <w:spacing w:after="0" w:line="276" w:lineRule="auto"/>
        <w:rPr>
          <w:rFonts w:ascii="Verdana" w:hAnsi="Verdana" w:cs="Arial"/>
          <w:lang w:eastAsia="es-CO"/>
        </w:rPr>
      </w:pPr>
      <w:r w:rsidRPr="00113921">
        <w:rPr>
          <w:rFonts w:ascii="Verdana" w:eastAsia="Times New Roman" w:hAnsi="Verdana" w:cs="Arial"/>
          <w:lang w:eastAsia="es-CO"/>
        </w:rPr>
        <w:t>Atentamente,</w:t>
      </w:r>
      <w:r w:rsidRPr="00113921">
        <w:rPr>
          <w:rFonts w:ascii="Verdana" w:hAnsi="Verdana" w:cs="Arial"/>
          <w:lang w:eastAsia="es-CO"/>
        </w:rPr>
        <w:t xml:space="preserve"> </w:t>
      </w:r>
    </w:p>
    <w:p w14:paraId="548AA6C7" w14:textId="32582E7A" w:rsidR="007E1FB3" w:rsidRPr="00EB1CF7" w:rsidRDefault="009C6854" w:rsidP="007E1FB3">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7BFBCF77" wp14:editId="0652FD9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E1FB3" w:rsidRPr="00E4307F" w14:paraId="66CA6961" w14:textId="77777777" w:rsidTr="003B1640">
        <w:trPr>
          <w:trHeight w:val="315"/>
        </w:trPr>
        <w:tc>
          <w:tcPr>
            <w:tcW w:w="893" w:type="dxa"/>
            <w:vAlign w:val="center"/>
            <w:hideMark/>
          </w:tcPr>
          <w:p w14:paraId="662CF26A" w14:textId="77777777" w:rsidR="007E1FB3" w:rsidRPr="00E4307F" w:rsidRDefault="007E1FB3" w:rsidP="003B1640">
            <w:pPr>
              <w:spacing w:after="255"/>
              <w:contextualSpacing/>
              <w:rPr>
                <w:rFonts w:ascii="Verdana" w:hAnsi="Verdana" w:cs="Arial"/>
                <w:sz w:val="16"/>
                <w:szCs w:val="16"/>
                <w:lang w:val="es-ES" w:eastAsia="es-ES"/>
              </w:rPr>
            </w:pPr>
            <w:r w:rsidRPr="009731F5">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655CA958" w14:textId="77777777" w:rsidR="007E1FB3" w:rsidRPr="009731F5" w:rsidRDefault="007E1FB3" w:rsidP="003B1640">
            <w:pPr>
              <w:contextualSpacing/>
              <w:rPr>
                <w:rFonts w:ascii="Verdana" w:hAnsi="Verdana" w:cs="Arial"/>
                <w:sz w:val="16"/>
                <w:szCs w:val="16"/>
                <w:lang w:eastAsia="es-CO"/>
              </w:rPr>
            </w:pPr>
            <w:r w:rsidRPr="009731F5">
              <w:rPr>
                <w:rFonts w:ascii="Verdana" w:hAnsi="Verdana" w:cs="Arial"/>
                <w:sz w:val="16"/>
                <w:szCs w:val="16"/>
                <w:lang w:eastAsia="es-CO"/>
              </w:rPr>
              <w:t>Richard Andrés Montenegro Siefken</w:t>
            </w:r>
          </w:p>
          <w:p w14:paraId="2ED970D5" w14:textId="77777777" w:rsidR="007E1FB3" w:rsidRPr="00E4307F" w:rsidRDefault="007E1FB3" w:rsidP="003B1640">
            <w:pPr>
              <w:spacing w:after="255"/>
              <w:contextualSpacing/>
              <w:rPr>
                <w:rFonts w:ascii="Verdana" w:eastAsia="Arial" w:hAnsi="Verdana" w:cs="Arial"/>
                <w:sz w:val="16"/>
                <w:szCs w:val="16"/>
              </w:rPr>
            </w:pPr>
            <w:r w:rsidRPr="009731F5">
              <w:rPr>
                <w:rFonts w:ascii="Verdana" w:hAnsi="Verdana" w:cs="Arial"/>
                <w:sz w:val="16"/>
                <w:szCs w:val="16"/>
                <w:lang w:eastAsia="es-CO"/>
              </w:rPr>
              <w:t>Contratista de la Subdirección de Gestión Contractual</w:t>
            </w:r>
          </w:p>
        </w:tc>
      </w:tr>
      <w:tr w:rsidR="007E1FB3" w:rsidRPr="00E4307F" w14:paraId="6C857CFC" w14:textId="77777777" w:rsidTr="003B1640">
        <w:trPr>
          <w:trHeight w:val="330"/>
        </w:trPr>
        <w:tc>
          <w:tcPr>
            <w:tcW w:w="893" w:type="dxa"/>
            <w:vAlign w:val="center"/>
            <w:hideMark/>
          </w:tcPr>
          <w:p w14:paraId="7E398B72" w14:textId="77777777" w:rsidR="007E1FB3" w:rsidRPr="00E4307F" w:rsidRDefault="007E1FB3" w:rsidP="003B1640">
            <w:pPr>
              <w:spacing w:after="255"/>
              <w:contextualSpacing/>
              <w:rPr>
                <w:rFonts w:ascii="Verdana" w:hAnsi="Verdana" w:cs="Arial"/>
                <w:sz w:val="16"/>
                <w:szCs w:val="16"/>
                <w:lang w:val="es-ES" w:eastAsia="es-ES"/>
              </w:rPr>
            </w:pPr>
            <w:r w:rsidRPr="009731F5">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0A7931F" w14:textId="5DB3B3E7" w:rsidR="007E1FB3" w:rsidRPr="009731F5" w:rsidRDefault="007E1FB3" w:rsidP="003B1640">
            <w:pPr>
              <w:jc w:val="both"/>
              <w:rPr>
                <w:rFonts w:ascii="Verdana" w:hAnsi="Verdana" w:cs="Arial"/>
                <w:sz w:val="16"/>
                <w:szCs w:val="16"/>
              </w:rPr>
            </w:pPr>
            <w:r>
              <w:rPr>
                <w:rFonts w:ascii="Verdana" w:hAnsi="Verdana" w:cs="Arial"/>
                <w:sz w:val="16"/>
                <w:szCs w:val="16"/>
              </w:rPr>
              <w:t>Juan Carlos González Vázquez</w:t>
            </w:r>
          </w:p>
          <w:p w14:paraId="37C3C5BC" w14:textId="77777777" w:rsidR="007E1FB3" w:rsidRPr="00E4307F" w:rsidRDefault="007E1FB3" w:rsidP="003B1640">
            <w:pPr>
              <w:pStyle w:val="paragraph"/>
              <w:spacing w:before="0" w:beforeAutospacing="0" w:after="0" w:afterAutospacing="0"/>
              <w:contextualSpacing/>
              <w:textAlignment w:val="baseline"/>
              <w:rPr>
                <w:rFonts w:ascii="Verdana" w:hAnsi="Verdana" w:cs="Segoe UI"/>
                <w:sz w:val="16"/>
                <w:szCs w:val="16"/>
              </w:rPr>
            </w:pPr>
            <w:r>
              <w:rPr>
                <w:rFonts w:ascii="Verdana" w:hAnsi="Verdana" w:cs="Arial"/>
                <w:sz w:val="16"/>
                <w:szCs w:val="16"/>
                <w:lang w:val="es-ES" w:eastAsia="es-ES"/>
              </w:rPr>
              <w:t>Contratista</w:t>
            </w:r>
            <w:r w:rsidRPr="009731F5">
              <w:rPr>
                <w:rFonts w:ascii="Verdana" w:hAnsi="Verdana" w:cs="Arial"/>
                <w:sz w:val="16"/>
                <w:szCs w:val="16"/>
                <w:lang w:val="es-ES" w:eastAsia="es-ES"/>
              </w:rPr>
              <w:t xml:space="preserve"> de la Subdirección de Gestión Contractual</w:t>
            </w:r>
          </w:p>
        </w:tc>
      </w:tr>
      <w:tr w:rsidR="007E1FB3" w:rsidRPr="00E4307F" w14:paraId="02F6EE4D" w14:textId="77777777" w:rsidTr="003B1640">
        <w:trPr>
          <w:trHeight w:val="300"/>
        </w:trPr>
        <w:tc>
          <w:tcPr>
            <w:tcW w:w="893" w:type="dxa"/>
            <w:vAlign w:val="center"/>
            <w:hideMark/>
          </w:tcPr>
          <w:p w14:paraId="5818C3FC" w14:textId="77777777" w:rsidR="007E1FB3" w:rsidRPr="00E4307F" w:rsidRDefault="007E1FB3" w:rsidP="003B1640">
            <w:pPr>
              <w:spacing w:after="255"/>
              <w:contextualSpacing/>
              <w:rPr>
                <w:rFonts w:ascii="Verdana" w:hAnsi="Verdana" w:cs="Arial"/>
                <w:sz w:val="16"/>
                <w:szCs w:val="16"/>
                <w:lang w:val="es-ES" w:eastAsia="es-ES"/>
              </w:rPr>
            </w:pPr>
            <w:r w:rsidRPr="009731F5">
              <w:rPr>
                <w:rFonts w:ascii="Verdana" w:hAnsi="Verdana" w:cs="Arial"/>
                <w:sz w:val="16"/>
                <w:szCs w:val="16"/>
                <w:lang w:eastAsia="es-CO"/>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9237EE0" w14:textId="77777777" w:rsidR="007E1FB3" w:rsidRPr="009731F5" w:rsidRDefault="007E1FB3" w:rsidP="003B1640">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14:paraId="71C73987" w14:textId="77777777" w:rsidR="007E1FB3" w:rsidRPr="00E4307F" w:rsidRDefault="007E1FB3" w:rsidP="003B1640">
            <w:pPr>
              <w:spacing w:after="255"/>
              <w:contextualSpacing/>
              <w:rPr>
                <w:rFonts w:ascii="Verdana" w:eastAsia="Calibri" w:hAnsi="Verdana" w:cs="Arial"/>
                <w:sz w:val="16"/>
                <w:szCs w:val="16"/>
                <w:lang w:val="pt-BR" w:eastAsia="es-ES"/>
              </w:rPr>
            </w:pPr>
            <w:r w:rsidRPr="009731F5">
              <w:rPr>
                <w:rFonts w:ascii="Verdana" w:hAnsi="Verdana" w:cs="Arial"/>
                <w:sz w:val="16"/>
                <w:szCs w:val="16"/>
                <w:lang w:eastAsia="es-CO"/>
              </w:rPr>
              <w:t>Subdirectora de Gestión Contractual ANCP – CCE</w:t>
            </w:r>
          </w:p>
        </w:tc>
      </w:tr>
    </w:tbl>
    <w:p w14:paraId="0F293BF4" w14:textId="1482EBC1" w:rsidR="00127233" w:rsidRPr="00EB0560" w:rsidRDefault="00127233" w:rsidP="007E1FB3">
      <w:pPr>
        <w:tabs>
          <w:tab w:val="left" w:pos="142"/>
          <w:tab w:val="left" w:pos="284"/>
        </w:tabs>
        <w:snapToGrid w:val="0"/>
        <w:spacing w:after="0" w:line="276" w:lineRule="auto"/>
        <w:jc w:val="both"/>
      </w:pPr>
    </w:p>
    <w:sectPr w:rsidR="00127233" w:rsidRPr="00EB0560"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D1D9A" w14:textId="77777777" w:rsidR="00C66612" w:rsidRDefault="00C66612" w:rsidP="004A1847">
      <w:pPr>
        <w:spacing w:after="0" w:line="240" w:lineRule="auto"/>
      </w:pPr>
      <w:r>
        <w:separator/>
      </w:r>
    </w:p>
  </w:endnote>
  <w:endnote w:type="continuationSeparator" w:id="0">
    <w:p w14:paraId="114BA658" w14:textId="77777777" w:rsidR="00C66612" w:rsidRDefault="00C66612" w:rsidP="004A1847">
      <w:pPr>
        <w:spacing w:after="0" w:line="240" w:lineRule="auto"/>
      </w:pPr>
      <w:r>
        <w:continuationSeparator/>
      </w:r>
    </w:p>
  </w:endnote>
  <w:endnote w:type="continuationNotice" w:id="1">
    <w:p w14:paraId="15E254CB" w14:textId="77777777" w:rsidR="00C66612" w:rsidRDefault="00C666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8CDBF" w14:textId="77777777" w:rsidR="00C66612" w:rsidRDefault="00C66612" w:rsidP="004A1847">
      <w:pPr>
        <w:spacing w:after="0" w:line="240" w:lineRule="auto"/>
      </w:pPr>
      <w:r>
        <w:separator/>
      </w:r>
    </w:p>
  </w:footnote>
  <w:footnote w:type="continuationSeparator" w:id="0">
    <w:p w14:paraId="4E376987" w14:textId="77777777" w:rsidR="00C66612" w:rsidRDefault="00C66612" w:rsidP="004A1847">
      <w:pPr>
        <w:spacing w:after="0" w:line="240" w:lineRule="auto"/>
      </w:pPr>
      <w:r>
        <w:continuationSeparator/>
      </w:r>
    </w:p>
  </w:footnote>
  <w:footnote w:type="continuationNotice" w:id="1">
    <w:p w14:paraId="0756EE9B" w14:textId="77777777" w:rsidR="00C66612" w:rsidRDefault="00C66612">
      <w:pPr>
        <w:spacing w:after="0" w:line="240" w:lineRule="auto"/>
      </w:pPr>
    </w:p>
  </w:footnote>
  <w:footnote w:id="2">
    <w:p w14:paraId="33494EAA" w14:textId="77777777" w:rsidR="00B24E35" w:rsidRPr="00333A16" w:rsidRDefault="00B24E35" w:rsidP="00B24E35">
      <w:pPr>
        <w:pStyle w:val="NormalWeb"/>
        <w:spacing w:before="0" w:beforeAutospacing="0" w:after="0" w:afterAutospacing="0"/>
        <w:ind w:firstLine="709"/>
        <w:contextualSpacing/>
        <w:jc w:val="both"/>
        <w:rPr>
          <w:rFonts w:ascii="Century Gothic" w:hAnsi="Century Gothic" w:cs="Arial"/>
          <w:color w:val="000000"/>
          <w:sz w:val="16"/>
          <w:szCs w:val="16"/>
          <w:lang w:eastAsia="es-ES_tradnl"/>
        </w:rPr>
      </w:pPr>
      <w:r w:rsidRPr="00333A16">
        <w:rPr>
          <w:rStyle w:val="Refdenotaalpie"/>
          <w:rFonts w:ascii="Century Gothic" w:eastAsiaTheme="majorEastAsia" w:hAnsi="Century Gothic" w:cs="Arial"/>
          <w:sz w:val="16"/>
          <w:szCs w:val="16"/>
        </w:rPr>
        <w:footnoteRef/>
      </w:r>
      <w:r w:rsidRPr="00333A16">
        <w:rPr>
          <w:rFonts w:ascii="Century Gothic" w:hAnsi="Century Gothic" w:cs="Arial"/>
          <w:sz w:val="16"/>
          <w:szCs w:val="16"/>
        </w:rPr>
        <w:t xml:space="preserve">  Ley 1150 de 2007, artículo 2, numeral 3: </w:t>
      </w:r>
      <w:r>
        <w:rPr>
          <w:rFonts w:ascii="Century Gothic" w:hAnsi="Century Gothic" w:cs="Arial"/>
          <w:sz w:val="16"/>
          <w:szCs w:val="16"/>
        </w:rPr>
        <w:t>“</w:t>
      </w:r>
      <w:r w:rsidRPr="00333A16">
        <w:rPr>
          <w:rFonts w:ascii="Century Gothic" w:hAnsi="Century Gothic" w:cs="Arial"/>
          <w:sz w:val="16"/>
          <w:szCs w:val="16"/>
        </w:rPr>
        <w:t>[…]</w:t>
      </w:r>
      <w:r w:rsidRPr="00333A16">
        <w:rPr>
          <w:rStyle w:val="PiedepginaCar"/>
          <w:rFonts w:ascii="Century Gothic" w:hAnsi="Century Gothic" w:cs="Arial"/>
          <w:color w:val="000000"/>
          <w:sz w:val="16"/>
          <w:szCs w:val="16"/>
        </w:rPr>
        <w:t xml:space="preserve"> </w:t>
      </w:r>
      <w:r w:rsidRPr="00333A16">
        <w:rPr>
          <w:rFonts w:ascii="Century Gothic" w:hAnsi="Century Gothic" w:cs="Arial"/>
          <w:color w:val="000000"/>
          <w:sz w:val="16"/>
          <w:szCs w:val="16"/>
          <w:lang w:eastAsia="es-ES_tradnl"/>
        </w:rPr>
        <w:t>3. Concurso de méritos. Corresponde a la modalidad prevista para la selección de consultores o proyectos, en la que se podrán utilizar sistemas de concurso abierto o de precalificación. En este último caso, la conformación de la lista de precalificados se hará mediante convocatoria pública, permitiéndose establecer listas limitadas de oferentes mediante resolución motivada, que se entenderá notificada en estrados a los interesados, en la audiencia pública de conformación de la lista, utilizando para el efecto, entre otros, criterios de experiencia, capacidad intelectual y de organización de los proponentes, según sea el caso.</w:t>
      </w:r>
    </w:p>
    <w:p w14:paraId="1E5B9F8F" w14:textId="77777777" w:rsidR="00B24E35" w:rsidRPr="00333A16" w:rsidRDefault="00B24E35" w:rsidP="00B24E35">
      <w:pPr>
        <w:spacing w:after="0" w:line="240" w:lineRule="auto"/>
        <w:ind w:firstLine="709"/>
        <w:contextualSpacing/>
        <w:jc w:val="both"/>
        <w:rPr>
          <w:rFonts w:ascii="Century Gothic" w:hAnsi="Century Gothic" w:cs="Arial"/>
          <w:color w:val="000000"/>
          <w:sz w:val="16"/>
          <w:szCs w:val="16"/>
        </w:rPr>
      </w:pPr>
      <w:r w:rsidRPr="00333A16">
        <w:rPr>
          <w:rFonts w:ascii="Century Gothic" w:hAnsi="Century Gothic" w:cs="Arial"/>
          <w:color w:val="000000"/>
          <w:sz w:val="16"/>
          <w:szCs w:val="16"/>
        </w:rPr>
        <w:t>De conformidad con las condiciones que señale el reglamento, en desarrollo de estos procesos de selección, las propuestas técnicas o de proyectos podrán ser presentadas en forma anónima ante un jurado plural, impar deliberante y calificado</w:t>
      </w:r>
      <w:r>
        <w:rPr>
          <w:rFonts w:ascii="Century Gothic" w:hAnsi="Century Gothic" w:cs="Arial"/>
          <w:sz w:val="16"/>
          <w:szCs w:val="16"/>
        </w:rPr>
        <w:t>”.</w:t>
      </w:r>
    </w:p>
  </w:footnote>
  <w:footnote w:id="3">
    <w:p w14:paraId="3C04F596" w14:textId="77777777" w:rsidR="00B24E35" w:rsidRPr="00333A16" w:rsidRDefault="00B24E35" w:rsidP="00B24E35">
      <w:pPr>
        <w:pStyle w:val="Textonotapie"/>
        <w:ind w:firstLine="709"/>
        <w:contextualSpacing/>
        <w:jc w:val="both"/>
        <w:rPr>
          <w:rFonts w:ascii="Century Gothic" w:hAnsi="Century Gothic" w:cs="Arial"/>
          <w:sz w:val="16"/>
          <w:szCs w:val="16"/>
          <w:lang w:val="es-ES"/>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w:t>
      </w:r>
      <w:r w:rsidRPr="00333A16">
        <w:rPr>
          <w:rFonts w:ascii="Century Gothic" w:hAnsi="Century Gothic" w:cs="Arial"/>
          <w:sz w:val="16"/>
          <w:szCs w:val="16"/>
          <w:lang w:val="es-ES"/>
        </w:rPr>
        <w:t xml:space="preserve">Este numeral dispone: </w:t>
      </w:r>
      <w:r>
        <w:rPr>
          <w:rFonts w:ascii="Century Gothic" w:hAnsi="Century Gothic" w:cs="Arial"/>
          <w:sz w:val="16"/>
          <w:szCs w:val="16"/>
          <w:lang w:val="es-ES"/>
        </w:rPr>
        <w:t>“</w:t>
      </w:r>
      <w:r w:rsidRPr="00333A16">
        <w:rPr>
          <w:rFonts w:ascii="Century Gothic" w:hAnsi="Century Gothic" w:cs="Arial"/>
          <w:sz w:val="16"/>
          <w:szCs w:val="16"/>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254E3DA8" w14:textId="77777777" w:rsidR="00B24E35" w:rsidRPr="00333A16" w:rsidRDefault="00B24E35" w:rsidP="00B24E35">
      <w:pPr>
        <w:pStyle w:val="Textonotapie"/>
        <w:ind w:firstLine="709"/>
        <w:contextualSpacing/>
        <w:jc w:val="both"/>
        <w:rPr>
          <w:rFonts w:ascii="Century Gothic" w:hAnsi="Century Gothic" w:cs="Arial"/>
          <w:sz w:val="16"/>
          <w:szCs w:val="16"/>
          <w:lang w:val="es-ES"/>
        </w:rPr>
      </w:pPr>
      <w:r w:rsidRPr="00333A16">
        <w:rPr>
          <w:rFonts w:ascii="Century Gothic" w:hAnsi="Century Gothic"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45A0186B" w14:textId="77777777" w:rsidR="00B24E35" w:rsidRPr="00F87F37" w:rsidRDefault="00B24E35" w:rsidP="00B24E35">
      <w:pPr>
        <w:pStyle w:val="Textonotapie"/>
        <w:ind w:firstLine="709"/>
        <w:contextualSpacing/>
        <w:jc w:val="both"/>
        <w:rPr>
          <w:rFonts w:ascii="Century Gothic" w:hAnsi="Century Gothic" w:cs="Arial"/>
          <w:sz w:val="16"/>
          <w:szCs w:val="16"/>
          <w:lang w:val="es-ES"/>
        </w:rPr>
      </w:pPr>
      <w:r w:rsidRPr="00333A16">
        <w:rPr>
          <w:rFonts w:ascii="Century Gothic" w:hAnsi="Century Gothic" w:cs="Arial"/>
          <w:sz w:val="16"/>
          <w:szCs w:val="16"/>
          <w:lang w:val="es-ES"/>
        </w:rPr>
        <w:t xml:space="preserve">Ninguna orden del interventor de una obra podrá darse verbalmente. Es obligatorio para el interventor entregar por escrito sus órdenes o sugerencias y ellas deben </w:t>
      </w:r>
      <w:r w:rsidRPr="00333A16">
        <w:rPr>
          <w:rFonts w:ascii="Century Gothic" w:hAnsi="Century Gothic" w:cs="Arial"/>
          <w:sz w:val="16"/>
          <w:szCs w:val="16"/>
          <w:lang w:val="es-ES"/>
        </w:rPr>
        <w:t>enmarcarse dentro de los términos del respectivo contrato</w:t>
      </w:r>
      <w:r>
        <w:rPr>
          <w:rFonts w:ascii="Century Gothic" w:hAnsi="Century Gothic" w:cs="Arial"/>
          <w:sz w:val="16"/>
          <w:szCs w:val="16"/>
          <w:lang w:val="es-ES"/>
        </w:rPr>
        <w:t>”</w:t>
      </w:r>
      <w:r w:rsidRPr="00333A16">
        <w:rPr>
          <w:rFonts w:ascii="Century Gothic" w:hAnsi="Century Gothic" w:cs="Arial"/>
          <w:sz w:val="16"/>
          <w:szCs w:val="16"/>
          <w:lang w:val="es-ES"/>
        </w:rPr>
        <w:t>.</w:t>
      </w:r>
    </w:p>
  </w:footnote>
  <w:footnote w:id="4">
    <w:p w14:paraId="29D5982A" w14:textId="77777777" w:rsidR="00B24E35" w:rsidRPr="00F87F37" w:rsidRDefault="00B24E35" w:rsidP="00B24E35">
      <w:pPr>
        <w:pStyle w:val="Textonotapie"/>
        <w:ind w:firstLine="709"/>
        <w:contextualSpacing/>
        <w:jc w:val="both"/>
        <w:rPr>
          <w:rFonts w:ascii="Century Gothic" w:hAnsi="Century Gothic" w:cs="Arial"/>
          <w:color w:val="000000" w:themeColor="text1"/>
          <w:sz w:val="16"/>
          <w:szCs w:val="16"/>
          <w:lang w:val="es-ES"/>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w:t>
      </w:r>
      <w:r w:rsidRPr="00333A16">
        <w:rPr>
          <w:rFonts w:ascii="Century Gothic" w:hAnsi="Century Gothic" w:cs="Arial"/>
          <w:color w:val="000000" w:themeColor="text1"/>
          <w:sz w:val="16"/>
          <w:szCs w:val="16"/>
          <w:lang w:val="es-ES"/>
        </w:rPr>
        <w:t xml:space="preserve">Consejo de Estado. Sección Tercera. Subsección A. Auto del 29 de marzo de 2017. </w:t>
      </w:r>
      <w:proofErr w:type="spellStart"/>
      <w:r w:rsidRPr="00333A16">
        <w:rPr>
          <w:rFonts w:ascii="Century Gothic" w:hAnsi="Century Gothic" w:cs="Arial"/>
          <w:color w:val="000000" w:themeColor="text1"/>
          <w:sz w:val="16"/>
          <w:szCs w:val="16"/>
          <w:lang w:val="es-ES"/>
        </w:rPr>
        <w:t>Exp</w:t>
      </w:r>
      <w:proofErr w:type="spellEnd"/>
      <w:r w:rsidRPr="00333A16">
        <w:rPr>
          <w:rFonts w:ascii="Century Gothic" w:hAnsi="Century Gothic" w:cs="Arial"/>
          <w:color w:val="000000" w:themeColor="text1"/>
          <w:sz w:val="16"/>
          <w:szCs w:val="16"/>
          <w:lang w:val="es-ES"/>
        </w:rPr>
        <w:t>. 56307. Consejero: Carlos Alberto Zambrano Barrera.</w:t>
      </w:r>
    </w:p>
  </w:footnote>
  <w:footnote w:id="5">
    <w:p w14:paraId="023B4E31" w14:textId="77777777" w:rsidR="00B24E35" w:rsidRPr="00F87F37" w:rsidRDefault="00B24E35" w:rsidP="00B24E35">
      <w:pPr>
        <w:pStyle w:val="Textonotapie"/>
        <w:ind w:firstLine="709"/>
        <w:contextualSpacing/>
        <w:jc w:val="both"/>
        <w:rPr>
          <w:rFonts w:ascii="Century Gothic" w:hAnsi="Century Gothic" w:cs="Arial"/>
          <w:color w:val="000000" w:themeColor="text1"/>
          <w:sz w:val="16"/>
          <w:szCs w:val="16"/>
          <w:lang w:val="es-ES"/>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w:t>
      </w:r>
      <w:r w:rsidRPr="00333A16">
        <w:rPr>
          <w:rFonts w:ascii="Century Gothic" w:hAnsi="Century Gothic" w:cs="Arial"/>
          <w:color w:val="000000" w:themeColor="text1"/>
          <w:sz w:val="16"/>
          <w:szCs w:val="16"/>
          <w:lang w:val="es-ES"/>
        </w:rPr>
        <w:t xml:space="preserve">Consejo de Estado. Sección Tercera. Subsección B. Sentencia del 5 de marzo de 2020. </w:t>
      </w:r>
      <w:proofErr w:type="spellStart"/>
      <w:r w:rsidRPr="00333A16">
        <w:rPr>
          <w:rFonts w:ascii="Century Gothic" w:hAnsi="Century Gothic" w:cs="Arial"/>
          <w:color w:val="000000" w:themeColor="text1"/>
          <w:sz w:val="16"/>
          <w:szCs w:val="16"/>
          <w:lang w:val="es-ES"/>
        </w:rPr>
        <w:t>Exp</w:t>
      </w:r>
      <w:proofErr w:type="spellEnd"/>
      <w:r w:rsidRPr="00333A16">
        <w:rPr>
          <w:rFonts w:ascii="Century Gothic" w:hAnsi="Century Gothic" w:cs="Arial"/>
          <w:color w:val="000000" w:themeColor="text1"/>
          <w:sz w:val="16"/>
          <w:szCs w:val="16"/>
          <w:lang w:val="es-ES"/>
        </w:rPr>
        <w:t>. 41619. Consejero: Alberto Montaña Plata.</w:t>
      </w:r>
    </w:p>
  </w:footnote>
  <w:footnote w:id="6">
    <w:p w14:paraId="3833537E" w14:textId="77777777" w:rsidR="00B24E35" w:rsidRPr="00094096" w:rsidRDefault="00B24E35" w:rsidP="00B24E35">
      <w:pPr>
        <w:pStyle w:val="Textonotapie"/>
        <w:ind w:firstLine="708"/>
        <w:contextualSpacing/>
        <w:jc w:val="both"/>
        <w:rPr>
          <w:rFonts w:ascii="Century Gothic" w:hAnsi="Century Gothic" w:cs="Arial"/>
          <w:sz w:val="16"/>
          <w:szCs w:val="16"/>
          <w:lang w:val="es-ES_tradnl"/>
        </w:rPr>
      </w:pPr>
      <w:r w:rsidRPr="00333A16">
        <w:rPr>
          <w:rStyle w:val="Refdenotaalpie"/>
          <w:rFonts w:ascii="Century Gothic" w:hAnsi="Century Gothic"/>
          <w:sz w:val="16"/>
          <w:szCs w:val="16"/>
        </w:rPr>
        <w:footnoteRef/>
      </w:r>
      <w:r w:rsidRPr="00333A16">
        <w:rPr>
          <w:rFonts w:ascii="Century Gothic" w:hAnsi="Century Gothic"/>
          <w:sz w:val="16"/>
          <w:szCs w:val="16"/>
        </w:rPr>
        <w:t xml:space="preserve"> </w:t>
      </w:r>
      <w:r w:rsidRPr="00333A16">
        <w:rPr>
          <w:rFonts w:ascii="Century Gothic" w:hAnsi="Century Gothic" w:cs="Arial"/>
          <w:sz w:val="16"/>
          <w:szCs w:val="16"/>
          <w:lang w:val="es-ES_tradnl"/>
        </w:rPr>
        <w:t xml:space="preserve">“Manual de la modalidad de selección de mínima cuantía”, expedido por la Agencia Nacional de Contratación Pública puede ser consultado en el siguiente enlace: </w:t>
      </w:r>
      <w:hyperlink r:id="rId1" w:history="1">
        <w:r w:rsidRPr="00333A16">
          <w:rPr>
            <w:rStyle w:val="Hipervnculo"/>
            <w:rFonts w:ascii="Century Gothic" w:hAnsi="Century Gothic" w:cs="Arial"/>
            <w:sz w:val="16"/>
            <w:szCs w:val="16"/>
            <w:lang w:val="es-ES_tradnl"/>
          </w:rPr>
          <w:t>https://www.colombiacompra.gov.co/sites/cce_public/files/cce_documents/cce-eicp-ma-05._manual_de_modalidad_de_seleccion_de_minima_cuantia_v.02.pdf</w:t>
        </w:r>
      </w:hyperlink>
      <w:r w:rsidRPr="00333A16">
        <w:rPr>
          <w:rFonts w:ascii="Century Gothic" w:hAnsi="Century Gothic" w:cs="Arial"/>
          <w:sz w:val="16"/>
          <w:szCs w:val="16"/>
          <w:lang w:val="es-ES_tradnl"/>
        </w:rPr>
        <w:t xml:space="preserve"> </w:t>
      </w:r>
    </w:p>
  </w:footnote>
  <w:footnote w:id="7">
    <w:p w14:paraId="2416CA44" w14:textId="77777777" w:rsidR="00B24E35" w:rsidRPr="00333A16" w:rsidRDefault="00B24E35" w:rsidP="00B24E35">
      <w:pPr>
        <w:pStyle w:val="Textonotapie"/>
        <w:ind w:firstLine="709"/>
        <w:contextualSpacing/>
        <w:jc w:val="both"/>
        <w:rPr>
          <w:rFonts w:ascii="Century Gothic" w:hAnsi="Century Gothic" w:cs="Arial"/>
          <w:sz w:val="16"/>
          <w:szCs w:val="16"/>
        </w:rPr>
      </w:pPr>
      <w:r w:rsidRPr="00333A16">
        <w:rPr>
          <w:rStyle w:val="Refdenotaalpie"/>
          <w:rFonts w:ascii="Century Gothic" w:hAnsi="Century Gothic" w:cs="Arial"/>
          <w:sz w:val="16"/>
          <w:szCs w:val="16"/>
        </w:rPr>
        <w:footnoteRef/>
      </w:r>
      <w:r w:rsidRPr="00333A16">
        <w:rPr>
          <w:rFonts w:ascii="Century Gothic" w:hAnsi="Century Gothic" w:cs="Arial"/>
          <w:sz w:val="16"/>
          <w:szCs w:val="16"/>
        </w:rPr>
        <w:t xml:space="preserve"> Ibidem. Página 17.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2AFEAE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29468485" o:spid="_x0000_i1025" type="#_x0000_t75" style="width:11.25pt;height:11.25pt;visibility:visible;mso-wrap-style:square">
            <v:imagedata r:id="rId1" o:title=""/>
          </v:shape>
        </w:pict>
      </mc:Choice>
      <mc:Fallback>
        <w:drawing>
          <wp:inline distT="0" distB="0" distL="0" distR="0" wp14:anchorId="1187A092" wp14:editId="1B27C646">
            <wp:extent cx="142875" cy="142875"/>
            <wp:effectExtent l="0" t="0" r="0" b="0"/>
            <wp:docPr id="629468485" name="Imagen 629468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FFFFFFFF"/>
    <w:lvl w:ilvl="0">
      <w:start w:val="1"/>
      <w:numFmt w:val="decimal"/>
      <w:lvlText w:val="%1."/>
      <w:lvlJc w:val="left"/>
      <w:pPr>
        <w:ind w:left="6601" w:hanging="360"/>
      </w:pPr>
      <w:rPr>
        <w:rFonts w:cs="Times New Roman"/>
        <w:b/>
        <w:color w:val="000000" w:themeColor="text1"/>
      </w:rPr>
    </w:lvl>
    <w:lvl w:ilvl="1">
      <w:start w:val="2"/>
      <w:numFmt w:val="decimal"/>
      <w:isLgl/>
      <w:lvlText w:val="%1.%2"/>
      <w:lvlJc w:val="left"/>
      <w:pPr>
        <w:ind w:left="6241" w:hanging="360"/>
      </w:pPr>
      <w:rPr>
        <w:rFonts w:cs="Times New Roman"/>
      </w:rPr>
    </w:lvl>
    <w:lvl w:ilvl="2">
      <w:start w:val="1"/>
      <w:numFmt w:val="decimal"/>
      <w:isLgl/>
      <w:lvlText w:val="%1.%2.%3"/>
      <w:lvlJc w:val="left"/>
      <w:pPr>
        <w:ind w:left="6961" w:hanging="720"/>
      </w:pPr>
      <w:rPr>
        <w:rFonts w:cs="Times New Roman"/>
      </w:rPr>
    </w:lvl>
    <w:lvl w:ilvl="3">
      <w:start w:val="1"/>
      <w:numFmt w:val="decimal"/>
      <w:isLgl/>
      <w:lvlText w:val="%1.%2.%3.%4"/>
      <w:lvlJc w:val="left"/>
      <w:pPr>
        <w:ind w:left="6961" w:hanging="720"/>
      </w:pPr>
      <w:rPr>
        <w:rFonts w:cs="Times New Roman"/>
      </w:rPr>
    </w:lvl>
    <w:lvl w:ilvl="4">
      <w:start w:val="1"/>
      <w:numFmt w:val="decimal"/>
      <w:isLgl/>
      <w:lvlText w:val="%1.%2.%3.%4.%5"/>
      <w:lvlJc w:val="left"/>
      <w:pPr>
        <w:ind w:left="7321" w:hanging="1080"/>
      </w:pPr>
      <w:rPr>
        <w:rFonts w:cs="Times New Roman"/>
      </w:rPr>
    </w:lvl>
    <w:lvl w:ilvl="5">
      <w:start w:val="1"/>
      <w:numFmt w:val="decimal"/>
      <w:isLgl/>
      <w:lvlText w:val="%1.%2.%3.%4.%5.%6"/>
      <w:lvlJc w:val="left"/>
      <w:pPr>
        <w:ind w:left="7321" w:hanging="1080"/>
      </w:pPr>
      <w:rPr>
        <w:rFonts w:cs="Times New Roman"/>
      </w:rPr>
    </w:lvl>
    <w:lvl w:ilvl="6">
      <w:start w:val="1"/>
      <w:numFmt w:val="decimal"/>
      <w:isLgl/>
      <w:lvlText w:val="%1.%2.%3.%4.%5.%6.%7"/>
      <w:lvlJc w:val="left"/>
      <w:pPr>
        <w:ind w:left="7681" w:hanging="1440"/>
      </w:pPr>
      <w:rPr>
        <w:rFonts w:cs="Times New Roman"/>
      </w:rPr>
    </w:lvl>
    <w:lvl w:ilvl="7">
      <w:start w:val="1"/>
      <w:numFmt w:val="decimal"/>
      <w:isLgl/>
      <w:lvlText w:val="%1.%2.%3.%4.%5.%6.%7.%8"/>
      <w:lvlJc w:val="left"/>
      <w:pPr>
        <w:ind w:left="7681" w:hanging="1440"/>
      </w:pPr>
      <w:rPr>
        <w:rFonts w:cs="Times New Roman"/>
      </w:rPr>
    </w:lvl>
    <w:lvl w:ilvl="8">
      <w:start w:val="1"/>
      <w:numFmt w:val="decimal"/>
      <w:isLgl/>
      <w:lvlText w:val="%1.%2.%3.%4.%5.%6.%7.%8.%9"/>
      <w:lvlJc w:val="left"/>
      <w:pPr>
        <w:ind w:left="8041" w:hanging="1800"/>
      </w:pPr>
      <w:rPr>
        <w:rFonts w:cs="Times New Roman"/>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69791B"/>
    <w:multiLevelType w:val="hybridMultilevel"/>
    <w:tmpl w:val="FFFFFFFF"/>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FFFFFFFF"/>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3F1300A2"/>
    <w:multiLevelType w:val="hybridMultilevel"/>
    <w:tmpl w:val="647A2C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7"/>
  </w:num>
  <w:num w:numId="8" w16cid:durableId="152644682">
    <w:abstractNumId w:val="15"/>
  </w:num>
  <w:num w:numId="9" w16cid:durableId="1317221377">
    <w:abstractNumId w:val="9"/>
  </w:num>
  <w:num w:numId="10" w16cid:durableId="1471245386">
    <w:abstractNumId w:val="14"/>
  </w:num>
  <w:num w:numId="11" w16cid:durableId="289172385">
    <w:abstractNumId w:val="10"/>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1898204644">
    <w:abstractNumId w:val="0"/>
  </w:num>
  <w:num w:numId="17" w16cid:durableId="1945262271">
    <w:abstractNumId w:val="6"/>
  </w:num>
  <w:num w:numId="18" w16cid:durableId="1606687335">
    <w:abstractNumId w:val="11"/>
  </w:num>
  <w:num w:numId="19" w16cid:durableId="488904735">
    <w:abstractNumId w:val="3"/>
  </w:num>
  <w:num w:numId="20" w16cid:durableId="6554515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592"/>
    <w:rsid w:val="0000531C"/>
    <w:rsid w:val="0001698A"/>
    <w:rsid w:val="00061B2A"/>
    <w:rsid w:val="00073391"/>
    <w:rsid w:val="00073934"/>
    <w:rsid w:val="00082362"/>
    <w:rsid w:val="00087101"/>
    <w:rsid w:val="000A683E"/>
    <w:rsid w:val="000B19B9"/>
    <w:rsid w:val="000C7529"/>
    <w:rsid w:val="000D0334"/>
    <w:rsid w:val="000F6486"/>
    <w:rsid w:val="00125105"/>
    <w:rsid w:val="00127233"/>
    <w:rsid w:val="00131DC6"/>
    <w:rsid w:val="00135C73"/>
    <w:rsid w:val="00145A1C"/>
    <w:rsid w:val="00186DBB"/>
    <w:rsid w:val="001B1B26"/>
    <w:rsid w:val="001C4CF3"/>
    <w:rsid w:val="001E4177"/>
    <w:rsid w:val="001F440F"/>
    <w:rsid w:val="001F652E"/>
    <w:rsid w:val="001F7DC6"/>
    <w:rsid w:val="00201A2D"/>
    <w:rsid w:val="002231E3"/>
    <w:rsid w:val="00236AFB"/>
    <w:rsid w:val="00237435"/>
    <w:rsid w:val="002421BB"/>
    <w:rsid w:val="002507FA"/>
    <w:rsid w:val="0025796E"/>
    <w:rsid w:val="002707A2"/>
    <w:rsid w:val="002862A3"/>
    <w:rsid w:val="002951A0"/>
    <w:rsid w:val="002962BC"/>
    <w:rsid w:val="002A093D"/>
    <w:rsid w:val="002A0DD0"/>
    <w:rsid w:val="002A49AC"/>
    <w:rsid w:val="002A64FD"/>
    <w:rsid w:val="002C7A84"/>
    <w:rsid w:val="002E4FD9"/>
    <w:rsid w:val="002E6153"/>
    <w:rsid w:val="002F3465"/>
    <w:rsid w:val="002F5F1D"/>
    <w:rsid w:val="00322A85"/>
    <w:rsid w:val="00324168"/>
    <w:rsid w:val="0034095C"/>
    <w:rsid w:val="003448F4"/>
    <w:rsid w:val="003573F7"/>
    <w:rsid w:val="0036760F"/>
    <w:rsid w:val="00372827"/>
    <w:rsid w:val="00374F5E"/>
    <w:rsid w:val="00377E3E"/>
    <w:rsid w:val="003A26D1"/>
    <w:rsid w:val="003A28BD"/>
    <w:rsid w:val="003A779E"/>
    <w:rsid w:val="003D0F4D"/>
    <w:rsid w:val="003D5B0D"/>
    <w:rsid w:val="003E0499"/>
    <w:rsid w:val="003E3C2D"/>
    <w:rsid w:val="003F235F"/>
    <w:rsid w:val="003F3941"/>
    <w:rsid w:val="004025E8"/>
    <w:rsid w:val="00406575"/>
    <w:rsid w:val="004209FE"/>
    <w:rsid w:val="0042722E"/>
    <w:rsid w:val="00444752"/>
    <w:rsid w:val="0044528D"/>
    <w:rsid w:val="00485379"/>
    <w:rsid w:val="00485EF3"/>
    <w:rsid w:val="00487F76"/>
    <w:rsid w:val="004A1847"/>
    <w:rsid w:val="004A305D"/>
    <w:rsid w:val="004A46DC"/>
    <w:rsid w:val="004C60A7"/>
    <w:rsid w:val="004C6F5C"/>
    <w:rsid w:val="004D5406"/>
    <w:rsid w:val="004D7F46"/>
    <w:rsid w:val="004E0904"/>
    <w:rsid w:val="004F21C4"/>
    <w:rsid w:val="004F685F"/>
    <w:rsid w:val="004F7AF1"/>
    <w:rsid w:val="00525980"/>
    <w:rsid w:val="00551EC0"/>
    <w:rsid w:val="005566E8"/>
    <w:rsid w:val="00567E93"/>
    <w:rsid w:val="00571ADB"/>
    <w:rsid w:val="00574867"/>
    <w:rsid w:val="00591460"/>
    <w:rsid w:val="00592628"/>
    <w:rsid w:val="005C3777"/>
    <w:rsid w:val="005C5CDC"/>
    <w:rsid w:val="005D057A"/>
    <w:rsid w:val="005D476C"/>
    <w:rsid w:val="005D709C"/>
    <w:rsid w:val="005D7457"/>
    <w:rsid w:val="005E00F7"/>
    <w:rsid w:val="00604A6D"/>
    <w:rsid w:val="0060760B"/>
    <w:rsid w:val="00610812"/>
    <w:rsid w:val="006219F8"/>
    <w:rsid w:val="00621AEB"/>
    <w:rsid w:val="00636E0F"/>
    <w:rsid w:val="00650FF7"/>
    <w:rsid w:val="0065718D"/>
    <w:rsid w:val="00665D70"/>
    <w:rsid w:val="00671DAC"/>
    <w:rsid w:val="006737E2"/>
    <w:rsid w:val="006900D9"/>
    <w:rsid w:val="00691B8C"/>
    <w:rsid w:val="006B4C87"/>
    <w:rsid w:val="006D12F8"/>
    <w:rsid w:val="006D48D6"/>
    <w:rsid w:val="006F19A6"/>
    <w:rsid w:val="006F741F"/>
    <w:rsid w:val="00706C16"/>
    <w:rsid w:val="00740BC3"/>
    <w:rsid w:val="00742DA5"/>
    <w:rsid w:val="00742E36"/>
    <w:rsid w:val="00756841"/>
    <w:rsid w:val="007649AB"/>
    <w:rsid w:val="00771D0C"/>
    <w:rsid w:val="007833AC"/>
    <w:rsid w:val="007911E9"/>
    <w:rsid w:val="007A12CB"/>
    <w:rsid w:val="007A6EEA"/>
    <w:rsid w:val="007B268C"/>
    <w:rsid w:val="007B5F96"/>
    <w:rsid w:val="007B7171"/>
    <w:rsid w:val="007C0C0F"/>
    <w:rsid w:val="007C3DC2"/>
    <w:rsid w:val="007C6D4E"/>
    <w:rsid w:val="007E1FB3"/>
    <w:rsid w:val="007E5497"/>
    <w:rsid w:val="007F36E2"/>
    <w:rsid w:val="008024AE"/>
    <w:rsid w:val="00806F5F"/>
    <w:rsid w:val="00806F63"/>
    <w:rsid w:val="00820278"/>
    <w:rsid w:val="008221C9"/>
    <w:rsid w:val="0082718B"/>
    <w:rsid w:val="00830959"/>
    <w:rsid w:val="008328AD"/>
    <w:rsid w:val="00854B30"/>
    <w:rsid w:val="008672EB"/>
    <w:rsid w:val="008843B6"/>
    <w:rsid w:val="00890429"/>
    <w:rsid w:val="00891928"/>
    <w:rsid w:val="008A446D"/>
    <w:rsid w:val="008C28A9"/>
    <w:rsid w:val="008D180B"/>
    <w:rsid w:val="008D60AF"/>
    <w:rsid w:val="008F0241"/>
    <w:rsid w:val="008F0EA7"/>
    <w:rsid w:val="00923EEF"/>
    <w:rsid w:val="00934CCC"/>
    <w:rsid w:val="009419F9"/>
    <w:rsid w:val="00953BE9"/>
    <w:rsid w:val="0095685E"/>
    <w:rsid w:val="00961B09"/>
    <w:rsid w:val="00965334"/>
    <w:rsid w:val="0097093E"/>
    <w:rsid w:val="00995DA4"/>
    <w:rsid w:val="00997198"/>
    <w:rsid w:val="009A0DFA"/>
    <w:rsid w:val="009B2D26"/>
    <w:rsid w:val="009B5448"/>
    <w:rsid w:val="009B694B"/>
    <w:rsid w:val="009C39C0"/>
    <w:rsid w:val="009C6854"/>
    <w:rsid w:val="009C71FA"/>
    <w:rsid w:val="009C72E7"/>
    <w:rsid w:val="009D3058"/>
    <w:rsid w:val="009D3615"/>
    <w:rsid w:val="009F3A13"/>
    <w:rsid w:val="00A0345A"/>
    <w:rsid w:val="00A122D3"/>
    <w:rsid w:val="00A17F13"/>
    <w:rsid w:val="00A20739"/>
    <w:rsid w:val="00A208F6"/>
    <w:rsid w:val="00A322B9"/>
    <w:rsid w:val="00A33C78"/>
    <w:rsid w:val="00A74C4D"/>
    <w:rsid w:val="00A83FBB"/>
    <w:rsid w:val="00AB0ADB"/>
    <w:rsid w:val="00AD35CB"/>
    <w:rsid w:val="00AE1E46"/>
    <w:rsid w:val="00B01B1A"/>
    <w:rsid w:val="00B24E35"/>
    <w:rsid w:val="00B40828"/>
    <w:rsid w:val="00B44549"/>
    <w:rsid w:val="00B52BD1"/>
    <w:rsid w:val="00B72CD3"/>
    <w:rsid w:val="00B72FFF"/>
    <w:rsid w:val="00B926DE"/>
    <w:rsid w:val="00BB3450"/>
    <w:rsid w:val="00BC1C95"/>
    <w:rsid w:val="00BC3D36"/>
    <w:rsid w:val="00BD1520"/>
    <w:rsid w:val="00BD7F72"/>
    <w:rsid w:val="00BF662C"/>
    <w:rsid w:val="00BF6EA5"/>
    <w:rsid w:val="00C04FB3"/>
    <w:rsid w:val="00C15DBA"/>
    <w:rsid w:val="00C330EB"/>
    <w:rsid w:val="00C349D0"/>
    <w:rsid w:val="00C3591A"/>
    <w:rsid w:val="00C66612"/>
    <w:rsid w:val="00C754BE"/>
    <w:rsid w:val="00C75E74"/>
    <w:rsid w:val="00C76B1C"/>
    <w:rsid w:val="00C91297"/>
    <w:rsid w:val="00CB2150"/>
    <w:rsid w:val="00CB6357"/>
    <w:rsid w:val="00CC1B26"/>
    <w:rsid w:val="00CE796E"/>
    <w:rsid w:val="00D22F79"/>
    <w:rsid w:val="00D305D0"/>
    <w:rsid w:val="00D32BB1"/>
    <w:rsid w:val="00D3566C"/>
    <w:rsid w:val="00D423A2"/>
    <w:rsid w:val="00D4746B"/>
    <w:rsid w:val="00D520D8"/>
    <w:rsid w:val="00D63AC2"/>
    <w:rsid w:val="00D72D1D"/>
    <w:rsid w:val="00D7383B"/>
    <w:rsid w:val="00D73B3E"/>
    <w:rsid w:val="00DA231B"/>
    <w:rsid w:val="00DA23A0"/>
    <w:rsid w:val="00DC39FC"/>
    <w:rsid w:val="00DF5254"/>
    <w:rsid w:val="00E16408"/>
    <w:rsid w:val="00E17913"/>
    <w:rsid w:val="00E2007E"/>
    <w:rsid w:val="00E20894"/>
    <w:rsid w:val="00E21A7A"/>
    <w:rsid w:val="00E245AB"/>
    <w:rsid w:val="00E2764C"/>
    <w:rsid w:val="00E27F2E"/>
    <w:rsid w:val="00E413EA"/>
    <w:rsid w:val="00E50AFE"/>
    <w:rsid w:val="00E600F0"/>
    <w:rsid w:val="00E75C92"/>
    <w:rsid w:val="00E771DC"/>
    <w:rsid w:val="00E8772A"/>
    <w:rsid w:val="00E90F6B"/>
    <w:rsid w:val="00E92C27"/>
    <w:rsid w:val="00EA0E3D"/>
    <w:rsid w:val="00EA31F2"/>
    <w:rsid w:val="00EA4C67"/>
    <w:rsid w:val="00EA70C6"/>
    <w:rsid w:val="00EB0560"/>
    <w:rsid w:val="00EB1FC4"/>
    <w:rsid w:val="00EC2CCA"/>
    <w:rsid w:val="00EC38A7"/>
    <w:rsid w:val="00EE19AB"/>
    <w:rsid w:val="00EE1AA8"/>
    <w:rsid w:val="00EF42CD"/>
    <w:rsid w:val="00F13342"/>
    <w:rsid w:val="00F25D44"/>
    <w:rsid w:val="00F31EDC"/>
    <w:rsid w:val="00F43739"/>
    <w:rsid w:val="00F453D8"/>
    <w:rsid w:val="00F462B3"/>
    <w:rsid w:val="00F5664F"/>
    <w:rsid w:val="00F56B14"/>
    <w:rsid w:val="00F666C4"/>
    <w:rsid w:val="00F76AFC"/>
    <w:rsid w:val="00F92950"/>
    <w:rsid w:val="00F94BD7"/>
    <w:rsid w:val="00F95C8C"/>
    <w:rsid w:val="00FA47C0"/>
    <w:rsid w:val="00FB0801"/>
    <w:rsid w:val="00FB3313"/>
    <w:rsid w:val="00FB5DD1"/>
    <w:rsid w:val="00FC2B5D"/>
    <w:rsid w:val="00FD72DB"/>
    <w:rsid w:val="00FF1449"/>
    <w:rsid w:val="00FF5819"/>
    <w:rsid w:val="03EB96D0"/>
    <w:rsid w:val="3B6C6317"/>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F,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C9129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742DA5"/>
    <w:rPr>
      <w:sz w:val="16"/>
      <w:szCs w:val="16"/>
    </w:rPr>
  </w:style>
  <w:style w:type="paragraph" w:styleId="Textocomentario">
    <w:name w:val="annotation text"/>
    <w:basedOn w:val="Normal"/>
    <w:link w:val="TextocomentarioCar"/>
    <w:uiPriority w:val="99"/>
    <w:unhideWhenUsed/>
    <w:rsid w:val="00742DA5"/>
    <w:pPr>
      <w:spacing w:line="240" w:lineRule="auto"/>
    </w:pPr>
    <w:rPr>
      <w:sz w:val="20"/>
      <w:szCs w:val="20"/>
    </w:rPr>
  </w:style>
  <w:style w:type="character" w:customStyle="1" w:styleId="TextocomentarioCar">
    <w:name w:val="Texto comentario Car"/>
    <w:basedOn w:val="Fuentedeprrafopredeter"/>
    <w:link w:val="Textocomentario"/>
    <w:uiPriority w:val="99"/>
    <w:rsid w:val="00742DA5"/>
    <w:rPr>
      <w:sz w:val="20"/>
      <w:szCs w:val="20"/>
    </w:rPr>
  </w:style>
  <w:style w:type="paragraph" w:styleId="Asuntodelcomentario">
    <w:name w:val="annotation subject"/>
    <w:basedOn w:val="Textocomentario"/>
    <w:next w:val="Textocomentario"/>
    <w:link w:val="AsuntodelcomentarioCar"/>
    <w:uiPriority w:val="99"/>
    <w:semiHidden/>
    <w:unhideWhenUsed/>
    <w:rsid w:val="00742DA5"/>
    <w:rPr>
      <w:b/>
      <w:bCs/>
    </w:rPr>
  </w:style>
  <w:style w:type="character" w:customStyle="1" w:styleId="AsuntodelcomentarioCar">
    <w:name w:val="Asunto del comentario Car"/>
    <w:basedOn w:val="TextocomentarioCar"/>
    <w:link w:val="Asuntodelcomentario"/>
    <w:uiPriority w:val="99"/>
    <w:semiHidden/>
    <w:rsid w:val="00742DA5"/>
    <w:rPr>
      <w:b/>
      <w:bCs/>
      <w:sz w:val="20"/>
      <w:szCs w:val="20"/>
    </w:rPr>
  </w:style>
  <w:style w:type="paragraph" w:customStyle="1" w:styleId="Appelnotedebasde">
    <w:name w:val="Appel note de bas de..."/>
    <w:basedOn w:val="Normal"/>
    <w:link w:val="Refdenotaalpie"/>
    <w:uiPriority w:val="99"/>
    <w:rsid w:val="00B24E35"/>
    <w:pPr>
      <w:spacing w:line="240" w:lineRule="exact"/>
    </w:pPr>
    <w:rPr>
      <w:vertAlign w:val="superscript"/>
    </w:rPr>
  </w:style>
  <w:style w:type="character" w:customStyle="1" w:styleId="NormalWebCar">
    <w:name w:val="Normal (Web) Car"/>
    <w:link w:val="NormalWeb"/>
    <w:uiPriority w:val="99"/>
    <w:rsid w:val="00B24E3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ma-05._manual_de_modalidad_de_seleccion_de_minima_cuantia_v.02.pdf"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abogadojulianorozco@hotmail.com" TargetMode="External"/><Relationship Id="rId17" Type="http://schemas.openxmlformats.org/officeDocument/2006/relationships/hyperlink" Target="https://nam02.safelinks.protection.outlook.com/?url=https%3A%2F%2Fwww.colombiacompra.gov.co%2Fmanuales-guias-y-pliegos-tipo%2Fmanuales-y-guias%2Fguia-de-contratacion-publica-sostenible-y-socialmente&amp;data=05%7C02%7Cdiana.saavedra%40colombiacompra.gov.co%7Ceb0fd05604104aa4d3bc08dd4c4ad35e%7C7b09041e245149d08cb179d5e3d8c1be%7C0%7C0%7C638750606444368194%7CUnknown%7CTWFpbGZsb3d8eyJFbXB0eU1hcGkiOnRydWUsIlYiOiIwLjAuMDAwMCIsIlAiOiJXaW4zMiIsIkFOIjoiTWFpbCIsIldUIjoyfQ%3D%3D%7C0%7C%7C%7C&amp;sdata=GbA7VblRFwqpXDS9nTyu0wIXc%2Bxd%2B50Y6x1f5mEXzdc%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ciudadanos%2Fcalendario&amp;data=05%7C02%7Cdiana.saavedra%40colombiacompra.gov.co%7Ceb0fd05604104aa4d3bc08dd4c4ad35e%7C7b09041e245149d08cb179d5e3d8c1be%7C0%7C0%7C638750606444354340%7CUnknown%7CTWFpbGZsb3d8eyJFbXB0eU1hcGkiOnRydWUsIlYiOiIwLjAuMDAwMCIsIlAiOiJXaW4zMiIsIkFOIjoiTWFpbCIsIldUIjoyfQ%3D%3D%7C0%7C%7C%7C&amp;sdata=z0f8hwc7nzc3KINp7V7LkBAHNmVeaBoGD5usEXgZm18%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cartilla-para-incentivar-y-fortalecer-el-acceso-las&amp;data=05%7C02%7Cdiana.saavedra%40colombiacompra.gov.co%7Ceb0fd05604104aa4d3bc08dd4c4ad35e%7C7b09041e245149d08cb179d5e3d8c1be%7C0%7C0%7C638750606444332598%7CUnknown%7CTWFpbGZsb3d8eyJFbXB0eU1hcGkiOnRydWUsIlYiOiIwLjAuMDAwMCIsIlAiOiJXaW4zMiIsIkFOIjoiTWFpbCIsIldUIjoyfQ%3D%3D%7C0%7C%7C%7C&amp;sdata=Hr%2BGHKt53PCyvi%2FpJvqUxcxt8ZOgcTVWGeF3uoCGtaI%3D&amp;reserved=0"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eicp-ma-05._manual_de_modalidad_de_seleccion_de_minima_cuantia_v.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CCFC09A-38D5-45E7-9B5E-5EBDBC9BC1E1}">
  <ds:schemaRefs>
    <ds:schemaRef ds:uri="http://schemas.openxmlformats.org/officeDocument/2006/bibliography"/>
  </ds:schemaRefs>
</ds:datastoreItem>
</file>

<file path=customXml/itemProps3.xml><?xml version="1.0" encoding="utf-8"?>
<ds:datastoreItem xmlns:ds="http://schemas.openxmlformats.org/officeDocument/2006/customXml" ds:itemID="{72F55116-5E15-43E4-AE1C-6EBE21143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3721</Words>
  <Characters>20467</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24140</CharactersWithSpaces>
  <SharedDoc>false</SharedDoc>
  <HLinks>
    <vt:vector size="30" baseType="variant">
      <vt:variant>
        <vt:i4>6815837</vt:i4>
      </vt:variant>
      <vt:variant>
        <vt:i4>9</vt:i4>
      </vt:variant>
      <vt:variant>
        <vt:i4>0</vt:i4>
      </vt:variant>
      <vt:variant>
        <vt:i4>5</vt:i4>
      </vt:variant>
      <vt:variant>
        <vt:lpwstr>https://nam02.safelinks.protection.outlook.com/?url=https%3A%2F%2Fwww.colombiacompra.gov.co%2Fsites%2Fcce_public%2Ffiles%2Ffiles_2020%2Fboletin_de_realtoria_iii.pdf&amp;data=05%7C02%7Chector.quinones%40colombiacompra.gov.co%7C5aad36a736844ec87b2108dcc1fa4639%7C7b09041e245149d08cb179d5e3d8c1be%7C0%7C0%7C638598527916202814%7CUnknown%7CTWFpbGZsb3d8eyJWIjoiMC4wLjAwMDAiLCJQIjoiV2luMzIiLCJBTiI6Ik1haWwiLCJXVCI6Mn0%3D%7C0%7C%7C%7C&amp;sdata=g5JP8TCj1LS3w9euYpZO4O6u0sftAPb02SeFQncfcgw%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7405586</vt:i4>
      </vt:variant>
      <vt:variant>
        <vt:i4>3</vt:i4>
      </vt:variant>
      <vt:variant>
        <vt:i4>0</vt:i4>
      </vt:variant>
      <vt:variant>
        <vt:i4>5</vt:i4>
      </vt:variant>
      <vt:variant>
        <vt:lpwstr>https://www.colombiacompra.gov.co/sites/cce_public/files/cce_documents/cce-eicp-ma-05._manual_de_modalidad_de_seleccion_de_minima_cuantia_v.02.pdf</vt:lpwstr>
      </vt:variant>
      <vt:variant>
        <vt:lpwstr/>
      </vt:variant>
      <vt:variant>
        <vt:i4>2162769</vt:i4>
      </vt:variant>
      <vt:variant>
        <vt:i4>0</vt:i4>
      </vt:variant>
      <vt:variant>
        <vt:i4>0</vt:i4>
      </vt:variant>
      <vt:variant>
        <vt:i4>5</vt:i4>
      </vt:variant>
      <vt:variant>
        <vt:lpwstr>mailto:Deicyborda.asesorialegal@gmail.com</vt:lpwstr>
      </vt:variant>
      <vt:variant>
        <vt:lpwstr/>
      </vt:variant>
      <vt:variant>
        <vt:i4>7405586</vt:i4>
      </vt:variant>
      <vt:variant>
        <vt:i4>0</vt:i4>
      </vt:variant>
      <vt:variant>
        <vt:i4>0</vt:i4>
      </vt:variant>
      <vt:variant>
        <vt:i4>5</vt:i4>
      </vt:variant>
      <vt:variant>
        <vt:lpwstr>https://www.colombiacompra.gov.co/sites/cce_public/files/cce_documents/cce-eicp-ma-05._manual_de_modalidad_de_seleccion_de_minima_cuantia_v.02.pdf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2025-03-26T21:15:00Z</dcterms:created>
  <dcterms:modified xsi:type="dcterms:W3CDTF">2025-03-26T21:15:00Z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