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82FAD"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CARTA DE PRESENTACIÓN DE LA OFERTA – Formato 1 – Documentos tipo – Forma en la que se diligencia</w:t>
      </w:r>
      <w:r>
        <w:rPr>
          <w:rStyle w:val="eop"/>
          <w:rFonts w:ascii="Arial" w:hAnsi="Arial" w:cs="Arial"/>
          <w:sz w:val="22"/>
          <w:szCs w:val="22"/>
        </w:rPr>
        <w:t> </w:t>
      </w:r>
    </w:p>
    <w:p w14:paraId="4989CFF2"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6FB576C"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De conformidad con los Documentos Tipo adoptados por Colombia Compra Eficiente, 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los documentos, anexos, marices, estudios y demás soportes del Proceso de Contratación; conocer las normas que rigen el proceso de selección, conocer las características, condiciones de ejecución del contrato y riesgos previsibles, y no encontrarse incurso en causales de inhabilidad e incompatibilidad o conflicto de intereses, entre otros.</w:t>
      </w:r>
      <w:r>
        <w:rPr>
          <w:rStyle w:val="eop"/>
          <w:rFonts w:ascii="Arial" w:hAnsi="Arial" w:cs="Arial"/>
          <w:sz w:val="20"/>
          <w:szCs w:val="20"/>
        </w:rPr>
        <w:t> </w:t>
      </w:r>
    </w:p>
    <w:p w14:paraId="3355A247"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sz w:val="20"/>
          <w:szCs w:val="20"/>
        </w:rPr>
        <w:t> </w:t>
      </w:r>
    </w:p>
    <w:p w14:paraId="773F41AD"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La carta de presentación de la oferta como documento del Proceso de Contratación debe llenarse de acuerdo a lo establecido en el “Formato 1 – Carta de presentación de la oferta”. En esta línea, el oferente individual o plural debe llenar los espacios que estén en corchetes y subrayados en gris en dicho formato, que están contenido en los diferentes Documentos Tipo expedidos por Colombia Compra Eficiente. En ese orden, se resalta que la regla general frente a la aplicación de los Documentos Tipo es su inalterabilidad, y no podrán incluirse o modificarse en los Documentos del Proceso las condiciones habilitantes, los factores técnicos y económicos de escogencia y los sistemas de ponderación aspectos distintos a los señalados en los referidos documentos. En tal sentido, estos sólo se podrán modificar cuando el mismo Documento Tipo lo permita.</w:t>
      </w:r>
      <w:r>
        <w:rPr>
          <w:rStyle w:val="eop"/>
          <w:rFonts w:ascii="Arial" w:hAnsi="Arial" w:cs="Arial"/>
          <w:sz w:val="20"/>
          <w:szCs w:val="20"/>
        </w:rPr>
        <w:t> </w:t>
      </w:r>
    </w:p>
    <w:p w14:paraId="50C7796A"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0F89C32F"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SUBSANABILIDAD DE LAS OFERTAS – Procesos de contratación pública – Alcance – Oportunidad </w:t>
      </w:r>
      <w:r>
        <w:rPr>
          <w:rStyle w:val="eop"/>
          <w:rFonts w:ascii="Arial" w:hAnsi="Arial" w:cs="Arial"/>
          <w:sz w:val="22"/>
          <w:szCs w:val="22"/>
        </w:rPr>
        <w:t> </w:t>
      </w:r>
    </w:p>
    <w:p w14:paraId="3311963A"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4BCF2BB"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La regla de subsanabilidad es un mecanismo previsto en los Procesos de Contratación que se regulan por el Estatuto General de Contratación de la Administración Pública, en adelante EGCAP. Esta regla, prevista en el artículo 5 de la Ley 1150 de 2007, consiste en permitir que los proponentes puedan enmendar, corregir o modificar los errores en los que se incurre en los documentos contentivos de la oferta. […].</w:t>
      </w:r>
      <w:r>
        <w:rPr>
          <w:rStyle w:val="eop"/>
          <w:rFonts w:ascii="Arial" w:hAnsi="Arial" w:cs="Arial"/>
          <w:sz w:val="20"/>
          <w:szCs w:val="20"/>
        </w:rPr>
        <w:t> </w:t>
      </w:r>
    </w:p>
    <w:p w14:paraId="1FB8CA99"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sz w:val="20"/>
          <w:szCs w:val="20"/>
        </w:rPr>
        <w:t> </w:t>
      </w:r>
    </w:p>
    <w:p w14:paraId="0F41212F"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Esta Subdirección se ha pronunciado en diversas oportunidades acerca del alcance de la regla de la subsanabilidad,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r>
        <w:rPr>
          <w:rStyle w:val="eop"/>
          <w:rFonts w:ascii="Arial" w:hAnsi="Arial" w:cs="Arial"/>
          <w:sz w:val="20"/>
          <w:szCs w:val="20"/>
        </w:rPr>
        <w:t> </w:t>
      </w:r>
    </w:p>
    <w:p w14:paraId="50A2B422"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sz w:val="20"/>
          <w:szCs w:val="20"/>
        </w:rPr>
        <w:t> </w:t>
      </w:r>
    </w:p>
    <w:p w14:paraId="0CE54EB4"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la Entidad Estatal debe publicar un informe de evaluación preliminar relacionado con los requisitos habilitantes, en el que se deben dar cuenta de las posibles inconsistencias en la acreditación de los mismos, el cual debe ser publicado durante un plazo de cinco (5) días hábiles, durante el cual, les corresponde a los proponentes subsanar aquellos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w:t>
      </w:r>
      <w:r>
        <w:rPr>
          <w:rStyle w:val="eop"/>
          <w:rFonts w:ascii="Arial" w:hAnsi="Arial" w:cs="Arial"/>
          <w:sz w:val="20"/>
          <w:szCs w:val="20"/>
        </w:rPr>
        <w:t> </w:t>
      </w:r>
    </w:p>
    <w:p w14:paraId="5408F468"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76950947"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CAUSALES DE RECHAZO – Naturaleza – Interpretación restrictiva – Documentos tipo</w:t>
      </w:r>
      <w:r>
        <w:rPr>
          <w:rStyle w:val="eop"/>
          <w:rFonts w:ascii="Arial" w:hAnsi="Arial" w:cs="Arial"/>
          <w:sz w:val="22"/>
          <w:szCs w:val="22"/>
        </w:rPr>
        <w:t> </w:t>
      </w:r>
    </w:p>
    <w:p w14:paraId="4E91DE48"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0"/>
          <w:szCs w:val="20"/>
        </w:rPr>
        <w:t> </w:t>
      </w:r>
    </w:p>
    <w:p w14:paraId="4D0942CD"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lastRenderedPageBreak/>
        <w:t>[…] las causales de rechazo son las establecidas en la ley y las fijadas por la Entidad Estatal en los pliegos de condiciones. No obstante, en el ejercicio de dicha facultad a las entidades no les es dable el establecer causales de rechazo que afecten la selección objetiva en la contratación. […].</w:t>
      </w:r>
      <w:r>
        <w:rPr>
          <w:rStyle w:val="eop"/>
          <w:rFonts w:ascii="Arial" w:hAnsi="Arial" w:cs="Arial"/>
          <w:sz w:val="20"/>
          <w:szCs w:val="20"/>
        </w:rPr>
        <w:t> </w:t>
      </w:r>
    </w:p>
    <w:p w14:paraId="775499B9"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sz w:val="20"/>
          <w:szCs w:val="20"/>
        </w:rPr>
        <w:t> </w:t>
      </w:r>
    </w:p>
    <w:p w14:paraId="039A3397"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por la naturaleza propia de las causales de rechazo, su aplicación es estricta y restrictiva, lo que significa que su interpretación gramatical prevalece sobre una interpretación extensiva o de otra índole, mediante la cual se pretenda ampliar su alcance.</w:t>
      </w:r>
      <w:r>
        <w:rPr>
          <w:rStyle w:val="eop"/>
          <w:rFonts w:ascii="Arial" w:hAnsi="Arial" w:cs="Arial"/>
          <w:sz w:val="20"/>
          <w:szCs w:val="20"/>
        </w:rPr>
        <w:t> </w:t>
      </w:r>
    </w:p>
    <w:p w14:paraId="4DB9D230"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w:t>
      </w:r>
      <w:r>
        <w:rPr>
          <w:rStyle w:val="eop"/>
          <w:rFonts w:ascii="Arial" w:hAnsi="Arial" w:cs="Arial"/>
          <w:sz w:val="20"/>
          <w:szCs w:val="20"/>
        </w:rPr>
        <w:t> </w:t>
      </w:r>
    </w:p>
    <w:p w14:paraId="6CC16D53"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0"/>
          <w:szCs w:val="20"/>
        </w:rPr>
        <w:t>[…] si el Proceso de Contratación se adelanta en aplicación de los Documentos Tipo adoptados por esta Agencia, deberán tenerse como causales de rechazo las allí establecidas, pues las Entidades Estatales no podrán incluir causales distintas a las señaladas en dichos documentos. Esto, según la regla de inalterabilidad de los Documentos Tipo.</w:t>
      </w:r>
      <w:r>
        <w:rPr>
          <w:rStyle w:val="eop"/>
          <w:rFonts w:ascii="Arial" w:hAnsi="Arial" w:cs="Arial"/>
          <w:sz w:val="20"/>
          <w:szCs w:val="20"/>
        </w:rPr>
        <w:t> </w:t>
      </w:r>
    </w:p>
    <w:p w14:paraId="538C0CF3"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3ED9B399"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40CBCEF2"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w:t>
      </w:r>
    </w:p>
    <w:p w14:paraId="371EBB8E"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54C14678"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0250C8FD"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2B5DAA19"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70581B74"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5E10CB9C"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115DC0F3"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6193B0CC"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65EB9AD7"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07F22A85"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2B9D6293"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2D45828C"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5642FD07"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713AB972"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30C4507B"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006FC03D"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493F9118"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00E3A3CA"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3969BF92"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440DA272"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4584BFDA"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53A971E8"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25064D66"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4CA97896"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0F612446"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0BAEFD48"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120F8801"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7850BC9D" w14:textId="77777777" w:rsidR="00F07692" w:rsidRDefault="00F07692" w:rsidP="00F07692">
      <w:pPr>
        <w:pStyle w:val="paragraph"/>
        <w:spacing w:before="0" w:beforeAutospacing="0" w:after="0" w:afterAutospacing="0"/>
        <w:jc w:val="both"/>
        <w:textAlignment w:val="baseline"/>
        <w:rPr>
          <w:rStyle w:val="eop"/>
          <w:rFonts w:ascii="Arial" w:hAnsi="Arial" w:cs="Arial"/>
          <w:sz w:val="22"/>
          <w:szCs w:val="22"/>
        </w:rPr>
      </w:pPr>
    </w:p>
    <w:p w14:paraId="29E16A71" w14:textId="77777777" w:rsidR="00F07692" w:rsidRDefault="00F07692" w:rsidP="00F07692">
      <w:pPr>
        <w:pStyle w:val="paragraph"/>
        <w:spacing w:before="0" w:beforeAutospacing="0" w:after="0" w:afterAutospacing="0"/>
        <w:jc w:val="both"/>
        <w:textAlignment w:val="baseline"/>
        <w:rPr>
          <w:rFonts w:ascii="Segoe UI" w:hAnsi="Segoe UI" w:cs="Segoe UI"/>
          <w:sz w:val="18"/>
          <w:szCs w:val="18"/>
        </w:rPr>
      </w:pPr>
    </w:p>
    <w:p w14:paraId="73435E1F" w14:textId="77777777" w:rsidR="00F07692" w:rsidRDefault="00F07692" w:rsidP="00FF35E8">
      <w:pPr>
        <w:spacing w:after="0" w:line="240" w:lineRule="auto"/>
        <w:rPr>
          <w:rFonts w:ascii="Geomanist Light" w:hAnsi="Geomanist Light"/>
          <w:color w:val="000000"/>
          <w:shd w:val="clear" w:color="auto" w:fill="FFFFFF"/>
          <w:lang w:val="es-MX"/>
        </w:rPr>
      </w:pPr>
    </w:p>
    <w:p w14:paraId="6B1A1F87" w14:textId="77777777" w:rsidR="00F07692" w:rsidRDefault="00F07692" w:rsidP="00FF35E8">
      <w:pPr>
        <w:spacing w:after="0" w:line="240" w:lineRule="auto"/>
        <w:rPr>
          <w:rFonts w:ascii="Geomanist Light" w:hAnsi="Geomanist Light"/>
          <w:color w:val="000000"/>
          <w:shd w:val="clear" w:color="auto" w:fill="FFFFFF"/>
          <w:lang w:val="es-MX"/>
        </w:rPr>
      </w:pPr>
    </w:p>
    <w:p w14:paraId="50412976" w14:textId="14CF5BCB" w:rsidR="00FF35E8" w:rsidRPr="00FF35E8" w:rsidRDefault="00FF35E8" w:rsidP="00FF35E8">
      <w:pPr>
        <w:spacing w:after="0" w:line="240" w:lineRule="auto"/>
        <w:rPr>
          <w:rFonts w:ascii="Arial" w:eastAsia="Calibri" w:hAnsi="Arial" w:cs="Arial"/>
          <w:lang w:val="es-ES_tradnl"/>
        </w:rPr>
      </w:pPr>
      <w:r w:rsidRPr="00FF35E8">
        <w:rPr>
          <w:rFonts w:ascii="Geomanist Light" w:hAnsi="Geomanist Light"/>
          <w:color w:val="000000"/>
          <w:shd w:val="clear" w:color="auto" w:fill="FFFFFF"/>
          <w:lang w:val="es-MX"/>
        </w:rPr>
        <w:lastRenderedPageBreak/>
        <w:t>Bogotá D.C.,</w:t>
      </w:r>
      <w:r w:rsidRPr="00FF35E8">
        <w:rPr>
          <w:rFonts w:ascii="Calibri" w:hAnsi="Calibri" w:cs="Calibri"/>
          <w:color w:val="000000"/>
          <w:shd w:val="clear" w:color="auto" w:fill="FFFFFF"/>
          <w:lang w:val="es-MX"/>
        </w:rPr>
        <w:t> </w:t>
      </w:r>
      <w:r w:rsidRPr="00FF35E8">
        <w:rPr>
          <w:rFonts w:ascii="Geomanist Light" w:hAnsi="Geomanist Light"/>
          <w:color w:val="201F1E"/>
          <w:shd w:val="clear" w:color="auto" w:fill="FFFFFF"/>
          <w:lang w:val="es-MX"/>
        </w:rPr>
        <w:t>[Día] de [Mes.NombreCapitalizado] de [Año</w:t>
      </w:r>
    </w:p>
    <w:p w14:paraId="6EE07BB7" w14:textId="77777777" w:rsidR="00FF35E8" w:rsidRDefault="00FF35E8" w:rsidP="00FF35E8">
      <w:pPr>
        <w:spacing w:after="0" w:line="240" w:lineRule="auto"/>
        <w:rPr>
          <w:rFonts w:ascii="Arial" w:eastAsia="Calibri" w:hAnsi="Arial" w:cs="Arial"/>
          <w:lang w:val="es-ES_tradnl"/>
        </w:rPr>
      </w:pPr>
    </w:p>
    <w:p w14:paraId="33038A9F" w14:textId="77F0322A" w:rsidR="00AB7160" w:rsidRDefault="00AB7160" w:rsidP="000B537B">
      <w:pPr>
        <w:spacing w:after="0" w:line="240" w:lineRule="auto"/>
        <w:jc w:val="right"/>
        <w:rPr>
          <w:rFonts w:ascii="Arial" w:eastAsia="Calibri" w:hAnsi="Arial" w:cs="Arial"/>
          <w:lang w:val="es-ES_tradnl"/>
        </w:rPr>
      </w:pPr>
      <w:r w:rsidRPr="00AB7160">
        <w:rPr>
          <w:rFonts w:ascii="Arial" w:eastAsia="Calibri" w:hAnsi="Arial" w:cs="Arial"/>
          <w:lang w:val="es-ES_tradnl"/>
        </w:rPr>
        <w:drawing>
          <wp:inline distT="0" distB="0" distL="0" distR="0" wp14:anchorId="54C17BAE" wp14:editId="1DB296F5">
            <wp:extent cx="2534004" cy="752580"/>
            <wp:effectExtent l="0" t="0" r="0" b="9525"/>
            <wp:docPr id="313484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841" name="Imagen 1" descr="Texto&#10;&#10;Descripción generada automáticamente"/>
                    <pic:cNvPicPr/>
                  </pic:nvPicPr>
                  <pic:blipFill>
                    <a:blip r:embed="rId11"/>
                    <a:stretch>
                      <a:fillRect/>
                    </a:stretch>
                  </pic:blipFill>
                  <pic:spPr>
                    <a:xfrm>
                      <a:off x="0" y="0"/>
                      <a:ext cx="2534004" cy="752580"/>
                    </a:xfrm>
                    <a:prstGeom prst="rect">
                      <a:avLst/>
                    </a:prstGeom>
                  </pic:spPr>
                </pic:pic>
              </a:graphicData>
            </a:graphic>
          </wp:inline>
        </w:drawing>
      </w:r>
    </w:p>
    <w:p w14:paraId="28B3EA91" w14:textId="77777777" w:rsidR="00AB7160" w:rsidRDefault="00AB7160" w:rsidP="00FF35E8">
      <w:pPr>
        <w:spacing w:after="0" w:line="240" w:lineRule="auto"/>
        <w:rPr>
          <w:rFonts w:ascii="Arial" w:eastAsia="Calibri" w:hAnsi="Arial" w:cs="Arial"/>
          <w:lang w:val="es-ES_tradnl"/>
        </w:rPr>
      </w:pPr>
    </w:p>
    <w:p w14:paraId="77459C47" w14:textId="77777777" w:rsidR="00AB7160" w:rsidRPr="00FF35E8" w:rsidRDefault="00AB7160" w:rsidP="00FF35E8">
      <w:pPr>
        <w:spacing w:after="0" w:line="240" w:lineRule="auto"/>
        <w:rPr>
          <w:rFonts w:ascii="Arial" w:eastAsia="Calibri" w:hAnsi="Arial" w:cs="Arial"/>
          <w:lang w:val="es-ES_tradnl"/>
        </w:rPr>
      </w:pPr>
    </w:p>
    <w:p w14:paraId="34F7123E" w14:textId="77777777" w:rsidR="00FF35E8" w:rsidRPr="00FF35E8" w:rsidRDefault="00FF35E8" w:rsidP="00FF35E8">
      <w:pPr>
        <w:spacing w:after="0" w:line="240" w:lineRule="auto"/>
        <w:rPr>
          <w:rFonts w:ascii="Arial" w:eastAsia="Calibri" w:hAnsi="Arial" w:cs="Arial"/>
          <w:lang w:val="es-ES_tradnl"/>
        </w:rPr>
      </w:pPr>
      <w:r w:rsidRPr="00FF35E8">
        <w:rPr>
          <w:rFonts w:ascii="Arial" w:eastAsia="Calibri" w:hAnsi="Arial" w:cs="Arial"/>
          <w:lang w:val="es-ES_tradnl"/>
        </w:rPr>
        <w:t>Señor</w:t>
      </w:r>
    </w:p>
    <w:p w14:paraId="0583AA9F" w14:textId="77777777" w:rsidR="00FF35E8" w:rsidRPr="00FF35E8" w:rsidRDefault="00FF35E8" w:rsidP="00FF35E8">
      <w:pPr>
        <w:spacing w:after="0" w:line="240" w:lineRule="auto"/>
        <w:rPr>
          <w:rFonts w:ascii="Arial" w:eastAsia="Calibri" w:hAnsi="Arial" w:cs="Arial"/>
          <w:b/>
          <w:lang w:val="es-ES_tradnl"/>
        </w:rPr>
      </w:pPr>
      <w:r w:rsidRPr="00FF35E8">
        <w:rPr>
          <w:rFonts w:ascii="Arial" w:eastAsia="Calibri" w:hAnsi="Arial" w:cs="Arial"/>
          <w:b/>
          <w:lang w:val="es-ES_tradnl"/>
        </w:rPr>
        <w:t>Jose Luis Lamus Rodríguez</w:t>
      </w:r>
    </w:p>
    <w:p w14:paraId="27353DED" w14:textId="77777777" w:rsidR="00FF35E8" w:rsidRPr="00FF35E8" w:rsidRDefault="000B537B" w:rsidP="00FF35E8">
      <w:pPr>
        <w:spacing w:after="0" w:line="240" w:lineRule="auto"/>
        <w:rPr>
          <w:rFonts w:ascii="Arial" w:hAnsi="Arial" w:cs="Arial"/>
        </w:rPr>
      </w:pPr>
      <w:hyperlink r:id="rId12" w:history="1">
        <w:r w:rsidR="00FF35E8" w:rsidRPr="00FF35E8">
          <w:rPr>
            <w:rFonts w:ascii="Arial" w:hAnsi="Arial" w:cs="Arial"/>
            <w:color w:val="0563C1" w:themeColor="hyperlink"/>
            <w:u w:val="single"/>
          </w:rPr>
          <w:t>jl.lamus2126@gmail.com</w:t>
        </w:r>
      </w:hyperlink>
      <w:r w:rsidR="00FF35E8" w:rsidRPr="00FF35E8">
        <w:rPr>
          <w:rFonts w:ascii="Arial" w:hAnsi="Arial" w:cs="Arial"/>
        </w:rPr>
        <w:t xml:space="preserve"> </w:t>
      </w:r>
    </w:p>
    <w:p w14:paraId="40956E5C" w14:textId="77777777" w:rsidR="00FF35E8" w:rsidRPr="00FF35E8" w:rsidRDefault="00FF35E8" w:rsidP="00FF35E8">
      <w:pPr>
        <w:spacing w:after="0" w:line="240" w:lineRule="auto"/>
        <w:rPr>
          <w:rFonts w:ascii="Arial" w:eastAsia="Calibri" w:hAnsi="Arial" w:cs="Arial"/>
          <w:lang w:val="es-ES_tradnl"/>
        </w:rPr>
      </w:pPr>
      <w:r w:rsidRPr="00FF35E8">
        <w:rPr>
          <w:rFonts w:ascii="Arial" w:eastAsia="Calibri" w:hAnsi="Arial" w:cs="Arial"/>
          <w:noProof/>
          <w:color w:val="000000"/>
          <w:lang w:val="es-ES_tradnl"/>
        </w:rPr>
        <w:t>Ciudad</w:t>
      </w:r>
    </w:p>
    <w:p w14:paraId="3FB7A147" w14:textId="77777777" w:rsidR="00FF35E8" w:rsidRPr="00FF35E8" w:rsidRDefault="00FF35E8" w:rsidP="00FF35E8">
      <w:pPr>
        <w:spacing w:after="0" w:line="240" w:lineRule="auto"/>
        <w:rPr>
          <w:rFonts w:ascii="Arial" w:eastAsia="Calibri" w:hAnsi="Arial" w:cs="Arial"/>
          <w:lang w:val="es-ES_tradnl"/>
        </w:rPr>
      </w:pPr>
    </w:p>
    <w:p w14:paraId="02B3032E" w14:textId="77777777" w:rsidR="00FF35E8" w:rsidRPr="00FF35E8" w:rsidRDefault="00FF35E8" w:rsidP="00FF35E8">
      <w:pPr>
        <w:spacing w:after="0" w:line="240" w:lineRule="auto"/>
        <w:rPr>
          <w:rFonts w:ascii="Arial" w:eastAsia="Calibri" w:hAnsi="Arial" w:cs="Arial"/>
          <w:lang w:val="es-ES_tradnl"/>
        </w:rPr>
      </w:pPr>
    </w:p>
    <w:p w14:paraId="288D9BC8" w14:textId="77777777" w:rsidR="00FF35E8" w:rsidRPr="00FF35E8" w:rsidRDefault="00FF35E8" w:rsidP="00FF35E8">
      <w:pPr>
        <w:spacing w:after="0" w:line="240" w:lineRule="auto"/>
        <w:rPr>
          <w:rFonts w:ascii="Arial" w:eastAsia="Calibri" w:hAnsi="Arial" w:cs="Arial"/>
          <w:b/>
          <w:lang w:val="es-ES_tradnl"/>
        </w:rPr>
      </w:pPr>
      <w:r w:rsidRPr="00FF35E8">
        <w:rPr>
          <w:rFonts w:ascii="Arial" w:eastAsia="Calibri" w:hAnsi="Arial" w:cs="Arial"/>
          <w:b/>
          <w:lang w:val="es-ES_tradnl"/>
        </w:rPr>
        <w:t xml:space="preserve">                                            </w:t>
      </w:r>
      <w:r w:rsidRPr="00FF35E8">
        <w:rPr>
          <w:rFonts w:ascii="Arial" w:eastAsia="Calibri" w:hAnsi="Arial" w:cs="Arial"/>
          <w:b/>
          <w:lang w:val="es-ES_tradnl"/>
        </w:rPr>
        <w:tab/>
        <w:t>Concepto C-216 de 2023</w:t>
      </w:r>
    </w:p>
    <w:p w14:paraId="5B9E179B" w14:textId="77777777" w:rsidR="00FF35E8" w:rsidRPr="00FF35E8" w:rsidRDefault="00FF35E8" w:rsidP="00FF35E8">
      <w:pPr>
        <w:spacing w:after="0" w:line="240" w:lineRule="auto"/>
        <w:rPr>
          <w:rFonts w:ascii="Arial" w:eastAsia="Calibri" w:hAnsi="Arial" w:cs="Arial"/>
          <w:b/>
          <w:lang w:val="es-ES_tradnl"/>
        </w:rPr>
      </w:pPr>
    </w:p>
    <w:p w14:paraId="5AFC7EE2" w14:textId="77777777" w:rsidR="00FF35E8" w:rsidRPr="00FF35E8" w:rsidRDefault="00FF35E8" w:rsidP="00FF35E8">
      <w:pPr>
        <w:spacing w:after="0" w:line="240" w:lineRule="auto"/>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35E8" w:rsidRPr="00FF35E8" w14:paraId="61172922" w14:textId="77777777" w:rsidTr="005D66B7">
        <w:tc>
          <w:tcPr>
            <w:tcW w:w="2689" w:type="dxa"/>
            <w:hideMark/>
          </w:tcPr>
          <w:p w14:paraId="239C7B52" w14:textId="77777777" w:rsidR="00FF35E8" w:rsidRPr="00FF35E8" w:rsidRDefault="00FF35E8" w:rsidP="00FF35E8">
            <w:pPr>
              <w:rPr>
                <w:rFonts w:ascii="Arial" w:eastAsia="Calibri" w:hAnsi="Arial" w:cs="Arial"/>
                <w:lang w:val="es-ES_tradnl"/>
              </w:rPr>
            </w:pPr>
            <w:r w:rsidRPr="00FF35E8">
              <w:rPr>
                <w:rFonts w:ascii="Arial" w:eastAsia="Calibri" w:hAnsi="Arial" w:cs="Arial"/>
                <w:b/>
                <w:lang w:val="es-ES_tradnl"/>
              </w:rPr>
              <w:t>Temas:</w:t>
            </w:r>
            <w:r w:rsidRPr="00FF35E8">
              <w:rPr>
                <w:rFonts w:ascii="Arial" w:eastAsia="Calibri" w:hAnsi="Arial" w:cs="Arial"/>
                <w:lang w:val="es-ES_tradnl"/>
              </w:rPr>
              <w:t xml:space="preserve">           </w:t>
            </w:r>
          </w:p>
          <w:p w14:paraId="4533BCC0" w14:textId="77777777" w:rsidR="00FF35E8" w:rsidRPr="00FF35E8" w:rsidRDefault="00FF35E8" w:rsidP="00FF35E8">
            <w:pPr>
              <w:rPr>
                <w:rFonts w:ascii="Arial" w:eastAsia="Calibri" w:hAnsi="Arial" w:cs="Arial"/>
                <w:lang w:val="es-ES_tradnl"/>
              </w:rPr>
            </w:pPr>
            <w:r w:rsidRPr="00FF35E8">
              <w:rPr>
                <w:rFonts w:ascii="Arial" w:eastAsia="Calibri" w:hAnsi="Arial" w:cs="Arial"/>
                <w:lang w:val="es-ES_tradnl"/>
              </w:rPr>
              <w:t xml:space="preserve">                           </w:t>
            </w:r>
          </w:p>
        </w:tc>
        <w:tc>
          <w:tcPr>
            <w:tcW w:w="6237" w:type="dxa"/>
            <w:hideMark/>
          </w:tcPr>
          <w:p w14:paraId="6CDCE1EC" w14:textId="77777777" w:rsidR="00FF35E8" w:rsidRPr="00FF35E8" w:rsidRDefault="00FF35E8" w:rsidP="00FF35E8">
            <w:pPr>
              <w:jc w:val="both"/>
              <w:rPr>
                <w:rFonts w:ascii="Arial" w:eastAsia="Calibri" w:hAnsi="Arial" w:cs="Arial"/>
                <w:bCs/>
                <w:color w:val="000000"/>
                <w:lang w:val="es-ES_tradnl"/>
              </w:rPr>
            </w:pPr>
            <w:r w:rsidRPr="00FF35E8">
              <w:rPr>
                <w:rFonts w:ascii="Arial" w:eastAsia="Calibri" w:hAnsi="Arial" w:cs="Arial"/>
                <w:bCs/>
                <w:color w:val="000000"/>
                <w:lang w:val="es-ES_tradnl"/>
              </w:rPr>
              <w:t>CARTA DE PRESENTACIÓN DE LA OFETA – Formato 1 – Documentos tipo – Forma en la que se diligencia / SUBSANABILIDAD DE LAS OFERTAS – Procesos de contratación pública – Alcance – Oportunidad / CAUSALES DE RECHAZO – Naturaleza – interpretación restrictiva – Documentos tipo</w:t>
            </w:r>
          </w:p>
          <w:p w14:paraId="70D40235" w14:textId="77777777" w:rsidR="00FF35E8" w:rsidRPr="00FF35E8" w:rsidRDefault="00FF35E8" w:rsidP="00FF35E8">
            <w:pPr>
              <w:jc w:val="both"/>
              <w:rPr>
                <w:rFonts w:ascii="Arial" w:eastAsia="Calibri" w:hAnsi="Arial" w:cs="Arial"/>
                <w:bCs/>
                <w:color w:val="000000"/>
                <w:lang w:val="es-ES_tradnl"/>
              </w:rPr>
            </w:pPr>
          </w:p>
          <w:p w14:paraId="1065A59D" w14:textId="77777777" w:rsidR="00FF35E8" w:rsidRPr="00FF35E8" w:rsidRDefault="00FF35E8" w:rsidP="00FF35E8">
            <w:pPr>
              <w:jc w:val="both"/>
              <w:rPr>
                <w:rFonts w:ascii="Arial" w:eastAsia="Calibri" w:hAnsi="Arial" w:cs="Arial"/>
                <w:bCs/>
                <w:color w:val="000000"/>
                <w:lang w:val="es-ES_tradnl"/>
              </w:rPr>
            </w:pPr>
          </w:p>
          <w:p w14:paraId="268F4357" w14:textId="77777777" w:rsidR="00FF35E8" w:rsidRPr="00FF35E8" w:rsidRDefault="00FF35E8" w:rsidP="00FF35E8">
            <w:pPr>
              <w:jc w:val="both"/>
              <w:rPr>
                <w:rFonts w:ascii="Arial" w:eastAsia="Calibri" w:hAnsi="Arial" w:cs="Arial"/>
              </w:rPr>
            </w:pPr>
          </w:p>
        </w:tc>
      </w:tr>
      <w:tr w:rsidR="00FF35E8" w:rsidRPr="00FF35E8" w14:paraId="6B6410FC" w14:textId="77777777" w:rsidTr="005D66B7">
        <w:trPr>
          <w:trHeight w:val="239"/>
        </w:trPr>
        <w:tc>
          <w:tcPr>
            <w:tcW w:w="2689" w:type="dxa"/>
          </w:tcPr>
          <w:p w14:paraId="5091F6F6" w14:textId="77777777" w:rsidR="00FF35E8" w:rsidRPr="00FF35E8" w:rsidRDefault="00FF35E8" w:rsidP="00FF35E8">
            <w:pPr>
              <w:rPr>
                <w:rFonts w:ascii="Arial" w:eastAsia="Calibri" w:hAnsi="Arial" w:cs="Arial"/>
                <w:b/>
                <w:lang w:val="es-ES_tradnl"/>
              </w:rPr>
            </w:pPr>
            <w:r w:rsidRPr="00FF35E8">
              <w:rPr>
                <w:rFonts w:ascii="Arial" w:eastAsia="Calibri" w:hAnsi="Arial" w:cs="Arial"/>
                <w:b/>
                <w:lang w:val="es-ES_tradnl"/>
              </w:rPr>
              <w:t>Radicación:</w:t>
            </w:r>
            <w:r w:rsidRPr="00FF35E8">
              <w:rPr>
                <w:rFonts w:ascii="Arial" w:eastAsia="Calibri" w:hAnsi="Arial" w:cs="Arial"/>
                <w:lang w:val="es-ES_tradnl"/>
              </w:rPr>
              <w:t xml:space="preserve">                              </w:t>
            </w:r>
          </w:p>
        </w:tc>
        <w:tc>
          <w:tcPr>
            <w:tcW w:w="6237" w:type="dxa"/>
          </w:tcPr>
          <w:p w14:paraId="0ABC0DA4" w14:textId="77777777" w:rsidR="00FF35E8" w:rsidRPr="00FF35E8" w:rsidRDefault="00FF35E8" w:rsidP="00FF35E8">
            <w:pPr>
              <w:jc w:val="both"/>
              <w:rPr>
                <w:rFonts w:ascii="Arial" w:eastAsia="Calibri" w:hAnsi="Arial" w:cs="Arial"/>
                <w:lang w:val="es-ES"/>
              </w:rPr>
            </w:pPr>
            <w:r w:rsidRPr="00FF35E8">
              <w:rPr>
                <w:rFonts w:ascii="Arial" w:eastAsia="Calibri" w:hAnsi="Arial" w:cs="Arial"/>
                <w:lang w:val="es-ES"/>
              </w:rPr>
              <w:t>Respuesta a consulta No. P20230425003656</w:t>
            </w:r>
            <w:r w:rsidRPr="00FF35E8">
              <w:rPr>
                <w:rFonts w:ascii="Arial" w:eastAsia="Calibri" w:hAnsi="Arial" w:cs="Arial"/>
                <w:lang w:val="es-ES"/>
              </w:rPr>
              <w:tab/>
            </w:r>
            <w:r w:rsidRPr="00FF35E8">
              <w:rPr>
                <w:rFonts w:ascii="Arial" w:eastAsia="Calibri" w:hAnsi="Arial" w:cs="Arial"/>
              </w:rPr>
              <w:tab/>
            </w:r>
          </w:p>
        </w:tc>
      </w:tr>
    </w:tbl>
    <w:p w14:paraId="78EC8D87" w14:textId="77777777" w:rsidR="00FF35E8" w:rsidRPr="00FF35E8" w:rsidRDefault="00FF35E8" w:rsidP="00FF35E8">
      <w:pPr>
        <w:spacing w:after="0" w:line="240" w:lineRule="auto"/>
        <w:contextualSpacing/>
        <w:jc w:val="both"/>
        <w:rPr>
          <w:rFonts w:ascii="Arial" w:eastAsia="Calibri" w:hAnsi="Arial" w:cs="Arial"/>
          <w:lang w:val="es-ES_tradnl"/>
        </w:rPr>
      </w:pPr>
    </w:p>
    <w:p w14:paraId="25FE6928" w14:textId="77777777" w:rsidR="00FF35E8" w:rsidRPr="00FF35E8" w:rsidRDefault="00FF35E8" w:rsidP="00FF35E8">
      <w:pPr>
        <w:spacing w:after="0" w:line="240" w:lineRule="auto"/>
        <w:contextualSpacing/>
        <w:rPr>
          <w:rFonts w:ascii="Arial" w:eastAsia="Calibri" w:hAnsi="Arial" w:cs="Arial"/>
          <w:lang w:val="es-ES_tradnl"/>
        </w:rPr>
      </w:pPr>
    </w:p>
    <w:p w14:paraId="2C14F9C6" w14:textId="77777777" w:rsidR="00FF35E8" w:rsidRPr="00FF35E8" w:rsidRDefault="00FF35E8" w:rsidP="00FF35E8">
      <w:pPr>
        <w:spacing w:after="0" w:line="276" w:lineRule="auto"/>
        <w:contextualSpacing/>
        <w:rPr>
          <w:rFonts w:ascii="Arial" w:eastAsia="Calibri" w:hAnsi="Arial" w:cs="Arial"/>
          <w:lang w:val="es-ES_tradnl"/>
        </w:rPr>
      </w:pPr>
      <w:r w:rsidRPr="00FF35E8">
        <w:rPr>
          <w:rFonts w:ascii="Arial" w:eastAsia="Calibri" w:hAnsi="Arial" w:cs="Arial"/>
          <w:lang w:val="es-ES_tradnl"/>
        </w:rPr>
        <w:t>Estimado señor Lamus:</w:t>
      </w:r>
    </w:p>
    <w:p w14:paraId="3BBEFD64" w14:textId="77777777" w:rsidR="00FF35E8" w:rsidRPr="00FF35E8" w:rsidRDefault="00FF35E8" w:rsidP="00FF35E8">
      <w:pPr>
        <w:spacing w:after="0" w:line="240" w:lineRule="auto"/>
        <w:jc w:val="both"/>
        <w:rPr>
          <w:rFonts w:ascii="Arial" w:eastAsia="Calibri" w:hAnsi="Arial" w:cs="Arial"/>
          <w:lang w:val="es-ES_tradnl"/>
        </w:rPr>
      </w:pPr>
    </w:p>
    <w:p w14:paraId="290BC4B7" w14:textId="77777777" w:rsidR="00FF35E8" w:rsidRPr="00FF35E8" w:rsidRDefault="00FF35E8" w:rsidP="00FF35E8">
      <w:pPr>
        <w:tabs>
          <w:tab w:val="left" w:pos="284"/>
        </w:tabs>
        <w:spacing w:after="0" w:line="276" w:lineRule="auto"/>
        <w:contextualSpacing/>
        <w:jc w:val="both"/>
        <w:rPr>
          <w:rFonts w:ascii="Arial" w:hAnsi="Arial" w:cs="Arial"/>
          <w:color w:val="000000"/>
          <w:shd w:val="clear" w:color="auto" w:fill="FFFFFF"/>
        </w:rPr>
      </w:pPr>
      <w:r w:rsidRPr="00FF35E8">
        <w:rPr>
          <w:rFonts w:ascii="Arial" w:hAnsi="Arial" w:cs="Arial"/>
          <w:color w:val="000000"/>
          <w:shd w:val="clear" w:color="auto" w:fill="FFFFFF"/>
        </w:rPr>
        <w:t>En ejercicio de la competencia otorgada por el numeral 8 del artículo 11 y el numeral 5 del artículo 3 del Decreto Ley 4170 de 2011, la Agencia Nacional de Contratación Pública – Colombia Compra Eficiente responde su consulta recibida el 24 de abril de 2023. </w:t>
      </w:r>
    </w:p>
    <w:p w14:paraId="43865CB9" w14:textId="77777777" w:rsidR="00FF35E8" w:rsidRPr="00FF35E8" w:rsidRDefault="00FF35E8" w:rsidP="00FF35E8">
      <w:pPr>
        <w:tabs>
          <w:tab w:val="left" w:pos="284"/>
        </w:tabs>
        <w:spacing w:after="0" w:line="276" w:lineRule="auto"/>
        <w:contextualSpacing/>
        <w:jc w:val="both"/>
        <w:rPr>
          <w:rFonts w:ascii="Arial" w:eastAsia="Calibri" w:hAnsi="Arial" w:cs="Arial"/>
          <w:lang w:val="es-ES_tradnl"/>
        </w:rPr>
      </w:pPr>
    </w:p>
    <w:p w14:paraId="14A0008C" w14:textId="77777777" w:rsidR="00FF35E8" w:rsidRPr="00FF35E8" w:rsidRDefault="00FF35E8" w:rsidP="00FF35E8">
      <w:pPr>
        <w:tabs>
          <w:tab w:val="left" w:pos="284"/>
        </w:tabs>
        <w:spacing w:after="0" w:line="276" w:lineRule="auto"/>
        <w:contextualSpacing/>
        <w:jc w:val="both"/>
        <w:rPr>
          <w:rFonts w:ascii="Arial" w:eastAsia="Calibri" w:hAnsi="Arial" w:cs="Arial"/>
          <w:b/>
          <w:lang w:val="es-ES_tradnl"/>
        </w:rPr>
      </w:pPr>
      <w:r w:rsidRPr="00FF35E8">
        <w:rPr>
          <w:rFonts w:ascii="Arial" w:eastAsia="Calibri" w:hAnsi="Arial" w:cs="Arial"/>
          <w:b/>
          <w:lang w:val="es-ES_tradnl"/>
        </w:rPr>
        <w:t>1.</w:t>
      </w:r>
      <w:r w:rsidRPr="00FF35E8">
        <w:rPr>
          <w:rFonts w:ascii="Arial" w:eastAsia="Calibri" w:hAnsi="Arial" w:cs="Arial"/>
          <w:lang w:val="es-ES_tradnl"/>
        </w:rPr>
        <w:t xml:space="preserve"> </w:t>
      </w:r>
      <w:r w:rsidRPr="00FF35E8">
        <w:rPr>
          <w:rFonts w:ascii="Arial" w:eastAsia="Calibri" w:hAnsi="Arial" w:cs="Arial"/>
          <w:b/>
          <w:lang w:val="es-ES_tradnl"/>
        </w:rPr>
        <w:t xml:space="preserve">Problema planteado </w:t>
      </w:r>
    </w:p>
    <w:p w14:paraId="5941BE72" w14:textId="77777777" w:rsidR="00FF35E8" w:rsidRPr="00FF35E8" w:rsidRDefault="00FF35E8" w:rsidP="00FF35E8">
      <w:pPr>
        <w:tabs>
          <w:tab w:val="left" w:pos="284"/>
        </w:tabs>
        <w:spacing w:after="0" w:line="276" w:lineRule="auto"/>
        <w:contextualSpacing/>
        <w:jc w:val="both"/>
        <w:rPr>
          <w:rFonts w:ascii="Arial" w:eastAsia="Calibri" w:hAnsi="Arial" w:cs="Arial"/>
          <w:b/>
          <w:lang w:val="es-ES_tradnl"/>
        </w:rPr>
      </w:pPr>
    </w:p>
    <w:p w14:paraId="4A33EF1C" w14:textId="77777777" w:rsidR="00FF35E8" w:rsidRPr="00FF35E8" w:rsidRDefault="00FF35E8" w:rsidP="00FF35E8">
      <w:pPr>
        <w:tabs>
          <w:tab w:val="left" w:pos="284"/>
        </w:tabs>
        <w:spacing w:after="0" w:line="276" w:lineRule="auto"/>
        <w:contextualSpacing/>
        <w:jc w:val="both"/>
        <w:rPr>
          <w:rFonts w:ascii="Arial" w:eastAsia="Calibri" w:hAnsi="Arial" w:cs="Arial"/>
          <w:bCs/>
          <w:lang w:val="es-ES_tradnl"/>
        </w:rPr>
      </w:pPr>
      <w:r w:rsidRPr="00FF35E8">
        <w:rPr>
          <w:rFonts w:ascii="Arial" w:eastAsia="Calibri" w:hAnsi="Arial" w:cs="Arial"/>
          <w:bCs/>
          <w:lang w:val="es-ES_tradnl"/>
        </w:rPr>
        <w:t xml:space="preserve">Usted realiza la siguiente petición de consulta: </w:t>
      </w:r>
    </w:p>
    <w:p w14:paraId="4568DAE4" w14:textId="77777777" w:rsidR="00FF35E8" w:rsidRPr="00FF35E8" w:rsidRDefault="00FF35E8" w:rsidP="00FF35E8">
      <w:pPr>
        <w:tabs>
          <w:tab w:val="left" w:pos="284"/>
        </w:tabs>
        <w:spacing w:after="0" w:line="276" w:lineRule="auto"/>
        <w:contextualSpacing/>
        <w:jc w:val="both"/>
        <w:rPr>
          <w:rFonts w:ascii="Arial" w:eastAsia="Calibri" w:hAnsi="Arial" w:cs="Arial"/>
          <w:bCs/>
          <w:lang w:val="es-ES_tradnl"/>
        </w:rPr>
      </w:pPr>
    </w:p>
    <w:p w14:paraId="62A22EDF" w14:textId="77777777" w:rsidR="00FF35E8" w:rsidRPr="00FF35E8" w:rsidRDefault="00FF35E8" w:rsidP="00FF35E8">
      <w:pPr>
        <w:tabs>
          <w:tab w:val="left" w:pos="284"/>
        </w:tabs>
        <w:spacing w:after="0" w:line="240" w:lineRule="auto"/>
        <w:ind w:left="709" w:right="709"/>
        <w:contextualSpacing/>
        <w:jc w:val="both"/>
        <w:rPr>
          <w:rFonts w:ascii="Arial" w:eastAsia="Calibri" w:hAnsi="Arial" w:cs="Arial"/>
          <w:bCs/>
          <w:sz w:val="21"/>
          <w:szCs w:val="21"/>
          <w:lang w:val="es-ES_tradnl"/>
        </w:rPr>
      </w:pPr>
      <w:bookmarkStart w:id="0" w:name="_Hlk132965427"/>
      <w:r w:rsidRPr="00FF35E8">
        <w:rPr>
          <w:rFonts w:ascii="Arial" w:eastAsia="Calibri" w:hAnsi="Arial" w:cs="Arial"/>
          <w:bCs/>
          <w:sz w:val="21"/>
          <w:szCs w:val="21"/>
          <w:lang w:val="es-ES_tradnl"/>
        </w:rPr>
        <w:t>“1. ¿La ausencia de la firma en la Carta de presentación, es causa para que se rechace una propuesta con el argumento que al no firmarse el Formato 2 – Carta de presentación, se entiende que la propuesta no fue presentada?</w:t>
      </w:r>
    </w:p>
    <w:p w14:paraId="02ED1D3F" w14:textId="77777777" w:rsidR="00FF35E8" w:rsidRPr="00FF35E8" w:rsidRDefault="00FF35E8" w:rsidP="00FF35E8">
      <w:pPr>
        <w:spacing w:before="120" w:after="120" w:line="240" w:lineRule="auto"/>
        <w:ind w:left="709" w:right="709"/>
        <w:jc w:val="both"/>
        <w:rPr>
          <w:rFonts w:ascii="Arial" w:eastAsia="Calibri" w:hAnsi="Arial" w:cs="Arial"/>
          <w:bCs/>
          <w:sz w:val="21"/>
          <w:szCs w:val="21"/>
          <w:lang w:val="es-ES_tradnl"/>
        </w:rPr>
      </w:pPr>
      <w:r w:rsidRPr="00FF35E8">
        <w:rPr>
          <w:rFonts w:ascii="Arial" w:eastAsia="Calibri" w:hAnsi="Arial" w:cs="Arial"/>
          <w:bCs/>
          <w:sz w:val="21"/>
          <w:szCs w:val="21"/>
          <w:lang w:val="es-ES_tradnl"/>
        </w:rPr>
        <w:lastRenderedPageBreak/>
        <w:t>2. ¿No Foliar las propuestas es motivo de rechazo, o de no recibo de propuestas con el argumento que no se presentó la propuesta como lo indica el pliego de condiciones? [</w:t>
      </w:r>
      <w:r w:rsidRPr="00FF35E8">
        <w:rPr>
          <w:rFonts w:ascii="Arial" w:eastAsia="Calibri" w:hAnsi="Arial" w:cs="Arial"/>
          <w:bCs/>
          <w:sz w:val="21"/>
          <w:szCs w:val="21"/>
          <w:lang w:val="es-MX"/>
        </w:rPr>
        <w:t>sic</w:t>
      </w:r>
      <w:r w:rsidRPr="00FF35E8">
        <w:rPr>
          <w:rFonts w:ascii="Arial" w:eastAsia="Calibri" w:hAnsi="Arial" w:cs="Arial"/>
          <w:bCs/>
          <w:sz w:val="21"/>
          <w:szCs w:val="21"/>
          <w:lang w:val="es-ES_tradnl"/>
        </w:rPr>
        <w:t>]”</w:t>
      </w:r>
    </w:p>
    <w:p w14:paraId="5D87B381" w14:textId="77777777" w:rsidR="00FF35E8" w:rsidRPr="00FF35E8" w:rsidRDefault="00FF35E8" w:rsidP="00FF35E8">
      <w:pPr>
        <w:spacing w:after="0" w:line="276" w:lineRule="auto"/>
        <w:jc w:val="both"/>
        <w:rPr>
          <w:rFonts w:ascii="Arial" w:eastAsia="Calibri" w:hAnsi="Arial" w:cs="Arial"/>
          <w:lang w:val="es-ES_tradnl"/>
        </w:rPr>
      </w:pPr>
    </w:p>
    <w:bookmarkEnd w:id="0"/>
    <w:p w14:paraId="39FE4FDB" w14:textId="77777777" w:rsidR="00FF35E8" w:rsidRPr="00FF35E8" w:rsidRDefault="00FF35E8" w:rsidP="00FF35E8">
      <w:pPr>
        <w:tabs>
          <w:tab w:val="left" w:pos="426"/>
        </w:tabs>
        <w:spacing w:after="0" w:line="276" w:lineRule="auto"/>
        <w:jc w:val="both"/>
        <w:rPr>
          <w:rFonts w:ascii="Arial" w:eastAsia="Calibri" w:hAnsi="Arial" w:cs="Arial"/>
          <w:b/>
          <w:lang w:val="es-ES_tradnl"/>
        </w:rPr>
      </w:pPr>
      <w:r w:rsidRPr="00FF35E8">
        <w:rPr>
          <w:rFonts w:ascii="Arial" w:eastAsia="Calibri" w:hAnsi="Arial" w:cs="Arial"/>
          <w:b/>
          <w:lang w:val="es-ES_tradnl"/>
        </w:rPr>
        <w:t>2.</w:t>
      </w:r>
      <w:r w:rsidRPr="00FF35E8">
        <w:rPr>
          <w:rFonts w:ascii="Arial" w:eastAsia="Calibri" w:hAnsi="Arial" w:cs="Arial"/>
          <w:lang w:val="es-ES_tradnl"/>
        </w:rPr>
        <w:t xml:space="preserve"> </w:t>
      </w:r>
      <w:r w:rsidRPr="00FF35E8">
        <w:rPr>
          <w:rFonts w:ascii="Arial" w:eastAsia="Calibri" w:hAnsi="Arial" w:cs="Arial"/>
          <w:b/>
          <w:lang w:val="es-ES_tradnl"/>
        </w:rPr>
        <w:t>Consideraciones</w:t>
      </w:r>
    </w:p>
    <w:p w14:paraId="6C4A55EE" w14:textId="77777777" w:rsidR="00FF35E8" w:rsidRPr="00FF35E8" w:rsidRDefault="00FF35E8" w:rsidP="00FF35E8">
      <w:pPr>
        <w:spacing w:after="0" w:line="276" w:lineRule="auto"/>
        <w:jc w:val="both"/>
        <w:rPr>
          <w:rFonts w:ascii="Arial" w:eastAsia="Calibri" w:hAnsi="Arial" w:cs="Arial"/>
          <w:color w:val="000000"/>
          <w:lang w:val="es-ES_tradnl"/>
        </w:rPr>
      </w:pPr>
    </w:p>
    <w:p w14:paraId="7ACF6F56" w14:textId="77777777" w:rsidR="00FF35E8" w:rsidRPr="00FF35E8" w:rsidRDefault="00FF35E8" w:rsidP="00FF35E8">
      <w:pPr>
        <w:spacing w:after="0" w:line="240" w:lineRule="auto"/>
        <w:jc w:val="both"/>
        <w:textAlignment w:val="baseline"/>
        <w:rPr>
          <w:rFonts w:ascii="Segoe UI" w:eastAsia="Times New Roman" w:hAnsi="Segoe UI" w:cs="Segoe UI"/>
          <w:sz w:val="18"/>
          <w:szCs w:val="18"/>
          <w:lang w:eastAsia="es-CO"/>
        </w:rPr>
      </w:pPr>
      <w:r w:rsidRPr="00FF35E8">
        <w:rPr>
          <w:rFonts w:ascii="Arial" w:eastAsia="Calibri" w:hAnsi="Arial" w:cs="Arial"/>
          <w:bCs/>
          <w:sz w:val="24"/>
          <w:szCs w:val="24"/>
          <w:lang w:val="es-MX" w:eastAsia="es-CO"/>
        </w:rPr>
        <w:t xml:space="preserve">En ejercicio de las competencias establecidas en los artículos 3.5 y 11.8 del Decreto 4170 de </w:t>
      </w:r>
      <w:r w:rsidRPr="00FF35E8">
        <w:rPr>
          <w:rFonts w:ascii="Arial" w:eastAsia="Times New Roman" w:hAnsi="Arial" w:cs="Arial"/>
          <w:lang w:val="es-MX" w:eastAsia="es-CO"/>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FF35E8">
        <w:rPr>
          <w:rFonts w:ascii="Arial" w:eastAsia="Times New Roman" w:hAnsi="Arial" w:cs="Arial"/>
          <w:lang w:val="es-ES" w:eastAsia="es-CO"/>
        </w:rPr>
        <w:t xml:space="preserve">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F35E8">
        <w:rPr>
          <w:rFonts w:ascii="Arial" w:eastAsia="Times New Roman" w:hAnsi="Arial" w:cs="Arial"/>
          <w:lang w:val="es-MX" w:eastAsia="es-CO"/>
        </w:rPr>
        <w:t xml:space="preserve"> de todos los partícipes de la contratación estatal.</w:t>
      </w:r>
      <w:r w:rsidRPr="00FF35E8">
        <w:rPr>
          <w:rFonts w:ascii="Arial" w:eastAsia="Times New Roman" w:hAnsi="Arial" w:cs="Arial"/>
          <w:lang w:eastAsia="es-CO"/>
        </w:rPr>
        <w:t> </w:t>
      </w:r>
    </w:p>
    <w:p w14:paraId="02EF3B65" w14:textId="77777777" w:rsidR="00FF35E8" w:rsidRPr="00FF35E8" w:rsidRDefault="00FF35E8" w:rsidP="00FF35E8">
      <w:pPr>
        <w:spacing w:before="120" w:after="0" w:line="240" w:lineRule="auto"/>
        <w:ind w:firstLine="703"/>
        <w:jc w:val="both"/>
        <w:textAlignment w:val="baseline"/>
        <w:rPr>
          <w:rFonts w:ascii="Segoe UI" w:eastAsia="Times New Roman" w:hAnsi="Segoe UI" w:cs="Segoe UI"/>
          <w:sz w:val="18"/>
          <w:szCs w:val="18"/>
          <w:lang w:eastAsia="es-CO"/>
        </w:rPr>
      </w:pPr>
      <w:r w:rsidRPr="00FF35E8">
        <w:rPr>
          <w:rFonts w:ascii="Arial" w:eastAsia="Times New Roman" w:hAnsi="Arial" w:cs="Arial"/>
          <w:lang w:val="es-ES" w:eastAsia="es-CO"/>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F35E8">
        <w:rPr>
          <w:rFonts w:ascii="Arial" w:eastAsia="Times New Roman" w:hAnsi="Arial" w:cs="Arial"/>
          <w:sz w:val="17"/>
          <w:szCs w:val="17"/>
          <w:vertAlign w:val="superscript"/>
          <w:lang w:val="es-ES" w:eastAsia="es-CO"/>
        </w:rPr>
        <w:t>1</w:t>
      </w:r>
      <w:r w:rsidRPr="00FF35E8">
        <w:rPr>
          <w:rFonts w:ascii="Arial" w:eastAsia="Times New Roman" w:hAnsi="Arial" w:cs="Arial"/>
          <w:lang w:val="es-ES" w:eastAsia="es-CO"/>
        </w:rPr>
        <w:t>. Esta competencia de interpretación de normas generales, por definición, no puede extenderse a la resolución de controversias, ni a brindar asesorías sobre casos puntuales.</w:t>
      </w:r>
      <w:r w:rsidRPr="00FF35E8">
        <w:rPr>
          <w:rFonts w:ascii="Arial" w:eastAsia="Times New Roman" w:hAnsi="Arial" w:cs="Arial"/>
          <w:lang w:eastAsia="es-CO"/>
        </w:rPr>
        <w:t> </w:t>
      </w:r>
    </w:p>
    <w:p w14:paraId="2EC63CA0" w14:textId="77777777" w:rsidR="00FF35E8" w:rsidRPr="00FF35E8" w:rsidRDefault="00FF35E8" w:rsidP="00FF35E8">
      <w:pPr>
        <w:spacing w:before="120" w:after="0" w:line="240" w:lineRule="auto"/>
        <w:ind w:firstLine="703"/>
        <w:jc w:val="both"/>
        <w:textAlignment w:val="baseline"/>
        <w:rPr>
          <w:rFonts w:ascii="Arial" w:eastAsia="Times New Roman" w:hAnsi="Arial" w:cs="Arial"/>
          <w:lang w:val="es-ES" w:eastAsia="es-CO"/>
        </w:rPr>
      </w:pPr>
      <w:r w:rsidRPr="00FF35E8">
        <w:rPr>
          <w:rFonts w:ascii="Arial" w:eastAsia="Times New Roman" w:hAnsi="Arial" w:cs="Arial"/>
          <w:lang w:val="es-MX" w:eastAsia="es-CO"/>
        </w:rPr>
        <w:t xml:space="preserve">Sin perjuicio de lo anterior, pese a que en la petición se está haciendo referencia a los Documentos Tipo expedidos por esta Agencia y al no ser factible determinar a cuál de los que versan sobre proyectos de obra pública hace referencia, </w:t>
      </w:r>
      <w:r w:rsidRPr="00FF35E8">
        <w:rPr>
          <w:rFonts w:ascii="Arial" w:eastAsia="Times New Roman" w:hAnsi="Arial" w:cs="Arial"/>
          <w:lang w:val="es-ES" w:eastAsia="es-CO"/>
        </w:rPr>
        <w:t>la Subdirección de Gestión Contractual dentro de los límites de sus atribuciones, resolverá la consulta conforme a las normas generales en materia de contratación estatal. Con este objetivo, se analizará i) la carta de presentación de la oferta, ii) la subsanabilidad de las ofertas en los procesos de selección del Estatuto General de Contratación de la Administración Pública y, iii) la interpretación restrictiva de las causales de rechazo.</w:t>
      </w:r>
    </w:p>
    <w:p w14:paraId="0610A30B" w14:textId="77777777" w:rsidR="00FF35E8" w:rsidRPr="00FF35E8" w:rsidRDefault="00FF35E8" w:rsidP="00FF35E8">
      <w:pPr>
        <w:spacing w:before="120" w:after="0" w:line="276" w:lineRule="auto"/>
        <w:ind w:firstLine="703"/>
        <w:jc w:val="both"/>
        <w:rPr>
          <w:rFonts w:ascii="Arial" w:eastAsia="Calibri" w:hAnsi="Arial" w:cs="Arial"/>
          <w:bCs/>
          <w:lang w:val="es-MX"/>
        </w:rPr>
      </w:pPr>
      <w:r w:rsidRPr="00FF35E8">
        <w:rPr>
          <w:rFonts w:ascii="Arial" w:eastAsia="Calibri" w:hAnsi="Arial" w:cs="Arial"/>
          <w:bCs/>
          <w:lang w:val="es-MX"/>
        </w:rPr>
        <w:t xml:space="preserve">La Agencia Nacional de Contratación Pública – Colombia Compra Eficiente ha analizado la carta de presentación de la oferta, entre otros, en los conceptos C-167 del 04 de abril de 2022, C-586 del 19 de septiembre de 2022, C-654 del 10 de octubre de 2022, C-739 del 21 de noviembre de 2022 y C-874 del 26 de diciembre de 2022. </w:t>
      </w:r>
      <w:r w:rsidRPr="00FF35E8">
        <w:rPr>
          <w:rFonts w:ascii="Arial" w:eastAsia="Calibri" w:hAnsi="Arial" w:cs="Arial"/>
          <w:lang w:val="es-MX"/>
        </w:rPr>
        <w:t>De igual forma, respecto de las causales de rechazo incorporadas en los pliegos de condiciones, la Agencia emitió los conceptos</w:t>
      </w:r>
      <w:r w:rsidRPr="00FF35E8">
        <w:rPr>
          <w:rFonts w:ascii="Arial" w:eastAsia="Calibri" w:hAnsi="Arial" w:cs="Arial"/>
          <w:szCs w:val="20"/>
        </w:rPr>
        <w:t xml:space="preserve"> C- 716 del 30 de octubre de 2020, C-096 del 24 de marzo de 2021, C-056 del 20 de abril de 2021,</w:t>
      </w:r>
      <w:r w:rsidRPr="00FF35E8">
        <w:rPr>
          <w:rFonts w:ascii="Arial" w:eastAsia="Calibri" w:hAnsi="Arial" w:cs="Arial"/>
          <w:shd w:val="clear" w:color="auto" w:fill="FFFFFF"/>
        </w:rPr>
        <w:t xml:space="preserve"> C-078 del 15 de marzo de 2022, C-321 del 17 de mayo de 2022, C-113 del 22 de marzo de 2022, C-178 y C-186 del 12 de abril de 2022</w:t>
      </w:r>
      <w:r w:rsidRPr="00FF35E8">
        <w:rPr>
          <w:rFonts w:ascii="Arial" w:eastAsia="Calibri" w:hAnsi="Arial" w:cs="Arial"/>
        </w:rPr>
        <w:t>.</w:t>
      </w:r>
      <w:r w:rsidRPr="00FF35E8">
        <w:rPr>
          <w:rFonts w:ascii="Arial" w:hAnsi="Arial" w:cs="Arial"/>
          <w:shd w:val="clear" w:color="auto" w:fill="FFFFFF"/>
          <w:vertAlign w:val="superscript"/>
        </w:rPr>
        <w:footnoteReference w:id="2"/>
      </w:r>
      <w:r w:rsidRPr="00FF35E8">
        <w:rPr>
          <w:rFonts w:ascii="Arial" w:eastAsia="Calibri" w:hAnsi="Arial" w:cs="Arial"/>
          <w:lang w:val="es-ES_tradnl"/>
        </w:rPr>
        <w:t>.</w:t>
      </w:r>
      <w:r w:rsidRPr="00FF35E8">
        <w:rPr>
          <w:rFonts w:ascii="Arial" w:eastAsia="Times New Roman" w:hAnsi="Arial" w:cs="Arial"/>
          <w:szCs w:val="24"/>
          <w:lang w:val="es-ES_tradnl" w:eastAsia="es-ES_tradnl"/>
        </w:rPr>
        <w:t xml:space="preserve"> </w:t>
      </w:r>
      <w:r w:rsidRPr="00FF35E8">
        <w:rPr>
          <w:rFonts w:ascii="Arial" w:eastAsia="Calibri" w:hAnsi="Arial" w:cs="Arial"/>
          <w:lang w:val="es-ES_tradnl" w:eastAsia="es-ES_tradnl"/>
        </w:rPr>
        <w:t>Algunas de las consideraciones de estos conceptos se reiteran y se complementan en lo pertinente, teniendo en cuenta lo consultado.</w:t>
      </w:r>
    </w:p>
    <w:p w14:paraId="474B8A1A" w14:textId="77777777" w:rsidR="00FF35E8" w:rsidRPr="00FF35E8" w:rsidRDefault="00FF35E8" w:rsidP="00FF35E8">
      <w:pPr>
        <w:spacing w:after="0" w:line="276" w:lineRule="auto"/>
        <w:jc w:val="both"/>
        <w:rPr>
          <w:rFonts w:ascii="Arial" w:eastAsia="Times New Roman" w:hAnsi="Arial" w:cs="Arial"/>
          <w:shd w:val="clear" w:color="auto" w:fill="FFFFFF"/>
          <w:lang w:val="es-ES_tradnl" w:eastAsia="es-ES_tradnl"/>
        </w:rPr>
      </w:pPr>
    </w:p>
    <w:p w14:paraId="37FDEE9F" w14:textId="77777777" w:rsidR="00FF35E8" w:rsidRPr="00FF35E8" w:rsidRDefault="00FF35E8" w:rsidP="00FF35E8">
      <w:pPr>
        <w:spacing w:after="0" w:line="276" w:lineRule="auto"/>
        <w:jc w:val="both"/>
        <w:rPr>
          <w:rFonts w:ascii="Arial" w:eastAsia="Times New Roman" w:hAnsi="Arial" w:cs="Arial"/>
          <w:b/>
          <w:bCs/>
          <w:shd w:val="clear" w:color="auto" w:fill="FFFFFF"/>
          <w:lang w:val="es-ES_tradnl" w:eastAsia="es-ES_tradnl"/>
        </w:rPr>
      </w:pPr>
      <w:r w:rsidRPr="00FF35E8">
        <w:rPr>
          <w:rFonts w:ascii="Arial" w:eastAsia="Times New Roman" w:hAnsi="Arial" w:cs="Arial"/>
          <w:b/>
          <w:bCs/>
          <w:shd w:val="clear" w:color="auto" w:fill="FFFFFF"/>
          <w:lang w:val="es-ES_tradnl" w:eastAsia="es-ES_tradnl"/>
        </w:rPr>
        <w:lastRenderedPageBreak/>
        <w:t>2.1. Carta de presentación de la oferta. Reiteración de línea</w:t>
      </w:r>
    </w:p>
    <w:p w14:paraId="23B8282C" w14:textId="77777777" w:rsidR="00FF35E8" w:rsidRPr="00FF35E8" w:rsidRDefault="00FF35E8" w:rsidP="00FF35E8">
      <w:pPr>
        <w:spacing w:after="0" w:line="276" w:lineRule="auto"/>
        <w:jc w:val="both"/>
        <w:rPr>
          <w:rFonts w:ascii="Arial" w:eastAsia="Times New Roman" w:hAnsi="Arial" w:cs="Arial"/>
          <w:b/>
          <w:bCs/>
          <w:shd w:val="clear" w:color="auto" w:fill="FFFFFF"/>
          <w:lang w:val="es-ES_tradnl" w:eastAsia="es-ES_tradnl"/>
        </w:rPr>
      </w:pPr>
    </w:p>
    <w:p w14:paraId="6AE9F4BA" w14:textId="77777777" w:rsidR="00FF35E8" w:rsidRPr="00FF35E8" w:rsidRDefault="00FF35E8" w:rsidP="00FF35E8">
      <w:pPr>
        <w:spacing w:after="0" w:line="276" w:lineRule="auto"/>
        <w:jc w:val="both"/>
        <w:rPr>
          <w:rFonts w:ascii="Arial" w:eastAsia="Times New Roman" w:hAnsi="Arial" w:cs="Arial"/>
          <w:shd w:val="clear" w:color="auto" w:fill="FFFFFF"/>
          <w:lang w:val="es-ES_tradnl" w:eastAsia="es-ES_tradnl"/>
        </w:rPr>
      </w:pPr>
      <w:r w:rsidRPr="00FF35E8">
        <w:rPr>
          <w:rFonts w:ascii="Arial" w:eastAsia="Times New Roman" w:hAnsi="Arial" w:cs="Arial"/>
          <w:shd w:val="clear" w:color="auto" w:fill="FFFFFF"/>
          <w:lang w:val="es-ES_tradnl" w:eastAsia="es-ES_tradnl"/>
        </w:rPr>
        <w:t>De conformidad con los Documentos Tipo adoptados por Colombia Compra Eficiente</w:t>
      </w:r>
      <w:r w:rsidRPr="00FF35E8">
        <w:rPr>
          <w:rFonts w:ascii="Arial" w:eastAsia="Times New Roman" w:hAnsi="Arial" w:cs="Arial"/>
          <w:shd w:val="clear" w:color="auto" w:fill="FFFFFF"/>
          <w:vertAlign w:val="superscript"/>
          <w:lang w:val="es-ES_tradnl" w:eastAsia="es-ES_tradnl"/>
        </w:rPr>
        <w:footnoteReference w:id="3"/>
      </w:r>
      <w:r w:rsidRPr="00FF35E8">
        <w:rPr>
          <w:rFonts w:ascii="Arial" w:eastAsia="Times New Roman" w:hAnsi="Arial" w:cs="Arial"/>
          <w:shd w:val="clear" w:color="auto" w:fill="FFFFFF"/>
          <w:lang w:val="es-ES_tradnl" w:eastAsia="es-ES_tradnl"/>
        </w:rPr>
        <w:t xml:space="preserve">, el proponente suscribe y presenta el “Formato 1 – Carta de presentación de la oferta”, para manifestar su intención de participar en el Proceso de Contratación. Este documento contiene manifestaciones en las que el oferente debe señalar, entre otros, encontrarse autorizado para suscribir y presentar la oferta, suscribir el contrato en caso de resultar adjudicatario; conocer los documentos, anexos, marices, estudios y demás soportes del Proceso de Contratación; conocer las normas que rigen el proceso de selección, conocer las características, condiciones de ejecución del contrato y riesgos previsibles, y no encontrarse incurso en causales de inhabilidad e incompatibilidad o conflicto de intereses, entre otros. </w:t>
      </w:r>
    </w:p>
    <w:p w14:paraId="2C5E6E1F" w14:textId="77777777" w:rsidR="00FF35E8" w:rsidRPr="00FF35E8" w:rsidRDefault="00FF35E8" w:rsidP="00FF35E8">
      <w:pPr>
        <w:spacing w:before="120" w:after="0"/>
        <w:ind w:firstLine="709"/>
        <w:jc w:val="both"/>
        <w:rPr>
          <w:rFonts w:ascii="Arial" w:eastAsia="Calibri" w:hAnsi="Arial" w:cs="Arial"/>
          <w:color w:val="000000"/>
          <w:szCs w:val="24"/>
          <w:lang w:val="es-ES" w:eastAsia="es-ES_tradnl"/>
        </w:rPr>
      </w:pPr>
      <w:r w:rsidRPr="00FF35E8">
        <w:rPr>
          <w:rFonts w:ascii="Arial" w:eastAsia="Calibri" w:hAnsi="Arial" w:cs="Arial"/>
          <w:color w:val="000000"/>
          <w:szCs w:val="24"/>
          <w:lang w:val="es-ES" w:eastAsia="es-ES_tradnl"/>
        </w:rPr>
        <w:t xml:space="preserve">Resulta importante entender que la propuesta está constituida por una diversidad de documentos y no solamente por la carta de presentación de la oferta, la cual, como su nombre lo indica, es sólo la forma como se introduce al destinatario, en este caso, a la Entidad Estatal, la totalidad de elementos que conforman la oferta. En consecuencia, el entendimiento de la oferta debe estar guiado por la comprensión de todos los documentos que la integran y la función que cumple cada uno de ellos, sin que una oferta pueda limitarse a los que la carta de presentación de la propuesta indica. Este criterio se ha entendido como “Interpretación sistemática o coherente”, el cual ha sido desarrollado por el Consejo de Estado de la siguiente manera: </w:t>
      </w:r>
    </w:p>
    <w:p w14:paraId="3DB35A21" w14:textId="77777777" w:rsidR="00FF35E8" w:rsidRPr="00FF35E8" w:rsidRDefault="00FF35E8" w:rsidP="00FF35E8">
      <w:pPr>
        <w:spacing w:after="0" w:line="276" w:lineRule="auto"/>
        <w:ind w:firstLine="709"/>
        <w:jc w:val="both"/>
        <w:rPr>
          <w:rFonts w:ascii="Arial" w:eastAsia="Calibri" w:hAnsi="Arial" w:cs="Arial"/>
          <w:color w:val="000000"/>
          <w:lang w:val="es-ES_tradnl"/>
        </w:rPr>
      </w:pPr>
    </w:p>
    <w:p w14:paraId="249566AD" w14:textId="77777777" w:rsidR="00FF35E8" w:rsidRPr="00FF35E8" w:rsidRDefault="00FF35E8" w:rsidP="00FF35E8">
      <w:pPr>
        <w:spacing w:after="0" w:line="240" w:lineRule="auto"/>
        <w:ind w:left="709" w:right="709"/>
        <w:jc w:val="both"/>
        <w:rPr>
          <w:rFonts w:ascii="Arial" w:eastAsia="Calibri" w:hAnsi="Arial" w:cs="Arial"/>
          <w:color w:val="000000"/>
          <w:sz w:val="21"/>
          <w:szCs w:val="21"/>
          <w:lang w:val="es-ES_tradnl"/>
        </w:rPr>
      </w:pPr>
      <w:r w:rsidRPr="00FF35E8">
        <w:rPr>
          <w:rFonts w:ascii="Arial" w:eastAsia="Calibri" w:hAnsi="Arial" w:cs="Arial"/>
          <w:color w:val="000000"/>
          <w:sz w:val="21"/>
          <w:szCs w:val="21"/>
          <w:lang w:val="es-ES_tradnl"/>
        </w:rPr>
        <w:t>“Este criterio interpretativo pone de presente la correlación que existe entre las partes constitutivas del discurso, como de cada manifestación del pensamiento, y su referencia común al todo del que hacen parte: correlación y referencia que hacen posible la iluminación recíproca del significado entre el todo y los elementos constitutivos. Constituye un principio evidente de técnica de interpretación textual, que al dirigirse a aclarar el sentido de una declaración de índole jurídica, ordena que el significado de las declaraciones no puede ser segmentado, sino que deba ser atribuido al conjunto de la intención del declarante; es decir, que en presencia de una o varias cláusulas, dentro de un contrato; o de uno o varios artículos, dentro de una ley; o de una o varias leyes dentro del ordenamiento jurídico; o de una o varias declaraciones, dentro de una propuesta para una licitación pública, se debe considerar que hacen parte de un todo, y es por medio de la luz de cuanto emerge del conjunto de la declaración entera, que se determina el sentido jurídico propio del objeto interpretado</w:t>
      </w:r>
      <w:r w:rsidRPr="00FF35E8">
        <w:rPr>
          <w:rFonts w:ascii="Arial" w:eastAsia="Calibri" w:hAnsi="Arial" w:cs="Arial"/>
          <w:color w:val="000000"/>
          <w:sz w:val="21"/>
          <w:szCs w:val="21"/>
          <w:vertAlign w:val="superscript"/>
          <w:lang w:val="es-ES_tradnl"/>
        </w:rPr>
        <w:footnoteReference w:id="4"/>
      </w:r>
      <w:r w:rsidRPr="00FF35E8">
        <w:rPr>
          <w:rFonts w:ascii="Arial" w:eastAsia="Calibri" w:hAnsi="Arial" w:cs="Arial"/>
          <w:color w:val="000000"/>
          <w:sz w:val="21"/>
          <w:szCs w:val="21"/>
          <w:lang w:val="es-ES_tradnl"/>
        </w:rPr>
        <w:t>”.</w:t>
      </w:r>
    </w:p>
    <w:p w14:paraId="1290C7A7" w14:textId="77777777" w:rsidR="00FF35E8" w:rsidRPr="00FF35E8" w:rsidRDefault="00FF35E8" w:rsidP="00FF35E8">
      <w:pPr>
        <w:spacing w:after="0" w:line="276" w:lineRule="auto"/>
        <w:ind w:right="709"/>
        <w:jc w:val="both"/>
        <w:rPr>
          <w:rFonts w:ascii="Arial" w:eastAsia="Calibri" w:hAnsi="Arial" w:cs="Arial"/>
          <w:color w:val="000000"/>
          <w:lang w:val="es-ES_tradnl"/>
        </w:rPr>
      </w:pPr>
    </w:p>
    <w:p w14:paraId="57480C1C" w14:textId="77777777" w:rsidR="00FF35E8" w:rsidRPr="00FF35E8" w:rsidRDefault="00FF35E8" w:rsidP="00FF35E8">
      <w:pPr>
        <w:spacing w:after="0" w:line="276" w:lineRule="auto"/>
        <w:ind w:right="709"/>
        <w:jc w:val="both"/>
        <w:rPr>
          <w:rFonts w:ascii="Arial" w:eastAsia="Calibri" w:hAnsi="Arial" w:cs="Arial"/>
          <w:color w:val="000000"/>
          <w:lang w:val="es-ES_tradnl"/>
        </w:rPr>
      </w:pPr>
      <w:r w:rsidRPr="00FF35E8">
        <w:rPr>
          <w:rFonts w:ascii="Arial" w:eastAsia="Calibri" w:hAnsi="Arial" w:cs="Arial"/>
          <w:color w:val="000000"/>
          <w:lang w:val="es-ES_tradnl"/>
        </w:rPr>
        <w:tab/>
        <w:t xml:space="preserve">Lo anterior no permite inferir que los documentos de la oferta ostentan un carácter de complementariedad y, por lo tanto, no puede entenderse cada uno de ellos como un </w:t>
      </w:r>
      <w:r w:rsidRPr="00FF35E8">
        <w:rPr>
          <w:rFonts w:ascii="Arial" w:eastAsia="Calibri" w:hAnsi="Arial" w:cs="Arial"/>
          <w:color w:val="000000"/>
          <w:lang w:val="es-ES_tradnl"/>
        </w:rPr>
        <w:lastRenderedPageBreak/>
        <w:t>acto aislado dentro del contexto del ofrecimiento que se efectúa en el marco del proceso de selección. Es decir, la carta de presentación de la oferta permite poner en contexto a la entidad contratante frente a una serie de documentos que en su conjunto forman un acervo probatorio de los requisitos que se pretenden hacer valer, y que permiten determinar, entre varias ofertas, la que represente la mejor condición de elegibilidad.</w:t>
      </w:r>
    </w:p>
    <w:p w14:paraId="02058217" w14:textId="77777777" w:rsidR="00FF35E8" w:rsidRPr="00FF35E8" w:rsidRDefault="00FF35E8" w:rsidP="00FF35E8">
      <w:pPr>
        <w:spacing w:before="120" w:after="120" w:line="276" w:lineRule="auto"/>
        <w:ind w:firstLine="709"/>
        <w:jc w:val="both"/>
        <w:rPr>
          <w:rFonts w:ascii="Arial" w:eastAsia="Calibri" w:hAnsi="Arial" w:cs="Arial"/>
          <w:lang w:val="es-ES_tradnl"/>
        </w:rPr>
      </w:pPr>
      <w:r w:rsidRPr="00FF35E8">
        <w:rPr>
          <w:rFonts w:ascii="Arial" w:eastAsia="Calibri" w:hAnsi="Arial" w:cs="Arial"/>
          <w:lang w:val="es-ES_tradnl"/>
        </w:rPr>
        <w:t xml:space="preserve">Los requisitos de los proponentes, que se hacen valer por medio de la oferta en su integralidad, pueden ser entendidos en tres clases: </w:t>
      </w:r>
      <w:r w:rsidRPr="00FF35E8">
        <w:rPr>
          <w:rFonts w:ascii="Arial" w:eastAsia="Calibri" w:hAnsi="Arial" w:cs="Arial"/>
          <w:i/>
          <w:iCs/>
          <w:lang w:val="es-ES_tradnl"/>
        </w:rPr>
        <w:t>subjetivos,</w:t>
      </w:r>
      <w:r w:rsidRPr="00FF35E8">
        <w:rPr>
          <w:rFonts w:ascii="Arial" w:eastAsia="Calibri" w:hAnsi="Arial" w:cs="Arial"/>
          <w:lang w:val="es-ES_tradnl"/>
        </w:rPr>
        <w:t xml:space="preserve"> que atienden a las calidades, capacidades, idoneidad y condiciones de los oferentes; </w:t>
      </w:r>
      <w:r w:rsidRPr="00FF35E8">
        <w:rPr>
          <w:rFonts w:ascii="Arial" w:eastAsia="Calibri" w:hAnsi="Arial" w:cs="Arial"/>
          <w:i/>
          <w:iCs/>
          <w:lang w:val="es-ES_tradnl"/>
        </w:rPr>
        <w:t>objetivos</w:t>
      </w:r>
      <w:r w:rsidRPr="00FF35E8">
        <w:rPr>
          <w:rFonts w:ascii="Arial" w:eastAsia="Calibri" w:hAnsi="Arial" w:cs="Arial"/>
          <w:lang w:val="es-ES_tradnl"/>
        </w:rPr>
        <w:t xml:space="preserve"> que se refieren a aspectos técnicos, económicos, presupuestales, etc., que permiten ponderar las ofertas en su real y efectiva dimensión, y </w:t>
      </w:r>
      <w:r w:rsidRPr="00FF35E8">
        <w:rPr>
          <w:rFonts w:ascii="Arial" w:eastAsia="Calibri" w:hAnsi="Arial" w:cs="Arial"/>
          <w:i/>
          <w:iCs/>
          <w:lang w:val="es-ES_tradnl"/>
        </w:rPr>
        <w:t>formales</w:t>
      </w:r>
      <w:r w:rsidRPr="00FF35E8">
        <w:rPr>
          <w:rFonts w:ascii="Arial" w:eastAsia="Calibri" w:hAnsi="Arial" w:cs="Arial"/>
          <w:lang w:val="es-ES_tradnl"/>
        </w:rPr>
        <w:t xml:space="preserve"> que atienden a la instrumentalización y protocolización de los actos jurídicos, tanto de la propuesta como del contrato estatal. En este último sentido la carta de presentación de la oferta, es una formalidad, que como se ha dejado claro, introduce al destinatario, en este caso, a la Entidad Estatal, la totalidad de los elementos que conforman la oferta. Los requisitos simplemente formales pueden ser subsanados, en este sentido, la carta de presentación de la oferta es un requisito habilitante dentro del Proceso de Contratación, que puede subsanarse. </w:t>
      </w:r>
    </w:p>
    <w:p w14:paraId="285C5FC2" w14:textId="77777777" w:rsidR="00FF35E8" w:rsidRPr="00FF35E8" w:rsidRDefault="00FF35E8" w:rsidP="00FF35E8">
      <w:pPr>
        <w:spacing w:before="120" w:after="0"/>
        <w:ind w:firstLine="708"/>
        <w:jc w:val="both"/>
        <w:rPr>
          <w:rFonts w:ascii="Arial" w:eastAsia="Calibri" w:hAnsi="Arial" w:cs="Arial"/>
          <w:color w:val="000000"/>
          <w:szCs w:val="24"/>
          <w:lang w:val="es-ES" w:eastAsia="es-ES_tradnl"/>
        </w:rPr>
      </w:pPr>
      <w:r w:rsidRPr="00FF35E8">
        <w:rPr>
          <w:rFonts w:ascii="Arial" w:eastAsia="Calibri" w:hAnsi="Arial" w:cs="Arial"/>
          <w:color w:val="000000"/>
          <w:szCs w:val="24"/>
          <w:lang w:val="es-ES" w:eastAsia="es-ES_tradnl"/>
        </w:rPr>
        <w:t>La carta de presentación de la oferta como documento del Proceso de Contratación debe llenarse de acuerdo a lo establecido en el “Formato 1 – Carta de presentación de la oferta”. En esta línea, el oferente individual o plural debe llenar los espacios que estén en corchetes y subrayados en gris en dicho formato, que están contenido en los diferentes Documentos Tipo expedidos por Colombia Compra Eficiente. En ese orden, se resalta que la regla general frente a la aplicación de los Documentos Tipo es su inalterabilidad, y no podrán incluirse o modificarse en los Documentos del Proceso las condiciones habilitantes, los factores técnicos y económicos de escogencia y los sistemas de ponderación aspectos distintos a los señalados en los referidos documentos. En tal sentido, estos sólo se podrán modificar cuando el mismo Documento Tipo lo permita.</w:t>
      </w:r>
    </w:p>
    <w:p w14:paraId="7AD2602E" w14:textId="77777777" w:rsidR="00FF35E8" w:rsidRPr="00FF35E8" w:rsidRDefault="00FF35E8" w:rsidP="00FF35E8">
      <w:pPr>
        <w:spacing w:after="0"/>
        <w:jc w:val="both"/>
        <w:rPr>
          <w:rFonts w:ascii="Arial" w:eastAsia="Calibri" w:hAnsi="Arial" w:cs="Arial"/>
          <w:color w:val="000000"/>
          <w:szCs w:val="24"/>
          <w:lang w:val="es-ES" w:eastAsia="es-ES_tradnl"/>
        </w:rPr>
      </w:pPr>
    </w:p>
    <w:p w14:paraId="73C0B939" w14:textId="426F5955" w:rsidR="00FF35E8" w:rsidRPr="00FF35E8" w:rsidRDefault="00FF35E8" w:rsidP="00FF35E8">
      <w:pPr>
        <w:spacing w:after="0"/>
        <w:jc w:val="both"/>
        <w:rPr>
          <w:rFonts w:ascii="Arial" w:eastAsia="Calibri" w:hAnsi="Arial" w:cs="Arial"/>
          <w:b/>
          <w:bCs/>
          <w:color w:val="000000"/>
          <w:szCs w:val="24"/>
          <w:lang w:val="es-ES" w:eastAsia="es-ES_tradnl"/>
        </w:rPr>
      </w:pPr>
      <w:r w:rsidRPr="00FF35E8">
        <w:rPr>
          <w:rFonts w:ascii="Arial" w:eastAsia="Calibri" w:hAnsi="Arial" w:cs="Arial"/>
          <w:b/>
          <w:bCs/>
          <w:color w:val="000000"/>
          <w:szCs w:val="24"/>
          <w:lang w:val="es-ES" w:eastAsia="es-ES_tradnl"/>
        </w:rPr>
        <w:t>2.2. Subsanabilidad de las ofertas en los procesos de selección del Estatuto General de Contratación de la Administración Pública</w:t>
      </w:r>
    </w:p>
    <w:p w14:paraId="438EAAEE" w14:textId="77777777" w:rsidR="00FF35E8" w:rsidRPr="00FF35E8" w:rsidRDefault="00FF35E8" w:rsidP="00FF35E8">
      <w:pPr>
        <w:spacing w:after="0"/>
        <w:jc w:val="both"/>
        <w:rPr>
          <w:rFonts w:ascii="Arial" w:eastAsia="Calibri" w:hAnsi="Arial" w:cs="Arial"/>
          <w:b/>
          <w:bCs/>
          <w:color w:val="000000"/>
          <w:szCs w:val="24"/>
          <w:lang w:val="es-ES" w:eastAsia="es-ES_tradnl"/>
        </w:rPr>
      </w:pPr>
    </w:p>
    <w:p w14:paraId="5340439A" w14:textId="77777777" w:rsidR="00FF35E8" w:rsidRPr="00FF35E8" w:rsidRDefault="00FF35E8" w:rsidP="00FF35E8">
      <w:pPr>
        <w:spacing w:after="0" w:line="276" w:lineRule="auto"/>
        <w:ind w:right="49"/>
        <w:jc w:val="both"/>
        <w:rPr>
          <w:rFonts w:ascii="Arial" w:eastAsia="Calibri" w:hAnsi="Arial" w:cs="Arial"/>
        </w:rPr>
      </w:pPr>
      <w:r w:rsidRPr="00FF35E8">
        <w:rPr>
          <w:rFonts w:ascii="Arial" w:eastAsia="Calibri" w:hAnsi="Arial" w:cs="Arial"/>
        </w:rPr>
        <w:t>La regla de subsanabilidad es un mecanismo previsto en los Procesos de Contratación que se regulan por el Estatuto General de Contratación de la Administración Pública,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636E4E4C" w14:textId="77777777" w:rsidR="00FF35E8" w:rsidRPr="00FF35E8" w:rsidRDefault="00FF35E8" w:rsidP="00FF35E8">
      <w:pPr>
        <w:spacing w:after="0" w:line="276" w:lineRule="auto"/>
        <w:ind w:right="49"/>
        <w:jc w:val="both"/>
        <w:rPr>
          <w:rFonts w:ascii="Arial" w:eastAsia="Calibri" w:hAnsi="Arial" w:cs="Arial"/>
        </w:rPr>
      </w:pPr>
    </w:p>
    <w:p w14:paraId="19BEB445" w14:textId="77777777" w:rsidR="00FF35E8" w:rsidRPr="00FF35E8" w:rsidRDefault="00FF35E8" w:rsidP="00FF35E8">
      <w:pPr>
        <w:tabs>
          <w:tab w:val="left" w:pos="567"/>
        </w:tabs>
        <w:spacing w:after="0" w:line="240" w:lineRule="auto"/>
        <w:ind w:left="709" w:right="709"/>
        <w:jc w:val="both"/>
        <w:rPr>
          <w:rFonts w:ascii="Arial" w:eastAsia="Calibri" w:hAnsi="Arial" w:cs="Arial"/>
          <w:sz w:val="21"/>
          <w:szCs w:val="21"/>
        </w:rPr>
      </w:pPr>
      <w:r w:rsidRPr="00FF35E8">
        <w:rPr>
          <w:rFonts w:ascii="Arial" w:eastAsia="Calibri" w:hAnsi="Arial" w:cs="Arial"/>
          <w:sz w:val="21"/>
          <w:szCs w:val="21"/>
        </w:rPr>
        <w:t xml:space="preserve">“[…] materializar un principio general de primacía de lo sustancial sobre lo formal, adoptando medidas de saneamiento del proceso de selección tendientes a que los meros defectos formales, que no afecten sustancialmente la oferta, referidos a la </w:t>
      </w:r>
      <w:r w:rsidRPr="00FF35E8">
        <w:rPr>
          <w:rFonts w:ascii="Arial" w:eastAsia="Calibri" w:hAnsi="Arial" w:cs="Arial"/>
          <w:sz w:val="21"/>
          <w:szCs w:val="21"/>
        </w:rPr>
        <w:lastRenderedPageBreak/>
        <w:t>documentación o instrumentalización de la misma, priven a la administración de considerar una oferta por causa de tales falencias</w:t>
      </w:r>
      <w:r w:rsidRPr="00FF35E8">
        <w:rPr>
          <w:rFonts w:ascii="Arial" w:eastAsia="Calibri" w:hAnsi="Arial" w:cs="Arial"/>
          <w:sz w:val="21"/>
          <w:szCs w:val="21"/>
          <w:vertAlign w:val="superscript"/>
        </w:rPr>
        <w:footnoteReference w:id="5"/>
      </w:r>
      <w:r w:rsidRPr="00FF35E8">
        <w:rPr>
          <w:rFonts w:ascii="Arial" w:eastAsia="Calibri" w:hAnsi="Arial" w:cs="Arial"/>
          <w:sz w:val="21"/>
          <w:szCs w:val="21"/>
        </w:rPr>
        <w:t xml:space="preserve">”. </w:t>
      </w:r>
    </w:p>
    <w:p w14:paraId="44167BCE" w14:textId="77777777" w:rsidR="00FF35E8" w:rsidRPr="00FF35E8" w:rsidRDefault="00FF35E8" w:rsidP="00FF35E8">
      <w:pPr>
        <w:widowControl w:val="0"/>
        <w:autoSpaceDE w:val="0"/>
        <w:autoSpaceDN w:val="0"/>
        <w:spacing w:after="0" w:line="276" w:lineRule="auto"/>
        <w:ind w:left="100" w:right="533" w:firstLine="708"/>
        <w:jc w:val="both"/>
        <w:rPr>
          <w:rFonts w:ascii="Arial" w:eastAsia="Arial" w:hAnsi="Arial" w:cs="Arial"/>
          <w:lang w:val="es-ES"/>
        </w:rPr>
      </w:pPr>
    </w:p>
    <w:p w14:paraId="2D986547" w14:textId="77777777" w:rsidR="00FF35E8" w:rsidRPr="00FF35E8" w:rsidRDefault="00FF35E8" w:rsidP="00FF35E8">
      <w:pPr>
        <w:widowControl w:val="0"/>
        <w:autoSpaceDE w:val="0"/>
        <w:autoSpaceDN w:val="0"/>
        <w:spacing w:after="0" w:line="276" w:lineRule="auto"/>
        <w:ind w:firstLine="609"/>
        <w:jc w:val="both"/>
        <w:rPr>
          <w:rFonts w:ascii="Arial" w:eastAsia="Calibri" w:hAnsi="Arial" w:cs="Arial"/>
        </w:rPr>
      </w:pPr>
      <w:r w:rsidRPr="00FF35E8">
        <w:rPr>
          <w:rFonts w:ascii="Arial" w:eastAsia="Calibri" w:hAnsi="Arial" w:cs="Arial"/>
        </w:rPr>
        <w:t>Esta Subdirección se ha pronunciado en diversas oportunidades acerca del alcance de la regla de la subsanabilidad, contenida actualmente en el parágrafo 1 del artículo 5 de la Ley 1150 de 2007, modificado por el artículo 5 de la Ley 1882 de 2018</w:t>
      </w:r>
      <w:r w:rsidRPr="00FF35E8">
        <w:rPr>
          <w:rFonts w:ascii="Arial" w:eastAsia="Calibri" w:hAnsi="Arial" w:cs="Arial"/>
          <w:vertAlign w:val="superscript"/>
        </w:rPr>
        <w:footnoteReference w:id="6"/>
      </w:r>
      <w:r w:rsidRPr="00FF35E8">
        <w:rPr>
          <w:rFonts w:ascii="Arial" w:eastAsia="Calibri" w:hAnsi="Arial" w:cs="Aria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4A722DA8" w14:textId="77777777" w:rsidR="00FF35E8" w:rsidRPr="00FF35E8" w:rsidRDefault="00FF35E8" w:rsidP="00FF35E8">
      <w:pPr>
        <w:widowControl w:val="0"/>
        <w:tabs>
          <w:tab w:val="left" w:pos="284"/>
        </w:tabs>
        <w:autoSpaceDE w:val="0"/>
        <w:autoSpaceDN w:val="0"/>
        <w:spacing w:before="120" w:after="0" w:line="276" w:lineRule="auto"/>
        <w:ind w:firstLine="709"/>
        <w:jc w:val="both"/>
        <w:rPr>
          <w:rFonts w:ascii="Arial" w:eastAsia="Calibri" w:hAnsi="Arial" w:cs="Arial"/>
          <w:color w:val="000000"/>
          <w:sz w:val="24"/>
          <w:lang w:val="es-ES_tradnl"/>
        </w:rPr>
      </w:pPr>
      <w:r w:rsidRPr="00FF35E8">
        <w:rPr>
          <w:rFonts w:ascii="Arial" w:eastAsia="Calibri" w:hAnsi="Arial" w:cs="Arial"/>
        </w:rPr>
        <w:t xml:space="preserve">En este sentido, bajo la normativa actual que regula la subsanabilidad de las ofertas debe tenerse en cuenta que </w:t>
      </w:r>
      <w:r w:rsidRPr="00FF35E8">
        <w:rPr>
          <w:rFonts w:ascii="Arial" w:eastAsia="Arial" w:hAnsi="Arial" w:cs="Arial"/>
          <w:lang w:val="es-ES"/>
        </w:rPr>
        <w:t>el</w:t>
      </w:r>
      <w:r w:rsidRPr="00FF35E8">
        <w:rPr>
          <w:rFonts w:ascii="Arial" w:eastAsia="Arial" w:hAnsi="Arial" w:cs="Arial"/>
          <w:spacing w:val="-12"/>
          <w:lang w:val="es-ES"/>
        </w:rPr>
        <w:t xml:space="preserve"> </w:t>
      </w:r>
      <w:r w:rsidRPr="00FF35E8">
        <w:rPr>
          <w:rFonts w:ascii="Arial" w:eastAsia="Arial" w:hAnsi="Arial" w:cs="Arial"/>
          <w:lang w:val="es-ES"/>
        </w:rPr>
        <w:t>legislador</w:t>
      </w:r>
      <w:r w:rsidRPr="00FF35E8">
        <w:rPr>
          <w:rFonts w:ascii="Arial" w:eastAsia="Arial" w:hAnsi="Arial" w:cs="Arial"/>
          <w:spacing w:val="-12"/>
          <w:lang w:val="es-ES"/>
        </w:rPr>
        <w:t xml:space="preserve"> </w:t>
      </w:r>
      <w:r w:rsidRPr="00FF35E8">
        <w:rPr>
          <w:rFonts w:ascii="Arial" w:eastAsia="Arial" w:hAnsi="Arial" w:cs="Arial"/>
          <w:lang w:val="es-ES"/>
        </w:rPr>
        <w:t>expidió</w:t>
      </w:r>
      <w:r w:rsidRPr="00FF35E8">
        <w:rPr>
          <w:rFonts w:ascii="Arial" w:eastAsia="Arial" w:hAnsi="Arial" w:cs="Arial"/>
          <w:spacing w:val="-13"/>
          <w:lang w:val="es-ES"/>
        </w:rPr>
        <w:t xml:space="preserve"> </w:t>
      </w:r>
      <w:r w:rsidRPr="00FF35E8">
        <w:rPr>
          <w:rFonts w:ascii="Arial" w:eastAsia="Arial" w:hAnsi="Arial" w:cs="Arial"/>
          <w:lang w:val="es-ES"/>
        </w:rPr>
        <w:t>la</w:t>
      </w:r>
      <w:r w:rsidRPr="00FF35E8">
        <w:rPr>
          <w:rFonts w:ascii="Arial" w:eastAsia="Arial" w:hAnsi="Arial" w:cs="Arial"/>
          <w:spacing w:val="-12"/>
          <w:lang w:val="es-ES"/>
        </w:rPr>
        <w:t xml:space="preserve"> </w:t>
      </w:r>
      <w:r w:rsidRPr="00FF35E8">
        <w:rPr>
          <w:rFonts w:ascii="Arial" w:eastAsia="Arial" w:hAnsi="Arial" w:cs="Arial"/>
          <w:lang w:val="es-ES"/>
        </w:rPr>
        <w:t>Ley</w:t>
      </w:r>
      <w:r w:rsidRPr="00FF35E8">
        <w:rPr>
          <w:rFonts w:ascii="Arial" w:eastAsia="Arial" w:hAnsi="Arial" w:cs="Arial"/>
          <w:spacing w:val="-13"/>
          <w:lang w:val="es-ES"/>
        </w:rPr>
        <w:t xml:space="preserve"> </w:t>
      </w:r>
      <w:r w:rsidRPr="00FF35E8">
        <w:rPr>
          <w:rFonts w:ascii="Arial" w:eastAsia="Arial" w:hAnsi="Arial" w:cs="Arial"/>
          <w:lang w:val="es-ES"/>
        </w:rPr>
        <w:t>1882</w:t>
      </w:r>
      <w:r w:rsidRPr="00FF35E8">
        <w:rPr>
          <w:rFonts w:ascii="Arial" w:eastAsia="Arial" w:hAnsi="Arial" w:cs="Arial"/>
          <w:spacing w:val="-13"/>
          <w:lang w:val="es-ES"/>
        </w:rPr>
        <w:t xml:space="preserve"> </w:t>
      </w:r>
      <w:r w:rsidRPr="00FF35E8">
        <w:rPr>
          <w:rFonts w:ascii="Arial" w:eastAsia="Arial" w:hAnsi="Arial" w:cs="Arial"/>
          <w:lang w:val="es-ES"/>
        </w:rPr>
        <w:t>de</w:t>
      </w:r>
      <w:r w:rsidRPr="00FF35E8">
        <w:rPr>
          <w:rFonts w:ascii="Arial" w:eastAsia="Arial" w:hAnsi="Arial" w:cs="Arial"/>
          <w:spacing w:val="-12"/>
          <w:lang w:val="es-ES"/>
        </w:rPr>
        <w:t xml:space="preserve"> </w:t>
      </w:r>
      <w:r w:rsidRPr="00FF35E8">
        <w:rPr>
          <w:rFonts w:ascii="Arial" w:eastAsia="Arial" w:hAnsi="Arial" w:cs="Arial"/>
          <w:lang w:val="es-ES"/>
        </w:rPr>
        <w:t>2018,</w:t>
      </w:r>
      <w:r w:rsidRPr="00FF35E8">
        <w:rPr>
          <w:rFonts w:ascii="Arial" w:eastAsia="Arial" w:hAnsi="Arial" w:cs="Arial"/>
          <w:spacing w:val="-13"/>
          <w:lang w:val="es-ES"/>
        </w:rPr>
        <w:t xml:space="preserve"> </w:t>
      </w:r>
      <w:r w:rsidRPr="00FF35E8">
        <w:rPr>
          <w:rFonts w:ascii="Arial" w:eastAsia="Arial" w:hAnsi="Arial" w:cs="Arial"/>
          <w:lang w:val="es-ES"/>
        </w:rPr>
        <w:t>con</w:t>
      </w:r>
      <w:r w:rsidRPr="00FF35E8">
        <w:rPr>
          <w:rFonts w:ascii="Arial" w:eastAsia="Arial" w:hAnsi="Arial" w:cs="Arial"/>
          <w:spacing w:val="-12"/>
          <w:lang w:val="es-ES"/>
        </w:rPr>
        <w:t xml:space="preserve"> </w:t>
      </w:r>
      <w:r w:rsidRPr="00FF35E8">
        <w:rPr>
          <w:rFonts w:ascii="Arial" w:eastAsia="Arial" w:hAnsi="Arial" w:cs="Arial"/>
          <w:lang w:val="es-ES"/>
        </w:rPr>
        <w:t>la</w:t>
      </w:r>
      <w:r w:rsidRPr="00FF35E8">
        <w:rPr>
          <w:rFonts w:ascii="Arial" w:eastAsia="Arial" w:hAnsi="Arial" w:cs="Arial"/>
          <w:spacing w:val="-13"/>
          <w:lang w:val="es-ES"/>
        </w:rPr>
        <w:t xml:space="preserve"> </w:t>
      </w:r>
      <w:r w:rsidRPr="00FF35E8">
        <w:rPr>
          <w:rFonts w:ascii="Arial" w:eastAsia="Arial" w:hAnsi="Arial" w:cs="Arial"/>
          <w:lang w:val="es-ES"/>
        </w:rPr>
        <w:t xml:space="preserve">finalidad de introducir cambios y ajustes para fortalecer la contratación pública. </w:t>
      </w:r>
      <w:r w:rsidRPr="00FF35E8">
        <w:rPr>
          <w:rFonts w:ascii="Arial" w:eastAsia="Arial" w:hAnsi="Arial" w:cs="Arial"/>
          <w:color w:val="000000"/>
          <w:lang w:val="es-ES_tradnl"/>
        </w:rPr>
        <w:t>Particularmente, el artículo 5 de dicha norma, modificó el parágrafo 1º del artículo 5 de la Ley 1150 de 2007, así:</w:t>
      </w:r>
      <w:r w:rsidRPr="00FF35E8">
        <w:rPr>
          <w:rFonts w:ascii="Arial" w:eastAsia="Arial" w:hAnsi="Arial" w:cs="Arial"/>
          <w:color w:val="000000"/>
          <w:sz w:val="24"/>
          <w:lang w:val="es-ES_tradnl"/>
        </w:rPr>
        <w:t xml:space="preserve"> </w:t>
      </w:r>
    </w:p>
    <w:p w14:paraId="194E7035" w14:textId="77777777" w:rsidR="00FF35E8" w:rsidRPr="00FF35E8" w:rsidRDefault="00FF35E8" w:rsidP="00FF35E8">
      <w:pPr>
        <w:spacing w:after="0" w:line="276" w:lineRule="auto"/>
        <w:jc w:val="both"/>
        <w:rPr>
          <w:rFonts w:ascii="Arial" w:eastAsia="Calibri" w:hAnsi="Arial" w:cs="Arial"/>
          <w:color w:val="000000"/>
          <w:sz w:val="24"/>
          <w:lang w:val="es-ES_tradnl"/>
        </w:rPr>
      </w:pPr>
    </w:p>
    <w:p w14:paraId="7133637D" w14:textId="77777777" w:rsidR="00FF35E8" w:rsidRPr="00FF35E8" w:rsidRDefault="00FF35E8" w:rsidP="00FF35E8">
      <w:pPr>
        <w:spacing w:after="0" w:line="240" w:lineRule="auto"/>
        <w:ind w:left="709" w:right="709"/>
        <w:jc w:val="both"/>
        <w:rPr>
          <w:rFonts w:ascii="Arial" w:eastAsia="Calibri" w:hAnsi="Arial" w:cs="Arial"/>
          <w:color w:val="000000"/>
          <w:sz w:val="21"/>
          <w:szCs w:val="21"/>
          <w:lang w:val="es-ES_tradnl"/>
        </w:rPr>
      </w:pPr>
      <w:r w:rsidRPr="00FF35E8">
        <w:rPr>
          <w:rFonts w:ascii="Arial" w:eastAsia="Calibri" w:hAnsi="Arial" w:cs="Arial"/>
          <w:color w:val="000000"/>
          <w:sz w:val="21"/>
          <w:szCs w:val="21"/>
          <w:lang w:val="es-ES_tradnl"/>
        </w:rPr>
        <w:t xml:space="preserve">“Artículo 5°. De la selección objetiva. </w:t>
      </w:r>
    </w:p>
    <w:p w14:paraId="5B7CA220" w14:textId="77777777" w:rsidR="00FF35E8" w:rsidRPr="00FF35E8" w:rsidRDefault="00FF35E8" w:rsidP="00FF35E8">
      <w:pPr>
        <w:spacing w:after="120" w:line="240" w:lineRule="auto"/>
        <w:ind w:left="709" w:right="709"/>
        <w:jc w:val="both"/>
        <w:rPr>
          <w:rFonts w:ascii="Arial" w:eastAsia="Calibri" w:hAnsi="Arial" w:cs="Arial"/>
          <w:color w:val="000000"/>
          <w:sz w:val="21"/>
          <w:szCs w:val="21"/>
          <w:lang w:val="es-ES_tradnl"/>
        </w:rPr>
      </w:pPr>
      <w:r w:rsidRPr="00FF35E8">
        <w:rPr>
          <w:rFonts w:ascii="Arial" w:eastAsia="Calibri" w:hAnsi="Arial" w:cs="Arial"/>
          <w:color w:val="000000"/>
          <w:sz w:val="21"/>
          <w:szCs w:val="21"/>
          <w:lang w:val="es-ES_tradnl"/>
        </w:rPr>
        <w:t xml:space="preserve">[...] </w:t>
      </w:r>
    </w:p>
    <w:p w14:paraId="57649F3C" w14:textId="77777777" w:rsidR="00FF35E8" w:rsidRPr="00FF35E8" w:rsidRDefault="00FF35E8" w:rsidP="00FF35E8">
      <w:pPr>
        <w:spacing w:after="0" w:line="240" w:lineRule="auto"/>
        <w:ind w:left="709" w:right="709"/>
        <w:jc w:val="both"/>
        <w:rPr>
          <w:rFonts w:ascii="Arial" w:eastAsia="Calibri" w:hAnsi="Arial" w:cs="Arial"/>
          <w:color w:val="000000"/>
          <w:sz w:val="21"/>
          <w:szCs w:val="21"/>
          <w:lang w:val="es-ES_tradnl"/>
        </w:rPr>
      </w:pPr>
      <w:r w:rsidRPr="00FF35E8">
        <w:rPr>
          <w:rFonts w:ascii="Arial" w:eastAsia="Calibri" w:hAnsi="Arial" w:cs="Arial"/>
          <w:color w:val="000000"/>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4A3D9311" w14:textId="77777777" w:rsidR="00FF35E8" w:rsidRPr="00FF35E8" w:rsidRDefault="00FF35E8" w:rsidP="00FF35E8">
      <w:pPr>
        <w:spacing w:after="0" w:line="240" w:lineRule="auto"/>
        <w:jc w:val="both"/>
        <w:rPr>
          <w:rFonts w:ascii="Arial" w:eastAsia="Calibri" w:hAnsi="Arial" w:cs="Arial"/>
          <w:b/>
          <w:color w:val="000000"/>
          <w:sz w:val="24"/>
          <w:lang w:val="es-ES_tradnl"/>
        </w:rPr>
      </w:pPr>
    </w:p>
    <w:p w14:paraId="373FDDF3" w14:textId="77777777" w:rsidR="00FF35E8" w:rsidRPr="00FF35E8" w:rsidRDefault="00FF35E8" w:rsidP="00FF35E8">
      <w:pPr>
        <w:spacing w:after="120" w:line="276" w:lineRule="auto"/>
        <w:ind w:firstLine="709"/>
        <w:jc w:val="both"/>
        <w:rPr>
          <w:rFonts w:ascii="Arial" w:eastAsia="Arial" w:hAnsi="Arial" w:cs="Arial"/>
          <w:color w:val="000000"/>
          <w:szCs w:val="24"/>
          <w:lang w:val="es-ES" w:eastAsia="es-MX"/>
        </w:rPr>
      </w:pPr>
      <w:r w:rsidRPr="00FF35E8">
        <w:rPr>
          <w:rFonts w:ascii="Arial" w:eastAsia="Calibri" w:hAnsi="Arial" w:cs="Arial"/>
          <w:color w:val="000000"/>
          <w:lang w:val="es-ES_tradnl"/>
        </w:rPr>
        <w:t>De lo anterior, se colige que la disposición precitada: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tres aspectos que se analizarán a continuación</w:t>
      </w:r>
      <w:r w:rsidRPr="00FF35E8">
        <w:rPr>
          <w:rFonts w:ascii="Arial" w:eastAsia="Arial" w:hAnsi="Arial" w:cs="Arial"/>
          <w:color w:val="000000"/>
          <w:szCs w:val="24"/>
          <w:lang w:val="es-ES" w:eastAsia="es-MX"/>
        </w:rPr>
        <w:t xml:space="preserve">. </w:t>
      </w:r>
    </w:p>
    <w:p w14:paraId="283286E6" w14:textId="64B8AD51" w:rsidR="00FF35E8" w:rsidRPr="00FF35E8" w:rsidRDefault="00FF35E8" w:rsidP="00FF35E8">
      <w:pPr>
        <w:spacing w:after="120" w:line="276" w:lineRule="auto"/>
        <w:ind w:firstLine="709"/>
        <w:jc w:val="both"/>
        <w:rPr>
          <w:rFonts w:ascii="Arial" w:eastAsia="Arial" w:hAnsi="Arial" w:cs="Arial"/>
          <w:color w:val="000000"/>
          <w:szCs w:val="24"/>
          <w:lang w:val="es-ES" w:eastAsia="es-MX"/>
        </w:rPr>
      </w:pPr>
      <w:r w:rsidRPr="00FF35E8">
        <w:rPr>
          <w:rFonts w:ascii="Arial" w:eastAsia="Arial" w:hAnsi="Arial" w:cs="Arial"/>
          <w:color w:val="000000"/>
          <w:szCs w:val="24"/>
          <w:lang w:val="es-ES" w:eastAsia="es-MX"/>
        </w:rPr>
        <w:lastRenderedPageBreak/>
        <w:t xml:space="preserve">El </w:t>
      </w:r>
      <w:r w:rsidRPr="00FF35E8">
        <w:rPr>
          <w:rFonts w:ascii="Arial" w:eastAsia="Arial" w:hAnsi="Arial" w:cs="Arial"/>
          <w:i/>
          <w:iCs/>
          <w:color w:val="000000"/>
          <w:szCs w:val="24"/>
          <w:lang w:val="es-ES" w:eastAsia="es-MX"/>
        </w:rPr>
        <w:t>primero</w:t>
      </w:r>
      <w:r w:rsidRPr="00FF35E8">
        <w:rPr>
          <w:rFonts w:ascii="Arial" w:eastAsia="Arial" w:hAnsi="Arial" w:cs="Arial"/>
          <w:color w:val="000000"/>
          <w:szCs w:val="24"/>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w:t>
      </w:r>
      <w:r w:rsidR="004824C0">
        <w:rPr>
          <w:rFonts w:ascii="Arial" w:eastAsia="Arial" w:hAnsi="Arial" w:cs="Arial"/>
          <w:color w:val="000000"/>
          <w:szCs w:val="24"/>
          <w:lang w:val="es-ES" w:eastAsia="es-MX"/>
        </w:rPr>
        <w:t xml:space="preserve"> </w:t>
      </w:r>
      <w:r w:rsidRPr="00FF35E8">
        <w:rPr>
          <w:rFonts w:ascii="Arial" w:eastAsia="Arial" w:hAnsi="Arial" w:cs="Arial"/>
          <w:color w:val="000000"/>
          <w:szCs w:val="24"/>
          <w:lang w:val="es-ES" w:eastAsia="es-MX"/>
        </w:rPr>
        <w:t>para el proceso de selección a través del sistema de subasta: en este último los documentos o requisitos subsanables deben solicitarse, como límite final, hasta el momento previo a su realización</w:t>
      </w:r>
      <w:r w:rsidRPr="00FF35E8">
        <w:rPr>
          <w:rFonts w:ascii="Arial" w:eastAsia="Arial" w:hAnsi="Arial" w:cs="Arial"/>
          <w:color w:val="000000"/>
          <w:vertAlign w:val="superscript"/>
          <w:lang w:eastAsia="es-MX"/>
        </w:rPr>
        <w:footnoteReference w:id="7"/>
      </w:r>
      <w:r w:rsidRPr="00FF35E8">
        <w:rPr>
          <w:rFonts w:ascii="Arial" w:eastAsia="Arial" w:hAnsi="Arial" w:cs="Arial"/>
          <w:color w:val="000000"/>
          <w:szCs w:val="24"/>
          <w:lang w:val="es-ES" w:eastAsia="es-MX"/>
        </w:rPr>
        <w:t>.</w:t>
      </w:r>
      <w:r w:rsidR="00694C02">
        <w:rPr>
          <w:rFonts w:ascii="Arial" w:eastAsia="Arial" w:hAnsi="Arial" w:cs="Arial"/>
          <w:color w:val="000000"/>
          <w:szCs w:val="24"/>
          <w:lang w:val="es-ES" w:eastAsia="es-MX"/>
        </w:rPr>
        <w:t xml:space="preserve"> Sin embargo, para el caso de los procesos de mínima cuantía, deberá tenerse en cuenta la regla dispuesta en </w:t>
      </w:r>
      <w:r w:rsidR="00D0571B">
        <w:rPr>
          <w:rFonts w:ascii="Arial" w:eastAsia="Arial" w:hAnsi="Arial" w:cs="Arial"/>
          <w:color w:val="000000"/>
          <w:szCs w:val="24"/>
          <w:lang w:val="es-ES" w:eastAsia="es-MX"/>
        </w:rPr>
        <w:t>el numeral 5 y 6 del artículo 2.2.1.2.1</w:t>
      </w:r>
      <w:r w:rsidR="000C0671">
        <w:rPr>
          <w:rFonts w:ascii="Arial" w:eastAsia="Arial" w:hAnsi="Arial" w:cs="Arial"/>
          <w:color w:val="000000"/>
          <w:szCs w:val="24"/>
          <w:lang w:val="es-ES" w:eastAsia="es-MX"/>
        </w:rPr>
        <w:t>.5.2 del Decreto 1860 de 2021.</w:t>
      </w:r>
    </w:p>
    <w:p w14:paraId="356DF44E" w14:textId="77777777" w:rsidR="00FF35E8" w:rsidRPr="00FF35E8" w:rsidRDefault="00FF35E8" w:rsidP="00FF35E8">
      <w:pPr>
        <w:spacing w:after="120" w:line="276" w:lineRule="auto"/>
        <w:ind w:firstLine="709"/>
        <w:jc w:val="both"/>
        <w:rPr>
          <w:rFonts w:ascii="Arial" w:eastAsia="Arial" w:hAnsi="Arial" w:cs="Arial"/>
          <w:color w:val="000000"/>
          <w:szCs w:val="24"/>
          <w:lang w:val="es-ES" w:eastAsia="es-MX"/>
        </w:rPr>
      </w:pPr>
      <w:r w:rsidRPr="00FF35E8">
        <w:rPr>
          <w:rFonts w:ascii="Arial" w:eastAsia="Times New Roman" w:hAnsi="Arial" w:cs="Arial"/>
          <w:color w:val="000000"/>
          <w:szCs w:val="24"/>
          <w:shd w:val="clear" w:color="auto" w:fill="FFFFFF"/>
          <w:lang w:eastAsia="es-MX"/>
        </w:rPr>
        <w:t>Frente a la regla general, como lo explicó esta Agencia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56422A81" w14:textId="77777777" w:rsidR="00FF35E8" w:rsidRPr="00FF35E8" w:rsidRDefault="00FF35E8" w:rsidP="00FF35E8">
      <w:pPr>
        <w:spacing w:after="120" w:line="276" w:lineRule="auto"/>
        <w:ind w:firstLine="720"/>
        <w:jc w:val="both"/>
        <w:rPr>
          <w:rFonts w:ascii="Arial" w:eastAsia="Calibri" w:hAnsi="Arial" w:cs="Arial"/>
          <w:color w:val="000000"/>
          <w:sz w:val="21"/>
          <w:szCs w:val="21"/>
          <w:lang w:eastAsia="es-MX"/>
        </w:rPr>
      </w:pPr>
      <w:r w:rsidRPr="00FF35E8">
        <w:rPr>
          <w:rFonts w:ascii="Arial" w:eastAsia="Arial" w:hAnsi="Arial" w:cs="Arial"/>
          <w:color w:val="000000"/>
          <w:szCs w:val="24"/>
          <w:lang w:val="es-ES" w:eastAsia="es-MX"/>
        </w:rPr>
        <w:t xml:space="preserve">De otro lado, el </w:t>
      </w:r>
      <w:r w:rsidRPr="00FF35E8">
        <w:rPr>
          <w:rFonts w:ascii="Arial" w:eastAsia="Arial" w:hAnsi="Arial" w:cs="Arial"/>
          <w:i/>
          <w:iCs/>
          <w:color w:val="000000"/>
          <w:szCs w:val="24"/>
          <w:lang w:val="es-ES" w:eastAsia="es-MX"/>
        </w:rPr>
        <w:t>segundo</w:t>
      </w:r>
      <w:r w:rsidRPr="00FF35E8">
        <w:rPr>
          <w:rFonts w:ascii="Arial" w:eastAsia="Arial" w:hAnsi="Arial" w:cs="Arial"/>
          <w:color w:val="000000"/>
          <w:szCs w:val="24"/>
          <w:lang w:val="es-ES" w:eastAsia="es-MX"/>
        </w:rPr>
        <w:t xml:space="preserve"> cambio importante de la Ley 1882 de 2018</w:t>
      </w:r>
      <w:r w:rsidRPr="00FF35E8">
        <w:rPr>
          <w:rFonts w:ascii="Arial" w:eastAsia="Arial" w:hAnsi="Arial" w:cs="Arial"/>
          <w:color w:val="000000"/>
          <w:szCs w:val="24"/>
          <w:lang w:eastAsia="es-MX"/>
        </w:rPr>
        <w:t xml:space="preserve"> </w:t>
      </w:r>
      <w:r w:rsidRPr="00FF35E8">
        <w:rPr>
          <w:rFonts w:ascii="Arial" w:eastAsia="Calibri" w:hAnsi="Arial" w:cs="Arial"/>
          <w:color w:val="000000"/>
          <w:szCs w:val="24"/>
          <w:lang w:eastAsia="es-MX"/>
        </w:rPr>
        <w:t>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43656C5B" w14:textId="77777777" w:rsidR="00FF35E8" w:rsidRPr="00FF35E8" w:rsidRDefault="00FF35E8" w:rsidP="00FF35E8">
      <w:pPr>
        <w:spacing w:after="0" w:line="276" w:lineRule="auto"/>
        <w:ind w:firstLine="709"/>
        <w:jc w:val="both"/>
        <w:rPr>
          <w:rFonts w:ascii="Arial" w:eastAsia="Times New Roman" w:hAnsi="Arial" w:cs="Arial"/>
          <w:szCs w:val="24"/>
          <w:bdr w:val="none" w:sz="0" w:space="0" w:color="auto" w:frame="1"/>
          <w:lang w:val="es-ES_tradnl" w:eastAsia="es-MX"/>
        </w:rPr>
      </w:pPr>
      <w:r w:rsidRPr="00FF35E8">
        <w:rPr>
          <w:rFonts w:ascii="Arial" w:eastAsia="Arial" w:hAnsi="Arial" w:cs="Arial"/>
          <w:color w:val="000000"/>
          <w:szCs w:val="24"/>
          <w:lang w:eastAsia="es-MX"/>
        </w:rPr>
        <w:t>El último cambio</w:t>
      </w:r>
      <w:r w:rsidRPr="00FF35E8">
        <w:rPr>
          <w:rFonts w:ascii="Arial" w:eastAsia="Arial" w:hAnsi="Arial" w:cs="Arial"/>
          <w:color w:val="000000"/>
          <w:szCs w:val="24"/>
          <w:lang w:val="es-ES" w:eastAsia="es-MX"/>
        </w:rPr>
        <w:t xml:space="preserve"> importante de la Ley 1882 de 2018 fue la introducción de un criterio material, directamente relacionado con los aspectos subsanables: </w:t>
      </w:r>
      <w:r w:rsidRPr="00FF35E8">
        <w:rPr>
          <w:rFonts w:ascii="Arial" w:eastAsia="Arial" w:hAnsi="Arial" w:cs="Arial"/>
          <w:i/>
          <w:iCs/>
          <w:color w:val="000000"/>
          <w:szCs w:val="24"/>
          <w:lang w:val="es-ES" w:eastAsia="es-MX"/>
        </w:rPr>
        <w:t>“</w:t>
      </w:r>
      <w:r w:rsidRPr="00FF35E8">
        <w:rPr>
          <w:rFonts w:ascii="Arial" w:eastAsia="Arial" w:hAnsi="Arial" w:cs="Arial"/>
          <w:color w:val="000000"/>
          <w:szCs w:val="24"/>
          <w:lang w:val="es-ES" w:eastAsia="es-MX"/>
        </w:rPr>
        <w:t>los proponentes no podrán acreditar circunstancias ocurridas con posterioridad al cierre del proceso”</w:t>
      </w:r>
      <w:r w:rsidRPr="00FF35E8">
        <w:rPr>
          <w:rFonts w:ascii="Arial" w:eastAsia="Arial" w:hAnsi="Arial" w:cs="Arial"/>
          <w:b/>
          <w:bCs/>
          <w:color w:val="000000"/>
          <w:szCs w:val="24"/>
          <w:lang w:val="es-ES" w:eastAsia="es-MX"/>
        </w:rPr>
        <w:t>.</w:t>
      </w:r>
      <w:r w:rsidRPr="00FF35E8">
        <w:rPr>
          <w:rFonts w:ascii="Arial" w:eastAsia="Times New Roman" w:hAnsi="Arial" w:cs="Arial"/>
          <w:szCs w:val="24"/>
          <w:bdr w:val="none" w:sz="0" w:space="0" w:color="auto" w:frame="1"/>
          <w:lang w:val="es-ES_tradnl" w:eastAsia="es-MX"/>
        </w:rPr>
        <w:t xml:space="preserve"> Esta regla tiene una finalidad particular, y es que, al momento de presentar la oferta, el proponente deberá hacerlo de forma íntegra y así evitar que a lo largo del procedimiento contractual complete o adicione su propuesta, conforme mejora su situación particular. En términos del Consejo de Estado:</w:t>
      </w:r>
    </w:p>
    <w:p w14:paraId="24FAC291" w14:textId="77777777" w:rsidR="00FF35E8" w:rsidRPr="00FF35E8" w:rsidRDefault="00FF35E8" w:rsidP="00FF35E8">
      <w:pPr>
        <w:spacing w:after="0" w:line="276" w:lineRule="auto"/>
        <w:ind w:firstLine="709"/>
        <w:jc w:val="both"/>
        <w:rPr>
          <w:rFonts w:ascii="Arial" w:eastAsia="Times New Roman" w:hAnsi="Arial" w:cs="Arial"/>
          <w:color w:val="201F1E"/>
          <w:szCs w:val="24"/>
          <w:bdr w:val="none" w:sz="0" w:space="0" w:color="auto" w:frame="1"/>
          <w:lang w:val="es-ES_tradnl" w:eastAsia="es-MX"/>
        </w:rPr>
      </w:pPr>
    </w:p>
    <w:p w14:paraId="4306F08B" w14:textId="77777777" w:rsidR="00FF35E8" w:rsidRPr="00FF35E8" w:rsidRDefault="00FF35E8" w:rsidP="00FF35E8">
      <w:pPr>
        <w:tabs>
          <w:tab w:val="left" w:pos="426"/>
        </w:tabs>
        <w:spacing w:after="0" w:line="240" w:lineRule="auto"/>
        <w:ind w:left="709" w:right="709"/>
        <w:jc w:val="both"/>
        <w:rPr>
          <w:rFonts w:ascii="Arial" w:eastAsia="Arial" w:hAnsi="Arial" w:cs="Arial"/>
          <w:color w:val="000000"/>
          <w:sz w:val="21"/>
          <w:szCs w:val="21"/>
          <w:lang w:eastAsia="es-MX"/>
        </w:rPr>
      </w:pPr>
      <w:r w:rsidRPr="00FF35E8">
        <w:rPr>
          <w:rFonts w:ascii="Arial" w:eastAsia="Arial" w:hAnsi="Arial" w:cs="Arial"/>
          <w:color w:val="000000"/>
          <w:sz w:val="21"/>
          <w:szCs w:val="21"/>
          <w:lang w:eastAsia="es-MX"/>
        </w:rPr>
        <w:t xml:space="preserve">“[…]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w:t>
      </w:r>
      <w:r w:rsidRPr="00FF35E8">
        <w:rPr>
          <w:rFonts w:ascii="Arial" w:eastAsia="Arial" w:hAnsi="Arial" w:cs="Arial"/>
          <w:color w:val="000000"/>
          <w:sz w:val="21"/>
          <w:szCs w:val="21"/>
          <w:lang w:eastAsia="es-MX"/>
        </w:rPr>
        <w:lastRenderedPageBreak/>
        <w:t>evaluarla lo más eficientemente posible, y sólo si hace falta algún requisito o un documento, la administración puede requerirlo del oferente</w:t>
      </w:r>
      <w:r w:rsidRPr="00FF35E8">
        <w:rPr>
          <w:rFonts w:ascii="Arial" w:eastAsia="Arial" w:hAnsi="Arial" w:cs="Arial"/>
          <w:color w:val="000000"/>
          <w:sz w:val="21"/>
          <w:szCs w:val="21"/>
          <w:vertAlign w:val="superscript"/>
          <w:lang w:eastAsia="es-MX"/>
        </w:rPr>
        <w:footnoteReference w:id="8"/>
      </w:r>
      <w:r w:rsidRPr="00FF35E8">
        <w:rPr>
          <w:rFonts w:ascii="Arial" w:eastAsia="Arial" w:hAnsi="Arial" w:cs="Arial"/>
          <w:color w:val="000000"/>
          <w:sz w:val="21"/>
          <w:szCs w:val="21"/>
          <w:lang w:eastAsia="es-MX"/>
        </w:rPr>
        <w:t>”.</w:t>
      </w:r>
    </w:p>
    <w:p w14:paraId="7C46E35A" w14:textId="77777777" w:rsidR="00FF35E8" w:rsidRPr="00FF35E8" w:rsidRDefault="00FF35E8" w:rsidP="00FF35E8">
      <w:pPr>
        <w:tabs>
          <w:tab w:val="left" w:pos="426"/>
        </w:tabs>
        <w:spacing w:after="0"/>
        <w:ind w:left="709" w:right="709"/>
        <w:jc w:val="both"/>
        <w:rPr>
          <w:rFonts w:ascii="Arial" w:eastAsia="Arial" w:hAnsi="Arial" w:cs="Arial"/>
          <w:sz w:val="21"/>
          <w:szCs w:val="21"/>
          <w:lang w:eastAsia="es-MX"/>
        </w:rPr>
      </w:pPr>
    </w:p>
    <w:p w14:paraId="468CF240" w14:textId="5E0AC20B" w:rsidR="00FF35E8" w:rsidRPr="00FF35E8" w:rsidRDefault="00FF35E8" w:rsidP="00FF35E8">
      <w:pPr>
        <w:spacing w:after="0" w:line="276" w:lineRule="auto"/>
        <w:ind w:firstLine="709"/>
        <w:jc w:val="both"/>
        <w:rPr>
          <w:rFonts w:ascii="Arial" w:eastAsia="Arial" w:hAnsi="Arial" w:cs="Arial"/>
          <w:szCs w:val="24"/>
          <w:lang w:eastAsia="es-MX"/>
        </w:rPr>
      </w:pPr>
      <w:r w:rsidRPr="00FF35E8">
        <w:rPr>
          <w:rFonts w:ascii="Arial" w:eastAsia="Arial" w:hAnsi="Arial" w:cs="Arial"/>
          <w:szCs w:val="24"/>
          <w:lang w:eastAsia="es-MX"/>
        </w:rPr>
        <w:t>Sin embargo, teniendo en cuenta que el consultante no indicó a qu</w:t>
      </w:r>
      <w:r w:rsidR="00C755FA">
        <w:rPr>
          <w:rFonts w:ascii="Arial" w:eastAsia="Arial" w:hAnsi="Arial" w:cs="Arial"/>
          <w:szCs w:val="24"/>
          <w:lang w:eastAsia="es-MX"/>
        </w:rPr>
        <w:t>e</w:t>
      </w:r>
      <w:r w:rsidRPr="00FF35E8">
        <w:rPr>
          <w:rFonts w:ascii="Arial" w:eastAsia="Arial" w:hAnsi="Arial" w:cs="Arial"/>
          <w:szCs w:val="24"/>
          <w:lang w:eastAsia="es-MX"/>
        </w:rPr>
        <w:t xml:space="preserve"> Documento Tipo se refería su consulta, a manera de ejemplo, se resalta que en los Documentos Tipo para la licitación de obra pública de infraestructura de transporte – Versión 3, la obligación del proponente de presentar su oferta de manera íntegra es congruente con el numeral 1.6. –Reglas de subsanabilidad– del “Documento Base”. Al respecto, dispone que</w:t>
      </w:r>
      <w:r w:rsidRPr="00FF35E8">
        <w:rPr>
          <w:rFonts w:ascii="Arial" w:eastAsia="Arial" w:hAnsi="Arial" w:cs="Arial"/>
          <w:sz w:val="21"/>
          <w:szCs w:val="21"/>
          <w:lang w:eastAsia="es-MX"/>
        </w:rPr>
        <w:t>:</w:t>
      </w:r>
    </w:p>
    <w:p w14:paraId="28365326" w14:textId="77777777" w:rsidR="00FF35E8" w:rsidRPr="00FF35E8" w:rsidRDefault="00FF35E8" w:rsidP="00FF35E8">
      <w:pPr>
        <w:spacing w:after="0" w:line="276" w:lineRule="auto"/>
        <w:ind w:firstLine="360"/>
        <w:jc w:val="both"/>
        <w:rPr>
          <w:rFonts w:ascii="Arial" w:eastAsia="Arial" w:hAnsi="Arial" w:cs="Arial"/>
          <w:sz w:val="21"/>
          <w:szCs w:val="21"/>
          <w:lang w:eastAsia="es-MX"/>
        </w:rPr>
      </w:pPr>
    </w:p>
    <w:p w14:paraId="4720A0BC" w14:textId="77777777" w:rsidR="00FF35E8" w:rsidRPr="00FF35E8" w:rsidRDefault="00FF35E8" w:rsidP="00FF35E8">
      <w:pPr>
        <w:spacing w:after="120" w:line="240" w:lineRule="auto"/>
        <w:ind w:left="709" w:right="709"/>
        <w:jc w:val="both"/>
        <w:rPr>
          <w:rFonts w:ascii="Arial" w:eastAsia="Arial" w:hAnsi="Arial" w:cs="Arial"/>
          <w:sz w:val="21"/>
          <w:szCs w:val="21"/>
          <w:lang w:eastAsia="es-MX"/>
        </w:rPr>
      </w:pPr>
      <w:r w:rsidRPr="00FF35E8">
        <w:rPr>
          <w:rFonts w:ascii="Arial" w:eastAsia="Arial" w:hAnsi="Arial" w:cs="Arial"/>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49C33486" w14:textId="77777777" w:rsidR="00FF35E8" w:rsidRPr="00FF35E8" w:rsidRDefault="00FF35E8" w:rsidP="00FF35E8">
      <w:pPr>
        <w:spacing w:after="0" w:line="240" w:lineRule="auto"/>
        <w:ind w:left="709" w:right="709"/>
        <w:jc w:val="both"/>
        <w:rPr>
          <w:rFonts w:ascii="Arial" w:eastAsia="Arial" w:hAnsi="Arial" w:cs="Arial"/>
          <w:sz w:val="21"/>
          <w:szCs w:val="21"/>
          <w:lang w:eastAsia="es-MX"/>
        </w:rPr>
      </w:pPr>
      <w:r w:rsidRPr="00FF35E8">
        <w:rPr>
          <w:rFonts w:ascii="Arial" w:eastAsia="Arial" w:hAnsi="Arial" w:cs="Arial"/>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60C2C58E" w14:textId="77777777" w:rsidR="00FF35E8" w:rsidRPr="00FF35E8" w:rsidRDefault="00FF35E8" w:rsidP="00FF35E8">
      <w:pPr>
        <w:spacing w:after="0" w:line="240" w:lineRule="auto"/>
        <w:ind w:left="709" w:right="709"/>
        <w:jc w:val="both"/>
        <w:rPr>
          <w:rFonts w:ascii="Arial" w:eastAsia="Arial" w:hAnsi="Arial" w:cs="Arial"/>
          <w:sz w:val="21"/>
          <w:szCs w:val="21"/>
          <w:lang w:eastAsia="es-MX"/>
        </w:rPr>
      </w:pPr>
    </w:p>
    <w:p w14:paraId="2B21C05D" w14:textId="77777777" w:rsidR="00FF35E8" w:rsidRPr="00FF35E8" w:rsidRDefault="00FF35E8" w:rsidP="00FF35E8">
      <w:pPr>
        <w:spacing w:after="0" w:line="240" w:lineRule="auto"/>
        <w:ind w:left="709" w:right="709"/>
        <w:jc w:val="both"/>
        <w:rPr>
          <w:rFonts w:ascii="Arial" w:eastAsia="Arial" w:hAnsi="Arial" w:cs="Arial"/>
          <w:sz w:val="21"/>
          <w:szCs w:val="21"/>
          <w:u w:val="single"/>
          <w:lang w:eastAsia="es-MX"/>
        </w:rPr>
      </w:pPr>
      <w:r w:rsidRPr="00FF35E8">
        <w:rPr>
          <w:rFonts w:ascii="Arial" w:eastAsia="Arial" w:hAnsi="Arial" w:cs="Arial"/>
          <w:sz w:val="21"/>
          <w:szCs w:val="21"/>
          <w:lang w:eastAsia="es-MX"/>
        </w:rPr>
        <w:t>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w:t>
      </w:r>
    </w:p>
    <w:p w14:paraId="48DD7937" w14:textId="77777777" w:rsidR="00FF35E8" w:rsidRPr="00FF35E8" w:rsidRDefault="00FF35E8" w:rsidP="00FF35E8">
      <w:pPr>
        <w:spacing w:after="0" w:line="276" w:lineRule="auto"/>
        <w:ind w:firstLine="709"/>
        <w:jc w:val="both"/>
        <w:rPr>
          <w:rFonts w:ascii="Arial" w:eastAsia="Times New Roman" w:hAnsi="Arial" w:cs="Arial"/>
          <w:color w:val="000000"/>
          <w:szCs w:val="24"/>
          <w:shd w:val="clear" w:color="auto" w:fill="FFFFFF"/>
          <w:lang w:val="es-ES" w:eastAsia="es-MX"/>
        </w:rPr>
      </w:pPr>
    </w:p>
    <w:p w14:paraId="73800D1E" w14:textId="77777777" w:rsidR="00FF35E8" w:rsidRPr="00FF35E8" w:rsidRDefault="00FF35E8" w:rsidP="00FF35E8">
      <w:pPr>
        <w:spacing w:after="0"/>
        <w:ind w:firstLine="708"/>
        <w:jc w:val="both"/>
        <w:rPr>
          <w:rFonts w:ascii="Arial" w:eastAsia="Calibri" w:hAnsi="Arial" w:cs="Arial"/>
          <w:color w:val="000000"/>
          <w:szCs w:val="24"/>
          <w:lang w:val="es-ES" w:eastAsia="es-ES_tradnl"/>
        </w:rPr>
      </w:pPr>
      <w:r w:rsidRPr="00FF35E8">
        <w:rPr>
          <w:rFonts w:ascii="Arial" w:eastAsia="Times New Roman" w:hAnsi="Arial" w:cs="Arial"/>
          <w:color w:val="000000"/>
          <w:szCs w:val="24"/>
          <w:shd w:val="clear" w:color="auto" w:fill="FFFFFF"/>
          <w:lang w:val="es-ES" w:eastAsia="es-MX"/>
        </w:rPr>
        <w:t>El texto transcrito, es concordante con el parágrafo 3 del artículo 30 de la Ley 80 de 1993</w:t>
      </w:r>
      <w:r w:rsidRPr="00FF35E8">
        <w:rPr>
          <w:rFonts w:ascii="Arial" w:eastAsia="Arial" w:hAnsi="Arial" w:cs="Arial"/>
          <w:color w:val="000000"/>
          <w:szCs w:val="24"/>
          <w:vertAlign w:val="superscript"/>
          <w:lang w:val="es-ES" w:eastAsia="es-MX"/>
        </w:rPr>
        <w:footnoteReference w:id="9"/>
      </w:r>
      <w:r w:rsidRPr="00FF35E8">
        <w:rPr>
          <w:rFonts w:ascii="Arial" w:eastAsia="Times New Roman" w:hAnsi="Arial" w:cs="Arial"/>
          <w:color w:val="000000"/>
          <w:szCs w:val="24"/>
          <w:shd w:val="clear" w:color="auto" w:fill="FFFFFF"/>
          <w:lang w:val="es-ES" w:eastAsia="es-MX"/>
        </w:rPr>
        <w:t xml:space="preserve">, adicionado por la Ley 1882 de 2018, el cual regula la elaboración y traslado del informe de </w:t>
      </w:r>
      <w:r w:rsidRPr="00FF35E8">
        <w:rPr>
          <w:rFonts w:ascii="Arial" w:eastAsia="Times New Roman" w:hAnsi="Arial" w:cs="Arial"/>
          <w:color w:val="000000"/>
          <w:szCs w:val="24"/>
          <w:shd w:val="clear" w:color="auto" w:fill="FFFFFF"/>
          <w:lang w:val="es-ES" w:eastAsia="es-MX"/>
        </w:rPr>
        <w:lastRenderedPageBreak/>
        <w:t>evaluación. Conforme indica dicho artículo, la Entidad Estatal debe publicar un informe de evaluación preliminar relacionado con los requisitos habilitantes, en el que se deben dar cuenta de las posibles inconsistencias en la acreditación de los mismos, el cual debe ser publicado durante un plazo de cinco (5) días hábiles, durante el cual, les corresponde a los proponentes subsanar aquellos documentos no sometidos a puntaje. Dicho termino de traslado del informe de evaluación es al que se refieren el parágrafo 1 del artículo 5 de la Ley 1150 de 2007, y el 3 del artículo 30 de la Ley 80 de 1993 como oportunidad para subsanar en los procesos de licitación de obra pública.</w:t>
      </w:r>
    </w:p>
    <w:p w14:paraId="12842572" w14:textId="77777777" w:rsidR="00FF35E8" w:rsidRPr="00FF35E8" w:rsidRDefault="00FF35E8" w:rsidP="00FF35E8">
      <w:pPr>
        <w:spacing w:after="0"/>
        <w:jc w:val="both"/>
        <w:rPr>
          <w:rFonts w:ascii="Arial" w:eastAsia="Calibri" w:hAnsi="Arial" w:cs="Arial"/>
          <w:b/>
          <w:bCs/>
          <w:color w:val="000000"/>
          <w:szCs w:val="24"/>
          <w:lang w:val="es-ES" w:eastAsia="es-ES_tradnl"/>
        </w:rPr>
      </w:pPr>
    </w:p>
    <w:p w14:paraId="729D4F77" w14:textId="77777777" w:rsidR="00FF35E8" w:rsidRPr="00FF35E8" w:rsidRDefault="00FF35E8" w:rsidP="00FF35E8">
      <w:pPr>
        <w:spacing w:after="0"/>
        <w:jc w:val="both"/>
        <w:rPr>
          <w:rFonts w:ascii="Arial" w:eastAsia="Calibri" w:hAnsi="Arial" w:cs="Arial"/>
          <w:b/>
          <w:bCs/>
          <w:color w:val="000000"/>
          <w:szCs w:val="24"/>
          <w:lang w:val="es-ES" w:eastAsia="es-ES_tradnl"/>
        </w:rPr>
      </w:pPr>
      <w:r w:rsidRPr="00FF35E8">
        <w:rPr>
          <w:rFonts w:ascii="Arial" w:eastAsia="Calibri" w:hAnsi="Arial" w:cs="Arial"/>
          <w:b/>
          <w:bCs/>
          <w:color w:val="000000"/>
          <w:szCs w:val="24"/>
          <w:lang w:val="es-ES" w:eastAsia="es-ES_tradnl"/>
        </w:rPr>
        <w:t>2.3. Causales de rechazo y su interpretación restrictiva</w:t>
      </w:r>
    </w:p>
    <w:p w14:paraId="17FE8C42" w14:textId="77777777" w:rsidR="00FF35E8" w:rsidRPr="00FF35E8" w:rsidRDefault="00FF35E8" w:rsidP="00FF35E8">
      <w:pPr>
        <w:spacing w:after="0"/>
        <w:jc w:val="both"/>
        <w:rPr>
          <w:rFonts w:ascii="Arial" w:eastAsia="Calibri" w:hAnsi="Arial" w:cs="Arial"/>
          <w:b/>
          <w:bCs/>
          <w:color w:val="000000"/>
          <w:szCs w:val="24"/>
          <w:lang w:val="es-ES" w:eastAsia="es-ES_tradnl"/>
        </w:rPr>
      </w:pPr>
    </w:p>
    <w:p w14:paraId="1B57758E" w14:textId="77777777" w:rsidR="00FF35E8" w:rsidRPr="00FF35E8" w:rsidRDefault="00FF35E8" w:rsidP="00FF35E8">
      <w:pPr>
        <w:spacing w:after="0"/>
        <w:jc w:val="both"/>
        <w:rPr>
          <w:rFonts w:ascii="Arial" w:eastAsia="Calibri" w:hAnsi="Arial" w:cs="Arial"/>
          <w:color w:val="000000"/>
          <w:szCs w:val="24"/>
          <w:lang w:val="es-ES" w:eastAsia="es-ES_tradnl"/>
        </w:rPr>
      </w:pPr>
      <w:r w:rsidRPr="00FF35E8">
        <w:rPr>
          <w:rFonts w:ascii="Arial" w:eastAsia="Calibri" w:hAnsi="Arial" w:cs="Arial"/>
          <w:color w:val="000000"/>
          <w:szCs w:val="24"/>
          <w:lang w:val="es-ES" w:eastAsia="es-ES_tradnl"/>
        </w:rPr>
        <w:t xml:space="preserve">El peticionario pone de presente a esta Agencia la inquietud sobre si la ausencia de la firma en la carta de presentación de la oferta y el “no foliar las propuestas” obedece a una causal de rechazo. Por lo que, es pertinente aclarar, que las causales de rechazo son las establecidas en la ley y las fijadas por la Entidad Estatal en los pliegos de condiciones. No obstante, en el ejercicio de dicha facultad a las entidades no les es dable el establecer causales de rechazo que afecten la selección objetiva en la contratación. </w:t>
      </w:r>
      <w:r w:rsidRPr="00FF35E8">
        <w:rPr>
          <w:rFonts w:ascii="Arial" w:eastAsia="Calibri" w:hAnsi="Arial" w:cs="Arial"/>
        </w:rPr>
        <w:t>Sobre el particular, el Consejo de Estado</w:t>
      </w:r>
      <w:r w:rsidRPr="00FF35E8">
        <w:rPr>
          <w:rFonts w:ascii="Arial" w:eastAsia="Calibri" w:hAnsi="Arial" w:cs="Arial"/>
          <w:i/>
          <w:iCs/>
          <w:sz w:val="21"/>
          <w:szCs w:val="21"/>
          <w:vertAlign w:val="superscript"/>
        </w:rPr>
        <w:footnoteReference w:id="10"/>
      </w:r>
      <w:r w:rsidRPr="00FF35E8">
        <w:rPr>
          <w:rFonts w:ascii="Arial" w:eastAsia="Calibri" w:hAnsi="Arial" w:cs="Arial"/>
        </w:rPr>
        <w:t xml:space="preserve"> señala:</w:t>
      </w:r>
    </w:p>
    <w:p w14:paraId="05457732" w14:textId="77777777" w:rsidR="00FF35E8" w:rsidRPr="00FF35E8" w:rsidRDefault="00FF35E8" w:rsidP="00FF35E8">
      <w:pPr>
        <w:spacing w:after="0"/>
        <w:jc w:val="both"/>
        <w:rPr>
          <w:rFonts w:ascii="Arial" w:eastAsia="Times New Roman" w:hAnsi="Arial" w:cs="Arial"/>
          <w:lang w:eastAsia="es-ES"/>
        </w:rPr>
      </w:pPr>
    </w:p>
    <w:p w14:paraId="54FA6BE4" w14:textId="77777777" w:rsidR="00FF35E8" w:rsidRPr="00FF35E8" w:rsidRDefault="00FF35E8" w:rsidP="00FF35E8">
      <w:pPr>
        <w:tabs>
          <w:tab w:val="left" w:pos="709"/>
        </w:tabs>
        <w:spacing w:after="0" w:line="240" w:lineRule="auto"/>
        <w:ind w:left="709" w:right="709"/>
        <w:jc w:val="both"/>
        <w:rPr>
          <w:rFonts w:ascii="Arial" w:eastAsia="Calibri" w:hAnsi="Arial" w:cs="Arial"/>
          <w:sz w:val="21"/>
          <w:szCs w:val="21"/>
        </w:rPr>
      </w:pPr>
      <w:r w:rsidRPr="00FF35E8">
        <w:rPr>
          <w:rFonts w:ascii="Arial" w:eastAsia="Calibri" w:hAnsi="Arial" w:cs="Arial"/>
          <w:sz w:val="21"/>
          <w:szCs w:val="21"/>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2609E28C" w14:textId="77777777" w:rsidR="00FF35E8" w:rsidRPr="00FF35E8" w:rsidRDefault="00FF35E8" w:rsidP="00FF35E8">
      <w:pPr>
        <w:spacing w:after="0"/>
        <w:jc w:val="both"/>
        <w:rPr>
          <w:rFonts w:ascii="Arial" w:eastAsia="Calibri" w:hAnsi="Arial" w:cs="Arial"/>
          <w:color w:val="000000"/>
          <w:szCs w:val="24"/>
          <w:lang w:val="es-ES" w:eastAsia="es-ES_tradnl"/>
        </w:rPr>
      </w:pPr>
      <w:r w:rsidRPr="00FF35E8">
        <w:rPr>
          <w:rFonts w:ascii="Arial" w:eastAsia="Calibri" w:hAnsi="Arial" w:cs="Arial"/>
          <w:color w:val="000000"/>
          <w:szCs w:val="24"/>
          <w:lang w:val="es-ES" w:eastAsia="es-ES_tradnl"/>
        </w:rPr>
        <w:tab/>
      </w:r>
    </w:p>
    <w:p w14:paraId="6444CABB" w14:textId="77777777" w:rsidR="00FF35E8" w:rsidRPr="00FF35E8" w:rsidRDefault="00FF35E8" w:rsidP="00FF35E8">
      <w:pPr>
        <w:spacing w:after="0"/>
        <w:jc w:val="both"/>
        <w:rPr>
          <w:rFonts w:ascii="Arial" w:eastAsia="Calibri" w:hAnsi="Arial" w:cs="Arial"/>
          <w:szCs w:val="20"/>
        </w:rPr>
      </w:pPr>
      <w:r w:rsidRPr="00FF35E8">
        <w:rPr>
          <w:rFonts w:ascii="Arial" w:eastAsia="Calibri" w:hAnsi="Arial" w:cs="Arial"/>
          <w:color w:val="000000"/>
          <w:szCs w:val="24"/>
          <w:lang w:val="es-ES" w:eastAsia="es-ES_tradnl"/>
        </w:rPr>
        <w:tab/>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w:t>
      </w:r>
      <w:r w:rsidRPr="00FF35E8">
        <w:rPr>
          <w:rFonts w:ascii="Arial" w:eastAsia="Calibri" w:hAnsi="Arial" w:cs="Arial"/>
          <w:szCs w:val="20"/>
        </w:rPr>
        <w:t>Al respecto, el Consejo de Estado</w:t>
      </w:r>
      <w:r w:rsidRPr="00FF35E8">
        <w:rPr>
          <w:rFonts w:ascii="Arial" w:eastAsia="Calibri" w:hAnsi="Arial" w:cs="Arial"/>
          <w:iCs/>
          <w:sz w:val="21"/>
          <w:szCs w:val="21"/>
          <w:vertAlign w:val="superscript"/>
        </w:rPr>
        <w:footnoteReference w:id="11"/>
      </w:r>
      <w:r w:rsidRPr="00FF35E8">
        <w:rPr>
          <w:rFonts w:ascii="Arial" w:eastAsia="Calibri" w:hAnsi="Arial" w:cs="Arial"/>
          <w:iCs/>
          <w:szCs w:val="20"/>
        </w:rPr>
        <w:t xml:space="preserve"> sostuvo:</w:t>
      </w:r>
      <w:r w:rsidRPr="00FF35E8">
        <w:rPr>
          <w:rFonts w:ascii="Arial" w:eastAsia="Calibri" w:hAnsi="Arial" w:cs="Arial"/>
          <w:szCs w:val="20"/>
        </w:rPr>
        <w:t xml:space="preserve"> </w:t>
      </w:r>
    </w:p>
    <w:p w14:paraId="3E2258C7" w14:textId="77777777" w:rsidR="00FF35E8" w:rsidRPr="00FF35E8" w:rsidRDefault="00FF35E8" w:rsidP="00FF35E8">
      <w:pPr>
        <w:spacing w:after="0"/>
        <w:jc w:val="both"/>
        <w:rPr>
          <w:rFonts w:ascii="Arial" w:eastAsia="Calibri" w:hAnsi="Arial" w:cs="Arial"/>
          <w:color w:val="000000"/>
          <w:szCs w:val="24"/>
          <w:lang w:val="es-ES" w:eastAsia="es-ES_tradnl"/>
        </w:rPr>
      </w:pPr>
    </w:p>
    <w:p w14:paraId="46B492E6" w14:textId="77777777" w:rsidR="00FF35E8" w:rsidRPr="00FF35E8" w:rsidRDefault="00FF35E8" w:rsidP="00FF35E8">
      <w:pPr>
        <w:spacing w:after="0" w:line="240" w:lineRule="auto"/>
        <w:ind w:left="709" w:right="709"/>
        <w:jc w:val="both"/>
        <w:rPr>
          <w:rFonts w:ascii="Arial" w:eastAsia="Times New Roman" w:hAnsi="Arial" w:cs="Arial"/>
          <w:bCs/>
          <w:iCs/>
          <w:sz w:val="21"/>
          <w:szCs w:val="21"/>
          <w:lang w:eastAsia="es-MX"/>
        </w:rPr>
      </w:pPr>
      <w:r w:rsidRPr="00FF35E8">
        <w:rPr>
          <w:rFonts w:ascii="Arial" w:eastAsia="Times New Roman" w:hAnsi="Arial" w:cs="Arial"/>
          <w:bCs/>
          <w:iCs/>
          <w:sz w:val="21"/>
          <w:szCs w:val="21"/>
          <w:lang w:eastAsia="es-MX"/>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8745BC5" w14:textId="77777777" w:rsidR="00FF35E8" w:rsidRPr="00FF35E8" w:rsidRDefault="00FF35E8" w:rsidP="00FF35E8">
      <w:pPr>
        <w:spacing w:after="0"/>
        <w:jc w:val="both"/>
        <w:rPr>
          <w:rFonts w:ascii="Arial" w:eastAsia="Calibri" w:hAnsi="Arial" w:cs="Arial"/>
          <w:szCs w:val="20"/>
        </w:rPr>
      </w:pPr>
    </w:p>
    <w:p w14:paraId="42F162B7" w14:textId="77777777" w:rsidR="00FF35E8" w:rsidRPr="00FF35E8" w:rsidRDefault="00FF35E8" w:rsidP="00FF35E8">
      <w:pPr>
        <w:spacing w:after="0"/>
        <w:ind w:firstLine="708"/>
        <w:jc w:val="both"/>
        <w:rPr>
          <w:rFonts w:ascii="Arial" w:eastAsia="Calibri" w:hAnsi="Arial" w:cs="Arial"/>
          <w:color w:val="000000"/>
          <w:szCs w:val="24"/>
          <w:lang w:val="es-ES" w:eastAsia="es-ES_tradnl"/>
        </w:rPr>
      </w:pPr>
      <w:r w:rsidRPr="00FF35E8">
        <w:rPr>
          <w:rFonts w:ascii="Arial" w:eastAsia="Calibri" w:hAnsi="Arial" w:cs="Arial"/>
          <w:szCs w:val="20"/>
        </w:rPr>
        <w:t>En conclusión, las causales de rechazo deben estar necesariamente nominadas en la ley o en el pliego de condiciones y no puede realizarse frente a su redacción, ninguna interpretación extensiva. Por esta razón, si el EGCAP o el pliego de condiciones no establecen de manera literal que la ausencia de la firma de la carta de presentación de la oferta y el “no foliar las propuestas”</w:t>
      </w:r>
      <w:r w:rsidRPr="00FF35E8">
        <w:rPr>
          <w:rFonts w:ascii="Arial" w:eastAsia="Calibri" w:hAnsi="Arial" w:cs="Arial"/>
          <w:color w:val="000000"/>
          <w:szCs w:val="24"/>
          <w:lang w:val="es-ES" w:eastAsia="es-ES_tradnl"/>
        </w:rPr>
        <w:t xml:space="preserve"> son causales de rechazo, no podrá rechazarse la oferta del proponente. Situación contraria, en caso de que dichas causales sí estén estipuladas en la ley o en el pliego de condiciones. Sin embargo, si el Proceso de Contratación se adelanta en aplicación de los Documentos Tipo adoptados por esta Agencia, deberán tenerse como causales de rechazo las allí establecidas, pues las Entidades Estatales no podrán incluir causales distintas a las señaladas en dichos documentos. Esto, según la regla de inalterabilidad de los Documentos Tipo.</w:t>
      </w:r>
    </w:p>
    <w:p w14:paraId="4164F1A1" w14:textId="77777777" w:rsidR="00FF35E8" w:rsidRPr="00FF35E8" w:rsidRDefault="00FF35E8" w:rsidP="00FF35E8">
      <w:pPr>
        <w:spacing w:before="120" w:after="0"/>
        <w:ind w:firstLine="708"/>
        <w:jc w:val="both"/>
        <w:rPr>
          <w:rFonts w:ascii="Arial" w:eastAsia="Calibri" w:hAnsi="Arial" w:cs="Arial"/>
          <w:bCs/>
          <w:lang w:val="es-MX"/>
        </w:rPr>
      </w:pPr>
    </w:p>
    <w:p w14:paraId="58967D96" w14:textId="77777777" w:rsidR="00FF35E8" w:rsidRPr="00FF35E8" w:rsidRDefault="00FF35E8" w:rsidP="00FF35E8">
      <w:pPr>
        <w:tabs>
          <w:tab w:val="left" w:pos="284"/>
        </w:tabs>
        <w:spacing w:after="0" w:line="276" w:lineRule="auto"/>
        <w:contextualSpacing/>
        <w:jc w:val="both"/>
        <w:rPr>
          <w:rFonts w:ascii="Arial" w:eastAsia="Calibri" w:hAnsi="Arial" w:cs="Arial"/>
          <w:b/>
          <w:lang w:val="es-MX"/>
        </w:rPr>
      </w:pPr>
      <w:r w:rsidRPr="00FF35E8">
        <w:rPr>
          <w:rFonts w:ascii="Arial" w:eastAsia="Calibri" w:hAnsi="Arial" w:cs="Arial"/>
          <w:b/>
          <w:lang w:val="es-MX"/>
        </w:rPr>
        <w:t>3. Respuesta</w:t>
      </w:r>
    </w:p>
    <w:p w14:paraId="205CC401" w14:textId="77777777" w:rsidR="00FF35E8" w:rsidRPr="00FF35E8" w:rsidRDefault="00FF35E8" w:rsidP="00F9230E">
      <w:pPr>
        <w:spacing w:after="0" w:line="240" w:lineRule="auto"/>
        <w:jc w:val="both"/>
        <w:rPr>
          <w:rFonts w:ascii="Arial" w:eastAsia="Calibri" w:hAnsi="Arial" w:cs="Arial"/>
          <w:bCs/>
          <w:lang w:val="es-MX"/>
        </w:rPr>
      </w:pPr>
    </w:p>
    <w:p w14:paraId="21D80C0B" w14:textId="77777777" w:rsidR="00FF35E8" w:rsidRPr="00FF35E8" w:rsidRDefault="00FF35E8" w:rsidP="00F9230E">
      <w:pPr>
        <w:tabs>
          <w:tab w:val="left" w:pos="284"/>
        </w:tabs>
        <w:spacing w:after="0" w:line="240" w:lineRule="auto"/>
        <w:ind w:left="709" w:right="709"/>
        <w:contextualSpacing/>
        <w:jc w:val="both"/>
        <w:rPr>
          <w:rFonts w:ascii="Arial" w:eastAsia="Calibri" w:hAnsi="Arial" w:cs="Arial"/>
          <w:bCs/>
          <w:sz w:val="21"/>
          <w:szCs w:val="21"/>
          <w:lang w:val="es-ES_tradnl"/>
        </w:rPr>
      </w:pPr>
      <w:r w:rsidRPr="00FF35E8">
        <w:rPr>
          <w:rFonts w:ascii="Arial" w:eastAsia="Calibri" w:hAnsi="Arial" w:cs="Arial"/>
          <w:bCs/>
          <w:sz w:val="21"/>
          <w:szCs w:val="21"/>
          <w:lang w:val="es-ES_tradnl"/>
        </w:rPr>
        <w:t>“1. ¿La ausencia de la firma en la Carta de presentación, es causa para que se rechace una propuesta con el argumento que al no firmarse el Formato 2 – Carta de presentación, se entiende que la propuesta no fue presentada?</w:t>
      </w:r>
    </w:p>
    <w:p w14:paraId="7852C5E1" w14:textId="77777777" w:rsidR="00FF35E8" w:rsidRPr="00FF35E8" w:rsidRDefault="00FF35E8" w:rsidP="00F9230E">
      <w:pPr>
        <w:spacing w:before="120" w:after="120" w:line="240" w:lineRule="auto"/>
        <w:ind w:left="709" w:right="709"/>
        <w:jc w:val="both"/>
        <w:rPr>
          <w:rFonts w:ascii="Arial" w:eastAsia="Calibri" w:hAnsi="Arial" w:cs="Arial"/>
          <w:bCs/>
          <w:sz w:val="21"/>
          <w:szCs w:val="21"/>
          <w:lang w:val="es-ES_tradnl"/>
        </w:rPr>
      </w:pPr>
      <w:r w:rsidRPr="00FF35E8">
        <w:rPr>
          <w:rFonts w:ascii="Arial" w:eastAsia="Calibri" w:hAnsi="Arial" w:cs="Arial"/>
          <w:bCs/>
          <w:sz w:val="21"/>
          <w:szCs w:val="21"/>
          <w:lang w:val="es-ES_tradnl"/>
        </w:rPr>
        <w:t>2. ¿No Foliar las propuestas es motivo de rechazo, o de no recibo de propuestas con el argumento que no se presentó la propuesta como lo indica el pliego de condiciones? [</w:t>
      </w:r>
      <w:r w:rsidRPr="00FF35E8">
        <w:rPr>
          <w:rFonts w:ascii="Arial" w:eastAsia="Calibri" w:hAnsi="Arial" w:cs="Arial"/>
          <w:bCs/>
          <w:sz w:val="21"/>
          <w:szCs w:val="21"/>
          <w:lang w:val="es-MX"/>
        </w:rPr>
        <w:t>sic</w:t>
      </w:r>
      <w:r w:rsidRPr="00FF35E8">
        <w:rPr>
          <w:rFonts w:ascii="Arial" w:eastAsia="Calibri" w:hAnsi="Arial" w:cs="Arial"/>
          <w:bCs/>
          <w:sz w:val="21"/>
          <w:szCs w:val="21"/>
          <w:lang w:val="es-ES_tradnl"/>
        </w:rPr>
        <w:t>]”</w:t>
      </w:r>
    </w:p>
    <w:p w14:paraId="1A7E384F" w14:textId="77777777" w:rsidR="00FF35E8" w:rsidRPr="00FF35E8" w:rsidRDefault="00FF35E8" w:rsidP="00FF35E8">
      <w:pPr>
        <w:spacing w:after="0" w:line="276" w:lineRule="auto"/>
        <w:jc w:val="both"/>
        <w:rPr>
          <w:rFonts w:ascii="Arial" w:eastAsia="Calibri" w:hAnsi="Arial" w:cs="Arial"/>
          <w:lang w:val="es-ES_tradnl"/>
        </w:rPr>
      </w:pPr>
    </w:p>
    <w:p w14:paraId="7742F401" w14:textId="77777777" w:rsidR="00FF35E8" w:rsidRPr="00FF35E8" w:rsidRDefault="00FF35E8" w:rsidP="00FF35E8">
      <w:pPr>
        <w:spacing w:after="0" w:line="276" w:lineRule="auto"/>
        <w:jc w:val="both"/>
        <w:rPr>
          <w:rFonts w:ascii="Arial" w:eastAsia="Calibri" w:hAnsi="Arial" w:cs="Arial"/>
          <w:color w:val="000000"/>
          <w:kern w:val="2"/>
          <w14:ligatures w14:val="standardContextual"/>
        </w:rPr>
      </w:pPr>
      <w:r w:rsidRPr="00FF35E8">
        <w:rPr>
          <w:rFonts w:ascii="Arial" w:hAnsi="Arial" w:cs="Arial"/>
          <w:color w:val="000000"/>
          <w:shd w:val="clear" w:color="auto" w:fill="FFFFFF"/>
        </w:rPr>
        <w:t xml:space="preserve">De manera preliminar, es necesario tener en cuenta que esta entidad sólo es competente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participantes de la contratación estatal. Por ello, esta competencia de interpretación de normas generales, por </w:t>
      </w:r>
      <w:r w:rsidRPr="00FF35E8">
        <w:rPr>
          <w:rFonts w:ascii="Arial" w:hAnsi="Arial" w:cs="Arial"/>
          <w:color w:val="000000"/>
          <w:shd w:val="clear" w:color="auto" w:fill="FFFFFF"/>
        </w:rPr>
        <w:lastRenderedPageBreak/>
        <w:t>definición, no puede extenderse a la resolución de controversias, ni a brindar asesorías sobre casos puntuales. </w:t>
      </w:r>
    </w:p>
    <w:p w14:paraId="5E97CB3D" w14:textId="77777777" w:rsidR="00FF35E8" w:rsidRPr="00FF35E8" w:rsidRDefault="00FF35E8" w:rsidP="00FF35E8">
      <w:pPr>
        <w:spacing w:before="120" w:after="0"/>
        <w:ind w:firstLine="708"/>
        <w:jc w:val="both"/>
        <w:rPr>
          <w:rFonts w:ascii="Arial" w:hAnsi="Arial" w:cs="Arial"/>
          <w:kern w:val="2"/>
          <w14:ligatures w14:val="standardContextual"/>
        </w:rPr>
      </w:pPr>
      <w:r w:rsidRPr="00FF35E8">
        <w:rPr>
          <w:rFonts w:ascii="Arial" w:hAnsi="Arial" w:cs="Arial"/>
          <w:kern w:val="2"/>
          <w14:ligatures w14:val="standardContextual"/>
        </w:rPr>
        <w:t>Como se indicó en el numeral 2.1 de este concepto, la carta de presentación de la oferta como documento del Proceso de selección, debe llenarse de acuerdo con lo establecido en el “Formato 1 – Carta de presentación de oferta”. Por lo que, el oferente individual o plural debe llenar los espacios que estén en corchetes y subrayados en gris en dicho formato, contenidos en los diferentes Documentos Tipo expedidos por Colombia Compra Eficiente. En ese orden, la regla general frente a la aplicación de los Documentos Tipo es su inalterabilidad, y no podrán incluirse o modificarse en los Documentos del Proceso las condiciones habilitantes, los factores técnicos y económicos de la escogencia y los sistemas de ponderación aspectos distintos a los señalados en los referidos documentos.</w:t>
      </w:r>
    </w:p>
    <w:p w14:paraId="005CCD30" w14:textId="77777777" w:rsidR="00FF35E8" w:rsidRPr="00FF35E8" w:rsidRDefault="00FF35E8" w:rsidP="00FF35E8">
      <w:pPr>
        <w:spacing w:before="120" w:after="0"/>
        <w:jc w:val="both"/>
        <w:rPr>
          <w:rFonts w:ascii="Arial" w:hAnsi="Arial" w:cs="Arial"/>
          <w:kern w:val="2"/>
          <w14:ligatures w14:val="standardContextual"/>
        </w:rPr>
      </w:pPr>
      <w:r w:rsidRPr="00FF35E8">
        <w:rPr>
          <w:rFonts w:ascii="Arial" w:hAnsi="Arial" w:cs="Arial"/>
          <w:kern w:val="2"/>
          <w14:ligatures w14:val="standardContextual"/>
        </w:rPr>
        <w:tab/>
        <w:t xml:space="preserve">Así pues, teniendo en cuenta que la carta de presentación de la oferta es un requisito habilitante dentro del Proceso de Contratación, que puede subsanarse. Las Entidades Estatales de conformidad con lo dispuesto en el parágrafo 3 del artículo 30 de la Ley 80 de 1993, adicionado por la Ley 1882 de 2018, deberán publicar un informe de evaluación preliminar relacionado con los requisitos habilitantes, en el que darán cuenta de las posibles inconsistencias en la acreditación de los mismos, el cual deberá ser publicado durante el plazo de cinco (5) días hábiles. Término durante el que le corresponderá al proponente, subsanar aquellos documentos no sometidos a puntaje. </w:t>
      </w:r>
    </w:p>
    <w:p w14:paraId="03385EBE" w14:textId="77777777" w:rsidR="00FF35E8" w:rsidRPr="00FF35E8" w:rsidRDefault="00FF35E8" w:rsidP="00FF35E8">
      <w:pPr>
        <w:spacing w:before="120" w:after="0"/>
        <w:jc w:val="both"/>
        <w:rPr>
          <w:rFonts w:ascii="Arial" w:hAnsi="Arial" w:cs="Arial"/>
          <w:kern w:val="2"/>
          <w14:ligatures w14:val="standardContextual"/>
        </w:rPr>
      </w:pPr>
      <w:r w:rsidRPr="00FF35E8">
        <w:rPr>
          <w:rFonts w:ascii="Arial" w:hAnsi="Arial" w:cs="Arial"/>
          <w:kern w:val="2"/>
          <w14:ligatures w14:val="standardContextual"/>
        </w:rPr>
        <w:tab/>
        <w:t>Ahora bien, respectos de las causales de rechazo, se aclara que estas son las establecidas por la ley y las fijadas por la Entidad Estatal en los pliegos de condiciones. No obstante, en el ejercicio de dicha facultad a las entidades no les es dable el establecer causales de rechazo que afecten la selección objetiva en la contratación. En ese orden, las causales de rechazo deben estar necesariamente nominadas en la ley o en el pliego de condiciones y no puede realizarse frente a su redacción, ninguna interpretación extensiva. Por esta razón, si en el EGCAP o el pliego de condiciones no establecen de manera literal que la ausencia de la firma de la carta de presentación de oferta y el “no foliar las propuestas” son causales de rechazo, no podrá rechazarse la oferta del proponente. Situación contraria, en caso de que dichas causales sí estén estipuladas en la ley o en el pliego de condiciones.</w:t>
      </w:r>
    </w:p>
    <w:p w14:paraId="24974A43" w14:textId="77777777" w:rsidR="00FF35E8" w:rsidRPr="00FF35E8" w:rsidRDefault="00FF35E8" w:rsidP="00FF35E8">
      <w:pPr>
        <w:spacing w:before="120" w:after="0"/>
        <w:jc w:val="both"/>
        <w:rPr>
          <w:rFonts w:ascii="Arial" w:hAnsi="Arial" w:cs="Arial"/>
          <w:kern w:val="2"/>
          <w14:ligatures w14:val="standardContextual"/>
        </w:rPr>
      </w:pPr>
      <w:r w:rsidRPr="00FF35E8">
        <w:rPr>
          <w:rFonts w:ascii="Arial" w:hAnsi="Arial" w:cs="Arial"/>
          <w:kern w:val="2"/>
          <w14:ligatures w14:val="standardContextual"/>
        </w:rPr>
        <w:tab/>
        <w:t xml:space="preserve">Finalmente, si el Proceso de Contratación se adelanta en aplicación de los Documentos Tipo adoptados por esta Agencia, deberán tenerse como causales de rechazo, las allí establecidas, </w:t>
      </w:r>
      <w:r w:rsidRPr="00FF35E8">
        <w:rPr>
          <w:rFonts w:ascii="Arial" w:eastAsia="Calibri" w:hAnsi="Arial" w:cs="Arial"/>
          <w:color w:val="000000"/>
          <w:szCs w:val="24"/>
          <w:lang w:val="es-ES" w:eastAsia="es-ES_tradnl"/>
        </w:rPr>
        <w:t>pues las Entidades Estatales no podrán incluir causales distintas a las señaladas en dichos documentos. Esto, según la regla de inalterabilidad de los Documentos Tipo.</w:t>
      </w:r>
    </w:p>
    <w:p w14:paraId="5B08A6C5" w14:textId="77777777" w:rsidR="00FF35E8" w:rsidRPr="00FF35E8" w:rsidRDefault="00FF35E8" w:rsidP="00FF35E8">
      <w:pPr>
        <w:spacing w:before="120" w:after="0" w:line="276" w:lineRule="auto"/>
        <w:jc w:val="both"/>
        <w:rPr>
          <w:rFonts w:ascii="Arial" w:eastAsia="Calibri" w:hAnsi="Arial" w:cs="Arial"/>
          <w:color w:val="000000"/>
          <w:kern w:val="2"/>
          <w14:ligatures w14:val="standardContextual"/>
        </w:rPr>
      </w:pPr>
    </w:p>
    <w:p w14:paraId="75F2C797" w14:textId="77777777" w:rsidR="00FF35E8" w:rsidRPr="00FF35E8" w:rsidRDefault="00FF35E8" w:rsidP="00FF35E8">
      <w:pPr>
        <w:spacing w:after="0" w:line="276" w:lineRule="auto"/>
        <w:jc w:val="both"/>
        <w:rPr>
          <w:rFonts w:ascii="Arial" w:eastAsia="Calibri" w:hAnsi="Arial" w:cs="Arial"/>
          <w:color w:val="000000"/>
          <w:kern w:val="2"/>
          <w14:ligatures w14:val="standardContextual"/>
        </w:rPr>
      </w:pPr>
      <w:r w:rsidRPr="00FF35E8">
        <w:rPr>
          <w:rFonts w:ascii="Arial" w:eastAsia="Calibri" w:hAnsi="Arial" w:cs="Arial"/>
          <w:color w:val="000000"/>
          <w:kern w:val="2"/>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DDFE34A" w14:textId="77777777" w:rsidR="00FF35E8" w:rsidRPr="00FF35E8" w:rsidRDefault="00FF35E8" w:rsidP="00FF35E8">
      <w:pPr>
        <w:spacing w:after="0" w:line="276" w:lineRule="auto"/>
        <w:jc w:val="both"/>
        <w:rPr>
          <w:rFonts w:ascii="Arial" w:eastAsia="Calibri" w:hAnsi="Arial" w:cs="Arial"/>
          <w:color w:val="000000"/>
          <w:kern w:val="2"/>
          <w14:ligatures w14:val="standardContextual"/>
        </w:rPr>
      </w:pPr>
    </w:p>
    <w:p w14:paraId="111F7C68" w14:textId="77777777" w:rsidR="00FF35E8" w:rsidRPr="00FF35E8" w:rsidRDefault="00FF35E8" w:rsidP="00FF35E8">
      <w:pPr>
        <w:spacing w:after="0" w:line="240" w:lineRule="auto"/>
        <w:rPr>
          <w:rFonts w:ascii="Arial" w:eastAsia="Calibri" w:hAnsi="Arial" w:cs="Arial"/>
          <w:bCs/>
          <w:lang w:val="es-MX"/>
        </w:rPr>
      </w:pPr>
      <w:r w:rsidRPr="00FF35E8">
        <w:rPr>
          <w:rFonts w:ascii="Arial" w:eastAsia="Calibri" w:hAnsi="Arial" w:cs="Arial"/>
          <w:bCs/>
          <w:lang w:val="es-MX"/>
        </w:rPr>
        <w:lastRenderedPageBreak/>
        <w:t>Atentamente,</w:t>
      </w:r>
    </w:p>
    <w:p w14:paraId="7FF45242" w14:textId="77777777" w:rsidR="00FF35E8" w:rsidRPr="00FF35E8" w:rsidRDefault="00FF35E8" w:rsidP="00FF35E8">
      <w:pPr>
        <w:spacing w:after="0" w:line="240" w:lineRule="auto"/>
        <w:rPr>
          <w:rFonts w:ascii="Arial" w:eastAsia="Calibri" w:hAnsi="Arial" w:cs="Arial"/>
          <w:bCs/>
          <w:lang w:val="es-MX"/>
        </w:rPr>
      </w:pPr>
    </w:p>
    <w:p w14:paraId="5B049BD2" w14:textId="363DDF37" w:rsidR="00FF35E8" w:rsidRPr="00FF35E8" w:rsidRDefault="00603A97" w:rsidP="00FF35E8">
      <w:pPr>
        <w:spacing w:after="0" w:line="240" w:lineRule="auto"/>
        <w:jc w:val="center"/>
        <w:rPr>
          <w:rFonts w:ascii="Arial" w:eastAsia="Times New Roman" w:hAnsi="Arial" w:cs="Arial"/>
          <w:lang w:val="es-MX" w:eastAsia="es-CO"/>
        </w:rPr>
      </w:pPr>
      <w:r>
        <w:rPr>
          <w:rFonts w:ascii="Arial" w:eastAsia="Calibri" w:hAnsi="Arial" w:cs="Arial"/>
          <w:noProof/>
          <w:color w:val="3B3838"/>
          <w:shd w:val="clear" w:color="auto" w:fill="FFFFFF"/>
          <w:lang w:val="es-ES"/>
        </w:rPr>
        <w:drawing>
          <wp:inline distT="0" distB="0" distL="0" distR="0" wp14:anchorId="1E67A677" wp14:editId="6A6B6CE8">
            <wp:extent cx="3155950" cy="1212850"/>
            <wp:effectExtent l="0" t="0" r="6350" b="6350"/>
            <wp:docPr id="12967626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Calibri" w:hAnsi="Calibri" w:cs="Calibri"/>
          <w:color w:val="000000"/>
          <w:shd w:val="clear" w:color="auto" w:fill="FFFFFF"/>
          <w:lang w:val="es-ES"/>
        </w:rPr>
        <w:br/>
      </w:r>
      <w:r w:rsidR="00FF35E8" w:rsidRPr="00FF35E8">
        <w:rPr>
          <w:rFonts w:ascii="Arial" w:eastAsia="Calibri" w:hAnsi="Arial" w:cs="Arial"/>
          <w:color w:val="3B3838"/>
          <w:shd w:val="clear" w:color="auto" w:fill="FFFFFF"/>
          <w:lang w:val="es-ES"/>
        </w:rPr>
        <w:br/>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1"/>
        <w:gridCol w:w="5206"/>
      </w:tblGrid>
      <w:tr w:rsidR="00FF35E8" w:rsidRPr="00FF35E8" w14:paraId="6542A440" w14:textId="77777777" w:rsidTr="005D66B7">
        <w:trPr>
          <w:trHeight w:val="287"/>
        </w:trPr>
        <w:tc>
          <w:tcPr>
            <w:tcW w:w="1221" w:type="dxa"/>
            <w:vAlign w:val="center"/>
            <w:hideMark/>
          </w:tcPr>
          <w:p w14:paraId="5ADAAC37"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Elaboró:</w:t>
            </w:r>
          </w:p>
        </w:tc>
        <w:tc>
          <w:tcPr>
            <w:tcW w:w="5206" w:type="dxa"/>
            <w:tcBorders>
              <w:top w:val="nil"/>
              <w:left w:val="nil"/>
              <w:bottom w:val="dotted" w:sz="4" w:space="0" w:color="7F7F7F"/>
              <w:right w:val="nil"/>
            </w:tcBorders>
            <w:vAlign w:val="center"/>
            <w:hideMark/>
          </w:tcPr>
          <w:p w14:paraId="120DAD86" w14:textId="77777777" w:rsidR="00FF35E8" w:rsidRPr="00FF35E8" w:rsidRDefault="00FF35E8" w:rsidP="00FF35E8">
            <w:pPr>
              <w:rPr>
                <w:rFonts w:ascii="Arial" w:eastAsia="Calibri" w:hAnsi="Arial" w:cs="Arial"/>
                <w:sz w:val="18"/>
                <w:szCs w:val="18"/>
                <w:lang w:val="es-MX" w:eastAsia="es-ES"/>
              </w:rPr>
            </w:pPr>
          </w:p>
          <w:p w14:paraId="31C6A49A"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Nasly Yeana Mosquera Rivas</w:t>
            </w:r>
          </w:p>
          <w:p w14:paraId="2CA58741"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Analista T2–06 de la Subdirección de Gestión Contractual</w:t>
            </w:r>
          </w:p>
        </w:tc>
      </w:tr>
      <w:tr w:rsidR="00FF35E8" w:rsidRPr="00FF35E8" w14:paraId="22ABCC42" w14:textId="77777777" w:rsidTr="005D66B7">
        <w:trPr>
          <w:trHeight w:val="300"/>
        </w:trPr>
        <w:tc>
          <w:tcPr>
            <w:tcW w:w="1221" w:type="dxa"/>
            <w:vAlign w:val="center"/>
            <w:hideMark/>
          </w:tcPr>
          <w:p w14:paraId="48A40AB5"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Revisó:</w:t>
            </w:r>
          </w:p>
        </w:tc>
        <w:tc>
          <w:tcPr>
            <w:tcW w:w="5206" w:type="dxa"/>
            <w:tcBorders>
              <w:top w:val="dotted" w:sz="4" w:space="0" w:color="7F7F7F"/>
              <w:left w:val="nil"/>
              <w:bottom w:val="dotted" w:sz="4" w:space="0" w:color="7F7F7F"/>
              <w:right w:val="nil"/>
            </w:tcBorders>
            <w:vAlign w:val="center"/>
            <w:hideMark/>
          </w:tcPr>
          <w:p w14:paraId="583BAB54" w14:textId="77777777" w:rsidR="00FF35E8" w:rsidRPr="00FF35E8" w:rsidRDefault="00FF35E8" w:rsidP="00FF35E8">
            <w:pPr>
              <w:jc w:val="both"/>
              <w:rPr>
                <w:rFonts w:ascii="Arial" w:eastAsia="Calibri" w:hAnsi="Arial" w:cs="Arial"/>
                <w:sz w:val="18"/>
                <w:szCs w:val="18"/>
                <w:lang w:val="es-MX" w:eastAsia="es-ES"/>
              </w:rPr>
            </w:pPr>
            <w:r w:rsidRPr="00FF35E8">
              <w:rPr>
                <w:rFonts w:ascii="Arial" w:eastAsia="Calibri" w:hAnsi="Arial" w:cs="Arial"/>
                <w:sz w:val="18"/>
                <w:szCs w:val="18"/>
                <w:lang w:val="es-MX" w:eastAsia="es-ES"/>
              </w:rPr>
              <w:t>Diana Carolina Armenta Celis</w:t>
            </w:r>
          </w:p>
          <w:p w14:paraId="04288CBC"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Contratista de la Subdirección de Contractual</w:t>
            </w:r>
          </w:p>
        </w:tc>
      </w:tr>
      <w:tr w:rsidR="00FF35E8" w:rsidRPr="00FF35E8" w14:paraId="250E5A87" w14:textId="77777777" w:rsidTr="005D66B7">
        <w:trPr>
          <w:trHeight w:val="273"/>
        </w:trPr>
        <w:tc>
          <w:tcPr>
            <w:tcW w:w="1221" w:type="dxa"/>
            <w:vAlign w:val="center"/>
            <w:hideMark/>
          </w:tcPr>
          <w:p w14:paraId="33C7D027"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Aprobó:</w:t>
            </w:r>
          </w:p>
        </w:tc>
        <w:tc>
          <w:tcPr>
            <w:tcW w:w="5206" w:type="dxa"/>
            <w:tcBorders>
              <w:top w:val="dotted" w:sz="4" w:space="0" w:color="7F7F7F"/>
              <w:left w:val="nil"/>
              <w:bottom w:val="dotted" w:sz="4" w:space="0" w:color="7F7F7F"/>
              <w:right w:val="nil"/>
            </w:tcBorders>
            <w:vAlign w:val="center"/>
            <w:hideMark/>
          </w:tcPr>
          <w:p w14:paraId="13892949"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Nohelia del Carmen Zawady Palacio</w:t>
            </w:r>
          </w:p>
          <w:p w14:paraId="10018314" w14:textId="77777777" w:rsidR="00FF35E8" w:rsidRPr="00FF35E8" w:rsidRDefault="00FF35E8" w:rsidP="00FF35E8">
            <w:pPr>
              <w:rPr>
                <w:rFonts w:ascii="Arial" w:eastAsia="Calibri" w:hAnsi="Arial" w:cs="Arial"/>
                <w:sz w:val="18"/>
                <w:szCs w:val="18"/>
                <w:lang w:val="es-MX" w:eastAsia="es-ES"/>
              </w:rPr>
            </w:pPr>
            <w:r w:rsidRPr="00FF35E8">
              <w:rPr>
                <w:rFonts w:ascii="Arial" w:eastAsia="Calibri" w:hAnsi="Arial" w:cs="Arial"/>
                <w:sz w:val="18"/>
                <w:szCs w:val="18"/>
                <w:lang w:val="es-MX" w:eastAsia="es-ES"/>
              </w:rPr>
              <w:t>Subdirectora de Gestión Contractual ANCP – CCE</w:t>
            </w:r>
          </w:p>
        </w:tc>
      </w:tr>
    </w:tbl>
    <w:p w14:paraId="32B3B2BA" w14:textId="77777777" w:rsidR="00FF35E8" w:rsidRPr="00FF35E8" w:rsidRDefault="00FF35E8" w:rsidP="00FF35E8">
      <w:pPr>
        <w:spacing w:after="0" w:line="240" w:lineRule="auto"/>
        <w:jc w:val="center"/>
        <w:rPr>
          <w:rFonts w:ascii="Arial" w:eastAsia="Calibri" w:hAnsi="Arial" w:cs="Arial"/>
          <w:sz w:val="18"/>
          <w:szCs w:val="18"/>
          <w:lang w:val="es-MX" w:eastAsia="es-CO"/>
        </w:rPr>
      </w:pPr>
    </w:p>
    <w:p w14:paraId="32DC6090" w14:textId="77777777" w:rsidR="00FF35E8" w:rsidRPr="00FF35E8" w:rsidRDefault="00FF35E8" w:rsidP="00FF35E8">
      <w:pPr>
        <w:spacing w:after="0" w:line="240" w:lineRule="auto"/>
        <w:jc w:val="center"/>
        <w:rPr>
          <w:rFonts w:ascii="Arial" w:eastAsia="Calibri" w:hAnsi="Arial" w:cs="Arial"/>
          <w:lang w:val="es-ES_tradnl" w:eastAsia="es-CO"/>
        </w:rPr>
      </w:pPr>
    </w:p>
    <w:p w14:paraId="4B7149BB" w14:textId="77777777" w:rsidR="00FF35E8" w:rsidRPr="00FF35E8" w:rsidRDefault="00FF35E8" w:rsidP="00FF35E8">
      <w:pPr>
        <w:spacing w:after="0"/>
        <w:rPr>
          <w:rFonts w:ascii="Arial Nova" w:hAnsi="Arial Nova"/>
          <w:color w:val="000000" w:themeColor="text1"/>
        </w:rPr>
      </w:pPr>
    </w:p>
    <w:p w14:paraId="54266778" w14:textId="77777777" w:rsidR="00FF35E8" w:rsidRPr="00FF35E8" w:rsidRDefault="00FF35E8" w:rsidP="00FF35E8">
      <w:pPr>
        <w:spacing w:after="0"/>
        <w:rPr>
          <w:rFonts w:ascii="Arial Nova" w:hAnsi="Arial Nova"/>
          <w:color w:val="000000" w:themeColor="text1"/>
        </w:rPr>
      </w:pPr>
    </w:p>
    <w:p w14:paraId="605C4CF2" w14:textId="77777777" w:rsidR="00FF35E8" w:rsidRPr="00FF35E8" w:rsidRDefault="00FF35E8" w:rsidP="00FF35E8"/>
    <w:p w14:paraId="0F293BF4" w14:textId="0F6FB6C1" w:rsidR="00127233" w:rsidRPr="00FF35E8" w:rsidRDefault="00127233" w:rsidP="00FF35E8"/>
    <w:sectPr w:rsidR="00127233" w:rsidRPr="00FF35E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B73D2" w14:textId="77777777" w:rsidR="003C013B" w:rsidRDefault="003C013B" w:rsidP="004A1847">
      <w:pPr>
        <w:spacing w:after="0" w:line="240" w:lineRule="auto"/>
      </w:pPr>
      <w:r>
        <w:separator/>
      </w:r>
    </w:p>
  </w:endnote>
  <w:endnote w:type="continuationSeparator" w:id="0">
    <w:p w14:paraId="25AB4154" w14:textId="77777777" w:rsidR="003C013B" w:rsidRDefault="003C013B" w:rsidP="004A1847">
      <w:pPr>
        <w:spacing w:after="0" w:line="240" w:lineRule="auto"/>
      </w:pPr>
      <w:r>
        <w:continuationSeparator/>
      </w:r>
    </w:p>
  </w:endnote>
  <w:endnote w:type="continuationNotice" w:id="1">
    <w:p w14:paraId="36BC83A9"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A46C0" w14:textId="77777777" w:rsidR="003C013B" w:rsidRDefault="003C013B" w:rsidP="004A1847">
      <w:pPr>
        <w:spacing w:after="0" w:line="240" w:lineRule="auto"/>
      </w:pPr>
      <w:r>
        <w:separator/>
      </w:r>
    </w:p>
  </w:footnote>
  <w:footnote w:type="continuationSeparator" w:id="0">
    <w:p w14:paraId="78EBBCB5" w14:textId="77777777" w:rsidR="003C013B" w:rsidRDefault="003C013B" w:rsidP="004A1847">
      <w:pPr>
        <w:spacing w:after="0" w:line="240" w:lineRule="auto"/>
      </w:pPr>
      <w:r>
        <w:continuationSeparator/>
      </w:r>
    </w:p>
  </w:footnote>
  <w:footnote w:type="continuationNotice" w:id="1">
    <w:p w14:paraId="2CD6E107" w14:textId="77777777" w:rsidR="00DF1E43" w:rsidRDefault="00DF1E43">
      <w:pPr>
        <w:spacing w:after="0" w:line="240" w:lineRule="auto"/>
      </w:pPr>
    </w:p>
  </w:footnote>
  <w:footnote w:id="2">
    <w:p w14:paraId="409687A1" w14:textId="77777777" w:rsidR="00FF35E8" w:rsidRPr="00F27DD5" w:rsidRDefault="00FF35E8" w:rsidP="00F27DD5">
      <w:pPr>
        <w:pStyle w:val="Textonotapie"/>
        <w:ind w:firstLine="708"/>
        <w:jc w:val="both"/>
        <w:rPr>
          <w:rFonts w:ascii="Arial" w:hAnsi="Arial" w:cs="Arial"/>
          <w:sz w:val="18"/>
          <w:szCs w:val="18"/>
          <w:lang w:val="es-ES"/>
        </w:rPr>
      </w:pPr>
      <w:r w:rsidRPr="00F27DD5">
        <w:rPr>
          <w:rStyle w:val="Refdenotaalpie"/>
          <w:rFonts w:ascii="Arial" w:hAnsi="Arial" w:cs="Arial"/>
          <w:sz w:val="18"/>
          <w:szCs w:val="18"/>
        </w:rPr>
        <w:footnoteRef/>
      </w:r>
      <w:r w:rsidRPr="00F27DD5">
        <w:rPr>
          <w:rFonts w:ascii="Arial" w:hAnsi="Arial" w:cs="Arial"/>
          <w:sz w:val="18"/>
          <w:szCs w:val="18"/>
        </w:rPr>
        <w:t xml:space="preserve"> Estos conceptos pueden ser consultados en la relatoría de Colombia Compra Eficiente en el siguiente enlace:  </w:t>
      </w:r>
      <w:hyperlink r:id="rId1" w:history="1">
        <w:r w:rsidRPr="00F27DD5">
          <w:rPr>
            <w:rStyle w:val="Hipervnculo"/>
            <w:rFonts w:ascii="Arial" w:hAnsi="Arial" w:cs="Arial"/>
            <w:sz w:val="18"/>
            <w:szCs w:val="18"/>
            <w:lang w:val="es-ES"/>
          </w:rPr>
          <w:t>http://relatoria.colombiacompra.gov.co/busqueda/conceptos</w:t>
        </w:r>
      </w:hyperlink>
    </w:p>
  </w:footnote>
  <w:footnote w:id="3">
    <w:p w14:paraId="49DFBD26" w14:textId="77777777" w:rsidR="00FF35E8" w:rsidRPr="00F27DD5" w:rsidRDefault="00FF35E8" w:rsidP="00F27DD5">
      <w:pPr>
        <w:pStyle w:val="Textonotapie"/>
        <w:ind w:firstLine="708"/>
        <w:jc w:val="both"/>
        <w:rPr>
          <w:rFonts w:ascii="Arial" w:hAnsi="Arial" w:cs="Arial"/>
          <w:sz w:val="18"/>
          <w:szCs w:val="18"/>
        </w:rPr>
      </w:pPr>
    </w:p>
    <w:p w14:paraId="69DE10F0" w14:textId="7CD383E0" w:rsidR="00FF35E8" w:rsidRPr="00F27DD5" w:rsidRDefault="00FF35E8" w:rsidP="00F27DD5">
      <w:pPr>
        <w:pStyle w:val="Textonotapie"/>
        <w:ind w:firstLine="708"/>
        <w:jc w:val="both"/>
        <w:rPr>
          <w:rFonts w:ascii="Arial" w:hAnsi="Arial" w:cs="Arial"/>
          <w:sz w:val="18"/>
          <w:szCs w:val="18"/>
          <w:lang w:val="es-CO"/>
        </w:rPr>
      </w:pPr>
      <w:r w:rsidRPr="00F27DD5">
        <w:rPr>
          <w:rStyle w:val="Refdenotaalpie"/>
          <w:rFonts w:ascii="Arial" w:hAnsi="Arial" w:cs="Arial"/>
          <w:sz w:val="18"/>
          <w:szCs w:val="18"/>
        </w:rPr>
        <w:footnoteRef/>
      </w:r>
      <w:r w:rsidRPr="00F27DD5">
        <w:rPr>
          <w:rFonts w:ascii="Arial" w:hAnsi="Arial" w:cs="Arial"/>
          <w:sz w:val="18"/>
          <w:szCs w:val="18"/>
        </w:rPr>
        <w:t xml:space="preserve"> </w:t>
      </w:r>
      <w:r w:rsidR="000B4A3E">
        <w:rPr>
          <w:rFonts w:ascii="Arial" w:hAnsi="Arial" w:cs="Arial"/>
          <w:sz w:val="18"/>
          <w:szCs w:val="18"/>
          <w:lang w:val="es-CO"/>
        </w:rPr>
        <w:t>D</w:t>
      </w:r>
      <w:r w:rsidRPr="00F27DD5">
        <w:rPr>
          <w:rFonts w:ascii="Arial" w:hAnsi="Arial" w:cs="Arial"/>
          <w:sz w:val="18"/>
          <w:szCs w:val="18"/>
          <w:lang w:val="es-CO"/>
        </w:rPr>
        <w:t xml:space="preserve">isponibles en el siguiente enlace: </w:t>
      </w:r>
      <w:hyperlink r:id="rId2" w:history="1">
        <w:r w:rsidRPr="00F27DD5">
          <w:rPr>
            <w:rStyle w:val="Hipervnculo"/>
            <w:rFonts w:ascii="Arial" w:hAnsi="Arial" w:cs="Arial"/>
            <w:sz w:val="18"/>
            <w:szCs w:val="18"/>
            <w:lang w:val="es-CO"/>
          </w:rPr>
          <w:t>https://www.colombiacompra.gov.co/documentos-tipo/documentos-tipo</w:t>
        </w:r>
      </w:hyperlink>
      <w:r w:rsidRPr="00F27DD5">
        <w:rPr>
          <w:rFonts w:ascii="Arial" w:hAnsi="Arial" w:cs="Arial"/>
          <w:sz w:val="18"/>
          <w:szCs w:val="18"/>
          <w:lang w:val="es-CO"/>
        </w:rPr>
        <w:t xml:space="preserve"> </w:t>
      </w:r>
    </w:p>
  </w:footnote>
  <w:footnote w:id="4">
    <w:p w14:paraId="073CC525" w14:textId="77777777" w:rsidR="00FF35E8" w:rsidRPr="00F27DD5" w:rsidRDefault="00FF35E8" w:rsidP="00F27DD5">
      <w:pPr>
        <w:pStyle w:val="Textonotapie"/>
        <w:ind w:firstLine="708"/>
        <w:jc w:val="both"/>
        <w:rPr>
          <w:rFonts w:ascii="Arial" w:hAnsi="Arial" w:cs="Arial"/>
          <w:color w:val="000000"/>
          <w:sz w:val="18"/>
          <w:szCs w:val="18"/>
        </w:rPr>
      </w:pPr>
      <w:r w:rsidRPr="00F27DD5">
        <w:rPr>
          <w:rStyle w:val="Refdenotaalpie"/>
          <w:rFonts w:ascii="Arial" w:hAnsi="Arial" w:cs="Arial"/>
          <w:sz w:val="18"/>
          <w:szCs w:val="18"/>
        </w:rPr>
        <w:footnoteRef/>
      </w:r>
      <w:r w:rsidRPr="00F27DD5">
        <w:rPr>
          <w:rFonts w:ascii="Arial" w:hAnsi="Arial" w:cs="Arial"/>
          <w:sz w:val="18"/>
          <w:szCs w:val="18"/>
        </w:rPr>
        <w:t xml:space="preserve"> </w:t>
      </w:r>
      <w:r w:rsidRPr="00F27DD5">
        <w:rPr>
          <w:rFonts w:ascii="Arial" w:hAnsi="Arial" w:cs="Arial"/>
          <w:color w:val="000000"/>
          <w:sz w:val="18"/>
          <w:szCs w:val="18"/>
        </w:rPr>
        <w:t>Consejo de Estado. Sección Tercera. Subsección C. Sentencia del 11 de febrero de 2009. Exp. 16.100. C.P. Ramiro Saavedra Becerra.</w:t>
      </w:r>
    </w:p>
    <w:p w14:paraId="4163DCE1" w14:textId="77777777" w:rsidR="00FF35E8" w:rsidRPr="00F27DD5" w:rsidRDefault="00FF35E8" w:rsidP="00F27DD5">
      <w:pPr>
        <w:pStyle w:val="Textonotapie"/>
        <w:ind w:firstLine="708"/>
        <w:jc w:val="both"/>
        <w:rPr>
          <w:rFonts w:ascii="Arial" w:hAnsi="Arial" w:cs="Arial"/>
          <w:color w:val="000000"/>
          <w:sz w:val="18"/>
          <w:szCs w:val="18"/>
        </w:rPr>
      </w:pPr>
    </w:p>
  </w:footnote>
  <w:footnote w:id="5">
    <w:p w14:paraId="2F1D85AC" w14:textId="77777777" w:rsidR="00FF35E8" w:rsidRPr="00F27DD5" w:rsidRDefault="00FF35E8" w:rsidP="00F27DD5">
      <w:pPr>
        <w:pStyle w:val="Textonotapie"/>
        <w:ind w:firstLine="708"/>
        <w:jc w:val="both"/>
        <w:rPr>
          <w:rFonts w:ascii="Arial" w:eastAsia="Times New Roman" w:hAnsi="Arial" w:cs="Arial"/>
          <w:color w:val="000000"/>
          <w:sz w:val="18"/>
          <w:szCs w:val="18"/>
          <w:lang w:eastAsia="es-CO"/>
        </w:rPr>
      </w:pPr>
      <w:r w:rsidRPr="00F27DD5">
        <w:rPr>
          <w:rStyle w:val="Refdenotaalpie"/>
          <w:rFonts w:ascii="Arial" w:hAnsi="Arial" w:cs="Arial"/>
          <w:color w:val="000000"/>
          <w:sz w:val="18"/>
          <w:szCs w:val="18"/>
        </w:rPr>
        <w:footnoteRef/>
      </w:r>
      <w:r w:rsidRPr="00F27DD5">
        <w:rPr>
          <w:rFonts w:ascii="Arial" w:hAnsi="Arial" w:cs="Arial"/>
          <w:color w:val="000000"/>
          <w:sz w:val="18"/>
          <w:szCs w:val="18"/>
        </w:rPr>
        <w:t xml:space="preserve"> </w:t>
      </w:r>
      <w:r w:rsidRPr="00F27DD5">
        <w:rPr>
          <w:rFonts w:ascii="Arial" w:eastAsia="Times New Roman" w:hAnsi="Arial" w:cs="Arial"/>
          <w:color w:val="000000"/>
          <w:sz w:val="18"/>
          <w:szCs w:val="18"/>
          <w:lang w:eastAsia="es-CO"/>
        </w:rPr>
        <w:t>Consejo de Estado. Sala de Consulta y Servicio Civil. Concepto del 20 de mayo de 2010. Exp. 1.992. C.P. Enrique José Arboleda Perdomo.</w:t>
      </w:r>
    </w:p>
    <w:p w14:paraId="1A9DDA79" w14:textId="77777777" w:rsidR="00FF35E8" w:rsidRPr="00F27DD5" w:rsidRDefault="00FF35E8" w:rsidP="00F27DD5">
      <w:pPr>
        <w:pStyle w:val="Textonotapie"/>
        <w:ind w:firstLine="708"/>
        <w:jc w:val="both"/>
        <w:rPr>
          <w:rFonts w:ascii="Arial" w:eastAsia="Times New Roman" w:hAnsi="Arial" w:cs="Arial"/>
          <w:color w:val="000000"/>
          <w:sz w:val="18"/>
          <w:szCs w:val="18"/>
          <w:lang w:eastAsia="es-CO"/>
        </w:rPr>
      </w:pPr>
    </w:p>
  </w:footnote>
  <w:footnote w:id="6">
    <w:p w14:paraId="34D31645" w14:textId="48546A6E" w:rsidR="00FF35E8" w:rsidRPr="00F27DD5" w:rsidRDefault="00FF35E8" w:rsidP="00F27DD5">
      <w:pPr>
        <w:pStyle w:val="Textonotapie"/>
        <w:ind w:firstLine="708"/>
        <w:jc w:val="both"/>
        <w:rPr>
          <w:rFonts w:ascii="Arial" w:eastAsia="Times New Roman" w:hAnsi="Arial" w:cs="Arial"/>
          <w:color w:val="000000"/>
          <w:sz w:val="18"/>
          <w:szCs w:val="18"/>
          <w:lang w:eastAsia="es-CO"/>
        </w:rPr>
      </w:pPr>
      <w:r w:rsidRPr="00F27DD5">
        <w:rPr>
          <w:rStyle w:val="Refdenotaalpie"/>
          <w:rFonts w:ascii="Arial" w:hAnsi="Arial" w:cs="Arial"/>
          <w:color w:val="000000"/>
          <w:sz w:val="18"/>
          <w:szCs w:val="18"/>
        </w:rPr>
        <w:footnoteRef/>
      </w:r>
      <w:r w:rsidRPr="00F27DD5">
        <w:rPr>
          <w:rFonts w:ascii="Arial" w:hAnsi="Arial" w:cs="Arial"/>
          <w:color w:val="000000"/>
          <w:sz w:val="18"/>
          <w:szCs w:val="18"/>
        </w:rPr>
        <w:t xml:space="preserve"> </w:t>
      </w:r>
      <w:r w:rsidRPr="00F27DD5">
        <w:rPr>
          <w:rFonts w:ascii="Arial" w:eastAsia="Times New Roman" w:hAnsi="Arial" w:cs="Arial"/>
          <w:color w:val="000000"/>
          <w:sz w:val="18"/>
          <w:szCs w:val="18"/>
          <w:lang w:eastAsia="es-CO"/>
        </w:rPr>
        <w:t xml:space="preserve">Ver conceptos: C-008 </w:t>
      </w:r>
      <w:r w:rsidR="000B4A3E" w:rsidRPr="00F27DD5">
        <w:rPr>
          <w:rFonts w:ascii="Arial" w:eastAsia="Times New Roman" w:hAnsi="Arial" w:cs="Arial"/>
          <w:color w:val="000000"/>
          <w:sz w:val="18"/>
          <w:szCs w:val="18"/>
          <w:lang w:eastAsia="es-CO"/>
        </w:rPr>
        <w:t>del 4</w:t>
      </w:r>
      <w:r w:rsidRPr="00F27DD5">
        <w:rPr>
          <w:rFonts w:ascii="Arial" w:eastAsia="Times New Roman" w:hAnsi="Arial" w:cs="Arial"/>
          <w:color w:val="000000"/>
          <w:sz w:val="18"/>
          <w:szCs w:val="18"/>
          <w:lang w:eastAsia="es-CO"/>
        </w:rPr>
        <w:t xml:space="preserve"> de mayo de 2020, C-267 del 4 de mayo de 2020, C-283 del 4 de mayo de 2020, C-365 del 30 de junio de 2020 y C-730 del 14 de diciembre del 2020 y C-779 de 18 de enero de 2021.</w:t>
      </w:r>
    </w:p>
  </w:footnote>
  <w:footnote w:id="7">
    <w:p w14:paraId="210A2564" w14:textId="0B12CBCA" w:rsidR="00FF35E8" w:rsidRPr="00F27DD5" w:rsidRDefault="00FF35E8" w:rsidP="00B070A1">
      <w:pPr>
        <w:pBdr>
          <w:top w:val="nil"/>
          <w:left w:val="nil"/>
          <w:bottom w:val="nil"/>
          <w:right w:val="nil"/>
          <w:between w:val="nil"/>
        </w:pBdr>
        <w:spacing w:after="0"/>
        <w:ind w:firstLine="709"/>
        <w:jc w:val="both"/>
        <w:rPr>
          <w:rFonts w:ascii="Arial" w:eastAsia="Arial" w:hAnsi="Arial" w:cs="Arial"/>
          <w:color w:val="000000"/>
          <w:sz w:val="18"/>
          <w:szCs w:val="18"/>
        </w:rPr>
      </w:pPr>
      <w:r w:rsidRPr="00F27DD5">
        <w:rPr>
          <w:rFonts w:ascii="Arial" w:hAnsi="Arial" w:cs="Arial"/>
          <w:sz w:val="18"/>
          <w:szCs w:val="18"/>
          <w:vertAlign w:val="superscript"/>
        </w:rPr>
        <w:footnoteRef/>
      </w:r>
      <w:r w:rsidRPr="00F27DD5">
        <w:rPr>
          <w:rFonts w:ascii="Arial" w:eastAsia="Arial" w:hAnsi="Arial" w:cs="Arial"/>
          <w:color w:val="000000"/>
          <w:sz w:val="18"/>
          <w:szCs w:val="18"/>
          <w:vertAlign w:val="superscript"/>
        </w:rPr>
        <w:t xml:space="preserve"> </w:t>
      </w:r>
      <w:r w:rsidRPr="00F27DD5">
        <w:rPr>
          <w:rFonts w:ascii="Arial" w:eastAsia="Arial" w:hAnsi="Arial" w:cs="Arial"/>
          <w:color w:val="000000"/>
          <w:sz w:val="18"/>
          <w:szCs w:val="18"/>
        </w:rPr>
        <w:t xml:space="preserve">Ley 1150 de 2007, artículo 5, parágrafo 4°: </w:t>
      </w:r>
      <w:r w:rsidR="00B070A1">
        <w:rPr>
          <w:rFonts w:ascii="Arial" w:eastAsia="Arial" w:hAnsi="Arial" w:cs="Arial"/>
          <w:color w:val="000000"/>
          <w:sz w:val="18"/>
          <w:szCs w:val="18"/>
        </w:rPr>
        <w:t>“</w:t>
      </w:r>
      <w:r w:rsidRPr="00F27DD5">
        <w:rPr>
          <w:rFonts w:ascii="Arial" w:eastAsia="Arial" w:hAnsi="Arial" w:cs="Arial"/>
          <w:color w:val="000000"/>
          <w:sz w:val="18"/>
          <w:szCs w:val="18"/>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r w:rsidR="00B070A1">
        <w:rPr>
          <w:rFonts w:ascii="Arial" w:eastAsia="Arial" w:hAnsi="Arial" w:cs="Arial"/>
          <w:color w:val="000000"/>
          <w:sz w:val="18"/>
          <w:szCs w:val="18"/>
        </w:rPr>
        <w:t>”</w:t>
      </w:r>
      <w:r w:rsidRPr="00F27DD5">
        <w:rPr>
          <w:rFonts w:ascii="Arial" w:eastAsia="Arial" w:hAnsi="Arial" w:cs="Arial"/>
          <w:color w:val="000000"/>
          <w:sz w:val="18"/>
          <w:szCs w:val="18"/>
        </w:rPr>
        <w:t>.</w:t>
      </w:r>
    </w:p>
  </w:footnote>
  <w:footnote w:id="8">
    <w:p w14:paraId="15B50002" w14:textId="77777777" w:rsidR="00B070A1" w:rsidRDefault="00B070A1" w:rsidP="00B070A1">
      <w:pPr>
        <w:pStyle w:val="Textonotapie"/>
        <w:ind w:firstLine="708"/>
        <w:jc w:val="both"/>
        <w:rPr>
          <w:rFonts w:ascii="Arial" w:eastAsia="Arial" w:hAnsi="Arial" w:cs="Arial"/>
          <w:color w:val="000000"/>
          <w:sz w:val="18"/>
          <w:szCs w:val="18"/>
          <w:vertAlign w:val="superscript"/>
          <w:lang w:val="es-ES"/>
        </w:rPr>
      </w:pPr>
    </w:p>
    <w:p w14:paraId="1D493C61" w14:textId="484EE506" w:rsidR="00FF35E8" w:rsidRPr="00F27DD5" w:rsidRDefault="00FF35E8" w:rsidP="00B070A1">
      <w:pPr>
        <w:pStyle w:val="Textonotapie"/>
        <w:ind w:firstLine="708"/>
        <w:jc w:val="both"/>
        <w:rPr>
          <w:rFonts w:ascii="Arial" w:hAnsi="Arial" w:cs="Arial"/>
          <w:color w:val="000000"/>
          <w:sz w:val="18"/>
          <w:szCs w:val="18"/>
          <w:lang w:val="es-ES"/>
        </w:rPr>
      </w:pPr>
      <w:r w:rsidRPr="00F27DD5">
        <w:rPr>
          <w:rFonts w:ascii="Arial" w:eastAsia="Arial" w:hAnsi="Arial" w:cs="Arial"/>
          <w:color w:val="000000"/>
          <w:sz w:val="18"/>
          <w:szCs w:val="18"/>
          <w:vertAlign w:val="superscript"/>
        </w:rPr>
        <w:footnoteRef/>
      </w:r>
      <w:r w:rsidRPr="00F27DD5">
        <w:rPr>
          <w:rFonts w:ascii="Arial" w:eastAsia="Arial" w:hAnsi="Arial" w:cs="Arial"/>
          <w:color w:val="000000"/>
          <w:sz w:val="18"/>
          <w:szCs w:val="18"/>
          <w:vertAlign w:val="superscript"/>
          <w:lang w:val="es-ES"/>
        </w:rPr>
        <w:t xml:space="preserve"> </w:t>
      </w:r>
      <w:r w:rsidRPr="00F27DD5">
        <w:rPr>
          <w:rFonts w:ascii="Arial" w:eastAsia="Arial" w:hAnsi="Arial" w:cs="Arial"/>
          <w:color w:val="000000"/>
          <w:sz w:val="18"/>
          <w:szCs w:val="18"/>
          <w:lang w:val="es-ES"/>
        </w:rPr>
        <w:t>Consejo de Estado. Sala de Consulta y Servicio Civil. Concepto del 20 de mayo de 2010. No. de Radicado: 11001-03-06-000-2010-00034-00(1992). C.P. Enrique José Arboleda Perdomo.</w:t>
      </w:r>
    </w:p>
    <w:p w14:paraId="1D9E20EB" w14:textId="77777777" w:rsidR="00FF35E8" w:rsidRPr="00F27DD5" w:rsidRDefault="00FF35E8" w:rsidP="00F27DD5">
      <w:pPr>
        <w:pStyle w:val="Textonotapie"/>
        <w:ind w:firstLine="708"/>
        <w:jc w:val="both"/>
        <w:rPr>
          <w:rFonts w:ascii="Arial" w:hAnsi="Arial" w:cs="Arial"/>
          <w:color w:val="000000"/>
          <w:sz w:val="18"/>
          <w:szCs w:val="18"/>
        </w:rPr>
      </w:pPr>
    </w:p>
  </w:footnote>
  <w:footnote w:id="9">
    <w:p w14:paraId="56619C61" w14:textId="077E92F5" w:rsidR="00FF35E8" w:rsidRPr="00F27DD5" w:rsidRDefault="00FF35E8" w:rsidP="00F9230E">
      <w:pPr>
        <w:pStyle w:val="Textonotapie"/>
        <w:spacing w:before="120"/>
        <w:ind w:firstLine="709"/>
        <w:jc w:val="both"/>
        <w:rPr>
          <w:rFonts w:ascii="Arial" w:hAnsi="Arial" w:cs="Arial"/>
          <w:sz w:val="18"/>
          <w:szCs w:val="18"/>
        </w:rPr>
      </w:pPr>
      <w:r w:rsidRPr="00F27DD5">
        <w:rPr>
          <w:rStyle w:val="Refdenotaalpie"/>
          <w:rFonts w:ascii="Arial" w:hAnsi="Arial" w:cs="Arial"/>
          <w:sz w:val="18"/>
          <w:szCs w:val="18"/>
        </w:rPr>
        <w:footnoteRef/>
      </w:r>
      <w:r w:rsidRPr="00F27DD5">
        <w:rPr>
          <w:rFonts w:ascii="Arial" w:hAnsi="Arial" w:cs="Arial"/>
          <w:sz w:val="18"/>
          <w:szCs w:val="18"/>
        </w:rPr>
        <w:t xml:space="preserve"> Ley 80 de 1993, artículo 4 parágrafo 3º: </w:t>
      </w:r>
      <w:r w:rsidR="00F9230E">
        <w:rPr>
          <w:rFonts w:ascii="Arial" w:hAnsi="Arial" w:cs="Arial"/>
          <w:sz w:val="18"/>
          <w:szCs w:val="18"/>
        </w:rPr>
        <w:t>“</w:t>
      </w:r>
      <w:r w:rsidRPr="00F27DD5">
        <w:rPr>
          <w:rFonts w:ascii="Arial" w:hAnsi="Arial" w:cs="Arial"/>
          <w:sz w:val="18"/>
          <w:szCs w:val="18"/>
        </w:rPr>
        <w:t>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79B91A3D" w14:textId="05E5CDD7" w:rsidR="00FF35E8" w:rsidRPr="00F27DD5" w:rsidRDefault="00FF35E8" w:rsidP="00F9230E">
      <w:pPr>
        <w:pStyle w:val="Textonotapie"/>
        <w:spacing w:before="120"/>
        <w:ind w:firstLine="709"/>
        <w:jc w:val="both"/>
        <w:rPr>
          <w:rFonts w:ascii="Arial" w:hAnsi="Arial" w:cs="Arial"/>
          <w:sz w:val="18"/>
          <w:szCs w:val="18"/>
          <w:lang w:val="es-ES"/>
        </w:rPr>
      </w:pPr>
      <w:r w:rsidRPr="00F27DD5">
        <w:rPr>
          <w:rFonts w:ascii="Arial" w:hAnsi="Arial" w:cs="Arial"/>
          <w:sz w:val="18"/>
          <w:szCs w:val="18"/>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r w:rsidR="00F9230E">
        <w:rPr>
          <w:rFonts w:ascii="Arial" w:hAnsi="Arial" w:cs="Arial"/>
          <w:sz w:val="18"/>
          <w:szCs w:val="18"/>
        </w:rPr>
        <w:t>”</w:t>
      </w:r>
    </w:p>
  </w:footnote>
  <w:footnote w:id="10">
    <w:p w14:paraId="4D3090AB" w14:textId="77777777" w:rsidR="00FF35E8" w:rsidRPr="00F27DD5" w:rsidRDefault="00FF35E8" w:rsidP="00F27DD5">
      <w:pPr>
        <w:pStyle w:val="Textonotapie"/>
        <w:ind w:firstLine="708"/>
        <w:jc w:val="both"/>
        <w:rPr>
          <w:rFonts w:ascii="Arial" w:eastAsia="Times New Roman" w:hAnsi="Arial" w:cs="Arial"/>
          <w:sz w:val="18"/>
          <w:szCs w:val="18"/>
          <w:lang w:val="es-CO" w:eastAsia="es-CO"/>
        </w:rPr>
      </w:pPr>
      <w:r w:rsidRPr="00F27DD5">
        <w:rPr>
          <w:rStyle w:val="Refdenotaalpie"/>
          <w:rFonts w:ascii="Arial" w:hAnsi="Arial" w:cs="Arial"/>
          <w:sz w:val="18"/>
          <w:szCs w:val="18"/>
        </w:rPr>
        <w:footnoteRef/>
      </w:r>
      <w:r w:rsidRPr="00F27DD5">
        <w:rPr>
          <w:rFonts w:ascii="Arial" w:hAnsi="Arial" w:cs="Arial"/>
          <w:sz w:val="18"/>
          <w:szCs w:val="18"/>
        </w:rPr>
        <w:t xml:space="preserve"> </w:t>
      </w:r>
      <w:r w:rsidRPr="00F27DD5">
        <w:rPr>
          <w:rFonts w:ascii="Arial" w:eastAsia="Times New Roman" w:hAnsi="Arial" w:cs="Arial"/>
          <w:sz w:val="18"/>
          <w:szCs w:val="18"/>
          <w:lang w:val="es-CO" w:eastAsia="es-CO"/>
        </w:rPr>
        <w:t>Consejo de Estado. Sección Tercera. Sentencia del 27 de abril de 2011. Exp. 18.293. C.P. Ruth Stella Correa Palacio.</w:t>
      </w:r>
    </w:p>
    <w:p w14:paraId="5B2AC95C" w14:textId="77777777" w:rsidR="00FF35E8" w:rsidRPr="00F27DD5" w:rsidRDefault="00FF35E8" w:rsidP="00F27DD5">
      <w:pPr>
        <w:pStyle w:val="Textonotapie"/>
        <w:ind w:firstLine="708"/>
        <w:jc w:val="both"/>
        <w:rPr>
          <w:rFonts w:ascii="Arial" w:eastAsia="Calibri" w:hAnsi="Arial" w:cs="Arial"/>
          <w:sz w:val="18"/>
          <w:szCs w:val="18"/>
          <w:lang w:val="es-CO"/>
        </w:rPr>
      </w:pPr>
    </w:p>
  </w:footnote>
  <w:footnote w:id="11">
    <w:p w14:paraId="137BB514" w14:textId="62EC707D" w:rsidR="00FF35E8" w:rsidRPr="00F27DD5" w:rsidRDefault="00FF35E8" w:rsidP="00F27DD5">
      <w:pPr>
        <w:pStyle w:val="Textonotapie"/>
        <w:ind w:firstLine="708"/>
        <w:jc w:val="both"/>
        <w:rPr>
          <w:rFonts w:ascii="Arial" w:eastAsia="Times New Roman" w:hAnsi="Arial" w:cs="Arial"/>
          <w:sz w:val="18"/>
          <w:szCs w:val="18"/>
          <w:lang w:val="es-CO" w:eastAsia="es-CO"/>
        </w:rPr>
      </w:pPr>
      <w:r w:rsidRPr="00F27DD5">
        <w:rPr>
          <w:rStyle w:val="Refdenotaalpie"/>
          <w:rFonts w:ascii="Arial" w:hAnsi="Arial" w:cs="Arial"/>
          <w:sz w:val="18"/>
          <w:szCs w:val="18"/>
        </w:rPr>
        <w:footnoteRef/>
      </w:r>
      <w:r w:rsidRPr="00F27DD5">
        <w:rPr>
          <w:rFonts w:ascii="Arial" w:hAnsi="Arial" w:cs="Arial"/>
          <w:sz w:val="18"/>
          <w:szCs w:val="18"/>
        </w:rPr>
        <w:t xml:space="preserve"> </w:t>
      </w:r>
      <w:r w:rsidRPr="00F27DD5">
        <w:rPr>
          <w:rFonts w:ascii="Arial" w:eastAsia="Times New Roman" w:hAnsi="Arial" w:cs="Arial"/>
          <w:sz w:val="18"/>
          <w:szCs w:val="18"/>
          <w:lang w:val="es-CO" w:eastAsia="es-CO"/>
        </w:rPr>
        <w:t xml:space="preserve">Consejo de Estado. Sección Tercera. Sentencia del 21 de noviembre de </w:t>
      </w:r>
      <w:r w:rsidR="00F9230E" w:rsidRPr="00F27DD5">
        <w:rPr>
          <w:rFonts w:ascii="Arial" w:eastAsia="Times New Roman" w:hAnsi="Arial" w:cs="Arial"/>
          <w:sz w:val="18"/>
          <w:szCs w:val="18"/>
          <w:lang w:val="es-CO" w:eastAsia="es-CO"/>
        </w:rPr>
        <w:t>2013 Exp</w:t>
      </w:r>
      <w:r w:rsidRPr="00F27DD5">
        <w:rPr>
          <w:rFonts w:ascii="Arial" w:eastAsia="Times New Roman" w:hAnsi="Arial" w:cs="Arial"/>
          <w:sz w:val="18"/>
          <w:szCs w:val="18"/>
          <w:lang w:val="es-CO" w:eastAsia="es-CO"/>
        </w:rPr>
        <w:t>. 25397. C.P. Carlos Alberto Zambrano Barrera.</w:t>
      </w:r>
    </w:p>
    <w:p w14:paraId="0BDE6DE7" w14:textId="77777777" w:rsidR="00FF35E8" w:rsidRPr="00F27DD5" w:rsidRDefault="00FF35E8" w:rsidP="00F27DD5">
      <w:pPr>
        <w:pStyle w:val="Textonotapie"/>
        <w:ind w:firstLine="708"/>
        <w:jc w:val="both"/>
        <w:rPr>
          <w:rFonts w:ascii="Arial" w:eastAsia="Calibri" w:hAnsi="Arial"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B4A3E"/>
    <w:rsid w:val="000B537B"/>
    <w:rsid w:val="000C0671"/>
    <w:rsid w:val="000D6834"/>
    <w:rsid w:val="0011595A"/>
    <w:rsid w:val="001220C5"/>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824C0"/>
    <w:rsid w:val="004A1847"/>
    <w:rsid w:val="004B6B0E"/>
    <w:rsid w:val="004D25B3"/>
    <w:rsid w:val="004D387A"/>
    <w:rsid w:val="00511405"/>
    <w:rsid w:val="00526E9D"/>
    <w:rsid w:val="00547856"/>
    <w:rsid w:val="00547A74"/>
    <w:rsid w:val="005566E8"/>
    <w:rsid w:val="005746AB"/>
    <w:rsid w:val="0059357F"/>
    <w:rsid w:val="005A1130"/>
    <w:rsid w:val="005D65C8"/>
    <w:rsid w:val="005E73D4"/>
    <w:rsid w:val="00603A97"/>
    <w:rsid w:val="006219F8"/>
    <w:rsid w:val="00681FDB"/>
    <w:rsid w:val="00687196"/>
    <w:rsid w:val="00694C02"/>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D3410"/>
    <w:rsid w:val="009F33F2"/>
    <w:rsid w:val="009F6C77"/>
    <w:rsid w:val="00A07532"/>
    <w:rsid w:val="00A1085C"/>
    <w:rsid w:val="00A309E2"/>
    <w:rsid w:val="00A8066E"/>
    <w:rsid w:val="00AA4B8A"/>
    <w:rsid w:val="00AA6BF7"/>
    <w:rsid w:val="00AB7160"/>
    <w:rsid w:val="00B01ED6"/>
    <w:rsid w:val="00B06D09"/>
    <w:rsid w:val="00B070A1"/>
    <w:rsid w:val="00B1722B"/>
    <w:rsid w:val="00B771A9"/>
    <w:rsid w:val="00B809BB"/>
    <w:rsid w:val="00B8248A"/>
    <w:rsid w:val="00BB7726"/>
    <w:rsid w:val="00C2329E"/>
    <w:rsid w:val="00C30461"/>
    <w:rsid w:val="00C754BE"/>
    <w:rsid w:val="00C755FA"/>
    <w:rsid w:val="00C87572"/>
    <w:rsid w:val="00C9405D"/>
    <w:rsid w:val="00CC1B26"/>
    <w:rsid w:val="00CD284F"/>
    <w:rsid w:val="00CF23AA"/>
    <w:rsid w:val="00D01921"/>
    <w:rsid w:val="00D0571B"/>
    <w:rsid w:val="00D752B7"/>
    <w:rsid w:val="00DA1854"/>
    <w:rsid w:val="00DB0887"/>
    <w:rsid w:val="00DF1E43"/>
    <w:rsid w:val="00E20894"/>
    <w:rsid w:val="00E26B7C"/>
    <w:rsid w:val="00EA3003"/>
    <w:rsid w:val="00EB3C91"/>
    <w:rsid w:val="00EB66DA"/>
    <w:rsid w:val="00F07692"/>
    <w:rsid w:val="00F27DD5"/>
    <w:rsid w:val="00F605F2"/>
    <w:rsid w:val="00F76AFC"/>
    <w:rsid w:val="00F8319B"/>
    <w:rsid w:val="00F9230E"/>
    <w:rsid w:val="00FA5516"/>
    <w:rsid w:val="00FD6F73"/>
    <w:rsid w:val="00FF35E8"/>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FF35E8"/>
    <w:pPr>
      <w:spacing w:line="240" w:lineRule="exact"/>
    </w:pPr>
    <w:rPr>
      <w:vertAlign w:val="superscript"/>
    </w:rPr>
  </w:style>
  <w:style w:type="table" w:customStyle="1" w:styleId="Tablaconcuadrcula21">
    <w:name w:val="Tabla con cuadrícula21"/>
    <w:basedOn w:val="Tablanormal"/>
    <w:next w:val="Tablaconcuadrcula"/>
    <w:uiPriority w:val="59"/>
    <w:rsid w:val="00FF3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F35E8"/>
    <w:rPr>
      <w:color w:val="0563C1" w:themeColor="hyperlink"/>
      <w:u w:val="single"/>
    </w:rPr>
  </w:style>
  <w:style w:type="paragraph" w:customStyle="1" w:styleId="paragraph">
    <w:name w:val="paragraph"/>
    <w:basedOn w:val="Normal"/>
    <w:rsid w:val="00F0769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F07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405033">
      <w:bodyDiv w:val="1"/>
      <w:marLeft w:val="0"/>
      <w:marRight w:val="0"/>
      <w:marTop w:val="0"/>
      <w:marBottom w:val="0"/>
      <w:divBdr>
        <w:top w:val="none" w:sz="0" w:space="0" w:color="auto"/>
        <w:left w:val="none" w:sz="0" w:space="0" w:color="auto"/>
        <w:bottom w:val="none" w:sz="0" w:space="0" w:color="auto"/>
        <w:right w:val="none" w:sz="0" w:space="0" w:color="auto"/>
      </w:divBdr>
      <w:divsChild>
        <w:div w:id="1076443004">
          <w:marLeft w:val="0"/>
          <w:marRight w:val="0"/>
          <w:marTop w:val="0"/>
          <w:marBottom w:val="0"/>
          <w:divBdr>
            <w:top w:val="none" w:sz="0" w:space="0" w:color="auto"/>
            <w:left w:val="none" w:sz="0" w:space="0" w:color="auto"/>
            <w:bottom w:val="none" w:sz="0" w:space="0" w:color="auto"/>
            <w:right w:val="none" w:sz="0" w:space="0" w:color="auto"/>
          </w:divBdr>
        </w:div>
        <w:div w:id="968824292">
          <w:marLeft w:val="0"/>
          <w:marRight w:val="0"/>
          <w:marTop w:val="0"/>
          <w:marBottom w:val="0"/>
          <w:divBdr>
            <w:top w:val="none" w:sz="0" w:space="0" w:color="auto"/>
            <w:left w:val="none" w:sz="0" w:space="0" w:color="auto"/>
            <w:bottom w:val="none" w:sz="0" w:space="0" w:color="auto"/>
            <w:right w:val="none" w:sz="0" w:space="0" w:color="auto"/>
          </w:divBdr>
        </w:div>
        <w:div w:id="1259678820">
          <w:marLeft w:val="0"/>
          <w:marRight w:val="0"/>
          <w:marTop w:val="0"/>
          <w:marBottom w:val="0"/>
          <w:divBdr>
            <w:top w:val="none" w:sz="0" w:space="0" w:color="auto"/>
            <w:left w:val="none" w:sz="0" w:space="0" w:color="auto"/>
            <w:bottom w:val="none" w:sz="0" w:space="0" w:color="auto"/>
            <w:right w:val="none" w:sz="0" w:space="0" w:color="auto"/>
          </w:divBdr>
        </w:div>
        <w:div w:id="2092195679">
          <w:marLeft w:val="0"/>
          <w:marRight w:val="0"/>
          <w:marTop w:val="0"/>
          <w:marBottom w:val="0"/>
          <w:divBdr>
            <w:top w:val="none" w:sz="0" w:space="0" w:color="auto"/>
            <w:left w:val="none" w:sz="0" w:space="0" w:color="auto"/>
            <w:bottom w:val="none" w:sz="0" w:space="0" w:color="auto"/>
            <w:right w:val="none" w:sz="0" w:space="0" w:color="auto"/>
          </w:divBdr>
        </w:div>
        <w:div w:id="1879316685">
          <w:marLeft w:val="0"/>
          <w:marRight w:val="0"/>
          <w:marTop w:val="0"/>
          <w:marBottom w:val="0"/>
          <w:divBdr>
            <w:top w:val="none" w:sz="0" w:space="0" w:color="auto"/>
            <w:left w:val="none" w:sz="0" w:space="0" w:color="auto"/>
            <w:bottom w:val="none" w:sz="0" w:space="0" w:color="auto"/>
            <w:right w:val="none" w:sz="0" w:space="0" w:color="auto"/>
          </w:divBdr>
        </w:div>
        <w:div w:id="253632069">
          <w:marLeft w:val="0"/>
          <w:marRight w:val="0"/>
          <w:marTop w:val="0"/>
          <w:marBottom w:val="0"/>
          <w:divBdr>
            <w:top w:val="none" w:sz="0" w:space="0" w:color="auto"/>
            <w:left w:val="none" w:sz="0" w:space="0" w:color="auto"/>
            <w:bottom w:val="none" w:sz="0" w:space="0" w:color="auto"/>
            <w:right w:val="none" w:sz="0" w:space="0" w:color="auto"/>
          </w:divBdr>
        </w:div>
        <w:div w:id="1103763325">
          <w:marLeft w:val="0"/>
          <w:marRight w:val="0"/>
          <w:marTop w:val="0"/>
          <w:marBottom w:val="0"/>
          <w:divBdr>
            <w:top w:val="none" w:sz="0" w:space="0" w:color="auto"/>
            <w:left w:val="none" w:sz="0" w:space="0" w:color="auto"/>
            <w:bottom w:val="none" w:sz="0" w:space="0" w:color="auto"/>
            <w:right w:val="none" w:sz="0" w:space="0" w:color="auto"/>
          </w:divBdr>
        </w:div>
        <w:div w:id="495076739">
          <w:marLeft w:val="0"/>
          <w:marRight w:val="0"/>
          <w:marTop w:val="0"/>
          <w:marBottom w:val="0"/>
          <w:divBdr>
            <w:top w:val="none" w:sz="0" w:space="0" w:color="auto"/>
            <w:left w:val="none" w:sz="0" w:space="0" w:color="auto"/>
            <w:bottom w:val="none" w:sz="0" w:space="0" w:color="auto"/>
            <w:right w:val="none" w:sz="0" w:space="0" w:color="auto"/>
          </w:divBdr>
        </w:div>
        <w:div w:id="1480682550">
          <w:marLeft w:val="0"/>
          <w:marRight w:val="0"/>
          <w:marTop w:val="0"/>
          <w:marBottom w:val="0"/>
          <w:divBdr>
            <w:top w:val="none" w:sz="0" w:space="0" w:color="auto"/>
            <w:left w:val="none" w:sz="0" w:space="0" w:color="auto"/>
            <w:bottom w:val="none" w:sz="0" w:space="0" w:color="auto"/>
            <w:right w:val="none" w:sz="0" w:space="0" w:color="auto"/>
          </w:divBdr>
        </w:div>
        <w:div w:id="91628610">
          <w:marLeft w:val="0"/>
          <w:marRight w:val="0"/>
          <w:marTop w:val="0"/>
          <w:marBottom w:val="0"/>
          <w:divBdr>
            <w:top w:val="none" w:sz="0" w:space="0" w:color="auto"/>
            <w:left w:val="none" w:sz="0" w:space="0" w:color="auto"/>
            <w:bottom w:val="none" w:sz="0" w:space="0" w:color="auto"/>
            <w:right w:val="none" w:sz="0" w:space="0" w:color="auto"/>
          </w:divBdr>
        </w:div>
        <w:div w:id="4095158">
          <w:marLeft w:val="0"/>
          <w:marRight w:val="0"/>
          <w:marTop w:val="0"/>
          <w:marBottom w:val="0"/>
          <w:divBdr>
            <w:top w:val="none" w:sz="0" w:space="0" w:color="auto"/>
            <w:left w:val="none" w:sz="0" w:space="0" w:color="auto"/>
            <w:bottom w:val="none" w:sz="0" w:space="0" w:color="auto"/>
            <w:right w:val="none" w:sz="0" w:space="0" w:color="auto"/>
          </w:divBdr>
        </w:div>
        <w:div w:id="11225882">
          <w:marLeft w:val="0"/>
          <w:marRight w:val="0"/>
          <w:marTop w:val="0"/>
          <w:marBottom w:val="0"/>
          <w:divBdr>
            <w:top w:val="none" w:sz="0" w:space="0" w:color="auto"/>
            <w:left w:val="none" w:sz="0" w:space="0" w:color="auto"/>
            <w:bottom w:val="none" w:sz="0" w:space="0" w:color="auto"/>
            <w:right w:val="none" w:sz="0" w:space="0" w:color="auto"/>
          </w:divBdr>
        </w:div>
        <w:div w:id="1167404894">
          <w:marLeft w:val="0"/>
          <w:marRight w:val="0"/>
          <w:marTop w:val="0"/>
          <w:marBottom w:val="0"/>
          <w:divBdr>
            <w:top w:val="none" w:sz="0" w:space="0" w:color="auto"/>
            <w:left w:val="none" w:sz="0" w:space="0" w:color="auto"/>
            <w:bottom w:val="none" w:sz="0" w:space="0" w:color="auto"/>
            <w:right w:val="none" w:sz="0" w:space="0" w:color="auto"/>
          </w:divBdr>
        </w:div>
        <w:div w:id="860388979">
          <w:marLeft w:val="0"/>
          <w:marRight w:val="0"/>
          <w:marTop w:val="0"/>
          <w:marBottom w:val="0"/>
          <w:divBdr>
            <w:top w:val="none" w:sz="0" w:space="0" w:color="auto"/>
            <w:left w:val="none" w:sz="0" w:space="0" w:color="auto"/>
            <w:bottom w:val="none" w:sz="0" w:space="0" w:color="auto"/>
            <w:right w:val="none" w:sz="0" w:space="0" w:color="auto"/>
          </w:divBdr>
        </w:div>
        <w:div w:id="694616978">
          <w:marLeft w:val="0"/>
          <w:marRight w:val="0"/>
          <w:marTop w:val="0"/>
          <w:marBottom w:val="0"/>
          <w:divBdr>
            <w:top w:val="none" w:sz="0" w:space="0" w:color="auto"/>
            <w:left w:val="none" w:sz="0" w:space="0" w:color="auto"/>
            <w:bottom w:val="none" w:sz="0" w:space="0" w:color="auto"/>
            <w:right w:val="none" w:sz="0" w:space="0" w:color="auto"/>
          </w:divBdr>
        </w:div>
        <w:div w:id="146438633">
          <w:marLeft w:val="0"/>
          <w:marRight w:val="0"/>
          <w:marTop w:val="0"/>
          <w:marBottom w:val="0"/>
          <w:divBdr>
            <w:top w:val="none" w:sz="0" w:space="0" w:color="auto"/>
            <w:left w:val="none" w:sz="0" w:space="0" w:color="auto"/>
            <w:bottom w:val="none" w:sz="0" w:space="0" w:color="auto"/>
            <w:right w:val="none" w:sz="0" w:space="0" w:color="auto"/>
          </w:divBdr>
        </w:div>
        <w:div w:id="397217784">
          <w:marLeft w:val="0"/>
          <w:marRight w:val="0"/>
          <w:marTop w:val="0"/>
          <w:marBottom w:val="0"/>
          <w:divBdr>
            <w:top w:val="none" w:sz="0" w:space="0" w:color="auto"/>
            <w:left w:val="none" w:sz="0" w:space="0" w:color="auto"/>
            <w:bottom w:val="none" w:sz="0" w:space="0" w:color="auto"/>
            <w:right w:val="none" w:sz="0" w:space="0" w:color="auto"/>
          </w:divBdr>
        </w:div>
        <w:div w:id="492062084">
          <w:marLeft w:val="0"/>
          <w:marRight w:val="0"/>
          <w:marTop w:val="0"/>
          <w:marBottom w:val="0"/>
          <w:divBdr>
            <w:top w:val="none" w:sz="0" w:space="0" w:color="auto"/>
            <w:left w:val="none" w:sz="0" w:space="0" w:color="auto"/>
            <w:bottom w:val="none" w:sz="0" w:space="0" w:color="auto"/>
            <w:right w:val="none" w:sz="0" w:space="0" w:color="auto"/>
          </w:divBdr>
        </w:div>
        <w:div w:id="1755122947">
          <w:marLeft w:val="0"/>
          <w:marRight w:val="0"/>
          <w:marTop w:val="0"/>
          <w:marBottom w:val="0"/>
          <w:divBdr>
            <w:top w:val="none" w:sz="0" w:space="0" w:color="auto"/>
            <w:left w:val="none" w:sz="0" w:space="0" w:color="auto"/>
            <w:bottom w:val="none" w:sz="0" w:space="0" w:color="auto"/>
            <w:right w:val="none" w:sz="0" w:space="0" w:color="auto"/>
          </w:divBdr>
        </w:div>
        <w:div w:id="819541484">
          <w:marLeft w:val="0"/>
          <w:marRight w:val="0"/>
          <w:marTop w:val="0"/>
          <w:marBottom w:val="0"/>
          <w:divBdr>
            <w:top w:val="none" w:sz="0" w:space="0" w:color="auto"/>
            <w:left w:val="none" w:sz="0" w:space="0" w:color="auto"/>
            <w:bottom w:val="none" w:sz="0" w:space="0" w:color="auto"/>
            <w:right w:val="none" w:sz="0" w:space="0" w:color="auto"/>
          </w:divBdr>
        </w:div>
        <w:div w:id="1150748734">
          <w:marLeft w:val="0"/>
          <w:marRight w:val="0"/>
          <w:marTop w:val="0"/>
          <w:marBottom w:val="0"/>
          <w:divBdr>
            <w:top w:val="none" w:sz="0" w:space="0" w:color="auto"/>
            <w:left w:val="none" w:sz="0" w:space="0" w:color="auto"/>
            <w:bottom w:val="none" w:sz="0" w:space="0" w:color="auto"/>
            <w:right w:val="none" w:sz="0" w:space="0" w:color="auto"/>
          </w:divBdr>
        </w:div>
        <w:div w:id="844515926">
          <w:marLeft w:val="0"/>
          <w:marRight w:val="0"/>
          <w:marTop w:val="0"/>
          <w:marBottom w:val="0"/>
          <w:divBdr>
            <w:top w:val="none" w:sz="0" w:space="0" w:color="auto"/>
            <w:left w:val="none" w:sz="0" w:space="0" w:color="auto"/>
            <w:bottom w:val="none" w:sz="0" w:space="0" w:color="auto"/>
            <w:right w:val="none" w:sz="0" w:space="0" w:color="auto"/>
          </w:divBdr>
        </w:div>
        <w:div w:id="1661540603">
          <w:marLeft w:val="0"/>
          <w:marRight w:val="0"/>
          <w:marTop w:val="0"/>
          <w:marBottom w:val="0"/>
          <w:divBdr>
            <w:top w:val="none" w:sz="0" w:space="0" w:color="auto"/>
            <w:left w:val="none" w:sz="0" w:space="0" w:color="auto"/>
            <w:bottom w:val="none" w:sz="0" w:space="0" w:color="auto"/>
            <w:right w:val="none" w:sz="0" w:space="0" w:color="auto"/>
          </w:divBdr>
        </w:div>
        <w:div w:id="1422722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l.lamus2126@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0849AA8-5464-4804-875D-454B0D7C5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2006/metadata/properties"/>
    <ds:schemaRef ds:uri="a6cb9e4b-f1d1-4245-83ec-6cad768d538a"/>
    <ds:schemaRef ds:uri="http://purl.org/dc/elements/1.1/"/>
    <ds:schemaRef ds:uri="http://schemas.microsoft.com/office/infopath/2007/PartnerControls"/>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4941</Words>
  <Characters>27181</Characters>
  <Application>Microsoft Office Word</Application>
  <DocSecurity>0</DocSecurity>
  <Lines>226</Lines>
  <Paragraphs>64</Paragraphs>
  <ScaleCrop>false</ScaleCrop>
  <Company/>
  <LinksUpToDate>false</LinksUpToDate>
  <CharactersWithSpaces>32058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5</cp:revision>
  <dcterms:created xsi:type="dcterms:W3CDTF">2023-06-06T16:47:00Z</dcterms:created>
  <dcterms:modified xsi:type="dcterms:W3CDTF">2023-06-07T12:24:00Z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