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7969C" w14:textId="30BDE3A0" w:rsidR="00967C55" w:rsidRDefault="00802379" w:rsidP="007F212F">
      <w:pPr>
        <w:rPr>
          <w:rFonts w:ascii="Arial" w:hAnsi="Arial" w:cs="Arial"/>
          <w:b/>
          <w:color w:val="000000" w:themeColor="text1"/>
          <w:lang w:eastAsia="es-ES"/>
        </w:rPr>
      </w:pPr>
      <w:r>
        <w:rPr>
          <w:rFonts w:ascii="Arial" w:hAnsi="Arial" w:cs="Arial"/>
          <w:b/>
          <w:color w:val="000000" w:themeColor="text1"/>
          <w:sz w:val="22"/>
          <w:szCs w:val="22"/>
          <w:lang w:eastAsia="es-ES"/>
        </w:rPr>
        <w:t xml:space="preserve">PRINCIPIO DE SELECCIÓN OBJETIVA </w:t>
      </w:r>
    </w:p>
    <w:p w14:paraId="313E7295" w14:textId="43BE7AF6" w:rsidR="00967C55" w:rsidRPr="00AF130E" w:rsidRDefault="00967C55" w:rsidP="007F212F">
      <w:pPr>
        <w:rPr>
          <w:rFonts w:ascii="Arial" w:hAnsi="Arial" w:cs="Arial"/>
          <w:b/>
          <w:color w:val="000000" w:themeColor="text1"/>
          <w:sz w:val="22"/>
          <w:szCs w:val="22"/>
          <w:lang w:eastAsia="es-ES"/>
        </w:rPr>
      </w:pPr>
    </w:p>
    <w:p w14:paraId="2A6B0B75" w14:textId="77777777" w:rsidR="00802379" w:rsidRPr="00AF130E" w:rsidRDefault="00802379" w:rsidP="00AF130E">
      <w:pPr>
        <w:shd w:val="clear" w:color="auto" w:fill="FFFFFF"/>
        <w:jc w:val="both"/>
        <w:textAlignment w:val="baseline"/>
        <w:rPr>
          <w:rFonts w:ascii="Arial" w:hAnsi="Arial" w:cs="Arial"/>
          <w:color w:val="000000"/>
          <w:sz w:val="20"/>
          <w:szCs w:val="20"/>
        </w:rPr>
      </w:pPr>
      <w:r w:rsidRPr="00AF130E">
        <w:rPr>
          <w:rFonts w:ascii="Arial" w:hAnsi="Arial" w:cs="Arial"/>
          <w:color w:val="000000"/>
          <w:sz w:val="20"/>
          <w:szCs w:val="20"/>
          <w:bdr w:val="none" w:sz="0" w:space="0" w:color="auto" w:frame="1"/>
        </w:rPr>
        <w:t>Uno de los principios transversales de los procedimientos de selección es el de </w:t>
      </w:r>
      <w:r w:rsidRPr="00AF130E">
        <w:rPr>
          <w:rFonts w:ascii="Arial" w:hAnsi="Arial" w:cs="Arial"/>
          <w:i/>
          <w:iCs/>
          <w:color w:val="000000"/>
          <w:sz w:val="20"/>
          <w:szCs w:val="20"/>
          <w:bdr w:val="none" w:sz="0" w:space="0" w:color="auto" w:frame="1"/>
        </w:rPr>
        <w:t>selección objetiva</w:t>
      </w:r>
      <w:r w:rsidRPr="00AF130E">
        <w:rPr>
          <w:rFonts w:ascii="Arial" w:hAnsi="Arial" w:cs="Arial"/>
          <w:color w:val="000000"/>
          <w:sz w:val="20"/>
          <w:szCs w:val="20"/>
          <w:bdr w:val="none" w:sz="0" w:space="0" w:color="auto" w:frame="1"/>
        </w:rPr>
        <w:t>.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7D800CD6" w14:textId="3729848D" w:rsidR="00967C55" w:rsidRPr="00AF130E" w:rsidRDefault="00802379" w:rsidP="00AF130E">
      <w:pPr>
        <w:jc w:val="both"/>
        <w:rPr>
          <w:rFonts w:ascii="Arial" w:hAnsi="Arial" w:cs="Arial"/>
          <w:color w:val="000000"/>
          <w:sz w:val="20"/>
          <w:szCs w:val="20"/>
          <w:bdr w:val="none" w:sz="0" w:space="0" w:color="auto" w:frame="1"/>
        </w:rPr>
      </w:pPr>
      <w:r w:rsidRPr="00AF130E">
        <w:rPr>
          <w:rFonts w:ascii="Arial" w:hAnsi="Arial" w:cs="Arial"/>
          <w:color w:val="000000"/>
          <w:sz w:val="20"/>
          <w:szCs w:val="20"/>
          <w:bdr w:val="none" w:sz="0" w:space="0" w:color="auto" w:frame="1"/>
        </w:rPr>
        <w:t xml:space="preserve">Si bien dentro de la historia de la contratación pública en Colombia, se vislumbran antecedentes normativos que consagraban este principio, en la actualidad la disposición legal que lo prevé de manera contundente es el artículo 5 de la Ley 1150 de 2007, modificado por el artículo 88 de la Ley 1474 de 2011 y por el artículo 5 de la Ley 1882 de 2018. </w:t>
      </w:r>
    </w:p>
    <w:p w14:paraId="4ECED416" w14:textId="5FA64A0E" w:rsidR="00802379" w:rsidRDefault="00802379" w:rsidP="00802379">
      <w:pPr>
        <w:jc w:val="both"/>
        <w:rPr>
          <w:rFonts w:ascii="Arial" w:hAnsi="Arial" w:cs="Arial"/>
          <w:color w:val="000000"/>
          <w:sz w:val="22"/>
          <w:szCs w:val="22"/>
          <w:bdr w:val="none" w:sz="0" w:space="0" w:color="auto" w:frame="1"/>
        </w:rPr>
      </w:pPr>
    </w:p>
    <w:p w14:paraId="1E4E98DF" w14:textId="4CB3801E" w:rsidR="00AF130E" w:rsidRPr="00AF130E" w:rsidRDefault="00AF130E" w:rsidP="00AF130E">
      <w:pPr>
        <w:jc w:val="both"/>
        <w:rPr>
          <w:rFonts w:ascii="Arial" w:hAnsi="Arial" w:cs="Arial"/>
          <w:b/>
          <w:color w:val="000000" w:themeColor="text1"/>
          <w:sz w:val="22"/>
          <w:szCs w:val="22"/>
          <w:lang w:eastAsia="es-ES"/>
        </w:rPr>
      </w:pPr>
      <w:r>
        <w:rPr>
          <w:rFonts w:ascii="Arial" w:hAnsi="Arial" w:cs="Arial"/>
          <w:b/>
          <w:color w:val="000000" w:themeColor="text1"/>
          <w:sz w:val="22"/>
          <w:szCs w:val="22"/>
          <w:lang w:eastAsia="es-ES"/>
        </w:rPr>
        <w:t xml:space="preserve">PRINCIPIO DE SELECCIÓN OBJETIVA – Desarrollo jurisprudencial </w:t>
      </w:r>
    </w:p>
    <w:p w14:paraId="084BB75F" w14:textId="77777777" w:rsidR="00AF130E" w:rsidRPr="00AF130E" w:rsidRDefault="00AF130E" w:rsidP="00AF130E">
      <w:pPr>
        <w:shd w:val="clear" w:color="auto" w:fill="FFFFFF"/>
        <w:jc w:val="both"/>
        <w:textAlignment w:val="baseline"/>
        <w:rPr>
          <w:rFonts w:ascii="Arial" w:hAnsi="Arial" w:cs="Arial"/>
          <w:color w:val="000000"/>
          <w:sz w:val="22"/>
          <w:szCs w:val="22"/>
          <w:bdr w:val="none" w:sz="0" w:space="0" w:color="auto" w:frame="1"/>
        </w:rPr>
      </w:pPr>
    </w:p>
    <w:p w14:paraId="55AE0CC6" w14:textId="3CC5B8B4" w:rsidR="00AF130E" w:rsidRPr="00AF130E" w:rsidRDefault="00AF130E" w:rsidP="00AF130E">
      <w:pPr>
        <w:shd w:val="clear" w:color="auto" w:fill="FFFFFF"/>
        <w:jc w:val="both"/>
        <w:textAlignment w:val="baseline"/>
        <w:rPr>
          <w:rFonts w:ascii="Arial" w:hAnsi="Arial" w:cs="Arial"/>
          <w:color w:val="000000"/>
          <w:sz w:val="20"/>
          <w:szCs w:val="20"/>
        </w:rPr>
      </w:pPr>
      <w:r w:rsidRPr="00AF130E">
        <w:rPr>
          <w:rFonts w:ascii="Arial" w:hAnsi="Arial" w:cs="Arial"/>
          <w:color w:val="000000"/>
          <w:sz w:val="20"/>
          <w:szCs w:val="20"/>
          <w:bdr w:val="none" w:sz="0" w:space="0" w:color="auto" w:frame="1"/>
        </w:rPr>
        <w:t xml:space="preserve">La jurisprudencia también ha reconocido la preponderancia de este deber en la etapa precontractual, indicando que su garantía es imprescindible para satisfacer adecuadamente las necesidades de la sociedad a través del contrato estatal. A este respecto, la Sección Tercera del Consejo de Estado ha dicho que </w:t>
      </w:r>
      <w:r w:rsidRPr="00AF130E">
        <w:rPr>
          <w:rFonts w:ascii="Arial" w:eastAsia="Calibri" w:hAnsi="Arial" w:cs="Arial"/>
          <w:sz w:val="20"/>
          <w:szCs w:val="20"/>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p>
    <w:p w14:paraId="11827ACF" w14:textId="77777777" w:rsidR="00AF130E" w:rsidRPr="00AF130E" w:rsidRDefault="00AF130E" w:rsidP="00AF130E">
      <w:pPr>
        <w:jc w:val="both"/>
        <w:rPr>
          <w:rFonts w:ascii="Arial" w:hAnsi="Arial" w:cs="Arial"/>
          <w:b/>
          <w:color w:val="000000" w:themeColor="text1"/>
          <w:sz w:val="22"/>
          <w:szCs w:val="22"/>
          <w:lang w:eastAsia="es-ES"/>
        </w:rPr>
      </w:pPr>
    </w:p>
    <w:p w14:paraId="32088840" w14:textId="721D5E09" w:rsidR="00967C55" w:rsidRDefault="00AF130E" w:rsidP="007F212F">
      <w:pPr>
        <w:rPr>
          <w:rFonts w:ascii="Arial" w:hAnsi="Arial" w:cs="Arial"/>
          <w:b/>
          <w:color w:val="000000" w:themeColor="text1"/>
          <w:sz w:val="22"/>
          <w:szCs w:val="22"/>
          <w:lang w:eastAsia="es-ES"/>
        </w:rPr>
      </w:pPr>
      <w:r>
        <w:rPr>
          <w:rFonts w:ascii="Arial" w:hAnsi="Arial" w:cs="Arial"/>
          <w:b/>
          <w:color w:val="000000" w:themeColor="text1"/>
          <w:sz w:val="22"/>
          <w:szCs w:val="22"/>
          <w:lang w:eastAsia="es-ES"/>
        </w:rPr>
        <w:t xml:space="preserve">SUBSABANIBILIDAD – Requisitos habilitantes </w:t>
      </w:r>
    </w:p>
    <w:p w14:paraId="6BAD629F" w14:textId="7FEA3C87" w:rsidR="00AF130E" w:rsidRDefault="00AF130E" w:rsidP="007F212F">
      <w:pPr>
        <w:rPr>
          <w:rFonts w:ascii="Arial" w:hAnsi="Arial" w:cs="Arial"/>
          <w:b/>
          <w:color w:val="000000" w:themeColor="text1"/>
          <w:sz w:val="22"/>
          <w:szCs w:val="22"/>
          <w:lang w:eastAsia="es-ES"/>
        </w:rPr>
      </w:pPr>
    </w:p>
    <w:p w14:paraId="754819BB" w14:textId="10CF2C96" w:rsidR="00AF130E" w:rsidRDefault="00AF130E" w:rsidP="00AF130E">
      <w:pPr>
        <w:shd w:val="clear" w:color="auto" w:fill="FFFFFF"/>
        <w:jc w:val="both"/>
        <w:textAlignment w:val="baseline"/>
        <w:rPr>
          <w:rFonts w:ascii="Arial" w:hAnsi="Arial" w:cs="Arial"/>
          <w:color w:val="000000"/>
          <w:sz w:val="20"/>
          <w:szCs w:val="20"/>
          <w:bdr w:val="none" w:sz="0" w:space="0" w:color="auto" w:frame="1"/>
        </w:rPr>
      </w:pPr>
      <w:r w:rsidRPr="00AF130E">
        <w:rPr>
          <w:rFonts w:ascii="Arial" w:hAnsi="Arial" w:cs="Arial"/>
          <w:color w:val="000000"/>
          <w:sz w:val="20"/>
          <w:szCs w:val="20"/>
          <w:bdr w:val="none" w:sz="0" w:space="0" w:color="auto" w:frame="1"/>
        </w:rPr>
        <w:t>A continuación, se reitera el concepto de esta Subdirección en torno al alcance de la regla de la subsanabilidad, contenida actualmente en el artículo 5 de la Ley 1150 de 2007. Al respecto, la postura que se explica en el presente concepto es la siguiente: por regla general, i) la falta de entrega o ii) los defectos, de los requisitos habilitantes, son subsanables. </w:t>
      </w:r>
    </w:p>
    <w:p w14:paraId="76EE253F" w14:textId="0182943C" w:rsidR="00AF130E" w:rsidRDefault="00AF130E" w:rsidP="00AF130E">
      <w:pPr>
        <w:shd w:val="clear" w:color="auto" w:fill="FFFFFF"/>
        <w:jc w:val="both"/>
        <w:textAlignment w:val="baseline"/>
        <w:rPr>
          <w:rFonts w:ascii="Arial" w:hAnsi="Arial" w:cs="Arial"/>
          <w:color w:val="000000"/>
          <w:sz w:val="20"/>
          <w:szCs w:val="20"/>
          <w:bdr w:val="none" w:sz="0" w:space="0" w:color="auto" w:frame="1"/>
        </w:rPr>
      </w:pPr>
    </w:p>
    <w:p w14:paraId="097D6970" w14:textId="2BEF4345" w:rsidR="00AF130E" w:rsidRDefault="00AF130E" w:rsidP="00AF130E">
      <w:pPr>
        <w:shd w:val="clear" w:color="auto" w:fill="FFFFFF"/>
        <w:jc w:val="both"/>
        <w:textAlignment w:val="baseline"/>
        <w:rPr>
          <w:rFonts w:ascii="Arial" w:hAnsi="Arial" w:cs="Arial"/>
          <w:b/>
          <w:bCs/>
          <w:color w:val="000000"/>
          <w:sz w:val="22"/>
          <w:szCs w:val="22"/>
        </w:rPr>
      </w:pPr>
      <w:r>
        <w:rPr>
          <w:rFonts w:ascii="Arial" w:hAnsi="Arial" w:cs="Arial"/>
          <w:b/>
          <w:bCs/>
          <w:color w:val="000000"/>
          <w:sz w:val="22"/>
          <w:szCs w:val="22"/>
        </w:rPr>
        <w:t xml:space="preserve">PLIEGO TIPO – CAUSAL DE RECHAZO DE OFERTA </w:t>
      </w:r>
    </w:p>
    <w:p w14:paraId="14F489EE" w14:textId="7EFD09C4" w:rsidR="00AF130E" w:rsidRDefault="00AF130E" w:rsidP="00AF130E">
      <w:pPr>
        <w:shd w:val="clear" w:color="auto" w:fill="FFFFFF"/>
        <w:jc w:val="both"/>
        <w:textAlignment w:val="baseline"/>
        <w:rPr>
          <w:rFonts w:ascii="Arial" w:hAnsi="Arial" w:cs="Arial"/>
          <w:b/>
          <w:bCs/>
          <w:color w:val="000000"/>
          <w:sz w:val="22"/>
          <w:szCs w:val="22"/>
        </w:rPr>
      </w:pPr>
    </w:p>
    <w:p w14:paraId="439EA8CF" w14:textId="0915D36B" w:rsidR="00AF130E" w:rsidRPr="00AF130E" w:rsidRDefault="00AF130E" w:rsidP="00AF130E">
      <w:pPr>
        <w:shd w:val="clear" w:color="auto" w:fill="FFFFFF"/>
        <w:jc w:val="both"/>
        <w:textAlignment w:val="baseline"/>
        <w:rPr>
          <w:rFonts w:ascii="Arial" w:hAnsi="Arial" w:cs="Arial"/>
          <w:color w:val="000000"/>
          <w:sz w:val="20"/>
          <w:szCs w:val="20"/>
        </w:rPr>
      </w:pPr>
      <w:r w:rsidRPr="00AF130E">
        <w:rPr>
          <w:rFonts w:ascii="Arial" w:hAnsi="Arial" w:cs="Arial"/>
          <w:color w:val="000000"/>
          <w:sz w:val="20"/>
          <w:szCs w:val="20"/>
          <w:bdr w:val="none" w:sz="0" w:space="0" w:color="auto" w:frame="1"/>
        </w:rPr>
        <w:t>Los documentos tipo contienen parámetros obligatorios para las entidades estatales sometidas al Estatuto General de Contratación de la Administración Pública que adelanten la tipología contractual que estos se encarguen de desarrollar. Con base en todo lo anterior, se incluyo en la versión 3 de los pliegos tipo para infraestructura de transporte las cuales de rechazo de las ofertas, entre ellas la causal que reza la presente consulta – causal N – la cual se transcribe en los siguientes términos: </w:t>
      </w:r>
      <w:r w:rsidRPr="00AF130E">
        <w:rPr>
          <w:rFonts w:ascii="Arial" w:hAnsi="Arial" w:cs="Arial"/>
          <w:b/>
          <w:bCs/>
          <w:color w:val="000000"/>
          <w:sz w:val="20"/>
          <w:szCs w:val="20"/>
          <w:bdr w:val="none" w:sz="0" w:space="0" w:color="auto" w:frame="1"/>
        </w:rPr>
        <w:t> </w:t>
      </w:r>
      <w:r w:rsidRPr="00AF130E">
        <w:rPr>
          <w:rFonts w:ascii="Arial" w:hAnsi="Arial" w:cs="Arial"/>
          <w:color w:val="000000"/>
          <w:sz w:val="20"/>
          <w:szCs w:val="20"/>
          <w:bdr w:val="none" w:sz="0" w:space="0" w:color="auto" w:frame="1"/>
          <w:lang w:val="es-MX"/>
        </w:rPr>
        <w:t>N. Presentar la oferta con tachaduras o enmendaduras que no estén convalidadas en la forma indicada en la sección 2.3 del pliego de condiciones. </w:t>
      </w:r>
    </w:p>
    <w:p w14:paraId="4C6C9C76" w14:textId="77777777" w:rsidR="00AF130E" w:rsidRDefault="00AF130E" w:rsidP="00AF130E">
      <w:pPr>
        <w:shd w:val="clear" w:color="auto" w:fill="FFFFFF"/>
        <w:jc w:val="both"/>
        <w:textAlignment w:val="baseline"/>
        <w:rPr>
          <w:rFonts w:ascii="Arial" w:hAnsi="Arial" w:cs="Arial"/>
          <w:b/>
          <w:bCs/>
          <w:color w:val="000000"/>
          <w:sz w:val="22"/>
          <w:szCs w:val="22"/>
        </w:rPr>
      </w:pPr>
    </w:p>
    <w:p w14:paraId="217275A9" w14:textId="77777777" w:rsidR="00AF130E" w:rsidRPr="00AF130E" w:rsidRDefault="00AF130E" w:rsidP="00AF130E">
      <w:pPr>
        <w:shd w:val="clear" w:color="auto" w:fill="FFFFFF"/>
        <w:jc w:val="both"/>
        <w:textAlignment w:val="baseline"/>
        <w:rPr>
          <w:rFonts w:ascii="Arial" w:hAnsi="Arial" w:cs="Arial"/>
          <w:b/>
          <w:bCs/>
          <w:color w:val="000000"/>
          <w:sz w:val="22"/>
          <w:szCs w:val="22"/>
        </w:rPr>
      </w:pPr>
    </w:p>
    <w:p w14:paraId="58210479" w14:textId="77B0FB2C" w:rsidR="00AF130E" w:rsidRDefault="00AF130E" w:rsidP="007F212F">
      <w:pPr>
        <w:rPr>
          <w:rFonts w:ascii="Arial" w:hAnsi="Arial" w:cs="Arial"/>
          <w:b/>
          <w:color w:val="000000" w:themeColor="text1"/>
          <w:sz w:val="22"/>
          <w:szCs w:val="22"/>
          <w:lang w:eastAsia="es-ES"/>
        </w:rPr>
      </w:pPr>
    </w:p>
    <w:p w14:paraId="660CE55E" w14:textId="77777777" w:rsidR="00AF130E" w:rsidRPr="00AF130E" w:rsidRDefault="00AF130E" w:rsidP="007F212F">
      <w:pPr>
        <w:rPr>
          <w:rFonts w:ascii="Arial" w:hAnsi="Arial" w:cs="Arial"/>
          <w:b/>
          <w:color w:val="000000" w:themeColor="text1"/>
          <w:sz w:val="22"/>
          <w:szCs w:val="22"/>
          <w:lang w:eastAsia="es-ES"/>
        </w:rPr>
      </w:pPr>
    </w:p>
    <w:p w14:paraId="58287A42" w14:textId="14C9E10A" w:rsidR="001849EC" w:rsidRPr="001849EC" w:rsidRDefault="001849EC" w:rsidP="00CA5A69">
      <w:pPr>
        <w:jc w:val="right"/>
      </w:pPr>
      <w:r w:rsidRPr="001849EC">
        <w:lastRenderedPageBreak/>
        <w:fldChar w:fldCharType="begin"/>
      </w:r>
      <w:r w:rsidRPr="001849EC">
        <w:instrText xml:space="preserve"> INCLUDEPICTURE "/var/folders/tb/0fmk9b510f57pz5rwhv8lnpw0000gp/T/com.microsoft.Word/WebArchiveCopyPasteTempFiles/page1image11194640" \* MERGEFORMATINET </w:instrText>
      </w:r>
      <w:r w:rsidRPr="001849EC">
        <w:fldChar w:fldCharType="separate"/>
      </w:r>
      <w:r w:rsidRPr="001849EC">
        <w:rPr>
          <w:noProof/>
        </w:rPr>
        <w:drawing>
          <wp:inline distT="0" distB="0" distL="0" distR="0" wp14:anchorId="75805ACE" wp14:editId="1DDBD011">
            <wp:extent cx="2397125" cy="609600"/>
            <wp:effectExtent l="0" t="0" r="3175" b="0"/>
            <wp:docPr id="4" name="Imagen 4" descr="page1image1119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11946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7125" cy="609600"/>
                    </a:xfrm>
                    <a:prstGeom prst="rect">
                      <a:avLst/>
                    </a:prstGeom>
                    <a:noFill/>
                    <a:ln>
                      <a:noFill/>
                    </a:ln>
                  </pic:spPr>
                </pic:pic>
              </a:graphicData>
            </a:graphic>
          </wp:inline>
        </w:drawing>
      </w:r>
      <w:r w:rsidRPr="001849EC">
        <w:fldChar w:fldCharType="end"/>
      </w:r>
    </w:p>
    <w:p w14:paraId="7BAE63CF" w14:textId="77777777" w:rsidR="000A3221" w:rsidRPr="006C15D5" w:rsidRDefault="000A3221" w:rsidP="000A3221">
      <w:pPr>
        <w:rPr>
          <w:rFonts w:ascii="Arial" w:eastAsia="Calibri" w:hAnsi="Arial" w:cs="Arial"/>
          <w:color w:val="000000" w:themeColor="text1"/>
          <w:sz w:val="22"/>
        </w:rPr>
      </w:pPr>
    </w:p>
    <w:p w14:paraId="3C9B38FE" w14:textId="797BD250"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9E62BA3" w14:textId="08EA4C86" w:rsidR="000A3221" w:rsidRDefault="00777292" w:rsidP="000A3221">
      <w:pPr>
        <w:rPr>
          <w:rFonts w:ascii="Arial" w:eastAsia="Calibri" w:hAnsi="Arial" w:cs="Arial"/>
          <w:b/>
          <w:color w:val="000000" w:themeColor="text1"/>
          <w:sz w:val="22"/>
        </w:rPr>
      </w:pPr>
      <w:proofErr w:type="spellStart"/>
      <w:r>
        <w:rPr>
          <w:rFonts w:ascii="Arial" w:eastAsia="Calibri" w:hAnsi="Arial" w:cs="Arial"/>
          <w:b/>
          <w:color w:val="000000" w:themeColor="text1"/>
          <w:sz w:val="22"/>
        </w:rPr>
        <w:t>xxxx</w:t>
      </w:r>
      <w:proofErr w:type="spellEnd"/>
    </w:p>
    <w:p w14:paraId="648CC771" w14:textId="4D7178C0" w:rsidR="000A3221" w:rsidRPr="006C15D5" w:rsidRDefault="008F0403" w:rsidP="000A3221">
      <w:pPr>
        <w:rPr>
          <w:rFonts w:ascii="Arial" w:eastAsia="Calibri" w:hAnsi="Arial" w:cs="Arial"/>
          <w:color w:val="000000" w:themeColor="text1"/>
          <w:sz w:val="22"/>
        </w:rPr>
      </w:pPr>
      <w:r>
        <w:rPr>
          <w:rFonts w:ascii="Arial" w:eastAsia="Calibri" w:hAnsi="Arial" w:cs="Arial"/>
          <w:bCs/>
          <w:color w:val="000000" w:themeColor="text1"/>
          <w:sz w:val="22"/>
        </w:rPr>
        <w:t>Bogotá D.C.</w:t>
      </w:r>
    </w:p>
    <w:p w14:paraId="07CC316A" w14:textId="296EB8DA" w:rsidR="000A3221" w:rsidRDefault="000A3221" w:rsidP="000A3221">
      <w:pPr>
        <w:rPr>
          <w:rFonts w:ascii="Arial" w:eastAsia="Calibri" w:hAnsi="Arial" w:cs="Arial"/>
          <w:color w:val="000000" w:themeColor="text1"/>
          <w:sz w:val="22"/>
        </w:rPr>
      </w:pPr>
    </w:p>
    <w:p w14:paraId="2E4DA3CE" w14:textId="77777777" w:rsidR="00046546" w:rsidRPr="006C15D5" w:rsidRDefault="00046546" w:rsidP="000A3221">
      <w:pPr>
        <w:rPr>
          <w:rFonts w:ascii="Arial" w:eastAsia="Calibri" w:hAnsi="Arial" w:cs="Arial"/>
          <w:color w:val="000000" w:themeColor="text1"/>
          <w:sz w:val="22"/>
        </w:rPr>
      </w:pPr>
    </w:p>
    <w:p w14:paraId="2F69A217" w14:textId="4F9CEE45" w:rsidR="00046546" w:rsidRDefault="000A3221" w:rsidP="00AF130E">
      <w:pPr>
        <w:ind w:left="2124" w:firstLine="708"/>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DC15ED">
        <w:rPr>
          <w:rFonts w:ascii="Arial" w:eastAsia="Calibri" w:hAnsi="Arial" w:cs="Arial"/>
          <w:b/>
          <w:color w:val="000000" w:themeColor="text1"/>
          <w:sz w:val="22"/>
        </w:rPr>
        <w:t xml:space="preserve">217 </w:t>
      </w:r>
      <w:r w:rsidRPr="00BF3AEF">
        <w:rPr>
          <w:rFonts w:ascii="Arial" w:eastAsia="Calibri" w:hAnsi="Arial" w:cs="Arial"/>
          <w:b/>
          <w:color w:val="000000" w:themeColor="text1"/>
          <w:sz w:val="22"/>
        </w:rPr>
        <w:t>de 202</w:t>
      </w:r>
      <w:r w:rsidR="001B16A1">
        <w:rPr>
          <w:rFonts w:ascii="Arial" w:eastAsia="Calibri" w:hAnsi="Arial" w:cs="Arial"/>
          <w:b/>
          <w:color w:val="000000" w:themeColor="text1"/>
          <w:sz w:val="22"/>
        </w:rPr>
        <w:t>1</w:t>
      </w:r>
    </w:p>
    <w:p w14:paraId="526DA8B4" w14:textId="77777777" w:rsidR="00AF130E" w:rsidRPr="006C15D5" w:rsidRDefault="00AF130E" w:rsidP="00AF130E">
      <w:pPr>
        <w:ind w:left="2124" w:firstLine="708"/>
        <w:rPr>
          <w:rFonts w:ascii="Arial" w:eastAsia="Calibri" w:hAnsi="Arial" w:cs="Arial"/>
          <w:b/>
          <w:color w:val="000000" w:themeColor="text1"/>
          <w:sz w:val="22"/>
        </w:rPr>
      </w:pP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96F75" w:rsidRPr="00E96F75" w14:paraId="324DF65E" w14:textId="77777777" w:rsidTr="00E96F75">
        <w:tc>
          <w:tcPr>
            <w:tcW w:w="2552" w:type="dxa"/>
            <w:hideMark/>
          </w:tcPr>
          <w:p w14:paraId="15132EF2" w14:textId="77777777" w:rsidR="000A3221" w:rsidRPr="006C15D5" w:rsidRDefault="000A3221" w:rsidP="007F212F">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7F212F">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64579968" w14:textId="34919F06" w:rsidR="00AF130E" w:rsidRDefault="00AF130E" w:rsidP="00AF130E">
            <w:pPr>
              <w:shd w:val="clear" w:color="auto" w:fill="FFFFFF"/>
              <w:jc w:val="both"/>
              <w:textAlignment w:val="baseline"/>
              <w:rPr>
                <w:rFonts w:ascii="Arial" w:hAnsi="Arial" w:cs="Arial"/>
                <w:bCs/>
                <w:color w:val="000000"/>
              </w:rPr>
            </w:pPr>
            <w:r w:rsidRPr="00AF130E">
              <w:rPr>
                <w:rFonts w:ascii="Arial" w:hAnsi="Arial" w:cs="Arial"/>
                <w:bCs/>
                <w:color w:val="000000" w:themeColor="text1"/>
                <w:lang w:eastAsia="es-ES"/>
              </w:rPr>
              <w:t xml:space="preserve">PRINCIPIO DE SELECCIÓN OBJETIVA / PRINCIPIO DE SELECCIÓN OBJETIVA – Desarrollo jurisprudencial / SUBSABANIBILIDAD – Requisitos habilitantes / </w:t>
            </w:r>
            <w:r w:rsidRPr="00AF130E">
              <w:rPr>
                <w:rFonts w:ascii="Arial" w:hAnsi="Arial" w:cs="Arial"/>
                <w:bCs/>
                <w:color w:val="000000"/>
              </w:rPr>
              <w:t xml:space="preserve">PLIEGO TIPO – CAUSAL DE RECHAZO DE OFERTA </w:t>
            </w:r>
          </w:p>
          <w:p w14:paraId="518E73CF" w14:textId="77777777" w:rsidR="00AF130E" w:rsidRPr="00AF130E" w:rsidRDefault="00AF130E" w:rsidP="00AF130E">
            <w:pPr>
              <w:shd w:val="clear" w:color="auto" w:fill="FFFFFF"/>
              <w:jc w:val="both"/>
              <w:textAlignment w:val="baseline"/>
              <w:rPr>
                <w:rFonts w:ascii="Arial" w:hAnsi="Arial" w:cs="Arial"/>
                <w:bCs/>
                <w:color w:val="000000"/>
              </w:rPr>
            </w:pPr>
          </w:p>
          <w:p w14:paraId="1DAFDCB1" w14:textId="4D67024F" w:rsidR="00DC15ED" w:rsidRPr="004F4910" w:rsidRDefault="00DC15ED" w:rsidP="003927F8">
            <w:pPr>
              <w:ind w:right="49"/>
              <w:jc w:val="both"/>
              <w:rPr>
                <w:rFonts w:ascii="Arial" w:hAnsi="Arial" w:cs="Arial"/>
                <w:color w:val="000000" w:themeColor="text1"/>
                <w:lang w:eastAsia="es-ES"/>
              </w:rPr>
            </w:pPr>
          </w:p>
          <w:p w14:paraId="4A40C838" w14:textId="27AACEEE" w:rsidR="000A3221" w:rsidRPr="004F4910" w:rsidRDefault="000A3221" w:rsidP="00E96F75">
            <w:pPr>
              <w:spacing w:line="276" w:lineRule="auto"/>
              <w:jc w:val="both"/>
              <w:rPr>
                <w:rFonts w:ascii="Arial" w:eastAsia="Calibri" w:hAnsi="Arial" w:cs="Arial"/>
                <w:color w:val="000000" w:themeColor="text1"/>
                <w:lang w:val="es-ES_tradnl"/>
              </w:rPr>
            </w:pPr>
          </w:p>
        </w:tc>
      </w:tr>
      <w:tr w:rsidR="00E96F75" w:rsidRPr="00E96F75" w14:paraId="62A81E64" w14:textId="77777777" w:rsidTr="00E96F75">
        <w:tc>
          <w:tcPr>
            <w:tcW w:w="2552" w:type="dxa"/>
          </w:tcPr>
          <w:p w14:paraId="73F14ECF" w14:textId="77777777" w:rsidR="000A3221" w:rsidRPr="006C15D5" w:rsidRDefault="000A3221" w:rsidP="007F212F">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326A9049" w14:textId="77777777" w:rsidR="00DC15ED" w:rsidRDefault="000A3221" w:rsidP="00DC15ED">
            <w:r w:rsidRPr="00E96F75">
              <w:rPr>
                <w:rFonts w:ascii="Arial" w:eastAsia="Calibri" w:hAnsi="Arial" w:cs="Arial"/>
                <w:bCs/>
                <w:color w:val="000000" w:themeColor="text1"/>
              </w:rPr>
              <w:t>Respuest</w:t>
            </w:r>
            <w:r w:rsidRPr="00DC15ED">
              <w:rPr>
                <w:rFonts w:ascii="Arial" w:eastAsia="Calibri" w:hAnsi="Arial" w:cs="Arial"/>
                <w:bCs/>
                <w:color w:val="000000" w:themeColor="text1"/>
              </w:rPr>
              <w:t xml:space="preserve">a a consulta </w:t>
            </w:r>
            <w:r w:rsidR="00DC15ED" w:rsidRPr="00967C55">
              <w:rPr>
                <w:rFonts w:ascii="Arial" w:hAnsi="Arial" w:cs="Arial"/>
                <w:bCs/>
                <w:color w:val="323130"/>
                <w:shd w:val="clear" w:color="auto" w:fill="FAF9F8"/>
              </w:rPr>
              <w:t>P20210402002628</w:t>
            </w:r>
          </w:p>
          <w:p w14:paraId="0B69532A" w14:textId="32BD1C32" w:rsidR="000A3221" w:rsidRPr="00E96F75" w:rsidRDefault="000A3221" w:rsidP="007F212F">
            <w:pPr>
              <w:spacing w:before="120"/>
              <w:jc w:val="both"/>
              <w:rPr>
                <w:rFonts w:ascii="Arial" w:eastAsia="Calibri" w:hAnsi="Arial" w:cs="Arial"/>
                <w:bCs/>
                <w:color w:val="000000" w:themeColor="text1"/>
              </w:rPr>
            </w:pPr>
          </w:p>
        </w:tc>
      </w:tr>
      <w:tr w:rsidR="000A3221" w:rsidRPr="003F6D32" w14:paraId="47AE2467" w14:textId="77777777" w:rsidTr="00E96F75">
        <w:trPr>
          <w:trHeight w:val="80"/>
        </w:trPr>
        <w:tc>
          <w:tcPr>
            <w:tcW w:w="2552" w:type="dxa"/>
          </w:tcPr>
          <w:p w14:paraId="66A2BBA4" w14:textId="77777777" w:rsidR="000A3221" w:rsidRPr="006C15D5" w:rsidRDefault="000A3221" w:rsidP="007F212F">
            <w:pPr>
              <w:spacing w:before="120"/>
              <w:rPr>
                <w:rFonts w:ascii="Arial" w:eastAsia="Calibri" w:hAnsi="Arial" w:cs="Arial"/>
                <w:b/>
                <w:color w:val="000000" w:themeColor="text1"/>
              </w:rPr>
            </w:pPr>
          </w:p>
        </w:tc>
        <w:tc>
          <w:tcPr>
            <w:tcW w:w="6374" w:type="dxa"/>
          </w:tcPr>
          <w:p w14:paraId="0C057034" w14:textId="77777777" w:rsidR="000A3221" w:rsidRPr="006C15D5" w:rsidRDefault="000A3221" w:rsidP="007F212F">
            <w:pPr>
              <w:spacing w:before="120"/>
              <w:jc w:val="both"/>
              <w:rPr>
                <w:rFonts w:ascii="Arial" w:eastAsia="Calibri" w:hAnsi="Arial" w:cs="Arial"/>
                <w:color w:val="000000" w:themeColor="text1"/>
              </w:rPr>
            </w:pPr>
          </w:p>
        </w:tc>
      </w:tr>
    </w:tbl>
    <w:p w14:paraId="56D76BDF" w14:textId="77777777" w:rsidR="003927F8" w:rsidRDefault="003927F8" w:rsidP="000A3221">
      <w:pPr>
        <w:rPr>
          <w:rFonts w:ascii="Arial" w:eastAsia="Calibri" w:hAnsi="Arial" w:cs="Arial"/>
          <w:color w:val="000000" w:themeColor="text1"/>
          <w:sz w:val="22"/>
        </w:rPr>
      </w:pPr>
    </w:p>
    <w:p w14:paraId="39A1E878" w14:textId="1F8676BD"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967C55">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w:t>
      </w:r>
      <w:r w:rsidR="00777292">
        <w:rPr>
          <w:rFonts w:ascii="Arial" w:eastAsia="Calibri" w:hAnsi="Arial" w:cs="Arial"/>
          <w:color w:val="000000" w:themeColor="text1"/>
          <w:sz w:val="22"/>
        </w:rPr>
        <w:t>r</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377BCBFA"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DC15ED">
        <w:rPr>
          <w:rFonts w:ascii="Arial" w:eastAsia="Calibri" w:hAnsi="Arial" w:cs="Arial"/>
          <w:color w:val="000000" w:themeColor="text1"/>
          <w:sz w:val="22"/>
        </w:rPr>
        <w:t>2 de abril</w:t>
      </w:r>
      <w:r w:rsidR="008F0403">
        <w:rPr>
          <w:rFonts w:ascii="Arial" w:eastAsia="Calibri" w:hAnsi="Arial" w:cs="Arial"/>
          <w:color w:val="000000" w:themeColor="text1"/>
          <w:sz w:val="22"/>
        </w:rPr>
        <w:t xml:space="preserve"> </w:t>
      </w:r>
      <w:r>
        <w:rPr>
          <w:rFonts w:ascii="Arial" w:eastAsia="Calibri" w:hAnsi="Arial" w:cs="Arial"/>
          <w:color w:val="000000" w:themeColor="text1"/>
          <w:sz w:val="22"/>
        </w:rPr>
        <w:t>de 202</w:t>
      </w:r>
      <w:r w:rsidR="001B16A1">
        <w:rPr>
          <w:rFonts w:ascii="Arial" w:eastAsia="Calibri" w:hAnsi="Arial" w:cs="Arial"/>
          <w:color w:val="000000" w:themeColor="text1"/>
          <w:sz w:val="22"/>
        </w:rPr>
        <w:t>1</w:t>
      </w:r>
      <w:r>
        <w:rPr>
          <w:rFonts w:ascii="Arial" w:eastAsia="Calibri" w:hAnsi="Arial" w:cs="Arial"/>
          <w:color w:val="000000" w:themeColor="text1"/>
          <w:sz w:val="22"/>
        </w:rPr>
        <w:t xml:space="preserve">.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02F9FA41" w14:textId="77777777" w:rsidR="00794DB7" w:rsidRDefault="000A3221" w:rsidP="00794DB7">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planteado</w:t>
      </w:r>
    </w:p>
    <w:p w14:paraId="0EFF9169" w14:textId="505FC16C" w:rsidR="001D1DE1" w:rsidRPr="003025BB" w:rsidRDefault="000A3221" w:rsidP="003025BB">
      <w:pPr>
        <w:pStyle w:val="Prrafodelista"/>
        <w:tabs>
          <w:tab w:val="left" w:pos="284"/>
        </w:tabs>
        <w:spacing w:line="276" w:lineRule="auto"/>
        <w:ind w:left="0"/>
        <w:jc w:val="both"/>
        <w:rPr>
          <w:rFonts w:ascii="Arial" w:eastAsia="Calibri" w:hAnsi="Arial" w:cs="Arial"/>
          <w:color w:val="000000" w:themeColor="text1"/>
          <w:sz w:val="22"/>
        </w:rPr>
      </w:pPr>
      <w:r w:rsidRPr="006C15D5">
        <w:rPr>
          <w:rFonts w:ascii="Arial" w:eastAsia="Calibri" w:hAnsi="Arial" w:cs="Arial"/>
          <w:b/>
          <w:color w:val="000000" w:themeColor="text1"/>
          <w:sz w:val="22"/>
        </w:rPr>
        <w:t xml:space="preserve"> </w:t>
      </w:r>
    </w:p>
    <w:p w14:paraId="2DDF9CCF" w14:textId="79FD656B" w:rsidR="008F0403" w:rsidRPr="004F4910" w:rsidRDefault="000A3221" w:rsidP="00967C55">
      <w:pPr>
        <w:spacing w:line="276" w:lineRule="auto"/>
        <w:jc w:val="both"/>
        <w:rPr>
          <w:rFonts w:ascii="Arial" w:hAnsi="Arial" w:cs="Arial"/>
          <w:color w:val="000000"/>
          <w:sz w:val="21"/>
          <w:szCs w:val="21"/>
          <w:bdr w:val="none" w:sz="0" w:space="0" w:color="auto" w:frame="1"/>
        </w:rPr>
      </w:pPr>
      <w:r w:rsidRPr="00967C55">
        <w:rPr>
          <w:rFonts w:ascii="Arial" w:eastAsia="Calibri" w:hAnsi="Arial" w:cs="Arial"/>
          <w:color w:val="000000" w:themeColor="text1"/>
          <w:sz w:val="22"/>
          <w:szCs w:val="22"/>
        </w:rPr>
        <w:t>Usted realiza la</w:t>
      </w:r>
      <w:r w:rsidR="008F0403" w:rsidRPr="00967C55">
        <w:rPr>
          <w:rFonts w:ascii="Arial" w:eastAsia="Calibri" w:hAnsi="Arial" w:cs="Arial"/>
          <w:color w:val="000000" w:themeColor="text1"/>
          <w:sz w:val="22"/>
          <w:szCs w:val="22"/>
        </w:rPr>
        <w:t>s</w:t>
      </w:r>
      <w:r w:rsidRPr="00967C55">
        <w:rPr>
          <w:rFonts w:ascii="Arial" w:eastAsia="Calibri" w:hAnsi="Arial" w:cs="Arial"/>
          <w:color w:val="000000" w:themeColor="text1"/>
          <w:sz w:val="22"/>
          <w:szCs w:val="22"/>
        </w:rPr>
        <w:t xml:space="preserve"> siguiente</w:t>
      </w:r>
      <w:r w:rsidR="00967C55" w:rsidRPr="00967C55">
        <w:rPr>
          <w:rFonts w:ascii="Arial" w:eastAsia="Calibri" w:hAnsi="Arial" w:cs="Arial"/>
          <w:color w:val="000000" w:themeColor="text1"/>
          <w:sz w:val="22"/>
          <w:szCs w:val="22"/>
        </w:rPr>
        <w:t xml:space="preserve"> solicitud</w:t>
      </w:r>
      <w:r w:rsidR="00967C55">
        <w:rPr>
          <w:rFonts w:ascii="Arial" w:eastAsia="Calibri" w:hAnsi="Arial" w:cs="Arial"/>
          <w:color w:val="000000" w:themeColor="text1"/>
          <w:sz w:val="22"/>
          <w:szCs w:val="22"/>
        </w:rPr>
        <w:t xml:space="preserve">: </w:t>
      </w:r>
      <w:r w:rsidR="00090DE0" w:rsidRPr="00967C55">
        <w:rPr>
          <w:rFonts w:ascii="Arial" w:eastAsia="Calibri" w:hAnsi="Arial" w:cs="Arial"/>
          <w:color w:val="000000" w:themeColor="text1"/>
          <w:sz w:val="22"/>
          <w:szCs w:val="22"/>
          <w:lang w:val="es-ES"/>
        </w:rPr>
        <w:t>«</w:t>
      </w:r>
      <w:r w:rsidR="00967C55" w:rsidRPr="00967C55">
        <w:rPr>
          <w:rFonts w:ascii="Arial" w:hAnsi="Arial" w:cs="Arial"/>
          <w:color w:val="000000"/>
          <w:sz w:val="22"/>
          <w:szCs w:val="22"/>
          <w:bdr w:val="none" w:sz="0" w:space="0" w:color="auto" w:frame="1"/>
        </w:rPr>
        <w:t xml:space="preserve">Solicitamos pronunciarse ampliamente sobre la aplicación de la norma en materia de contratación pública como lo es el numeral 1.15 - causales de rechazo - literal n - presentar la oferta con tachaduras o enmendaduras que no están convalidadas en la forma indicada en la sección 2.3 del pliego de condiciones versión 3 de los pliegos tipo para infraestructura de transporte, como por ejemplo para que documentos en específico de una oferta se debe aplicar la norma, </w:t>
      </w:r>
      <w:proofErr w:type="spellStart"/>
      <w:r w:rsidR="00F2785D" w:rsidRPr="00967C55">
        <w:rPr>
          <w:rFonts w:ascii="Arial" w:hAnsi="Arial" w:cs="Arial"/>
          <w:color w:val="000000"/>
          <w:sz w:val="22"/>
          <w:szCs w:val="22"/>
          <w:bdr w:val="none" w:sz="0" w:space="0" w:color="auto" w:frame="1"/>
        </w:rPr>
        <w:t>etc</w:t>
      </w:r>
      <w:proofErr w:type="spellEnd"/>
      <w:r w:rsidR="008F0403" w:rsidRPr="00967C55">
        <w:rPr>
          <w:rFonts w:ascii="Arial" w:eastAsia="Calibri" w:hAnsi="Arial" w:cs="Arial"/>
          <w:color w:val="000000" w:themeColor="text1"/>
          <w:sz w:val="22"/>
          <w:szCs w:val="22"/>
          <w:lang w:val="es-ES"/>
        </w:rPr>
        <w:t>».</w:t>
      </w:r>
      <w:r w:rsidR="008F0403" w:rsidRPr="00FB4D30">
        <w:rPr>
          <w:rFonts w:ascii="Arial" w:hAnsi="Arial" w:cs="Arial"/>
          <w:color w:val="000000"/>
          <w:sz w:val="21"/>
          <w:szCs w:val="21"/>
          <w:bdr w:val="none" w:sz="0" w:space="0" w:color="auto" w:frame="1"/>
        </w:rPr>
        <w:t> </w:t>
      </w:r>
    </w:p>
    <w:p w14:paraId="2FDC3DCB" w14:textId="4F923724" w:rsidR="00794DB7" w:rsidRPr="007230A2" w:rsidRDefault="00794DB7" w:rsidP="007230A2">
      <w:pPr>
        <w:pStyle w:val="NormalWeb"/>
        <w:shd w:val="clear" w:color="auto" w:fill="FFFFFF"/>
        <w:spacing w:before="0" w:beforeAutospacing="0" w:line="276" w:lineRule="auto"/>
        <w:contextualSpacing/>
        <w:jc w:val="both"/>
        <w:textAlignment w:val="baseline"/>
        <w:rPr>
          <w:rFonts w:ascii="Arial" w:hAnsi="Arial" w:cs="Arial"/>
          <w:color w:val="000000"/>
          <w:sz w:val="22"/>
          <w:szCs w:val="22"/>
          <w:bdr w:val="none" w:sz="0" w:space="0" w:color="auto" w:frame="1"/>
        </w:rPr>
      </w:pPr>
    </w:p>
    <w:p w14:paraId="7F6E1B98" w14:textId="75C61236" w:rsidR="00B43423" w:rsidRPr="007230A2" w:rsidRDefault="00794DB7" w:rsidP="004F4910">
      <w:pPr>
        <w:pStyle w:val="NormalWeb"/>
        <w:numPr>
          <w:ilvl w:val="0"/>
          <w:numId w:val="1"/>
        </w:numPr>
        <w:shd w:val="clear" w:color="auto" w:fill="FFFFFF"/>
        <w:spacing w:before="0" w:beforeAutospacing="0" w:after="0" w:afterAutospacing="0" w:line="276" w:lineRule="auto"/>
        <w:contextualSpacing/>
        <w:jc w:val="both"/>
        <w:textAlignment w:val="baseline"/>
        <w:rPr>
          <w:rFonts w:ascii="Arial" w:hAnsi="Arial" w:cs="Arial"/>
          <w:b/>
          <w:bCs/>
          <w:color w:val="000000"/>
          <w:sz w:val="22"/>
          <w:szCs w:val="22"/>
          <w:bdr w:val="none" w:sz="0" w:space="0" w:color="auto" w:frame="1"/>
        </w:rPr>
      </w:pPr>
      <w:r w:rsidRPr="007230A2">
        <w:rPr>
          <w:rFonts w:ascii="Arial" w:eastAsia="Calibri" w:hAnsi="Arial" w:cs="Arial"/>
          <w:b/>
          <w:bCs/>
          <w:color w:val="000000" w:themeColor="text1"/>
          <w:sz w:val="22"/>
          <w:szCs w:val="22"/>
        </w:rPr>
        <w:t>Consideraciones</w:t>
      </w:r>
    </w:p>
    <w:p w14:paraId="604332A6" w14:textId="0DCC97AB" w:rsidR="00794DB7" w:rsidRPr="004F4910" w:rsidRDefault="00794DB7" w:rsidP="004F4910">
      <w:pPr>
        <w:pStyle w:val="NormalWeb"/>
        <w:shd w:val="clear" w:color="auto" w:fill="FFFFFF"/>
        <w:spacing w:before="0" w:beforeAutospacing="0" w:after="0" w:afterAutospacing="0" w:line="276" w:lineRule="auto"/>
        <w:ind w:left="360"/>
        <w:contextualSpacing/>
        <w:jc w:val="both"/>
        <w:textAlignment w:val="baseline"/>
        <w:rPr>
          <w:rFonts w:ascii="Arial" w:eastAsia="Calibri" w:hAnsi="Arial" w:cs="Arial"/>
          <w:color w:val="000000" w:themeColor="text1"/>
          <w:sz w:val="22"/>
          <w:szCs w:val="22"/>
        </w:rPr>
      </w:pPr>
    </w:p>
    <w:p w14:paraId="0CFB032B" w14:textId="34935C86" w:rsidR="00794DB7" w:rsidRPr="007230A2" w:rsidRDefault="00794DB7" w:rsidP="004F4910">
      <w:pPr>
        <w:spacing w:line="276" w:lineRule="auto"/>
        <w:jc w:val="both"/>
        <w:rPr>
          <w:rFonts w:ascii="Arial" w:hAnsi="Arial" w:cs="Arial"/>
          <w:sz w:val="22"/>
          <w:szCs w:val="22"/>
        </w:rPr>
      </w:pPr>
      <w:r w:rsidRPr="007230A2">
        <w:rPr>
          <w:rFonts w:ascii="Arial" w:eastAsia="Calibri" w:hAnsi="Arial" w:cs="Arial"/>
          <w:color w:val="000000" w:themeColor="text1"/>
          <w:sz w:val="22"/>
          <w:szCs w:val="22"/>
        </w:rPr>
        <w:t>Para responder a sus interrogantes se estudiarán los siguientes temas:</w:t>
      </w:r>
      <w:r w:rsidR="0052321C">
        <w:rPr>
          <w:rFonts w:ascii="Arial" w:eastAsia="Calibri" w:hAnsi="Arial" w:cs="Arial"/>
          <w:color w:val="000000" w:themeColor="text1"/>
          <w:sz w:val="22"/>
          <w:szCs w:val="22"/>
        </w:rPr>
        <w:t xml:space="preserve"> </w:t>
      </w:r>
      <w:r w:rsidRPr="007230A2">
        <w:rPr>
          <w:rFonts w:ascii="Arial" w:eastAsia="Calibri" w:hAnsi="Arial" w:cs="Arial"/>
          <w:color w:val="000000" w:themeColor="text1"/>
          <w:sz w:val="22"/>
          <w:szCs w:val="22"/>
        </w:rPr>
        <w:t>i)</w:t>
      </w:r>
      <w:r w:rsidR="0052321C">
        <w:rPr>
          <w:rFonts w:ascii="Arial" w:eastAsia="Calibri" w:hAnsi="Arial" w:cs="Arial"/>
          <w:color w:val="000000" w:themeColor="text1"/>
          <w:sz w:val="22"/>
          <w:szCs w:val="22"/>
        </w:rPr>
        <w:t xml:space="preserve"> </w:t>
      </w:r>
      <w:r w:rsidR="00F2785D">
        <w:rPr>
          <w:rFonts w:ascii="Arial" w:eastAsia="Calibri" w:hAnsi="Arial" w:cs="Arial"/>
          <w:color w:val="000000" w:themeColor="text1"/>
          <w:sz w:val="22"/>
          <w:szCs w:val="22"/>
        </w:rPr>
        <w:t>principio de selección objetiva en la contratación estatal</w:t>
      </w:r>
      <w:r w:rsidR="003957B2">
        <w:rPr>
          <w:rFonts w:ascii="Arial" w:eastAsia="Calibri" w:hAnsi="Arial" w:cs="Arial"/>
          <w:color w:val="000000" w:themeColor="text1"/>
          <w:sz w:val="22"/>
          <w:szCs w:val="22"/>
        </w:rPr>
        <w:t>;</w:t>
      </w:r>
      <w:r w:rsidR="008F0403">
        <w:rPr>
          <w:rFonts w:ascii="Arial" w:eastAsia="Calibri" w:hAnsi="Arial" w:cs="Arial"/>
          <w:color w:val="000000" w:themeColor="text1"/>
          <w:sz w:val="22"/>
          <w:szCs w:val="22"/>
        </w:rPr>
        <w:t xml:space="preserve"> ii)</w:t>
      </w:r>
      <w:r w:rsidR="0052321C">
        <w:rPr>
          <w:rFonts w:ascii="Arial" w:eastAsia="Calibri" w:hAnsi="Arial" w:cs="Arial"/>
          <w:color w:val="000000" w:themeColor="text1"/>
          <w:sz w:val="22"/>
          <w:szCs w:val="22"/>
        </w:rPr>
        <w:t xml:space="preserve"> </w:t>
      </w:r>
      <w:r w:rsidR="0052321C">
        <w:rPr>
          <w:rFonts w:ascii="Arial" w:hAnsi="Arial" w:cs="Arial"/>
          <w:color w:val="000000"/>
          <w:sz w:val="22"/>
          <w:szCs w:val="22"/>
          <w:bdr w:val="none" w:sz="0" w:space="0" w:color="auto" w:frame="1"/>
        </w:rPr>
        <w:t>a</w:t>
      </w:r>
      <w:r w:rsidR="0052321C" w:rsidRPr="00802379">
        <w:rPr>
          <w:rFonts w:ascii="Arial" w:hAnsi="Arial" w:cs="Arial"/>
          <w:color w:val="000000"/>
          <w:sz w:val="22"/>
          <w:szCs w:val="22"/>
          <w:bdr w:val="none" w:sz="0" w:space="0" w:color="auto" w:frame="1"/>
        </w:rPr>
        <w:t xml:space="preserve">lcance de la regla de subsanabilidad de las </w:t>
      </w:r>
      <w:r w:rsidR="0052321C" w:rsidRPr="00802379">
        <w:rPr>
          <w:rFonts w:ascii="Arial" w:hAnsi="Arial" w:cs="Arial"/>
          <w:color w:val="000000"/>
          <w:sz w:val="22"/>
          <w:szCs w:val="22"/>
          <w:bdr w:val="none" w:sz="0" w:space="0" w:color="auto" w:frame="1"/>
        </w:rPr>
        <w:lastRenderedPageBreak/>
        <w:t>ofertas en los procedimientos de selección</w:t>
      </w:r>
      <w:r w:rsidR="0052321C">
        <w:rPr>
          <w:rFonts w:ascii="Arial" w:hAnsi="Arial" w:cs="Arial"/>
          <w:color w:val="000000"/>
          <w:sz w:val="22"/>
          <w:szCs w:val="22"/>
          <w:bdr w:val="none" w:sz="0" w:space="0" w:color="auto" w:frame="1"/>
        </w:rPr>
        <w:t xml:space="preserve"> </w:t>
      </w:r>
      <w:r w:rsidR="008F0403">
        <w:rPr>
          <w:rFonts w:ascii="Arial" w:eastAsia="Calibri" w:hAnsi="Arial" w:cs="Arial"/>
          <w:color w:val="000000" w:themeColor="text1"/>
          <w:sz w:val="22"/>
          <w:szCs w:val="22"/>
        </w:rPr>
        <w:t>y iii)</w:t>
      </w:r>
      <w:r w:rsidR="003957B2">
        <w:rPr>
          <w:rFonts w:ascii="Arial" w:eastAsia="Calibri" w:hAnsi="Arial" w:cs="Arial"/>
          <w:color w:val="000000" w:themeColor="text1"/>
          <w:sz w:val="22"/>
          <w:szCs w:val="22"/>
        </w:rPr>
        <w:t xml:space="preserve"> </w:t>
      </w:r>
      <w:r w:rsidR="0052321C">
        <w:rPr>
          <w:rFonts w:ascii="Arial" w:eastAsia="Calibri" w:hAnsi="Arial" w:cs="Arial"/>
          <w:color w:val="000000" w:themeColor="text1"/>
          <w:sz w:val="22"/>
          <w:szCs w:val="22"/>
        </w:rPr>
        <w:t>causal de rechazo contenida en los pliegos tipo.</w:t>
      </w:r>
    </w:p>
    <w:p w14:paraId="27665580" w14:textId="0B953D74" w:rsidR="00B43423" w:rsidRPr="00802379" w:rsidRDefault="00B43423" w:rsidP="00802379">
      <w:pPr>
        <w:spacing w:line="276" w:lineRule="auto"/>
        <w:ind w:firstLine="708"/>
        <w:jc w:val="both"/>
      </w:pPr>
      <w:r w:rsidRPr="00A03FAB">
        <w:rPr>
          <w:rFonts w:ascii="Arial" w:eastAsia="Calibri" w:hAnsi="Arial" w:cs="Arial"/>
          <w:sz w:val="22"/>
        </w:rPr>
        <w:t>La Agencia Nacional de Contratación Pública − Colombia Compra Eficiente se ha pronunciado sobre</w:t>
      </w:r>
      <w:r w:rsidR="0052321C">
        <w:rPr>
          <w:rFonts w:ascii="Arial" w:eastAsia="Calibri" w:hAnsi="Arial" w:cs="Arial"/>
          <w:sz w:val="22"/>
        </w:rPr>
        <w:t xml:space="preserve"> el principio de selección objetiva y en especifico el tema de la subsanabilidad</w:t>
      </w:r>
      <w:r w:rsidR="00802379">
        <w:rPr>
          <w:rFonts w:ascii="Arial" w:eastAsia="Calibri" w:hAnsi="Arial" w:cs="Arial"/>
          <w:sz w:val="22"/>
        </w:rPr>
        <w:t xml:space="preserve"> en conceptos </w:t>
      </w:r>
      <w:r w:rsidR="00802379" w:rsidRPr="00802379">
        <w:rPr>
          <w:rFonts w:ascii="Arial" w:hAnsi="Arial" w:cs="Arial"/>
          <w:color w:val="000000"/>
          <w:sz w:val="22"/>
          <w:szCs w:val="22"/>
          <w:lang w:val="es-MX"/>
        </w:rPr>
        <w:t>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w:t>
      </w:r>
      <w:r w:rsidR="00802379">
        <w:rPr>
          <w:rFonts w:ascii="Arial" w:hAnsi="Arial" w:cs="Arial"/>
          <w:color w:val="000000"/>
          <w:sz w:val="22"/>
          <w:szCs w:val="22"/>
          <w:lang w:val="es-MX"/>
        </w:rPr>
        <w:t>,</w:t>
      </w:r>
      <w:r w:rsidR="00802379" w:rsidRPr="00802379">
        <w:rPr>
          <w:rFonts w:ascii="Arial" w:hAnsi="Arial" w:cs="Arial"/>
          <w:color w:val="000000"/>
          <w:sz w:val="22"/>
          <w:szCs w:val="22"/>
          <w:lang w:val="es-MX"/>
        </w:rPr>
        <w:t xml:space="preserve"> C-595 del 21 de septiembre de 2020</w:t>
      </w:r>
      <w:r w:rsidR="00802379">
        <w:rPr>
          <w:rFonts w:ascii="Arial" w:hAnsi="Arial" w:cs="Arial"/>
          <w:color w:val="000000"/>
          <w:sz w:val="22"/>
          <w:szCs w:val="22"/>
          <w:lang w:val="es-MX"/>
        </w:rPr>
        <w:t xml:space="preserve"> y C-634 de 21 de noviembre de 2020. </w:t>
      </w:r>
      <w:r w:rsidRPr="00A03FAB">
        <w:rPr>
          <w:rFonts w:ascii="Arial" w:eastAsia="Calibri" w:hAnsi="Arial" w:cs="Arial"/>
          <w:sz w:val="22"/>
        </w:rPr>
        <w:t>La</w:t>
      </w:r>
      <w:r w:rsidR="003957B2">
        <w:rPr>
          <w:rFonts w:ascii="Arial" w:eastAsia="Calibri" w:hAnsi="Arial" w:cs="Arial"/>
          <w:sz w:val="22"/>
        </w:rPr>
        <w:t>s</w:t>
      </w:r>
      <w:r w:rsidRPr="00A03FAB">
        <w:rPr>
          <w:rFonts w:ascii="Arial" w:eastAsia="Calibri" w:hAnsi="Arial" w:cs="Arial"/>
          <w:sz w:val="22"/>
        </w:rPr>
        <w:t xml:space="preserve"> tesis propuesta</w:t>
      </w:r>
      <w:r w:rsidR="003957B2">
        <w:rPr>
          <w:rFonts w:ascii="Arial" w:eastAsia="Calibri" w:hAnsi="Arial" w:cs="Arial"/>
          <w:sz w:val="22"/>
        </w:rPr>
        <w:t>s</w:t>
      </w:r>
      <w:r w:rsidRPr="00A03FAB">
        <w:rPr>
          <w:rFonts w:ascii="Arial" w:eastAsia="Calibri" w:hAnsi="Arial" w:cs="Arial"/>
          <w:sz w:val="22"/>
        </w:rPr>
        <w:t xml:space="preserve"> </w:t>
      </w:r>
      <w:r w:rsidR="003957B2">
        <w:rPr>
          <w:rFonts w:ascii="Arial" w:eastAsia="Calibri" w:hAnsi="Arial" w:cs="Arial"/>
          <w:sz w:val="22"/>
        </w:rPr>
        <w:t xml:space="preserve">en dichos conceptos se reiteran </w:t>
      </w:r>
      <w:r w:rsidRPr="00A03FAB">
        <w:rPr>
          <w:rFonts w:ascii="Arial" w:eastAsia="Calibri" w:hAnsi="Arial" w:cs="Arial"/>
          <w:sz w:val="22"/>
        </w:rPr>
        <w:t>y, en lo necesario, se complementa</w:t>
      </w:r>
      <w:r w:rsidR="003957B2">
        <w:rPr>
          <w:rFonts w:ascii="Arial" w:eastAsia="Calibri" w:hAnsi="Arial" w:cs="Arial"/>
          <w:sz w:val="22"/>
        </w:rPr>
        <w:t>n</w:t>
      </w:r>
      <w:r w:rsidRPr="00A03FAB">
        <w:rPr>
          <w:rFonts w:ascii="Arial" w:eastAsia="Calibri" w:hAnsi="Arial" w:cs="Arial"/>
          <w:sz w:val="22"/>
        </w:rPr>
        <w:t xml:space="preserve"> con</w:t>
      </w:r>
      <w:r w:rsidR="003957B2">
        <w:rPr>
          <w:rFonts w:ascii="Arial" w:eastAsia="Calibri" w:hAnsi="Arial" w:cs="Arial"/>
          <w:sz w:val="22"/>
        </w:rPr>
        <w:t>forme a</w:t>
      </w:r>
      <w:r w:rsidRPr="00A03FAB">
        <w:rPr>
          <w:rFonts w:ascii="Arial" w:eastAsia="Calibri" w:hAnsi="Arial" w:cs="Arial"/>
          <w:sz w:val="22"/>
        </w:rPr>
        <w:t xml:space="preserve"> las siguientes consideraciones</w:t>
      </w:r>
      <w:r w:rsidR="00802379">
        <w:rPr>
          <w:rFonts w:ascii="Arial" w:eastAsia="Calibri" w:hAnsi="Arial" w:cs="Arial"/>
          <w:sz w:val="22"/>
        </w:rPr>
        <w:t xml:space="preserve">. </w:t>
      </w:r>
    </w:p>
    <w:p w14:paraId="7D3218D6" w14:textId="509DFE78" w:rsidR="00DC15ED" w:rsidRPr="00DC15ED" w:rsidRDefault="00DC15ED" w:rsidP="00DC15ED">
      <w:pPr>
        <w:shd w:val="clear" w:color="auto" w:fill="FFFFFF"/>
        <w:jc w:val="both"/>
        <w:textAlignment w:val="baseline"/>
        <w:rPr>
          <w:rFonts w:ascii="Calibri" w:hAnsi="Calibri" w:cs="Calibri"/>
          <w:color w:val="000000"/>
          <w:sz w:val="22"/>
          <w:szCs w:val="22"/>
        </w:rPr>
      </w:pPr>
    </w:p>
    <w:p w14:paraId="05EFD6C3" w14:textId="2D465893" w:rsidR="00DC15ED" w:rsidRPr="00967C55" w:rsidRDefault="00967C55"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b/>
          <w:bCs/>
          <w:color w:val="000000"/>
          <w:sz w:val="22"/>
          <w:szCs w:val="22"/>
          <w:bdr w:val="none" w:sz="0" w:space="0" w:color="auto" w:frame="1"/>
        </w:rPr>
        <w:t>2.</w:t>
      </w:r>
      <w:r w:rsidR="00DC15ED" w:rsidRPr="00967C55">
        <w:rPr>
          <w:rFonts w:ascii="Arial" w:hAnsi="Arial" w:cs="Arial"/>
          <w:b/>
          <w:bCs/>
          <w:color w:val="000000"/>
          <w:sz w:val="22"/>
          <w:szCs w:val="22"/>
          <w:bdr w:val="none" w:sz="0" w:space="0" w:color="auto" w:frame="1"/>
        </w:rPr>
        <w:t>1. Principio de selección objetiva en la contratación estatal </w:t>
      </w:r>
    </w:p>
    <w:p w14:paraId="5D0EA49F" w14:textId="68C4BC14"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249DA3C8" w14:textId="300D2C8C"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Uno de los principios transversales de los procedimientos de selección es el de </w:t>
      </w:r>
      <w:r w:rsidRPr="00967C55">
        <w:rPr>
          <w:rFonts w:ascii="Arial" w:hAnsi="Arial" w:cs="Arial"/>
          <w:i/>
          <w:iCs/>
          <w:color w:val="000000"/>
          <w:sz w:val="22"/>
          <w:szCs w:val="22"/>
          <w:bdr w:val="none" w:sz="0" w:space="0" w:color="auto" w:frame="1"/>
        </w:rPr>
        <w:t>selección objetiva</w:t>
      </w:r>
      <w:r w:rsidRPr="00967C55">
        <w:rPr>
          <w:rFonts w:ascii="Arial" w:hAnsi="Arial" w:cs="Arial"/>
          <w:color w:val="000000"/>
          <w:sz w:val="22"/>
          <w:szCs w:val="22"/>
          <w:bdr w:val="none" w:sz="0" w:space="0" w:color="auto" w:frame="1"/>
        </w:rPr>
        <w:t>.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4EA107C5" w14:textId="0C53F481" w:rsidR="00DC15ED" w:rsidRPr="00967C55" w:rsidRDefault="00DC15ED" w:rsidP="001058FF">
      <w:pPr>
        <w:shd w:val="clear" w:color="auto" w:fill="FFFFFF"/>
        <w:spacing w:before="120" w:line="276" w:lineRule="auto"/>
        <w:ind w:firstLine="709"/>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 xml:space="preserve">Si bien dentro de la historia de la contratación pública en Colombia, se vislumbran antecedentes normativos que consagraban este principio, en la actualidad la disposición legal que lo prevé de manera contundente es el artículo 5 de la Ley 1150 de 2007, modificado por el artículo 88 de la Ley 1474 de 2011 y por el artículo 5 de la Ley 1882 de 2018, el cual dispone lo siguiente: </w:t>
      </w:r>
    </w:p>
    <w:p w14:paraId="12B401C9" w14:textId="5258A0A2" w:rsidR="00DC15ED" w:rsidRDefault="00DC15ED" w:rsidP="00967C55">
      <w:pPr>
        <w:shd w:val="clear" w:color="auto" w:fill="FFFFFF"/>
        <w:spacing w:line="276" w:lineRule="auto"/>
        <w:jc w:val="both"/>
        <w:textAlignment w:val="baseline"/>
        <w:rPr>
          <w:rFonts w:ascii="Arial" w:hAnsi="Arial" w:cs="Arial"/>
          <w:color w:val="000000"/>
          <w:sz w:val="22"/>
          <w:szCs w:val="22"/>
        </w:rPr>
      </w:pPr>
    </w:p>
    <w:p w14:paraId="248E291F" w14:textId="0A5A29F5"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00802379" w:rsidRPr="000D724C">
        <w:rPr>
          <w:rFonts w:ascii="Arial" w:eastAsia="Calibri" w:hAnsi="Arial" w:cs="Arial"/>
          <w:sz w:val="21"/>
          <w:szCs w:val="21"/>
          <w:lang w:val="es-ES_tradnl"/>
        </w:rPr>
        <w:t>equivalentes</w:t>
      </w:r>
      <w:r w:rsidRPr="000D724C">
        <w:rPr>
          <w:rFonts w:ascii="Arial" w:eastAsia="Calibri" w:hAnsi="Arial" w:cs="Arial"/>
          <w:sz w:val="21"/>
          <w:szCs w:val="21"/>
          <w:lang w:val="es-ES_tradnl"/>
        </w:rPr>
        <w:t xml:space="preserve"> tendrán en cuenta los siguientes criterios:</w:t>
      </w:r>
    </w:p>
    <w:p w14:paraId="7CCC41C8"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3048659"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lastRenderedPageBreak/>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FA2E55E"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En los procesos de selección en los que se tenga en cuenta los factores técnicos y económicos, la oferta más ventajosa será la que resulte de aplicar alguna de las siguientes alternativas:</w:t>
      </w:r>
    </w:p>
    <w:p w14:paraId="4746033E"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a) La ponderación de los elementos de calidad y precio soportados en puntajes o fórmulas señaladas en el pliego de condiciones; o</w:t>
      </w:r>
    </w:p>
    <w:p w14:paraId="63F72EEC"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b) La ponderación de los elementos de calidad y precio que representen la mejor relación de costo-beneficio para la entidad.</w:t>
      </w:r>
    </w:p>
    <w:p w14:paraId="1CD005ED"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380280A"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68D0AC3"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En ningún caso se podrá incluir el precio, como factor de escogencia para la selección de consultores.</w:t>
      </w:r>
    </w:p>
    <w:p w14:paraId="3BE28985" w14:textId="21D3173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r w:rsidR="00802379" w:rsidRPr="000D724C">
        <w:rPr>
          <w:rFonts w:ascii="Arial" w:eastAsia="Calibri" w:hAnsi="Arial" w:cs="Arial"/>
          <w:sz w:val="21"/>
          <w:szCs w:val="21"/>
          <w:lang w:val="es-ES_tradnl"/>
        </w:rPr>
        <w:t>puntaje</w:t>
      </w:r>
      <w:r w:rsidRPr="000D724C">
        <w:rPr>
          <w:rFonts w:ascii="Arial" w:eastAsia="Calibri"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CC2935F"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lastRenderedPageBreak/>
        <w:t>Durante el término otorgado para subsanar las ofertas, los proponentes no podrán acreditar circunstancias ocurridas con posterioridad al cierre del proceso.</w:t>
      </w:r>
    </w:p>
    <w:p w14:paraId="4F9C9E78"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PARÁGRAFO 2o. Las certificaciones de sistemas de gestión de calidad no serán objeto de calificación, ni podrán establecerse como documento habilitante para participar en licitaciones o concursos.</w:t>
      </w:r>
    </w:p>
    <w:p w14:paraId="46783E48"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0DFA1E16" w14:textId="77777777" w:rsidR="00F2785D" w:rsidRPr="000D724C" w:rsidRDefault="00F2785D" w:rsidP="000D724C">
      <w:pPr>
        <w:spacing w:after="120"/>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F60E1DF" w14:textId="77777777" w:rsidR="00F2785D" w:rsidRPr="000D724C" w:rsidRDefault="00F2785D" w:rsidP="000D724C">
      <w:pPr>
        <w:ind w:left="709" w:right="709"/>
        <w:jc w:val="both"/>
        <w:rPr>
          <w:rFonts w:ascii="Arial" w:eastAsia="Calibri" w:hAnsi="Arial" w:cs="Arial"/>
          <w:sz w:val="21"/>
          <w:szCs w:val="21"/>
          <w:lang w:val="es-ES_tradnl"/>
        </w:rPr>
      </w:pPr>
      <w:r w:rsidRPr="000D724C">
        <w:rPr>
          <w:rFonts w:ascii="Arial" w:eastAsia="Calibri" w:hAnsi="Arial" w:cs="Arial"/>
          <w:sz w:val="21"/>
          <w:szCs w:val="21"/>
          <w:lang w:val="es-ES_tradnl"/>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2D17409E" w14:textId="77777777" w:rsidR="00F2785D" w:rsidRPr="00967C55" w:rsidRDefault="00F2785D" w:rsidP="00967C55">
      <w:pPr>
        <w:shd w:val="clear" w:color="auto" w:fill="FFFFFF"/>
        <w:spacing w:line="276" w:lineRule="auto"/>
        <w:jc w:val="both"/>
        <w:textAlignment w:val="baseline"/>
        <w:rPr>
          <w:rFonts w:ascii="Arial" w:hAnsi="Arial" w:cs="Arial"/>
          <w:color w:val="000000"/>
          <w:sz w:val="22"/>
          <w:szCs w:val="22"/>
        </w:rPr>
      </w:pPr>
    </w:p>
    <w:p w14:paraId="2A8F6E6B" w14:textId="0472D56C" w:rsidR="00DC15ED" w:rsidRPr="00967C55" w:rsidRDefault="00DC15ED" w:rsidP="001058FF">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Así mismo, la Ley 80 de 1993 se refiere a la </w:t>
      </w:r>
      <w:r w:rsidRPr="00967C55">
        <w:rPr>
          <w:rFonts w:ascii="Arial" w:hAnsi="Arial" w:cs="Arial"/>
          <w:i/>
          <w:iCs/>
          <w:color w:val="000000"/>
          <w:sz w:val="22"/>
          <w:szCs w:val="22"/>
          <w:bdr w:val="none" w:sz="0" w:space="0" w:color="auto" w:frame="1"/>
        </w:rPr>
        <w:t>selección objetiva</w:t>
      </w:r>
      <w:r w:rsidRPr="00967C55">
        <w:rPr>
          <w:rFonts w:ascii="Arial" w:hAnsi="Arial" w:cs="Arial"/>
          <w:color w:val="000000"/>
          <w:sz w:val="22"/>
          <w:szCs w:val="22"/>
          <w:bdr w:val="none" w:sz="0" w:space="0" w:color="auto" w:frame="1"/>
        </w:rPr>
        <w:t> en varios apartados, como el primer inciso del artículo 21, que obliga a las entidades estatales a tener en cuenta la selección objetiva, al garantizar la participación de los oferentes de bienes y servicios de origen nacional; el artículo 24, numeral 5º, literal a), que manda que en los pliegos de condiciones se indiquen «[…] los requisitos objetivos necesarios para participar en el correspondiente proceso de selección»;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w:t>
      </w:r>
    </w:p>
    <w:p w14:paraId="1D8D00BC" w14:textId="44724C8D" w:rsidR="00DC15ED" w:rsidRPr="00967C55" w:rsidRDefault="00DC15ED" w:rsidP="001058FF">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 xml:space="preserve">De igual forma, este principio también se menciona en el segundo inciso del parágrafo 3º del artículo 24, que exige tener en cuenta la selección objetiva de la entidad veedora para el procedimiento de venta de bienes de las entidades estatales por el sistema de martillo; el numeral 18 del artículo 25, el cual señala que «La declaratoria de desierta de la licitación únicamente procederá por motivos o causas que impidan la escogencia objetiva»,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w:t>
      </w:r>
      <w:r w:rsidRPr="00967C55">
        <w:rPr>
          <w:rFonts w:ascii="Arial" w:hAnsi="Arial" w:cs="Arial"/>
          <w:color w:val="000000"/>
          <w:sz w:val="22"/>
          <w:szCs w:val="22"/>
          <w:bdr w:val="none" w:sz="0" w:space="0" w:color="auto" w:frame="1"/>
        </w:rPr>
        <w:lastRenderedPageBreak/>
        <w:t>necesarias para garantizar reglas objetivas, claras y completas»; el inciso final del artículo 38, que obliga a las entidades estatales que tengan como objeto la prestación de servicios y actividades de telecomunicaciones a respetar el principio de selección objetiva; y el segundo inciso del artículo 76, que ordena cumplir también con dicho principio a las entidades que tengan por objeto la exploración, explotación y comercialización de recursos naturales renovables y no renovables.  </w:t>
      </w:r>
    </w:p>
    <w:p w14:paraId="572B9C97" w14:textId="2BD474CC" w:rsidR="00DC15ED" w:rsidRPr="00967C55" w:rsidRDefault="00DC15ED" w:rsidP="001058FF">
      <w:pPr>
        <w:shd w:val="clear" w:color="auto" w:fill="FFFFFF"/>
        <w:spacing w:before="120" w:line="276" w:lineRule="auto"/>
        <w:ind w:firstLine="708"/>
        <w:jc w:val="both"/>
        <w:textAlignment w:val="baseline"/>
        <w:rPr>
          <w:rFonts w:ascii="Arial" w:hAnsi="Arial" w:cs="Arial"/>
          <w:sz w:val="22"/>
          <w:szCs w:val="22"/>
        </w:rPr>
      </w:pPr>
      <w:r w:rsidRPr="00967C55">
        <w:rPr>
          <w:rFonts w:ascii="Arial" w:hAnsi="Arial" w:cs="Arial"/>
          <w:color w:val="000000"/>
          <w:sz w:val="22"/>
          <w:szCs w:val="22"/>
          <w:bdr w:val="none" w:sz="0" w:space="0" w:color="auto" w:frame="1"/>
        </w:rPr>
        <w:t>Por su parte, a nivel reglamentario, el Decreto 1082 de 2015 también hace referencia a la selección objetiva como postulado esencial de los procedimientos de selección. Así se infiere de normas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del concurso de arquitectura, en caso que se presente el impedimento de la escogencia objetiva de que trata el numeral 18 del artículo 25 de la Ley 80 de 1993»</w:t>
      </w:r>
      <w:r w:rsidR="001058FF">
        <w:rPr>
          <w:rFonts w:ascii="Arial" w:hAnsi="Arial" w:cs="Arial"/>
          <w:color w:val="000000"/>
          <w:sz w:val="22"/>
          <w:szCs w:val="22"/>
          <w:bdr w:val="none" w:sz="0" w:space="0" w:color="auto" w:frame="1"/>
        </w:rPr>
        <w:t xml:space="preserve">. </w:t>
      </w:r>
    </w:p>
    <w:p w14:paraId="1C43A169" w14:textId="39D67FC3" w:rsidR="00DC15ED" w:rsidRPr="00967C55" w:rsidRDefault="00DC15ED" w:rsidP="001058FF">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 xml:space="preserve">La jurisprudencia también ha </w:t>
      </w:r>
      <w:r w:rsidRPr="00724DAE">
        <w:rPr>
          <w:rFonts w:ascii="Arial" w:hAnsi="Arial" w:cs="Arial"/>
          <w:color w:val="000000"/>
          <w:sz w:val="22"/>
          <w:szCs w:val="22"/>
          <w:bdr w:val="none" w:sz="0" w:space="0" w:color="auto" w:frame="1"/>
        </w:rPr>
        <w:t xml:space="preserve">reconocido la preponderancia de este deber en la etapa precontractual, indicando que su garantía es imprescindible para satisfacer adecuadamente las necesidades de la sociedad a través del contrato estatal. A este respecto, la Sección Tercera del Consejo de Estado ha dicho que </w:t>
      </w:r>
      <w:r w:rsidR="00724DAE" w:rsidRPr="000D724C">
        <w:rPr>
          <w:rFonts w:ascii="Arial" w:eastAsia="Calibri" w:hAnsi="Arial" w:cs="Arial"/>
          <w:sz w:val="22"/>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00724DAE" w:rsidRPr="000D724C">
        <w:rPr>
          <w:rStyle w:val="Refdenotaalpie"/>
          <w:rFonts w:ascii="Arial" w:eastAsia="Calibri" w:hAnsi="Arial" w:cs="Arial"/>
          <w:sz w:val="22"/>
          <w:lang w:val="es-ES_tradnl"/>
        </w:rPr>
        <w:footnoteReference w:id="1"/>
      </w:r>
      <w:r w:rsidR="00724DAE" w:rsidRPr="000D724C">
        <w:rPr>
          <w:rFonts w:ascii="Arial" w:eastAsia="Calibri" w:hAnsi="Arial" w:cs="Arial"/>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00724DAE" w:rsidRPr="000D724C">
        <w:rPr>
          <w:rStyle w:val="Refdenotaalpie"/>
          <w:rFonts w:ascii="Arial" w:eastAsia="Calibri" w:hAnsi="Arial" w:cs="Arial"/>
          <w:sz w:val="22"/>
          <w:lang w:val="es-ES_tradnl"/>
        </w:rPr>
        <w:footnoteReference w:id="2"/>
      </w:r>
      <w:r w:rsidR="00724DAE" w:rsidRPr="000D724C">
        <w:rPr>
          <w:rFonts w:ascii="Arial" w:eastAsia="Calibri" w:hAnsi="Arial" w:cs="Arial"/>
          <w:sz w:val="22"/>
          <w:lang w:val="es-ES_tradnl"/>
        </w:rPr>
        <w:t>.</w:t>
      </w:r>
    </w:p>
    <w:p w14:paraId="6994075E" w14:textId="77777777" w:rsidR="00DC15ED" w:rsidRPr="00967C55" w:rsidRDefault="00DC15ED" w:rsidP="001058FF">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lastRenderedPageBreak/>
        <w:t>De igual forma,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Lo anterior, teniendo en cuenta que la decisión de rechazar una propuesta,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 </w:t>
      </w:r>
    </w:p>
    <w:p w14:paraId="6EEB9343" w14:textId="0FC831C3"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5E7D63AE" w14:textId="335F6E1D"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b/>
          <w:bCs/>
          <w:color w:val="000000"/>
          <w:sz w:val="22"/>
          <w:szCs w:val="22"/>
          <w:bdr w:val="none" w:sz="0" w:space="0" w:color="auto" w:frame="1"/>
        </w:rPr>
        <w:t>2. Alcance de la regla de subsanabilidad de las ofertas en los procedimientos de selección</w:t>
      </w:r>
    </w:p>
    <w:p w14:paraId="0B65EB3F" w14:textId="23A708E8"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434CE996" w14:textId="7924D069"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A continuación, se reitera el concepto de esta Subdirección en torno al alcance de la regla de la subsanabilidad, contenida actualmente en el artículo 5 de la Ley 1150 de 2007. Al respecto, la postura que se explica en el presente concepto es la siguiente: por regla general, i) la falta de entrega o ii) los defectos, de los requisitos habilitantes, son subsanables. </w:t>
      </w:r>
    </w:p>
    <w:p w14:paraId="29B57BBD" w14:textId="6C32F42A" w:rsidR="00DC15ED" w:rsidRPr="00967C55" w:rsidRDefault="00DC15ED" w:rsidP="00802379">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Al respecto, la posibilidad de enmendar, corregir o subsanar los errores en los que se incurre en los documentos contentivos de la oferta es un tema que ha tenido diferentes momentos o etapas en el ordenamiento jurídico colombiano. En un </w:t>
      </w:r>
      <w:r w:rsidRPr="00967C55">
        <w:rPr>
          <w:rFonts w:ascii="Arial" w:hAnsi="Arial" w:cs="Arial"/>
          <w:i/>
          <w:iCs/>
          <w:color w:val="000000"/>
          <w:sz w:val="22"/>
          <w:szCs w:val="22"/>
          <w:bdr w:val="none" w:sz="0" w:space="0" w:color="auto" w:frame="1"/>
        </w:rPr>
        <w:t>primer momento</w:t>
      </w:r>
      <w:r w:rsidRPr="00967C55">
        <w:rPr>
          <w:rFonts w:ascii="Arial" w:hAnsi="Arial" w:cs="Arial"/>
          <w:color w:val="000000"/>
          <w:sz w:val="22"/>
          <w:szCs w:val="22"/>
          <w:bdr w:val="none" w:sz="0" w:space="0" w:color="auto" w:frame="1"/>
        </w:rPr>
        <w:t>, antes de la entrada en vigencia de la Constitución Política de 1991, el régimen jurídico de la subsanabilidad de las ofertas estaba compuesto por el Decreto-ley 150 de 1976 y el Decreto-ley 222 de 1983. Bajo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258B822" w14:textId="77777777" w:rsidR="00DC15ED" w:rsidRPr="00967C55"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En un </w:t>
      </w:r>
      <w:r w:rsidRPr="00967C55">
        <w:rPr>
          <w:rFonts w:ascii="Arial" w:hAnsi="Arial" w:cs="Arial"/>
          <w:i/>
          <w:iCs/>
          <w:color w:val="000000"/>
          <w:sz w:val="22"/>
          <w:szCs w:val="22"/>
          <w:bdr w:val="none" w:sz="0" w:space="0" w:color="auto" w:frame="1"/>
        </w:rPr>
        <w:t>segundo momento</w:t>
      </w:r>
      <w:r w:rsidRPr="00967C55">
        <w:rPr>
          <w:rFonts w:ascii="Arial" w:hAnsi="Arial" w:cs="Arial"/>
          <w:color w:val="000000"/>
          <w:sz w:val="22"/>
          <w:szCs w:val="22"/>
          <w:bdr w:val="none" w:sz="0" w:space="0" w:color="auto" w:frame="1"/>
        </w:rPr>
        <w:t xml:space="preserve"> se expidió la Ley 80 de 1993, bajo el paradigma que supuso la Constitución de 1991, particularmente en la manera como se relaciona lo formal y lo sustancial en las actuaciones judiciales y administrativas. Este cambio ideológico quedó consignado en el artículo 228, que introdujo el principio de supremacía o prevalencia del </w:t>
      </w:r>
      <w:r w:rsidRPr="00967C55">
        <w:rPr>
          <w:rFonts w:ascii="Arial" w:hAnsi="Arial" w:cs="Arial"/>
          <w:color w:val="000000"/>
          <w:sz w:val="22"/>
          <w:szCs w:val="22"/>
          <w:bdr w:val="none" w:sz="0" w:space="0" w:color="auto" w:frame="1"/>
        </w:rPr>
        <w:lastRenderedPageBreak/>
        <w:t>derecho sustancial sobre el procedimental. En este nuevo escenario constitucional, el numeral 15 del artículo 25 de la Ley 80 de 1993 dispuso lo siguiente:  </w:t>
      </w:r>
    </w:p>
    <w:p w14:paraId="109CCC38" w14:textId="2E48D31D"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6A5327FB" w14:textId="77777777" w:rsidR="00DC15ED" w:rsidRPr="00967C55" w:rsidRDefault="00DC15ED" w:rsidP="000D724C">
      <w:pPr>
        <w:shd w:val="clear" w:color="auto" w:fill="FFFFFF"/>
        <w:ind w:left="709" w:right="709"/>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331A566" w14:textId="0C1CD242" w:rsidR="00DC15ED" w:rsidRPr="00967C55" w:rsidRDefault="00DC15ED" w:rsidP="000D724C">
      <w:pPr>
        <w:shd w:val="clear" w:color="auto" w:fill="FFFFFF"/>
        <w:ind w:left="709" w:right="709"/>
        <w:jc w:val="both"/>
        <w:textAlignment w:val="baseline"/>
        <w:rPr>
          <w:rFonts w:ascii="Arial" w:hAnsi="Arial" w:cs="Arial"/>
          <w:color w:val="000000"/>
          <w:sz w:val="22"/>
          <w:szCs w:val="22"/>
        </w:rPr>
      </w:pPr>
    </w:p>
    <w:p w14:paraId="72A2EC07" w14:textId="77777777" w:rsidR="00DC15ED" w:rsidRPr="00967C55" w:rsidRDefault="00DC15ED" w:rsidP="000D724C">
      <w:pPr>
        <w:shd w:val="clear" w:color="auto" w:fill="FFFFFF"/>
        <w:ind w:left="709" w:right="709"/>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La ausencia de requisitos o la falta de documentos referentes a la futura contratación o al proponente, no necesarios para la comparación de propuestas, no servirá de título suficiente para el rechazo de los ofrecimientos hechos.  </w:t>
      </w:r>
    </w:p>
    <w:p w14:paraId="6F45CEA9" w14:textId="3346649A" w:rsidR="00DC15ED" w:rsidRPr="00967C55" w:rsidRDefault="00DC15ED" w:rsidP="000D724C">
      <w:pPr>
        <w:shd w:val="clear" w:color="auto" w:fill="FFFFFF"/>
        <w:ind w:left="709" w:right="709"/>
        <w:jc w:val="both"/>
        <w:textAlignment w:val="baseline"/>
        <w:rPr>
          <w:rFonts w:ascii="Arial" w:hAnsi="Arial" w:cs="Arial"/>
          <w:color w:val="000000"/>
          <w:sz w:val="22"/>
          <w:szCs w:val="22"/>
        </w:rPr>
      </w:pPr>
    </w:p>
    <w:p w14:paraId="42159B04" w14:textId="79CDE9B0" w:rsidR="00DC15ED" w:rsidRPr="00967C55"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El régimen jurídico de subsanabilidad de las ofertas sufre un cambio fundamental bajo esta norma,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1E8D300" w14:textId="77777777" w:rsidR="00DC15ED" w:rsidRPr="00967C55"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Esta norma debía leerse en conjunto con otras de la Ley 80 de 1993, particularmente con el artículo 30.7, que ordena a la entidad señalar un plazo razonable para evaluar las propuestas y pedir a los proponentes, de ser necesario, que aclaren o expliquen aspectos que ofrezcan dudas y resulten indispensables para hacer la evaluación.  </w:t>
      </w:r>
    </w:p>
    <w:p w14:paraId="4ECE7C48" w14:textId="4E3194C2" w:rsidR="00DC15ED" w:rsidRPr="00967C55" w:rsidRDefault="00BD20CC" w:rsidP="0052321C">
      <w:pPr>
        <w:shd w:val="clear" w:color="auto" w:fill="FFFFFF"/>
        <w:spacing w:before="120" w:line="276" w:lineRule="auto"/>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ab/>
      </w:r>
      <w:r w:rsidR="00DC15ED" w:rsidRPr="00967C55">
        <w:rPr>
          <w:rFonts w:ascii="Arial" w:hAnsi="Arial" w:cs="Arial"/>
          <w:color w:val="000000"/>
          <w:sz w:val="22"/>
          <w:szCs w:val="22"/>
          <w:bdr w:val="none" w:sz="0" w:space="0" w:color="auto" w:frame="1"/>
        </w:rPr>
        <w:t>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6282B64A" w14:textId="77777777" w:rsidR="00DC15ED" w:rsidRPr="00967C55"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En un </w:t>
      </w:r>
      <w:r w:rsidRPr="00967C55">
        <w:rPr>
          <w:rFonts w:ascii="Arial" w:hAnsi="Arial" w:cs="Arial"/>
          <w:i/>
          <w:iCs/>
          <w:color w:val="000000"/>
          <w:sz w:val="22"/>
          <w:szCs w:val="22"/>
          <w:bdr w:val="none" w:sz="0" w:space="0" w:color="auto" w:frame="1"/>
        </w:rPr>
        <w:t>tercer momento</w:t>
      </w:r>
      <w:r w:rsidRPr="00967C55">
        <w:rPr>
          <w:rFonts w:ascii="Arial" w:hAnsi="Arial" w:cs="Arial"/>
          <w:color w:val="000000"/>
          <w:sz w:val="22"/>
          <w:szCs w:val="22"/>
          <w:bdr w:val="none" w:sz="0" w:space="0" w:color="auto" w:frame="1"/>
        </w:rPr>
        <w:t>, siguiendo la línea trazada por la Ley 80 de 1993, el legislador expidió la Ley 1150 de 2007, que, en el parágrafo 1º del artículo 5, prescribió lo siguiente:  </w:t>
      </w:r>
    </w:p>
    <w:p w14:paraId="4B981072" w14:textId="1D931DC4" w:rsidR="00DC15ED" w:rsidRPr="000D724C" w:rsidRDefault="00DC15ED" w:rsidP="000D724C">
      <w:pPr>
        <w:shd w:val="clear" w:color="auto" w:fill="FFFFFF"/>
        <w:ind w:left="709" w:right="709"/>
        <w:jc w:val="both"/>
        <w:textAlignment w:val="baseline"/>
        <w:rPr>
          <w:rFonts w:ascii="Arial" w:hAnsi="Arial" w:cs="Arial"/>
          <w:color w:val="000000"/>
          <w:sz w:val="21"/>
          <w:szCs w:val="21"/>
        </w:rPr>
      </w:pPr>
    </w:p>
    <w:p w14:paraId="23BBBDE8"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0D724C">
        <w:rPr>
          <w:rFonts w:ascii="Arial" w:hAnsi="Arial" w:cs="Arial"/>
          <w:b/>
          <w:bCs/>
          <w:color w:val="000000"/>
          <w:sz w:val="21"/>
          <w:szCs w:val="21"/>
          <w:bdr w:val="none" w:sz="0" w:space="0" w:color="auto" w:frame="1"/>
        </w:rPr>
        <w:t>, </w:t>
      </w:r>
      <w:r w:rsidRPr="000D724C">
        <w:rPr>
          <w:rFonts w:ascii="Arial" w:hAnsi="Arial" w:cs="Arial"/>
          <w:color w:val="000000"/>
          <w:sz w:val="21"/>
          <w:szCs w:val="21"/>
          <w:bdr w:val="none" w:sz="0" w:space="0" w:color="auto" w:frame="1"/>
        </w:rPr>
        <w:t>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7471349C" w14:textId="45544359" w:rsidR="00DC15ED" w:rsidRPr="000D724C" w:rsidRDefault="00DC15ED" w:rsidP="000D724C">
      <w:pPr>
        <w:shd w:val="clear" w:color="auto" w:fill="FFFFFF"/>
        <w:ind w:left="709" w:right="709"/>
        <w:jc w:val="both"/>
        <w:textAlignment w:val="baseline"/>
        <w:rPr>
          <w:rFonts w:ascii="Arial" w:hAnsi="Arial" w:cs="Arial"/>
          <w:color w:val="000000"/>
          <w:sz w:val="21"/>
          <w:szCs w:val="21"/>
        </w:rPr>
      </w:pPr>
    </w:p>
    <w:p w14:paraId="29781C4C" w14:textId="5F24AD04" w:rsidR="00DC15ED" w:rsidRPr="00967C55" w:rsidRDefault="00DC15ED" w:rsidP="0052321C">
      <w:pPr>
        <w:shd w:val="clear" w:color="auto" w:fill="FFFFFF"/>
        <w:spacing w:after="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lastRenderedPageBreak/>
        <w:t>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F141315" w14:textId="1D0E6ACA" w:rsidR="000D724C" w:rsidRPr="00967C55"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39295317" w14:textId="4D239648" w:rsidR="00DC15ED" w:rsidRPr="00967C55"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El artículo 5 de la Ley 1150 de 2007, además de consagrar un criterio más claro, y, de paso, reducir la discrecionalidad de la Administración, fijó un ámbito temporal para la subsanación de las ofertas: “</w:t>
      </w:r>
      <w:r w:rsidRPr="00967C55">
        <w:rPr>
          <w:rFonts w:ascii="Arial" w:hAnsi="Arial" w:cs="Arial"/>
          <w:i/>
          <w:iCs/>
          <w:color w:val="000000"/>
          <w:sz w:val="22"/>
          <w:szCs w:val="22"/>
          <w:bdr w:val="none" w:sz="0" w:space="0" w:color="auto" w:frame="1"/>
        </w:rPr>
        <w:t>en cualquier momento, hasta la adjudicación</w:t>
      </w:r>
      <w:r w:rsidRPr="00967C55">
        <w:rPr>
          <w:rFonts w:ascii="Arial" w:hAnsi="Arial" w:cs="Arial"/>
          <w:color w:val="000000"/>
          <w:sz w:val="22"/>
          <w:szCs w:val="22"/>
          <w:bdr w:val="none" w:sz="0" w:space="0" w:color="auto" w:frame="1"/>
        </w:rPr>
        <w:t>”.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1657B5E" w14:textId="238A1CFC"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4323D311" w14:textId="77777777" w:rsidR="000D724C" w:rsidRPr="000D724C" w:rsidRDefault="000D724C" w:rsidP="000D724C">
      <w:pPr>
        <w:ind w:left="709" w:right="709"/>
        <w:jc w:val="both"/>
        <w:rPr>
          <w:rFonts w:ascii="Arial" w:hAnsi="Arial" w:cs="Arial"/>
          <w:sz w:val="21"/>
          <w:szCs w:val="21"/>
          <w:lang w:val="es-ES_tradnl"/>
        </w:rPr>
      </w:pPr>
      <w:r w:rsidRPr="000D724C">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0D724C">
        <w:rPr>
          <w:rStyle w:val="Refdenotaalpie"/>
          <w:rFonts w:ascii="Arial" w:hAnsi="Arial" w:cs="Arial"/>
          <w:sz w:val="21"/>
          <w:szCs w:val="21"/>
          <w:lang w:val="es-ES_tradnl"/>
        </w:rPr>
        <w:footnoteReference w:id="3"/>
      </w:r>
      <w:r w:rsidRPr="000D724C">
        <w:rPr>
          <w:rFonts w:ascii="Arial" w:hAnsi="Arial" w:cs="Arial"/>
          <w:sz w:val="21"/>
          <w:szCs w:val="21"/>
          <w:lang w:val="es-ES_tradnl"/>
        </w:rPr>
        <w:t>.</w:t>
      </w:r>
    </w:p>
    <w:p w14:paraId="34D0FF37" w14:textId="14B22104"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50DBBD2E" w14:textId="77777777" w:rsidR="00DC15ED" w:rsidRPr="00967C55"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En un </w:t>
      </w:r>
      <w:r w:rsidRPr="00967C55">
        <w:rPr>
          <w:rFonts w:ascii="Arial" w:hAnsi="Arial" w:cs="Arial"/>
          <w:i/>
          <w:iCs/>
          <w:color w:val="000000"/>
          <w:sz w:val="22"/>
          <w:szCs w:val="22"/>
          <w:bdr w:val="none" w:sz="0" w:space="0" w:color="auto" w:frame="1"/>
        </w:rPr>
        <w:t>cuarto momento</w:t>
      </w:r>
      <w:r w:rsidRPr="00967C55">
        <w:rPr>
          <w:rFonts w:ascii="Arial" w:hAnsi="Arial" w:cs="Arial"/>
          <w:color w:val="000000"/>
          <w:sz w:val="22"/>
          <w:szCs w:val="22"/>
          <w:bdr w:val="none" w:sz="0" w:space="0" w:color="auto" w:frame="1"/>
        </w:rPr>
        <w:t>, el legislador expidió la Ley 1882 de 2018, con la finalidad de introducir cambios y ajustes para fortalecer la contratación pública. Particularmente, el artículo 5 modificó el parágrafo 1º del artículo 5 de la Ley 1150 de 2007:  </w:t>
      </w:r>
    </w:p>
    <w:p w14:paraId="18F567E4" w14:textId="3B0FB253"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199F4D47"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Artículo 5°. De la selección objetiva.  </w:t>
      </w:r>
    </w:p>
    <w:p w14:paraId="0F646028"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  </w:t>
      </w:r>
    </w:p>
    <w:p w14:paraId="18C99D53"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w:t>
      </w:r>
      <w:r w:rsidRPr="000D724C">
        <w:rPr>
          <w:rFonts w:ascii="Arial" w:hAnsi="Arial" w:cs="Arial"/>
          <w:color w:val="000000"/>
          <w:sz w:val="21"/>
          <w:szCs w:val="21"/>
          <w:bdr w:val="none" w:sz="0" w:space="0" w:color="auto" w:frame="1"/>
        </w:rPr>
        <w:lastRenderedPageBreak/>
        <w:t>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9A534E0" w14:textId="49F04265"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21EA1FF0" w14:textId="77777777" w:rsidR="00DC15ED" w:rsidRPr="00967C55"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w:t>
      </w:r>
    </w:p>
    <w:p w14:paraId="2DD7F442" w14:textId="125E8F1A"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50C2590C" w14:textId="7FC9F72E" w:rsidR="00DC15ED" w:rsidRPr="00967C55" w:rsidRDefault="00967C55"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b/>
          <w:bCs/>
          <w:color w:val="000000"/>
          <w:sz w:val="22"/>
          <w:szCs w:val="22"/>
          <w:bdr w:val="none" w:sz="0" w:space="0" w:color="auto" w:frame="1"/>
        </w:rPr>
        <w:t>2.</w:t>
      </w:r>
      <w:r w:rsidR="00DC15ED" w:rsidRPr="00967C55">
        <w:rPr>
          <w:rFonts w:ascii="Arial" w:hAnsi="Arial" w:cs="Arial"/>
          <w:b/>
          <w:bCs/>
          <w:color w:val="000000"/>
          <w:sz w:val="22"/>
          <w:szCs w:val="22"/>
          <w:bdr w:val="none" w:sz="0" w:space="0" w:color="auto" w:frame="1"/>
        </w:rPr>
        <w:t>3. Causal de rechazo contenida en los pliegos tipo  </w:t>
      </w:r>
    </w:p>
    <w:p w14:paraId="4ADF0FBA" w14:textId="746892F2"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2FC6C4F6" w14:textId="69492C42"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La adopción de los documentos tipo en el ordenamiento jurídico colombiano se incluyó por primera vez en el artículo 4 de la Ley 1882 de 2018. A partir de esta norma, se determinó la obligatoriedad por parte de todas las entidades públicas sometidas al estatuto general de contratación pública de aplicar los documentos tipo adoptados por el gobierno nacional.  </w:t>
      </w:r>
    </w:p>
    <w:p w14:paraId="777ED327" w14:textId="77777777" w:rsidR="00DC15ED" w:rsidRPr="00967C55"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El mencionado 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 Esta norma fue modificada por el artículo 1 de la Ley 2022 de 2020, de la siguiente manera: </w:t>
      </w:r>
    </w:p>
    <w:p w14:paraId="57776B70" w14:textId="4372F567"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1B6193A9"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lang w:val="es-ES"/>
        </w:rPr>
        <w:t>«</w:t>
      </w:r>
      <w:r w:rsidRPr="000D724C">
        <w:rPr>
          <w:rFonts w:ascii="Arial" w:hAnsi="Arial" w:cs="Arial"/>
          <w:color w:val="000000"/>
          <w:sz w:val="21"/>
          <w:szCs w:val="21"/>
          <w:bdr w:val="none" w:sz="0" w:space="0" w:color="auto" w:frame="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96A8A6C" w14:textId="4D83DA98" w:rsidR="00DC15ED" w:rsidRPr="000D724C" w:rsidRDefault="00DC15ED" w:rsidP="000D724C">
      <w:pPr>
        <w:shd w:val="clear" w:color="auto" w:fill="FFFFFF"/>
        <w:ind w:left="709" w:right="709"/>
        <w:jc w:val="both"/>
        <w:textAlignment w:val="baseline"/>
        <w:rPr>
          <w:rFonts w:ascii="Arial" w:hAnsi="Arial" w:cs="Arial"/>
          <w:color w:val="000000"/>
          <w:sz w:val="21"/>
          <w:szCs w:val="21"/>
        </w:rPr>
      </w:pPr>
    </w:p>
    <w:p w14:paraId="574D0469"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0AF0C4E" w14:textId="72CD490E" w:rsidR="00DC15ED" w:rsidRPr="000D724C" w:rsidRDefault="00DC15ED" w:rsidP="000D724C">
      <w:pPr>
        <w:shd w:val="clear" w:color="auto" w:fill="FFFFFF"/>
        <w:ind w:left="709" w:right="709"/>
        <w:jc w:val="both"/>
        <w:textAlignment w:val="baseline"/>
        <w:rPr>
          <w:rFonts w:ascii="Arial" w:hAnsi="Arial" w:cs="Arial"/>
          <w:color w:val="000000"/>
          <w:sz w:val="21"/>
          <w:szCs w:val="21"/>
        </w:rPr>
      </w:pPr>
    </w:p>
    <w:p w14:paraId="1677F636"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lastRenderedPageBreak/>
        <w:t>Con el ánimo de promover la descentralización, el empleo local, el desarrollo, los servicios e industria local, en la adopción de los documentos tipo, se tendrá en cuenta las características propias de las regiones […] </w:t>
      </w:r>
    </w:p>
    <w:p w14:paraId="132D4259" w14:textId="054A4595" w:rsidR="00DC15ED" w:rsidRPr="000D724C" w:rsidRDefault="00DC15ED" w:rsidP="000D724C">
      <w:pPr>
        <w:shd w:val="clear" w:color="auto" w:fill="FFFFFF"/>
        <w:ind w:left="709" w:right="709"/>
        <w:jc w:val="both"/>
        <w:textAlignment w:val="baseline"/>
        <w:rPr>
          <w:rFonts w:ascii="Arial" w:hAnsi="Arial" w:cs="Arial"/>
          <w:color w:val="000000"/>
          <w:sz w:val="21"/>
          <w:szCs w:val="21"/>
        </w:rPr>
      </w:pPr>
    </w:p>
    <w:p w14:paraId="4A5703CF" w14:textId="77777777" w:rsidR="00DC15ED" w:rsidRPr="000D724C" w:rsidRDefault="00DC15ED" w:rsidP="000D724C">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Pr="000D724C">
        <w:rPr>
          <w:rFonts w:ascii="Arial" w:hAnsi="Arial" w:cs="Arial"/>
          <w:color w:val="000000"/>
          <w:sz w:val="21"/>
          <w:szCs w:val="21"/>
          <w:bdr w:val="none" w:sz="0" w:space="0" w:color="auto" w:frame="1"/>
          <w:lang w:val="es-ES"/>
        </w:rPr>
        <w:t>».</w:t>
      </w:r>
      <w:r w:rsidRPr="000D724C">
        <w:rPr>
          <w:rFonts w:ascii="Arial" w:hAnsi="Arial" w:cs="Arial"/>
          <w:color w:val="000000"/>
          <w:sz w:val="21"/>
          <w:szCs w:val="21"/>
          <w:bdr w:val="none" w:sz="0" w:space="0" w:color="auto" w:frame="1"/>
        </w:rPr>
        <w:t> </w:t>
      </w:r>
    </w:p>
    <w:p w14:paraId="0739EDE0" w14:textId="38470C5A"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54675D66" w14:textId="5A492C1C" w:rsidR="00DC15ED" w:rsidRPr="00967C55"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 xml:space="preserve">Los documentos tipo contienen parámetros obligatorios para las entidades estatales sometidas al Estatuto General de Contratación de la Administración Pública que adelanten la tipología contractual que estos se encarguen de desarrollar. </w:t>
      </w:r>
      <w:r w:rsidR="00390232">
        <w:rPr>
          <w:rFonts w:ascii="Arial" w:hAnsi="Arial" w:cs="Arial"/>
          <w:color w:val="000000"/>
          <w:sz w:val="22"/>
          <w:szCs w:val="22"/>
          <w:bdr w:val="none" w:sz="0" w:space="0" w:color="auto" w:frame="1"/>
        </w:rPr>
        <w:t>Con base en tod</w:t>
      </w:r>
      <w:r w:rsidRPr="00967C55">
        <w:rPr>
          <w:rFonts w:ascii="Arial" w:hAnsi="Arial" w:cs="Arial"/>
          <w:color w:val="000000"/>
          <w:sz w:val="22"/>
          <w:szCs w:val="22"/>
          <w:bdr w:val="none" w:sz="0" w:space="0" w:color="auto" w:frame="1"/>
        </w:rPr>
        <w:t>o</w:t>
      </w:r>
      <w:r w:rsidR="00390232">
        <w:rPr>
          <w:rFonts w:ascii="Arial" w:hAnsi="Arial" w:cs="Arial"/>
          <w:color w:val="000000"/>
          <w:sz w:val="22"/>
          <w:szCs w:val="22"/>
          <w:bdr w:val="none" w:sz="0" w:space="0" w:color="auto" w:frame="1"/>
        </w:rPr>
        <w:t xml:space="preserve"> lo anterior, se incluyo en</w:t>
      </w:r>
      <w:r w:rsidRPr="00967C55">
        <w:rPr>
          <w:rFonts w:ascii="Arial" w:hAnsi="Arial" w:cs="Arial"/>
          <w:color w:val="000000"/>
          <w:sz w:val="22"/>
          <w:szCs w:val="22"/>
          <w:bdr w:val="none" w:sz="0" w:space="0" w:color="auto" w:frame="1"/>
        </w:rPr>
        <w:t xml:space="preserve"> la versión 3 de los pliegos tipo para infraestructura de transporte las cuales de rechazo de las ofertas, entre ellas la causal que reza la presente consulta – causal N – la cual se transcribe en los siguientes términos: </w:t>
      </w:r>
      <w:r w:rsidRPr="00967C55">
        <w:rPr>
          <w:rFonts w:ascii="Arial" w:hAnsi="Arial" w:cs="Arial"/>
          <w:b/>
          <w:bCs/>
          <w:color w:val="000000"/>
          <w:sz w:val="22"/>
          <w:szCs w:val="22"/>
          <w:bdr w:val="none" w:sz="0" w:space="0" w:color="auto" w:frame="1"/>
        </w:rPr>
        <w:t> </w:t>
      </w:r>
    </w:p>
    <w:p w14:paraId="1C7706A5" w14:textId="26EAFD04" w:rsidR="00DC15ED" w:rsidRPr="00967C55" w:rsidRDefault="00DC15ED" w:rsidP="00967C55">
      <w:pPr>
        <w:shd w:val="clear" w:color="auto" w:fill="FFFFFF"/>
        <w:spacing w:line="276" w:lineRule="auto"/>
        <w:jc w:val="both"/>
        <w:textAlignment w:val="baseline"/>
        <w:rPr>
          <w:rFonts w:ascii="Arial" w:hAnsi="Arial" w:cs="Arial"/>
          <w:color w:val="000000"/>
          <w:sz w:val="22"/>
          <w:szCs w:val="22"/>
        </w:rPr>
      </w:pPr>
    </w:p>
    <w:p w14:paraId="1D46B3B2" w14:textId="02CEDBEB" w:rsidR="00DC15ED" w:rsidRPr="000D724C" w:rsidRDefault="000D724C" w:rsidP="000D724C">
      <w:pPr>
        <w:shd w:val="clear" w:color="auto" w:fill="FFFFFF"/>
        <w:ind w:left="709" w:right="709"/>
        <w:jc w:val="both"/>
        <w:textAlignment w:val="baseline"/>
        <w:rPr>
          <w:rFonts w:ascii="Arial" w:hAnsi="Arial" w:cs="Arial"/>
          <w:color w:val="000000"/>
          <w:sz w:val="21"/>
          <w:szCs w:val="21"/>
        </w:rPr>
      </w:pPr>
      <w:r>
        <w:rPr>
          <w:rFonts w:ascii="Arial" w:hAnsi="Arial" w:cs="Arial"/>
          <w:color w:val="000000"/>
          <w:sz w:val="21"/>
          <w:szCs w:val="21"/>
          <w:bdr w:val="none" w:sz="0" w:space="0" w:color="auto" w:frame="1"/>
          <w:lang w:val="es-MX"/>
        </w:rPr>
        <w:t xml:space="preserve">N. </w:t>
      </w:r>
      <w:r w:rsidR="00DC15ED" w:rsidRPr="000D724C">
        <w:rPr>
          <w:rFonts w:ascii="Arial" w:hAnsi="Arial" w:cs="Arial"/>
          <w:color w:val="000000"/>
          <w:sz w:val="21"/>
          <w:szCs w:val="21"/>
          <w:bdr w:val="none" w:sz="0" w:space="0" w:color="auto" w:frame="1"/>
          <w:lang w:val="es-MX"/>
        </w:rPr>
        <w:t>Presentar la oferta con tachaduras o enmendaduras que no estén convalidadas en la forma indicada en la sección 2.3 del pliego de condiciones. </w:t>
      </w:r>
    </w:p>
    <w:p w14:paraId="3C687FA4" w14:textId="72D9D8A6" w:rsidR="00DC15ED" w:rsidRDefault="00DC15ED" w:rsidP="000D724C">
      <w:pPr>
        <w:shd w:val="clear" w:color="auto" w:fill="FFFFFF"/>
        <w:ind w:left="709" w:right="709"/>
        <w:jc w:val="both"/>
        <w:textAlignment w:val="baseline"/>
        <w:rPr>
          <w:rFonts w:ascii="Arial" w:hAnsi="Arial" w:cs="Arial"/>
          <w:color w:val="000000"/>
          <w:sz w:val="21"/>
          <w:szCs w:val="21"/>
        </w:rPr>
      </w:pPr>
    </w:p>
    <w:p w14:paraId="629F4CB6" w14:textId="10722DF2" w:rsidR="00390232" w:rsidRDefault="00390232" w:rsidP="00EE3094">
      <w:pPr>
        <w:shd w:val="clear" w:color="auto" w:fill="FFFFFF"/>
        <w:spacing w:line="276" w:lineRule="auto"/>
        <w:ind w:firstLine="708"/>
        <w:jc w:val="both"/>
        <w:textAlignment w:val="baseline"/>
        <w:rPr>
          <w:rFonts w:ascii="Arial" w:hAnsi="Arial" w:cs="Arial"/>
          <w:color w:val="000000"/>
          <w:sz w:val="21"/>
          <w:szCs w:val="21"/>
        </w:rPr>
      </w:pPr>
      <w:r>
        <w:rPr>
          <w:rFonts w:ascii="Arial" w:hAnsi="Arial" w:cs="Arial"/>
          <w:color w:val="000000"/>
          <w:sz w:val="21"/>
          <w:szCs w:val="21"/>
        </w:rPr>
        <w:t xml:space="preserve">Para dar solución a la presente consulta debíamos dar referencias sobre la subsanabilidad y el desarrollo que esta figura ha tenido en el ordenamiento jurídico, esto en la medida en que, las entidades estatales, ni la Agencia –en el desarrollo de los documentos tipos– pueden poner causales de rechazo sin previo estudio de la mencionada figura. En concreto la causal de rechazo contenida en el literal N no distingue su aplicación entre documentos que contengan requisitos habilitantes o ponderables, y con base en ello, esta Agencia debe interpretar de manera sistemática la causal especifica. </w:t>
      </w:r>
    </w:p>
    <w:p w14:paraId="199A30AA" w14:textId="442E095C" w:rsidR="00123B14" w:rsidRPr="000D724C" w:rsidRDefault="00390232" w:rsidP="0052321C">
      <w:pPr>
        <w:shd w:val="clear" w:color="auto" w:fill="FFFFFF"/>
        <w:spacing w:before="120" w:line="276" w:lineRule="auto"/>
        <w:ind w:firstLine="708"/>
        <w:jc w:val="both"/>
        <w:textAlignment w:val="baseline"/>
        <w:rPr>
          <w:rFonts w:ascii="Arial" w:hAnsi="Arial" w:cs="Arial"/>
          <w:color w:val="000000"/>
          <w:sz w:val="21"/>
          <w:szCs w:val="21"/>
        </w:rPr>
      </w:pPr>
      <w:r>
        <w:rPr>
          <w:rFonts w:ascii="Arial" w:hAnsi="Arial" w:cs="Arial"/>
          <w:color w:val="000000"/>
          <w:sz w:val="21"/>
          <w:szCs w:val="21"/>
        </w:rPr>
        <w:t>Con base en lo anterior,</w:t>
      </w:r>
      <w:r w:rsidR="00EE3094">
        <w:rPr>
          <w:rFonts w:ascii="Arial" w:hAnsi="Arial" w:cs="Arial"/>
          <w:color w:val="000000"/>
          <w:sz w:val="21"/>
          <w:szCs w:val="21"/>
        </w:rPr>
        <w:t xml:space="preserve"> debemos remitirnos a lo mencionado con anterioridad y concluir que en caso en que se llegue a presentar un error formal como lo es una tachadura o enmendadura en algún documento que haga parte de la oferta, será trascendental y configurar</w:t>
      </w:r>
      <w:r>
        <w:rPr>
          <w:rFonts w:ascii="Arial" w:hAnsi="Arial" w:cs="Arial"/>
          <w:color w:val="000000"/>
          <w:sz w:val="21"/>
          <w:szCs w:val="21"/>
        </w:rPr>
        <w:t>á</w:t>
      </w:r>
      <w:r w:rsidR="00EE3094">
        <w:rPr>
          <w:rFonts w:ascii="Arial" w:hAnsi="Arial" w:cs="Arial"/>
          <w:color w:val="000000"/>
          <w:sz w:val="21"/>
          <w:szCs w:val="21"/>
        </w:rPr>
        <w:t xml:space="preserve"> la causal </w:t>
      </w:r>
      <w:r>
        <w:rPr>
          <w:rFonts w:ascii="Arial" w:hAnsi="Arial" w:cs="Arial"/>
          <w:color w:val="000000"/>
          <w:sz w:val="21"/>
          <w:szCs w:val="21"/>
        </w:rPr>
        <w:t>siempre y cuando</w:t>
      </w:r>
      <w:r w:rsidR="00EE3094">
        <w:rPr>
          <w:rFonts w:ascii="Arial" w:hAnsi="Arial" w:cs="Arial"/>
          <w:color w:val="000000"/>
          <w:sz w:val="21"/>
          <w:szCs w:val="21"/>
        </w:rPr>
        <w:t xml:space="preserve"> el error </w:t>
      </w:r>
      <w:r>
        <w:rPr>
          <w:rFonts w:ascii="Arial" w:hAnsi="Arial" w:cs="Arial"/>
          <w:color w:val="000000"/>
          <w:sz w:val="21"/>
          <w:szCs w:val="21"/>
        </w:rPr>
        <w:t xml:space="preserve">se encuentre </w:t>
      </w:r>
      <w:r w:rsidR="00EE3094">
        <w:rPr>
          <w:rFonts w:ascii="Arial" w:hAnsi="Arial" w:cs="Arial"/>
          <w:color w:val="000000"/>
          <w:sz w:val="21"/>
          <w:szCs w:val="21"/>
        </w:rPr>
        <w:t xml:space="preserve">dentro de un documento ponderable, es decir, que otorgue puntaje, esto con base en la </w:t>
      </w:r>
      <w:r>
        <w:rPr>
          <w:rFonts w:ascii="Arial" w:hAnsi="Arial" w:cs="Arial"/>
          <w:color w:val="000000"/>
          <w:sz w:val="21"/>
          <w:szCs w:val="21"/>
        </w:rPr>
        <w:t>normatividad referida al tema de subsanabilidad</w:t>
      </w:r>
      <w:r w:rsidR="00123B14">
        <w:rPr>
          <w:rFonts w:ascii="Arial" w:hAnsi="Arial" w:cs="Arial"/>
          <w:color w:val="000000"/>
          <w:sz w:val="21"/>
          <w:szCs w:val="21"/>
        </w:rPr>
        <w:t xml:space="preserve">. Diferente debe ser la solución en caso de presentarse el mismo error formal en un documento que pertenezca al requisito habilitante, en la medida en que la entidad deberá solicitar la corrección al oferente y no podrá rechazar por dicho error. </w:t>
      </w:r>
    </w:p>
    <w:p w14:paraId="1FD0E6FD" w14:textId="1B2C5F50" w:rsidR="00123B14" w:rsidRDefault="00123B14" w:rsidP="00123B14">
      <w:pPr>
        <w:shd w:val="clear" w:color="auto" w:fill="FFFFFF"/>
        <w:spacing w:before="120" w:line="276" w:lineRule="auto"/>
        <w:ind w:firstLine="708"/>
        <w:jc w:val="both"/>
        <w:textAlignment w:val="baseline"/>
        <w:rPr>
          <w:rFonts w:ascii="Arial" w:hAnsi="Arial" w:cs="Arial"/>
          <w:color w:val="000000"/>
          <w:sz w:val="22"/>
          <w:szCs w:val="22"/>
          <w:bdr w:val="none" w:sz="0" w:space="0" w:color="auto" w:frame="1"/>
          <w:lang w:val="es-MX"/>
        </w:rPr>
      </w:pPr>
      <w:r>
        <w:rPr>
          <w:rFonts w:ascii="Arial" w:hAnsi="Arial" w:cs="Arial"/>
          <w:color w:val="000000"/>
          <w:sz w:val="22"/>
          <w:szCs w:val="22"/>
          <w:bdr w:val="none" w:sz="0" w:space="0" w:color="auto" w:frame="1"/>
          <w:lang w:val="es-MX"/>
        </w:rPr>
        <w:t xml:space="preserve">Adicional a lo mencionado debemos aclarar que la finalidad de la causal de rechazo contenida en el literal N del numeral 1.15 del pliego tipo es que, la entidad cuente con certeza sobre el contenido de la propuesta y de la misma manera no haya errores en la evaluación y </w:t>
      </w:r>
      <w:r w:rsidR="00390232">
        <w:rPr>
          <w:rFonts w:ascii="Arial" w:hAnsi="Arial" w:cs="Arial"/>
          <w:color w:val="000000"/>
          <w:sz w:val="22"/>
          <w:szCs w:val="22"/>
          <w:bdr w:val="none" w:sz="0" w:space="0" w:color="auto" w:frame="1"/>
          <w:lang w:val="es-MX"/>
        </w:rPr>
        <w:t>por ende no se</w:t>
      </w:r>
      <w:r>
        <w:rPr>
          <w:rFonts w:ascii="Arial" w:hAnsi="Arial" w:cs="Arial"/>
          <w:color w:val="000000"/>
          <w:sz w:val="22"/>
          <w:szCs w:val="22"/>
          <w:bdr w:val="none" w:sz="0" w:space="0" w:color="auto" w:frame="1"/>
          <w:lang w:val="es-MX"/>
        </w:rPr>
        <w:t xml:space="preserve"> alter</w:t>
      </w:r>
      <w:r w:rsidR="00390232">
        <w:rPr>
          <w:rFonts w:ascii="Arial" w:hAnsi="Arial" w:cs="Arial"/>
          <w:color w:val="000000"/>
          <w:sz w:val="22"/>
          <w:szCs w:val="22"/>
          <w:bdr w:val="none" w:sz="0" w:space="0" w:color="auto" w:frame="1"/>
          <w:lang w:val="es-MX"/>
        </w:rPr>
        <w:t>e</w:t>
      </w:r>
      <w:r>
        <w:rPr>
          <w:rFonts w:ascii="Arial" w:hAnsi="Arial" w:cs="Arial"/>
          <w:color w:val="000000"/>
          <w:sz w:val="22"/>
          <w:szCs w:val="22"/>
          <w:bdr w:val="none" w:sz="0" w:space="0" w:color="auto" w:frame="1"/>
          <w:lang w:val="es-MX"/>
        </w:rPr>
        <w:t xml:space="preserve"> el estudio de las propuestas. </w:t>
      </w:r>
    </w:p>
    <w:p w14:paraId="27C083BB" w14:textId="4A22421D" w:rsidR="00123B14" w:rsidRPr="00967C55" w:rsidRDefault="00390232" w:rsidP="0052321C">
      <w:pPr>
        <w:shd w:val="clear" w:color="auto" w:fill="FFFFFF"/>
        <w:spacing w:before="120" w:line="276" w:lineRule="auto"/>
        <w:ind w:firstLine="708"/>
        <w:jc w:val="both"/>
        <w:textAlignment w:val="baseline"/>
        <w:rPr>
          <w:rFonts w:ascii="Arial" w:hAnsi="Arial" w:cs="Arial"/>
          <w:color w:val="000000"/>
          <w:sz w:val="22"/>
          <w:szCs w:val="22"/>
        </w:rPr>
      </w:pPr>
      <w:r>
        <w:rPr>
          <w:rFonts w:ascii="Arial" w:hAnsi="Arial" w:cs="Arial"/>
          <w:color w:val="000000"/>
          <w:sz w:val="22"/>
          <w:szCs w:val="22"/>
        </w:rPr>
        <w:t xml:space="preserve">Para concluir con el presente estudio, se debe dar una interpretación restrictiva sobre </w:t>
      </w:r>
      <w:r w:rsidR="0052321C">
        <w:rPr>
          <w:rFonts w:ascii="Arial" w:hAnsi="Arial" w:cs="Arial"/>
          <w:color w:val="000000"/>
          <w:sz w:val="22"/>
          <w:szCs w:val="22"/>
        </w:rPr>
        <w:t>la</w:t>
      </w:r>
      <w:r>
        <w:rPr>
          <w:rFonts w:ascii="Arial" w:hAnsi="Arial" w:cs="Arial"/>
          <w:color w:val="000000"/>
          <w:sz w:val="22"/>
          <w:szCs w:val="22"/>
        </w:rPr>
        <w:t xml:space="preserve"> mencionada causal de rechazo de las ofertas, en la medida en que</w:t>
      </w:r>
      <w:r w:rsidR="0052321C">
        <w:rPr>
          <w:rFonts w:ascii="Arial" w:hAnsi="Arial" w:cs="Arial"/>
          <w:color w:val="000000"/>
          <w:sz w:val="22"/>
          <w:szCs w:val="22"/>
        </w:rPr>
        <w:t xml:space="preserve">, podría </w:t>
      </w:r>
      <w:r w:rsidR="0052321C">
        <w:rPr>
          <w:rFonts w:ascii="Arial" w:hAnsi="Arial" w:cs="Arial"/>
          <w:color w:val="000000"/>
          <w:sz w:val="22"/>
          <w:szCs w:val="22"/>
        </w:rPr>
        <w:lastRenderedPageBreak/>
        <w:t>configurarse el supuesto siempre y cuando la tachadura o enmendadura tenga una incidencia directa en el análisis del contenido sustancial de los documentos ponderables. La anterior afirmación, con base en el parágrafo 1 del artículo 5 de la Ley 1150 de 2007, cuyo contenido básicamente prohíbe el rechazo del ofrecimiento cuando no hayan requisitos o falten documentos que no otorgan puntaje –requisitos habilitantes–</w:t>
      </w:r>
    </w:p>
    <w:p w14:paraId="75B444B4" w14:textId="77777777" w:rsidR="001C4CCE" w:rsidRPr="00967C55" w:rsidRDefault="001C4CCE" w:rsidP="00967C55">
      <w:pPr>
        <w:spacing w:line="276" w:lineRule="auto"/>
        <w:rPr>
          <w:rStyle w:val="apple-converted-space"/>
          <w:rFonts w:ascii="Arial" w:hAnsi="Arial" w:cs="Arial"/>
          <w:sz w:val="22"/>
          <w:szCs w:val="22"/>
        </w:rPr>
      </w:pPr>
    </w:p>
    <w:p w14:paraId="1A9C10F9" w14:textId="5246CC9B" w:rsidR="008B0209" w:rsidRPr="00967C55" w:rsidRDefault="0072436A" w:rsidP="00967C55">
      <w:pPr>
        <w:pStyle w:val="Prrafodelista"/>
        <w:numPr>
          <w:ilvl w:val="0"/>
          <w:numId w:val="1"/>
        </w:numPr>
        <w:tabs>
          <w:tab w:val="left" w:pos="426"/>
          <w:tab w:val="left" w:pos="851"/>
        </w:tabs>
        <w:spacing w:line="276" w:lineRule="auto"/>
        <w:jc w:val="both"/>
        <w:rPr>
          <w:rStyle w:val="apple-converted-space"/>
          <w:rFonts w:ascii="Arial" w:hAnsi="Arial" w:cs="Arial"/>
          <w:b/>
          <w:bCs/>
          <w:color w:val="000000"/>
          <w:sz w:val="22"/>
          <w:bdr w:val="none" w:sz="0" w:space="0" w:color="auto" w:frame="1"/>
        </w:rPr>
      </w:pPr>
      <w:r w:rsidRPr="00967C55">
        <w:rPr>
          <w:rStyle w:val="apple-converted-space"/>
          <w:rFonts w:ascii="Arial" w:hAnsi="Arial" w:cs="Arial"/>
          <w:b/>
          <w:bCs/>
          <w:color w:val="000000"/>
          <w:sz w:val="22"/>
          <w:bdr w:val="none" w:sz="0" w:space="0" w:color="auto" w:frame="1"/>
        </w:rPr>
        <w:t xml:space="preserve">Respuesta </w:t>
      </w:r>
    </w:p>
    <w:p w14:paraId="012439F8" w14:textId="6F72DF36" w:rsidR="00C17289" w:rsidRPr="00967C55" w:rsidRDefault="00C17289" w:rsidP="00967C55">
      <w:pPr>
        <w:tabs>
          <w:tab w:val="left" w:pos="426"/>
          <w:tab w:val="left" w:pos="851"/>
        </w:tabs>
        <w:spacing w:line="276" w:lineRule="auto"/>
        <w:ind w:left="709" w:right="709"/>
        <w:jc w:val="both"/>
        <w:rPr>
          <w:rStyle w:val="apple-converted-space"/>
          <w:rFonts w:ascii="Arial" w:hAnsi="Arial" w:cs="Arial"/>
          <w:b/>
          <w:bCs/>
          <w:color w:val="000000"/>
          <w:sz w:val="22"/>
          <w:szCs w:val="22"/>
          <w:bdr w:val="none" w:sz="0" w:space="0" w:color="auto" w:frame="1"/>
        </w:rPr>
      </w:pPr>
    </w:p>
    <w:p w14:paraId="424AB086" w14:textId="2518DBAE" w:rsidR="00C17289" w:rsidRPr="00967C55" w:rsidRDefault="00CC2646" w:rsidP="00967C55">
      <w:pPr>
        <w:ind w:left="709" w:right="709"/>
        <w:jc w:val="both"/>
        <w:rPr>
          <w:rFonts w:ascii="Arial" w:hAnsi="Arial" w:cs="Arial"/>
          <w:color w:val="000000"/>
          <w:sz w:val="21"/>
          <w:szCs w:val="21"/>
          <w:bdr w:val="none" w:sz="0" w:space="0" w:color="auto" w:frame="1"/>
        </w:rPr>
      </w:pPr>
      <w:r w:rsidRPr="00967C55">
        <w:rPr>
          <w:rFonts w:ascii="Arial" w:eastAsia="Calibri" w:hAnsi="Arial" w:cs="Arial"/>
          <w:color w:val="000000" w:themeColor="text1"/>
          <w:sz w:val="21"/>
          <w:szCs w:val="21"/>
        </w:rPr>
        <w:t xml:space="preserve"> </w:t>
      </w:r>
      <w:r w:rsidR="00C17289" w:rsidRPr="00967C55">
        <w:rPr>
          <w:rFonts w:ascii="Arial" w:eastAsia="Calibri" w:hAnsi="Arial" w:cs="Arial"/>
          <w:color w:val="000000" w:themeColor="text1"/>
          <w:sz w:val="21"/>
          <w:szCs w:val="21"/>
          <w:lang w:val="es-ES"/>
        </w:rPr>
        <w:t>«</w:t>
      </w:r>
      <w:r w:rsidR="00967C55" w:rsidRPr="00967C55">
        <w:rPr>
          <w:rFonts w:ascii="Arial" w:hAnsi="Arial" w:cs="Arial"/>
          <w:color w:val="000000"/>
          <w:sz w:val="21"/>
          <w:szCs w:val="21"/>
          <w:bdr w:val="none" w:sz="0" w:space="0" w:color="auto" w:frame="1"/>
        </w:rPr>
        <w:t xml:space="preserve">Solicitamos pronunciarse ampliamente sobre la aplicación de la norma en materia de contratación pública como lo es el numeral 1.15 - causales de rechazo - literal n - presentar la oferta con tachaduras o enmendaduras que no están convalidadas en la forma indicada en la sección 2.3 del pliego de condiciones versión 3 de los pliegos tipo para infraestructura de transporte, como por ejemplo para que documentos en específico de una oferta se debe aplicar la norma, </w:t>
      </w:r>
      <w:proofErr w:type="spellStart"/>
      <w:proofErr w:type="gramStart"/>
      <w:r w:rsidR="00967C55" w:rsidRPr="00967C55">
        <w:rPr>
          <w:rFonts w:ascii="Arial" w:hAnsi="Arial" w:cs="Arial"/>
          <w:color w:val="000000"/>
          <w:sz w:val="21"/>
          <w:szCs w:val="21"/>
          <w:bdr w:val="none" w:sz="0" w:space="0" w:color="auto" w:frame="1"/>
        </w:rPr>
        <w:t>etc</w:t>
      </w:r>
      <w:proofErr w:type="spellEnd"/>
      <w:r w:rsidR="00967C55" w:rsidRPr="00967C55" w:rsidDel="00967C55">
        <w:rPr>
          <w:rFonts w:ascii="Arial" w:hAnsi="Arial" w:cs="Arial"/>
          <w:sz w:val="21"/>
          <w:szCs w:val="21"/>
        </w:rPr>
        <w:t xml:space="preserve"> </w:t>
      </w:r>
      <w:r w:rsidR="00C17289" w:rsidRPr="00967C55">
        <w:rPr>
          <w:rFonts w:ascii="Arial" w:eastAsia="Calibri" w:hAnsi="Arial" w:cs="Arial"/>
          <w:color w:val="000000" w:themeColor="text1"/>
          <w:sz w:val="21"/>
          <w:szCs w:val="21"/>
          <w:lang w:val="es-ES"/>
        </w:rPr>
        <w:t>»</w:t>
      </w:r>
      <w:proofErr w:type="gramEnd"/>
      <w:r w:rsidR="00C17289" w:rsidRPr="00967C55">
        <w:rPr>
          <w:rFonts w:ascii="Arial" w:eastAsia="Calibri" w:hAnsi="Arial" w:cs="Arial"/>
          <w:color w:val="000000" w:themeColor="text1"/>
          <w:sz w:val="21"/>
          <w:szCs w:val="21"/>
          <w:lang w:val="es-ES"/>
        </w:rPr>
        <w:t>.</w:t>
      </w:r>
      <w:r w:rsidR="00C17289" w:rsidRPr="00967C55">
        <w:rPr>
          <w:rFonts w:ascii="Arial" w:hAnsi="Arial" w:cs="Arial"/>
          <w:color w:val="000000"/>
          <w:sz w:val="21"/>
          <w:szCs w:val="21"/>
          <w:bdr w:val="none" w:sz="0" w:space="0" w:color="auto" w:frame="1"/>
        </w:rPr>
        <w:t> </w:t>
      </w:r>
    </w:p>
    <w:p w14:paraId="4AD3F3BE" w14:textId="77777777" w:rsidR="009E59C4" w:rsidRPr="00967C55" w:rsidRDefault="009E59C4" w:rsidP="00967C55">
      <w:pPr>
        <w:spacing w:line="276" w:lineRule="auto"/>
        <w:ind w:right="709"/>
        <w:jc w:val="both"/>
        <w:rPr>
          <w:rFonts w:ascii="Arial" w:hAnsi="Arial" w:cs="Arial"/>
          <w:color w:val="000000"/>
          <w:sz w:val="22"/>
          <w:szCs w:val="22"/>
          <w:bdr w:val="none" w:sz="0" w:space="0" w:color="auto" w:frame="1"/>
        </w:rPr>
      </w:pPr>
    </w:p>
    <w:p w14:paraId="1C138FD1" w14:textId="307EF8B0" w:rsidR="00967C55" w:rsidRPr="00967C55" w:rsidRDefault="00967C55" w:rsidP="0052321C">
      <w:pPr>
        <w:shd w:val="clear" w:color="auto" w:fill="FFFFFF"/>
        <w:spacing w:after="120" w:line="276" w:lineRule="auto"/>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lang w:val="es-MX"/>
        </w:rPr>
        <w:t>Con base en las anteriores consideraciones y según la normativa referente al tema de la subsanabilidad, es posible concluir que es plenamente válida la aplicación de la causal de rechazo consagrada en el pliego tipo, según la cual una entidad pública puede rechazar una propuesta de una licitación pública, en donde un oferente aporte un documento que no es requisito habilitante con una tachadura, por ejemplo, el índice de contenido con una tachadura. </w:t>
      </w:r>
    </w:p>
    <w:p w14:paraId="2FC37938" w14:textId="12173D2D" w:rsidR="00967C55" w:rsidRPr="00967C55" w:rsidRDefault="00967C55" w:rsidP="0052321C">
      <w:pPr>
        <w:shd w:val="clear" w:color="auto" w:fill="FFFFFF"/>
        <w:spacing w:after="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lang w:val="es-MX"/>
        </w:rPr>
        <w:t>Lo anterior, toda vez que se trataría de un rechazo basado, no de un documento o requisito habilitante y subsanables, sino de un requisito o documentos ponderables, es decir, necesario para la comparación de las propuestas y frente al cual no procede la subsanación. Esta conclusión se soporta, además, en el principio de selección objetiva contenido en el artículo 5 de la Ley 1150 de 2007, especialmente el parágrafo 1, según el cual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w:t>
      </w:r>
    </w:p>
    <w:p w14:paraId="790E36DA" w14:textId="77777777" w:rsidR="00967C55" w:rsidRPr="00967C55" w:rsidRDefault="00967C55" w:rsidP="0052321C">
      <w:pPr>
        <w:shd w:val="clear" w:color="auto" w:fill="FFFFFF"/>
        <w:spacing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lang w:val="es-MX"/>
        </w:rPr>
        <w:t>Por tanto, resulta claro que presentar la oferta con tachaduras o enmendaduras, que no están convalidadas en la forma indicada en la sección 2.3 del pliego de condiciones versión 3 de los pliegos tipo, puede constituir una causal de rechazo siempre y cuando se trate de documentos o requisitos necesarios para comparar las propuestas.</w:t>
      </w:r>
    </w:p>
    <w:p w14:paraId="7D55C4B4" w14:textId="77777777" w:rsidR="002E773D" w:rsidRPr="004F4910" w:rsidRDefault="002E773D" w:rsidP="004F4910">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p>
    <w:p w14:paraId="3206D288" w14:textId="77777777" w:rsidR="000A3221" w:rsidRPr="007230A2" w:rsidRDefault="000A3221" w:rsidP="007230A2">
      <w:pPr>
        <w:spacing w:line="276" w:lineRule="auto"/>
        <w:jc w:val="both"/>
        <w:rPr>
          <w:rFonts w:ascii="Arial" w:eastAsia="Calibri" w:hAnsi="Arial" w:cs="Arial"/>
          <w:color w:val="000000" w:themeColor="text1"/>
          <w:sz w:val="22"/>
          <w:szCs w:val="22"/>
        </w:rPr>
      </w:pPr>
      <w:r w:rsidRPr="007230A2">
        <w:rPr>
          <w:rFonts w:ascii="Arial" w:eastAsia="Calibri" w:hAnsi="Arial" w:cs="Arial"/>
          <w:color w:val="000000" w:themeColor="text1"/>
          <w:sz w:val="22"/>
          <w:szCs w:val="22"/>
        </w:rPr>
        <w:lastRenderedPageBreak/>
        <w:t>Este concepto tiene el alcance previsto en el artículo 28 del Código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04860422" w:rsidR="00F31054" w:rsidRDefault="00777292" w:rsidP="001B16A1">
      <w:pPr>
        <w:jc w:val="center"/>
        <w:rPr>
          <w:rFonts w:ascii="Arial" w:hAnsi="Arial" w:cs="Arial"/>
          <w:color w:val="000000" w:themeColor="text1"/>
          <w:sz w:val="22"/>
          <w:lang w:eastAsia="es-CO"/>
        </w:rPr>
      </w:pPr>
      <w:r w:rsidRPr="00FC4438">
        <w:rPr>
          <w:noProof/>
        </w:rPr>
        <w:drawing>
          <wp:inline distT="0" distB="0" distL="0" distR="0" wp14:anchorId="72525513" wp14:editId="5B96B8FB">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182BF0A3" w14:textId="77777777" w:rsidR="000A3221" w:rsidRDefault="000A3221" w:rsidP="00BE7D5D">
      <w:pPr>
        <w:jc w:val="center"/>
        <w:rPr>
          <w:rFonts w:ascii="Arial" w:hAnsi="Arial" w:cs="Arial"/>
          <w:color w:val="000000" w:themeColor="text1"/>
          <w:sz w:val="18"/>
          <w:szCs w:val="20"/>
          <w:lang w:eastAsia="es-CO"/>
        </w:rPr>
      </w:pP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7F212F">
        <w:trPr>
          <w:trHeight w:val="315"/>
        </w:trPr>
        <w:tc>
          <w:tcPr>
            <w:tcW w:w="812" w:type="dxa"/>
            <w:vAlign w:val="center"/>
            <w:hideMark/>
          </w:tcPr>
          <w:p w14:paraId="7438F1CC"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7F212F">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7F212F">
        <w:trPr>
          <w:trHeight w:val="330"/>
        </w:trPr>
        <w:tc>
          <w:tcPr>
            <w:tcW w:w="812" w:type="dxa"/>
            <w:vAlign w:val="center"/>
            <w:hideMark/>
          </w:tcPr>
          <w:p w14:paraId="1B4031DF"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4E1C86" w14:textId="73941CD0" w:rsidR="002E164A" w:rsidRDefault="002E164A" w:rsidP="002E164A">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w:t>
            </w:r>
            <w:r w:rsidR="00C5453E">
              <w:rPr>
                <w:rFonts w:ascii="Arial" w:hAnsi="Arial" w:cs="Arial"/>
                <w:color w:val="000000" w:themeColor="text1"/>
                <w:sz w:val="16"/>
                <w:szCs w:val="16"/>
                <w:lang w:eastAsia="es-ES"/>
              </w:rPr>
              <w:t>á</w:t>
            </w:r>
            <w:r>
              <w:rPr>
                <w:rFonts w:ascii="Arial" w:hAnsi="Arial" w:cs="Arial"/>
                <w:color w:val="000000" w:themeColor="text1"/>
                <w:sz w:val="16"/>
                <w:szCs w:val="16"/>
                <w:lang w:eastAsia="es-ES"/>
              </w:rPr>
              <w:t>n Ram</w:t>
            </w:r>
            <w:r w:rsidR="00C5453E">
              <w:rPr>
                <w:rFonts w:ascii="Arial" w:hAnsi="Arial" w:cs="Arial"/>
                <w:color w:val="000000" w:themeColor="text1"/>
                <w:sz w:val="16"/>
                <w:szCs w:val="16"/>
                <w:lang w:eastAsia="es-ES"/>
              </w:rPr>
              <w:t>í</w:t>
            </w:r>
            <w:r>
              <w:rPr>
                <w:rFonts w:ascii="Arial" w:hAnsi="Arial" w:cs="Arial"/>
                <w:color w:val="000000" w:themeColor="text1"/>
                <w:sz w:val="16"/>
                <w:szCs w:val="16"/>
                <w:lang w:eastAsia="es-ES"/>
              </w:rPr>
              <w:t>rez Grisales</w:t>
            </w:r>
          </w:p>
          <w:p w14:paraId="2EADEC24" w14:textId="240E3733" w:rsidR="000A3221" w:rsidRPr="006C15D5" w:rsidRDefault="002E164A" w:rsidP="007F212F">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7F212F">
        <w:trPr>
          <w:trHeight w:val="300"/>
        </w:trPr>
        <w:tc>
          <w:tcPr>
            <w:tcW w:w="812" w:type="dxa"/>
            <w:vAlign w:val="center"/>
            <w:hideMark/>
          </w:tcPr>
          <w:p w14:paraId="44ACDF20"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7F212F">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sectPr w:rsidR="003D76D7" w:rsidSect="007F212F">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B77C1" w14:textId="77777777" w:rsidR="00351C0E" w:rsidRDefault="00351C0E" w:rsidP="003D76D7">
      <w:r>
        <w:separator/>
      </w:r>
    </w:p>
  </w:endnote>
  <w:endnote w:type="continuationSeparator" w:id="0">
    <w:p w14:paraId="504D6885" w14:textId="77777777" w:rsidR="00351C0E" w:rsidRDefault="00351C0E"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7F212F" w:rsidRDefault="007F212F" w:rsidP="007F212F">
    <w:pPr>
      <w:pStyle w:val="Sinespaciado"/>
      <w:jc w:val="right"/>
      <w:rPr>
        <w:rFonts w:ascii="Arial" w:hAnsi="Arial" w:cs="Arial"/>
        <w:sz w:val="18"/>
        <w:szCs w:val="18"/>
      </w:rPr>
    </w:pPr>
  </w:p>
  <w:p w14:paraId="09F5290B" w14:textId="77777777" w:rsidR="007F212F" w:rsidRDefault="007F212F" w:rsidP="007F212F">
    <w:pPr>
      <w:pStyle w:val="Sinespaciado"/>
      <w:jc w:val="right"/>
      <w:rPr>
        <w:rFonts w:ascii="Arial" w:hAnsi="Arial" w:cs="Arial"/>
        <w:sz w:val="18"/>
        <w:szCs w:val="18"/>
      </w:rPr>
    </w:pPr>
  </w:p>
  <w:p w14:paraId="1D343841" w14:textId="77777777" w:rsidR="007F212F" w:rsidRPr="008217B7" w:rsidRDefault="007F212F"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7F212F" w:rsidRDefault="007F212F" w:rsidP="007F212F">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7F212F" w:rsidRPr="00E756AC" w:rsidRDefault="007F212F" w:rsidP="007F212F">
    <w:pPr>
      <w:pStyle w:val="Piedepgina"/>
      <w:jc w:val="center"/>
      <w:rPr>
        <w:sz w:val="18"/>
        <w:szCs w:val="18"/>
        <w:lang w:val="es-ES"/>
      </w:rPr>
    </w:pPr>
  </w:p>
  <w:p w14:paraId="50FDFB48" w14:textId="77777777" w:rsidR="007F212F" w:rsidRPr="00E756AC" w:rsidRDefault="007F212F"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81F71" w14:textId="77777777" w:rsidR="00351C0E" w:rsidRDefault="00351C0E" w:rsidP="003D76D7">
      <w:r>
        <w:separator/>
      </w:r>
    </w:p>
  </w:footnote>
  <w:footnote w:type="continuationSeparator" w:id="0">
    <w:p w14:paraId="655290C4" w14:textId="77777777" w:rsidR="00351C0E" w:rsidRDefault="00351C0E" w:rsidP="003D76D7">
      <w:r>
        <w:continuationSeparator/>
      </w:r>
    </w:p>
  </w:footnote>
  <w:footnote w:id="1">
    <w:p w14:paraId="624D9C40" w14:textId="77777777" w:rsidR="00724DAE" w:rsidRDefault="00724DAE" w:rsidP="00724DAE">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A. Sentencia del 25 de octubre de 2019. Exp. 39.945. Consejera Ponente: María Adriana Marín.</w:t>
      </w:r>
    </w:p>
    <w:p w14:paraId="56703E95" w14:textId="77777777" w:rsidR="00724DAE" w:rsidRPr="00DC2C79" w:rsidRDefault="00724DAE" w:rsidP="00724DAE">
      <w:pPr>
        <w:pStyle w:val="Textonotapie"/>
        <w:ind w:firstLine="709"/>
        <w:jc w:val="both"/>
        <w:rPr>
          <w:rFonts w:ascii="Arial" w:hAnsi="Arial" w:cs="Arial"/>
          <w:color w:val="000000" w:themeColor="text1"/>
          <w:sz w:val="19"/>
          <w:szCs w:val="19"/>
          <w:lang w:val="es-ES"/>
        </w:rPr>
      </w:pPr>
    </w:p>
  </w:footnote>
  <w:footnote w:id="2">
    <w:p w14:paraId="2B1DB338" w14:textId="77777777" w:rsidR="00724DAE" w:rsidRPr="00DC2C79" w:rsidRDefault="00724DAE" w:rsidP="00724DAE">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rPr>
        <w:t>Consejo de Estado. Sección Tercera. Subsección A. Sentencia del 5 de julio de 2018. Exp. 37.834. Consejero Ponente: Carlos Alberto Zambrano Barrera.</w:t>
      </w:r>
    </w:p>
  </w:footnote>
  <w:footnote w:id="3">
    <w:p w14:paraId="50650333" w14:textId="77777777" w:rsidR="000D724C" w:rsidRPr="00DC2C79" w:rsidRDefault="000D724C" w:rsidP="000D724C">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F212F" w:rsidRDefault="007F212F">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B08FE"/>
    <w:multiLevelType w:val="hybridMultilevel"/>
    <w:tmpl w:val="85605032"/>
    <w:lvl w:ilvl="0" w:tplc="1EE8FB40">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90F2C45"/>
    <w:multiLevelType w:val="hybridMultilevel"/>
    <w:tmpl w:val="2988BD9A"/>
    <w:lvl w:ilvl="0" w:tplc="AF68D3F6">
      <w:start w:val="5"/>
      <w:numFmt w:val="lowerRoman"/>
      <w:lvlText w:val="%1)"/>
      <w:lvlJc w:val="left"/>
      <w:pPr>
        <w:ind w:left="1080" w:hanging="720"/>
      </w:pPr>
      <w:rPr>
        <w:rFonts w:ascii="Arial" w:eastAsia="Calibri" w:hAnsi="Arial" w:cs="Arial"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E133DD"/>
    <w:multiLevelType w:val="hybridMultilevel"/>
    <w:tmpl w:val="5BDEB912"/>
    <w:lvl w:ilvl="0" w:tplc="B73C0006">
      <w:start w:val="3"/>
      <w:numFmt w:val="lowerRoman"/>
      <w:lvlText w:val="%1)"/>
      <w:lvlJc w:val="left"/>
      <w:pPr>
        <w:ind w:left="1440" w:hanging="720"/>
      </w:pPr>
      <w:rPr>
        <w:rFonts w:ascii="Times New Roman" w:hAnsi="Times New Roman" w:cs="Times New Roman"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A7F2337"/>
    <w:multiLevelType w:val="hybridMultilevel"/>
    <w:tmpl w:val="26808120"/>
    <w:lvl w:ilvl="0" w:tplc="46B63A4E">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1B6F255C"/>
    <w:multiLevelType w:val="hybridMultilevel"/>
    <w:tmpl w:val="02DC14C0"/>
    <w:lvl w:ilvl="0" w:tplc="F3A4874C">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09578FD"/>
    <w:multiLevelType w:val="multilevel"/>
    <w:tmpl w:val="298AF3B6"/>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628B3"/>
    <w:multiLevelType w:val="hybridMultilevel"/>
    <w:tmpl w:val="C622A91E"/>
    <w:lvl w:ilvl="0" w:tplc="96F0F0BA">
      <w:start w:val="7"/>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25D577A"/>
    <w:multiLevelType w:val="hybridMultilevel"/>
    <w:tmpl w:val="1B529C40"/>
    <w:lvl w:ilvl="0" w:tplc="C152DB46">
      <w:start w:val="5"/>
      <w:numFmt w:val="upperRoman"/>
      <w:lvlText w:val="%1."/>
      <w:lvlJc w:val="left"/>
      <w:pPr>
        <w:ind w:left="1427" w:hanging="720"/>
      </w:pPr>
      <w:rPr>
        <w:rFonts w:hint="default"/>
        <w:u w:val="none"/>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9" w15:restartNumberingAfterBreak="0">
    <w:nsid w:val="3B7C4233"/>
    <w:multiLevelType w:val="multilevel"/>
    <w:tmpl w:val="60A05F5C"/>
    <w:lvl w:ilvl="0">
      <w:start w:val="2"/>
      <w:numFmt w:val="upperRoman"/>
      <w:lvlText w:val="%1."/>
      <w:lvlJc w:val="right"/>
      <w:pPr>
        <w:ind w:left="1067" w:hanging="360"/>
      </w:pPr>
      <w:rPr>
        <w:rFonts w:hint="default"/>
        <w:color w:val="262626" w:themeColor="text1" w:themeTint="D9"/>
        <w:sz w:val="21"/>
        <w:szCs w:val="21"/>
      </w:rPr>
    </w:lvl>
    <w:lvl w:ilvl="1">
      <w:start w:val="3"/>
      <w:numFmt w:val="decimal"/>
      <w:isLgl/>
      <w:lvlText w:val="%1.%2."/>
      <w:lvlJc w:val="left"/>
      <w:pPr>
        <w:ind w:left="720" w:hanging="72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787" w:hanging="108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2147" w:hanging="144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507" w:hanging="1800"/>
      </w:pPr>
      <w:rPr>
        <w:rFonts w:hint="default"/>
      </w:rPr>
    </w:lvl>
    <w:lvl w:ilvl="8">
      <w:start w:val="1"/>
      <w:numFmt w:val="decimal"/>
      <w:isLgl/>
      <w:lvlText w:val="%1.%2.%3.%4.%5.%6.%7.%8.%9."/>
      <w:lvlJc w:val="left"/>
      <w:pPr>
        <w:ind w:left="2507" w:hanging="1800"/>
      </w:pPr>
      <w:rPr>
        <w:rFonts w:hint="default"/>
      </w:rPr>
    </w:lvl>
  </w:abstractNum>
  <w:abstractNum w:abstractNumId="10" w15:restartNumberingAfterBreak="0">
    <w:nsid w:val="4E555FED"/>
    <w:multiLevelType w:val="hybridMultilevel"/>
    <w:tmpl w:val="7B34D7EE"/>
    <w:lvl w:ilvl="0" w:tplc="6016A0A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0A27E04"/>
    <w:multiLevelType w:val="hybridMultilevel"/>
    <w:tmpl w:val="AB905834"/>
    <w:lvl w:ilvl="0" w:tplc="35E4F0D0">
      <w:start w:val="4"/>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1BD2D3D"/>
    <w:multiLevelType w:val="hybridMultilevel"/>
    <w:tmpl w:val="699ABA50"/>
    <w:lvl w:ilvl="0" w:tplc="7B84FFDC">
      <w:start w:val="6"/>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71E93C90"/>
    <w:multiLevelType w:val="multilevel"/>
    <w:tmpl w:val="3B32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
  </w:num>
  <w:num w:numId="5">
    <w:abstractNumId w:val="14"/>
  </w:num>
  <w:num w:numId="6">
    <w:abstractNumId w:val="7"/>
  </w:num>
  <w:num w:numId="7">
    <w:abstractNumId w:val="10"/>
  </w:num>
  <w:num w:numId="8">
    <w:abstractNumId w:val="13"/>
  </w:num>
  <w:num w:numId="9">
    <w:abstractNumId w:val="11"/>
  </w:num>
  <w:num w:numId="10">
    <w:abstractNumId w:val="9"/>
  </w:num>
  <w:num w:numId="11">
    <w:abstractNumId w:val="12"/>
  </w:num>
  <w:num w:numId="12">
    <w:abstractNumId w:val="15"/>
  </w:num>
  <w:num w:numId="13">
    <w:abstractNumId w:val="1"/>
  </w:num>
  <w:num w:numId="14">
    <w:abstractNumId w:val="5"/>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07CBD"/>
    <w:rsid w:val="0002795D"/>
    <w:rsid w:val="000313E2"/>
    <w:rsid w:val="00036D01"/>
    <w:rsid w:val="00046546"/>
    <w:rsid w:val="00052C45"/>
    <w:rsid w:val="00057F3B"/>
    <w:rsid w:val="0006650A"/>
    <w:rsid w:val="0006698F"/>
    <w:rsid w:val="000803FE"/>
    <w:rsid w:val="0008476E"/>
    <w:rsid w:val="00090DE0"/>
    <w:rsid w:val="000A1A4E"/>
    <w:rsid w:val="000A3221"/>
    <w:rsid w:val="000B0B28"/>
    <w:rsid w:val="000B7291"/>
    <w:rsid w:val="000B756C"/>
    <w:rsid w:val="000C6222"/>
    <w:rsid w:val="000C6FA7"/>
    <w:rsid w:val="000D724C"/>
    <w:rsid w:val="000D77B7"/>
    <w:rsid w:val="001043ED"/>
    <w:rsid w:val="001058FF"/>
    <w:rsid w:val="00111872"/>
    <w:rsid w:val="0012047B"/>
    <w:rsid w:val="00123B14"/>
    <w:rsid w:val="00125144"/>
    <w:rsid w:val="00130782"/>
    <w:rsid w:val="00133BFA"/>
    <w:rsid w:val="00154846"/>
    <w:rsid w:val="00164520"/>
    <w:rsid w:val="001849EC"/>
    <w:rsid w:val="0019305E"/>
    <w:rsid w:val="00197D73"/>
    <w:rsid w:val="001A453E"/>
    <w:rsid w:val="001B16A1"/>
    <w:rsid w:val="001B77B2"/>
    <w:rsid w:val="001C03B6"/>
    <w:rsid w:val="001C4CCE"/>
    <w:rsid w:val="001D1DE1"/>
    <w:rsid w:val="001D6021"/>
    <w:rsid w:val="001E1555"/>
    <w:rsid w:val="001E4040"/>
    <w:rsid w:val="001F0FBD"/>
    <w:rsid w:val="002075E5"/>
    <w:rsid w:val="00217E43"/>
    <w:rsid w:val="00235F26"/>
    <w:rsid w:val="00252870"/>
    <w:rsid w:val="00260EA4"/>
    <w:rsid w:val="00275779"/>
    <w:rsid w:val="00280972"/>
    <w:rsid w:val="00295DFD"/>
    <w:rsid w:val="002A2D5D"/>
    <w:rsid w:val="002A3CE1"/>
    <w:rsid w:val="002A47E2"/>
    <w:rsid w:val="002B3393"/>
    <w:rsid w:val="002C010E"/>
    <w:rsid w:val="002C5CD0"/>
    <w:rsid w:val="002E164A"/>
    <w:rsid w:val="002E17B2"/>
    <w:rsid w:val="002E3442"/>
    <w:rsid w:val="002E773D"/>
    <w:rsid w:val="00301BBA"/>
    <w:rsid w:val="003025BB"/>
    <w:rsid w:val="00336CBA"/>
    <w:rsid w:val="003454AD"/>
    <w:rsid w:val="00351C0E"/>
    <w:rsid w:val="003527F0"/>
    <w:rsid w:val="00365E29"/>
    <w:rsid w:val="00374DAD"/>
    <w:rsid w:val="00390232"/>
    <w:rsid w:val="003927F8"/>
    <w:rsid w:val="003957B2"/>
    <w:rsid w:val="003C558A"/>
    <w:rsid w:val="003C79D8"/>
    <w:rsid w:val="003D76D7"/>
    <w:rsid w:val="003E37FC"/>
    <w:rsid w:val="004200B8"/>
    <w:rsid w:val="00422EC2"/>
    <w:rsid w:val="00425809"/>
    <w:rsid w:val="0042588B"/>
    <w:rsid w:val="004463D5"/>
    <w:rsid w:val="00446DF8"/>
    <w:rsid w:val="00461F82"/>
    <w:rsid w:val="00487EFC"/>
    <w:rsid w:val="0049622A"/>
    <w:rsid w:val="004D6641"/>
    <w:rsid w:val="004D6EB0"/>
    <w:rsid w:val="004F4910"/>
    <w:rsid w:val="00516AF0"/>
    <w:rsid w:val="0052321C"/>
    <w:rsid w:val="00541CA6"/>
    <w:rsid w:val="00560693"/>
    <w:rsid w:val="0058255B"/>
    <w:rsid w:val="00582F2B"/>
    <w:rsid w:val="00585342"/>
    <w:rsid w:val="00597BF8"/>
    <w:rsid w:val="005B4540"/>
    <w:rsid w:val="005B7A31"/>
    <w:rsid w:val="005D5F59"/>
    <w:rsid w:val="005D7830"/>
    <w:rsid w:val="005F5CB4"/>
    <w:rsid w:val="005F70A7"/>
    <w:rsid w:val="00633CA8"/>
    <w:rsid w:val="00636C8E"/>
    <w:rsid w:val="00666936"/>
    <w:rsid w:val="00666FB4"/>
    <w:rsid w:val="00695198"/>
    <w:rsid w:val="006964CD"/>
    <w:rsid w:val="006A0323"/>
    <w:rsid w:val="006A443A"/>
    <w:rsid w:val="006A5DD8"/>
    <w:rsid w:val="006B382F"/>
    <w:rsid w:val="006B39B0"/>
    <w:rsid w:val="006C12B2"/>
    <w:rsid w:val="006C3D29"/>
    <w:rsid w:val="007021C0"/>
    <w:rsid w:val="00706796"/>
    <w:rsid w:val="00707F5A"/>
    <w:rsid w:val="007230A2"/>
    <w:rsid w:val="0072436A"/>
    <w:rsid w:val="00724DAE"/>
    <w:rsid w:val="00725D11"/>
    <w:rsid w:val="00727161"/>
    <w:rsid w:val="00735D41"/>
    <w:rsid w:val="00777292"/>
    <w:rsid w:val="00787648"/>
    <w:rsid w:val="007916F1"/>
    <w:rsid w:val="00794DB7"/>
    <w:rsid w:val="007A1095"/>
    <w:rsid w:val="007C30A4"/>
    <w:rsid w:val="007C6300"/>
    <w:rsid w:val="007E5A7C"/>
    <w:rsid w:val="007F212F"/>
    <w:rsid w:val="007F2608"/>
    <w:rsid w:val="00802379"/>
    <w:rsid w:val="00806B05"/>
    <w:rsid w:val="00806D63"/>
    <w:rsid w:val="0081421D"/>
    <w:rsid w:val="00841CB2"/>
    <w:rsid w:val="008560F0"/>
    <w:rsid w:val="00861884"/>
    <w:rsid w:val="008629E3"/>
    <w:rsid w:val="008803E0"/>
    <w:rsid w:val="00881238"/>
    <w:rsid w:val="00881473"/>
    <w:rsid w:val="00897053"/>
    <w:rsid w:val="008A770D"/>
    <w:rsid w:val="008B0209"/>
    <w:rsid w:val="008B5722"/>
    <w:rsid w:val="008F0403"/>
    <w:rsid w:val="008F1680"/>
    <w:rsid w:val="008F639B"/>
    <w:rsid w:val="008F6420"/>
    <w:rsid w:val="00902FF1"/>
    <w:rsid w:val="009076BF"/>
    <w:rsid w:val="009108CD"/>
    <w:rsid w:val="00910C66"/>
    <w:rsid w:val="00924299"/>
    <w:rsid w:val="0093097E"/>
    <w:rsid w:val="0093154D"/>
    <w:rsid w:val="009524F8"/>
    <w:rsid w:val="00967C55"/>
    <w:rsid w:val="009B0DF3"/>
    <w:rsid w:val="009D1664"/>
    <w:rsid w:val="009D78D6"/>
    <w:rsid w:val="009E07DE"/>
    <w:rsid w:val="009E59C4"/>
    <w:rsid w:val="00A05CEB"/>
    <w:rsid w:val="00A1440E"/>
    <w:rsid w:val="00A17C8D"/>
    <w:rsid w:val="00A22A5D"/>
    <w:rsid w:val="00A37206"/>
    <w:rsid w:val="00A37F66"/>
    <w:rsid w:val="00A57CE2"/>
    <w:rsid w:val="00A851EC"/>
    <w:rsid w:val="00A95C83"/>
    <w:rsid w:val="00AA7647"/>
    <w:rsid w:val="00AB1687"/>
    <w:rsid w:val="00AC3B10"/>
    <w:rsid w:val="00AE0EA0"/>
    <w:rsid w:val="00AE2E8D"/>
    <w:rsid w:val="00AE5029"/>
    <w:rsid w:val="00AE6A39"/>
    <w:rsid w:val="00AF0CCF"/>
    <w:rsid w:val="00AF130E"/>
    <w:rsid w:val="00B23473"/>
    <w:rsid w:val="00B43423"/>
    <w:rsid w:val="00B4530C"/>
    <w:rsid w:val="00B63EB7"/>
    <w:rsid w:val="00B75295"/>
    <w:rsid w:val="00B8088F"/>
    <w:rsid w:val="00B8131C"/>
    <w:rsid w:val="00B879D3"/>
    <w:rsid w:val="00B91AD7"/>
    <w:rsid w:val="00B97791"/>
    <w:rsid w:val="00BA57B7"/>
    <w:rsid w:val="00BC0CAC"/>
    <w:rsid w:val="00BC42A3"/>
    <w:rsid w:val="00BD07ED"/>
    <w:rsid w:val="00BD20CC"/>
    <w:rsid w:val="00BD5DB8"/>
    <w:rsid w:val="00BD691E"/>
    <w:rsid w:val="00BE7D5D"/>
    <w:rsid w:val="00BF3AEF"/>
    <w:rsid w:val="00C053C4"/>
    <w:rsid w:val="00C17289"/>
    <w:rsid w:val="00C20C41"/>
    <w:rsid w:val="00C211CC"/>
    <w:rsid w:val="00C273AC"/>
    <w:rsid w:val="00C31389"/>
    <w:rsid w:val="00C4483E"/>
    <w:rsid w:val="00C4752B"/>
    <w:rsid w:val="00C5453E"/>
    <w:rsid w:val="00C56EE1"/>
    <w:rsid w:val="00C62B18"/>
    <w:rsid w:val="00C674F2"/>
    <w:rsid w:val="00C74D6A"/>
    <w:rsid w:val="00C82EF7"/>
    <w:rsid w:val="00C866A1"/>
    <w:rsid w:val="00CA31CD"/>
    <w:rsid w:val="00CA5A69"/>
    <w:rsid w:val="00CC2646"/>
    <w:rsid w:val="00CE60A0"/>
    <w:rsid w:val="00D0298F"/>
    <w:rsid w:val="00D032D9"/>
    <w:rsid w:val="00D035A7"/>
    <w:rsid w:val="00D03725"/>
    <w:rsid w:val="00D207E0"/>
    <w:rsid w:val="00D325EF"/>
    <w:rsid w:val="00D4736F"/>
    <w:rsid w:val="00D7257B"/>
    <w:rsid w:val="00D76CD8"/>
    <w:rsid w:val="00D8413E"/>
    <w:rsid w:val="00D96087"/>
    <w:rsid w:val="00DA79F1"/>
    <w:rsid w:val="00DB6FCA"/>
    <w:rsid w:val="00DC15ED"/>
    <w:rsid w:val="00DC5965"/>
    <w:rsid w:val="00DD2CD0"/>
    <w:rsid w:val="00DE48C6"/>
    <w:rsid w:val="00DE7EA5"/>
    <w:rsid w:val="00DF0574"/>
    <w:rsid w:val="00DF72E7"/>
    <w:rsid w:val="00E03A3F"/>
    <w:rsid w:val="00E14224"/>
    <w:rsid w:val="00E23B13"/>
    <w:rsid w:val="00E26580"/>
    <w:rsid w:val="00E42E3D"/>
    <w:rsid w:val="00E773FC"/>
    <w:rsid w:val="00E80B67"/>
    <w:rsid w:val="00E84C78"/>
    <w:rsid w:val="00E934D3"/>
    <w:rsid w:val="00E95F23"/>
    <w:rsid w:val="00E96F75"/>
    <w:rsid w:val="00EA6174"/>
    <w:rsid w:val="00EB7537"/>
    <w:rsid w:val="00ED5CD4"/>
    <w:rsid w:val="00EE3094"/>
    <w:rsid w:val="00EF0741"/>
    <w:rsid w:val="00EF6659"/>
    <w:rsid w:val="00F070CF"/>
    <w:rsid w:val="00F17F6C"/>
    <w:rsid w:val="00F24AF8"/>
    <w:rsid w:val="00F2785D"/>
    <w:rsid w:val="00F31054"/>
    <w:rsid w:val="00F344A0"/>
    <w:rsid w:val="00F37EBD"/>
    <w:rsid w:val="00F410F2"/>
    <w:rsid w:val="00F50EAF"/>
    <w:rsid w:val="00F61F2D"/>
    <w:rsid w:val="00F66099"/>
    <w:rsid w:val="00F81071"/>
    <w:rsid w:val="00F8200D"/>
    <w:rsid w:val="00F82DCA"/>
    <w:rsid w:val="00FC11E3"/>
    <w:rsid w:val="00FC4706"/>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AF0"/>
    <w:rPr>
      <w:rFonts w:ascii="Times New Roman" w:eastAsia="Times New Roman" w:hAnsi="Times New Roman" w:cs="Times New Roman"/>
      <w:lang w:eastAsia="es-MX"/>
    </w:rPr>
  </w:style>
  <w:style w:type="paragraph" w:styleId="Ttulo2">
    <w:name w:val="heading 2"/>
    <w:basedOn w:val="Normal"/>
    <w:link w:val="Ttulo2Car"/>
    <w:uiPriority w:val="1"/>
    <w:qFormat/>
    <w:rsid w:val="008B0209"/>
    <w:pPr>
      <w:widowControl w:val="0"/>
      <w:autoSpaceDE w:val="0"/>
      <w:autoSpaceDN w:val="0"/>
      <w:ind w:left="300"/>
      <w:jc w:val="both"/>
      <w:outlineLvl w:val="1"/>
    </w:pPr>
    <w:rPr>
      <w:rFonts w:ascii="Arial" w:eastAsia="Arial" w:hAnsi="Arial" w:cs="Arial"/>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qFormat/>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unhideWhenUsed/>
    <w:rsid w:val="007E5A7C"/>
    <w:rPr>
      <w:sz w:val="20"/>
      <w:szCs w:val="20"/>
    </w:rPr>
  </w:style>
  <w:style w:type="character" w:customStyle="1" w:styleId="TextocomentarioCar">
    <w:name w:val="Texto comentario Car"/>
    <w:basedOn w:val="Fuentedeprrafopredeter"/>
    <w:link w:val="Textocomentario"/>
    <w:uiPriority w:val="99"/>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paragraph" w:customStyle="1" w:styleId="xmsonospacing">
    <w:name w:val="x_msonospacing"/>
    <w:basedOn w:val="Normal"/>
    <w:rsid w:val="00C866A1"/>
    <w:pPr>
      <w:spacing w:before="100" w:beforeAutospacing="1" w:after="100" w:afterAutospacing="1"/>
    </w:pPr>
  </w:style>
  <w:style w:type="paragraph" w:customStyle="1" w:styleId="xparagraph">
    <w:name w:val="x_paragraph"/>
    <w:basedOn w:val="Normal"/>
    <w:rsid w:val="00C866A1"/>
    <w:pPr>
      <w:spacing w:before="100" w:beforeAutospacing="1" w:after="100" w:afterAutospacing="1"/>
    </w:pPr>
  </w:style>
  <w:style w:type="character" w:customStyle="1" w:styleId="xnormaltextrun">
    <w:name w:val="x_normaltextrun"/>
    <w:basedOn w:val="Fuentedeprrafopredeter"/>
    <w:rsid w:val="00C866A1"/>
  </w:style>
  <w:style w:type="character" w:customStyle="1" w:styleId="xeop">
    <w:name w:val="x_eop"/>
    <w:basedOn w:val="Fuentedeprrafopredeter"/>
    <w:rsid w:val="00C866A1"/>
  </w:style>
  <w:style w:type="character" w:customStyle="1" w:styleId="xapple-converted-space">
    <w:name w:val="x_apple-converted-space"/>
    <w:basedOn w:val="Fuentedeprrafopredeter"/>
    <w:rsid w:val="00C866A1"/>
  </w:style>
  <w:style w:type="character" w:customStyle="1" w:styleId="ms-button-flexcontainer">
    <w:name w:val="ms-button-flexcontainer"/>
    <w:basedOn w:val="Fuentedeprrafopredeter"/>
    <w:rsid w:val="00C211CC"/>
  </w:style>
  <w:style w:type="character" w:customStyle="1" w:styleId="SinespaciadoCar">
    <w:name w:val="Sin espaciado Car"/>
    <w:aliases w:val="No Indent Car"/>
    <w:link w:val="Sinespaciado"/>
    <w:uiPriority w:val="3"/>
    <w:rsid w:val="0008476E"/>
    <w:rPr>
      <w:szCs w:val="22"/>
      <w:lang w:val="es-MX"/>
    </w:rPr>
  </w:style>
  <w:style w:type="character" w:customStyle="1" w:styleId="baj">
    <w:name w:val="b_aj"/>
    <w:basedOn w:val="Fuentedeprrafopredeter"/>
    <w:rsid w:val="006B39B0"/>
  </w:style>
  <w:style w:type="character" w:styleId="Textoennegrita">
    <w:name w:val="Strong"/>
    <w:basedOn w:val="Fuentedeprrafopredeter"/>
    <w:uiPriority w:val="22"/>
    <w:qFormat/>
    <w:rsid w:val="00BD691E"/>
    <w:rPr>
      <w:b/>
      <w:bCs/>
    </w:rPr>
  </w:style>
  <w:style w:type="character" w:customStyle="1" w:styleId="Ttulo2Car">
    <w:name w:val="Título 2 Car"/>
    <w:basedOn w:val="Fuentedeprrafopredeter"/>
    <w:link w:val="Ttulo2"/>
    <w:uiPriority w:val="1"/>
    <w:rsid w:val="008B0209"/>
    <w:rPr>
      <w:rFonts w:ascii="Arial" w:eastAsia="Arial" w:hAnsi="Arial" w:cs="Arial"/>
      <w:sz w:val="22"/>
      <w:szCs w:val="22"/>
      <w:lang w:val="es-ES"/>
    </w:rPr>
  </w:style>
  <w:style w:type="character" w:styleId="Hipervnculo">
    <w:name w:val="Hyperlink"/>
    <w:basedOn w:val="Fuentedeprrafopredeter"/>
    <w:uiPriority w:val="99"/>
    <w:unhideWhenUsed/>
    <w:rsid w:val="00B434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1314042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47341267">
      <w:bodyDiv w:val="1"/>
      <w:marLeft w:val="0"/>
      <w:marRight w:val="0"/>
      <w:marTop w:val="0"/>
      <w:marBottom w:val="0"/>
      <w:divBdr>
        <w:top w:val="none" w:sz="0" w:space="0" w:color="auto"/>
        <w:left w:val="none" w:sz="0" w:space="0" w:color="auto"/>
        <w:bottom w:val="none" w:sz="0" w:space="0" w:color="auto"/>
        <w:right w:val="none" w:sz="0" w:space="0" w:color="auto"/>
      </w:divBdr>
      <w:divsChild>
        <w:div w:id="1260017207">
          <w:marLeft w:val="0"/>
          <w:marRight w:val="0"/>
          <w:marTop w:val="0"/>
          <w:marBottom w:val="0"/>
          <w:divBdr>
            <w:top w:val="none" w:sz="0" w:space="0" w:color="auto"/>
            <w:left w:val="none" w:sz="0" w:space="0" w:color="auto"/>
            <w:bottom w:val="none" w:sz="0" w:space="0" w:color="auto"/>
            <w:right w:val="none" w:sz="0" w:space="0" w:color="auto"/>
          </w:divBdr>
          <w:divsChild>
            <w:div w:id="1670672">
              <w:marLeft w:val="0"/>
              <w:marRight w:val="0"/>
              <w:marTop w:val="0"/>
              <w:marBottom w:val="0"/>
              <w:divBdr>
                <w:top w:val="none" w:sz="0" w:space="0" w:color="auto"/>
                <w:left w:val="none" w:sz="0" w:space="0" w:color="auto"/>
                <w:bottom w:val="none" w:sz="0" w:space="0" w:color="auto"/>
                <w:right w:val="none" w:sz="0" w:space="0" w:color="auto"/>
              </w:divBdr>
              <w:divsChild>
                <w:div w:id="700933417">
                  <w:marLeft w:val="0"/>
                  <w:marRight w:val="0"/>
                  <w:marTop w:val="0"/>
                  <w:marBottom w:val="0"/>
                  <w:divBdr>
                    <w:top w:val="none" w:sz="0" w:space="0" w:color="auto"/>
                    <w:left w:val="none" w:sz="0" w:space="0" w:color="auto"/>
                    <w:bottom w:val="none" w:sz="0" w:space="0" w:color="auto"/>
                    <w:right w:val="none" w:sz="0" w:space="0" w:color="auto"/>
                  </w:divBdr>
                  <w:divsChild>
                    <w:div w:id="18195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2123">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380598347">
      <w:bodyDiv w:val="1"/>
      <w:marLeft w:val="0"/>
      <w:marRight w:val="0"/>
      <w:marTop w:val="0"/>
      <w:marBottom w:val="0"/>
      <w:divBdr>
        <w:top w:val="none" w:sz="0" w:space="0" w:color="auto"/>
        <w:left w:val="none" w:sz="0" w:space="0" w:color="auto"/>
        <w:bottom w:val="none" w:sz="0" w:space="0" w:color="auto"/>
        <w:right w:val="none" w:sz="0" w:space="0" w:color="auto"/>
      </w:divBdr>
    </w:div>
    <w:div w:id="450713735">
      <w:bodyDiv w:val="1"/>
      <w:marLeft w:val="0"/>
      <w:marRight w:val="0"/>
      <w:marTop w:val="0"/>
      <w:marBottom w:val="0"/>
      <w:divBdr>
        <w:top w:val="none" w:sz="0" w:space="0" w:color="auto"/>
        <w:left w:val="none" w:sz="0" w:space="0" w:color="auto"/>
        <w:bottom w:val="none" w:sz="0" w:space="0" w:color="auto"/>
        <w:right w:val="none" w:sz="0" w:space="0" w:color="auto"/>
      </w:divBdr>
    </w:div>
    <w:div w:id="55230391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47827651">
      <w:bodyDiv w:val="1"/>
      <w:marLeft w:val="0"/>
      <w:marRight w:val="0"/>
      <w:marTop w:val="0"/>
      <w:marBottom w:val="0"/>
      <w:divBdr>
        <w:top w:val="none" w:sz="0" w:space="0" w:color="auto"/>
        <w:left w:val="none" w:sz="0" w:space="0" w:color="auto"/>
        <w:bottom w:val="none" w:sz="0" w:space="0" w:color="auto"/>
        <w:right w:val="none" w:sz="0" w:space="0" w:color="auto"/>
      </w:divBdr>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684936730">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942032373">
      <w:bodyDiv w:val="1"/>
      <w:marLeft w:val="0"/>
      <w:marRight w:val="0"/>
      <w:marTop w:val="0"/>
      <w:marBottom w:val="0"/>
      <w:divBdr>
        <w:top w:val="none" w:sz="0" w:space="0" w:color="auto"/>
        <w:left w:val="none" w:sz="0" w:space="0" w:color="auto"/>
        <w:bottom w:val="none" w:sz="0" w:space="0" w:color="auto"/>
        <w:right w:val="none" w:sz="0" w:space="0" w:color="auto"/>
      </w:divBdr>
    </w:div>
    <w:div w:id="981151399">
      <w:bodyDiv w:val="1"/>
      <w:marLeft w:val="0"/>
      <w:marRight w:val="0"/>
      <w:marTop w:val="0"/>
      <w:marBottom w:val="0"/>
      <w:divBdr>
        <w:top w:val="none" w:sz="0" w:space="0" w:color="auto"/>
        <w:left w:val="none" w:sz="0" w:space="0" w:color="auto"/>
        <w:bottom w:val="none" w:sz="0" w:space="0" w:color="auto"/>
        <w:right w:val="none" w:sz="0" w:space="0" w:color="auto"/>
      </w:divBdr>
      <w:divsChild>
        <w:div w:id="1053234249">
          <w:marLeft w:val="0"/>
          <w:marRight w:val="0"/>
          <w:marTop w:val="0"/>
          <w:marBottom w:val="0"/>
          <w:divBdr>
            <w:top w:val="none" w:sz="0" w:space="0" w:color="auto"/>
            <w:left w:val="none" w:sz="0" w:space="0" w:color="auto"/>
            <w:bottom w:val="none" w:sz="0" w:space="0" w:color="auto"/>
            <w:right w:val="none" w:sz="0" w:space="0" w:color="auto"/>
          </w:divBdr>
        </w:div>
      </w:divsChild>
    </w:div>
    <w:div w:id="1036587696">
      <w:bodyDiv w:val="1"/>
      <w:marLeft w:val="0"/>
      <w:marRight w:val="0"/>
      <w:marTop w:val="0"/>
      <w:marBottom w:val="0"/>
      <w:divBdr>
        <w:top w:val="none" w:sz="0" w:space="0" w:color="auto"/>
        <w:left w:val="none" w:sz="0" w:space="0" w:color="auto"/>
        <w:bottom w:val="none" w:sz="0" w:space="0" w:color="auto"/>
        <w:right w:val="none" w:sz="0" w:space="0" w:color="auto"/>
      </w:divBdr>
    </w:div>
    <w:div w:id="1057827231">
      <w:bodyDiv w:val="1"/>
      <w:marLeft w:val="0"/>
      <w:marRight w:val="0"/>
      <w:marTop w:val="0"/>
      <w:marBottom w:val="0"/>
      <w:divBdr>
        <w:top w:val="none" w:sz="0" w:space="0" w:color="auto"/>
        <w:left w:val="none" w:sz="0" w:space="0" w:color="auto"/>
        <w:bottom w:val="none" w:sz="0" w:space="0" w:color="auto"/>
        <w:right w:val="none" w:sz="0" w:space="0" w:color="auto"/>
      </w:divBdr>
      <w:divsChild>
        <w:div w:id="29116709">
          <w:marLeft w:val="0"/>
          <w:marRight w:val="0"/>
          <w:marTop w:val="0"/>
          <w:marBottom w:val="0"/>
          <w:divBdr>
            <w:top w:val="none" w:sz="0" w:space="0" w:color="auto"/>
            <w:left w:val="none" w:sz="0" w:space="0" w:color="auto"/>
            <w:bottom w:val="none" w:sz="0" w:space="0" w:color="auto"/>
            <w:right w:val="none" w:sz="0" w:space="0" w:color="auto"/>
          </w:divBdr>
        </w:div>
      </w:divsChild>
    </w:div>
    <w:div w:id="1060789803">
      <w:bodyDiv w:val="1"/>
      <w:marLeft w:val="0"/>
      <w:marRight w:val="0"/>
      <w:marTop w:val="0"/>
      <w:marBottom w:val="0"/>
      <w:divBdr>
        <w:top w:val="none" w:sz="0" w:space="0" w:color="auto"/>
        <w:left w:val="none" w:sz="0" w:space="0" w:color="auto"/>
        <w:bottom w:val="none" w:sz="0" w:space="0" w:color="auto"/>
        <w:right w:val="none" w:sz="0" w:space="0" w:color="auto"/>
      </w:divBdr>
    </w:div>
    <w:div w:id="1069309201">
      <w:bodyDiv w:val="1"/>
      <w:marLeft w:val="0"/>
      <w:marRight w:val="0"/>
      <w:marTop w:val="0"/>
      <w:marBottom w:val="0"/>
      <w:divBdr>
        <w:top w:val="none" w:sz="0" w:space="0" w:color="auto"/>
        <w:left w:val="none" w:sz="0" w:space="0" w:color="auto"/>
        <w:bottom w:val="none" w:sz="0" w:space="0" w:color="auto"/>
        <w:right w:val="none" w:sz="0" w:space="0" w:color="auto"/>
      </w:divBdr>
      <w:divsChild>
        <w:div w:id="2079815316">
          <w:marLeft w:val="0"/>
          <w:marRight w:val="0"/>
          <w:marTop w:val="0"/>
          <w:marBottom w:val="0"/>
          <w:divBdr>
            <w:top w:val="none" w:sz="0" w:space="0" w:color="auto"/>
            <w:left w:val="none" w:sz="0" w:space="0" w:color="auto"/>
            <w:bottom w:val="none" w:sz="0" w:space="0" w:color="auto"/>
            <w:right w:val="none" w:sz="0" w:space="0" w:color="auto"/>
          </w:divBdr>
          <w:divsChild>
            <w:div w:id="1861695375">
              <w:marLeft w:val="0"/>
              <w:marRight w:val="0"/>
              <w:marTop w:val="0"/>
              <w:marBottom w:val="0"/>
              <w:divBdr>
                <w:top w:val="none" w:sz="0" w:space="0" w:color="auto"/>
                <w:left w:val="none" w:sz="0" w:space="0" w:color="auto"/>
                <w:bottom w:val="none" w:sz="0" w:space="0" w:color="auto"/>
                <w:right w:val="none" w:sz="0" w:space="0" w:color="auto"/>
              </w:divBdr>
              <w:divsChild>
                <w:div w:id="1830097450">
                  <w:marLeft w:val="0"/>
                  <w:marRight w:val="0"/>
                  <w:marTop w:val="0"/>
                  <w:marBottom w:val="0"/>
                  <w:divBdr>
                    <w:top w:val="none" w:sz="0" w:space="0" w:color="auto"/>
                    <w:left w:val="none" w:sz="0" w:space="0" w:color="auto"/>
                    <w:bottom w:val="none" w:sz="0" w:space="0" w:color="auto"/>
                    <w:right w:val="none" w:sz="0" w:space="0" w:color="auto"/>
                  </w:divBdr>
                  <w:divsChild>
                    <w:div w:id="171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085264">
      <w:bodyDiv w:val="1"/>
      <w:marLeft w:val="0"/>
      <w:marRight w:val="0"/>
      <w:marTop w:val="0"/>
      <w:marBottom w:val="0"/>
      <w:divBdr>
        <w:top w:val="none" w:sz="0" w:space="0" w:color="auto"/>
        <w:left w:val="none" w:sz="0" w:space="0" w:color="auto"/>
        <w:bottom w:val="none" w:sz="0" w:space="0" w:color="auto"/>
        <w:right w:val="none" w:sz="0" w:space="0" w:color="auto"/>
      </w:divBdr>
      <w:divsChild>
        <w:div w:id="581449890">
          <w:marLeft w:val="0"/>
          <w:marRight w:val="0"/>
          <w:marTop w:val="0"/>
          <w:marBottom w:val="0"/>
          <w:divBdr>
            <w:top w:val="none" w:sz="0" w:space="0" w:color="auto"/>
            <w:left w:val="none" w:sz="0" w:space="0" w:color="auto"/>
            <w:bottom w:val="none" w:sz="0" w:space="0" w:color="auto"/>
            <w:right w:val="none" w:sz="0" w:space="0" w:color="auto"/>
          </w:divBdr>
          <w:divsChild>
            <w:div w:id="265846744">
              <w:marLeft w:val="0"/>
              <w:marRight w:val="0"/>
              <w:marTop w:val="0"/>
              <w:marBottom w:val="0"/>
              <w:divBdr>
                <w:top w:val="none" w:sz="0" w:space="0" w:color="auto"/>
                <w:left w:val="none" w:sz="0" w:space="0" w:color="auto"/>
                <w:bottom w:val="none" w:sz="0" w:space="0" w:color="auto"/>
                <w:right w:val="none" w:sz="0" w:space="0" w:color="auto"/>
              </w:divBdr>
              <w:divsChild>
                <w:div w:id="52863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368">
      <w:bodyDiv w:val="1"/>
      <w:marLeft w:val="0"/>
      <w:marRight w:val="0"/>
      <w:marTop w:val="0"/>
      <w:marBottom w:val="0"/>
      <w:divBdr>
        <w:top w:val="none" w:sz="0" w:space="0" w:color="auto"/>
        <w:left w:val="none" w:sz="0" w:space="0" w:color="auto"/>
        <w:bottom w:val="none" w:sz="0" w:space="0" w:color="auto"/>
        <w:right w:val="none" w:sz="0" w:space="0" w:color="auto"/>
      </w:divBdr>
      <w:divsChild>
        <w:div w:id="1983921602">
          <w:marLeft w:val="465"/>
          <w:marRight w:val="0"/>
          <w:marTop w:val="0"/>
          <w:marBottom w:val="0"/>
          <w:divBdr>
            <w:top w:val="none" w:sz="0" w:space="0" w:color="auto"/>
            <w:left w:val="none" w:sz="0" w:space="0" w:color="auto"/>
            <w:bottom w:val="none" w:sz="0" w:space="0" w:color="auto"/>
            <w:right w:val="none" w:sz="0" w:space="0" w:color="auto"/>
          </w:divBdr>
          <w:divsChild>
            <w:div w:id="416293029">
              <w:marLeft w:val="0"/>
              <w:marRight w:val="0"/>
              <w:marTop w:val="0"/>
              <w:marBottom w:val="0"/>
              <w:divBdr>
                <w:top w:val="none" w:sz="0" w:space="0" w:color="auto"/>
                <w:left w:val="none" w:sz="0" w:space="12" w:color="auto"/>
                <w:bottom w:val="none" w:sz="0" w:space="0" w:color="auto"/>
                <w:right w:val="none" w:sz="0" w:space="12" w:color="auto"/>
              </w:divBdr>
              <w:divsChild>
                <w:div w:id="384720406">
                  <w:marLeft w:val="0"/>
                  <w:marRight w:val="0"/>
                  <w:marTop w:val="0"/>
                  <w:marBottom w:val="0"/>
                  <w:divBdr>
                    <w:top w:val="none" w:sz="0" w:space="0" w:color="auto"/>
                    <w:left w:val="none" w:sz="0" w:space="0" w:color="auto"/>
                    <w:bottom w:val="none" w:sz="0" w:space="0" w:color="auto"/>
                    <w:right w:val="none" w:sz="0" w:space="0" w:color="auto"/>
                  </w:divBdr>
                  <w:divsChild>
                    <w:div w:id="615063141">
                      <w:marLeft w:val="0"/>
                      <w:marRight w:val="0"/>
                      <w:marTop w:val="0"/>
                      <w:marBottom w:val="0"/>
                      <w:divBdr>
                        <w:top w:val="none" w:sz="0" w:space="0" w:color="auto"/>
                        <w:left w:val="none" w:sz="0" w:space="0" w:color="auto"/>
                        <w:bottom w:val="none" w:sz="0" w:space="0" w:color="auto"/>
                        <w:right w:val="none" w:sz="0" w:space="0" w:color="auto"/>
                      </w:divBdr>
                      <w:divsChild>
                        <w:div w:id="592905437">
                          <w:marLeft w:val="0"/>
                          <w:marRight w:val="0"/>
                          <w:marTop w:val="0"/>
                          <w:marBottom w:val="0"/>
                          <w:divBdr>
                            <w:top w:val="none" w:sz="0" w:space="0" w:color="auto"/>
                            <w:left w:val="none" w:sz="0" w:space="0" w:color="auto"/>
                            <w:bottom w:val="none" w:sz="0" w:space="0" w:color="auto"/>
                            <w:right w:val="none" w:sz="0" w:space="0" w:color="auto"/>
                          </w:divBdr>
                          <w:divsChild>
                            <w:div w:id="1629898508">
                              <w:marLeft w:val="0"/>
                              <w:marRight w:val="0"/>
                              <w:marTop w:val="0"/>
                              <w:marBottom w:val="0"/>
                              <w:divBdr>
                                <w:top w:val="none" w:sz="0" w:space="0" w:color="auto"/>
                                <w:left w:val="none" w:sz="0" w:space="0" w:color="auto"/>
                                <w:bottom w:val="none" w:sz="0" w:space="0" w:color="auto"/>
                                <w:right w:val="none" w:sz="0" w:space="0" w:color="auto"/>
                              </w:divBdr>
                              <w:divsChild>
                                <w:div w:id="5365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042681">
          <w:marLeft w:val="465"/>
          <w:marRight w:val="0"/>
          <w:marTop w:val="0"/>
          <w:marBottom w:val="0"/>
          <w:divBdr>
            <w:top w:val="none" w:sz="0" w:space="0" w:color="auto"/>
            <w:left w:val="none" w:sz="0" w:space="0" w:color="auto"/>
            <w:bottom w:val="none" w:sz="0" w:space="0" w:color="auto"/>
            <w:right w:val="none" w:sz="0" w:space="0" w:color="auto"/>
          </w:divBdr>
          <w:divsChild>
            <w:div w:id="292371476">
              <w:marLeft w:val="0"/>
              <w:marRight w:val="0"/>
              <w:marTop w:val="0"/>
              <w:marBottom w:val="0"/>
              <w:divBdr>
                <w:top w:val="none" w:sz="0" w:space="0" w:color="auto"/>
                <w:left w:val="none" w:sz="0" w:space="12" w:color="auto"/>
                <w:bottom w:val="none" w:sz="0" w:space="0" w:color="auto"/>
                <w:right w:val="none" w:sz="0" w:space="12" w:color="auto"/>
              </w:divBdr>
              <w:divsChild>
                <w:div w:id="309142014">
                  <w:marLeft w:val="0"/>
                  <w:marRight w:val="0"/>
                  <w:marTop w:val="0"/>
                  <w:marBottom w:val="0"/>
                  <w:divBdr>
                    <w:top w:val="none" w:sz="0" w:space="0" w:color="auto"/>
                    <w:left w:val="none" w:sz="0" w:space="0" w:color="auto"/>
                    <w:bottom w:val="none" w:sz="0" w:space="0" w:color="auto"/>
                    <w:right w:val="none" w:sz="0" w:space="0" w:color="auto"/>
                  </w:divBdr>
                  <w:divsChild>
                    <w:div w:id="1166479765">
                      <w:marLeft w:val="0"/>
                      <w:marRight w:val="0"/>
                      <w:marTop w:val="0"/>
                      <w:marBottom w:val="0"/>
                      <w:divBdr>
                        <w:top w:val="none" w:sz="0" w:space="0" w:color="auto"/>
                        <w:left w:val="none" w:sz="0" w:space="0" w:color="auto"/>
                        <w:bottom w:val="none" w:sz="0" w:space="0" w:color="auto"/>
                        <w:right w:val="none" w:sz="0" w:space="0" w:color="auto"/>
                      </w:divBdr>
                      <w:divsChild>
                        <w:div w:id="1843666034">
                          <w:marLeft w:val="0"/>
                          <w:marRight w:val="0"/>
                          <w:marTop w:val="0"/>
                          <w:marBottom w:val="0"/>
                          <w:divBdr>
                            <w:top w:val="none" w:sz="0" w:space="0" w:color="auto"/>
                            <w:left w:val="none" w:sz="0" w:space="0" w:color="auto"/>
                            <w:bottom w:val="none" w:sz="0" w:space="0" w:color="auto"/>
                            <w:right w:val="none" w:sz="0" w:space="0" w:color="auto"/>
                          </w:divBdr>
                          <w:divsChild>
                            <w:div w:id="848838063">
                              <w:marLeft w:val="0"/>
                              <w:marRight w:val="0"/>
                              <w:marTop w:val="0"/>
                              <w:marBottom w:val="0"/>
                              <w:divBdr>
                                <w:top w:val="none" w:sz="0" w:space="0" w:color="auto"/>
                                <w:left w:val="none" w:sz="0" w:space="0" w:color="auto"/>
                                <w:bottom w:val="none" w:sz="0" w:space="0" w:color="auto"/>
                                <w:right w:val="none" w:sz="0" w:space="0" w:color="auto"/>
                              </w:divBdr>
                              <w:divsChild>
                                <w:div w:id="140156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15675995">
      <w:bodyDiv w:val="1"/>
      <w:marLeft w:val="0"/>
      <w:marRight w:val="0"/>
      <w:marTop w:val="0"/>
      <w:marBottom w:val="0"/>
      <w:divBdr>
        <w:top w:val="none" w:sz="0" w:space="0" w:color="auto"/>
        <w:left w:val="none" w:sz="0" w:space="0" w:color="auto"/>
        <w:bottom w:val="none" w:sz="0" w:space="0" w:color="auto"/>
        <w:right w:val="none" w:sz="0" w:space="0" w:color="auto"/>
      </w:divBdr>
    </w:div>
    <w:div w:id="1634486957">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11030383">
      <w:bodyDiv w:val="1"/>
      <w:marLeft w:val="0"/>
      <w:marRight w:val="0"/>
      <w:marTop w:val="0"/>
      <w:marBottom w:val="0"/>
      <w:divBdr>
        <w:top w:val="none" w:sz="0" w:space="0" w:color="auto"/>
        <w:left w:val="none" w:sz="0" w:space="0" w:color="auto"/>
        <w:bottom w:val="none" w:sz="0" w:space="0" w:color="auto"/>
        <w:right w:val="none" w:sz="0" w:space="0" w:color="auto"/>
      </w:divBdr>
    </w:div>
    <w:div w:id="1736853545">
      <w:bodyDiv w:val="1"/>
      <w:marLeft w:val="0"/>
      <w:marRight w:val="0"/>
      <w:marTop w:val="0"/>
      <w:marBottom w:val="0"/>
      <w:divBdr>
        <w:top w:val="none" w:sz="0" w:space="0" w:color="auto"/>
        <w:left w:val="none" w:sz="0" w:space="0" w:color="auto"/>
        <w:bottom w:val="none" w:sz="0" w:space="0" w:color="auto"/>
        <w:right w:val="none" w:sz="0" w:space="0" w:color="auto"/>
      </w:divBdr>
    </w:div>
    <w:div w:id="1754621251">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 w:id="1798377079">
      <w:bodyDiv w:val="1"/>
      <w:marLeft w:val="0"/>
      <w:marRight w:val="0"/>
      <w:marTop w:val="0"/>
      <w:marBottom w:val="0"/>
      <w:divBdr>
        <w:top w:val="none" w:sz="0" w:space="0" w:color="auto"/>
        <w:left w:val="none" w:sz="0" w:space="0" w:color="auto"/>
        <w:bottom w:val="none" w:sz="0" w:space="0" w:color="auto"/>
        <w:right w:val="none" w:sz="0" w:space="0" w:color="auto"/>
      </w:divBdr>
    </w:div>
    <w:div w:id="1800102812">
      <w:bodyDiv w:val="1"/>
      <w:marLeft w:val="0"/>
      <w:marRight w:val="0"/>
      <w:marTop w:val="0"/>
      <w:marBottom w:val="0"/>
      <w:divBdr>
        <w:top w:val="none" w:sz="0" w:space="0" w:color="auto"/>
        <w:left w:val="none" w:sz="0" w:space="0" w:color="auto"/>
        <w:bottom w:val="none" w:sz="0" w:space="0" w:color="auto"/>
        <w:right w:val="none" w:sz="0" w:space="0" w:color="auto"/>
      </w:divBdr>
      <w:divsChild>
        <w:div w:id="1985504245">
          <w:marLeft w:val="465"/>
          <w:marRight w:val="0"/>
          <w:marTop w:val="0"/>
          <w:marBottom w:val="0"/>
          <w:divBdr>
            <w:top w:val="none" w:sz="0" w:space="0" w:color="auto"/>
            <w:left w:val="none" w:sz="0" w:space="0" w:color="auto"/>
            <w:bottom w:val="none" w:sz="0" w:space="0" w:color="auto"/>
            <w:right w:val="none" w:sz="0" w:space="0" w:color="auto"/>
          </w:divBdr>
          <w:divsChild>
            <w:div w:id="987901741">
              <w:marLeft w:val="0"/>
              <w:marRight w:val="0"/>
              <w:marTop w:val="0"/>
              <w:marBottom w:val="0"/>
              <w:divBdr>
                <w:top w:val="none" w:sz="0" w:space="0" w:color="auto"/>
                <w:left w:val="none" w:sz="0" w:space="12" w:color="auto"/>
                <w:bottom w:val="none" w:sz="0" w:space="0" w:color="auto"/>
                <w:right w:val="none" w:sz="0" w:space="12" w:color="auto"/>
              </w:divBdr>
              <w:divsChild>
                <w:div w:id="1070494856">
                  <w:marLeft w:val="0"/>
                  <w:marRight w:val="0"/>
                  <w:marTop w:val="0"/>
                  <w:marBottom w:val="0"/>
                  <w:divBdr>
                    <w:top w:val="none" w:sz="0" w:space="0" w:color="auto"/>
                    <w:left w:val="none" w:sz="0" w:space="0" w:color="auto"/>
                    <w:bottom w:val="none" w:sz="0" w:space="0" w:color="auto"/>
                    <w:right w:val="none" w:sz="0" w:space="0" w:color="auto"/>
                  </w:divBdr>
                  <w:divsChild>
                    <w:div w:id="459997879">
                      <w:marLeft w:val="0"/>
                      <w:marRight w:val="0"/>
                      <w:marTop w:val="0"/>
                      <w:marBottom w:val="0"/>
                      <w:divBdr>
                        <w:top w:val="none" w:sz="0" w:space="0" w:color="auto"/>
                        <w:left w:val="none" w:sz="0" w:space="0" w:color="auto"/>
                        <w:bottom w:val="none" w:sz="0" w:space="0" w:color="auto"/>
                        <w:right w:val="none" w:sz="0" w:space="0" w:color="auto"/>
                      </w:divBdr>
                      <w:divsChild>
                        <w:div w:id="2085952928">
                          <w:marLeft w:val="0"/>
                          <w:marRight w:val="0"/>
                          <w:marTop w:val="0"/>
                          <w:marBottom w:val="0"/>
                          <w:divBdr>
                            <w:top w:val="none" w:sz="0" w:space="0" w:color="auto"/>
                            <w:left w:val="none" w:sz="0" w:space="0" w:color="auto"/>
                            <w:bottom w:val="none" w:sz="0" w:space="0" w:color="auto"/>
                            <w:right w:val="none" w:sz="0" w:space="0" w:color="auto"/>
                          </w:divBdr>
                          <w:divsChild>
                            <w:div w:id="1897547891">
                              <w:marLeft w:val="0"/>
                              <w:marRight w:val="0"/>
                              <w:marTop w:val="0"/>
                              <w:marBottom w:val="0"/>
                              <w:divBdr>
                                <w:top w:val="none" w:sz="0" w:space="0" w:color="auto"/>
                                <w:left w:val="none" w:sz="0" w:space="0" w:color="auto"/>
                                <w:bottom w:val="none" w:sz="0" w:space="0" w:color="auto"/>
                                <w:right w:val="none" w:sz="0" w:space="0" w:color="auto"/>
                              </w:divBdr>
                              <w:divsChild>
                                <w:div w:id="11546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562878">
          <w:marLeft w:val="465"/>
          <w:marRight w:val="0"/>
          <w:marTop w:val="0"/>
          <w:marBottom w:val="0"/>
          <w:divBdr>
            <w:top w:val="none" w:sz="0" w:space="0" w:color="auto"/>
            <w:left w:val="none" w:sz="0" w:space="0" w:color="auto"/>
            <w:bottom w:val="none" w:sz="0" w:space="0" w:color="auto"/>
            <w:right w:val="none" w:sz="0" w:space="0" w:color="auto"/>
          </w:divBdr>
          <w:divsChild>
            <w:div w:id="283733172">
              <w:marLeft w:val="0"/>
              <w:marRight w:val="0"/>
              <w:marTop w:val="0"/>
              <w:marBottom w:val="0"/>
              <w:divBdr>
                <w:top w:val="none" w:sz="0" w:space="0" w:color="auto"/>
                <w:left w:val="none" w:sz="0" w:space="12" w:color="auto"/>
                <w:bottom w:val="none" w:sz="0" w:space="0" w:color="auto"/>
                <w:right w:val="none" w:sz="0" w:space="12" w:color="auto"/>
              </w:divBdr>
              <w:divsChild>
                <w:div w:id="1284768318">
                  <w:marLeft w:val="0"/>
                  <w:marRight w:val="0"/>
                  <w:marTop w:val="0"/>
                  <w:marBottom w:val="0"/>
                  <w:divBdr>
                    <w:top w:val="none" w:sz="0" w:space="0" w:color="auto"/>
                    <w:left w:val="none" w:sz="0" w:space="0" w:color="auto"/>
                    <w:bottom w:val="none" w:sz="0" w:space="0" w:color="auto"/>
                    <w:right w:val="none" w:sz="0" w:space="0" w:color="auto"/>
                  </w:divBdr>
                  <w:divsChild>
                    <w:div w:id="109856882">
                      <w:marLeft w:val="0"/>
                      <w:marRight w:val="0"/>
                      <w:marTop w:val="0"/>
                      <w:marBottom w:val="0"/>
                      <w:divBdr>
                        <w:top w:val="none" w:sz="0" w:space="0" w:color="auto"/>
                        <w:left w:val="none" w:sz="0" w:space="0" w:color="auto"/>
                        <w:bottom w:val="none" w:sz="0" w:space="0" w:color="auto"/>
                        <w:right w:val="none" w:sz="0" w:space="0" w:color="auto"/>
                      </w:divBdr>
                      <w:divsChild>
                        <w:div w:id="1508322033">
                          <w:marLeft w:val="0"/>
                          <w:marRight w:val="0"/>
                          <w:marTop w:val="0"/>
                          <w:marBottom w:val="0"/>
                          <w:divBdr>
                            <w:top w:val="none" w:sz="0" w:space="0" w:color="auto"/>
                            <w:left w:val="none" w:sz="0" w:space="0" w:color="auto"/>
                            <w:bottom w:val="none" w:sz="0" w:space="0" w:color="auto"/>
                            <w:right w:val="none" w:sz="0" w:space="0" w:color="auto"/>
                          </w:divBdr>
                          <w:divsChild>
                            <w:div w:id="104621322">
                              <w:marLeft w:val="0"/>
                              <w:marRight w:val="0"/>
                              <w:marTop w:val="0"/>
                              <w:marBottom w:val="0"/>
                              <w:divBdr>
                                <w:top w:val="none" w:sz="0" w:space="0" w:color="auto"/>
                                <w:left w:val="none" w:sz="0" w:space="0" w:color="auto"/>
                                <w:bottom w:val="none" w:sz="0" w:space="0" w:color="auto"/>
                                <w:right w:val="none" w:sz="0" w:space="0" w:color="auto"/>
                              </w:divBdr>
                              <w:divsChild>
                                <w:div w:id="16774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336875">
      <w:bodyDiv w:val="1"/>
      <w:marLeft w:val="0"/>
      <w:marRight w:val="0"/>
      <w:marTop w:val="0"/>
      <w:marBottom w:val="0"/>
      <w:divBdr>
        <w:top w:val="none" w:sz="0" w:space="0" w:color="auto"/>
        <w:left w:val="none" w:sz="0" w:space="0" w:color="auto"/>
        <w:bottom w:val="none" w:sz="0" w:space="0" w:color="auto"/>
        <w:right w:val="none" w:sz="0" w:space="0" w:color="auto"/>
      </w:divBdr>
      <w:divsChild>
        <w:div w:id="2041587988">
          <w:marLeft w:val="0"/>
          <w:marRight w:val="0"/>
          <w:marTop w:val="0"/>
          <w:marBottom w:val="0"/>
          <w:divBdr>
            <w:top w:val="none" w:sz="0" w:space="0" w:color="auto"/>
            <w:left w:val="none" w:sz="0" w:space="0" w:color="auto"/>
            <w:bottom w:val="none" w:sz="0" w:space="0" w:color="auto"/>
            <w:right w:val="none" w:sz="0" w:space="0" w:color="auto"/>
          </w:divBdr>
          <w:divsChild>
            <w:div w:id="2100832058">
              <w:marLeft w:val="0"/>
              <w:marRight w:val="0"/>
              <w:marTop w:val="0"/>
              <w:marBottom w:val="0"/>
              <w:divBdr>
                <w:top w:val="none" w:sz="0" w:space="0" w:color="auto"/>
                <w:left w:val="none" w:sz="0" w:space="0" w:color="auto"/>
                <w:bottom w:val="none" w:sz="0" w:space="0" w:color="auto"/>
                <w:right w:val="none" w:sz="0" w:space="0" w:color="auto"/>
              </w:divBdr>
              <w:divsChild>
                <w:div w:id="3259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4038">
      <w:bodyDiv w:val="1"/>
      <w:marLeft w:val="0"/>
      <w:marRight w:val="0"/>
      <w:marTop w:val="0"/>
      <w:marBottom w:val="0"/>
      <w:divBdr>
        <w:top w:val="none" w:sz="0" w:space="0" w:color="auto"/>
        <w:left w:val="none" w:sz="0" w:space="0" w:color="auto"/>
        <w:bottom w:val="none" w:sz="0" w:space="0" w:color="auto"/>
        <w:right w:val="none" w:sz="0" w:space="0" w:color="auto"/>
      </w:divBdr>
    </w:div>
    <w:div w:id="1980525921">
      <w:bodyDiv w:val="1"/>
      <w:marLeft w:val="0"/>
      <w:marRight w:val="0"/>
      <w:marTop w:val="0"/>
      <w:marBottom w:val="0"/>
      <w:divBdr>
        <w:top w:val="none" w:sz="0" w:space="0" w:color="auto"/>
        <w:left w:val="none" w:sz="0" w:space="0" w:color="auto"/>
        <w:bottom w:val="none" w:sz="0" w:space="0" w:color="auto"/>
        <w:right w:val="none" w:sz="0" w:space="0" w:color="auto"/>
      </w:divBdr>
      <w:divsChild>
        <w:div w:id="262543375">
          <w:marLeft w:val="0"/>
          <w:marRight w:val="0"/>
          <w:marTop w:val="0"/>
          <w:marBottom w:val="0"/>
          <w:divBdr>
            <w:top w:val="none" w:sz="0" w:space="0" w:color="auto"/>
            <w:left w:val="none" w:sz="0" w:space="0" w:color="auto"/>
            <w:bottom w:val="none" w:sz="0" w:space="0" w:color="auto"/>
            <w:right w:val="none" w:sz="0" w:space="0" w:color="auto"/>
          </w:divBdr>
          <w:divsChild>
            <w:div w:id="2138720875">
              <w:marLeft w:val="0"/>
              <w:marRight w:val="0"/>
              <w:marTop w:val="0"/>
              <w:marBottom w:val="0"/>
              <w:divBdr>
                <w:top w:val="none" w:sz="0" w:space="0" w:color="auto"/>
                <w:left w:val="none" w:sz="0" w:space="0" w:color="auto"/>
                <w:bottom w:val="none" w:sz="0" w:space="0" w:color="auto"/>
                <w:right w:val="none" w:sz="0" w:space="0" w:color="auto"/>
              </w:divBdr>
              <w:divsChild>
                <w:div w:id="6753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19FFB-96DD-4128-A9F8-A665A40B07B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F568448-AE89-4B15-AED5-DF6C733351F5}">
  <ds:schemaRefs>
    <ds:schemaRef ds:uri="http://schemas.microsoft.com/sharepoint/v3/contenttype/forms"/>
  </ds:schemaRefs>
</ds:datastoreItem>
</file>

<file path=customXml/itemProps3.xml><?xml version="1.0" encoding="utf-8"?>
<ds:datastoreItem xmlns:ds="http://schemas.openxmlformats.org/officeDocument/2006/customXml" ds:itemID="{0FB34D0A-92A0-4F0F-93C4-A0A22A0AD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5303</Words>
  <Characters>29170</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cp:lastModifiedBy>
  <cp:revision>4</cp:revision>
  <dcterms:created xsi:type="dcterms:W3CDTF">2021-05-19T13:30:00Z</dcterms:created>
  <dcterms:modified xsi:type="dcterms:W3CDTF">2021-06-15T15:00:00Z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