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A309E0" w:rsidR="00A309E0" w:rsidP="00A309E0" w:rsidRDefault="00A309E0" w14:paraId="53EA37CF" w14:textId="77777777">
      <w:pPr>
        <w:spacing w:after="0" w:line="240" w:lineRule="auto"/>
        <w:jc w:val="both"/>
        <w:rPr>
          <w:rFonts w:ascii="Arial" w:hAnsi="Arial" w:eastAsia="Arial" w:cs="Arial"/>
          <w:color w:val="000000"/>
          <w:lang w:val="es-MX" w:eastAsia="es-ES_tradnl"/>
        </w:rPr>
      </w:pPr>
      <w:bookmarkStart w:name="_GoBack" w:id="0"/>
      <w:bookmarkEnd w:id="0"/>
      <w:r w:rsidRPr="00A309E0">
        <w:rPr>
          <w:rFonts w:ascii="Arial" w:hAnsi="Arial" w:eastAsia="Arial" w:cs="Arial"/>
          <w:b/>
          <w:color w:val="000000"/>
          <w:lang w:val="es-MX" w:eastAsia="es-ES_tradnl"/>
        </w:rPr>
        <w:t>EXPEDIENTE CONTRACTUAL – Fundamento Legal</w:t>
      </w:r>
    </w:p>
    <w:p w:rsidRPr="00A309E0" w:rsidR="00A309E0" w:rsidP="00A309E0" w:rsidRDefault="00A309E0" w14:paraId="5B6BD8C3" w14:textId="77777777">
      <w:pPr>
        <w:spacing w:after="0" w:line="240" w:lineRule="auto"/>
        <w:jc w:val="both"/>
        <w:rPr>
          <w:rFonts w:ascii="Arial" w:hAnsi="Arial" w:eastAsia="Arial" w:cs="Arial"/>
          <w:color w:val="000000"/>
          <w:lang w:val="es-MX" w:eastAsia="es-ES_tradnl"/>
        </w:rPr>
      </w:pPr>
    </w:p>
    <w:p w:rsidRPr="00A309E0" w:rsidR="00A309E0" w:rsidP="00A309E0" w:rsidRDefault="00A309E0" w14:paraId="5367A581" w14:textId="77777777">
      <w:pPr>
        <w:spacing w:before="120" w:after="0" w:line="240" w:lineRule="auto"/>
        <w:jc w:val="both"/>
        <w:rPr>
          <w:rFonts w:ascii="Arial" w:hAnsi="Arial" w:eastAsia="Arial" w:cs="Arial"/>
          <w:color w:val="000000"/>
          <w:sz w:val="20"/>
          <w:szCs w:val="20"/>
          <w:lang w:val="es-MX" w:eastAsia="es-ES_tradnl"/>
        </w:rPr>
      </w:pPr>
      <w:r w:rsidRPr="00A309E0">
        <w:rPr>
          <w:rFonts w:ascii="Arial" w:hAnsi="Arial" w:eastAsia="Calibri" w:cs="Arial"/>
          <w:color w:val="000000" w:themeColor="text1"/>
          <w:sz w:val="20"/>
          <w:szCs w:val="20"/>
        </w:rPr>
        <w:t>La Ley 594 de 2000 estableció como obligación del Estado crear, organizar, preservar y controlar los archivos, teniendo en cuenta los principios de procedencia y orden original, el ciclo vital de los documentos y la normatividad archivística (artículo 11). Por lo tanto, al Archivo General de la Nación en razón de sus competencias ha expedido normatividad tendiente a coadyuvar a la eficacia de la gestión del Estado y salvaguardar el patrimonio documental de la Nación (artículo 4º, literal e). Entre tales normas está el Acuerdo 002 de 2014 que reitera la obligación en la que están las entidades públicas de crear y conformar expedientes de archivo con la totalidad de los documentos que se gestionan en desarrollo de un mismo trámite (artículo 4º).</w:t>
      </w:r>
    </w:p>
    <w:p w:rsidRPr="00A309E0" w:rsidR="00A309E0" w:rsidP="00A309E0" w:rsidRDefault="00A309E0" w14:paraId="4A451895" w14:textId="77777777">
      <w:pPr>
        <w:spacing w:after="0" w:line="240" w:lineRule="auto"/>
        <w:rPr>
          <w:rFonts w:ascii="Arial" w:hAnsi="Arial" w:eastAsia="Times New Roman" w:cs="Arial"/>
          <w:shd w:val="clear" w:color="auto" w:fill="E6E6E6"/>
          <w:lang w:val="es-MX" w:eastAsia="es-CO"/>
        </w:rPr>
      </w:pPr>
    </w:p>
    <w:p w:rsidRPr="00A309E0" w:rsidR="00A309E0" w:rsidP="00A309E0" w:rsidRDefault="00A309E0" w14:paraId="57CCFA59" w14:textId="77777777">
      <w:pPr>
        <w:spacing w:after="0" w:line="240" w:lineRule="auto"/>
        <w:jc w:val="both"/>
        <w:rPr>
          <w:rFonts w:ascii="Arial" w:hAnsi="Arial" w:eastAsia="Calibri" w:cs="Arial"/>
          <w:b/>
          <w:color w:val="000000" w:themeColor="text1"/>
          <w:lang w:val="es-ES_tradnl"/>
        </w:rPr>
      </w:pPr>
      <w:r w:rsidRPr="00A309E0">
        <w:rPr>
          <w:rFonts w:ascii="Arial" w:hAnsi="Arial" w:eastAsia="Calibri" w:cs="Arial"/>
          <w:b/>
          <w:color w:val="000000" w:themeColor="text1"/>
          <w:lang w:val="es-ES_tradnl"/>
        </w:rPr>
        <w:t>DOCUMENTOS DEL PROCESO – Definición legal - Decreto 1082 de 2015: Artículo 2.2.1.1.1.3.1.- Definiciones</w:t>
      </w:r>
    </w:p>
    <w:p w:rsidRPr="00A309E0" w:rsidR="00A309E0" w:rsidP="00A309E0" w:rsidRDefault="00A309E0" w14:paraId="6DAD0996" w14:textId="77777777">
      <w:pPr>
        <w:spacing w:after="0" w:line="240" w:lineRule="auto"/>
        <w:jc w:val="both"/>
        <w:rPr>
          <w:rFonts w:ascii="Arial" w:hAnsi="Arial" w:eastAsia="Calibri" w:cs="Arial"/>
          <w:color w:val="000000" w:themeColor="text1"/>
          <w:lang w:val="es-ES_tradnl"/>
        </w:rPr>
      </w:pPr>
    </w:p>
    <w:p w:rsidRPr="00A309E0" w:rsidR="00A309E0" w:rsidP="00A309E0" w:rsidRDefault="00A309E0" w14:paraId="2255B6DB" w14:textId="77777777">
      <w:pPr>
        <w:spacing w:after="0" w:line="240" w:lineRule="auto"/>
        <w:jc w:val="both"/>
        <w:rPr>
          <w:rFonts w:ascii="Arial" w:hAnsi="Arial" w:eastAsia="Calibri" w:cs="Arial"/>
          <w:color w:val="000000" w:themeColor="text1"/>
          <w:sz w:val="20"/>
          <w:szCs w:val="20"/>
          <w:lang w:val="es-ES_tradnl"/>
        </w:rPr>
      </w:pPr>
      <w:r w:rsidRPr="00A309E0">
        <w:rPr>
          <w:rFonts w:ascii="Arial" w:hAnsi="Arial" w:eastAsia="Calibri" w:cs="Arial"/>
          <w:color w:val="000000" w:themeColor="text1"/>
          <w:sz w:val="20"/>
          <w:szCs w:val="20"/>
          <w:lang w:val="es-ES_tradnl"/>
        </w:rPr>
        <w:t>Conforme al precepto legal, los documentos que componen el expediente contractual se consolidan en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rsidRPr="00A309E0" w:rsidR="00A309E0" w:rsidP="00A309E0" w:rsidRDefault="00A309E0" w14:paraId="4D54B0AC" w14:textId="77777777">
      <w:pPr>
        <w:spacing w:after="0" w:line="240" w:lineRule="auto"/>
        <w:jc w:val="both"/>
        <w:rPr>
          <w:rFonts w:ascii="Arial" w:hAnsi="Arial" w:eastAsia="Calibri" w:cs="Arial"/>
          <w:color w:val="000000" w:themeColor="text1"/>
          <w:sz w:val="20"/>
          <w:szCs w:val="20"/>
          <w:lang w:val="es-ES_tradnl"/>
        </w:rPr>
      </w:pPr>
    </w:p>
    <w:p w:rsidRPr="00A309E0" w:rsidR="00A309E0" w:rsidP="00A309E0" w:rsidRDefault="00A309E0" w14:paraId="450A8A67" w14:textId="77777777">
      <w:pPr>
        <w:spacing w:after="0" w:line="240" w:lineRule="auto"/>
        <w:jc w:val="both"/>
        <w:rPr>
          <w:rFonts w:ascii="Arial" w:hAnsi="Arial" w:eastAsia="Calibri" w:cs="Arial"/>
          <w:b/>
          <w:color w:val="000000" w:themeColor="text1"/>
          <w:lang w:val="es-ES_tradnl"/>
        </w:rPr>
      </w:pPr>
      <w:r w:rsidRPr="00A309E0">
        <w:rPr>
          <w:rFonts w:ascii="Arial" w:hAnsi="Arial" w:eastAsia="Calibri" w:cs="Arial"/>
          <w:b/>
          <w:color w:val="000000" w:themeColor="text1"/>
          <w:lang w:val="es-ES_tradnl"/>
        </w:rPr>
        <w:t xml:space="preserve">EXPEDIENTE ELECTRÓNICO </w:t>
      </w:r>
      <w:r w:rsidRPr="00A309E0">
        <w:rPr>
          <w:rFonts w:ascii="Arial" w:hAnsi="Arial" w:eastAsia="Calibri" w:cs="Arial"/>
          <w:b/>
          <w:color w:val="000000" w:themeColor="text1"/>
          <w:lang w:val="es-MX"/>
        </w:rPr>
        <w:t xml:space="preserve">– </w:t>
      </w:r>
      <w:r w:rsidRPr="00A309E0">
        <w:rPr>
          <w:rFonts w:ascii="Arial" w:hAnsi="Arial" w:eastAsia="Calibri" w:cs="Arial"/>
          <w:b/>
          <w:color w:val="000000" w:themeColor="text1"/>
          <w:lang w:val="es-ES_tradnl"/>
        </w:rPr>
        <w:t xml:space="preserve">SECOP II </w:t>
      </w:r>
    </w:p>
    <w:p w:rsidRPr="00A309E0" w:rsidR="00A309E0" w:rsidP="00A309E0" w:rsidRDefault="00A309E0" w14:paraId="406C7C0B" w14:textId="77777777">
      <w:pPr>
        <w:spacing w:after="0" w:line="240" w:lineRule="auto"/>
        <w:jc w:val="both"/>
        <w:rPr>
          <w:rFonts w:ascii="Arial" w:hAnsi="Arial" w:eastAsia="Calibri" w:cs="Arial"/>
          <w:color w:val="000000" w:themeColor="text1"/>
          <w:sz w:val="20"/>
          <w:szCs w:val="20"/>
          <w:lang w:val="es-ES_tradnl"/>
        </w:rPr>
      </w:pPr>
    </w:p>
    <w:p w:rsidRPr="00A309E0" w:rsidR="00A309E0" w:rsidP="00A309E0" w:rsidRDefault="00A309E0" w14:paraId="1CDF77AF" w14:textId="77777777">
      <w:pPr>
        <w:spacing w:after="120" w:line="240" w:lineRule="auto"/>
        <w:jc w:val="both"/>
        <w:rPr>
          <w:rFonts w:ascii="Arial" w:hAnsi="Arial" w:eastAsia="Calibri" w:cs="Arial"/>
          <w:color w:val="000000" w:themeColor="text1"/>
          <w:sz w:val="20"/>
          <w:szCs w:val="20"/>
          <w:lang w:val="es-ES_tradnl"/>
        </w:rPr>
      </w:pPr>
      <w:r w:rsidRPr="00A309E0">
        <w:rPr>
          <w:rFonts w:ascii="Arial" w:hAnsi="Arial" w:eastAsia="Calibri" w:cs="Arial"/>
          <w:color w:val="000000" w:themeColor="text1"/>
          <w:sz w:val="20"/>
          <w:szCs w:val="20"/>
          <w:lang w:val="es-ES_tradnl"/>
        </w:rPr>
        <w:t xml:space="preserve">A similares conclusiones se puede llegar en lo que tiene que ver con los documentos electrónicos que conforman el expediente del SECOP II, pues, como se lee en la Circular Única Externa de Colombia Compra Eficiente, tales documentos “son válidos y tienen valor probatorio de conformidad con el Código de Procedimiento Administrativo y de lo Contencioso Administrativo, y con el Código General del Proceso”. Tal conclusión, como se observa en el documento transcrito, tiene fundamento en el artículo 3 de la Ley 1150 de 2007. </w:t>
      </w:r>
    </w:p>
    <w:p w:rsidRPr="00A309E0" w:rsidR="00A309E0" w:rsidP="00A309E0" w:rsidRDefault="00A309E0" w14:paraId="43FF2534" w14:textId="77777777">
      <w:pPr>
        <w:spacing w:after="0" w:line="240" w:lineRule="auto"/>
        <w:jc w:val="both"/>
        <w:rPr>
          <w:rFonts w:ascii="Arial" w:hAnsi="Arial" w:eastAsia="Calibri" w:cs="Arial"/>
          <w:color w:val="000000" w:themeColor="text1"/>
          <w:sz w:val="20"/>
          <w:szCs w:val="20"/>
          <w:lang w:val="es-ES_tradnl"/>
        </w:rPr>
      </w:pPr>
      <w:r w:rsidRPr="00A309E0">
        <w:rPr>
          <w:rFonts w:ascii="Arial" w:hAnsi="Arial" w:eastAsia="Calibri" w:cs="Arial"/>
          <w:color w:val="000000" w:themeColor="text1"/>
          <w:sz w:val="20"/>
          <w:szCs w:val="20"/>
          <w:lang w:val="es-ES_tradnl"/>
        </w:rPr>
        <w:t>Puede decirse, entonces, que, para los efectos relacionados con el proceso de contratación estatal, los documentos contenidos en el expediente digital de la actuación adelantada en la plataforma SECOP II, tienen plenos efectos probatorios, sin distingo que contengan la firma manuscrita de las partes del contrato estatal. Lo que se buscó con la implementación de una plataforma transaccional −no solo de publicidad−, precisamente, es que las partes puedan gestionar el negocio jurídico por medios virtuales, de no ser así no hubiera sido necesaria la sustitución del SECOP I, plataforma de publicidad en la que correspondía a las entidades cargar los documentos previamente diligenciados y firmados.</w:t>
      </w:r>
    </w:p>
    <w:p w:rsidRPr="00A309E0" w:rsidR="00A309E0" w:rsidP="00A309E0" w:rsidRDefault="00A309E0" w14:paraId="2E43114F" w14:textId="77777777">
      <w:pPr>
        <w:spacing w:after="0" w:line="240" w:lineRule="auto"/>
        <w:rPr>
          <w:rFonts w:ascii="Arial" w:hAnsi="Arial" w:eastAsia="Times New Roman" w:cs="Arial"/>
          <w:shd w:val="clear" w:color="auto" w:fill="E6E6E6"/>
          <w:lang w:val="es-MX" w:eastAsia="es-CO"/>
        </w:rPr>
      </w:pPr>
    </w:p>
    <w:p w:rsidRPr="00A309E0" w:rsidR="00A309E0" w:rsidP="00A309E0" w:rsidRDefault="00A309E0" w14:paraId="5DFBE03C" w14:textId="77777777">
      <w:pPr>
        <w:spacing w:after="0" w:line="240" w:lineRule="auto"/>
        <w:rPr>
          <w:rFonts w:ascii="Arial" w:hAnsi="Arial" w:eastAsia="Times New Roman" w:cs="Arial"/>
          <w:shd w:val="clear" w:color="auto" w:fill="E6E6E6"/>
          <w:lang w:val="es-MX" w:eastAsia="es-CO"/>
        </w:rPr>
      </w:pPr>
    </w:p>
    <w:p w:rsidRPr="00A309E0" w:rsidR="00A309E0" w:rsidP="00A309E0" w:rsidRDefault="00A309E0" w14:paraId="22D64427" w14:textId="77777777">
      <w:pPr>
        <w:spacing w:after="0" w:line="240" w:lineRule="auto"/>
        <w:rPr>
          <w:rFonts w:ascii="Arial" w:hAnsi="Arial" w:eastAsia="Times New Roman" w:cs="Arial"/>
          <w:shd w:val="clear" w:color="auto" w:fill="E6E6E6"/>
          <w:lang w:val="es-MX" w:eastAsia="es-CO"/>
        </w:rPr>
      </w:pPr>
    </w:p>
    <w:p w:rsidRPr="00A309E0" w:rsidR="00A309E0" w:rsidP="09F33B12" w:rsidRDefault="00A309E0" w14:paraId="77C9ED90" w14:textId="0F795BA2">
      <w:pPr>
        <w:pStyle w:val="Normal"/>
        <w:spacing w:after="0" w:line="240" w:lineRule="auto"/>
        <w:rPr>
          <w:rFonts w:ascii="Arial" w:hAnsi="Arial" w:eastAsia="Times New Roman" w:cs="Arial"/>
          <w:shd w:val="clear" w:color="auto" w:fill="E6E6E6"/>
          <w:lang w:val="es-MX" w:eastAsia="es-CO"/>
        </w:rPr>
      </w:pPr>
    </w:p>
    <w:p w:rsidR="09F33B12" w:rsidP="09F33B12" w:rsidRDefault="09F33B12" w14:paraId="06B1D279" w14:textId="36F9D32E">
      <w:pPr>
        <w:pStyle w:val="Normal"/>
        <w:spacing w:after="0" w:line="240" w:lineRule="auto"/>
        <w:rPr>
          <w:rFonts w:ascii="Arial" w:hAnsi="Arial" w:eastAsia="Times New Roman" w:cs="Arial"/>
          <w:lang w:val="es-MX" w:eastAsia="es-CO"/>
        </w:rPr>
      </w:pPr>
    </w:p>
    <w:p w:rsidR="09F33B12" w:rsidP="09F33B12" w:rsidRDefault="09F33B12" w14:paraId="68133411" w14:textId="27D99319">
      <w:pPr>
        <w:pStyle w:val="Normal"/>
        <w:spacing w:after="0" w:line="240" w:lineRule="auto"/>
        <w:rPr>
          <w:rFonts w:ascii="Arial" w:hAnsi="Arial" w:eastAsia="Times New Roman" w:cs="Arial"/>
          <w:lang w:val="es-MX" w:eastAsia="es-CO"/>
        </w:rPr>
      </w:pPr>
    </w:p>
    <w:p w:rsidR="09F33B12" w:rsidP="09F33B12" w:rsidRDefault="09F33B12" w14:paraId="68963E69" w14:textId="6A81A993">
      <w:pPr>
        <w:pStyle w:val="Normal"/>
        <w:spacing w:after="0" w:line="240" w:lineRule="auto"/>
        <w:rPr>
          <w:rFonts w:ascii="Arial" w:hAnsi="Arial" w:eastAsia="Times New Roman" w:cs="Arial"/>
          <w:lang w:val="es-MX" w:eastAsia="es-CO"/>
        </w:rPr>
      </w:pPr>
    </w:p>
    <w:p w:rsidR="09F33B12" w:rsidP="09F33B12" w:rsidRDefault="09F33B12" w14:paraId="5D4D6FC9" w14:textId="1A73139C">
      <w:pPr>
        <w:pStyle w:val="Normal"/>
        <w:spacing w:after="0" w:line="240" w:lineRule="auto"/>
        <w:rPr>
          <w:rFonts w:ascii="Arial" w:hAnsi="Arial" w:eastAsia="Times New Roman" w:cs="Arial"/>
          <w:lang w:val="es-MX" w:eastAsia="es-CO"/>
        </w:rPr>
      </w:pPr>
    </w:p>
    <w:p w:rsidR="09F33B12" w:rsidP="09F33B12" w:rsidRDefault="09F33B12" w14:paraId="7EE5FE39" w14:textId="32659959">
      <w:pPr>
        <w:pStyle w:val="Normal"/>
        <w:spacing w:after="0" w:line="240" w:lineRule="auto"/>
        <w:rPr>
          <w:rFonts w:ascii="Arial" w:hAnsi="Arial" w:eastAsia="Times New Roman" w:cs="Arial"/>
          <w:lang w:val="es-MX" w:eastAsia="es-CO"/>
        </w:rPr>
      </w:pPr>
    </w:p>
    <w:p w:rsidR="09F33B12" w:rsidP="09F33B12" w:rsidRDefault="09F33B12" w14:paraId="1F164598" w14:textId="41432090">
      <w:pPr>
        <w:pStyle w:val="Normal"/>
        <w:spacing w:after="0" w:line="240" w:lineRule="auto"/>
        <w:rPr>
          <w:rFonts w:ascii="Arial" w:hAnsi="Arial" w:eastAsia="Times New Roman" w:cs="Arial"/>
          <w:lang w:val="es-MX" w:eastAsia="es-CO"/>
        </w:rPr>
      </w:pPr>
    </w:p>
    <w:p w:rsidR="09F33B12" w:rsidP="09F33B12" w:rsidRDefault="09F33B12" w14:paraId="1677907C" w14:textId="3216F84C">
      <w:pPr>
        <w:pStyle w:val="Normal"/>
        <w:spacing w:after="0" w:line="240" w:lineRule="auto"/>
        <w:rPr>
          <w:rFonts w:ascii="Arial" w:hAnsi="Arial" w:eastAsia="Times New Roman" w:cs="Arial"/>
          <w:lang w:val="es-MX" w:eastAsia="es-CO"/>
        </w:rPr>
      </w:pPr>
    </w:p>
    <w:p w:rsidR="09F33B12" w:rsidP="09F33B12" w:rsidRDefault="09F33B12" w14:paraId="3A86A9A5" w14:textId="4B7BFC79">
      <w:pPr>
        <w:pStyle w:val="Normal"/>
        <w:spacing w:after="0" w:line="240" w:lineRule="auto"/>
        <w:rPr>
          <w:rFonts w:ascii="Arial" w:hAnsi="Arial" w:eastAsia="Times New Roman" w:cs="Arial"/>
          <w:lang w:val="es-MX" w:eastAsia="es-CO"/>
        </w:rPr>
      </w:pPr>
    </w:p>
    <w:p w:rsidR="68C59162" w:rsidP="68C59162" w:rsidRDefault="68C59162" w14:paraId="1D8DB487" w14:textId="25258061">
      <w:pPr>
        <w:pStyle w:val="Normal"/>
        <w:spacing w:after="0" w:line="240" w:lineRule="auto"/>
        <w:rPr>
          <w:rFonts w:ascii="Arial" w:hAnsi="Arial" w:eastAsia="Times New Roman" w:cs="Arial"/>
          <w:lang w:val="es-MX" w:eastAsia="es-CO"/>
        </w:rPr>
      </w:pPr>
    </w:p>
    <w:p w:rsidR="68C59162" w:rsidP="68C59162" w:rsidRDefault="68C59162" w14:paraId="26A71F04" w14:textId="3627EAD8">
      <w:pPr>
        <w:pStyle w:val="Normal"/>
        <w:spacing w:after="0" w:line="240" w:lineRule="auto"/>
        <w:rPr>
          <w:rFonts w:ascii="Arial" w:hAnsi="Arial" w:eastAsia="Times New Roman" w:cs="Arial"/>
          <w:lang w:val="es-MX" w:eastAsia="es-CO"/>
        </w:rPr>
      </w:pPr>
    </w:p>
    <w:p w:rsidR="68C59162" w:rsidP="68C59162" w:rsidRDefault="68C59162" w14:paraId="75F2335B" w14:textId="24597031">
      <w:pPr>
        <w:pStyle w:val="Normal"/>
        <w:spacing w:after="0" w:line="240" w:lineRule="auto"/>
        <w:rPr>
          <w:rFonts w:ascii="Arial" w:hAnsi="Arial" w:eastAsia="Times New Roman" w:cs="Arial"/>
          <w:lang w:val="es-MX" w:eastAsia="es-CO"/>
        </w:rPr>
      </w:pPr>
    </w:p>
    <w:p w:rsidR="09F33B12" w:rsidP="09F33B12" w:rsidRDefault="09F33B12" w14:paraId="5086A6E6" w14:textId="1320C7D3">
      <w:pPr>
        <w:pStyle w:val="Normal"/>
        <w:spacing w:after="0" w:line="240" w:lineRule="auto"/>
        <w:rPr>
          <w:rFonts w:ascii="Arial" w:hAnsi="Arial" w:eastAsia="Times New Roman" w:cs="Arial"/>
          <w:lang w:val="es-MX" w:eastAsia="es-CO"/>
        </w:rPr>
      </w:pPr>
    </w:p>
    <w:p w:rsidR="09F33B12" w:rsidP="09F33B12" w:rsidRDefault="09F33B12" w14:paraId="3CA1E5FA" w14:textId="57310F5A">
      <w:pPr>
        <w:pStyle w:val="Normal"/>
        <w:spacing w:after="0" w:line="240" w:lineRule="auto"/>
        <w:rPr>
          <w:rFonts w:ascii="Arial" w:hAnsi="Arial" w:eastAsia="Times New Roman" w:cs="Arial"/>
          <w:lang w:val="es-MX" w:eastAsia="es-CO"/>
        </w:rPr>
      </w:pPr>
    </w:p>
    <w:p w:rsidRPr="00A309E0" w:rsidR="00A309E0" w:rsidP="00A309E0" w:rsidRDefault="00A309E0" w14:paraId="18ABA5E0" w14:textId="77777777">
      <w:pPr>
        <w:spacing w:after="0" w:line="240" w:lineRule="auto"/>
        <w:rPr>
          <w:rFonts w:ascii="Arial" w:hAnsi="Arial" w:eastAsia="Times New Roman" w:cs="Arial"/>
          <w:shd w:val="clear" w:color="auto" w:fill="E6E6E6"/>
          <w:lang w:val="es-MX" w:eastAsia="es-CO"/>
        </w:rPr>
      </w:pPr>
    </w:p>
    <w:p w:rsidRPr="00A309E0" w:rsidR="00A309E0" w:rsidP="00A309E0" w:rsidRDefault="00A309E0" w14:paraId="0C073FE5" w14:textId="77777777">
      <w:pPr>
        <w:spacing w:after="0" w:line="240" w:lineRule="auto"/>
        <w:rPr>
          <w:rFonts w:ascii="Arial" w:hAnsi="Arial" w:eastAsia="Times New Roman" w:cs="Arial"/>
          <w:shd w:val="clear" w:color="auto" w:fill="E6E6E6"/>
          <w:lang w:val="es-MX" w:eastAsia="es-CO"/>
        </w:rPr>
      </w:pPr>
    </w:p>
    <w:p w:rsidRPr="00A309E0" w:rsidR="00A309E0" w:rsidP="00A309E0" w:rsidRDefault="00A309E0" w14:paraId="0D2AEC8A" w14:textId="77777777">
      <w:pPr>
        <w:spacing w:after="0" w:line="240" w:lineRule="auto"/>
        <w:rPr>
          <w:rFonts w:ascii="Arial" w:hAnsi="Arial" w:eastAsia="Times New Roman" w:cs="Arial"/>
          <w:shd w:val="clear" w:color="auto" w:fill="E6E6E6"/>
          <w:lang w:val="es-MX" w:eastAsia="es-CO"/>
        </w:rPr>
      </w:pPr>
    </w:p>
    <w:p w:rsidRPr="00A309E0" w:rsidR="00A309E0" w:rsidP="09F33B12" w:rsidRDefault="00A309E0" w14:paraId="09039408" w14:textId="61699792">
      <w:pPr>
        <w:spacing w:after="0" w:line="240" w:lineRule="auto"/>
        <w:rPr>
          <w:rFonts w:ascii="Arial" w:hAnsi="Arial" w:eastAsia="Calibri" w:cs="Arial"/>
          <w:noProof/>
          <w:lang w:eastAsia="es-ES"/>
        </w:rPr>
      </w:pPr>
      <w:r w:rsidRPr="09F33B12" w:rsidR="00A309E0">
        <w:rPr>
          <w:rFonts w:ascii="Arial" w:hAnsi="Arial" w:eastAsia="Calibri" w:cs="Arial"/>
          <w:lang w:eastAsia="es-ES"/>
        </w:rPr>
        <w:t>Bogotá D.C., 27 de junio de 2023</w:t>
      </w:r>
    </w:p>
    <w:p w:rsidRPr="00A309E0" w:rsidR="00A309E0" w:rsidP="00A309E0" w:rsidRDefault="00A309E0" w14:paraId="6952B71E" w14:textId="77777777">
      <w:pPr>
        <w:spacing w:after="0" w:line="240" w:lineRule="auto"/>
        <w:rPr>
          <w:rFonts w:ascii="Arial" w:hAnsi="Arial" w:eastAsia="Calibri" w:cs="Arial"/>
          <w:lang w:val="es-ES" w:eastAsia="es-ES_tradnl"/>
        </w:rPr>
      </w:pPr>
    </w:p>
    <w:p w:rsidR="68C59162" w:rsidP="68C59162" w:rsidRDefault="68C59162" w14:paraId="54446033" w14:textId="094789E0">
      <w:pPr>
        <w:spacing w:after="0" w:line="240" w:lineRule="auto"/>
        <w:rPr>
          <w:rFonts w:ascii="Arial" w:hAnsi="Arial" w:eastAsia="Calibri" w:cs="Arial"/>
          <w:lang w:val="es-ES" w:eastAsia="es-ES"/>
        </w:rPr>
      </w:pPr>
    </w:p>
    <w:p w:rsidR="204D3377" w:rsidP="68C59162" w:rsidRDefault="204D3377" w14:paraId="26537D22" w14:textId="22C12F14">
      <w:pPr>
        <w:pStyle w:val="Normal"/>
        <w:spacing w:after="0" w:line="240" w:lineRule="auto"/>
        <w:jc w:val="right"/>
      </w:pPr>
      <w:r w:rsidR="204D3377">
        <w:drawing>
          <wp:inline wp14:editId="23892338" wp14:anchorId="49E0CD67">
            <wp:extent cx="2562225" cy="800100"/>
            <wp:effectExtent l="0" t="0" r="0" b="0"/>
            <wp:docPr id="2067440132" name="" title=""/>
            <wp:cNvGraphicFramePr>
              <a:graphicFrameLocks noChangeAspect="1"/>
            </wp:cNvGraphicFramePr>
            <a:graphic>
              <a:graphicData uri="http://schemas.openxmlformats.org/drawingml/2006/picture">
                <pic:pic>
                  <pic:nvPicPr>
                    <pic:cNvPr id="0" name=""/>
                    <pic:cNvPicPr/>
                  </pic:nvPicPr>
                  <pic:blipFill>
                    <a:blip r:embed="R5e831bed98844bf7">
                      <a:extLst>
                        <a:ext xmlns:a="http://schemas.openxmlformats.org/drawingml/2006/main" uri="{28A0092B-C50C-407E-A947-70E740481C1C}">
                          <a14:useLocalDpi val="0"/>
                        </a:ext>
                      </a:extLst>
                    </a:blip>
                    <a:stretch>
                      <a:fillRect/>
                    </a:stretch>
                  </pic:blipFill>
                  <pic:spPr>
                    <a:xfrm>
                      <a:off x="0" y="0"/>
                      <a:ext cx="2562225" cy="800100"/>
                    </a:xfrm>
                    <a:prstGeom prst="rect">
                      <a:avLst/>
                    </a:prstGeom>
                  </pic:spPr>
                </pic:pic>
              </a:graphicData>
            </a:graphic>
          </wp:inline>
        </w:drawing>
      </w:r>
    </w:p>
    <w:p w:rsidR="68C59162" w:rsidP="68C59162" w:rsidRDefault="68C59162" w14:paraId="24BDA33A" w14:textId="1DA57D5E">
      <w:pPr>
        <w:spacing w:after="0" w:line="240" w:lineRule="auto"/>
        <w:rPr>
          <w:rFonts w:ascii="Arial" w:hAnsi="Arial" w:eastAsia="Calibri" w:cs="Arial"/>
          <w:lang w:val="es-ES" w:eastAsia="es-ES"/>
        </w:rPr>
      </w:pPr>
    </w:p>
    <w:p w:rsidR="68C59162" w:rsidP="68C59162" w:rsidRDefault="68C59162" w14:paraId="6456BC44" w14:textId="1EA6E49B">
      <w:pPr>
        <w:spacing w:after="0" w:line="240" w:lineRule="auto"/>
        <w:rPr>
          <w:rFonts w:ascii="Arial" w:hAnsi="Arial" w:eastAsia="Calibri" w:cs="Arial"/>
          <w:lang w:val="es-ES" w:eastAsia="es-ES"/>
        </w:rPr>
      </w:pPr>
    </w:p>
    <w:p w:rsidR="68C59162" w:rsidP="68C59162" w:rsidRDefault="68C59162" w14:paraId="0D08C2D2" w14:textId="651118CA">
      <w:pPr>
        <w:spacing w:after="0" w:line="240" w:lineRule="auto"/>
        <w:rPr>
          <w:rFonts w:ascii="Arial" w:hAnsi="Arial" w:eastAsia="Calibri" w:cs="Arial"/>
          <w:lang w:val="es-ES" w:eastAsia="es-ES"/>
        </w:rPr>
      </w:pPr>
    </w:p>
    <w:p w:rsidRPr="00A309E0" w:rsidR="00A309E0" w:rsidP="00A309E0" w:rsidRDefault="00A309E0" w14:paraId="2547ED4A" w14:textId="77777777">
      <w:pPr>
        <w:spacing w:after="0" w:line="240" w:lineRule="auto"/>
        <w:rPr>
          <w:rFonts w:ascii="Arial" w:hAnsi="Arial" w:eastAsia="Calibri" w:cs="Arial"/>
          <w:lang w:val="es-ES" w:eastAsia="es-ES_tradnl"/>
        </w:rPr>
      </w:pPr>
      <w:r w:rsidRPr="00A309E0">
        <w:rPr>
          <w:rFonts w:ascii="Arial" w:hAnsi="Arial" w:eastAsia="Calibri" w:cs="Arial"/>
          <w:lang w:val="es-ES" w:eastAsia="es-ES_tradnl"/>
        </w:rPr>
        <w:t>Señora</w:t>
      </w:r>
    </w:p>
    <w:p w:rsidRPr="00A309E0" w:rsidR="00A309E0" w:rsidP="00A309E0" w:rsidRDefault="00A309E0" w14:paraId="5366FF3B" w14:textId="77777777">
      <w:pPr>
        <w:spacing w:after="0" w:line="240" w:lineRule="auto"/>
        <w:rPr>
          <w:rFonts w:ascii="Arial" w:hAnsi="Arial" w:eastAsia="Calibri" w:cs="Arial"/>
          <w:b/>
          <w:lang w:val="es-ES" w:eastAsia="es-ES_tradnl"/>
        </w:rPr>
      </w:pPr>
      <w:r w:rsidRPr="00A309E0">
        <w:rPr>
          <w:rFonts w:ascii="Arial" w:hAnsi="Arial" w:eastAsia="Calibri" w:cs="Arial"/>
          <w:b/>
          <w:lang w:val="es-ES" w:eastAsia="es-ES_tradnl"/>
        </w:rPr>
        <w:t>María Isabel Gil Ospina</w:t>
      </w:r>
    </w:p>
    <w:p w:rsidRPr="00A309E0" w:rsidR="00A309E0" w:rsidP="00A309E0" w:rsidRDefault="00A309E0" w14:paraId="315A61FC" w14:textId="77777777">
      <w:pPr>
        <w:spacing w:after="0" w:line="240" w:lineRule="auto"/>
        <w:rPr>
          <w:rFonts w:ascii="Arial" w:hAnsi="Arial" w:eastAsia="Calibri" w:cs="Arial"/>
          <w:szCs w:val="24"/>
          <w:lang w:val="es-ES_tradnl" w:eastAsia="es-ES_tradnl"/>
        </w:rPr>
      </w:pPr>
      <w:r w:rsidRPr="00A309E0">
        <w:rPr>
          <w:rFonts w:ascii="Arial" w:hAnsi="Arial" w:eastAsia="Calibri" w:cs="Arial"/>
          <w:lang w:val="es-ES" w:eastAsia="es-ES_tradnl"/>
        </w:rPr>
        <w:t xml:space="preserve">Bogotá </w:t>
      </w:r>
    </w:p>
    <w:p w:rsidRPr="00A309E0" w:rsidR="00A309E0" w:rsidP="00A309E0" w:rsidRDefault="00A309E0" w14:paraId="736DDB6F" w14:textId="77777777">
      <w:pPr>
        <w:spacing w:after="0" w:line="240" w:lineRule="auto"/>
        <w:ind w:left="2694"/>
        <w:rPr>
          <w:rFonts w:ascii="Arial" w:hAnsi="Arial" w:eastAsia="Calibri" w:cs="Arial"/>
          <w:b/>
          <w:bCs/>
          <w:lang w:val="es-ES" w:eastAsia="es-ES_tradnl"/>
        </w:rPr>
      </w:pPr>
      <w:r w:rsidRPr="00A309E0">
        <w:rPr>
          <w:rFonts w:ascii="Arial" w:hAnsi="Arial" w:eastAsia="Calibri" w:cs="Arial"/>
          <w:b/>
          <w:bCs/>
          <w:lang w:val="es-ES" w:eastAsia="es-ES_tradnl"/>
        </w:rPr>
        <w:t xml:space="preserve">     Concepto C</w:t>
      </w:r>
      <w:r w:rsidRPr="00A309E0">
        <w:rPr>
          <w:rFonts w:ascii="Arial" w:hAnsi="Arial" w:eastAsia="Calibri" w:cs="Arial"/>
          <w:b/>
          <w:szCs w:val="24"/>
          <w:lang w:val="es-ES_tradnl" w:eastAsia="es-ES_tradnl"/>
        </w:rPr>
        <w:t>-217</w:t>
      </w:r>
      <w:r w:rsidRPr="00A309E0">
        <w:rPr>
          <w:rFonts w:ascii="Arial" w:hAnsi="Arial" w:eastAsia="Calibri" w:cs="Arial"/>
          <w:b/>
          <w:bCs/>
          <w:lang w:val="es-ES" w:eastAsia="es-ES_tradnl"/>
        </w:rPr>
        <w:t xml:space="preserve"> de 2023</w:t>
      </w:r>
    </w:p>
    <w:p w:rsidRPr="00A309E0" w:rsidR="00A309E0" w:rsidP="00A309E0" w:rsidRDefault="00A309E0" w14:paraId="588817D3" w14:textId="77777777">
      <w:pPr>
        <w:spacing w:after="0" w:line="240" w:lineRule="auto"/>
        <w:jc w:val="both"/>
        <w:rPr>
          <w:rFonts w:ascii="Arial" w:hAnsi="Arial" w:eastAsia="Calibri" w:cs="Arial"/>
          <w:szCs w:val="24"/>
          <w:lang w:val="es-ES_tradnl" w:eastAsia="es-ES_tradnl"/>
        </w:rPr>
      </w:pPr>
    </w:p>
    <w:tbl>
      <w:tblPr>
        <w:tblStyle w:val="Tablaconcuadrcula1"/>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A309E0" w:rsidR="00A309E0" w:rsidTr="00A01CE6" w14:paraId="328D35D7" w14:textId="77777777">
        <w:trPr>
          <w:jc w:val="right"/>
        </w:trPr>
        <w:tc>
          <w:tcPr>
            <w:tcW w:w="1838" w:type="dxa"/>
          </w:tcPr>
          <w:p w:rsidRPr="00A309E0" w:rsidR="00A309E0" w:rsidP="00A309E0" w:rsidRDefault="00A309E0" w14:paraId="7806E612" w14:textId="77777777">
            <w:pPr>
              <w:spacing w:before="100" w:beforeAutospacing="1" w:afterAutospacing="1"/>
              <w:jc w:val="center"/>
              <w:rPr>
                <w:rFonts w:ascii="Arial" w:hAnsi="Arial" w:eastAsia="Calibri" w:cs="Arial"/>
                <w:szCs w:val="24"/>
                <w:lang w:val="es-ES_tradnl" w:eastAsia="es-ES_tradnl"/>
              </w:rPr>
            </w:pPr>
            <w:r w:rsidRPr="00A309E0">
              <w:rPr>
                <w:rFonts w:ascii="Arial" w:hAnsi="Arial" w:eastAsia="Calibri" w:cs="Arial"/>
                <w:b/>
                <w:szCs w:val="24"/>
                <w:lang w:val="es-ES_tradnl" w:eastAsia="es-ES_tradnl"/>
              </w:rPr>
              <w:t>Temas:</w:t>
            </w:r>
          </w:p>
        </w:tc>
        <w:tc>
          <w:tcPr>
            <w:tcW w:w="6237" w:type="dxa"/>
          </w:tcPr>
          <w:p w:rsidRPr="00A309E0" w:rsidR="00A309E0" w:rsidP="00A309E0" w:rsidRDefault="00A309E0" w14:paraId="3BB53A60" w14:textId="77777777">
            <w:pPr>
              <w:spacing w:before="100" w:beforeAutospacing="1" w:afterAutospacing="1"/>
              <w:jc w:val="both"/>
              <w:rPr>
                <w:rFonts w:ascii="Arial" w:hAnsi="Arial" w:eastAsia="Calibri" w:cs="Arial"/>
                <w:bCs/>
                <w:szCs w:val="24"/>
                <w:highlight w:val="yellow"/>
                <w:lang w:val="es-ES_tradnl" w:eastAsia="es-ES_tradnl"/>
              </w:rPr>
            </w:pPr>
            <w:r w:rsidRPr="00A309E0">
              <w:rPr>
                <w:rFonts w:ascii="Arial" w:hAnsi="Arial" w:eastAsia="Calibri" w:cs="Arial"/>
                <w:bCs/>
                <w:szCs w:val="24"/>
                <w:lang w:val="es-ES_tradnl" w:eastAsia="es-ES_tradnl"/>
              </w:rPr>
              <w:t>EXPEDIENTE CONTRACTUAL– Fundamento Legal / DOCUMENTOS DEL PROCESO – Definición legal - Decreto 1082 de 2015: Artículo 2.2.1.1.1.3.1. / EXPEDIENTE ELECTRÓNICO – SECOP II.</w:t>
            </w:r>
          </w:p>
        </w:tc>
      </w:tr>
      <w:tr w:rsidRPr="00A309E0" w:rsidR="00A309E0" w:rsidTr="00A01CE6" w14:paraId="664BB9EE" w14:textId="77777777">
        <w:trPr>
          <w:jc w:val="right"/>
        </w:trPr>
        <w:tc>
          <w:tcPr>
            <w:tcW w:w="1838" w:type="dxa"/>
          </w:tcPr>
          <w:p w:rsidRPr="00A309E0" w:rsidR="00A309E0" w:rsidP="00A309E0" w:rsidRDefault="00A309E0" w14:paraId="6E573F16" w14:textId="77777777">
            <w:pPr>
              <w:spacing w:before="120" w:beforeAutospacing="1" w:afterAutospacing="1"/>
              <w:jc w:val="center"/>
              <w:rPr>
                <w:rFonts w:ascii="Arial" w:hAnsi="Arial" w:eastAsia="Calibri" w:cs="Arial"/>
                <w:b/>
                <w:lang w:val="es-ES" w:eastAsia="es-ES_tradnl"/>
              </w:rPr>
            </w:pPr>
            <w:r w:rsidRPr="00A309E0">
              <w:rPr>
                <w:rFonts w:ascii="Arial" w:hAnsi="Arial" w:eastAsia="Calibri" w:cs="Arial"/>
                <w:b/>
                <w:lang w:val="es-ES" w:eastAsia="es-ES_tradnl"/>
              </w:rPr>
              <w:t>Radicación:</w:t>
            </w:r>
          </w:p>
        </w:tc>
        <w:tc>
          <w:tcPr>
            <w:tcW w:w="6237" w:type="dxa"/>
          </w:tcPr>
          <w:p w:rsidRPr="00A309E0" w:rsidR="00A309E0" w:rsidP="00A309E0" w:rsidRDefault="00A309E0" w14:paraId="241C21DC" w14:textId="77777777">
            <w:pPr>
              <w:spacing w:before="120" w:beforeAutospacing="1" w:afterAutospacing="1"/>
              <w:jc w:val="both"/>
              <w:rPr>
                <w:rFonts w:ascii="Arial" w:hAnsi="Arial" w:eastAsia="Calibri" w:cs="Arial"/>
                <w:lang w:val="es-ES" w:eastAsia="es-ES_tradnl"/>
              </w:rPr>
            </w:pPr>
            <w:r w:rsidRPr="00A309E0">
              <w:rPr>
                <w:rFonts w:ascii="Arial" w:hAnsi="Arial" w:eastAsia="Calibri" w:cs="Arial"/>
                <w:lang w:val="es-ES" w:eastAsia="es-ES_tradnl"/>
              </w:rPr>
              <w:t>Respuesta a consulta P20230512005078</w:t>
            </w:r>
            <w:r w:rsidRPr="00A309E0">
              <w:rPr>
                <w:rFonts w:ascii="Arial" w:hAnsi="Arial" w:eastAsia="Calibri" w:cs="Arial"/>
                <w:lang w:val="es-ES" w:eastAsia="es-ES_tradnl"/>
              </w:rPr>
              <w:tab/>
            </w:r>
          </w:p>
        </w:tc>
      </w:tr>
    </w:tbl>
    <w:p w:rsidRPr="00A309E0" w:rsidR="00A309E0" w:rsidP="00A309E0" w:rsidRDefault="00A309E0" w14:paraId="0228C478" w14:textId="77777777">
      <w:pPr>
        <w:spacing w:after="0" w:line="240" w:lineRule="auto"/>
        <w:jc w:val="both"/>
        <w:rPr>
          <w:rFonts w:ascii="Arial" w:hAnsi="Arial" w:eastAsia="Calibri" w:cs="Arial"/>
          <w:lang w:val="es-ES" w:eastAsia="es-ES_tradnl"/>
        </w:rPr>
      </w:pPr>
    </w:p>
    <w:p w:rsidRPr="00A309E0" w:rsidR="00A309E0" w:rsidP="00A309E0" w:rsidRDefault="00A309E0" w14:paraId="7105DD5F" w14:textId="77777777">
      <w:pPr>
        <w:spacing w:after="0" w:line="240" w:lineRule="auto"/>
        <w:jc w:val="both"/>
        <w:rPr>
          <w:rFonts w:ascii="Arial" w:hAnsi="Arial" w:eastAsia="Calibri" w:cs="Arial"/>
          <w:szCs w:val="24"/>
          <w:lang w:val="es-ES_tradnl" w:eastAsia="es-ES_tradnl"/>
        </w:rPr>
      </w:pPr>
    </w:p>
    <w:p w:rsidRPr="00A309E0" w:rsidR="00A309E0" w:rsidP="00A309E0" w:rsidRDefault="00A309E0" w14:paraId="090A850C" w14:textId="77777777">
      <w:pPr>
        <w:spacing w:after="0" w:line="240" w:lineRule="auto"/>
        <w:jc w:val="both"/>
        <w:rPr>
          <w:rFonts w:ascii="Arial" w:hAnsi="Arial" w:eastAsia="Calibri" w:cs="Arial"/>
          <w:bCs/>
          <w:szCs w:val="24"/>
          <w:lang w:val="es-ES_tradnl" w:eastAsia="es-ES_tradnl"/>
        </w:rPr>
      </w:pPr>
      <w:r w:rsidRPr="00A309E0">
        <w:rPr>
          <w:rFonts w:ascii="Arial" w:hAnsi="Arial" w:eastAsia="Calibri" w:cs="Arial"/>
          <w:szCs w:val="24"/>
          <w:lang w:val="es-ES_tradnl" w:eastAsia="es-ES_tradnl"/>
        </w:rPr>
        <w:t>Estimada señora María Gil</w:t>
      </w:r>
      <w:r w:rsidRPr="00A309E0">
        <w:rPr>
          <w:rFonts w:ascii="Arial" w:hAnsi="Arial" w:eastAsia="Calibri" w:cs="Arial"/>
          <w:bCs/>
          <w:szCs w:val="24"/>
          <w:lang w:val="es-ES_tradnl" w:eastAsia="es-ES_tradnl"/>
        </w:rPr>
        <w:t>:</w:t>
      </w:r>
    </w:p>
    <w:p w:rsidRPr="00A309E0" w:rsidR="00A309E0" w:rsidP="00A309E0" w:rsidRDefault="00A309E0" w14:paraId="739EC764" w14:textId="77777777">
      <w:pPr>
        <w:spacing w:after="0" w:line="240" w:lineRule="auto"/>
        <w:jc w:val="both"/>
        <w:rPr>
          <w:rFonts w:ascii="Arial" w:hAnsi="Arial" w:eastAsia="Calibri" w:cs="Arial"/>
          <w:szCs w:val="24"/>
          <w:lang w:val="es-ES_tradnl" w:eastAsia="es-ES_tradnl"/>
        </w:rPr>
      </w:pPr>
    </w:p>
    <w:p w:rsidRPr="00A309E0" w:rsidR="00A309E0" w:rsidP="00A309E0" w:rsidRDefault="00A309E0" w14:paraId="2D5443B6" w14:textId="77777777">
      <w:pPr>
        <w:autoSpaceDE w:val="0"/>
        <w:autoSpaceDN w:val="0"/>
        <w:adjustRightInd w:val="0"/>
        <w:spacing w:after="0" w:line="276" w:lineRule="auto"/>
        <w:jc w:val="both"/>
        <w:rPr>
          <w:rFonts w:ascii="Arial" w:hAnsi="Arial" w:cs="Arial"/>
          <w:color w:val="000000"/>
        </w:rPr>
      </w:pPr>
    </w:p>
    <w:p w:rsidRPr="00A309E0" w:rsidR="00A309E0" w:rsidP="00A309E0" w:rsidRDefault="00A309E0" w14:paraId="14B664AD" w14:textId="77777777">
      <w:pPr>
        <w:autoSpaceDE w:val="0"/>
        <w:autoSpaceDN w:val="0"/>
        <w:adjustRightInd w:val="0"/>
        <w:spacing w:after="0" w:line="276" w:lineRule="auto"/>
        <w:jc w:val="both"/>
        <w:rPr>
          <w:rFonts w:ascii="Arial" w:hAnsi="Arial" w:cs="Arial"/>
          <w:color w:val="000000"/>
        </w:rPr>
      </w:pPr>
      <w:r w:rsidRPr="00A309E0">
        <w:rPr>
          <w:rFonts w:ascii="Arial" w:hAnsi="Arial" w:cs="Arial"/>
          <w:color w:val="000000"/>
        </w:rPr>
        <w:t>En ejercicio de la competencia otorgada por el numeral 8° del artículo 11 y el numeral 5° del artículo 3 del Decreto Ley 4170 de 2011, la Agencia Nacional de Contratación Pública – Colombia Compra Eficiente responde su petición del 12 de mayo de 2023, en la que formuló la siguiente consulta:</w:t>
      </w:r>
    </w:p>
    <w:p w:rsidRPr="00A309E0" w:rsidR="00A309E0" w:rsidP="00A309E0" w:rsidRDefault="00A309E0" w14:paraId="3441063B" w14:textId="77777777">
      <w:pPr>
        <w:spacing w:after="0" w:line="276" w:lineRule="auto"/>
        <w:jc w:val="both"/>
        <w:rPr>
          <w:rFonts w:ascii="Arial" w:hAnsi="Arial" w:eastAsia="Calibri" w:cs="Arial"/>
          <w:b/>
          <w:szCs w:val="24"/>
          <w:lang w:val="es-ES_tradnl" w:eastAsia="es-ES_tradnl"/>
        </w:rPr>
      </w:pPr>
    </w:p>
    <w:p w:rsidRPr="00A309E0" w:rsidR="00A309E0" w:rsidP="00A309E0" w:rsidRDefault="00A309E0" w14:paraId="3D98E6EA" w14:textId="77777777">
      <w:pPr>
        <w:numPr>
          <w:ilvl w:val="0"/>
          <w:numId w:val="6"/>
        </w:numPr>
        <w:tabs>
          <w:tab w:val="left" w:pos="0"/>
          <w:tab w:val="left" w:pos="142"/>
          <w:tab w:val="left" w:pos="284"/>
        </w:tabs>
        <w:spacing w:after="0" w:line="276" w:lineRule="auto"/>
        <w:ind w:left="0" w:firstLine="0"/>
        <w:contextualSpacing/>
        <w:jc w:val="both"/>
        <w:rPr>
          <w:rFonts w:ascii="Arial" w:hAnsi="Arial" w:eastAsia="Calibri" w:cs="Arial"/>
          <w:b/>
          <w:szCs w:val="24"/>
          <w:lang w:val="es-ES_tradnl" w:eastAsia="es-ES_tradnl"/>
        </w:rPr>
      </w:pPr>
      <w:r w:rsidRPr="00A309E0">
        <w:rPr>
          <w:rFonts w:ascii="Arial" w:hAnsi="Arial" w:eastAsia="Calibri" w:cs="Arial"/>
          <w:b/>
          <w:szCs w:val="24"/>
          <w:lang w:val="es-ES_tradnl" w:eastAsia="es-ES_tradnl"/>
        </w:rPr>
        <w:t xml:space="preserve">Problema planteado </w:t>
      </w:r>
    </w:p>
    <w:p w:rsidRPr="00A309E0" w:rsidR="00A309E0" w:rsidP="00A309E0" w:rsidRDefault="00A309E0" w14:paraId="2DDF84E9" w14:textId="77777777">
      <w:pPr>
        <w:spacing w:after="0" w:line="240" w:lineRule="auto"/>
        <w:ind w:right="851"/>
        <w:jc w:val="both"/>
        <w:rPr>
          <w:rFonts w:ascii="Arial" w:hAnsi="Arial" w:eastAsia="Times New Roman" w:cs="Arial"/>
          <w:szCs w:val="24"/>
          <w:lang w:val="es-ES_tradnl" w:eastAsia="es-ES_tradnl"/>
        </w:rPr>
      </w:pPr>
    </w:p>
    <w:p w:rsidRPr="00A309E0" w:rsidR="00A309E0" w:rsidP="09F33B12" w:rsidRDefault="00A309E0" w14:paraId="72FAB9AE" w14:textId="039E01C8">
      <w:pPr>
        <w:autoSpaceDE w:val="0"/>
        <w:autoSpaceDN w:val="0"/>
        <w:adjustRightInd w:val="0"/>
        <w:spacing w:after="0" w:line="240" w:lineRule="auto"/>
        <w:ind w:left="708" w:right="850"/>
        <w:jc w:val="both"/>
        <w:rPr>
          <w:rFonts w:ascii="Arial" w:hAnsi="Arial" w:eastAsia="Times New Roman" w:cs="Arial"/>
          <w:sz w:val="20"/>
          <w:szCs w:val="20"/>
          <w:lang w:val="es-ES" w:eastAsia="es-ES"/>
        </w:rPr>
      </w:pPr>
      <w:r w:rsidRPr="09F33B12" w:rsidR="00A309E0">
        <w:rPr>
          <w:rFonts w:ascii="Arial" w:hAnsi="Arial" w:cs="Arial"/>
          <w:sz w:val="20"/>
          <w:szCs w:val="20"/>
        </w:rPr>
        <w:t xml:space="preserve">“precisión sobre el significado de la expresión "expediente contractual" de una organización pública que adelanta procesos para adquisición de bienes y servicios (procesos contractuales); igualmente solicito se me pueda indicar un referente de listado o relación de los documentos básicos que integran las </w:t>
      </w:r>
      <w:r w:rsidRPr="09F33B12" w:rsidR="2AD7180A">
        <w:rPr>
          <w:rFonts w:ascii="Arial" w:hAnsi="Arial" w:cs="Arial"/>
          <w:sz w:val="20"/>
          <w:szCs w:val="20"/>
        </w:rPr>
        <w:t>fases precontractuales</w:t>
      </w:r>
      <w:r w:rsidRPr="09F33B12" w:rsidR="00A309E0">
        <w:rPr>
          <w:rFonts w:ascii="Arial" w:hAnsi="Arial" w:cs="Arial"/>
          <w:sz w:val="20"/>
          <w:szCs w:val="20"/>
        </w:rPr>
        <w:t xml:space="preserve">, contractual y </w:t>
      </w:r>
      <w:r w:rsidRPr="09F33B12" w:rsidR="00A309E0">
        <w:rPr>
          <w:rFonts w:ascii="Arial" w:hAnsi="Arial" w:cs="Arial"/>
          <w:sz w:val="20"/>
          <w:szCs w:val="20"/>
        </w:rPr>
        <w:t>postcontractual</w:t>
      </w:r>
      <w:r w:rsidRPr="09F33B12" w:rsidR="00A309E0">
        <w:rPr>
          <w:rFonts w:ascii="Arial" w:hAnsi="Arial" w:cs="Arial"/>
          <w:sz w:val="20"/>
          <w:szCs w:val="20"/>
        </w:rPr>
        <w:t>; para contratante, oferentes y contratistas”</w:t>
      </w:r>
    </w:p>
    <w:p w:rsidRPr="00A309E0" w:rsidR="00A309E0" w:rsidP="00A309E0" w:rsidRDefault="00A309E0" w14:paraId="17B23CA7" w14:textId="77777777">
      <w:pPr>
        <w:spacing w:after="0" w:line="240" w:lineRule="auto"/>
        <w:ind w:right="851"/>
        <w:jc w:val="both"/>
        <w:rPr>
          <w:rFonts w:ascii="Arial" w:hAnsi="Arial" w:eastAsia="Times New Roman" w:cs="Arial"/>
          <w:sz w:val="21"/>
          <w:szCs w:val="21"/>
          <w:lang w:val="es-ES_tradnl" w:eastAsia="es-ES_tradnl"/>
        </w:rPr>
      </w:pPr>
    </w:p>
    <w:p w:rsidRPr="00A309E0" w:rsidR="00A309E0" w:rsidP="00A309E0" w:rsidRDefault="00A309E0" w14:paraId="2BCD90A3" w14:textId="77777777">
      <w:pPr>
        <w:numPr>
          <w:ilvl w:val="0"/>
          <w:numId w:val="6"/>
        </w:numPr>
        <w:tabs>
          <w:tab w:val="left" w:pos="0"/>
          <w:tab w:val="left" w:pos="284"/>
        </w:tabs>
        <w:spacing w:after="0" w:line="240" w:lineRule="auto"/>
        <w:ind w:left="0" w:firstLine="0"/>
        <w:jc w:val="both"/>
        <w:rPr>
          <w:rFonts w:ascii="Arial" w:hAnsi="Arial" w:eastAsia="Calibri" w:cs="Arial"/>
          <w:b/>
          <w:szCs w:val="24"/>
          <w:lang w:val="es-ES_tradnl" w:eastAsia="es-ES_tradnl"/>
        </w:rPr>
      </w:pPr>
      <w:r w:rsidRPr="00A309E0">
        <w:rPr>
          <w:rFonts w:ascii="Arial" w:hAnsi="Arial" w:eastAsia="Calibri" w:cs="Arial"/>
          <w:b/>
          <w:szCs w:val="24"/>
          <w:lang w:val="es-ES_tradnl" w:eastAsia="es-ES_tradnl"/>
        </w:rPr>
        <w:t>Consideraciones</w:t>
      </w:r>
    </w:p>
    <w:p w:rsidRPr="00A309E0" w:rsidR="00A309E0" w:rsidP="00A309E0" w:rsidRDefault="00A309E0" w14:paraId="08327903" w14:textId="77777777">
      <w:pPr>
        <w:tabs>
          <w:tab w:val="left" w:pos="0"/>
          <w:tab w:val="left" w:pos="284"/>
        </w:tabs>
        <w:spacing w:after="0" w:line="240" w:lineRule="auto"/>
        <w:jc w:val="both"/>
        <w:rPr>
          <w:rFonts w:ascii="Arial" w:hAnsi="Arial" w:eastAsia="Calibri" w:cs="Arial"/>
          <w:b/>
          <w:szCs w:val="24"/>
          <w:lang w:val="es-ES_tradnl" w:eastAsia="es-ES_tradnl"/>
        </w:rPr>
      </w:pPr>
    </w:p>
    <w:p w:rsidRPr="00A309E0" w:rsidR="00A309E0" w:rsidP="00A309E0" w:rsidRDefault="00A309E0" w14:paraId="1359199F" w14:textId="77777777">
      <w:pPr>
        <w:spacing w:after="120" w:line="276" w:lineRule="auto"/>
        <w:jc w:val="both"/>
        <w:rPr>
          <w:rFonts w:ascii="Arial" w:hAnsi="Arial" w:eastAsia="Times New Roman" w:cs="Arial"/>
          <w:lang w:eastAsia="es-ES_tradnl"/>
        </w:rPr>
      </w:pPr>
      <w:r w:rsidRPr="00A309E0">
        <w:rPr>
          <w:rFonts w:ascii="Arial" w:hAnsi="Arial" w:eastAsia="Times New Roman" w:cs="Arial"/>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w:t>
      </w:r>
      <w:bookmarkStart w:name="_Hlk61701014" w:id="1"/>
      <w:bookmarkStart w:name="_Hlk62136649" w:id="2"/>
      <w:r w:rsidRPr="00A309E0">
        <w:rPr>
          <w:rFonts w:ascii="Arial" w:hAnsi="Arial" w:eastAsia="Times New Roman" w:cs="Arial"/>
          <w:shd w:val="clear" w:color="auto" w:fill="E6E6E6"/>
          <w:lang w:eastAsia="es-ES_tradnl"/>
        </w:rPr>
        <w:t xml:space="preserve"> </w:t>
      </w:r>
      <w:bookmarkStart w:name="_Hlk61026958" w:id="3"/>
    </w:p>
    <w:p w:rsidRPr="00A309E0" w:rsidR="00A309E0" w:rsidP="00A309E0" w:rsidRDefault="00A309E0" w14:paraId="5C389EB5" w14:textId="77777777">
      <w:pPr>
        <w:spacing w:after="120" w:line="276" w:lineRule="auto"/>
        <w:ind w:firstLine="709"/>
        <w:jc w:val="both"/>
        <w:rPr>
          <w:rFonts w:ascii="Arial" w:hAnsi="Arial" w:eastAsia="Times New Roman" w:cs="Arial"/>
          <w:lang w:val="es-ES" w:eastAsia="es-ES_tradnl"/>
        </w:rPr>
      </w:pPr>
      <w:r w:rsidRPr="00A309E0">
        <w:rPr>
          <w:rFonts w:ascii="Arial" w:hAnsi="Arial" w:eastAsia="Times New Roman" w:cs="Arial"/>
          <w:lang w:val="es-ES" w:eastAsia="es-ES_tradnl"/>
        </w:rPr>
        <w:t xml:space="preserve">La competencia de esta entidad se fija con límites claros, con el objeto de evitar que la Agencia actúe como una instancia de validación de las actuaciones de las entidades </w:t>
      </w:r>
      <w:r w:rsidRPr="00A309E0">
        <w:rPr>
          <w:rFonts w:ascii="Arial" w:hAnsi="Arial" w:eastAsia="Times New Roman" w:cs="Arial"/>
          <w:lang w:val="es-ES" w:eastAsia="es-ES_tradnl"/>
        </w:rPr>
        <w:t>sujetas a la Ley 80 de 1993 o de los demás participantes de la contratación pública</w:t>
      </w:r>
      <w:r w:rsidRPr="00A309E0">
        <w:rPr>
          <w:rFonts w:ascii="Arial" w:hAnsi="Arial" w:eastAsia="Times New Roman" w:cs="Arial"/>
          <w:vertAlign w:val="superscript"/>
          <w:lang w:val="es-ES" w:eastAsia="es-ES_tradnl"/>
        </w:rPr>
        <w:footnoteReference w:id="1"/>
      </w:r>
      <w:r w:rsidRPr="00A309E0">
        <w:rPr>
          <w:rFonts w:ascii="Arial" w:hAnsi="Arial" w:eastAsia="Times New Roman" w:cs="Arial"/>
          <w:lang w:val="es-ES" w:eastAsia="es-ES_tradnl"/>
        </w:rPr>
        <w:t xml:space="preserve">. Esta competencia de interpretación de normas generales, por definición, no puede extenderse a la resolución de controversias, ni a brindar asesorías sobre casos puntuales. </w:t>
      </w:r>
      <w:bookmarkEnd w:id="1"/>
      <w:bookmarkEnd w:id="3"/>
    </w:p>
    <w:bookmarkEnd w:id="2"/>
    <w:p w:rsidRPr="00A309E0" w:rsidR="00A309E0" w:rsidP="00A309E0" w:rsidRDefault="00A309E0" w14:paraId="032D7D91" w14:textId="77777777">
      <w:pPr>
        <w:spacing w:after="120" w:line="276" w:lineRule="auto"/>
        <w:ind w:firstLine="708"/>
        <w:jc w:val="both"/>
        <w:rPr>
          <w:rFonts w:ascii="Arial" w:hAnsi="Arial" w:eastAsia="Times New Roman" w:cs="Arial"/>
          <w:szCs w:val="24"/>
          <w:lang w:val="es-ES_tradnl" w:eastAsia="es-ES_tradnl"/>
        </w:rPr>
      </w:pPr>
      <w:r w:rsidRPr="00A309E0">
        <w:rPr>
          <w:rFonts w:ascii="Arial" w:hAnsi="Arial" w:eastAsia="Calibri" w:cs="Arial"/>
          <w:color w:val="000000" w:themeColor="text1"/>
          <w:szCs w:val="24"/>
          <w:lang w:val="es-ES_tradnl" w:eastAsia="es-ES_tradnl"/>
        </w:rPr>
        <w:t>Sin perjuicio de lo anterior, la Agencia –dentro de los límites de sus atribuciones– resolverá la consulta conforme a las normas generales en materia de contratación estatal. Con este objetivo, p</w:t>
      </w:r>
      <w:r w:rsidRPr="00A309E0">
        <w:rPr>
          <w:rFonts w:ascii="Arial" w:hAnsi="Arial" w:eastAsia="Times New Roman" w:cs="Arial"/>
          <w:szCs w:val="24"/>
          <w:lang w:val="es-ES_tradnl" w:eastAsia="es-ES_tradnl"/>
        </w:rPr>
        <w:t>ara responder los anteriores cuestionamientos, se analizarán los siguientes temas: i) Definición legal del expediente contractual ii)</w:t>
      </w:r>
      <w:bookmarkStart w:name="_Hlk85536647" w:id="4"/>
      <w:r w:rsidRPr="00A309E0">
        <w:rPr>
          <w:rFonts w:ascii="Arial" w:hAnsi="Arial" w:eastAsia="Times New Roman" w:cs="Arial"/>
          <w:szCs w:val="24"/>
          <w:lang w:val="es-ES_tradnl" w:eastAsia="es-ES_tradnl"/>
        </w:rPr>
        <w:t xml:space="preserve"> .</w:t>
      </w:r>
      <w:bookmarkEnd w:id="4"/>
    </w:p>
    <w:p w:rsidRPr="00A309E0" w:rsidR="00A309E0" w:rsidP="00A309E0" w:rsidRDefault="00A309E0" w14:paraId="0336E82A" w14:textId="77777777">
      <w:pPr>
        <w:spacing w:after="120" w:line="276" w:lineRule="auto"/>
        <w:ind w:firstLine="708"/>
        <w:jc w:val="both"/>
        <w:textAlignment w:val="baseline"/>
        <w:rPr>
          <w:rFonts w:ascii="Arial" w:hAnsi="Arial" w:eastAsia="Arial" w:cs="Arial"/>
          <w:color w:val="000000" w:themeColor="text1"/>
          <w:szCs w:val="24"/>
          <w:lang w:val="es-ES_tradnl" w:eastAsia="es-ES_tradnl"/>
        </w:rPr>
      </w:pPr>
      <w:r w:rsidRPr="00A309E0">
        <w:rPr>
          <w:rFonts w:ascii="Arial" w:hAnsi="Arial" w:eastAsia="Times New Roman" w:cs="Arial"/>
          <w:color w:val="000000" w:themeColor="text1"/>
          <w:szCs w:val="24"/>
          <w:lang w:val="es-ES_tradnl" w:eastAsia="es-ES_tradnl"/>
        </w:rPr>
        <w:t xml:space="preserve">La Agencia Nacional de </w:t>
      </w:r>
      <w:r w:rsidRPr="00A309E0">
        <w:rPr>
          <w:rFonts w:ascii="Arial" w:hAnsi="Arial" w:eastAsia="Calibri" w:cs="Arial"/>
          <w:color w:val="000000" w:themeColor="text1"/>
          <w:lang w:val="es-ES"/>
        </w:rPr>
        <w:t>Contratación Pública – Colombia Compra Eficiente se pronunció sobre los el expediente contractual – electrónico Concepto C ─ 017 del 27 de abril de 2020</w:t>
      </w:r>
      <w:r w:rsidRPr="00A309E0">
        <w:rPr>
          <w:rFonts w:ascii="Arial" w:hAnsi="Arial" w:eastAsia="Arial" w:cs="Arial"/>
          <w:color w:val="000000" w:themeColor="text1"/>
          <w:lang w:val="es-MX"/>
        </w:rPr>
        <w:t xml:space="preserve"> </w:t>
      </w:r>
      <w:r w:rsidRPr="00A309E0">
        <w:rPr>
          <w:rFonts w:ascii="Arial" w:hAnsi="Arial" w:eastAsia="Calibri" w:cs="Arial"/>
          <w:color w:val="000000" w:themeColor="text1"/>
          <w:lang w:val="es-ES_tradnl"/>
        </w:rPr>
        <w:t>entre otros</w:t>
      </w:r>
      <w:r w:rsidRPr="00A309E0">
        <w:rPr>
          <w:rFonts w:ascii="Arial" w:hAnsi="Arial" w:eastAsia="Calibri" w:cs="Arial"/>
          <w:color w:val="000000" w:themeColor="text1"/>
          <w:vertAlign w:val="superscript"/>
          <w:lang w:val="es-ES_tradnl"/>
        </w:rPr>
        <w:footnoteReference w:id="2"/>
      </w:r>
      <w:r w:rsidRPr="00A309E0">
        <w:rPr>
          <w:rFonts w:ascii="Arial" w:hAnsi="Arial" w:eastAsia="Calibri" w:cs="Arial"/>
          <w:color w:val="000000" w:themeColor="text1"/>
          <w:lang w:val="es-ES_tradnl"/>
        </w:rPr>
        <w:t xml:space="preserve">. </w:t>
      </w:r>
      <w:r w:rsidRPr="00A309E0">
        <w:rPr>
          <w:rFonts w:ascii="Arial" w:hAnsi="Arial" w:eastAsia="Calibri" w:cs="Arial"/>
          <w:color w:val="000000" w:themeColor="text1"/>
        </w:rPr>
        <w:t>Los argumentos y las consideraciones expuestas en los conceptos mencionados se reiteran y se complementan en lo pertinente.</w:t>
      </w:r>
      <w:r w:rsidRPr="00A309E0">
        <w:rPr>
          <w:rFonts w:ascii="Arial" w:hAnsi="Arial" w:eastAsia="Arial" w:cs="Arial"/>
          <w:b/>
          <w:bCs/>
          <w:color w:val="000000" w:themeColor="text1"/>
          <w:szCs w:val="24"/>
          <w:lang w:val="es-ES_tradnl" w:eastAsia="es-ES_tradnl"/>
        </w:rPr>
        <w:t xml:space="preserve"> </w:t>
      </w:r>
    </w:p>
    <w:p w:rsidRPr="00A309E0" w:rsidR="00A309E0" w:rsidP="00A309E0" w:rsidRDefault="00A309E0" w14:paraId="6C75477C" w14:textId="77777777">
      <w:pPr>
        <w:tabs>
          <w:tab w:val="left" w:pos="426"/>
        </w:tabs>
        <w:spacing w:after="120" w:line="276" w:lineRule="auto"/>
        <w:jc w:val="both"/>
        <w:rPr>
          <w:rFonts w:ascii="Arial" w:hAnsi="Arial" w:eastAsia="Calibri" w:cs="Arial"/>
          <w:color w:val="000000" w:themeColor="text1"/>
        </w:rPr>
      </w:pPr>
    </w:p>
    <w:p w:rsidRPr="00A309E0" w:rsidR="00A309E0" w:rsidP="00A309E0" w:rsidRDefault="00A309E0" w14:paraId="6A4441AC" w14:textId="77777777">
      <w:pPr>
        <w:tabs>
          <w:tab w:val="left" w:pos="426"/>
        </w:tabs>
        <w:spacing w:after="120" w:line="276" w:lineRule="auto"/>
        <w:jc w:val="both"/>
        <w:rPr>
          <w:rFonts w:ascii="Arial" w:hAnsi="Arial" w:eastAsia="Calibri" w:cs="Arial"/>
          <w:color w:val="000000"/>
        </w:rPr>
      </w:pPr>
      <w:r w:rsidRPr="00A309E0">
        <w:rPr>
          <w:rFonts w:ascii="Arial" w:hAnsi="Arial" w:eastAsia="Times New Roman" w:cs="Arial"/>
          <w:b/>
          <w:color w:val="000000"/>
          <w:szCs w:val="24"/>
          <w:lang w:val="es-ES" w:eastAsia="es-ES_tradnl"/>
        </w:rPr>
        <w:t xml:space="preserve">2.1. Conformación de Expedientes </w:t>
      </w:r>
    </w:p>
    <w:p w:rsidRPr="00A309E0" w:rsidR="00A309E0" w:rsidP="00A309E0" w:rsidRDefault="00A309E0" w14:paraId="57984FC1" w14:textId="77777777">
      <w:pPr>
        <w:tabs>
          <w:tab w:val="left" w:pos="0"/>
        </w:tabs>
        <w:spacing w:after="0" w:line="276" w:lineRule="auto"/>
        <w:jc w:val="both"/>
        <w:rPr>
          <w:rFonts w:ascii="Arial" w:hAnsi="Arial" w:eastAsia="Calibri" w:cs="Arial"/>
          <w:color w:val="000000" w:themeColor="text1"/>
        </w:rPr>
      </w:pPr>
      <w:bookmarkStart w:name="_Hlk117695077" w:id="5"/>
      <w:r w:rsidRPr="00A309E0">
        <w:rPr>
          <w:rFonts w:ascii="Arial" w:hAnsi="Arial" w:eastAsia="Calibri" w:cs="Arial"/>
          <w:color w:val="000000" w:themeColor="text1"/>
        </w:rPr>
        <w:tab/>
      </w:r>
      <w:r w:rsidRPr="00A309E0">
        <w:rPr>
          <w:rFonts w:ascii="Arial" w:hAnsi="Arial" w:eastAsia="Calibri" w:cs="Arial"/>
          <w:color w:val="000000" w:themeColor="text1"/>
        </w:rPr>
        <w:t xml:space="preserve">La Ley 594 de 2000 estableció como obligación del Estado crear, organizar, preservar y controlar los archivos, teniendo en cuenta los principios de procedencia y orden original, el ciclo vital de los documentos y la normatividad archivística (artículo 11). Por lo tanto, al Archivo General de la Nación en razón de sus competencias ha expedido normatividad tendiente a coadyuvar a la eficacia de la gestión del Estado y salvaguardar el patrimonio documental de la Nación (artículo 4º, literal e). Entre tales normas está el Acuerdo 002 de 2014 que reitera la obligación en la que están las entidades públicas de crear y conformar expedientes de archivo con la totalidad de los documentos que se gestionan en desarrollo de un mismo trámite (artículo 4º). En complemento, la norma explica que tal conformación comienza desde el primer momento en que se inicia un trámite, actuación o procedimiento hasta la finalización del mismo y, por lo tanto, los expedientes se compondrán de los documentos que se generan durante la vigencia y prescripción de las acciones administrativas, fiscales y legales; independientemente del tipo de información, formato o soporte (artículo 5º). </w:t>
      </w:r>
    </w:p>
    <w:p w:rsidRPr="00A309E0" w:rsidR="00A309E0" w:rsidP="00A309E0" w:rsidRDefault="00A309E0" w14:paraId="09388B04" w14:textId="77777777">
      <w:pPr>
        <w:tabs>
          <w:tab w:val="left" w:pos="0"/>
        </w:tabs>
        <w:spacing w:after="0" w:line="276" w:lineRule="auto"/>
        <w:jc w:val="both"/>
        <w:rPr>
          <w:rFonts w:ascii="Arial" w:hAnsi="Arial" w:eastAsia="Calibri" w:cs="Arial"/>
          <w:color w:val="000000" w:themeColor="text1"/>
        </w:rPr>
      </w:pPr>
    </w:p>
    <w:p w:rsidRPr="00A309E0" w:rsidR="00A309E0" w:rsidP="00A309E0" w:rsidRDefault="00A309E0" w14:paraId="5939BB25" w14:textId="77777777">
      <w:pPr>
        <w:tabs>
          <w:tab w:val="left" w:pos="0"/>
        </w:tabs>
        <w:spacing w:after="0" w:line="276" w:lineRule="auto"/>
        <w:jc w:val="both"/>
        <w:rPr>
          <w:rFonts w:ascii="Arial" w:hAnsi="Arial" w:eastAsia="Calibri" w:cs="Arial"/>
          <w:color w:val="000000" w:themeColor="text1"/>
        </w:rPr>
      </w:pPr>
      <w:r w:rsidRPr="00A309E0">
        <w:rPr>
          <w:rFonts w:ascii="Arial" w:hAnsi="Arial" w:eastAsia="Calibri" w:cs="Arial"/>
          <w:color w:val="000000" w:themeColor="text1"/>
        </w:rPr>
        <w:tab/>
      </w:r>
      <w:r w:rsidRPr="00A309E0">
        <w:rPr>
          <w:rFonts w:ascii="Arial" w:hAnsi="Arial" w:eastAsia="Calibri" w:cs="Arial"/>
          <w:color w:val="000000" w:themeColor="text1"/>
        </w:rPr>
        <w:t xml:space="preserve">Del citado Acuerdo también es importante resaltar que los expedientes se deben conformar en razón de los cuadros de la clasificación documental y las tablas de retención </w:t>
      </w:r>
      <w:r w:rsidRPr="00A309E0">
        <w:rPr>
          <w:rFonts w:ascii="Arial" w:hAnsi="Arial" w:eastAsia="Calibri" w:cs="Arial"/>
          <w:color w:val="000000" w:themeColor="text1"/>
        </w:rPr>
        <w:t>documental de la entidad (artículo 5º), dado que tales instrumentos archivísticos se elaboran partiendo de la estructura orgánico-funcional respetando el principio de procedencia, que indica que los documentos de una entidad y sus dependencias no debe mezclarse con los de otras, ya que cada una produce determinadas series documentales en razón de las funciones que tienen asignadas y cumplen.</w:t>
      </w:r>
    </w:p>
    <w:p w:rsidRPr="00A309E0" w:rsidR="00A309E0" w:rsidP="00A309E0" w:rsidRDefault="00A309E0" w14:paraId="16CD581B" w14:textId="77777777">
      <w:pPr>
        <w:tabs>
          <w:tab w:val="left" w:pos="0"/>
        </w:tabs>
        <w:spacing w:after="0" w:line="276" w:lineRule="auto"/>
        <w:jc w:val="both"/>
        <w:rPr>
          <w:rFonts w:ascii="Arial" w:hAnsi="Arial" w:eastAsia="Calibri" w:cs="Arial"/>
          <w:color w:val="000000" w:themeColor="text1"/>
        </w:rPr>
      </w:pPr>
    </w:p>
    <w:p w:rsidRPr="00A309E0" w:rsidR="00A309E0" w:rsidP="00A309E0" w:rsidRDefault="00A309E0" w14:paraId="5EB9B93B" w14:textId="77777777">
      <w:pPr>
        <w:tabs>
          <w:tab w:val="left" w:pos="0"/>
        </w:tabs>
        <w:spacing w:after="0" w:line="276" w:lineRule="auto"/>
        <w:jc w:val="both"/>
        <w:rPr>
          <w:rFonts w:ascii="Arial" w:hAnsi="Arial" w:eastAsia="Calibri" w:cs="Arial"/>
          <w:color w:val="000000" w:themeColor="text1"/>
        </w:rPr>
      </w:pPr>
      <w:r w:rsidRPr="00A309E0">
        <w:rPr>
          <w:rFonts w:ascii="Arial" w:hAnsi="Arial" w:eastAsia="Calibri" w:cs="Arial"/>
          <w:color w:val="000000" w:themeColor="text1"/>
        </w:rPr>
        <w:tab/>
      </w:r>
      <w:r w:rsidRPr="00A309E0">
        <w:rPr>
          <w:rFonts w:ascii="Arial" w:hAnsi="Arial" w:eastAsia="Calibri" w:cs="Arial"/>
          <w:color w:val="000000" w:themeColor="text1"/>
        </w:rPr>
        <w:t xml:space="preserve">En ese orden de ideas, se concluye que los expedientes se conforman con los documentos producidos durante el desarrollo de determinado trámite, actuación o procedimiento en cumplimiento de las funciones que tiene asignadas una unidad administrativa al interior de una entidad, respetando el principio de procedencia. Ello se justifica en que el expediente contractual, como cualquier otro, estará compuesto por todos los documentos referidos a las etapas en las cuales se desarrolla el proceso de contratación (preparatoria, precontractual, contractual, ejecución y liquidación), entre ellos, unos informes de avance o cumplimiento de las obligaciones pactadas que los contratistas deben presentar a los supervisores o interventores del contrato, entre otros, para la tramitación de los pagos, hecho respaldado en lo dispuesto en el artículo 84 de la Ley 1474 de 2011. </w:t>
      </w:r>
    </w:p>
    <w:p w:rsidRPr="00A309E0" w:rsidR="00A309E0" w:rsidP="00A309E0" w:rsidRDefault="00A309E0" w14:paraId="1603F9D5" w14:textId="77777777">
      <w:pPr>
        <w:tabs>
          <w:tab w:val="left" w:pos="0"/>
        </w:tabs>
        <w:spacing w:after="0" w:line="276" w:lineRule="auto"/>
        <w:jc w:val="both"/>
        <w:rPr>
          <w:rFonts w:ascii="Arial" w:hAnsi="Arial" w:eastAsia="Calibri" w:cs="Arial"/>
          <w:color w:val="000000" w:themeColor="text1"/>
        </w:rPr>
      </w:pPr>
    </w:p>
    <w:p w:rsidRPr="00217435" w:rsidR="00581DE5" w:rsidP="00581DE5" w:rsidRDefault="00A309E0" w14:paraId="21240A20" w14:textId="77777777">
      <w:pPr>
        <w:widowControl w:val="0"/>
        <w:autoSpaceDE w:val="0"/>
        <w:autoSpaceDN w:val="0"/>
        <w:spacing w:after="120" w:line="276" w:lineRule="auto"/>
        <w:ind w:firstLine="709"/>
        <w:jc w:val="both"/>
        <w:rPr>
          <w:rFonts w:ascii="Arial" w:hAnsi="Arial" w:eastAsia="Arial" w:cs="Arial"/>
          <w:lang w:val="es-ES"/>
        </w:rPr>
      </w:pPr>
      <w:r w:rsidRPr="00A309E0">
        <w:rPr>
          <w:rFonts w:ascii="Arial" w:hAnsi="Arial" w:eastAsia="Calibri" w:cs="Arial"/>
          <w:color w:val="000000" w:themeColor="text1"/>
        </w:rPr>
        <w:tab/>
      </w:r>
      <w:r w:rsidRPr="00A309E0">
        <w:rPr>
          <w:rFonts w:ascii="Arial" w:hAnsi="Arial" w:eastAsia="Calibri" w:cs="Arial"/>
          <w:color w:val="000000" w:themeColor="text1"/>
        </w:rPr>
        <w:t xml:space="preserve">Al efecto, como se menciona en el Artículo 2.2.1.1.1.3.1., del Decreto 1082 de 2015, se encuentra pertinente establecer que los documentos contractuales </w:t>
      </w:r>
      <w:r w:rsidRPr="00217435" w:rsidR="00581DE5">
        <w:rPr>
          <w:rFonts w:ascii="Arial" w:hAnsi="Arial" w:eastAsia="Arial" w:cs="Arial"/>
          <w:lang w:val="es-ES"/>
        </w:rPr>
        <w:t xml:space="preserve">La expresión </w:t>
      </w:r>
      <w:r w:rsidRPr="00217435" w:rsidR="00581DE5">
        <w:rPr>
          <w:rFonts w:ascii="Arial" w:hAnsi="Arial" w:eastAsia="Arial" w:cs="Arial"/>
          <w:i/>
          <w:iCs/>
          <w:lang w:val="es-ES"/>
        </w:rPr>
        <w:t>Documentos del Proceso</w:t>
      </w:r>
      <w:r w:rsidRPr="00217435" w:rsidR="00581DE5">
        <w:rPr>
          <w:rFonts w:ascii="Arial" w:hAnsi="Arial" w:eastAsia="Arial" w:cs="Arial"/>
          <w:lang w:val="es-ES"/>
        </w:rPr>
        <w:t xml:space="preserve"> está definida en el artículo 2.2.1.1.1.3.1. del Decreto 1082 de 2015</w:t>
      </w:r>
      <w:r w:rsidR="00581DE5">
        <w:rPr>
          <w:rFonts w:ascii="Arial" w:hAnsi="Arial" w:eastAsia="Arial" w:cs="Arial"/>
          <w:lang w:val="es-ES"/>
        </w:rPr>
        <w:t>, donde se establece que</w:t>
      </w:r>
      <w:r w:rsidRPr="00217435" w:rsidR="00581DE5">
        <w:rPr>
          <w:rFonts w:ascii="Arial" w:hAnsi="Arial" w:eastAsia="Arial" w:cs="Arial"/>
          <w:lang w:val="es-ES"/>
        </w:rPr>
        <w:t xml:space="preserv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rsidRPr="00217435" w:rsidR="00581DE5" w:rsidP="00581DE5" w:rsidRDefault="00581DE5" w14:paraId="7EA534CE" w14:textId="77777777">
      <w:pPr>
        <w:widowControl w:val="0"/>
        <w:autoSpaceDE w:val="0"/>
        <w:autoSpaceDN w:val="0"/>
        <w:spacing w:after="120" w:line="276" w:lineRule="auto"/>
        <w:ind w:firstLine="709"/>
        <w:jc w:val="both"/>
        <w:rPr>
          <w:rFonts w:ascii="Arial" w:hAnsi="Arial" w:eastAsia="Arial" w:cs="Arial"/>
          <w:lang w:val="es-ES"/>
        </w:rPr>
      </w:pPr>
      <w:r w:rsidRPr="00217435">
        <w:rPr>
          <w:rFonts w:ascii="Arial" w:hAnsi="Arial" w:eastAsia="Arial" w:cs="Arial"/>
          <w:lang w:val="es-ES"/>
        </w:rPr>
        <w:t xml:space="preserve">No obstante,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217435">
        <w:rPr>
          <w:rFonts w:ascii="Arial" w:hAnsi="Arial" w:eastAsia="Arial" w:cs="Arial"/>
          <w:i/>
          <w:iCs/>
          <w:lang w:val="es-ES"/>
        </w:rPr>
        <w:t>Ibídem</w:t>
      </w:r>
      <w:r w:rsidRPr="00217435">
        <w:rPr>
          <w:rFonts w:ascii="Arial" w:hAnsi="Arial" w:eastAsia="Arial" w:cs="Arial"/>
          <w:lang w:val="es-ES"/>
        </w:rPr>
        <w:t xml:space="preserve"> recoge en la noción de </w:t>
      </w:r>
      <w:r w:rsidRPr="00217435">
        <w:rPr>
          <w:rFonts w:ascii="Arial" w:hAnsi="Arial" w:eastAsia="Arial" w:cs="Arial"/>
          <w:i/>
          <w:iCs/>
          <w:lang w:val="es-ES"/>
        </w:rPr>
        <w:t>Documentos del Proceso</w:t>
      </w:r>
      <w:r w:rsidRPr="00217435">
        <w:rPr>
          <w:rFonts w:ascii="Arial" w:hAnsi="Arial" w:eastAsia="Arial" w:cs="Arial"/>
          <w:lang w:val="es-ES"/>
        </w:rPr>
        <w:t xml:space="preserve"> «cualquier otro documento expedido por la Entidad Estatal durante el </w:t>
      </w:r>
      <w:r w:rsidRPr="00217435">
        <w:rPr>
          <w:rFonts w:ascii="Arial" w:hAnsi="Arial" w:eastAsia="Arial" w:cs="Arial"/>
          <w:i/>
          <w:iCs/>
          <w:lang w:val="es-ES"/>
        </w:rPr>
        <w:t>Proceso de Contratación»</w:t>
      </w:r>
      <w:r w:rsidRPr="00217435">
        <w:rPr>
          <w:rFonts w:ascii="Arial" w:hAnsi="Arial" w:eastAsia="Arial" w:cs="Arial"/>
          <w:lang w:val="es-ES"/>
        </w:rPr>
        <w:t xml:space="preserve">. Este mismo artículo define la expresión </w:t>
      </w:r>
      <w:r w:rsidRPr="00217435">
        <w:rPr>
          <w:rFonts w:ascii="Arial" w:hAnsi="Arial" w:eastAsia="Arial" w:cs="Arial"/>
          <w:i/>
          <w:iCs/>
          <w:lang w:val="es-ES"/>
        </w:rPr>
        <w:t>Proceso de Contratación</w:t>
      </w:r>
      <w:r w:rsidRPr="00217435">
        <w:rPr>
          <w:rFonts w:ascii="Arial" w:hAnsi="Arial" w:eastAsia="Arial" w:cs="Arial"/>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rsidRPr="00217435" w:rsidR="00B053BE" w:rsidP="00B053BE" w:rsidRDefault="00B053BE" w14:paraId="0F26F838" w14:textId="77777777">
      <w:pPr>
        <w:widowControl w:val="0"/>
        <w:autoSpaceDE w:val="0"/>
        <w:autoSpaceDN w:val="0"/>
        <w:spacing w:after="120" w:line="276" w:lineRule="auto"/>
        <w:ind w:firstLine="709"/>
        <w:jc w:val="both"/>
        <w:rPr>
          <w:rFonts w:ascii="Arial" w:hAnsi="Arial" w:eastAsia="Arial" w:cs="Arial"/>
          <w:lang w:val="es-ES"/>
        </w:rPr>
      </w:pPr>
      <w:r w:rsidRPr="00217435">
        <w:rPr>
          <w:rFonts w:ascii="Arial" w:hAnsi="Arial" w:eastAsia="Arial" w:cs="Arial"/>
          <w:lang w:val="es-ES"/>
        </w:rPr>
        <w:t xml:space="preserve">La expresión </w:t>
      </w:r>
      <w:r w:rsidRPr="00217435">
        <w:rPr>
          <w:rFonts w:ascii="Arial" w:hAnsi="Arial" w:eastAsia="Arial" w:cs="Arial"/>
          <w:i/>
          <w:iCs/>
          <w:lang w:val="es-ES"/>
        </w:rPr>
        <w:t>Documentos del Proceso</w:t>
      </w:r>
      <w:r w:rsidRPr="00217435">
        <w:rPr>
          <w:rFonts w:ascii="Arial" w:hAnsi="Arial" w:eastAsia="Arial" w:cs="Arial"/>
          <w:lang w:val="es-ES"/>
        </w:rPr>
        <w:t xml:space="preserve"> está definida en el artículo 2.2.1.1.1.3.1. del Decreto 1082 de 2015</w:t>
      </w:r>
      <w:r>
        <w:rPr>
          <w:rFonts w:ascii="Arial" w:hAnsi="Arial" w:eastAsia="Arial" w:cs="Arial"/>
          <w:lang w:val="es-ES"/>
        </w:rPr>
        <w:t>, donde se establece que</w:t>
      </w:r>
      <w:r w:rsidRPr="00217435">
        <w:rPr>
          <w:rFonts w:ascii="Arial" w:hAnsi="Arial" w:eastAsia="Arial" w:cs="Arial"/>
          <w:lang w:val="es-ES"/>
        </w:rPr>
        <w:t xml:space="preserve">: «son: (a) los estudios y documentos previos; (b) el aviso de convocatoria; (c) los pliegos de condiciones o la invitación; (d) las adendas; (e) la oferta; (f) el informe de evaluación; (g) el contrato; y cualquier otro </w:t>
      </w:r>
      <w:r w:rsidRPr="00217435">
        <w:rPr>
          <w:rFonts w:ascii="Arial" w:hAnsi="Arial" w:eastAsia="Arial" w:cs="Arial"/>
          <w:lang w:val="es-ES"/>
        </w:rPr>
        <w:t xml:space="preserve">documento expedido por la Entidad Estatal durante el Proceso de Contratación». </w:t>
      </w:r>
    </w:p>
    <w:p w:rsidRPr="00217435" w:rsidR="00227E0D" w:rsidP="00227E0D" w:rsidRDefault="00B053BE" w14:paraId="4ACB2290" w14:textId="77777777">
      <w:pPr>
        <w:widowControl w:val="0"/>
        <w:autoSpaceDE w:val="0"/>
        <w:autoSpaceDN w:val="0"/>
        <w:spacing w:after="120" w:line="276" w:lineRule="auto"/>
        <w:ind w:firstLine="709"/>
        <w:jc w:val="both"/>
        <w:rPr>
          <w:rFonts w:ascii="Arial" w:hAnsi="Arial" w:eastAsia="Arial" w:cs="Arial"/>
          <w:lang w:val="es-ES"/>
        </w:rPr>
      </w:pPr>
      <w:r w:rsidRPr="00217435">
        <w:rPr>
          <w:rFonts w:ascii="Arial" w:hAnsi="Arial" w:eastAsia="Arial" w:cs="Arial"/>
          <w:lang w:val="es-ES"/>
        </w:rPr>
        <w:t xml:space="preserve">No obstante,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217435">
        <w:rPr>
          <w:rFonts w:ascii="Arial" w:hAnsi="Arial" w:eastAsia="Arial" w:cs="Arial"/>
          <w:i/>
          <w:iCs/>
          <w:lang w:val="es-ES"/>
        </w:rPr>
        <w:t>Ibídem</w:t>
      </w:r>
      <w:r w:rsidRPr="00217435">
        <w:rPr>
          <w:rFonts w:ascii="Arial" w:hAnsi="Arial" w:eastAsia="Arial" w:cs="Arial"/>
          <w:lang w:val="es-ES"/>
        </w:rPr>
        <w:t xml:space="preserve"> recoge en la noción de </w:t>
      </w:r>
      <w:r w:rsidRPr="00217435">
        <w:rPr>
          <w:rFonts w:ascii="Arial" w:hAnsi="Arial" w:eastAsia="Arial" w:cs="Arial"/>
          <w:i/>
          <w:iCs/>
          <w:lang w:val="es-ES"/>
        </w:rPr>
        <w:t>Documentos del Proceso</w:t>
      </w:r>
      <w:r w:rsidRPr="00217435">
        <w:rPr>
          <w:rFonts w:ascii="Arial" w:hAnsi="Arial" w:eastAsia="Arial" w:cs="Arial"/>
          <w:lang w:val="es-ES"/>
        </w:rPr>
        <w:t xml:space="preserve"> «cualquier otro documento expedido por la Entidad Estatal durante el </w:t>
      </w:r>
      <w:r w:rsidRPr="00217435">
        <w:rPr>
          <w:rFonts w:ascii="Arial" w:hAnsi="Arial" w:eastAsia="Arial" w:cs="Arial"/>
          <w:i/>
          <w:iCs/>
          <w:lang w:val="es-ES"/>
        </w:rPr>
        <w:t>Proceso de Contratación»</w:t>
      </w:r>
      <w:r w:rsidRPr="00217435">
        <w:rPr>
          <w:rFonts w:ascii="Arial" w:hAnsi="Arial" w:eastAsia="Arial" w:cs="Arial"/>
          <w:lang w:val="es-ES"/>
        </w:rPr>
        <w:t xml:space="preserve">. Este mismo artículo define la expresión </w:t>
      </w:r>
      <w:r w:rsidRPr="00217435">
        <w:rPr>
          <w:rFonts w:ascii="Arial" w:hAnsi="Arial" w:eastAsia="Arial" w:cs="Arial"/>
          <w:i/>
          <w:iCs/>
          <w:lang w:val="es-ES"/>
        </w:rPr>
        <w:t>Proceso de Contratación</w:t>
      </w:r>
      <w:r w:rsidRPr="00217435">
        <w:rPr>
          <w:rFonts w:ascii="Arial" w:hAnsi="Arial" w:eastAsia="Arial" w:cs="Arial"/>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r w:rsidRPr="00217435" w:rsidR="00227E0D">
        <w:rPr>
          <w:rFonts w:ascii="Arial" w:hAnsi="Arial" w:eastAsia="Arial" w:cs="Arial"/>
          <w:lang w:val="es-ES"/>
        </w:rPr>
        <w:t xml:space="preserve">Nótese que la norma hace referencia a los documentos «expedidos por la entidad estatal» durante el proceso de contratación, excluyendo de la noción de </w:t>
      </w:r>
      <w:r w:rsidRPr="00217435" w:rsidR="00227E0D">
        <w:rPr>
          <w:rFonts w:ascii="Arial" w:hAnsi="Arial" w:eastAsia="Arial" w:cs="Arial"/>
          <w:i/>
          <w:iCs/>
          <w:lang w:val="es-ES"/>
        </w:rPr>
        <w:t>Documentos del Proceso</w:t>
      </w:r>
      <w:r w:rsidRPr="00217435" w:rsidR="00227E0D">
        <w:rPr>
          <w:rFonts w:ascii="Arial" w:hAnsi="Arial" w:eastAsia="Arial" w:cs="Arial"/>
          <w:lang w:val="es-ES"/>
        </w:rPr>
        <w:t xml:space="preserve"> los expedidos por un sujeto distinto a la entidad, salvo la oferta, la cual se incluye expresamente </w:t>
      </w:r>
      <w:r w:rsidR="00227E0D">
        <w:rPr>
          <w:rFonts w:ascii="Arial" w:hAnsi="Arial" w:eastAsia="Arial" w:cs="Arial"/>
          <w:lang w:val="es-ES"/>
        </w:rPr>
        <w:t>e</w:t>
      </w:r>
      <w:r w:rsidRPr="00217435" w:rsidR="00227E0D">
        <w:rPr>
          <w:rFonts w:ascii="Arial" w:hAnsi="Arial" w:eastAsia="Arial" w:cs="Arial"/>
          <w:lang w:val="es-ES"/>
        </w:rPr>
        <w:t xml:space="preserve">n el artículo 2.2.1.1.1.3.1. </w:t>
      </w:r>
    </w:p>
    <w:p w:rsidRPr="00A309E0" w:rsidR="00A309E0" w:rsidP="09F33B12" w:rsidRDefault="00A309E0" w14:paraId="19E9FD4D" w14:textId="1F437FFF">
      <w:pPr>
        <w:widowControl w:val="0"/>
        <w:spacing w:after="120" w:line="276" w:lineRule="auto"/>
        <w:ind w:firstLine="709"/>
        <w:jc w:val="both"/>
        <w:rPr>
          <w:rFonts w:ascii="Arial" w:hAnsi="Arial" w:eastAsia="Arial" w:cs="Arial"/>
          <w:lang w:val="es-ES"/>
        </w:rPr>
      </w:pPr>
      <w:r w:rsidRPr="09F33B12" w:rsidR="00B053BE">
        <w:rPr>
          <w:rFonts w:ascii="Arial" w:hAnsi="Arial" w:eastAsia="Arial" w:cs="Arial"/>
          <w:lang w:val="es-ES"/>
        </w:rPr>
        <w:t xml:space="preserve"> </w:t>
      </w:r>
    </w:p>
    <w:p w:rsidRPr="00A309E0" w:rsidR="00A309E0" w:rsidP="00A309E0" w:rsidRDefault="00A309E0" w14:paraId="40A72FE4" w14:textId="77777777">
      <w:pPr>
        <w:spacing w:after="120" w:line="276" w:lineRule="auto"/>
        <w:jc w:val="both"/>
        <w:rPr>
          <w:rFonts w:ascii="Arial" w:hAnsi="Arial" w:eastAsia="Calibri" w:cs="Arial"/>
          <w:b/>
          <w:color w:val="000000" w:themeColor="text1"/>
          <w:szCs w:val="24"/>
          <w:lang w:eastAsia="es-ES_tradnl"/>
        </w:rPr>
      </w:pPr>
      <w:r w:rsidRPr="00A309E0">
        <w:rPr>
          <w:rFonts w:ascii="Arial" w:hAnsi="Arial" w:eastAsia="Calibri" w:cs="Arial"/>
          <w:b/>
          <w:color w:val="000000" w:themeColor="text1"/>
          <w:szCs w:val="24"/>
          <w:lang w:eastAsia="es-ES_tradnl"/>
        </w:rPr>
        <w:t>2.2. El Sistema Electrónico de Contratación Pública – SECOP: transformación hacia la tecnología y los medios electrónicos.</w:t>
      </w:r>
    </w:p>
    <w:p w:rsidRPr="00A309E0" w:rsidR="00A309E0" w:rsidP="00A309E0" w:rsidRDefault="00A309E0" w14:paraId="68E50B27" w14:textId="77777777">
      <w:pPr>
        <w:spacing w:after="0" w:line="276" w:lineRule="auto"/>
        <w:jc w:val="both"/>
        <w:rPr>
          <w:rFonts w:ascii="Arial" w:hAnsi="Arial" w:eastAsia="Calibri" w:cs="Arial"/>
          <w:color w:val="000000" w:themeColor="text1"/>
          <w:lang w:val="es-MX"/>
        </w:rPr>
      </w:pPr>
    </w:p>
    <w:p w:rsidRPr="00A309E0" w:rsidR="00A309E0" w:rsidP="00A309E0" w:rsidRDefault="00A309E0" w14:paraId="35E9C264" w14:textId="77777777">
      <w:pPr>
        <w:spacing w:after="0" w:line="276" w:lineRule="auto"/>
        <w:jc w:val="both"/>
        <w:rPr>
          <w:rFonts w:ascii="Arial" w:hAnsi="Arial" w:eastAsia="Calibri" w:cs="Arial"/>
          <w:color w:val="000000" w:themeColor="text1"/>
          <w:lang w:val="es-MX"/>
        </w:rPr>
      </w:pPr>
      <w:r w:rsidRPr="00A309E0">
        <w:rPr>
          <w:rFonts w:ascii="Arial" w:hAnsi="Arial" w:eastAsia="Calibri" w:cs="Arial"/>
          <w:color w:val="000000" w:themeColor="text1"/>
          <w:lang w:val="es-MX"/>
        </w:rPr>
        <w:t>El artículo 23 de la Ley 80 de 1993 regula los principios que rigen las actuaciones dentro de los procedimientos contractuales que adelantan las entidades</w:t>
      </w:r>
      <w:r w:rsidRPr="00A309E0">
        <w:rPr>
          <w:rFonts w:ascii="Arial" w:hAnsi="Arial" w:eastAsia="Calibri" w:cs="Arial"/>
          <w:color w:val="000000" w:themeColor="text1"/>
          <w:vertAlign w:val="superscript"/>
          <w:lang w:val="es-MX"/>
        </w:rPr>
        <w:footnoteReference w:id="3"/>
      </w:r>
      <w:r w:rsidRPr="00A309E0">
        <w:rPr>
          <w:rFonts w:ascii="Arial" w:hAnsi="Arial" w:eastAsia="Calibri" w:cs="Arial"/>
          <w:color w:val="000000" w:themeColor="text1"/>
          <w:lang w:val="es-MX"/>
        </w:rPr>
        <w:t>, y se destaca el principio de transparencia, desarrollado por el artículo 24, que contiene las reglas que permiten a los interesados conocer las actuaciones contractuales, que son públicas para poder controvertirlas a través de observaciones, por lo que se conforma un expediente y se expiden copias, de acuerdo con lo dispuesto por la norma</w:t>
      </w:r>
      <w:r w:rsidRPr="00A309E0">
        <w:rPr>
          <w:rFonts w:ascii="Arial" w:hAnsi="Arial" w:eastAsia="Calibri" w:cs="Arial"/>
          <w:color w:val="000000" w:themeColor="text1"/>
          <w:vertAlign w:val="superscript"/>
          <w:lang w:val="es-MX"/>
        </w:rPr>
        <w:footnoteReference w:id="4"/>
      </w:r>
      <w:r w:rsidRPr="00A309E0">
        <w:rPr>
          <w:rFonts w:ascii="Arial" w:hAnsi="Arial" w:eastAsia="Calibri" w:cs="Arial"/>
          <w:color w:val="000000" w:themeColor="text1"/>
          <w:lang w:val="es-MX"/>
        </w:rPr>
        <w:t xml:space="preserve">. De esta forma, las entidades </w:t>
      </w:r>
      <w:r w:rsidRPr="00A309E0">
        <w:rPr>
          <w:rFonts w:ascii="Arial" w:hAnsi="Arial" w:eastAsia="Calibri" w:cs="Arial"/>
          <w:color w:val="000000" w:themeColor="text1"/>
          <w:lang w:val="es-MX"/>
        </w:rPr>
        <w:t xml:space="preserve">deben publicar sus actuaciones de los procedimientos contractuales en el medio que ha definido el Estado para tal fin. </w:t>
      </w:r>
    </w:p>
    <w:p w:rsidRPr="00A309E0" w:rsidR="00A309E0" w:rsidP="00A309E0" w:rsidRDefault="00A309E0" w14:paraId="63D34D65" w14:textId="77777777">
      <w:pPr>
        <w:spacing w:after="0" w:line="276" w:lineRule="auto"/>
        <w:ind w:firstLine="708"/>
        <w:jc w:val="both"/>
        <w:rPr>
          <w:rFonts w:ascii="Arial" w:hAnsi="Arial" w:eastAsia="Calibri" w:cs="Arial"/>
          <w:color w:val="000000" w:themeColor="text1"/>
          <w:lang w:val="es-MX"/>
        </w:rPr>
      </w:pPr>
      <w:r w:rsidRPr="00A309E0">
        <w:rPr>
          <w:rFonts w:ascii="Arial" w:hAnsi="Arial" w:eastAsia="Calibri" w:cs="Arial"/>
          <w:color w:val="000000" w:themeColor="text1"/>
          <w:lang w:val="es-MX"/>
        </w:rPr>
        <w:t>Sobre el deber de publicidad, el artículo 2.2.1.1.1.7.1. del Decreto 1082 de 2015 regula la publicidad en el SECOP, y el deber de las entidades de publicar en dicha plataforma los documentos que resulten de la actividad contractual</w:t>
      </w:r>
      <w:r w:rsidRPr="00A309E0">
        <w:rPr>
          <w:rFonts w:ascii="Arial" w:hAnsi="Arial" w:eastAsia="Calibri" w:cs="Arial"/>
          <w:color w:val="000000" w:themeColor="text1"/>
          <w:vertAlign w:val="superscript"/>
          <w:lang w:val="es-MX"/>
        </w:rPr>
        <w:footnoteReference w:id="5"/>
      </w:r>
      <w:r w:rsidRPr="00A309E0">
        <w:rPr>
          <w:rFonts w:ascii="Arial" w:hAnsi="Arial" w:eastAsia="Calibri" w:cs="Arial"/>
          <w:color w:val="000000" w:themeColor="text1"/>
          <w:lang w:val="es-MX"/>
        </w:rPr>
        <w:t>, lo cual permite el control de las actuaciones y decisiones de la Administración y el cumplimiento de los demás principios de la contratación pública. Así lo confirma el Consejo de Estado que analizó el principio de publicidad:</w:t>
      </w:r>
    </w:p>
    <w:p w:rsidRPr="00A309E0" w:rsidR="00A309E0" w:rsidP="00A309E0" w:rsidRDefault="00A309E0" w14:paraId="3C4CF814" w14:textId="77777777">
      <w:pPr>
        <w:spacing w:after="0" w:line="276" w:lineRule="auto"/>
        <w:jc w:val="both"/>
        <w:rPr>
          <w:rFonts w:ascii="Arial" w:hAnsi="Arial" w:eastAsia="Calibri" w:cs="Arial"/>
          <w:color w:val="000000" w:themeColor="text1"/>
          <w:lang w:val="es-MX"/>
        </w:rPr>
      </w:pPr>
    </w:p>
    <w:p w:rsidRPr="00A309E0" w:rsidR="00A309E0" w:rsidP="09F33B12" w:rsidRDefault="00A309E0" w14:paraId="6FD5EFAE" w14:textId="77777777">
      <w:pPr>
        <w:spacing w:after="0" w:line="240" w:lineRule="auto"/>
        <w:ind w:left="708" w:right="709"/>
        <w:jc w:val="both"/>
        <w:rPr>
          <w:rFonts w:ascii="Arial" w:hAnsi="Arial" w:eastAsia="Calibri" w:cs="Arial"/>
          <w:color w:val="000000" w:themeColor="text1"/>
          <w:sz w:val="20"/>
          <w:szCs w:val="20"/>
          <w:lang w:val="es-MX"/>
        </w:rPr>
      </w:pPr>
      <w:r w:rsidRPr="09F33B12" w:rsidR="00A309E0">
        <w:rPr>
          <w:rFonts w:ascii="Arial" w:hAnsi="Arial" w:eastAsia="Calibri" w:cs="Arial"/>
          <w:color w:val="000000" w:themeColor="text1" w:themeTint="FF" w:themeShade="FF"/>
          <w:sz w:val="20"/>
          <w:szCs w:val="20"/>
          <w:lang w:val="es-MX"/>
        </w:rPr>
        <w:t>En virtud del principio de publicidad: las autoridades deben dar a conocer sus actuaciones y decisiones mediante las comunicaciones, notificaciones o publicaciones que ordena la ley, con el propósito de que sean vinculantes y puedan ser acatadas por sus destinatarios.</w:t>
      </w:r>
      <w:r w:rsidRPr="09F33B12" w:rsidR="00A309E0">
        <w:rPr>
          <w:rFonts w:ascii="Arial" w:hAnsi="Arial" w:eastAsia="Calibri" w:cs="Arial"/>
          <w:color w:val="000000" w:themeColor="text1" w:themeTint="FF" w:themeShade="FF"/>
          <w:sz w:val="20"/>
          <w:szCs w:val="20"/>
          <w:lang w:val="es-MX"/>
        </w:rPr>
        <w:t xml:space="preserve"> Publicidad significa anunciar, divulgar, difundir, informar y revelar las decisiones y su motivación para</w:t>
      </w:r>
      <w:r w:rsidRPr="09F33B12" w:rsidR="00A309E0">
        <w:rPr>
          <w:color w:val="000000" w:themeColor="text1" w:themeTint="FF" w:themeShade="FF"/>
          <w:sz w:val="20"/>
          <w:szCs w:val="20"/>
          <w:lang w:val="es-MX"/>
        </w:rPr>
        <w:t xml:space="preserve"> </w:t>
      </w:r>
      <w:r w:rsidRPr="09F33B12" w:rsidR="00A309E0">
        <w:rPr>
          <w:rFonts w:ascii="Arial" w:hAnsi="Arial" w:eastAsia="Calibri" w:cs="Arial"/>
          <w:color w:val="000000" w:themeColor="text1" w:themeTint="FF" w:themeShade="FF"/>
          <w:sz w:val="20"/>
          <w:szCs w:val="20"/>
          <w:lang w:val="es-MX"/>
        </w:rPr>
        <w:t>hacerlas saber a quiénes va dirigida, de manera que puedan ser obligatorias, controvertibles y controlables.</w:t>
      </w:r>
    </w:p>
    <w:p w:rsidRPr="00A309E0" w:rsidR="00A309E0" w:rsidP="09F33B12" w:rsidRDefault="00A309E0" w14:paraId="7D58CCEF" w14:textId="77777777">
      <w:pPr>
        <w:spacing w:after="0" w:line="240" w:lineRule="auto"/>
        <w:ind w:left="708" w:right="709"/>
        <w:jc w:val="both"/>
        <w:rPr>
          <w:rFonts w:ascii="Arial" w:hAnsi="Arial" w:eastAsia="Calibri" w:cs="Arial"/>
          <w:color w:val="000000" w:themeColor="text1"/>
          <w:sz w:val="20"/>
          <w:szCs w:val="20"/>
          <w:lang w:val="es-MX"/>
        </w:rPr>
      </w:pPr>
    </w:p>
    <w:p w:rsidRPr="00A309E0" w:rsidR="00A309E0" w:rsidP="09F33B12" w:rsidRDefault="00A309E0" w14:paraId="52BAEE39" w14:textId="77777777">
      <w:pPr>
        <w:spacing w:after="0" w:line="240" w:lineRule="auto"/>
        <w:ind w:left="708" w:right="709"/>
        <w:jc w:val="both"/>
        <w:rPr>
          <w:rFonts w:ascii="Arial" w:hAnsi="Arial" w:eastAsia="Calibri" w:cs="Arial"/>
          <w:color w:val="000000" w:themeColor="text1"/>
          <w:sz w:val="20"/>
          <w:szCs w:val="20"/>
          <w:lang w:val="es-MX"/>
        </w:rPr>
      </w:pPr>
      <w:r w:rsidRPr="09F33B12" w:rsidR="00A309E0">
        <w:rPr>
          <w:rFonts w:ascii="Arial" w:hAnsi="Arial" w:eastAsia="Calibri" w:cs="Arial"/>
          <w:color w:val="000000" w:themeColor="text1" w:themeTint="FF" w:themeShade="FF"/>
          <w:sz w:val="20"/>
          <w:szCs w:val="20"/>
          <w:lang w:val="es-MX"/>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w:t>
      </w:r>
      <w:r w:rsidRPr="09F33B12" w:rsidR="00A309E0">
        <w:rPr>
          <w:rFonts w:ascii="Arial" w:hAnsi="Arial" w:eastAsia="Calibri" w:cs="Arial"/>
          <w:color w:val="000000" w:themeColor="text1" w:themeTint="FF" w:themeShade="FF"/>
          <w:sz w:val="20"/>
          <w:szCs w:val="20"/>
          <w:lang w:val="es-MX"/>
        </w:rPr>
        <w:t xml:space="preserve"> La actuación de la administración debe ser abierta al público y a los participantes o concurrentes, quienes, incluso, en el caso de la licitación pueden hacer uso del ejercicio del derecho a la audiencia pública (art. 24 No. 3 </w:t>
      </w:r>
      <w:r w:rsidRPr="09F33B12" w:rsidR="00A309E0">
        <w:rPr>
          <w:rFonts w:ascii="Arial" w:hAnsi="Arial" w:eastAsia="Calibri" w:cs="Arial"/>
          <w:color w:val="000000" w:themeColor="text1" w:themeTint="FF" w:themeShade="FF"/>
          <w:sz w:val="20"/>
          <w:szCs w:val="20"/>
          <w:lang w:val="es-MX"/>
        </w:rPr>
        <w:t>ibídem</w:t>
      </w:r>
      <w:r w:rsidRPr="09F33B12" w:rsidR="00A309E0">
        <w:rPr>
          <w:rFonts w:ascii="Arial" w:hAnsi="Arial" w:eastAsia="Calibri" w:cs="Arial"/>
          <w:color w:val="000000" w:themeColor="text1" w:themeTint="FF" w:themeShade="FF"/>
          <w:sz w:val="20"/>
          <w:szCs w:val="20"/>
          <w:lang w:val="es-MX"/>
        </w:rPr>
        <w:t xml:space="preserve"> en armonía con el artículo 273 de la Constitución Política).</w:t>
      </w:r>
    </w:p>
    <w:p w:rsidRPr="00A309E0" w:rsidR="00A309E0" w:rsidP="09F33B12" w:rsidRDefault="00A309E0" w14:paraId="6851F538" w14:textId="77777777">
      <w:pPr>
        <w:spacing w:after="0" w:line="240" w:lineRule="auto"/>
        <w:ind w:left="708" w:right="709"/>
        <w:jc w:val="both"/>
        <w:rPr>
          <w:rFonts w:ascii="Arial" w:hAnsi="Arial" w:eastAsia="Calibri" w:cs="Arial"/>
          <w:color w:val="000000" w:themeColor="text1"/>
          <w:sz w:val="20"/>
          <w:szCs w:val="20"/>
          <w:lang w:val="es-MX"/>
        </w:rPr>
      </w:pPr>
    </w:p>
    <w:p w:rsidRPr="00A309E0" w:rsidR="00A309E0" w:rsidP="09F33B12" w:rsidRDefault="00A309E0" w14:paraId="2B39507E" w14:textId="77777777">
      <w:pPr>
        <w:spacing w:after="0" w:line="240" w:lineRule="auto"/>
        <w:ind w:left="708" w:right="709"/>
        <w:jc w:val="both"/>
        <w:rPr>
          <w:rFonts w:ascii="Arial" w:hAnsi="Arial" w:eastAsia="Calibri" w:cs="Arial"/>
          <w:color w:val="000000" w:themeColor="text1"/>
          <w:sz w:val="20"/>
          <w:szCs w:val="20"/>
          <w:lang w:val="es-MX"/>
        </w:rPr>
      </w:pPr>
      <w:r w:rsidRPr="09F33B12" w:rsidR="00A309E0">
        <w:rPr>
          <w:rFonts w:ascii="Arial" w:hAnsi="Arial" w:eastAsia="Calibri" w:cs="Arial"/>
          <w:color w:val="000000" w:themeColor="text1"/>
          <w:sz w:val="20"/>
          <w:szCs w:val="20"/>
          <w:lang w:val="es-MX"/>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9F33B12">
        <w:rPr>
          <w:rFonts w:ascii="Arial" w:hAnsi="Arial" w:eastAsia="Calibri" w:cs="Arial"/>
          <w:color w:val="000000" w:themeColor="text1"/>
          <w:sz w:val="20"/>
          <w:szCs w:val="20"/>
          <w:vertAlign w:val="superscript"/>
          <w:lang w:val="es-MX"/>
        </w:rPr>
        <w:footnoteReference w:id="6"/>
      </w:r>
      <w:r w:rsidRPr="09F33B12" w:rsidR="00A309E0">
        <w:rPr>
          <w:rFonts w:ascii="Arial" w:hAnsi="Arial" w:eastAsia="Calibri" w:cs="Arial"/>
          <w:color w:val="000000" w:themeColor="text1"/>
          <w:sz w:val="20"/>
          <w:szCs w:val="20"/>
          <w:lang w:val="es-MX"/>
        </w:rPr>
        <w:t>.</w:t>
      </w:r>
    </w:p>
    <w:p w:rsidRPr="00A309E0" w:rsidR="00A309E0" w:rsidP="00A309E0" w:rsidRDefault="00A309E0" w14:paraId="50D1C1DF" w14:textId="77777777">
      <w:pPr>
        <w:spacing w:after="0" w:line="240" w:lineRule="auto"/>
        <w:ind w:left="708" w:right="680"/>
        <w:jc w:val="both"/>
        <w:rPr>
          <w:rFonts w:ascii="Arial" w:hAnsi="Arial" w:eastAsia="Calibri" w:cs="Arial"/>
          <w:color w:val="000000" w:themeColor="text1"/>
          <w:sz w:val="21"/>
          <w:szCs w:val="21"/>
          <w:lang w:val="es-MX"/>
        </w:rPr>
      </w:pPr>
    </w:p>
    <w:p w:rsidRPr="00A309E0" w:rsidR="00A309E0" w:rsidP="00A309E0" w:rsidRDefault="00A309E0" w14:paraId="1A076886" w14:textId="77777777">
      <w:pPr>
        <w:spacing w:after="120" w:line="276" w:lineRule="auto"/>
        <w:ind w:firstLine="709"/>
        <w:jc w:val="both"/>
        <w:rPr>
          <w:rFonts w:ascii="Arial" w:hAnsi="Arial" w:eastAsia="Calibri" w:cs="Arial"/>
          <w:color w:val="000000" w:themeColor="text1"/>
          <w:lang w:val="es-MX"/>
        </w:rPr>
      </w:pPr>
      <w:r w:rsidRPr="00A309E0">
        <w:rPr>
          <w:rFonts w:ascii="Arial" w:hAnsi="Arial" w:eastAsia="Calibri" w:cs="Arial"/>
          <w:color w:val="000000" w:themeColor="text1"/>
          <w:lang w:val="es-MX"/>
        </w:rPr>
        <w:t xml:space="preserve">De acuerdo con esto, las entidades deben cumplir con el principio de publicidad respecto de su actividad contractual como garantía para los administrados, para conocer las actuaciones y participar en el control de estas. Por ende, el SECOP es la herramienta que dispuso el Estado para que las entidades cumplan el principio de publicidad, y la </w:t>
      </w:r>
      <w:r w:rsidRPr="00A309E0">
        <w:rPr>
          <w:rFonts w:ascii="Arial" w:hAnsi="Arial" w:eastAsia="Calibri" w:cs="Arial"/>
          <w:color w:val="000000" w:themeColor="text1"/>
          <w:lang w:val="es-MX"/>
        </w:rPr>
        <w:t xml:space="preserve">Agencia Nacional de Contratación Pública - Colombia Compra Eficiente, </w:t>
      </w:r>
      <w:bookmarkStart w:name="_Hlk22626097" w:id="6"/>
      <w:r w:rsidRPr="00A309E0">
        <w:rPr>
          <w:rFonts w:ascii="Arial" w:hAnsi="Arial" w:eastAsia="Calibri" w:cs="Arial"/>
          <w:color w:val="000000" w:themeColor="text1"/>
          <w:lang w:val="es-MX"/>
        </w:rPr>
        <w:t>mediante la Circular Externa No 1 de 21 de junio de 2013, recopilada en la Circular Externa Única</w:t>
      </w:r>
      <w:r w:rsidRPr="00A309E0">
        <w:rPr>
          <w:rFonts w:eastAsia="Calibri"/>
          <w:color w:val="000000" w:themeColor="text1"/>
          <w:sz w:val="24"/>
          <w:vertAlign w:val="superscript"/>
          <w:lang w:val="es-MX"/>
        </w:rPr>
        <w:footnoteReference w:id="7"/>
      </w:r>
      <w:r w:rsidRPr="00A309E0">
        <w:rPr>
          <w:rFonts w:ascii="Arial" w:hAnsi="Arial" w:eastAsia="Calibri" w:cs="Arial"/>
          <w:color w:val="000000" w:themeColor="text1"/>
          <w:lang w:val="es-MX"/>
        </w:rPr>
        <w:t>,</w:t>
      </w:r>
      <w:bookmarkEnd w:id="6"/>
      <w:r w:rsidRPr="00A309E0">
        <w:rPr>
          <w:rFonts w:ascii="Arial" w:hAnsi="Arial" w:eastAsia="Calibri" w:cs="Arial"/>
          <w:color w:val="000000" w:themeColor="text1"/>
          <w:lang w:val="es-MX"/>
        </w:rPr>
        <w:t xml:space="preserve"> recordó a todas las entidades del Estado el deber de publicar oportunamente su actividad contractual en el SECOP, sin que sea relevante para la exigencia de esta obligación su régimen jurídico, naturaleza pública o privada, o la pertenencia a una u otra rama del poder público. </w:t>
      </w:r>
    </w:p>
    <w:p w:rsidRPr="00A309E0" w:rsidR="00A309E0" w:rsidP="00A309E0" w:rsidRDefault="00A309E0" w14:paraId="29418E5C" w14:textId="77777777">
      <w:pPr>
        <w:spacing w:after="120" w:line="276" w:lineRule="auto"/>
        <w:ind w:firstLine="708"/>
        <w:jc w:val="both"/>
        <w:rPr>
          <w:rFonts w:ascii="Arial" w:hAnsi="Arial" w:eastAsia="Calibri" w:cs="Arial"/>
          <w:color w:val="000000" w:themeColor="text1"/>
          <w:lang w:val="es-MX"/>
        </w:rPr>
      </w:pPr>
      <w:r w:rsidRPr="00A309E0">
        <w:rPr>
          <w:rFonts w:ascii="Arial" w:hAnsi="Arial" w:eastAsia="Calibri" w:cs="Arial"/>
          <w:color w:val="000000" w:themeColor="text1"/>
          <w:lang w:val="es-MX"/>
        </w:rPr>
        <w:t>El artículo 3 de la Ley 1150 de 2007 señala que los actos relacionados con los procedimientos de contratación de las entidades pueden ser electrónicos, al igual que su publicidad, por lo que el Gobierno nacional debe definir los medios para llevarlo a cabo, y tiene la obligación de desarrollar el SECOP</w:t>
      </w:r>
      <w:r w:rsidRPr="00A309E0">
        <w:rPr>
          <w:rFonts w:ascii="Arial" w:hAnsi="Arial" w:eastAsia="Calibri" w:cs="Arial"/>
          <w:color w:val="000000" w:themeColor="text1"/>
          <w:vertAlign w:val="superscript"/>
          <w:lang w:val="es-MX"/>
        </w:rPr>
        <w:footnoteReference w:id="8"/>
      </w:r>
      <w:r w:rsidRPr="00A309E0">
        <w:rPr>
          <w:rFonts w:ascii="Arial" w:hAnsi="Arial" w:eastAsia="Calibri" w:cs="Arial"/>
          <w:color w:val="000000" w:themeColor="text1"/>
          <w:lang w:val="es-MX"/>
        </w:rPr>
        <w:t>. Este sistema debe contar con la información 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rsidRPr="00A309E0" w:rsidR="00A309E0" w:rsidP="00A309E0" w:rsidRDefault="00A309E0" w14:paraId="52FF234E" w14:textId="77777777">
      <w:pPr>
        <w:spacing w:after="0" w:line="276" w:lineRule="auto"/>
        <w:ind w:firstLine="709"/>
        <w:jc w:val="both"/>
        <w:rPr>
          <w:rFonts w:ascii="Arial" w:hAnsi="Arial" w:eastAsia="Calibri" w:cs="Arial"/>
          <w:color w:val="000000" w:themeColor="text1"/>
          <w:lang w:val="es-MX"/>
        </w:rPr>
      </w:pPr>
      <w:r w:rsidRPr="00A309E0">
        <w:rPr>
          <w:rFonts w:ascii="Arial" w:hAnsi="Arial" w:eastAsia="Calibri" w:cs="Arial"/>
          <w:color w:val="000000" w:themeColor="text1"/>
          <w:lang w:val="es-MX"/>
        </w:rPr>
        <w:t xml:space="preserve">La norma citada genera un cambio en la contratación pública, donde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 No obstante, en el SECOP se debe garantizar el cumplimiento de las reglas aplicables a la gestión contractual de las entidades, por lo que, a pesar del cambio de lo físico a lo electrónico, esto no implica que se modifiquen o dejen de cumplir las normas de contratación pública, como lo relacionado con la competencia contractual al interior de la entidad que se explicó en el numeral 2.1. de este documento; y a continuación se explicará </w:t>
      </w:r>
      <w:r w:rsidRPr="00A309E0">
        <w:rPr>
          <w:rFonts w:ascii="Arial" w:hAnsi="Arial" w:eastAsia="Calibri" w:cs="Arial"/>
          <w:color w:val="000000" w:themeColor="text1"/>
          <w:lang w:val="es-MX"/>
        </w:rPr>
        <w:t>su cumplimiento en la expedición de pliegos de condiciones por medios electrónicos, es decir, en el SECOP II</w:t>
      </w:r>
      <w:r w:rsidRPr="00A309E0">
        <w:rPr>
          <w:rFonts w:ascii="Arial" w:hAnsi="Arial" w:eastAsia="Calibri" w:cs="Arial"/>
          <w:color w:val="000000" w:themeColor="text1"/>
          <w:vertAlign w:val="superscript"/>
          <w:lang w:val="es-MX"/>
        </w:rPr>
        <w:footnoteReference w:id="9"/>
      </w:r>
      <w:r w:rsidRPr="00A309E0">
        <w:rPr>
          <w:rFonts w:ascii="Arial" w:hAnsi="Arial" w:eastAsia="Calibri" w:cs="Arial"/>
          <w:color w:val="000000" w:themeColor="text1"/>
          <w:lang w:val="es-MX"/>
        </w:rPr>
        <w:t xml:space="preserve">. </w:t>
      </w:r>
    </w:p>
    <w:p w:rsidRPr="00A309E0" w:rsidR="00A309E0" w:rsidP="00A309E0" w:rsidRDefault="00A309E0" w14:paraId="20FA56E8" w14:textId="77777777">
      <w:pPr>
        <w:tabs>
          <w:tab w:val="left" w:pos="0"/>
        </w:tabs>
        <w:spacing w:after="0" w:line="276" w:lineRule="auto"/>
        <w:jc w:val="both"/>
        <w:rPr>
          <w:rFonts w:ascii="Arial" w:hAnsi="Arial" w:eastAsia="Arial" w:cs="Arial"/>
          <w:lang w:val="es-ES"/>
        </w:rPr>
      </w:pPr>
    </w:p>
    <w:p w:rsidRPr="00A309E0" w:rsidR="00A309E0" w:rsidP="00A309E0" w:rsidRDefault="00A309E0" w14:paraId="3EE4C784" w14:textId="77777777">
      <w:pPr>
        <w:tabs>
          <w:tab w:val="left" w:pos="0"/>
        </w:tabs>
        <w:spacing w:after="0" w:line="240" w:lineRule="auto"/>
        <w:jc w:val="both"/>
        <w:rPr>
          <w:rFonts w:ascii="Arial" w:hAnsi="Arial" w:eastAsia="Calibri" w:cs="Arial"/>
          <w:b/>
          <w:szCs w:val="24"/>
          <w:lang w:val="es-ES_tradnl" w:eastAsia="es-ES_tradnl"/>
        </w:rPr>
      </w:pPr>
      <w:r w:rsidRPr="00A309E0">
        <w:rPr>
          <w:rFonts w:ascii="Arial" w:hAnsi="Arial" w:eastAsia="Calibri" w:cs="Arial"/>
          <w:b/>
          <w:szCs w:val="24"/>
          <w:lang w:val="es-ES_tradnl" w:eastAsia="es-ES_tradnl"/>
        </w:rPr>
        <w:t>3. Respuesta:</w:t>
      </w:r>
    </w:p>
    <w:p w:rsidRPr="00A309E0" w:rsidR="00A309E0" w:rsidP="00A309E0" w:rsidRDefault="00A309E0" w14:paraId="69C6E67F" w14:textId="77777777">
      <w:pPr>
        <w:tabs>
          <w:tab w:val="left" w:pos="0"/>
        </w:tabs>
        <w:spacing w:after="0" w:line="240" w:lineRule="auto"/>
        <w:jc w:val="both"/>
        <w:rPr>
          <w:rFonts w:ascii="Arial" w:hAnsi="Arial" w:eastAsia="Calibri" w:cs="Arial"/>
          <w:b/>
          <w:szCs w:val="24"/>
          <w:lang w:val="es-ES_tradnl" w:eastAsia="es-ES_tradnl"/>
        </w:rPr>
      </w:pPr>
    </w:p>
    <w:p w:rsidRPr="00A309E0" w:rsidR="00A309E0" w:rsidP="09F33B12" w:rsidRDefault="00A309E0" w14:paraId="0E858449" w14:textId="77777777">
      <w:pPr>
        <w:spacing w:after="0" w:line="240" w:lineRule="auto"/>
        <w:ind w:left="708"/>
        <w:jc w:val="both"/>
        <w:rPr>
          <w:rFonts w:ascii="Arial" w:hAnsi="Arial" w:cs="Arial"/>
          <w:sz w:val="20"/>
          <w:szCs w:val="20"/>
        </w:rPr>
      </w:pPr>
      <w:r w:rsidRPr="09F33B12" w:rsidR="00A309E0">
        <w:rPr>
          <w:rFonts w:ascii="Arial" w:hAnsi="Arial" w:cs="Arial"/>
          <w:sz w:val="20"/>
          <w:szCs w:val="20"/>
        </w:rPr>
        <w:t xml:space="preserve">“precisión sobre el significado de la expresión "expediente contractual" de una organización pública que adelanta procesos para adquisición de bienes y servicios (procesos contractuales); igualmente solicito se me pueda indicar un referente de listado o relación de los documentos básicos que integran las </w:t>
      </w:r>
      <w:r w:rsidRPr="09F33B12" w:rsidR="00A309E0">
        <w:rPr>
          <w:rFonts w:ascii="Arial" w:hAnsi="Arial" w:cs="Arial"/>
          <w:sz w:val="20"/>
          <w:szCs w:val="20"/>
        </w:rPr>
        <w:t>fases precontractual</w:t>
      </w:r>
      <w:r w:rsidRPr="09F33B12" w:rsidR="00A309E0">
        <w:rPr>
          <w:rFonts w:ascii="Arial" w:hAnsi="Arial" w:cs="Arial"/>
          <w:sz w:val="20"/>
          <w:szCs w:val="20"/>
        </w:rPr>
        <w:t xml:space="preserve">, contractual y </w:t>
      </w:r>
      <w:r w:rsidRPr="09F33B12" w:rsidR="00A309E0">
        <w:rPr>
          <w:rFonts w:ascii="Arial" w:hAnsi="Arial" w:cs="Arial"/>
          <w:sz w:val="20"/>
          <w:szCs w:val="20"/>
        </w:rPr>
        <w:t>postcontractual</w:t>
      </w:r>
      <w:r w:rsidRPr="09F33B12" w:rsidR="00A309E0">
        <w:rPr>
          <w:rFonts w:ascii="Arial" w:hAnsi="Arial" w:cs="Arial"/>
          <w:sz w:val="20"/>
          <w:szCs w:val="20"/>
        </w:rPr>
        <w:t>; para contratante, oferentes y contratistas”</w:t>
      </w:r>
    </w:p>
    <w:p w:rsidRPr="00A309E0" w:rsidR="00A309E0" w:rsidP="00A309E0" w:rsidRDefault="00A309E0" w14:paraId="33309872" w14:textId="77777777">
      <w:pPr>
        <w:spacing w:after="0" w:line="276" w:lineRule="auto"/>
        <w:ind w:firstLine="708"/>
        <w:jc w:val="both"/>
        <w:rPr>
          <w:rFonts w:ascii="Arial" w:hAnsi="Arial" w:cs="Arial"/>
          <w:sz w:val="21"/>
          <w:szCs w:val="21"/>
        </w:rPr>
      </w:pPr>
    </w:p>
    <w:p w:rsidRPr="00A309E0" w:rsidR="00A309E0" w:rsidP="000602AC" w:rsidRDefault="00A309E0" w14:paraId="6A552288" w14:textId="77777777">
      <w:pPr>
        <w:spacing w:after="0" w:line="276" w:lineRule="auto"/>
        <w:jc w:val="both"/>
        <w:rPr>
          <w:rFonts w:ascii="Arial" w:hAnsi="Arial" w:cs="Arial"/>
        </w:rPr>
      </w:pPr>
      <w:r w:rsidRPr="00A309E0">
        <w:rPr>
          <w:rFonts w:ascii="Arial" w:hAnsi="Arial" w:cs="Arial"/>
        </w:rPr>
        <w:t xml:space="preserve">Para otorgar respuesta a su solicitud, la definición sobre la expresión de expediente contractual, se consolida como la recopilación física y electrónica de los documentos producidos durante el desarrollo de determinado trámite, actuación o procedimiento en cumplimiento de las funciones que tiene asignadas una unidad administrativa al interior de una entidad, respetando el principio de procedencia. Ello se justifica en que el expediente contractual, como cualquier otro, estará compuesto por todos los documentos referidos a las etapas en las cuales se desarrolla el proceso de contratación (preparatoria, precontractual, contractual, ejecución y liquidación), entre ellos, unos informes de avance o cumplimiento de las obligaciones pactadas que los contratistas deben presentar a los supervisores o interventores del contrato, entre otros, para la tramitación de los pagos, hecho respaldado en lo dispuesto en el artículo 84 de la Ley 1474 de 2011. </w:t>
      </w:r>
    </w:p>
    <w:p w:rsidRPr="00A309E0" w:rsidR="00A309E0" w:rsidP="00A309E0" w:rsidRDefault="00A309E0" w14:paraId="5F1AA26E" w14:textId="77777777">
      <w:pPr>
        <w:spacing w:after="0" w:line="276" w:lineRule="auto"/>
        <w:ind w:firstLine="708"/>
        <w:jc w:val="both"/>
        <w:rPr>
          <w:rFonts w:ascii="Arial" w:hAnsi="Arial" w:cs="Arial"/>
        </w:rPr>
      </w:pPr>
    </w:p>
    <w:p w:rsidR="001D5BC8" w:rsidP="001D5BC8" w:rsidRDefault="00A309E0" w14:paraId="17DE1112" w14:textId="77777777">
      <w:pPr>
        <w:widowControl w:val="0"/>
        <w:autoSpaceDE w:val="0"/>
        <w:autoSpaceDN w:val="0"/>
        <w:spacing w:after="120" w:line="276" w:lineRule="auto"/>
        <w:ind w:firstLine="709"/>
        <w:jc w:val="both"/>
        <w:rPr>
          <w:rFonts w:ascii="Arial" w:hAnsi="Arial" w:eastAsia="Arial" w:cs="Arial"/>
          <w:lang w:val="es-ES"/>
        </w:rPr>
      </w:pPr>
      <w:r w:rsidRPr="00A309E0">
        <w:rPr>
          <w:rFonts w:ascii="Arial" w:hAnsi="Arial" w:cs="Arial"/>
        </w:rPr>
        <w:t>Por último,</w:t>
      </w:r>
      <w:r w:rsidR="00A33877">
        <w:rPr>
          <w:rFonts w:ascii="Arial" w:hAnsi="Arial" w:cs="Arial"/>
        </w:rPr>
        <w:t xml:space="preserve"> como referente de los documentos que se expiden en un Proceso de Contratación es preciso acudir a la </w:t>
      </w:r>
      <w:r w:rsidRPr="00217435" w:rsidR="00A33877">
        <w:rPr>
          <w:rFonts w:ascii="Arial" w:hAnsi="Arial" w:eastAsia="Arial" w:cs="Arial"/>
          <w:lang w:val="es-ES"/>
        </w:rPr>
        <w:t xml:space="preserve">expresión </w:t>
      </w:r>
      <w:r w:rsidRPr="00217435" w:rsidR="00A33877">
        <w:rPr>
          <w:rFonts w:ascii="Arial" w:hAnsi="Arial" w:eastAsia="Arial" w:cs="Arial"/>
          <w:i/>
          <w:iCs/>
          <w:lang w:val="es-ES"/>
        </w:rPr>
        <w:t>Documentos del Proceso</w:t>
      </w:r>
      <w:r w:rsidRPr="00217435" w:rsidR="00A33877">
        <w:rPr>
          <w:rFonts w:ascii="Arial" w:hAnsi="Arial" w:eastAsia="Arial" w:cs="Arial"/>
          <w:lang w:val="es-ES"/>
        </w:rPr>
        <w:t xml:space="preserve"> definida en el artículo 2.2.1.1.1.3.1. del Decreto 1082 de 2015</w:t>
      </w:r>
      <w:r w:rsidR="001D5BC8">
        <w:rPr>
          <w:rFonts w:ascii="Arial" w:hAnsi="Arial" w:eastAsia="Arial" w:cs="Arial"/>
          <w:lang w:val="es-ES"/>
        </w:rPr>
        <w:t xml:space="preserve"> que indica que estos son</w:t>
      </w:r>
      <w:r w:rsidRPr="00217435" w:rsidR="00A33877">
        <w:rPr>
          <w:rFonts w:ascii="Arial" w:hAnsi="Arial" w:eastAsia="Arial" w:cs="Arial"/>
          <w:lang w:val="es-ES"/>
        </w:rPr>
        <w:t xml:space="preserve">: </w:t>
      </w:r>
      <w:r w:rsidR="001D5BC8">
        <w:rPr>
          <w:rFonts w:ascii="Arial" w:hAnsi="Arial" w:eastAsia="Arial" w:cs="Arial"/>
          <w:lang w:val="es-ES"/>
        </w:rPr>
        <w:t>“</w:t>
      </w:r>
      <w:r w:rsidRPr="00217435" w:rsidR="00A33877">
        <w:rPr>
          <w:rFonts w:ascii="Arial" w:hAnsi="Arial" w:eastAsia="Arial" w:cs="Arial"/>
          <w:lang w:val="es-ES"/>
        </w:rPr>
        <w:t>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sidR="001D5BC8">
        <w:rPr>
          <w:rFonts w:ascii="Arial" w:hAnsi="Arial" w:eastAsia="Arial" w:cs="Arial"/>
          <w:lang w:val="es-ES"/>
        </w:rPr>
        <w:t>”</w:t>
      </w:r>
      <w:r w:rsidRPr="00217435" w:rsidR="00A33877">
        <w:rPr>
          <w:rFonts w:ascii="Arial" w:hAnsi="Arial" w:eastAsia="Arial" w:cs="Arial"/>
          <w:lang w:val="es-ES"/>
        </w:rPr>
        <w:t>.</w:t>
      </w:r>
    </w:p>
    <w:p w:rsidRPr="00A309E0" w:rsidR="00A309E0" w:rsidP="001D5BC8" w:rsidRDefault="00A309E0" w14:paraId="31AF8185" w14:textId="3D419364">
      <w:pPr>
        <w:widowControl w:val="0"/>
        <w:autoSpaceDE w:val="0"/>
        <w:autoSpaceDN w:val="0"/>
        <w:spacing w:after="120" w:line="276" w:lineRule="auto"/>
        <w:jc w:val="both"/>
        <w:rPr>
          <w:rFonts w:ascii="Arial" w:hAnsi="Arial" w:eastAsia="Calibri" w:cs="Arial"/>
          <w:color w:val="000000" w:themeColor="text1"/>
          <w:szCs w:val="24"/>
          <w:lang w:val="es-ES_tradnl" w:eastAsia="es-ES_tradnl"/>
        </w:rPr>
      </w:pPr>
      <w:r w:rsidRPr="00A309E0">
        <w:rPr>
          <w:rFonts w:ascii="Arial" w:hAnsi="Arial" w:eastAsia="Calibri" w:cs="Arial"/>
          <w:color w:val="000000" w:themeColor="text1"/>
          <w:szCs w:val="24"/>
          <w:lang w:val="es-ES_tradnl" w:eastAsia="es-ES_tradnl"/>
        </w:rPr>
        <w:t>Este concepto tiene el alcance previsto en el artículo 28 del Código de Procedimiento Administrativo y de lo Contencioso Administrativo.</w:t>
      </w:r>
    </w:p>
    <w:p w:rsidRPr="00A309E0" w:rsidR="00A309E0" w:rsidP="09F33B12" w:rsidRDefault="00A309E0" w14:paraId="24B263DD" w14:textId="6DF9CB24">
      <w:pPr>
        <w:pStyle w:val="Normal"/>
        <w:spacing w:after="0" w:line="276" w:lineRule="auto"/>
        <w:jc w:val="both"/>
        <w:rPr>
          <w:rFonts w:ascii="Arial" w:hAnsi="Arial" w:eastAsia="Times New Roman" w:cs="Arial"/>
          <w:lang w:val="es-ES" w:eastAsia="es-CO"/>
        </w:rPr>
      </w:pPr>
    </w:p>
    <w:p w:rsidRPr="00A309E0" w:rsidR="00A309E0" w:rsidP="00A309E0" w:rsidRDefault="00A309E0" w14:paraId="6AADE694" w14:textId="77777777">
      <w:pPr>
        <w:spacing w:after="0" w:line="276" w:lineRule="auto"/>
        <w:jc w:val="both"/>
        <w:rPr>
          <w:rFonts w:ascii="Arial" w:hAnsi="Arial" w:eastAsia="Times New Roman" w:cs="Arial"/>
          <w:lang w:val="es-ES_tradnl" w:eastAsia="es-CO"/>
        </w:rPr>
      </w:pPr>
      <w:r w:rsidRPr="09F33B12" w:rsidR="00A309E0">
        <w:rPr>
          <w:rFonts w:ascii="Arial" w:hAnsi="Arial" w:eastAsia="Times New Roman" w:cs="Arial"/>
          <w:lang w:val="es-ES" w:eastAsia="es-CO"/>
        </w:rPr>
        <w:t>Atentamente,</w:t>
      </w:r>
    </w:p>
    <w:p w:rsidRPr="00A309E0" w:rsidR="00A309E0" w:rsidP="09F33B12" w:rsidRDefault="00A309E0" w14:paraId="2C73BF0B" w14:textId="0965C3DC">
      <w:pPr>
        <w:pStyle w:val="Normal"/>
        <w:spacing w:before="240" w:after="120" w:line="276" w:lineRule="auto"/>
        <w:jc w:val="center"/>
        <w:rPr>
          <w:rFonts w:ascii="Arial" w:hAnsi="Arial" w:eastAsia="Calibri" w:cs="Arial"/>
          <w:sz w:val="24"/>
          <w:szCs w:val="24"/>
          <w:lang w:eastAsia="es-ES"/>
        </w:rPr>
      </w:pPr>
      <w:r w:rsidR="07FF3782">
        <w:drawing>
          <wp:inline wp14:editId="6060ED9B" wp14:anchorId="59C822E7">
            <wp:extent cx="2040420" cy="782161"/>
            <wp:effectExtent l="0" t="0" r="0" b="0"/>
            <wp:docPr id="844720218" name="" title=""/>
            <wp:cNvGraphicFramePr>
              <a:graphicFrameLocks noChangeAspect="1"/>
            </wp:cNvGraphicFramePr>
            <a:graphic>
              <a:graphicData uri="http://schemas.openxmlformats.org/drawingml/2006/picture">
                <pic:pic>
                  <pic:nvPicPr>
                    <pic:cNvPr id="0" name=""/>
                    <pic:cNvPicPr/>
                  </pic:nvPicPr>
                  <pic:blipFill>
                    <a:blip r:embed="R0d3a689156a140c7">
                      <a:extLst>
                        <a:ext xmlns:a="http://schemas.openxmlformats.org/drawingml/2006/main" uri="{28A0092B-C50C-407E-A947-70E740481C1C}">
                          <a14:useLocalDpi val="0"/>
                        </a:ext>
                      </a:extLst>
                    </a:blip>
                    <a:stretch>
                      <a:fillRect/>
                    </a:stretch>
                  </pic:blipFill>
                  <pic:spPr>
                    <a:xfrm>
                      <a:off x="0" y="0"/>
                      <a:ext cx="2040420" cy="782161"/>
                    </a:xfrm>
                    <a:prstGeom prst="rect">
                      <a:avLst/>
                    </a:prstGeom>
                  </pic:spPr>
                </pic:pic>
              </a:graphicData>
            </a:graphic>
          </wp:inline>
        </w:drawing>
      </w:r>
      <w:r>
        <w:br/>
      </w:r>
    </w:p>
    <w:tbl>
      <w:tblPr>
        <w:tblStyle w:val="Tablaconcuadrcula11"/>
        <w:tblpPr w:leftFromText="141" w:rightFromText="141" w:vertAnchor="text" w:horzAnchor="margin" w:tblpY="-7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4445"/>
      </w:tblGrid>
      <w:tr w:rsidRPr="00A309E0" w:rsidR="00A309E0" w:rsidTr="3A452E66" w14:paraId="320B846A" w14:textId="77777777">
        <w:trPr>
          <w:trHeight w:val="286"/>
        </w:trPr>
        <w:tc>
          <w:tcPr>
            <w:tcW w:w="817" w:type="dxa"/>
            <w:vAlign w:val="center"/>
          </w:tcPr>
          <w:p w:rsidRPr="00A309E0" w:rsidR="00A309E0" w:rsidP="00A309E0" w:rsidRDefault="00A309E0" w14:paraId="6F74C576" w14:textId="77777777">
            <w:pPr>
              <w:rPr>
                <w:rFonts w:ascii="Arial" w:hAnsi="Arial" w:eastAsia="Times New Roman" w:cs="Arial"/>
                <w:sz w:val="15"/>
                <w:szCs w:val="15"/>
                <w:lang w:eastAsia="es-ES_tradnl"/>
              </w:rPr>
            </w:pPr>
            <w:r w:rsidRPr="00A309E0">
              <w:rPr>
                <w:rFonts w:ascii="Arial" w:hAnsi="Arial" w:eastAsia="Times New Roman" w:cs="Arial"/>
                <w:sz w:val="15"/>
                <w:szCs w:val="15"/>
                <w:lang w:eastAsia="es-ES_tradnl"/>
              </w:rPr>
              <w:t>Elaboró:</w:t>
            </w:r>
          </w:p>
        </w:tc>
        <w:tc>
          <w:tcPr>
            <w:tcW w:w="4445" w:type="dxa"/>
            <w:tcBorders>
              <w:bottom w:val="dotted" w:color="7F7F7F" w:themeColor="text1" w:themeTint="80" w:sz="4" w:space="0"/>
            </w:tcBorders>
            <w:vAlign w:val="center"/>
          </w:tcPr>
          <w:p w:rsidRPr="00A309E0" w:rsidR="00A309E0" w:rsidP="00A309E0" w:rsidRDefault="00A309E0" w14:paraId="6DC8301B" w14:textId="77777777">
            <w:pPr>
              <w:rPr>
                <w:rFonts w:ascii="Arial" w:hAnsi="Arial" w:eastAsia="Times New Roman" w:cs="Arial"/>
                <w:sz w:val="15"/>
                <w:szCs w:val="15"/>
                <w:lang w:eastAsia="es-ES_tradnl"/>
              </w:rPr>
            </w:pPr>
          </w:p>
          <w:p w:rsidRPr="00A309E0" w:rsidR="00A309E0" w:rsidP="00A309E0" w:rsidRDefault="00A309E0" w14:paraId="33EA7FE9" w14:textId="77777777">
            <w:pPr>
              <w:rPr>
                <w:rFonts w:ascii="Arial" w:hAnsi="Arial" w:eastAsia="Times New Roman" w:cs="Arial"/>
                <w:sz w:val="15"/>
                <w:szCs w:val="15"/>
                <w:lang w:eastAsia="es-ES_tradnl"/>
              </w:rPr>
            </w:pPr>
            <w:r w:rsidRPr="00A309E0">
              <w:rPr>
                <w:rFonts w:ascii="Arial" w:hAnsi="Arial" w:eastAsia="Times New Roman" w:cs="Arial"/>
                <w:sz w:val="15"/>
                <w:szCs w:val="15"/>
                <w:lang w:eastAsia="es-ES_tradnl"/>
              </w:rPr>
              <w:t>Sergio Luis Mondragón Duarte</w:t>
            </w:r>
          </w:p>
          <w:p w:rsidRPr="00A309E0" w:rsidR="00A309E0" w:rsidP="00A309E0" w:rsidRDefault="00A309E0" w14:paraId="4639CA1D" w14:textId="77777777">
            <w:pPr>
              <w:rPr>
                <w:rFonts w:ascii="Arial" w:hAnsi="Arial" w:eastAsia="Times New Roman" w:cs="Arial"/>
                <w:sz w:val="15"/>
                <w:szCs w:val="15"/>
                <w:lang w:eastAsia="es-ES_tradnl"/>
              </w:rPr>
            </w:pPr>
            <w:r w:rsidRPr="00A309E0">
              <w:rPr>
                <w:rFonts w:ascii="Arial" w:hAnsi="Arial" w:eastAsia="Times New Roman" w:cs="Arial"/>
                <w:sz w:val="15"/>
                <w:szCs w:val="15"/>
                <w:lang w:eastAsia="es-ES_tradnl"/>
              </w:rPr>
              <w:t>Contratista de la Subdirección de Gestión Contractual</w:t>
            </w:r>
          </w:p>
        </w:tc>
      </w:tr>
      <w:tr w:rsidRPr="00A309E0" w:rsidR="00A309E0" w:rsidTr="3A452E66" w14:paraId="5CA7DF7A" w14:textId="77777777">
        <w:trPr>
          <w:trHeight w:val="286"/>
        </w:trPr>
        <w:tc>
          <w:tcPr>
            <w:tcW w:w="817" w:type="dxa"/>
            <w:vAlign w:val="center"/>
          </w:tcPr>
          <w:p w:rsidRPr="00A309E0" w:rsidR="00A309E0" w:rsidP="00A309E0" w:rsidRDefault="00A309E0" w14:paraId="7EE3B417" w14:textId="77777777">
            <w:pPr>
              <w:rPr>
                <w:rFonts w:ascii="Arial" w:hAnsi="Arial" w:eastAsia="Times New Roman" w:cs="Arial"/>
                <w:sz w:val="15"/>
                <w:szCs w:val="15"/>
                <w:lang w:eastAsia="es-ES_tradnl"/>
              </w:rPr>
            </w:pPr>
            <w:r w:rsidRPr="00A309E0">
              <w:rPr>
                <w:rFonts w:ascii="Arial" w:hAnsi="Arial" w:eastAsia="Times New Roman" w:cs="Arial"/>
                <w:sz w:val="15"/>
                <w:szCs w:val="15"/>
                <w:lang w:eastAsia="es-ES_tradnl"/>
              </w:rPr>
              <w:t>Revisó:</w:t>
            </w:r>
          </w:p>
        </w:tc>
        <w:tc>
          <w:tcPr>
            <w:tcW w:w="4445" w:type="dxa"/>
            <w:tcBorders>
              <w:bottom w:val="dotted" w:color="7F7F7F" w:themeColor="text1" w:themeTint="80" w:sz="4" w:space="0"/>
            </w:tcBorders>
            <w:vAlign w:val="center"/>
          </w:tcPr>
          <w:p w:rsidRPr="00A309E0" w:rsidR="00A309E0" w:rsidP="00A309E0" w:rsidRDefault="00A309E0" w14:paraId="0080D18B" w14:textId="64A6D1D7">
            <w:pPr>
              <w:spacing w:line="276" w:lineRule="auto"/>
              <w:textAlignment w:val="baseline"/>
              <w:rPr>
                <w:rFonts w:ascii="Arial" w:hAnsi="Arial" w:eastAsia="Times New Roman" w:cs="Arial"/>
                <w:sz w:val="15"/>
                <w:szCs w:val="15"/>
                <w:lang w:eastAsia="es-CO"/>
              </w:rPr>
            </w:pPr>
            <w:r w:rsidRPr="00A309E0">
              <w:rPr>
                <w:rFonts w:ascii="Arial" w:hAnsi="Arial" w:eastAsia="Times New Roman" w:cs="Arial"/>
                <w:sz w:val="15"/>
                <w:szCs w:val="15"/>
                <w:lang w:eastAsia="es-CO"/>
              </w:rPr>
              <w:t>Alejandro Sarmiento</w:t>
            </w:r>
            <w:r w:rsidR="000602AC">
              <w:rPr>
                <w:rFonts w:ascii="Arial" w:hAnsi="Arial" w:eastAsia="Times New Roman" w:cs="Arial"/>
                <w:sz w:val="15"/>
                <w:szCs w:val="15"/>
                <w:lang w:eastAsia="es-CO"/>
              </w:rPr>
              <w:t xml:space="preserve"> Cantillo</w:t>
            </w:r>
          </w:p>
          <w:p w:rsidRPr="00A309E0" w:rsidR="00A309E0" w:rsidP="3A452E66" w:rsidRDefault="00A309E0" w14:paraId="290CA13A" w14:textId="3C7FE27D">
            <w:pPr>
              <w:spacing w:line="276" w:lineRule="auto"/>
              <w:textAlignment w:val="baseline"/>
              <w:rPr>
                <w:rFonts w:ascii="Arial" w:hAnsi="Arial" w:eastAsia="Times New Roman" w:cs="Arial"/>
                <w:sz w:val="15"/>
                <w:szCs w:val="15"/>
                <w:lang w:eastAsia="es-ES"/>
              </w:rPr>
            </w:pPr>
            <w:r w:rsidRPr="3A452E66">
              <w:rPr>
                <w:rFonts w:ascii="Arial" w:hAnsi="Arial" w:eastAsia="Times New Roman" w:cs="Arial"/>
                <w:sz w:val="15"/>
                <w:szCs w:val="15"/>
                <w:lang w:eastAsia="es-CO"/>
              </w:rPr>
              <w:t>Gestor T1</w:t>
            </w:r>
            <w:r w:rsidRPr="3A452E66" w:rsidR="000602AC">
              <w:rPr>
                <w:rFonts w:ascii="Arial" w:hAnsi="Arial" w:eastAsia="Times New Roman" w:cs="Arial"/>
                <w:sz w:val="15"/>
                <w:szCs w:val="15"/>
                <w:lang w:eastAsia="es-CO"/>
              </w:rPr>
              <w:t>’</w:t>
            </w:r>
            <w:r w:rsidRPr="3A452E66">
              <w:rPr>
                <w:rFonts w:ascii="Arial" w:hAnsi="Arial" w:eastAsia="Times New Roman" w:cs="Arial"/>
                <w:sz w:val="15"/>
                <w:szCs w:val="15"/>
                <w:lang w:eastAsia="es-CO"/>
              </w:rPr>
              <w:t>15 Subdirección de Gestión Contractual</w:t>
            </w:r>
          </w:p>
          <w:p w:rsidRPr="00A309E0" w:rsidR="00A309E0" w:rsidP="3A452E66" w:rsidRDefault="502D17CA" w14:paraId="4EC9790B" w14:textId="5671DD69">
            <w:pPr>
              <w:spacing w:line="276" w:lineRule="auto"/>
              <w:textAlignment w:val="baseline"/>
              <w:rPr>
                <w:rFonts w:ascii="Arial" w:hAnsi="Arial" w:eastAsia="Times New Roman" w:cs="Arial"/>
                <w:sz w:val="15"/>
                <w:szCs w:val="15"/>
                <w:lang w:eastAsia="es-CO"/>
              </w:rPr>
            </w:pPr>
            <w:r w:rsidRPr="3A452E66">
              <w:rPr>
                <w:rFonts w:ascii="Arial" w:hAnsi="Arial" w:eastAsia="Times New Roman" w:cs="Arial"/>
                <w:sz w:val="15"/>
                <w:szCs w:val="15"/>
                <w:lang w:eastAsia="es-CO"/>
              </w:rPr>
              <w:t>Gabriel Mendoza</w:t>
            </w:r>
          </w:p>
          <w:p w:rsidRPr="00A309E0" w:rsidR="00A309E0" w:rsidP="3A452E66" w:rsidRDefault="502D17CA" w14:paraId="68F36649" w14:textId="376ED885">
            <w:pPr>
              <w:spacing w:line="276" w:lineRule="auto"/>
              <w:textAlignment w:val="baseline"/>
              <w:rPr>
                <w:rFonts w:ascii="Arial" w:hAnsi="Arial" w:eastAsia="Times New Roman" w:cs="Arial"/>
                <w:sz w:val="15"/>
                <w:szCs w:val="15"/>
                <w:lang w:eastAsia="es-CO"/>
              </w:rPr>
            </w:pPr>
            <w:r w:rsidRPr="3A452E66">
              <w:rPr>
                <w:rFonts w:ascii="Arial" w:hAnsi="Arial" w:eastAsia="Times New Roman" w:cs="Arial"/>
                <w:sz w:val="15"/>
                <w:szCs w:val="15"/>
                <w:lang w:eastAsia="es-CO"/>
              </w:rPr>
              <w:t>Contratista de la Subdirección de Gestión Contractual</w:t>
            </w:r>
          </w:p>
        </w:tc>
      </w:tr>
      <w:tr w:rsidRPr="00A309E0" w:rsidR="00A309E0" w:rsidTr="3A452E66" w14:paraId="1534D0E3" w14:textId="77777777">
        <w:trPr>
          <w:trHeight w:val="299"/>
        </w:trPr>
        <w:tc>
          <w:tcPr>
            <w:tcW w:w="817" w:type="dxa"/>
            <w:vAlign w:val="center"/>
          </w:tcPr>
          <w:p w:rsidRPr="00A309E0" w:rsidR="00A309E0" w:rsidP="00A309E0" w:rsidRDefault="00A309E0" w14:paraId="2F353246" w14:textId="77777777">
            <w:pPr>
              <w:rPr>
                <w:rFonts w:ascii="Arial" w:hAnsi="Arial" w:eastAsia="Times New Roman" w:cs="Arial"/>
                <w:sz w:val="15"/>
                <w:szCs w:val="15"/>
                <w:lang w:eastAsia="es-ES_tradnl"/>
              </w:rPr>
            </w:pPr>
            <w:r w:rsidRPr="00A309E0">
              <w:rPr>
                <w:rFonts w:ascii="Arial" w:hAnsi="Arial" w:eastAsia="Times New Roman" w:cs="Arial"/>
                <w:sz w:val="15"/>
                <w:szCs w:val="15"/>
                <w:lang w:eastAsia="es-ES_tradnl"/>
              </w:rPr>
              <w:t>Aprobó:</w:t>
            </w:r>
          </w:p>
        </w:tc>
        <w:tc>
          <w:tcPr>
            <w:tcW w:w="4445" w:type="dxa"/>
            <w:tcBorders>
              <w:top w:val="dotted" w:color="7F7F7F" w:themeColor="text1" w:themeTint="80" w:sz="4" w:space="0"/>
              <w:bottom w:val="dotted" w:color="7F7F7F" w:themeColor="text1" w:themeTint="80" w:sz="4" w:space="0"/>
            </w:tcBorders>
            <w:vAlign w:val="center"/>
          </w:tcPr>
          <w:p w:rsidRPr="00A309E0" w:rsidR="00A309E0" w:rsidP="00A309E0" w:rsidRDefault="00A309E0" w14:paraId="26D670F0" w14:textId="77777777">
            <w:pPr>
              <w:rPr>
                <w:rFonts w:ascii="Arial" w:hAnsi="Arial" w:eastAsia="Times New Roman" w:cs="Arial"/>
                <w:sz w:val="15"/>
                <w:szCs w:val="15"/>
                <w:lang w:eastAsia="es-ES_tradnl"/>
              </w:rPr>
            </w:pPr>
            <w:r w:rsidRPr="00A309E0">
              <w:rPr>
                <w:rFonts w:ascii="Arial" w:hAnsi="Arial" w:eastAsia="Times New Roman" w:cs="Arial"/>
                <w:sz w:val="15"/>
                <w:szCs w:val="15"/>
                <w:lang w:eastAsia="es-ES_tradnl"/>
              </w:rPr>
              <w:t>Nohelia Del Carmen Zawady Palacio</w:t>
            </w:r>
          </w:p>
          <w:p w:rsidRPr="00A309E0" w:rsidR="00A309E0" w:rsidP="00A309E0" w:rsidRDefault="00A309E0" w14:paraId="0BB761EF" w14:textId="77777777">
            <w:pPr>
              <w:rPr>
                <w:rFonts w:ascii="Arial" w:hAnsi="Arial" w:eastAsia="Times New Roman" w:cs="Arial"/>
                <w:sz w:val="15"/>
                <w:szCs w:val="15"/>
                <w:lang w:eastAsia="es-ES_tradnl"/>
              </w:rPr>
            </w:pPr>
            <w:r w:rsidRPr="00A309E0">
              <w:rPr>
                <w:rFonts w:ascii="Arial" w:hAnsi="Arial" w:eastAsia="Times New Roman" w:cs="Arial"/>
                <w:sz w:val="15"/>
                <w:szCs w:val="15"/>
                <w:lang w:eastAsia="es-ES_tradnl"/>
              </w:rPr>
              <w:t>Subdirectora de Gestión Contractual ANCP – CCE</w:t>
            </w:r>
            <w:r w:rsidRPr="00A309E0">
              <w:rPr>
                <w:rFonts w:ascii="Arial" w:hAnsi="Arial" w:eastAsia="Times New Roman" w:cs="Arial"/>
                <w:sz w:val="15"/>
                <w:szCs w:val="15"/>
                <w:shd w:val="clear" w:color="auto" w:fill="E6E6E6"/>
                <w:lang w:eastAsia="es-ES_tradnl"/>
              </w:rPr>
              <w:t xml:space="preserve"> </w:t>
            </w:r>
          </w:p>
        </w:tc>
      </w:tr>
    </w:tbl>
    <w:p w:rsidRPr="00A309E0" w:rsidR="00A309E0" w:rsidP="00A309E0" w:rsidRDefault="00A309E0" w14:paraId="263E5DBF" w14:textId="77777777">
      <w:pPr>
        <w:tabs>
          <w:tab w:val="left" w:pos="3795"/>
        </w:tabs>
        <w:spacing w:after="0" w:line="240" w:lineRule="auto"/>
        <w:rPr>
          <w:rFonts w:ascii="Arial" w:hAnsi="Arial" w:eastAsia="Times New Roman" w:cs="Arial"/>
          <w:sz w:val="24"/>
          <w:szCs w:val="24"/>
          <w:lang w:val="es-ES_tradnl" w:eastAsia="es-ES_tradnl"/>
        </w:rPr>
      </w:pPr>
    </w:p>
    <w:p w:rsidRPr="00A309E0" w:rsidR="00A309E0" w:rsidP="00A309E0" w:rsidRDefault="00A309E0" w14:paraId="419F3497" w14:textId="77777777">
      <w:pPr>
        <w:spacing w:after="0" w:line="240" w:lineRule="auto"/>
        <w:rPr>
          <w:rFonts w:ascii="Arial" w:hAnsi="Arial" w:eastAsia="Times New Roman" w:cs="Arial"/>
          <w:sz w:val="24"/>
          <w:szCs w:val="24"/>
          <w:lang w:eastAsia="es-ES_tradnl"/>
        </w:rPr>
      </w:pPr>
    </w:p>
    <w:bookmarkEnd w:id="5"/>
    <w:p w:rsidRPr="00A309E0" w:rsidR="00A309E0" w:rsidP="00A309E0" w:rsidRDefault="00A309E0" w14:paraId="13B15448" w14:textId="77777777">
      <w:pPr>
        <w:spacing w:after="0" w:line="240" w:lineRule="auto"/>
        <w:rPr>
          <w:rFonts w:ascii="Arial" w:hAnsi="Arial" w:eastAsia="Times New Roman" w:cs="Arial"/>
          <w:sz w:val="24"/>
          <w:szCs w:val="24"/>
          <w:lang w:eastAsia="es-ES_tradnl"/>
        </w:rPr>
      </w:pPr>
    </w:p>
    <w:p w:rsidRPr="00A309E0" w:rsidR="00A309E0" w:rsidP="00A309E0" w:rsidRDefault="00A309E0" w14:paraId="14FB1651" w14:textId="77777777">
      <w:pPr>
        <w:spacing w:after="0" w:line="240" w:lineRule="auto"/>
        <w:rPr>
          <w:rFonts w:ascii="Times New Roman" w:hAnsi="Times New Roman" w:eastAsia="Times New Roman" w:cs="Times New Roman"/>
          <w:sz w:val="24"/>
          <w:szCs w:val="24"/>
          <w:lang w:eastAsia="es-ES_tradnl"/>
        </w:rPr>
      </w:pPr>
    </w:p>
    <w:p w:rsidRPr="00A309E0" w:rsidR="00C330EB" w:rsidP="00A309E0" w:rsidRDefault="00C330EB" w14:paraId="0FD4057A" w14:textId="77777777"/>
    <w:sectPr w:rsidRPr="00A309E0" w:rsidR="00C330EB" w:rsidSect="00923EEF">
      <w:headerReference w:type="default" r:id="rId11"/>
      <w:footerReference w:type="default" r:id="rId12"/>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6B70" w:rsidP="004A1847" w:rsidRDefault="00AF6B70" w14:paraId="20D75824" w14:textId="77777777">
      <w:pPr>
        <w:spacing w:after="0" w:line="240" w:lineRule="auto"/>
      </w:pPr>
      <w:r>
        <w:separator/>
      </w:r>
    </w:p>
  </w:endnote>
  <w:endnote w:type="continuationSeparator" w:id="0">
    <w:p w:rsidR="00AF6B70" w:rsidP="004A1847" w:rsidRDefault="00AF6B70" w14:paraId="11F413D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orbel"/>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4A1847" w:rsidRDefault="009419F9" w14:paraId="18911A32" w14:textId="3BA5BB2D">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62368336">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3F78C75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E0DB946">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38F04C4B">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009A6D7F">
            <w:rPr>
              <w:rFonts w:ascii="Century Gothic" w:hAnsi="Century Gothic"/>
              <w:b/>
              <w:bCs/>
              <w:noProof/>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009A6D7F">
            <w:rPr>
              <w:rFonts w:ascii="Century Gothic" w:hAnsi="Century Gothic"/>
              <w:b/>
              <w:bCs/>
              <w:noProof/>
              <w:sz w:val="16"/>
              <w:szCs w:val="16"/>
            </w:rPr>
            <w:t>9</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6B70" w:rsidP="004A1847" w:rsidRDefault="00AF6B70" w14:paraId="6C662D54" w14:textId="77777777">
      <w:pPr>
        <w:spacing w:after="0" w:line="240" w:lineRule="auto"/>
      </w:pPr>
      <w:r>
        <w:separator/>
      </w:r>
    </w:p>
  </w:footnote>
  <w:footnote w:type="continuationSeparator" w:id="0">
    <w:p w:rsidR="00AF6B70" w:rsidP="004A1847" w:rsidRDefault="00AF6B70" w14:paraId="5E63B501" w14:textId="77777777">
      <w:pPr>
        <w:spacing w:after="0" w:line="240" w:lineRule="auto"/>
      </w:pPr>
      <w:r>
        <w:continuationSeparator/>
      </w:r>
    </w:p>
  </w:footnote>
  <w:footnote w:id="1">
    <w:p w:rsidRPr="0039739E" w:rsidR="00A309E0" w:rsidP="00A309E0" w:rsidRDefault="00A309E0" w14:paraId="57274BCD" w14:textId="77777777">
      <w:pPr>
        <w:pStyle w:val="Textonotapie"/>
        <w:ind w:firstLine="708"/>
        <w:jc w:val="both"/>
        <w:rPr>
          <w:rFonts w:ascii="Arial" w:hAnsi="Arial" w:eastAsia="Calibri" w:cs="Arial"/>
          <w:sz w:val="14"/>
          <w:szCs w:val="14"/>
          <w:lang w:val="es-ES"/>
        </w:rPr>
      </w:pPr>
      <w:r w:rsidRPr="005277EE">
        <w:rPr>
          <w:rFonts w:ascii="Arial" w:hAnsi="Arial" w:eastAsia="Calibri" w:cs="Arial"/>
          <w:sz w:val="18"/>
          <w:szCs w:val="18"/>
          <w:vertAlign w:val="superscript"/>
          <w:lang w:val="es-ES"/>
        </w:rPr>
        <w:footnoteRef/>
      </w:r>
      <w:r w:rsidRPr="005277EE">
        <w:rPr>
          <w:rFonts w:ascii="Arial" w:hAnsi="Arial" w:eastAsia="Calibri" w:cs="Arial"/>
          <w:sz w:val="18"/>
          <w:szCs w:val="18"/>
          <w:lang w:val="es-ES"/>
        </w:rPr>
        <w:t xml:space="preserve"> </w:t>
      </w:r>
      <w:r w:rsidRPr="0039739E">
        <w:rPr>
          <w:rFonts w:ascii="Arial" w:hAnsi="Arial" w:eastAsia="Calibri" w:cs="Arial"/>
          <w:sz w:val="14"/>
          <w:szCs w:val="14"/>
          <w:lang w:val="es-ES"/>
        </w:rPr>
        <w:t>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rsidRPr="0039739E" w:rsidR="00A309E0" w:rsidP="00A309E0" w:rsidRDefault="00A309E0" w14:paraId="1993E3AC" w14:textId="77777777">
      <w:pPr>
        <w:pStyle w:val="Textonotapie"/>
        <w:ind w:firstLine="708"/>
        <w:jc w:val="both"/>
        <w:rPr>
          <w:rFonts w:ascii="Arial" w:hAnsi="Arial" w:cs="Arial"/>
          <w:sz w:val="14"/>
          <w:szCs w:val="14"/>
          <w:lang w:val="es-ES"/>
        </w:rPr>
      </w:pPr>
    </w:p>
  </w:footnote>
  <w:footnote w:id="2">
    <w:p w:rsidRPr="0039739E" w:rsidR="00A309E0" w:rsidP="00A309E0" w:rsidRDefault="00A309E0" w14:paraId="5991FC0C" w14:textId="77777777">
      <w:pPr>
        <w:pStyle w:val="Textonotapie"/>
        <w:ind w:firstLine="709"/>
        <w:jc w:val="both"/>
        <w:rPr>
          <w:rFonts w:ascii="Arial" w:hAnsi="Arial" w:cs="Arial"/>
          <w:sz w:val="14"/>
          <w:szCs w:val="14"/>
          <w:lang w:val="es-CO"/>
        </w:rPr>
      </w:pPr>
      <w:r w:rsidRPr="0039739E">
        <w:rPr>
          <w:rStyle w:val="Refdenotaalpie"/>
          <w:rFonts w:ascii="Arial" w:hAnsi="Arial" w:cs="Arial"/>
          <w:sz w:val="14"/>
          <w:szCs w:val="14"/>
        </w:rPr>
        <w:footnoteRef/>
      </w:r>
      <w:r w:rsidRPr="0039739E">
        <w:rPr>
          <w:rFonts w:ascii="Arial" w:hAnsi="Arial" w:cs="Arial"/>
          <w:sz w:val="14"/>
          <w:szCs w:val="14"/>
        </w:rPr>
        <w:t xml:space="preserve"> </w:t>
      </w:r>
      <w:r w:rsidRPr="0039739E">
        <w:rPr>
          <w:rFonts w:ascii="Arial" w:hAnsi="Arial" w:cs="Arial"/>
          <w:sz w:val="14"/>
          <w:szCs w:val="14"/>
          <w:lang w:val="es-CO"/>
        </w:rPr>
        <w:t>Estos conceptos pueden ser consultados en la Relatoría de esta Agencia en el siguiente Link: https://relatoria.colombiacompra.gov.co/busqueda/conceptos</w:t>
      </w:r>
    </w:p>
  </w:footnote>
  <w:footnote w:id="3">
    <w:p w:rsidRPr="00310F22" w:rsidR="00A309E0" w:rsidP="00A309E0" w:rsidRDefault="00A309E0" w14:paraId="507F4BE6" w14:textId="77777777">
      <w:pPr>
        <w:pStyle w:val="Textonotapie"/>
        <w:ind w:firstLine="708"/>
        <w:jc w:val="both"/>
        <w:rPr>
          <w:rFonts w:ascii="Arial" w:hAnsi="Arial" w:cs="Arial"/>
          <w:color w:val="000000" w:themeColor="text1"/>
          <w:sz w:val="19"/>
          <w:szCs w:val="19"/>
        </w:rPr>
      </w:pPr>
      <w:r w:rsidRPr="00310F22">
        <w:rPr>
          <w:rStyle w:val="Refdenotaalpie"/>
          <w:rFonts w:ascii="Arial" w:hAnsi="Arial" w:cs="Arial"/>
          <w:color w:val="000000" w:themeColor="text1"/>
          <w:sz w:val="19"/>
          <w:szCs w:val="19"/>
        </w:rPr>
        <w:footnoteRef/>
      </w:r>
      <w:r w:rsidRPr="00310F22">
        <w:rPr>
          <w:rFonts w:ascii="Arial" w:hAnsi="Arial" w:cs="Arial"/>
          <w:color w:val="000000" w:themeColor="text1"/>
          <w:sz w:val="19"/>
          <w:szCs w:val="19"/>
        </w:rPr>
        <w:t xml:space="preserve"> Ley 80 de 1993: «Articulo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rsidRPr="00310F22" w:rsidR="00A309E0" w:rsidP="00A309E0" w:rsidRDefault="00A309E0" w14:paraId="3E8F93D7" w14:textId="77777777">
      <w:pPr>
        <w:pStyle w:val="Textonotapie"/>
        <w:ind w:firstLine="708"/>
        <w:jc w:val="both"/>
        <w:rPr>
          <w:rFonts w:ascii="Arial" w:hAnsi="Arial" w:cs="Arial"/>
          <w:color w:val="000000" w:themeColor="text1"/>
          <w:sz w:val="19"/>
          <w:szCs w:val="19"/>
          <w:lang w:val="es-ES"/>
        </w:rPr>
      </w:pPr>
    </w:p>
  </w:footnote>
  <w:footnote w:id="4">
    <w:p w:rsidRPr="0039739E" w:rsidR="00A309E0" w:rsidP="00A309E0" w:rsidRDefault="00A309E0" w14:paraId="25277E6B" w14:textId="77777777">
      <w:pPr>
        <w:pStyle w:val="Textonotapie"/>
        <w:ind w:firstLine="708"/>
        <w:jc w:val="both"/>
        <w:rPr>
          <w:rFonts w:ascii="Arial" w:hAnsi="Arial" w:cs="Arial"/>
          <w:color w:val="000000" w:themeColor="text1"/>
          <w:sz w:val="14"/>
          <w:szCs w:val="14"/>
        </w:rPr>
      </w:pPr>
      <w:r w:rsidRPr="0039739E">
        <w:rPr>
          <w:rStyle w:val="Refdenotaalpie"/>
          <w:rFonts w:ascii="Arial" w:hAnsi="Arial" w:cs="Arial"/>
          <w:color w:val="000000" w:themeColor="text1"/>
          <w:sz w:val="14"/>
          <w:szCs w:val="14"/>
        </w:rPr>
        <w:footnoteRef/>
      </w:r>
      <w:r w:rsidRPr="0039739E">
        <w:rPr>
          <w:rFonts w:ascii="Arial" w:hAnsi="Arial" w:cs="Arial"/>
          <w:color w:val="000000" w:themeColor="text1"/>
          <w:sz w:val="14"/>
          <w:szCs w:val="14"/>
        </w:rPr>
        <w:t xml:space="preserve"> Ley 80 de 1993: «Articulo 24. Del principio de transparencia. En virtud de este principio:</w:t>
      </w:r>
    </w:p>
    <w:p w:rsidRPr="0039739E" w:rsidR="00A309E0" w:rsidP="00A309E0" w:rsidRDefault="00A309E0" w14:paraId="77298424" w14:textId="77777777">
      <w:pPr>
        <w:pStyle w:val="Textonotapie"/>
        <w:ind w:firstLine="708"/>
        <w:jc w:val="both"/>
        <w:rPr>
          <w:rFonts w:ascii="Arial" w:hAnsi="Arial" w:cs="Arial"/>
          <w:color w:val="000000" w:themeColor="text1"/>
          <w:sz w:val="14"/>
          <w:szCs w:val="14"/>
        </w:rPr>
      </w:pPr>
      <w:r w:rsidRPr="0039739E">
        <w:rPr>
          <w:rFonts w:ascii="Arial" w:hAnsi="Arial" w:cs="Arial"/>
          <w:color w:val="000000" w:themeColor="text1"/>
          <w:sz w:val="14"/>
          <w:szCs w:val="14"/>
        </w:rPr>
        <w:t>»1. &lt;Numeral derogado por el artículo 32 de la Ley 1150 de 2007&gt;</w:t>
      </w:r>
    </w:p>
    <w:p w:rsidRPr="0039739E" w:rsidR="00A309E0" w:rsidP="00A309E0" w:rsidRDefault="00A309E0" w14:paraId="0EBF5EE7" w14:textId="77777777">
      <w:pPr>
        <w:pStyle w:val="Textonotapie"/>
        <w:ind w:firstLine="708"/>
        <w:jc w:val="both"/>
        <w:rPr>
          <w:rFonts w:ascii="Arial" w:hAnsi="Arial" w:cs="Arial"/>
          <w:color w:val="000000" w:themeColor="text1"/>
          <w:sz w:val="14"/>
          <w:szCs w:val="14"/>
        </w:rPr>
      </w:pPr>
      <w:r w:rsidRPr="0039739E">
        <w:rPr>
          <w:rFonts w:ascii="Arial" w:hAnsi="Arial" w:cs="Arial"/>
          <w:color w:val="000000" w:themeColor="text1"/>
          <w:sz w:val="14"/>
          <w:szCs w:val="14"/>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rsidRPr="0039739E" w:rsidR="00A309E0" w:rsidP="00A309E0" w:rsidRDefault="00A309E0" w14:paraId="5EA88747" w14:textId="77777777">
      <w:pPr>
        <w:pStyle w:val="Textonotapie"/>
        <w:ind w:firstLine="708"/>
        <w:jc w:val="both"/>
        <w:rPr>
          <w:rFonts w:ascii="Arial" w:hAnsi="Arial" w:cs="Arial"/>
          <w:color w:val="000000" w:themeColor="text1"/>
          <w:sz w:val="14"/>
          <w:szCs w:val="14"/>
        </w:rPr>
      </w:pPr>
      <w:r w:rsidRPr="0039739E">
        <w:rPr>
          <w:rFonts w:ascii="Arial" w:hAnsi="Arial" w:cs="Arial"/>
          <w:color w:val="000000" w:themeColor="text1"/>
          <w:sz w:val="14"/>
          <w:szCs w:val="14"/>
        </w:rPr>
        <w:t>»3. Las actuaciones de las autoridades serán públicas y los expedientes que las contengan estarán abiertos al público, permitiendo en el caso de licitación el ejercicio del derecho de que trata el artículo 273 de la Constitución Política.</w:t>
      </w:r>
    </w:p>
    <w:p w:rsidRPr="0039739E" w:rsidR="00A309E0" w:rsidP="00A309E0" w:rsidRDefault="00A309E0" w14:paraId="025A93F3" w14:textId="77777777">
      <w:pPr>
        <w:pStyle w:val="Textonotapie"/>
        <w:ind w:firstLine="708"/>
        <w:jc w:val="both"/>
        <w:rPr>
          <w:rFonts w:ascii="Arial" w:hAnsi="Arial" w:cs="Arial"/>
          <w:color w:val="000000" w:themeColor="text1"/>
          <w:sz w:val="14"/>
          <w:szCs w:val="14"/>
        </w:rPr>
      </w:pPr>
      <w:r w:rsidRPr="0039739E">
        <w:rPr>
          <w:rFonts w:ascii="Arial" w:hAnsi="Arial" w:cs="Arial"/>
          <w:color w:val="000000" w:themeColor="text1"/>
          <w:sz w:val="14"/>
          <w:szCs w:val="14"/>
        </w:rPr>
        <w:t>»4. Las autoridades expedirán a costa de aquellas personas que demuestren interés legítimo, copias de las actuaciones y propuestas recibidas, respetando la reserva de que gocen legalmente las patentes, procedimientos y privilegios.</w:t>
      </w:r>
    </w:p>
    <w:p w:rsidRPr="0039739E" w:rsidR="00A309E0" w:rsidP="00A309E0" w:rsidRDefault="00A309E0" w14:paraId="67EA8CFE" w14:textId="77777777">
      <w:pPr>
        <w:pStyle w:val="Textonotapie"/>
        <w:ind w:firstLine="708"/>
        <w:jc w:val="both"/>
        <w:rPr>
          <w:rFonts w:ascii="Arial" w:hAnsi="Arial" w:cs="Arial"/>
          <w:color w:val="000000" w:themeColor="text1"/>
          <w:sz w:val="14"/>
          <w:szCs w:val="14"/>
        </w:rPr>
      </w:pPr>
      <w:r w:rsidRPr="0039739E">
        <w:rPr>
          <w:rFonts w:ascii="Arial" w:hAnsi="Arial" w:cs="Arial"/>
          <w:color w:val="000000" w:themeColor="text1"/>
          <w:sz w:val="14"/>
          <w:szCs w:val="14"/>
        </w:rPr>
        <w:t>»[...]».</w:t>
      </w:r>
    </w:p>
    <w:p w:rsidRPr="0039739E" w:rsidR="00A309E0" w:rsidP="00A309E0" w:rsidRDefault="00A309E0" w14:paraId="2C2FE390" w14:textId="77777777">
      <w:pPr>
        <w:pStyle w:val="Textonotapie"/>
        <w:jc w:val="both"/>
        <w:rPr>
          <w:rFonts w:ascii="Arial" w:hAnsi="Arial" w:cs="Arial"/>
          <w:color w:val="000000" w:themeColor="text1"/>
          <w:sz w:val="14"/>
          <w:szCs w:val="14"/>
          <w:lang w:val="es-ES"/>
        </w:rPr>
      </w:pPr>
    </w:p>
  </w:footnote>
  <w:footnote w:id="5">
    <w:p w:rsidRPr="0039739E" w:rsidR="00A309E0" w:rsidP="00A309E0" w:rsidRDefault="00A309E0" w14:paraId="4439DC63" w14:textId="77777777">
      <w:pPr>
        <w:pStyle w:val="Textonotapie"/>
        <w:ind w:firstLine="708"/>
        <w:jc w:val="both"/>
        <w:rPr>
          <w:rFonts w:ascii="Arial" w:hAnsi="Arial" w:cs="Arial"/>
          <w:color w:val="000000" w:themeColor="text1"/>
          <w:sz w:val="14"/>
          <w:szCs w:val="14"/>
        </w:rPr>
      </w:pPr>
      <w:r w:rsidRPr="0039739E">
        <w:rPr>
          <w:rStyle w:val="Refdenotaalpie"/>
          <w:rFonts w:ascii="Arial" w:hAnsi="Arial" w:cs="Arial"/>
          <w:color w:val="000000" w:themeColor="text1"/>
          <w:sz w:val="14"/>
          <w:szCs w:val="14"/>
        </w:rPr>
        <w:footnoteRef/>
      </w:r>
      <w:r w:rsidRPr="0039739E">
        <w:rPr>
          <w:rFonts w:ascii="Arial" w:hAnsi="Arial" w:cs="Arial"/>
          <w:color w:val="000000" w:themeColor="text1"/>
          <w:sz w:val="14"/>
          <w:szCs w:val="14"/>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rsidRPr="0039739E" w:rsidR="00A309E0" w:rsidP="00A309E0" w:rsidRDefault="00A309E0" w14:paraId="7AC889F8" w14:textId="77777777">
      <w:pPr>
        <w:pStyle w:val="Textonotapie"/>
        <w:ind w:firstLine="708"/>
        <w:jc w:val="both"/>
        <w:rPr>
          <w:rFonts w:ascii="Arial" w:hAnsi="Arial" w:cs="Arial"/>
          <w:color w:val="000000" w:themeColor="text1"/>
          <w:sz w:val="14"/>
          <w:szCs w:val="14"/>
        </w:rPr>
      </w:pPr>
      <w:r w:rsidRPr="0039739E">
        <w:rPr>
          <w:rFonts w:ascii="Arial" w:hAnsi="Arial" w:cs="Arial"/>
          <w:color w:val="000000" w:themeColor="text1"/>
          <w:sz w:val="14"/>
          <w:szCs w:val="14"/>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rsidRPr="0039739E" w:rsidR="00A309E0" w:rsidP="00A309E0" w:rsidRDefault="00A309E0" w14:paraId="7A61DE49" w14:textId="77777777">
      <w:pPr>
        <w:pStyle w:val="Textonotapie"/>
        <w:jc w:val="both"/>
        <w:rPr>
          <w:rFonts w:ascii="Arial" w:hAnsi="Arial" w:cs="Arial"/>
          <w:color w:val="000000" w:themeColor="text1"/>
          <w:sz w:val="14"/>
          <w:szCs w:val="14"/>
          <w:lang w:val="es-ES"/>
        </w:rPr>
      </w:pPr>
    </w:p>
  </w:footnote>
  <w:footnote w:id="6">
    <w:p w:rsidRPr="0039739E" w:rsidR="00A309E0" w:rsidP="00A309E0" w:rsidRDefault="00A309E0" w14:paraId="179985A4" w14:textId="77777777">
      <w:pPr>
        <w:pStyle w:val="Textonotapie"/>
        <w:ind w:firstLine="708"/>
        <w:jc w:val="both"/>
        <w:rPr>
          <w:color w:val="000000" w:themeColor="text1"/>
          <w:sz w:val="14"/>
          <w:szCs w:val="14"/>
        </w:rPr>
      </w:pPr>
      <w:r w:rsidRPr="0039739E">
        <w:rPr>
          <w:rStyle w:val="Refdenotaalpie"/>
          <w:color w:val="000000" w:themeColor="text1"/>
          <w:sz w:val="14"/>
          <w:szCs w:val="14"/>
        </w:rPr>
        <w:footnoteRef/>
      </w:r>
      <w:r w:rsidRPr="0039739E">
        <w:rPr>
          <w:color w:val="000000" w:themeColor="text1"/>
          <w:sz w:val="14"/>
          <w:szCs w:val="14"/>
        </w:rPr>
        <w:t xml:space="preserve"> </w:t>
      </w:r>
      <w:r w:rsidRPr="0039739E">
        <w:rPr>
          <w:rFonts w:ascii="Arial" w:hAnsi="Arial" w:cs="Arial"/>
          <w:color w:val="000000" w:themeColor="text1"/>
          <w:sz w:val="14"/>
          <w:szCs w:val="14"/>
        </w:rPr>
        <w:t>Consejo de Estado. Sección tercera. Sentencia del 14 de diciembre de 2007. Exp. 24.715. C.P. Ruth Stella Correa Palacio.</w:t>
      </w:r>
    </w:p>
    <w:p w:rsidRPr="0039739E" w:rsidR="00A309E0" w:rsidP="00A309E0" w:rsidRDefault="00A309E0" w14:paraId="77A8A670" w14:textId="77777777">
      <w:pPr>
        <w:pStyle w:val="Textonotapie"/>
        <w:ind w:firstLine="708"/>
        <w:rPr>
          <w:color w:val="000000" w:themeColor="text1"/>
          <w:sz w:val="14"/>
          <w:szCs w:val="14"/>
          <w:lang w:val="es-ES"/>
        </w:rPr>
      </w:pPr>
    </w:p>
  </w:footnote>
  <w:footnote w:id="7">
    <w:p w:rsidRPr="0039739E" w:rsidR="00A309E0" w:rsidP="00A309E0" w:rsidRDefault="00A309E0" w14:paraId="1C0609EE" w14:textId="77777777">
      <w:pPr>
        <w:pStyle w:val="Textonotapie"/>
        <w:ind w:firstLine="708"/>
        <w:jc w:val="both"/>
        <w:rPr>
          <w:rFonts w:ascii="Arial" w:hAnsi="Arial" w:cs="Arial"/>
          <w:color w:val="000000" w:themeColor="text1"/>
          <w:sz w:val="14"/>
          <w:szCs w:val="14"/>
        </w:rPr>
      </w:pPr>
      <w:r w:rsidRPr="0039739E">
        <w:rPr>
          <w:rStyle w:val="Refdenotaalpie"/>
          <w:rFonts w:ascii="Arial" w:hAnsi="Arial" w:cs="Arial"/>
          <w:color w:val="000000" w:themeColor="text1"/>
          <w:sz w:val="14"/>
          <w:szCs w:val="14"/>
        </w:rPr>
        <w:footnoteRef/>
      </w:r>
      <w:r w:rsidRPr="0039739E">
        <w:rPr>
          <w:rFonts w:ascii="Arial" w:hAnsi="Arial" w:cs="Arial"/>
          <w:color w:val="000000" w:themeColor="text1"/>
          <w:sz w:val="14"/>
          <w:szCs w:val="14"/>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rsidRPr="0039739E" w:rsidR="00A309E0" w:rsidP="00A309E0" w:rsidRDefault="00A309E0" w14:paraId="2EB7B106" w14:textId="77777777">
      <w:pPr>
        <w:pStyle w:val="Textonotapie"/>
        <w:ind w:firstLine="708"/>
        <w:jc w:val="both"/>
        <w:rPr>
          <w:rFonts w:ascii="Arial" w:hAnsi="Arial" w:cs="Arial"/>
          <w:color w:val="000000" w:themeColor="text1"/>
          <w:sz w:val="14"/>
          <w:szCs w:val="14"/>
          <w:lang w:val="es-CO"/>
        </w:rPr>
      </w:pPr>
    </w:p>
  </w:footnote>
  <w:footnote w:id="8">
    <w:p w:rsidRPr="0039739E" w:rsidR="00A309E0" w:rsidP="00A309E0" w:rsidRDefault="00A309E0" w14:paraId="580F0A8C" w14:textId="77777777">
      <w:pPr>
        <w:pStyle w:val="Textonotapie"/>
        <w:ind w:firstLine="708"/>
        <w:jc w:val="both"/>
        <w:rPr>
          <w:rFonts w:ascii="Arial" w:hAnsi="Arial" w:cs="Arial"/>
          <w:color w:val="000000" w:themeColor="text1"/>
          <w:sz w:val="14"/>
          <w:szCs w:val="14"/>
        </w:rPr>
      </w:pPr>
      <w:r w:rsidRPr="0039739E">
        <w:rPr>
          <w:rStyle w:val="Refdenotaalpie"/>
          <w:rFonts w:ascii="Arial" w:hAnsi="Arial" w:cs="Arial"/>
          <w:color w:val="000000" w:themeColor="text1"/>
          <w:sz w:val="14"/>
          <w:szCs w:val="14"/>
        </w:rPr>
        <w:footnoteRef/>
      </w:r>
      <w:r w:rsidRPr="0039739E">
        <w:rPr>
          <w:rFonts w:ascii="Arial" w:hAnsi="Arial" w:cs="Arial"/>
          <w:color w:val="000000" w:themeColor="text1"/>
          <w:sz w:val="14"/>
          <w:szCs w:val="14"/>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rsidRPr="0039739E" w:rsidR="00A309E0" w:rsidP="00A309E0" w:rsidRDefault="00A309E0" w14:paraId="54146EC1" w14:textId="77777777">
      <w:pPr>
        <w:pStyle w:val="Textonotapie"/>
        <w:ind w:firstLine="708"/>
        <w:jc w:val="both"/>
        <w:rPr>
          <w:rFonts w:ascii="Arial" w:hAnsi="Arial" w:cs="Arial"/>
          <w:color w:val="000000" w:themeColor="text1"/>
          <w:sz w:val="14"/>
          <w:szCs w:val="14"/>
        </w:rPr>
      </w:pPr>
      <w:r w:rsidRPr="0039739E">
        <w:rPr>
          <w:rFonts w:ascii="Arial" w:hAnsi="Arial" w:cs="Arial"/>
          <w:color w:val="000000" w:themeColor="text1"/>
          <w:sz w:val="14"/>
          <w:szCs w:val="14"/>
        </w:rPr>
        <w:t>»Lo anterior, sin perjuicio de las publicaciones previstas en el numeral 3 del artículo 30 de la Ley 80 de 1993.</w:t>
      </w:r>
    </w:p>
    <w:p w:rsidRPr="0039739E" w:rsidR="00A309E0" w:rsidP="00A309E0" w:rsidRDefault="00A309E0" w14:paraId="2EE9D069" w14:textId="77777777">
      <w:pPr>
        <w:pStyle w:val="Textonotapie"/>
        <w:ind w:firstLine="708"/>
        <w:jc w:val="both"/>
        <w:rPr>
          <w:rFonts w:ascii="Arial" w:hAnsi="Arial" w:cs="Arial"/>
          <w:color w:val="000000" w:themeColor="text1"/>
          <w:sz w:val="14"/>
          <w:szCs w:val="14"/>
        </w:rPr>
      </w:pPr>
      <w:r w:rsidRPr="0039739E">
        <w:rPr>
          <w:rFonts w:ascii="Arial" w:hAnsi="Arial" w:cs="Arial"/>
          <w:color w:val="000000" w:themeColor="text1"/>
          <w:sz w:val="14"/>
          <w:szCs w:val="14"/>
        </w:rPr>
        <w:t>»Con el fin de materializar los objetivos a que se refiere el inciso anterior, el Gobierno Nacional desarrollará el Sistema Electrónico para la Contratación Pública, Secop, el cual:</w:t>
      </w:r>
    </w:p>
    <w:p w:rsidRPr="0039739E" w:rsidR="00A309E0" w:rsidP="00A309E0" w:rsidRDefault="00A309E0" w14:paraId="5AED0E01" w14:textId="77777777">
      <w:pPr>
        <w:pStyle w:val="Textonotapie"/>
        <w:ind w:firstLine="708"/>
        <w:jc w:val="both"/>
        <w:rPr>
          <w:rFonts w:ascii="Arial" w:hAnsi="Arial" w:cs="Arial"/>
          <w:color w:val="000000" w:themeColor="text1"/>
          <w:sz w:val="14"/>
          <w:szCs w:val="14"/>
        </w:rPr>
      </w:pPr>
      <w:r w:rsidRPr="0039739E">
        <w:rPr>
          <w:rFonts w:ascii="Arial" w:hAnsi="Arial" w:cs="Arial"/>
          <w:color w:val="000000" w:themeColor="text1"/>
          <w:sz w:val="14"/>
          <w:szCs w:val="14"/>
        </w:rPr>
        <w:t>»a) Dispondrá de las funcionalidades tecnológicas para realizar procesos de contratación electrónicos bajo los métodos de selección señalados en el artículo 2o de la presente ley según lo defina el reglamento;</w:t>
      </w:r>
    </w:p>
    <w:p w:rsidRPr="0039739E" w:rsidR="00A309E0" w:rsidP="00A309E0" w:rsidRDefault="00A309E0" w14:paraId="533F2F9A" w14:textId="77777777">
      <w:pPr>
        <w:pStyle w:val="Textonotapie"/>
        <w:ind w:firstLine="708"/>
        <w:jc w:val="both"/>
        <w:rPr>
          <w:rFonts w:ascii="Arial" w:hAnsi="Arial" w:cs="Arial"/>
          <w:color w:val="000000" w:themeColor="text1"/>
          <w:sz w:val="14"/>
          <w:szCs w:val="14"/>
        </w:rPr>
      </w:pPr>
      <w:r w:rsidRPr="0039739E">
        <w:rPr>
          <w:rFonts w:ascii="Arial" w:hAnsi="Arial" w:cs="Arial"/>
          <w:color w:val="000000" w:themeColor="text1"/>
          <w:sz w:val="14"/>
          <w:szCs w:val="14"/>
        </w:rPr>
        <w:t>»b) Servirá de punto único de ingreso de información y de generación de reportes para las entidades estatales y la ciudadanía;</w:t>
      </w:r>
    </w:p>
    <w:p w:rsidRPr="0039739E" w:rsidR="00A309E0" w:rsidP="00A309E0" w:rsidRDefault="00A309E0" w14:paraId="3A120EB9" w14:textId="77777777">
      <w:pPr>
        <w:pStyle w:val="Textonotapie"/>
        <w:ind w:firstLine="708"/>
        <w:jc w:val="both"/>
        <w:rPr>
          <w:rFonts w:ascii="Arial" w:hAnsi="Arial" w:cs="Arial"/>
          <w:color w:val="000000" w:themeColor="text1"/>
          <w:sz w:val="14"/>
          <w:szCs w:val="14"/>
        </w:rPr>
      </w:pPr>
      <w:r w:rsidRPr="0039739E">
        <w:rPr>
          <w:rFonts w:ascii="Arial" w:hAnsi="Arial" w:cs="Arial"/>
          <w:color w:val="000000" w:themeColor="text1"/>
          <w:sz w:val="14"/>
          <w:szCs w:val="14"/>
        </w:rPr>
        <w:t>»c) Contará con la información oficial de la contratación realizada con dineros públicos, para lo cual establecerá los patrones a que haya lugar y se encargará de su difusión a través de canales electrónicos y;</w:t>
      </w:r>
    </w:p>
    <w:p w:rsidRPr="0039739E" w:rsidR="00A309E0" w:rsidP="00A309E0" w:rsidRDefault="00A309E0" w14:paraId="61CB98A3" w14:textId="77777777">
      <w:pPr>
        <w:pStyle w:val="Textonotapie"/>
        <w:ind w:firstLine="708"/>
        <w:jc w:val="both"/>
        <w:rPr>
          <w:rFonts w:ascii="Arial" w:hAnsi="Arial" w:cs="Arial"/>
          <w:color w:val="000000" w:themeColor="text1"/>
          <w:sz w:val="14"/>
          <w:szCs w:val="14"/>
        </w:rPr>
      </w:pPr>
      <w:r w:rsidRPr="0039739E">
        <w:rPr>
          <w:rFonts w:ascii="Arial" w:hAnsi="Arial" w:cs="Arial"/>
          <w:color w:val="000000" w:themeColor="text1"/>
          <w:sz w:val="14"/>
          <w:szCs w:val="14"/>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rsidRPr="0039739E" w:rsidR="00A309E0" w:rsidP="00A309E0" w:rsidRDefault="00A309E0" w14:paraId="5AAB7F5A" w14:textId="77777777">
      <w:pPr>
        <w:pStyle w:val="Textonotapie"/>
        <w:ind w:firstLine="708"/>
        <w:jc w:val="both"/>
        <w:rPr>
          <w:rFonts w:ascii="Arial" w:hAnsi="Arial" w:cs="Arial"/>
          <w:color w:val="000000" w:themeColor="text1"/>
          <w:sz w:val="14"/>
          <w:szCs w:val="14"/>
        </w:rPr>
      </w:pPr>
      <w:r w:rsidRPr="0039739E">
        <w:rPr>
          <w:rFonts w:ascii="Arial" w:hAnsi="Arial" w:cs="Arial"/>
          <w:color w:val="000000" w:themeColor="text1"/>
          <w:sz w:val="14"/>
          <w:szCs w:val="14"/>
        </w:rPr>
        <w:t>»[...]».</w:t>
      </w:r>
    </w:p>
    <w:p w:rsidRPr="0039739E" w:rsidR="00A309E0" w:rsidP="00A309E0" w:rsidRDefault="00A309E0" w14:paraId="00418D3F" w14:textId="77777777">
      <w:pPr>
        <w:pStyle w:val="Textonotapie"/>
        <w:jc w:val="both"/>
        <w:rPr>
          <w:rFonts w:ascii="Arial" w:hAnsi="Arial" w:cs="Arial"/>
          <w:color w:val="000000" w:themeColor="text1"/>
          <w:sz w:val="14"/>
          <w:szCs w:val="14"/>
        </w:rPr>
      </w:pPr>
    </w:p>
  </w:footnote>
  <w:footnote w:id="9">
    <w:p w:rsidRPr="0039739E" w:rsidR="00A309E0" w:rsidP="00A309E0" w:rsidRDefault="00A309E0" w14:paraId="6DD44C6D" w14:textId="77777777">
      <w:pPr>
        <w:pStyle w:val="Textonotapie"/>
        <w:ind w:firstLine="708"/>
        <w:jc w:val="both"/>
        <w:rPr>
          <w:rFonts w:ascii="Arial" w:hAnsi="Arial" w:cs="Arial"/>
          <w:color w:val="000000" w:themeColor="text1"/>
          <w:sz w:val="14"/>
          <w:szCs w:val="14"/>
        </w:rPr>
      </w:pPr>
      <w:r w:rsidRPr="0039739E">
        <w:rPr>
          <w:rStyle w:val="Refdenotaalpie"/>
          <w:rFonts w:ascii="Arial" w:hAnsi="Arial" w:cs="Arial"/>
          <w:color w:val="000000" w:themeColor="text1"/>
          <w:sz w:val="14"/>
          <w:szCs w:val="14"/>
        </w:rPr>
        <w:footnoteRef/>
      </w:r>
      <w:r w:rsidRPr="0039739E">
        <w:rPr>
          <w:rFonts w:ascii="Arial" w:hAnsi="Arial" w:cs="Arial"/>
          <w:color w:val="000000" w:themeColor="text1"/>
          <w:sz w:val="14"/>
          <w:szCs w:val="14"/>
        </w:rPr>
        <w:t xml:space="preserve"> La Corte Constitucional. Sentencia C-711 del 11 de marzo de 2011. M.P. Mauricio Gonzáles Cuervo, hizo énfasis en la transición de la actividad contractual impresa que se publicaba en el Diario Único de Contratación, a una contratación pública electrónica desarrollada mediante el SECOP:</w:t>
      </w:r>
    </w:p>
    <w:p w:rsidRPr="0039739E" w:rsidR="00A309E0" w:rsidP="00A309E0" w:rsidRDefault="00A309E0" w14:paraId="0484E7B1" w14:textId="77777777">
      <w:pPr>
        <w:pStyle w:val="Textonotapie"/>
        <w:ind w:firstLine="708"/>
        <w:jc w:val="both"/>
        <w:rPr>
          <w:rFonts w:ascii="Arial" w:hAnsi="Arial" w:cs="Arial"/>
          <w:color w:val="000000" w:themeColor="text1"/>
          <w:sz w:val="14"/>
          <w:szCs w:val="14"/>
        </w:rPr>
      </w:pPr>
      <w:r w:rsidRPr="0039739E">
        <w:rPr>
          <w:rFonts w:ascii="Arial" w:hAnsi="Arial" w:cs="Arial"/>
          <w:color w:val="000000" w:themeColor="text1"/>
          <w:sz w:val="14"/>
          <w:szCs w:val="14"/>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 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 estatal.</w:t>
      </w:r>
    </w:p>
    <w:p w:rsidRPr="0039739E" w:rsidR="00A309E0" w:rsidP="00A309E0" w:rsidRDefault="00A309E0" w14:paraId="79B916FD" w14:textId="77777777">
      <w:pPr>
        <w:pStyle w:val="Textonotapie"/>
        <w:ind w:firstLine="708"/>
        <w:jc w:val="both"/>
        <w:rPr>
          <w:rFonts w:ascii="Arial" w:hAnsi="Arial" w:cs="Arial"/>
          <w:color w:val="000000" w:themeColor="text1"/>
          <w:sz w:val="14"/>
          <w:szCs w:val="14"/>
        </w:rPr>
      </w:pPr>
      <w:r w:rsidRPr="0039739E">
        <w:rPr>
          <w:rFonts w:ascii="Arial" w:hAnsi="Arial" w:cs="Arial"/>
          <w:color w:val="000000" w:themeColor="text1"/>
          <w:sz w:val="14"/>
          <w:szCs w:val="14"/>
        </w:rPr>
        <w:t>»Para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Y, de conteras, suple algunas de las limitaciones de las que adolecía el Diario Único de Contratación, en términos de cobertura geográfica, de cantidad de ejemplares y de posibilidad de acceso por parte de la ciudadanía».</w:t>
      </w:r>
    </w:p>
    <w:p w:rsidRPr="0039739E" w:rsidR="00A309E0" w:rsidP="00A309E0" w:rsidRDefault="00A309E0" w14:paraId="4CB3CFC3" w14:textId="77777777">
      <w:pPr>
        <w:pStyle w:val="Textonotapie"/>
        <w:ind w:firstLine="708"/>
        <w:jc w:val="both"/>
        <w:rPr>
          <w:rFonts w:ascii="Arial" w:hAnsi="Arial" w:cs="Arial"/>
          <w:color w:val="000000" w:themeColor="text1"/>
          <w:sz w:val="14"/>
          <w:szCs w:val="14"/>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756841" w:rsidRDefault="00961B09" w14:paraId="6ED12154" w14:textId="43B6B0B6">
    <w:pPr>
      <w:pStyle w:val="Encabezado"/>
    </w:pPr>
    <w:r>
      <w:rPr>
        <w:noProof/>
        <w:lang w:eastAsia="es-CO"/>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lang w:eastAsia="es-CO"/>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7E5E71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13</w:t>
    </w:r>
  </w:p>
  <w:p w:rsidRPr="004A305D" w:rsidR="004A305D" w:rsidP="004A305D" w:rsidRDefault="004A305D" w14:paraId="5E18350A" w14:textId="3833E343">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CB6357">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sidR="00CB6357">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sidR="00961B09">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RDefault="008A446D" w14:paraId="1FD1C243" w14:textId="6D74A3CF">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8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602AC"/>
    <w:rsid w:val="000A683E"/>
    <w:rsid w:val="000B19B9"/>
    <w:rsid w:val="000D0334"/>
    <w:rsid w:val="000F6486"/>
    <w:rsid w:val="00127233"/>
    <w:rsid w:val="001D5BC8"/>
    <w:rsid w:val="001E4177"/>
    <w:rsid w:val="00227E0D"/>
    <w:rsid w:val="002951A0"/>
    <w:rsid w:val="002962BC"/>
    <w:rsid w:val="002A49AC"/>
    <w:rsid w:val="002A64FD"/>
    <w:rsid w:val="002C7A84"/>
    <w:rsid w:val="003A779E"/>
    <w:rsid w:val="003D0F4D"/>
    <w:rsid w:val="003E0499"/>
    <w:rsid w:val="003F3941"/>
    <w:rsid w:val="004A1847"/>
    <w:rsid w:val="004A305D"/>
    <w:rsid w:val="004F21C4"/>
    <w:rsid w:val="004F685F"/>
    <w:rsid w:val="005566E8"/>
    <w:rsid w:val="00557252"/>
    <w:rsid w:val="00574867"/>
    <w:rsid w:val="00581DE5"/>
    <w:rsid w:val="005C5CDC"/>
    <w:rsid w:val="005D476C"/>
    <w:rsid w:val="006219F8"/>
    <w:rsid w:val="00665D70"/>
    <w:rsid w:val="00706C16"/>
    <w:rsid w:val="00756841"/>
    <w:rsid w:val="007649AB"/>
    <w:rsid w:val="007833AC"/>
    <w:rsid w:val="007C3DC2"/>
    <w:rsid w:val="007E5497"/>
    <w:rsid w:val="00806F5F"/>
    <w:rsid w:val="00820278"/>
    <w:rsid w:val="008843B6"/>
    <w:rsid w:val="00891928"/>
    <w:rsid w:val="008A446D"/>
    <w:rsid w:val="008F0EA7"/>
    <w:rsid w:val="00923EEF"/>
    <w:rsid w:val="009419F9"/>
    <w:rsid w:val="00961B09"/>
    <w:rsid w:val="00965334"/>
    <w:rsid w:val="0097093E"/>
    <w:rsid w:val="00980E9F"/>
    <w:rsid w:val="009A6D7F"/>
    <w:rsid w:val="009C71FA"/>
    <w:rsid w:val="009C72E7"/>
    <w:rsid w:val="00A17F13"/>
    <w:rsid w:val="00A20739"/>
    <w:rsid w:val="00A309E0"/>
    <w:rsid w:val="00A33877"/>
    <w:rsid w:val="00A33C78"/>
    <w:rsid w:val="00AB0ADB"/>
    <w:rsid w:val="00AD6A15"/>
    <w:rsid w:val="00AE5061"/>
    <w:rsid w:val="00AF6B70"/>
    <w:rsid w:val="00B053BE"/>
    <w:rsid w:val="00B72CD3"/>
    <w:rsid w:val="00B72FFF"/>
    <w:rsid w:val="00BD7F72"/>
    <w:rsid w:val="00C330EB"/>
    <w:rsid w:val="00C754BE"/>
    <w:rsid w:val="00CB6357"/>
    <w:rsid w:val="00CC1B26"/>
    <w:rsid w:val="00D423A2"/>
    <w:rsid w:val="00D63AC2"/>
    <w:rsid w:val="00D7383B"/>
    <w:rsid w:val="00E16408"/>
    <w:rsid w:val="00E20894"/>
    <w:rsid w:val="00E245AB"/>
    <w:rsid w:val="00E50AFE"/>
    <w:rsid w:val="00E771DC"/>
    <w:rsid w:val="00E8772A"/>
    <w:rsid w:val="00E90F6B"/>
    <w:rsid w:val="00E92C27"/>
    <w:rsid w:val="00EA0E3D"/>
    <w:rsid w:val="00EE1AA8"/>
    <w:rsid w:val="00F31EDC"/>
    <w:rsid w:val="00F5664F"/>
    <w:rsid w:val="00F76AFC"/>
    <w:rsid w:val="00FB5DD1"/>
    <w:rsid w:val="00FC2B5D"/>
    <w:rsid w:val="00FF1449"/>
    <w:rsid w:val="07FF3782"/>
    <w:rsid w:val="09F33B12"/>
    <w:rsid w:val="0DFEFA7F"/>
    <w:rsid w:val="1D6D10DB"/>
    <w:rsid w:val="204D3377"/>
    <w:rsid w:val="2AD7180A"/>
    <w:rsid w:val="3A452E66"/>
    <w:rsid w:val="48215136"/>
    <w:rsid w:val="502D17CA"/>
    <w:rsid w:val="68C59162"/>
    <w:rsid w:val="68F2116C"/>
    <w:rsid w:val="72364AD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table" w:styleId="Tablaconcuadrcula1" w:customStyle="1">
    <w:name w:val="Tabla con cuadrícula1"/>
    <w:basedOn w:val="Tablanormal"/>
    <w:next w:val="Tablaconcuadrcula"/>
    <w:uiPriority w:val="59"/>
    <w:rsid w:val="00A309E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11" w:customStyle="1">
    <w:name w:val="Tabla con cuadrícula11"/>
    <w:basedOn w:val="Tablanormal"/>
    <w:next w:val="Tablaconcuadrcula"/>
    <w:uiPriority w:val="59"/>
    <w:rsid w:val="00A309E0"/>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Refdenotaalpie"/>
    <w:uiPriority w:val="99"/>
    <w:rsid w:val="00A309E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6.png" Id="R0d3a689156a140c7" /><Relationship Type="http://schemas.openxmlformats.org/officeDocument/2006/relationships/image" Target="/media/image7.png" Id="R5e831bed98844bf7" /></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38E589-83B7-4723-8089-3B73A06CAB6E}"/>
</file>

<file path=customXml/itemProps2.xml><?xml version="1.0" encoding="utf-8"?>
<ds:datastoreItem xmlns:ds="http://schemas.openxmlformats.org/officeDocument/2006/customXml" ds:itemID="{163618BE-28CB-4D69-955E-CDA788483BED}">
  <ds:schemaRefs>
    <ds:schemaRef ds:uri="http://purl.org/dc/dcmitype/"/>
    <ds:schemaRef ds:uri="http://schemas.microsoft.com/office/2006/documentManagement/types"/>
    <ds:schemaRef ds:uri="http://www.w3.org/XML/1998/namespace"/>
    <ds:schemaRef ds:uri="http://schemas.microsoft.com/office/infopath/2007/PartnerControls"/>
    <ds:schemaRef ds:uri="8ae15d26-076e-464e-81a7-6f76a0fb3917"/>
    <ds:schemaRef ds:uri="http://purl.org/dc/elements/1.1/"/>
    <ds:schemaRef ds:uri="http://purl.org/dc/terms/"/>
    <ds:schemaRef ds:uri="http://schemas.openxmlformats.org/package/2006/metadata/core-properties"/>
    <ds:schemaRef ds:uri="cabc2350-70b2-4dba-bb42-96a3175f4d5a"/>
    <ds:schemaRef ds:uri="http://schemas.microsoft.com/office/2006/metadata/propertie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Richard Andrés Montenegro Siefken</lastModifiedBy>
  <revision>4</revision>
  <lastPrinted>2023-01-10T21:18:00.0000000Z</lastPrinted>
  <dcterms:created xsi:type="dcterms:W3CDTF">2023-06-27T23:26:00.0000000Z</dcterms:created>
  <dcterms:modified xsi:type="dcterms:W3CDTF">2023-08-31T20:21:02.6165785Z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