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D3BD4" w14:textId="77777777" w:rsidR="0064344F" w:rsidRPr="006A5743" w:rsidRDefault="0064344F" w:rsidP="0064344F">
      <w:pPr>
        <w:spacing w:line="276" w:lineRule="auto"/>
        <w:jc w:val="both"/>
        <w:rPr>
          <w:rFonts w:ascii="Verdana" w:eastAsia="Century Gothic" w:hAnsi="Verdana" w:cs="Century Gothic"/>
          <w:b/>
        </w:rPr>
      </w:pPr>
      <w:bookmarkStart w:id="0" w:name="_Hlk143780582"/>
      <w:r w:rsidRPr="006A5743">
        <w:rPr>
          <w:rFonts w:ascii="Verdana" w:eastAsia="Century Gothic" w:hAnsi="Verdana" w:cs="Century Gothic"/>
          <w:b/>
        </w:rPr>
        <w:t xml:space="preserve">PROMOCIÓN AL DESARROLLO – Ley 2069 de 2020 – Artículo 34 </w:t>
      </w:r>
    </w:p>
    <w:p w14:paraId="308D03D1" w14:textId="77777777" w:rsidR="0064344F" w:rsidRPr="006A5743" w:rsidRDefault="0064344F" w:rsidP="0064344F">
      <w:pPr>
        <w:spacing w:after="0" w:line="240" w:lineRule="auto"/>
        <w:jc w:val="both"/>
        <w:rPr>
          <w:rStyle w:val="eop"/>
          <w:rFonts w:ascii="Verdana" w:hAnsi="Verdana" w:cs="Arial"/>
          <w:color w:val="000000"/>
          <w:sz w:val="20"/>
          <w:szCs w:val="20"/>
          <w:shd w:val="clear" w:color="auto" w:fill="FFFFFF"/>
        </w:rPr>
      </w:pPr>
      <w:r w:rsidRPr="006A5743">
        <w:rPr>
          <w:rStyle w:val="normaltextrun"/>
          <w:rFonts w:ascii="Verdana" w:hAnsi="Verdana" w:cs="Arial"/>
          <w:color w:val="000000"/>
          <w:sz w:val="20"/>
          <w:szCs w:val="20"/>
          <w:shd w:val="clear" w:color="auto" w:fill="FFFFFF"/>
          <w:lang w:val="es-ES"/>
        </w:rPr>
        <w:t>El artículo 34 de la Ley 2069 de 2020 dispone nuevas reglas sobre la promoción al desarrollo en la contratación estatal. Concretamente, modifica el contenido del artículo 12 de la Ley 1150 de 2007, regulación que se resume en los siguientes aspectos: i) Encomienda, con carácter imperativo, al gobierno nacional definir las condiciones y los montos para que las entidades estatales –cualquiera sea su régimen contractual–, los patrimonios autónomos constituidos por aquellas y los particulares que administren recursos públicos efectúen convocatorias limitadas a MiPymes en los procesos de contratación. Además, agrega que estas convocatorias se pueden realizar también en el ámbito municipal o departamental en el que se ejecute el contrato. ii) Indica que dichas convocatorias se deben efectuar –y así lo deberá reglamentar el gobierno nacional– siempre y cuando, antes del acto administrativo de apertura del proceso de selección, por lo menos dos (2) MiPymes hayan manifestado su interés. […]</w:t>
      </w:r>
      <w:r w:rsidRPr="006A5743">
        <w:rPr>
          <w:rStyle w:val="eop"/>
          <w:rFonts w:ascii="Verdana" w:hAnsi="Verdana" w:cs="Arial"/>
          <w:color w:val="000000"/>
          <w:sz w:val="20"/>
          <w:szCs w:val="20"/>
          <w:shd w:val="clear" w:color="auto" w:fill="FFFFFF"/>
        </w:rPr>
        <w:t> </w:t>
      </w:r>
    </w:p>
    <w:p w14:paraId="2CD82D90" w14:textId="77777777" w:rsidR="0064344F" w:rsidRPr="006A5743" w:rsidRDefault="0064344F" w:rsidP="0064344F">
      <w:pPr>
        <w:spacing w:after="0" w:line="240" w:lineRule="auto"/>
        <w:jc w:val="both"/>
        <w:rPr>
          <w:rStyle w:val="eop"/>
          <w:rFonts w:ascii="Verdana" w:hAnsi="Verdana" w:cs="Arial"/>
          <w:color w:val="000000"/>
          <w:sz w:val="20"/>
          <w:szCs w:val="20"/>
          <w:shd w:val="clear" w:color="auto" w:fill="FFFFFF"/>
        </w:rPr>
      </w:pPr>
    </w:p>
    <w:p w14:paraId="7C58AF79" w14:textId="77777777" w:rsidR="0064344F" w:rsidRPr="006A5743" w:rsidRDefault="0064344F" w:rsidP="0064344F">
      <w:pPr>
        <w:spacing w:after="0" w:line="240" w:lineRule="auto"/>
        <w:jc w:val="both"/>
        <w:rPr>
          <w:rFonts w:ascii="Verdana" w:eastAsia="Century Gothic" w:hAnsi="Verdana" w:cs="Century Gothic"/>
          <w:b/>
        </w:rPr>
      </w:pPr>
      <w:r w:rsidRPr="006A5743">
        <w:rPr>
          <w:rFonts w:ascii="Verdana" w:eastAsia="Century Gothic" w:hAnsi="Verdana" w:cs="Century Gothic"/>
          <w:b/>
        </w:rPr>
        <w:t xml:space="preserve">CONVOCATORIAS LIMITADAS A MIPYMES NACIONALES – Requisitos </w:t>
      </w:r>
    </w:p>
    <w:p w14:paraId="71509DB4" w14:textId="77777777" w:rsidR="0064344F" w:rsidRPr="006A5743" w:rsidRDefault="0064344F" w:rsidP="0064344F">
      <w:pPr>
        <w:spacing w:after="0" w:line="240" w:lineRule="auto"/>
        <w:jc w:val="both"/>
        <w:rPr>
          <w:rFonts w:ascii="Verdana" w:eastAsia="Century Gothic" w:hAnsi="Verdana" w:cs="Century Gothic"/>
          <w:b/>
        </w:rPr>
      </w:pPr>
    </w:p>
    <w:p w14:paraId="3CBF0032" w14:textId="77777777" w:rsidR="0064344F" w:rsidRPr="006A5743" w:rsidRDefault="0064344F" w:rsidP="0064344F">
      <w:pPr>
        <w:pStyle w:val="paragraph"/>
        <w:spacing w:before="0" w:beforeAutospacing="0" w:after="0" w:afterAutospacing="0"/>
        <w:jc w:val="both"/>
        <w:textAlignment w:val="baseline"/>
        <w:rPr>
          <w:rStyle w:val="eop"/>
          <w:rFonts w:ascii="Verdana" w:hAnsi="Verdana" w:cs="Arial"/>
          <w:color w:val="000000"/>
          <w:sz w:val="20"/>
          <w:szCs w:val="20"/>
        </w:rPr>
      </w:pPr>
      <w:r w:rsidRPr="006A5743">
        <w:rPr>
          <w:rStyle w:val="normaltextrun"/>
          <w:rFonts w:ascii="Verdana" w:hAnsi="Verdana" w:cs="Arial"/>
          <w:color w:val="000000"/>
          <w:sz w:val="20"/>
          <w:szCs w:val="20"/>
        </w:rPr>
        <w:t>El artículo 2.2.1.2.4.2.2. del Decreto 1082 de 2015 establece los requisitos que se deben acreditar en las “convocatorias limitadas a MiPymes”. El primer elemento delimitador del ámbito de aplicación de esta norma deriva del primer inciso en donde se estable que la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MiPymes colombianas con mínimo un (1) año de existencia […]”. Esta redacción obedece a un cambio introducido por el Decreto 1860 de 2021, el cual solo permitía la limitación a MiPymes nacionales en los procedimientos de licitación pública, selección abreviada y concurso de méritos. </w:t>
      </w:r>
      <w:r w:rsidRPr="006A5743">
        <w:rPr>
          <w:rStyle w:val="eop"/>
          <w:rFonts w:ascii="Verdana" w:hAnsi="Verdana" w:cs="Arial"/>
          <w:color w:val="000000"/>
        </w:rPr>
        <w:t> </w:t>
      </w:r>
    </w:p>
    <w:p w14:paraId="0677571C" w14:textId="77777777" w:rsidR="0064344F" w:rsidRPr="006A5743" w:rsidRDefault="0064344F" w:rsidP="0064344F">
      <w:pPr>
        <w:spacing w:after="0" w:line="240" w:lineRule="auto"/>
        <w:jc w:val="both"/>
        <w:rPr>
          <w:rFonts w:ascii="Verdana" w:eastAsia="Century Gothic" w:hAnsi="Verdana" w:cs="Century Gothic"/>
          <w:b/>
        </w:rPr>
      </w:pPr>
    </w:p>
    <w:p w14:paraId="2B557197" w14:textId="77777777" w:rsidR="0064344F" w:rsidRPr="006A5743" w:rsidRDefault="0064344F" w:rsidP="0064344F">
      <w:pPr>
        <w:spacing w:after="0" w:line="240" w:lineRule="auto"/>
        <w:jc w:val="both"/>
        <w:rPr>
          <w:rFonts w:ascii="Verdana" w:hAnsi="Verdana" w:cs="Arial"/>
          <w:color w:val="000000"/>
          <w:sz w:val="20"/>
          <w:szCs w:val="20"/>
          <w:shd w:val="clear" w:color="auto" w:fill="FFFFFF"/>
        </w:rPr>
      </w:pPr>
      <w:r w:rsidRPr="006A5743">
        <w:rPr>
          <w:rFonts w:ascii="Verdana" w:eastAsia="Century Gothic" w:hAnsi="Verdana" w:cs="Century Gothic"/>
          <w:b/>
        </w:rPr>
        <w:t xml:space="preserve"> CONVOCATORIAS LIMITADAS A MIPYMES EN EL ÁMBITO TERRITORIAL – Limitación territorial – Facultad discrecional </w:t>
      </w:r>
    </w:p>
    <w:p w14:paraId="07F36BFA" w14:textId="77777777" w:rsidR="0064344F" w:rsidRPr="006A5743" w:rsidRDefault="0064344F" w:rsidP="0064344F">
      <w:pPr>
        <w:spacing w:after="0"/>
        <w:rPr>
          <w:rFonts w:ascii="Verdana" w:hAnsi="Verdana"/>
        </w:rPr>
      </w:pPr>
    </w:p>
    <w:p w14:paraId="2081F930" w14:textId="77777777" w:rsidR="0064344F" w:rsidRPr="006A5743" w:rsidRDefault="0064344F" w:rsidP="0064344F">
      <w:pPr>
        <w:pStyle w:val="paragraph"/>
        <w:spacing w:before="0" w:beforeAutospacing="0" w:after="0" w:afterAutospacing="0"/>
        <w:jc w:val="both"/>
        <w:textAlignment w:val="baseline"/>
        <w:rPr>
          <w:rFonts w:ascii="Verdana" w:hAnsi="Verdana" w:cs="Segoe UI"/>
          <w:sz w:val="18"/>
          <w:szCs w:val="18"/>
        </w:rPr>
      </w:pPr>
      <w:r w:rsidRPr="006A5743">
        <w:rPr>
          <w:rStyle w:val="normaltextrun"/>
          <w:rFonts w:ascii="Verdana" w:hAnsi="Verdana" w:cs="Arial"/>
          <w:color w:val="000000"/>
          <w:sz w:val="20"/>
          <w:szCs w:val="20"/>
        </w:rPr>
        <w:t xml:space="preserve">Cumplidos los dos requisitos del artículo 2.2.1.2.4.2.2. </w:t>
      </w:r>
      <w:r w:rsidRPr="006A5743">
        <w:rPr>
          <w:rStyle w:val="normaltextrun"/>
          <w:rFonts w:ascii="Verdana" w:hAnsi="Verdana" w:cs="Arial"/>
          <w:i/>
          <w:iCs/>
          <w:color w:val="000000"/>
          <w:sz w:val="20"/>
          <w:szCs w:val="20"/>
        </w:rPr>
        <w:t>ibidem</w:t>
      </w:r>
      <w:r w:rsidRPr="006A5743">
        <w:rPr>
          <w:rStyle w:val="normaltextrun"/>
          <w:rFonts w:ascii="Verdana" w:hAnsi="Verdana" w:cs="Arial"/>
          <w:color w:val="000000"/>
          <w:sz w:val="20"/>
          <w:szCs w:val="20"/>
        </w:rPr>
        <w:t>, la entidad puede ─no tiene que─ decidir si limita la convocatoria a las MiPymes nacionales domiciliadas en el municipio o departamento en el que se ejecutará el contrato</w:t>
      </w:r>
      <w:r w:rsidRPr="006A5743">
        <w:rPr>
          <w:rStyle w:val="superscript"/>
          <w:rFonts w:ascii="Verdana" w:hAnsi="Verdana" w:cs="Arial"/>
          <w:color w:val="000000"/>
          <w:sz w:val="16"/>
          <w:szCs w:val="16"/>
          <w:vertAlign w:val="superscript"/>
        </w:rPr>
        <w:t>1</w:t>
      </w:r>
      <w:r w:rsidRPr="006A5743">
        <w:rPr>
          <w:rStyle w:val="normaltextrun"/>
          <w:rFonts w:ascii="Verdana" w:hAnsi="Verdana" w:cs="Arial"/>
          <w:color w:val="000000"/>
          <w:sz w:val="20"/>
          <w:szCs w:val="20"/>
        </w:rPr>
        <w:t xml:space="preserve">. Esto de acuerdo con lo establecido en artículo 2.2.1.2.4.2.3. del Decreto 1082 de 2015, norma que se refiere a la facultad de la administración con el verbo infinitivo “poder”, no “deber”. En cualquier caso, Colombia Compra Eficiente ha sostenido que es discrecional la decisión de limitar territorialmente una convocatoria de MiPymes, y ha precisado que, de todos modos, la decisión debe estar justificada en los correspondientes “estudios del sector”. […] los artículos 2.2.1.2.4.2.2 y 2.2.1.2.4.2.3  deben ser interpretados de manera armónica, comoquiera que para proceder a limitar hacer una limitación territoriales es indispensable que se cumplan, no solo el presupuestos establecidos en el artículo 2.2.1.2.4.2.3.–domicilio en el municipio o departamento de ejecución del contrato–, sino también los establecidos en el artículo 2.2.1.2.4.2.2 –valor del proceso de contratación en el rango indicado y solicitudes de al menos dos MiPymes presentadas oportunamente–. En ese sentido, para que proceda la limitación territorial es necesario </w:t>
      </w:r>
      <w:r w:rsidRPr="006A5743">
        <w:rPr>
          <w:rStyle w:val="normaltextrun"/>
          <w:rFonts w:ascii="Verdana" w:hAnsi="Verdana" w:cs="Arial"/>
          <w:color w:val="000000"/>
          <w:sz w:val="20"/>
          <w:szCs w:val="20"/>
        </w:rPr>
        <w:lastRenderedPageBreak/>
        <w:t>que se presenten al menos dos solicitudes de MiPymes domiciliadas en el departamento o municipio en donde se va a ejecutar el contrato.  Este entendimiento de la norma, sin embargo, da lugar a dos interpretaciones sobre las que se deben hacer unas precisiones.</w:t>
      </w:r>
      <w:r w:rsidRPr="006A5743">
        <w:rPr>
          <w:rStyle w:val="eop"/>
          <w:rFonts w:ascii="Verdana" w:hAnsi="Verdana" w:cs="Arial"/>
          <w:color w:val="000000"/>
          <w:sz w:val="20"/>
          <w:szCs w:val="20"/>
        </w:rPr>
        <w:t> </w:t>
      </w:r>
    </w:p>
    <w:p w14:paraId="35417616" w14:textId="77777777" w:rsidR="0064344F" w:rsidRDefault="0064344F" w:rsidP="0064344F">
      <w:pPr>
        <w:spacing w:after="0"/>
        <w:rPr>
          <w:rFonts w:ascii="Verdana" w:hAnsi="Verdana"/>
        </w:rPr>
      </w:pPr>
    </w:p>
    <w:p w14:paraId="2B5C070E" w14:textId="77777777" w:rsidR="0064344F" w:rsidRDefault="0064344F" w:rsidP="0064344F">
      <w:pPr>
        <w:spacing w:after="0"/>
        <w:rPr>
          <w:rFonts w:ascii="Verdana" w:hAnsi="Verdana"/>
        </w:rPr>
      </w:pPr>
    </w:p>
    <w:p w14:paraId="42552AB4" w14:textId="77777777" w:rsidR="0064344F" w:rsidRDefault="0064344F" w:rsidP="00CF29A9">
      <w:pPr>
        <w:spacing w:after="0" w:line="240" w:lineRule="auto"/>
        <w:rPr>
          <w:rFonts w:ascii="Verdana" w:hAnsi="Verdana"/>
        </w:rPr>
      </w:pPr>
    </w:p>
    <w:p w14:paraId="2D68E27A" w14:textId="77777777" w:rsidR="0064344F" w:rsidRDefault="0064344F" w:rsidP="00CF29A9">
      <w:pPr>
        <w:spacing w:after="0" w:line="240" w:lineRule="auto"/>
        <w:rPr>
          <w:rFonts w:ascii="Verdana" w:hAnsi="Verdana"/>
        </w:rPr>
      </w:pPr>
    </w:p>
    <w:p w14:paraId="469F39B7" w14:textId="77777777" w:rsidR="0064344F" w:rsidRDefault="0064344F" w:rsidP="00CF29A9">
      <w:pPr>
        <w:spacing w:after="0" w:line="240" w:lineRule="auto"/>
        <w:rPr>
          <w:rFonts w:ascii="Verdana" w:hAnsi="Verdana"/>
        </w:rPr>
      </w:pPr>
    </w:p>
    <w:p w14:paraId="7B765C1A" w14:textId="77777777" w:rsidR="0064344F" w:rsidRDefault="0064344F" w:rsidP="00CF29A9">
      <w:pPr>
        <w:spacing w:after="0" w:line="240" w:lineRule="auto"/>
        <w:rPr>
          <w:rFonts w:ascii="Verdana" w:hAnsi="Verdana"/>
        </w:rPr>
      </w:pPr>
    </w:p>
    <w:p w14:paraId="687FFAB5" w14:textId="77777777" w:rsidR="0064344F" w:rsidRDefault="0064344F" w:rsidP="00CF29A9">
      <w:pPr>
        <w:spacing w:after="0" w:line="240" w:lineRule="auto"/>
        <w:rPr>
          <w:rFonts w:ascii="Verdana" w:hAnsi="Verdana"/>
        </w:rPr>
      </w:pPr>
    </w:p>
    <w:p w14:paraId="7838DA88" w14:textId="77777777" w:rsidR="0064344F" w:rsidRDefault="0064344F" w:rsidP="00CF29A9">
      <w:pPr>
        <w:spacing w:after="0" w:line="240" w:lineRule="auto"/>
        <w:rPr>
          <w:rFonts w:ascii="Verdana" w:hAnsi="Verdana"/>
        </w:rPr>
      </w:pPr>
    </w:p>
    <w:p w14:paraId="6BF81398" w14:textId="77777777" w:rsidR="0064344F" w:rsidRDefault="0064344F" w:rsidP="00CF29A9">
      <w:pPr>
        <w:spacing w:after="0" w:line="240" w:lineRule="auto"/>
        <w:rPr>
          <w:rFonts w:ascii="Verdana" w:hAnsi="Verdana"/>
        </w:rPr>
      </w:pPr>
    </w:p>
    <w:p w14:paraId="5E4664A2" w14:textId="77777777" w:rsidR="0064344F" w:rsidRDefault="0064344F" w:rsidP="00CF29A9">
      <w:pPr>
        <w:spacing w:after="0" w:line="240" w:lineRule="auto"/>
        <w:rPr>
          <w:rFonts w:ascii="Verdana" w:hAnsi="Verdana"/>
        </w:rPr>
      </w:pPr>
    </w:p>
    <w:p w14:paraId="171CF234" w14:textId="77777777" w:rsidR="0064344F" w:rsidRDefault="0064344F" w:rsidP="00CF29A9">
      <w:pPr>
        <w:spacing w:after="0" w:line="240" w:lineRule="auto"/>
        <w:rPr>
          <w:rFonts w:ascii="Verdana" w:hAnsi="Verdana"/>
        </w:rPr>
      </w:pPr>
    </w:p>
    <w:p w14:paraId="1050FC8E" w14:textId="77777777" w:rsidR="0064344F" w:rsidRDefault="0064344F" w:rsidP="00CF29A9">
      <w:pPr>
        <w:spacing w:after="0" w:line="240" w:lineRule="auto"/>
        <w:rPr>
          <w:rFonts w:ascii="Verdana" w:hAnsi="Verdana"/>
        </w:rPr>
      </w:pPr>
    </w:p>
    <w:p w14:paraId="1F3163A7" w14:textId="77777777" w:rsidR="0064344F" w:rsidRDefault="0064344F" w:rsidP="00CF29A9">
      <w:pPr>
        <w:spacing w:after="0" w:line="240" w:lineRule="auto"/>
        <w:rPr>
          <w:rFonts w:ascii="Verdana" w:hAnsi="Verdana"/>
        </w:rPr>
      </w:pPr>
    </w:p>
    <w:p w14:paraId="61FE8D16" w14:textId="77777777" w:rsidR="0064344F" w:rsidRDefault="0064344F" w:rsidP="00CF29A9">
      <w:pPr>
        <w:spacing w:after="0" w:line="240" w:lineRule="auto"/>
        <w:rPr>
          <w:rFonts w:ascii="Verdana" w:hAnsi="Verdana"/>
        </w:rPr>
      </w:pPr>
    </w:p>
    <w:p w14:paraId="6A2164A8" w14:textId="77777777" w:rsidR="0064344F" w:rsidRDefault="0064344F" w:rsidP="00CF29A9">
      <w:pPr>
        <w:spacing w:after="0" w:line="240" w:lineRule="auto"/>
        <w:rPr>
          <w:rFonts w:ascii="Verdana" w:hAnsi="Verdana"/>
        </w:rPr>
      </w:pPr>
    </w:p>
    <w:p w14:paraId="3837FD48" w14:textId="77777777" w:rsidR="0064344F" w:rsidRDefault="0064344F" w:rsidP="00CF29A9">
      <w:pPr>
        <w:spacing w:after="0" w:line="240" w:lineRule="auto"/>
        <w:rPr>
          <w:rFonts w:ascii="Verdana" w:hAnsi="Verdana"/>
        </w:rPr>
      </w:pPr>
    </w:p>
    <w:p w14:paraId="3174E76A" w14:textId="77777777" w:rsidR="0064344F" w:rsidRDefault="0064344F" w:rsidP="00CF29A9">
      <w:pPr>
        <w:spacing w:after="0" w:line="240" w:lineRule="auto"/>
        <w:rPr>
          <w:rFonts w:ascii="Verdana" w:hAnsi="Verdana"/>
        </w:rPr>
      </w:pPr>
    </w:p>
    <w:p w14:paraId="3248AFB7" w14:textId="77777777" w:rsidR="0064344F" w:rsidRDefault="0064344F" w:rsidP="00CF29A9">
      <w:pPr>
        <w:spacing w:after="0" w:line="240" w:lineRule="auto"/>
        <w:rPr>
          <w:rFonts w:ascii="Verdana" w:hAnsi="Verdana"/>
        </w:rPr>
      </w:pPr>
    </w:p>
    <w:p w14:paraId="27717B53" w14:textId="77777777" w:rsidR="0064344F" w:rsidRDefault="0064344F" w:rsidP="00CF29A9">
      <w:pPr>
        <w:spacing w:after="0" w:line="240" w:lineRule="auto"/>
        <w:rPr>
          <w:rFonts w:ascii="Verdana" w:hAnsi="Verdana"/>
        </w:rPr>
      </w:pPr>
    </w:p>
    <w:p w14:paraId="3932392C" w14:textId="77777777" w:rsidR="0064344F" w:rsidRDefault="0064344F" w:rsidP="00CF29A9">
      <w:pPr>
        <w:spacing w:after="0" w:line="240" w:lineRule="auto"/>
        <w:rPr>
          <w:rFonts w:ascii="Verdana" w:hAnsi="Verdana"/>
        </w:rPr>
      </w:pPr>
    </w:p>
    <w:p w14:paraId="53C069C7" w14:textId="77777777" w:rsidR="0064344F" w:rsidRDefault="0064344F" w:rsidP="00CF29A9">
      <w:pPr>
        <w:spacing w:after="0" w:line="240" w:lineRule="auto"/>
        <w:rPr>
          <w:rFonts w:ascii="Verdana" w:hAnsi="Verdana"/>
        </w:rPr>
      </w:pPr>
    </w:p>
    <w:p w14:paraId="762A9197" w14:textId="77777777" w:rsidR="0064344F" w:rsidRDefault="0064344F" w:rsidP="00CF29A9">
      <w:pPr>
        <w:spacing w:after="0" w:line="240" w:lineRule="auto"/>
        <w:rPr>
          <w:rFonts w:ascii="Verdana" w:hAnsi="Verdana"/>
        </w:rPr>
      </w:pPr>
    </w:p>
    <w:p w14:paraId="215D09DC" w14:textId="77777777" w:rsidR="0064344F" w:rsidRDefault="0064344F" w:rsidP="00CF29A9">
      <w:pPr>
        <w:spacing w:after="0" w:line="240" w:lineRule="auto"/>
        <w:rPr>
          <w:rFonts w:ascii="Verdana" w:hAnsi="Verdana"/>
        </w:rPr>
      </w:pPr>
    </w:p>
    <w:p w14:paraId="5A89ED71" w14:textId="77777777" w:rsidR="0064344F" w:rsidRDefault="0064344F" w:rsidP="00CF29A9">
      <w:pPr>
        <w:spacing w:after="0" w:line="240" w:lineRule="auto"/>
        <w:rPr>
          <w:rFonts w:ascii="Verdana" w:hAnsi="Verdana"/>
        </w:rPr>
      </w:pPr>
    </w:p>
    <w:p w14:paraId="1F5C0956" w14:textId="77777777" w:rsidR="0064344F" w:rsidRDefault="0064344F" w:rsidP="00CF29A9">
      <w:pPr>
        <w:spacing w:after="0" w:line="240" w:lineRule="auto"/>
        <w:rPr>
          <w:rFonts w:ascii="Verdana" w:hAnsi="Verdana"/>
        </w:rPr>
      </w:pPr>
    </w:p>
    <w:p w14:paraId="0BDBCE46" w14:textId="77777777" w:rsidR="0064344F" w:rsidRDefault="0064344F" w:rsidP="00CF29A9">
      <w:pPr>
        <w:spacing w:after="0" w:line="240" w:lineRule="auto"/>
        <w:rPr>
          <w:rFonts w:ascii="Verdana" w:hAnsi="Verdana"/>
        </w:rPr>
      </w:pPr>
    </w:p>
    <w:p w14:paraId="2CB18098" w14:textId="77777777" w:rsidR="0064344F" w:rsidRDefault="0064344F" w:rsidP="00CF29A9">
      <w:pPr>
        <w:spacing w:after="0" w:line="240" w:lineRule="auto"/>
        <w:rPr>
          <w:rFonts w:ascii="Verdana" w:hAnsi="Verdana"/>
        </w:rPr>
      </w:pPr>
    </w:p>
    <w:p w14:paraId="5F23C367" w14:textId="77777777" w:rsidR="0064344F" w:rsidRDefault="0064344F" w:rsidP="00CF29A9">
      <w:pPr>
        <w:spacing w:after="0" w:line="240" w:lineRule="auto"/>
        <w:rPr>
          <w:rFonts w:ascii="Verdana" w:hAnsi="Verdana"/>
        </w:rPr>
      </w:pPr>
    </w:p>
    <w:p w14:paraId="3FA8855B" w14:textId="77777777" w:rsidR="0064344F" w:rsidRDefault="0064344F" w:rsidP="00CF29A9">
      <w:pPr>
        <w:spacing w:after="0" w:line="240" w:lineRule="auto"/>
        <w:rPr>
          <w:rFonts w:ascii="Verdana" w:hAnsi="Verdana"/>
        </w:rPr>
      </w:pPr>
    </w:p>
    <w:p w14:paraId="7F92E66F" w14:textId="77777777" w:rsidR="0064344F" w:rsidRDefault="0064344F" w:rsidP="00CF29A9">
      <w:pPr>
        <w:spacing w:after="0" w:line="240" w:lineRule="auto"/>
        <w:rPr>
          <w:rFonts w:ascii="Verdana" w:hAnsi="Verdana"/>
        </w:rPr>
      </w:pPr>
    </w:p>
    <w:p w14:paraId="13773865" w14:textId="77777777" w:rsidR="0064344F" w:rsidRDefault="0064344F" w:rsidP="00CF29A9">
      <w:pPr>
        <w:spacing w:after="0" w:line="240" w:lineRule="auto"/>
        <w:rPr>
          <w:rFonts w:ascii="Verdana" w:hAnsi="Verdana"/>
        </w:rPr>
      </w:pPr>
    </w:p>
    <w:p w14:paraId="2DE0B706" w14:textId="77777777" w:rsidR="0064344F" w:rsidRDefault="0064344F" w:rsidP="00CF29A9">
      <w:pPr>
        <w:spacing w:after="0" w:line="240" w:lineRule="auto"/>
        <w:rPr>
          <w:rFonts w:ascii="Verdana" w:hAnsi="Verdana"/>
        </w:rPr>
      </w:pPr>
    </w:p>
    <w:p w14:paraId="6C56C02C" w14:textId="77777777" w:rsidR="0064344F" w:rsidRDefault="0064344F" w:rsidP="00CF29A9">
      <w:pPr>
        <w:spacing w:after="0" w:line="240" w:lineRule="auto"/>
        <w:rPr>
          <w:rFonts w:ascii="Verdana" w:hAnsi="Verdana"/>
        </w:rPr>
      </w:pPr>
    </w:p>
    <w:p w14:paraId="31A28905" w14:textId="77777777" w:rsidR="0064344F" w:rsidRDefault="0064344F" w:rsidP="00CF29A9">
      <w:pPr>
        <w:spacing w:after="0" w:line="240" w:lineRule="auto"/>
        <w:rPr>
          <w:rFonts w:ascii="Verdana" w:hAnsi="Verdana"/>
        </w:rPr>
      </w:pPr>
    </w:p>
    <w:p w14:paraId="23443C8F" w14:textId="77777777" w:rsidR="0064344F" w:rsidRDefault="0064344F" w:rsidP="00CF29A9">
      <w:pPr>
        <w:spacing w:after="0" w:line="240" w:lineRule="auto"/>
        <w:rPr>
          <w:rFonts w:ascii="Verdana" w:hAnsi="Verdana"/>
        </w:rPr>
      </w:pPr>
    </w:p>
    <w:p w14:paraId="5D8D11A7" w14:textId="77777777" w:rsidR="0064344F" w:rsidRDefault="0064344F" w:rsidP="00CF29A9">
      <w:pPr>
        <w:spacing w:after="0" w:line="240" w:lineRule="auto"/>
        <w:rPr>
          <w:rFonts w:ascii="Verdana" w:hAnsi="Verdana"/>
        </w:rPr>
      </w:pPr>
    </w:p>
    <w:p w14:paraId="64546DA4" w14:textId="77777777" w:rsidR="0064344F" w:rsidRDefault="0064344F" w:rsidP="00CF29A9">
      <w:pPr>
        <w:spacing w:after="0" w:line="240" w:lineRule="auto"/>
        <w:rPr>
          <w:rFonts w:ascii="Verdana" w:hAnsi="Verdana"/>
        </w:rPr>
      </w:pPr>
    </w:p>
    <w:p w14:paraId="75245757" w14:textId="77777777" w:rsidR="0064344F" w:rsidRDefault="0064344F" w:rsidP="00CF29A9">
      <w:pPr>
        <w:spacing w:after="0" w:line="240" w:lineRule="auto"/>
        <w:rPr>
          <w:rFonts w:ascii="Verdana" w:hAnsi="Verdana"/>
        </w:rPr>
      </w:pPr>
    </w:p>
    <w:p w14:paraId="06029ED0" w14:textId="77777777" w:rsidR="0064344F" w:rsidRDefault="0064344F" w:rsidP="00CF29A9">
      <w:pPr>
        <w:spacing w:after="0" w:line="240" w:lineRule="auto"/>
        <w:rPr>
          <w:rFonts w:ascii="Verdana" w:hAnsi="Verdana"/>
        </w:rPr>
      </w:pPr>
    </w:p>
    <w:p w14:paraId="04931068" w14:textId="77777777" w:rsidR="0064344F" w:rsidRDefault="0064344F" w:rsidP="00CF29A9">
      <w:pPr>
        <w:spacing w:after="0" w:line="240" w:lineRule="auto"/>
        <w:rPr>
          <w:rFonts w:ascii="Verdana" w:hAnsi="Verdana"/>
        </w:rPr>
      </w:pPr>
    </w:p>
    <w:p w14:paraId="3FE2184B" w14:textId="3115A18A" w:rsidR="00E245AB" w:rsidRPr="003E61A0" w:rsidRDefault="00E245AB" w:rsidP="00CF29A9">
      <w:pPr>
        <w:spacing w:after="0" w:line="240" w:lineRule="auto"/>
        <w:rPr>
          <w:rFonts w:ascii="Verdana" w:hAnsi="Verdana"/>
        </w:rPr>
      </w:pPr>
      <w:r w:rsidRPr="003E61A0">
        <w:rPr>
          <w:rFonts w:ascii="Verdana" w:hAnsi="Verdana"/>
        </w:rPr>
        <w:lastRenderedPageBreak/>
        <w:t xml:space="preserve">Bogotá D.C., </w:t>
      </w:r>
      <w:r w:rsidR="00E00AE7">
        <w:rPr>
          <w:rFonts w:ascii="Verdana" w:hAnsi="Verdana"/>
        </w:rPr>
        <w:t>27 marzo 2025</w:t>
      </w:r>
      <w:r w:rsidR="00891928" w:rsidRPr="003E61A0">
        <w:rPr>
          <w:rFonts w:ascii="Verdana" w:hAnsi="Verdana"/>
        </w:rPr>
        <w:tab/>
      </w:r>
    </w:p>
    <w:bookmarkEnd w:id="0"/>
    <w:p w14:paraId="54F1ABC6" w14:textId="4594C0AD" w:rsidR="008E686A" w:rsidRPr="003E61A0" w:rsidRDefault="00E00AE7" w:rsidP="003E61A0">
      <w:pPr>
        <w:spacing w:after="0" w:line="240" w:lineRule="auto"/>
        <w:jc w:val="both"/>
        <w:rPr>
          <w:rFonts w:ascii="Verdana" w:eastAsia="Calibri" w:hAnsi="Verdana" w:cs="Arial"/>
          <w:lang w:val="es-ES" w:eastAsia="es-ES"/>
        </w:rPr>
      </w:pPr>
      <w:r w:rsidRPr="00E00AE7">
        <w:rPr>
          <w:rFonts w:ascii="Verdana" w:eastAsia="Calibri" w:hAnsi="Verdana" w:cs="Arial"/>
          <w:lang w:eastAsia="es-ES"/>
        </w:rPr>
        <w:drawing>
          <wp:anchor distT="0" distB="0" distL="114300" distR="114300" simplePos="0" relativeHeight="251657216" behindDoc="0" locked="0" layoutInCell="1" allowOverlap="1" wp14:anchorId="3E076AD8" wp14:editId="326E7A42">
            <wp:simplePos x="0" y="0"/>
            <wp:positionH relativeFrom="column">
              <wp:posOffset>3088005</wp:posOffset>
            </wp:positionH>
            <wp:positionV relativeFrom="paragraph">
              <wp:posOffset>26035</wp:posOffset>
            </wp:positionV>
            <wp:extent cx="2796540" cy="934085"/>
            <wp:effectExtent l="0" t="0" r="3810" b="0"/>
            <wp:wrapSquare wrapText="bothSides"/>
            <wp:docPr id="6096176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617665" name=""/>
                    <pic:cNvPicPr/>
                  </pic:nvPicPr>
                  <pic:blipFill>
                    <a:blip r:embed="rId10">
                      <a:extLst>
                        <a:ext uri="{28A0092B-C50C-407E-A947-70E740481C1C}">
                          <a14:useLocalDpi xmlns:a14="http://schemas.microsoft.com/office/drawing/2010/main" val="0"/>
                        </a:ext>
                      </a:extLst>
                    </a:blip>
                    <a:stretch>
                      <a:fillRect/>
                    </a:stretch>
                  </pic:blipFill>
                  <pic:spPr>
                    <a:xfrm>
                      <a:off x="0" y="0"/>
                      <a:ext cx="2796540" cy="934085"/>
                    </a:xfrm>
                    <a:prstGeom prst="rect">
                      <a:avLst/>
                    </a:prstGeom>
                  </pic:spPr>
                </pic:pic>
              </a:graphicData>
            </a:graphic>
            <wp14:sizeRelH relativeFrom="margin">
              <wp14:pctWidth>0</wp14:pctWidth>
            </wp14:sizeRelH>
            <wp14:sizeRelV relativeFrom="margin">
              <wp14:pctHeight>0</wp14:pctHeight>
            </wp14:sizeRelV>
          </wp:anchor>
        </w:drawing>
      </w:r>
    </w:p>
    <w:p w14:paraId="5657AAC3" w14:textId="45FE3DC6" w:rsidR="008E686A" w:rsidRPr="003E61A0" w:rsidRDefault="008E686A" w:rsidP="003E61A0">
      <w:pPr>
        <w:spacing w:after="0" w:line="240" w:lineRule="auto"/>
        <w:jc w:val="both"/>
        <w:rPr>
          <w:rFonts w:ascii="Verdana" w:eastAsia="Calibri" w:hAnsi="Verdana" w:cs="Arial"/>
          <w:lang w:eastAsia="es-ES"/>
        </w:rPr>
      </w:pPr>
      <w:r w:rsidRPr="003E61A0">
        <w:rPr>
          <w:rFonts w:ascii="Verdana" w:eastAsia="Calibri" w:hAnsi="Verdana" w:cs="Arial"/>
          <w:lang w:eastAsia="es-ES"/>
        </w:rPr>
        <w:t>Señor:</w:t>
      </w:r>
      <w:r w:rsidR="00E00AE7" w:rsidRPr="00E00AE7">
        <w:rPr>
          <w:noProof/>
        </w:rPr>
        <w:t xml:space="preserve"> </w:t>
      </w:r>
    </w:p>
    <w:p w14:paraId="7C3EE0E4" w14:textId="7EF835D7" w:rsidR="008E686A" w:rsidRPr="003E61A0" w:rsidRDefault="003E61A0" w:rsidP="003E61A0">
      <w:pPr>
        <w:spacing w:after="0" w:line="240" w:lineRule="auto"/>
        <w:rPr>
          <w:rFonts w:ascii="Verdana" w:eastAsia="Calibri" w:hAnsi="Verdana" w:cs="Arial"/>
          <w:b/>
          <w:lang w:eastAsia="es-ES"/>
        </w:rPr>
      </w:pPr>
      <w:r w:rsidRPr="003E61A0">
        <w:rPr>
          <w:rFonts w:ascii="Verdana" w:eastAsia="Calibri" w:hAnsi="Verdana" w:cs="Arial"/>
          <w:b/>
          <w:lang w:eastAsia="es-ES"/>
        </w:rPr>
        <w:t>Julian Orozco Serna</w:t>
      </w:r>
    </w:p>
    <w:p w14:paraId="134673CE" w14:textId="77777777" w:rsidR="008E686A" w:rsidRPr="00CF29A9" w:rsidRDefault="008E686A" w:rsidP="003E61A0">
      <w:pPr>
        <w:spacing w:after="0" w:line="240" w:lineRule="auto"/>
        <w:rPr>
          <w:rFonts w:ascii="Verdana" w:eastAsia="Calibri" w:hAnsi="Verdana" w:cs="Arial"/>
          <w:b/>
          <w:lang w:eastAsia="es-ES"/>
        </w:rPr>
      </w:pPr>
      <w:hyperlink r:id="rId11" w:history="1">
        <w:r w:rsidRPr="00CF29A9">
          <w:rPr>
            <w:rStyle w:val="Hipervnculo"/>
            <w:rFonts w:ascii="Verdana" w:eastAsia="Calibri" w:hAnsi="Verdana" w:cs="Arial"/>
            <w:b/>
            <w:lang w:eastAsia="es-ES"/>
          </w:rPr>
          <w:t>abogadojulianorozco@hotmail.com</w:t>
        </w:r>
      </w:hyperlink>
    </w:p>
    <w:p w14:paraId="10D56BBF" w14:textId="77777777" w:rsidR="008E686A" w:rsidRPr="0064344F" w:rsidRDefault="008E686A" w:rsidP="003E61A0">
      <w:pPr>
        <w:spacing w:after="0" w:line="240" w:lineRule="auto"/>
        <w:rPr>
          <w:rFonts w:ascii="Verdana" w:eastAsia="Calibri" w:hAnsi="Verdana" w:cs="Arial"/>
          <w:b/>
          <w:bCs/>
          <w:highlight w:val="cyan"/>
          <w:lang w:eastAsia="es-ES_tradnl"/>
        </w:rPr>
      </w:pPr>
      <w:r w:rsidRPr="0064344F">
        <w:rPr>
          <w:rFonts w:ascii="Verdana" w:hAnsi="Verdana"/>
        </w:rPr>
        <w:t>Armenia, Quindio.</w:t>
      </w:r>
    </w:p>
    <w:p w14:paraId="669343EB" w14:textId="77777777" w:rsidR="008E686A" w:rsidRPr="0064344F" w:rsidRDefault="008E686A" w:rsidP="003E61A0">
      <w:pPr>
        <w:spacing w:after="0" w:line="240" w:lineRule="auto"/>
        <w:rPr>
          <w:rFonts w:ascii="Verdana" w:eastAsia="Calibri" w:hAnsi="Verdana" w:cs="Arial"/>
          <w:b/>
          <w:bCs/>
          <w:highlight w:val="cyan"/>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029"/>
        <w:gridCol w:w="6760"/>
      </w:tblGrid>
      <w:tr w:rsidR="008E686A" w:rsidRPr="003E61A0" w14:paraId="66005DC8" w14:textId="77777777" w:rsidTr="009376EB">
        <w:trPr>
          <w:trHeight w:val="747"/>
        </w:trPr>
        <w:tc>
          <w:tcPr>
            <w:tcW w:w="2029" w:type="dxa"/>
          </w:tcPr>
          <w:p w14:paraId="3AA17DCA" w14:textId="77777777" w:rsidR="008E686A" w:rsidRPr="0064344F" w:rsidRDefault="008E686A" w:rsidP="003E61A0">
            <w:pPr>
              <w:jc w:val="both"/>
              <w:rPr>
                <w:rFonts w:ascii="Verdana" w:eastAsia="Calibri" w:hAnsi="Verdana" w:cs="Arial"/>
                <w:b/>
                <w:bCs/>
                <w:highlight w:val="cyan"/>
                <w:lang w:eastAsia="es-ES_tradnl"/>
              </w:rPr>
            </w:pPr>
          </w:p>
        </w:tc>
        <w:tc>
          <w:tcPr>
            <w:tcW w:w="6760" w:type="dxa"/>
          </w:tcPr>
          <w:p w14:paraId="60638C0B" w14:textId="77777777" w:rsidR="008E686A" w:rsidRPr="003E61A0" w:rsidRDefault="008E686A" w:rsidP="003E61A0">
            <w:pPr>
              <w:jc w:val="both"/>
              <w:rPr>
                <w:rFonts w:ascii="Verdana" w:eastAsia="Calibri" w:hAnsi="Verdana" w:cs="Arial"/>
                <w:b/>
                <w:bCs/>
                <w:highlight w:val="cyan"/>
                <w:lang w:val="es-ES" w:eastAsia="es-ES"/>
              </w:rPr>
            </w:pPr>
            <w:r w:rsidRPr="003E61A0">
              <w:rPr>
                <w:rFonts w:ascii="Verdana" w:eastAsia="Calibri" w:hAnsi="Verdana" w:cs="Arial"/>
                <w:b/>
                <w:bCs/>
                <w:lang w:val="es-ES" w:eastAsia="es-ES"/>
              </w:rPr>
              <w:t xml:space="preserve">Concepto </w:t>
            </w:r>
            <w:r w:rsidRPr="003E61A0">
              <w:rPr>
                <w:rFonts w:ascii="Verdana" w:eastAsia="Calibri" w:hAnsi="Verdana" w:cs="Arial"/>
                <w:b/>
                <w:bCs/>
                <w:lang w:eastAsia="es-ES"/>
              </w:rPr>
              <w:t xml:space="preserve">C-217 </w:t>
            </w:r>
            <w:r w:rsidRPr="003E61A0">
              <w:rPr>
                <w:rFonts w:ascii="Verdana" w:eastAsia="Calibri" w:hAnsi="Verdana" w:cs="Arial"/>
                <w:b/>
                <w:bCs/>
                <w:lang w:val="es-ES" w:eastAsia="es-ES"/>
              </w:rPr>
              <w:t>de 2025</w:t>
            </w:r>
          </w:p>
        </w:tc>
      </w:tr>
      <w:tr w:rsidR="008E686A" w:rsidRPr="003E61A0" w14:paraId="2DA84201" w14:textId="77777777" w:rsidTr="009376EB">
        <w:trPr>
          <w:trHeight w:val="884"/>
        </w:trPr>
        <w:tc>
          <w:tcPr>
            <w:tcW w:w="2029" w:type="dxa"/>
            <w:shd w:val="clear" w:color="auto" w:fill="auto"/>
          </w:tcPr>
          <w:p w14:paraId="371AAF0D" w14:textId="77777777" w:rsidR="008E686A" w:rsidRPr="003E61A0" w:rsidRDefault="008E686A" w:rsidP="003E61A0">
            <w:pPr>
              <w:jc w:val="both"/>
              <w:rPr>
                <w:rFonts w:ascii="Verdana" w:eastAsia="Calibri" w:hAnsi="Verdana" w:cs="Arial"/>
                <w:b/>
                <w:lang w:val="es-ES_tradnl" w:eastAsia="es-ES_tradnl"/>
              </w:rPr>
            </w:pPr>
            <w:r w:rsidRPr="003E61A0">
              <w:rPr>
                <w:rFonts w:ascii="Verdana" w:eastAsia="Calibri" w:hAnsi="Verdana" w:cs="Arial"/>
                <w:b/>
                <w:lang w:val="es-ES_tradnl" w:eastAsia="es-ES_tradnl"/>
              </w:rPr>
              <w:t xml:space="preserve">Temas:                   </w:t>
            </w:r>
          </w:p>
        </w:tc>
        <w:tc>
          <w:tcPr>
            <w:tcW w:w="6760" w:type="dxa"/>
            <w:shd w:val="clear" w:color="auto" w:fill="auto"/>
          </w:tcPr>
          <w:p w14:paraId="15BA670F" w14:textId="77777777" w:rsidR="008E686A" w:rsidRPr="003E61A0" w:rsidRDefault="008E686A" w:rsidP="00CF29A9">
            <w:pPr>
              <w:jc w:val="both"/>
              <w:rPr>
                <w:rFonts w:ascii="Verdana" w:eastAsia="Century Gothic" w:hAnsi="Verdana" w:cs="Century Gothic"/>
                <w:bCs/>
              </w:rPr>
            </w:pPr>
            <w:r w:rsidRPr="003E61A0">
              <w:rPr>
                <w:rFonts w:ascii="Verdana" w:eastAsia="Century Gothic" w:hAnsi="Verdana" w:cs="Century Gothic"/>
                <w:bCs/>
              </w:rPr>
              <w:t xml:space="preserve">PROMOCIÓN AL DESARROLLO – Ley 2069 de 2020 – Artículo 34 / CONVOCATORIAS LIMITADAS A MIPYMES NACIONALES – Requisitos / CONVOCATORIAS LIMITADAS A MIPYMES EN EL ÁMBITO TERRITORIAL – Limitación territorial – Facultad discrecional </w:t>
            </w:r>
          </w:p>
          <w:p w14:paraId="2B105C0E" w14:textId="77777777" w:rsidR="008E686A" w:rsidRPr="003E61A0" w:rsidRDefault="008E686A" w:rsidP="00CF29A9">
            <w:pPr>
              <w:jc w:val="both"/>
              <w:rPr>
                <w:rFonts w:ascii="Verdana" w:eastAsia="Century Gothic" w:hAnsi="Verdana" w:cs="Century Gothic"/>
                <w:bCs/>
                <w:lang w:val="es-MX"/>
              </w:rPr>
            </w:pPr>
          </w:p>
        </w:tc>
      </w:tr>
      <w:tr w:rsidR="008E686A" w:rsidRPr="003E61A0" w14:paraId="24E64FF7" w14:textId="77777777" w:rsidTr="009376EB">
        <w:trPr>
          <w:trHeight w:val="80"/>
        </w:trPr>
        <w:tc>
          <w:tcPr>
            <w:tcW w:w="2029" w:type="dxa"/>
            <w:shd w:val="clear" w:color="auto" w:fill="auto"/>
          </w:tcPr>
          <w:p w14:paraId="2AF8EDB1" w14:textId="77777777" w:rsidR="008E686A" w:rsidRPr="003E61A0" w:rsidRDefault="008E686A" w:rsidP="003E61A0">
            <w:pPr>
              <w:jc w:val="both"/>
              <w:rPr>
                <w:rFonts w:ascii="Verdana" w:eastAsia="Calibri" w:hAnsi="Verdana" w:cs="Arial"/>
                <w:b/>
                <w:lang w:val="es-ES_tradnl" w:eastAsia="es-ES_tradnl"/>
              </w:rPr>
            </w:pPr>
            <w:r w:rsidRPr="003E61A0">
              <w:rPr>
                <w:rFonts w:ascii="Verdana" w:eastAsia="Calibri" w:hAnsi="Verdana" w:cs="Arial"/>
                <w:b/>
                <w:lang w:val="es-ES_tradnl" w:eastAsia="es-ES_tradnl"/>
              </w:rPr>
              <w:t>Radicación:</w:t>
            </w:r>
            <w:r w:rsidRPr="003E61A0">
              <w:rPr>
                <w:rFonts w:ascii="Verdana" w:eastAsia="Calibri" w:hAnsi="Verdana" w:cs="Arial"/>
                <w:lang w:val="es-ES_tradnl" w:eastAsia="es-ES_tradnl"/>
              </w:rPr>
              <w:t xml:space="preserve">               </w:t>
            </w:r>
          </w:p>
        </w:tc>
        <w:tc>
          <w:tcPr>
            <w:tcW w:w="6760" w:type="dxa"/>
            <w:shd w:val="clear" w:color="auto" w:fill="auto"/>
          </w:tcPr>
          <w:p w14:paraId="2AC36429" w14:textId="77777777" w:rsidR="008E686A" w:rsidRPr="003E61A0" w:rsidRDefault="008E686A" w:rsidP="003E61A0">
            <w:pPr>
              <w:jc w:val="both"/>
              <w:rPr>
                <w:rFonts w:ascii="Verdana" w:eastAsia="Calibri" w:hAnsi="Verdana" w:cs="Arial"/>
                <w:lang w:eastAsia="es-ES_tradnl"/>
              </w:rPr>
            </w:pPr>
            <w:r w:rsidRPr="003E61A0">
              <w:rPr>
                <w:rFonts w:ascii="Verdana" w:eastAsia="Calibri" w:hAnsi="Verdana" w:cs="Arial"/>
                <w:lang w:val="es-ES_tradnl" w:eastAsia="es-ES_tradnl"/>
              </w:rPr>
              <w:t xml:space="preserve">Respuesta a consulta con radicado No. </w:t>
            </w:r>
            <w:r w:rsidRPr="003E61A0">
              <w:rPr>
                <w:rFonts w:ascii="Verdana" w:eastAsia="Calibri" w:hAnsi="Verdana" w:cs="Arial"/>
                <w:lang w:eastAsia="es-ES_tradnl"/>
              </w:rPr>
              <w:t>P20250220001669.</w:t>
            </w:r>
          </w:p>
        </w:tc>
      </w:tr>
    </w:tbl>
    <w:p w14:paraId="32966CC1" w14:textId="77777777" w:rsidR="008E686A" w:rsidRPr="003E61A0" w:rsidRDefault="008E686A" w:rsidP="003E61A0">
      <w:pPr>
        <w:spacing w:after="0" w:line="240" w:lineRule="auto"/>
        <w:jc w:val="both"/>
        <w:rPr>
          <w:rFonts w:ascii="Verdana" w:eastAsia="Calibri" w:hAnsi="Verdana" w:cs="Arial"/>
          <w:lang w:val="es-ES_tradnl" w:eastAsia="es-ES_tradnl"/>
        </w:rPr>
      </w:pPr>
    </w:p>
    <w:p w14:paraId="4FD70087" w14:textId="77777777" w:rsidR="008E686A" w:rsidRPr="003E61A0" w:rsidRDefault="008E686A" w:rsidP="003E61A0">
      <w:pPr>
        <w:spacing w:after="0" w:line="240" w:lineRule="auto"/>
        <w:jc w:val="both"/>
        <w:rPr>
          <w:rFonts w:ascii="Verdana" w:eastAsia="Calibri" w:hAnsi="Verdana" w:cs="Arial"/>
          <w:lang w:val="es-ES_tradnl" w:eastAsia="es-ES_tradnl"/>
        </w:rPr>
      </w:pPr>
    </w:p>
    <w:p w14:paraId="063C21C6" w14:textId="24C726CC" w:rsidR="008E686A" w:rsidRPr="003E61A0" w:rsidRDefault="008E686A" w:rsidP="003E61A0">
      <w:pPr>
        <w:spacing w:after="0" w:line="276" w:lineRule="auto"/>
        <w:jc w:val="both"/>
        <w:rPr>
          <w:rFonts w:ascii="Verdana" w:eastAsia="Calibri" w:hAnsi="Verdana" w:cs="Arial"/>
          <w:lang w:val="es-ES" w:eastAsia="es-ES"/>
        </w:rPr>
      </w:pPr>
      <w:r w:rsidRPr="003E61A0">
        <w:rPr>
          <w:rFonts w:ascii="Verdana" w:eastAsia="Calibri" w:hAnsi="Verdana" w:cs="Arial"/>
          <w:lang w:val="es-ES" w:eastAsia="es-ES"/>
        </w:rPr>
        <w:t>Estimado señor Julián</w:t>
      </w:r>
      <w:r w:rsidR="003E61A0">
        <w:rPr>
          <w:rFonts w:ascii="Verdana" w:eastAsia="Calibri" w:hAnsi="Verdana" w:cs="Arial"/>
          <w:lang w:val="es-ES" w:eastAsia="es-ES"/>
        </w:rPr>
        <w:t xml:space="preserve">: </w:t>
      </w:r>
    </w:p>
    <w:p w14:paraId="4BE85D87" w14:textId="77777777" w:rsidR="008E686A" w:rsidRPr="003E61A0" w:rsidRDefault="008E686A" w:rsidP="003E61A0">
      <w:pPr>
        <w:tabs>
          <w:tab w:val="left" w:pos="3768"/>
        </w:tabs>
        <w:spacing w:after="0" w:line="276" w:lineRule="auto"/>
        <w:jc w:val="both"/>
        <w:rPr>
          <w:rFonts w:ascii="Verdana" w:eastAsia="Calibri" w:hAnsi="Verdana" w:cs="Arial"/>
          <w:highlight w:val="cyan"/>
          <w:lang w:val="es-ES" w:eastAsia="es-ES"/>
        </w:rPr>
      </w:pPr>
    </w:p>
    <w:p w14:paraId="2C58F184" w14:textId="77777777" w:rsidR="008E686A" w:rsidRPr="003E61A0" w:rsidRDefault="008E686A" w:rsidP="003E61A0">
      <w:pPr>
        <w:spacing w:after="0" w:line="276" w:lineRule="auto"/>
        <w:jc w:val="both"/>
        <w:rPr>
          <w:rFonts w:ascii="Verdana" w:eastAsia="Calibri" w:hAnsi="Verdana" w:cs="Arial"/>
          <w:lang w:val="es-ES" w:eastAsia="es-ES"/>
        </w:rPr>
      </w:pPr>
      <w:r w:rsidRPr="003E61A0">
        <w:rPr>
          <w:rFonts w:ascii="Verdana" w:eastAsia="Calibri" w:hAnsi="Verdana" w:cs="Arial"/>
          <w:lang w:val="es-ES" w:eastAsia="es-ES"/>
        </w:rPr>
        <w:t>En ejercicio de la competencia otorgada por los artículos 3, numeral 5º, y 11, numeral 8º, del Decreto Ley 4170 de 2011,</w:t>
      </w:r>
      <w:r w:rsidRPr="003E61A0">
        <w:rPr>
          <w:rFonts w:ascii="Verdana" w:eastAsia="Arial MT" w:hAnsi="Verdana" w:cs="Arial MT"/>
          <w:lang w:val="es-ES" w:eastAsia="es-ES"/>
        </w:rPr>
        <w:t xml:space="preserve"> </w:t>
      </w:r>
      <w:r w:rsidRPr="003E61A0">
        <w:rPr>
          <w:rFonts w:ascii="Verdana" w:hAnsi="Verdana" w:cs="Arial"/>
        </w:rPr>
        <w:t xml:space="preserve">así como lo establecido en el artículo 4 de la Resolución 1707 de 2018 expedida por esta Entidad, </w:t>
      </w:r>
      <w:r w:rsidRPr="003E61A0">
        <w:rPr>
          <w:rFonts w:ascii="Verdana" w:eastAsia="Calibri" w:hAnsi="Verdana" w:cs="Arial"/>
          <w:lang w:val="es-ES" w:eastAsia="es-ES"/>
        </w:rPr>
        <w:t xml:space="preserve">la Agencia Nacional de Contratación Pública – Colombia Compra Eficiente– responde su solicitud de consulta de fecha 18 de diciembre del 2024, en la cual manifiesta lo siguiente: </w:t>
      </w:r>
    </w:p>
    <w:p w14:paraId="6B3616E3" w14:textId="77777777" w:rsidR="008E686A" w:rsidRPr="003E61A0" w:rsidRDefault="008E686A" w:rsidP="00CF29A9">
      <w:pPr>
        <w:spacing w:after="0" w:line="276" w:lineRule="auto"/>
        <w:jc w:val="both"/>
        <w:rPr>
          <w:rFonts w:ascii="Verdana" w:hAnsi="Verdana"/>
          <w:highlight w:val="cyan"/>
          <w:lang w:val="es-ES"/>
        </w:rPr>
      </w:pPr>
    </w:p>
    <w:p w14:paraId="1518FCAD" w14:textId="77777777" w:rsidR="008E686A" w:rsidRDefault="008E686A" w:rsidP="008E686A">
      <w:pPr>
        <w:spacing w:after="0" w:line="240" w:lineRule="auto"/>
        <w:ind w:left="709" w:right="709"/>
        <w:jc w:val="both"/>
        <w:rPr>
          <w:rFonts w:ascii="Verdana" w:eastAsia="Century Gothic" w:hAnsi="Verdana" w:cs="Century Gothic"/>
          <w:sz w:val="20"/>
          <w:szCs w:val="20"/>
          <w:lang w:val="es-ES"/>
        </w:rPr>
      </w:pPr>
      <w:r w:rsidRPr="00C02F37">
        <w:rPr>
          <w:rFonts w:ascii="Verdana" w:eastAsia="Century Gothic" w:hAnsi="Verdana" w:cs="Century Gothic"/>
          <w:sz w:val="20"/>
          <w:szCs w:val="20"/>
          <w:lang w:val="es-ES"/>
        </w:rPr>
        <w:t xml:space="preserve">“[…] </w:t>
      </w:r>
      <w:r w:rsidRPr="002C1E4C">
        <w:rPr>
          <w:rFonts w:ascii="Verdana" w:eastAsia="Century Gothic" w:hAnsi="Verdana" w:cs="Century Gothic"/>
          <w:sz w:val="20"/>
          <w:szCs w:val="20"/>
          <w:lang w:val="es-ES"/>
        </w:rPr>
        <w:t>Solicitamos su concepto sobre si la limitación territorial en procesos de contratación</w:t>
      </w:r>
      <w:r>
        <w:rPr>
          <w:rFonts w:ascii="Verdana" w:eastAsia="Century Gothic" w:hAnsi="Verdana" w:cs="Century Gothic"/>
          <w:sz w:val="20"/>
          <w:szCs w:val="20"/>
          <w:lang w:val="es-ES"/>
        </w:rPr>
        <w:t xml:space="preserve"> </w:t>
      </w:r>
      <w:r w:rsidRPr="002C1E4C">
        <w:rPr>
          <w:rFonts w:ascii="Verdana" w:eastAsia="Century Gothic" w:hAnsi="Verdana" w:cs="Century Gothic"/>
          <w:sz w:val="20"/>
          <w:szCs w:val="20"/>
          <w:lang w:val="es-ES"/>
        </w:rPr>
        <w:t>con pluralidad de oferentes, prevista en el Art. 2.2.1.2.4.2.3 del Decreto 1082 de</w:t>
      </w:r>
      <w:r>
        <w:rPr>
          <w:rFonts w:ascii="Verdana" w:eastAsia="Century Gothic" w:hAnsi="Verdana" w:cs="Century Gothic"/>
          <w:sz w:val="20"/>
          <w:szCs w:val="20"/>
          <w:lang w:val="es-ES"/>
        </w:rPr>
        <w:t xml:space="preserve"> </w:t>
      </w:r>
      <w:r w:rsidRPr="002C1E4C">
        <w:rPr>
          <w:rFonts w:ascii="Verdana" w:eastAsia="Century Gothic" w:hAnsi="Verdana" w:cs="Century Gothic"/>
          <w:sz w:val="20"/>
          <w:szCs w:val="20"/>
          <w:lang w:val="es-ES"/>
        </w:rPr>
        <w:t>2015, requiere recibir al menos dos (2) solicitudes previas de Mipyme, tal como</w:t>
      </w:r>
      <w:r>
        <w:rPr>
          <w:rFonts w:ascii="Verdana" w:eastAsia="Century Gothic" w:hAnsi="Verdana" w:cs="Century Gothic"/>
          <w:sz w:val="20"/>
          <w:szCs w:val="20"/>
          <w:lang w:val="es-ES"/>
        </w:rPr>
        <w:t xml:space="preserve"> </w:t>
      </w:r>
      <w:r w:rsidRPr="002C1E4C">
        <w:rPr>
          <w:rFonts w:ascii="Verdana" w:eastAsia="Century Gothic" w:hAnsi="Verdana" w:cs="Century Gothic"/>
          <w:sz w:val="20"/>
          <w:szCs w:val="20"/>
          <w:lang w:val="es-ES"/>
        </w:rPr>
        <w:t>exige el Art. 2.2.1.2.4.2.2 para convocatorias limitadas a Mipyme. Dado que la</w:t>
      </w:r>
      <w:r>
        <w:rPr>
          <w:rFonts w:ascii="Verdana" w:eastAsia="Century Gothic" w:hAnsi="Verdana" w:cs="Century Gothic"/>
          <w:sz w:val="20"/>
          <w:szCs w:val="20"/>
          <w:lang w:val="es-ES"/>
        </w:rPr>
        <w:t xml:space="preserve"> </w:t>
      </w:r>
      <w:r w:rsidRPr="002C1E4C">
        <w:rPr>
          <w:rFonts w:ascii="Verdana" w:eastAsia="Century Gothic" w:hAnsi="Verdana" w:cs="Century Gothic"/>
          <w:sz w:val="20"/>
          <w:szCs w:val="20"/>
          <w:lang w:val="es-ES"/>
        </w:rPr>
        <w:t>norma sobre limitación territorial no menciona dicho requisito, solicitamos aclaración</w:t>
      </w:r>
      <w:r>
        <w:rPr>
          <w:rFonts w:ascii="Verdana" w:eastAsia="Century Gothic" w:hAnsi="Verdana" w:cs="Century Gothic"/>
          <w:sz w:val="20"/>
          <w:szCs w:val="20"/>
          <w:lang w:val="es-ES"/>
        </w:rPr>
        <w:t xml:space="preserve"> </w:t>
      </w:r>
      <w:r w:rsidRPr="002C1E4C">
        <w:rPr>
          <w:rFonts w:ascii="Verdana" w:eastAsia="Century Gothic" w:hAnsi="Verdana" w:cs="Century Gothic"/>
          <w:sz w:val="20"/>
          <w:szCs w:val="20"/>
          <w:lang w:val="es-ES"/>
        </w:rPr>
        <w:t>sobre si es aplicable o si la Entidad Estatal puede aplicar la restricción sin tales</w:t>
      </w:r>
      <w:r>
        <w:rPr>
          <w:rFonts w:ascii="Verdana" w:eastAsia="Century Gothic" w:hAnsi="Verdana" w:cs="Century Gothic"/>
          <w:sz w:val="20"/>
          <w:szCs w:val="20"/>
          <w:lang w:val="es-ES"/>
        </w:rPr>
        <w:t xml:space="preserve"> </w:t>
      </w:r>
      <w:r w:rsidRPr="002C1E4C">
        <w:rPr>
          <w:rFonts w:ascii="Verdana" w:eastAsia="Century Gothic" w:hAnsi="Verdana" w:cs="Century Gothic"/>
          <w:sz w:val="20"/>
          <w:szCs w:val="20"/>
          <w:lang w:val="es-ES"/>
        </w:rPr>
        <w:t>solicitudes.</w:t>
      </w:r>
    </w:p>
    <w:p w14:paraId="7AA23636" w14:textId="77777777" w:rsidR="008E686A" w:rsidRDefault="008E686A" w:rsidP="008E686A">
      <w:pPr>
        <w:spacing w:after="0" w:line="240" w:lineRule="auto"/>
        <w:ind w:left="709" w:right="709"/>
        <w:jc w:val="both"/>
        <w:rPr>
          <w:rFonts w:ascii="Verdana" w:eastAsia="Century Gothic" w:hAnsi="Verdana" w:cs="Century Gothic"/>
          <w:sz w:val="20"/>
          <w:szCs w:val="20"/>
          <w:lang w:val="es-ES"/>
        </w:rPr>
      </w:pPr>
    </w:p>
    <w:p w14:paraId="3C06ACC1" w14:textId="08426FBB" w:rsidR="008E686A" w:rsidRPr="00787264" w:rsidRDefault="008E686A" w:rsidP="008E686A">
      <w:pPr>
        <w:spacing w:after="0" w:line="240" w:lineRule="auto"/>
        <w:ind w:left="709" w:right="709"/>
        <w:jc w:val="both"/>
        <w:rPr>
          <w:rFonts w:ascii="Verdana" w:eastAsia="Century Gothic" w:hAnsi="Verdana" w:cs="Century Gothic"/>
          <w:sz w:val="20"/>
          <w:szCs w:val="20"/>
          <w:lang w:val="es-ES"/>
        </w:rPr>
      </w:pPr>
      <w:r>
        <w:rPr>
          <w:rFonts w:ascii="Verdana" w:eastAsia="Century Gothic" w:hAnsi="Verdana" w:cs="Century Gothic"/>
          <w:sz w:val="20"/>
          <w:szCs w:val="20"/>
          <w:lang w:val="es-ES"/>
        </w:rPr>
        <w:t xml:space="preserve">(…) </w:t>
      </w:r>
      <w:r w:rsidRPr="00787264">
        <w:rPr>
          <w:rFonts w:ascii="Verdana" w:eastAsia="Century Gothic" w:hAnsi="Verdana" w:cs="Century Gothic"/>
          <w:sz w:val="20"/>
          <w:szCs w:val="20"/>
          <w:lang w:val="es-ES"/>
        </w:rPr>
        <w:t>En particular, deseamos conocer si, para que una Entidad Estatal pueda limitar la convocatoria a Mipyme domiciliadas en el municipio o departamento donde se ejecutará el contrato, es requisito recibir por lo menos dos (2) solicitudes por parte de Mipyme colombianas, tal como lo establece el Artículo 2.2.1.2.4.2.2 del mismo Decreto en relación con la limitación de convocatoria exclusiva para Mipyme.</w:t>
      </w:r>
      <w:r>
        <w:rPr>
          <w:rFonts w:ascii="Verdana" w:eastAsia="Century Gothic" w:hAnsi="Verdana" w:cs="Century Gothic"/>
          <w:sz w:val="20"/>
          <w:szCs w:val="20"/>
          <w:lang w:val="es-ES"/>
        </w:rPr>
        <w:t xml:space="preserve"> </w:t>
      </w:r>
      <w:r w:rsidRPr="00787264">
        <w:rPr>
          <w:rFonts w:ascii="Verdana" w:eastAsia="Century Gothic" w:hAnsi="Verdana" w:cs="Century Gothic"/>
          <w:sz w:val="20"/>
          <w:szCs w:val="20"/>
          <w:lang w:val="es-ES"/>
        </w:rPr>
        <w:t xml:space="preserve">Dado que el Artículo 2.2.1.2.4.2.3 permite realizar convocatorias limitadas a Mipyme </w:t>
      </w:r>
      <w:r w:rsidRPr="00787264">
        <w:rPr>
          <w:rFonts w:ascii="Verdana" w:eastAsia="Century Gothic" w:hAnsi="Verdana" w:cs="Century Gothic"/>
          <w:sz w:val="20"/>
          <w:szCs w:val="20"/>
          <w:lang w:val="es-ES"/>
        </w:rPr>
        <w:lastRenderedPageBreak/>
        <w:t>domiciliadas en el territorio donde se ejecuta el contrato, pero no menciona expresamente la necesidad de solicitudes previas para aplicar esta restricción, solicitamos su orientación sobre si dicha limitación territorial requiere también la recepción de al menos dos (2) solicitudes previas, o si la Entidad Estatal puede aplicar directamente esta restricción sin necesidad de tales solicitudes.</w:t>
      </w:r>
      <w:r>
        <w:rPr>
          <w:rFonts w:ascii="Verdana" w:eastAsia="Century Gothic" w:hAnsi="Verdana" w:cs="Century Gothic"/>
          <w:sz w:val="20"/>
          <w:szCs w:val="20"/>
          <w:lang w:val="es-ES"/>
        </w:rPr>
        <w:t xml:space="preserve"> (…)</w:t>
      </w:r>
      <w:r w:rsidR="003E61A0">
        <w:rPr>
          <w:rFonts w:ascii="Verdana" w:eastAsia="Century Gothic" w:hAnsi="Verdana" w:cs="Century Gothic"/>
          <w:sz w:val="20"/>
          <w:szCs w:val="20"/>
          <w:lang w:val="es-ES"/>
        </w:rPr>
        <w:t>”.</w:t>
      </w:r>
    </w:p>
    <w:p w14:paraId="0DC10BBB" w14:textId="77777777" w:rsidR="008E686A" w:rsidRPr="00C02F37" w:rsidRDefault="008E686A" w:rsidP="00CF29A9">
      <w:pPr>
        <w:spacing w:after="0" w:line="276" w:lineRule="auto"/>
        <w:jc w:val="both"/>
        <w:rPr>
          <w:rStyle w:val="Hipervnculo"/>
          <w:rFonts w:ascii="Verdana" w:hAnsi="Verdana"/>
          <w:lang w:val="es-ES"/>
        </w:rPr>
      </w:pPr>
    </w:p>
    <w:p w14:paraId="41EBC3F3" w14:textId="77777777" w:rsidR="008E686A" w:rsidRPr="00C02F37" w:rsidRDefault="008E686A" w:rsidP="008E686A">
      <w:pPr>
        <w:spacing w:after="120" w:line="276" w:lineRule="auto"/>
        <w:ind w:firstLine="709"/>
        <w:jc w:val="both"/>
        <w:rPr>
          <w:rFonts w:ascii="Verdana" w:eastAsia="Calibri" w:hAnsi="Verdana" w:cs="Arial"/>
          <w:color w:val="000000"/>
          <w:lang w:val="es-ES_tradnl" w:eastAsia="es-ES_tradnl"/>
        </w:rPr>
      </w:pPr>
      <w:r w:rsidRPr="00C02F37">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0CC911E7" w14:textId="0F7A8B08" w:rsidR="008E686A" w:rsidRPr="00C02F37" w:rsidRDefault="008E686A" w:rsidP="008E686A">
      <w:pPr>
        <w:spacing w:after="0" w:line="276" w:lineRule="auto"/>
        <w:ind w:firstLine="709"/>
        <w:jc w:val="both"/>
        <w:rPr>
          <w:rFonts w:ascii="Verdana" w:eastAsia="Calibri" w:hAnsi="Verdana" w:cs="Arial"/>
          <w:color w:val="000000"/>
          <w:lang w:val="es-ES" w:eastAsia="es-ES"/>
        </w:rPr>
      </w:pPr>
      <w:r w:rsidRPr="00C02F37">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unas consideraciones sobre las normas generales relacionadas con el problema jurídico de su consulta.  </w:t>
      </w:r>
    </w:p>
    <w:p w14:paraId="18C08F7B" w14:textId="77777777" w:rsidR="008E686A" w:rsidRPr="00C02F37" w:rsidRDefault="008E686A" w:rsidP="00CF29A9">
      <w:pPr>
        <w:spacing w:after="0" w:line="276" w:lineRule="auto"/>
        <w:jc w:val="both"/>
        <w:rPr>
          <w:rFonts w:ascii="Verdana" w:hAnsi="Verdana"/>
          <w:lang w:val="es-ES"/>
        </w:rPr>
      </w:pPr>
    </w:p>
    <w:p w14:paraId="2E4D1CE1" w14:textId="77777777" w:rsidR="008E686A" w:rsidRPr="00C02F37" w:rsidRDefault="008E686A" w:rsidP="00CF29A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02F37">
        <w:rPr>
          <w:rFonts w:ascii="Verdana" w:eastAsia="Century Gothic" w:hAnsi="Verdana" w:cs="Century Gothic"/>
          <w:b/>
          <w:bCs/>
        </w:rPr>
        <w:t>Problema planteado:</w:t>
      </w:r>
    </w:p>
    <w:p w14:paraId="5F59AA3F" w14:textId="77777777" w:rsidR="008E686A" w:rsidRPr="00C02F37" w:rsidRDefault="008E686A" w:rsidP="00CF29A9">
      <w:pPr>
        <w:spacing w:after="0" w:line="276" w:lineRule="auto"/>
        <w:jc w:val="both"/>
        <w:rPr>
          <w:rStyle w:val="Hipervnculo"/>
          <w:rFonts w:ascii="Verdana" w:hAnsi="Verdana"/>
          <w:highlight w:val="cyan"/>
          <w:lang w:val="es-ES"/>
        </w:rPr>
      </w:pPr>
    </w:p>
    <w:p w14:paraId="0DE509CF" w14:textId="6B346C59" w:rsidR="008E686A" w:rsidRPr="00C02F37" w:rsidRDefault="008E686A" w:rsidP="005A4E09">
      <w:pPr>
        <w:spacing w:after="0" w:line="276" w:lineRule="auto"/>
        <w:jc w:val="both"/>
        <w:rPr>
          <w:rFonts w:ascii="Verdana" w:eastAsia="Calibri" w:hAnsi="Verdana" w:cs="Arial"/>
          <w:lang w:val="es-ES" w:bidi="es-ES"/>
        </w:rPr>
      </w:pPr>
      <w:r w:rsidRPr="00C02F37">
        <w:rPr>
          <w:rFonts w:ascii="Verdana" w:eastAsia="Century Gothic" w:hAnsi="Verdana" w:cs="Arial"/>
        </w:rPr>
        <w:t xml:space="preserve">De acuerdo con el contenido de su solicitud, esta Agencia resolverá el siguiente problema jurídico: </w:t>
      </w:r>
      <w:r w:rsidRPr="00C02F37">
        <w:rPr>
          <w:rFonts w:ascii="Verdana" w:hAnsi="Verdana"/>
        </w:rPr>
        <w:t>¿</w:t>
      </w:r>
      <w:r w:rsidR="000E66F2">
        <w:rPr>
          <w:rFonts w:ascii="Verdana" w:hAnsi="Verdana"/>
        </w:rPr>
        <w:t>P</w:t>
      </w:r>
      <w:r w:rsidRPr="00C02F37">
        <w:rPr>
          <w:rFonts w:ascii="Verdana" w:hAnsi="Verdana"/>
        </w:rPr>
        <w:t>uede una Entidad Estatal limitar una convocatoria MiPymes a nivel territorial</w:t>
      </w:r>
      <w:r w:rsidR="000E66F2">
        <w:rPr>
          <w:rFonts w:ascii="Verdana" w:hAnsi="Verdana"/>
        </w:rPr>
        <w:t xml:space="preserve"> </w:t>
      </w:r>
      <w:r w:rsidR="009A0BD0">
        <w:rPr>
          <w:rFonts w:ascii="Verdana" w:hAnsi="Verdana"/>
        </w:rPr>
        <w:t>aun cuando no se haya solicitado la limitación por al menos dos (2) MiPymes</w:t>
      </w:r>
      <w:r w:rsidRPr="00C02F37">
        <w:rPr>
          <w:rFonts w:ascii="Verdana" w:hAnsi="Verdana"/>
        </w:rPr>
        <w:t>?</w:t>
      </w:r>
    </w:p>
    <w:p w14:paraId="26B5F24A" w14:textId="77777777" w:rsidR="008E686A" w:rsidRPr="00C02F37" w:rsidRDefault="008E686A" w:rsidP="00CF29A9">
      <w:pPr>
        <w:spacing w:after="0" w:line="276" w:lineRule="auto"/>
        <w:jc w:val="both"/>
        <w:rPr>
          <w:rStyle w:val="Hipervnculo"/>
          <w:rFonts w:ascii="Verdana" w:hAnsi="Verdana"/>
        </w:rPr>
      </w:pPr>
    </w:p>
    <w:p w14:paraId="2D1CBB2E" w14:textId="77777777" w:rsidR="008E686A" w:rsidRPr="00C02F37" w:rsidRDefault="008E686A" w:rsidP="00CF29A9">
      <w:pPr>
        <w:pStyle w:val="Prrafodelista"/>
        <w:widowControl w:val="0"/>
        <w:numPr>
          <w:ilvl w:val="0"/>
          <w:numId w:val="16"/>
        </w:numPr>
        <w:autoSpaceDE w:val="0"/>
        <w:autoSpaceDN w:val="0"/>
        <w:spacing w:after="0" w:line="276" w:lineRule="auto"/>
        <w:ind w:left="360"/>
        <w:contextualSpacing w:val="0"/>
        <w:jc w:val="both"/>
        <w:outlineLvl w:val="0"/>
        <w:rPr>
          <w:rFonts w:ascii="Verdana" w:eastAsia="Arial" w:hAnsi="Verdana" w:cs="Arial"/>
          <w:b/>
          <w:bCs/>
        </w:rPr>
      </w:pPr>
      <w:r w:rsidRPr="00C02F37">
        <w:rPr>
          <w:rFonts w:ascii="Verdana" w:eastAsia="Arial" w:hAnsi="Verdana" w:cs="Arial"/>
          <w:b/>
          <w:bCs/>
        </w:rPr>
        <w:t>Respuesta:</w:t>
      </w:r>
    </w:p>
    <w:p w14:paraId="42459353" w14:textId="77777777" w:rsidR="008E686A" w:rsidRPr="00C02F37" w:rsidRDefault="008E686A" w:rsidP="00CF29A9">
      <w:pPr>
        <w:spacing w:after="0" w:line="276" w:lineRule="auto"/>
        <w:rPr>
          <w:rFonts w:ascii="Verdana" w:eastAsia="Aptos"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E686A" w:rsidRPr="00C02F37" w14:paraId="4B8221F3" w14:textId="77777777" w:rsidTr="009376EB">
        <w:tc>
          <w:tcPr>
            <w:tcW w:w="8828" w:type="dxa"/>
            <w:shd w:val="clear" w:color="auto" w:fill="auto"/>
          </w:tcPr>
          <w:p w14:paraId="0231B92A" w14:textId="77777777" w:rsidR="008E686A" w:rsidRPr="00C02F37" w:rsidRDefault="008E686A" w:rsidP="00FE58F0">
            <w:pPr>
              <w:spacing w:after="120" w:line="276" w:lineRule="auto"/>
              <w:jc w:val="both"/>
              <w:rPr>
                <w:rFonts w:ascii="Verdana" w:eastAsia="Calibri" w:hAnsi="Verdana" w:cs="Arial"/>
                <w:lang w:val="es-ES"/>
              </w:rPr>
            </w:pPr>
            <w:bookmarkStart w:id="1" w:name="_Hlk171067516"/>
            <w:r w:rsidRPr="00C02F37">
              <w:rPr>
                <w:rFonts w:ascii="Verdana" w:eastAsia="Calibri" w:hAnsi="Verdana" w:cs="Arial"/>
                <w:lang w:val="es-ES"/>
              </w:rPr>
              <w:t>En respuesta al problema planteado esta Subdirección manifiesta:</w:t>
            </w:r>
          </w:p>
          <w:p w14:paraId="489923D9" w14:textId="77777777" w:rsidR="008E686A" w:rsidRPr="00FE0E3F" w:rsidRDefault="008E686A" w:rsidP="00FE58F0">
            <w:pPr>
              <w:spacing w:after="120" w:line="276" w:lineRule="auto"/>
              <w:jc w:val="both"/>
              <w:rPr>
                <w:rFonts w:ascii="Verdana" w:hAnsi="Verdana" w:cs="Arial"/>
                <w:color w:val="000000" w:themeColor="text1"/>
              </w:rPr>
            </w:pPr>
            <w:r w:rsidRPr="00FE0E3F">
              <w:rPr>
                <w:rFonts w:ascii="Verdana" w:hAnsi="Verdana" w:cs="Arial"/>
                <w:color w:val="000000" w:themeColor="text1"/>
              </w:rPr>
              <w:t xml:space="preserve">No </w:t>
            </w:r>
            <w:r>
              <w:rPr>
                <w:rFonts w:ascii="Verdana" w:hAnsi="Verdana" w:cs="Arial"/>
                <w:color w:val="000000" w:themeColor="text1"/>
              </w:rPr>
              <w:t xml:space="preserve">se </w:t>
            </w:r>
            <w:r w:rsidRPr="00FE0E3F">
              <w:rPr>
                <w:rFonts w:ascii="Verdana" w:hAnsi="Verdana" w:cs="Arial"/>
                <w:color w:val="000000" w:themeColor="text1"/>
              </w:rPr>
              <w:t xml:space="preserve">puede aplicar la limitación a </w:t>
            </w:r>
            <w:r>
              <w:rPr>
                <w:rFonts w:ascii="Verdana" w:hAnsi="Verdana" w:cs="Arial"/>
                <w:color w:val="000000" w:themeColor="text1"/>
              </w:rPr>
              <w:t>M</w:t>
            </w:r>
            <w:r w:rsidRPr="00FE0E3F">
              <w:rPr>
                <w:rFonts w:ascii="Verdana" w:hAnsi="Verdana" w:cs="Arial"/>
                <w:color w:val="000000" w:themeColor="text1"/>
              </w:rPr>
              <w:t>i</w:t>
            </w:r>
            <w:r>
              <w:rPr>
                <w:rFonts w:ascii="Verdana" w:hAnsi="Verdana" w:cs="Arial"/>
                <w:color w:val="000000" w:themeColor="text1"/>
              </w:rPr>
              <w:t>p</w:t>
            </w:r>
            <w:r w:rsidRPr="00FE0E3F">
              <w:rPr>
                <w:rFonts w:ascii="Verdana" w:hAnsi="Verdana" w:cs="Arial"/>
                <w:color w:val="000000" w:themeColor="text1"/>
              </w:rPr>
              <w:t xml:space="preserve">ymes </w:t>
            </w:r>
            <w:r>
              <w:rPr>
                <w:rFonts w:ascii="Verdana" w:hAnsi="Verdana" w:cs="Arial"/>
                <w:color w:val="000000" w:themeColor="text1"/>
              </w:rPr>
              <w:t xml:space="preserve">a nivel territorial </w:t>
            </w:r>
            <w:r w:rsidRPr="00FE0E3F">
              <w:rPr>
                <w:rFonts w:ascii="Verdana" w:hAnsi="Verdana" w:cs="Arial"/>
                <w:color w:val="000000" w:themeColor="text1"/>
              </w:rPr>
              <w:t>sin el cumplimiento de las condiciones del artículo 2.2.1.2.4.2.2 del Decreto 1082 de 2015.</w:t>
            </w:r>
          </w:p>
          <w:p w14:paraId="64445DAA" w14:textId="37E9C93E" w:rsidR="008E686A" w:rsidRDefault="008E686A" w:rsidP="00CF29A9">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lastRenderedPageBreak/>
              <w:t>L</w:t>
            </w:r>
            <w:r w:rsidRPr="00FF3344">
              <w:rPr>
                <w:rFonts w:ascii="Verdana" w:eastAsia="Calibri" w:hAnsi="Verdana" w:cs="Arial"/>
                <w:color w:val="000000" w:themeColor="text1"/>
              </w:rPr>
              <w:t>a decisión de limitar “a Mipyme colombianas que</w:t>
            </w:r>
            <w:r>
              <w:rPr>
                <w:rFonts w:ascii="Verdana" w:eastAsia="Calibri" w:hAnsi="Verdana" w:cs="Arial"/>
                <w:color w:val="000000" w:themeColor="text1"/>
              </w:rPr>
              <w:t xml:space="preserve"> </w:t>
            </w:r>
            <w:r w:rsidRPr="00FF3344">
              <w:rPr>
                <w:rFonts w:ascii="Verdana" w:eastAsia="Calibri" w:hAnsi="Verdana" w:cs="Arial"/>
                <w:color w:val="000000" w:themeColor="text1"/>
              </w:rPr>
              <w:t>tengan domicilio en los departamentos o municipios en donde se va a ejecutar el contrato”,</w:t>
            </w:r>
            <w:r>
              <w:rPr>
                <w:rFonts w:ascii="Verdana" w:eastAsia="Calibri" w:hAnsi="Verdana" w:cs="Arial"/>
                <w:color w:val="000000" w:themeColor="text1"/>
              </w:rPr>
              <w:t xml:space="preserve"> </w:t>
            </w:r>
            <w:r w:rsidRPr="00FF3344">
              <w:rPr>
                <w:rFonts w:ascii="Verdana" w:eastAsia="Calibri" w:hAnsi="Verdana" w:cs="Arial"/>
                <w:color w:val="000000" w:themeColor="text1"/>
              </w:rPr>
              <w:t>aunque es facultativa de la entidad, está supeditada a que se verifiquen los requisitos</w:t>
            </w:r>
            <w:r w:rsidR="00FE58F0">
              <w:rPr>
                <w:rFonts w:ascii="Verdana" w:eastAsia="Calibri" w:hAnsi="Verdana" w:cs="Arial"/>
                <w:color w:val="000000" w:themeColor="text1"/>
              </w:rPr>
              <w:t xml:space="preserve"> </w:t>
            </w:r>
            <w:r w:rsidRPr="00FF3344">
              <w:rPr>
                <w:rFonts w:ascii="Verdana" w:eastAsia="Calibri" w:hAnsi="Verdana" w:cs="Arial"/>
                <w:color w:val="000000" w:themeColor="text1"/>
              </w:rPr>
              <w:t>establecidos en los numerales 1 y 2 del precitado artículo 2.2.1.2.4.2.2 del Decreto 1082 de</w:t>
            </w:r>
            <w:r>
              <w:rPr>
                <w:rFonts w:ascii="Verdana" w:eastAsia="Calibri" w:hAnsi="Verdana" w:cs="Arial"/>
                <w:color w:val="000000" w:themeColor="text1"/>
              </w:rPr>
              <w:t xml:space="preserve"> </w:t>
            </w:r>
            <w:r w:rsidRPr="00FF3344">
              <w:rPr>
                <w:rFonts w:ascii="Verdana" w:eastAsia="Calibri" w:hAnsi="Verdana" w:cs="Arial"/>
                <w:color w:val="000000" w:themeColor="text1"/>
              </w:rPr>
              <w:t>2015, modificado por el Decreto 1860 de 2021. En ese sentido, si la entidad no recibió las</w:t>
            </w:r>
            <w:r>
              <w:rPr>
                <w:rFonts w:ascii="Verdana" w:eastAsia="Calibri" w:hAnsi="Verdana" w:cs="Arial"/>
                <w:color w:val="000000" w:themeColor="text1"/>
              </w:rPr>
              <w:t xml:space="preserve"> </w:t>
            </w:r>
            <w:r w:rsidRPr="00FF3344">
              <w:rPr>
                <w:rFonts w:ascii="Verdana" w:eastAsia="Calibri" w:hAnsi="Verdana" w:cs="Arial"/>
                <w:color w:val="000000" w:themeColor="text1"/>
              </w:rPr>
              <w:t>solicitudes para limitar la convocatoria a Mipyme, no puede motu proprio proceder con la</w:t>
            </w:r>
            <w:r>
              <w:rPr>
                <w:rFonts w:ascii="Verdana" w:eastAsia="Calibri" w:hAnsi="Verdana" w:cs="Arial"/>
                <w:color w:val="000000" w:themeColor="text1"/>
              </w:rPr>
              <w:t xml:space="preserve"> </w:t>
            </w:r>
            <w:r w:rsidRPr="00FF3344">
              <w:rPr>
                <w:rFonts w:ascii="Verdana" w:eastAsia="Calibri" w:hAnsi="Verdana" w:cs="Arial"/>
                <w:color w:val="000000" w:themeColor="text1"/>
              </w:rPr>
              <w:t>“limitación territorial” de que trata el artículo 2.2.1.2.4.2.3 del Decreto 1082 de 2015. Esto</w:t>
            </w:r>
            <w:r>
              <w:rPr>
                <w:rFonts w:ascii="Verdana" w:eastAsia="Calibri" w:hAnsi="Verdana" w:cs="Arial"/>
                <w:color w:val="000000" w:themeColor="text1"/>
              </w:rPr>
              <w:t xml:space="preserve"> </w:t>
            </w:r>
            <w:r w:rsidRPr="00FF3344">
              <w:rPr>
                <w:rFonts w:ascii="Verdana" w:eastAsia="Calibri" w:hAnsi="Verdana" w:cs="Arial"/>
                <w:color w:val="000000" w:themeColor="text1"/>
              </w:rPr>
              <w:t>debido a que el ejercicio de esta facultad solo puede darse ante la “limitación a Mipymes</w:t>
            </w:r>
            <w:r>
              <w:rPr>
                <w:rFonts w:ascii="Verdana" w:eastAsia="Calibri" w:hAnsi="Verdana" w:cs="Arial"/>
                <w:color w:val="000000" w:themeColor="text1"/>
              </w:rPr>
              <w:t xml:space="preserve"> </w:t>
            </w:r>
            <w:r w:rsidRPr="00FF3344">
              <w:rPr>
                <w:rFonts w:ascii="Verdana" w:eastAsia="Calibri" w:hAnsi="Verdana" w:cs="Arial"/>
                <w:color w:val="000000" w:themeColor="text1"/>
              </w:rPr>
              <w:t>colombianas”, lo cual supone verificar los supuestos legales establecidos en los</w:t>
            </w:r>
            <w:r>
              <w:rPr>
                <w:rFonts w:ascii="Verdana" w:eastAsia="Calibri" w:hAnsi="Verdana" w:cs="Arial"/>
                <w:color w:val="000000" w:themeColor="text1"/>
              </w:rPr>
              <w:t xml:space="preserve"> </w:t>
            </w:r>
            <w:r w:rsidRPr="00FF3344">
              <w:rPr>
                <w:rFonts w:ascii="Verdana" w:eastAsia="Calibri" w:hAnsi="Verdana" w:cs="Arial"/>
                <w:color w:val="000000" w:themeColor="text1"/>
              </w:rPr>
              <w:t>mencionados numerales.</w:t>
            </w:r>
          </w:p>
          <w:p w14:paraId="075B1004" w14:textId="4F8F07EC" w:rsidR="008E686A" w:rsidRPr="00C02F37" w:rsidRDefault="008E686A" w:rsidP="00CF29A9">
            <w:pPr>
              <w:spacing w:line="276" w:lineRule="auto"/>
              <w:ind w:firstLine="709"/>
              <w:jc w:val="both"/>
              <w:rPr>
                <w:rFonts w:ascii="Verdana" w:hAnsi="Verdana"/>
              </w:rPr>
            </w:pPr>
            <w:r w:rsidRPr="00FF3344">
              <w:rPr>
                <w:rFonts w:ascii="Verdana" w:eastAsia="Calibri" w:hAnsi="Verdana" w:cs="Arial"/>
                <w:color w:val="000000" w:themeColor="text1"/>
              </w:rPr>
              <w:t>Cumplidos los dos requisitos del artículo 2.2.1.2.4.2.2 ibídem, la entidad estatal,</w:t>
            </w:r>
            <w:r>
              <w:rPr>
                <w:rFonts w:ascii="Verdana" w:eastAsia="Calibri" w:hAnsi="Verdana" w:cs="Arial"/>
                <w:color w:val="000000" w:themeColor="text1"/>
              </w:rPr>
              <w:t xml:space="preserve"> </w:t>
            </w:r>
            <w:r w:rsidRPr="00FF3344">
              <w:rPr>
                <w:rFonts w:ascii="Verdana" w:eastAsia="Calibri" w:hAnsi="Verdana" w:cs="Arial"/>
                <w:color w:val="000000" w:themeColor="text1"/>
              </w:rPr>
              <w:t>independientemente de su régimen de contratación, los patrimonios autónomos</w:t>
            </w:r>
            <w:r>
              <w:rPr>
                <w:rFonts w:ascii="Verdana" w:eastAsia="Calibri" w:hAnsi="Verdana" w:cs="Arial"/>
                <w:color w:val="000000" w:themeColor="text1"/>
              </w:rPr>
              <w:t xml:space="preserve"> </w:t>
            </w:r>
            <w:r w:rsidRPr="00FF3344">
              <w:rPr>
                <w:rFonts w:ascii="Verdana" w:eastAsia="Calibri" w:hAnsi="Verdana" w:cs="Arial"/>
                <w:color w:val="000000" w:themeColor="text1"/>
              </w:rPr>
              <w:t>constituidos por entidades estatales y los particulares que ejecuten recursos públicos,</w:t>
            </w:r>
            <w:r>
              <w:rPr>
                <w:rFonts w:ascii="Verdana" w:eastAsia="Calibri" w:hAnsi="Verdana" w:cs="Arial"/>
                <w:color w:val="000000" w:themeColor="text1"/>
              </w:rPr>
              <w:t xml:space="preserve"> </w:t>
            </w:r>
            <w:r w:rsidRPr="00FF3344">
              <w:rPr>
                <w:rFonts w:ascii="Verdana" w:eastAsia="Calibri" w:hAnsi="Verdana" w:cs="Arial"/>
                <w:color w:val="000000" w:themeColor="text1"/>
              </w:rPr>
              <w:t>pueden ─sin estar obligadas─ decidir si limitan la convocatoria a las Mipyme colombianas</w:t>
            </w:r>
            <w:r>
              <w:rPr>
                <w:rFonts w:ascii="Verdana" w:eastAsia="Calibri" w:hAnsi="Verdana" w:cs="Arial"/>
                <w:color w:val="000000" w:themeColor="text1"/>
              </w:rPr>
              <w:t xml:space="preserve"> </w:t>
            </w:r>
            <w:r w:rsidRPr="00FF3344">
              <w:rPr>
                <w:rFonts w:ascii="Verdana" w:eastAsia="Calibri" w:hAnsi="Verdana" w:cs="Arial"/>
                <w:color w:val="000000" w:themeColor="text1"/>
              </w:rPr>
              <w:t>domiciliadas en el municipio o departamento en el que se ejecutará el contrato. Esto de</w:t>
            </w:r>
            <w:r>
              <w:rPr>
                <w:rFonts w:ascii="Verdana" w:eastAsia="Calibri" w:hAnsi="Verdana" w:cs="Arial"/>
                <w:color w:val="000000" w:themeColor="text1"/>
              </w:rPr>
              <w:t xml:space="preserve"> </w:t>
            </w:r>
            <w:r w:rsidRPr="00FF3344">
              <w:rPr>
                <w:rFonts w:ascii="Verdana" w:eastAsia="Calibri" w:hAnsi="Verdana" w:cs="Arial"/>
                <w:color w:val="000000" w:themeColor="text1"/>
              </w:rPr>
              <w:t>acuerdo con el artículo 2.2.1.2.4.2.3 del Decreto 1082 de 2015 modificado por el Decreto</w:t>
            </w:r>
            <w:r>
              <w:rPr>
                <w:rFonts w:ascii="Verdana" w:eastAsia="Calibri" w:hAnsi="Verdana" w:cs="Arial"/>
                <w:color w:val="000000" w:themeColor="text1"/>
              </w:rPr>
              <w:t xml:space="preserve"> </w:t>
            </w:r>
            <w:r w:rsidRPr="00FF3344">
              <w:rPr>
                <w:rFonts w:ascii="Verdana" w:eastAsia="Calibri" w:hAnsi="Verdana" w:cs="Arial"/>
                <w:color w:val="000000" w:themeColor="text1"/>
              </w:rPr>
              <w:t>1860 de 2021, norma que se refiere a la facultad de la administración con el verbo infinitivo</w:t>
            </w:r>
            <w:r>
              <w:rPr>
                <w:rFonts w:ascii="Verdana" w:eastAsia="Calibri" w:hAnsi="Verdana" w:cs="Arial"/>
                <w:color w:val="000000" w:themeColor="text1"/>
              </w:rPr>
              <w:t xml:space="preserve"> </w:t>
            </w:r>
            <w:r w:rsidRPr="00FF3344">
              <w:rPr>
                <w:rFonts w:ascii="Verdana" w:eastAsia="Calibri" w:hAnsi="Verdana" w:cs="Arial"/>
                <w:color w:val="000000" w:themeColor="text1"/>
              </w:rPr>
              <w:t>“poder”, no “deber”</w:t>
            </w:r>
            <w:r>
              <w:rPr>
                <w:rFonts w:ascii="Verdana" w:eastAsia="Calibri" w:hAnsi="Verdana" w:cs="Arial"/>
                <w:color w:val="000000" w:themeColor="text1"/>
              </w:rPr>
              <w:t>.</w:t>
            </w:r>
          </w:p>
        </w:tc>
      </w:tr>
      <w:bookmarkEnd w:id="1"/>
    </w:tbl>
    <w:p w14:paraId="5A5D3F77" w14:textId="77777777" w:rsidR="008E686A" w:rsidRPr="00C02F37" w:rsidRDefault="008E686A" w:rsidP="008E686A">
      <w:pPr>
        <w:widowControl w:val="0"/>
        <w:autoSpaceDE w:val="0"/>
        <w:autoSpaceDN w:val="0"/>
        <w:spacing w:before="1" w:after="0" w:line="240" w:lineRule="auto"/>
        <w:ind w:left="360" w:hanging="360"/>
        <w:outlineLvl w:val="0"/>
        <w:rPr>
          <w:rFonts w:ascii="Verdana" w:eastAsia="Arial" w:hAnsi="Verdana" w:cs="Arial"/>
          <w:b/>
          <w:bCs/>
          <w:lang w:val="es-ES"/>
        </w:rPr>
      </w:pPr>
    </w:p>
    <w:p w14:paraId="4658B06A" w14:textId="77777777" w:rsidR="008E686A" w:rsidRPr="00C02F37" w:rsidRDefault="008E686A" w:rsidP="008E686A">
      <w:pPr>
        <w:widowControl w:val="0"/>
        <w:autoSpaceDE w:val="0"/>
        <w:autoSpaceDN w:val="0"/>
        <w:spacing w:before="1" w:after="0" w:line="240" w:lineRule="auto"/>
        <w:ind w:left="360" w:hanging="360"/>
        <w:outlineLvl w:val="0"/>
        <w:rPr>
          <w:rFonts w:ascii="Verdana" w:eastAsia="Arial" w:hAnsi="Verdana" w:cs="Arial"/>
          <w:b/>
          <w:bCs/>
          <w:lang w:val="es-ES"/>
        </w:rPr>
      </w:pPr>
      <w:r w:rsidRPr="00C02F37">
        <w:rPr>
          <w:rFonts w:ascii="Verdana" w:eastAsia="Arial" w:hAnsi="Verdana" w:cs="Arial"/>
          <w:b/>
          <w:bCs/>
          <w:lang w:val="es-ES"/>
        </w:rPr>
        <w:t>3. Razones de la respuesta</w:t>
      </w:r>
    </w:p>
    <w:p w14:paraId="5374B9D5" w14:textId="77777777" w:rsidR="008E686A" w:rsidRPr="00C02F37" w:rsidRDefault="008E686A" w:rsidP="008E686A">
      <w:pPr>
        <w:spacing w:after="0" w:line="276" w:lineRule="auto"/>
        <w:jc w:val="both"/>
        <w:rPr>
          <w:rFonts w:ascii="Verdana" w:eastAsia="Calibri" w:hAnsi="Verdana" w:cs="Arial"/>
          <w:lang w:val="es-ES"/>
        </w:rPr>
      </w:pPr>
    </w:p>
    <w:p w14:paraId="400A0CBA" w14:textId="77777777" w:rsidR="008E686A" w:rsidRPr="00C02F37" w:rsidRDefault="008E686A" w:rsidP="008E686A">
      <w:pPr>
        <w:spacing w:after="0" w:line="276" w:lineRule="auto"/>
        <w:jc w:val="both"/>
        <w:rPr>
          <w:rFonts w:ascii="Verdana" w:eastAsia="Calibri" w:hAnsi="Verdana" w:cs="Arial"/>
          <w:lang w:val="es-ES"/>
        </w:rPr>
      </w:pPr>
      <w:r w:rsidRPr="00C02F37">
        <w:rPr>
          <w:rFonts w:ascii="Verdana" w:eastAsia="Calibri" w:hAnsi="Verdana" w:cs="Arial"/>
          <w:lang w:val="es-ES"/>
        </w:rPr>
        <w:t xml:space="preserve">La respuesta anterior se sustenta en las siguientes consideraciones: </w:t>
      </w:r>
    </w:p>
    <w:p w14:paraId="5C970812" w14:textId="77777777" w:rsidR="008E686A" w:rsidRPr="00C02F37" w:rsidRDefault="008E686A" w:rsidP="008E686A">
      <w:pPr>
        <w:spacing w:after="0"/>
        <w:jc w:val="both"/>
        <w:rPr>
          <w:rStyle w:val="Hipervnculo"/>
          <w:rFonts w:ascii="Verdana" w:hAnsi="Verdana"/>
          <w:lang w:val="es-ES"/>
        </w:rPr>
      </w:pPr>
    </w:p>
    <w:p w14:paraId="7B87C133" w14:textId="77777777" w:rsidR="0079305A" w:rsidRPr="00CF29A9" w:rsidRDefault="008E686A" w:rsidP="008E686A">
      <w:pPr>
        <w:pStyle w:val="Prrafodelista"/>
        <w:numPr>
          <w:ilvl w:val="0"/>
          <w:numId w:val="19"/>
        </w:numPr>
        <w:spacing w:after="0"/>
        <w:jc w:val="both"/>
        <w:rPr>
          <w:rFonts w:ascii="Verdana" w:eastAsia="Calibri" w:hAnsi="Verdana" w:cs="Arial"/>
        </w:rPr>
      </w:pPr>
      <w:r w:rsidRPr="00C02F37">
        <w:rPr>
          <w:rFonts w:ascii="Verdana" w:hAnsi="Verdana" w:cs="Arial"/>
          <w:color w:val="000000" w:themeColor="text1"/>
          <w:lang w:val="es-ES_tradnl"/>
        </w:rPr>
        <w:t xml:space="preserve">Respecto a las convocatorias limitadas a MiPymes, debe señalarse que, el 31 de diciembre de 2020 se promulgó la Ley 2069, “Por medio de la cual se impulsa el emprendimiento en Colombia”. En cuanto a su contenido, como dispone el artículo 1, aquella “tiene por objeto establecer un marco regulatorio que propicie el emprendimiento y el crecimiento, consolidación y sostenibilidad de las empresas, con el fin de aumentar el bienestar social y generar equidad”. Lo anterior a partir de “[…] un enfoque regionalizado de acuerdo con las realidades socioeconómicas de cada región”. </w:t>
      </w:r>
    </w:p>
    <w:p w14:paraId="7A1C2E4F" w14:textId="77777777" w:rsidR="0079305A" w:rsidRPr="00CF29A9" w:rsidRDefault="0079305A" w:rsidP="00CF29A9">
      <w:pPr>
        <w:pStyle w:val="Prrafodelista"/>
        <w:spacing w:after="0"/>
        <w:ind w:left="360"/>
        <w:jc w:val="both"/>
        <w:rPr>
          <w:rFonts w:ascii="Verdana" w:eastAsia="Calibri" w:hAnsi="Verdana" w:cs="Arial"/>
        </w:rPr>
      </w:pPr>
    </w:p>
    <w:p w14:paraId="291D85D7" w14:textId="43E9C44A" w:rsidR="008E686A" w:rsidRPr="00C02F37" w:rsidRDefault="008E686A" w:rsidP="008E686A">
      <w:pPr>
        <w:pStyle w:val="Prrafodelista"/>
        <w:numPr>
          <w:ilvl w:val="0"/>
          <w:numId w:val="19"/>
        </w:numPr>
        <w:spacing w:after="0"/>
        <w:jc w:val="both"/>
        <w:rPr>
          <w:rFonts w:ascii="Verdana" w:eastAsia="Calibri" w:hAnsi="Verdana" w:cs="Arial"/>
        </w:rPr>
      </w:pPr>
      <w:r w:rsidRPr="00C02F37">
        <w:rPr>
          <w:rFonts w:ascii="Verdana" w:hAnsi="Verdana" w:cs="Arial"/>
          <w:color w:val="000000" w:themeColor="text1"/>
          <w:lang w:val="es-ES_tradnl"/>
        </w:rPr>
        <w:t xml:space="preserve">En desarrollo de esta finalidad, se establecen medidas de apoyo para las micro, pequeñas y medianas empresas –MiPymes–, mediante la racionalización y simplificación de los trámites y tarifas, así como incentivos a favor de aquellas dentro del sistema de compras y contratación pública. De </w:t>
      </w:r>
      <w:r w:rsidRPr="00C02F37">
        <w:rPr>
          <w:rFonts w:ascii="Verdana" w:hAnsi="Verdana" w:cs="Arial"/>
          <w:color w:val="000000" w:themeColor="text1"/>
          <w:lang w:val="es-ES_tradnl"/>
        </w:rPr>
        <w:lastRenderedPageBreak/>
        <w:t>igual forma, en la citada Ley se consagró mecanismos para fortalecer y promover los distintos sectores de la economía y se prevén para ello medidas de educación para el emprendimiento y la innovación.</w:t>
      </w:r>
    </w:p>
    <w:p w14:paraId="6CA440C6" w14:textId="77777777" w:rsidR="008E686A" w:rsidRPr="00C02F37" w:rsidRDefault="008E686A" w:rsidP="008E686A">
      <w:pPr>
        <w:pStyle w:val="Prrafodelista"/>
        <w:spacing w:after="0"/>
        <w:ind w:left="360"/>
        <w:jc w:val="both"/>
        <w:rPr>
          <w:rFonts w:ascii="Verdana" w:eastAsia="Calibri" w:hAnsi="Verdana" w:cs="Arial"/>
        </w:rPr>
      </w:pPr>
    </w:p>
    <w:p w14:paraId="7455EA8E" w14:textId="77777777" w:rsidR="008E686A" w:rsidRPr="00C02F37" w:rsidRDefault="008E686A" w:rsidP="008E686A">
      <w:pPr>
        <w:pStyle w:val="Prrafodelista"/>
        <w:numPr>
          <w:ilvl w:val="0"/>
          <w:numId w:val="19"/>
        </w:numPr>
        <w:spacing w:after="0"/>
        <w:jc w:val="both"/>
        <w:rPr>
          <w:rFonts w:ascii="Verdana" w:eastAsia="Calibri" w:hAnsi="Verdana" w:cs="Arial"/>
        </w:rPr>
      </w:pPr>
      <w:r w:rsidRPr="00C02F37">
        <w:rPr>
          <w:rFonts w:ascii="Verdana" w:eastAsia="Calibri" w:hAnsi="Verdana" w:cs="Arial"/>
        </w:rPr>
        <w:t>Como se indicó, parte de la Ley 2069 de 2020 contiene normas que modifican algunos aspectos de la contratación estatal para promover el emprendimiento. Concretamente, aquellas se encuentran en el Capítulo III –artículos 30 al 36–. Teniendo en cuenta que la consulta está relacionada con las convocatorias limitadas a MiPymes, a continuación de se estudiará el contenido y alcance del artículo 34.</w:t>
      </w:r>
    </w:p>
    <w:p w14:paraId="1F1448E4" w14:textId="77777777" w:rsidR="008E686A" w:rsidRPr="00C02F37" w:rsidRDefault="008E686A" w:rsidP="008E686A">
      <w:pPr>
        <w:pStyle w:val="Prrafodelista"/>
        <w:rPr>
          <w:rFonts w:ascii="Verdana" w:eastAsia="Calibri" w:hAnsi="Verdana" w:cs="Arial"/>
        </w:rPr>
      </w:pPr>
    </w:p>
    <w:p w14:paraId="683D1DAE" w14:textId="77777777" w:rsidR="008E686A" w:rsidRPr="00C02F37" w:rsidRDefault="008E686A" w:rsidP="008E686A">
      <w:pPr>
        <w:pStyle w:val="Prrafodelista"/>
        <w:numPr>
          <w:ilvl w:val="0"/>
          <w:numId w:val="19"/>
        </w:numPr>
        <w:spacing w:after="0"/>
        <w:jc w:val="both"/>
        <w:rPr>
          <w:rFonts w:ascii="Verdana" w:eastAsia="Calibri" w:hAnsi="Verdana" w:cs="Arial"/>
        </w:rPr>
      </w:pPr>
      <w:r w:rsidRPr="00C02F37">
        <w:rPr>
          <w:rFonts w:ascii="Verdana" w:eastAsia="Calibri" w:hAnsi="Verdana" w:cs="Arial"/>
        </w:rPr>
        <w:t xml:space="preserve">El artículo 34 de la Ley 2069 de 2020 </w:t>
      </w:r>
      <w:r w:rsidRPr="00BD552E">
        <w:rPr>
          <w:rFonts w:ascii="Verdana" w:eastAsia="Calibri" w:hAnsi="Verdana" w:cs="Arial"/>
        </w:rPr>
        <w:t>modificó</w:t>
      </w:r>
      <w:r w:rsidRPr="00C02F37">
        <w:rPr>
          <w:rFonts w:ascii="Verdana" w:eastAsia="Calibri" w:hAnsi="Verdana" w:cs="Arial"/>
        </w:rPr>
        <w:t xml:space="preserve"> el artículo 12 de la Ley 1150 de 2007, el cual regula la promoción del desarrollo en la contratación pública, cambiando </w:t>
      </w:r>
      <w:r w:rsidRPr="00C02F37">
        <w:rPr>
          <w:rFonts w:ascii="Verdana" w:eastAsia="Calibri" w:hAnsi="Verdana" w:cs="Arial"/>
          <w:bdr w:val="none" w:sz="0" w:space="0" w:color="auto" w:frame="1"/>
        </w:rPr>
        <w:t xml:space="preserve">los requisitos esenciales para que procedan las convocatorias limitadas a MiPymes, de la siguiente forma: i) estableció que estas deben desarrollarse independientemente del régimen de contratación de la Entidad Estatal –es decir, también deben efectuarlas las Entidades Estatales exceptuadas del EGCAP o que se rigen por derecho privado–; ii) señaló que los patrimonios autónomos constituidos por Entidades Estatales y los particulares que ejecuten recursos públicos también son destinatarios de esta exigencia; y,  iii) indicó que para que pueda haber convocatorias limitadas a MiPymes, dos (2) de ellas deben manifestar su interés. </w:t>
      </w:r>
    </w:p>
    <w:p w14:paraId="0BA887A9" w14:textId="77777777" w:rsidR="008E686A" w:rsidRPr="00C02F37" w:rsidRDefault="008E686A" w:rsidP="008E686A">
      <w:pPr>
        <w:pStyle w:val="Prrafodelista"/>
        <w:rPr>
          <w:rFonts w:ascii="Verdana" w:eastAsia="Calibri" w:hAnsi="Verdana" w:cs="Arial"/>
        </w:rPr>
      </w:pPr>
    </w:p>
    <w:p w14:paraId="684E645C" w14:textId="0FD3F5FF" w:rsidR="00C279B3" w:rsidRDefault="001545D7" w:rsidP="008E686A">
      <w:pPr>
        <w:pStyle w:val="Prrafodelista"/>
        <w:numPr>
          <w:ilvl w:val="0"/>
          <w:numId w:val="19"/>
        </w:numPr>
        <w:spacing w:after="0"/>
        <w:jc w:val="both"/>
        <w:rPr>
          <w:rFonts w:ascii="Verdana" w:eastAsia="Calibri" w:hAnsi="Verdana" w:cs="Arial"/>
        </w:rPr>
      </w:pPr>
      <w:r>
        <w:rPr>
          <w:rFonts w:ascii="Verdana" w:eastAsia="Calibri" w:hAnsi="Verdana" w:cs="Arial"/>
        </w:rPr>
        <w:t>E</w:t>
      </w:r>
      <w:r w:rsidR="008E686A" w:rsidRPr="00C02F37">
        <w:rPr>
          <w:rFonts w:ascii="Verdana" w:eastAsia="Calibri" w:hAnsi="Verdana" w:cs="Arial"/>
        </w:rPr>
        <w:t xml:space="preserve">l numeral primero del </w:t>
      </w:r>
      <w:r w:rsidR="008E686A" w:rsidRPr="00C02F37">
        <w:rPr>
          <w:rFonts w:ascii="Verdana" w:eastAsia="Calibri" w:hAnsi="Verdana" w:cs="Arial"/>
          <w:lang w:val="es-ES_tradnl"/>
        </w:rPr>
        <w:t xml:space="preserve">artículo 2.2.1.2.4.2.2 del Decreto 1082 de 2015 </w:t>
      </w:r>
      <w:r w:rsidR="008E686A" w:rsidRPr="00C02F37">
        <w:rPr>
          <w:rFonts w:ascii="Verdana" w:eastAsia="Calibri" w:hAnsi="Verdana" w:cs="Arial"/>
        </w:rPr>
        <w:t xml:space="preserve">limita cuantitativamente los procesos contractuales para las convocatorias limitadas a </w:t>
      </w:r>
      <w:r w:rsidR="003B47D5" w:rsidRPr="00C02F37">
        <w:rPr>
          <w:rFonts w:ascii="Verdana" w:eastAsia="Calibri" w:hAnsi="Verdana" w:cs="Arial"/>
        </w:rPr>
        <w:t>Mi</w:t>
      </w:r>
      <w:r w:rsidR="003B47D5">
        <w:rPr>
          <w:rFonts w:ascii="Verdana" w:eastAsia="Calibri" w:hAnsi="Verdana" w:cs="Arial"/>
        </w:rPr>
        <w:t>P</w:t>
      </w:r>
      <w:r w:rsidR="003B47D5" w:rsidRPr="00C02F37">
        <w:rPr>
          <w:rFonts w:ascii="Verdana" w:eastAsia="Calibri" w:hAnsi="Verdana" w:cs="Arial"/>
        </w:rPr>
        <w:t>yme</w:t>
      </w:r>
      <w:r w:rsidR="008E686A" w:rsidRPr="00C02F37">
        <w:rPr>
          <w:rFonts w:ascii="Verdana" w:eastAsia="Calibri" w:hAnsi="Verdana" w:cs="Arial"/>
        </w:rPr>
        <w:t xml:space="preserve">, puesto que el valor del proceso de contratación debe ser “menor a ciento veinticinco mil dólares de los Estados Unidos de América”. Esto de acuerdo con la tasa que determine cada dos años el Ministerio de Comercio, Industria y Turismo. </w:t>
      </w:r>
    </w:p>
    <w:p w14:paraId="226CFF5B" w14:textId="77777777" w:rsidR="00C279B3" w:rsidRPr="00CF29A9" w:rsidRDefault="00C279B3" w:rsidP="00CF29A9">
      <w:pPr>
        <w:pStyle w:val="Prrafodelista"/>
        <w:rPr>
          <w:rFonts w:ascii="Verdana" w:eastAsia="Calibri" w:hAnsi="Verdana" w:cs="Arial"/>
        </w:rPr>
      </w:pPr>
    </w:p>
    <w:p w14:paraId="5B692400" w14:textId="0D8B39DB" w:rsidR="008E686A" w:rsidRPr="00C02F37" w:rsidRDefault="008E686A" w:rsidP="008E686A">
      <w:pPr>
        <w:pStyle w:val="Prrafodelista"/>
        <w:numPr>
          <w:ilvl w:val="0"/>
          <w:numId w:val="19"/>
        </w:numPr>
        <w:spacing w:after="0"/>
        <w:jc w:val="both"/>
        <w:rPr>
          <w:rFonts w:ascii="Verdana" w:eastAsia="Calibri" w:hAnsi="Verdana" w:cs="Arial"/>
        </w:rPr>
      </w:pPr>
      <w:r w:rsidRPr="00C02F37">
        <w:rPr>
          <w:rFonts w:ascii="Verdana" w:eastAsia="Calibri" w:hAnsi="Verdana" w:cs="Arial"/>
        </w:rPr>
        <w:t xml:space="preserve">Por su parte, el numeral segundo establece que al menos dos (2) MiPymes colombianas presenten a la entidad la solicitud de limitar el proceso contractual y, por el otro, que hagan la solicitud por lo menos un día (1) hábil antes de la expedición del acto administrativo de apertura o el que haga sus veces de acuerdo con la normativa aplicable a cada </w:t>
      </w:r>
      <w:r w:rsidR="001545D7" w:rsidRPr="00C02F37">
        <w:rPr>
          <w:rFonts w:ascii="Verdana" w:eastAsia="Calibri" w:hAnsi="Verdana" w:cs="Arial"/>
        </w:rPr>
        <w:t>proceso de contratación</w:t>
      </w:r>
      <w:r w:rsidRPr="00C02F37">
        <w:rPr>
          <w:rFonts w:ascii="Verdana" w:eastAsia="Calibri" w:hAnsi="Verdana" w:cs="Arial"/>
        </w:rPr>
        <w:t xml:space="preserve">. Asimismo, la norma señala que, tratándose de personas jurídicas, las solicitudes solo las podrán realizar la Mipyme, cuyo objeto social les permita ejecutar el contrato relacionado con el proceso contractual. Por lo demás, este artículo incluye a las cooperativas y demás entidades de economía solidaria dentro de los sujetos que pueden solicitar y participar en las </w:t>
      </w:r>
      <w:r w:rsidRPr="00C02F37">
        <w:rPr>
          <w:rFonts w:ascii="Verdana" w:eastAsia="Calibri" w:hAnsi="Verdana" w:cs="Arial"/>
        </w:rPr>
        <w:lastRenderedPageBreak/>
        <w:t>convocatorias limitadas a Mipyme, siempre que estas cumplan con las condiciones señaladas en el artículo.</w:t>
      </w:r>
    </w:p>
    <w:p w14:paraId="6B970A62" w14:textId="77777777" w:rsidR="008E686A" w:rsidRPr="00C02F37" w:rsidRDefault="008E686A" w:rsidP="008E686A">
      <w:pPr>
        <w:pStyle w:val="Prrafodelista"/>
        <w:spacing w:after="0"/>
        <w:ind w:left="360"/>
        <w:jc w:val="both"/>
        <w:rPr>
          <w:rFonts w:ascii="Verdana" w:eastAsia="Calibri" w:hAnsi="Verdana" w:cs="Arial"/>
        </w:rPr>
      </w:pPr>
    </w:p>
    <w:p w14:paraId="1C765182" w14:textId="77777777" w:rsidR="008E686A" w:rsidRPr="00C02F37" w:rsidRDefault="008E686A" w:rsidP="008E686A">
      <w:pPr>
        <w:pStyle w:val="Prrafodelista"/>
        <w:numPr>
          <w:ilvl w:val="0"/>
          <w:numId w:val="19"/>
        </w:numPr>
        <w:spacing w:after="0"/>
        <w:jc w:val="both"/>
        <w:rPr>
          <w:rFonts w:ascii="Verdana" w:eastAsia="Calibri" w:hAnsi="Verdana" w:cs="Arial"/>
        </w:rPr>
      </w:pPr>
      <w:r>
        <w:rPr>
          <w:rFonts w:ascii="Verdana" w:eastAsia="Calibri" w:hAnsi="Verdana" w:cs="Arial"/>
          <w:lang w:val="es-ES_tradnl"/>
        </w:rPr>
        <w:t>De l</w:t>
      </w:r>
      <w:r w:rsidRPr="00C02F37">
        <w:rPr>
          <w:rFonts w:ascii="Verdana" w:eastAsia="Calibri" w:hAnsi="Verdana" w:cs="Arial"/>
          <w:lang w:val="es-ES_tradnl"/>
        </w:rPr>
        <w:t>a redacción del parágrafo 1 del artículo 34 de la Ley 2069 de 2020, según el cual, “En los procesos de selección que se desarrollen con base en el primer inciso, las entidades podrán realizar las convocatorias limitadas que beneficien a las MiPymes del ámbito municipal o departamental correspondiente al de la ejecución del contrato”</w:t>
      </w:r>
      <w:r>
        <w:rPr>
          <w:rFonts w:ascii="Verdana" w:eastAsia="Calibri" w:hAnsi="Verdana" w:cs="Arial"/>
          <w:lang w:val="es-ES_tradnl"/>
        </w:rPr>
        <w:t>, se desprende que en</w:t>
      </w:r>
      <w:r w:rsidRPr="00C02F37">
        <w:rPr>
          <w:rFonts w:ascii="Verdana" w:eastAsia="Calibri" w:hAnsi="Verdana" w:cs="Arial"/>
          <w:lang w:val="es-ES_tradnl"/>
        </w:rPr>
        <w:t xml:space="preserve"> tales términos, la norma citada solo contempla la posibilidad de limitar convocatorias a MiPymes con domicilio en esos dos tipos de entidades territoriales. </w:t>
      </w:r>
    </w:p>
    <w:p w14:paraId="02219E1B" w14:textId="77777777" w:rsidR="008E686A" w:rsidRPr="00C02F37" w:rsidRDefault="008E686A" w:rsidP="008E686A">
      <w:pPr>
        <w:pStyle w:val="Prrafodelista"/>
        <w:rPr>
          <w:rFonts w:ascii="Verdana" w:eastAsia="Arial" w:hAnsi="Verdana" w:cs="Arial"/>
          <w:color w:val="000000" w:themeColor="text1"/>
        </w:rPr>
      </w:pPr>
    </w:p>
    <w:p w14:paraId="5EBB15EC" w14:textId="3E7BF603" w:rsidR="008E686A" w:rsidRPr="00C02F37" w:rsidRDefault="008E686A" w:rsidP="008E686A">
      <w:pPr>
        <w:pStyle w:val="Prrafodelista"/>
        <w:numPr>
          <w:ilvl w:val="0"/>
          <w:numId w:val="19"/>
        </w:numPr>
        <w:spacing w:after="0"/>
        <w:jc w:val="both"/>
        <w:rPr>
          <w:rFonts w:ascii="Verdana" w:eastAsia="Calibri" w:hAnsi="Verdana" w:cs="Arial"/>
        </w:rPr>
      </w:pPr>
      <w:r w:rsidRPr="00C02F37">
        <w:rPr>
          <w:rFonts w:ascii="Verdana" w:eastAsia="Arial" w:hAnsi="Verdana" w:cs="Arial"/>
          <w:color w:val="000000" w:themeColor="text1"/>
        </w:rPr>
        <w:t xml:space="preserve">En ese sentido, toda empresa constituida bajo las leyes colombianas o que tenga su domicilio principal en el territorio colombiano y, además, cumpla los criterios previstos por la Ley 590 de 2000 y el Decreto 957 de 2019, será considerada </w:t>
      </w:r>
      <w:r w:rsidR="00A83F7D" w:rsidRPr="00C02F37">
        <w:rPr>
          <w:rFonts w:ascii="Verdana" w:eastAsia="Arial" w:hAnsi="Verdana" w:cs="Arial"/>
          <w:color w:val="000000" w:themeColor="text1"/>
        </w:rPr>
        <w:t>Mi</w:t>
      </w:r>
      <w:r w:rsidR="00A83F7D">
        <w:rPr>
          <w:rFonts w:ascii="Verdana" w:eastAsia="Arial" w:hAnsi="Verdana" w:cs="Arial"/>
          <w:color w:val="000000" w:themeColor="text1"/>
        </w:rPr>
        <w:t>P</w:t>
      </w:r>
      <w:r w:rsidR="00A83F7D" w:rsidRPr="00C02F37">
        <w:rPr>
          <w:rFonts w:ascii="Verdana" w:eastAsia="Arial" w:hAnsi="Verdana" w:cs="Arial"/>
          <w:color w:val="000000" w:themeColor="text1"/>
        </w:rPr>
        <w:t xml:space="preserve">yme </w:t>
      </w:r>
      <w:r w:rsidRPr="00C02F37">
        <w:rPr>
          <w:rFonts w:ascii="Verdana" w:eastAsia="Arial" w:hAnsi="Verdana" w:cs="Arial"/>
          <w:color w:val="000000" w:themeColor="text1"/>
        </w:rPr>
        <w:t xml:space="preserve">nacional. Además, las normas de contratación permiten que las </w:t>
      </w:r>
      <w:r w:rsidR="00A83F7D" w:rsidRPr="00C02F37">
        <w:rPr>
          <w:rFonts w:ascii="Verdana" w:eastAsia="Arial" w:hAnsi="Verdana" w:cs="Arial"/>
          <w:color w:val="000000" w:themeColor="text1"/>
        </w:rPr>
        <w:t>Mi</w:t>
      </w:r>
      <w:r w:rsidR="00A83F7D">
        <w:rPr>
          <w:rFonts w:ascii="Verdana" w:eastAsia="Arial" w:hAnsi="Verdana" w:cs="Arial"/>
          <w:color w:val="000000" w:themeColor="text1"/>
        </w:rPr>
        <w:t>P</w:t>
      </w:r>
      <w:r w:rsidR="00A83F7D" w:rsidRPr="00C02F37">
        <w:rPr>
          <w:rFonts w:ascii="Verdana" w:eastAsia="Arial" w:hAnsi="Verdana" w:cs="Arial"/>
          <w:color w:val="000000" w:themeColor="text1"/>
        </w:rPr>
        <w:t xml:space="preserve">yme </w:t>
      </w:r>
      <w:r w:rsidRPr="00C02F37">
        <w:rPr>
          <w:rFonts w:ascii="Verdana" w:eastAsia="Arial" w:hAnsi="Verdana" w:cs="Arial"/>
          <w:color w:val="000000" w:themeColor="text1"/>
        </w:rPr>
        <w:t xml:space="preserve">nacionales puedan beneficiarse de la ejecución de un contrato dentro de la entidad territorial en la que tienen su “domicilio”. </w:t>
      </w:r>
    </w:p>
    <w:p w14:paraId="4A44EDB5" w14:textId="77777777" w:rsidR="008E686A" w:rsidRPr="00C02F37" w:rsidRDefault="008E686A" w:rsidP="008E686A">
      <w:pPr>
        <w:pStyle w:val="Prrafodelista"/>
        <w:rPr>
          <w:rFonts w:ascii="Verdana" w:eastAsia="Arial" w:hAnsi="Verdana" w:cs="Arial"/>
          <w:color w:val="000000" w:themeColor="text1"/>
        </w:rPr>
      </w:pPr>
    </w:p>
    <w:p w14:paraId="5160039B" w14:textId="34999C78" w:rsidR="008E686A" w:rsidRPr="00C02F37" w:rsidRDefault="008E686A" w:rsidP="008E686A">
      <w:pPr>
        <w:pStyle w:val="Prrafodelista"/>
        <w:numPr>
          <w:ilvl w:val="0"/>
          <w:numId w:val="19"/>
        </w:numPr>
        <w:spacing w:after="0"/>
        <w:jc w:val="both"/>
        <w:rPr>
          <w:rFonts w:ascii="Verdana" w:eastAsia="Calibri" w:hAnsi="Verdana" w:cs="Arial"/>
        </w:rPr>
      </w:pPr>
      <w:r w:rsidRPr="00C02F37">
        <w:rPr>
          <w:rFonts w:ascii="Verdana" w:eastAsia="Arial" w:hAnsi="Verdana" w:cs="Arial"/>
          <w:color w:val="000000" w:themeColor="text1"/>
        </w:rPr>
        <w:t xml:space="preserve">Por otro lado, no puede perderse de vista que la decisión de limitar “a Mipyme colombianas que tengan domicilio en los departamentos o municipios en donde se va a ejecutar el contrato”, aunque es facultativa de la entidad, está supeditada a que se verifiquen los requisitos establecidos en los numerales 1 y 2 del precitado artículo 2.2.1.2.4.2.2 del Decreto 1082 de 2015, modificado por el Decreto 1860 de 2021. En ese sentido, si la Entidad no recibió las solicitudes para limitar la convocatoria a </w:t>
      </w:r>
      <w:r w:rsidR="00DA57E2" w:rsidRPr="00C02F37">
        <w:rPr>
          <w:rFonts w:ascii="Verdana" w:eastAsia="Arial" w:hAnsi="Verdana" w:cs="Arial"/>
          <w:color w:val="000000" w:themeColor="text1"/>
        </w:rPr>
        <w:t>Mi</w:t>
      </w:r>
      <w:r w:rsidR="00DA57E2">
        <w:rPr>
          <w:rFonts w:ascii="Verdana" w:eastAsia="Arial" w:hAnsi="Verdana" w:cs="Arial"/>
          <w:color w:val="000000" w:themeColor="text1"/>
        </w:rPr>
        <w:t>P</w:t>
      </w:r>
      <w:r w:rsidR="00DA57E2" w:rsidRPr="00C02F37">
        <w:rPr>
          <w:rFonts w:ascii="Verdana" w:eastAsia="Arial" w:hAnsi="Verdana" w:cs="Arial"/>
          <w:color w:val="000000" w:themeColor="text1"/>
        </w:rPr>
        <w:t>yme</w:t>
      </w:r>
      <w:r w:rsidRPr="00C02F37">
        <w:rPr>
          <w:rFonts w:ascii="Verdana" w:eastAsia="Arial" w:hAnsi="Verdana" w:cs="Arial"/>
          <w:color w:val="000000" w:themeColor="text1"/>
        </w:rPr>
        <w:t xml:space="preserve">, no puede </w:t>
      </w:r>
      <w:r w:rsidRPr="00C02F37">
        <w:rPr>
          <w:rFonts w:ascii="Verdana" w:eastAsia="Arial" w:hAnsi="Verdana" w:cs="Arial"/>
          <w:i/>
          <w:iCs/>
          <w:color w:val="000000" w:themeColor="text1"/>
        </w:rPr>
        <w:t xml:space="preserve">motu proprio </w:t>
      </w:r>
      <w:r w:rsidRPr="00C02F37">
        <w:rPr>
          <w:rFonts w:ascii="Verdana" w:eastAsia="Arial" w:hAnsi="Verdana" w:cs="Arial"/>
          <w:color w:val="000000" w:themeColor="text1"/>
        </w:rPr>
        <w:t>proceder con la “limitación territorial” de que trata el artículo 2.2.1.2.4.2.3 del Decreto 1082 de 2015. Esto debido a que el ejercicio de esta facultad solo puede darse ante la “limitación a MiPymes colombianas”, lo cual supone verificar los supuestos legales establecidos en los mencionados numerales.</w:t>
      </w:r>
    </w:p>
    <w:p w14:paraId="6B773CC1" w14:textId="77777777" w:rsidR="008E686A" w:rsidRPr="00AC561D" w:rsidRDefault="008E686A" w:rsidP="008E686A">
      <w:pPr>
        <w:pStyle w:val="Prrafodelista"/>
        <w:rPr>
          <w:rFonts w:ascii="Verdana" w:hAnsi="Verdana" w:cs="Arial"/>
          <w:color w:val="000000" w:themeColor="text1"/>
          <w:lang w:val="es-CO"/>
        </w:rPr>
      </w:pPr>
    </w:p>
    <w:p w14:paraId="5862A415" w14:textId="04147719" w:rsidR="008E686A" w:rsidRPr="00C02F37" w:rsidRDefault="008E686A" w:rsidP="008E686A">
      <w:pPr>
        <w:pStyle w:val="Prrafodelista"/>
        <w:numPr>
          <w:ilvl w:val="0"/>
          <w:numId w:val="19"/>
        </w:numPr>
        <w:spacing w:after="0"/>
        <w:jc w:val="both"/>
        <w:rPr>
          <w:rFonts w:ascii="Verdana" w:eastAsia="Calibri" w:hAnsi="Verdana" w:cs="Arial"/>
        </w:rPr>
      </w:pPr>
      <w:r w:rsidRPr="00C02F37">
        <w:rPr>
          <w:rFonts w:ascii="Verdana" w:hAnsi="Verdana" w:cs="Arial"/>
          <w:color w:val="000000" w:themeColor="text1"/>
        </w:rPr>
        <w:t xml:space="preserve">Cumplidos los dos requisitos del artículo 2.2.1.2.4.2.2 </w:t>
      </w:r>
      <w:r w:rsidRPr="00C02F37">
        <w:rPr>
          <w:rFonts w:ascii="Verdana" w:hAnsi="Verdana" w:cs="Arial"/>
          <w:i/>
          <w:iCs/>
          <w:color w:val="000000" w:themeColor="text1"/>
        </w:rPr>
        <w:t>ibídem</w:t>
      </w:r>
      <w:r w:rsidRPr="00C02F37">
        <w:rPr>
          <w:rFonts w:ascii="Verdana" w:hAnsi="Verdana" w:cs="Arial"/>
          <w:color w:val="000000" w:themeColor="text1"/>
        </w:rPr>
        <w:t xml:space="preserve">, la Entidad Estatal, independientemente de su régimen de contratación, los patrimonios autónomos constituidos por Entidades Estatales y los particulares que ejecuten recursos públicos, </w:t>
      </w:r>
      <w:r w:rsidRPr="00A63174">
        <w:rPr>
          <w:rFonts w:ascii="Verdana" w:hAnsi="Verdana" w:cs="Arial"/>
          <w:color w:val="000000" w:themeColor="text1"/>
          <w:u w:val="single"/>
        </w:rPr>
        <w:t xml:space="preserve">pueden ─sin estar obligadas─ decidir si limitan la convocatoria a las </w:t>
      </w:r>
      <w:r w:rsidR="00DA57E2" w:rsidRPr="00A63174">
        <w:rPr>
          <w:rFonts w:ascii="Verdana" w:hAnsi="Verdana" w:cs="Arial"/>
          <w:color w:val="000000" w:themeColor="text1"/>
          <w:u w:val="single"/>
        </w:rPr>
        <w:t>Mi</w:t>
      </w:r>
      <w:r w:rsidR="00DA57E2">
        <w:rPr>
          <w:rFonts w:ascii="Verdana" w:hAnsi="Verdana" w:cs="Arial"/>
          <w:color w:val="000000" w:themeColor="text1"/>
          <w:u w:val="single"/>
        </w:rPr>
        <w:t>P</w:t>
      </w:r>
      <w:r w:rsidR="00DA57E2" w:rsidRPr="00A63174">
        <w:rPr>
          <w:rFonts w:ascii="Verdana" w:hAnsi="Verdana" w:cs="Arial"/>
          <w:color w:val="000000" w:themeColor="text1"/>
          <w:u w:val="single"/>
        </w:rPr>
        <w:t xml:space="preserve">yme </w:t>
      </w:r>
      <w:r w:rsidRPr="00A63174">
        <w:rPr>
          <w:rFonts w:ascii="Verdana" w:hAnsi="Verdana" w:cs="Arial"/>
          <w:color w:val="000000" w:themeColor="text1"/>
          <w:u w:val="single"/>
        </w:rPr>
        <w:t>colombianas domiciliadas en el municipio o departamento en el que se ejecutará el contrato</w:t>
      </w:r>
      <w:r w:rsidRPr="00C02F37">
        <w:rPr>
          <w:rFonts w:ascii="Verdana" w:hAnsi="Verdana" w:cs="Arial"/>
          <w:color w:val="000000" w:themeColor="text1"/>
        </w:rPr>
        <w:t xml:space="preserve">. Esto de acuerdo con el artículo 2.2.1.2.4.2.3 del Decreto 1082 de 2015 </w:t>
      </w:r>
      <w:r w:rsidRPr="00C02F37">
        <w:rPr>
          <w:rFonts w:ascii="Verdana" w:eastAsia="Arial" w:hAnsi="Verdana" w:cs="Arial"/>
          <w:color w:val="000000"/>
          <w:lang w:val="es-ES_tradnl"/>
        </w:rPr>
        <w:t>modificado por el Decreto 1860 de 2021</w:t>
      </w:r>
      <w:r w:rsidRPr="00C02F37">
        <w:rPr>
          <w:rFonts w:ascii="Verdana" w:hAnsi="Verdana" w:cs="Arial"/>
          <w:color w:val="000000" w:themeColor="text1"/>
        </w:rPr>
        <w:t xml:space="preserve">, norma que se refiere a la facultad de la administración con el verbo infinitivo “poder”, no “deber”. </w:t>
      </w:r>
    </w:p>
    <w:p w14:paraId="5B3DB017" w14:textId="77777777" w:rsidR="008E686A" w:rsidRPr="00C02F37" w:rsidRDefault="008E686A" w:rsidP="008E686A">
      <w:pPr>
        <w:pStyle w:val="Prrafodelista"/>
        <w:rPr>
          <w:rFonts w:ascii="Verdana" w:hAnsi="Verdana" w:cs="Arial"/>
          <w:color w:val="000000" w:themeColor="text1"/>
        </w:rPr>
      </w:pPr>
    </w:p>
    <w:p w14:paraId="689942DC" w14:textId="77777777" w:rsidR="008E686A" w:rsidRPr="00C02F37" w:rsidRDefault="008E686A" w:rsidP="008E686A">
      <w:pPr>
        <w:pStyle w:val="Prrafodelista"/>
        <w:numPr>
          <w:ilvl w:val="0"/>
          <w:numId w:val="19"/>
        </w:numPr>
        <w:spacing w:after="0"/>
        <w:jc w:val="both"/>
        <w:rPr>
          <w:rFonts w:ascii="Verdana" w:eastAsia="Calibri" w:hAnsi="Verdana" w:cs="Arial"/>
        </w:rPr>
      </w:pPr>
      <w:r w:rsidRPr="00C02F37">
        <w:rPr>
          <w:rFonts w:ascii="Verdana" w:hAnsi="Verdana" w:cs="Arial"/>
          <w:color w:val="000000" w:themeColor="text1"/>
        </w:rPr>
        <w:t xml:space="preserve">En tal sentido, </w:t>
      </w:r>
      <w:r w:rsidRPr="00C02F37">
        <w:rPr>
          <w:rFonts w:ascii="Verdana" w:eastAsia="Calibri" w:hAnsi="Verdana" w:cs="Arial"/>
          <w:color w:val="000000" w:themeColor="text1"/>
        </w:rPr>
        <w:t>lo que debe adoptarse obligatoriamente es la</w:t>
      </w:r>
      <w:r w:rsidRPr="00C02F37">
        <w:rPr>
          <w:rFonts w:ascii="Verdana" w:hAnsi="Verdana" w:cs="Arial"/>
          <w:color w:val="000000" w:themeColor="text1"/>
        </w:rPr>
        <w:t xml:space="preserve"> limitación a MiPymes colombianas</w:t>
      </w:r>
      <w:r w:rsidRPr="00C02F37">
        <w:rPr>
          <w:rFonts w:ascii="Verdana" w:eastAsia="Calibri" w:hAnsi="Verdana" w:cs="Arial"/>
          <w:color w:val="000000" w:themeColor="text1"/>
        </w:rPr>
        <w:t xml:space="preserve"> siempre que se cumplan las condiciones del artículo 2.2.1.2.4.2.2 del Decreto 1082 de 2015, pero no la “limitación territorial” referida en el artículo 2.2.1.2.4.2.3 </w:t>
      </w:r>
      <w:r w:rsidRPr="00C02F37">
        <w:rPr>
          <w:rFonts w:ascii="Verdana" w:eastAsia="Calibri" w:hAnsi="Verdana" w:cs="Arial"/>
          <w:i/>
          <w:iCs/>
          <w:color w:val="000000" w:themeColor="text1"/>
        </w:rPr>
        <w:t>ibídem</w:t>
      </w:r>
      <w:r w:rsidRPr="00C02F37">
        <w:rPr>
          <w:rFonts w:ascii="Verdana" w:eastAsia="Calibri" w:hAnsi="Verdana" w:cs="Arial"/>
          <w:color w:val="000000" w:themeColor="text1"/>
        </w:rPr>
        <w:t>, pues esta es facultativa para la Entidad. Las únicas exigencias son que la convocatoria esté l</w:t>
      </w:r>
      <w:r w:rsidRPr="00C02F37">
        <w:rPr>
          <w:rFonts w:ascii="Verdana" w:hAnsi="Verdana" w:cs="Arial"/>
          <w:color w:val="000000" w:themeColor="text1"/>
        </w:rPr>
        <w:t>imitada a las Mipyme colombianas</w:t>
      </w:r>
      <w:r w:rsidRPr="00C02F37">
        <w:rPr>
          <w:rFonts w:ascii="Verdana" w:eastAsia="Calibri" w:hAnsi="Verdana" w:cs="Arial"/>
          <w:color w:val="000000" w:themeColor="text1"/>
        </w:rPr>
        <w:t xml:space="preserve"> “domiciliadas en los departamentos o municipios en donde se va a ejecutar el contrato” y que la entidad justifique su decisión con base en los “estudios del sector”</w:t>
      </w:r>
      <w:r w:rsidRPr="00C02F37">
        <w:rPr>
          <w:rStyle w:val="Refdenotaalpie"/>
          <w:rFonts w:ascii="Verdana" w:eastAsia="Calibri" w:hAnsi="Verdana" w:cs="Arial"/>
          <w:color w:val="000000" w:themeColor="text1"/>
        </w:rPr>
        <w:footnoteReference w:id="1"/>
      </w:r>
      <w:r w:rsidRPr="00C02F37">
        <w:rPr>
          <w:rFonts w:ascii="Verdana" w:eastAsia="Calibri" w:hAnsi="Verdana" w:cs="Arial"/>
          <w:color w:val="000000" w:themeColor="text1"/>
        </w:rPr>
        <w:t xml:space="preserve"> No es procedente, entonces, que sean las MiPymes las que soliciten la “limitación territorial” a la que se refiere el artículo 2.2.1.2.4.2.3 del Decreto 1082 de 2015. </w:t>
      </w:r>
    </w:p>
    <w:p w14:paraId="5AA6F053" w14:textId="77777777" w:rsidR="008E686A" w:rsidRPr="00C02F37" w:rsidRDefault="008E686A" w:rsidP="008E686A">
      <w:pPr>
        <w:pStyle w:val="Prrafodelista"/>
        <w:rPr>
          <w:rFonts w:ascii="Verdana" w:eastAsia="Calibri" w:hAnsi="Verdana" w:cs="Arial"/>
          <w:color w:val="000000" w:themeColor="text1"/>
        </w:rPr>
      </w:pPr>
    </w:p>
    <w:p w14:paraId="515E8A66" w14:textId="77777777" w:rsidR="008E686A" w:rsidRPr="003E0EE6" w:rsidRDefault="008E686A" w:rsidP="008E686A">
      <w:pPr>
        <w:pStyle w:val="Prrafodelista"/>
        <w:numPr>
          <w:ilvl w:val="0"/>
          <w:numId w:val="19"/>
        </w:numPr>
        <w:spacing w:after="0"/>
        <w:jc w:val="both"/>
        <w:rPr>
          <w:rFonts w:ascii="Verdana" w:eastAsia="Calibri" w:hAnsi="Verdana" w:cs="Arial"/>
        </w:rPr>
      </w:pPr>
      <w:r w:rsidRPr="00C02F37">
        <w:rPr>
          <w:rFonts w:ascii="Verdana" w:eastAsia="Calibri" w:hAnsi="Verdana" w:cs="Arial"/>
          <w:color w:val="000000" w:themeColor="text1"/>
        </w:rPr>
        <w:t>E</w:t>
      </w:r>
      <w:r w:rsidRPr="00C02F37">
        <w:rPr>
          <w:rFonts w:ascii="Verdana" w:hAnsi="Verdana" w:cs="Arial"/>
          <w:color w:val="000000" w:themeColor="text1"/>
        </w:rPr>
        <w:t>l origen de las Mipyme</w:t>
      </w:r>
      <w:r w:rsidRPr="00C02F37">
        <w:rPr>
          <w:rFonts w:ascii="Verdana" w:eastAsia="Calibri" w:hAnsi="Verdana" w:cs="Arial"/>
          <w:color w:val="000000" w:themeColor="text1"/>
        </w:rPr>
        <w:t xml:space="preserve"> que solicitan la “limitación territorial” no es relevante frente a dicha decisión por dos razo</w:t>
      </w:r>
      <w:r w:rsidRPr="00C02F37">
        <w:rPr>
          <w:rFonts w:ascii="Verdana" w:hAnsi="Verdana" w:cs="Arial"/>
          <w:color w:val="000000" w:themeColor="text1"/>
        </w:rPr>
        <w:t>nes: primero, porque las Mipyme</w:t>
      </w:r>
      <w:r w:rsidRPr="00C02F37">
        <w:rPr>
          <w:rFonts w:ascii="Verdana" w:eastAsia="Calibri" w:hAnsi="Verdana" w:cs="Arial"/>
          <w:color w:val="000000" w:themeColor="text1"/>
        </w:rPr>
        <w:t xml:space="preserve"> no están habilitadas para pedir la “limitación territorial”, lo están para pedir la “convocatoria limitada a MiPymes”, y, segundo, porque el único criterio para tener en cuenta, una vez se ha decidido justificadamente limitar territorialmente la convocatori</w:t>
      </w:r>
      <w:r w:rsidRPr="00C02F37">
        <w:rPr>
          <w:rFonts w:ascii="Verdana" w:hAnsi="Verdana" w:cs="Arial"/>
          <w:color w:val="000000" w:themeColor="text1"/>
        </w:rPr>
        <w:t>a previamente limitada a Mipyme</w:t>
      </w:r>
      <w:r w:rsidRPr="00C02F37">
        <w:rPr>
          <w:rFonts w:ascii="Verdana" w:eastAsia="Calibri" w:hAnsi="Verdana" w:cs="Arial"/>
          <w:color w:val="000000" w:themeColor="text1"/>
        </w:rPr>
        <w:t>, es el lugar donde se va a ejecutar el contrato.</w:t>
      </w:r>
    </w:p>
    <w:p w14:paraId="32F05AA0" w14:textId="77777777" w:rsidR="008E686A" w:rsidRPr="003E0EE6" w:rsidRDefault="008E686A" w:rsidP="008E686A">
      <w:pPr>
        <w:pStyle w:val="Prrafodelista"/>
        <w:rPr>
          <w:rFonts w:ascii="Verdana" w:eastAsia="Calibri" w:hAnsi="Verdana" w:cs="Arial"/>
        </w:rPr>
      </w:pPr>
    </w:p>
    <w:p w14:paraId="49D1715C" w14:textId="77777777" w:rsidR="008E686A" w:rsidRPr="00AF4A5F" w:rsidRDefault="008E686A" w:rsidP="008E686A">
      <w:pPr>
        <w:pStyle w:val="Prrafodelista"/>
        <w:spacing w:after="0"/>
        <w:ind w:left="360"/>
        <w:jc w:val="both"/>
        <w:rPr>
          <w:rFonts w:ascii="Verdana" w:eastAsia="Calibri" w:hAnsi="Verdana" w:cs="Arial"/>
        </w:rPr>
      </w:pPr>
    </w:p>
    <w:p w14:paraId="02F6A9F9" w14:textId="77777777" w:rsidR="008E686A" w:rsidRPr="00F503EC" w:rsidRDefault="008E686A" w:rsidP="008E686A">
      <w:pPr>
        <w:pStyle w:val="Prrafodelista"/>
        <w:numPr>
          <w:ilvl w:val="0"/>
          <w:numId w:val="19"/>
        </w:numPr>
        <w:spacing w:after="0"/>
        <w:jc w:val="both"/>
        <w:rPr>
          <w:rFonts w:ascii="Verdana" w:eastAsia="Calibri" w:hAnsi="Verdana" w:cs="Arial"/>
        </w:rPr>
      </w:pPr>
      <w:r w:rsidRPr="00C02F37">
        <w:rPr>
          <w:rFonts w:ascii="Verdana" w:eastAsia="Calibri" w:hAnsi="Verdana" w:cs="Arial"/>
          <w:color w:val="000000" w:themeColor="text1"/>
        </w:rPr>
        <w:t>En resumen, la decisión de limitar o no territorialmente una convocatoria limitada a MiPymes nacionales es una facultad discrecional, de manera que</w:t>
      </w:r>
      <w:r w:rsidRPr="00C02F37">
        <w:rPr>
          <w:rFonts w:ascii="Verdana" w:eastAsia="Arial" w:hAnsi="Verdana" w:cs="Arial"/>
          <w:color w:val="000000"/>
        </w:rPr>
        <w:t xml:space="preserve"> la Entidad contratante valorará si es oportuno y conveniente adoptarla</w:t>
      </w:r>
      <w:r w:rsidRPr="00C02F37">
        <w:rPr>
          <w:rStyle w:val="Refdenotaalpie"/>
          <w:rFonts w:ascii="Verdana" w:eastAsia="Arial" w:hAnsi="Verdana" w:cs="Arial"/>
          <w:color w:val="000000"/>
        </w:rPr>
        <w:footnoteReference w:id="2"/>
      </w:r>
      <w:r w:rsidRPr="00C02F37">
        <w:rPr>
          <w:rFonts w:ascii="Verdana" w:eastAsia="Arial" w:hAnsi="Verdana" w:cs="Arial"/>
          <w:color w:val="000000"/>
        </w:rPr>
        <w:t xml:space="preserve">. Sin embargo, aunque la discrecionalidad implica una elección administrativa, no puede ser una decisión irracional o arbitraria. </w:t>
      </w:r>
    </w:p>
    <w:p w14:paraId="4BE356E0" w14:textId="77777777" w:rsidR="008E686A" w:rsidRPr="00F503EC" w:rsidRDefault="008E686A" w:rsidP="008E686A">
      <w:pPr>
        <w:pStyle w:val="Prrafodelista"/>
        <w:rPr>
          <w:rFonts w:ascii="Verdana" w:eastAsia="Arial" w:hAnsi="Verdana" w:cs="Arial"/>
          <w:color w:val="000000"/>
        </w:rPr>
      </w:pPr>
    </w:p>
    <w:p w14:paraId="6B88A9AA" w14:textId="77777777" w:rsidR="008E686A" w:rsidRPr="00C02F37" w:rsidRDefault="008E686A" w:rsidP="008E686A">
      <w:pPr>
        <w:pStyle w:val="Prrafodelista"/>
        <w:numPr>
          <w:ilvl w:val="0"/>
          <w:numId w:val="19"/>
        </w:numPr>
        <w:spacing w:after="0"/>
        <w:jc w:val="both"/>
        <w:rPr>
          <w:rFonts w:ascii="Verdana" w:eastAsia="Calibri" w:hAnsi="Verdana" w:cs="Arial"/>
        </w:rPr>
      </w:pPr>
      <w:r w:rsidRPr="00C02F37">
        <w:rPr>
          <w:rFonts w:ascii="Verdana" w:eastAsia="Arial" w:hAnsi="Verdana" w:cs="Arial"/>
          <w:color w:val="000000"/>
        </w:rPr>
        <w:t xml:space="preserve">Por </w:t>
      </w:r>
      <w:r>
        <w:rPr>
          <w:rFonts w:ascii="Verdana" w:eastAsia="Arial" w:hAnsi="Verdana" w:cs="Arial"/>
          <w:color w:val="000000"/>
        </w:rPr>
        <w:t>lo anterior</w:t>
      </w:r>
      <w:r w:rsidRPr="00C02F37">
        <w:rPr>
          <w:rFonts w:ascii="Verdana" w:eastAsia="Arial" w:hAnsi="Verdana" w:cs="Arial"/>
          <w:color w:val="000000"/>
        </w:rPr>
        <w:t xml:space="preserve">, el ordenamiento impone una carga de motivación en el ejercicio de este tipo de facultades, pues –teniendo en cuenta la remisión del artículo 77 de la Ley 80 de 1993 a las normas que rigen los procedimientos y actuaciones en la función administrativa– el artículo 44 de la Ley 1437 de 2011 dispone que “En la medida en que el contenido de una decisión de carácter general o particular sea discrecional, debe ser adecuada a los fines de la norma que la autoriza, y proporcional a los hechos que le sirven de causa”. En cada caso concreto, las consecuencias del incumplimiento de este deber serán analizadas por el juez del contrato previo ejercicio del derecho de acción, bajo en el entendido que la falsa de motivación es uno de los vicios invalidantes de los actos administrativos –art. 137, inc. 2, de la Ley 1437 de 2011–.   </w:t>
      </w:r>
    </w:p>
    <w:p w14:paraId="74E1CAE0" w14:textId="77777777" w:rsidR="008E686A" w:rsidRPr="00C02F37" w:rsidRDefault="008E686A" w:rsidP="008E686A">
      <w:pPr>
        <w:spacing w:after="0"/>
        <w:jc w:val="both"/>
        <w:rPr>
          <w:rStyle w:val="Hipervnculo"/>
          <w:rFonts w:ascii="Verdana" w:hAnsi="Verdana"/>
          <w:lang w:val="es-ES"/>
        </w:rPr>
      </w:pPr>
    </w:p>
    <w:p w14:paraId="1530F7C7" w14:textId="77777777" w:rsidR="008E686A" w:rsidRPr="00C02F37" w:rsidRDefault="008E686A" w:rsidP="008E686A">
      <w:pPr>
        <w:pStyle w:val="Prrafodelista"/>
        <w:numPr>
          <w:ilvl w:val="0"/>
          <w:numId w:val="18"/>
        </w:numPr>
        <w:tabs>
          <w:tab w:val="left" w:pos="142"/>
          <w:tab w:val="left" w:pos="284"/>
        </w:tabs>
        <w:spacing w:after="0" w:line="276" w:lineRule="auto"/>
        <w:jc w:val="both"/>
        <w:rPr>
          <w:rFonts w:ascii="Verdana" w:eastAsia="Century Gothic" w:hAnsi="Verdana" w:cs="Century Gothic"/>
          <w:b/>
          <w:bCs/>
        </w:rPr>
      </w:pPr>
      <w:r w:rsidRPr="00C02F37">
        <w:rPr>
          <w:rFonts w:ascii="Verdana" w:eastAsia="Century Gothic" w:hAnsi="Verdana" w:cs="Century Gothic"/>
          <w:b/>
          <w:bCs/>
        </w:rPr>
        <w:t>Referencias normativas, jurisprudenciales y otras fuentes:</w:t>
      </w:r>
    </w:p>
    <w:p w14:paraId="129E3F46" w14:textId="77777777" w:rsidR="008E686A" w:rsidRPr="00C02F37" w:rsidRDefault="008E686A" w:rsidP="008E686A">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E686A" w:rsidRPr="00C02F37" w14:paraId="6E259F26" w14:textId="77777777" w:rsidTr="009376EB">
        <w:trPr>
          <w:trHeight w:val="870"/>
        </w:trPr>
        <w:tc>
          <w:tcPr>
            <w:tcW w:w="8647" w:type="dxa"/>
          </w:tcPr>
          <w:p w14:paraId="5BEE19D3" w14:textId="77777777" w:rsidR="008E686A" w:rsidRPr="00C02F37" w:rsidRDefault="008E686A" w:rsidP="009376EB">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C02F37">
              <w:rPr>
                <w:rFonts w:ascii="Verdana" w:hAnsi="Verdana" w:cs="Arial"/>
                <w:color w:val="000000" w:themeColor="text1"/>
                <w:lang w:val="es-ES_tradnl"/>
              </w:rPr>
              <w:t>Decreto 1860 de 2021, numerales 1 y 2 del artículo 2.2.1.2.4.2.2. artículos, 2.2.1.2.4.2.3 2.2.1.2.4.2.4. Ley 1150 de 2007 artículo 12.</w:t>
            </w:r>
          </w:p>
          <w:p w14:paraId="586192BC" w14:textId="77777777" w:rsidR="008E686A" w:rsidRPr="00C02F37" w:rsidRDefault="008E686A" w:rsidP="009376EB">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C02F37">
              <w:rPr>
                <w:rFonts w:ascii="Verdana" w:eastAsia="Calibri" w:hAnsi="Verdana" w:cs="Arial"/>
                <w:lang w:val="es-ES_tradnl"/>
              </w:rPr>
              <w:t>Ley 80 de 1993, literal g), numeral 1, Artículo 8.</w:t>
            </w:r>
          </w:p>
          <w:p w14:paraId="32472365" w14:textId="77777777" w:rsidR="008E686A" w:rsidRPr="00C02F37" w:rsidRDefault="008E686A" w:rsidP="009376EB">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C02F37">
              <w:rPr>
                <w:rFonts w:ascii="Verdana" w:eastAsia="Calibri" w:hAnsi="Verdana" w:cs="Arial"/>
                <w:lang w:val="es-ES_tradnl"/>
              </w:rPr>
              <w:t>Ley 1150 de 2007, parágrafo 1, Artículo 5.</w:t>
            </w:r>
          </w:p>
        </w:tc>
      </w:tr>
    </w:tbl>
    <w:p w14:paraId="34575D41" w14:textId="77777777" w:rsidR="008E686A" w:rsidRPr="00C02F37" w:rsidRDefault="008E686A" w:rsidP="008E686A">
      <w:pPr>
        <w:spacing w:before="120" w:after="0" w:line="276" w:lineRule="auto"/>
        <w:jc w:val="both"/>
        <w:rPr>
          <w:rFonts w:ascii="Verdana" w:eastAsia="Calibri" w:hAnsi="Verdana" w:cs="Arial"/>
          <w:color w:val="000000"/>
          <w:lang w:eastAsia="es-ES" w:bidi="es-ES"/>
        </w:rPr>
      </w:pPr>
    </w:p>
    <w:p w14:paraId="16A1688C" w14:textId="77777777" w:rsidR="008E686A" w:rsidRPr="00C02F37" w:rsidRDefault="008E686A" w:rsidP="008E686A">
      <w:pPr>
        <w:pStyle w:val="Prrafodelista"/>
        <w:numPr>
          <w:ilvl w:val="0"/>
          <w:numId w:val="18"/>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02F37">
        <w:rPr>
          <w:rFonts w:ascii="Verdana" w:eastAsia="Century Gothic" w:hAnsi="Verdana" w:cs="Century Gothic"/>
          <w:b/>
          <w:bCs/>
        </w:rPr>
        <w:t>Doctrina de la Agencia Nacional de Contratación Pública:</w:t>
      </w:r>
    </w:p>
    <w:p w14:paraId="493485D8" w14:textId="77777777" w:rsidR="008E686A" w:rsidRPr="00C02F37" w:rsidRDefault="008E686A" w:rsidP="008E686A">
      <w:pPr>
        <w:widowControl w:val="0"/>
        <w:autoSpaceDE w:val="0"/>
        <w:autoSpaceDN w:val="0"/>
        <w:spacing w:after="0" w:line="276" w:lineRule="auto"/>
        <w:jc w:val="both"/>
        <w:rPr>
          <w:rFonts w:ascii="Verdana" w:hAnsi="Verdana" w:cs="Arial"/>
        </w:rPr>
      </w:pPr>
    </w:p>
    <w:p w14:paraId="7EFF9824" w14:textId="77777777" w:rsidR="008E686A" w:rsidRPr="00C02F37" w:rsidRDefault="008E686A" w:rsidP="008E686A">
      <w:pPr>
        <w:widowControl w:val="0"/>
        <w:autoSpaceDE w:val="0"/>
        <w:autoSpaceDN w:val="0"/>
        <w:spacing w:after="0" w:line="276" w:lineRule="auto"/>
        <w:jc w:val="both"/>
        <w:rPr>
          <w:rStyle w:val="normaltextrun"/>
          <w:rFonts w:ascii="Verdana" w:hAnsi="Verdana"/>
        </w:rPr>
      </w:pPr>
      <w:r w:rsidRPr="00C02F37">
        <w:rPr>
          <w:rFonts w:ascii="Verdana" w:hAnsi="Verdana"/>
        </w:rPr>
        <w:t xml:space="preserve">En lo relacionado con el ámbito de la consulta, esta Subdirección se ha pronunciado </w:t>
      </w:r>
      <w:r w:rsidRPr="000F7C08">
        <w:rPr>
          <w:rFonts w:ascii="Verdana" w:hAnsi="Verdana" w:cs="Arial"/>
        </w:rPr>
        <w:t>sobre las convocatorias limitadas a MiPymes, sus requisitos y características, en los Conceptos Nro.</w:t>
      </w:r>
      <w:r>
        <w:rPr>
          <w:rFonts w:ascii="Verdana" w:hAnsi="Verdana" w:cs="Arial"/>
        </w:rPr>
        <w:t xml:space="preserve"> </w:t>
      </w:r>
      <w:r w:rsidRPr="000F7C08">
        <w:rPr>
          <w:rFonts w:ascii="Verdana" w:hAnsi="Verdana" w:cs="Arial"/>
        </w:rPr>
        <w:t>C − 366 del 8 de</w:t>
      </w:r>
      <w:r>
        <w:rPr>
          <w:rFonts w:ascii="Verdana" w:hAnsi="Verdana"/>
        </w:rPr>
        <w:t xml:space="preserve"> septiembre de 2023 </w:t>
      </w:r>
      <w:r w:rsidRPr="00C02F37">
        <w:rPr>
          <w:rFonts w:ascii="Verdana" w:hAnsi="Verdana"/>
        </w:rPr>
        <w:t xml:space="preserve">C-436 del 24 de octubre de 2023, C-279 del 31 de octubre de 2023, C-048 del 23 de abril de 2024, C-084 del 30 de mayo de 2024, C-165 del 22 de julio de 2024, C-569 del 21 de octubre del 2024, C-532 del 10 de octubre de 2024, C-586 del 22 de octubre del 2024, C-623 del 30 de octubre del 2024, C-752 del 28 de noviembre del 2024 y C-829 del 03 de diciembre del 2024. </w:t>
      </w:r>
      <w:r w:rsidRPr="00C02F37">
        <w:rPr>
          <w:rStyle w:val="normaltextrun"/>
          <w:rFonts w:ascii="Verdana" w:hAnsi="Verdana" w:cs="Arial"/>
          <w:shd w:val="clear" w:color="auto" w:fill="FFFFFF"/>
          <w:lang w:val="es-ES"/>
        </w:rPr>
        <w:t>Es</w:t>
      </w:r>
      <w:r w:rsidRPr="00C02F37">
        <w:rPr>
          <w:rFonts w:ascii="Verdana" w:hAnsi="Verdana"/>
        </w:rPr>
        <w:t>tos y otros conceptos se encuentran disponibles para consulta en el Sistema de relatoría de la Agencia, al cual se puede acceder a través del siguiente enlace:</w:t>
      </w:r>
      <w:r w:rsidRPr="00C02F37">
        <w:rPr>
          <w:rStyle w:val="normaltextrun"/>
          <w:rFonts w:ascii="Verdana" w:hAnsi="Verdana" w:cs="Arial"/>
          <w:shd w:val="clear" w:color="auto" w:fill="FFFFFF"/>
          <w:lang w:val="es-ES"/>
        </w:rPr>
        <w:t xml:space="preserve"> </w:t>
      </w:r>
      <w:hyperlink r:id="rId12" w:history="1">
        <w:r w:rsidRPr="00C02F37">
          <w:rPr>
            <w:rStyle w:val="Hipervnculo"/>
            <w:rFonts w:ascii="Verdana" w:hAnsi="Verdana" w:cs="Arial"/>
            <w:shd w:val="clear" w:color="auto" w:fill="FFFFFF"/>
            <w:lang w:val="es-ES"/>
          </w:rPr>
          <w:t>https://relatoria.colombiacompra.gov.co/busqueda/conceptos</w:t>
        </w:r>
      </w:hyperlink>
      <w:r w:rsidRPr="00C02F37">
        <w:rPr>
          <w:rStyle w:val="normaltextrun"/>
          <w:rFonts w:ascii="Verdana" w:hAnsi="Verdana" w:cs="Arial"/>
          <w:color w:val="FF0000"/>
          <w:shd w:val="clear" w:color="auto" w:fill="FFFFFF"/>
          <w:lang w:val="es-ES"/>
        </w:rPr>
        <w:t xml:space="preserve">. </w:t>
      </w:r>
    </w:p>
    <w:p w14:paraId="2E7C93C4" w14:textId="77777777" w:rsidR="008E686A" w:rsidRPr="00C02F37" w:rsidRDefault="008E686A" w:rsidP="008E686A">
      <w:pPr>
        <w:widowControl w:val="0"/>
        <w:autoSpaceDE w:val="0"/>
        <w:autoSpaceDN w:val="0"/>
        <w:spacing w:after="0" w:line="276" w:lineRule="auto"/>
        <w:jc w:val="both"/>
        <w:rPr>
          <w:rStyle w:val="normaltextrun"/>
          <w:rFonts w:ascii="Verdana" w:hAnsi="Verdana"/>
          <w:lang w:val="es-ES"/>
        </w:rPr>
      </w:pPr>
    </w:p>
    <w:p w14:paraId="7C3D9540" w14:textId="77777777" w:rsidR="008E686A" w:rsidRPr="000F7C08" w:rsidRDefault="008E686A" w:rsidP="008E686A">
      <w:pPr>
        <w:widowControl w:val="0"/>
        <w:autoSpaceDE w:val="0"/>
        <w:autoSpaceDN w:val="0"/>
        <w:spacing w:after="0" w:line="276" w:lineRule="auto"/>
        <w:jc w:val="both"/>
        <w:rPr>
          <w:rFonts w:ascii="Verdana" w:hAnsi="Verdana" w:cs="Arial"/>
          <w:color w:val="000000" w:themeColor="text1"/>
          <w:shd w:val="clear" w:color="auto" w:fill="FFFFFF"/>
        </w:rPr>
      </w:pPr>
      <w:r>
        <w:rPr>
          <w:rFonts w:ascii="Verdana" w:hAnsi="Verdana" w:cs="Arial"/>
          <w:color w:val="000000" w:themeColor="text1"/>
          <w:shd w:val="clear" w:color="auto" w:fill="FFFFFF"/>
        </w:rPr>
        <w:t>T</w:t>
      </w:r>
      <w:r w:rsidRPr="000F7C08">
        <w:rPr>
          <w:rFonts w:ascii="Verdana" w:hAnsi="Verdana" w:cs="Arial"/>
          <w:color w:val="000000" w:themeColor="text1"/>
          <w:shd w:val="clear" w:color="auto" w:fill="FFFFFF"/>
        </w:rPr>
        <w:t>e informamos que ya se encuentra disponible la </w:t>
      </w:r>
      <w:r w:rsidRPr="000F7C08">
        <w:rPr>
          <w:rFonts w:ascii="Verdana" w:hAnsi="Verdana" w:cs="Arial"/>
          <w:b/>
          <w:bCs/>
          <w:color w:val="000000" w:themeColor="text1"/>
          <w:shd w:val="clear" w:color="auto" w:fill="FFFFFF"/>
        </w:rPr>
        <w:t>Cartilla para incentivar y fortalecer el acceso a las compras y contratación pública de los pueblos y comunidades étnicas en Colombia.</w:t>
      </w:r>
      <w:r w:rsidRPr="000F7C08">
        <w:rPr>
          <w:rFonts w:ascii="Verdana" w:hAnsi="Verdana" w:cs="Arial"/>
          <w:color w:val="000000" w:themeColor="text1"/>
          <w:shd w:val="clear" w:color="auto" w:fill="FFFFFF"/>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3" w:tgtFrame="_blank" w:tooltip="Dirección URL original: https://www.colombiacompra.gov.co/manuales-guias-y-pliegos-tipo/manuales-y-guias/cartilla-para-incentivar-y-fortalecer-el-acceso-las. Haga clic o pulse si confía en este vínculo." w:history="1">
        <w:r w:rsidRPr="000F7C08">
          <w:rPr>
            <w:rStyle w:val="Hipervnculo"/>
            <w:rFonts w:ascii="Verdana" w:hAnsi="Verdana" w:cs="Arial"/>
            <w:shd w:val="clear" w:color="auto" w:fill="FFFFFF"/>
          </w:rPr>
          <w:t>Cartilla para incentivar y fortalecer el acceso a las compras y contratación pública de los pueblos y comunidades étnicas en Colombia | Colombia Compra Eficiente | Agencia Nacional de Contratación Pública</w:t>
        </w:r>
      </w:hyperlink>
    </w:p>
    <w:p w14:paraId="6193AA4A" w14:textId="77777777" w:rsidR="008E686A" w:rsidRDefault="008E686A" w:rsidP="008E686A">
      <w:pPr>
        <w:widowControl w:val="0"/>
        <w:autoSpaceDE w:val="0"/>
        <w:autoSpaceDN w:val="0"/>
        <w:spacing w:after="0" w:line="276" w:lineRule="auto"/>
        <w:jc w:val="both"/>
      </w:pPr>
      <w:r w:rsidRPr="000F7C08">
        <w:rPr>
          <w:rFonts w:ascii="Verdana" w:hAnsi="Verdana" w:cs="Arial"/>
          <w:color w:val="000000" w:themeColor="text1"/>
          <w:shd w:val="clear" w:color="auto" w:fill="FFFFFF"/>
        </w:rPr>
        <w:t>De otra parte, te informamos que, con el objetivo de garantizar un conocimiento adecuado de las </w:t>
      </w:r>
      <w:r w:rsidRPr="000F7C08">
        <w:rPr>
          <w:rFonts w:ascii="Verdana" w:hAnsi="Verdana" w:cs="Arial"/>
          <w:b/>
          <w:bCs/>
          <w:color w:val="000000" w:themeColor="text1"/>
          <w:shd w:val="clear" w:color="auto" w:fill="FFFFFF"/>
        </w:rPr>
        <w:t>modificaciones y/o actualizaciones realizadas a los Documentos Tipo</w:t>
      </w:r>
      <w:r w:rsidRPr="000F7C08">
        <w:rPr>
          <w:rFonts w:ascii="Verdana" w:hAnsi="Verdana" w:cs="Arial"/>
          <w:color w:val="000000" w:themeColor="text1"/>
          <w:shd w:val="clear" w:color="auto" w:fill="FFFFFF"/>
        </w:rPr>
        <w:t>, hemos programado una serie de </w:t>
      </w:r>
      <w:r w:rsidRPr="000F7C08">
        <w:rPr>
          <w:rFonts w:ascii="Verdana" w:hAnsi="Verdana" w:cs="Arial"/>
          <w:b/>
          <w:bCs/>
          <w:color w:val="000000" w:themeColor="text1"/>
          <w:shd w:val="clear" w:color="auto" w:fill="FFFFFF"/>
        </w:rPr>
        <w:t>capacitaciones </w:t>
      </w:r>
      <w:r w:rsidRPr="000F7C08">
        <w:rPr>
          <w:rFonts w:ascii="Verdana" w:hAnsi="Verdana" w:cs="Arial"/>
          <w:color w:val="000000" w:themeColor="text1"/>
          <w:shd w:val="clear" w:color="auto" w:fill="FFFFFF"/>
        </w:rPr>
        <w:t>dirigidas a todos los actores involucrados en los procesos de selección. Podrás conocer la programación y realizar tu inscripción a estas capacitaciones a través del siguiente enlace: </w:t>
      </w:r>
      <w:hyperlink r:id="rId14" w:tgtFrame="_blank" w:tooltip="Dirección URL original: https://www.colombiacompra.gov.co/ciudadanos/calendario. Haga clic o pulse si confía en este vínculo." w:history="1">
        <w:r w:rsidRPr="000F7C08">
          <w:rPr>
            <w:rStyle w:val="Hipervnculo"/>
            <w:rFonts w:ascii="Verdana" w:hAnsi="Verdana" w:cs="Arial"/>
            <w:shd w:val="clear" w:color="auto" w:fill="FFFFFF"/>
          </w:rPr>
          <w:t>Calendario | Colombia Compra Eficiente | Agencia Nacional de Contratación Pública</w:t>
        </w:r>
      </w:hyperlink>
    </w:p>
    <w:p w14:paraId="78F8C467" w14:textId="77777777" w:rsidR="008E686A" w:rsidRPr="000F7C08" w:rsidRDefault="008E686A" w:rsidP="008E686A">
      <w:pPr>
        <w:widowControl w:val="0"/>
        <w:autoSpaceDE w:val="0"/>
        <w:autoSpaceDN w:val="0"/>
        <w:spacing w:after="0" w:line="276" w:lineRule="auto"/>
        <w:jc w:val="both"/>
        <w:rPr>
          <w:rFonts w:ascii="Verdana" w:hAnsi="Verdana" w:cs="Arial"/>
          <w:color w:val="000000" w:themeColor="text1"/>
          <w:shd w:val="clear" w:color="auto" w:fill="FFFFFF"/>
        </w:rPr>
      </w:pPr>
    </w:p>
    <w:p w14:paraId="7A93965B" w14:textId="77777777" w:rsidR="008E686A" w:rsidRPr="000F7C08" w:rsidRDefault="008E686A" w:rsidP="008E686A">
      <w:pPr>
        <w:widowControl w:val="0"/>
        <w:autoSpaceDE w:val="0"/>
        <w:autoSpaceDN w:val="0"/>
        <w:spacing w:after="0" w:line="276" w:lineRule="auto"/>
        <w:jc w:val="both"/>
        <w:rPr>
          <w:rFonts w:ascii="Verdana" w:hAnsi="Verdana" w:cs="Arial"/>
          <w:color w:val="000000" w:themeColor="text1"/>
          <w:shd w:val="clear" w:color="auto" w:fill="FFFFFF"/>
        </w:rPr>
      </w:pPr>
      <w:r w:rsidRPr="000F7C08">
        <w:rPr>
          <w:rFonts w:ascii="Verdana" w:hAnsi="Verdana" w:cs="Arial"/>
          <w:color w:val="000000" w:themeColor="text1"/>
          <w:shd w:val="clear" w:color="auto" w:fill="FFFFFF"/>
        </w:rPr>
        <w:t>También, te contamos que ya publicamos </w:t>
      </w:r>
      <w:r w:rsidRPr="000F7C08">
        <w:rPr>
          <w:rFonts w:ascii="Verdana" w:hAnsi="Verdana" w:cs="Arial"/>
          <w:b/>
          <w:bCs/>
          <w:color w:val="000000" w:themeColor="text1"/>
          <w:shd w:val="clear" w:color="auto" w:fill="FFFFFF"/>
        </w:rPr>
        <w:t>la nueva Guía de Contratación Pública Sostenible y Socialmente Responsable</w:t>
      </w:r>
      <w:r w:rsidRPr="000F7C08">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tooltip="Dirección URL original: https://www.colombiacompra.gov.co/manuales-guias-y-pliegos-tipo/manuales-y-guias/guia-de-contratacion-publica-sostenible-y-socialmente. Haga clic o pulse si confía en este vínculo." w:history="1">
        <w:r w:rsidRPr="000F7C08">
          <w:rPr>
            <w:rStyle w:val="Hipervnculo"/>
            <w:rFonts w:ascii="Verdana" w:hAnsi="Verdana" w:cs="Arial"/>
            <w:shd w:val="clear" w:color="auto" w:fill="FFFFFF"/>
          </w:rPr>
          <w:t xml:space="preserve">Guía de Contratación Pública Sostenible y Socialmente </w:t>
        </w:r>
        <w:r w:rsidRPr="000F7C08">
          <w:rPr>
            <w:rStyle w:val="Hipervnculo"/>
            <w:rFonts w:ascii="Verdana" w:hAnsi="Verdana" w:cs="Arial"/>
            <w:shd w:val="clear" w:color="auto" w:fill="FFFFFF"/>
          </w:rPr>
          <w:lastRenderedPageBreak/>
          <w:t>Responsable | Colombia Compra Eficiente | Agencia Nacional de Contratación Pública</w:t>
        </w:r>
      </w:hyperlink>
    </w:p>
    <w:p w14:paraId="0AFC137A" w14:textId="77777777" w:rsidR="008E686A" w:rsidRPr="00C02F37" w:rsidRDefault="008E686A" w:rsidP="008E686A">
      <w:pPr>
        <w:widowControl w:val="0"/>
        <w:autoSpaceDE w:val="0"/>
        <w:autoSpaceDN w:val="0"/>
        <w:spacing w:after="0" w:line="276" w:lineRule="auto"/>
        <w:jc w:val="both"/>
        <w:rPr>
          <w:rFonts w:ascii="Verdana" w:hAnsi="Verdana" w:cs="Arial"/>
          <w:color w:val="000000" w:themeColor="text1"/>
          <w:shd w:val="clear" w:color="auto" w:fill="FFFFFF"/>
        </w:rPr>
      </w:pPr>
    </w:p>
    <w:p w14:paraId="0383F0E3" w14:textId="77777777" w:rsidR="008E686A" w:rsidRPr="00C02F37" w:rsidRDefault="008E686A" w:rsidP="008E686A">
      <w:pPr>
        <w:widowControl w:val="0"/>
        <w:autoSpaceDE w:val="0"/>
        <w:autoSpaceDN w:val="0"/>
        <w:spacing w:after="0" w:line="276" w:lineRule="auto"/>
        <w:jc w:val="both"/>
        <w:rPr>
          <w:rFonts w:ascii="Verdana" w:hAnsi="Verdana"/>
        </w:rPr>
      </w:pPr>
      <w:r w:rsidRPr="00C02F37">
        <w:rPr>
          <w:rFonts w:ascii="Verdana" w:hAnsi="Verdana"/>
        </w:rPr>
        <w:t xml:space="preserve">Por último, lo invitamos a seguirnos en las redes sociales en las cuales se difunde información institucional: </w:t>
      </w:r>
    </w:p>
    <w:p w14:paraId="77BCE577" w14:textId="77777777" w:rsidR="008E686A" w:rsidRPr="00C02F37" w:rsidRDefault="008E686A" w:rsidP="008E686A">
      <w:pPr>
        <w:widowControl w:val="0"/>
        <w:autoSpaceDE w:val="0"/>
        <w:autoSpaceDN w:val="0"/>
        <w:spacing w:after="0" w:line="276" w:lineRule="auto"/>
        <w:jc w:val="both"/>
        <w:rPr>
          <w:rFonts w:ascii="Verdana" w:hAnsi="Verdana"/>
        </w:rPr>
      </w:pPr>
    </w:p>
    <w:p w14:paraId="24BBFE7E" w14:textId="77777777" w:rsidR="008E686A" w:rsidRPr="00C02F37" w:rsidRDefault="008E686A" w:rsidP="008E686A">
      <w:pPr>
        <w:spacing w:after="0" w:line="240" w:lineRule="auto"/>
        <w:jc w:val="both"/>
        <w:rPr>
          <w:rFonts w:ascii="Verdana" w:hAnsi="Verdana"/>
        </w:rPr>
      </w:pPr>
      <w:r w:rsidRPr="00C02F37">
        <w:rPr>
          <w:rFonts w:ascii="Verdana" w:hAnsi="Verdana"/>
        </w:rPr>
        <w:t xml:space="preserve">Twitter: </w:t>
      </w:r>
      <w:r w:rsidRPr="00C02F37">
        <w:rPr>
          <w:rStyle w:val="Hipervnculo"/>
          <w:rFonts w:ascii="Verdana" w:hAnsi="Verdana" w:cs="Arial"/>
          <w:shd w:val="clear" w:color="auto" w:fill="FFFFFF"/>
          <w:lang w:val="es-ES"/>
        </w:rPr>
        <w:t>@colombiacompra</w:t>
      </w:r>
      <w:r w:rsidRPr="00C02F37">
        <w:rPr>
          <w:rFonts w:ascii="Verdana" w:eastAsia="Aptos" w:hAnsi="Verdana" w:cs="Times New Roman"/>
          <w:color w:val="156082"/>
        </w:rPr>
        <w:t xml:space="preserve"> </w:t>
      </w:r>
    </w:p>
    <w:p w14:paraId="5B1EEFC7" w14:textId="77777777" w:rsidR="008E686A" w:rsidRPr="00C02F37" w:rsidRDefault="008E686A" w:rsidP="008E686A">
      <w:pPr>
        <w:spacing w:after="0" w:line="240" w:lineRule="auto"/>
        <w:jc w:val="both"/>
        <w:rPr>
          <w:rFonts w:ascii="Verdana" w:hAnsi="Verdana"/>
        </w:rPr>
      </w:pPr>
      <w:r w:rsidRPr="00C02F37">
        <w:rPr>
          <w:rFonts w:ascii="Verdana" w:hAnsi="Verdana"/>
        </w:rPr>
        <w:t xml:space="preserve">Facebook: </w:t>
      </w:r>
      <w:r w:rsidRPr="00C02F37">
        <w:rPr>
          <w:rStyle w:val="Hipervnculo"/>
          <w:rFonts w:ascii="Verdana" w:hAnsi="Verdana" w:cs="Arial"/>
          <w:shd w:val="clear" w:color="auto" w:fill="FFFFFF"/>
          <w:lang w:val="es-ES"/>
        </w:rPr>
        <w:t>ColombiaCompraEficiente</w:t>
      </w:r>
    </w:p>
    <w:p w14:paraId="4CE1947C" w14:textId="77777777" w:rsidR="008E686A" w:rsidRPr="00C02F37" w:rsidRDefault="008E686A" w:rsidP="008E686A">
      <w:pPr>
        <w:spacing w:after="0" w:line="240" w:lineRule="auto"/>
        <w:jc w:val="both"/>
        <w:rPr>
          <w:rFonts w:ascii="Verdana" w:hAnsi="Verdana"/>
        </w:rPr>
      </w:pPr>
      <w:r w:rsidRPr="00C02F37">
        <w:rPr>
          <w:rFonts w:ascii="Verdana" w:hAnsi="Verdana"/>
        </w:rPr>
        <w:t xml:space="preserve">LinkedIn: </w:t>
      </w:r>
      <w:r w:rsidRPr="00C02F37">
        <w:rPr>
          <w:rStyle w:val="Hipervnculo"/>
          <w:rFonts w:ascii="Verdana" w:hAnsi="Verdana" w:cs="Arial"/>
          <w:shd w:val="clear" w:color="auto" w:fill="FFFFFF"/>
          <w:lang w:val="es-ES"/>
        </w:rPr>
        <w:t>Agencia Nacional de Contratación Pública - Colombia Compra Eficiente</w:t>
      </w:r>
      <w:r w:rsidRPr="00C02F37">
        <w:rPr>
          <w:rFonts w:ascii="Verdana" w:eastAsia="Aptos" w:hAnsi="Verdana" w:cs="Times New Roman"/>
          <w:color w:val="156082"/>
        </w:rPr>
        <w:t xml:space="preserve"> </w:t>
      </w:r>
      <w:r w:rsidRPr="00C02F37">
        <w:rPr>
          <w:rFonts w:ascii="Verdana" w:hAnsi="Verdana"/>
        </w:rPr>
        <w:t xml:space="preserve">Instagram: </w:t>
      </w:r>
      <w:r w:rsidRPr="00C02F37">
        <w:rPr>
          <w:rStyle w:val="Hipervnculo"/>
          <w:rFonts w:ascii="Verdana" w:hAnsi="Verdana" w:cs="Arial"/>
          <w:shd w:val="clear" w:color="auto" w:fill="FFFFFF"/>
          <w:lang w:val="es-ES"/>
        </w:rPr>
        <w:t>@colombiacompraeficiente_cce</w:t>
      </w:r>
    </w:p>
    <w:p w14:paraId="050A482B" w14:textId="77777777" w:rsidR="008E686A" w:rsidRPr="00C02F37" w:rsidRDefault="008E686A" w:rsidP="008E686A">
      <w:pPr>
        <w:widowControl w:val="0"/>
        <w:autoSpaceDE w:val="0"/>
        <w:autoSpaceDN w:val="0"/>
        <w:spacing w:after="0" w:line="276" w:lineRule="auto"/>
        <w:jc w:val="both"/>
        <w:rPr>
          <w:rFonts w:ascii="Verdana" w:hAnsi="Verdana"/>
        </w:rPr>
      </w:pPr>
    </w:p>
    <w:p w14:paraId="767F5B68" w14:textId="77777777" w:rsidR="008E686A" w:rsidRPr="00C02F37" w:rsidRDefault="008E686A" w:rsidP="008E686A">
      <w:pPr>
        <w:widowControl w:val="0"/>
        <w:autoSpaceDE w:val="0"/>
        <w:autoSpaceDN w:val="0"/>
        <w:spacing w:after="0" w:line="276" w:lineRule="auto"/>
        <w:jc w:val="both"/>
        <w:rPr>
          <w:rFonts w:ascii="Verdana" w:eastAsia="Aptos" w:hAnsi="Verdana" w:cs="Arial"/>
          <w:lang w:val="es-ES_tradnl"/>
        </w:rPr>
      </w:pPr>
      <w:r w:rsidRPr="00C02F37">
        <w:rPr>
          <w:rFonts w:ascii="Verdana" w:eastAsia="Aptos" w:hAnsi="Verdana" w:cs="Arial"/>
        </w:rPr>
        <w:t xml:space="preserve">Este concepto tiene el alcance previsto en el artículo 28 del Código de Procedimiento Administrativo y de lo Contencioso Administrativo </w:t>
      </w:r>
      <w:r w:rsidRPr="00C02F37">
        <w:rPr>
          <w:rFonts w:ascii="Verdana" w:eastAsia="Aptos" w:hAnsi="Verdana" w:cs="Arial"/>
          <w:lang w:val="es-ES_tradnl"/>
        </w:rPr>
        <w:t>y las expresiones aquí utilizadas con mayúscula inicial deben ser entendidas con el significado que les otorga el artículo 2.2.1.1.1.3.1. del Decreto 1082 de 2015.</w:t>
      </w:r>
    </w:p>
    <w:p w14:paraId="0EE2910E" w14:textId="77777777" w:rsidR="008E686A" w:rsidRPr="00C02F37" w:rsidRDefault="008E686A" w:rsidP="008E686A">
      <w:pPr>
        <w:widowControl w:val="0"/>
        <w:autoSpaceDE w:val="0"/>
        <w:autoSpaceDN w:val="0"/>
        <w:spacing w:after="0" w:line="276" w:lineRule="auto"/>
        <w:jc w:val="both"/>
        <w:rPr>
          <w:rFonts w:ascii="Verdana" w:eastAsia="Aptos" w:hAnsi="Verdana" w:cs="Arial"/>
        </w:rPr>
      </w:pPr>
    </w:p>
    <w:p w14:paraId="24E38BB2" w14:textId="77777777" w:rsidR="008E686A" w:rsidRPr="00C02F37" w:rsidRDefault="008E686A" w:rsidP="008E686A">
      <w:pPr>
        <w:spacing w:after="0" w:line="240" w:lineRule="auto"/>
        <w:rPr>
          <w:rFonts w:ascii="Verdana" w:hAnsi="Verdana" w:cs="Arial"/>
          <w:lang w:eastAsia="es-CO"/>
        </w:rPr>
      </w:pPr>
      <w:r w:rsidRPr="00C02F37">
        <w:rPr>
          <w:rFonts w:ascii="Verdana" w:eastAsia="Times New Roman" w:hAnsi="Verdana" w:cs="Arial"/>
          <w:lang w:eastAsia="es-CO"/>
        </w:rPr>
        <w:t>Atentamente,</w:t>
      </w:r>
      <w:r w:rsidRPr="00C02F37">
        <w:rPr>
          <w:rFonts w:ascii="Verdana" w:hAnsi="Verdana" w:cs="Arial"/>
          <w:lang w:eastAsia="es-CO"/>
        </w:rPr>
        <w:t xml:space="preserve"> </w:t>
      </w:r>
    </w:p>
    <w:p w14:paraId="36C96079" w14:textId="407E2F86" w:rsidR="008E686A" w:rsidRPr="00E517D9" w:rsidRDefault="00B37200" w:rsidP="00B93CE6">
      <w:pPr>
        <w:spacing w:line="276" w:lineRule="auto"/>
        <w:jc w:val="center"/>
        <w:rPr>
          <w:rFonts w:ascii="Verdana" w:eastAsia="Times New Roman" w:hAnsi="Verdana" w:cs="Arial"/>
          <w:color w:val="000000"/>
          <w:lang w:eastAsia="es-CO"/>
        </w:rPr>
      </w:pPr>
      <w:r w:rsidRPr="00800065">
        <w:rPr>
          <w:rFonts w:ascii="Verdana" w:hAnsi="Verdana" w:cs="Arial"/>
          <w:noProof/>
          <w:color w:val="000000"/>
          <w:lang w:eastAsia="es-CO"/>
        </w:rPr>
        <w:drawing>
          <wp:inline distT="0" distB="0" distL="0" distR="0" wp14:anchorId="43F1F288" wp14:editId="33F236DB">
            <wp:extent cx="3969107" cy="1706880"/>
            <wp:effectExtent l="0" t="0" r="0" b="7620"/>
            <wp:docPr id="367234919"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89805" cy="1715781"/>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E686A" w:rsidRPr="001827D1" w14:paraId="010BA8F3" w14:textId="77777777" w:rsidTr="009376EB">
        <w:trPr>
          <w:trHeight w:val="315"/>
        </w:trPr>
        <w:tc>
          <w:tcPr>
            <w:tcW w:w="893" w:type="dxa"/>
            <w:vAlign w:val="center"/>
            <w:hideMark/>
          </w:tcPr>
          <w:p w14:paraId="6686C504" w14:textId="77777777" w:rsidR="008E686A" w:rsidRPr="001827D1" w:rsidRDefault="008E686A" w:rsidP="009376EB">
            <w:pPr>
              <w:contextualSpacing/>
              <w:rPr>
                <w:rFonts w:ascii="Verdana" w:eastAsia="Times New Roman" w:hAnsi="Verdana" w:cs="Arial"/>
                <w:color w:val="000000"/>
                <w:sz w:val="16"/>
                <w:szCs w:val="16"/>
                <w:lang w:val="es-ES" w:eastAsia="es-ES"/>
              </w:rPr>
            </w:pPr>
            <w:r w:rsidRPr="001827D1">
              <w:rPr>
                <w:rFonts w:ascii="Verdana" w:eastAsia="Times New Roman" w:hAnsi="Verdana" w:cs="Arial"/>
                <w:color w:val="000000"/>
                <w:sz w:val="16"/>
                <w:szCs w:val="16"/>
                <w:lang w:val="es-ES" w:eastAsia="es-ES"/>
              </w:rPr>
              <w:t>Elaboró:</w:t>
            </w:r>
          </w:p>
        </w:tc>
        <w:tc>
          <w:tcPr>
            <w:tcW w:w="5628" w:type="dxa"/>
            <w:tcBorders>
              <w:top w:val="nil"/>
              <w:left w:val="nil"/>
              <w:bottom w:val="dotted" w:sz="4" w:space="0" w:color="7F7F7F"/>
              <w:right w:val="nil"/>
            </w:tcBorders>
            <w:vAlign w:val="center"/>
            <w:hideMark/>
          </w:tcPr>
          <w:p w14:paraId="5B411A18" w14:textId="77777777" w:rsidR="008E686A" w:rsidRPr="001827D1" w:rsidRDefault="008E686A" w:rsidP="009376EB">
            <w:pPr>
              <w:contextualSpacing/>
              <w:rPr>
                <w:rFonts w:ascii="Verdana" w:eastAsia="Arial" w:hAnsi="Verdana" w:cs="Arial"/>
                <w:color w:val="000000"/>
                <w:sz w:val="16"/>
                <w:szCs w:val="16"/>
              </w:rPr>
            </w:pPr>
            <w:r>
              <w:rPr>
                <w:rFonts w:ascii="Verdana" w:eastAsia="Times New Roman" w:hAnsi="Verdana" w:cs="Arial"/>
                <w:color w:val="000000"/>
                <w:sz w:val="16"/>
                <w:szCs w:val="16"/>
              </w:rPr>
              <w:t>María Joshira Nieto Manzano</w:t>
            </w:r>
          </w:p>
          <w:p w14:paraId="6B92FD48" w14:textId="77777777" w:rsidR="008E686A" w:rsidRPr="001827D1" w:rsidRDefault="008E686A" w:rsidP="009376EB">
            <w:pPr>
              <w:contextualSpacing/>
              <w:rPr>
                <w:rFonts w:ascii="Verdana" w:eastAsia="Arial" w:hAnsi="Verdana" w:cs="Arial"/>
                <w:color w:val="000000"/>
                <w:sz w:val="16"/>
                <w:szCs w:val="16"/>
              </w:rPr>
            </w:pPr>
            <w:r w:rsidRPr="001827D1">
              <w:rPr>
                <w:rFonts w:ascii="Verdana" w:eastAsia="Arial" w:hAnsi="Verdana" w:cs="Arial"/>
                <w:color w:val="000000"/>
                <w:sz w:val="16"/>
                <w:szCs w:val="16"/>
              </w:rPr>
              <w:t>Contratista de la Subdirección de Gestión Contractual</w:t>
            </w:r>
          </w:p>
        </w:tc>
      </w:tr>
      <w:tr w:rsidR="008E686A" w:rsidRPr="001827D1" w14:paraId="51EE9CBB" w14:textId="77777777" w:rsidTr="009376EB">
        <w:trPr>
          <w:trHeight w:val="330"/>
        </w:trPr>
        <w:tc>
          <w:tcPr>
            <w:tcW w:w="893" w:type="dxa"/>
            <w:vAlign w:val="center"/>
            <w:hideMark/>
          </w:tcPr>
          <w:p w14:paraId="375D1412" w14:textId="77777777" w:rsidR="008E686A" w:rsidRPr="001827D1" w:rsidRDefault="008E686A" w:rsidP="009376EB">
            <w:pPr>
              <w:contextualSpacing/>
              <w:rPr>
                <w:rFonts w:ascii="Verdana" w:eastAsia="Times New Roman" w:hAnsi="Verdana" w:cs="Arial"/>
                <w:color w:val="000000"/>
                <w:sz w:val="16"/>
                <w:szCs w:val="16"/>
                <w:lang w:val="es-ES" w:eastAsia="es-ES"/>
              </w:rPr>
            </w:pPr>
            <w:r w:rsidRPr="001827D1">
              <w:rPr>
                <w:rFonts w:ascii="Verdana" w:eastAsia="Times New Roman" w:hAnsi="Verdana" w:cs="Arial"/>
                <w:color w:val="000000"/>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08D7CD50" w14:textId="77777777" w:rsidR="008E686A" w:rsidRPr="00FC5545" w:rsidRDefault="008E686A" w:rsidP="009376EB">
            <w:pPr>
              <w:contextualSpacing/>
              <w:rPr>
                <w:rFonts w:ascii="Verdana" w:eastAsia="Times New Roman" w:hAnsi="Verdana" w:cs="Arial"/>
                <w:color w:val="000000"/>
                <w:sz w:val="16"/>
                <w:szCs w:val="16"/>
              </w:rPr>
            </w:pPr>
            <w:r w:rsidRPr="00FC5545">
              <w:rPr>
                <w:rFonts w:ascii="Verdana" w:eastAsia="Times New Roman" w:hAnsi="Verdana" w:cs="Arial"/>
                <w:color w:val="000000"/>
                <w:sz w:val="16"/>
                <w:szCs w:val="16"/>
              </w:rPr>
              <w:t xml:space="preserve">Diana Lucia Saavedra Castañeda </w:t>
            </w:r>
          </w:p>
          <w:p w14:paraId="59EC1BAD" w14:textId="77777777" w:rsidR="008E686A" w:rsidRPr="00FC5545" w:rsidRDefault="008E686A" w:rsidP="009376EB">
            <w:pPr>
              <w:contextualSpacing/>
              <w:textAlignment w:val="baseline"/>
              <w:rPr>
                <w:rFonts w:ascii="Verdana" w:eastAsia="Times New Roman" w:hAnsi="Verdana" w:cs="Arial"/>
                <w:color w:val="000000"/>
                <w:sz w:val="16"/>
                <w:szCs w:val="16"/>
              </w:rPr>
            </w:pPr>
            <w:r w:rsidRPr="00FC5545">
              <w:rPr>
                <w:rFonts w:ascii="Verdana" w:eastAsia="Times New Roman" w:hAnsi="Verdana" w:cs="Arial"/>
                <w:color w:val="000000"/>
                <w:sz w:val="16"/>
                <w:szCs w:val="16"/>
              </w:rPr>
              <w:t>Contratista de la Subdirección de Gestión Contractual</w:t>
            </w:r>
          </w:p>
        </w:tc>
      </w:tr>
      <w:tr w:rsidR="008E686A" w:rsidRPr="001827D1" w14:paraId="7F656838" w14:textId="77777777" w:rsidTr="009376EB">
        <w:trPr>
          <w:trHeight w:val="300"/>
        </w:trPr>
        <w:tc>
          <w:tcPr>
            <w:tcW w:w="893" w:type="dxa"/>
            <w:vAlign w:val="center"/>
          </w:tcPr>
          <w:p w14:paraId="49FF8674" w14:textId="77777777" w:rsidR="008E686A" w:rsidRPr="001827D1" w:rsidRDefault="008E686A" w:rsidP="009376EB">
            <w:pPr>
              <w:contextualSpacing/>
              <w:rPr>
                <w:rFonts w:ascii="Verdana" w:eastAsia="Times New Roman" w:hAnsi="Verdana" w:cs="Arial"/>
                <w:color w:val="000000"/>
                <w:sz w:val="16"/>
                <w:szCs w:val="16"/>
                <w:lang w:val="es-ES" w:eastAsia="es-ES"/>
              </w:rPr>
            </w:pPr>
            <w:r w:rsidRPr="001827D1">
              <w:rPr>
                <w:rFonts w:ascii="Verdana" w:eastAsia="Times New Roman" w:hAnsi="Verdana" w:cs="Arial"/>
                <w:color w:val="000000"/>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6AD5E5C8" w14:textId="77777777" w:rsidR="008E686A" w:rsidRPr="00FC5545" w:rsidRDefault="008E686A" w:rsidP="009376EB">
            <w:pPr>
              <w:contextualSpacing/>
              <w:rPr>
                <w:rFonts w:ascii="Verdana" w:eastAsia="Times New Roman" w:hAnsi="Verdana" w:cs="Arial"/>
                <w:color w:val="000000"/>
                <w:sz w:val="16"/>
                <w:szCs w:val="16"/>
              </w:rPr>
            </w:pPr>
            <w:r w:rsidRPr="00FC5545">
              <w:rPr>
                <w:rFonts w:ascii="Verdana" w:eastAsia="Times New Roman" w:hAnsi="Verdana" w:cs="Arial"/>
                <w:color w:val="000000"/>
                <w:sz w:val="16"/>
                <w:szCs w:val="16"/>
              </w:rPr>
              <w:t>Carolina Quintero Gacharná</w:t>
            </w:r>
          </w:p>
          <w:p w14:paraId="2ADD1B19" w14:textId="77777777" w:rsidR="008E686A" w:rsidRPr="00FC5545" w:rsidRDefault="008E686A" w:rsidP="009376EB">
            <w:pPr>
              <w:contextualSpacing/>
              <w:rPr>
                <w:rFonts w:ascii="Verdana" w:eastAsia="Times New Roman" w:hAnsi="Verdana" w:cs="Arial"/>
                <w:color w:val="000000"/>
                <w:sz w:val="16"/>
                <w:szCs w:val="16"/>
              </w:rPr>
            </w:pPr>
            <w:r w:rsidRPr="00FC5545">
              <w:rPr>
                <w:rFonts w:ascii="Verdana" w:eastAsia="Times New Roman" w:hAnsi="Verdana" w:cs="Arial"/>
                <w:color w:val="000000"/>
                <w:sz w:val="16"/>
                <w:szCs w:val="16"/>
              </w:rPr>
              <w:t>Subdirectora de Gestión Contractual ANCP – CCE</w:t>
            </w:r>
          </w:p>
        </w:tc>
      </w:tr>
    </w:tbl>
    <w:p w14:paraId="705C19E3" w14:textId="77777777" w:rsidR="008E686A" w:rsidRPr="000A7E2C" w:rsidRDefault="008E686A" w:rsidP="008E686A">
      <w:pPr>
        <w:spacing w:after="0" w:line="240" w:lineRule="auto"/>
      </w:pPr>
    </w:p>
    <w:p w14:paraId="185A08E3" w14:textId="77777777" w:rsidR="008E686A" w:rsidRPr="0041392B" w:rsidRDefault="008E686A" w:rsidP="008E686A">
      <w:pPr>
        <w:spacing w:after="0" w:line="240" w:lineRule="auto"/>
        <w:jc w:val="both"/>
      </w:pPr>
    </w:p>
    <w:p w14:paraId="5113A3D6" w14:textId="77777777" w:rsidR="008E686A" w:rsidRPr="00984937" w:rsidRDefault="008E686A" w:rsidP="008E686A">
      <w:pPr>
        <w:spacing w:line="276" w:lineRule="auto"/>
        <w:jc w:val="center"/>
        <w:rPr>
          <w:rFonts w:ascii="Verdana" w:eastAsia="Times New Roman" w:hAnsi="Verdana" w:cs="Segoe UI"/>
          <w:b/>
          <w:bCs/>
          <w:color w:val="46589C"/>
          <w:lang w:eastAsia="es-CO"/>
        </w:rPr>
      </w:pPr>
    </w:p>
    <w:p w14:paraId="3900974D" w14:textId="77777777" w:rsidR="003D5B0D" w:rsidRPr="008E686A" w:rsidRDefault="003D5B0D" w:rsidP="008E686A">
      <w:pPr>
        <w:spacing w:after="0"/>
        <w:rPr>
          <w:rFonts w:ascii="Verdana" w:eastAsia="Times New Roman" w:hAnsi="Verdana" w:cs="Segoe UI"/>
          <w:b/>
          <w:bCs/>
          <w:color w:val="46589C"/>
          <w:lang w:eastAsia="es-CO"/>
        </w:rPr>
      </w:pPr>
    </w:p>
    <w:sectPr w:rsidR="003D5B0D" w:rsidRPr="008E686A"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E9B45" w14:textId="77777777" w:rsidR="00CF1742" w:rsidRDefault="00CF1742" w:rsidP="004A1847">
      <w:pPr>
        <w:spacing w:after="0" w:line="240" w:lineRule="auto"/>
      </w:pPr>
      <w:r>
        <w:separator/>
      </w:r>
    </w:p>
  </w:endnote>
  <w:endnote w:type="continuationSeparator" w:id="0">
    <w:p w14:paraId="6537BA2C" w14:textId="77777777" w:rsidR="00CF1742" w:rsidRDefault="00CF174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84F52" w14:textId="77777777" w:rsidR="00CF1742" w:rsidRDefault="00CF1742" w:rsidP="004A1847">
      <w:pPr>
        <w:spacing w:after="0" w:line="240" w:lineRule="auto"/>
      </w:pPr>
      <w:r>
        <w:separator/>
      </w:r>
    </w:p>
  </w:footnote>
  <w:footnote w:type="continuationSeparator" w:id="0">
    <w:p w14:paraId="25F99155" w14:textId="77777777" w:rsidR="00CF1742" w:rsidRDefault="00CF1742" w:rsidP="004A1847">
      <w:pPr>
        <w:spacing w:after="0" w:line="240" w:lineRule="auto"/>
      </w:pPr>
      <w:r>
        <w:continuationSeparator/>
      </w:r>
    </w:p>
  </w:footnote>
  <w:footnote w:id="1">
    <w:p w14:paraId="0BA6EDEE" w14:textId="77777777" w:rsidR="008E686A" w:rsidRPr="00D37D18" w:rsidRDefault="008E686A" w:rsidP="008E686A">
      <w:pPr>
        <w:pStyle w:val="Textonotapie"/>
        <w:ind w:firstLine="708"/>
        <w:jc w:val="both"/>
        <w:rPr>
          <w:rFonts w:ascii="Verdana" w:hAnsi="Verdana" w:cs="Arial"/>
          <w:sz w:val="18"/>
          <w:szCs w:val="18"/>
        </w:rPr>
      </w:pPr>
      <w:r w:rsidRPr="0040622E">
        <w:rPr>
          <w:rStyle w:val="Refdenotaalpie"/>
          <w:rFonts w:ascii="Verdana" w:hAnsi="Verdana" w:cs="Arial"/>
          <w:sz w:val="10"/>
          <w:szCs w:val="10"/>
        </w:rPr>
        <w:footnoteRef/>
      </w:r>
      <w:r w:rsidRPr="0040622E">
        <w:rPr>
          <w:rFonts w:ascii="Verdana" w:hAnsi="Verdana" w:cs="Arial"/>
          <w:sz w:val="10"/>
          <w:szCs w:val="10"/>
        </w:rPr>
        <w:t xml:space="preserve"> </w:t>
      </w:r>
      <w:r w:rsidRPr="00D37D18">
        <w:rPr>
          <w:rFonts w:ascii="Verdana" w:hAnsi="Verdana" w:cs="Arial"/>
          <w:sz w:val="18"/>
          <w:szCs w:val="18"/>
        </w:rPr>
        <w:t>Al respecto, de acuerdo con el Concepto C-089 del 28 de abril de 2023, la Agencia estima que “el debido ejercicio de la referida potestad discrecional exige que converjan unos mínimos presupuestos de adecuación, para que resulte adecuada la decisión de limitar una convocatoria a la participación exclusiva de MiPymes. Es por esto por lo que la decisión de limitar territorialmente una convocatoria solo puede resultar razonable si la información recolectada en el marco del análisis del sector indica que en el lugar de ejecución del contrato existe un número significativo de MiPymes allí domiciliadas, cuyo objeto social les permitiría desarrollar el contrato o que estén interesadas en participar en el respectivo proceso de contratación. Adicionalmente, se torna relevante determinar que tantas de esas MiPymes tendrían la posibilidad de participar en el respectivo proceso de contratación en consideración en atención a las aptitudes e idoneidad requerida.  De acuerdo con lo anterior, difícilmente podría entenderse adecuada la decisión de limitar una convocatoria por el referido factor territorial, si dentro del estudio del sector no se identifican una pluralidad de MiPymes que estén en posición de participar en el respectivo proceso.</w:t>
      </w:r>
    </w:p>
    <w:p w14:paraId="1E027896" w14:textId="77777777" w:rsidR="008E686A" w:rsidRPr="00D37D18" w:rsidRDefault="008E686A" w:rsidP="008E686A">
      <w:pPr>
        <w:pStyle w:val="Textonotapie"/>
        <w:ind w:firstLine="708"/>
        <w:jc w:val="both"/>
        <w:rPr>
          <w:rFonts w:ascii="Verdana" w:hAnsi="Verdana" w:cs="Arial"/>
          <w:sz w:val="18"/>
          <w:szCs w:val="18"/>
        </w:rPr>
      </w:pPr>
    </w:p>
    <w:p w14:paraId="5FD8E403" w14:textId="77777777" w:rsidR="008E686A" w:rsidRPr="00D37D18" w:rsidRDefault="008E686A" w:rsidP="008E686A">
      <w:pPr>
        <w:pStyle w:val="Textonotapie"/>
        <w:ind w:firstLine="708"/>
        <w:jc w:val="both"/>
        <w:rPr>
          <w:rFonts w:ascii="Verdana" w:hAnsi="Verdana" w:cs="Arial"/>
          <w:sz w:val="18"/>
          <w:szCs w:val="18"/>
        </w:rPr>
      </w:pPr>
      <w:r w:rsidRPr="00D37D18">
        <w:rPr>
          <w:rFonts w:ascii="Verdana" w:hAnsi="Verdana" w:cs="Arial"/>
          <w:sz w:val="18"/>
          <w:szCs w:val="18"/>
        </w:rPr>
        <w:t>En atención a lo anterior, situaciones en las que se presentan un ejercicio de la potestad de limitar a MiPymes desconociendo los anteriores presupuestos mínimos, bien podrían ser cuestionadas por los proponentes, veedores y ciudadanía en general ya sea a través de observaciones, en el ejercicio del derecho fundamental de petición ante la respectiva entidad estatal o la presentación de denuncias antes las autoridades competentes en el caso de que se evidencien prácticas restrictivas a la competencia, o con relevancia penal o disciplinaria. Así mismo, en atención al interés general que revisten los procesos de contratación, cualquier ciudadano podría también solicitar el control judicial del respectivo pliego de condiciones –o invitación en los procesos de mínima cuantía–, cuando encuentre que estos contravienen el marco legal que les aplica”.</w:t>
      </w:r>
    </w:p>
    <w:p w14:paraId="1EB038E9" w14:textId="77777777" w:rsidR="008E686A" w:rsidRPr="00D37D18" w:rsidRDefault="008E686A" w:rsidP="008E686A">
      <w:pPr>
        <w:pStyle w:val="Textonotapie"/>
        <w:ind w:firstLine="708"/>
        <w:jc w:val="both"/>
        <w:rPr>
          <w:rFonts w:ascii="Verdana" w:hAnsi="Verdana" w:cs="Arial"/>
          <w:sz w:val="18"/>
          <w:szCs w:val="18"/>
        </w:rPr>
      </w:pPr>
    </w:p>
  </w:footnote>
  <w:footnote w:id="2">
    <w:p w14:paraId="6983F2BF" w14:textId="77777777" w:rsidR="008E686A" w:rsidRPr="00D37D18" w:rsidRDefault="008E686A" w:rsidP="008E686A">
      <w:pPr>
        <w:pStyle w:val="Textonotapie"/>
        <w:ind w:firstLine="708"/>
        <w:jc w:val="both"/>
        <w:rPr>
          <w:rFonts w:ascii="Verdana" w:hAnsi="Verdana" w:cs="Arial"/>
          <w:sz w:val="18"/>
          <w:szCs w:val="18"/>
        </w:rPr>
      </w:pPr>
      <w:r w:rsidRPr="00D37D18">
        <w:rPr>
          <w:rStyle w:val="Refdenotaalpie"/>
          <w:rFonts w:ascii="Verdana" w:hAnsi="Verdana" w:cs="Arial"/>
          <w:sz w:val="18"/>
          <w:szCs w:val="18"/>
        </w:rPr>
        <w:footnoteRef/>
      </w:r>
      <w:r w:rsidRPr="00D37D18">
        <w:rPr>
          <w:rFonts w:ascii="Verdana" w:hAnsi="Verdana" w:cs="Arial"/>
          <w:sz w:val="18"/>
          <w:szCs w:val="18"/>
        </w:rPr>
        <w:t xml:space="preserve"> La doctrina explica que “[…] la discrecionalidad hace referencia a una decisión o disposición administrativa adoptada dentro un margen de libre apreciación dejado por el ordenamiento jurídico (es decir, hay varias soluciones válidas en Derecho, entre las que la administración puede elegir libremente, aunque justificando su decisión). Cualquiera de las soluciones adoptadas dentro del ámbito de legítima discrecionalidad son igualmente admisibles en Derecho, y todas ellas tienen el mismo valor jurídico. Siempre que no desborde el ámbito de discrecionalidad, la Administración puede decidir utilizando criterios de conveniencia u oportunidad (por lo que la discrecionalidad es la puerta de entrada en la pirámide del ordenamiento de consideraciones de política administrativa o de carácter metajurídico)” (BLANQUER, David. Derecho administrativo: el fin, los medios y el control. Tomo I. Valencia: Tirant lo Blanch, 2010. p. 191).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556DDB1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646661613" o:spid="_x0000_i1025" type="#_x0000_t75" style="width:11.4pt;height:11.4pt;visibility:visible;mso-wrap-style:square">
            <v:imagedata r:id="rId1" o:title=""/>
          </v:shape>
        </w:pict>
      </mc:Choice>
      <mc:Fallback>
        <w:drawing>
          <wp:inline distT="0" distB="0" distL="0" distR="0" wp14:anchorId="15F90E6E" wp14:editId="15F90E6F">
            <wp:extent cx="144780" cy="144780"/>
            <wp:effectExtent l="0" t="0" r="0" b="0"/>
            <wp:docPr id="646661613" name="Imagen 646661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172E93"/>
    <w:multiLevelType w:val="hybridMultilevel"/>
    <w:tmpl w:val="08DA012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 w15:restartNumberingAfterBreak="0">
    <w:nsid w:val="204B0D11"/>
    <w:multiLevelType w:val="hybridMultilevel"/>
    <w:tmpl w:val="3B1611B4"/>
    <w:lvl w:ilvl="0" w:tplc="952A0668">
      <w:start w:val="4"/>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7"/>
  </w:num>
  <w:num w:numId="8" w16cid:durableId="152644682">
    <w:abstractNumId w:val="14"/>
  </w:num>
  <w:num w:numId="9" w16cid:durableId="1317221377">
    <w:abstractNumId w:val="9"/>
  </w:num>
  <w:num w:numId="10" w16cid:durableId="1471245386">
    <w:abstractNumId w:val="13"/>
  </w:num>
  <w:num w:numId="11" w16cid:durableId="289172385">
    <w:abstractNumId w:val="10"/>
  </w:num>
  <w:num w:numId="12" w16cid:durableId="1470781324">
    <w:abstractNumId w:val="1"/>
  </w:num>
  <w:num w:numId="13" w16cid:durableId="1512908409">
    <w:abstractNumId w:val="5"/>
  </w:num>
  <w:num w:numId="14" w16cid:durableId="895897244">
    <w:abstractNumId w:val="16"/>
  </w:num>
  <w:num w:numId="15" w16cid:durableId="390349800">
    <w:abstractNumId w:val="12"/>
  </w:num>
  <w:num w:numId="16" w16cid:durableId="341274352">
    <w:abstractNumId w:val="0"/>
  </w:num>
  <w:num w:numId="17" w16cid:durableId="679089576">
    <w:abstractNumId w:val="11"/>
  </w:num>
  <w:num w:numId="18" w16cid:durableId="1670254484">
    <w:abstractNumId w:val="4"/>
  </w:num>
  <w:num w:numId="19" w16cid:durableId="14111233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E66F2"/>
    <w:rsid w:val="000F6486"/>
    <w:rsid w:val="00125105"/>
    <w:rsid w:val="00127233"/>
    <w:rsid w:val="001511A0"/>
    <w:rsid w:val="001545D7"/>
    <w:rsid w:val="001E4177"/>
    <w:rsid w:val="001F7DC6"/>
    <w:rsid w:val="00214EEB"/>
    <w:rsid w:val="002421BB"/>
    <w:rsid w:val="0025796E"/>
    <w:rsid w:val="002707A2"/>
    <w:rsid w:val="002951A0"/>
    <w:rsid w:val="002962BC"/>
    <w:rsid w:val="002A093D"/>
    <w:rsid w:val="002A0DD0"/>
    <w:rsid w:val="002A2EA2"/>
    <w:rsid w:val="002A49AC"/>
    <w:rsid w:val="002A64FD"/>
    <w:rsid w:val="002C7A84"/>
    <w:rsid w:val="002E4FD9"/>
    <w:rsid w:val="00322A85"/>
    <w:rsid w:val="00324168"/>
    <w:rsid w:val="003448F4"/>
    <w:rsid w:val="00374F5E"/>
    <w:rsid w:val="00377E3E"/>
    <w:rsid w:val="00395277"/>
    <w:rsid w:val="003A779E"/>
    <w:rsid w:val="003B47D5"/>
    <w:rsid w:val="003D0F4D"/>
    <w:rsid w:val="003D5B0D"/>
    <w:rsid w:val="003E0499"/>
    <w:rsid w:val="003E61A0"/>
    <w:rsid w:val="003F3941"/>
    <w:rsid w:val="00406575"/>
    <w:rsid w:val="00414C74"/>
    <w:rsid w:val="0042722E"/>
    <w:rsid w:val="0044528D"/>
    <w:rsid w:val="004759DC"/>
    <w:rsid w:val="00495F65"/>
    <w:rsid w:val="004A1847"/>
    <w:rsid w:val="004A305D"/>
    <w:rsid w:val="004F21C4"/>
    <w:rsid w:val="004F685F"/>
    <w:rsid w:val="005566E8"/>
    <w:rsid w:val="00574867"/>
    <w:rsid w:val="00591460"/>
    <w:rsid w:val="005A4E09"/>
    <w:rsid w:val="005B3816"/>
    <w:rsid w:val="005C3777"/>
    <w:rsid w:val="005C5CDC"/>
    <w:rsid w:val="005D476C"/>
    <w:rsid w:val="005F4417"/>
    <w:rsid w:val="0060686A"/>
    <w:rsid w:val="006219F8"/>
    <w:rsid w:val="0064344F"/>
    <w:rsid w:val="00665D70"/>
    <w:rsid w:val="006900D9"/>
    <w:rsid w:val="00706C16"/>
    <w:rsid w:val="00756841"/>
    <w:rsid w:val="007649AB"/>
    <w:rsid w:val="00771D0C"/>
    <w:rsid w:val="007833AC"/>
    <w:rsid w:val="0079305A"/>
    <w:rsid w:val="007B268C"/>
    <w:rsid w:val="007B7171"/>
    <w:rsid w:val="007C0C0F"/>
    <w:rsid w:val="007C3DC2"/>
    <w:rsid w:val="007D0D0A"/>
    <w:rsid w:val="007E5497"/>
    <w:rsid w:val="00806F5F"/>
    <w:rsid w:val="00820278"/>
    <w:rsid w:val="008553F1"/>
    <w:rsid w:val="00867F95"/>
    <w:rsid w:val="00880F56"/>
    <w:rsid w:val="008843B6"/>
    <w:rsid w:val="00891928"/>
    <w:rsid w:val="008A446D"/>
    <w:rsid w:val="008B765D"/>
    <w:rsid w:val="008D180B"/>
    <w:rsid w:val="008E686A"/>
    <w:rsid w:val="008F0EA7"/>
    <w:rsid w:val="00923EEF"/>
    <w:rsid w:val="00926AA4"/>
    <w:rsid w:val="009419F9"/>
    <w:rsid w:val="0095685E"/>
    <w:rsid w:val="00961B09"/>
    <w:rsid w:val="00965334"/>
    <w:rsid w:val="0097093E"/>
    <w:rsid w:val="00986AC5"/>
    <w:rsid w:val="009A0BD0"/>
    <w:rsid w:val="009A0DFA"/>
    <w:rsid w:val="009B2D26"/>
    <w:rsid w:val="009C71FA"/>
    <w:rsid w:val="009C72E7"/>
    <w:rsid w:val="009D3058"/>
    <w:rsid w:val="009F3A13"/>
    <w:rsid w:val="00A122D3"/>
    <w:rsid w:val="00A17F13"/>
    <w:rsid w:val="00A20739"/>
    <w:rsid w:val="00A33C78"/>
    <w:rsid w:val="00A83F7D"/>
    <w:rsid w:val="00AB0ADB"/>
    <w:rsid w:val="00B01B1A"/>
    <w:rsid w:val="00B37200"/>
    <w:rsid w:val="00B623BC"/>
    <w:rsid w:val="00B66319"/>
    <w:rsid w:val="00B72CD3"/>
    <w:rsid w:val="00B72FFF"/>
    <w:rsid w:val="00B93CE6"/>
    <w:rsid w:val="00BC3D36"/>
    <w:rsid w:val="00BD7F72"/>
    <w:rsid w:val="00C04FB3"/>
    <w:rsid w:val="00C279B3"/>
    <w:rsid w:val="00C330EB"/>
    <w:rsid w:val="00C41061"/>
    <w:rsid w:val="00C754BE"/>
    <w:rsid w:val="00C76B1C"/>
    <w:rsid w:val="00CB6357"/>
    <w:rsid w:val="00CC1B26"/>
    <w:rsid w:val="00CF1742"/>
    <w:rsid w:val="00CF29A9"/>
    <w:rsid w:val="00D423A2"/>
    <w:rsid w:val="00D520D8"/>
    <w:rsid w:val="00D63AC2"/>
    <w:rsid w:val="00D7383B"/>
    <w:rsid w:val="00DA231B"/>
    <w:rsid w:val="00DA57E2"/>
    <w:rsid w:val="00DC39FC"/>
    <w:rsid w:val="00DF5254"/>
    <w:rsid w:val="00E00AE7"/>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8FF"/>
    <w:rsid w:val="00EE1AA8"/>
    <w:rsid w:val="00F31EDC"/>
    <w:rsid w:val="00F462B3"/>
    <w:rsid w:val="00F5664F"/>
    <w:rsid w:val="00F666C4"/>
    <w:rsid w:val="00F76AFC"/>
    <w:rsid w:val="00FA47C0"/>
    <w:rsid w:val="00FB5DD1"/>
    <w:rsid w:val="00FC2B5D"/>
    <w:rsid w:val="00FE58F0"/>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E686A"/>
    <w:rPr>
      <w:rFonts w:ascii="Geomanist Light" w:hAnsi="Geomanist Light"/>
      <w:lang w:val="es-ES"/>
    </w:rPr>
  </w:style>
  <w:style w:type="paragraph" w:customStyle="1" w:styleId="Appelnotedebasde">
    <w:name w:val="Appel note de bas de..."/>
    <w:basedOn w:val="Normal"/>
    <w:link w:val="Refdenotaalpie"/>
    <w:uiPriority w:val="99"/>
    <w:rsid w:val="008E686A"/>
    <w:pPr>
      <w:spacing w:line="240" w:lineRule="exact"/>
    </w:pPr>
    <w:rPr>
      <w:vertAlign w:val="superscript"/>
    </w:rPr>
  </w:style>
  <w:style w:type="character" w:customStyle="1" w:styleId="superscript">
    <w:name w:val="superscript"/>
    <w:basedOn w:val="Fuentedeprrafopredeter"/>
    <w:rsid w:val="008E68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cartilla-para-incentivar-y-fortalecer-el-acceso-las&amp;data=05%7C02%7Cmaria.nieto%40colombiacompra.gov.co%7Ceb0fd05604104aa4d3bc08dd4c4ad35e%7C7b09041e245149d08cb179d5e3d8c1be%7C0%7C0%7C638750606445292726%7CUnknown%7CTWFpbGZsb3d8eyJFbXB0eU1hcGkiOnRydWUsIlYiOiIwLjAuMDAwMCIsIlAiOiJXaW4zMiIsIkFOIjoiTWFpbCIsIldUIjoyfQ%3D%3D%7C0%7C%7C%7C&amp;sdata=GX7JI69WKvbVWA21Tt%2BuMbfuPU0B27wktOjXUUGsezI%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bogadojulianorozco@hot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maria.nieto%40colombiacompra.gov.co%7Ceb0fd05604104aa4d3bc08dd4c4ad35e%7C7b09041e245149d08cb179d5e3d8c1be%7C0%7C0%7C638750606445363808%7CUnknown%7CTWFpbGZsb3d8eyJFbXB0eU1hcGkiOnRydWUsIlYiOiIwLjAuMDAwMCIsIlAiOiJXaW4zMiIsIkFOIjoiTWFpbCIsIldUIjoyfQ%3D%3D%7C0%7C%7C%7C&amp;sdata=Efi4Ks5DiLqpyHbudIYkuLRQ47tqCXJZavNg3DrVj5I%3D&amp;reserved=0"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iudadanos%2Fcalendario&amp;data=05%7C02%7Cmaria.nieto%40colombiacompra.gov.co%7Ceb0fd05604104aa4d3bc08dd4c4ad35e%7C7b09041e245149d08cb179d5e3d8c1be%7C0%7C0%7C638750606445343260%7CUnknown%7CTWFpbGZsb3d8eyJFbXB0eU1hcGkiOnRydWUsIlYiOiIwLjAuMDAwMCIsIlAiOiJXaW4zMiIsIkFOIjoiTWFpbCIsIldUIjoyfQ%3D%3D%7C0%7C%7C%7C&amp;sdata=HO7sT2qXJhKl3xWXnXPKbziDzE7b1pyTd%2BhZfryGX%2FQ%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customXml/itemProps3.xml><?xml version="1.0" encoding="utf-8"?>
<ds:datastoreItem xmlns:ds="http://schemas.openxmlformats.org/officeDocument/2006/customXml" ds:itemID="{59BC4187-E959-46E2-8B1C-BD38EB538091}"/>
</file>

<file path=docProps/app.xml><?xml version="1.0" encoding="utf-8"?>
<Properties xmlns="http://schemas.openxmlformats.org/officeDocument/2006/extended-properties" xmlns:vt="http://schemas.openxmlformats.org/officeDocument/2006/docPropsVTypes">
  <Template>Normal</Template>
  <TotalTime>1</TotalTime>
  <Pages>11</Pages>
  <Words>3662</Words>
  <Characters>20034</Characters>
  <Application>Microsoft Office Word</Application>
  <DocSecurity>0</DocSecurity>
  <Lines>1054</Lines>
  <Paragraphs>515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MARIA JOSHIRA NIETO MANZANO</cp:lastModifiedBy>
  <cp:revision>4</cp:revision>
  <cp:lastPrinted>2023-01-10T21:18:00Z</cp:lastPrinted>
  <dcterms:created xsi:type="dcterms:W3CDTF">2025-04-02T15:11:00Z</dcterms:created>
  <dcterms:modified xsi:type="dcterms:W3CDTF">2025-04-02T15:12:00Z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