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082E4" w14:textId="77777777" w:rsidR="00B06FE8" w:rsidRPr="002B47C2" w:rsidRDefault="00B06FE8" w:rsidP="00B06FE8">
      <w:pPr>
        <w:spacing w:after="0" w:line="240" w:lineRule="auto"/>
        <w:ind w:firstLine="0"/>
        <w:rPr>
          <w:rFonts w:ascii="Arial" w:eastAsia="Calibri" w:hAnsi="Arial" w:cs="Arial"/>
          <w:color w:val="000000" w:themeColor="text1"/>
          <w:sz w:val="20"/>
          <w:szCs w:val="20"/>
        </w:rPr>
      </w:pPr>
      <w:bookmarkStart w:id="0" w:name="_Hlk89069020"/>
    </w:p>
    <w:p w14:paraId="098A4DA8" w14:textId="7B9659E0" w:rsidR="00B06FE8" w:rsidRPr="002B47C2" w:rsidRDefault="00B06FE8" w:rsidP="00B06FE8">
      <w:pPr>
        <w:spacing w:after="0" w:line="240" w:lineRule="auto"/>
        <w:ind w:firstLine="0"/>
        <w:rPr>
          <w:rFonts w:ascii="Arial" w:eastAsia="Calibri" w:hAnsi="Arial" w:cs="Arial"/>
          <w:color w:val="000000" w:themeColor="text1"/>
          <w:sz w:val="14"/>
          <w:szCs w:val="14"/>
          <w:lang w:val="es-MX"/>
        </w:rPr>
      </w:pPr>
      <w:r w:rsidRPr="002B47C2">
        <w:rPr>
          <w:rFonts w:ascii="Arial" w:eastAsia="Calibri" w:hAnsi="Arial" w:cs="Arial"/>
          <w:b/>
          <w:bCs/>
          <w:color w:val="000000" w:themeColor="text1"/>
          <w:lang w:val="es-MX"/>
        </w:rPr>
        <w:t xml:space="preserve">DOCUMENTOS TIPO </w:t>
      </w:r>
      <w:r w:rsidR="00623112">
        <w:rPr>
          <w:rFonts w:ascii="Arial" w:eastAsia="Calibri" w:hAnsi="Arial" w:cs="Arial"/>
          <w:b/>
          <w:bCs/>
          <w:color w:val="000000" w:themeColor="text1"/>
          <w:lang w:val="es-MX"/>
        </w:rPr>
        <w:t>– Fundamento normativo</w:t>
      </w:r>
    </w:p>
    <w:p w14:paraId="19D1DDEE" w14:textId="77777777" w:rsidR="00B06FE8" w:rsidRPr="002B47C2" w:rsidRDefault="00B06FE8" w:rsidP="00B06FE8">
      <w:pPr>
        <w:spacing w:after="0" w:line="240" w:lineRule="auto"/>
        <w:ind w:firstLine="0"/>
        <w:rPr>
          <w:rFonts w:ascii="Arial" w:eastAsia="Calibri" w:hAnsi="Arial" w:cs="Arial"/>
          <w:color w:val="000000" w:themeColor="text1"/>
          <w:lang w:val="es-MX"/>
        </w:rPr>
      </w:pPr>
    </w:p>
    <w:p w14:paraId="5EEAB742" w14:textId="6BBDCCA3" w:rsidR="00623112" w:rsidRPr="00643637" w:rsidRDefault="006E6461" w:rsidP="00623112">
      <w:pPr>
        <w:spacing w:after="0" w:line="240" w:lineRule="auto"/>
        <w:ind w:firstLine="0"/>
        <w:rPr>
          <w:rFonts w:ascii="Arial" w:hAnsi="Arial" w:cs="Arial"/>
          <w:color w:val="000000" w:themeColor="text1"/>
          <w:sz w:val="20"/>
          <w:szCs w:val="20"/>
          <w:lang w:val="es-MX"/>
        </w:rPr>
      </w:pPr>
      <w:r w:rsidRPr="006E6461">
        <w:rPr>
          <w:rFonts w:ascii="Arial" w:hAnsi="Arial" w:cs="Arial"/>
          <w:color w:val="000000" w:themeColor="text1"/>
          <w:sz w:val="20"/>
          <w:szCs w:val="20"/>
          <w:lang w:val="es-MX"/>
        </w:rPr>
        <w:t>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 Sin embargo, esta facultad no ha sido ejercida hasta la actualidad.</w:t>
      </w:r>
    </w:p>
    <w:p w14:paraId="4565B57E" w14:textId="206DDFB1" w:rsidR="00B06FE8" w:rsidRPr="00643637" w:rsidRDefault="00623112" w:rsidP="00B06FE8">
      <w:pPr>
        <w:spacing w:after="0" w:line="240" w:lineRule="auto"/>
        <w:ind w:firstLine="0"/>
        <w:rPr>
          <w:rFonts w:ascii="Arial" w:hAnsi="Arial" w:cs="Arial"/>
          <w:color w:val="000000" w:themeColor="text1"/>
          <w:sz w:val="20"/>
          <w:szCs w:val="20"/>
          <w:lang w:val="es-MX"/>
        </w:rPr>
      </w:pPr>
      <w:r w:rsidRPr="00643637">
        <w:rPr>
          <w:rFonts w:ascii="Arial" w:hAnsi="Arial" w:cs="Arial"/>
          <w:color w:val="000000" w:themeColor="text1"/>
          <w:sz w:val="20"/>
          <w:szCs w:val="20"/>
          <w:lang w:val="es-MX"/>
        </w:rPr>
        <w:t>[…]</w:t>
      </w:r>
    </w:p>
    <w:p w14:paraId="4B7BD29A" w14:textId="70A469B4" w:rsidR="00B06FE8" w:rsidRPr="00643637" w:rsidRDefault="00C749F6" w:rsidP="00B06FE8">
      <w:pPr>
        <w:spacing w:after="0" w:line="240" w:lineRule="auto"/>
        <w:ind w:firstLine="0"/>
        <w:rPr>
          <w:rFonts w:ascii="Arial" w:eastAsia="Calibri" w:hAnsi="Arial" w:cs="Arial"/>
          <w:color w:val="000000" w:themeColor="text1"/>
          <w:sz w:val="20"/>
          <w:szCs w:val="20"/>
        </w:rPr>
      </w:pPr>
      <w:r w:rsidRPr="00C749F6">
        <w:rPr>
          <w:rFonts w:ascii="Arial" w:eastAsia="Calibri" w:hAnsi="Arial" w:cs="Arial"/>
          <w:color w:val="000000" w:themeColor="text1"/>
          <w:sz w:val="20"/>
          <w:szCs w:val="20"/>
        </w:rPr>
        <w:t>Por otra parte, debe tenerse en cuenta que la Ley 2022 de 2020 fue sancionada por el Presidente</w:t>
      </w:r>
      <w:r w:rsidR="00740715">
        <w:rPr>
          <w:rFonts w:ascii="Arial" w:eastAsia="Calibri" w:hAnsi="Arial" w:cs="Arial"/>
          <w:color w:val="000000" w:themeColor="text1"/>
          <w:sz w:val="20"/>
          <w:szCs w:val="20"/>
        </w:rPr>
        <w:t xml:space="preserve"> </w:t>
      </w:r>
      <w:r w:rsidRPr="00C749F6">
        <w:rPr>
          <w:rFonts w:ascii="Arial" w:eastAsia="Calibri" w:hAnsi="Arial" w:cs="Arial"/>
          <w:color w:val="000000" w:themeColor="text1"/>
          <w:sz w:val="20"/>
          <w:szCs w:val="20"/>
        </w:rPr>
        <w:t>de la República el 22 de julio del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Pr>
          <w:rFonts w:ascii="Arial" w:eastAsia="Calibri" w:hAnsi="Arial" w:cs="Arial"/>
          <w:color w:val="000000" w:themeColor="text1"/>
          <w:sz w:val="20"/>
          <w:szCs w:val="20"/>
        </w:rPr>
        <w:t>.</w:t>
      </w:r>
      <w:r w:rsidRPr="00C749F6">
        <w:rPr>
          <w:rFonts w:ascii="Arial" w:eastAsia="Calibri" w:hAnsi="Arial" w:cs="Arial"/>
          <w:color w:val="000000" w:themeColor="text1"/>
          <w:sz w:val="20"/>
          <w:szCs w:val="20"/>
        </w:rPr>
        <w:t xml:space="preserve"> En este sentido,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Adicionalmente, 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cuya aplicación inició para convocatorias publicadas a partir del 9 de agosto de 2021.</w:t>
      </w:r>
    </w:p>
    <w:p w14:paraId="29D3800D" w14:textId="77777777" w:rsidR="00623112" w:rsidRPr="002B47C2" w:rsidRDefault="00623112" w:rsidP="00B06FE8">
      <w:pPr>
        <w:spacing w:after="0" w:line="240" w:lineRule="auto"/>
        <w:ind w:firstLine="0"/>
        <w:rPr>
          <w:rFonts w:ascii="Arial" w:eastAsia="Calibri" w:hAnsi="Arial" w:cs="Arial"/>
          <w:color w:val="000000" w:themeColor="text1"/>
        </w:rPr>
      </w:pPr>
    </w:p>
    <w:p w14:paraId="684B35D6" w14:textId="4255313E" w:rsidR="00B06FE8" w:rsidRPr="002B47C2" w:rsidRDefault="00B06FE8" w:rsidP="00B06FE8">
      <w:pPr>
        <w:spacing w:after="0" w:line="240" w:lineRule="auto"/>
        <w:ind w:firstLine="0"/>
        <w:rPr>
          <w:rFonts w:ascii="Arial" w:eastAsia="Calibri" w:hAnsi="Arial" w:cs="Arial"/>
          <w:b/>
          <w:bCs/>
          <w:color w:val="000000" w:themeColor="text1"/>
          <w:lang w:val="es-MX"/>
        </w:rPr>
      </w:pPr>
      <w:r w:rsidRPr="002B47C2">
        <w:rPr>
          <w:rFonts w:ascii="Arial" w:eastAsia="Calibri" w:hAnsi="Arial" w:cs="Arial"/>
          <w:b/>
          <w:bCs/>
          <w:color w:val="000000" w:themeColor="text1"/>
          <w:lang w:val="es-MX"/>
        </w:rPr>
        <w:t>DOCUMENTOS TIPO – Matriz 1 – Experiencia</w:t>
      </w:r>
      <w:r w:rsidR="00623112">
        <w:rPr>
          <w:rFonts w:ascii="Arial" w:eastAsia="Calibri" w:hAnsi="Arial" w:cs="Arial"/>
          <w:b/>
          <w:bCs/>
          <w:color w:val="000000" w:themeColor="text1"/>
          <w:lang w:val="es-MX"/>
        </w:rPr>
        <w:t xml:space="preserve"> – Aplicación</w:t>
      </w:r>
      <w:r w:rsidR="00643637">
        <w:rPr>
          <w:rFonts w:ascii="Arial" w:eastAsia="Calibri" w:hAnsi="Arial" w:cs="Arial"/>
          <w:b/>
          <w:bCs/>
          <w:color w:val="000000" w:themeColor="text1"/>
          <w:lang w:val="es-MX"/>
        </w:rPr>
        <w:t xml:space="preserve"> </w:t>
      </w:r>
      <w:r w:rsidR="006F0FA6">
        <w:rPr>
          <w:rFonts w:ascii="Arial" w:eastAsia="Calibri" w:hAnsi="Arial" w:cs="Arial"/>
          <w:b/>
          <w:bCs/>
          <w:color w:val="000000" w:themeColor="text1"/>
          <w:lang w:val="es-MX"/>
        </w:rPr>
        <w:t>de los documentos tipo</w:t>
      </w:r>
    </w:p>
    <w:p w14:paraId="285D2F0E" w14:textId="77777777" w:rsidR="00B06FE8" w:rsidRPr="002B47C2" w:rsidRDefault="00B06FE8" w:rsidP="00B06FE8">
      <w:pPr>
        <w:spacing w:after="0" w:line="240" w:lineRule="auto"/>
        <w:ind w:firstLine="0"/>
        <w:rPr>
          <w:rFonts w:ascii="Arial" w:eastAsia="Calibri" w:hAnsi="Arial" w:cs="Arial"/>
          <w:color w:val="000000" w:themeColor="text1"/>
          <w:lang w:val="es-MX"/>
        </w:rPr>
      </w:pPr>
    </w:p>
    <w:p w14:paraId="38E58F60" w14:textId="77777777" w:rsidR="006814E1" w:rsidRPr="006814E1" w:rsidRDefault="00B06FE8" w:rsidP="006814E1">
      <w:pPr>
        <w:spacing w:after="0" w:line="240" w:lineRule="auto"/>
        <w:ind w:firstLine="0"/>
        <w:rPr>
          <w:rFonts w:ascii="Arial" w:hAnsi="Arial" w:cs="Arial"/>
          <w:sz w:val="20"/>
          <w:szCs w:val="20"/>
        </w:rPr>
      </w:pPr>
      <w:r w:rsidRPr="00643637">
        <w:rPr>
          <w:rFonts w:ascii="Arial" w:eastAsia="Calibri" w:hAnsi="Arial" w:cs="Arial"/>
          <w:bCs/>
          <w:sz w:val="20"/>
          <w:szCs w:val="20"/>
          <w:lang w:val="es-MX"/>
        </w:rPr>
        <w:t>[…]</w:t>
      </w:r>
      <w:r w:rsidRPr="00643637">
        <w:rPr>
          <w:rFonts w:ascii="Arial" w:hAnsi="Arial" w:cs="Arial"/>
          <w:sz w:val="20"/>
          <w:szCs w:val="20"/>
        </w:rPr>
        <w:t xml:space="preserve"> </w:t>
      </w:r>
      <w:r w:rsidR="006814E1" w:rsidRPr="006814E1">
        <w:rPr>
          <w:rFonts w:ascii="Arial" w:hAnsi="Arial" w:cs="Arial"/>
          <w:sz w:val="20"/>
          <w:szCs w:val="20"/>
        </w:rPr>
        <w:t>la Matriz 1 está constituida por ocho (8) tipos de consultoría a obras de infraestructura de transporte, identificadas con un número y su descripción, los cuales son: 1) consultoría a obras en vías primarias o secundarias, 2) consultoría a obras en vías terciarias, 3) consultoría a obras marítimas y fluviales, 4) consultoría a obras en vías primarias o secundarias o terciarias para atención, prevención o mitigación de emergencias diferentes a contratación directa, 5) consultoría a obras férreas, 6) consultoría a obras de infraestructura vial urbana, 7) consultoría a obras en puentes y 8) consultoría a obras aeroportuarias. Estas determinan el marco para la aplicación de los documentos tipo, dado que comprenden todas aquellas actividades que constituyen consultoría de estudios de ingeniería de infraestructura de transporte y que han sido objeto de estandarización mediante la Resolución No. 193 del 14 de julio de 2021 para los procesos de concurso de méritos.</w:t>
      </w:r>
    </w:p>
    <w:p w14:paraId="18776DBD" w14:textId="77777777" w:rsidR="006814E1" w:rsidRDefault="006814E1" w:rsidP="006814E1">
      <w:pPr>
        <w:spacing w:after="0" w:line="240" w:lineRule="auto"/>
        <w:ind w:firstLine="0"/>
        <w:rPr>
          <w:rFonts w:ascii="Arial" w:hAnsi="Arial" w:cs="Arial"/>
          <w:sz w:val="20"/>
          <w:szCs w:val="20"/>
        </w:rPr>
      </w:pPr>
    </w:p>
    <w:p w14:paraId="1FD046DC" w14:textId="47B589DF" w:rsidR="00B06FE8" w:rsidRPr="00643637" w:rsidRDefault="006814E1" w:rsidP="006814E1">
      <w:pPr>
        <w:spacing w:after="0" w:line="240" w:lineRule="auto"/>
        <w:ind w:firstLine="0"/>
        <w:rPr>
          <w:rFonts w:ascii="Arial" w:eastAsia="Calibri" w:hAnsi="Arial" w:cs="Arial"/>
          <w:sz w:val="20"/>
          <w:szCs w:val="20"/>
        </w:rPr>
      </w:pPr>
      <w:r w:rsidRPr="006814E1">
        <w:rPr>
          <w:rFonts w:ascii="Arial" w:hAnsi="Arial" w:cs="Arial"/>
          <w:sz w:val="20"/>
          <w:szCs w:val="20"/>
        </w:rPr>
        <w:t>En ese sentido, de acuerdo con el «Documento Base», estos documentos tipo aplican a los procesos de consultoría de estudios de ingeniería de infraestructura de transporte celebrados en la modalidad de concurso de méritos, que correspondan con las actividades definidas en la «Matriz 1 – Experiencia». En los términos del numeral 10.1.1, literal B, también aplica a los componentes de consultorías integrales (predial, ambiental, social y seguridad y salud en el trabajo) que tengan otros componentes aparte del técnico descrito en la mencionada Matriz. Por tanto, no son aplicables en las actividades de consultoría de estudios de ingeniería de infraestructura de transporte no contempladas en la «Matriz 1 – Experiencia», sin perjuicio de lo previsto en el artículo 4 de la Resolución que adopta estos Documentos Tipo.</w:t>
      </w:r>
    </w:p>
    <w:p w14:paraId="143B37E5" w14:textId="289C1AB0" w:rsidR="00B06FE8" w:rsidRDefault="00B06FE8" w:rsidP="00B06FE8">
      <w:pPr>
        <w:spacing w:after="0" w:line="240" w:lineRule="auto"/>
        <w:ind w:firstLine="0"/>
        <w:rPr>
          <w:rFonts w:ascii="Arial" w:eastAsia="Calibri" w:hAnsi="Arial" w:cs="Arial"/>
          <w:bCs/>
          <w:color w:val="000000" w:themeColor="text1"/>
          <w:lang w:val="es-ES_tradnl"/>
        </w:rPr>
      </w:pPr>
    </w:p>
    <w:p w14:paraId="07B8AA0F" w14:textId="1B32CE66" w:rsidR="00357762" w:rsidRPr="00643637" w:rsidRDefault="00357762" w:rsidP="00B06FE8">
      <w:pPr>
        <w:spacing w:after="0" w:line="240" w:lineRule="auto"/>
        <w:ind w:firstLine="0"/>
        <w:rPr>
          <w:rFonts w:ascii="Arial" w:eastAsia="Calibri" w:hAnsi="Arial" w:cs="Arial"/>
          <w:b/>
          <w:color w:val="000000" w:themeColor="text1"/>
          <w:lang w:val="es-ES_tradnl"/>
        </w:rPr>
      </w:pPr>
      <w:r w:rsidRPr="00643637">
        <w:rPr>
          <w:rFonts w:ascii="Arial" w:eastAsia="Calibri" w:hAnsi="Arial" w:cs="Arial"/>
          <w:b/>
          <w:color w:val="000000" w:themeColor="text1"/>
          <w:lang w:val="es-ES_tradnl"/>
        </w:rPr>
        <w:t xml:space="preserve">DOCUMENTOS TIPO – Experiencia – </w:t>
      </w:r>
      <w:r w:rsidR="00BF443F">
        <w:rPr>
          <w:rFonts w:ascii="Arial" w:eastAsia="Calibri" w:hAnsi="Arial" w:cs="Arial"/>
          <w:b/>
          <w:color w:val="000000" w:themeColor="text1"/>
          <w:lang w:val="es-ES_tradnl"/>
        </w:rPr>
        <w:t xml:space="preserve">Complejidad – </w:t>
      </w:r>
      <w:r w:rsidR="00B766BE">
        <w:rPr>
          <w:rFonts w:ascii="Arial" w:eastAsia="Calibri" w:hAnsi="Arial" w:cs="Arial"/>
          <w:b/>
          <w:color w:val="000000" w:themeColor="text1"/>
          <w:lang w:val="es-ES_tradnl"/>
        </w:rPr>
        <w:t>Aplicación de la Matriz 1 – Experiencia</w:t>
      </w:r>
    </w:p>
    <w:p w14:paraId="3EDC1B17" w14:textId="77777777" w:rsidR="00B06FE8" w:rsidRPr="002B47C2" w:rsidRDefault="00B06FE8" w:rsidP="00B06FE8">
      <w:pPr>
        <w:spacing w:after="0" w:line="240" w:lineRule="auto"/>
        <w:ind w:firstLine="0"/>
        <w:rPr>
          <w:rFonts w:ascii="Arial" w:eastAsia="Calibri" w:hAnsi="Arial" w:cs="Arial"/>
          <w:bCs/>
          <w:color w:val="000000" w:themeColor="text1"/>
          <w:lang w:val="es-ES_tradnl"/>
        </w:rPr>
      </w:pPr>
    </w:p>
    <w:p w14:paraId="2652799D" w14:textId="0DE16035" w:rsidR="00740715" w:rsidRDefault="00740715" w:rsidP="00740715">
      <w:pPr>
        <w:spacing w:after="0" w:line="240" w:lineRule="auto"/>
        <w:ind w:firstLine="0"/>
        <w:rPr>
          <w:rFonts w:ascii="Arial" w:eastAsia="Calibri" w:hAnsi="Arial" w:cs="Arial"/>
          <w:bCs/>
          <w:color w:val="000000" w:themeColor="text1"/>
          <w:sz w:val="20"/>
          <w:szCs w:val="20"/>
          <w:lang w:val="es-ES_tradnl"/>
        </w:rPr>
      </w:pPr>
      <w:r>
        <w:rPr>
          <w:rFonts w:ascii="Arial" w:eastAsia="Calibri" w:hAnsi="Arial" w:cs="Arial"/>
          <w:bCs/>
          <w:color w:val="000000" w:themeColor="text1"/>
          <w:sz w:val="20"/>
          <w:szCs w:val="20"/>
          <w:lang w:val="es-ES_tradnl"/>
        </w:rPr>
        <w:lastRenderedPageBreak/>
        <w:t xml:space="preserve">[…] </w:t>
      </w:r>
      <w:r w:rsidRPr="00740715">
        <w:rPr>
          <w:rFonts w:ascii="Arial" w:eastAsia="Calibri" w:hAnsi="Arial" w:cs="Arial"/>
          <w:bCs/>
          <w:color w:val="000000" w:themeColor="text1"/>
          <w:sz w:val="20"/>
          <w:szCs w:val="20"/>
          <w:lang w:val="es-ES_tradnl"/>
        </w:rPr>
        <w:t xml:space="preserve">en el numeral «10.1 Acreditación de la experiencia del proponente» del «documento base» o pliego tipo adoptado, se establece que la entidad «debe justificar expresa y suficientemente la implementación de las condiciones para un proyecto de consultoría de baja-media, o alta complejidad técnica según la “Matriz 1 – Experiencia”». En otras palabras, en los documentos tipo de consultoría de estudios de ingeniería de infraestructura de transporte, se contemplan dos matrices de experiencia: i) para proyectos de baja o media complejidad técnica y </w:t>
      </w:r>
      <w:proofErr w:type="spellStart"/>
      <w:r w:rsidRPr="00740715">
        <w:rPr>
          <w:rFonts w:ascii="Arial" w:eastAsia="Calibri" w:hAnsi="Arial" w:cs="Arial"/>
          <w:bCs/>
          <w:color w:val="000000" w:themeColor="text1"/>
          <w:sz w:val="20"/>
          <w:szCs w:val="20"/>
          <w:lang w:val="es-ES_tradnl"/>
        </w:rPr>
        <w:t>ii</w:t>
      </w:r>
      <w:proofErr w:type="spellEnd"/>
      <w:r w:rsidRPr="00740715">
        <w:rPr>
          <w:rFonts w:ascii="Arial" w:eastAsia="Calibri" w:hAnsi="Arial" w:cs="Arial"/>
          <w:bCs/>
          <w:color w:val="000000" w:themeColor="text1"/>
          <w:sz w:val="20"/>
          <w:szCs w:val="20"/>
          <w:lang w:val="es-ES_tradnl"/>
        </w:rPr>
        <w:t xml:space="preserve">) para proyectos de alta complejidad técnica. En ese orden, la entidad deberá establecer si aplica la Matriz 1 de proyectos de complejidad media-baja o la de proyectos de complejidad alta, para luego subsumir el objeto contractual en alguno de los tipos de consultoría de obra y actividades incluidos en la matriz, estableciendo los requisitos de experiencia exigibles según la cantidad de SMMLV del presupuesto oficial del respectivo proceso de contratación. </w:t>
      </w:r>
    </w:p>
    <w:p w14:paraId="1A348422" w14:textId="77777777" w:rsidR="00740715" w:rsidRPr="00740715" w:rsidRDefault="00740715" w:rsidP="00740715">
      <w:pPr>
        <w:spacing w:after="0" w:line="240" w:lineRule="auto"/>
        <w:ind w:firstLine="0"/>
        <w:rPr>
          <w:rFonts w:ascii="Arial" w:eastAsia="Calibri" w:hAnsi="Arial" w:cs="Arial"/>
          <w:bCs/>
          <w:color w:val="000000" w:themeColor="text1"/>
          <w:sz w:val="20"/>
          <w:szCs w:val="20"/>
          <w:lang w:val="es-ES_tradnl"/>
        </w:rPr>
      </w:pPr>
    </w:p>
    <w:p w14:paraId="42A1BF5B" w14:textId="4510452A" w:rsidR="00B06FE8" w:rsidRPr="00066D53" w:rsidRDefault="00740715" w:rsidP="00740715">
      <w:pPr>
        <w:spacing w:after="0" w:line="240" w:lineRule="auto"/>
        <w:ind w:firstLine="0"/>
        <w:rPr>
          <w:rFonts w:ascii="Arial" w:eastAsia="Calibri" w:hAnsi="Arial" w:cs="Arial"/>
          <w:bCs/>
          <w:color w:val="000000" w:themeColor="text1"/>
          <w:sz w:val="20"/>
          <w:szCs w:val="20"/>
          <w:lang w:val="es-ES_tradnl"/>
        </w:rPr>
      </w:pPr>
      <w:r w:rsidRPr="00740715">
        <w:rPr>
          <w:rFonts w:ascii="Arial" w:eastAsia="Calibri" w:hAnsi="Arial" w:cs="Arial"/>
          <w:bCs/>
          <w:color w:val="000000" w:themeColor="text1"/>
          <w:sz w:val="20"/>
          <w:szCs w:val="20"/>
          <w:lang w:val="es-ES_tradnl"/>
        </w:rPr>
        <w:t>De esta manera, la entidad estatal que adelanta un proceso de contratación de consultoría de estudios de ingeniería de transporte debe definir la experiencia exigible, teniendo en cuenta las condiciones fijadas en la Matriz 1</w:t>
      </w:r>
    </w:p>
    <w:p w14:paraId="5236E212" w14:textId="252B7577" w:rsidR="00B06FE8" w:rsidRDefault="00B06FE8" w:rsidP="00B06FE8">
      <w:pPr>
        <w:spacing w:after="0" w:line="240" w:lineRule="auto"/>
        <w:ind w:firstLine="0"/>
        <w:rPr>
          <w:rFonts w:ascii="Arial" w:eastAsia="Calibri" w:hAnsi="Arial" w:cs="Arial"/>
          <w:bCs/>
          <w:color w:val="000000" w:themeColor="text1"/>
          <w:lang w:val="es-ES_tradnl"/>
        </w:rPr>
      </w:pPr>
    </w:p>
    <w:p w14:paraId="0F462535" w14:textId="77777777" w:rsidR="00B06FE8" w:rsidRPr="002B47C2" w:rsidRDefault="00B06FE8" w:rsidP="00B06FE8">
      <w:pPr>
        <w:spacing w:after="0" w:line="240" w:lineRule="auto"/>
        <w:ind w:firstLine="0"/>
        <w:rPr>
          <w:rFonts w:ascii="Arial" w:eastAsia="Calibri" w:hAnsi="Arial" w:cs="Arial"/>
          <w:bCs/>
          <w:color w:val="000000" w:themeColor="text1"/>
          <w:lang w:val="es-ES_tradnl"/>
        </w:rPr>
      </w:pPr>
    </w:p>
    <w:p w14:paraId="11ADC6BF" w14:textId="77777777" w:rsidR="00B06FE8" w:rsidRDefault="00B06FE8" w:rsidP="00B06FE8">
      <w:pPr>
        <w:spacing w:after="0" w:line="240" w:lineRule="auto"/>
        <w:ind w:firstLine="0"/>
        <w:jc w:val="left"/>
        <w:rPr>
          <w:rFonts w:ascii="Arial" w:eastAsia="Calibri" w:hAnsi="Arial" w:cs="Arial"/>
          <w:color w:val="000000" w:themeColor="text1"/>
          <w:szCs w:val="20"/>
          <w:lang w:val="es-MX"/>
        </w:rPr>
      </w:pPr>
    </w:p>
    <w:p w14:paraId="03AD3C6F" w14:textId="77777777" w:rsidR="00B06FE8" w:rsidRDefault="00B06FE8" w:rsidP="00B06FE8">
      <w:pPr>
        <w:spacing w:after="0" w:line="240" w:lineRule="auto"/>
        <w:ind w:firstLine="0"/>
        <w:jc w:val="left"/>
        <w:rPr>
          <w:rFonts w:ascii="Arial" w:eastAsia="Calibri" w:hAnsi="Arial" w:cs="Arial"/>
          <w:color w:val="000000" w:themeColor="text1"/>
          <w:szCs w:val="20"/>
          <w:lang w:val="es-MX"/>
        </w:rPr>
      </w:pPr>
    </w:p>
    <w:p w14:paraId="5A6B7688" w14:textId="77777777" w:rsidR="00B06FE8" w:rsidRDefault="00B06FE8" w:rsidP="00B06FE8">
      <w:pPr>
        <w:spacing w:after="0" w:line="240" w:lineRule="auto"/>
        <w:ind w:firstLine="0"/>
        <w:jc w:val="left"/>
        <w:rPr>
          <w:rFonts w:ascii="Arial" w:eastAsia="Calibri" w:hAnsi="Arial" w:cs="Arial"/>
          <w:color w:val="000000" w:themeColor="text1"/>
          <w:szCs w:val="20"/>
          <w:lang w:val="es-MX"/>
        </w:rPr>
      </w:pPr>
    </w:p>
    <w:p w14:paraId="27877C98" w14:textId="77777777" w:rsidR="00290A43" w:rsidRDefault="00290A43" w:rsidP="00B06FE8">
      <w:pPr>
        <w:spacing w:after="0" w:line="240" w:lineRule="auto"/>
        <w:ind w:firstLine="0"/>
        <w:jc w:val="left"/>
        <w:rPr>
          <w:rFonts w:ascii="Arial" w:eastAsia="Calibri" w:hAnsi="Arial" w:cs="Arial"/>
          <w:color w:val="000000" w:themeColor="text1"/>
          <w:szCs w:val="20"/>
          <w:lang w:val="es-MX"/>
        </w:rPr>
      </w:pPr>
    </w:p>
    <w:p w14:paraId="50831BC8" w14:textId="75F79175" w:rsidR="00290A43" w:rsidRDefault="00290A43" w:rsidP="00B06FE8">
      <w:pPr>
        <w:spacing w:after="0" w:line="240" w:lineRule="auto"/>
        <w:ind w:firstLine="0"/>
        <w:jc w:val="left"/>
        <w:rPr>
          <w:rFonts w:ascii="Arial" w:eastAsia="Calibri" w:hAnsi="Arial" w:cs="Arial"/>
          <w:color w:val="000000" w:themeColor="text1"/>
          <w:szCs w:val="20"/>
          <w:lang w:val="es-MX"/>
        </w:rPr>
      </w:pPr>
    </w:p>
    <w:p w14:paraId="3594375B" w14:textId="121C6FA9" w:rsidR="00643637" w:rsidRDefault="00643637" w:rsidP="00B06FE8">
      <w:pPr>
        <w:spacing w:after="0" w:line="240" w:lineRule="auto"/>
        <w:ind w:firstLine="0"/>
        <w:jc w:val="left"/>
        <w:rPr>
          <w:rFonts w:ascii="Arial" w:eastAsia="Calibri" w:hAnsi="Arial" w:cs="Arial"/>
          <w:color w:val="000000" w:themeColor="text1"/>
          <w:szCs w:val="20"/>
          <w:lang w:val="es-MX"/>
        </w:rPr>
      </w:pPr>
    </w:p>
    <w:p w14:paraId="67F45273" w14:textId="230BFE7D" w:rsidR="00643637" w:rsidRDefault="00643637" w:rsidP="00B06FE8">
      <w:pPr>
        <w:spacing w:after="0" w:line="240" w:lineRule="auto"/>
        <w:ind w:firstLine="0"/>
        <w:jc w:val="left"/>
        <w:rPr>
          <w:rFonts w:ascii="Arial" w:eastAsia="Calibri" w:hAnsi="Arial" w:cs="Arial"/>
          <w:color w:val="000000" w:themeColor="text1"/>
          <w:szCs w:val="20"/>
          <w:lang w:val="es-MX"/>
        </w:rPr>
      </w:pPr>
    </w:p>
    <w:p w14:paraId="1E2ECCCA" w14:textId="047330E3" w:rsidR="00643637" w:rsidRDefault="00643637" w:rsidP="00B06FE8">
      <w:pPr>
        <w:spacing w:after="0" w:line="240" w:lineRule="auto"/>
        <w:ind w:firstLine="0"/>
        <w:jc w:val="left"/>
        <w:rPr>
          <w:rFonts w:ascii="Arial" w:eastAsia="Calibri" w:hAnsi="Arial" w:cs="Arial"/>
          <w:color w:val="000000" w:themeColor="text1"/>
          <w:szCs w:val="20"/>
          <w:lang w:val="es-MX"/>
        </w:rPr>
      </w:pPr>
    </w:p>
    <w:p w14:paraId="52271D3A" w14:textId="41990CB7" w:rsidR="00643637" w:rsidRDefault="00643637" w:rsidP="00B06FE8">
      <w:pPr>
        <w:spacing w:after="0" w:line="240" w:lineRule="auto"/>
        <w:ind w:firstLine="0"/>
        <w:jc w:val="left"/>
        <w:rPr>
          <w:rFonts w:ascii="Arial" w:eastAsia="Calibri" w:hAnsi="Arial" w:cs="Arial"/>
          <w:color w:val="000000" w:themeColor="text1"/>
          <w:szCs w:val="20"/>
          <w:lang w:val="es-MX"/>
        </w:rPr>
      </w:pPr>
    </w:p>
    <w:p w14:paraId="2789AFBC" w14:textId="68277E4F" w:rsidR="00643637" w:rsidRDefault="00643637" w:rsidP="00B06FE8">
      <w:pPr>
        <w:spacing w:after="0" w:line="240" w:lineRule="auto"/>
        <w:ind w:firstLine="0"/>
        <w:jc w:val="left"/>
        <w:rPr>
          <w:rFonts w:ascii="Arial" w:eastAsia="Calibri" w:hAnsi="Arial" w:cs="Arial"/>
          <w:color w:val="000000" w:themeColor="text1"/>
          <w:szCs w:val="20"/>
          <w:lang w:val="es-MX"/>
        </w:rPr>
      </w:pPr>
    </w:p>
    <w:p w14:paraId="4E2593AF" w14:textId="129F8B80" w:rsidR="00643637" w:rsidRDefault="00643637" w:rsidP="00B06FE8">
      <w:pPr>
        <w:spacing w:after="0" w:line="240" w:lineRule="auto"/>
        <w:ind w:firstLine="0"/>
        <w:jc w:val="left"/>
        <w:rPr>
          <w:rFonts w:ascii="Arial" w:eastAsia="Calibri" w:hAnsi="Arial" w:cs="Arial"/>
          <w:color w:val="000000" w:themeColor="text1"/>
          <w:szCs w:val="20"/>
          <w:lang w:val="es-MX"/>
        </w:rPr>
      </w:pPr>
    </w:p>
    <w:p w14:paraId="0DB768B2" w14:textId="50383B2C" w:rsidR="00643637" w:rsidRDefault="00643637" w:rsidP="00B06FE8">
      <w:pPr>
        <w:spacing w:after="0" w:line="240" w:lineRule="auto"/>
        <w:ind w:firstLine="0"/>
        <w:jc w:val="left"/>
        <w:rPr>
          <w:rFonts w:ascii="Arial" w:eastAsia="Calibri" w:hAnsi="Arial" w:cs="Arial"/>
          <w:color w:val="000000" w:themeColor="text1"/>
          <w:szCs w:val="20"/>
          <w:lang w:val="es-MX"/>
        </w:rPr>
      </w:pPr>
    </w:p>
    <w:p w14:paraId="1842DDE7" w14:textId="5847B55E" w:rsidR="00643637" w:rsidRDefault="00643637" w:rsidP="00B06FE8">
      <w:pPr>
        <w:spacing w:after="0" w:line="240" w:lineRule="auto"/>
        <w:ind w:firstLine="0"/>
        <w:jc w:val="left"/>
        <w:rPr>
          <w:rFonts w:ascii="Arial" w:eastAsia="Calibri" w:hAnsi="Arial" w:cs="Arial"/>
          <w:color w:val="000000" w:themeColor="text1"/>
          <w:szCs w:val="20"/>
          <w:lang w:val="es-MX"/>
        </w:rPr>
      </w:pPr>
    </w:p>
    <w:p w14:paraId="5205B7CE" w14:textId="40693FD0" w:rsidR="00643637" w:rsidRDefault="00643637" w:rsidP="00B06FE8">
      <w:pPr>
        <w:spacing w:after="0" w:line="240" w:lineRule="auto"/>
        <w:ind w:firstLine="0"/>
        <w:jc w:val="left"/>
        <w:rPr>
          <w:rFonts w:ascii="Arial" w:eastAsia="Calibri" w:hAnsi="Arial" w:cs="Arial"/>
          <w:color w:val="000000" w:themeColor="text1"/>
          <w:szCs w:val="20"/>
          <w:lang w:val="es-MX"/>
        </w:rPr>
      </w:pPr>
    </w:p>
    <w:p w14:paraId="20C1F092" w14:textId="4B36DAFE" w:rsidR="00643637" w:rsidRDefault="00643637" w:rsidP="00B06FE8">
      <w:pPr>
        <w:spacing w:after="0" w:line="240" w:lineRule="auto"/>
        <w:ind w:firstLine="0"/>
        <w:jc w:val="left"/>
        <w:rPr>
          <w:rFonts w:ascii="Arial" w:eastAsia="Calibri" w:hAnsi="Arial" w:cs="Arial"/>
          <w:color w:val="000000" w:themeColor="text1"/>
          <w:szCs w:val="20"/>
          <w:lang w:val="es-MX"/>
        </w:rPr>
      </w:pPr>
    </w:p>
    <w:p w14:paraId="127C26D5" w14:textId="3FEA63B7" w:rsidR="00643637" w:rsidRDefault="00643637" w:rsidP="00B06FE8">
      <w:pPr>
        <w:spacing w:after="0" w:line="240" w:lineRule="auto"/>
        <w:ind w:firstLine="0"/>
        <w:jc w:val="left"/>
        <w:rPr>
          <w:rFonts w:ascii="Arial" w:eastAsia="Calibri" w:hAnsi="Arial" w:cs="Arial"/>
          <w:color w:val="000000" w:themeColor="text1"/>
          <w:szCs w:val="20"/>
          <w:lang w:val="es-MX"/>
        </w:rPr>
      </w:pPr>
    </w:p>
    <w:p w14:paraId="1E002F03" w14:textId="08183D2A" w:rsidR="00643637" w:rsidRDefault="00643637" w:rsidP="00B06FE8">
      <w:pPr>
        <w:spacing w:after="0" w:line="240" w:lineRule="auto"/>
        <w:ind w:firstLine="0"/>
        <w:jc w:val="left"/>
        <w:rPr>
          <w:rFonts w:ascii="Arial" w:eastAsia="Calibri" w:hAnsi="Arial" w:cs="Arial"/>
          <w:color w:val="000000" w:themeColor="text1"/>
          <w:szCs w:val="20"/>
          <w:lang w:val="es-MX"/>
        </w:rPr>
      </w:pPr>
    </w:p>
    <w:p w14:paraId="24EF3B24" w14:textId="08BCA77A" w:rsidR="00643637" w:rsidRDefault="00643637" w:rsidP="00B06FE8">
      <w:pPr>
        <w:spacing w:after="0" w:line="240" w:lineRule="auto"/>
        <w:ind w:firstLine="0"/>
        <w:jc w:val="left"/>
        <w:rPr>
          <w:rFonts w:ascii="Arial" w:eastAsia="Calibri" w:hAnsi="Arial" w:cs="Arial"/>
          <w:color w:val="000000" w:themeColor="text1"/>
          <w:szCs w:val="20"/>
          <w:lang w:val="es-MX"/>
        </w:rPr>
      </w:pPr>
    </w:p>
    <w:p w14:paraId="4871AD2A" w14:textId="4C0D06CA" w:rsidR="00643637" w:rsidRDefault="00643637" w:rsidP="00B06FE8">
      <w:pPr>
        <w:spacing w:after="0" w:line="240" w:lineRule="auto"/>
        <w:ind w:firstLine="0"/>
        <w:jc w:val="left"/>
        <w:rPr>
          <w:rFonts w:ascii="Arial" w:eastAsia="Calibri" w:hAnsi="Arial" w:cs="Arial"/>
          <w:color w:val="000000" w:themeColor="text1"/>
          <w:szCs w:val="20"/>
          <w:lang w:val="es-MX"/>
        </w:rPr>
      </w:pPr>
    </w:p>
    <w:p w14:paraId="2ACA47C1" w14:textId="2D2F7ED2" w:rsidR="00643637" w:rsidRDefault="00643637" w:rsidP="00B06FE8">
      <w:pPr>
        <w:spacing w:after="0" w:line="240" w:lineRule="auto"/>
        <w:ind w:firstLine="0"/>
        <w:jc w:val="left"/>
        <w:rPr>
          <w:rFonts w:ascii="Arial" w:eastAsia="Calibri" w:hAnsi="Arial" w:cs="Arial"/>
          <w:color w:val="000000" w:themeColor="text1"/>
          <w:szCs w:val="20"/>
          <w:lang w:val="es-MX"/>
        </w:rPr>
      </w:pPr>
    </w:p>
    <w:p w14:paraId="1221119D" w14:textId="19AD66EA" w:rsidR="00643637" w:rsidRDefault="00643637" w:rsidP="00B06FE8">
      <w:pPr>
        <w:spacing w:after="0" w:line="240" w:lineRule="auto"/>
        <w:ind w:firstLine="0"/>
        <w:jc w:val="left"/>
        <w:rPr>
          <w:rFonts w:ascii="Arial" w:eastAsia="Calibri" w:hAnsi="Arial" w:cs="Arial"/>
          <w:color w:val="000000" w:themeColor="text1"/>
          <w:szCs w:val="20"/>
          <w:lang w:val="es-MX"/>
        </w:rPr>
      </w:pPr>
    </w:p>
    <w:p w14:paraId="2C51DF4C" w14:textId="5BF03A9A" w:rsidR="00643637" w:rsidRDefault="00643637" w:rsidP="00B06FE8">
      <w:pPr>
        <w:spacing w:after="0" w:line="240" w:lineRule="auto"/>
        <w:ind w:firstLine="0"/>
        <w:jc w:val="left"/>
        <w:rPr>
          <w:rFonts w:ascii="Arial" w:eastAsia="Calibri" w:hAnsi="Arial" w:cs="Arial"/>
          <w:color w:val="000000" w:themeColor="text1"/>
          <w:szCs w:val="20"/>
          <w:lang w:val="es-MX"/>
        </w:rPr>
      </w:pPr>
    </w:p>
    <w:p w14:paraId="2A05178A" w14:textId="2064CAB3" w:rsidR="00643637" w:rsidRDefault="00643637" w:rsidP="00B06FE8">
      <w:pPr>
        <w:spacing w:after="0" w:line="240" w:lineRule="auto"/>
        <w:ind w:firstLine="0"/>
        <w:jc w:val="left"/>
        <w:rPr>
          <w:rFonts w:ascii="Arial" w:eastAsia="Calibri" w:hAnsi="Arial" w:cs="Arial"/>
          <w:color w:val="000000" w:themeColor="text1"/>
          <w:szCs w:val="20"/>
          <w:lang w:val="es-MX"/>
        </w:rPr>
      </w:pPr>
    </w:p>
    <w:p w14:paraId="55C0E608" w14:textId="644592CD" w:rsidR="00643637" w:rsidRDefault="00643637" w:rsidP="00B06FE8">
      <w:pPr>
        <w:spacing w:after="0" w:line="240" w:lineRule="auto"/>
        <w:ind w:firstLine="0"/>
        <w:jc w:val="left"/>
        <w:rPr>
          <w:rFonts w:ascii="Arial" w:eastAsia="Calibri" w:hAnsi="Arial" w:cs="Arial"/>
          <w:color w:val="000000" w:themeColor="text1"/>
          <w:szCs w:val="20"/>
          <w:lang w:val="es-MX"/>
        </w:rPr>
      </w:pPr>
    </w:p>
    <w:p w14:paraId="5C1DB0C4" w14:textId="7A13376D" w:rsidR="00643637" w:rsidRDefault="00643637" w:rsidP="00B06FE8">
      <w:pPr>
        <w:spacing w:after="0" w:line="240" w:lineRule="auto"/>
        <w:ind w:firstLine="0"/>
        <w:jc w:val="left"/>
        <w:rPr>
          <w:rFonts w:ascii="Arial" w:eastAsia="Calibri" w:hAnsi="Arial" w:cs="Arial"/>
          <w:color w:val="000000" w:themeColor="text1"/>
          <w:szCs w:val="20"/>
          <w:lang w:val="es-MX"/>
        </w:rPr>
      </w:pPr>
    </w:p>
    <w:p w14:paraId="4E4243D6" w14:textId="5F3150AB" w:rsidR="00643637" w:rsidRDefault="00643637" w:rsidP="00B06FE8">
      <w:pPr>
        <w:spacing w:after="0" w:line="240" w:lineRule="auto"/>
        <w:ind w:firstLine="0"/>
        <w:jc w:val="left"/>
        <w:rPr>
          <w:rFonts w:ascii="Arial" w:eastAsia="Calibri" w:hAnsi="Arial" w:cs="Arial"/>
          <w:color w:val="000000" w:themeColor="text1"/>
          <w:szCs w:val="20"/>
          <w:lang w:val="es-MX"/>
        </w:rPr>
      </w:pPr>
    </w:p>
    <w:p w14:paraId="01F0877E" w14:textId="038A9850" w:rsidR="00643637" w:rsidRDefault="00643637" w:rsidP="00B06FE8">
      <w:pPr>
        <w:spacing w:after="0" w:line="240" w:lineRule="auto"/>
        <w:ind w:firstLine="0"/>
        <w:jc w:val="left"/>
        <w:rPr>
          <w:rFonts w:ascii="Arial" w:eastAsia="Calibri" w:hAnsi="Arial" w:cs="Arial"/>
          <w:color w:val="000000" w:themeColor="text1"/>
          <w:szCs w:val="20"/>
          <w:lang w:val="es-MX"/>
        </w:rPr>
      </w:pPr>
    </w:p>
    <w:p w14:paraId="7D180707" w14:textId="5EFFC286" w:rsidR="00290A43" w:rsidRDefault="00290A43" w:rsidP="00B06FE8">
      <w:pPr>
        <w:spacing w:after="0" w:line="240" w:lineRule="auto"/>
        <w:ind w:firstLine="0"/>
        <w:jc w:val="left"/>
        <w:rPr>
          <w:rFonts w:ascii="Arial" w:eastAsia="Calibri" w:hAnsi="Arial" w:cs="Arial"/>
          <w:color w:val="000000" w:themeColor="text1"/>
          <w:szCs w:val="20"/>
          <w:lang w:val="es-MX"/>
        </w:rPr>
      </w:pPr>
    </w:p>
    <w:p w14:paraId="5DEE98B7" w14:textId="25657DA6" w:rsidR="00A331CA" w:rsidRDefault="00A331CA" w:rsidP="00B06FE8">
      <w:pPr>
        <w:spacing w:after="0" w:line="240" w:lineRule="auto"/>
        <w:ind w:firstLine="0"/>
        <w:jc w:val="left"/>
        <w:rPr>
          <w:rFonts w:ascii="Arial" w:eastAsia="Calibri" w:hAnsi="Arial" w:cs="Arial"/>
          <w:color w:val="000000" w:themeColor="text1"/>
          <w:szCs w:val="20"/>
          <w:lang w:val="es-MX"/>
        </w:rPr>
      </w:pPr>
    </w:p>
    <w:p w14:paraId="419219A1" w14:textId="31478ADE" w:rsidR="00A331CA" w:rsidRDefault="007B3FCB" w:rsidP="007B3FCB">
      <w:pPr>
        <w:spacing w:after="0" w:line="240" w:lineRule="auto"/>
        <w:ind w:firstLine="0"/>
        <w:jc w:val="right"/>
        <w:rPr>
          <w:rFonts w:ascii="Arial" w:eastAsia="Calibri" w:hAnsi="Arial" w:cs="Arial"/>
          <w:color w:val="000000" w:themeColor="text1"/>
          <w:szCs w:val="20"/>
          <w:lang w:val="es-MX"/>
        </w:rPr>
      </w:pPr>
      <w:r>
        <w:rPr>
          <w:rFonts w:ascii="Arial" w:eastAsia="Calibri" w:hAnsi="Arial" w:cs="Arial"/>
          <w:noProof/>
          <w:color w:val="000000" w:themeColor="text1"/>
          <w:szCs w:val="20"/>
          <w:lang w:val="es-MX"/>
        </w:rPr>
        <w:lastRenderedPageBreak/>
        <w:drawing>
          <wp:inline distT="0" distB="0" distL="0" distR="0" wp14:anchorId="20A7431D" wp14:editId="4C673565">
            <wp:extent cx="2851962" cy="749513"/>
            <wp:effectExtent l="0" t="0" r="571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887573" cy="758872"/>
                    </a:xfrm>
                    <a:prstGeom prst="rect">
                      <a:avLst/>
                    </a:prstGeom>
                  </pic:spPr>
                </pic:pic>
              </a:graphicData>
            </a:graphic>
          </wp:inline>
        </w:drawing>
      </w:r>
    </w:p>
    <w:p w14:paraId="700541DF" w14:textId="77777777" w:rsidR="007B3FCB" w:rsidRDefault="007B3FCB" w:rsidP="00B06FE8">
      <w:pPr>
        <w:spacing w:after="0" w:line="240" w:lineRule="auto"/>
        <w:ind w:firstLine="0"/>
        <w:jc w:val="left"/>
        <w:rPr>
          <w:rFonts w:ascii="Arial" w:eastAsia="Calibri" w:hAnsi="Arial" w:cs="Arial"/>
          <w:color w:val="000000" w:themeColor="text1"/>
          <w:szCs w:val="20"/>
          <w:lang w:val="es-MX"/>
        </w:rPr>
      </w:pPr>
    </w:p>
    <w:p w14:paraId="1E8BA87A" w14:textId="5438C345" w:rsidR="00B06FE8" w:rsidRPr="002B47C2" w:rsidRDefault="00B06FE8" w:rsidP="00B06FE8">
      <w:pPr>
        <w:spacing w:after="0" w:line="240" w:lineRule="auto"/>
        <w:ind w:firstLine="0"/>
        <w:jc w:val="left"/>
        <w:rPr>
          <w:rFonts w:ascii="Arial" w:eastAsia="Calibri" w:hAnsi="Arial" w:cs="Arial"/>
          <w:color w:val="000000" w:themeColor="text1"/>
          <w:szCs w:val="20"/>
          <w:lang w:val="es-MX"/>
        </w:rPr>
      </w:pPr>
      <w:r w:rsidRPr="002B47C2">
        <w:rPr>
          <w:rFonts w:ascii="Arial" w:eastAsia="Calibri" w:hAnsi="Arial" w:cs="Arial"/>
          <w:color w:val="000000" w:themeColor="text1"/>
          <w:szCs w:val="20"/>
          <w:lang w:val="es-MX"/>
        </w:rPr>
        <w:t>Señor</w:t>
      </w:r>
    </w:p>
    <w:p w14:paraId="6ECB2549" w14:textId="6AAD1B22" w:rsidR="00B06FE8" w:rsidRPr="002B47C2" w:rsidRDefault="001123D1" w:rsidP="00B06FE8">
      <w:pPr>
        <w:spacing w:after="0" w:line="240" w:lineRule="auto"/>
        <w:ind w:firstLine="0"/>
        <w:jc w:val="left"/>
        <w:rPr>
          <w:rFonts w:ascii="Arial" w:eastAsia="Calibri" w:hAnsi="Arial" w:cs="Arial"/>
          <w:b/>
          <w:color w:val="000000" w:themeColor="text1"/>
          <w:szCs w:val="20"/>
          <w:lang w:val="es-MX"/>
        </w:rPr>
      </w:pPr>
      <w:r>
        <w:rPr>
          <w:rFonts w:ascii="Arial" w:eastAsia="Calibri" w:hAnsi="Arial" w:cs="Arial"/>
          <w:b/>
          <w:color w:val="000000" w:themeColor="text1"/>
          <w:szCs w:val="20"/>
          <w:lang w:val="es-MX"/>
        </w:rPr>
        <w:t>J</w:t>
      </w:r>
      <w:r w:rsidR="00BA365E">
        <w:rPr>
          <w:rFonts w:ascii="Arial" w:eastAsia="Calibri" w:hAnsi="Arial" w:cs="Arial"/>
          <w:b/>
          <w:color w:val="000000" w:themeColor="text1"/>
          <w:szCs w:val="20"/>
          <w:lang w:val="es-MX"/>
        </w:rPr>
        <w:t>ohnathan Cotacio</w:t>
      </w:r>
    </w:p>
    <w:p w14:paraId="026260FA" w14:textId="52DF525B" w:rsidR="00B06FE8" w:rsidRPr="002B47C2" w:rsidRDefault="000D5681" w:rsidP="00B06FE8">
      <w:pPr>
        <w:spacing w:after="0" w:line="240" w:lineRule="auto"/>
        <w:ind w:firstLine="0"/>
        <w:jc w:val="left"/>
        <w:rPr>
          <w:rFonts w:ascii="Arial" w:eastAsia="Calibri" w:hAnsi="Arial" w:cs="Arial"/>
          <w:color w:val="000000" w:themeColor="text1"/>
          <w:szCs w:val="20"/>
          <w:lang w:val="es-MX"/>
        </w:rPr>
      </w:pPr>
      <w:r>
        <w:rPr>
          <w:rFonts w:ascii="Arial" w:eastAsia="Calibri" w:hAnsi="Arial" w:cs="Arial"/>
          <w:color w:val="000000" w:themeColor="text1"/>
          <w:szCs w:val="20"/>
          <w:lang w:val="es-MX"/>
        </w:rPr>
        <w:t>Florencia, Caquetá</w:t>
      </w:r>
    </w:p>
    <w:p w14:paraId="132F0940" w14:textId="77777777" w:rsidR="00B06FE8" w:rsidRPr="002B47C2" w:rsidRDefault="00B06FE8" w:rsidP="00B06FE8">
      <w:pPr>
        <w:spacing w:after="0" w:line="240" w:lineRule="auto"/>
        <w:ind w:firstLine="0"/>
        <w:jc w:val="left"/>
        <w:rPr>
          <w:rFonts w:ascii="Arial" w:eastAsia="Calibri" w:hAnsi="Arial" w:cs="Arial"/>
          <w:color w:val="000000" w:themeColor="text1"/>
          <w:szCs w:val="20"/>
          <w:lang w:val="es-MX"/>
        </w:rPr>
      </w:pPr>
    </w:p>
    <w:p w14:paraId="0E829919" w14:textId="77777777" w:rsidR="00B06FE8" w:rsidRPr="002B47C2" w:rsidRDefault="00B06FE8" w:rsidP="00B06FE8">
      <w:pPr>
        <w:spacing w:after="0" w:line="240" w:lineRule="auto"/>
        <w:ind w:firstLine="0"/>
        <w:jc w:val="left"/>
        <w:rPr>
          <w:rFonts w:ascii="Arial" w:eastAsia="Calibri" w:hAnsi="Arial" w:cs="Arial"/>
          <w:color w:val="000000" w:themeColor="text1"/>
          <w:szCs w:val="20"/>
          <w:lang w:val="es-MX"/>
        </w:rPr>
      </w:pPr>
    </w:p>
    <w:p w14:paraId="43380B14" w14:textId="1B2DE987" w:rsidR="00B06FE8" w:rsidRPr="002B47C2" w:rsidRDefault="00B06FE8" w:rsidP="00B06FE8">
      <w:pPr>
        <w:spacing w:after="0" w:line="240" w:lineRule="auto"/>
        <w:ind w:firstLine="0"/>
        <w:jc w:val="left"/>
        <w:rPr>
          <w:rFonts w:ascii="Arial" w:eastAsia="Calibri" w:hAnsi="Arial" w:cs="Arial"/>
          <w:b/>
          <w:color w:val="000000" w:themeColor="text1"/>
          <w:lang w:val="es-MX"/>
        </w:rPr>
      </w:pPr>
      <w:r w:rsidRPr="002B47C2">
        <w:rPr>
          <w:rFonts w:ascii="Arial" w:eastAsia="Calibri" w:hAnsi="Arial" w:cs="Arial"/>
          <w:b/>
          <w:color w:val="000000" w:themeColor="text1"/>
          <w:lang w:val="es-MX"/>
        </w:rPr>
        <w:t xml:space="preserve">                                            Concepto C – </w:t>
      </w:r>
      <w:r w:rsidR="000D5681">
        <w:rPr>
          <w:rFonts w:ascii="Arial" w:eastAsia="Calibri" w:hAnsi="Arial" w:cs="Arial"/>
          <w:b/>
          <w:color w:val="000000" w:themeColor="text1"/>
          <w:lang w:val="es-MX"/>
        </w:rPr>
        <w:t>218</w:t>
      </w:r>
      <w:r w:rsidRPr="002B47C2">
        <w:rPr>
          <w:rFonts w:ascii="Arial" w:eastAsia="Calibri" w:hAnsi="Arial" w:cs="Arial"/>
          <w:b/>
          <w:color w:val="000000" w:themeColor="text1"/>
          <w:lang w:val="es-MX"/>
        </w:rPr>
        <w:t xml:space="preserve"> de 202</w:t>
      </w:r>
      <w:r w:rsidR="00743C06">
        <w:rPr>
          <w:rFonts w:ascii="Arial" w:eastAsia="Calibri" w:hAnsi="Arial" w:cs="Arial"/>
          <w:b/>
          <w:color w:val="000000" w:themeColor="text1"/>
          <w:lang w:val="es-MX"/>
        </w:rPr>
        <w:t>2</w:t>
      </w:r>
    </w:p>
    <w:p w14:paraId="580DE48B" w14:textId="77777777" w:rsidR="00B06FE8" w:rsidRPr="002B47C2" w:rsidRDefault="00B06FE8" w:rsidP="00B06FE8">
      <w:pPr>
        <w:spacing w:after="0" w:line="240" w:lineRule="auto"/>
        <w:ind w:firstLine="0"/>
        <w:jc w:val="left"/>
        <w:rPr>
          <w:rFonts w:ascii="Arial" w:eastAsia="Calibri" w:hAnsi="Arial" w:cs="Arial"/>
          <w:color w:val="000000" w:themeColor="text1"/>
          <w:lang w:val="es-MX"/>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06FE8" w:rsidRPr="002B47C2" w14:paraId="7AC04124" w14:textId="77777777" w:rsidTr="002E370F">
        <w:tc>
          <w:tcPr>
            <w:tcW w:w="2689" w:type="dxa"/>
            <w:hideMark/>
          </w:tcPr>
          <w:p w14:paraId="28058004" w14:textId="77777777" w:rsidR="00B06FE8" w:rsidRPr="002B47C2" w:rsidRDefault="00B06FE8" w:rsidP="002E370F">
            <w:pPr>
              <w:spacing w:after="0" w:line="240" w:lineRule="auto"/>
              <w:ind w:firstLine="0"/>
              <w:jc w:val="left"/>
              <w:rPr>
                <w:rFonts w:ascii="Arial" w:eastAsia="Calibri" w:hAnsi="Arial" w:cs="Arial"/>
                <w:color w:val="000000" w:themeColor="text1"/>
                <w:lang w:val="es-MX"/>
              </w:rPr>
            </w:pPr>
            <w:r w:rsidRPr="002B47C2">
              <w:rPr>
                <w:rFonts w:ascii="Arial" w:eastAsia="Calibri" w:hAnsi="Arial" w:cs="Arial"/>
                <w:b/>
                <w:color w:val="000000" w:themeColor="text1"/>
                <w:lang w:val="es-MX"/>
              </w:rPr>
              <w:t>Temas:</w:t>
            </w:r>
            <w:r w:rsidRPr="002B47C2">
              <w:rPr>
                <w:rFonts w:ascii="Arial" w:eastAsia="Calibri" w:hAnsi="Arial" w:cs="Arial"/>
                <w:color w:val="000000" w:themeColor="text1"/>
                <w:lang w:val="es-MX"/>
              </w:rPr>
              <w:t xml:space="preserve">           </w:t>
            </w:r>
          </w:p>
          <w:p w14:paraId="760CD2EC" w14:textId="77777777" w:rsidR="00B06FE8" w:rsidRPr="002B47C2" w:rsidRDefault="00B06FE8" w:rsidP="002E370F">
            <w:pPr>
              <w:spacing w:after="0" w:line="240" w:lineRule="auto"/>
              <w:ind w:firstLine="0"/>
              <w:jc w:val="left"/>
              <w:rPr>
                <w:rFonts w:ascii="Arial" w:eastAsia="Calibri" w:hAnsi="Arial" w:cs="Arial"/>
                <w:color w:val="000000" w:themeColor="text1"/>
                <w:lang w:val="es-MX"/>
              </w:rPr>
            </w:pPr>
            <w:r w:rsidRPr="002B47C2">
              <w:rPr>
                <w:rFonts w:ascii="Arial" w:eastAsia="Calibri" w:hAnsi="Arial" w:cs="Arial"/>
                <w:color w:val="000000" w:themeColor="text1"/>
                <w:lang w:val="es-MX"/>
              </w:rPr>
              <w:t xml:space="preserve">                           </w:t>
            </w:r>
          </w:p>
        </w:tc>
        <w:tc>
          <w:tcPr>
            <w:tcW w:w="6237" w:type="dxa"/>
            <w:hideMark/>
          </w:tcPr>
          <w:p w14:paraId="65048DC9" w14:textId="067263AA" w:rsidR="00B06FE8" w:rsidRPr="002B47C2" w:rsidRDefault="00A331CA" w:rsidP="002E370F">
            <w:pPr>
              <w:spacing w:line="240" w:lineRule="auto"/>
              <w:ind w:firstLine="0"/>
              <w:rPr>
                <w:rFonts w:ascii="Arial" w:eastAsia="Calibri" w:hAnsi="Arial" w:cs="Arial"/>
                <w:color w:val="000000" w:themeColor="text1"/>
                <w:lang w:val="es-MX"/>
              </w:rPr>
            </w:pPr>
            <w:r w:rsidRPr="0026586A">
              <w:rPr>
                <w:rFonts w:ascii="Arial" w:eastAsia="Calibri" w:hAnsi="Arial" w:cs="Arial"/>
                <w:color w:val="000000" w:themeColor="text1"/>
                <w:lang w:val="es-MX"/>
              </w:rPr>
              <w:t xml:space="preserve">DOCUMENTOS TIPO – Fundamento normativo </w:t>
            </w:r>
            <w:r w:rsidR="00B06FE8" w:rsidRPr="0026586A">
              <w:rPr>
                <w:rFonts w:ascii="Arial" w:eastAsia="Calibri" w:hAnsi="Arial" w:cs="Arial"/>
                <w:color w:val="000000" w:themeColor="text1"/>
                <w:lang w:val="es-MX"/>
              </w:rPr>
              <w:t xml:space="preserve">/ </w:t>
            </w:r>
            <w:r w:rsidR="008F1882" w:rsidRPr="0026586A">
              <w:rPr>
                <w:rFonts w:ascii="Arial" w:eastAsia="Calibri" w:hAnsi="Arial" w:cs="Arial"/>
                <w:color w:val="000000" w:themeColor="text1"/>
                <w:lang w:val="es-MX"/>
              </w:rPr>
              <w:t>DOCUMENTOS TIPO – Matriz 1 – Experiencia – Aplicación de los documentos tipo</w:t>
            </w:r>
            <w:r w:rsidR="0026586A" w:rsidRPr="0026586A">
              <w:rPr>
                <w:rFonts w:ascii="Arial" w:eastAsia="Calibri" w:hAnsi="Arial" w:cs="Arial"/>
                <w:color w:val="000000" w:themeColor="text1"/>
                <w:lang w:val="es-MX"/>
              </w:rPr>
              <w:t xml:space="preserve"> / DOCUMENTOS TIPO – Experiencia – Complejidad – Aplicación de la Matriz 1 – Experiencia</w:t>
            </w:r>
          </w:p>
        </w:tc>
      </w:tr>
      <w:tr w:rsidR="00B06FE8" w:rsidRPr="002B47C2" w14:paraId="6C0BBE00" w14:textId="77777777" w:rsidTr="002E370F">
        <w:tc>
          <w:tcPr>
            <w:tcW w:w="2689" w:type="dxa"/>
          </w:tcPr>
          <w:p w14:paraId="3C8FFC36" w14:textId="77777777" w:rsidR="00B06FE8" w:rsidRPr="002B47C2" w:rsidRDefault="00B06FE8" w:rsidP="002E370F">
            <w:pPr>
              <w:spacing w:after="0" w:line="240" w:lineRule="auto"/>
              <w:ind w:firstLine="0"/>
              <w:jc w:val="left"/>
              <w:rPr>
                <w:rFonts w:ascii="Arial" w:eastAsia="Calibri" w:hAnsi="Arial" w:cs="Arial"/>
                <w:b/>
                <w:color w:val="000000" w:themeColor="text1"/>
                <w:lang w:val="es-MX"/>
              </w:rPr>
            </w:pPr>
            <w:r w:rsidRPr="002B47C2">
              <w:rPr>
                <w:rFonts w:ascii="Arial" w:eastAsia="Calibri" w:hAnsi="Arial" w:cs="Arial"/>
                <w:b/>
                <w:color w:val="000000" w:themeColor="text1"/>
                <w:lang w:val="es-MX"/>
              </w:rPr>
              <w:t>Radicación:</w:t>
            </w:r>
            <w:r w:rsidRPr="002B47C2">
              <w:rPr>
                <w:rFonts w:ascii="Arial" w:eastAsia="Calibri" w:hAnsi="Arial" w:cs="Arial"/>
                <w:color w:val="000000" w:themeColor="text1"/>
                <w:lang w:val="es-MX"/>
              </w:rPr>
              <w:t xml:space="preserve">                              </w:t>
            </w:r>
          </w:p>
        </w:tc>
        <w:tc>
          <w:tcPr>
            <w:tcW w:w="6237" w:type="dxa"/>
          </w:tcPr>
          <w:p w14:paraId="7ACB8073" w14:textId="581E9619" w:rsidR="00B06FE8" w:rsidRPr="002B47C2" w:rsidRDefault="00B06FE8" w:rsidP="002E370F">
            <w:pPr>
              <w:spacing w:after="0" w:line="240" w:lineRule="auto"/>
              <w:ind w:firstLine="0"/>
              <w:rPr>
                <w:rFonts w:ascii="Arial" w:eastAsia="Calibri" w:hAnsi="Arial" w:cs="Arial"/>
                <w:color w:val="000000" w:themeColor="text1"/>
                <w:lang w:val="es-MX"/>
              </w:rPr>
            </w:pPr>
            <w:r w:rsidRPr="002B47C2">
              <w:rPr>
                <w:rFonts w:ascii="Arial" w:eastAsia="Calibri" w:hAnsi="Arial" w:cs="Arial"/>
                <w:color w:val="000000" w:themeColor="text1"/>
                <w:lang w:val="es-MX"/>
              </w:rPr>
              <w:t xml:space="preserve">Respuesta a consulta # </w:t>
            </w:r>
            <w:r w:rsidR="003157D7" w:rsidRPr="003157D7">
              <w:rPr>
                <w:rFonts w:ascii="Arial" w:eastAsia="Calibri" w:hAnsi="Arial" w:cs="Arial"/>
                <w:color w:val="000000" w:themeColor="text1"/>
                <w:lang w:val="es-MX"/>
              </w:rPr>
              <w:t>P20220308002251</w:t>
            </w:r>
          </w:p>
        </w:tc>
      </w:tr>
    </w:tbl>
    <w:p w14:paraId="1984FA84" w14:textId="77777777" w:rsidR="00B06FE8" w:rsidRPr="002B47C2" w:rsidRDefault="00B06FE8" w:rsidP="00B06FE8">
      <w:pPr>
        <w:spacing w:after="0"/>
        <w:ind w:firstLine="0"/>
        <w:rPr>
          <w:rFonts w:ascii="Arial" w:eastAsia="Calibri" w:hAnsi="Arial" w:cs="Arial"/>
          <w:color w:val="000000" w:themeColor="text1"/>
          <w:lang w:val="es-MX"/>
        </w:rPr>
      </w:pPr>
    </w:p>
    <w:p w14:paraId="1D8B5ED1" w14:textId="7FC9F75D" w:rsidR="00B06FE8" w:rsidRPr="002B47C2" w:rsidRDefault="00B06FE8" w:rsidP="00B06FE8">
      <w:pPr>
        <w:spacing w:before="120" w:after="0"/>
        <w:ind w:firstLine="0"/>
        <w:jc w:val="left"/>
        <w:rPr>
          <w:rFonts w:ascii="Arial" w:eastAsia="Calibri" w:hAnsi="Arial" w:cs="Arial"/>
          <w:color w:val="000000" w:themeColor="text1"/>
          <w:lang w:val="es-MX"/>
        </w:rPr>
      </w:pPr>
      <w:r w:rsidRPr="002B47C2">
        <w:rPr>
          <w:rFonts w:ascii="Arial" w:eastAsia="Calibri" w:hAnsi="Arial" w:cs="Arial"/>
          <w:color w:val="000000" w:themeColor="text1"/>
          <w:lang w:val="es-MX"/>
        </w:rPr>
        <w:t>Estimad</w:t>
      </w:r>
      <w:r w:rsidR="00C0527A">
        <w:rPr>
          <w:rFonts w:ascii="Arial" w:eastAsia="Calibri" w:hAnsi="Arial" w:cs="Arial"/>
          <w:color w:val="000000" w:themeColor="text1"/>
          <w:lang w:val="es-MX"/>
        </w:rPr>
        <w:t>o señor</w:t>
      </w:r>
      <w:r w:rsidR="000844F3">
        <w:rPr>
          <w:rFonts w:ascii="Arial" w:eastAsia="Calibri" w:hAnsi="Arial" w:cs="Arial"/>
          <w:color w:val="000000" w:themeColor="text1"/>
          <w:lang w:val="es-MX"/>
        </w:rPr>
        <w:t xml:space="preserve"> Cotacio</w:t>
      </w:r>
      <w:r w:rsidRPr="002B47C2">
        <w:rPr>
          <w:rFonts w:ascii="Arial" w:eastAsia="Calibri" w:hAnsi="Arial" w:cs="Arial"/>
          <w:color w:val="000000" w:themeColor="text1"/>
          <w:lang w:val="es-MX"/>
        </w:rPr>
        <w:t>:</w:t>
      </w:r>
    </w:p>
    <w:p w14:paraId="06C128A2" w14:textId="77777777" w:rsidR="00B06FE8" w:rsidRPr="002B47C2" w:rsidRDefault="00B06FE8" w:rsidP="00B06FE8">
      <w:pPr>
        <w:spacing w:after="0"/>
        <w:ind w:firstLine="0"/>
        <w:jc w:val="left"/>
        <w:rPr>
          <w:rFonts w:ascii="Arial" w:eastAsia="Calibri" w:hAnsi="Arial" w:cs="Arial"/>
          <w:color w:val="000000" w:themeColor="text1"/>
          <w:lang w:val="es-MX"/>
        </w:rPr>
      </w:pPr>
    </w:p>
    <w:p w14:paraId="3B4084E0" w14:textId="374AC695" w:rsidR="00B06FE8" w:rsidRPr="002B47C2" w:rsidRDefault="00B06FE8" w:rsidP="00B06FE8">
      <w:pPr>
        <w:spacing w:after="0"/>
        <w:ind w:right="51" w:firstLine="0"/>
        <w:rPr>
          <w:rFonts w:ascii="Arial" w:hAnsi="Arial" w:cs="Arial"/>
          <w:color w:val="000000" w:themeColor="text1"/>
          <w:lang w:val="es-MX"/>
        </w:rPr>
      </w:pPr>
      <w:r w:rsidRPr="002B47C2">
        <w:rPr>
          <w:rFonts w:ascii="Arial" w:hAnsi="Arial" w:cs="Arial"/>
          <w:color w:val="000000" w:themeColor="text1"/>
          <w:lang w:val="es-MX"/>
        </w:rPr>
        <w:t xml:space="preserve">La Agencia Nacional de Contratación Pública – Colombia Compra Eficiente responde su consulta del </w:t>
      </w:r>
      <w:r w:rsidR="00BA365E">
        <w:rPr>
          <w:rFonts w:ascii="Arial" w:hAnsi="Arial" w:cs="Arial"/>
          <w:color w:val="000000" w:themeColor="text1"/>
          <w:lang w:val="es-MX"/>
        </w:rPr>
        <w:t>8</w:t>
      </w:r>
      <w:r w:rsidRPr="002B47C2">
        <w:rPr>
          <w:rFonts w:ascii="Arial" w:hAnsi="Arial" w:cs="Arial"/>
          <w:color w:val="000000" w:themeColor="text1"/>
          <w:lang w:val="es-MX"/>
        </w:rPr>
        <w:t xml:space="preserve"> de </w:t>
      </w:r>
      <w:r w:rsidR="00BA365E">
        <w:rPr>
          <w:rFonts w:ascii="Arial" w:hAnsi="Arial" w:cs="Arial"/>
          <w:color w:val="000000" w:themeColor="text1"/>
          <w:lang w:val="es-MX"/>
        </w:rPr>
        <w:t>marz</w:t>
      </w:r>
      <w:r w:rsidR="00DE3A03">
        <w:rPr>
          <w:rFonts w:ascii="Arial" w:hAnsi="Arial" w:cs="Arial"/>
          <w:color w:val="000000" w:themeColor="text1"/>
          <w:lang w:val="es-MX"/>
        </w:rPr>
        <w:t>o</w:t>
      </w:r>
      <w:r w:rsidRPr="002B47C2">
        <w:rPr>
          <w:rFonts w:ascii="Arial" w:hAnsi="Arial" w:cs="Arial"/>
          <w:color w:val="000000" w:themeColor="text1"/>
          <w:lang w:val="es-MX"/>
        </w:rPr>
        <w:t xml:space="preserve"> de 202</w:t>
      </w:r>
      <w:r w:rsidR="00DE3A03">
        <w:rPr>
          <w:rFonts w:ascii="Arial" w:hAnsi="Arial" w:cs="Arial"/>
          <w:color w:val="000000" w:themeColor="text1"/>
          <w:lang w:val="es-MX"/>
        </w:rPr>
        <w:t>2</w:t>
      </w:r>
      <w:r w:rsidRPr="002B47C2">
        <w:rPr>
          <w:rFonts w:ascii="Arial" w:hAnsi="Arial" w:cs="Arial"/>
          <w:color w:val="000000" w:themeColor="text1"/>
          <w:lang w:val="es-MX"/>
        </w:rPr>
        <w:t xml:space="preserve">, en ejercicio de la competencia otorgada por el numeral 8 del artículo 11 y el numeral 5 del artículo 3 del Decreto Ley 4170 de 2011. </w:t>
      </w:r>
    </w:p>
    <w:p w14:paraId="35365DCB" w14:textId="77777777" w:rsidR="00B06FE8" w:rsidRPr="002B47C2" w:rsidRDefault="00B06FE8" w:rsidP="00B06FE8">
      <w:pPr>
        <w:spacing w:after="0"/>
        <w:rPr>
          <w:rFonts w:ascii="Arial" w:eastAsia="Calibri" w:hAnsi="Arial" w:cs="Arial"/>
          <w:color w:val="000000" w:themeColor="text1"/>
          <w:lang w:val="es-MX"/>
        </w:rPr>
      </w:pPr>
    </w:p>
    <w:p w14:paraId="01B8F51D" w14:textId="77777777" w:rsidR="00B06FE8" w:rsidRPr="002B47C2" w:rsidRDefault="00B06FE8" w:rsidP="00B06FE8">
      <w:pPr>
        <w:numPr>
          <w:ilvl w:val="0"/>
          <w:numId w:val="1"/>
        </w:numPr>
        <w:tabs>
          <w:tab w:val="left" w:pos="284"/>
        </w:tabs>
        <w:spacing w:after="0"/>
        <w:ind w:left="0" w:firstLine="0"/>
        <w:contextualSpacing/>
        <w:rPr>
          <w:rFonts w:ascii="Arial" w:eastAsia="Calibri" w:hAnsi="Arial" w:cs="Arial"/>
          <w:b/>
          <w:color w:val="000000" w:themeColor="text1"/>
          <w:lang w:val="es-MX"/>
        </w:rPr>
      </w:pPr>
      <w:r w:rsidRPr="002B47C2">
        <w:rPr>
          <w:rFonts w:ascii="Arial" w:eastAsia="Calibri" w:hAnsi="Arial" w:cs="Arial"/>
          <w:b/>
          <w:color w:val="000000" w:themeColor="text1"/>
          <w:lang w:val="es-MX"/>
        </w:rPr>
        <w:t>Problema planteado</w:t>
      </w:r>
    </w:p>
    <w:p w14:paraId="2FA00E23" w14:textId="77777777" w:rsidR="00B06FE8" w:rsidRPr="002B47C2" w:rsidRDefault="00B06FE8" w:rsidP="00B06FE8">
      <w:pPr>
        <w:autoSpaceDE w:val="0"/>
        <w:autoSpaceDN w:val="0"/>
        <w:adjustRightInd w:val="0"/>
        <w:spacing w:after="0"/>
        <w:rPr>
          <w:rFonts w:ascii="Arial" w:eastAsia="Calibri" w:hAnsi="Arial" w:cs="Arial"/>
          <w:color w:val="000000" w:themeColor="text1"/>
          <w:szCs w:val="24"/>
        </w:rPr>
      </w:pPr>
    </w:p>
    <w:p w14:paraId="2A4B1BD3" w14:textId="7EBCF908" w:rsidR="00B06FE8" w:rsidRPr="002B47C2" w:rsidRDefault="00B06FE8" w:rsidP="00B06FE8">
      <w:pPr>
        <w:tabs>
          <w:tab w:val="left" w:pos="426"/>
        </w:tabs>
        <w:spacing w:after="0"/>
        <w:ind w:firstLine="0"/>
        <w:rPr>
          <w:rFonts w:ascii="Arial" w:eastAsia="Times New Roman" w:hAnsi="Arial" w:cs="Arial"/>
          <w:color w:val="000000" w:themeColor="text1"/>
          <w:szCs w:val="24"/>
          <w:lang w:val="es-ES_tradnl" w:eastAsia="es-ES_tradnl"/>
        </w:rPr>
      </w:pPr>
      <w:bookmarkStart w:id="1" w:name="_Hlk91506495"/>
      <w:r w:rsidRPr="002B47C2">
        <w:rPr>
          <w:rFonts w:ascii="Arial" w:eastAsia="Times New Roman" w:hAnsi="Arial" w:cs="Arial"/>
          <w:color w:val="000000" w:themeColor="text1"/>
          <w:szCs w:val="24"/>
          <w:lang w:val="es-ES_tradnl" w:eastAsia="es-ES_tradnl"/>
        </w:rPr>
        <w:t>Usted realiza la siguiente pregunta</w:t>
      </w:r>
      <w:bookmarkEnd w:id="1"/>
      <w:r w:rsidR="00690CB6">
        <w:rPr>
          <w:rFonts w:ascii="Arial" w:eastAsia="Times New Roman" w:hAnsi="Arial" w:cs="Arial"/>
          <w:color w:val="000000" w:themeColor="text1"/>
          <w:szCs w:val="24"/>
          <w:lang w:val="es-ES_tradnl" w:eastAsia="es-ES_tradnl"/>
        </w:rPr>
        <w:t>:</w:t>
      </w:r>
    </w:p>
    <w:p w14:paraId="1E774698" w14:textId="77777777" w:rsidR="00B06FE8" w:rsidRPr="002B47C2" w:rsidRDefault="00B06FE8" w:rsidP="00B06FE8">
      <w:pPr>
        <w:tabs>
          <w:tab w:val="left" w:pos="426"/>
        </w:tabs>
        <w:spacing w:after="0"/>
        <w:ind w:firstLine="0"/>
        <w:rPr>
          <w:rFonts w:ascii="Arial" w:eastAsia="Times New Roman" w:hAnsi="Arial" w:cs="Arial"/>
          <w:color w:val="000000" w:themeColor="text1"/>
          <w:szCs w:val="24"/>
          <w:lang w:val="es-ES_tradnl" w:eastAsia="es-ES_tradnl"/>
        </w:rPr>
      </w:pPr>
    </w:p>
    <w:p w14:paraId="60DBFFFF" w14:textId="2FFBFFDD" w:rsidR="00B06FE8" w:rsidRPr="002B47C2" w:rsidRDefault="00B06FE8" w:rsidP="00B06FE8">
      <w:pPr>
        <w:tabs>
          <w:tab w:val="left" w:pos="426"/>
        </w:tabs>
        <w:spacing w:after="0" w:line="240" w:lineRule="auto"/>
        <w:ind w:left="709" w:right="758" w:firstLine="0"/>
        <w:rPr>
          <w:rFonts w:ascii="Arial" w:eastAsia="Calibri" w:hAnsi="Arial" w:cs="Arial"/>
          <w:color w:val="000000" w:themeColor="text1"/>
          <w:sz w:val="21"/>
          <w:szCs w:val="21"/>
          <w:lang w:eastAsia="es-ES_tradnl"/>
        </w:rPr>
      </w:pPr>
      <w:bookmarkStart w:id="2" w:name="_Hlk85793576"/>
      <w:r w:rsidRPr="002B47C2">
        <w:rPr>
          <w:rFonts w:ascii="Arial" w:eastAsia="Calibri" w:hAnsi="Arial" w:cs="Arial"/>
          <w:color w:val="000000" w:themeColor="text1"/>
          <w:sz w:val="21"/>
          <w:szCs w:val="21"/>
          <w:lang w:eastAsia="es-ES_tradnl"/>
        </w:rPr>
        <w:t>«</w:t>
      </w:r>
      <w:r w:rsidR="004A5617" w:rsidRPr="004A5617">
        <w:rPr>
          <w:rFonts w:ascii="Arial" w:eastAsia="Calibri" w:hAnsi="Arial" w:cs="Arial"/>
          <w:color w:val="000000" w:themeColor="text1"/>
          <w:sz w:val="21"/>
          <w:szCs w:val="21"/>
          <w:lang w:eastAsia="es-ES_tradnl"/>
        </w:rPr>
        <w:t>¿Deben las entidades estatales utilizar los Documentos tipo de consultoría de estudios de ingeniería de infraestructura de Transporte, para la contratación de estudios y diseños de obras de mitigación de riesgo (Levantamiento topográfico y batimétrico, Estudios Geológicos, Geomorfológicos, Estudio geotécnico, Estudios hidrológicos e hidráulicos, Diseño estructural, Gestión predial y servidumbres, Estudio ambiental) toda vez que estos no se realizan para garantizar la navegabilidad, sino para la prevención de inundaciones por desbordamiento de ríos?</w:t>
      </w:r>
      <w:r w:rsidR="004A5617">
        <w:rPr>
          <w:rFonts w:ascii="Arial" w:eastAsia="Calibri" w:hAnsi="Arial" w:cs="Arial"/>
          <w:color w:val="000000" w:themeColor="text1"/>
          <w:sz w:val="21"/>
          <w:szCs w:val="21"/>
          <w:lang w:eastAsia="es-ES_tradnl"/>
        </w:rPr>
        <w:t>»</w:t>
      </w:r>
    </w:p>
    <w:p w14:paraId="4BA24EA1" w14:textId="77777777" w:rsidR="00B06FE8" w:rsidRPr="002B47C2" w:rsidRDefault="00B06FE8" w:rsidP="00B06FE8">
      <w:pPr>
        <w:tabs>
          <w:tab w:val="left" w:pos="426"/>
        </w:tabs>
        <w:spacing w:after="0" w:line="240" w:lineRule="auto"/>
        <w:ind w:left="709" w:right="758" w:firstLine="0"/>
        <w:rPr>
          <w:rFonts w:ascii="Arial" w:eastAsia="Calibri" w:hAnsi="Arial" w:cs="Arial"/>
          <w:color w:val="000000" w:themeColor="text1"/>
          <w:sz w:val="21"/>
          <w:szCs w:val="21"/>
          <w:lang w:eastAsia="es-ES_tradnl"/>
        </w:rPr>
      </w:pPr>
    </w:p>
    <w:bookmarkEnd w:id="2"/>
    <w:p w14:paraId="2CAF4623" w14:textId="77777777" w:rsidR="00B06FE8" w:rsidRPr="002B47C2" w:rsidRDefault="00B06FE8" w:rsidP="00B06FE8">
      <w:pPr>
        <w:numPr>
          <w:ilvl w:val="0"/>
          <w:numId w:val="1"/>
        </w:numPr>
        <w:tabs>
          <w:tab w:val="left" w:pos="426"/>
        </w:tabs>
        <w:spacing w:before="240" w:after="0"/>
        <w:ind w:left="284" w:hanging="284"/>
        <w:contextualSpacing/>
        <w:jc w:val="left"/>
        <w:rPr>
          <w:rFonts w:ascii="Arial" w:eastAsia="Calibri" w:hAnsi="Arial" w:cs="Arial"/>
          <w:b/>
          <w:color w:val="000000" w:themeColor="text1"/>
          <w:lang w:val="es-MX"/>
        </w:rPr>
      </w:pPr>
      <w:r w:rsidRPr="002B47C2">
        <w:rPr>
          <w:rFonts w:ascii="Arial" w:eastAsia="Calibri" w:hAnsi="Arial" w:cs="Arial"/>
          <w:b/>
          <w:color w:val="000000" w:themeColor="text1"/>
          <w:lang w:val="es-MX"/>
        </w:rPr>
        <w:t>Consideraciones</w:t>
      </w:r>
    </w:p>
    <w:p w14:paraId="5B2289C6" w14:textId="77777777" w:rsidR="00B06FE8" w:rsidRPr="002B47C2" w:rsidRDefault="00B06FE8" w:rsidP="00B06FE8">
      <w:pPr>
        <w:tabs>
          <w:tab w:val="left" w:pos="426"/>
        </w:tabs>
        <w:spacing w:before="240" w:after="0"/>
        <w:ind w:firstLine="0"/>
        <w:contextualSpacing/>
        <w:rPr>
          <w:rFonts w:ascii="Arial" w:eastAsia="Calibri" w:hAnsi="Arial" w:cs="Arial"/>
          <w:b/>
          <w:color w:val="000000" w:themeColor="text1"/>
          <w:lang w:val="es-MX"/>
        </w:rPr>
      </w:pPr>
    </w:p>
    <w:p w14:paraId="570C61B2" w14:textId="650688B0" w:rsidR="00B06FE8" w:rsidRPr="002B47C2" w:rsidRDefault="00B06FE8" w:rsidP="00B06FE8">
      <w:pPr>
        <w:tabs>
          <w:tab w:val="left" w:pos="426"/>
        </w:tabs>
        <w:spacing w:before="240" w:after="0"/>
        <w:ind w:firstLine="0"/>
        <w:contextualSpacing/>
        <w:rPr>
          <w:rFonts w:ascii="Arial" w:eastAsia="Calibri" w:hAnsi="Arial" w:cs="Arial"/>
          <w:b/>
          <w:color w:val="000000" w:themeColor="text1"/>
          <w:lang w:val="es-MX"/>
        </w:rPr>
      </w:pPr>
      <w:bookmarkStart w:id="3" w:name="_Hlk91506531"/>
      <w:r w:rsidRPr="002B47C2">
        <w:rPr>
          <w:rFonts w:ascii="Arial" w:eastAsia="Calibri" w:hAnsi="Arial" w:cs="Arial"/>
          <w:color w:val="000000" w:themeColor="text1"/>
        </w:rPr>
        <w:lastRenderedPageBreak/>
        <w:t xml:space="preserve">Para responder a sus interrogantes, se estudiarán los siguientes temas: i) la expedición de los </w:t>
      </w:r>
      <w:r w:rsidR="00483D61">
        <w:rPr>
          <w:rFonts w:ascii="Arial" w:eastAsia="Calibri" w:hAnsi="Arial" w:cs="Arial"/>
          <w:color w:val="000000" w:themeColor="text1"/>
        </w:rPr>
        <w:t>documentos tipo de infraestructura de transporte,</w:t>
      </w:r>
      <w:r w:rsidRPr="002B47C2">
        <w:rPr>
          <w:rFonts w:ascii="Arial" w:eastAsia="Calibri" w:hAnsi="Arial" w:cs="Arial"/>
          <w:color w:val="000000" w:themeColor="text1"/>
        </w:rPr>
        <w:t xml:space="preserve"> y </w:t>
      </w:r>
      <w:proofErr w:type="spellStart"/>
      <w:r w:rsidRPr="002B47C2">
        <w:rPr>
          <w:rFonts w:ascii="Arial" w:eastAsia="Calibri" w:hAnsi="Arial" w:cs="Arial"/>
          <w:color w:val="000000" w:themeColor="text1"/>
        </w:rPr>
        <w:t>ii</w:t>
      </w:r>
      <w:proofErr w:type="spellEnd"/>
      <w:r w:rsidRPr="002B47C2">
        <w:rPr>
          <w:rFonts w:ascii="Arial" w:eastAsia="Calibri" w:hAnsi="Arial" w:cs="Arial"/>
          <w:color w:val="000000" w:themeColor="text1"/>
        </w:rPr>
        <w:t xml:space="preserve">) la aplicación de los documentos tipo de infraestructura de transporte a partir de la Matriz 1 – Experiencia. </w:t>
      </w:r>
    </w:p>
    <w:p w14:paraId="110CD1AB" w14:textId="1F02E134" w:rsidR="00B06FE8" w:rsidRPr="002B47C2" w:rsidRDefault="00B06FE8" w:rsidP="00B06FE8">
      <w:pPr>
        <w:spacing w:before="120" w:after="0"/>
        <w:rPr>
          <w:rFonts w:ascii="Arial" w:hAnsi="Arial" w:cs="Arial"/>
          <w:color w:val="000000" w:themeColor="text1"/>
        </w:rPr>
      </w:pPr>
      <w:r w:rsidRPr="002B47C2">
        <w:rPr>
          <w:rFonts w:ascii="Arial" w:hAnsi="Arial" w:cs="Arial"/>
          <w:color w:val="000000" w:themeColor="text1"/>
          <w:lang w:val="es-MX"/>
        </w:rPr>
        <w:t xml:space="preserve">La Agencia Nacional de Contratación Pública </w:t>
      </w:r>
      <w:r w:rsidRPr="002B47C2">
        <w:rPr>
          <w:rFonts w:ascii="Arial" w:eastAsia="Calibri" w:hAnsi="Arial" w:cs="Arial"/>
          <w:color w:val="000000" w:themeColor="text1"/>
          <w:lang w:val="es-MX"/>
        </w:rPr>
        <w:t>–</w:t>
      </w:r>
      <w:r w:rsidRPr="002B47C2">
        <w:rPr>
          <w:rFonts w:ascii="Arial" w:hAnsi="Arial" w:cs="Arial"/>
          <w:color w:val="000000" w:themeColor="text1"/>
          <w:lang w:val="es-MX"/>
        </w:rPr>
        <w:t xml:space="preserve"> Colombia Compra Eficiente se ha pronunciado 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C-076 del 17 de marzo de 2021, C-105 del 26 de marzo de 2021, C-152 del 12 de abril de 2021, C-171 del 20 de abril de 2021, C-279 del 25 de mayo de 2021, </w:t>
      </w:r>
      <w:r w:rsidR="00060343">
        <w:rPr>
          <w:rFonts w:ascii="Arial" w:hAnsi="Arial" w:cs="Arial"/>
          <w:color w:val="000000" w:themeColor="text1"/>
          <w:lang w:val="es-MX"/>
        </w:rPr>
        <w:t>C-</w:t>
      </w:r>
      <w:r w:rsidRPr="002B47C2">
        <w:rPr>
          <w:rFonts w:ascii="Arial" w:hAnsi="Arial" w:cs="Arial"/>
          <w:color w:val="000000" w:themeColor="text1"/>
          <w:lang w:val="es-MX"/>
        </w:rPr>
        <w:t>267 del 2 de junio de 2021</w:t>
      </w:r>
      <w:r w:rsidR="00060343">
        <w:rPr>
          <w:rFonts w:ascii="Arial" w:hAnsi="Arial" w:cs="Arial"/>
          <w:color w:val="000000" w:themeColor="text1"/>
          <w:lang w:val="es-MX"/>
        </w:rPr>
        <w:t>,</w:t>
      </w:r>
      <w:r w:rsidRPr="002B47C2">
        <w:rPr>
          <w:rFonts w:ascii="Arial" w:hAnsi="Arial" w:cs="Arial"/>
          <w:color w:val="000000" w:themeColor="text1"/>
          <w:lang w:val="es-MX"/>
        </w:rPr>
        <w:t xml:space="preserve"> C-361 del 10 de agosto de 2021</w:t>
      </w:r>
      <w:r w:rsidR="00CB099D">
        <w:rPr>
          <w:rFonts w:ascii="Arial" w:hAnsi="Arial" w:cs="Arial"/>
          <w:color w:val="000000" w:themeColor="text1"/>
          <w:lang w:val="es-MX"/>
        </w:rPr>
        <w:t>,</w:t>
      </w:r>
      <w:r w:rsidR="003854C0">
        <w:rPr>
          <w:rFonts w:ascii="Arial" w:hAnsi="Arial" w:cs="Arial"/>
          <w:color w:val="000000" w:themeColor="text1"/>
          <w:lang w:val="es-MX"/>
        </w:rPr>
        <w:t xml:space="preserve"> C-569 del 12 de octu</w:t>
      </w:r>
      <w:r w:rsidR="00587607">
        <w:rPr>
          <w:rFonts w:ascii="Arial" w:hAnsi="Arial" w:cs="Arial"/>
          <w:color w:val="000000" w:themeColor="text1"/>
          <w:lang w:val="es-MX"/>
        </w:rPr>
        <w:t>bre de 2021,</w:t>
      </w:r>
      <w:r w:rsidR="00CB099D">
        <w:rPr>
          <w:rFonts w:ascii="Arial" w:hAnsi="Arial" w:cs="Arial"/>
          <w:color w:val="000000" w:themeColor="text1"/>
          <w:lang w:val="es-MX"/>
        </w:rPr>
        <w:t xml:space="preserve"> </w:t>
      </w:r>
      <w:r w:rsidR="001A19E2">
        <w:rPr>
          <w:rFonts w:ascii="Arial" w:hAnsi="Arial" w:cs="Arial"/>
          <w:color w:val="000000" w:themeColor="text1"/>
          <w:lang w:val="es-MX"/>
        </w:rPr>
        <w:t>C</w:t>
      </w:r>
      <w:r w:rsidR="00CB099D">
        <w:rPr>
          <w:rFonts w:ascii="Arial" w:hAnsi="Arial" w:cs="Arial"/>
          <w:color w:val="000000" w:themeColor="text1"/>
          <w:lang w:val="es-MX"/>
        </w:rPr>
        <w:t>-690 del 27 de diciembre de 2021</w:t>
      </w:r>
      <w:r w:rsidR="00EE6D58">
        <w:rPr>
          <w:rFonts w:ascii="Arial" w:hAnsi="Arial" w:cs="Arial"/>
          <w:color w:val="000000" w:themeColor="text1"/>
          <w:lang w:val="es-MX"/>
        </w:rPr>
        <w:t>,</w:t>
      </w:r>
      <w:r w:rsidR="00587607">
        <w:rPr>
          <w:rFonts w:ascii="Arial" w:hAnsi="Arial" w:cs="Arial"/>
          <w:color w:val="000000" w:themeColor="text1"/>
          <w:lang w:val="es-MX"/>
        </w:rPr>
        <w:t xml:space="preserve"> </w:t>
      </w:r>
      <w:r w:rsidR="001A19E2">
        <w:rPr>
          <w:rFonts w:ascii="Arial" w:hAnsi="Arial" w:cs="Arial"/>
          <w:color w:val="000000" w:themeColor="text1"/>
          <w:lang w:val="es-MX"/>
        </w:rPr>
        <w:t>C-672 del 27 de diciembre de 2021</w:t>
      </w:r>
      <w:r w:rsidR="00EE6D58">
        <w:rPr>
          <w:rFonts w:ascii="Arial" w:hAnsi="Arial" w:cs="Arial"/>
          <w:color w:val="000000" w:themeColor="text1"/>
          <w:lang w:val="es-MX"/>
        </w:rPr>
        <w:t xml:space="preserve">, </w:t>
      </w:r>
      <w:r w:rsidR="006A5481">
        <w:rPr>
          <w:rFonts w:ascii="Arial" w:hAnsi="Arial" w:cs="Arial"/>
          <w:color w:val="000000" w:themeColor="text1"/>
          <w:lang w:val="es-MX"/>
        </w:rPr>
        <w:t xml:space="preserve">C-010 del 15 de febrero de 2022, </w:t>
      </w:r>
      <w:r w:rsidR="00EE6D58">
        <w:rPr>
          <w:rFonts w:ascii="Arial" w:hAnsi="Arial" w:cs="Arial"/>
          <w:color w:val="000000" w:themeColor="text1"/>
          <w:lang w:val="es-MX"/>
        </w:rPr>
        <w:t xml:space="preserve">C-018 del 22 de febrero de </w:t>
      </w:r>
      <w:r w:rsidR="00B450EC">
        <w:rPr>
          <w:rFonts w:ascii="Arial" w:hAnsi="Arial" w:cs="Arial"/>
          <w:color w:val="000000" w:themeColor="text1"/>
          <w:lang w:val="es-MX"/>
        </w:rPr>
        <w:t>2022</w:t>
      </w:r>
      <w:r w:rsidR="000B6329">
        <w:rPr>
          <w:rFonts w:ascii="Arial" w:hAnsi="Arial" w:cs="Arial"/>
          <w:color w:val="000000" w:themeColor="text1"/>
          <w:lang w:val="es-MX"/>
        </w:rPr>
        <w:t>,</w:t>
      </w:r>
      <w:r w:rsidR="00CD2225">
        <w:rPr>
          <w:rFonts w:ascii="Arial" w:hAnsi="Arial" w:cs="Arial"/>
          <w:color w:val="000000" w:themeColor="text1"/>
          <w:lang w:val="es-MX"/>
        </w:rPr>
        <w:t xml:space="preserve"> C-025 del </w:t>
      </w:r>
      <w:r w:rsidR="009A7C19">
        <w:rPr>
          <w:rFonts w:ascii="Arial" w:hAnsi="Arial" w:cs="Arial"/>
          <w:color w:val="000000" w:themeColor="text1"/>
          <w:lang w:val="es-MX"/>
        </w:rPr>
        <w:t>22 de febrero de 2022</w:t>
      </w:r>
      <w:r w:rsidR="000B6329">
        <w:rPr>
          <w:rFonts w:ascii="Arial" w:hAnsi="Arial" w:cs="Arial"/>
          <w:color w:val="000000" w:themeColor="text1"/>
          <w:lang w:val="es-MX"/>
        </w:rPr>
        <w:t xml:space="preserve"> y C-130 del </w:t>
      </w:r>
      <w:r w:rsidR="00327AE2">
        <w:rPr>
          <w:rFonts w:ascii="Arial" w:hAnsi="Arial" w:cs="Arial"/>
          <w:color w:val="000000" w:themeColor="text1"/>
          <w:lang w:val="es-MX"/>
        </w:rPr>
        <w:t>22 de marzo de 2022</w:t>
      </w:r>
      <w:r w:rsidR="00B92560">
        <w:rPr>
          <w:rFonts w:ascii="Arial" w:hAnsi="Arial" w:cs="Arial"/>
          <w:color w:val="000000" w:themeColor="text1"/>
          <w:lang w:val="es-MX"/>
        </w:rPr>
        <w:t xml:space="preserve">. </w:t>
      </w:r>
      <w:r w:rsidRPr="002B47C2">
        <w:rPr>
          <w:rFonts w:ascii="Arial" w:hAnsi="Arial" w:cs="Arial"/>
          <w:color w:val="000000" w:themeColor="text1"/>
          <w:lang w:val="es-MX"/>
        </w:rPr>
        <w:t>En lo pertinente, las tesis expuestas en estos conceptos se reiteran y complementan a continuación.</w:t>
      </w:r>
    </w:p>
    <w:p w14:paraId="33D44518" w14:textId="77777777" w:rsidR="00B06FE8" w:rsidRPr="002B47C2" w:rsidRDefault="00B06FE8" w:rsidP="00B06FE8">
      <w:pPr>
        <w:spacing w:after="0"/>
        <w:ind w:firstLine="0"/>
        <w:rPr>
          <w:rFonts w:ascii="Arial" w:hAnsi="Arial" w:cs="Arial"/>
          <w:color w:val="000000" w:themeColor="text1"/>
          <w:lang w:val="es-MX"/>
        </w:rPr>
      </w:pPr>
    </w:p>
    <w:p w14:paraId="716B777E" w14:textId="3F707D4D" w:rsidR="00B06FE8" w:rsidRPr="002B47C2" w:rsidRDefault="00B06FE8" w:rsidP="00B06FE8">
      <w:pPr>
        <w:spacing w:after="0"/>
        <w:ind w:firstLine="0"/>
        <w:rPr>
          <w:rFonts w:ascii="Arial" w:hAnsi="Arial" w:cs="Arial"/>
          <w:b/>
          <w:bCs/>
          <w:color w:val="000000" w:themeColor="text1"/>
          <w:lang w:val="es-MX"/>
        </w:rPr>
      </w:pPr>
      <w:r w:rsidRPr="002B47C2">
        <w:rPr>
          <w:rFonts w:ascii="Arial" w:hAnsi="Arial" w:cs="Arial"/>
          <w:b/>
          <w:bCs/>
          <w:color w:val="000000" w:themeColor="text1"/>
          <w:lang w:val="es-MX"/>
        </w:rPr>
        <w:t xml:space="preserve">2.1. </w:t>
      </w:r>
      <w:r w:rsidR="0017286C" w:rsidRPr="00E0681A">
        <w:rPr>
          <w:rFonts w:ascii="Arial" w:eastAsia="Arial" w:hAnsi="Arial" w:cs="Arial"/>
          <w:b/>
          <w:bCs/>
          <w:color w:val="000000"/>
          <w:lang w:val="es-ES_tradnl"/>
        </w:rPr>
        <w:t>Fundamento normativo de los documentos tipo</w:t>
      </w:r>
      <w:r w:rsidR="0017286C" w:rsidDel="0017286C">
        <w:rPr>
          <w:rFonts w:ascii="Arial" w:hAnsi="Arial" w:cs="Arial"/>
          <w:b/>
          <w:bCs/>
          <w:color w:val="000000" w:themeColor="text1"/>
          <w:lang w:val="es-MX"/>
        </w:rPr>
        <w:t xml:space="preserve"> </w:t>
      </w:r>
    </w:p>
    <w:p w14:paraId="42D40B71" w14:textId="77777777" w:rsidR="00B06FE8" w:rsidRPr="002B47C2" w:rsidRDefault="00B06FE8" w:rsidP="00B06FE8">
      <w:pPr>
        <w:spacing w:after="0"/>
        <w:ind w:firstLine="0"/>
        <w:rPr>
          <w:rFonts w:ascii="Arial" w:hAnsi="Arial" w:cs="Arial"/>
          <w:b/>
          <w:bCs/>
          <w:color w:val="000000" w:themeColor="text1"/>
          <w:lang w:val="es-MX"/>
        </w:rPr>
      </w:pPr>
      <w:bookmarkStart w:id="4" w:name="_Hlk98841772"/>
    </w:p>
    <w:p w14:paraId="16D59527" w14:textId="77777777" w:rsidR="0017286C" w:rsidRPr="0017286C" w:rsidRDefault="0017286C" w:rsidP="00F23176">
      <w:pPr>
        <w:ind w:firstLine="0"/>
        <w:rPr>
          <w:rFonts w:ascii="Arial" w:eastAsia="Calibri" w:hAnsi="Arial" w:cs="Arial"/>
          <w:bCs/>
          <w:lang w:eastAsia="es-MX"/>
        </w:rPr>
      </w:pPr>
      <w:r w:rsidRPr="0017286C">
        <w:rPr>
          <w:rFonts w:ascii="Arial" w:eastAsia="Calibri" w:hAnsi="Arial" w:cs="Arial"/>
          <w:bCs/>
          <w:lang w:eastAsia="es-MX"/>
        </w:rPr>
        <w:t>La adopción de los documentos tipo obligatorios en el ordenamiento jurídico colombiano se incluyó por primera vez en el parágrafo 3 del artículo 2 de la Ley 1150 de 2007</w:t>
      </w:r>
      <w:r w:rsidRPr="0017286C">
        <w:rPr>
          <w:rFonts w:ascii="Arial" w:eastAsia="Calibri" w:hAnsi="Arial" w:cs="Arial"/>
          <w:bCs/>
          <w:vertAlign w:val="superscript"/>
          <w:lang w:eastAsia="es-MX"/>
        </w:rPr>
        <w:footnoteReference w:id="1"/>
      </w:r>
      <w:r w:rsidRPr="0017286C">
        <w:rPr>
          <w:rFonts w:ascii="Arial" w:eastAsia="Calibri" w:hAnsi="Arial" w:cs="Arial"/>
          <w:bCs/>
          <w:lang w:eastAsia="es-MX"/>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1AC7AB99" w14:textId="77777777" w:rsidR="0017286C" w:rsidRPr="0017286C" w:rsidRDefault="0017286C" w:rsidP="0017286C">
      <w:pPr>
        <w:spacing w:before="120"/>
        <w:ind w:firstLine="708"/>
        <w:rPr>
          <w:rFonts w:ascii="Arial" w:eastAsia="Calibri" w:hAnsi="Arial" w:cs="Arial"/>
          <w:bCs/>
          <w:lang w:eastAsia="es-MX"/>
        </w:rPr>
      </w:pPr>
      <w:r w:rsidRPr="0017286C">
        <w:rPr>
          <w:rFonts w:ascii="Arial" w:eastAsia="Calibri" w:hAnsi="Arial" w:cs="Arial"/>
          <w:bCs/>
          <w:lang w:eastAsia="es-MX"/>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w:t>
      </w:r>
      <w:r w:rsidRPr="0017286C">
        <w:rPr>
          <w:rFonts w:ascii="Arial" w:eastAsia="Calibri" w:hAnsi="Arial" w:cs="Arial"/>
          <w:bCs/>
          <w:lang w:eastAsia="es-MX"/>
        </w:rPr>
        <w:lastRenderedPageBreak/>
        <w:t xml:space="preserve">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790EC96C" w14:textId="77777777" w:rsidR="0017286C" w:rsidRPr="0017286C" w:rsidRDefault="0017286C" w:rsidP="0017286C">
      <w:pPr>
        <w:spacing w:before="120"/>
        <w:rPr>
          <w:rFonts w:ascii="Arial" w:eastAsia="Calibri" w:hAnsi="Arial" w:cs="Arial"/>
          <w:color w:val="000000"/>
          <w:lang w:val="es-ES_tradnl" w:eastAsia="es-ES"/>
        </w:rPr>
      </w:pPr>
      <w:r w:rsidRPr="0017286C">
        <w:rPr>
          <w:rFonts w:ascii="Arial" w:eastAsia="Calibri" w:hAnsi="Arial" w:cs="Arial"/>
          <w:bCs/>
          <w:lang w:eastAsia="es-MX"/>
        </w:rPr>
        <w:t>Por otra parte, debe tenerse en cuenta que la Ley 2022 de 2020 fue sancionada por el Presidente de la República el 22 de julio del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17286C">
        <w:rPr>
          <w:rFonts w:ascii="Arial" w:eastAsia="Calibri" w:hAnsi="Arial" w:cs="Arial"/>
          <w:bCs/>
          <w:vertAlign w:val="superscript"/>
          <w:lang w:eastAsia="es-MX"/>
        </w:rPr>
        <w:footnoteReference w:id="2"/>
      </w:r>
      <w:r w:rsidRPr="0017286C">
        <w:rPr>
          <w:rFonts w:ascii="Arial" w:eastAsia="Calibri" w:hAnsi="Arial" w:cs="Arial"/>
          <w:bCs/>
          <w:lang w:eastAsia="es-MX"/>
        </w:rPr>
        <w:t>. En este sentido,</w:t>
      </w:r>
      <w:r w:rsidRPr="0017286C">
        <w:rPr>
          <w:rFonts w:ascii="Arial" w:eastAsia="Calibri" w:hAnsi="Arial" w:cs="Arial"/>
          <w:color w:val="000000"/>
          <w:lang w:val="es-ES" w:eastAsia="es-ES"/>
        </w:rPr>
        <w:t xml:space="preserve">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Adicionalmente, 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cuya aplicación inició para convocatorias publicadas a partir del 9 de agosto de 2021. </w:t>
      </w:r>
    </w:p>
    <w:p w14:paraId="475220F5" w14:textId="77777777" w:rsidR="0017286C" w:rsidRPr="0017286C" w:rsidRDefault="0017286C" w:rsidP="0017286C">
      <w:pPr>
        <w:rPr>
          <w:rFonts w:ascii="Arial" w:eastAsia="Calibri" w:hAnsi="Arial" w:cs="Arial"/>
          <w:color w:val="000000"/>
          <w:lang w:val="es-ES_tradnl" w:eastAsia="es-ES"/>
        </w:rPr>
      </w:pPr>
      <w:r w:rsidRPr="0017286C">
        <w:rPr>
          <w:rFonts w:ascii="Arial" w:eastAsia="Calibri" w:hAnsi="Arial" w:cs="Arial"/>
          <w:color w:val="000000"/>
          <w:lang w:val="es-ES_tradnl" w:eastAsia="es-ES"/>
        </w:rPr>
        <w:t xml:space="preserve">La expedición de documentos tipo para procesos de selección de contratos estatales a cargo de la Agencia Nacional de Contratación Pública está precedida de un minucioso </w:t>
      </w:r>
      <w:r w:rsidRPr="0017286C">
        <w:rPr>
          <w:rFonts w:ascii="Arial" w:eastAsia="Calibri" w:hAnsi="Arial" w:cs="Arial"/>
          <w:color w:val="000000"/>
          <w:lang w:val="es-ES_tradnl" w:eastAsia="es-ES"/>
        </w:rPr>
        <w:lastRenderedPageBreak/>
        <w:t xml:space="preserve">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 </w:t>
      </w:r>
    </w:p>
    <w:p w14:paraId="34C7200F" w14:textId="77777777" w:rsidR="0017286C" w:rsidRPr="0017286C" w:rsidRDefault="0017286C" w:rsidP="0017286C">
      <w:pPr>
        <w:spacing w:after="0"/>
        <w:rPr>
          <w:rFonts w:ascii="Arial" w:eastAsia="Calibri" w:hAnsi="Arial" w:cs="Arial"/>
          <w:color w:val="000000"/>
          <w:lang w:val="es-ES_tradnl" w:eastAsia="es-ES"/>
        </w:rPr>
      </w:pPr>
      <w:r w:rsidRPr="0017286C">
        <w:rPr>
          <w:rFonts w:ascii="Arial" w:eastAsia="Calibri" w:hAnsi="Arial" w:cs="Arial"/>
          <w:color w:val="000000"/>
          <w:lang w:val="es-ES_tradnl" w:eastAsia="es-ES"/>
        </w:rPr>
        <w:t>Después de que cobra vigencia el acto administrativo que adopta los referidos</w:t>
      </w:r>
      <w:r w:rsidRPr="0017286C">
        <w:rPr>
          <w:rFonts w:ascii="Arial" w:eastAsia="Calibri" w:hAnsi="Arial" w:cs="Arial"/>
          <w:color w:val="000000"/>
          <w:lang w:val="es-ES" w:eastAsia="es-ES"/>
        </w:rPr>
        <w:t xml:space="preserve"> documentos tipo, éstos </w:t>
      </w:r>
      <w:r w:rsidRPr="0017286C">
        <w:rPr>
          <w:rFonts w:ascii="Arial" w:eastAsia="Calibri" w:hAnsi="Arial" w:cs="Arial"/>
          <w:color w:val="000000"/>
          <w:lang w:val="es-ES_tradnl" w:eastAsia="es-ES"/>
        </w:rPr>
        <w:t>resultan obligatorios para todas las entidades sometidas al Estatuto General de Contratación de la Administración Pública, que adelanten procesos de concursos de méritos para contratar la consultoría de cualquiera de los proyectos señalados en la «Matriz 1 – Experiencia». Lo anterior se deriva de lo dispuesto en el «documento base» del documento tipo de consultoría, al prescribir que:</w:t>
      </w:r>
    </w:p>
    <w:p w14:paraId="5625BD1C" w14:textId="77777777" w:rsidR="0017286C" w:rsidRPr="0017286C" w:rsidRDefault="0017286C" w:rsidP="0017286C">
      <w:pPr>
        <w:spacing w:after="0"/>
        <w:rPr>
          <w:rFonts w:ascii="Arial" w:eastAsia="Calibri" w:hAnsi="Arial" w:cs="Arial"/>
          <w:color w:val="000000"/>
          <w:sz w:val="24"/>
          <w:szCs w:val="24"/>
          <w:lang w:val="es-ES_tradnl" w:eastAsia="es-ES"/>
        </w:rPr>
      </w:pPr>
    </w:p>
    <w:p w14:paraId="00D4B6F7" w14:textId="77777777" w:rsidR="0017286C" w:rsidRPr="0017286C" w:rsidRDefault="0017286C" w:rsidP="0017286C">
      <w:pPr>
        <w:spacing w:after="0" w:line="240" w:lineRule="auto"/>
        <w:ind w:left="709" w:right="709" w:firstLine="0"/>
        <w:rPr>
          <w:rFonts w:ascii="Arial" w:eastAsia="Calibri" w:hAnsi="Arial" w:cs="Arial"/>
          <w:color w:val="000000"/>
          <w:sz w:val="21"/>
          <w:szCs w:val="21"/>
          <w:lang w:val="es-ES_tradnl" w:eastAsia="es-ES"/>
        </w:rPr>
      </w:pPr>
      <w:r w:rsidRPr="0017286C">
        <w:rPr>
          <w:rFonts w:ascii="Arial" w:eastAsia="Calibri" w:hAnsi="Arial" w:cs="Arial"/>
          <w:color w:val="000000"/>
          <w:sz w:val="21"/>
          <w:szCs w:val="21"/>
          <w:lang w:val="es-ES_tradnl" w:eastAsia="es-ES"/>
        </w:rPr>
        <w:t xml:space="preserve">Este Documento Tipo aplica a los procesos de consultoría de estudios de ingeniería de infraestructura de transporte celebrados en la modalidad de concurso de méritos abierto, que correspondan con las actividades definidas en la “Matriz 1 – Experiencia”. En los términos del numeral 10.1.1, literal B, también aplica a los componentes de consultorías integrales (predial, ambiental, social y seguridad y salud en el trabajo) que tengan otros componentes aparte del técnico descrito en la mencionada Matriz. Por tanto, no son aplicables en las actividades de consultoría de estudios de ingeniería de infraestructura de transporte no contempladas en la “Matriz 1 – Experiencia”, sin perjuicio de lo previsto en el artículo 4 de la resolución que adopta estos Documentos Tipo.  </w:t>
      </w:r>
    </w:p>
    <w:p w14:paraId="7B7BC265" w14:textId="77777777" w:rsidR="0017286C" w:rsidRPr="0017286C" w:rsidRDefault="0017286C" w:rsidP="0017286C">
      <w:pPr>
        <w:spacing w:after="0"/>
        <w:ind w:firstLine="0"/>
        <w:rPr>
          <w:rFonts w:ascii="Arial" w:eastAsia="Calibri" w:hAnsi="Arial" w:cs="Arial"/>
          <w:color w:val="000000"/>
          <w:sz w:val="24"/>
          <w:szCs w:val="24"/>
          <w:lang w:val="es-ES_tradnl" w:eastAsia="es-ES"/>
        </w:rPr>
      </w:pPr>
    </w:p>
    <w:p w14:paraId="55DDA463" w14:textId="77777777" w:rsidR="0017286C" w:rsidRPr="0017286C" w:rsidRDefault="0017286C" w:rsidP="0017286C">
      <w:pPr>
        <w:spacing w:after="0"/>
        <w:rPr>
          <w:rFonts w:ascii="Arial" w:eastAsia="Calibri" w:hAnsi="Arial" w:cs="Arial"/>
          <w:color w:val="000000"/>
          <w:lang w:val="es-MX" w:eastAsia="es-ES"/>
        </w:rPr>
      </w:pPr>
      <w:r w:rsidRPr="0017286C">
        <w:rPr>
          <w:rFonts w:ascii="Arial" w:eastAsia="Calibri" w:hAnsi="Arial" w:cs="Arial"/>
          <w:color w:val="000000"/>
          <w:lang w:val="es-ES_tradnl" w:eastAsia="es-ES"/>
        </w:rPr>
        <w:t xml:space="preserve">En tal sentido, siempre que se vaya a contratar la consultoría de estudios de ingeniería de infraestructura de transporte de alguno de los proyectos señalados en la «Matriz 1 – Experiencia» y la modalidad de selección aplicable sea el concurso de méritos, las entidades estatales deben aplicar este documento tipo, acatando su contenido obligatorio. </w:t>
      </w:r>
      <w:r w:rsidRPr="0017286C">
        <w:rPr>
          <w:rFonts w:ascii="Arial" w:eastAsia="Calibri" w:hAnsi="Arial" w:cs="Arial"/>
          <w:color w:val="000000"/>
          <w:lang w:val="es-MX" w:eastAsia="es-ES"/>
        </w:rPr>
        <w:t>De esta manera, la Matriz 1 – Experiencia, entre otras finalidades, sirve como criterio para establecer el ámbito de aplicación de los documentos tipo, en los términos explicados con anterioridad.</w:t>
      </w:r>
    </w:p>
    <w:bookmarkEnd w:id="4"/>
    <w:p w14:paraId="5680EC6A" w14:textId="77777777" w:rsidR="00B06FE8" w:rsidRPr="002B47C2" w:rsidRDefault="00B06FE8" w:rsidP="00B06FE8">
      <w:pPr>
        <w:spacing w:after="0"/>
        <w:ind w:firstLine="0"/>
        <w:rPr>
          <w:rFonts w:ascii="Arial" w:eastAsia="Times New Roman" w:hAnsi="Arial" w:cs="Arial"/>
          <w:b/>
          <w:bCs/>
          <w:color w:val="000000" w:themeColor="text1"/>
          <w:bdr w:val="none" w:sz="0" w:space="0" w:color="auto" w:frame="1"/>
          <w:lang w:val="es-ES_tradnl" w:eastAsia="es-CO"/>
        </w:rPr>
      </w:pPr>
    </w:p>
    <w:p w14:paraId="2AFA7640" w14:textId="77777777" w:rsidR="00B06FE8" w:rsidRPr="002B47C2" w:rsidRDefault="00B06FE8" w:rsidP="00B06FE8">
      <w:pPr>
        <w:spacing w:after="0"/>
        <w:ind w:firstLine="0"/>
        <w:rPr>
          <w:rFonts w:ascii="Arial" w:eastAsia="Times New Roman" w:hAnsi="Arial" w:cs="Arial"/>
          <w:color w:val="000000" w:themeColor="text1"/>
          <w:bdr w:val="none" w:sz="0" w:space="0" w:color="auto" w:frame="1"/>
          <w:lang w:val="es-ES_tradnl" w:eastAsia="es-CO"/>
        </w:rPr>
      </w:pPr>
      <w:r w:rsidRPr="002B47C2">
        <w:rPr>
          <w:rFonts w:ascii="Arial" w:eastAsia="Times New Roman" w:hAnsi="Arial" w:cs="Arial"/>
          <w:b/>
          <w:bCs/>
          <w:color w:val="000000" w:themeColor="text1"/>
          <w:bdr w:val="none" w:sz="0" w:space="0" w:color="auto" w:frame="1"/>
          <w:lang w:val="es-ES_tradnl" w:eastAsia="es-CO"/>
        </w:rPr>
        <w:t>2.2. Aplicación de los documentos tipo de infraestructura de transporte a partir de la Matriz 1 – Experiencia</w:t>
      </w:r>
    </w:p>
    <w:p w14:paraId="6597439F" w14:textId="77777777" w:rsidR="00B06FE8" w:rsidRPr="002B47C2" w:rsidRDefault="00B06FE8" w:rsidP="00B06FE8">
      <w:pPr>
        <w:spacing w:after="0"/>
        <w:ind w:firstLine="0"/>
        <w:rPr>
          <w:rFonts w:ascii="Arial" w:eastAsia="Calibri" w:hAnsi="Arial" w:cs="Arial"/>
          <w:b/>
          <w:bCs/>
          <w:color w:val="000000" w:themeColor="text1"/>
          <w:lang w:val="es-ES_tradnl" w:eastAsia="es-ES"/>
        </w:rPr>
      </w:pPr>
    </w:p>
    <w:p w14:paraId="770A2AD0" w14:textId="113A0782" w:rsidR="00B06FE8" w:rsidRPr="002B47C2" w:rsidRDefault="00B06FE8" w:rsidP="00B06FE8">
      <w:pPr>
        <w:spacing w:after="0"/>
        <w:ind w:firstLine="0"/>
        <w:rPr>
          <w:rFonts w:ascii="Arial" w:hAnsi="Arial" w:cs="Arial"/>
          <w:color w:val="000000" w:themeColor="text1"/>
          <w:lang w:val="es-MX"/>
        </w:rPr>
      </w:pPr>
      <w:r w:rsidRPr="002B47C2">
        <w:rPr>
          <w:rFonts w:ascii="Arial" w:hAnsi="Arial" w:cs="Arial"/>
          <w:color w:val="000000" w:themeColor="text1"/>
          <w:lang w:val="es-MX"/>
        </w:rPr>
        <w:t>De conformidad con el marco normativo expuesto anteriormente y de acuerdo con las condiciones fijadas en el «Documento Base» de l</w:t>
      </w:r>
      <w:r w:rsidR="009F4910">
        <w:rPr>
          <w:rFonts w:ascii="Arial" w:hAnsi="Arial" w:cs="Arial"/>
          <w:color w:val="000000" w:themeColor="text1"/>
          <w:lang w:val="es-MX"/>
        </w:rPr>
        <w:t xml:space="preserve">os documentos tipo de consultoría de estudios de </w:t>
      </w:r>
      <w:r w:rsidR="00E4530F">
        <w:rPr>
          <w:rFonts w:ascii="Arial" w:hAnsi="Arial" w:cs="Arial"/>
          <w:color w:val="000000" w:themeColor="text1"/>
          <w:lang w:val="es-MX"/>
        </w:rPr>
        <w:t xml:space="preserve">ingeniería de </w:t>
      </w:r>
      <w:r w:rsidR="009F4910">
        <w:rPr>
          <w:rFonts w:ascii="Arial" w:hAnsi="Arial" w:cs="Arial"/>
          <w:color w:val="000000" w:themeColor="text1"/>
          <w:lang w:val="es-MX"/>
        </w:rPr>
        <w:t>infraestructura de transporte</w:t>
      </w:r>
      <w:r w:rsidRPr="002B47C2">
        <w:rPr>
          <w:rFonts w:ascii="Arial" w:hAnsi="Arial" w:cs="Arial"/>
          <w:color w:val="000000" w:themeColor="text1"/>
          <w:lang w:val="es-MX"/>
        </w:rPr>
        <w:t xml:space="preserve">,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w:t>
      </w:r>
      <w:r w:rsidRPr="002B47C2">
        <w:rPr>
          <w:rFonts w:ascii="Arial" w:hAnsi="Arial" w:cs="Arial"/>
          <w:color w:val="000000" w:themeColor="text1"/>
          <w:lang w:val="es-MX"/>
        </w:rPr>
        <w:lastRenderedPageBreak/>
        <w:t>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w:t>
      </w:r>
      <w:r w:rsidR="00A81734">
        <w:rPr>
          <w:rFonts w:ascii="Arial" w:hAnsi="Arial" w:cs="Arial"/>
          <w:color w:val="000000" w:themeColor="text1"/>
          <w:lang w:val="es-MX"/>
        </w:rPr>
        <w:t>l 100%</w:t>
      </w:r>
      <w:r w:rsidR="001155DF">
        <w:rPr>
          <w:rFonts w:ascii="Arial" w:hAnsi="Arial" w:cs="Arial"/>
          <w:color w:val="000000" w:themeColor="text1"/>
          <w:lang w:val="es-MX"/>
        </w:rPr>
        <w:t xml:space="preserve"> o más</w:t>
      </w:r>
      <w:r w:rsidRPr="002B47C2">
        <w:rPr>
          <w:rFonts w:ascii="Arial" w:hAnsi="Arial" w:cs="Arial"/>
          <w:color w:val="000000" w:themeColor="text1"/>
          <w:lang w:val="es-MX"/>
        </w:rPr>
        <w:t xml:space="preserve"> del presupuesto oficial del proceso de obra expresado en SMMLV, cuya verificación se hará de acuerdo con la sumatoria de los valores totales ejecutados de los contratos que cumplan con los requisitos establecidos en el pliego de condiciones. </w:t>
      </w:r>
    </w:p>
    <w:p w14:paraId="5C1957A9" w14:textId="4E624F97"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w:t>
      </w:r>
      <w:r w:rsidR="007135C0">
        <w:rPr>
          <w:rFonts w:ascii="Arial" w:hAnsi="Arial" w:cs="Arial"/>
          <w:color w:val="000000" w:themeColor="text1"/>
          <w:lang w:val="es-MX"/>
        </w:rPr>
        <w:t>consultoría a</w:t>
      </w:r>
      <w:r w:rsidRPr="002B47C2">
        <w:rPr>
          <w:rFonts w:ascii="Arial" w:hAnsi="Arial" w:cs="Arial"/>
          <w:color w:val="000000" w:themeColor="text1"/>
          <w:lang w:val="es-MX"/>
        </w:rPr>
        <w:t xml:space="preserve"> obra</w:t>
      </w:r>
      <w:r w:rsidR="007135C0">
        <w:rPr>
          <w:rFonts w:ascii="Arial" w:hAnsi="Arial" w:cs="Arial"/>
          <w:color w:val="000000" w:themeColor="text1"/>
          <w:lang w:val="es-MX"/>
        </w:rPr>
        <w:t>s</w:t>
      </w:r>
      <w:r w:rsidRPr="002B47C2">
        <w:rPr>
          <w:rFonts w:ascii="Arial" w:hAnsi="Arial" w:cs="Arial"/>
          <w:color w:val="000000" w:themeColor="text1"/>
          <w:lang w:val="es-MX"/>
        </w:rPr>
        <w:t xml:space="preserve"> de infraestructura de transporte; ii) la actividad a contratar, y iii) la cuantía del proceso de contratación.</w:t>
      </w:r>
    </w:p>
    <w:p w14:paraId="5344D006" w14:textId="30A5A4EE" w:rsidR="00B06FE8" w:rsidRDefault="00B06FE8" w:rsidP="00F23176">
      <w:pPr>
        <w:spacing w:before="120"/>
        <w:rPr>
          <w:rFonts w:ascii="Arial" w:hAnsi="Arial" w:cs="Arial"/>
          <w:color w:val="000000" w:themeColor="text1"/>
          <w:lang w:val="es-MX"/>
        </w:rPr>
      </w:pPr>
      <w:r w:rsidRPr="002B47C2">
        <w:rPr>
          <w:rFonts w:ascii="Arial" w:hAnsi="Arial" w:cs="Arial"/>
          <w:color w:val="000000" w:themeColor="text1"/>
          <w:lang w:val="es-MX"/>
        </w:rPr>
        <w:t xml:space="preserve">En relación con el primer aspecto, </w:t>
      </w:r>
      <w:bookmarkStart w:id="5" w:name="_Hlk98841595"/>
      <w:r w:rsidRPr="002B47C2">
        <w:rPr>
          <w:rFonts w:ascii="Arial" w:hAnsi="Arial" w:cs="Arial"/>
          <w:color w:val="000000" w:themeColor="text1"/>
          <w:lang w:val="es-MX"/>
        </w:rPr>
        <w:t>la Matriz 1 está constituida por ocho (8) tipos de</w:t>
      </w:r>
      <w:r w:rsidR="00572276">
        <w:rPr>
          <w:rFonts w:ascii="Arial" w:hAnsi="Arial" w:cs="Arial"/>
          <w:color w:val="000000" w:themeColor="text1"/>
          <w:lang w:val="es-MX"/>
        </w:rPr>
        <w:t xml:space="preserve"> consultoría a </w:t>
      </w:r>
      <w:r w:rsidRPr="002B47C2">
        <w:rPr>
          <w:rFonts w:ascii="Arial" w:hAnsi="Arial" w:cs="Arial"/>
          <w:color w:val="000000" w:themeColor="text1"/>
          <w:lang w:val="es-MX"/>
        </w:rPr>
        <w:t>obras de infraestructura de transporte, identificadas con un número y su descripción, los cuales son</w:t>
      </w:r>
      <w:r w:rsidR="00C639F6">
        <w:rPr>
          <w:rFonts w:ascii="Arial" w:hAnsi="Arial" w:cs="Arial"/>
          <w:color w:val="000000" w:themeColor="text1"/>
          <w:lang w:val="es-MX"/>
        </w:rPr>
        <w:t>:</w:t>
      </w:r>
      <w:r w:rsidR="00C639F6" w:rsidRPr="00C639F6">
        <w:rPr>
          <w:rFonts w:ascii="Arial" w:hAnsi="Arial" w:cs="Arial"/>
          <w:color w:val="000000" w:themeColor="text1"/>
          <w:lang w:val="es-MX"/>
        </w:rPr>
        <w:t xml:space="preserve"> 1</w:t>
      </w:r>
      <w:r w:rsidR="00C639F6">
        <w:rPr>
          <w:rFonts w:ascii="Arial" w:hAnsi="Arial" w:cs="Arial"/>
          <w:color w:val="000000" w:themeColor="text1"/>
          <w:lang w:val="es-MX"/>
        </w:rPr>
        <w:t xml:space="preserve">) </w:t>
      </w:r>
      <w:r w:rsidR="00C639F6" w:rsidRPr="00C639F6">
        <w:rPr>
          <w:rFonts w:ascii="Arial" w:hAnsi="Arial" w:cs="Arial"/>
          <w:color w:val="000000" w:themeColor="text1"/>
          <w:lang w:val="es-MX"/>
        </w:rPr>
        <w:t>consultoría a obras en vías primarias o secundarias, 2</w:t>
      </w:r>
      <w:r w:rsidR="00C639F6">
        <w:rPr>
          <w:rFonts w:ascii="Arial" w:hAnsi="Arial" w:cs="Arial"/>
          <w:color w:val="000000" w:themeColor="text1"/>
          <w:lang w:val="es-MX"/>
        </w:rPr>
        <w:t xml:space="preserve">) </w:t>
      </w:r>
      <w:r w:rsidR="00C639F6" w:rsidRPr="00C639F6">
        <w:rPr>
          <w:rFonts w:ascii="Arial" w:hAnsi="Arial" w:cs="Arial"/>
          <w:color w:val="000000" w:themeColor="text1"/>
          <w:lang w:val="es-MX"/>
        </w:rPr>
        <w:t>consultoría a obras en vías terciarias, 3</w:t>
      </w:r>
      <w:r w:rsidR="00C639F6">
        <w:rPr>
          <w:rFonts w:ascii="Arial" w:hAnsi="Arial" w:cs="Arial"/>
          <w:color w:val="000000" w:themeColor="text1"/>
          <w:lang w:val="es-MX"/>
        </w:rPr>
        <w:t>)</w:t>
      </w:r>
      <w:r w:rsidR="00C639F6" w:rsidRPr="00C639F6">
        <w:rPr>
          <w:rFonts w:ascii="Arial" w:hAnsi="Arial" w:cs="Arial"/>
          <w:color w:val="000000" w:themeColor="text1"/>
          <w:lang w:val="es-MX"/>
        </w:rPr>
        <w:t xml:space="preserve"> consultoría a obras marítimas y fluviales, 4</w:t>
      </w:r>
      <w:r w:rsidR="00C639F6">
        <w:rPr>
          <w:rFonts w:ascii="Arial" w:hAnsi="Arial" w:cs="Arial"/>
          <w:color w:val="000000" w:themeColor="text1"/>
          <w:lang w:val="es-MX"/>
        </w:rPr>
        <w:t xml:space="preserve">) </w:t>
      </w:r>
      <w:r w:rsidR="00C639F6" w:rsidRPr="00C639F6">
        <w:rPr>
          <w:rFonts w:ascii="Arial" w:hAnsi="Arial" w:cs="Arial"/>
          <w:color w:val="000000" w:themeColor="text1"/>
          <w:lang w:val="es-MX"/>
        </w:rPr>
        <w:t>consultoría a obras en vías primarias o secundarias o terciarias para atención, prevenció</w:t>
      </w:r>
      <w:r w:rsidR="00C639F6">
        <w:rPr>
          <w:rFonts w:ascii="Arial" w:hAnsi="Arial" w:cs="Arial"/>
          <w:color w:val="000000" w:themeColor="text1"/>
          <w:lang w:val="es-MX"/>
        </w:rPr>
        <w:t>n</w:t>
      </w:r>
      <w:r w:rsidR="00C639F6" w:rsidRPr="00C639F6">
        <w:rPr>
          <w:rFonts w:ascii="Arial" w:hAnsi="Arial" w:cs="Arial"/>
          <w:color w:val="000000" w:themeColor="text1"/>
          <w:lang w:val="es-MX"/>
        </w:rPr>
        <w:t xml:space="preserve"> o mitigación de emergencias diferentes a contratación directa, 5</w:t>
      </w:r>
      <w:r w:rsidR="00C639F6">
        <w:rPr>
          <w:rFonts w:ascii="Arial" w:hAnsi="Arial" w:cs="Arial"/>
          <w:color w:val="000000" w:themeColor="text1"/>
          <w:lang w:val="es-MX"/>
        </w:rPr>
        <w:t>)</w:t>
      </w:r>
      <w:r w:rsidR="00C639F6" w:rsidRPr="00C639F6">
        <w:rPr>
          <w:rFonts w:ascii="Arial" w:hAnsi="Arial" w:cs="Arial"/>
          <w:color w:val="000000" w:themeColor="text1"/>
          <w:lang w:val="es-MX"/>
        </w:rPr>
        <w:t xml:space="preserve"> consultoría a obras férreas, 6</w:t>
      </w:r>
      <w:r w:rsidR="00C639F6">
        <w:rPr>
          <w:rFonts w:ascii="Arial" w:hAnsi="Arial" w:cs="Arial"/>
          <w:color w:val="000000" w:themeColor="text1"/>
          <w:lang w:val="es-MX"/>
        </w:rPr>
        <w:t>)</w:t>
      </w:r>
      <w:r w:rsidR="00C639F6" w:rsidRPr="00C639F6">
        <w:rPr>
          <w:rFonts w:ascii="Arial" w:hAnsi="Arial" w:cs="Arial"/>
          <w:color w:val="000000" w:themeColor="text1"/>
          <w:lang w:val="es-MX"/>
        </w:rPr>
        <w:t xml:space="preserve"> consultoría a obras de infraestructura vial urbana, 7</w:t>
      </w:r>
      <w:r w:rsidR="00C639F6">
        <w:rPr>
          <w:rFonts w:ascii="Arial" w:hAnsi="Arial" w:cs="Arial"/>
          <w:color w:val="000000" w:themeColor="text1"/>
          <w:lang w:val="es-MX"/>
        </w:rPr>
        <w:t>)</w:t>
      </w:r>
      <w:r w:rsidR="00C639F6" w:rsidRPr="00C639F6">
        <w:rPr>
          <w:rFonts w:ascii="Arial" w:hAnsi="Arial" w:cs="Arial"/>
          <w:color w:val="000000" w:themeColor="text1"/>
          <w:lang w:val="es-MX"/>
        </w:rPr>
        <w:t xml:space="preserve"> consultoría a obras en puentes y 8</w:t>
      </w:r>
      <w:r w:rsidR="00C639F6">
        <w:rPr>
          <w:rFonts w:ascii="Arial" w:hAnsi="Arial" w:cs="Arial"/>
          <w:color w:val="000000" w:themeColor="text1"/>
          <w:lang w:val="es-MX"/>
        </w:rPr>
        <w:t>)</w:t>
      </w:r>
      <w:r w:rsidR="00C639F6" w:rsidRPr="00C639F6">
        <w:rPr>
          <w:rFonts w:ascii="Arial" w:hAnsi="Arial" w:cs="Arial"/>
          <w:color w:val="000000" w:themeColor="text1"/>
          <w:lang w:val="es-MX"/>
        </w:rPr>
        <w:t xml:space="preserve"> consultoría a obras aeroportuarias</w:t>
      </w:r>
      <w:r w:rsidRPr="002B47C2">
        <w:rPr>
          <w:rFonts w:ascii="Arial" w:hAnsi="Arial" w:cs="Arial"/>
          <w:color w:val="000000" w:themeColor="text1"/>
          <w:lang w:val="es-MX"/>
        </w:rPr>
        <w:t>. Estas determinan el marco para la aplicación de los documentos tipo, dado que comprenden todas aquellas actividades que constituyen</w:t>
      </w:r>
      <w:r w:rsidR="00C639F6">
        <w:rPr>
          <w:rFonts w:ascii="Arial" w:hAnsi="Arial" w:cs="Arial"/>
          <w:color w:val="000000" w:themeColor="text1"/>
          <w:lang w:val="es-MX"/>
        </w:rPr>
        <w:t xml:space="preserve"> consultoría </w:t>
      </w:r>
      <w:r w:rsidR="005A019B">
        <w:rPr>
          <w:rFonts w:ascii="Arial" w:hAnsi="Arial" w:cs="Arial"/>
          <w:color w:val="000000" w:themeColor="text1"/>
          <w:lang w:val="es-MX"/>
        </w:rPr>
        <w:t>de estudios de ingeniería de infraestructura de transporte</w:t>
      </w:r>
      <w:r w:rsidR="002E71A7">
        <w:rPr>
          <w:rFonts w:ascii="Arial" w:hAnsi="Arial" w:cs="Arial"/>
          <w:color w:val="000000" w:themeColor="text1"/>
          <w:lang w:val="es-MX"/>
        </w:rPr>
        <w:t xml:space="preserve"> y que han sido</w:t>
      </w:r>
      <w:r w:rsidR="00273744">
        <w:rPr>
          <w:rFonts w:ascii="Arial" w:hAnsi="Arial" w:cs="Arial"/>
          <w:color w:val="000000" w:themeColor="text1"/>
          <w:lang w:val="es-MX"/>
        </w:rPr>
        <w:t xml:space="preserve"> </w:t>
      </w:r>
      <w:r w:rsidRPr="002B47C2">
        <w:rPr>
          <w:rFonts w:ascii="Arial" w:hAnsi="Arial" w:cs="Arial"/>
          <w:color w:val="000000" w:themeColor="text1"/>
          <w:lang w:val="es-MX"/>
        </w:rPr>
        <w:t xml:space="preserve">objeto de estandarización mediante la Resolución No. </w:t>
      </w:r>
      <w:r w:rsidR="00273744">
        <w:rPr>
          <w:rFonts w:ascii="Arial" w:hAnsi="Arial" w:cs="Arial"/>
          <w:color w:val="000000" w:themeColor="text1"/>
          <w:lang w:val="es-MX"/>
        </w:rPr>
        <w:t>193</w:t>
      </w:r>
      <w:r w:rsidRPr="002B47C2">
        <w:rPr>
          <w:rFonts w:ascii="Arial" w:hAnsi="Arial" w:cs="Arial"/>
          <w:color w:val="000000" w:themeColor="text1"/>
          <w:lang w:val="es-MX"/>
        </w:rPr>
        <w:t xml:space="preserve"> del </w:t>
      </w:r>
      <w:r w:rsidR="00D762E6">
        <w:rPr>
          <w:rFonts w:ascii="Arial" w:hAnsi="Arial" w:cs="Arial"/>
          <w:color w:val="000000" w:themeColor="text1"/>
          <w:lang w:val="es-MX"/>
        </w:rPr>
        <w:t>14</w:t>
      </w:r>
      <w:r w:rsidRPr="002B47C2">
        <w:rPr>
          <w:rFonts w:ascii="Arial" w:hAnsi="Arial" w:cs="Arial"/>
          <w:color w:val="000000" w:themeColor="text1"/>
          <w:lang w:val="es-MX"/>
        </w:rPr>
        <w:t xml:space="preserve"> de </w:t>
      </w:r>
      <w:r w:rsidR="00D762E6">
        <w:rPr>
          <w:rFonts w:ascii="Arial" w:hAnsi="Arial" w:cs="Arial"/>
          <w:color w:val="000000" w:themeColor="text1"/>
          <w:lang w:val="es-MX"/>
        </w:rPr>
        <w:t xml:space="preserve">julio de 2021 </w:t>
      </w:r>
      <w:r w:rsidRPr="002B47C2">
        <w:rPr>
          <w:rFonts w:ascii="Arial" w:hAnsi="Arial" w:cs="Arial"/>
          <w:color w:val="000000" w:themeColor="text1"/>
          <w:lang w:val="es-MX"/>
        </w:rPr>
        <w:t xml:space="preserve">para los procesos </w:t>
      </w:r>
      <w:r w:rsidR="00D762E6">
        <w:rPr>
          <w:rFonts w:ascii="Arial" w:hAnsi="Arial" w:cs="Arial"/>
          <w:color w:val="000000" w:themeColor="text1"/>
          <w:lang w:val="es-MX"/>
        </w:rPr>
        <w:t xml:space="preserve">de concurso de </w:t>
      </w:r>
      <w:r w:rsidR="00036F2D">
        <w:rPr>
          <w:rFonts w:ascii="Arial" w:hAnsi="Arial" w:cs="Arial"/>
          <w:color w:val="000000" w:themeColor="text1"/>
          <w:lang w:val="es-MX"/>
        </w:rPr>
        <w:t>méritos</w:t>
      </w:r>
      <w:r w:rsidRPr="002B47C2">
        <w:rPr>
          <w:rFonts w:ascii="Arial" w:hAnsi="Arial" w:cs="Arial"/>
          <w:color w:val="000000" w:themeColor="text1"/>
          <w:lang w:val="es-MX"/>
        </w:rPr>
        <w:t>.</w:t>
      </w:r>
    </w:p>
    <w:p w14:paraId="5DB51EE4" w14:textId="401A6417" w:rsidR="009D4DA1" w:rsidRPr="0072586C" w:rsidRDefault="00ED5901" w:rsidP="0072586C">
      <w:pPr>
        <w:rPr>
          <w:rFonts w:ascii="Arial" w:hAnsi="Arial" w:cs="Arial"/>
        </w:rPr>
      </w:pPr>
      <w:r w:rsidRPr="0072586C">
        <w:rPr>
          <w:rFonts w:ascii="Arial" w:hAnsi="Arial" w:cs="Arial"/>
        </w:rPr>
        <w:t xml:space="preserve">En ese sentido, de acuerdo con el </w:t>
      </w:r>
      <w:r w:rsidR="00357B08" w:rsidRPr="0072586C">
        <w:rPr>
          <w:rFonts w:ascii="Arial" w:hAnsi="Arial" w:cs="Arial"/>
        </w:rPr>
        <w:t>«Documento Base», e</w:t>
      </w:r>
      <w:r w:rsidRPr="0072586C">
        <w:rPr>
          <w:rFonts w:ascii="Arial" w:hAnsi="Arial" w:cs="Arial"/>
        </w:rPr>
        <w:t>st</w:t>
      </w:r>
      <w:r w:rsidR="00357B08" w:rsidRPr="0072586C">
        <w:rPr>
          <w:rFonts w:ascii="Arial" w:hAnsi="Arial" w:cs="Arial"/>
        </w:rPr>
        <w:t xml:space="preserve">os documentos tipo </w:t>
      </w:r>
      <w:r w:rsidRPr="0072586C">
        <w:rPr>
          <w:rFonts w:ascii="Arial" w:hAnsi="Arial" w:cs="Arial"/>
        </w:rPr>
        <w:t>aplica</w:t>
      </w:r>
      <w:r w:rsidR="00357B08" w:rsidRPr="0072586C">
        <w:rPr>
          <w:rFonts w:ascii="Arial" w:hAnsi="Arial" w:cs="Arial"/>
        </w:rPr>
        <w:t>n</w:t>
      </w:r>
      <w:r w:rsidRPr="0072586C">
        <w:rPr>
          <w:rFonts w:ascii="Arial" w:hAnsi="Arial" w:cs="Arial"/>
        </w:rPr>
        <w:t xml:space="preserve"> a los procesos de consultoría de estudios de ingeniería de infraestructura de transporte</w:t>
      </w:r>
      <w:r w:rsidRPr="0072586C">
        <w:rPr>
          <w:rStyle w:val="Refdenotaalpie"/>
          <w:rFonts w:ascii="Arial" w:hAnsi="Arial" w:cs="Arial"/>
        </w:rPr>
        <w:footnoteReference w:id="3"/>
      </w:r>
      <w:r w:rsidRPr="0072586C">
        <w:rPr>
          <w:rFonts w:ascii="Arial" w:hAnsi="Arial" w:cs="Arial"/>
        </w:rPr>
        <w:t xml:space="preserve"> celebrados en la modalidad de concurso de méritos, que correspondan con las actividades definidas en la </w:t>
      </w:r>
      <w:r w:rsidR="00CB1966">
        <w:rPr>
          <w:rFonts w:ascii="Arial" w:hAnsi="Arial" w:cs="Arial"/>
        </w:rPr>
        <w:t>«</w:t>
      </w:r>
      <w:r w:rsidRPr="0072586C">
        <w:rPr>
          <w:rFonts w:ascii="Arial" w:hAnsi="Arial" w:cs="Arial"/>
        </w:rPr>
        <w:t>Matriz 1 – Experiencia</w:t>
      </w:r>
      <w:r w:rsidR="00CB1966">
        <w:rPr>
          <w:rFonts w:ascii="Arial" w:hAnsi="Arial" w:cs="Arial"/>
        </w:rPr>
        <w:t>»</w:t>
      </w:r>
      <w:r w:rsidRPr="0072586C">
        <w:rPr>
          <w:rFonts w:ascii="Arial" w:hAnsi="Arial" w:cs="Arial"/>
        </w:rPr>
        <w:t xml:space="preserve">. En los términos del numeral 10.1.1, literal B, también aplica a los componentes de consultorías integrales (predial, ambiental, social y seguridad y salud en el trabajo) que tengan otros componentes aparte del técnico descrito en la mencionada Matriz. Por tanto, no son aplicables en las actividades de consultoría de estudios de ingeniería de infraestructura de transporte no contempladas en </w:t>
      </w:r>
      <w:r w:rsidRPr="0072586C">
        <w:rPr>
          <w:rFonts w:ascii="Arial" w:hAnsi="Arial" w:cs="Arial"/>
        </w:rPr>
        <w:lastRenderedPageBreak/>
        <w:t xml:space="preserve">la </w:t>
      </w:r>
      <w:r w:rsidR="00CC6976" w:rsidRPr="0072586C">
        <w:rPr>
          <w:rFonts w:ascii="Arial" w:hAnsi="Arial" w:cs="Arial"/>
        </w:rPr>
        <w:t>«</w:t>
      </w:r>
      <w:r w:rsidRPr="0072586C">
        <w:rPr>
          <w:rFonts w:ascii="Arial" w:hAnsi="Arial" w:cs="Arial"/>
        </w:rPr>
        <w:t>Matriz 1 – Experiencia</w:t>
      </w:r>
      <w:r w:rsidR="00CC6976" w:rsidRPr="0072586C">
        <w:rPr>
          <w:rFonts w:ascii="Arial" w:hAnsi="Arial" w:cs="Arial"/>
        </w:rPr>
        <w:t>»</w:t>
      </w:r>
      <w:r w:rsidRPr="0072586C">
        <w:rPr>
          <w:rFonts w:ascii="Arial" w:hAnsi="Arial" w:cs="Arial"/>
        </w:rPr>
        <w:t>, sin perjuicio de lo previsto en el artículo 4</w:t>
      </w:r>
      <w:r w:rsidR="00CC6976" w:rsidRPr="0072586C">
        <w:rPr>
          <w:rStyle w:val="Refdenotaalpie"/>
          <w:rFonts w:ascii="Arial" w:hAnsi="Arial" w:cs="Arial"/>
        </w:rPr>
        <w:footnoteReference w:id="4"/>
      </w:r>
      <w:r w:rsidRPr="0072586C">
        <w:rPr>
          <w:rFonts w:ascii="Arial" w:hAnsi="Arial" w:cs="Arial"/>
        </w:rPr>
        <w:t xml:space="preserve"> de la </w:t>
      </w:r>
      <w:r w:rsidR="009C33EB" w:rsidRPr="0072586C">
        <w:rPr>
          <w:rFonts w:ascii="Arial" w:hAnsi="Arial" w:cs="Arial"/>
        </w:rPr>
        <w:t>R</w:t>
      </w:r>
      <w:r w:rsidRPr="0072586C">
        <w:rPr>
          <w:rFonts w:ascii="Arial" w:hAnsi="Arial" w:cs="Arial"/>
        </w:rPr>
        <w:t xml:space="preserve">esolución que adopta estos Documentos Tipo. </w:t>
      </w:r>
    </w:p>
    <w:bookmarkEnd w:id="5"/>
    <w:p w14:paraId="11ED6A06" w14:textId="295789C5" w:rsidR="00B06FE8" w:rsidRPr="002B47C2" w:rsidRDefault="00B06FE8" w:rsidP="0072586C">
      <w:pPr>
        <w:spacing w:before="120" w:after="0"/>
        <w:rPr>
          <w:rFonts w:ascii="Arial" w:hAnsi="Arial" w:cs="Arial"/>
          <w:color w:val="000000" w:themeColor="text1"/>
          <w:lang w:val="es-MX"/>
        </w:rPr>
      </w:pPr>
      <w:r w:rsidRPr="002B47C2">
        <w:rPr>
          <w:rFonts w:ascii="Arial" w:hAnsi="Arial" w:cs="Arial"/>
          <w:color w:val="000000" w:themeColor="text1"/>
          <w:lang w:val="es-MX"/>
        </w:rPr>
        <w:t xml:space="preserve">Con respecto a la actividad a contratar, la Matriz 1 establece cuáles son las que corresponden a cada uno de los tipos </w:t>
      </w:r>
      <w:r w:rsidR="00572276">
        <w:rPr>
          <w:rFonts w:ascii="Arial" w:hAnsi="Arial" w:cs="Arial"/>
          <w:color w:val="000000" w:themeColor="text1"/>
          <w:lang w:val="es-MX"/>
        </w:rPr>
        <w:t xml:space="preserve">consultoría </w:t>
      </w:r>
      <w:r w:rsidRPr="002B47C2">
        <w:rPr>
          <w:rFonts w:ascii="Arial" w:hAnsi="Arial" w:cs="Arial"/>
          <w:color w:val="000000" w:themeColor="text1"/>
          <w:lang w:val="es-MX"/>
        </w:rPr>
        <w:t>de infraestructura mencionados, con el fin de que la entidad identifique aquellas en las cuales puede encuadrarse, de mejor forma, el objeto que pretende ejecutar y determinar los requisitos de experiencia exigibles</w:t>
      </w:r>
      <w:r w:rsidR="009620A8">
        <w:rPr>
          <w:rFonts w:ascii="Arial" w:hAnsi="Arial" w:cs="Arial"/>
          <w:color w:val="000000" w:themeColor="text1"/>
          <w:lang w:val="es-MX"/>
        </w:rPr>
        <w:t xml:space="preserve"> de acuerdo con la legislación aplicable en la materia, como lo es la Ley </w:t>
      </w:r>
      <w:r w:rsidR="003B3E5B">
        <w:rPr>
          <w:rFonts w:ascii="Arial" w:hAnsi="Arial" w:cs="Arial"/>
          <w:color w:val="000000" w:themeColor="text1"/>
          <w:lang w:val="es-MX"/>
        </w:rPr>
        <w:t xml:space="preserve">1682 de 2013 por la cual se adoptan medidas y disposiciones para los proyectos de infraestructura de transporte y se </w:t>
      </w:r>
      <w:r w:rsidR="00430C1D">
        <w:rPr>
          <w:rFonts w:ascii="Arial" w:hAnsi="Arial" w:cs="Arial"/>
          <w:color w:val="000000" w:themeColor="text1"/>
          <w:lang w:val="es-MX"/>
        </w:rPr>
        <w:t>conceden facultades extraordinarias</w:t>
      </w:r>
      <w:r w:rsidRPr="002B47C2">
        <w:rPr>
          <w:rFonts w:ascii="Arial" w:hAnsi="Arial" w:cs="Arial"/>
          <w:color w:val="000000" w:themeColor="text1"/>
          <w:lang w:val="es-MX"/>
        </w:rPr>
        <w:t xml:space="preserve">. Por ejemplo, para el tipo </w:t>
      </w:r>
      <w:r w:rsidR="005412D2">
        <w:rPr>
          <w:rFonts w:ascii="Arial" w:hAnsi="Arial" w:cs="Arial"/>
          <w:color w:val="000000" w:themeColor="text1"/>
          <w:lang w:val="es-MX"/>
        </w:rPr>
        <w:t xml:space="preserve">de consultoría </w:t>
      </w:r>
      <w:r w:rsidRPr="002B47C2">
        <w:rPr>
          <w:rFonts w:ascii="Arial" w:hAnsi="Arial" w:cs="Arial"/>
          <w:color w:val="000000" w:themeColor="text1"/>
          <w:lang w:val="es-MX"/>
        </w:rPr>
        <w:t>de infraestructura «</w:t>
      </w:r>
      <w:r w:rsidR="00093ECF">
        <w:rPr>
          <w:rFonts w:ascii="Arial" w:hAnsi="Arial" w:cs="Arial"/>
          <w:color w:val="000000" w:themeColor="text1"/>
          <w:lang w:val="es-MX"/>
        </w:rPr>
        <w:t>4</w:t>
      </w:r>
      <w:r w:rsidRPr="002B47C2">
        <w:rPr>
          <w:rFonts w:ascii="Arial" w:hAnsi="Arial" w:cs="Arial"/>
          <w:color w:val="000000" w:themeColor="text1"/>
          <w:lang w:val="es-MX"/>
        </w:rPr>
        <w:t>.</w:t>
      </w:r>
      <w:r w:rsidR="000C2200">
        <w:rPr>
          <w:rFonts w:ascii="Arial" w:hAnsi="Arial" w:cs="Arial"/>
          <w:color w:val="000000" w:themeColor="text1"/>
          <w:lang w:val="es-MX"/>
        </w:rPr>
        <w:t xml:space="preserve"> </w:t>
      </w:r>
      <w:r w:rsidR="000C2200" w:rsidRPr="000C2200">
        <w:rPr>
          <w:rFonts w:ascii="Arial" w:hAnsi="Arial" w:cs="Arial"/>
          <w:color w:val="000000" w:themeColor="text1"/>
          <w:lang w:val="es-MX"/>
        </w:rPr>
        <w:t>CONSULTORÍA PARA OBRAS EN VIAS PRIMARIAS O SECUNDARIAS O TERCIARIAS O URBANAS PARA ATENCIÓN, PREVENCIÓN O MITIGACIÓN DE EMERGENCIAS DIFERENTES A CONTRATACIÓN DIRECTA</w:t>
      </w:r>
      <w:r w:rsidRPr="002B47C2">
        <w:rPr>
          <w:rFonts w:ascii="Arial" w:hAnsi="Arial" w:cs="Arial"/>
          <w:color w:val="000000" w:themeColor="text1"/>
          <w:lang w:val="es-MX"/>
        </w:rPr>
        <w:t xml:space="preserve">», la entidad podrá verificar la experiencia requerida en su proceso, de acuerdo con las siguientes actividades: </w:t>
      </w:r>
      <w:r w:rsidR="00C7723A" w:rsidRPr="002B47C2">
        <w:rPr>
          <w:rFonts w:ascii="Arial" w:hAnsi="Arial" w:cs="Arial"/>
          <w:color w:val="000000" w:themeColor="text1"/>
          <w:lang w:val="es-MX"/>
        </w:rPr>
        <w:t>«</w:t>
      </w:r>
      <w:r w:rsidR="00C7723A" w:rsidRPr="006C2325">
        <w:rPr>
          <w:rFonts w:ascii="Arial" w:hAnsi="Arial" w:cs="Arial"/>
          <w:color w:val="000000" w:themeColor="text1"/>
          <w:lang w:val="es-MX"/>
        </w:rPr>
        <w:t xml:space="preserve">4.1 </w:t>
      </w:r>
      <w:r w:rsidR="00C7723A">
        <w:rPr>
          <w:rFonts w:ascii="Arial" w:hAnsi="Arial" w:cs="Arial"/>
          <w:color w:val="000000" w:themeColor="text1"/>
          <w:lang w:val="es-MX"/>
        </w:rPr>
        <w:t>P</w:t>
      </w:r>
      <w:r w:rsidR="00C7723A" w:rsidRPr="006C2325">
        <w:rPr>
          <w:rFonts w:ascii="Arial" w:hAnsi="Arial" w:cs="Arial"/>
          <w:color w:val="000000" w:themeColor="text1"/>
          <w:lang w:val="es-MX"/>
        </w:rPr>
        <w:t>royectos de consultoría para: atenci</w:t>
      </w:r>
      <w:r w:rsidR="00C7723A">
        <w:rPr>
          <w:rFonts w:ascii="Arial" w:hAnsi="Arial" w:cs="Arial"/>
          <w:color w:val="000000" w:themeColor="text1"/>
          <w:lang w:val="es-MX"/>
        </w:rPr>
        <w:t>ó</w:t>
      </w:r>
      <w:r w:rsidR="00C7723A" w:rsidRPr="006C2325">
        <w:rPr>
          <w:rFonts w:ascii="Arial" w:hAnsi="Arial" w:cs="Arial"/>
          <w:color w:val="000000" w:themeColor="text1"/>
          <w:lang w:val="es-MX"/>
        </w:rPr>
        <w:t>n o prevención o mitigación de sitios de emergencias mediante montaje o desmontaje puentes met</w:t>
      </w:r>
      <w:r w:rsidR="00C7723A">
        <w:rPr>
          <w:rFonts w:ascii="Arial" w:hAnsi="Arial" w:cs="Arial"/>
          <w:color w:val="000000" w:themeColor="text1"/>
          <w:lang w:val="es-MX"/>
        </w:rPr>
        <w:t>á</w:t>
      </w:r>
      <w:r w:rsidR="00C7723A" w:rsidRPr="006C2325">
        <w:rPr>
          <w:rFonts w:ascii="Arial" w:hAnsi="Arial" w:cs="Arial"/>
          <w:color w:val="000000" w:themeColor="text1"/>
          <w:lang w:val="es-MX"/>
        </w:rPr>
        <w:t>licos modulares</w:t>
      </w:r>
      <w:r w:rsidR="00C7723A" w:rsidRPr="002B47C2">
        <w:rPr>
          <w:rFonts w:ascii="Arial" w:hAnsi="Arial" w:cs="Arial"/>
          <w:color w:val="000000" w:themeColor="text1"/>
          <w:lang w:val="es-MX"/>
        </w:rPr>
        <w:t>», «</w:t>
      </w:r>
      <w:r w:rsidR="00C7723A" w:rsidRPr="00B23E3C">
        <w:rPr>
          <w:rFonts w:ascii="Arial" w:hAnsi="Arial" w:cs="Arial"/>
          <w:color w:val="000000" w:themeColor="text1"/>
          <w:lang w:val="es-MX"/>
        </w:rPr>
        <w:t xml:space="preserve">4.2 </w:t>
      </w:r>
      <w:r w:rsidR="00C7723A">
        <w:rPr>
          <w:rFonts w:ascii="Arial" w:hAnsi="Arial" w:cs="Arial"/>
          <w:color w:val="000000" w:themeColor="text1"/>
          <w:lang w:val="es-MX"/>
        </w:rPr>
        <w:t>P</w:t>
      </w:r>
      <w:r w:rsidR="00C7723A" w:rsidRPr="00B23E3C">
        <w:rPr>
          <w:rFonts w:ascii="Arial" w:hAnsi="Arial" w:cs="Arial"/>
          <w:color w:val="000000" w:themeColor="text1"/>
          <w:lang w:val="es-MX"/>
        </w:rPr>
        <w:t>royectos de consultoría para: atenci</w:t>
      </w:r>
      <w:r w:rsidR="00C7723A">
        <w:rPr>
          <w:rFonts w:ascii="Arial" w:hAnsi="Arial" w:cs="Arial"/>
          <w:color w:val="000000" w:themeColor="text1"/>
          <w:lang w:val="es-MX"/>
        </w:rPr>
        <w:t>ó</w:t>
      </w:r>
      <w:r w:rsidR="00C7723A" w:rsidRPr="00B23E3C">
        <w:rPr>
          <w:rFonts w:ascii="Arial" w:hAnsi="Arial" w:cs="Arial"/>
          <w:color w:val="000000" w:themeColor="text1"/>
          <w:lang w:val="es-MX"/>
        </w:rPr>
        <w:t>n o prevención o mitigación de sitios de emergencias mediante obras de estabilizaci</w:t>
      </w:r>
      <w:r w:rsidR="00C7723A">
        <w:rPr>
          <w:rFonts w:ascii="Arial" w:hAnsi="Arial" w:cs="Arial"/>
          <w:color w:val="000000" w:themeColor="text1"/>
          <w:lang w:val="es-MX"/>
        </w:rPr>
        <w:t>ó</w:t>
      </w:r>
      <w:r w:rsidR="00C7723A" w:rsidRPr="00B23E3C">
        <w:rPr>
          <w:rFonts w:ascii="Arial" w:hAnsi="Arial" w:cs="Arial"/>
          <w:color w:val="000000" w:themeColor="text1"/>
          <w:lang w:val="es-MX"/>
        </w:rPr>
        <w:t>n de taludes o recuperaci</w:t>
      </w:r>
      <w:r w:rsidR="00C7723A">
        <w:rPr>
          <w:rFonts w:ascii="Arial" w:hAnsi="Arial" w:cs="Arial"/>
          <w:color w:val="000000" w:themeColor="text1"/>
          <w:lang w:val="es-MX"/>
        </w:rPr>
        <w:t>ó</w:t>
      </w:r>
      <w:r w:rsidR="00C7723A" w:rsidRPr="00B23E3C">
        <w:rPr>
          <w:rFonts w:ascii="Arial" w:hAnsi="Arial" w:cs="Arial"/>
          <w:color w:val="000000" w:themeColor="text1"/>
          <w:lang w:val="es-MX"/>
        </w:rPr>
        <w:t>n de banca</w:t>
      </w:r>
      <w:r w:rsidR="00C7723A" w:rsidRPr="002B47C2">
        <w:rPr>
          <w:rFonts w:ascii="Arial" w:hAnsi="Arial" w:cs="Arial"/>
          <w:color w:val="000000" w:themeColor="text1"/>
          <w:lang w:val="es-MX"/>
        </w:rPr>
        <w:t>»</w:t>
      </w:r>
      <w:r w:rsidR="00C7723A">
        <w:rPr>
          <w:rFonts w:ascii="Arial" w:hAnsi="Arial" w:cs="Arial"/>
          <w:color w:val="000000" w:themeColor="text1"/>
          <w:lang w:val="es-MX"/>
        </w:rPr>
        <w:t xml:space="preserve">, </w:t>
      </w:r>
      <w:r w:rsidR="00C7723A" w:rsidRPr="002B47C2">
        <w:rPr>
          <w:rFonts w:ascii="Arial" w:hAnsi="Arial" w:cs="Arial"/>
          <w:color w:val="000000" w:themeColor="text1"/>
          <w:lang w:val="es-MX"/>
        </w:rPr>
        <w:t>«</w:t>
      </w:r>
      <w:r w:rsidR="00C7723A" w:rsidRPr="00594AC3">
        <w:rPr>
          <w:rFonts w:ascii="Arial" w:hAnsi="Arial" w:cs="Arial"/>
          <w:color w:val="000000" w:themeColor="text1"/>
          <w:lang w:val="es-MX"/>
        </w:rPr>
        <w:t xml:space="preserve">4.3 </w:t>
      </w:r>
      <w:r w:rsidR="00C7723A">
        <w:rPr>
          <w:rFonts w:ascii="Arial" w:hAnsi="Arial" w:cs="Arial"/>
          <w:color w:val="000000" w:themeColor="text1"/>
          <w:lang w:val="es-MX"/>
        </w:rPr>
        <w:t>P</w:t>
      </w:r>
      <w:r w:rsidR="00C7723A" w:rsidRPr="00594AC3">
        <w:rPr>
          <w:rFonts w:ascii="Arial" w:hAnsi="Arial" w:cs="Arial"/>
          <w:color w:val="000000" w:themeColor="text1"/>
          <w:lang w:val="es-MX"/>
        </w:rPr>
        <w:t>royectos de consultoría para: atenci</w:t>
      </w:r>
      <w:r w:rsidR="00C7723A">
        <w:rPr>
          <w:rFonts w:ascii="Arial" w:hAnsi="Arial" w:cs="Arial"/>
          <w:color w:val="000000" w:themeColor="text1"/>
          <w:lang w:val="es-MX"/>
        </w:rPr>
        <w:t>ó</w:t>
      </w:r>
      <w:r w:rsidR="00C7723A" w:rsidRPr="00594AC3">
        <w:rPr>
          <w:rFonts w:ascii="Arial" w:hAnsi="Arial" w:cs="Arial"/>
          <w:color w:val="000000" w:themeColor="text1"/>
          <w:lang w:val="es-MX"/>
        </w:rPr>
        <w:t>n o prevención o mitigación de sitios de emergencias mediante obras de remoción de derrumbes</w:t>
      </w:r>
      <w:r w:rsidR="00C7723A" w:rsidRPr="002B47C2">
        <w:rPr>
          <w:rFonts w:ascii="Arial" w:hAnsi="Arial" w:cs="Arial"/>
          <w:color w:val="000000" w:themeColor="text1"/>
          <w:lang w:val="es-MX"/>
        </w:rPr>
        <w:t>»</w:t>
      </w:r>
      <w:r w:rsidR="00C7723A">
        <w:rPr>
          <w:rFonts w:ascii="Arial" w:hAnsi="Arial" w:cs="Arial"/>
          <w:color w:val="000000" w:themeColor="text1"/>
          <w:lang w:val="es-MX"/>
        </w:rPr>
        <w:t>, «</w:t>
      </w:r>
      <w:r w:rsidR="00C7723A" w:rsidRPr="001B3C2C">
        <w:rPr>
          <w:rFonts w:ascii="Arial" w:hAnsi="Arial" w:cs="Arial"/>
          <w:color w:val="000000" w:themeColor="text1"/>
          <w:lang w:val="es-MX"/>
        </w:rPr>
        <w:t xml:space="preserve">4.4 </w:t>
      </w:r>
      <w:r w:rsidR="00C7723A">
        <w:rPr>
          <w:rFonts w:ascii="Arial" w:hAnsi="Arial" w:cs="Arial"/>
          <w:color w:val="000000" w:themeColor="text1"/>
          <w:lang w:val="es-MX"/>
        </w:rPr>
        <w:t>P</w:t>
      </w:r>
      <w:r w:rsidR="00C7723A" w:rsidRPr="001B3C2C">
        <w:rPr>
          <w:rFonts w:ascii="Arial" w:hAnsi="Arial" w:cs="Arial"/>
          <w:color w:val="000000" w:themeColor="text1"/>
          <w:lang w:val="es-MX"/>
        </w:rPr>
        <w:t>royectos de consultoría para: atenci</w:t>
      </w:r>
      <w:r w:rsidR="00C7723A">
        <w:rPr>
          <w:rFonts w:ascii="Arial" w:hAnsi="Arial" w:cs="Arial"/>
          <w:color w:val="000000" w:themeColor="text1"/>
          <w:lang w:val="es-MX"/>
        </w:rPr>
        <w:t>ó</w:t>
      </w:r>
      <w:r w:rsidR="00C7723A" w:rsidRPr="001B3C2C">
        <w:rPr>
          <w:rFonts w:ascii="Arial" w:hAnsi="Arial" w:cs="Arial"/>
          <w:color w:val="000000" w:themeColor="text1"/>
          <w:lang w:val="es-MX"/>
        </w:rPr>
        <w:t>n o prevención o mitigación de sitios de emergencias mediante obras hidráulicas</w:t>
      </w:r>
      <w:r w:rsidR="00C7723A">
        <w:rPr>
          <w:rFonts w:ascii="Arial" w:hAnsi="Arial" w:cs="Arial"/>
          <w:color w:val="000000" w:themeColor="text1"/>
          <w:lang w:val="es-MX"/>
        </w:rPr>
        <w:t>», «</w:t>
      </w:r>
      <w:r w:rsidR="00C7723A" w:rsidRPr="00EF7A97">
        <w:rPr>
          <w:rFonts w:ascii="Arial" w:hAnsi="Arial" w:cs="Arial"/>
          <w:color w:val="000000" w:themeColor="text1"/>
          <w:lang w:val="es-MX"/>
        </w:rPr>
        <w:t xml:space="preserve">4.5 </w:t>
      </w:r>
      <w:r w:rsidR="00C7723A">
        <w:rPr>
          <w:rFonts w:ascii="Arial" w:hAnsi="Arial" w:cs="Arial"/>
          <w:color w:val="000000" w:themeColor="text1"/>
          <w:lang w:val="es-MX"/>
        </w:rPr>
        <w:t>P</w:t>
      </w:r>
      <w:r w:rsidR="00C7723A" w:rsidRPr="00EF7A97">
        <w:rPr>
          <w:rFonts w:ascii="Arial" w:hAnsi="Arial" w:cs="Arial"/>
          <w:color w:val="000000" w:themeColor="text1"/>
          <w:lang w:val="es-MX"/>
        </w:rPr>
        <w:t>royectos de consultoría para: atenci</w:t>
      </w:r>
      <w:r w:rsidR="00C7723A">
        <w:rPr>
          <w:rFonts w:ascii="Arial" w:hAnsi="Arial" w:cs="Arial"/>
          <w:color w:val="000000" w:themeColor="text1"/>
          <w:lang w:val="es-MX"/>
        </w:rPr>
        <w:t>ó</w:t>
      </w:r>
      <w:r w:rsidR="00C7723A" w:rsidRPr="00EF7A97">
        <w:rPr>
          <w:rFonts w:ascii="Arial" w:hAnsi="Arial" w:cs="Arial"/>
          <w:color w:val="000000" w:themeColor="text1"/>
          <w:lang w:val="es-MX"/>
        </w:rPr>
        <w:t>n o prevención o mitigación de canales hidráulicos, cuerpos de agua canalizados mediante obras hidráulicas</w:t>
      </w:r>
      <w:r w:rsidR="00C7723A">
        <w:rPr>
          <w:rFonts w:ascii="Arial" w:hAnsi="Arial" w:cs="Arial"/>
          <w:color w:val="000000" w:themeColor="text1"/>
          <w:lang w:val="es-MX"/>
        </w:rPr>
        <w:t>» y/o «</w:t>
      </w:r>
      <w:r w:rsidR="00C7723A" w:rsidRPr="00EE159F">
        <w:rPr>
          <w:rFonts w:ascii="Arial" w:hAnsi="Arial" w:cs="Arial"/>
          <w:color w:val="000000" w:themeColor="text1"/>
          <w:lang w:val="es-MX"/>
        </w:rPr>
        <w:t xml:space="preserve">4.6 </w:t>
      </w:r>
      <w:r w:rsidR="00C7723A">
        <w:rPr>
          <w:rFonts w:ascii="Arial" w:hAnsi="Arial" w:cs="Arial"/>
          <w:color w:val="000000" w:themeColor="text1"/>
          <w:lang w:val="es-MX"/>
        </w:rPr>
        <w:t>P</w:t>
      </w:r>
      <w:r w:rsidR="00C7723A" w:rsidRPr="00EE159F">
        <w:rPr>
          <w:rFonts w:ascii="Arial" w:hAnsi="Arial" w:cs="Arial"/>
          <w:color w:val="000000" w:themeColor="text1"/>
          <w:lang w:val="es-MX"/>
        </w:rPr>
        <w:t>royectos de consultoría para: atenci</w:t>
      </w:r>
      <w:r w:rsidR="00C7723A">
        <w:rPr>
          <w:rFonts w:ascii="Arial" w:hAnsi="Arial" w:cs="Arial"/>
          <w:color w:val="000000" w:themeColor="text1"/>
          <w:lang w:val="es-MX"/>
        </w:rPr>
        <w:t>ó</w:t>
      </w:r>
      <w:r w:rsidR="00C7723A" w:rsidRPr="00EE159F">
        <w:rPr>
          <w:rFonts w:ascii="Arial" w:hAnsi="Arial" w:cs="Arial"/>
          <w:color w:val="000000" w:themeColor="text1"/>
          <w:lang w:val="es-MX"/>
        </w:rPr>
        <w:t>n o prevención o mitigación de emergencias para la atención de sitios críticos en puentes vehiculares o peatonales o férreos</w:t>
      </w:r>
      <w:r w:rsidR="00C7723A">
        <w:rPr>
          <w:rFonts w:ascii="Arial" w:hAnsi="Arial" w:cs="Arial"/>
          <w:color w:val="000000" w:themeColor="text1"/>
          <w:lang w:val="es-MX"/>
        </w:rPr>
        <w:t>»</w:t>
      </w:r>
      <w:r w:rsidR="00B96251">
        <w:rPr>
          <w:rFonts w:ascii="Arial" w:hAnsi="Arial" w:cs="Arial"/>
          <w:color w:val="000000" w:themeColor="text1"/>
          <w:lang w:val="es-MX"/>
        </w:rPr>
        <w:t xml:space="preserve">; sin perjuicio que </w:t>
      </w:r>
      <w:r w:rsidR="00B96251">
        <w:rPr>
          <w:rFonts w:ascii="Arial" w:hAnsi="Arial" w:cs="Arial"/>
          <w:color w:val="000000" w:themeColor="text1"/>
          <w:lang w:val="es-MX"/>
        </w:rPr>
        <w:lastRenderedPageBreak/>
        <w:t xml:space="preserve">las actividades que sean requeridas puedan enmarcarse en el </w:t>
      </w:r>
      <w:r w:rsidR="00B6767A">
        <w:rPr>
          <w:rFonts w:ascii="Arial" w:hAnsi="Arial" w:cs="Arial"/>
          <w:color w:val="000000" w:themeColor="text1"/>
          <w:lang w:val="es-MX"/>
        </w:rPr>
        <w:t xml:space="preserve">tipo de infraestructura </w:t>
      </w:r>
      <w:r w:rsidR="00D26742">
        <w:rPr>
          <w:rFonts w:ascii="Arial" w:hAnsi="Arial" w:cs="Arial"/>
          <w:color w:val="000000" w:themeColor="text1"/>
          <w:lang w:val="es-MX"/>
        </w:rPr>
        <w:t>«</w:t>
      </w:r>
      <w:r w:rsidR="00D26742" w:rsidRPr="00D26742">
        <w:rPr>
          <w:rFonts w:ascii="Arial" w:hAnsi="Arial" w:cs="Arial"/>
          <w:color w:val="000000" w:themeColor="text1"/>
          <w:lang w:val="es-MX"/>
        </w:rPr>
        <w:t>3. CONSULTORÍA PARA OBRAS MARÍTIMAS Y FLUVIALES</w:t>
      </w:r>
      <w:r w:rsidR="00D26742">
        <w:rPr>
          <w:rFonts w:ascii="Arial" w:hAnsi="Arial" w:cs="Arial"/>
          <w:color w:val="000000" w:themeColor="text1"/>
          <w:lang w:val="es-MX"/>
        </w:rPr>
        <w:t>» según el análisis técnico y jurídico realizado por la entidad.</w:t>
      </w:r>
    </w:p>
    <w:p w14:paraId="5C09149C" w14:textId="1B074A01"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 xml:space="preserve">Por último, el documento establece los rangos dentro de los cuales se debe identificar el presupuesto del proceso de contratación. Estos abarcan las cuantías mínimas y máximas que son frecuentes en los procesos de contratación de </w:t>
      </w:r>
      <w:r w:rsidR="00D70C51">
        <w:rPr>
          <w:rFonts w:ascii="Arial" w:hAnsi="Arial" w:cs="Arial"/>
          <w:color w:val="000000" w:themeColor="text1"/>
          <w:lang w:val="es-MX"/>
        </w:rPr>
        <w:t xml:space="preserve">consultoría de estudios de ingeniería de </w:t>
      </w:r>
      <w:r w:rsidRPr="002B47C2">
        <w:rPr>
          <w:rFonts w:ascii="Arial" w:hAnsi="Arial" w:cs="Arial"/>
          <w:color w:val="000000" w:themeColor="text1"/>
          <w:lang w:val="es-MX"/>
        </w:rPr>
        <w:t xml:space="preserve">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14:paraId="636899DC" w14:textId="30E39C80" w:rsidR="00B06FE8" w:rsidRPr="002B47C2" w:rsidRDefault="00B06FE8" w:rsidP="00B06FE8">
      <w:pPr>
        <w:spacing w:before="120"/>
        <w:rPr>
          <w:rFonts w:ascii="Arial" w:hAnsi="Arial" w:cs="Arial"/>
          <w:color w:val="000000" w:themeColor="text1"/>
          <w:lang w:val="es-MX"/>
        </w:rPr>
      </w:pPr>
      <w:r w:rsidRPr="002B47C2">
        <w:rPr>
          <w:rFonts w:ascii="Arial" w:hAnsi="Arial" w:cs="Arial"/>
          <w:color w:val="000000" w:themeColor="text1"/>
          <w:lang w:val="es-MX"/>
        </w:rPr>
        <w:t>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w:t>
      </w:r>
      <w:r w:rsidR="00322B2C" w:rsidRPr="00322B2C">
        <w:t xml:space="preserve"> </w:t>
      </w:r>
      <w:r w:rsidR="00322B2C" w:rsidRPr="00322B2C">
        <w:rPr>
          <w:rFonts w:ascii="Arial" w:hAnsi="Arial" w:cs="Arial"/>
          <w:color w:val="000000" w:themeColor="text1"/>
          <w:lang w:val="es-MX"/>
        </w:rPr>
        <w:t xml:space="preserve">No. 193 del 14 de julio de 2021 </w:t>
      </w:r>
      <w:r w:rsidRPr="002B47C2">
        <w:rPr>
          <w:rFonts w:ascii="Arial" w:hAnsi="Arial" w:cs="Arial"/>
          <w:color w:val="000000" w:themeColor="text1"/>
          <w:lang w:val="es-MX"/>
        </w:rPr>
        <w:t xml:space="preserve">y, por tanto, la regla general es que no pueden ser alterados, modificados o adicionados en su contenido. </w:t>
      </w:r>
    </w:p>
    <w:p w14:paraId="356892D3" w14:textId="47B610A4" w:rsidR="00B06FE8" w:rsidRPr="002B47C2" w:rsidRDefault="00B06FE8" w:rsidP="00A10C95">
      <w:pPr>
        <w:spacing w:before="120"/>
        <w:rPr>
          <w:rFonts w:ascii="Arial" w:hAnsi="Arial" w:cs="Arial"/>
          <w:color w:val="000000" w:themeColor="text1"/>
          <w:lang w:val="es-MX"/>
        </w:rPr>
      </w:pPr>
      <w:bookmarkStart w:id="6" w:name="_Hlk99112538"/>
      <w:r w:rsidRPr="002B47C2">
        <w:rPr>
          <w:rFonts w:ascii="Arial" w:hAnsi="Arial" w:cs="Arial"/>
          <w:color w:val="000000" w:themeColor="text1"/>
          <w:lang w:val="es-MX"/>
        </w:rPr>
        <w:t>Ahora bien, e</w:t>
      </w:r>
      <w:r w:rsidR="00033C62">
        <w:rPr>
          <w:rFonts w:ascii="Arial" w:hAnsi="Arial" w:cs="Arial"/>
          <w:color w:val="000000" w:themeColor="text1"/>
          <w:lang w:val="es-MX"/>
        </w:rPr>
        <w:t xml:space="preserve">n el numeral </w:t>
      </w:r>
      <w:r w:rsidR="00872FFF">
        <w:rPr>
          <w:rFonts w:ascii="Arial" w:hAnsi="Arial" w:cs="Arial"/>
          <w:color w:val="000000" w:themeColor="text1"/>
          <w:lang w:val="es-MX"/>
        </w:rPr>
        <w:t>«</w:t>
      </w:r>
      <w:r w:rsidR="00033C62">
        <w:rPr>
          <w:rFonts w:ascii="Arial" w:hAnsi="Arial" w:cs="Arial"/>
          <w:color w:val="000000" w:themeColor="text1"/>
          <w:lang w:val="es-MX"/>
        </w:rPr>
        <w:t>10.1</w:t>
      </w:r>
      <w:r w:rsidR="005A0BF4">
        <w:rPr>
          <w:rFonts w:ascii="Arial" w:hAnsi="Arial" w:cs="Arial"/>
          <w:color w:val="000000" w:themeColor="text1"/>
          <w:lang w:val="es-MX"/>
        </w:rPr>
        <w:t xml:space="preserve"> Acreditación de la experiencia del proponente» del </w:t>
      </w:r>
      <w:r w:rsidRPr="002B47C2">
        <w:rPr>
          <w:rFonts w:ascii="Arial" w:hAnsi="Arial" w:cs="Arial"/>
          <w:color w:val="000000" w:themeColor="text1"/>
          <w:lang w:val="es-MX"/>
        </w:rPr>
        <w:t>«documento base» o pliego tipo adoptado</w:t>
      </w:r>
      <w:r w:rsidR="005A0BF4">
        <w:rPr>
          <w:rFonts w:ascii="Arial" w:hAnsi="Arial" w:cs="Arial"/>
          <w:color w:val="000000" w:themeColor="text1"/>
          <w:lang w:val="es-MX"/>
        </w:rPr>
        <w:t xml:space="preserve">, se establece que </w:t>
      </w:r>
      <w:r w:rsidR="007F33F9">
        <w:rPr>
          <w:rFonts w:ascii="Arial" w:hAnsi="Arial" w:cs="Arial"/>
          <w:color w:val="000000" w:themeColor="text1"/>
          <w:lang w:val="es-MX"/>
        </w:rPr>
        <w:t xml:space="preserve">la entidad </w:t>
      </w:r>
      <w:r w:rsidR="00D62FE1">
        <w:rPr>
          <w:rFonts w:ascii="Arial" w:hAnsi="Arial" w:cs="Arial"/>
          <w:color w:val="000000" w:themeColor="text1"/>
          <w:lang w:val="es-MX"/>
        </w:rPr>
        <w:t>«</w:t>
      </w:r>
      <w:r w:rsidR="007F33F9">
        <w:rPr>
          <w:rFonts w:ascii="Arial" w:hAnsi="Arial" w:cs="Arial"/>
          <w:color w:val="000000" w:themeColor="text1"/>
          <w:lang w:val="es-MX"/>
        </w:rPr>
        <w:t xml:space="preserve">debe justificar </w:t>
      </w:r>
      <w:r w:rsidR="00AD09B2">
        <w:rPr>
          <w:rFonts w:ascii="Arial" w:hAnsi="Arial" w:cs="Arial"/>
          <w:color w:val="000000" w:themeColor="text1"/>
          <w:lang w:val="es-MX"/>
        </w:rPr>
        <w:t xml:space="preserve">expresa y suficientemente la </w:t>
      </w:r>
      <w:r w:rsidR="000D4040">
        <w:rPr>
          <w:rFonts w:ascii="Arial" w:hAnsi="Arial" w:cs="Arial"/>
          <w:color w:val="000000" w:themeColor="text1"/>
          <w:lang w:val="es-MX"/>
        </w:rPr>
        <w:t xml:space="preserve">implementación de las condiciones para un proyecto de consultoría de baja-media, o alta </w:t>
      </w:r>
      <w:r w:rsidR="00E127AB">
        <w:rPr>
          <w:rFonts w:ascii="Arial" w:hAnsi="Arial" w:cs="Arial"/>
          <w:color w:val="000000" w:themeColor="text1"/>
          <w:lang w:val="es-MX"/>
        </w:rPr>
        <w:t xml:space="preserve">complejidad técnica según la “Matriz </w:t>
      </w:r>
      <w:r w:rsidR="00D62FE1">
        <w:rPr>
          <w:rFonts w:ascii="Arial" w:hAnsi="Arial" w:cs="Arial"/>
          <w:color w:val="000000" w:themeColor="text1"/>
          <w:lang w:val="es-MX"/>
        </w:rPr>
        <w:t>1 – Experiencia”»</w:t>
      </w:r>
      <w:r w:rsidRPr="002B47C2">
        <w:rPr>
          <w:rFonts w:ascii="Arial" w:hAnsi="Arial" w:cs="Arial"/>
          <w:color w:val="000000" w:themeColor="text1"/>
          <w:lang w:val="es-MX"/>
        </w:rPr>
        <w:t xml:space="preserve">. En otras palabras, </w:t>
      </w:r>
      <w:r w:rsidR="00525BC3">
        <w:rPr>
          <w:rFonts w:ascii="Arial" w:hAnsi="Arial" w:cs="Arial"/>
          <w:color w:val="000000" w:themeColor="text1"/>
          <w:lang w:val="es-MX"/>
        </w:rPr>
        <w:t>en los documentos tipo de consu</w:t>
      </w:r>
      <w:r w:rsidR="00524660">
        <w:rPr>
          <w:rFonts w:ascii="Arial" w:hAnsi="Arial" w:cs="Arial"/>
          <w:color w:val="000000" w:themeColor="text1"/>
          <w:lang w:val="es-MX"/>
        </w:rPr>
        <w:t xml:space="preserve">ltoría de estudios de ingeniería de infraestructura de transporte, </w:t>
      </w:r>
      <w:r w:rsidRPr="002B47C2">
        <w:rPr>
          <w:rFonts w:ascii="Arial" w:hAnsi="Arial" w:cs="Arial"/>
          <w:color w:val="000000" w:themeColor="text1"/>
          <w:lang w:val="es-MX"/>
        </w:rPr>
        <w:t xml:space="preserve">se </w:t>
      </w:r>
      <w:r w:rsidR="00524660">
        <w:rPr>
          <w:rFonts w:ascii="Arial" w:hAnsi="Arial" w:cs="Arial"/>
          <w:color w:val="000000" w:themeColor="text1"/>
          <w:lang w:val="es-MX"/>
        </w:rPr>
        <w:t>contemplan</w:t>
      </w:r>
      <w:r w:rsidRPr="002B47C2">
        <w:rPr>
          <w:rFonts w:ascii="Arial" w:hAnsi="Arial" w:cs="Arial"/>
          <w:color w:val="000000" w:themeColor="text1"/>
          <w:lang w:val="es-MX"/>
        </w:rPr>
        <w:t xml:space="preserve"> dos matrices de experiencia: i) para proyectos de baja o media complejidad técnica y ii) para proyectos de alta complejidad técnica. En ese orden, la entidad deberá establecer si aplica la Matriz 1 de proyectos de complejidad media-baja o la de proyectos de complejidad alta, para luego subsumir el objeto contractual en alguno de los tipos de</w:t>
      </w:r>
      <w:r w:rsidR="009A13F2">
        <w:rPr>
          <w:rFonts w:ascii="Arial" w:hAnsi="Arial" w:cs="Arial"/>
          <w:color w:val="000000" w:themeColor="text1"/>
          <w:lang w:val="es-MX"/>
        </w:rPr>
        <w:t xml:space="preserve"> consultoría de</w:t>
      </w:r>
      <w:r w:rsidRPr="002B47C2">
        <w:rPr>
          <w:rFonts w:ascii="Arial" w:hAnsi="Arial" w:cs="Arial"/>
          <w:color w:val="000000" w:themeColor="text1"/>
          <w:lang w:val="es-MX"/>
        </w:rPr>
        <w:t xml:space="preserve"> obra y actividades incluidos en la matriz, estableciendo los requisitos de experiencia exigibles según la cantidad de SMMLV del presupuesto oficial del respectivo proceso de contratación. </w:t>
      </w:r>
    </w:p>
    <w:p w14:paraId="07D5662C" w14:textId="0A11B7A5"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 xml:space="preserve">De esta manera, la entidad estatal que adelanta un proceso de contratación </w:t>
      </w:r>
      <w:r w:rsidR="003D767A">
        <w:rPr>
          <w:rFonts w:ascii="Arial" w:hAnsi="Arial" w:cs="Arial"/>
          <w:color w:val="000000" w:themeColor="text1"/>
          <w:lang w:val="es-MX"/>
        </w:rPr>
        <w:t xml:space="preserve">de consultoría de estudios de ingeniería de </w:t>
      </w:r>
      <w:r w:rsidR="00D63C4B">
        <w:rPr>
          <w:rFonts w:ascii="Arial" w:hAnsi="Arial" w:cs="Arial"/>
          <w:color w:val="000000" w:themeColor="text1"/>
          <w:lang w:val="es-MX"/>
        </w:rPr>
        <w:t>transporte</w:t>
      </w:r>
      <w:r w:rsidRPr="002B47C2">
        <w:rPr>
          <w:rFonts w:ascii="Arial" w:hAnsi="Arial" w:cs="Arial"/>
          <w:color w:val="000000" w:themeColor="text1"/>
          <w:lang w:val="es-MX"/>
        </w:rPr>
        <w:t xml:space="preserve"> debe definir la experiencia exigible, teniendo en cuenta las condiciones fijadas en la Matriz 1, </w:t>
      </w:r>
      <w:bookmarkEnd w:id="6"/>
      <w:r w:rsidRPr="002B47C2">
        <w:rPr>
          <w:rFonts w:ascii="Arial" w:hAnsi="Arial" w:cs="Arial"/>
          <w:color w:val="000000" w:themeColor="text1"/>
          <w:lang w:val="es-MX"/>
        </w:rPr>
        <w:t>de acuerdo con los siguientes pasos:</w:t>
      </w:r>
    </w:p>
    <w:p w14:paraId="20BD5E55" w14:textId="77777777"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a) Establecer si se trata de un proyecto de complejidad baja-media o alta, y en función de ello establecer la Matriz 1 aplicable.</w:t>
      </w:r>
    </w:p>
    <w:p w14:paraId="1BD8AD23" w14:textId="06DDB8F5"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lastRenderedPageBreak/>
        <w:t xml:space="preserve"> b) Identificada la respectiva Matriz 1, la entidad deberá determinar el tipo</w:t>
      </w:r>
      <w:r w:rsidR="0028135D">
        <w:rPr>
          <w:rFonts w:ascii="Arial" w:hAnsi="Arial" w:cs="Arial"/>
          <w:color w:val="000000" w:themeColor="text1"/>
          <w:lang w:val="es-MX"/>
        </w:rPr>
        <w:t xml:space="preserve"> </w:t>
      </w:r>
      <w:r w:rsidRPr="002B47C2">
        <w:rPr>
          <w:rFonts w:ascii="Arial" w:hAnsi="Arial" w:cs="Arial"/>
          <w:color w:val="000000" w:themeColor="text1"/>
          <w:lang w:val="es-MX"/>
        </w:rPr>
        <w:t xml:space="preserve">de infraestructura sobre el cual recae </w:t>
      </w:r>
      <w:r w:rsidR="008F3926">
        <w:rPr>
          <w:rFonts w:ascii="Arial" w:hAnsi="Arial" w:cs="Arial"/>
          <w:color w:val="000000" w:themeColor="text1"/>
          <w:lang w:val="es-MX"/>
        </w:rPr>
        <w:t xml:space="preserve">la consultoría </w:t>
      </w:r>
      <w:r w:rsidRPr="002B47C2">
        <w:rPr>
          <w:rFonts w:ascii="Arial" w:hAnsi="Arial" w:cs="Arial"/>
          <w:color w:val="000000" w:themeColor="text1"/>
          <w:lang w:val="es-MX"/>
        </w:rPr>
        <w:t>a ejecutar. Al respecto, esta matriz contiene ocho (8) secciones que corresponden a los tipos de</w:t>
      </w:r>
      <w:r w:rsidR="008F3926">
        <w:rPr>
          <w:rFonts w:ascii="Arial" w:hAnsi="Arial" w:cs="Arial"/>
          <w:color w:val="000000" w:themeColor="text1"/>
          <w:lang w:val="es-MX"/>
        </w:rPr>
        <w:t xml:space="preserve"> consultoría de </w:t>
      </w:r>
      <w:r w:rsidRPr="002B47C2">
        <w:rPr>
          <w:rFonts w:ascii="Arial" w:hAnsi="Arial" w:cs="Arial"/>
          <w:color w:val="000000" w:themeColor="text1"/>
          <w:lang w:val="es-MX"/>
        </w:rPr>
        <w:t>infraestructura estandarizados.</w:t>
      </w:r>
    </w:p>
    <w:p w14:paraId="6276CB6A" w14:textId="3A8701D2"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c) Definido el tipo de</w:t>
      </w:r>
      <w:r w:rsidR="008F3926">
        <w:rPr>
          <w:rFonts w:ascii="Arial" w:hAnsi="Arial" w:cs="Arial"/>
          <w:color w:val="000000" w:themeColor="text1"/>
          <w:lang w:val="es-MX"/>
        </w:rPr>
        <w:t xml:space="preserve"> consultoría de</w:t>
      </w:r>
      <w:r w:rsidRPr="002B47C2">
        <w:rPr>
          <w:rFonts w:ascii="Arial" w:hAnsi="Arial" w:cs="Arial"/>
          <w:color w:val="000000" w:themeColor="text1"/>
          <w:lang w:val="es-MX"/>
        </w:rPr>
        <w:t xml:space="preserve"> infraestructura, identificar la </w:t>
      </w:r>
      <w:r w:rsidRPr="002B47C2">
        <w:rPr>
          <w:rFonts w:ascii="Arial" w:eastAsia="Calibri" w:hAnsi="Arial" w:cs="Arial"/>
          <w:color w:val="000000" w:themeColor="text1"/>
          <w:lang w:val="es-MX"/>
        </w:rPr>
        <w:t>«</w:t>
      </w:r>
      <w:r w:rsidRPr="002B47C2">
        <w:rPr>
          <w:rFonts w:ascii="Arial" w:hAnsi="Arial" w:cs="Arial"/>
          <w:color w:val="000000" w:themeColor="text1"/>
          <w:lang w:val="es-MX"/>
        </w:rPr>
        <w:t>ACTIVIDAD A CONTRATAR</w:t>
      </w:r>
      <w:r w:rsidRPr="002B47C2">
        <w:rPr>
          <w:rFonts w:ascii="Arial" w:eastAsia="Calibri" w:hAnsi="Arial" w:cs="Arial"/>
          <w:color w:val="000000" w:themeColor="text1"/>
          <w:lang w:val="es-MX"/>
        </w:rPr>
        <w:t>»</w:t>
      </w:r>
      <w:r w:rsidRPr="002B47C2">
        <w:rPr>
          <w:rFonts w:ascii="Arial" w:hAnsi="Arial" w:cs="Arial"/>
          <w:color w:val="000000" w:themeColor="text1"/>
          <w:lang w:val="es-MX"/>
        </w:rPr>
        <w:t xml:space="preserve"> acorde con la Matriz 1. </w:t>
      </w:r>
    </w:p>
    <w:p w14:paraId="02668817" w14:textId="77777777"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 xml:space="preserve">d) Luego, identificar el rango en el cual se encuentra el proceso de contratación de acuerdo con el presupuesto oficial. </w:t>
      </w:r>
    </w:p>
    <w:p w14:paraId="327F8105" w14:textId="77777777" w:rsidR="00B06FE8" w:rsidRPr="002B47C2" w:rsidRDefault="00B06FE8" w:rsidP="00B06FE8">
      <w:pPr>
        <w:spacing w:before="120"/>
        <w:rPr>
          <w:rFonts w:ascii="Arial" w:hAnsi="Arial" w:cs="Arial"/>
          <w:color w:val="000000" w:themeColor="text1"/>
          <w:lang w:val="es-MX"/>
        </w:rPr>
      </w:pPr>
      <w:r w:rsidRPr="002B47C2">
        <w:rPr>
          <w:rFonts w:ascii="Arial" w:hAnsi="Arial" w:cs="Arial"/>
          <w:color w:val="000000" w:themeColor="text1"/>
          <w:lang w:val="es-MX"/>
        </w:rPr>
        <w:t xml:space="preserve">e) Identificar la </w:t>
      </w:r>
      <w:r w:rsidRPr="002B47C2">
        <w:rPr>
          <w:rFonts w:ascii="Arial" w:eastAsia="Calibri" w:hAnsi="Arial" w:cs="Arial"/>
          <w:color w:val="000000" w:themeColor="text1"/>
          <w:lang w:val="es-MX"/>
        </w:rPr>
        <w:t>«</w:t>
      </w:r>
      <w:r w:rsidRPr="002B47C2">
        <w:rPr>
          <w:rFonts w:ascii="Arial" w:hAnsi="Arial" w:cs="Arial"/>
          <w:color w:val="000000" w:themeColor="text1"/>
          <w:lang w:val="es-MX"/>
        </w:rPr>
        <w:t>experiencia general</w:t>
      </w:r>
      <w:r w:rsidRPr="002B47C2">
        <w:rPr>
          <w:rFonts w:ascii="Arial" w:eastAsia="Calibri" w:hAnsi="Arial" w:cs="Arial"/>
          <w:color w:val="000000" w:themeColor="text1"/>
          <w:lang w:val="es-MX"/>
        </w:rPr>
        <w:t>»</w:t>
      </w:r>
      <w:r w:rsidRPr="002B47C2">
        <w:rPr>
          <w:rFonts w:ascii="Arial" w:hAnsi="Arial" w:cs="Arial"/>
          <w:color w:val="000000" w:themeColor="text1"/>
          <w:lang w:val="es-MX"/>
        </w:rPr>
        <w:t xml:space="preserve"> exigible acorde con la Matriz 1, teniendo en cuenta la actividad a contratar y el rango de la cuantía del Proceso de Contratación. </w:t>
      </w:r>
    </w:p>
    <w:p w14:paraId="60856C2B" w14:textId="12A8B333" w:rsidR="00B06FE8" w:rsidRPr="002B47C2" w:rsidRDefault="00B06FE8" w:rsidP="00B06FE8">
      <w:pPr>
        <w:rPr>
          <w:rFonts w:ascii="Arial" w:hAnsi="Arial" w:cs="Arial"/>
          <w:color w:val="000000" w:themeColor="text1"/>
          <w:lang w:val="es-MX"/>
        </w:rPr>
      </w:pPr>
      <w:r w:rsidRPr="002B47C2">
        <w:rPr>
          <w:rFonts w:ascii="Arial" w:hAnsi="Arial" w:cs="Arial"/>
          <w:color w:val="000000" w:themeColor="text1"/>
          <w:lang w:val="es-MX"/>
        </w:rPr>
        <w:t xml:space="preserve">f) Identificar la </w:t>
      </w:r>
      <w:r w:rsidRPr="002B47C2">
        <w:rPr>
          <w:rFonts w:ascii="Arial" w:eastAsia="Calibri" w:hAnsi="Arial" w:cs="Arial"/>
          <w:color w:val="000000" w:themeColor="text1"/>
          <w:lang w:val="es-MX"/>
        </w:rPr>
        <w:t>«</w:t>
      </w:r>
      <w:r w:rsidRPr="002B47C2">
        <w:rPr>
          <w:rFonts w:ascii="Arial" w:hAnsi="Arial" w:cs="Arial"/>
          <w:color w:val="000000" w:themeColor="text1"/>
          <w:lang w:val="es-MX"/>
        </w:rPr>
        <w:t>experiencia específica</w:t>
      </w:r>
      <w:r w:rsidRPr="002B47C2">
        <w:rPr>
          <w:rFonts w:ascii="Arial" w:eastAsia="Calibri" w:hAnsi="Arial" w:cs="Arial"/>
          <w:color w:val="000000" w:themeColor="text1"/>
          <w:lang w:val="es-MX"/>
        </w:rPr>
        <w:t>»</w:t>
      </w:r>
      <w:r w:rsidRPr="002B47C2">
        <w:rPr>
          <w:rFonts w:ascii="Arial" w:hAnsi="Arial" w:cs="Arial"/>
          <w:color w:val="000000" w:themeColor="text1"/>
          <w:lang w:val="es-MX"/>
        </w:rPr>
        <w:t xml:space="preserve"> exigible y el porcentaje de dimensionamiento que se puede solicitar acorde con la </w:t>
      </w:r>
      <w:r w:rsidR="00745999">
        <w:rPr>
          <w:rFonts w:ascii="Arial" w:hAnsi="Arial" w:cs="Arial"/>
          <w:color w:val="000000" w:themeColor="text1"/>
          <w:lang w:val="es-MX"/>
        </w:rPr>
        <w:t>magnitud requerida</w:t>
      </w:r>
      <w:r w:rsidRPr="002B47C2">
        <w:rPr>
          <w:rFonts w:ascii="Arial" w:hAnsi="Arial" w:cs="Arial"/>
          <w:color w:val="000000" w:themeColor="text1"/>
          <w:lang w:val="es-MX"/>
        </w:rPr>
        <w:t xml:space="preserve">, de acuerdo con la cuantía del proceso de contratación. Cuando en la </w:t>
      </w:r>
      <w:r w:rsidRPr="002B47C2">
        <w:rPr>
          <w:rFonts w:ascii="Arial" w:eastAsia="Calibri" w:hAnsi="Arial" w:cs="Arial"/>
          <w:color w:val="000000" w:themeColor="text1"/>
          <w:lang w:val="es-MX"/>
        </w:rPr>
        <w:t>«</w:t>
      </w:r>
      <w:r w:rsidRPr="002B47C2">
        <w:rPr>
          <w:rFonts w:ascii="Arial" w:hAnsi="Arial" w:cs="Arial"/>
          <w:color w:val="000000" w:themeColor="text1"/>
          <w:lang w:val="es-MX"/>
        </w:rPr>
        <w:t>experiencia específica</w:t>
      </w:r>
      <w:r w:rsidRPr="002B47C2">
        <w:rPr>
          <w:rFonts w:ascii="Arial" w:eastAsia="Calibri" w:hAnsi="Arial" w:cs="Arial"/>
          <w:color w:val="000000" w:themeColor="text1"/>
          <w:lang w:val="es-MX"/>
        </w:rPr>
        <w:t>»</w:t>
      </w:r>
      <w:r w:rsidRPr="002B47C2">
        <w:rPr>
          <w:rFonts w:ascii="Arial" w:hAnsi="Arial" w:cs="Arial"/>
          <w:color w:val="000000" w:themeColor="text1"/>
          <w:lang w:val="es-MX"/>
        </w:rPr>
        <w:t xml:space="preserve"> se indiquen las siglas </w:t>
      </w:r>
      <w:r w:rsidRPr="002B47C2">
        <w:rPr>
          <w:rFonts w:ascii="Arial" w:hAnsi="Arial" w:cs="Arial"/>
          <w:i/>
          <w:iCs/>
          <w:color w:val="000000" w:themeColor="text1"/>
          <w:lang w:val="es-MX"/>
        </w:rPr>
        <w:t>N.A,</w:t>
      </w:r>
      <w:r w:rsidRPr="002B47C2">
        <w:rPr>
          <w:rFonts w:ascii="Arial" w:hAnsi="Arial" w:cs="Arial"/>
          <w:color w:val="000000" w:themeColor="text1"/>
          <w:lang w:val="es-MX"/>
        </w:rPr>
        <w:t xml:space="preserve"> significa que la entidad estatal no puede exigir a los proponentes experiencia específica en los procesos de contratación. </w:t>
      </w:r>
    </w:p>
    <w:p w14:paraId="6B401D5E" w14:textId="5EA271C7" w:rsidR="00806646" w:rsidRPr="002B47C2" w:rsidRDefault="00B06FE8" w:rsidP="003D1091">
      <w:pPr>
        <w:rPr>
          <w:rFonts w:ascii="Arial" w:hAnsi="Arial" w:cs="Arial"/>
          <w:color w:val="000000" w:themeColor="text1"/>
          <w:lang w:val="es-MX"/>
        </w:rPr>
      </w:pPr>
      <w:r w:rsidRPr="002B47C2">
        <w:rPr>
          <w:rFonts w:ascii="Arial" w:hAnsi="Arial" w:cs="Arial"/>
          <w:color w:val="000000" w:themeColor="text1"/>
          <w:lang w:val="es-MX"/>
        </w:rPr>
        <w:t xml:space="preserve">g) Establecidos los requisitos de experiencia exigibles, la entidad deberá consignarlos en los apartados grises entre corchetes del literal A del numeral </w:t>
      </w:r>
      <w:r w:rsidR="009C73B4">
        <w:rPr>
          <w:rFonts w:ascii="Arial" w:hAnsi="Arial" w:cs="Arial"/>
          <w:color w:val="000000" w:themeColor="text1"/>
          <w:lang w:val="es-MX"/>
        </w:rPr>
        <w:t>10.1.1</w:t>
      </w:r>
      <w:r w:rsidRPr="002B47C2">
        <w:rPr>
          <w:rFonts w:ascii="Arial" w:hAnsi="Arial" w:cs="Arial"/>
          <w:color w:val="000000" w:themeColor="text1"/>
          <w:lang w:val="es-MX"/>
        </w:rPr>
        <w:t xml:space="preserve"> del documento base, para que los oferentes puedan conocer los requisitos de experiencia general y específica exigidos por la entidad.</w:t>
      </w:r>
    </w:p>
    <w:p w14:paraId="3F43F6D6" w14:textId="3674E679" w:rsidR="00B06FE8" w:rsidRPr="002B47C2" w:rsidRDefault="00B06FE8" w:rsidP="004B03A3">
      <w:pPr>
        <w:rPr>
          <w:rFonts w:ascii="Arial" w:eastAsia="Calibri" w:hAnsi="Arial" w:cs="Arial"/>
          <w:color w:val="000000" w:themeColor="text1"/>
        </w:rPr>
      </w:pPr>
      <w:r w:rsidRPr="002B47C2">
        <w:rPr>
          <w:rFonts w:ascii="Arial" w:eastAsia="Calibri" w:hAnsi="Arial" w:cs="Arial"/>
          <w:color w:val="000000" w:themeColor="text1"/>
        </w:rPr>
        <w:t xml:space="preserve">Es importante advertir que los </w:t>
      </w:r>
      <w:r w:rsidRPr="002B47C2">
        <w:rPr>
          <w:rFonts w:ascii="Arial" w:hAnsi="Arial" w:cs="Arial"/>
          <w:color w:val="000000" w:themeColor="text1"/>
          <w:lang w:val="es-MX"/>
        </w:rPr>
        <w:t xml:space="preserve">aspectos entre corchetes </w:t>
      </w:r>
      <w:r w:rsidRPr="002B47C2">
        <w:rPr>
          <w:rFonts w:ascii="Arial" w:eastAsia="Calibri" w:hAnsi="Arial" w:cs="Arial"/>
          <w:color w:val="000000" w:themeColor="text1"/>
        </w:rPr>
        <w:t>«[ ]» pueden modificarse  por la entidad contratante, según los lineamientos establecidos para tal fin por los documentos tipo.</w:t>
      </w:r>
      <w:r w:rsidR="004B03A3">
        <w:rPr>
          <w:rFonts w:ascii="Arial" w:hAnsi="Arial" w:cs="Arial"/>
          <w:color w:val="000000" w:themeColor="text1"/>
          <w:lang w:val="es-MX"/>
        </w:rPr>
        <w:t xml:space="preserve"> </w:t>
      </w:r>
      <w:r w:rsidRPr="002B47C2">
        <w:rPr>
          <w:rFonts w:ascii="Arial" w:eastAsia="Calibri" w:hAnsi="Arial" w:cs="Arial"/>
          <w:color w:val="000000" w:themeColor="text1"/>
        </w:rPr>
        <w:t xml:space="preserve">En </w:t>
      </w:r>
      <w:r w:rsidR="00C07A77">
        <w:rPr>
          <w:rFonts w:ascii="Arial" w:eastAsia="Calibri" w:hAnsi="Arial" w:cs="Arial"/>
          <w:color w:val="000000" w:themeColor="text1"/>
        </w:rPr>
        <w:t>todo caso</w:t>
      </w:r>
      <w:r w:rsidRPr="002B47C2">
        <w:rPr>
          <w:rFonts w:ascii="Arial" w:eastAsia="Calibri" w:hAnsi="Arial" w:cs="Arial"/>
          <w:color w:val="000000" w:themeColor="text1"/>
        </w:rPr>
        <w:t>, la «experiencia general» y la «experiencia específica» requerida es el resultado de aplicar los parámetros obligatorios fijados en los documentos tipo, de acuerdo con el tipo de</w:t>
      </w:r>
      <w:r w:rsidR="004B03A3">
        <w:rPr>
          <w:rFonts w:ascii="Arial" w:eastAsia="Calibri" w:hAnsi="Arial" w:cs="Arial"/>
          <w:color w:val="000000" w:themeColor="text1"/>
        </w:rPr>
        <w:t xml:space="preserve"> consultoría de</w:t>
      </w:r>
      <w:r w:rsidRPr="002B47C2">
        <w:rPr>
          <w:rFonts w:ascii="Arial" w:eastAsia="Calibri" w:hAnsi="Arial" w:cs="Arial"/>
          <w:color w:val="000000" w:themeColor="text1"/>
        </w:rPr>
        <w:t xml:space="preserve"> infraestructura</w:t>
      </w:r>
      <w:r w:rsidR="00D70C51">
        <w:rPr>
          <w:rFonts w:ascii="Arial" w:eastAsia="Calibri" w:hAnsi="Arial" w:cs="Arial"/>
          <w:color w:val="000000" w:themeColor="text1"/>
        </w:rPr>
        <w:t xml:space="preserve"> de transporte</w:t>
      </w:r>
      <w:r w:rsidRPr="002B47C2">
        <w:rPr>
          <w:rFonts w:ascii="Arial" w:eastAsia="Calibri" w:hAnsi="Arial" w:cs="Arial"/>
          <w:color w:val="000000" w:themeColor="text1"/>
        </w:rPr>
        <w:t xml:space="preserve">, la actividad a contratar y la cuantía del proceso de contratación. Por lo tanto, no se podrán exigir actividades o cantidades distintas a las previstas en la «Matriz 1 – Experiencia» o restringir a una actividad específica cuando dicho formato determine que la experiencia puede acreditarse mediante una de varias actividades. </w:t>
      </w:r>
    </w:p>
    <w:p w14:paraId="2D61361A" w14:textId="1308E0BD" w:rsidR="00B06FE8" w:rsidRPr="002B47C2" w:rsidRDefault="00B06FE8" w:rsidP="00B06FE8">
      <w:pPr>
        <w:ind w:firstLine="708"/>
        <w:rPr>
          <w:rFonts w:ascii="Arial" w:eastAsia="Calibri" w:hAnsi="Arial" w:cs="Arial"/>
          <w:color w:val="000000" w:themeColor="text1"/>
          <w:lang w:val="es-ES"/>
        </w:rPr>
      </w:pPr>
      <w:r w:rsidRPr="002B47C2">
        <w:rPr>
          <w:rFonts w:ascii="Arial" w:eastAsia="Calibri" w:hAnsi="Arial" w:cs="Arial"/>
          <w:color w:val="000000" w:themeColor="text1"/>
        </w:rPr>
        <w:t>De esta forma</w:t>
      </w:r>
      <w:r w:rsidRPr="002B47C2">
        <w:rPr>
          <w:rFonts w:ascii="Arial" w:eastAsia="Calibri" w:hAnsi="Arial" w:cs="Arial"/>
          <w:color w:val="000000" w:themeColor="text1"/>
          <w:lang w:val="es-ES"/>
        </w:rPr>
        <w:t>, cuando la entidad estatal –de acuerdo con el alcance del objeto contractual– identifique el tipo</w:t>
      </w:r>
      <w:r w:rsidR="007A424D">
        <w:rPr>
          <w:rFonts w:ascii="Arial" w:eastAsia="Calibri" w:hAnsi="Arial" w:cs="Arial"/>
          <w:color w:val="000000" w:themeColor="text1"/>
          <w:lang w:val="es-ES"/>
        </w:rPr>
        <w:t xml:space="preserve"> de consultoría</w:t>
      </w:r>
      <w:r w:rsidRPr="002B47C2">
        <w:rPr>
          <w:rFonts w:ascii="Arial" w:eastAsia="Calibri" w:hAnsi="Arial" w:cs="Arial"/>
          <w:color w:val="000000" w:themeColor="text1"/>
          <w:lang w:val="es-ES"/>
        </w:rPr>
        <w:t xml:space="preserve">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14:paraId="2BA326FF" w14:textId="77777777" w:rsidR="00BA52AC" w:rsidRDefault="002E6ACA" w:rsidP="00BA52AC">
      <w:pPr>
        <w:rPr>
          <w:rFonts w:ascii="Arial" w:eastAsia="Calibri" w:hAnsi="Arial" w:cs="Arial"/>
          <w:color w:val="000000" w:themeColor="text1"/>
          <w:lang w:val="es-MX"/>
        </w:rPr>
      </w:pPr>
      <w:r>
        <w:rPr>
          <w:rFonts w:ascii="Arial" w:eastAsia="Calibri" w:hAnsi="Arial" w:cs="Arial"/>
          <w:color w:val="000000" w:themeColor="text1"/>
          <w:lang w:val="es-MX"/>
        </w:rPr>
        <w:lastRenderedPageBreak/>
        <w:t>En todo caso</w:t>
      </w:r>
      <w:r w:rsidR="00B06FE8" w:rsidRPr="002B47C2">
        <w:rPr>
          <w:rFonts w:ascii="Arial" w:eastAsia="Calibri" w:hAnsi="Arial" w:cs="Arial"/>
          <w:color w:val="000000" w:themeColor="text1"/>
          <w:lang w:val="es-MX"/>
        </w:rPr>
        <w:t xml:space="preserve">, se reitera que, para el procedimiento </w:t>
      </w:r>
      <w:r w:rsidR="00895066">
        <w:rPr>
          <w:rFonts w:ascii="Arial" w:eastAsia="Calibri" w:hAnsi="Arial" w:cs="Arial"/>
          <w:color w:val="000000" w:themeColor="text1"/>
          <w:lang w:val="es-MX"/>
        </w:rPr>
        <w:t>de concurso de méritos</w:t>
      </w:r>
      <w:r w:rsidR="00B06FE8" w:rsidRPr="002B47C2">
        <w:rPr>
          <w:rFonts w:ascii="Arial" w:eastAsia="Calibri" w:hAnsi="Arial" w:cs="Arial"/>
          <w:color w:val="000000" w:themeColor="text1"/>
          <w:lang w:val="es-MX"/>
        </w:rPr>
        <w:t xml:space="preserve">, el artículo 3 de la Resolución No. </w:t>
      </w:r>
      <w:r w:rsidR="00986382">
        <w:rPr>
          <w:rFonts w:ascii="Arial" w:eastAsia="Calibri" w:hAnsi="Arial" w:cs="Arial"/>
          <w:color w:val="000000" w:themeColor="text1"/>
          <w:lang w:val="es-MX"/>
        </w:rPr>
        <w:t>193</w:t>
      </w:r>
      <w:r w:rsidR="00B06FE8" w:rsidRPr="002B47C2">
        <w:rPr>
          <w:rFonts w:ascii="Arial" w:eastAsia="Calibri" w:hAnsi="Arial" w:cs="Arial"/>
          <w:color w:val="000000" w:themeColor="text1"/>
          <w:lang w:val="es-MX"/>
        </w:rPr>
        <w:t xml:space="preserve"> del </w:t>
      </w:r>
      <w:r w:rsidR="00FA381A">
        <w:rPr>
          <w:rFonts w:ascii="Arial" w:eastAsia="Calibri" w:hAnsi="Arial" w:cs="Arial"/>
          <w:color w:val="000000" w:themeColor="text1"/>
          <w:lang w:val="es-MX"/>
        </w:rPr>
        <w:t>14</w:t>
      </w:r>
      <w:r w:rsidR="00B06FE8" w:rsidRPr="002B47C2">
        <w:rPr>
          <w:rFonts w:ascii="Arial" w:eastAsia="Calibri" w:hAnsi="Arial" w:cs="Arial"/>
          <w:color w:val="000000" w:themeColor="text1"/>
          <w:lang w:val="es-MX"/>
        </w:rPr>
        <w:t xml:space="preserve"> de </w:t>
      </w:r>
      <w:r w:rsidR="00FA381A">
        <w:rPr>
          <w:rFonts w:ascii="Arial" w:eastAsia="Calibri" w:hAnsi="Arial" w:cs="Arial"/>
          <w:color w:val="000000" w:themeColor="text1"/>
          <w:lang w:val="es-MX"/>
        </w:rPr>
        <w:t>julio</w:t>
      </w:r>
      <w:r w:rsidR="00B06FE8" w:rsidRPr="002B47C2">
        <w:rPr>
          <w:rFonts w:ascii="Arial" w:eastAsia="Calibri" w:hAnsi="Arial" w:cs="Arial"/>
          <w:color w:val="000000" w:themeColor="text1"/>
          <w:lang w:val="es-MX"/>
        </w:rPr>
        <w:t xml:space="preserve"> de 202</w:t>
      </w:r>
      <w:r w:rsidR="00FA381A">
        <w:rPr>
          <w:rFonts w:ascii="Arial" w:eastAsia="Calibri" w:hAnsi="Arial" w:cs="Arial"/>
          <w:color w:val="000000" w:themeColor="text1"/>
          <w:lang w:val="es-MX"/>
        </w:rPr>
        <w:t>1</w:t>
      </w:r>
      <w:r w:rsidR="00B06FE8" w:rsidRPr="002B47C2">
        <w:rPr>
          <w:rFonts w:ascii="Arial" w:eastAsia="Calibri" w:hAnsi="Arial" w:cs="Arial"/>
          <w:color w:val="000000" w:themeColor="text1"/>
          <w:lang w:val="es-MX"/>
        </w:rPr>
        <w:t xml:space="preserve"> dispone la inalterabilidad de los documentos tipo, la cual consiste en que las entidades estatales no pueden incluir o modificar en los </w:t>
      </w:r>
      <w:r w:rsidR="00B06FE8" w:rsidRPr="002B47C2">
        <w:rPr>
          <w:rFonts w:ascii="Arial" w:eastAsia="Calibri" w:hAnsi="Arial" w:cs="Arial"/>
          <w:i/>
          <w:iCs/>
          <w:color w:val="000000" w:themeColor="text1"/>
          <w:lang w:val="es-MX"/>
        </w:rPr>
        <w:t>Documentos del Proceso</w:t>
      </w:r>
      <w:r w:rsidR="00B06FE8" w:rsidRPr="002B47C2">
        <w:rPr>
          <w:rFonts w:ascii="Arial" w:eastAsia="Calibri" w:hAnsi="Arial" w:cs="Arial"/>
          <w:color w:val="000000" w:themeColor="text1"/>
          <w:lang w:val="es-MX"/>
        </w:rPr>
        <w:t xml:space="preserve"> las condiciones habilitantes, los factores técnicos y económicos de escogencia y los sistemas de ponderación distintos a los señalados en los documentos tipo. En consecuencia, las condiciones establecidas en los documentos 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elaborar sus pliegos de condiciones, deben transcribir completamente la experiencia tal como se solicita en la Matriz 1, sin perjuicio de que haya unos aspectos que se encuentran en corchetes, los cuales sí se permiten modificar.</w:t>
      </w:r>
      <w:bookmarkStart w:id="7" w:name="_Hlk96331557"/>
    </w:p>
    <w:bookmarkEnd w:id="7"/>
    <w:p w14:paraId="4147FB55" w14:textId="32A4D0C4" w:rsidR="00D100F9" w:rsidRPr="00456CF5" w:rsidRDefault="00D100F9" w:rsidP="00456CF5">
      <w:pPr>
        <w:shd w:val="clear" w:color="auto" w:fill="FFFFFF"/>
        <w:spacing w:before="120" w:after="0"/>
        <w:rPr>
          <w:rFonts w:ascii="Arial" w:hAnsi="Arial" w:cs="Arial"/>
          <w:color w:val="0D0D0D"/>
          <w:bdr w:val="none" w:sz="0" w:space="0" w:color="auto" w:frame="1"/>
          <w:lang w:eastAsia="es-CO"/>
        </w:rPr>
      </w:pPr>
      <w:r>
        <w:rPr>
          <w:rFonts w:ascii="Arial" w:eastAsia="Calibri" w:hAnsi="Arial" w:cs="Arial"/>
          <w:color w:val="000000" w:themeColor="text1"/>
        </w:rPr>
        <w:t>Sin perjuicio de las aclaraciones anteriores</w:t>
      </w:r>
      <w:r w:rsidRPr="005C4DDA">
        <w:rPr>
          <w:rFonts w:ascii="Arial" w:hAnsi="Arial" w:cs="Arial"/>
        </w:rPr>
        <w:t xml:space="preserve">, debe advertirse que es la entidad contratante, al momento de </w:t>
      </w:r>
      <w:r>
        <w:rPr>
          <w:rFonts w:ascii="Arial" w:hAnsi="Arial" w:cs="Arial"/>
        </w:rPr>
        <w:t xml:space="preserve">adelantar sus actividades </w:t>
      </w:r>
      <w:r w:rsidR="009C19A7">
        <w:rPr>
          <w:rFonts w:ascii="Arial" w:hAnsi="Arial" w:cs="Arial"/>
        </w:rPr>
        <w:t xml:space="preserve">previas </w:t>
      </w:r>
      <w:r>
        <w:rPr>
          <w:rFonts w:ascii="Arial" w:hAnsi="Arial" w:cs="Arial"/>
        </w:rPr>
        <w:t>de planeación de cada proceso contractual</w:t>
      </w:r>
      <w:r w:rsidRPr="005C4DDA">
        <w:rPr>
          <w:rFonts w:ascii="Arial" w:hAnsi="Arial" w:cs="Arial"/>
        </w:rPr>
        <w:t xml:space="preserve">, quien debe determinar si de acuerdo con las particularidades del </w:t>
      </w:r>
      <w:r>
        <w:rPr>
          <w:rFonts w:ascii="Arial" w:hAnsi="Arial" w:cs="Arial"/>
        </w:rPr>
        <w:t>contrato a ejecutar</w:t>
      </w:r>
      <w:r w:rsidRPr="005C4DDA">
        <w:rPr>
          <w:rFonts w:ascii="Arial" w:hAnsi="Arial" w:cs="Arial"/>
        </w:rPr>
        <w:t xml:space="preserve">, este encaja o no dentro de alguna de las actividades de la Matriz </w:t>
      </w:r>
      <w:r w:rsidR="00270881">
        <w:rPr>
          <w:rFonts w:ascii="Arial" w:hAnsi="Arial" w:cs="Arial"/>
        </w:rPr>
        <w:t>de Experiencia</w:t>
      </w:r>
      <w:r w:rsidRPr="005C4DDA">
        <w:rPr>
          <w:rFonts w:ascii="Arial" w:hAnsi="Arial" w:cs="Arial"/>
        </w:rPr>
        <w:t>, y si en consecuencia deben aplicarse o no</w:t>
      </w:r>
      <w:r w:rsidR="00E92A1F">
        <w:rPr>
          <w:rFonts w:ascii="Arial" w:hAnsi="Arial" w:cs="Arial"/>
        </w:rPr>
        <w:t xml:space="preserve"> los documentos tipo de consultoría de estudios de infraestructura de transporte</w:t>
      </w:r>
      <w:r w:rsidR="00340941">
        <w:rPr>
          <w:rFonts w:ascii="Arial" w:hAnsi="Arial" w:cs="Arial"/>
        </w:rPr>
        <w:t>, identificando el tipo de infraestructura que se pretende realizar la consultoría</w:t>
      </w:r>
      <w:r w:rsidR="00E92A1F">
        <w:rPr>
          <w:rFonts w:ascii="Arial" w:hAnsi="Arial" w:cs="Arial"/>
        </w:rPr>
        <w:t xml:space="preserve">. Esto, </w:t>
      </w:r>
      <w:r w:rsidRPr="005C4DDA">
        <w:rPr>
          <w:rFonts w:ascii="Arial" w:hAnsi="Arial" w:cs="Arial"/>
        </w:rPr>
        <w:t xml:space="preserve">sin que pueda </w:t>
      </w:r>
      <w:r w:rsidRPr="00584F4E">
        <w:rPr>
          <w:rFonts w:ascii="Arial" w:hAnsi="Arial" w:cs="Arial"/>
        </w:rPr>
        <w:t>apartarse de</w:t>
      </w:r>
      <w:r w:rsidRPr="005C4DDA">
        <w:rPr>
          <w:rFonts w:ascii="Arial" w:hAnsi="Arial" w:cs="Arial"/>
        </w:rPr>
        <w:t xml:space="preserve"> su aplicación cuando materialmente el objeto a contratar corresponde con alguna actividad contemplada en dicha matriz</w:t>
      </w:r>
      <w:r w:rsidR="00456CF5">
        <w:rPr>
          <w:rFonts w:ascii="Arial" w:hAnsi="Arial" w:cs="Arial"/>
        </w:rPr>
        <w:t>.</w:t>
      </w:r>
      <w:r w:rsidR="00F43B53">
        <w:rPr>
          <w:rFonts w:ascii="Arial" w:hAnsi="Arial" w:cs="Arial"/>
        </w:rPr>
        <w:t xml:space="preserve"> </w:t>
      </w:r>
      <w:r w:rsidR="000345FC">
        <w:rPr>
          <w:rFonts w:ascii="Arial" w:hAnsi="Arial" w:cs="Arial"/>
        </w:rPr>
        <w:t>En aquellos eventos en que el contrato a ejecutar no se enmarque en algunas de las actividades contempladas en la matriz de experiencia, no procederá la aplicación obligatoria de los documentos tipo, pues, como se expresó</w:t>
      </w:r>
      <w:r w:rsidR="004461D3">
        <w:rPr>
          <w:rFonts w:ascii="Arial" w:hAnsi="Arial" w:cs="Arial"/>
        </w:rPr>
        <w:t>,</w:t>
      </w:r>
      <w:r w:rsidR="000345FC">
        <w:rPr>
          <w:rFonts w:ascii="Arial" w:hAnsi="Arial" w:cs="Arial"/>
        </w:rPr>
        <w:t xml:space="preserve"> dicha matriz delimita el ámbito de aplicación de </w:t>
      </w:r>
      <w:r w:rsidR="004461D3">
        <w:rPr>
          <w:rFonts w:ascii="Arial" w:hAnsi="Arial" w:cs="Arial"/>
        </w:rPr>
        <w:t>dichos documentos</w:t>
      </w:r>
      <w:r w:rsidR="00FA3D26">
        <w:rPr>
          <w:rFonts w:ascii="Arial" w:hAnsi="Arial" w:cs="Arial"/>
        </w:rPr>
        <w:t xml:space="preserve">; sin perjuicio de que </w:t>
      </w:r>
      <w:r w:rsidR="004461D3">
        <w:rPr>
          <w:rFonts w:ascii="Arial" w:hAnsi="Arial" w:cs="Arial"/>
        </w:rPr>
        <w:t>en estos últimos eventos se decida facultativamente aplicar los documentos tipo</w:t>
      </w:r>
      <w:r w:rsidR="00E05C0B">
        <w:rPr>
          <w:rFonts w:ascii="Arial" w:hAnsi="Arial" w:cs="Arial"/>
        </w:rPr>
        <w:t xml:space="preserve"> como una </w:t>
      </w:r>
      <w:r w:rsidR="004461D3">
        <w:rPr>
          <w:rFonts w:ascii="Arial" w:hAnsi="Arial" w:cs="Arial"/>
        </w:rPr>
        <w:t>buena práctica contractual</w:t>
      </w:r>
      <w:r w:rsidR="00377152">
        <w:rPr>
          <w:rFonts w:ascii="Arial" w:hAnsi="Arial" w:cs="Arial"/>
        </w:rPr>
        <w:t>.</w:t>
      </w:r>
    </w:p>
    <w:bookmarkEnd w:id="3"/>
    <w:p w14:paraId="1A31C84B" w14:textId="77777777" w:rsidR="00B06FE8" w:rsidRPr="002B47C2" w:rsidRDefault="00B06FE8" w:rsidP="00B06FE8">
      <w:pPr>
        <w:spacing w:after="0"/>
        <w:ind w:firstLine="0"/>
        <w:rPr>
          <w:rFonts w:ascii="Arial" w:eastAsia="Calibri" w:hAnsi="Arial" w:cs="Arial"/>
          <w:color w:val="000000" w:themeColor="text1"/>
          <w:lang w:val="es-MX"/>
        </w:rPr>
      </w:pPr>
    </w:p>
    <w:p w14:paraId="02DD9ECC" w14:textId="77777777" w:rsidR="00B06FE8" w:rsidRPr="002B47C2" w:rsidRDefault="00B06FE8" w:rsidP="00B06FE8">
      <w:pPr>
        <w:pStyle w:val="Prrafodelista"/>
        <w:numPr>
          <w:ilvl w:val="0"/>
          <w:numId w:val="1"/>
        </w:numPr>
        <w:tabs>
          <w:tab w:val="left" w:pos="284"/>
        </w:tabs>
        <w:spacing w:line="276" w:lineRule="auto"/>
        <w:ind w:left="0" w:firstLine="0"/>
        <w:jc w:val="both"/>
        <w:rPr>
          <w:rFonts w:ascii="Arial" w:eastAsia="Calibri" w:hAnsi="Arial" w:cs="Arial"/>
          <w:color w:val="000000" w:themeColor="text1"/>
          <w:sz w:val="22"/>
          <w:lang w:val="es-CO"/>
        </w:rPr>
      </w:pPr>
      <w:r w:rsidRPr="002B47C2">
        <w:rPr>
          <w:rFonts w:ascii="Arial" w:eastAsia="Calibri" w:hAnsi="Arial" w:cs="Arial"/>
          <w:b/>
          <w:color w:val="000000" w:themeColor="text1"/>
          <w:sz w:val="22"/>
          <w:lang w:val="es-CO"/>
        </w:rPr>
        <w:t>Respuesta</w:t>
      </w:r>
    </w:p>
    <w:p w14:paraId="0B219868" w14:textId="77777777" w:rsidR="00B06FE8" w:rsidRPr="002B47C2" w:rsidRDefault="00B06FE8" w:rsidP="00B06FE8">
      <w:pPr>
        <w:tabs>
          <w:tab w:val="left" w:pos="1306"/>
        </w:tabs>
        <w:spacing w:after="0"/>
        <w:ind w:right="758" w:firstLine="0"/>
        <w:rPr>
          <w:rFonts w:ascii="Arial" w:eastAsia="Calibri" w:hAnsi="Arial" w:cs="Arial"/>
          <w:iCs/>
          <w:color w:val="000000" w:themeColor="text1"/>
        </w:rPr>
      </w:pPr>
      <w:r w:rsidRPr="002B47C2">
        <w:rPr>
          <w:rFonts w:ascii="Arial" w:eastAsia="Calibri" w:hAnsi="Arial" w:cs="Arial"/>
          <w:iCs/>
          <w:color w:val="000000" w:themeColor="text1"/>
        </w:rPr>
        <w:tab/>
      </w:r>
    </w:p>
    <w:p w14:paraId="22E08C47" w14:textId="59EFF5F7" w:rsidR="00B06FE8" w:rsidRPr="00F23176" w:rsidRDefault="005A6184" w:rsidP="00B06FE8">
      <w:pPr>
        <w:tabs>
          <w:tab w:val="left" w:pos="426"/>
        </w:tabs>
        <w:spacing w:after="0" w:line="240" w:lineRule="auto"/>
        <w:ind w:left="652" w:right="709" w:firstLine="0"/>
        <w:rPr>
          <w:rFonts w:ascii="Arial" w:eastAsia="Calibri" w:hAnsi="Arial" w:cs="Arial"/>
          <w:color w:val="000000" w:themeColor="text1"/>
          <w:sz w:val="21"/>
          <w:szCs w:val="21"/>
        </w:rPr>
      </w:pPr>
      <w:r w:rsidRPr="00F23176">
        <w:rPr>
          <w:rFonts w:ascii="Arial" w:eastAsia="Calibri" w:hAnsi="Arial" w:cs="Arial"/>
          <w:color w:val="000000" w:themeColor="text1"/>
          <w:sz w:val="21"/>
          <w:szCs w:val="21"/>
          <w:lang w:eastAsia="es-ES_tradnl"/>
        </w:rPr>
        <w:t>«</w:t>
      </w:r>
      <w:r w:rsidR="00DB5D0B" w:rsidRPr="00F23176">
        <w:rPr>
          <w:rFonts w:ascii="Arial" w:eastAsia="Calibri" w:hAnsi="Arial" w:cs="Arial"/>
          <w:color w:val="000000" w:themeColor="text1"/>
          <w:sz w:val="21"/>
          <w:szCs w:val="21"/>
          <w:lang w:eastAsia="es-ES_tradnl"/>
        </w:rPr>
        <w:t>¿Deben las entidades estatales utilizar los Documentos tipo de consultoría de estudios de ingeniería de infraestructura de Transporte, para la contratación de estudios y diseños de obras de mitigación de riesgo (Levantamiento topográfico y batimétrico, Estudios Geológicos, Geomorfológicos, Estudio geotécnico, Estudios hidrológicos e hidráulicos, Diseño estructural, Gestión predial y servidumbres, Estudio ambiental) toda vez que estos no se realizan para garantizar la navegabilidad, sino para la prevención de inundaciones por desbordamiento de ríos?»</w:t>
      </w:r>
    </w:p>
    <w:p w14:paraId="1B7236A2" w14:textId="77777777" w:rsidR="00B06FE8" w:rsidRPr="00F23176" w:rsidRDefault="00B06FE8" w:rsidP="00B06FE8">
      <w:pPr>
        <w:tabs>
          <w:tab w:val="left" w:pos="426"/>
        </w:tabs>
        <w:spacing w:after="0"/>
        <w:ind w:right="-93"/>
        <w:rPr>
          <w:rFonts w:ascii="Arial" w:eastAsia="Calibri" w:hAnsi="Arial" w:cs="Arial"/>
          <w:color w:val="000000" w:themeColor="text1"/>
          <w:sz w:val="21"/>
          <w:szCs w:val="21"/>
        </w:rPr>
      </w:pPr>
    </w:p>
    <w:p w14:paraId="3EB63678" w14:textId="5E1C7317" w:rsidR="006E3403" w:rsidRPr="00F23176" w:rsidRDefault="00310FA5" w:rsidP="00AC0A10">
      <w:pPr>
        <w:ind w:firstLine="0"/>
        <w:rPr>
          <w:rFonts w:ascii="Arial" w:hAnsi="Arial" w:cs="Arial"/>
          <w:color w:val="000000" w:themeColor="text1"/>
          <w:lang w:val="es-MX"/>
        </w:rPr>
      </w:pPr>
      <w:bookmarkStart w:id="8" w:name="_Hlk91506550"/>
      <w:r w:rsidRPr="00F23176">
        <w:rPr>
          <w:rFonts w:ascii="Arial" w:hAnsi="Arial" w:cs="Arial"/>
          <w:color w:val="000000" w:themeColor="text1"/>
          <w:lang w:val="es-MX"/>
        </w:rPr>
        <w:t xml:space="preserve">La </w:t>
      </w:r>
      <w:r w:rsidR="0024161D" w:rsidRPr="00F23176">
        <w:rPr>
          <w:rFonts w:ascii="Arial" w:hAnsi="Arial" w:cs="Arial"/>
          <w:color w:val="000000" w:themeColor="text1"/>
          <w:lang w:val="es-MX"/>
        </w:rPr>
        <w:t>«</w:t>
      </w:r>
      <w:r w:rsidRPr="00F23176">
        <w:rPr>
          <w:rFonts w:ascii="Arial" w:hAnsi="Arial" w:cs="Arial"/>
          <w:color w:val="000000" w:themeColor="text1"/>
          <w:lang w:val="es-MX"/>
        </w:rPr>
        <w:t>Matriz 1 – Experiencia</w:t>
      </w:r>
      <w:r w:rsidR="0024161D" w:rsidRPr="00F23176">
        <w:rPr>
          <w:rFonts w:ascii="Arial" w:hAnsi="Arial" w:cs="Arial"/>
          <w:color w:val="000000" w:themeColor="text1"/>
          <w:lang w:val="es-MX"/>
        </w:rPr>
        <w:t>»</w:t>
      </w:r>
      <w:r w:rsidRPr="00F23176">
        <w:rPr>
          <w:rFonts w:ascii="Arial" w:hAnsi="Arial" w:cs="Arial"/>
          <w:color w:val="000000" w:themeColor="text1"/>
          <w:lang w:val="es-MX"/>
        </w:rPr>
        <w:t xml:space="preserve"> </w:t>
      </w:r>
      <w:r w:rsidR="002733E2" w:rsidRPr="00F23176">
        <w:rPr>
          <w:rFonts w:ascii="Arial" w:hAnsi="Arial" w:cs="Arial"/>
          <w:color w:val="000000" w:themeColor="text1"/>
          <w:lang w:val="es-MX"/>
        </w:rPr>
        <w:t xml:space="preserve">de los documentos tipo de consultoría de estudios de ingeniería de transporte, </w:t>
      </w:r>
      <w:r w:rsidRPr="00F23176">
        <w:rPr>
          <w:rFonts w:ascii="Arial" w:hAnsi="Arial" w:cs="Arial"/>
          <w:color w:val="000000" w:themeColor="text1"/>
          <w:lang w:val="es-MX"/>
        </w:rPr>
        <w:t xml:space="preserve">está constituida por ocho (8) tipos de consultoría a obras de infraestructura </w:t>
      </w:r>
      <w:r w:rsidRPr="00F23176">
        <w:rPr>
          <w:rFonts w:ascii="Arial" w:hAnsi="Arial" w:cs="Arial"/>
          <w:color w:val="000000" w:themeColor="text1"/>
          <w:lang w:val="es-MX"/>
        </w:rPr>
        <w:lastRenderedPageBreak/>
        <w:t xml:space="preserve">de transporte, identificadas con un número y su descripción, los cuales son: 1) consultoría a obras en vías primarias o secundarias, 2) consultoría a obras en vías terciarias, 3) consultoría a obras marítimas y fluviales, 4) consultoría a obras en vías primarias o secundarias o terciarias para atención, prevención o mitigación de emergencias diferentes a contratación directa, 5) consultoría a obras férreas, 6) consultoría a obras de infraestructura vial urbana, 7) consultoría a obras en puentes y 8) consultoría a obras aeroportuarias. </w:t>
      </w:r>
      <w:r w:rsidR="00A33C2E" w:rsidRPr="00F23176">
        <w:rPr>
          <w:rFonts w:ascii="Arial" w:hAnsi="Arial" w:cs="Arial"/>
          <w:color w:val="000000" w:themeColor="text1"/>
          <w:lang w:val="es-MX"/>
        </w:rPr>
        <w:t>A su vez, cada uno de los tipos de consultorías detalla las actividades</w:t>
      </w:r>
      <w:r w:rsidR="00FA3D26" w:rsidRPr="00F23176">
        <w:rPr>
          <w:rFonts w:ascii="Arial" w:hAnsi="Arial" w:cs="Arial"/>
          <w:color w:val="000000" w:themeColor="text1"/>
          <w:lang w:val="es-MX"/>
        </w:rPr>
        <w:t xml:space="preserve"> o proyectos</w:t>
      </w:r>
      <w:r w:rsidR="00A33C2E" w:rsidRPr="00F23176">
        <w:rPr>
          <w:rFonts w:ascii="Arial" w:hAnsi="Arial" w:cs="Arial"/>
          <w:color w:val="000000" w:themeColor="text1"/>
          <w:lang w:val="es-MX"/>
        </w:rPr>
        <w:t xml:space="preserve"> concret</w:t>
      </w:r>
      <w:r w:rsidR="00FA3D26" w:rsidRPr="00F23176">
        <w:rPr>
          <w:rFonts w:ascii="Arial" w:hAnsi="Arial" w:cs="Arial"/>
          <w:color w:val="000000" w:themeColor="text1"/>
          <w:lang w:val="es-MX"/>
        </w:rPr>
        <w:t>o</w:t>
      </w:r>
      <w:r w:rsidR="00A33C2E" w:rsidRPr="00F23176">
        <w:rPr>
          <w:rFonts w:ascii="Arial" w:hAnsi="Arial" w:cs="Arial"/>
          <w:color w:val="000000" w:themeColor="text1"/>
          <w:lang w:val="es-MX"/>
        </w:rPr>
        <w:t xml:space="preserve">s a las cuales resultan aplicables los documentos tipo, además de establecer los requisitos de experiencia </w:t>
      </w:r>
      <w:r w:rsidR="00FA3D26" w:rsidRPr="00F23176">
        <w:rPr>
          <w:rFonts w:ascii="Arial" w:hAnsi="Arial" w:cs="Arial"/>
          <w:color w:val="000000" w:themeColor="text1"/>
          <w:lang w:val="es-MX"/>
        </w:rPr>
        <w:t>exigibles</w:t>
      </w:r>
      <w:r w:rsidR="00A33C2E" w:rsidRPr="00F23176">
        <w:rPr>
          <w:rFonts w:ascii="Arial" w:hAnsi="Arial" w:cs="Arial"/>
          <w:color w:val="000000" w:themeColor="text1"/>
          <w:lang w:val="es-MX"/>
        </w:rPr>
        <w:t xml:space="preserve">. En este sentido, las actividades señaladas en dicha matriz </w:t>
      </w:r>
      <w:r w:rsidRPr="00F23176">
        <w:rPr>
          <w:rFonts w:ascii="Arial" w:hAnsi="Arial" w:cs="Arial"/>
          <w:color w:val="000000" w:themeColor="text1"/>
          <w:lang w:val="es-MX"/>
        </w:rPr>
        <w:t xml:space="preserve">determinan el </w:t>
      </w:r>
      <w:r w:rsidR="00FA3D26" w:rsidRPr="00F23176">
        <w:rPr>
          <w:rFonts w:ascii="Arial" w:hAnsi="Arial" w:cs="Arial"/>
          <w:color w:val="000000" w:themeColor="text1"/>
          <w:lang w:val="es-MX"/>
        </w:rPr>
        <w:t>ámbito de</w:t>
      </w:r>
      <w:r w:rsidRPr="00F23176">
        <w:rPr>
          <w:rFonts w:ascii="Arial" w:hAnsi="Arial" w:cs="Arial"/>
          <w:color w:val="000000" w:themeColor="text1"/>
          <w:lang w:val="es-MX"/>
        </w:rPr>
        <w:t xml:space="preserve"> la aplicación de los documentos tipo, dado que comprenden todas aquellas actividades que constituyen consultoría de estudios de ingeniería de infraestructura de transporte y que han sido objeto de estandarización mediante la Resolución No. 193 del 14 de julio de 2021 para los procesos de concurso de méritos.</w:t>
      </w:r>
      <w:r w:rsidR="002A6D69" w:rsidRPr="00F23176">
        <w:rPr>
          <w:rFonts w:ascii="Arial" w:hAnsi="Arial" w:cs="Arial"/>
          <w:color w:val="000000" w:themeColor="text1"/>
          <w:lang w:val="es-MX"/>
        </w:rPr>
        <w:t xml:space="preserve"> </w:t>
      </w:r>
    </w:p>
    <w:p w14:paraId="62BB3711" w14:textId="0E5CCD24" w:rsidR="00E4382D" w:rsidRPr="00F23176" w:rsidRDefault="00E4382D" w:rsidP="00E4382D">
      <w:pPr>
        <w:rPr>
          <w:rFonts w:ascii="Arial" w:hAnsi="Arial" w:cs="Arial"/>
        </w:rPr>
      </w:pPr>
      <w:r w:rsidRPr="00F23176">
        <w:rPr>
          <w:rFonts w:ascii="Arial" w:hAnsi="Arial" w:cs="Arial"/>
        </w:rPr>
        <w:t xml:space="preserve">En ese sentido, de acuerdo con el «Documento Base», estos documentos tipo aplican a los procesos de consultoría de estudios de ingeniería de infraestructura de transporte celebrados en la modalidad de concurso de méritos, que correspondan con las actividades definidas en la </w:t>
      </w:r>
      <w:r w:rsidR="00FA3D26" w:rsidRPr="00F23176">
        <w:rPr>
          <w:rFonts w:ascii="Arial" w:hAnsi="Arial" w:cs="Arial"/>
        </w:rPr>
        <w:t>«Matriz 1 – Experiencia»</w:t>
      </w:r>
      <w:r w:rsidRPr="00F23176">
        <w:rPr>
          <w:rFonts w:ascii="Arial" w:hAnsi="Arial" w:cs="Arial"/>
        </w:rPr>
        <w:t>. En los términos del numeral 10.1.1, literal B, también aplica a los componentes de consultorías integrales (predial, ambiental, social y seguridad y salud en el trabajo) que tengan otros componentes aparte del técnico descrito en la mencionada Matriz. Por tanto, no son aplicables en las actividades de consultoría de estudios de ingeniería de infraestructura de transporte no contempladas en la «Matriz 1 – Experiencia», sin perjuicio de lo previsto en el artículo 4</w:t>
      </w:r>
      <w:r w:rsidR="00203019" w:rsidRPr="00F23176">
        <w:rPr>
          <w:rFonts w:ascii="Arial" w:hAnsi="Arial" w:cs="Arial"/>
        </w:rPr>
        <w:t xml:space="preserve"> </w:t>
      </w:r>
      <w:r w:rsidRPr="00F23176">
        <w:rPr>
          <w:rFonts w:ascii="Arial" w:hAnsi="Arial" w:cs="Arial"/>
        </w:rPr>
        <w:t xml:space="preserve">de la Resolución que adopta estos Documentos Tipo. </w:t>
      </w:r>
    </w:p>
    <w:p w14:paraId="26106A3E" w14:textId="0B33D3B7" w:rsidR="004461D3" w:rsidRPr="00456CF5" w:rsidRDefault="00B11CA3" w:rsidP="004461D3">
      <w:pPr>
        <w:shd w:val="clear" w:color="auto" w:fill="FFFFFF"/>
        <w:spacing w:before="120" w:after="0"/>
        <w:rPr>
          <w:rFonts w:ascii="Arial" w:hAnsi="Arial" w:cs="Arial"/>
          <w:color w:val="0D0D0D"/>
          <w:bdr w:val="none" w:sz="0" w:space="0" w:color="auto" w:frame="1"/>
          <w:lang w:eastAsia="es-CO"/>
        </w:rPr>
      </w:pPr>
      <w:r w:rsidRPr="00F23176">
        <w:rPr>
          <w:rFonts w:ascii="Arial" w:hAnsi="Arial" w:cs="Arial"/>
          <w:color w:val="0D0D0D" w:themeColor="text1" w:themeTint="F2"/>
          <w:lang w:val="es-MX"/>
        </w:rPr>
        <w:t>De esta manera, u</w:t>
      </w:r>
      <w:r w:rsidR="002A6D69" w:rsidRPr="00F23176">
        <w:rPr>
          <w:rFonts w:ascii="Arial" w:hAnsi="Arial" w:cs="Arial"/>
          <w:color w:val="0D0D0D" w:themeColor="text1" w:themeTint="F2"/>
          <w:lang w:val="es-MX"/>
        </w:rPr>
        <w:t>tilizando est</w:t>
      </w:r>
      <w:r w:rsidRPr="00F23176">
        <w:rPr>
          <w:rFonts w:ascii="Arial" w:hAnsi="Arial" w:cs="Arial"/>
          <w:color w:val="0D0D0D" w:themeColor="text1" w:themeTint="F2"/>
          <w:lang w:val="es-MX"/>
        </w:rPr>
        <w:t>a Matriz</w:t>
      </w:r>
      <w:r w:rsidR="002A6D69" w:rsidRPr="00F23176">
        <w:rPr>
          <w:rFonts w:ascii="Arial" w:hAnsi="Arial" w:cs="Arial"/>
          <w:color w:val="0D0D0D" w:themeColor="text1" w:themeTint="F2"/>
          <w:lang w:val="es-MX"/>
        </w:rPr>
        <w:t>, la entidad estatal puede definir si el objeto a contratarse</w:t>
      </w:r>
      <w:r w:rsidR="004C5BC9" w:rsidRPr="00F23176">
        <w:rPr>
          <w:rFonts w:ascii="Arial" w:hAnsi="Arial" w:cs="Arial"/>
          <w:color w:val="0D0D0D" w:themeColor="text1" w:themeTint="F2"/>
          <w:lang w:val="es-MX"/>
        </w:rPr>
        <w:t xml:space="preserve"> </w:t>
      </w:r>
      <w:r w:rsidR="002A6D69" w:rsidRPr="00F23176">
        <w:rPr>
          <w:rFonts w:ascii="Arial" w:hAnsi="Arial" w:cs="Arial"/>
          <w:color w:val="0D0D0D" w:themeColor="text1" w:themeTint="F2"/>
          <w:lang w:val="es-MX"/>
        </w:rPr>
        <w:t>debe emplear los documentos tipo.</w:t>
      </w:r>
      <w:r w:rsidR="00980536" w:rsidRPr="00F23176">
        <w:rPr>
          <w:rFonts w:ascii="Arial" w:hAnsi="Arial" w:cs="Arial"/>
          <w:color w:val="0D0D0D" w:themeColor="text1" w:themeTint="F2"/>
          <w:lang w:val="es-MX"/>
        </w:rPr>
        <w:t xml:space="preserve"> En todo caso,</w:t>
      </w:r>
      <w:r w:rsidR="002A6D69" w:rsidRPr="00F23176">
        <w:rPr>
          <w:rFonts w:ascii="Arial" w:hAnsi="Arial" w:cs="Arial"/>
          <w:color w:val="0D0D0D" w:themeColor="text1" w:themeTint="F2"/>
          <w:lang w:val="es-MX"/>
        </w:rPr>
        <w:t xml:space="preserve"> </w:t>
      </w:r>
      <w:r w:rsidR="00980536" w:rsidRPr="00F23176">
        <w:rPr>
          <w:rFonts w:ascii="Arial" w:hAnsi="Arial" w:cs="Arial"/>
        </w:rPr>
        <w:t xml:space="preserve">es la entidad contratante, al momento de adelantar sus actividades de planeación de cada proceso contractual, quien debe determinar si de acuerdo con las particularidades del contrato a ejecutar, este encaja o no dentro de alguna de las actividades de la Matriz </w:t>
      </w:r>
      <w:r w:rsidR="00FA3D26" w:rsidRPr="00F23176">
        <w:rPr>
          <w:rFonts w:ascii="Arial" w:hAnsi="Arial" w:cs="Arial"/>
        </w:rPr>
        <w:t>de Experiencia</w:t>
      </w:r>
      <w:r w:rsidR="00980536" w:rsidRPr="00F23176">
        <w:rPr>
          <w:rFonts w:ascii="Arial" w:hAnsi="Arial" w:cs="Arial"/>
        </w:rPr>
        <w:t xml:space="preserve">, y si en consecuencia deben aplicarse o no los documentos tipo de consultoría de estudios de </w:t>
      </w:r>
      <w:r w:rsidR="00003A47" w:rsidRPr="00F23176">
        <w:rPr>
          <w:rFonts w:ascii="Arial" w:hAnsi="Arial" w:cs="Arial"/>
        </w:rPr>
        <w:t xml:space="preserve">ingeniería de </w:t>
      </w:r>
      <w:r w:rsidR="00980536" w:rsidRPr="00F23176">
        <w:rPr>
          <w:rFonts w:ascii="Arial" w:hAnsi="Arial" w:cs="Arial"/>
        </w:rPr>
        <w:t>infraestructura de transporte. Esto, sin que pueda apartarse de su aplicación cuando materialmente el objeto a contratar corresponde con alguna actividad de contemplada en dicha matriz.</w:t>
      </w:r>
      <w:r w:rsidR="004461D3" w:rsidRPr="00F23176">
        <w:rPr>
          <w:rFonts w:ascii="Arial" w:hAnsi="Arial" w:cs="Arial"/>
        </w:rPr>
        <w:t xml:space="preserve"> En aquellos eventos en que el contrato a ejecutar no se enmarque en algunas de las actividades contempladas en la matriz de experiencia, no procederá la aplicación obligatoria de los documentos tipo, pues, como se expresó, dicha matriz delimita el ámbito de aplicación de dichos documentos; </w:t>
      </w:r>
      <w:r w:rsidR="003B5DD3" w:rsidRPr="00F23176">
        <w:rPr>
          <w:rFonts w:ascii="Arial" w:hAnsi="Arial" w:cs="Arial"/>
        </w:rPr>
        <w:t>sin perjuicio de que en estos últimos eventos se decida facultativamente aplicar los documentos tipo como una buena práctica contractual</w:t>
      </w:r>
      <w:r w:rsidR="004461D3" w:rsidRPr="00F23176">
        <w:rPr>
          <w:rFonts w:ascii="Arial" w:hAnsi="Arial" w:cs="Arial"/>
        </w:rPr>
        <w:t>.</w:t>
      </w:r>
    </w:p>
    <w:bookmarkEnd w:id="8"/>
    <w:p w14:paraId="59EE00A8" w14:textId="77777777" w:rsidR="00FF38B8" w:rsidRDefault="00FF38B8" w:rsidP="00B06FE8">
      <w:pPr>
        <w:ind w:firstLine="0"/>
        <w:rPr>
          <w:rFonts w:ascii="Arial" w:eastAsia="Calibri" w:hAnsi="Arial" w:cs="Arial"/>
          <w:color w:val="000000" w:themeColor="text1"/>
          <w:lang w:val="es-MX"/>
        </w:rPr>
      </w:pPr>
    </w:p>
    <w:p w14:paraId="3ECC8137" w14:textId="3F4BCC6B" w:rsidR="00B06FE8" w:rsidRDefault="00B06FE8" w:rsidP="00FF38B8">
      <w:pPr>
        <w:spacing w:after="0"/>
        <w:ind w:firstLine="0"/>
        <w:rPr>
          <w:rFonts w:ascii="Arial" w:eastAsia="Calibri" w:hAnsi="Arial" w:cs="Arial"/>
          <w:color w:val="000000" w:themeColor="text1"/>
        </w:rPr>
      </w:pPr>
      <w:r w:rsidRPr="002B47C2">
        <w:rPr>
          <w:rFonts w:ascii="Arial" w:eastAsia="Calibri" w:hAnsi="Arial" w:cs="Arial"/>
          <w:color w:val="000000" w:themeColor="text1"/>
        </w:rPr>
        <w:lastRenderedPageBreak/>
        <w:t>Este concepto tiene el alcance previsto en el artículo 28 del Código de Procedimiento Administrativo y de lo Contencioso Administrativo.</w:t>
      </w:r>
    </w:p>
    <w:p w14:paraId="3554D158" w14:textId="427AB8C4" w:rsidR="00203019" w:rsidRDefault="00203019" w:rsidP="00B06FE8">
      <w:pPr>
        <w:ind w:firstLine="0"/>
        <w:rPr>
          <w:rFonts w:ascii="Arial" w:eastAsia="Calibri" w:hAnsi="Arial" w:cs="Arial"/>
          <w:color w:val="000000" w:themeColor="text1"/>
        </w:rPr>
      </w:pPr>
    </w:p>
    <w:p w14:paraId="790F099F" w14:textId="0F41A668" w:rsidR="00203019" w:rsidRPr="002B47C2" w:rsidRDefault="00203019" w:rsidP="00B06FE8">
      <w:pPr>
        <w:ind w:firstLine="0"/>
        <w:rPr>
          <w:rFonts w:ascii="Arial" w:eastAsia="Calibri" w:hAnsi="Arial" w:cs="Arial"/>
          <w:color w:val="000000" w:themeColor="text1"/>
        </w:rPr>
      </w:pPr>
      <w:r>
        <w:rPr>
          <w:rFonts w:ascii="Arial" w:eastAsia="Calibri" w:hAnsi="Arial" w:cs="Arial"/>
          <w:color w:val="000000" w:themeColor="text1"/>
        </w:rPr>
        <w:t>Atentamente,</w:t>
      </w:r>
    </w:p>
    <w:p w14:paraId="4685EA08" w14:textId="02AC3FA6" w:rsidR="00B06FE8" w:rsidRPr="002B47C2" w:rsidRDefault="001A63B9" w:rsidP="00B06FE8">
      <w:pPr>
        <w:spacing w:after="0" w:line="240" w:lineRule="auto"/>
        <w:ind w:firstLine="0"/>
        <w:jc w:val="center"/>
        <w:rPr>
          <w:rFonts w:ascii="Arial" w:hAnsi="Arial" w:cs="Arial"/>
          <w:color w:val="000000" w:themeColor="text1"/>
          <w:sz w:val="18"/>
          <w:szCs w:val="20"/>
          <w:lang w:val="es-ES_tradnl" w:eastAsia="es-CO"/>
        </w:rPr>
      </w:pPr>
      <w:r>
        <w:rPr>
          <w:rFonts w:ascii="Arial" w:hAnsi="Arial" w:cs="Arial"/>
          <w:noProof/>
          <w:lang w:eastAsia="es-CO"/>
        </w:rPr>
        <w:drawing>
          <wp:inline distT="0" distB="0" distL="0" distR="0" wp14:anchorId="251278E1" wp14:editId="3FE52BE1">
            <wp:extent cx="2573655" cy="1079855"/>
            <wp:effectExtent l="0" t="0" r="0" b="635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82316" cy="1083489"/>
                    </a:xfrm>
                    <a:prstGeom prst="rect">
                      <a:avLst/>
                    </a:prstGeom>
                  </pic:spPr>
                </pic:pic>
              </a:graphicData>
            </a:graphic>
          </wp:inline>
        </w:drawing>
      </w:r>
    </w:p>
    <w:p w14:paraId="1A700096" w14:textId="77777777" w:rsidR="00B06FE8" w:rsidRPr="002B47C2" w:rsidRDefault="00B06FE8" w:rsidP="00B06FE8">
      <w:pPr>
        <w:spacing w:after="0" w:line="240" w:lineRule="auto"/>
        <w:ind w:firstLine="0"/>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B06FE8" w:rsidRPr="002B47C2" w14:paraId="066030E5" w14:textId="77777777" w:rsidTr="002E370F">
        <w:trPr>
          <w:trHeight w:val="315"/>
        </w:trPr>
        <w:tc>
          <w:tcPr>
            <w:tcW w:w="1044" w:type="dxa"/>
            <w:vAlign w:val="center"/>
          </w:tcPr>
          <w:p w14:paraId="55D33F80"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tcPr>
          <w:p w14:paraId="2437F681"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Kevin Arlid Herrera Santa</w:t>
            </w:r>
          </w:p>
          <w:p w14:paraId="11F88703"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Analista T2–04 de la Subdirección de Gestión Contractual</w:t>
            </w:r>
          </w:p>
        </w:tc>
      </w:tr>
      <w:tr w:rsidR="00B06FE8" w:rsidRPr="002B47C2" w14:paraId="6C17EE03" w14:textId="77777777" w:rsidTr="002E370F">
        <w:trPr>
          <w:trHeight w:val="411"/>
        </w:trPr>
        <w:tc>
          <w:tcPr>
            <w:tcW w:w="1044" w:type="dxa"/>
            <w:vAlign w:val="center"/>
          </w:tcPr>
          <w:p w14:paraId="33407A83"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right w:val="nil"/>
            </w:tcBorders>
            <w:vAlign w:val="center"/>
          </w:tcPr>
          <w:p w14:paraId="4BA8CBB5" w14:textId="5E4DD7BD" w:rsidR="00B06FE8" w:rsidRPr="002B47C2" w:rsidRDefault="00F13EB4" w:rsidP="002E370F">
            <w:pPr>
              <w:spacing w:after="0" w:line="240" w:lineRule="auto"/>
              <w:ind w:firstLine="0"/>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36583697" w14:textId="6B5A59B4" w:rsidR="00B06FE8" w:rsidRDefault="00F13EB4" w:rsidP="002E370F">
            <w:pPr>
              <w:spacing w:after="0" w:line="240" w:lineRule="auto"/>
              <w:ind w:firstLine="0"/>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Contratista</w:t>
            </w:r>
            <w:r w:rsidR="00B06FE8" w:rsidRPr="002B47C2">
              <w:rPr>
                <w:rFonts w:ascii="Arial" w:hAnsi="Arial" w:cs="Arial"/>
                <w:color w:val="000000" w:themeColor="text1"/>
                <w:sz w:val="16"/>
                <w:szCs w:val="16"/>
                <w:lang w:val="es-ES_tradnl" w:eastAsia="es-ES"/>
              </w:rPr>
              <w:t xml:space="preserve"> de la Subdirección de Gestión Contractual</w:t>
            </w:r>
          </w:p>
          <w:p w14:paraId="65D14DEF" w14:textId="77777777" w:rsidR="003B5DD3" w:rsidRDefault="003B5DD3" w:rsidP="002E370F">
            <w:pPr>
              <w:spacing w:after="0" w:line="240" w:lineRule="auto"/>
              <w:ind w:firstLine="0"/>
              <w:rPr>
                <w:rFonts w:ascii="Arial" w:hAnsi="Arial" w:cs="Arial"/>
                <w:color w:val="000000" w:themeColor="text1"/>
                <w:sz w:val="16"/>
                <w:szCs w:val="16"/>
                <w:lang w:val="es-ES_tradnl" w:eastAsia="es-ES"/>
              </w:rPr>
            </w:pPr>
            <w:proofErr w:type="spellStart"/>
            <w:r>
              <w:rPr>
                <w:rFonts w:ascii="Arial" w:hAnsi="Arial" w:cs="Arial"/>
                <w:color w:val="000000" w:themeColor="text1"/>
                <w:sz w:val="16"/>
                <w:szCs w:val="16"/>
                <w:lang w:val="es-ES_tradnl" w:eastAsia="es-ES"/>
              </w:rPr>
              <w:t>Karlo</w:t>
            </w:r>
            <w:proofErr w:type="spellEnd"/>
            <w:r>
              <w:rPr>
                <w:rFonts w:ascii="Arial" w:hAnsi="Arial" w:cs="Arial"/>
                <w:color w:val="000000" w:themeColor="text1"/>
                <w:sz w:val="16"/>
                <w:szCs w:val="16"/>
                <w:lang w:val="es-ES_tradnl" w:eastAsia="es-ES"/>
              </w:rPr>
              <w:t xml:space="preserve"> Fernández Cala</w:t>
            </w:r>
          </w:p>
          <w:p w14:paraId="5EC5FA15" w14:textId="5BC75A3F" w:rsidR="003B5DD3" w:rsidRPr="002B47C2" w:rsidRDefault="003B5DD3" w:rsidP="002E370F">
            <w:pPr>
              <w:spacing w:after="0" w:line="240" w:lineRule="auto"/>
              <w:ind w:firstLine="0"/>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Gestor T1-15 de la Dirección General</w:t>
            </w:r>
          </w:p>
        </w:tc>
      </w:tr>
      <w:tr w:rsidR="00B06FE8" w:rsidRPr="002B47C2" w14:paraId="6BB76B03" w14:textId="77777777" w:rsidTr="002E370F">
        <w:trPr>
          <w:trHeight w:val="300"/>
        </w:trPr>
        <w:tc>
          <w:tcPr>
            <w:tcW w:w="1044" w:type="dxa"/>
            <w:vAlign w:val="center"/>
            <w:hideMark/>
          </w:tcPr>
          <w:p w14:paraId="6D12E8FD"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813484"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Jorge Augusto Tirado Navarro</w:t>
            </w:r>
          </w:p>
          <w:p w14:paraId="3CC85025"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Subdirector de Gestión Contractual ANCP - CCE</w:t>
            </w:r>
          </w:p>
        </w:tc>
      </w:tr>
      <w:bookmarkEnd w:id="0"/>
    </w:tbl>
    <w:p w14:paraId="76914E8B" w14:textId="77777777" w:rsidR="00B06FE8" w:rsidRPr="002B47C2" w:rsidRDefault="00B06FE8" w:rsidP="00B06FE8">
      <w:pPr>
        <w:ind w:firstLine="0"/>
        <w:rPr>
          <w:color w:val="000000" w:themeColor="text1"/>
        </w:rPr>
      </w:pPr>
    </w:p>
    <w:p w14:paraId="56A31A0B" w14:textId="77777777" w:rsidR="00B06FE8" w:rsidRDefault="00B06FE8"/>
    <w:sectPr w:rsidR="00B06FE8" w:rsidSect="004557F0">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1F773" w14:textId="77777777" w:rsidR="00957B4B" w:rsidRDefault="00957B4B" w:rsidP="00B06FE8">
      <w:pPr>
        <w:spacing w:after="0" w:line="240" w:lineRule="auto"/>
      </w:pPr>
      <w:r>
        <w:separator/>
      </w:r>
    </w:p>
  </w:endnote>
  <w:endnote w:type="continuationSeparator" w:id="0">
    <w:p w14:paraId="752F4604" w14:textId="77777777" w:rsidR="00957B4B" w:rsidRDefault="00957B4B" w:rsidP="00B06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3B3E2" w14:textId="77777777" w:rsidR="007B15C3" w:rsidRDefault="00645C01" w:rsidP="007B15C3">
    <w:pPr>
      <w:pStyle w:val="Sinespaciado"/>
      <w:jc w:val="right"/>
      <w:rPr>
        <w:rFonts w:ascii="Arial" w:hAnsi="Arial" w:cs="Arial"/>
        <w:sz w:val="18"/>
        <w:szCs w:val="18"/>
      </w:rPr>
    </w:pPr>
  </w:p>
  <w:p w14:paraId="7178BB0B" w14:textId="77777777" w:rsidR="007B15C3" w:rsidRPr="008217B7" w:rsidRDefault="00B06FE8" w:rsidP="007B15C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3FAC7BF3" w14:textId="77777777" w:rsidR="007B15C3" w:rsidRDefault="00B06FE8" w:rsidP="007B15C3">
    <w:pPr>
      <w:pStyle w:val="Piedepgina"/>
      <w:jc w:val="center"/>
      <w:rPr>
        <w:lang w:val="es-ES"/>
      </w:rPr>
    </w:pPr>
    <w:r>
      <w:rPr>
        <w:noProof/>
      </w:rPr>
      <w:drawing>
        <wp:inline distT="0" distB="0" distL="0" distR="0" wp14:anchorId="2801247D" wp14:editId="4EE19BFC">
          <wp:extent cx="3700130" cy="519139"/>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71BE2EE" w14:textId="77777777" w:rsidR="007B15C3" w:rsidRDefault="00645C01" w:rsidP="007B15C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333B0" w14:textId="77777777" w:rsidR="00957B4B" w:rsidRDefault="00957B4B" w:rsidP="00B06FE8">
      <w:pPr>
        <w:spacing w:after="0" w:line="240" w:lineRule="auto"/>
      </w:pPr>
      <w:r>
        <w:separator/>
      </w:r>
    </w:p>
  </w:footnote>
  <w:footnote w:type="continuationSeparator" w:id="0">
    <w:p w14:paraId="5E743866" w14:textId="77777777" w:rsidR="00957B4B" w:rsidRDefault="00957B4B" w:rsidP="00B06FE8">
      <w:pPr>
        <w:spacing w:after="0" w:line="240" w:lineRule="auto"/>
      </w:pPr>
      <w:r>
        <w:continuationSeparator/>
      </w:r>
    </w:p>
  </w:footnote>
  <w:footnote w:id="1">
    <w:p w14:paraId="32F84D8C" w14:textId="77777777" w:rsidR="0017286C" w:rsidRPr="000549D1" w:rsidRDefault="0017286C" w:rsidP="0017286C">
      <w:pPr>
        <w:pStyle w:val="Textonotapie"/>
        <w:ind w:firstLine="709"/>
        <w:jc w:val="both"/>
        <w:rPr>
          <w:rFonts w:ascii="Arial" w:hAnsi="Arial" w:cs="Arial"/>
          <w:color w:val="000000"/>
          <w:sz w:val="19"/>
          <w:szCs w:val="19"/>
        </w:rPr>
      </w:pPr>
      <w:r w:rsidRPr="000549D1">
        <w:rPr>
          <w:rStyle w:val="Refdenotaalpie"/>
          <w:rFonts w:ascii="Arial" w:hAnsi="Arial" w:cs="Arial"/>
          <w:color w:val="000000"/>
          <w:sz w:val="19"/>
          <w:szCs w:val="19"/>
        </w:rPr>
        <w:footnoteRef/>
      </w:r>
      <w:r w:rsidRPr="000549D1">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7AC3B6B1" w14:textId="77777777" w:rsidR="0017286C" w:rsidRPr="000549D1" w:rsidRDefault="0017286C" w:rsidP="0017286C">
      <w:pPr>
        <w:pStyle w:val="Textonotapie"/>
        <w:ind w:firstLine="709"/>
        <w:jc w:val="both"/>
        <w:rPr>
          <w:rFonts w:ascii="Arial" w:hAnsi="Arial" w:cs="Arial"/>
          <w:color w:val="000000"/>
          <w:sz w:val="19"/>
          <w:szCs w:val="19"/>
          <w:lang w:val="es-CO"/>
        </w:rPr>
      </w:pPr>
    </w:p>
  </w:footnote>
  <w:footnote w:id="2">
    <w:p w14:paraId="4144A567" w14:textId="77777777" w:rsidR="0017286C" w:rsidRPr="000549D1" w:rsidRDefault="0017286C" w:rsidP="0017286C">
      <w:pPr>
        <w:pStyle w:val="Textonotapie"/>
        <w:ind w:firstLine="708"/>
        <w:jc w:val="both"/>
        <w:rPr>
          <w:rFonts w:ascii="Arial" w:hAnsi="Arial" w:cs="Arial"/>
          <w:color w:val="000000"/>
          <w:sz w:val="19"/>
          <w:szCs w:val="19"/>
        </w:rPr>
      </w:pPr>
      <w:r w:rsidRPr="000549D1">
        <w:rPr>
          <w:rStyle w:val="Refdenotaalpie"/>
          <w:rFonts w:ascii="Arial" w:hAnsi="Arial" w:cs="Arial"/>
          <w:color w:val="000000"/>
          <w:sz w:val="19"/>
          <w:szCs w:val="19"/>
        </w:rPr>
        <w:footnoteRef/>
      </w:r>
      <w:r w:rsidRPr="000549D1">
        <w:rPr>
          <w:rFonts w:ascii="Arial" w:hAnsi="Arial" w:cs="Arial"/>
          <w:color w:val="000000"/>
          <w:sz w:val="19"/>
          <w:szCs w:val="19"/>
        </w:rPr>
        <w:t xml:space="preserve"> «ARTÍCULO 1o. Modifíquese el artículo 4o de la Ley 1882 de 2018, el cual quedará así:</w:t>
      </w:r>
    </w:p>
    <w:p w14:paraId="018A3910" w14:textId="77777777" w:rsidR="0017286C" w:rsidRPr="000549D1" w:rsidRDefault="0017286C" w:rsidP="0017286C">
      <w:pPr>
        <w:pStyle w:val="Textonotapie"/>
        <w:ind w:firstLine="708"/>
        <w:jc w:val="both"/>
        <w:rPr>
          <w:rFonts w:ascii="Arial" w:hAnsi="Arial" w:cs="Arial"/>
          <w:color w:val="000000"/>
          <w:sz w:val="19"/>
          <w:szCs w:val="19"/>
        </w:rPr>
      </w:pPr>
      <w:r w:rsidRPr="000549D1">
        <w:rPr>
          <w:rFonts w:ascii="Arial" w:hAnsi="Arial" w:cs="Arial"/>
          <w:color w:val="000000"/>
          <w:sz w:val="19"/>
          <w:szCs w:val="19"/>
        </w:rPr>
        <w:t>»Artículo 4o. Adiciónese el siguiente parágrafo al artículo 2o de la Ley 1150 de 2007.</w:t>
      </w:r>
    </w:p>
    <w:p w14:paraId="2EBBC9B8" w14:textId="77777777" w:rsidR="0017286C" w:rsidRPr="000549D1" w:rsidRDefault="0017286C" w:rsidP="0017286C">
      <w:pPr>
        <w:pStyle w:val="Textonotapie"/>
        <w:ind w:firstLine="708"/>
        <w:jc w:val="both"/>
        <w:rPr>
          <w:rFonts w:ascii="Arial" w:hAnsi="Arial" w:cs="Arial"/>
          <w:color w:val="000000"/>
          <w:sz w:val="19"/>
          <w:szCs w:val="19"/>
        </w:rPr>
      </w:pPr>
      <w:r w:rsidRPr="000549D1">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5366671" w14:textId="77777777" w:rsidR="0017286C" w:rsidRPr="000549D1" w:rsidRDefault="0017286C" w:rsidP="0017286C">
      <w:pPr>
        <w:pStyle w:val="Textonotapie"/>
        <w:ind w:firstLine="708"/>
        <w:jc w:val="both"/>
        <w:rPr>
          <w:rFonts w:ascii="Arial" w:hAnsi="Arial" w:cs="Arial"/>
          <w:color w:val="000000"/>
          <w:sz w:val="19"/>
          <w:szCs w:val="19"/>
        </w:rPr>
      </w:pPr>
      <w:r w:rsidRPr="000549D1">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304F726" w14:textId="77777777" w:rsidR="0017286C" w:rsidRPr="000549D1" w:rsidRDefault="0017286C" w:rsidP="0017286C">
      <w:pPr>
        <w:pStyle w:val="Textonotapie"/>
        <w:ind w:firstLine="708"/>
        <w:jc w:val="both"/>
        <w:rPr>
          <w:rFonts w:ascii="Arial" w:hAnsi="Arial" w:cs="Arial"/>
          <w:color w:val="000000"/>
          <w:sz w:val="19"/>
          <w:szCs w:val="19"/>
        </w:rPr>
      </w:pPr>
      <w:r w:rsidRPr="000549D1">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08A32DD" w14:textId="77777777" w:rsidR="0017286C" w:rsidRPr="000549D1" w:rsidRDefault="0017286C" w:rsidP="0017286C">
      <w:pPr>
        <w:pStyle w:val="Textonotapie"/>
        <w:ind w:firstLine="708"/>
        <w:jc w:val="both"/>
        <w:rPr>
          <w:rFonts w:ascii="Arial" w:hAnsi="Arial" w:cs="Arial"/>
          <w:color w:val="000000"/>
          <w:sz w:val="19"/>
          <w:szCs w:val="19"/>
        </w:rPr>
      </w:pPr>
      <w:r w:rsidRPr="000549D1">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0CE1BC1" w14:textId="77777777" w:rsidR="0017286C" w:rsidRPr="000549D1" w:rsidRDefault="0017286C" w:rsidP="0017286C">
      <w:pPr>
        <w:pStyle w:val="Textonotapie"/>
        <w:ind w:firstLine="708"/>
        <w:jc w:val="both"/>
        <w:rPr>
          <w:rFonts w:ascii="Arial" w:hAnsi="Arial" w:cs="Arial"/>
          <w:color w:val="000000"/>
          <w:sz w:val="19"/>
          <w:szCs w:val="19"/>
          <w:lang w:val="es-CO"/>
        </w:rPr>
      </w:pPr>
      <w:r w:rsidRPr="000549D1">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501B910F" w14:textId="073DC56C" w:rsidR="00ED5901" w:rsidRDefault="00ED5901" w:rsidP="004E6224">
      <w:pPr>
        <w:pStyle w:val="Textonotapie"/>
        <w:ind w:firstLine="709"/>
        <w:jc w:val="both"/>
        <w:rPr>
          <w:rFonts w:ascii="Arial" w:hAnsi="Arial" w:cs="Arial"/>
          <w:sz w:val="19"/>
          <w:szCs w:val="19"/>
          <w:lang w:val="es-CO"/>
        </w:rPr>
      </w:pPr>
      <w:r w:rsidRPr="004E6224">
        <w:rPr>
          <w:rStyle w:val="Refdenotaalpie"/>
          <w:rFonts w:ascii="Arial" w:hAnsi="Arial" w:cs="Arial"/>
          <w:sz w:val="19"/>
          <w:szCs w:val="19"/>
        </w:rPr>
        <w:footnoteRef/>
      </w:r>
      <w:r w:rsidRPr="004E6224">
        <w:rPr>
          <w:rFonts w:ascii="Arial" w:hAnsi="Arial" w:cs="Arial"/>
          <w:sz w:val="19"/>
          <w:szCs w:val="19"/>
        </w:rPr>
        <w:t xml:space="preserve"> </w:t>
      </w:r>
      <w:r w:rsidRPr="004E6224">
        <w:rPr>
          <w:rFonts w:ascii="Arial" w:hAnsi="Arial" w:cs="Arial"/>
          <w:sz w:val="19"/>
          <w:szCs w:val="19"/>
          <w:lang w:val="es-CO"/>
        </w:rPr>
        <w:t xml:space="preserve">Consultoría de estudios y diseños de ingeniería en sus diferentes fases (1, 2 o 3) entendido en los términos de la definición de </w:t>
      </w:r>
      <w:r w:rsidRPr="004E6224">
        <w:rPr>
          <w:rFonts w:ascii="Arial" w:hAnsi="Arial" w:cs="Arial"/>
          <w:i/>
          <w:iCs/>
          <w:sz w:val="19"/>
          <w:szCs w:val="19"/>
          <w:lang w:val="es-CO"/>
        </w:rPr>
        <w:t>“estudios de ingeniería”</w:t>
      </w:r>
      <w:r w:rsidRPr="004E6224">
        <w:rPr>
          <w:rFonts w:ascii="Arial" w:hAnsi="Arial" w:cs="Arial"/>
          <w:sz w:val="19"/>
          <w:szCs w:val="19"/>
          <w:lang w:val="es-CO"/>
        </w:rPr>
        <w:t xml:space="preserve"> del artículo 12 de la Ley 1682 de 2013.</w:t>
      </w:r>
    </w:p>
    <w:p w14:paraId="67CB77E7" w14:textId="77777777" w:rsidR="004E6224" w:rsidRPr="004E6224" w:rsidRDefault="004E6224" w:rsidP="004E6224">
      <w:pPr>
        <w:pStyle w:val="Textonotapie"/>
        <w:ind w:firstLine="709"/>
        <w:jc w:val="both"/>
        <w:rPr>
          <w:rFonts w:ascii="Arial" w:hAnsi="Arial" w:cs="Arial"/>
          <w:sz w:val="19"/>
          <w:szCs w:val="19"/>
          <w:lang w:val="es-CO"/>
        </w:rPr>
      </w:pPr>
    </w:p>
  </w:footnote>
  <w:footnote w:id="4">
    <w:p w14:paraId="3499AC4A" w14:textId="6BDB0716" w:rsidR="00EA167B" w:rsidRPr="004E6224" w:rsidRDefault="00CC6976" w:rsidP="004E6224">
      <w:pPr>
        <w:pStyle w:val="Textonotapie"/>
        <w:ind w:firstLine="709"/>
        <w:jc w:val="both"/>
        <w:rPr>
          <w:rFonts w:ascii="Arial" w:hAnsi="Arial" w:cs="Arial"/>
          <w:sz w:val="19"/>
          <w:szCs w:val="19"/>
        </w:rPr>
      </w:pPr>
      <w:r w:rsidRPr="004E6224">
        <w:rPr>
          <w:rStyle w:val="Refdenotaalpie"/>
          <w:rFonts w:ascii="Arial" w:hAnsi="Arial" w:cs="Arial"/>
          <w:sz w:val="19"/>
          <w:szCs w:val="19"/>
        </w:rPr>
        <w:footnoteRef/>
      </w:r>
      <w:r w:rsidRPr="004E6224">
        <w:rPr>
          <w:rFonts w:ascii="Arial" w:hAnsi="Arial" w:cs="Arial"/>
          <w:sz w:val="19"/>
          <w:szCs w:val="19"/>
        </w:rPr>
        <w:t xml:space="preserve"> El artículo 4 de la Resolución </w:t>
      </w:r>
      <w:r w:rsidR="00477CB9" w:rsidRPr="004E6224">
        <w:rPr>
          <w:rFonts w:ascii="Arial" w:hAnsi="Arial" w:cs="Arial"/>
          <w:sz w:val="19"/>
          <w:szCs w:val="19"/>
        </w:rPr>
        <w:t>No. 193 del 14 de julio de 2021, dispone los siguiente: «</w:t>
      </w:r>
      <w:r w:rsidR="00100AB6" w:rsidRPr="00F23176">
        <w:rPr>
          <w:rFonts w:ascii="Arial" w:hAnsi="Arial" w:cs="Arial"/>
          <w:sz w:val="19"/>
          <w:szCs w:val="19"/>
        </w:rPr>
        <w:t>Servicios adicionales a la consultoría de estudios de ingeniería de infraestructura de transporte.</w:t>
      </w:r>
      <w:r w:rsidR="00100AB6" w:rsidRPr="004E6224">
        <w:rPr>
          <w:rFonts w:ascii="Arial" w:hAnsi="Arial" w:cs="Arial"/>
          <w:sz w:val="19"/>
          <w:szCs w:val="19"/>
        </w:rPr>
        <w:t xml:space="preserve"> </w:t>
      </w:r>
      <w:r w:rsidR="00DA5C21" w:rsidRPr="004E6224">
        <w:rPr>
          <w:rFonts w:ascii="Arial" w:hAnsi="Arial" w:cs="Arial"/>
          <w:sz w:val="19"/>
          <w:szCs w:val="19"/>
        </w:rPr>
        <w:t xml:space="preserve">Sin </w:t>
      </w:r>
      <w:r w:rsidR="000F2FA9" w:rsidRPr="004E6224">
        <w:rPr>
          <w:rFonts w:ascii="Arial" w:hAnsi="Arial" w:cs="Arial"/>
          <w:sz w:val="19"/>
          <w:szCs w:val="19"/>
        </w:rPr>
        <w:t xml:space="preserve">perjuicio de lo previsto en el pliego de condiciones para los componentes </w:t>
      </w:r>
      <w:r w:rsidR="003478DE" w:rsidRPr="004E6224">
        <w:rPr>
          <w:rFonts w:ascii="Arial" w:hAnsi="Arial" w:cs="Arial"/>
          <w:sz w:val="19"/>
          <w:szCs w:val="19"/>
        </w:rPr>
        <w:t xml:space="preserve">de las consultorías integrales, cuando el objeto contractual incluya servicios </w:t>
      </w:r>
      <w:r w:rsidR="004765E9" w:rsidRPr="004E6224">
        <w:rPr>
          <w:rFonts w:ascii="Arial" w:hAnsi="Arial" w:cs="Arial"/>
          <w:sz w:val="19"/>
          <w:szCs w:val="19"/>
        </w:rPr>
        <w:t xml:space="preserve">adicionales a los estudios de ingeniería de infraestructura de transporte, la entidad estatal deberá aplicar </w:t>
      </w:r>
      <w:r w:rsidR="00EA167B" w:rsidRPr="004E6224">
        <w:rPr>
          <w:rFonts w:ascii="Arial" w:hAnsi="Arial" w:cs="Arial"/>
          <w:sz w:val="19"/>
          <w:szCs w:val="19"/>
        </w:rPr>
        <w:t xml:space="preserve">los documentos tipo. Si de manera excepcional requiere incluir experiencia adicional para evaluar la idoneidad respecto </w:t>
      </w:r>
      <w:r w:rsidR="00DB2CCB" w:rsidRPr="004E6224">
        <w:rPr>
          <w:rFonts w:ascii="Arial" w:hAnsi="Arial" w:cs="Arial"/>
          <w:sz w:val="19"/>
          <w:szCs w:val="19"/>
        </w:rPr>
        <w:t xml:space="preserve">de la consultoría de obras, bienes o servicios adicionales a la consultoría de estudios de </w:t>
      </w:r>
      <w:r w:rsidR="00E92C0A" w:rsidRPr="004E6224">
        <w:rPr>
          <w:rFonts w:ascii="Arial" w:hAnsi="Arial" w:cs="Arial"/>
          <w:sz w:val="19"/>
          <w:szCs w:val="19"/>
        </w:rPr>
        <w:t xml:space="preserve">ingeniería de </w:t>
      </w:r>
      <w:r w:rsidR="005F0A83" w:rsidRPr="004E6224">
        <w:rPr>
          <w:rFonts w:ascii="Arial" w:hAnsi="Arial" w:cs="Arial"/>
          <w:sz w:val="19"/>
          <w:szCs w:val="19"/>
        </w:rPr>
        <w:t xml:space="preserve">infraestructura de transporte, </w:t>
      </w:r>
      <w:r w:rsidR="00986D42" w:rsidRPr="004E6224">
        <w:rPr>
          <w:rFonts w:ascii="Arial" w:hAnsi="Arial" w:cs="Arial"/>
          <w:sz w:val="19"/>
          <w:szCs w:val="19"/>
        </w:rPr>
        <w:t>deberá seguir los siguientes parámetros:</w:t>
      </w:r>
    </w:p>
    <w:p w14:paraId="4CABD9E4" w14:textId="2CD07FAB" w:rsidR="00CF7C0E" w:rsidRPr="004E6224" w:rsidRDefault="006E7D87" w:rsidP="004E6224">
      <w:pPr>
        <w:pStyle w:val="Textonotapie"/>
        <w:ind w:firstLine="709"/>
        <w:jc w:val="both"/>
        <w:rPr>
          <w:rFonts w:ascii="Arial" w:hAnsi="Arial" w:cs="Arial"/>
          <w:sz w:val="19"/>
          <w:szCs w:val="19"/>
        </w:rPr>
      </w:pPr>
      <w:r w:rsidRPr="004E6224">
        <w:rPr>
          <w:rFonts w:ascii="Arial" w:hAnsi="Arial" w:cs="Arial"/>
          <w:sz w:val="19"/>
          <w:szCs w:val="19"/>
        </w:rPr>
        <w:t>»</w:t>
      </w:r>
      <w:r w:rsidR="00CF7C0E" w:rsidRPr="004E6224">
        <w:rPr>
          <w:rFonts w:ascii="Arial" w:hAnsi="Arial" w:cs="Arial"/>
          <w:sz w:val="19"/>
          <w:szCs w:val="19"/>
        </w:rPr>
        <w:t>[…]</w:t>
      </w:r>
    </w:p>
    <w:p w14:paraId="54E5E25D" w14:textId="40EA1917" w:rsidR="00CF7C0E" w:rsidRPr="004E6224" w:rsidRDefault="006E7D87" w:rsidP="004E6224">
      <w:pPr>
        <w:pStyle w:val="Textonotapie"/>
        <w:ind w:firstLine="709"/>
        <w:jc w:val="both"/>
        <w:rPr>
          <w:rFonts w:ascii="Arial" w:hAnsi="Arial" w:cs="Arial"/>
          <w:sz w:val="19"/>
          <w:szCs w:val="19"/>
        </w:rPr>
      </w:pPr>
      <w:r w:rsidRPr="004E6224">
        <w:rPr>
          <w:rFonts w:ascii="Arial" w:hAnsi="Arial" w:cs="Arial"/>
          <w:sz w:val="19"/>
          <w:szCs w:val="19"/>
        </w:rPr>
        <w:t>»</w:t>
      </w:r>
      <w:r w:rsidR="00597DA5" w:rsidRPr="004E6224">
        <w:rPr>
          <w:rFonts w:ascii="Arial" w:hAnsi="Arial" w:cs="Arial"/>
          <w:sz w:val="19"/>
          <w:szCs w:val="19"/>
        </w:rPr>
        <w:t xml:space="preserve">Parágrafo 1. Para </w:t>
      </w:r>
      <w:r w:rsidR="008D7215" w:rsidRPr="004E6224">
        <w:rPr>
          <w:rFonts w:ascii="Arial" w:hAnsi="Arial" w:cs="Arial"/>
          <w:sz w:val="19"/>
          <w:szCs w:val="19"/>
        </w:rPr>
        <w:t xml:space="preserve">la aplicación de este artículo, se entiende por “servicios adicionales” </w:t>
      </w:r>
      <w:r w:rsidR="00161EC2" w:rsidRPr="004E6224">
        <w:rPr>
          <w:rFonts w:ascii="Arial" w:hAnsi="Arial" w:cs="Arial"/>
          <w:sz w:val="19"/>
          <w:szCs w:val="19"/>
        </w:rPr>
        <w:t xml:space="preserve">aquellas actividades que no están incluidas en la “Matriz 1 – Experiencia” de estos documentos tipo, </w:t>
      </w:r>
      <w:r w:rsidR="00E17033" w:rsidRPr="004E6224">
        <w:rPr>
          <w:rFonts w:ascii="Arial" w:hAnsi="Arial" w:cs="Arial"/>
          <w:sz w:val="19"/>
          <w:szCs w:val="19"/>
        </w:rPr>
        <w:t xml:space="preserve">pero que están relacionadas con el contrato a ejecutar. Por ejemplo, en el caso de que el proyecto </w:t>
      </w:r>
      <w:r w:rsidR="002C0BFE" w:rsidRPr="004E6224">
        <w:rPr>
          <w:rFonts w:ascii="Arial" w:hAnsi="Arial" w:cs="Arial"/>
          <w:sz w:val="19"/>
          <w:szCs w:val="19"/>
        </w:rPr>
        <w:t xml:space="preserve">de consultoría a ejecutar esté relacionado con infraestructura de transporte, pero además, con proyectos de agua potable </w:t>
      </w:r>
      <w:r w:rsidR="004E6224" w:rsidRPr="004E6224">
        <w:rPr>
          <w:rFonts w:ascii="Arial" w:hAnsi="Arial" w:cs="Arial"/>
          <w:sz w:val="19"/>
          <w:szCs w:val="19"/>
        </w:rPr>
        <w:t>y</w:t>
      </w:r>
      <w:r w:rsidR="002C0BFE" w:rsidRPr="004E6224">
        <w:rPr>
          <w:rFonts w:ascii="Arial" w:hAnsi="Arial" w:cs="Arial"/>
          <w:sz w:val="19"/>
          <w:szCs w:val="19"/>
        </w:rPr>
        <w:t xml:space="preserve"> saneamiento </w:t>
      </w:r>
      <w:r w:rsidR="00D3756C" w:rsidRPr="004E6224">
        <w:rPr>
          <w:rFonts w:ascii="Arial" w:hAnsi="Arial" w:cs="Arial"/>
          <w:sz w:val="19"/>
          <w:szCs w:val="19"/>
        </w:rPr>
        <w:t xml:space="preserve">básico o con proyectos en la construcción de un parque, el servicio adicional serán las actividades </w:t>
      </w:r>
      <w:r w:rsidR="00E114F3" w:rsidRPr="004E6224">
        <w:rPr>
          <w:rFonts w:ascii="Arial" w:hAnsi="Arial" w:cs="Arial"/>
          <w:sz w:val="19"/>
          <w:szCs w:val="19"/>
        </w:rPr>
        <w:t>de estudios y diseños en infraestructura de agua potable y saneamiento básico</w:t>
      </w:r>
      <w:r w:rsidR="005030EE" w:rsidRPr="004E6224">
        <w:rPr>
          <w:rFonts w:ascii="Arial" w:hAnsi="Arial" w:cs="Arial"/>
          <w:sz w:val="19"/>
          <w:szCs w:val="19"/>
        </w:rPr>
        <w:t xml:space="preserve"> o las relacionadas con los estudios y diseños para la construcción del parque. </w:t>
      </w:r>
    </w:p>
    <w:p w14:paraId="224FBB69" w14:textId="794C82AB" w:rsidR="005030EE" w:rsidRDefault="006E7D87" w:rsidP="004E6224">
      <w:pPr>
        <w:pStyle w:val="Textonotapie"/>
        <w:ind w:firstLine="709"/>
        <w:jc w:val="both"/>
      </w:pPr>
      <w:r w:rsidRPr="004E6224">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EDC4F" w14:textId="77777777" w:rsidR="007B15C3" w:rsidRDefault="00645C01" w:rsidP="007B15C3">
    <w:pPr>
      <w:pStyle w:val="Encabezado"/>
      <w:jc w:val="right"/>
    </w:pPr>
    <w:bookmarkStart w:id="9" w:name="_Hlk87951133"/>
    <w:bookmarkStart w:id="10" w:name="_Hlk87951134"/>
  </w:p>
  <w:bookmarkEnd w:id="9"/>
  <w:bookmarkEnd w:id="10"/>
  <w:p w14:paraId="0D568204" w14:textId="77777777" w:rsidR="007B15C3" w:rsidRDefault="00B06FE8" w:rsidP="007B15C3">
    <w:pPr>
      <w:pStyle w:val="Encabezado"/>
      <w:jc w:val="right"/>
    </w:pPr>
    <w:r>
      <w:rPr>
        <w:noProof/>
        <w:lang w:val="es-ES_tradnl" w:eastAsia="es-ES_tradnl"/>
      </w:rPr>
      <w:drawing>
        <wp:anchor distT="0" distB="0" distL="114300" distR="114300" simplePos="0" relativeHeight="251659264" behindDoc="1" locked="0" layoutInCell="1" allowOverlap="1" wp14:anchorId="4B3C3D0B" wp14:editId="60FEBF63">
          <wp:simplePos x="0" y="0"/>
          <wp:positionH relativeFrom="margin">
            <wp:align>right</wp:align>
          </wp:positionH>
          <wp:positionV relativeFrom="paragraph">
            <wp:posOffset>38792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69996" w14:textId="77777777" w:rsidR="007B15C3" w:rsidRDefault="00645C01">
    <w:pPr>
      <w:pStyle w:val="Encabezado"/>
    </w:pPr>
  </w:p>
  <w:p w14:paraId="3FFEE9EE" w14:textId="20B5AC88" w:rsidR="001C0A90" w:rsidRDefault="00645C01">
    <w:pPr>
      <w:pStyle w:val="Encabezado"/>
    </w:pPr>
  </w:p>
  <w:p w14:paraId="74A8AE53" w14:textId="77777777" w:rsidR="00B06FE8" w:rsidRDefault="00B06FE8">
    <w:pPr>
      <w:pStyle w:val="Encabezado"/>
    </w:pPr>
  </w:p>
  <w:p w14:paraId="31613284" w14:textId="77777777" w:rsidR="001C0A90" w:rsidRDefault="00645C0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39207198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FE8"/>
    <w:rsid w:val="00003A47"/>
    <w:rsid w:val="00032DF1"/>
    <w:rsid w:val="00033C62"/>
    <w:rsid w:val="000340FF"/>
    <w:rsid w:val="000345FC"/>
    <w:rsid w:val="00036F2D"/>
    <w:rsid w:val="000430EC"/>
    <w:rsid w:val="00060343"/>
    <w:rsid w:val="00066D53"/>
    <w:rsid w:val="000707A2"/>
    <w:rsid w:val="000844F3"/>
    <w:rsid w:val="000849AA"/>
    <w:rsid w:val="00093ECF"/>
    <w:rsid w:val="00093F55"/>
    <w:rsid w:val="000B57A8"/>
    <w:rsid w:val="000B6329"/>
    <w:rsid w:val="000C2200"/>
    <w:rsid w:val="000C53D9"/>
    <w:rsid w:val="000D4040"/>
    <w:rsid w:val="000D5681"/>
    <w:rsid w:val="000F2FA9"/>
    <w:rsid w:val="000F3C41"/>
    <w:rsid w:val="00100AB6"/>
    <w:rsid w:val="00107843"/>
    <w:rsid w:val="001123D1"/>
    <w:rsid w:val="001155DF"/>
    <w:rsid w:val="0013097B"/>
    <w:rsid w:val="001532CA"/>
    <w:rsid w:val="001570A9"/>
    <w:rsid w:val="00161EC2"/>
    <w:rsid w:val="00166F28"/>
    <w:rsid w:val="0017286C"/>
    <w:rsid w:val="0019126E"/>
    <w:rsid w:val="001A19E2"/>
    <w:rsid w:val="001A63B9"/>
    <w:rsid w:val="001B3C2C"/>
    <w:rsid w:val="00203019"/>
    <w:rsid w:val="00217B79"/>
    <w:rsid w:val="0024161D"/>
    <w:rsid w:val="00255991"/>
    <w:rsid w:val="00257414"/>
    <w:rsid w:val="002622F0"/>
    <w:rsid w:val="0026285F"/>
    <w:rsid w:val="00263FA1"/>
    <w:rsid w:val="0026586A"/>
    <w:rsid w:val="00266C92"/>
    <w:rsid w:val="00270881"/>
    <w:rsid w:val="002733E2"/>
    <w:rsid w:val="00273744"/>
    <w:rsid w:val="0028135D"/>
    <w:rsid w:val="0028273A"/>
    <w:rsid w:val="00290A43"/>
    <w:rsid w:val="002A6D69"/>
    <w:rsid w:val="002A76D4"/>
    <w:rsid w:val="002C0BFE"/>
    <w:rsid w:val="002C47BA"/>
    <w:rsid w:val="002E6ACA"/>
    <w:rsid w:val="002E71A7"/>
    <w:rsid w:val="002F4367"/>
    <w:rsid w:val="00310FA5"/>
    <w:rsid w:val="003157D7"/>
    <w:rsid w:val="003172D1"/>
    <w:rsid w:val="00322B2C"/>
    <w:rsid w:val="00327AE2"/>
    <w:rsid w:val="003374D9"/>
    <w:rsid w:val="00340941"/>
    <w:rsid w:val="00340F97"/>
    <w:rsid w:val="0034483C"/>
    <w:rsid w:val="003478DE"/>
    <w:rsid w:val="00357762"/>
    <w:rsid w:val="00357B08"/>
    <w:rsid w:val="00377152"/>
    <w:rsid w:val="003854C0"/>
    <w:rsid w:val="003A2BF9"/>
    <w:rsid w:val="003B3E5B"/>
    <w:rsid w:val="003B5DD3"/>
    <w:rsid w:val="003D1091"/>
    <w:rsid w:val="003D767A"/>
    <w:rsid w:val="00414AED"/>
    <w:rsid w:val="00430C1D"/>
    <w:rsid w:val="00434DB8"/>
    <w:rsid w:val="004461D3"/>
    <w:rsid w:val="00456CF5"/>
    <w:rsid w:val="004676A0"/>
    <w:rsid w:val="004765E9"/>
    <w:rsid w:val="00477CB9"/>
    <w:rsid w:val="00482602"/>
    <w:rsid w:val="00483D61"/>
    <w:rsid w:val="004A5617"/>
    <w:rsid w:val="004B03A3"/>
    <w:rsid w:val="004C5BC9"/>
    <w:rsid w:val="004D3A6E"/>
    <w:rsid w:val="004E128D"/>
    <w:rsid w:val="004E6224"/>
    <w:rsid w:val="005030EE"/>
    <w:rsid w:val="00523FC7"/>
    <w:rsid w:val="00524660"/>
    <w:rsid w:val="00525168"/>
    <w:rsid w:val="00525BC3"/>
    <w:rsid w:val="005412D2"/>
    <w:rsid w:val="00572276"/>
    <w:rsid w:val="00585396"/>
    <w:rsid w:val="00587607"/>
    <w:rsid w:val="005927BE"/>
    <w:rsid w:val="00594AC3"/>
    <w:rsid w:val="00597DA5"/>
    <w:rsid w:val="005A019B"/>
    <w:rsid w:val="005A0BF4"/>
    <w:rsid w:val="005A6184"/>
    <w:rsid w:val="005E1318"/>
    <w:rsid w:val="005F0A83"/>
    <w:rsid w:val="005F18CA"/>
    <w:rsid w:val="006035E0"/>
    <w:rsid w:val="00621F5D"/>
    <w:rsid w:val="00623112"/>
    <w:rsid w:val="00630855"/>
    <w:rsid w:val="00643637"/>
    <w:rsid w:val="00645C01"/>
    <w:rsid w:val="00660C8A"/>
    <w:rsid w:val="006814E1"/>
    <w:rsid w:val="00684F30"/>
    <w:rsid w:val="0068756B"/>
    <w:rsid w:val="00690CB6"/>
    <w:rsid w:val="006A5481"/>
    <w:rsid w:val="006C2325"/>
    <w:rsid w:val="006E3403"/>
    <w:rsid w:val="006E6461"/>
    <w:rsid w:val="006E668C"/>
    <w:rsid w:val="006E7D87"/>
    <w:rsid w:val="006F0FA6"/>
    <w:rsid w:val="00705755"/>
    <w:rsid w:val="007135C0"/>
    <w:rsid w:val="00717C1D"/>
    <w:rsid w:val="007222F2"/>
    <w:rsid w:val="00722547"/>
    <w:rsid w:val="00723290"/>
    <w:rsid w:val="0072586C"/>
    <w:rsid w:val="00740715"/>
    <w:rsid w:val="00743C06"/>
    <w:rsid w:val="00745999"/>
    <w:rsid w:val="00782275"/>
    <w:rsid w:val="007A424D"/>
    <w:rsid w:val="007B3FCB"/>
    <w:rsid w:val="007F33F9"/>
    <w:rsid w:val="007F6078"/>
    <w:rsid w:val="00806646"/>
    <w:rsid w:val="00824022"/>
    <w:rsid w:val="008315BB"/>
    <w:rsid w:val="0084749A"/>
    <w:rsid w:val="00860D4A"/>
    <w:rsid w:val="00872FFF"/>
    <w:rsid w:val="00895066"/>
    <w:rsid w:val="008A24A0"/>
    <w:rsid w:val="008B4F71"/>
    <w:rsid w:val="008D3951"/>
    <w:rsid w:val="008D7215"/>
    <w:rsid w:val="008F1882"/>
    <w:rsid w:val="008F3926"/>
    <w:rsid w:val="008F63D6"/>
    <w:rsid w:val="0094211D"/>
    <w:rsid w:val="00957B4B"/>
    <w:rsid w:val="009620A8"/>
    <w:rsid w:val="00963E3D"/>
    <w:rsid w:val="00980536"/>
    <w:rsid w:val="00986382"/>
    <w:rsid w:val="00986D42"/>
    <w:rsid w:val="009A13F2"/>
    <w:rsid w:val="009A7C19"/>
    <w:rsid w:val="009C19A7"/>
    <w:rsid w:val="009C33EB"/>
    <w:rsid w:val="009C73B4"/>
    <w:rsid w:val="009D4DA1"/>
    <w:rsid w:val="009E5F31"/>
    <w:rsid w:val="009F4910"/>
    <w:rsid w:val="009F7D4E"/>
    <w:rsid w:val="00A10C95"/>
    <w:rsid w:val="00A31EF5"/>
    <w:rsid w:val="00A331CA"/>
    <w:rsid w:val="00A33C2E"/>
    <w:rsid w:val="00A539E2"/>
    <w:rsid w:val="00A81734"/>
    <w:rsid w:val="00A86466"/>
    <w:rsid w:val="00AA2BF6"/>
    <w:rsid w:val="00AB0EFA"/>
    <w:rsid w:val="00AC0A10"/>
    <w:rsid w:val="00AD09B2"/>
    <w:rsid w:val="00AE2643"/>
    <w:rsid w:val="00AF2EEC"/>
    <w:rsid w:val="00AF7089"/>
    <w:rsid w:val="00B06FE8"/>
    <w:rsid w:val="00B11CA3"/>
    <w:rsid w:val="00B21ED7"/>
    <w:rsid w:val="00B23E3C"/>
    <w:rsid w:val="00B335D4"/>
    <w:rsid w:val="00B450EC"/>
    <w:rsid w:val="00B6767A"/>
    <w:rsid w:val="00B766BE"/>
    <w:rsid w:val="00B86D3E"/>
    <w:rsid w:val="00B92560"/>
    <w:rsid w:val="00B96251"/>
    <w:rsid w:val="00BA365E"/>
    <w:rsid w:val="00BA52AC"/>
    <w:rsid w:val="00BB036A"/>
    <w:rsid w:val="00BB103A"/>
    <w:rsid w:val="00BB1655"/>
    <w:rsid w:val="00BF443F"/>
    <w:rsid w:val="00C0527A"/>
    <w:rsid w:val="00C07A77"/>
    <w:rsid w:val="00C1299B"/>
    <w:rsid w:val="00C226FB"/>
    <w:rsid w:val="00C23D0A"/>
    <w:rsid w:val="00C34BEF"/>
    <w:rsid w:val="00C53532"/>
    <w:rsid w:val="00C5551E"/>
    <w:rsid w:val="00C639F6"/>
    <w:rsid w:val="00C710FE"/>
    <w:rsid w:val="00C74912"/>
    <w:rsid w:val="00C749F6"/>
    <w:rsid w:val="00C7723A"/>
    <w:rsid w:val="00CB099D"/>
    <w:rsid w:val="00CB1966"/>
    <w:rsid w:val="00CC6976"/>
    <w:rsid w:val="00CD2225"/>
    <w:rsid w:val="00CD2875"/>
    <w:rsid w:val="00CD72A3"/>
    <w:rsid w:val="00CE2971"/>
    <w:rsid w:val="00CF3A4F"/>
    <w:rsid w:val="00CF7C0E"/>
    <w:rsid w:val="00D01DF5"/>
    <w:rsid w:val="00D100F9"/>
    <w:rsid w:val="00D2016C"/>
    <w:rsid w:val="00D249F1"/>
    <w:rsid w:val="00D26742"/>
    <w:rsid w:val="00D3756C"/>
    <w:rsid w:val="00D545BA"/>
    <w:rsid w:val="00D62FE1"/>
    <w:rsid w:val="00D63C4B"/>
    <w:rsid w:val="00D70C51"/>
    <w:rsid w:val="00D746F7"/>
    <w:rsid w:val="00D762E6"/>
    <w:rsid w:val="00D87CCB"/>
    <w:rsid w:val="00DA5C21"/>
    <w:rsid w:val="00DB2CCB"/>
    <w:rsid w:val="00DB5D0B"/>
    <w:rsid w:val="00DD72EF"/>
    <w:rsid w:val="00DE3A03"/>
    <w:rsid w:val="00DF679A"/>
    <w:rsid w:val="00E05C0B"/>
    <w:rsid w:val="00E114F3"/>
    <w:rsid w:val="00E127AB"/>
    <w:rsid w:val="00E17033"/>
    <w:rsid w:val="00E22326"/>
    <w:rsid w:val="00E26CD9"/>
    <w:rsid w:val="00E4382D"/>
    <w:rsid w:val="00E4530F"/>
    <w:rsid w:val="00E56EA2"/>
    <w:rsid w:val="00E637C3"/>
    <w:rsid w:val="00E71A05"/>
    <w:rsid w:val="00E923DF"/>
    <w:rsid w:val="00E92A1F"/>
    <w:rsid w:val="00E92C0A"/>
    <w:rsid w:val="00E92E2F"/>
    <w:rsid w:val="00EA167B"/>
    <w:rsid w:val="00EA4CD1"/>
    <w:rsid w:val="00EB0127"/>
    <w:rsid w:val="00ED5901"/>
    <w:rsid w:val="00EE159F"/>
    <w:rsid w:val="00EE6D58"/>
    <w:rsid w:val="00EF7A97"/>
    <w:rsid w:val="00F13EB4"/>
    <w:rsid w:val="00F23176"/>
    <w:rsid w:val="00F43B53"/>
    <w:rsid w:val="00F654C8"/>
    <w:rsid w:val="00F90781"/>
    <w:rsid w:val="00F96438"/>
    <w:rsid w:val="00FA381A"/>
    <w:rsid w:val="00FA3D26"/>
    <w:rsid w:val="00FB6EEE"/>
    <w:rsid w:val="00FE696F"/>
    <w:rsid w:val="00FF0DA5"/>
    <w:rsid w:val="00FF38B8"/>
    <w:rsid w:val="00FF3F78"/>
    <w:rsid w:val="00FF50D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D589E"/>
  <w15:chartTrackingRefBased/>
  <w15:docId w15:val="{51E74A1F-3C46-4BAA-8253-9EB8A514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FE8"/>
    <w:pPr>
      <w:spacing w:after="120" w:line="276" w:lineRule="auto"/>
      <w:ind w:firstLine="709"/>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06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06FE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B06FE8"/>
    <w:pPr>
      <w:spacing w:after="0" w:line="240" w:lineRule="auto"/>
      <w:ind w:firstLine="0"/>
      <w:jc w:val="left"/>
    </w:pPr>
    <w:rPr>
      <w:sz w:val="20"/>
      <w:szCs w:val="20"/>
      <w:lang w:val="es-MX"/>
    </w:rPr>
  </w:style>
  <w:style w:type="character" w:customStyle="1" w:styleId="TextonotapieCar1">
    <w:name w:val="Texto nota pie Car1"/>
    <w:basedOn w:val="Fuentedeprrafopredeter"/>
    <w:uiPriority w:val="99"/>
    <w:semiHidden/>
    <w:rsid w:val="00B06FE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B06FE8"/>
    <w:rPr>
      <w:vertAlign w:val="superscript"/>
    </w:rPr>
  </w:style>
  <w:style w:type="paragraph" w:customStyle="1" w:styleId="Appelnotedebasde">
    <w:name w:val="Appel note de bas de..."/>
    <w:basedOn w:val="Normal"/>
    <w:link w:val="Refdenotaalpie"/>
    <w:uiPriority w:val="99"/>
    <w:rsid w:val="00B06FE8"/>
    <w:pPr>
      <w:spacing w:after="160" w:line="240" w:lineRule="exact"/>
      <w:ind w:firstLine="0"/>
      <w:jc w:val="left"/>
    </w:pPr>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B06FE8"/>
    <w:pPr>
      <w:spacing w:after="0" w:line="240" w:lineRule="auto"/>
      <w:ind w:left="720" w:firstLine="0"/>
      <w:contextualSpacing/>
      <w:jc w:val="left"/>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06FE8"/>
    <w:rPr>
      <w:sz w:val="24"/>
      <w:lang w:val="es-MX"/>
    </w:rPr>
  </w:style>
  <w:style w:type="paragraph" w:styleId="Encabezado">
    <w:name w:val="header"/>
    <w:basedOn w:val="Normal"/>
    <w:link w:val="EncabezadoCar"/>
    <w:uiPriority w:val="99"/>
    <w:unhideWhenUsed/>
    <w:rsid w:val="00B06FE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6FE8"/>
  </w:style>
  <w:style w:type="paragraph" w:styleId="Piedepgina">
    <w:name w:val="footer"/>
    <w:basedOn w:val="Normal"/>
    <w:link w:val="PiedepginaCar"/>
    <w:uiPriority w:val="99"/>
    <w:unhideWhenUsed/>
    <w:rsid w:val="00B06F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6FE8"/>
  </w:style>
  <w:style w:type="paragraph" w:styleId="Sinespaciado">
    <w:name w:val="No Spacing"/>
    <w:aliases w:val="No Indent"/>
    <w:uiPriority w:val="3"/>
    <w:qFormat/>
    <w:rsid w:val="00B06FE8"/>
    <w:pPr>
      <w:spacing w:after="0" w:line="240" w:lineRule="auto"/>
    </w:pPr>
    <w:rPr>
      <w:sz w:val="24"/>
      <w:lang w:val="es-MX"/>
    </w:rPr>
  </w:style>
  <w:style w:type="table" w:customStyle="1" w:styleId="Tablaconcuadrcula1">
    <w:name w:val="Tabla con cuadrícula1"/>
    <w:basedOn w:val="Tablanormal"/>
    <w:next w:val="Tablaconcuadrcula"/>
    <w:uiPriority w:val="59"/>
    <w:rsid w:val="00B06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pt">
    <w:name w:val="Normal + 11 pt"/>
    <w:aliases w:val="Negro,Justificado,Izquierda:  -0,95 cm,Derecha:  0,04 cm"/>
    <w:basedOn w:val="Normal"/>
    <w:uiPriority w:val="99"/>
    <w:rsid w:val="00B06FE8"/>
    <w:pPr>
      <w:spacing w:after="0" w:line="240" w:lineRule="auto"/>
      <w:ind w:left="-540" w:firstLine="0"/>
    </w:pPr>
    <w:rPr>
      <w:rFonts w:ascii="Arial" w:eastAsia="Times New Roman" w:hAnsi="Arial" w:cs="Arial"/>
      <w:color w:val="000000"/>
      <w:lang w:val="es-ES_tradnl" w:eastAsia="es-ES"/>
    </w:rPr>
  </w:style>
  <w:style w:type="paragraph" w:styleId="Revisin">
    <w:name w:val="Revision"/>
    <w:hidden/>
    <w:uiPriority w:val="99"/>
    <w:semiHidden/>
    <w:rsid w:val="00AF2EEC"/>
    <w:pPr>
      <w:spacing w:after="0" w:line="240" w:lineRule="auto"/>
    </w:pPr>
  </w:style>
  <w:style w:type="character" w:styleId="Refdecomentario">
    <w:name w:val="annotation reference"/>
    <w:basedOn w:val="Fuentedeprrafopredeter"/>
    <w:uiPriority w:val="99"/>
    <w:semiHidden/>
    <w:unhideWhenUsed/>
    <w:rsid w:val="00D01DF5"/>
    <w:rPr>
      <w:sz w:val="16"/>
      <w:szCs w:val="16"/>
    </w:rPr>
  </w:style>
  <w:style w:type="paragraph" w:styleId="Textocomentario">
    <w:name w:val="annotation text"/>
    <w:basedOn w:val="Normal"/>
    <w:link w:val="TextocomentarioCar"/>
    <w:uiPriority w:val="99"/>
    <w:unhideWhenUsed/>
    <w:rsid w:val="00D01DF5"/>
    <w:pPr>
      <w:spacing w:line="240" w:lineRule="auto"/>
    </w:pPr>
    <w:rPr>
      <w:sz w:val="20"/>
      <w:szCs w:val="20"/>
    </w:rPr>
  </w:style>
  <w:style w:type="character" w:customStyle="1" w:styleId="TextocomentarioCar">
    <w:name w:val="Texto comentario Car"/>
    <w:basedOn w:val="Fuentedeprrafopredeter"/>
    <w:link w:val="Textocomentario"/>
    <w:uiPriority w:val="99"/>
    <w:rsid w:val="00D01DF5"/>
    <w:rPr>
      <w:sz w:val="20"/>
      <w:szCs w:val="20"/>
    </w:rPr>
  </w:style>
  <w:style w:type="paragraph" w:styleId="Asuntodelcomentario">
    <w:name w:val="annotation subject"/>
    <w:basedOn w:val="Textocomentario"/>
    <w:next w:val="Textocomentario"/>
    <w:link w:val="AsuntodelcomentarioCar"/>
    <w:uiPriority w:val="99"/>
    <w:semiHidden/>
    <w:unhideWhenUsed/>
    <w:rsid w:val="00D01DF5"/>
    <w:rPr>
      <w:b/>
      <w:bCs/>
    </w:rPr>
  </w:style>
  <w:style w:type="character" w:customStyle="1" w:styleId="AsuntodelcomentarioCar">
    <w:name w:val="Asunto del comentario Car"/>
    <w:basedOn w:val="TextocomentarioCar"/>
    <w:link w:val="Asuntodelcomentario"/>
    <w:uiPriority w:val="99"/>
    <w:semiHidden/>
    <w:rsid w:val="00D01DF5"/>
    <w:rPr>
      <w:b/>
      <w:bCs/>
      <w:sz w:val="20"/>
      <w:szCs w:val="20"/>
    </w:rPr>
  </w:style>
  <w:style w:type="paragraph" w:customStyle="1" w:styleId="xmsonospacing">
    <w:name w:val="x_msonospacing"/>
    <w:basedOn w:val="Normal"/>
    <w:rsid w:val="00660C8A"/>
    <w:pPr>
      <w:spacing w:before="100" w:beforeAutospacing="1" w:after="100" w:afterAutospacing="1" w:line="240" w:lineRule="auto"/>
      <w:ind w:firstLine="0"/>
      <w:jc w:val="left"/>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99513C-779A-447F-88C0-AF6D5DD63B1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356FE2A-34EE-471D-98D4-392FFFB4B12D}">
  <ds:schemaRefs>
    <ds:schemaRef ds:uri="http://schemas.openxmlformats.org/officeDocument/2006/bibliography"/>
  </ds:schemaRefs>
</ds:datastoreItem>
</file>

<file path=customXml/itemProps3.xml><?xml version="1.0" encoding="utf-8"?>
<ds:datastoreItem xmlns:ds="http://schemas.openxmlformats.org/officeDocument/2006/customXml" ds:itemID="{CF45D964-8CD3-4ED3-924B-4D38F2EB2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FEC79D-E0AC-48CC-BAE4-F7EA930544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4604</Words>
  <Characters>25328</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MARIA CLAUDIA DE LA OSSA BOBADILLA</cp:lastModifiedBy>
  <cp:revision>2</cp:revision>
  <dcterms:created xsi:type="dcterms:W3CDTF">2022-05-26T14:42:00Z</dcterms:created>
  <dcterms:modified xsi:type="dcterms:W3CDTF">2022-05-26T14:42:00Z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