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4CFBA" w14:textId="77777777" w:rsidR="001F7E1D" w:rsidRPr="001F7E1D" w:rsidRDefault="001F7E1D" w:rsidP="001F7E1D">
      <w:pPr>
        <w:pStyle w:val="Textoindependiente"/>
        <w:spacing w:before="187"/>
        <w:ind w:left="101"/>
        <w:jc w:val="both"/>
        <w:rPr>
          <w:rFonts w:ascii="Verdana" w:hAnsi="Verdana"/>
          <w:b/>
          <w:bCs/>
          <w:sz w:val="20"/>
          <w:szCs w:val="20"/>
          <w:lang w:val="es-CO"/>
        </w:rPr>
      </w:pPr>
      <w:bookmarkStart w:id="0" w:name="_Hlk181166130"/>
      <w:bookmarkStart w:id="1" w:name="_Hlk143780582"/>
      <w:r w:rsidRPr="001F7E1D">
        <w:rPr>
          <w:rFonts w:ascii="Verdana" w:hAnsi="Verdana"/>
          <w:b/>
          <w:bCs/>
          <w:sz w:val="20"/>
          <w:szCs w:val="20"/>
          <w:lang w:val="es-MX"/>
        </w:rPr>
        <w:t>SELECCIÓN ABREVIADA – Selección abreviada de menor cuantía – Características</w:t>
      </w:r>
      <w:r w:rsidRPr="001F7E1D">
        <w:rPr>
          <w:rFonts w:ascii="Verdana" w:hAnsi="Verdana"/>
          <w:b/>
          <w:bCs/>
          <w:sz w:val="20"/>
          <w:szCs w:val="20"/>
          <w:lang w:val="es-CO"/>
        </w:rPr>
        <w:t> </w:t>
      </w:r>
    </w:p>
    <w:p w14:paraId="042211BA" w14:textId="77777777" w:rsidR="001F7E1D" w:rsidRPr="001F7E1D" w:rsidRDefault="001F7E1D" w:rsidP="001F7E1D">
      <w:pPr>
        <w:pStyle w:val="Textoindependiente"/>
        <w:spacing w:before="187"/>
        <w:ind w:left="101"/>
        <w:jc w:val="both"/>
        <w:rPr>
          <w:rFonts w:ascii="Verdana" w:hAnsi="Verdana"/>
          <w:sz w:val="20"/>
          <w:szCs w:val="20"/>
          <w:lang w:val="es-CO"/>
        </w:rPr>
      </w:pPr>
      <w:r w:rsidRPr="001F7E1D">
        <w:rPr>
          <w:rFonts w:ascii="Verdana" w:hAnsi="Verdana"/>
          <w:sz w:val="20"/>
          <w:szCs w:val="20"/>
          <w:lang w:val="es-MX"/>
        </w:rPr>
        <w:t xml:space="preserve">Una de las causales para adelantar un Proceso de Contratación bajo la modalidad de selección abreviada es la de menor cuantía, que se refiere a aquellas cuantías que de conformidad con el literal b) del numeral 2 del artículo 2 de la Ley 1150 de 2007 no superan los topes de salarios mínimos legales mensuales ahí determinados en </w:t>
      </w:r>
      <w:r w:rsidRPr="001F7E1D">
        <w:rPr>
          <w:rFonts w:ascii="Verdana" w:hAnsi="Verdana"/>
          <w:sz w:val="20"/>
          <w:szCs w:val="20"/>
          <w:lang w:val="es-CO"/>
        </w:rPr>
        <w:t>función de los presupuestos anuales de las entidades públicas.  </w:t>
      </w:r>
      <w:r w:rsidRPr="001F7E1D">
        <w:rPr>
          <w:rFonts w:ascii="Verdana" w:hAnsi="Verdana"/>
          <w:sz w:val="20"/>
          <w:szCs w:val="20"/>
          <w:lang w:val="es-MX"/>
        </w:rPr>
        <w:t xml:space="preserve"> Esta modalidad se desarrolla en el Decreto 1082 de 2015, reglamentario de la Ley 1150 de 2007, donde se establece su procedimiento. De esta manera, en relación con las etapas, el artículo 2.2.1.2.1.2.20 del Decreto 1082 de 2015 señala que 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w:t>
      </w:r>
      <w:r w:rsidRPr="001F7E1D">
        <w:rPr>
          <w:rFonts w:ascii="Verdana" w:hAnsi="Verdana"/>
          <w:i/>
          <w:iCs/>
          <w:sz w:val="20"/>
          <w:szCs w:val="20"/>
          <w:lang w:val="es-MX"/>
        </w:rPr>
        <w:t>“manifestación de interés”</w:t>
      </w:r>
      <w:r w:rsidRPr="001F7E1D">
        <w:rPr>
          <w:rFonts w:ascii="Verdana" w:hAnsi="Verdana"/>
          <w:sz w:val="20"/>
          <w:szCs w:val="20"/>
          <w:lang w:val="es-MX"/>
        </w:rPr>
        <w:t xml:space="preserve"> para participar en el mismo, en la forma establecida en el pliego de condiciones. </w:t>
      </w:r>
      <w:r w:rsidRPr="001F7E1D">
        <w:rPr>
          <w:rFonts w:ascii="Verdana" w:hAnsi="Verdana"/>
          <w:sz w:val="20"/>
          <w:szCs w:val="20"/>
          <w:lang w:val="es-CO"/>
        </w:rPr>
        <w:t> </w:t>
      </w:r>
    </w:p>
    <w:p w14:paraId="1451ADDE" w14:textId="77777777" w:rsidR="001F7E1D" w:rsidRPr="001F7E1D" w:rsidRDefault="001F7E1D" w:rsidP="001F7E1D">
      <w:pPr>
        <w:pStyle w:val="Textoindependiente"/>
        <w:spacing w:before="187"/>
        <w:ind w:left="101"/>
        <w:jc w:val="both"/>
        <w:rPr>
          <w:rFonts w:ascii="Verdana" w:hAnsi="Verdana"/>
          <w:sz w:val="20"/>
          <w:szCs w:val="20"/>
          <w:lang w:val="es-CO"/>
        </w:rPr>
      </w:pPr>
      <w:r w:rsidRPr="001F7E1D">
        <w:rPr>
          <w:rFonts w:ascii="Verdana" w:hAnsi="Verdana"/>
          <w:sz w:val="20"/>
          <w:szCs w:val="20"/>
          <w:lang w:val="es-MX"/>
        </w:rPr>
        <w:t xml:space="preserve">A continuación, dependiendo de la cantidad de </w:t>
      </w:r>
      <w:r w:rsidRPr="001F7E1D">
        <w:rPr>
          <w:rFonts w:ascii="Verdana" w:hAnsi="Verdana"/>
          <w:i/>
          <w:iCs/>
          <w:sz w:val="20"/>
          <w:szCs w:val="20"/>
          <w:lang w:val="es-MX"/>
        </w:rPr>
        <w:t>“manifestaciones de interés”,</w:t>
      </w:r>
      <w:r w:rsidRPr="001F7E1D">
        <w:rPr>
          <w:rFonts w:ascii="Verdana" w:hAnsi="Verdana"/>
          <w:sz w:val="20"/>
          <w:szCs w:val="20"/>
          <w:lang w:val="es-MX"/>
        </w:rPr>
        <w:t xml:space="preserve">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r w:rsidRPr="001F7E1D">
        <w:rPr>
          <w:rFonts w:ascii="Verdana" w:hAnsi="Verdana"/>
          <w:sz w:val="20"/>
          <w:szCs w:val="20"/>
          <w:lang w:val="es-CO"/>
        </w:rPr>
        <w:t> </w:t>
      </w:r>
    </w:p>
    <w:p w14:paraId="467D2D05" w14:textId="77777777" w:rsidR="00B33517" w:rsidRPr="001F7E1D" w:rsidRDefault="00B33517" w:rsidP="001F7E1D">
      <w:pPr>
        <w:tabs>
          <w:tab w:val="left" w:pos="3374"/>
        </w:tabs>
        <w:jc w:val="both"/>
        <w:rPr>
          <w:rFonts w:ascii="Verdana" w:hAnsi="Verdana" w:cs="Arial"/>
          <w:color w:val="000000" w:themeColor="text1"/>
          <w:lang w:val="es-ES_tradnl"/>
        </w:rPr>
      </w:pPr>
    </w:p>
    <w:p w14:paraId="468678AC" w14:textId="77777777" w:rsidR="00B33517" w:rsidRDefault="00B33517" w:rsidP="009143F1">
      <w:pPr>
        <w:tabs>
          <w:tab w:val="left" w:pos="3374"/>
        </w:tabs>
        <w:jc w:val="both"/>
        <w:rPr>
          <w:rFonts w:ascii="Verdana" w:hAnsi="Verdana" w:cs="Arial"/>
          <w:color w:val="000000" w:themeColor="text1"/>
          <w:lang w:val="es-ES_tradnl"/>
        </w:rPr>
      </w:pPr>
    </w:p>
    <w:p w14:paraId="64D679C0" w14:textId="77777777" w:rsidR="00B33517" w:rsidRDefault="00B33517" w:rsidP="009143F1">
      <w:pPr>
        <w:tabs>
          <w:tab w:val="left" w:pos="3374"/>
        </w:tabs>
        <w:jc w:val="both"/>
        <w:rPr>
          <w:rFonts w:ascii="Verdana" w:hAnsi="Verdana" w:cs="Arial"/>
          <w:color w:val="000000" w:themeColor="text1"/>
          <w:lang w:val="es-ES_tradnl"/>
        </w:rPr>
      </w:pPr>
    </w:p>
    <w:p w14:paraId="7395DF81" w14:textId="77777777" w:rsidR="00B33517" w:rsidRDefault="00B33517" w:rsidP="009143F1">
      <w:pPr>
        <w:tabs>
          <w:tab w:val="left" w:pos="3374"/>
        </w:tabs>
        <w:jc w:val="both"/>
        <w:rPr>
          <w:rFonts w:ascii="Verdana" w:hAnsi="Verdana" w:cs="Arial"/>
          <w:color w:val="000000" w:themeColor="text1"/>
          <w:lang w:val="es-ES_tradnl"/>
        </w:rPr>
      </w:pPr>
    </w:p>
    <w:p w14:paraId="08F7DEB8" w14:textId="77777777" w:rsidR="00B33517" w:rsidRDefault="00B33517" w:rsidP="009143F1">
      <w:pPr>
        <w:tabs>
          <w:tab w:val="left" w:pos="3374"/>
        </w:tabs>
        <w:jc w:val="both"/>
        <w:rPr>
          <w:rFonts w:ascii="Verdana" w:hAnsi="Verdana" w:cs="Arial"/>
          <w:color w:val="000000" w:themeColor="text1"/>
          <w:lang w:val="es-ES_tradnl"/>
        </w:rPr>
      </w:pPr>
    </w:p>
    <w:p w14:paraId="215C5809" w14:textId="77777777" w:rsidR="00B33517" w:rsidRDefault="00B33517" w:rsidP="009143F1">
      <w:pPr>
        <w:tabs>
          <w:tab w:val="left" w:pos="3374"/>
        </w:tabs>
        <w:jc w:val="both"/>
        <w:rPr>
          <w:rFonts w:ascii="Verdana" w:hAnsi="Verdana" w:cs="Arial"/>
          <w:color w:val="000000" w:themeColor="text1"/>
          <w:lang w:val="es-ES_tradnl"/>
        </w:rPr>
      </w:pPr>
    </w:p>
    <w:p w14:paraId="7F384CCC" w14:textId="02D8C678" w:rsidR="007D5768" w:rsidRDefault="007D5768" w:rsidP="007D5768">
      <w:pPr>
        <w:spacing w:after="0"/>
        <w:rPr>
          <w:rFonts w:ascii="Verdana" w:hAnsi="Verdana"/>
        </w:rPr>
      </w:pPr>
      <w:r w:rsidRPr="0044528D">
        <w:rPr>
          <w:rFonts w:ascii="Verdana" w:hAnsi="Verdana"/>
        </w:rPr>
        <w:lastRenderedPageBreak/>
        <w:t xml:space="preserve">Bogotá D.C., </w:t>
      </w:r>
      <w:r w:rsidR="00645CB7">
        <w:rPr>
          <w:rFonts w:ascii="Verdana" w:hAnsi="Verdana"/>
        </w:rPr>
        <w:t>25 de marzo de 2025.</w:t>
      </w:r>
    </w:p>
    <w:p w14:paraId="1673010F" w14:textId="77777777" w:rsidR="007D5768" w:rsidRDefault="007D5768" w:rsidP="007D5768">
      <w:pPr>
        <w:spacing w:after="0"/>
        <w:rPr>
          <w:rFonts w:ascii="Verdana" w:hAnsi="Verdana"/>
        </w:rPr>
      </w:pPr>
      <w:bookmarkStart w:id="2" w:name="_Hlk180638295"/>
      <w:bookmarkEnd w:id="0"/>
    </w:p>
    <w:p w14:paraId="54FC63A1" w14:textId="094CF6C9"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3A2ECF" w:rsidRPr="005E62E2">
        <w:rPr>
          <w:rFonts w:ascii="Verdana" w:eastAsia="Calibri" w:hAnsi="Verdana" w:cs="Arial"/>
          <w:lang w:eastAsia="es-ES"/>
        </w:rPr>
        <w:tab/>
      </w:r>
    </w:p>
    <w:p w14:paraId="5A4D026C" w14:textId="3EA323DD" w:rsidR="00461E0F" w:rsidRDefault="00606078" w:rsidP="007D5768">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LUIS GUILLERMO CARDENAS SANDOVAL</w:t>
      </w:r>
    </w:p>
    <w:p w14:paraId="2CA7E4F4" w14:textId="126F596F" w:rsidR="00606078" w:rsidRPr="00606078" w:rsidRDefault="00606078" w:rsidP="007D5768">
      <w:pPr>
        <w:spacing w:after="0" w:line="240" w:lineRule="auto"/>
        <w:rPr>
          <w:rFonts w:ascii="Verdana" w:hAnsi="Verdana"/>
        </w:rPr>
      </w:pPr>
      <w:hyperlink r:id="rId11" w:history="1">
        <w:r w:rsidRPr="00606078">
          <w:rPr>
            <w:rStyle w:val="Hipervnculo"/>
            <w:rFonts w:ascii="Verdana" w:hAnsi="Verdana"/>
          </w:rPr>
          <w:t>luisguillermocardenassandoval@yahoo.com</w:t>
        </w:r>
      </w:hyperlink>
    </w:p>
    <w:p w14:paraId="4E77D58E" w14:textId="118ED94C" w:rsidR="00C63E0F" w:rsidRPr="005E62E2" w:rsidRDefault="00606078" w:rsidP="007D5768">
      <w:pPr>
        <w:spacing w:after="0" w:line="240" w:lineRule="auto"/>
        <w:rPr>
          <w:rFonts w:ascii="Verdana" w:hAnsi="Verdana"/>
        </w:rPr>
      </w:pPr>
      <w:r>
        <w:rPr>
          <w:rFonts w:ascii="Verdana" w:hAnsi="Verdana"/>
        </w:rPr>
        <w:t>Funza (Cundinamarca)</w:t>
      </w:r>
    </w:p>
    <w:p w14:paraId="70547B69" w14:textId="77777777" w:rsidR="003A2ECF" w:rsidRDefault="003A2ECF" w:rsidP="007D5768">
      <w:pPr>
        <w:spacing w:after="0" w:line="240" w:lineRule="auto"/>
        <w:rPr>
          <w:rFonts w:ascii="Verdana" w:eastAsia="Calibri" w:hAnsi="Verdana" w:cs="Arial"/>
          <w:b/>
          <w:bCs/>
          <w:color w:val="000000"/>
          <w:lang w:val="es-ES_tradnl" w:eastAsia="es-ES_tradnl"/>
        </w:rPr>
      </w:pPr>
    </w:p>
    <w:p w14:paraId="0C6151FF" w14:textId="77777777" w:rsidR="00645CB7" w:rsidRDefault="00645CB7" w:rsidP="007D5768">
      <w:pPr>
        <w:spacing w:after="0" w:line="240" w:lineRule="auto"/>
        <w:rPr>
          <w:rFonts w:ascii="Verdana" w:eastAsia="Calibri" w:hAnsi="Verdana" w:cs="Arial"/>
          <w:b/>
          <w:bCs/>
          <w:color w:val="000000"/>
          <w:lang w:val="es-ES_tradnl" w:eastAsia="es-ES_tradnl"/>
        </w:rPr>
      </w:pPr>
    </w:p>
    <w:p w14:paraId="0EBD9FF7" w14:textId="55B3DBD4" w:rsidR="00645CB7" w:rsidRDefault="00645CB7" w:rsidP="00645CB7">
      <w:pPr>
        <w:spacing w:after="0" w:line="240" w:lineRule="auto"/>
        <w:jc w:val="right"/>
        <w:rPr>
          <w:rFonts w:ascii="Verdana" w:eastAsia="Calibri" w:hAnsi="Verdana" w:cs="Arial"/>
          <w:b/>
          <w:bCs/>
          <w:color w:val="000000"/>
          <w:lang w:val="es-ES_tradnl" w:eastAsia="es-ES_tradnl"/>
        </w:rPr>
      </w:pPr>
      <w:r>
        <w:rPr>
          <w:rFonts w:ascii="Verdana" w:eastAsia="Calibri" w:hAnsi="Verdana" w:cs="Arial"/>
          <w:b/>
          <w:bCs/>
          <w:noProof/>
          <w:color w:val="000000"/>
          <w:lang w:val="es-ES_tradnl" w:eastAsia="es-ES_tradnl"/>
        </w:rPr>
        <w:drawing>
          <wp:inline distT="0" distB="0" distL="0" distR="0" wp14:anchorId="2425DAA3" wp14:editId="2CAF21E3">
            <wp:extent cx="2686050" cy="809625"/>
            <wp:effectExtent l="0" t="0" r="0" b="9525"/>
            <wp:docPr id="12152058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050" cy="809625"/>
                    </a:xfrm>
                    <a:prstGeom prst="rect">
                      <a:avLst/>
                    </a:prstGeom>
                    <a:noFill/>
                    <a:ln>
                      <a:noFill/>
                    </a:ln>
                  </pic:spPr>
                </pic:pic>
              </a:graphicData>
            </a:graphic>
          </wp:inline>
        </w:drawing>
      </w:r>
    </w:p>
    <w:p w14:paraId="0FDDD191" w14:textId="77777777" w:rsidR="00645CB7" w:rsidRDefault="00645CB7" w:rsidP="007D5768">
      <w:pPr>
        <w:spacing w:after="0" w:line="240" w:lineRule="auto"/>
        <w:rPr>
          <w:rFonts w:ascii="Verdana" w:eastAsia="Calibri" w:hAnsi="Verdana" w:cs="Arial"/>
          <w:b/>
          <w:bCs/>
          <w:color w:val="000000"/>
          <w:lang w:val="es-ES_tradnl" w:eastAsia="es-ES_tradnl"/>
        </w:rPr>
      </w:pPr>
    </w:p>
    <w:p w14:paraId="3B7E2BE8" w14:textId="77777777" w:rsidR="00645CB7" w:rsidRDefault="00645CB7"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041C9F46"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FB76D0">
              <w:rPr>
                <w:rFonts w:ascii="Verdana" w:eastAsia="Calibri" w:hAnsi="Verdana" w:cs="Arial"/>
                <w:b/>
                <w:bCs/>
                <w:lang w:val="es-ES" w:eastAsia="es-ES"/>
              </w:rPr>
              <w:t>2</w:t>
            </w:r>
            <w:r w:rsidR="00955D18">
              <w:rPr>
                <w:rFonts w:ascii="Verdana" w:eastAsia="Calibri" w:hAnsi="Verdana" w:cs="Arial"/>
                <w:b/>
                <w:bCs/>
                <w:lang w:val="es-ES" w:eastAsia="es-ES"/>
              </w:rPr>
              <w:t>1</w:t>
            </w:r>
            <w:r w:rsidR="00606078">
              <w:rPr>
                <w:rFonts w:ascii="Verdana" w:eastAsia="Calibri" w:hAnsi="Verdana" w:cs="Arial"/>
                <w:b/>
                <w:bCs/>
                <w:lang w:val="es-ES" w:eastAsia="es-ES"/>
              </w:rPr>
              <w:t>8</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593A5F"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62C72EB8" w14:textId="499D4585" w:rsidR="003F2418" w:rsidRPr="00606078" w:rsidRDefault="00AF79BC" w:rsidP="00E5035C">
            <w:pPr>
              <w:jc w:val="both"/>
              <w:rPr>
                <w:rFonts w:ascii="Verdana" w:eastAsia="Calibri" w:hAnsi="Verdana" w:cs="Arial"/>
                <w:b/>
                <w:highlight w:val="yellow"/>
                <w:lang w:val="es-ES" w:eastAsia="es-ES"/>
              </w:rPr>
            </w:pPr>
            <w:r w:rsidRPr="00AF79BC">
              <w:rPr>
                <w:rFonts w:ascii="Verdana" w:eastAsia="Geomanist Light" w:hAnsi="Verdana" w:cs="Arial"/>
                <w:b/>
                <w:lang w:val="es-ES"/>
              </w:rPr>
              <w:t xml:space="preserve">SELECCIÓN ABREVIADA – </w:t>
            </w:r>
            <w:r w:rsidRPr="00AF79BC">
              <w:rPr>
                <w:rFonts w:ascii="Verdana" w:eastAsia="Geomanist Light" w:hAnsi="Verdana" w:cs="Arial"/>
                <w:bCs/>
                <w:lang w:val="es-ES"/>
              </w:rPr>
              <w:t>Selección abreviada de menor cuantía – Características</w:t>
            </w: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033C20D7"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606078" w:rsidRPr="00606078">
              <w:rPr>
                <w:rFonts w:ascii="Verdana" w:eastAsia="Calibri" w:hAnsi="Verdana" w:cs="Arial"/>
                <w:lang w:val="es-ES_tradnl" w:eastAsia="es-ES_tradnl"/>
              </w:rPr>
              <w:t>P20250220001679</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68C087E3"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014C5">
        <w:rPr>
          <w:rFonts w:ascii="Verdana" w:eastAsia="Calibri" w:hAnsi="Verdana" w:cs="Arial"/>
          <w:lang w:val="es-ES" w:eastAsia="es-ES"/>
        </w:rPr>
        <w:t>o</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EF4E84">
        <w:rPr>
          <w:rFonts w:ascii="Verdana" w:eastAsia="Calibri" w:hAnsi="Verdana" w:cs="Arial"/>
          <w:lang w:val="es-ES" w:eastAsia="es-ES"/>
        </w:rPr>
        <w:t xml:space="preserve"> </w:t>
      </w:r>
      <w:r w:rsidR="00606078">
        <w:rPr>
          <w:rFonts w:ascii="Verdana" w:eastAsia="Calibri" w:hAnsi="Verdana" w:cs="Arial"/>
          <w:lang w:val="es-ES" w:eastAsia="es-ES"/>
        </w:rPr>
        <w:t>Cardenas</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4AC1E9FC"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EF4E84">
        <w:rPr>
          <w:rFonts w:ascii="Verdana" w:eastAsia="Calibri" w:hAnsi="Verdana" w:cs="Arial"/>
          <w:lang w:val="es-ES" w:eastAsia="es-ES"/>
        </w:rPr>
        <w:t>1</w:t>
      </w:r>
      <w:r w:rsidR="00955D18">
        <w:rPr>
          <w:rFonts w:ascii="Verdana" w:eastAsia="Calibri" w:hAnsi="Verdana" w:cs="Arial"/>
          <w:lang w:val="es-ES" w:eastAsia="es-ES"/>
        </w:rPr>
        <w:t>9</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955D18">
        <w:rPr>
          <w:rFonts w:ascii="Verdana" w:eastAsia="Calibri" w:hAnsi="Verdana" w:cs="Arial"/>
          <w:lang w:val="es-ES" w:eastAsia="es-ES"/>
        </w:rPr>
        <w:t>febrero</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409F5F76" w14:textId="0C3A4144" w:rsidR="00EF4E84" w:rsidRPr="009D04B0" w:rsidRDefault="00E6781E" w:rsidP="00461E0F">
      <w:pPr>
        <w:pStyle w:val="Prrafodelista"/>
        <w:tabs>
          <w:tab w:val="left" w:pos="142"/>
          <w:tab w:val="left" w:pos="284"/>
        </w:tabs>
        <w:ind w:left="709" w:right="709"/>
        <w:jc w:val="both"/>
        <w:rPr>
          <w:rFonts w:ascii="Verdana" w:eastAsia="Century Gothic" w:hAnsi="Verdana" w:cs="Century Gothic"/>
          <w:i/>
          <w:iCs/>
        </w:rPr>
      </w:pPr>
      <w:r w:rsidRPr="009D04B0">
        <w:rPr>
          <w:rFonts w:ascii="Verdana" w:eastAsia="Century Gothic" w:hAnsi="Verdana" w:cs="Century Gothic"/>
          <w:i/>
          <w:iCs/>
          <w:lang w:val="es-CO"/>
        </w:rPr>
        <w:t>“</w:t>
      </w:r>
      <w:r w:rsidR="00FB76D0" w:rsidRPr="009D04B0">
        <w:rPr>
          <w:rFonts w:ascii="Verdana" w:eastAsia="Century Gothic" w:hAnsi="Verdana" w:cs="Century Gothic"/>
          <w:i/>
          <w:iCs/>
          <w:lang w:val="es-CO"/>
        </w:rPr>
        <w:t xml:space="preserve">(…) </w:t>
      </w:r>
    </w:p>
    <w:p w14:paraId="6F935AC0" w14:textId="2AA26F7D" w:rsidR="009D04B0" w:rsidRPr="009D04B0" w:rsidRDefault="00955D18" w:rsidP="009D04B0">
      <w:pPr>
        <w:pStyle w:val="Prrafodelista"/>
        <w:tabs>
          <w:tab w:val="left" w:pos="142"/>
          <w:tab w:val="left" w:pos="284"/>
        </w:tabs>
        <w:ind w:left="709" w:right="709"/>
        <w:jc w:val="both"/>
        <w:rPr>
          <w:rFonts w:ascii="Verdana" w:eastAsia="Century Gothic" w:hAnsi="Verdana" w:cs="Century Gothic"/>
          <w:i/>
          <w:iCs/>
          <w:lang w:val="es-CO"/>
        </w:rPr>
      </w:pPr>
      <w:r w:rsidRPr="009D04B0">
        <w:rPr>
          <w:rFonts w:ascii="Verdana" w:eastAsia="Century Gothic" w:hAnsi="Verdana" w:cs="Century Gothic"/>
          <w:i/>
          <w:iCs/>
          <w:lang w:val="es-CO"/>
        </w:rPr>
        <w:lastRenderedPageBreak/>
        <w:t xml:space="preserve"> </w:t>
      </w:r>
      <w:r w:rsidR="009D04B0" w:rsidRPr="009D04B0">
        <w:rPr>
          <w:rFonts w:ascii="Verdana" w:eastAsia="Century Gothic" w:hAnsi="Verdana" w:cs="Century Gothic"/>
          <w:i/>
          <w:iCs/>
          <w:lang w:val="es-CO"/>
        </w:rPr>
        <w:t>En el caso de selección abreviada de menor cuantía cuando las entidades reciben más de 10 manifestaciones de interés las mismas deben realizar un sorteo, del cual se escogen 10 posibles proponentes quienes podrán presentar propuesta. Mi consulta es si las entidades están en la potestad de realizar dicho sorteo a puerta cerrada sin permitir el ingreso al mismo de los posibles oferentes o</w:t>
      </w:r>
    </w:p>
    <w:p w14:paraId="4A1949FF" w14:textId="04FEDE2E" w:rsidR="00955D18" w:rsidRPr="009D04B0" w:rsidRDefault="009D04B0" w:rsidP="009D04B0">
      <w:pPr>
        <w:pStyle w:val="Prrafodelista"/>
        <w:tabs>
          <w:tab w:val="left" w:pos="142"/>
          <w:tab w:val="left" w:pos="284"/>
        </w:tabs>
        <w:ind w:left="709" w:right="709"/>
        <w:jc w:val="both"/>
        <w:rPr>
          <w:rFonts w:ascii="Verdana" w:eastAsia="Century Gothic" w:hAnsi="Verdana" w:cs="Century Gothic"/>
          <w:i/>
          <w:iCs/>
        </w:rPr>
      </w:pPr>
      <w:r w:rsidRPr="009D04B0">
        <w:rPr>
          <w:rFonts w:ascii="Verdana" w:eastAsia="Century Gothic" w:hAnsi="Verdana" w:cs="Century Gothic"/>
          <w:i/>
          <w:iCs/>
          <w:lang w:val="es-CO"/>
        </w:rPr>
        <w:t>veedurías? ¿el sorteo lo pueden realizar fuera de las instalaciones de la entidad que adelanta el proceso? De ser positiva o negativa la respuesta me podrían indicar por favor la jurisprudencia que lo respalda“(…)</w:t>
      </w:r>
      <w:r w:rsidR="00955D18" w:rsidRPr="009D04B0">
        <w:rPr>
          <w:rFonts w:ascii="Verdana" w:eastAsia="Century Gothic" w:hAnsi="Verdana" w:cs="Century Gothic"/>
          <w:i/>
          <w:iCs/>
          <w:lang w:val="es-CO"/>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77777777"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60344BA" w14:textId="77777777" w:rsidR="007D5768" w:rsidRDefault="007D576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2D7B7363" w14:textId="1F7C99AB" w:rsidR="00AA6478" w:rsidRDefault="007D5768" w:rsidP="001561D6">
      <w:pPr>
        <w:pStyle w:val="Prrafodelista"/>
        <w:ind w:left="0" w:right="49"/>
        <w:jc w:val="both"/>
        <w:rPr>
          <w:rFonts w:ascii="Verdana" w:hAnsi="Verdana"/>
        </w:rPr>
      </w:pPr>
      <w:r w:rsidRPr="00B22D91">
        <w:rPr>
          <w:rFonts w:ascii="Verdana" w:eastAsia="Century Gothic" w:hAnsi="Verdana" w:cs="Century Gothic"/>
        </w:rPr>
        <w:lastRenderedPageBreak/>
        <w:t xml:space="preserve">De acuerdo con el contenido de su solicitud, esta Agencia resolverá </w:t>
      </w:r>
      <w:r w:rsidR="00ED291B">
        <w:rPr>
          <w:rFonts w:ascii="Verdana" w:eastAsia="Century Gothic" w:hAnsi="Verdana" w:cs="Century Gothic"/>
        </w:rPr>
        <w:t xml:space="preserve">el </w:t>
      </w:r>
      <w:r>
        <w:rPr>
          <w:rFonts w:ascii="Verdana" w:eastAsia="Century Gothic" w:hAnsi="Verdana" w:cs="Century Gothic"/>
        </w:rPr>
        <w:t xml:space="preserve">siguiente </w:t>
      </w:r>
      <w:r w:rsidRPr="00B22D91">
        <w:rPr>
          <w:rFonts w:ascii="Verdana" w:eastAsia="Century Gothic" w:hAnsi="Verdana" w:cs="Century Gothic"/>
        </w:rPr>
        <w:t>problema jurídico</w:t>
      </w:r>
      <w:r w:rsidR="005F7B58">
        <w:rPr>
          <w:rFonts w:ascii="Verdana" w:eastAsia="Century Gothic" w:hAnsi="Verdana" w:cs="Century Gothic"/>
        </w:rPr>
        <w:t>s</w:t>
      </w:r>
      <w:r w:rsidRPr="00B22D91">
        <w:rPr>
          <w:rFonts w:ascii="Verdana" w:eastAsia="Century Gothic" w:hAnsi="Verdana" w:cs="Century Gothic"/>
        </w:rPr>
        <w:t>:</w:t>
      </w:r>
      <w:r w:rsidR="00F51BC1">
        <w:rPr>
          <w:rFonts w:ascii="Verdana" w:eastAsia="Century Gothic" w:hAnsi="Verdana" w:cs="Century Gothic"/>
        </w:rPr>
        <w:t xml:space="preserve"> </w:t>
      </w:r>
      <w:r w:rsidR="00AF79BC" w:rsidRPr="00AF79BC">
        <w:rPr>
          <w:rFonts w:ascii="Verdana" w:hAnsi="Verdana"/>
        </w:rPr>
        <w:t>¿Cuál es el procedimiento que se debe llevar a cabo para realizar el sorteo previsto en el numeral segundo del artículo 2</w:t>
      </w:r>
      <w:r w:rsidR="00AF79BC">
        <w:rPr>
          <w:rFonts w:ascii="Verdana" w:hAnsi="Verdana"/>
        </w:rPr>
        <w:t>.</w:t>
      </w:r>
      <w:r w:rsidR="00AF79BC" w:rsidRPr="00AF79BC">
        <w:rPr>
          <w:rFonts w:ascii="Verdana" w:hAnsi="Verdana"/>
        </w:rPr>
        <w:t>2.1.2.1.2.20 del Decreto 1082 de 2015</w:t>
      </w:r>
      <w:r w:rsidR="00AA6478" w:rsidRPr="00AF79BC">
        <w:rPr>
          <w:rFonts w:ascii="Verdana" w:hAnsi="Verdana"/>
        </w:rPr>
        <w:t>?</w:t>
      </w:r>
    </w:p>
    <w:p w14:paraId="248FD51D" w14:textId="77777777" w:rsidR="001561D6" w:rsidRDefault="001561D6" w:rsidP="001561D6">
      <w:pPr>
        <w:pStyle w:val="Prrafodelista"/>
        <w:ind w:left="0" w:right="49"/>
        <w:jc w:val="both"/>
        <w:rPr>
          <w:rFonts w:ascii="Verdana" w:eastAsia="Century Gothic" w:hAnsi="Verdana" w:cs="Century Gothic"/>
          <w:i/>
          <w:iCs/>
        </w:rPr>
      </w:pP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06D56F11" w14:textId="50A7186E" w:rsidR="001F7E1D" w:rsidRDefault="00306C5A" w:rsidP="00770D74">
            <w:pPr>
              <w:spacing w:after="120" w:line="276" w:lineRule="auto"/>
              <w:jc w:val="both"/>
              <w:rPr>
                <w:rFonts w:ascii="Verdana" w:hAnsi="Verdana"/>
              </w:rPr>
            </w:pPr>
            <w:r>
              <w:rPr>
                <w:rFonts w:ascii="Verdana" w:eastAsia="Arial MT" w:hAnsi="Verdana" w:cs="Arial"/>
                <w:lang w:eastAsia="es-ES" w:bidi="es-ES"/>
              </w:rPr>
              <w:t xml:space="preserve">      </w:t>
            </w:r>
            <w:r w:rsidR="001F7E1D">
              <w:rPr>
                <w:rFonts w:ascii="Verdana" w:eastAsia="Arial MT" w:hAnsi="Verdana" w:cs="Arial"/>
                <w:lang w:eastAsia="es-ES" w:bidi="es-ES"/>
              </w:rPr>
              <w:t xml:space="preserve">   </w:t>
            </w:r>
            <w:r w:rsidR="006E790E" w:rsidRPr="00757DEA">
              <w:rPr>
                <w:rFonts w:ascii="Verdana" w:hAnsi="Verdana"/>
              </w:rPr>
              <w:t xml:space="preserve"> </w:t>
            </w:r>
            <w:r w:rsidR="001F7E1D" w:rsidRPr="00185EE9">
              <w:rPr>
                <w:rFonts w:ascii="Verdana" w:eastAsia="Calibri" w:hAnsi="Verdana" w:cs="Arial"/>
              </w:rPr>
              <w:t>La selección abreviada se caracteriza por tener etapas sencillas y términos relativamente más cortos que los de la licitación pública, lo cual se justifica por las circunstancias, la naturaleza y los objetos que se contratan a través de esta modalidad</w:t>
            </w:r>
          </w:p>
          <w:p w14:paraId="26B9A0C4" w14:textId="77777777" w:rsidR="00652CBE" w:rsidRDefault="001F7E1D" w:rsidP="00770D74">
            <w:pPr>
              <w:spacing w:after="120" w:line="276" w:lineRule="auto"/>
              <w:jc w:val="both"/>
              <w:rPr>
                <w:rFonts w:ascii="Verdana" w:hAnsi="Verdana" w:cs="Arial"/>
                <w:bCs/>
                <w:color w:val="000000" w:themeColor="text1"/>
              </w:rPr>
            </w:pPr>
            <w:r>
              <w:rPr>
                <w:rFonts w:ascii="Verdana" w:hAnsi="Verdana"/>
              </w:rPr>
              <w:t xml:space="preserve">        De esta manera, e</w:t>
            </w:r>
            <w:r w:rsidR="00770D74">
              <w:rPr>
                <w:rFonts w:ascii="Verdana" w:hAnsi="Verdana"/>
              </w:rPr>
              <w:t>l numeral segundo del a</w:t>
            </w:r>
            <w:r w:rsidR="00770D74" w:rsidRPr="00770D74">
              <w:rPr>
                <w:rFonts w:ascii="Verdana" w:hAnsi="Verdana"/>
              </w:rPr>
              <w:t>rtículo 2.2.1.2.1.2.20</w:t>
            </w:r>
            <w:r w:rsidR="00770D74">
              <w:rPr>
                <w:rFonts w:ascii="Verdana" w:hAnsi="Verdana"/>
              </w:rPr>
              <w:t xml:space="preserve"> del Decreto 1082 de 2015 establece </w:t>
            </w:r>
            <w:r w:rsidR="00652CBE">
              <w:rPr>
                <w:rFonts w:ascii="Verdana" w:hAnsi="Verdana"/>
              </w:rPr>
              <w:t>que,</w:t>
            </w:r>
            <w:r w:rsidR="00770D74" w:rsidRPr="00770D74">
              <w:rPr>
                <w:rFonts w:ascii="Verdana" w:hAnsi="Verdana" w:cs="Arial"/>
                <w:bCs/>
                <w:color w:val="000000" w:themeColor="text1"/>
              </w:rPr>
              <w:t xml:space="preserve"> </w:t>
            </w:r>
            <w:r w:rsidR="00FB5C6A">
              <w:rPr>
                <w:rFonts w:ascii="Verdana" w:hAnsi="Verdana" w:cs="Arial"/>
                <w:bCs/>
                <w:color w:val="000000" w:themeColor="text1"/>
              </w:rPr>
              <w:t xml:space="preserve">en </w:t>
            </w:r>
            <w:r w:rsidR="00770D74" w:rsidRPr="00770D74">
              <w:rPr>
                <w:rFonts w:ascii="Verdana" w:hAnsi="Verdana" w:cs="Arial"/>
                <w:bCs/>
                <w:color w:val="000000" w:themeColor="text1"/>
              </w:rPr>
              <w:t xml:space="preserve">los procesos de selección abreviada de menor cuantía, cuando una entidad estatal recibe más de diez manifestaciones de interés, </w:t>
            </w:r>
            <w:r w:rsidR="00083901" w:rsidRPr="00770D74">
              <w:rPr>
                <w:rFonts w:ascii="Verdana" w:hAnsi="Verdana" w:cs="Arial"/>
                <w:bCs/>
                <w:color w:val="000000" w:themeColor="text1"/>
              </w:rPr>
              <w:t>pueden</w:t>
            </w:r>
            <w:r w:rsidR="00770D74" w:rsidRPr="00770D74">
              <w:rPr>
                <w:rFonts w:ascii="Verdana" w:hAnsi="Verdana" w:cs="Arial"/>
                <w:bCs/>
                <w:color w:val="000000" w:themeColor="text1"/>
              </w:rPr>
              <w:t xml:space="preserve"> optar por realizar un sorteo para seleccionar hasta diez interesados con quienes continuará el proceso de contratación. </w:t>
            </w:r>
          </w:p>
          <w:p w14:paraId="2D0117EF" w14:textId="68362A27" w:rsidR="00652CBE" w:rsidRDefault="00652CBE" w:rsidP="00770D74">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r w:rsidRPr="0051501A">
              <w:rPr>
                <w:rFonts w:ascii="Verdana" w:hAnsi="Verdana" w:cs="Arial"/>
                <w:bCs/>
                <w:color w:val="000000" w:themeColor="text1"/>
              </w:rPr>
              <w:t xml:space="preserve">Aunque </w:t>
            </w:r>
            <w:r>
              <w:rPr>
                <w:rFonts w:ascii="Verdana" w:hAnsi="Verdana" w:cs="Arial"/>
                <w:bCs/>
                <w:color w:val="000000" w:themeColor="text1"/>
              </w:rPr>
              <w:t>el articulo</w:t>
            </w:r>
            <w:r w:rsidRPr="0051501A">
              <w:rPr>
                <w:rFonts w:ascii="Verdana" w:hAnsi="Verdana" w:cs="Arial"/>
                <w:bCs/>
                <w:color w:val="000000" w:themeColor="text1"/>
              </w:rPr>
              <w:t xml:space="preserve"> no establece un procedimiento único y obligatorio, la entidad estatal debe definir claramente en los </w:t>
            </w:r>
            <w:r w:rsidRPr="0051501A">
              <w:rPr>
                <w:rFonts w:ascii="Verdana" w:hAnsi="Verdana" w:cs="Arial"/>
                <w:b/>
                <w:bCs/>
                <w:color w:val="000000" w:themeColor="text1"/>
              </w:rPr>
              <w:t>pliegos de condiciones</w:t>
            </w:r>
            <w:r w:rsidRPr="0051501A">
              <w:rPr>
                <w:rFonts w:ascii="Verdana" w:hAnsi="Verdana" w:cs="Arial"/>
                <w:bCs/>
                <w:color w:val="000000" w:themeColor="text1"/>
              </w:rPr>
              <w:t xml:space="preserve"> cómo se llevará a cab</w:t>
            </w:r>
            <w:r>
              <w:rPr>
                <w:rFonts w:ascii="Verdana" w:hAnsi="Verdana" w:cs="Arial"/>
                <w:bCs/>
                <w:color w:val="000000" w:themeColor="text1"/>
              </w:rPr>
              <w:t xml:space="preserve">o por lo que, para </w:t>
            </w:r>
            <w:r w:rsidRPr="00770D74">
              <w:rPr>
                <w:rFonts w:ascii="Verdana" w:hAnsi="Verdana" w:cs="Arial"/>
                <w:bCs/>
                <w:color w:val="000000" w:themeColor="text1"/>
              </w:rPr>
              <w:t>garantiza</w:t>
            </w:r>
            <w:r>
              <w:rPr>
                <w:rFonts w:ascii="Verdana" w:hAnsi="Verdana" w:cs="Arial"/>
                <w:bCs/>
                <w:color w:val="000000" w:themeColor="text1"/>
              </w:rPr>
              <w:t>r</w:t>
            </w:r>
            <w:r w:rsidRPr="00770D74">
              <w:rPr>
                <w:rFonts w:ascii="Verdana" w:hAnsi="Verdana" w:cs="Arial"/>
                <w:bCs/>
                <w:color w:val="000000" w:themeColor="text1"/>
              </w:rPr>
              <w:t xml:space="preserve"> la transparencia</w:t>
            </w:r>
            <w:r>
              <w:rPr>
                <w:rFonts w:ascii="Verdana" w:hAnsi="Verdana" w:cs="Arial"/>
                <w:bCs/>
                <w:color w:val="000000" w:themeColor="text1"/>
              </w:rPr>
              <w:t>, i</w:t>
            </w:r>
            <w:r w:rsidRPr="0051501A">
              <w:rPr>
                <w:rFonts w:ascii="Verdana" w:hAnsi="Verdana" w:cs="Arial"/>
                <w:bCs/>
                <w:color w:val="000000" w:themeColor="text1"/>
              </w:rPr>
              <w:t>mparcialidad</w:t>
            </w:r>
            <w:r>
              <w:rPr>
                <w:rFonts w:ascii="Verdana" w:hAnsi="Verdana" w:cs="Arial"/>
                <w:bCs/>
                <w:color w:val="000000" w:themeColor="text1"/>
              </w:rPr>
              <w:t xml:space="preserve">, </w:t>
            </w:r>
            <w:r w:rsidRPr="0051501A">
              <w:rPr>
                <w:rFonts w:ascii="Verdana" w:hAnsi="Verdana" w:cs="Arial"/>
                <w:bCs/>
                <w:color w:val="000000" w:themeColor="text1"/>
              </w:rPr>
              <w:t>publicidad</w:t>
            </w:r>
            <w:r w:rsidRPr="00770D74">
              <w:rPr>
                <w:rFonts w:ascii="Verdana" w:hAnsi="Verdana" w:cs="Arial"/>
                <w:bCs/>
                <w:color w:val="000000" w:themeColor="text1"/>
              </w:rPr>
              <w:t xml:space="preserve"> y la igualdad de oportunidades para todos los participantes</w:t>
            </w:r>
            <w:r>
              <w:rPr>
                <w:rFonts w:ascii="Verdana" w:hAnsi="Verdana" w:cs="Arial"/>
                <w:bCs/>
                <w:color w:val="000000" w:themeColor="text1"/>
              </w:rPr>
              <w:t xml:space="preserve">, este deberá hacerse </w:t>
            </w:r>
            <w:r w:rsidRPr="00770D74">
              <w:rPr>
                <w:rFonts w:ascii="Verdana" w:hAnsi="Verdana" w:cs="Arial"/>
                <w:bCs/>
                <w:color w:val="000000" w:themeColor="text1"/>
              </w:rPr>
              <w:t>en audiencia pública</w:t>
            </w:r>
            <w:r>
              <w:rPr>
                <w:rFonts w:ascii="Verdana" w:hAnsi="Verdana" w:cs="Arial"/>
                <w:bCs/>
                <w:color w:val="000000" w:themeColor="text1"/>
              </w:rPr>
              <w:t>.</w:t>
            </w:r>
          </w:p>
          <w:p w14:paraId="28917A2E" w14:textId="7434FCC5" w:rsidR="00770D74" w:rsidRPr="00770D74" w:rsidRDefault="00770D74" w:rsidP="00770D74">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r w:rsidRPr="00770D74">
              <w:rPr>
                <w:rFonts w:ascii="Verdana" w:hAnsi="Verdana" w:cs="Arial"/>
                <w:bCs/>
                <w:color w:val="000000" w:themeColor="text1"/>
              </w:rPr>
              <w:t xml:space="preserve">La realización del sorteo en audiencia pública implica que este debe ser abierto al público, permitiendo la asistencia de los posibles oferentes y de las veedurías ciudadanas que deseen participar. </w:t>
            </w:r>
            <w:r w:rsidRPr="00770D74">
              <w:rPr>
                <w:rFonts w:ascii="Arial" w:hAnsi="Arial" w:cs="Arial"/>
                <w:bCs/>
                <w:color w:val="000000" w:themeColor="text1"/>
              </w:rPr>
              <w:t>​</w:t>
            </w:r>
          </w:p>
          <w:p w14:paraId="7008FD37" w14:textId="1EDA5A9F" w:rsidR="00770D74" w:rsidRPr="00770D74" w:rsidRDefault="00770D74" w:rsidP="00770D74">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r w:rsidRPr="00770D74">
              <w:rPr>
                <w:rFonts w:ascii="Verdana" w:hAnsi="Verdana" w:cs="Arial"/>
                <w:bCs/>
                <w:color w:val="000000" w:themeColor="text1"/>
              </w:rPr>
              <w:t xml:space="preserve">Respecto al lugar donde debe llevarse a cabo el sorteo, la normativa no especifica una ubicación exacta. Sin embargo, es común que estos actos se realicen en las instalaciones de la entidad que adelanta el proceso, ya que facilita el control y la logística del evento. Si se decide realizar el sorteo fuera de las instalaciones de la entidad, es esencial que se garantice el acceso al </w:t>
            </w:r>
            <w:r w:rsidRPr="00770D74">
              <w:rPr>
                <w:rFonts w:ascii="Verdana" w:hAnsi="Verdana" w:cs="Arial"/>
                <w:bCs/>
                <w:color w:val="000000" w:themeColor="text1"/>
              </w:rPr>
              <w:lastRenderedPageBreak/>
              <w:t>público y se cumplan los principios de transparencia y publicidad que rigen la función administrativa.</w:t>
            </w:r>
            <w:r w:rsidRPr="00770D74">
              <w:rPr>
                <w:rFonts w:ascii="Arial" w:hAnsi="Arial" w:cs="Arial"/>
                <w:bCs/>
                <w:color w:val="000000" w:themeColor="text1"/>
              </w:rPr>
              <w:t>​</w:t>
            </w:r>
            <w:r w:rsidRPr="00770D74">
              <w:rPr>
                <w:rFonts w:ascii="Verdana" w:hAnsi="Verdana" w:cs="Arial"/>
                <w:bCs/>
                <w:color w:val="000000" w:themeColor="text1"/>
              </w:rPr>
              <w:t xml:space="preserve"> </w:t>
            </w:r>
          </w:p>
          <w:p w14:paraId="47EEB54F" w14:textId="4D896C25" w:rsidR="00851635" w:rsidRPr="00831CDD" w:rsidRDefault="00083901" w:rsidP="009D4E8D">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bookmarkStart w:id="5" w:name="_Hlk193792763"/>
            <w:r>
              <w:rPr>
                <w:rFonts w:ascii="Verdana" w:hAnsi="Verdana" w:cs="Arial"/>
                <w:bCs/>
                <w:color w:val="000000" w:themeColor="text1"/>
              </w:rPr>
              <w:t xml:space="preserve">Finalmente es de precisar que </w:t>
            </w:r>
            <w:r w:rsidR="00600FA2">
              <w:rPr>
                <w:rFonts w:ascii="Verdana" w:hAnsi="Verdana" w:cs="Arial"/>
                <w:bCs/>
                <w:color w:val="000000" w:themeColor="text1"/>
              </w:rPr>
              <w:t>a</w:t>
            </w:r>
            <w:r w:rsidR="00600FA2" w:rsidRPr="00C94107">
              <w:rPr>
                <w:rFonts w:ascii="Verdana" w:hAnsi="Verdana" w:cs="Arial"/>
                <w:lang w:eastAsia="es-ES"/>
              </w:rPr>
              <w:t xml:space="preserve">l margen de la explicación precedente debe advertirse que, el análisis requerido para resolver problemas específicos en torno a la gestión contractual debe ser realizado por quienes tengan interés en ello, de acuerdo con lo explicado </w:t>
            </w:r>
            <w:r w:rsidR="00600FA2">
              <w:rPr>
                <w:rFonts w:ascii="Verdana" w:hAnsi="Verdana" w:cs="Arial"/>
                <w:lang w:eastAsia="es-ES"/>
              </w:rPr>
              <w:t xml:space="preserve">en </w:t>
            </w:r>
            <w:r w:rsidR="00600FA2" w:rsidRPr="00C94107">
              <w:rPr>
                <w:rFonts w:ascii="Verdana" w:hAnsi="Verdana" w:cs="Arial"/>
                <w:lang w:eastAsia="es-ES"/>
              </w:rPr>
              <w:t>la aclaración preliminar del presente oficio. De esta manera, las afirmaciones aquí realizadas no pueden ser interpretadas como juicios de valor sobre circunstancias concretas</w:t>
            </w:r>
            <w:r w:rsidR="00600FA2">
              <w:rPr>
                <w:rFonts w:ascii="Verdana" w:hAnsi="Verdana" w:cs="Arial"/>
                <w:lang w:eastAsia="es-ES"/>
              </w:rPr>
              <w:t>.</w:t>
            </w:r>
            <w:bookmarkEnd w:id="5"/>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2B9C7990" w14:textId="77777777" w:rsidR="007D5768" w:rsidRDefault="007D5768" w:rsidP="007D57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77FFB98E" w14:textId="77777777" w:rsidR="00770D74" w:rsidRDefault="00770D74" w:rsidP="007D5768">
      <w:pPr>
        <w:spacing w:after="0" w:line="276" w:lineRule="auto"/>
        <w:jc w:val="both"/>
        <w:rPr>
          <w:rFonts w:ascii="Verdana" w:eastAsia="Calibri" w:hAnsi="Verdana" w:cs="Arial"/>
          <w:lang w:val="es-ES"/>
        </w:rPr>
      </w:pPr>
    </w:p>
    <w:p w14:paraId="16DCB45C" w14:textId="0DC1AA16" w:rsidR="001F7E1D" w:rsidRPr="00185EE9" w:rsidRDefault="00652CBE" w:rsidP="001F7E1D">
      <w:pPr>
        <w:spacing w:after="120" w:line="276" w:lineRule="auto"/>
        <w:jc w:val="both"/>
        <w:rPr>
          <w:rFonts w:ascii="Verdana" w:eastAsia="Calibri" w:hAnsi="Verdana" w:cs="Arial"/>
          <w:bCs/>
          <w:lang w:val="es-MX" w:eastAsia="es-ES_tradnl"/>
        </w:rPr>
      </w:pPr>
      <w:r>
        <w:rPr>
          <w:rFonts w:ascii="Verdana" w:eastAsia="Calibri" w:hAnsi="Verdana" w:cs="Arial"/>
          <w:color w:val="000000"/>
          <w:szCs w:val="24"/>
          <w:lang w:val="es-ES_tradnl" w:eastAsia="es-ES_tradnl"/>
        </w:rPr>
        <w:t xml:space="preserve">         </w:t>
      </w:r>
      <w:r w:rsidR="001F7E1D" w:rsidRPr="00185EE9">
        <w:rPr>
          <w:rFonts w:ascii="Verdana" w:eastAsia="Calibri" w:hAnsi="Verdana" w:cs="Arial"/>
          <w:color w:val="000000"/>
          <w:szCs w:val="24"/>
          <w:lang w:val="es-ES_tradnl" w:eastAsia="es-ES_tradnl"/>
        </w:rPr>
        <w:t>P</w:t>
      </w:r>
      <w:r w:rsidR="001F7E1D" w:rsidRPr="00185EE9">
        <w:rPr>
          <w:rFonts w:ascii="Verdana" w:hAnsi="Verdana" w:cs="Arial"/>
          <w:lang w:val="es-ES"/>
        </w:rPr>
        <w:t xml:space="preserve">ara las entidades sometidas al Estatuto General de Contratación de la Administración Pública, los procesos de selección se rigen por </w:t>
      </w:r>
      <w:r w:rsidR="001F7E1D" w:rsidRPr="00185EE9">
        <w:rPr>
          <w:rFonts w:ascii="Verdana" w:hAnsi="Verdana" w:cs="Arial"/>
          <w:bCs/>
          <w:lang w:val="es-ES_tradnl"/>
        </w:rPr>
        <w:t>el artículo 2 de la Ley 1150 de 2007</w:t>
      </w:r>
      <w:r w:rsidR="001F7E1D" w:rsidRPr="00185EE9">
        <w:rPr>
          <w:rFonts w:ascii="Verdana" w:hAnsi="Verdana" w:cs="Arial"/>
          <w:lang w:val="es-ES"/>
        </w:rPr>
        <w:t xml:space="preserve">. El </w:t>
      </w:r>
      <w:r w:rsidR="001F7E1D" w:rsidRPr="00185EE9">
        <w:rPr>
          <w:rFonts w:ascii="Verdana" w:eastAsia="Calibri" w:hAnsi="Verdana" w:cs="Arial"/>
          <w:bCs/>
          <w:lang w:val="es-MX" w:eastAsia="es-ES_tradnl"/>
        </w:rPr>
        <w:t>numeral uno, inciso primero, de la norma citada</w:t>
      </w:r>
      <w:r w:rsidR="001F7E1D" w:rsidRPr="00185EE9">
        <w:rPr>
          <w:rFonts w:ascii="Verdana" w:hAnsi="Verdana" w:cs="Arial"/>
          <w:bCs/>
          <w:lang w:val="es-ES_tradnl"/>
        </w:rPr>
        <w:t xml:space="preserve"> </w:t>
      </w:r>
      <w:r w:rsidR="001F7E1D" w:rsidRPr="00185EE9">
        <w:rPr>
          <w:rFonts w:ascii="Verdana" w:eastAsia="Calibri" w:hAnsi="Verdana" w:cs="Arial"/>
          <w:bCs/>
          <w:lang w:val="es-MX" w:eastAsia="es-ES_tradnl"/>
        </w:rPr>
        <w:t xml:space="preserve">dispone que “La escogencia del contratista se efectuará por </w:t>
      </w:r>
      <w:r w:rsidR="001F7E1D" w:rsidRPr="00185EE9">
        <w:rPr>
          <w:rFonts w:ascii="Verdana" w:eastAsia="Calibri" w:hAnsi="Verdana" w:cs="Arial"/>
          <w:bCs/>
          <w:i/>
          <w:iCs/>
          <w:lang w:val="es-MX" w:eastAsia="es-ES_tradnl"/>
        </w:rPr>
        <w:t>regla general</w:t>
      </w:r>
      <w:r w:rsidR="001F7E1D" w:rsidRPr="00185EE9">
        <w:rPr>
          <w:rFonts w:ascii="Verdana" w:eastAsia="Calibri" w:hAnsi="Verdana" w:cs="Arial"/>
          <w:bCs/>
          <w:lang w:val="es-MX" w:eastAsia="es-ES_tradnl"/>
        </w:rPr>
        <w:t xml:space="preserve"> a través de licitación pública, con las </w:t>
      </w:r>
      <w:r w:rsidR="001F7E1D" w:rsidRPr="00185EE9">
        <w:rPr>
          <w:rFonts w:ascii="Verdana" w:eastAsia="Calibri" w:hAnsi="Verdana" w:cs="Arial"/>
          <w:bCs/>
          <w:i/>
          <w:iCs/>
          <w:lang w:val="es-MX" w:eastAsia="es-ES_tradnl"/>
        </w:rPr>
        <w:t>excepciones</w:t>
      </w:r>
      <w:r w:rsidR="001F7E1D" w:rsidRPr="00185EE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001F7E1D" w:rsidRPr="00185EE9">
        <w:rPr>
          <w:rStyle w:val="Refdenotaalpie"/>
          <w:rFonts w:ascii="Verdana" w:eastAsia="Calibri" w:hAnsi="Verdana" w:cs="Arial"/>
          <w:bCs/>
          <w:lang w:val="es-MX" w:eastAsia="es-ES_tradnl"/>
        </w:rPr>
        <w:footnoteReference w:id="1"/>
      </w:r>
      <w:r w:rsidR="001F7E1D" w:rsidRPr="00185EE9">
        <w:rPr>
          <w:rFonts w:ascii="Verdana" w:eastAsia="Calibri" w:hAnsi="Verdana" w:cs="Arial"/>
          <w:bCs/>
          <w:lang w:val="es-MX" w:eastAsia="es-ES_tradnl"/>
        </w:rPr>
        <w:t xml:space="preserve">. </w:t>
      </w:r>
    </w:p>
    <w:p w14:paraId="2BFFE94B" w14:textId="77777777" w:rsidR="001F7E1D" w:rsidRPr="00185EE9" w:rsidRDefault="001F7E1D" w:rsidP="001F7E1D">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 xml:space="preserve">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w:t>
      </w:r>
      <w:r w:rsidRPr="00185EE9">
        <w:rPr>
          <w:rFonts w:ascii="Verdana" w:eastAsia="Calibri" w:hAnsi="Verdana" w:cs="Arial"/>
          <w:bCs/>
          <w:lang w:val="es-MX" w:eastAsia="es-ES_tradnl"/>
        </w:rPr>
        <w:lastRenderedPageBreak/>
        <w:t>mínima cuantía– o sin concurrencia de proponentes –por ejemplo, la contratación directa–.</w:t>
      </w:r>
    </w:p>
    <w:p w14:paraId="13A59ABF" w14:textId="15A9E385" w:rsidR="001F7E1D" w:rsidRPr="00185EE9" w:rsidRDefault="001F7E1D" w:rsidP="001F7E1D">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t xml:space="preserve">Respecto a la selección abreviada, </w:t>
      </w:r>
      <w:bookmarkStart w:id="6" w:name="_Hlk39070608"/>
      <w:r w:rsidRPr="00185EE9">
        <w:rPr>
          <w:rFonts w:ascii="Verdana" w:eastAsia="Calibri" w:hAnsi="Verdana" w:cs="Arial"/>
        </w:rPr>
        <w:t>el numeral 2 del artículo 2 de la Ley 1150 de 2007</w:t>
      </w:r>
      <w:bookmarkEnd w:id="6"/>
      <w:r w:rsidRPr="00185EE9">
        <w:rPr>
          <w:rFonts w:ascii="Verdana" w:eastAsia="Calibri" w:hAnsi="Verdana" w:cs="Arial"/>
        </w:rPr>
        <w:t xml:space="preserve"> dispone</w:t>
      </w:r>
      <w:r>
        <w:rPr>
          <w:rFonts w:ascii="Verdana" w:eastAsia="Calibri" w:hAnsi="Verdana" w:cs="Arial"/>
        </w:rPr>
        <w:t>:</w:t>
      </w:r>
      <w:r w:rsidRPr="00185EE9">
        <w:rPr>
          <w:rFonts w:ascii="Verdana" w:eastAsia="Calibri" w:hAnsi="Verdana" w:cs="Arial"/>
        </w:rPr>
        <w:t xml:space="preserv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009D4E8D">
        <w:rPr>
          <w:rFonts w:ascii="Verdana" w:eastAsia="Calibri" w:hAnsi="Verdana" w:cs="Arial"/>
        </w:rPr>
        <w:t>.</w:t>
      </w:r>
    </w:p>
    <w:p w14:paraId="532E4337" w14:textId="77777777" w:rsidR="001F7E1D" w:rsidRPr="00185EE9" w:rsidRDefault="001F7E1D" w:rsidP="001F7E1D">
      <w:pPr>
        <w:spacing w:after="0" w:line="276" w:lineRule="auto"/>
        <w:ind w:firstLine="708"/>
        <w:jc w:val="both"/>
        <w:rPr>
          <w:rFonts w:ascii="Verdana" w:eastAsia="Calibri" w:hAnsi="Verdana" w:cs="Arial"/>
        </w:rPr>
      </w:pPr>
      <w:bookmarkStart w:id="7" w:name="_Hlk39174727"/>
      <w:r w:rsidRPr="00185EE9">
        <w:rPr>
          <w:rFonts w:ascii="Verdana" w:eastAsia="Calibri" w:hAnsi="Verdana" w:cs="Arial"/>
        </w:rPr>
        <w:t>Se trata de un procedimiento que, conforme a la reglamentación que expida el Gobierno Nacional, agiliza la contratación estatal en los eventos en que no se justifica adelantar una licitación pública, pero tampoco limita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7"/>
      <w:r w:rsidRPr="00185EE9">
        <w:rPr>
          <w:rFonts w:ascii="Verdana" w:eastAsia="Calibri" w:hAnsi="Verdana" w:cs="Arial"/>
        </w:rPr>
        <w:t>. En la exposición de motivos se explica lo siguiente:</w:t>
      </w:r>
    </w:p>
    <w:p w14:paraId="30D566CE" w14:textId="77777777" w:rsidR="001F7E1D" w:rsidRPr="00185EE9" w:rsidRDefault="001F7E1D" w:rsidP="001F7E1D">
      <w:pPr>
        <w:spacing w:after="0" w:line="276" w:lineRule="auto"/>
        <w:jc w:val="both"/>
        <w:rPr>
          <w:rFonts w:ascii="Verdana" w:eastAsia="Calibri" w:hAnsi="Verdana" w:cs="Arial"/>
        </w:rPr>
      </w:pPr>
    </w:p>
    <w:p w14:paraId="05D5ADCD" w14:textId="77777777" w:rsidR="001F7E1D" w:rsidRPr="00A80320" w:rsidRDefault="001F7E1D" w:rsidP="001F7E1D">
      <w:pPr>
        <w:spacing w:after="120" w:line="240" w:lineRule="auto"/>
        <w:ind w:left="709" w:right="709"/>
        <w:jc w:val="both"/>
        <w:rPr>
          <w:rFonts w:ascii="Verdana" w:eastAsia="Calibri" w:hAnsi="Verdana" w:cs="Arial"/>
          <w:sz w:val="20"/>
          <w:szCs w:val="20"/>
        </w:rPr>
      </w:pPr>
      <w:r w:rsidRPr="00A80320">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71795774" w14:textId="77777777" w:rsidR="001F7E1D" w:rsidRPr="00A80320" w:rsidRDefault="001F7E1D" w:rsidP="001F7E1D">
      <w:pPr>
        <w:spacing w:after="0" w:line="240" w:lineRule="auto"/>
        <w:ind w:left="709" w:right="709"/>
        <w:jc w:val="both"/>
        <w:rPr>
          <w:rFonts w:ascii="Verdana" w:eastAsia="Calibri" w:hAnsi="Verdana" w:cs="Arial"/>
          <w:sz w:val="20"/>
          <w:szCs w:val="20"/>
        </w:rPr>
      </w:pPr>
      <w:r w:rsidRPr="00A80320">
        <w:rPr>
          <w:rFonts w:ascii="Verdana" w:eastAsia="Calibri" w:hAnsi="Verdana" w:cs="Arial"/>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w:t>
      </w:r>
      <w:r w:rsidRPr="00A80320">
        <w:rPr>
          <w:rStyle w:val="Refdenotaalpie"/>
          <w:rFonts w:ascii="Verdana" w:eastAsia="Calibri" w:hAnsi="Verdana" w:cs="Arial"/>
          <w:sz w:val="20"/>
          <w:szCs w:val="20"/>
        </w:rPr>
        <w:footnoteReference w:id="2"/>
      </w:r>
      <w:r w:rsidRPr="00A80320">
        <w:rPr>
          <w:rFonts w:ascii="Verdana" w:eastAsia="Calibri" w:hAnsi="Verdana" w:cs="Arial"/>
          <w:sz w:val="20"/>
          <w:szCs w:val="20"/>
        </w:rPr>
        <w:t>.</w:t>
      </w:r>
    </w:p>
    <w:p w14:paraId="571CF001" w14:textId="77777777" w:rsidR="001F7E1D" w:rsidRPr="00185EE9" w:rsidRDefault="001F7E1D" w:rsidP="001F7E1D">
      <w:pPr>
        <w:spacing w:after="0" w:line="276" w:lineRule="auto"/>
        <w:jc w:val="both"/>
        <w:rPr>
          <w:rFonts w:ascii="Verdana" w:eastAsia="Calibri" w:hAnsi="Verdana" w:cs="Arial"/>
        </w:rPr>
      </w:pPr>
    </w:p>
    <w:p w14:paraId="0C3041BD" w14:textId="77777777" w:rsidR="001F7E1D" w:rsidRPr="00185EE9" w:rsidRDefault="001F7E1D" w:rsidP="001F7E1D">
      <w:pPr>
        <w:spacing w:after="120" w:line="276" w:lineRule="auto"/>
        <w:ind w:firstLine="709"/>
        <w:jc w:val="both"/>
        <w:rPr>
          <w:rFonts w:ascii="Verdana" w:eastAsia="Calibri" w:hAnsi="Verdana" w:cs="Arial"/>
        </w:rPr>
      </w:pPr>
      <w:r w:rsidRPr="00185EE9">
        <w:rPr>
          <w:rFonts w:ascii="Verdana" w:eastAsia="Calibri" w:hAnsi="Verdana" w:cs="Arial"/>
        </w:rPr>
        <w:t xml:space="preserve">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w:t>
      </w:r>
      <w:r w:rsidRPr="00185EE9">
        <w:rPr>
          <w:rFonts w:ascii="Verdana" w:eastAsia="Calibri" w:hAnsi="Verdana" w:cs="Arial"/>
        </w:rPr>
        <w:lastRenderedPageBreak/>
        <w:t>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3"/>
      </w:r>
      <w:r w:rsidRPr="00185EE9">
        <w:rPr>
          <w:rFonts w:ascii="Verdana" w:eastAsia="Calibri" w:hAnsi="Verdana" w:cs="Arial"/>
        </w:rPr>
        <w:t xml:space="preserve">. </w:t>
      </w:r>
    </w:p>
    <w:p w14:paraId="76D6A33D" w14:textId="0B968018" w:rsidR="009D4E8D" w:rsidRPr="009D4E8D" w:rsidRDefault="009D4E8D" w:rsidP="009D4E8D">
      <w:pPr>
        <w:spacing w:after="120" w:line="276" w:lineRule="auto"/>
        <w:jc w:val="both"/>
        <w:rPr>
          <w:rFonts w:ascii="Verdana" w:eastAsia="Century Gothic" w:hAnsi="Verdana" w:cs="Century Gothic"/>
        </w:rPr>
      </w:pPr>
      <w:r w:rsidRPr="009D4E8D">
        <w:rPr>
          <w:rFonts w:ascii="Verdana" w:eastAsia="Century Gothic" w:hAnsi="Verdana" w:cs="Century Gothic"/>
        </w:rPr>
        <w:t>Así las cosas, la modalidad de selección abreviada de menor cuantía a la cual se refiere la consulta planteada</w:t>
      </w:r>
      <w:r>
        <w:rPr>
          <w:rFonts w:ascii="Verdana" w:eastAsia="Century Gothic" w:hAnsi="Verdana" w:cs="Century Gothic"/>
        </w:rPr>
        <w:t xml:space="preserve"> </w:t>
      </w:r>
      <w:r w:rsidRPr="009D4E8D">
        <w:rPr>
          <w:rFonts w:ascii="Verdana" w:eastAsia="Century Gothic" w:hAnsi="Verdana" w:cs="Century Gothic"/>
        </w:rPr>
        <w:t>se encuentra regulado en el artículo 2.2.1.2.1.2.20 del Decreto 1082 de 2015, de la siguiente manera:</w:t>
      </w:r>
    </w:p>
    <w:p w14:paraId="1EE77EB0" w14:textId="77777777" w:rsidR="009D4E8D" w:rsidRPr="009D4E8D" w:rsidRDefault="009D4E8D" w:rsidP="009D4E8D">
      <w:pPr>
        <w:spacing w:after="120" w:line="276" w:lineRule="auto"/>
        <w:ind w:left="851" w:right="1134"/>
        <w:jc w:val="both"/>
        <w:rPr>
          <w:rFonts w:ascii="Verdana" w:eastAsia="Century Gothic" w:hAnsi="Verdana" w:cs="Century Gothic"/>
          <w:sz w:val="18"/>
          <w:szCs w:val="18"/>
        </w:rPr>
      </w:pPr>
      <w:r w:rsidRPr="009D4E8D">
        <w:rPr>
          <w:rFonts w:ascii="Verdana" w:eastAsia="Century Gothic" w:hAnsi="Verdana" w:cs="Century Gothic"/>
          <w:sz w:val="18"/>
          <w:szCs w:val="18"/>
        </w:rPr>
        <w:t>“Artículo 2.2.1.2.1.2.20. Procedimiento para la selección abreviada de menor cuantía. Además de las normas generales establecidas en el presente título, las siguientes reglas son aplicables a la selección abreviada de menor cuantía:</w:t>
      </w:r>
    </w:p>
    <w:p w14:paraId="74E55249" w14:textId="27BCD915" w:rsidR="009D4E8D" w:rsidRPr="009D4E8D" w:rsidRDefault="009D4E8D" w:rsidP="009D4E8D">
      <w:pPr>
        <w:spacing w:after="120" w:line="276" w:lineRule="auto"/>
        <w:ind w:left="851" w:right="1134"/>
        <w:jc w:val="both"/>
        <w:rPr>
          <w:rFonts w:ascii="Verdana" w:eastAsia="Century Gothic" w:hAnsi="Verdana" w:cs="Century Gothic"/>
          <w:sz w:val="18"/>
          <w:szCs w:val="18"/>
        </w:rPr>
      </w:pPr>
      <w:r w:rsidRPr="009D4E8D">
        <w:rPr>
          <w:rFonts w:ascii="Verdana" w:eastAsia="Century Gothic" w:hAnsi="Verdana" w:cs="Century Gothic"/>
          <w:sz w:val="18"/>
          <w:szCs w:val="18"/>
        </w:rPr>
        <w:t>1.En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43ECBEB6" w14:textId="12E0D598" w:rsidR="009D4E8D" w:rsidRPr="009D4E8D" w:rsidRDefault="009D4E8D" w:rsidP="009D4E8D">
      <w:pPr>
        <w:spacing w:after="120" w:line="276" w:lineRule="auto"/>
        <w:ind w:left="851" w:right="1134"/>
        <w:jc w:val="both"/>
        <w:rPr>
          <w:rFonts w:ascii="Verdana" w:eastAsia="Century Gothic" w:hAnsi="Verdana" w:cs="Century Gothic"/>
          <w:sz w:val="18"/>
          <w:szCs w:val="18"/>
        </w:rPr>
      </w:pPr>
      <w:r w:rsidRPr="009D4E8D">
        <w:rPr>
          <w:rFonts w:ascii="Verdana" w:eastAsia="Century Gothic" w:hAnsi="Verdana" w:cs="Century Gothic"/>
          <w:b/>
          <w:bCs/>
          <w:sz w:val="18"/>
          <w:szCs w:val="18"/>
        </w:rPr>
        <w:t>2.Si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r w:rsidRPr="009D4E8D">
        <w:rPr>
          <w:rFonts w:ascii="Verdana" w:eastAsia="Century Gothic" w:hAnsi="Verdana" w:cs="Century Gothic"/>
          <w:sz w:val="18"/>
          <w:szCs w:val="18"/>
        </w:rPr>
        <w:t>.</w:t>
      </w:r>
    </w:p>
    <w:p w14:paraId="6A05149A" w14:textId="0B56FAA5" w:rsidR="001F7E1D" w:rsidRDefault="009D4E8D" w:rsidP="009D4E8D">
      <w:pPr>
        <w:spacing w:after="120" w:line="276" w:lineRule="auto"/>
        <w:ind w:left="851" w:right="1134"/>
        <w:jc w:val="both"/>
        <w:rPr>
          <w:rFonts w:ascii="Verdana" w:eastAsia="Century Gothic" w:hAnsi="Verdana" w:cs="Century Gothic"/>
          <w:sz w:val="18"/>
          <w:szCs w:val="18"/>
        </w:rPr>
      </w:pPr>
      <w:r w:rsidRPr="009D4E8D">
        <w:rPr>
          <w:rFonts w:ascii="Verdana" w:eastAsia="Century Gothic" w:hAnsi="Verdana" w:cs="Century Gothic"/>
          <w:sz w:val="18"/>
          <w:szCs w:val="18"/>
        </w:rPr>
        <w:t>3.Si hay lugar a sorteo, el plazo para la presentación de las ofertas empezará a correr el día hábil siguiente a la fecha en la cual la Entidad Estatal informe a los interesados el resultado del sorteo ”</w:t>
      </w:r>
      <w:r w:rsidR="00FB5C6A">
        <w:rPr>
          <w:rFonts w:ascii="Verdana" w:eastAsia="Century Gothic" w:hAnsi="Verdana" w:cs="Century Gothic"/>
          <w:sz w:val="18"/>
          <w:szCs w:val="18"/>
        </w:rPr>
        <w:t xml:space="preserve"> (negrilla fuera de texto)</w:t>
      </w:r>
    </w:p>
    <w:p w14:paraId="503F2FB1" w14:textId="60C38DB9" w:rsidR="00BB6888" w:rsidRPr="00BB6888" w:rsidRDefault="00BB6888" w:rsidP="00442F25">
      <w:pPr>
        <w:spacing w:after="120" w:line="276" w:lineRule="auto"/>
        <w:jc w:val="both"/>
        <w:rPr>
          <w:rFonts w:ascii="Verdana" w:eastAsia="Century Gothic" w:hAnsi="Verdana" w:cs="Century Gothic"/>
        </w:rPr>
      </w:pPr>
      <w:r w:rsidRPr="00BB6888">
        <w:rPr>
          <w:rFonts w:ascii="Verdana" w:eastAsia="Century Gothic" w:hAnsi="Verdana" w:cs="Century Gothic"/>
        </w:rPr>
        <w:t xml:space="preserve">En relación </w:t>
      </w:r>
      <w:r>
        <w:rPr>
          <w:rFonts w:ascii="Verdana" w:eastAsia="Century Gothic" w:hAnsi="Verdana" w:cs="Century Gothic"/>
        </w:rPr>
        <w:t xml:space="preserve">con la realización del sorteo descrito en el numeral </w:t>
      </w:r>
      <w:r w:rsidR="00442F25">
        <w:rPr>
          <w:rFonts w:ascii="Verdana" w:eastAsia="Century Gothic" w:hAnsi="Verdana" w:cs="Century Gothic"/>
        </w:rPr>
        <w:t xml:space="preserve">2º </w:t>
      </w:r>
      <w:r>
        <w:rPr>
          <w:rFonts w:ascii="Verdana" w:eastAsia="Century Gothic" w:hAnsi="Verdana" w:cs="Century Gothic"/>
        </w:rPr>
        <w:t xml:space="preserve">del </w:t>
      </w:r>
      <w:r w:rsidR="00442F25">
        <w:rPr>
          <w:rFonts w:ascii="Verdana" w:eastAsia="Century Gothic" w:hAnsi="Verdana" w:cs="Century Gothic"/>
        </w:rPr>
        <w:t>artículo</w:t>
      </w:r>
      <w:r>
        <w:rPr>
          <w:rFonts w:ascii="Verdana" w:eastAsia="Century Gothic" w:hAnsi="Verdana" w:cs="Century Gothic"/>
        </w:rPr>
        <w:t xml:space="preserve"> ant</w:t>
      </w:r>
      <w:r w:rsidR="00442F25">
        <w:rPr>
          <w:rFonts w:ascii="Verdana" w:eastAsia="Century Gothic" w:hAnsi="Verdana" w:cs="Century Gothic"/>
        </w:rPr>
        <w:t>eriormente</w:t>
      </w:r>
      <w:r>
        <w:rPr>
          <w:rFonts w:ascii="Verdana" w:eastAsia="Century Gothic" w:hAnsi="Verdana" w:cs="Century Gothic"/>
        </w:rPr>
        <w:t xml:space="preserve"> </w:t>
      </w:r>
      <w:r w:rsidR="00442F25">
        <w:rPr>
          <w:rFonts w:ascii="Verdana" w:eastAsia="Century Gothic" w:hAnsi="Verdana" w:cs="Century Gothic"/>
        </w:rPr>
        <w:t>transcrito,</w:t>
      </w:r>
      <w:r>
        <w:rPr>
          <w:rFonts w:ascii="Verdana" w:eastAsia="Century Gothic" w:hAnsi="Verdana" w:cs="Century Gothic"/>
        </w:rPr>
        <w:t xml:space="preserve"> el </w:t>
      </w:r>
      <w:r w:rsidR="00442F25">
        <w:rPr>
          <w:rFonts w:ascii="Verdana" w:eastAsia="Century Gothic" w:hAnsi="Verdana" w:cs="Century Gothic"/>
        </w:rPr>
        <w:t>Consejo de Estado en sentencia del 03 de diciembre de 2007, estableció:</w:t>
      </w:r>
    </w:p>
    <w:p w14:paraId="192F156E" w14:textId="63B2E9D9" w:rsidR="00BB6888" w:rsidRDefault="00442F25" w:rsidP="00BB6888">
      <w:pPr>
        <w:spacing w:after="120" w:line="276" w:lineRule="auto"/>
        <w:ind w:left="851" w:right="1134"/>
        <w:jc w:val="both"/>
        <w:rPr>
          <w:rFonts w:ascii="Verdana" w:eastAsia="Century Gothic" w:hAnsi="Verdana" w:cs="Century Gothic"/>
          <w:sz w:val="18"/>
          <w:szCs w:val="18"/>
        </w:rPr>
      </w:pPr>
      <w:r>
        <w:rPr>
          <w:rFonts w:ascii="Verdana" w:eastAsia="Century Gothic" w:hAnsi="Verdana" w:cs="Century Gothic"/>
          <w:sz w:val="18"/>
          <w:szCs w:val="18"/>
        </w:rPr>
        <w:lastRenderedPageBreak/>
        <w:t>“L</w:t>
      </w:r>
      <w:r w:rsidR="00BB6888" w:rsidRPr="00BB6888">
        <w:rPr>
          <w:rFonts w:ascii="Verdana" w:eastAsia="Century Gothic" w:hAnsi="Verdana" w:cs="Century Gothic"/>
          <w:sz w:val="18"/>
          <w:szCs w:val="18"/>
        </w:rPr>
        <w:t>a norma demandada contiene un supuesto de hecho general en el que se otorga un trato igual para todos los que están en disposición de participar y ofertar el objeto contractual que necesita la entidad pública. En efecto, nótese que al sorteo contemplado en la norma demandada pueden participar en igualdad de oportunidades todos los posibles oferentes o interesados; es un trámite que no obedece a un factor discriminatorio, arbitrario o subjetivo, como quiera que su resultado no está subordinado al mero capricho o voluntad de una persona, y se constituye en un instrumento o herramienta para darle celeridad y eficiencia al proceso de contratación directa de menor cuantía, el cual por definición implica que resulte menos complejo y dispendioso que la licitación pública, mecanismo de selección este último en donde, por su naturaleza, no sería razonable ni concebible jurídicamente. Situación diferente a la legalidad misma de lo contemplado a este respecto en la norma atacada, es aquella según la cual la Administración está en el deber de garantizar las condiciones de moralidad y transparencia que han de presidir e imperar en la ejecución del sorteo</w:t>
      </w:r>
      <w:r>
        <w:rPr>
          <w:rFonts w:ascii="Verdana" w:eastAsia="Century Gothic" w:hAnsi="Verdana" w:cs="Century Gothic"/>
          <w:sz w:val="18"/>
          <w:szCs w:val="18"/>
        </w:rPr>
        <w:t>”</w:t>
      </w:r>
      <w:r w:rsidR="00A80320">
        <w:rPr>
          <w:rStyle w:val="Refdenotaalpie"/>
          <w:rFonts w:ascii="Verdana" w:eastAsia="Century Gothic" w:hAnsi="Verdana" w:cs="Century Gothic"/>
          <w:sz w:val="18"/>
          <w:szCs w:val="18"/>
        </w:rPr>
        <w:footnoteReference w:id="4"/>
      </w:r>
      <w:r w:rsidR="00BB6888" w:rsidRPr="00BB6888">
        <w:rPr>
          <w:rFonts w:ascii="Verdana" w:eastAsia="Century Gothic" w:hAnsi="Verdana" w:cs="Century Gothic"/>
          <w:sz w:val="18"/>
          <w:szCs w:val="18"/>
        </w:rPr>
        <w:t>.</w:t>
      </w:r>
    </w:p>
    <w:p w14:paraId="6EAF92F1" w14:textId="5639707A" w:rsidR="00A80320" w:rsidRDefault="00A80320" w:rsidP="00FB67C7">
      <w:pPr>
        <w:spacing w:after="120" w:line="276" w:lineRule="auto"/>
        <w:jc w:val="both"/>
        <w:rPr>
          <w:rFonts w:ascii="Verdana" w:eastAsia="Century Gothic" w:hAnsi="Verdana" w:cs="Century Gothic"/>
        </w:rPr>
      </w:pPr>
      <w:r>
        <w:rPr>
          <w:rFonts w:ascii="Verdana" w:eastAsia="Century Gothic" w:hAnsi="Verdana" w:cs="Century Gothic"/>
        </w:rPr>
        <w:t xml:space="preserve">Así las cosas, el mencionado numeral </w:t>
      </w:r>
      <w:r w:rsidRPr="00A80320">
        <w:rPr>
          <w:rFonts w:ascii="Verdana" w:eastAsia="Century Gothic" w:hAnsi="Verdana" w:cs="Century Gothic"/>
        </w:rPr>
        <w:t>establece un mecanismo objetivo e imparcial que garantiza la igualdad de oportunidades para todos los interesados en participar en el proceso de contratación de menor cuantía. El sorteo no responde a criterios discriminatorios ni arbitrarios, sino que actúa como una herramienta para agilizar el procedimiento y hacerlo más eficiente</w:t>
      </w:r>
      <w:r>
        <w:rPr>
          <w:rFonts w:ascii="Verdana" w:eastAsia="Century Gothic" w:hAnsi="Verdana" w:cs="Century Gothic"/>
        </w:rPr>
        <w:t>.</w:t>
      </w:r>
    </w:p>
    <w:p w14:paraId="4AD8A8B2" w14:textId="6589B347" w:rsidR="00652CBE" w:rsidRDefault="00FB5C6A" w:rsidP="00FB67C7">
      <w:pPr>
        <w:spacing w:after="120" w:line="276" w:lineRule="auto"/>
        <w:jc w:val="both"/>
        <w:rPr>
          <w:rFonts w:ascii="Verdana" w:hAnsi="Verdana" w:cs="Arial"/>
          <w:bCs/>
          <w:color w:val="000000" w:themeColor="text1"/>
        </w:rPr>
      </w:pPr>
      <w:r>
        <w:rPr>
          <w:rFonts w:ascii="Verdana" w:eastAsia="Century Gothic" w:hAnsi="Verdana" w:cs="Century Gothic"/>
        </w:rPr>
        <w:t xml:space="preserve">Ahora bien, en relación a su consulta, el numeral 2º del mencionado artículo </w:t>
      </w:r>
      <w:r>
        <w:rPr>
          <w:rFonts w:ascii="Verdana" w:hAnsi="Verdana"/>
        </w:rPr>
        <w:t xml:space="preserve">establece </w:t>
      </w:r>
      <w:r w:rsidR="00652CBE">
        <w:rPr>
          <w:rFonts w:ascii="Verdana" w:hAnsi="Verdana"/>
        </w:rPr>
        <w:t>que,</w:t>
      </w:r>
      <w:r w:rsidRPr="00770D74">
        <w:rPr>
          <w:rFonts w:ascii="Verdana" w:hAnsi="Verdana" w:cs="Arial"/>
          <w:bCs/>
          <w:color w:val="000000" w:themeColor="text1"/>
        </w:rPr>
        <w:t xml:space="preserve"> </w:t>
      </w:r>
      <w:r>
        <w:rPr>
          <w:rFonts w:ascii="Verdana" w:hAnsi="Verdana" w:cs="Arial"/>
          <w:bCs/>
          <w:color w:val="000000" w:themeColor="text1"/>
        </w:rPr>
        <w:t xml:space="preserve">en </w:t>
      </w:r>
      <w:r w:rsidRPr="00770D74">
        <w:rPr>
          <w:rFonts w:ascii="Verdana" w:hAnsi="Verdana" w:cs="Arial"/>
          <w:bCs/>
          <w:color w:val="000000" w:themeColor="text1"/>
        </w:rPr>
        <w:t xml:space="preserve">los procesos de selección abreviada de menor, cuando una entidad estatal recibe más de diez manifestaciones de interés, pueden optar por realizar un sorteo para seleccionar hasta diez interesados con quienes continuará el proceso de contratación. </w:t>
      </w:r>
    </w:p>
    <w:p w14:paraId="3AC4288A" w14:textId="57757BFE" w:rsidR="001F7E1D" w:rsidRDefault="0051501A" w:rsidP="00FB67C7">
      <w:pPr>
        <w:spacing w:after="120" w:line="276" w:lineRule="auto"/>
        <w:jc w:val="both"/>
        <w:rPr>
          <w:rFonts w:ascii="Verdana" w:hAnsi="Verdana" w:cs="Arial"/>
          <w:bCs/>
          <w:color w:val="000000" w:themeColor="text1"/>
        </w:rPr>
      </w:pPr>
      <w:r w:rsidRPr="0051501A">
        <w:rPr>
          <w:rFonts w:ascii="Verdana" w:hAnsi="Verdana" w:cs="Arial"/>
          <w:bCs/>
          <w:color w:val="000000" w:themeColor="text1"/>
        </w:rPr>
        <w:t xml:space="preserve">Aunque </w:t>
      </w:r>
      <w:r>
        <w:rPr>
          <w:rFonts w:ascii="Verdana" w:hAnsi="Verdana" w:cs="Arial"/>
          <w:bCs/>
          <w:color w:val="000000" w:themeColor="text1"/>
        </w:rPr>
        <w:t>el articulo</w:t>
      </w:r>
      <w:r w:rsidRPr="0051501A">
        <w:rPr>
          <w:rFonts w:ascii="Verdana" w:hAnsi="Verdana" w:cs="Arial"/>
          <w:bCs/>
          <w:color w:val="000000" w:themeColor="text1"/>
        </w:rPr>
        <w:t xml:space="preserve"> no establece un procedimiento único y obligatorio, la entidad estatal debe definir claramente en los </w:t>
      </w:r>
      <w:r w:rsidRPr="0051501A">
        <w:rPr>
          <w:rFonts w:ascii="Verdana" w:hAnsi="Verdana" w:cs="Arial"/>
          <w:b/>
          <w:bCs/>
          <w:color w:val="000000" w:themeColor="text1"/>
        </w:rPr>
        <w:t>pliegos de condiciones</w:t>
      </w:r>
      <w:r w:rsidRPr="0051501A">
        <w:rPr>
          <w:rFonts w:ascii="Verdana" w:hAnsi="Verdana" w:cs="Arial"/>
          <w:bCs/>
          <w:color w:val="000000" w:themeColor="text1"/>
        </w:rPr>
        <w:t xml:space="preserve"> cómo se llevará a cab</w:t>
      </w:r>
      <w:r>
        <w:rPr>
          <w:rFonts w:ascii="Verdana" w:hAnsi="Verdana" w:cs="Arial"/>
          <w:bCs/>
          <w:color w:val="000000" w:themeColor="text1"/>
        </w:rPr>
        <w:t>o</w:t>
      </w:r>
      <w:r w:rsidR="00652CBE">
        <w:rPr>
          <w:rFonts w:ascii="Verdana" w:hAnsi="Verdana" w:cs="Arial"/>
          <w:bCs/>
          <w:color w:val="000000" w:themeColor="text1"/>
        </w:rPr>
        <w:t xml:space="preserve">, por lo que, para </w:t>
      </w:r>
      <w:r w:rsidR="00FB5C6A" w:rsidRPr="00770D74">
        <w:rPr>
          <w:rFonts w:ascii="Verdana" w:hAnsi="Verdana" w:cs="Arial"/>
          <w:bCs/>
          <w:color w:val="000000" w:themeColor="text1"/>
        </w:rPr>
        <w:t>garantiza</w:t>
      </w:r>
      <w:r w:rsidR="00652CBE">
        <w:rPr>
          <w:rFonts w:ascii="Verdana" w:hAnsi="Verdana" w:cs="Arial"/>
          <w:bCs/>
          <w:color w:val="000000" w:themeColor="text1"/>
        </w:rPr>
        <w:t>r</w:t>
      </w:r>
      <w:r w:rsidR="00FB5C6A" w:rsidRPr="00770D74">
        <w:rPr>
          <w:rFonts w:ascii="Verdana" w:hAnsi="Verdana" w:cs="Arial"/>
          <w:bCs/>
          <w:color w:val="000000" w:themeColor="text1"/>
        </w:rPr>
        <w:t xml:space="preserve"> la transparencia</w:t>
      </w:r>
      <w:r>
        <w:rPr>
          <w:rFonts w:ascii="Verdana" w:hAnsi="Verdana" w:cs="Arial"/>
          <w:bCs/>
          <w:color w:val="000000" w:themeColor="text1"/>
        </w:rPr>
        <w:t>, i</w:t>
      </w:r>
      <w:r w:rsidRPr="0051501A">
        <w:rPr>
          <w:rFonts w:ascii="Verdana" w:hAnsi="Verdana" w:cs="Arial"/>
          <w:bCs/>
          <w:color w:val="000000" w:themeColor="text1"/>
        </w:rPr>
        <w:t>mparcialidad</w:t>
      </w:r>
      <w:r>
        <w:rPr>
          <w:rFonts w:ascii="Verdana" w:hAnsi="Verdana" w:cs="Arial"/>
          <w:bCs/>
          <w:color w:val="000000" w:themeColor="text1"/>
        </w:rPr>
        <w:t xml:space="preserve">, </w:t>
      </w:r>
      <w:r w:rsidRPr="0051501A">
        <w:rPr>
          <w:rFonts w:ascii="Verdana" w:hAnsi="Verdana" w:cs="Arial"/>
          <w:bCs/>
          <w:color w:val="000000" w:themeColor="text1"/>
        </w:rPr>
        <w:t>publicidad</w:t>
      </w:r>
      <w:r w:rsidR="00FB5C6A" w:rsidRPr="00770D74">
        <w:rPr>
          <w:rFonts w:ascii="Verdana" w:hAnsi="Verdana" w:cs="Arial"/>
          <w:bCs/>
          <w:color w:val="000000" w:themeColor="text1"/>
        </w:rPr>
        <w:t xml:space="preserve"> y </w:t>
      </w:r>
      <w:r w:rsidR="00FB5C6A" w:rsidRPr="00770D74">
        <w:rPr>
          <w:rFonts w:ascii="Verdana" w:hAnsi="Verdana" w:cs="Arial"/>
          <w:bCs/>
          <w:color w:val="000000" w:themeColor="text1"/>
        </w:rPr>
        <w:lastRenderedPageBreak/>
        <w:t>la igualdad de oportunidades para todos los participantes</w:t>
      </w:r>
      <w:r w:rsidR="00652CBE">
        <w:rPr>
          <w:rFonts w:ascii="Verdana" w:hAnsi="Verdana" w:cs="Arial"/>
          <w:bCs/>
          <w:color w:val="000000" w:themeColor="text1"/>
        </w:rPr>
        <w:t xml:space="preserve">, este deberá hacerse </w:t>
      </w:r>
      <w:r w:rsidR="00652CBE" w:rsidRPr="00770D74">
        <w:rPr>
          <w:rFonts w:ascii="Verdana" w:hAnsi="Verdana" w:cs="Arial"/>
          <w:bCs/>
          <w:color w:val="000000" w:themeColor="text1"/>
        </w:rPr>
        <w:t>en audiencia pública</w:t>
      </w:r>
      <w:r w:rsidR="00652CBE">
        <w:rPr>
          <w:rFonts w:ascii="Verdana" w:hAnsi="Verdana" w:cs="Arial"/>
          <w:bCs/>
          <w:color w:val="000000" w:themeColor="text1"/>
        </w:rPr>
        <w:t>.</w:t>
      </w:r>
    </w:p>
    <w:p w14:paraId="7EA9EE0E" w14:textId="51F7A6B5" w:rsidR="00652CBE" w:rsidRPr="00770D74" w:rsidRDefault="00BB6888" w:rsidP="00652CBE">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r w:rsidR="00652CBE" w:rsidRPr="00770D74">
        <w:rPr>
          <w:rFonts w:ascii="Verdana" w:hAnsi="Verdana" w:cs="Arial"/>
          <w:bCs/>
          <w:color w:val="000000" w:themeColor="text1"/>
        </w:rPr>
        <w:t xml:space="preserve">La realización del sorteo en audiencia pública implica que este debe ser abierto al público, permitiendo la asistencia de los posibles oferentes y de las veedurías ciudadanas que deseen participar. </w:t>
      </w:r>
      <w:r w:rsidR="00652CBE" w:rsidRPr="00770D74">
        <w:rPr>
          <w:rFonts w:ascii="Arial" w:hAnsi="Arial" w:cs="Arial"/>
          <w:bCs/>
          <w:color w:val="000000" w:themeColor="text1"/>
        </w:rPr>
        <w:t>​</w:t>
      </w:r>
    </w:p>
    <w:p w14:paraId="581E8386" w14:textId="77777777" w:rsidR="00652CBE" w:rsidRDefault="00652CBE" w:rsidP="00652CBE">
      <w:pPr>
        <w:spacing w:after="120" w:line="276" w:lineRule="auto"/>
        <w:jc w:val="both"/>
        <w:rPr>
          <w:rFonts w:ascii="Verdana" w:hAnsi="Verdana" w:cs="Arial"/>
          <w:bCs/>
          <w:color w:val="000000" w:themeColor="text1"/>
        </w:rPr>
      </w:pPr>
      <w:r>
        <w:rPr>
          <w:rFonts w:ascii="Verdana" w:hAnsi="Verdana" w:cs="Arial"/>
          <w:bCs/>
          <w:color w:val="000000" w:themeColor="text1"/>
        </w:rPr>
        <w:t xml:space="preserve">        </w:t>
      </w:r>
      <w:r w:rsidRPr="00770D74">
        <w:rPr>
          <w:rFonts w:ascii="Verdana" w:hAnsi="Verdana" w:cs="Arial"/>
          <w:bCs/>
          <w:color w:val="000000" w:themeColor="text1"/>
        </w:rPr>
        <w:t>Respecto al lugar donde debe llevarse a cabo el sorteo, la normativa no especifica una ubicación exacta. Sin embargo, es común que estos actos se realicen en las instalaciones de la entidad que adelanta el proceso, ya que facilita el control y la logística del evento. Si se decide realizar el sorteo fuera de las instalaciones de la entidad, es esencial que se garantice el acceso al público y se cumplan los principios de transparencia y publicidad que rigen la función administrativa.</w:t>
      </w:r>
      <w:r w:rsidRPr="00770D74">
        <w:rPr>
          <w:rFonts w:ascii="Arial" w:hAnsi="Arial" w:cs="Arial"/>
          <w:bCs/>
          <w:color w:val="000000" w:themeColor="text1"/>
        </w:rPr>
        <w:t>​</w:t>
      </w:r>
      <w:r w:rsidRPr="00770D74">
        <w:rPr>
          <w:rFonts w:ascii="Verdana" w:hAnsi="Verdana" w:cs="Arial"/>
          <w:bCs/>
          <w:color w:val="000000" w:themeColor="text1"/>
        </w:rPr>
        <w:t xml:space="preserve"> </w:t>
      </w:r>
    </w:p>
    <w:p w14:paraId="643715D2" w14:textId="304D0231" w:rsidR="00600FA2" w:rsidRPr="00770D74" w:rsidRDefault="00600FA2" w:rsidP="00600FA2">
      <w:pPr>
        <w:spacing w:after="120" w:line="276" w:lineRule="auto"/>
        <w:ind w:firstLine="708"/>
        <w:jc w:val="both"/>
        <w:rPr>
          <w:rFonts w:ascii="Verdana" w:hAnsi="Verdana" w:cs="Arial"/>
          <w:bCs/>
          <w:color w:val="000000" w:themeColor="text1"/>
        </w:rPr>
      </w:pPr>
      <w:r>
        <w:rPr>
          <w:rFonts w:ascii="Verdana" w:hAnsi="Verdana" w:cs="Arial"/>
          <w:bCs/>
          <w:color w:val="000000" w:themeColor="text1"/>
        </w:rPr>
        <w:t>Finalmente es de precisar que a</w:t>
      </w:r>
      <w:r w:rsidRPr="00C94107">
        <w:rPr>
          <w:rFonts w:ascii="Verdana" w:hAnsi="Verdana" w:cs="Arial"/>
          <w:lang w:eastAsia="es-ES"/>
        </w:rPr>
        <w:t xml:space="preserve">l margen de la explicación precedente debe advertirse que, el análisis requerido para resolver problemas específicos en torno a la gestión contractual debe ser realizado por quienes tengan interés en ello, de acuerdo con lo explicado </w:t>
      </w:r>
      <w:r>
        <w:rPr>
          <w:rFonts w:ascii="Verdana" w:hAnsi="Verdana" w:cs="Arial"/>
          <w:lang w:eastAsia="es-ES"/>
        </w:rPr>
        <w:t xml:space="preserve">en </w:t>
      </w:r>
      <w:r w:rsidRPr="00C94107">
        <w:rPr>
          <w:rFonts w:ascii="Verdana" w:hAnsi="Verdana" w:cs="Arial"/>
          <w:lang w:eastAsia="es-ES"/>
        </w:rPr>
        <w:t>la aclaración preliminar del presente oficio. De esta manera, las afirmaciones aquí realizadas no pueden ser interpretadas como juicios de valor sobre circunstancias concretas</w:t>
      </w:r>
      <w:r>
        <w:rPr>
          <w:rFonts w:ascii="Verdana" w:hAnsi="Verdana" w:cs="Arial"/>
          <w:lang w:eastAsia="es-ES"/>
        </w:rPr>
        <w:t>.</w:t>
      </w: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1519282E" w14:textId="77777777" w:rsidR="00AF79BC" w:rsidRPr="00BD69D5" w:rsidRDefault="00AF79BC" w:rsidP="00AF79BC">
            <w:pPr>
              <w:widowControl w:val="0"/>
              <w:numPr>
                <w:ilvl w:val="0"/>
                <w:numId w:val="42"/>
              </w:numPr>
              <w:autoSpaceDE w:val="0"/>
              <w:autoSpaceDN w:val="0"/>
              <w:spacing w:after="120"/>
              <w:jc w:val="both"/>
              <w:rPr>
                <w:rFonts w:ascii="Verdana" w:hAnsi="Verdana" w:cs="Arial"/>
                <w:lang w:val="es-ES"/>
              </w:rPr>
            </w:pPr>
            <w:r w:rsidRPr="00BD69D5">
              <w:rPr>
                <w:rFonts w:ascii="Verdana" w:hAnsi="Verdana" w:cs="Arial"/>
                <w:lang w:val="es-ES"/>
              </w:rPr>
              <w:t>Ley 1150 de 2007, artículo 2.</w:t>
            </w:r>
          </w:p>
          <w:p w14:paraId="46B6C0B5" w14:textId="77777777" w:rsidR="000B6628" w:rsidRDefault="00AF79BC" w:rsidP="000B6628">
            <w:pPr>
              <w:widowControl w:val="0"/>
              <w:numPr>
                <w:ilvl w:val="0"/>
                <w:numId w:val="42"/>
              </w:numPr>
              <w:autoSpaceDE w:val="0"/>
              <w:autoSpaceDN w:val="0"/>
              <w:spacing w:after="120"/>
              <w:jc w:val="both"/>
              <w:rPr>
                <w:rFonts w:ascii="Verdana" w:hAnsi="Verdana" w:cs="Arial"/>
                <w:lang w:val="es-ES"/>
              </w:rPr>
            </w:pPr>
            <w:r w:rsidRPr="00BD69D5">
              <w:rPr>
                <w:rFonts w:ascii="Verdana" w:hAnsi="Verdana" w:cs="Arial"/>
                <w:lang w:val="es-ES"/>
              </w:rPr>
              <w:t xml:space="preserve">Decreto 1082 de 2015, artículos 2.2.2.1.1.1.3.1, </w:t>
            </w:r>
            <w:r w:rsidRPr="00BD69D5">
              <w:rPr>
                <w:rFonts w:ascii="Verdana" w:hAnsi="Verdana" w:cs="Arial"/>
                <w:bCs/>
              </w:rPr>
              <w:t xml:space="preserve">2.2.1.2.1.2.1., </w:t>
            </w:r>
            <w:r w:rsidRPr="00BD69D5">
              <w:rPr>
                <w:rFonts w:ascii="Verdana" w:hAnsi="Verdana" w:cs="Arial"/>
                <w:bCs/>
                <w:iCs/>
              </w:rPr>
              <w:t>2.2.1.2.1.2.2., 2.2.1.2.1.2.7., 2.2.1.2.1.2.11.</w:t>
            </w:r>
            <w:r w:rsidRPr="00BD69D5">
              <w:rPr>
                <w:rFonts w:ascii="Verdana" w:eastAsia="Calibri" w:hAnsi="Verdana" w:cs="Arial"/>
                <w:bCs/>
                <w:color w:val="000000" w:themeColor="text1"/>
              </w:rPr>
              <w:t xml:space="preserve"> </w:t>
            </w:r>
          </w:p>
          <w:p w14:paraId="5DDAF15A" w14:textId="77777777" w:rsidR="000B6628" w:rsidRDefault="000B6628" w:rsidP="000B6628">
            <w:pPr>
              <w:widowControl w:val="0"/>
              <w:numPr>
                <w:ilvl w:val="0"/>
                <w:numId w:val="42"/>
              </w:numPr>
              <w:autoSpaceDE w:val="0"/>
              <w:autoSpaceDN w:val="0"/>
              <w:spacing w:after="120"/>
              <w:jc w:val="both"/>
              <w:rPr>
                <w:rFonts w:ascii="Verdana" w:hAnsi="Verdana" w:cs="Arial"/>
                <w:lang w:val="es-ES"/>
              </w:rPr>
            </w:pPr>
            <w:r w:rsidRPr="000B6628">
              <w:rPr>
                <w:rFonts w:ascii="Verdana" w:eastAsia="Calibri" w:hAnsi="Verdana" w:cs="Arial"/>
                <w:bCs/>
                <w:color w:val="000000" w:themeColor="text1"/>
              </w:rPr>
              <w:t>CONSEJO DE ESTADO. Sección Tercera. Subsección A. Sentencia del 23 de julio de 2015. Exp. 36.805. C. P. Hernán Andrade Rincón.</w:t>
            </w:r>
          </w:p>
          <w:p w14:paraId="5114EECB" w14:textId="2EDBA8D1" w:rsidR="000B6628" w:rsidRPr="000B6628" w:rsidRDefault="000B6628" w:rsidP="00CE222B">
            <w:pPr>
              <w:widowControl w:val="0"/>
              <w:numPr>
                <w:ilvl w:val="0"/>
                <w:numId w:val="42"/>
              </w:numPr>
              <w:autoSpaceDE w:val="0"/>
              <w:autoSpaceDN w:val="0"/>
              <w:spacing w:after="120"/>
              <w:jc w:val="both"/>
              <w:rPr>
                <w:rFonts w:ascii="Verdana" w:hAnsi="Verdana" w:cs="Arial"/>
                <w:lang w:val="es-ES"/>
              </w:rPr>
            </w:pPr>
            <w:r w:rsidRPr="000B6628">
              <w:rPr>
                <w:rFonts w:ascii="Verdana" w:eastAsia="Calibri" w:hAnsi="Verdana" w:cs="Arial"/>
                <w:bCs/>
                <w:color w:val="000000" w:themeColor="text1"/>
              </w:rPr>
              <w:t>CONSEJO DE ESTADO. Sección Tercera. Subsección A. Sentencia del 3 de diciembre de 2007. Exp. 2003-000-14-01. C. P. Ruth Stella Correa Palacio.</w:t>
            </w:r>
          </w:p>
          <w:p w14:paraId="2E3B0684" w14:textId="3BE825AE" w:rsidR="00E52602" w:rsidRPr="000D446F" w:rsidRDefault="00AF79BC" w:rsidP="000B6628">
            <w:pPr>
              <w:widowControl w:val="0"/>
              <w:numPr>
                <w:ilvl w:val="0"/>
                <w:numId w:val="42"/>
              </w:numPr>
              <w:autoSpaceDE w:val="0"/>
              <w:autoSpaceDN w:val="0"/>
              <w:spacing w:after="120"/>
              <w:jc w:val="both"/>
              <w:rPr>
                <w:rFonts w:ascii="Verdana" w:hAnsi="Verdana" w:cs="Arial"/>
              </w:rPr>
            </w:pPr>
            <w:r w:rsidRPr="00BD69D5">
              <w:rPr>
                <w:rFonts w:ascii="Verdana" w:hAnsi="Verdana" w:cs="Arial"/>
                <w:color w:val="000000" w:themeColor="text1"/>
                <w:lang w:val="es-ES_tradnl"/>
              </w:rPr>
              <w:lastRenderedPageBreak/>
              <w:t xml:space="preserve">CONGRESO DE LA REPÚBLICA. Exposición de motivos de la Ley 1150 de 2007. Gaceta del Congreso No. 458 del 1º de agosto de 2005. p. 8. </w:t>
            </w: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4519FCF9" w:rsidR="007E2389" w:rsidRPr="00185EE9" w:rsidRDefault="000B6628" w:rsidP="007E2389">
      <w:pPr>
        <w:widowControl w:val="0"/>
        <w:autoSpaceDE w:val="0"/>
        <w:autoSpaceDN w:val="0"/>
        <w:spacing w:after="0" w:line="276" w:lineRule="auto"/>
        <w:jc w:val="both"/>
        <w:rPr>
          <w:rFonts w:ascii="Verdana" w:eastAsia="Calibri" w:hAnsi="Verdana" w:cs="Times New Roman"/>
        </w:rPr>
      </w:pPr>
      <w:r w:rsidRPr="00185EE9">
        <w:rPr>
          <w:rStyle w:val="normaltextrun"/>
          <w:rFonts w:ascii="Verdana" w:hAnsi="Verdana" w:cs="Arial"/>
          <w:shd w:val="clear" w:color="auto" w:fill="FFFFFF"/>
          <w:lang w:val="es-ES"/>
        </w:rPr>
        <w:t xml:space="preserve">Esta Subdirección se ha pronunciado sobre varios de los temas objeto de la solicitud. </w:t>
      </w:r>
      <w:r w:rsidRPr="00185EE9">
        <w:rPr>
          <w:rFonts w:ascii="Verdana" w:eastAsia="Calibri" w:hAnsi="Verdana" w:cs="Times New Roman"/>
        </w:rPr>
        <w:t>Estos y otros conceptos</w:t>
      </w:r>
      <w:r>
        <w:rPr>
          <w:rFonts w:ascii="Verdana" w:eastAsia="Calibri" w:hAnsi="Verdana" w:cs="Times New Roman"/>
        </w:rPr>
        <w:t xml:space="preserve">, tales como: C-108 de 2025, C-977 de 2024, C-597 de 2024, C-101 de </w:t>
      </w:r>
      <w:r w:rsidRPr="000B6628">
        <w:rPr>
          <w:rFonts w:ascii="Verdana" w:eastAsia="Calibri" w:hAnsi="Verdana" w:cs="Times New Roman"/>
        </w:rPr>
        <w:t>2023</w:t>
      </w:r>
      <w:r w:rsidR="007E2389">
        <w:rPr>
          <w:rFonts w:ascii="Verdana" w:hAnsi="Verdana" w:cs="Arial"/>
          <w:shd w:val="clear" w:color="auto" w:fill="FFFFFF"/>
        </w:rPr>
        <w:t xml:space="preserve">, </w:t>
      </w:r>
      <w:r w:rsidR="007E2389">
        <w:rPr>
          <w:rFonts w:ascii="Verdana" w:eastAsia="Calibri" w:hAnsi="Verdana" w:cs="Times New Roman"/>
        </w:rPr>
        <w:t>entre otros,</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lastRenderedPageBreak/>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365AA8A2" w:rsidR="00645CB7" w:rsidRPr="00645CB7" w:rsidRDefault="00645CB7" w:rsidP="00645CB7">
      <w:pPr>
        <w:spacing w:line="276" w:lineRule="auto"/>
        <w:jc w:val="center"/>
        <w:rPr>
          <w:rFonts w:ascii="Verdana" w:hAnsi="Verdana"/>
          <w:noProof/>
          <w:color w:val="000000"/>
        </w:rPr>
      </w:pPr>
      <w:r w:rsidRPr="00645CB7">
        <w:rPr>
          <w:rFonts w:ascii="Verdana" w:hAnsi="Verdana"/>
          <w:noProof/>
          <w:color w:val="000000"/>
        </w:rPr>
        <w:drawing>
          <wp:inline distT="0" distB="0" distL="0" distR="0" wp14:anchorId="37B62853" wp14:editId="5B055E93">
            <wp:extent cx="3514090" cy="1508552"/>
            <wp:effectExtent l="0" t="0" r="0" b="0"/>
            <wp:docPr id="6243038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0043" cy="151110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C40AB" w14:textId="06CCE871" w:rsidR="00A80691" w:rsidRDefault="00606078" w:rsidP="00A80691">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w:t>
            </w:r>
            <w:r w:rsidR="000B6628">
              <w:rPr>
                <w:rStyle w:val="normaltextrun"/>
                <w:rFonts w:ascii="Verdana" w:hAnsi="Verdana" w:cstheme="minorHAnsi"/>
                <w:sz w:val="16"/>
                <w:szCs w:val="16"/>
              </w:rPr>
              <w:t>z</w:t>
            </w:r>
            <w:r>
              <w:rPr>
                <w:rStyle w:val="normaltextrun"/>
                <w:rFonts w:ascii="Verdana" w:hAnsi="Verdana" w:cstheme="minorHAnsi"/>
                <w:sz w:val="16"/>
                <w:szCs w:val="16"/>
              </w:rPr>
              <w:t xml:space="preserve"> </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AC0B6D">
      <w:headerReference w:type="even" r:id="rId18"/>
      <w:headerReference w:type="default" r:id="rId19"/>
      <w:footerReference w:type="even" r:id="rId20"/>
      <w:footerReference w:type="default" r:id="rId21"/>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646F" w14:textId="77777777" w:rsidR="00B07859" w:rsidRDefault="00B07859" w:rsidP="004A1847">
      <w:pPr>
        <w:spacing w:after="0" w:line="240" w:lineRule="auto"/>
      </w:pPr>
      <w:r>
        <w:separator/>
      </w:r>
    </w:p>
  </w:endnote>
  <w:endnote w:type="continuationSeparator" w:id="0">
    <w:p w14:paraId="5CA6B103" w14:textId="77777777" w:rsidR="00B07859" w:rsidRDefault="00B0785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E832" w14:textId="77777777" w:rsidR="00B07859" w:rsidRDefault="00B07859" w:rsidP="004A1847">
      <w:pPr>
        <w:spacing w:after="0" w:line="240" w:lineRule="auto"/>
      </w:pPr>
      <w:r>
        <w:separator/>
      </w:r>
    </w:p>
  </w:footnote>
  <w:footnote w:type="continuationSeparator" w:id="0">
    <w:p w14:paraId="72F94062" w14:textId="77777777" w:rsidR="00B07859" w:rsidRDefault="00B07859" w:rsidP="004A1847">
      <w:pPr>
        <w:spacing w:after="0" w:line="240" w:lineRule="auto"/>
      </w:pPr>
      <w:r>
        <w:continuationSeparator/>
      </w:r>
    </w:p>
  </w:footnote>
  <w:footnote w:id="1">
    <w:p w14:paraId="3256AE4D" w14:textId="77777777" w:rsidR="001F7E1D" w:rsidRPr="00053149" w:rsidRDefault="001F7E1D" w:rsidP="00AF79BC">
      <w:pPr>
        <w:pStyle w:val="Textonotapie"/>
        <w:jc w:val="both"/>
        <w:rPr>
          <w:rFonts w:ascii="Verdana" w:hAnsi="Verdana" w:cs="Arial"/>
          <w:sz w:val="16"/>
          <w:szCs w:val="16"/>
        </w:rPr>
      </w:pPr>
      <w:r w:rsidRPr="00053149">
        <w:rPr>
          <w:rStyle w:val="Refdenotaalpie"/>
          <w:rFonts w:ascii="Verdana" w:hAnsi="Verdana" w:cs="Arial"/>
          <w:sz w:val="16"/>
          <w:szCs w:val="16"/>
        </w:rPr>
        <w:footnoteRef/>
      </w:r>
      <w:r w:rsidRPr="00053149">
        <w:rPr>
          <w:rFonts w:ascii="Verdana" w:hAnsi="Verdana" w:cs="Arial"/>
          <w:sz w:val="16"/>
          <w:szCs w:val="16"/>
        </w:rPr>
        <w:t xml:space="preserve"> El inciso primero de norma disponía que, conforme al principio de transparencia, “</w:t>
      </w:r>
      <w:r w:rsidRPr="00053149">
        <w:rPr>
          <w:rFonts w:ascii="Verdana" w:hAnsi="Verdana" w:cs="Arial"/>
          <w:i/>
          <w:iCs/>
          <w:sz w:val="16"/>
          <w:szCs w:val="16"/>
        </w:rPr>
        <w:t>La escogencia del contratista se efectuará siempre a través de licitación o concurso públicos</w:t>
      </w:r>
      <w:r w:rsidRPr="00053149">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2">
    <w:p w14:paraId="5E2758FC" w14:textId="77777777" w:rsidR="001F7E1D" w:rsidRPr="00053149" w:rsidRDefault="001F7E1D" w:rsidP="00AF79BC">
      <w:pPr>
        <w:pStyle w:val="Textonotapie"/>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CONGRESO DE LA REPÚBLICA. Exposición de motivos de la Ley 1150 de 2007. Gaceta del Congreso No. 458 del 1º de agosto de 2005. p. 8. </w:t>
      </w:r>
    </w:p>
  </w:footnote>
  <w:footnote w:id="3">
    <w:p w14:paraId="268D98FC" w14:textId="77777777" w:rsidR="001F7E1D" w:rsidRPr="00053149" w:rsidRDefault="001F7E1D" w:rsidP="00BB6888">
      <w:pPr>
        <w:pStyle w:val="Textonotapie"/>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bookmarkStart w:id="8" w:name="_Hlk193793277"/>
      <w:r w:rsidRPr="00053149">
        <w:rPr>
          <w:rFonts w:ascii="Verdana" w:hAnsi="Verdana" w:cs="Arial"/>
          <w:sz w:val="16"/>
          <w:szCs w:val="16"/>
        </w:rPr>
        <w:t xml:space="preserve">CONSEJO DE ESTADO. Sección Tercera. Subsección A. Sentencia del 23 de julio de 2015. Exp. 36.805. C. P. Hernán Andrade Rincón. </w:t>
      </w:r>
      <w:bookmarkEnd w:id="8"/>
    </w:p>
  </w:footnote>
  <w:footnote w:id="4">
    <w:p w14:paraId="61C20C23" w14:textId="66993E15" w:rsidR="00A80320" w:rsidRPr="00A80320" w:rsidRDefault="00A80320" w:rsidP="00A80320">
      <w:pPr>
        <w:pStyle w:val="Textonotapie"/>
        <w:jc w:val="both"/>
        <w:rPr>
          <w:lang w:val="es-ES"/>
        </w:rPr>
      </w:pPr>
      <w:bookmarkStart w:id="9" w:name="_Hlk193793287"/>
      <w:r>
        <w:rPr>
          <w:rStyle w:val="Refdenotaalpie"/>
        </w:rPr>
        <w:footnoteRef/>
      </w:r>
      <w:r>
        <w:t xml:space="preserve"> </w:t>
      </w:r>
      <w:r w:rsidRPr="00053149">
        <w:rPr>
          <w:rFonts w:ascii="Verdana" w:hAnsi="Verdana" w:cs="Arial"/>
          <w:sz w:val="16"/>
          <w:szCs w:val="16"/>
        </w:rPr>
        <w:t xml:space="preserve">CONSEJO DE ESTADO. Sección Tercera. Subsección A. Sentencia del 3 de </w:t>
      </w:r>
      <w:r>
        <w:rPr>
          <w:rFonts w:ascii="Verdana" w:hAnsi="Verdana" w:cs="Arial"/>
          <w:sz w:val="16"/>
          <w:szCs w:val="16"/>
        </w:rPr>
        <w:t>diciembre</w:t>
      </w:r>
      <w:r w:rsidRPr="00053149">
        <w:rPr>
          <w:rFonts w:ascii="Verdana" w:hAnsi="Verdana" w:cs="Arial"/>
          <w:sz w:val="16"/>
          <w:szCs w:val="16"/>
        </w:rPr>
        <w:t xml:space="preserve"> de 20</w:t>
      </w:r>
      <w:r>
        <w:rPr>
          <w:rFonts w:ascii="Verdana" w:hAnsi="Verdana" w:cs="Arial"/>
          <w:sz w:val="16"/>
          <w:szCs w:val="16"/>
        </w:rPr>
        <w:t>07</w:t>
      </w:r>
      <w:r w:rsidRPr="00053149">
        <w:rPr>
          <w:rFonts w:ascii="Verdana" w:hAnsi="Verdana" w:cs="Arial"/>
          <w:sz w:val="16"/>
          <w:szCs w:val="16"/>
        </w:rPr>
        <w:t xml:space="preserve">. </w:t>
      </w:r>
      <w:r w:rsidRPr="00A80320">
        <w:rPr>
          <w:rFonts w:ascii="Verdana" w:hAnsi="Verdana" w:cs="Arial"/>
          <w:sz w:val="16"/>
          <w:szCs w:val="16"/>
        </w:rPr>
        <w:t xml:space="preserve">Exp. </w:t>
      </w:r>
      <w:r w:rsidRPr="00A80320">
        <w:rPr>
          <w:rFonts w:ascii="Verdana" w:hAnsi="Verdana" w:cs="Arial"/>
          <w:sz w:val="16"/>
          <w:szCs w:val="16"/>
          <w:lang w:val="es-CO"/>
        </w:rPr>
        <w:t>2003-000-14-01</w:t>
      </w:r>
      <w:r w:rsidRPr="00053149">
        <w:rPr>
          <w:rFonts w:ascii="Verdana" w:hAnsi="Verdana" w:cs="Arial"/>
          <w:sz w:val="16"/>
          <w:szCs w:val="16"/>
        </w:rPr>
        <w:t xml:space="preserve">. C. P. </w:t>
      </w:r>
      <w:r w:rsidRPr="00A80320">
        <w:rPr>
          <w:rFonts w:ascii="Verdana" w:hAnsi="Verdana" w:cs="Arial"/>
          <w:sz w:val="16"/>
          <w:szCs w:val="16"/>
        </w:rPr>
        <w:t>Ruth Stella Correa Palacio</w:t>
      </w:r>
      <w:r w:rsidR="00AF79BC">
        <w:rPr>
          <w:rFonts w:ascii="Verdana" w:hAnsi="Verdana" w:cs="Arial"/>
          <w:sz w:val="16"/>
          <w:szCs w:val="16"/>
        </w:rPr>
        <w:t>.</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670566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00462686" name="Imagen 3004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033BA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95853638" o:spid="_x0000_i1025" type="#_x0000_t75" style="width:11.25pt;height:11.25pt;visibility:visible;mso-wrap-style:square">
            <v:imagedata r:id="rId1" o:title=""/>
          </v:shape>
        </w:pict>
      </mc:Choice>
      <mc:Fallback>
        <w:drawing>
          <wp:inline distT="0" distB="0" distL="0" distR="0" wp14:anchorId="26802A99" wp14:editId="1DEEFBF0">
            <wp:extent cx="142875" cy="142875"/>
            <wp:effectExtent l="0" t="0" r="0" b="0"/>
            <wp:docPr id="1695853638" name="Imagen 169585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8"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1"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2"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5"/>
  </w:num>
  <w:num w:numId="2" w16cid:durableId="19822139">
    <w:abstractNumId w:val="3"/>
  </w:num>
  <w:num w:numId="3" w16cid:durableId="876742304">
    <w:abstractNumId w:val="13"/>
  </w:num>
  <w:num w:numId="4" w16cid:durableId="24518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34"/>
  </w:num>
  <w:num w:numId="7" w16cid:durableId="1946422806">
    <w:abstractNumId w:val="14"/>
  </w:num>
  <w:num w:numId="8" w16cid:durableId="152644682">
    <w:abstractNumId w:val="32"/>
  </w:num>
  <w:num w:numId="9" w16cid:durableId="1317221377">
    <w:abstractNumId w:val="17"/>
  </w:num>
  <w:num w:numId="10" w16cid:durableId="1471245386">
    <w:abstractNumId w:val="31"/>
  </w:num>
  <w:num w:numId="11" w16cid:durableId="289172385">
    <w:abstractNumId w:val="18"/>
  </w:num>
  <w:num w:numId="12" w16cid:durableId="1470781324">
    <w:abstractNumId w:val="1"/>
  </w:num>
  <w:num w:numId="13" w16cid:durableId="1512908409">
    <w:abstractNumId w:val="9"/>
  </w:num>
  <w:num w:numId="14" w16cid:durableId="895897244">
    <w:abstractNumId w:val="35"/>
  </w:num>
  <w:num w:numId="15" w16cid:durableId="390349800">
    <w:abstractNumId w:val="28"/>
  </w:num>
  <w:num w:numId="16" w16cid:durableId="1380713882">
    <w:abstractNumId w:val="0"/>
  </w:num>
  <w:num w:numId="17" w16cid:durableId="1528370592">
    <w:abstractNumId w:val="33"/>
  </w:num>
  <w:num w:numId="18" w16cid:durableId="1827160323">
    <w:abstractNumId w:val="25"/>
  </w:num>
  <w:num w:numId="19" w16cid:durableId="1341393406">
    <w:abstractNumId w:val="8"/>
  </w:num>
  <w:num w:numId="20" w16cid:durableId="14254217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27"/>
  </w:num>
  <w:num w:numId="23" w16cid:durableId="821585723">
    <w:abstractNumId w:val="40"/>
  </w:num>
  <w:num w:numId="24" w16cid:durableId="278218624">
    <w:abstractNumId w:val="23"/>
  </w:num>
  <w:num w:numId="25" w16cid:durableId="619844469">
    <w:abstractNumId w:val="4"/>
  </w:num>
  <w:num w:numId="26" w16cid:durableId="2032217959">
    <w:abstractNumId w:val="20"/>
  </w:num>
  <w:num w:numId="27" w16cid:durableId="1194152408">
    <w:abstractNumId w:val="6"/>
  </w:num>
  <w:num w:numId="28" w16cid:durableId="765926342">
    <w:abstractNumId w:val="7"/>
  </w:num>
  <w:num w:numId="29" w16cid:durableId="772895453">
    <w:abstractNumId w:val="29"/>
  </w:num>
  <w:num w:numId="30" w16cid:durableId="784039179">
    <w:abstractNumId w:val="36"/>
  </w:num>
  <w:num w:numId="31" w16cid:durableId="998077508">
    <w:abstractNumId w:val="22"/>
  </w:num>
  <w:num w:numId="32" w16cid:durableId="836310654">
    <w:abstractNumId w:val="5"/>
  </w:num>
  <w:num w:numId="33" w16cid:durableId="1178544198">
    <w:abstractNumId w:val="16"/>
  </w:num>
  <w:num w:numId="34" w16cid:durableId="449785796">
    <w:abstractNumId w:val="11"/>
  </w:num>
  <w:num w:numId="35" w16cid:durableId="558784917">
    <w:abstractNumId w:val="21"/>
  </w:num>
  <w:num w:numId="36" w16cid:durableId="679089576">
    <w:abstractNumId w:val="19"/>
  </w:num>
  <w:num w:numId="37" w16cid:durableId="1733503356">
    <w:abstractNumId w:val="30"/>
  </w:num>
  <w:num w:numId="38" w16cid:durableId="1982299905">
    <w:abstractNumId w:val="39"/>
  </w:num>
  <w:num w:numId="39" w16cid:durableId="718089256">
    <w:abstractNumId w:val="10"/>
  </w:num>
  <w:num w:numId="40" w16cid:durableId="1416318430">
    <w:abstractNumId w:val="38"/>
  </w:num>
  <w:num w:numId="41" w16cid:durableId="134764369">
    <w:abstractNumId w:val="37"/>
  </w:num>
  <w:num w:numId="42" w16cid:durableId="782461700">
    <w:abstractNumId w:val="24"/>
  </w:num>
  <w:num w:numId="43" w16cid:durableId="1726566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32690"/>
    <w:rsid w:val="00043043"/>
    <w:rsid w:val="0004364F"/>
    <w:rsid w:val="0005032D"/>
    <w:rsid w:val="00052A7F"/>
    <w:rsid w:val="00061B2A"/>
    <w:rsid w:val="00064D4C"/>
    <w:rsid w:val="00065774"/>
    <w:rsid w:val="000716C3"/>
    <w:rsid w:val="000816DD"/>
    <w:rsid w:val="00082362"/>
    <w:rsid w:val="00083901"/>
    <w:rsid w:val="00091052"/>
    <w:rsid w:val="00097A44"/>
    <w:rsid w:val="000A683E"/>
    <w:rsid w:val="000B19B9"/>
    <w:rsid w:val="000B6628"/>
    <w:rsid w:val="000C3898"/>
    <w:rsid w:val="000D0334"/>
    <w:rsid w:val="000D7C08"/>
    <w:rsid w:val="000F6486"/>
    <w:rsid w:val="00117E40"/>
    <w:rsid w:val="00125105"/>
    <w:rsid w:val="001254C6"/>
    <w:rsid w:val="00127233"/>
    <w:rsid w:val="001318DA"/>
    <w:rsid w:val="0014445C"/>
    <w:rsid w:val="0015095D"/>
    <w:rsid w:val="00151D47"/>
    <w:rsid w:val="001561D6"/>
    <w:rsid w:val="001572FA"/>
    <w:rsid w:val="001643A7"/>
    <w:rsid w:val="00171AE9"/>
    <w:rsid w:val="00174353"/>
    <w:rsid w:val="001A13C1"/>
    <w:rsid w:val="001B7AF4"/>
    <w:rsid w:val="001C4152"/>
    <w:rsid w:val="001D4052"/>
    <w:rsid w:val="001D756C"/>
    <w:rsid w:val="001E4177"/>
    <w:rsid w:val="001E5B16"/>
    <w:rsid w:val="001F0FB2"/>
    <w:rsid w:val="001F6D8D"/>
    <w:rsid w:val="001F7DC6"/>
    <w:rsid w:val="001F7E1D"/>
    <w:rsid w:val="00201766"/>
    <w:rsid w:val="0020467F"/>
    <w:rsid w:val="002121EB"/>
    <w:rsid w:val="002221DA"/>
    <w:rsid w:val="00232683"/>
    <w:rsid w:val="002421BB"/>
    <w:rsid w:val="00250743"/>
    <w:rsid w:val="002520F5"/>
    <w:rsid w:val="0025398C"/>
    <w:rsid w:val="0025796E"/>
    <w:rsid w:val="002707A2"/>
    <w:rsid w:val="00272513"/>
    <w:rsid w:val="002933DA"/>
    <w:rsid w:val="002951A0"/>
    <w:rsid w:val="002962BC"/>
    <w:rsid w:val="002A093D"/>
    <w:rsid w:val="002A0DD0"/>
    <w:rsid w:val="002A4677"/>
    <w:rsid w:val="002A49AC"/>
    <w:rsid w:val="002A64FD"/>
    <w:rsid w:val="002C4A72"/>
    <w:rsid w:val="002C7A84"/>
    <w:rsid w:val="002E22F1"/>
    <w:rsid w:val="002E315F"/>
    <w:rsid w:val="002E4FD9"/>
    <w:rsid w:val="00306C5A"/>
    <w:rsid w:val="003103F2"/>
    <w:rsid w:val="00322A85"/>
    <w:rsid w:val="00324168"/>
    <w:rsid w:val="003448F4"/>
    <w:rsid w:val="00355F0B"/>
    <w:rsid w:val="00362EC9"/>
    <w:rsid w:val="0036753A"/>
    <w:rsid w:val="00367C99"/>
    <w:rsid w:val="00374F5E"/>
    <w:rsid w:val="00376CD8"/>
    <w:rsid w:val="00377C80"/>
    <w:rsid w:val="00377E3E"/>
    <w:rsid w:val="003838FF"/>
    <w:rsid w:val="00391EB2"/>
    <w:rsid w:val="0039733E"/>
    <w:rsid w:val="003A26D1"/>
    <w:rsid w:val="003A2ECF"/>
    <w:rsid w:val="003A779E"/>
    <w:rsid w:val="003C28D0"/>
    <w:rsid w:val="003C3A88"/>
    <w:rsid w:val="003D0F4D"/>
    <w:rsid w:val="003D5B0D"/>
    <w:rsid w:val="003E0499"/>
    <w:rsid w:val="003E41C3"/>
    <w:rsid w:val="003E7285"/>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6F45"/>
    <w:rsid w:val="00461E0F"/>
    <w:rsid w:val="004634BD"/>
    <w:rsid w:val="0047280E"/>
    <w:rsid w:val="004735E5"/>
    <w:rsid w:val="00491ED8"/>
    <w:rsid w:val="004A1847"/>
    <w:rsid w:val="004A305D"/>
    <w:rsid w:val="004E0A42"/>
    <w:rsid w:val="004F21C4"/>
    <w:rsid w:val="004F685F"/>
    <w:rsid w:val="0051501A"/>
    <w:rsid w:val="00521153"/>
    <w:rsid w:val="00540088"/>
    <w:rsid w:val="0055375E"/>
    <w:rsid w:val="005566E8"/>
    <w:rsid w:val="00566D40"/>
    <w:rsid w:val="00574867"/>
    <w:rsid w:val="00574CB1"/>
    <w:rsid w:val="0058374D"/>
    <w:rsid w:val="00591460"/>
    <w:rsid w:val="00592628"/>
    <w:rsid w:val="005C1B4D"/>
    <w:rsid w:val="005C3777"/>
    <w:rsid w:val="005C5CDC"/>
    <w:rsid w:val="005C5FD0"/>
    <w:rsid w:val="005C74BA"/>
    <w:rsid w:val="005D2DA6"/>
    <w:rsid w:val="005D476C"/>
    <w:rsid w:val="005D5319"/>
    <w:rsid w:val="005E62E2"/>
    <w:rsid w:val="005F7B58"/>
    <w:rsid w:val="00600FA2"/>
    <w:rsid w:val="00601B7E"/>
    <w:rsid w:val="00606078"/>
    <w:rsid w:val="00610812"/>
    <w:rsid w:val="006173C6"/>
    <w:rsid w:val="006219F8"/>
    <w:rsid w:val="00645CB7"/>
    <w:rsid w:val="00650FF7"/>
    <w:rsid w:val="00652CBE"/>
    <w:rsid w:val="0065720B"/>
    <w:rsid w:val="00665D70"/>
    <w:rsid w:val="00670EF2"/>
    <w:rsid w:val="00671DAC"/>
    <w:rsid w:val="00677639"/>
    <w:rsid w:val="006900D9"/>
    <w:rsid w:val="00691D55"/>
    <w:rsid w:val="006A319E"/>
    <w:rsid w:val="006A5AE8"/>
    <w:rsid w:val="006A6837"/>
    <w:rsid w:val="006A7FFC"/>
    <w:rsid w:val="006B0766"/>
    <w:rsid w:val="006B0E65"/>
    <w:rsid w:val="006B72C8"/>
    <w:rsid w:val="006B763B"/>
    <w:rsid w:val="006C5F67"/>
    <w:rsid w:val="006D0268"/>
    <w:rsid w:val="006D12F8"/>
    <w:rsid w:val="006D3648"/>
    <w:rsid w:val="006E790E"/>
    <w:rsid w:val="006F3640"/>
    <w:rsid w:val="00706C16"/>
    <w:rsid w:val="00712B92"/>
    <w:rsid w:val="00744E12"/>
    <w:rsid w:val="00756841"/>
    <w:rsid w:val="00757DEA"/>
    <w:rsid w:val="007649AB"/>
    <w:rsid w:val="00770D74"/>
    <w:rsid w:val="00771D0C"/>
    <w:rsid w:val="00771EEC"/>
    <w:rsid w:val="00775EFA"/>
    <w:rsid w:val="007833AC"/>
    <w:rsid w:val="00783B11"/>
    <w:rsid w:val="00793192"/>
    <w:rsid w:val="007937A8"/>
    <w:rsid w:val="00794660"/>
    <w:rsid w:val="007964E2"/>
    <w:rsid w:val="007A4461"/>
    <w:rsid w:val="007B268C"/>
    <w:rsid w:val="007B7171"/>
    <w:rsid w:val="007B7897"/>
    <w:rsid w:val="007C0C0F"/>
    <w:rsid w:val="007C3DC2"/>
    <w:rsid w:val="007D0253"/>
    <w:rsid w:val="007D5768"/>
    <w:rsid w:val="007E2389"/>
    <w:rsid w:val="007E5497"/>
    <w:rsid w:val="007F56E0"/>
    <w:rsid w:val="0080518E"/>
    <w:rsid w:val="00806F5F"/>
    <w:rsid w:val="00811ADC"/>
    <w:rsid w:val="00820278"/>
    <w:rsid w:val="008245EB"/>
    <w:rsid w:val="00842E01"/>
    <w:rsid w:val="00845A8D"/>
    <w:rsid w:val="00847CCC"/>
    <w:rsid w:val="00851635"/>
    <w:rsid w:val="008677DE"/>
    <w:rsid w:val="008734E3"/>
    <w:rsid w:val="008843B6"/>
    <w:rsid w:val="00891928"/>
    <w:rsid w:val="008A446D"/>
    <w:rsid w:val="008C0A2F"/>
    <w:rsid w:val="008D180B"/>
    <w:rsid w:val="008E712D"/>
    <w:rsid w:val="008F0EA7"/>
    <w:rsid w:val="008F4339"/>
    <w:rsid w:val="008F7D92"/>
    <w:rsid w:val="00901B56"/>
    <w:rsid w:val="00903114"/>
    <w:rsid w:val="009143F1"/>
    <w:rsid w:val="00922211"/>
    <w:rsid w:val="00922EAB"/>
    <w:rsid w:val="00923EEF"/>
    <w:rsid w:val="00927F89"/>
    <w:rsid w:val="009419F9"/>
    <w:rsid w:val="00943A3B"/>
    <w:rsid w:val="00955D18"/>
    <w:rsid w:val="0095685E"/>
    <w:rsid w:val="00961B09"/>
    <w:rsid w:val="00965334"/>
    <w:rsid w:val="0097093E"/>
    <w:rsid w:val="009A0DFA"/>
    <w:rsid w:val="009B2421"/>
    <w:rsid w:val="009B28FC"/>
    <w:rsid w:val="009B2D26"/>
    <w:rsid w:val="009B3357"/>
    <w:rsid w:val="009C547E"/>
    <w:rsid w:val="009C71FA"/>
    <w:rsid w:val="009C72E7"/>
    <w:rsid w:val="009D04B0"/>
    <w:rsid w:val="009D05E0"/>
    <w:rsid w:val="009D3058"/>
    <w:rsid w:val="009D4E8D"/>
    <w:rsid w:val="009F3A13"/>
    <w:rsid w:val="00A122D3"/>
    <w:rsid w:val="00A17F13"/>
    <w:rsid w:val="00A20739"/>
    <w:rsid w:val="00A27867"/>
    <w:rsid w:val="00A33C78"/>
    <w:rsid w:val="00A3710E"/>
    <w:rsid w:val="00A42AAE"/>
    <w:rsid w:val="00A519A0"/>
    <w:rsid w:val="00A644E0"/>
    <w:rsid w:val="00A65B78"/>
    <w:rsid w:val="00A80320"/>
    <w:rsid w:val="00A80691"/>
    <w:rsid w:val="00A8229A"/>
    <w:rsid w:val="00A9310E"/>
    <w:rsid w:val="00A94103"/>
    <w:rsid w:val="00AA2B1E"/>
    <w:rsid w:val="00AA6478"/>
    <w:rsid w:val="00AA7047"/>
    <w:rsid w:val="00AB0ADB"/>
    <w:rsid w:val="00AB2AC1"/>
    <w:rsid w:val="00AB5A54"/>
    <w:rsid w:val="00AC0B6D"/>
    <w:rsid w:val="00AC1F25"/>
    <w:rsid w:val="00AD1BDE"/>
    <w:rsid w:val="00AE7B20"/>
    <w:rsid w:val="00AE7D3D"/>
    <w:rsid w:val="00AF4209"/>
    <w:rsid w:val="00AF79BC"/>
    <w:rsid w:val="00B01B1A"/>
    <w:rsid w:val="00B05B83"/>
    <w:rsid w:val="00B07859"/>
    <w:rsid w:val="00B33517"/>
    <w:rsid w:val="00B44494"/>
    <w:rsid w:val="00B539CD"/>
    <w:rsid w:val="00B62FCA"/>
    <w:rsid w:val="00B72CD3"/>
    <w:rsid w:val="00B72FFF"/>
    <w:rsid w:val="00B75709"/>
    <w:rsid w:val="00B75E24"/>
    <w:rsid w:val="00B96BEA"/>
    <w:rsid w:val="00BA0D07"/>
    <w:rsid w:val="00BB6888"/>
    <w:rsid w:val="00BC3D36"/>
    <w:rsid w:val="00BC4CD4"/>
    <w:rsid w:val="00BD77C4"/>
    <w:rsid w:val="00BD7F72"/>
    <w:rsid w:val="00BE6BAA"/>
    <w:rsid w:val="00C04307"/>
    <w:rsid w:val="00C04FB3"/>
    <w:rsid w:val="00C21782"/>
    <w:rsid w:val="00C259CE"/>
    <w:rsid w:val="00C330EB"/>
    <w:rsid w:val="00C42100"/>
    <w:rsid w:val="00C45B33"/>
    <w:rsid w:val="00C63E0F"/>
    <w:rsid w:val="00C754BE"/>
    <w:rsid w:val="00C76B1C"/>
    <w:rsid w:val="00C83C0F"/>
    <w:rsid w:val="00C8442F"/>
    <w:rsid w:val="00C903DE"/>
    <w:rsid w:val="00C90ADE"/>
    <w:rsid w:val="00CA31BC"/>
    <w:rsid w:val="00CB6357"/>
    <w:rsid w:val="00CC02E3"/>
    <w:rsid w:val="00CC1B26"/>
    <w:rsid w:val="00CD5214"/>
    <w:rsid w:val="00D16132"/>
    <w:rsid w:val="00D423A2"/>
    <w:rsid w:val="00D520D8"/>
    <w:rsid w:val="00D63AC2"/>
    <w:rsid w:val="00D71ACD"/>
    <w:rsid w:val="00D7383B"/>
    <w:rsid w:val="00D76D09"/>
    <w:rsid w:val="00DA022D"/>
    <w:rsid w:val="00DA231B"/>
    <w:rsid w:val="00DA23A0"/>
    <w:rsid w:val="00DA2CA2"/>
    <w:rsid w:val="00DB29E1"/>
    <w:rsid w:val="00DB7D44"/>
    <w:rsid w:val="00DC2958"/>
    <w:rsid w:val="00DC39FC"/>
    <w:rsid w:val="00DE2464"/>
    <w:rsid w:val="00DE3616"/>
    <w:rsid w:val="00DE3A63"/>
    <w:rsid w:val="00DF0103"/>
    <w:rsid w:val="00DF1B0E"/>
    <w:rsid w:val="00DF5254"/>
    <w:rsid w:val="00DF691D"/>
    <w:rsid w:val="00DF7F54"/>
    <w:rsid w:val="00E005E5"/>
    <w:rsid w:val="00E13277"/>
    <w:rsid w:val="00E16408"/>
    <w:rsid w:val="00E20894"/>
    <w:rsid w:val="00E245AB"/>
    <w:rsid w:val="00E2764C"/>
    <w:rsid w:val="00E27F2E"/>
    <w:rsid w:val="00E362C7"/>
    <w:rsid w:val="00E413EA"/>
    <w:rsid w:val="00E41CC9"/>
    <w:rsid w:val="00E447AD"/>
    <w:rsid w:val="00E5035C"/>
    <w:rsid w:val="00E50AFE"/>
    <w:rsid w:val="00E52602"/>
    <w:rsid w:val="00E56422"/>
    <w:rsid w:val="00E6781E"/>
    <w:rsid w:val="00E7019A"/>
    <w:rsid w:val="00E75C92"/>
    <w:rsid w:val="00E771DC"/>
    <w:rsid w:val="00E845F4"/>
    <w:rsid w:val="00E8671A"/>
    <w:rsid w:val="00E8772A"/>
    <w:rsid w:val="00E90F6B"/>
    <w:rsid w:val="00E92C27"/>
    <w:rsid w:val="00EA0E3D"/>
    <w:rsid w:val="00EA7B0A"/>
    <w:rsid w:val="00EB08FB"/>
    <w:rsid w:val="00EB3CD8"/>
    <w:rsid w:val="00EB7D13"/>
    <w:rsid w:val="00EC38A7"/>
    <w:rsid w:val="00EC4550"/>
    <w:rsid w:val="00ED291B"/>
    <w:rsid w:val="00ED58AB"/>
    <w:rsid w:val="00EE1AA8"/>
    <w:rsid w:val="00EF40D2"/>
    <w:rsid w:val="00EF4E84"/>
    <w:rsid w:val="00F141D2"/>
    <w:rsid w:val="00F31EDC"/>
    <w:rsid w:val="00F45BF2"/>
    <w:rsid w:val="00F462B3"/>
    <w:rsid w:val="00F51BC1"/>
    <w:rsid w:val="00F5664F"/>
    <w:rsid w:val="00F6131B"/>
    <w:rsid w:val="00F666C4"/>
    <w:rsid w:val="00F73C01"/>
    <w:rsid w:val="00F76AFC"/>
    <w:rsid w:val="00F81493"/>
    <w:rsid w:val="00F930CF"/>
    <w:rsid w:val="00FA0CF8"/>
    <w:rsid w:val="00FA47C0"/>
    <w:rsid w:val="00FA738A"/>
    <w:rsid w:val="00FB5C6A"/>
    <w:rsid w:val="00FB5CB7"/>
    <w:rsid w:val="00FB5DD1"/>
    <w:rsid w:val="00FB67C7"/>
    <w:rsid w:val="00FB76D0"/>
    <w:rsid w:val="00FB7EA8"/>
    <w:rsid w:val="00FC2B5D"/>
    <w:rsid w:val="00FC569F"/>
    <w:rsid w:val="00FE66BE"/>
    <w:rsid w:val="00FF1449"/>
    <w:rsid w:val="00FF5F9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isguillermocardenassandoval@yahoo.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602A3B7-512E-4D3A-8A7C-0A121562388F}"/>
</file>

<file path=docProps/app.xml><?xml version="1.0" encoding="utf-8"?>
<Properties xmlns="http://schemas.openxmlformats.org/officeDocument/2006/extended-properties" xmlns:vt="http://schemas.openxmlformats.org/officeDocument/2006/docPropsVTypes">
  <Template>Normal</Template>
  <TotalTime>3117</TotalTime>
  <Pages>11</Pages>
  <Words>3229</Words>
  <Characters>17765</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63</cp:revision>
  <cp:lastPrinted>2023-01-10T21:18:00Z</cp:lastPrinted>
  <dcterms:created xsi:type="dcterms:W3CDTF">2024-12-12T15:03:00Z</dcterms:created>
  <dcterms:modified xsi:type="dcterms:W3CDTF">2025-03-26T14:53:00Z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