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64033DC5" w:rsidR="005A79FE" w:rsidRDefault="005A79FE" w:rsidP="0068200F">
      <w:pPr>
        <w:spacing w:line="276" w:lineRule="auto"/>
        <w:jc w:val="right"/>
        <w:rPr>
          <w:rFonts w:ascii="Arial" w:eastAsia="Times New Roman" w:hAnsi="Arial" w:cs="Arial"/>
          <w:b/>
          <w:bCs/>
          <w:color w:val="000000" w:themeColor="text1"/>
          <w:sz w:val="16"/>
          <w:szCs w:val="16"/>
          <w:lang w:eastAsia="es-ES"/>
        </w:rPr>
      </w:pPr>
      <w:r w:rsidRPr="0068200F">
        <w:rPr>
          <w:rFonts w:ascii="Arial" w:eastAsia="Times New Roman" w:hAnsi="Arial" w:cs="Arial"/>
          <w:b/>
          <w:bCs/>
          <w:color w:val="000000" w:themeColor="text1"/>
          <w:sz w:val="16"/>
          <w:szCs w:val="16"/>
          <w:lang w:eastAsia="es-ES"/>
        </w:rPr>
        <w:t>CCE-DES-FM-17</w:t>
      </w:r>
    </w:p>
    <w:p w14:paraId="6B659B5C" w14:textId="77777777" w:rsidR="0068200F" w:rsidRPr="0068200F" w:rsidRDefault="0068200F" w:rsidP="0068200F">
      <w:pPr>
        <w:rPr>
          <w:rFonts w:ascii="Arial" w:eastAsia="Calibri" w:hAnsi="Arial" w:cs="Arial"/>
          <w:b/>
          <w:bCs/>
          <w:color w:val="000000" w:themeColor="text1"/>
          <w:sz w:val="16"/>
          <w:szCs w:val="16"/>
        </w:rPr>
      </w:pPr>
    </w:p>
    <w:p w14:paraId="3F645CF1" w14:textId="557D999A" w:rsidR="00840827" w:rsidRPr="0068200F" w:rsidRDefault="00840827" w:rsidP="0068200F">
      <w:pPr>
        <w:jc w:val="both"/>
        <w:rPr>
          <w:rFonts w:ascii="Arial" w:eastAsia="Calibri" w:hAnsi="Arial" w:cs="Arial"/>
          <w:b/>
          <w:color w:val="000000" w:themeColor="text1"/>
          <w:sz w:val="22"/>
          <w:lang w:val="es-ES_tradnl"/>
        </w:rPr>
      </w:pPr>
      <w:r w:rsidRPr="0068200F">
        <w:rPr>
          <w:rFonts w:ascii="Arial" w:eastAsia="Calibri" w:hAnsi="Arial" w:cs="Arial"/>
          <w:b/>
          <w:color w:val="000000" w:themeColor="text1"/>
          <w:sz w:val="22"/>
          <w:lang w:val="es-ES_tradnl"/>
        </w:rPr>
        <w:t xml:space="preserve">PROCESO CONTRACTUAL </w:t>
      </w:r>
      <w:r w:rsidR="000E5117" w:rsidRPr="00FA2DA0">
        <w:rPr>
          <w:rFonts w:ascii="Arial" w:eastAsia="Calibri" w:hAnsi="Arial" w:cs="Arial"/>
          <w:b/>
          <w:color w:val="000000" w:themeColor="text1"/>
          <w:sz w:val="22"/>
        </w:rPr>
        <w:t>–</w:t>
      </w:r>
      <w:r w:rsidRPr="0068200F">
        <w:rPr>
          <w:rFonts w:ascii="Arial" w:eastAsia="Calibri" w:hAnsi="Arial" w:cs="Arial"/>
          <w:b/>
          <w:color w:val="000000" w:themeColor="text1"/>
          <w:sz w:val="22"/>
          <w:lang w:val="es-ES_tradnl"/>
        </w:rPr>
        <w:t xml:space="preserve"> Modalidad de selección</w:t>
      </w:r>
    </w:p>
    <w:p w14:paraId="020416EE" w14:textId="71F06394" w:rsidR="00840827" w:rsidRPr="0068200F" w:rsidRDefault="00840827" w:rsidP="0068200F">
      <w:pPr>
        <w:jc w:val="both"/>
        <w:rPr>
          <w:rFonts w:ascii="Arial" w:eastAsia="Calibri" w:hAnsi="Arial" w:cs="Arial"/>
          <w:bCs/>
          <w:color w:val="000000" w:themeColor="text1"/>
          <w:sz w:val="20"/>
          <w:szCs w:val="20"/>
          <w:lang w:val="es-ES_tradnl"/>
        </w:rPr>
      </w:pPr>
    </w:p>
    <w:p w14:paraId="30779777" w14:textId="77777777" w:rsidR="00AE31E1" w:rsidRDefault="00840827" w:rsidP="00AE31E1">
      <w:pPr>
        <w:spacing w:after="120"/>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de 1993― se aplica a las entidades estatales relacionadas en el artículo 2 y demás normas que lo complementan, con lo cual se puede determinar quiénes deben cumplir los principios y obligaciones señalados en las normas citadas.</w:t>
      </w:r>
    </w:p>
    <w:p w14:paraId="6071BDE0" w14:textId="77777777" w:rsidR="00AE31E1" w:rsidRDefault="00840827" w:rsidP="00AE31E1">
      <w:pPr>
        <w:spacing w:after="120"/>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p>
    <w:p w14:paraId="2E290AAC" w14:textId="18367F47" w:rsidR="00840827" w:rsidRPr="009738BA" w:rsidRDefault="00840827" w:rsidP="0068200F">
      <w:pPr>
        <w:jc w:val="both"/>
        <w:rPr>
          <w:rFonts w:ascii="Arial" w:eastAsia="Calibri" w:hAnsi="Arial" w:cs="Arial"/>
          <w:bCs/>
          <w:color w:val="000000" w:themeColor="text1"/>
          <w:sz w:val="20"/>
          <w:szCs w:val="20"/>
          <w:lang w:val="es-ES_tradnl"/>
        </w:rPr>
      </w:pPr>
      <w:r w:rsidRPr="009738BA">
        <w:rPr>
          <w:rFonts w:ascii="Arial" w:eastAsia="Calibri" w:hAnsi="Arial" w:cs="Arial"/>
          <w:color w:val="000000" w:themeColor="text1"/>
          <w:sz w:val="20"/>
          <w:szCs w:val="20"/>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9738BA">
        <w:rPr>
          <w:rFonts w:ascii="Arial" w:eastAsia="Calibri" w:hAnsi="Arial" w:cs="Arial"/>
          <w:color w:val="000000" w:themeColor="text1"/>
          <w:sz w:val="20"/>
          <w:szCs w:val="20"/>
        </w:rPr>
        <w:t>eficiente,</w:t>
      </w:r>
      <w:proofErr w:type="gramEnd"/>
      <w:r w:rsidRPr="009738BA">
        <w:rPr>
          <w:rFonts w:ascii="Arial" w:eastAsia="Calibri" w:hAnsi="Arial" w:cs="Arial"/>
          <w:color w:val="000000" w:themeColor="text1"/>
          <w:sz w:val="20"/>
          <w:szCs w:val="20"/>
        </w:rPr>
        <w:t xml:space="preserve"> es el de modular las modalidades de selección en razón a las características del objeto».</w:t>
      </w:r>
    </w:p>
    <w:p w14:paraId="44756BE9" w14:textId="77777777" w:rsidR="00840827" w:rsidRPr="009738BA" w:rsidRDefault="00840827" w:rsidP="0068200F">
      <w:pPr>
        <w:jc w:val="both"/>
        <w:rPr>
          <w:rFonts w:ascii="Arial" w:eastAsia="Calibri" w:hAnsi="Arial" w:cs="Arial"/>
          <w:b/>
          <w:color w:val="000000" w:themeColor="text1"/>
          <w:sz w:val="20"/>
          <w:szCs w:val="20"/>
          <w:lang w:val="es-ES_tradnl"/>
        </w:rPr>
      </w:pPr>
    </w:p>
    <w:p w14:paraId="4E2AC8E4" w14:textId="25866068" w:rsidR="008C316D" w:rsidRPr="0068200F" w:rsidRDefault="008C316D" w:rsidP="4E4A4C05">
      <w:pPr>
        <w:jc w:val="both"/>
        <w:rPr>
          <w:rFonts w:ascii="Arial" w:eastAsia="Calibri" w:hAnsi="Arial" w:cs="Arial"/>
          <w:b/>
          <w:bCs/>
          <w:color w:val="000000" w:themeColor="text1"/>
          <w:sz w:val="22"/>
          <w:lang w:val="es-ES"/>
        </w:rPr>
      </w:pPr>
      <w:r w:rsidRPr="4E4A4C05">
        <w:rPr>
          <w:rFonts w:ascii="Arial" w:eastAsia="Calibri" w:hAnsi="Arial" w:cs="Arial"/>
          <w:b/>
          <w:bCs/>
          <w:color w:val="000000" w:themeColor="text1"/>
          <w:sz w:val="22"/>
          <w:lang w:val="es-ES"/>
        </w:rPr>
        <w:t xml:space="preserve">CONVENIO O CONTRATO INTERADMINISTRATIVO </w:t>
      </w:r>
      <w:r w:rsidR="72225633" w:rsidRPr="4E4A4C05">
        <w:rPr>
          <w:rFonts w:ascii="Arial" w:eastAsia="Calibri" w:hAnsi="Arial" w:cs="Arial"/>
          <w:b/>
          <w:bCs/>
          <w:color w:val="000000" w:themeColor="text1"/>
          <w:sz w:val="22"/>
        </w:rPr>
        <w:t>–</w:t>
      </w:r>
      <w:r w:rsidRPr="4E4A4C05">
        <w:rPr>
          <w:rFonts w:ascii="Arial" w:eastAsia="Calibri" w:hAnsi="Arial" w:cs="Arial"/>
          <w:b/>
          <w:bCs/>
          <w:color w:val="000000" w:themeColor="text1"/>
          <w:sz w:val="22"/>
          <w:lang w:val="es-ES"/>
        </w:rPr>
        <w:t xml:space="preserve"> Concepto </w:t>
      </w:r>
      <w:r w:rsidR="5146CB89" w:rsidRPr="4E4A4C05">
        <w:rPr>
          <w:rFonts w:ascii="Arial" w:eastAsia="Calibri" w:hAnsi="Arial" w:cs="Arial"/>
          <w:b/>
          <w:bCs/>
          <w:color w:val="000000" w:themeColor="text1"/>
          <w:sz w:val="22"/>
        </w:rPr>
        <w:t>–</w:t>
      </w:r>
      <w:r w:rsidRPr="4E4A4C05">
        <w:rPr>
          <w:rFonts w:ascii="Arial" w:eastAsia="Calibri" w:hAnsi="Arial" w:cs="Arial"/>
          <w:b/>
          <w:bCs/>
          <w:color w:val="000000" w:themeColor="text1"/>
          <w:sz w:val="22"/>
          <w:lang w:val="es-ES"/>
        </w:rPr>
        <w:t xml:space="preserve"> Régimen jurídico</w:t>
      </w:r>
    </w:p>
    <w:p w14:paraId="5A69C431" w14:textId="77777777" w:rsidR="008C316D" w:rsidRPr="009738BA" w:rsidRDefault="008C316D" w:rsidP="0068200F">
      <w:pPr>
        <w:jc w:val="both"/>
        <w:rPr>
          <w:rFonts w:ascii="Arial" w:eastAsia="Calibri" w:hAnsi="Arial" w:cs="Arial"/>
          <w:color w:val="000000" w:themeColor="text1"/>
          <w:sz w:val="20"/>
          <w:szCs w:val="20"/>
          <w:lang w:val="es-ES_tradnl"/>
        </w:rPr>
      </w:pPr>
    </w:p>
    <w:p w14:paraId="1129C28E" w14:textId="77777777" w:rsidR="00AE31E1" w:rsidRDefault="008C316D" w:rsidP="00AE31E1">
      <w:pPr>
        <w:spacing w:after="120"/>
        <w:jc w:val="both"/>
        <w:rPr>
          <w:rFonts w:ascii="Arial" w:eastAsia="Calibri" w:hAnsi="Arial" w:cs="Arial"/>
          <w:color w:val="000000" w:themeColor="text1"/>
          <w:sz w:val="20"/>
          <w:szCs w:val="20"/>
          <w:lang w:val="es-ES_tradnl"/>
        </w:rPr>
      </w:pPr>
      <w:r w:rsidRPr="009738BA">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 entidad con régimen especial ̶  realice su actividad en competencia con el sector privado o cuando la ejecución del contrato interadministrativo tenga relación directa con el desarrollo de su actividad.</w:t>
      </w:r>
    </w:p>
    <w:p w14:paraId="443A3FCE" w14:textId="0A197451" w:rsidR="008C316D" w:rsidRPr="009738BA" w:rsidRDefault="008C316D" w:rsidP="0068200F">
      <w:pPr>
        <w:jc w:val="both"/>
        <w:rPr>
          <w:rFonts w:ascii="Arial" w:eastAsia="Calibri" w:hAnsi="Arial" w:cs="Arial"/>
          <w:color w:val="000000" w:themeColor="text1"/>
          <w:sz w:val="20"/>
          <w:szCs w:val="20"/>
          <w:lang w:val="es-ES_tradnl"/>
        </w:rPr>
      </w:pPr>
      <w:r w:rsidRPr="009738BA">
        <w:rPr>
          <w:rFonts w:ascii="Arial" w:eastAsia="Calibri" w:hAnsi="Arial" w:cs="Arial"/>
          <w:color w:val="000000" w:themeColor="text1"/>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2EBE1B51" w14:textId="77777777" w:rsidR="008C316D" w:rsidRPr="009738BA" w:rsidRDefault="008C316D" w:rsidP="0068200F">
      <w:pPr>
        <w:jc w:val="both"/>
        <w:rPr>
          <w:rFonts w:ascii="Arial" w:eastAsia="Calibri" w:hAnsi="Arial" w:cs="Arial"/>
          <w:b/>
          <w:color w:val="000000" w:themeColor="text1"/>
          <w:sz w:val="20"/>
          <w:szCs w:val="20"/>
          <w:lang w:val="es-ES_tradnl"/>
        </w:rPr>
      </w:pPr>
    </w:p>
    <w:p w14:paraId="662F3E0D" w14:textId="17B14AD6" w:rsidR="00C734A7" w:rsidRPr="0068200F" w:rsidRDefault="00A02EA2" w:rsidP="08C64D80">
      <w:pPr>
        <w:jc w:val="both"/>
        <w:rPr>
          <w:rFonts w:ascii="Arial" w:eastAsia="Calibri" w:hAnsi="Arial" w:cs="Arial"/>
          <w:b/>
          <w:bCs/>
          <w:color w:val="000000" w:themeColor="text1"/>
          <w:sz w:val="22"/>
          <w:lang w:val="es-ES"/>
        </w:rPr>
      </w:pPr>
      <w:r w:rsidRPr="08C64D80">
        <w:rPr>
          <w:rFonts w:ascii="Arial" w:eastAsia="Calibri" w:hAnsi="Arial" w:cs="Arial"/>
          <w:b/>
          <w:bCs/>
          <w:color w:val="000000" w:themeColor="text1"/>
          <w:sz w:val="22"/>
          <w:lang w:val="es-ES"/>
        </w:rPr>
        <w:t>CONVE</w:t>
      </w:r>
      <w:r w:rsidR="00EF238E" w:rsidRPr="08C64D80">
        <w:rPr>
          <w:rFonts w:ascii="Arial" w:eastAsia="Calibri" w:hAnsi="Arial" w:cs="Arial"/>
          <w:b/>
          <w:bCs/>
          <w:color w:val="000000" w:themeColor="text1"/>
          <w:sz w:val="22"/>
          <w:lang w:val="es-ES"/>
        </w:rPr>
        <w:t xml:space="preserve">NIO </w:t>
      </w:r>
      <w:r w:rsidR="000E5117" w:rsidRPr="08C64D80">
        <w:rPr>
          <w:rFonts w:ascii="Arial" w:eastAsia="Calibri" w:hAnsi="Arial" w:cs="Arial"/>
          <w:b/>
          <w:bCs/>
          <w:color w:val="000000" w:themeColor="text1"/>
          <w:sz w:val="22"/>
          <w:lang w:val="es-ES"/>
        </w:rPr>
        <w:t xml:space="preserve">O CONTRATO INTERADMINISTRATIVO </w:t>
      </w:r>
      <w:r w:rsidR="000E5117" w:rsidRPr="08C64D80">
        <w:rPr>
          <w:rFonts w:ascii="Arial" w:eastAsia="Calibri" w:hAnsi="Arial" w:cs="Arial"/>
          <w:b/>
          <w:bCs/>
          <w:color w:val="000000" w:themeColor="text1"/>
          <w:sz w:val="22"/>
        </w:rPr>
        <w:t>–</w:t>
      </w:r>
      <w:r w:rsidR="00EF238E" w:rsidRPr="08C64D80">
        <w:rPr>
          <w:rFonts w:ascii="Arial" w:eastAsia="Calibri" w:hAnsi="Arial" w:cs="Arial"/>
          <w:b/>
          <w:bCs/>
          <w:color w:val="000000" w:themeColor="text1"/>
          <w:sz w:val="22"/>
          <w:lang w:val="es-ES"/>
        </w:rPr>
        <w:t xml:space="preserve"> </w:t>
      </w:r>
      <w:r w:rsidR="00F94DB6" w:rsidRPr="08C64D80">
        <w:rPr>
          <w:rFonts w:ascii="Arial" w:eastAsia="Calibri" w:hAnsi="Arial" w:cs="Arial"/>
          <w:b/>
          <w:bCs/>
          <w:color w:val="000000" w:themeColor="text1"/>
          <w:sz w:val="22"/>
          <w:lang w:val="es-ES"/>
        </w:rPr>
        <w:t>Elementos</w:t>
      </w:r>
      <w:r w:rsidR="000E5117" w:rsidRPr="08C64D80">
        <w:rPr>
          <w:rFonts w:ascii="Arial" w:eastAsia="Calibri" w:hAnsi="Arial" w:cs="Arial"/>
          <w:b/>
          <w:bCs/>
          <w:color w:val="000000" w:themeColor="text1"/>
          <w:sz w:val="22"/>
          <w:lang w:val="es-ES"/>
        </w:rPr>
        <w:t xml:space="preserve"> </w:t>
      </w:r>
      <w:r w:rsidR="000E5117" w:rsidRPr="08C64D80">
        <w:rPr>
          <w:rFonts w:ascii="Arial" w:eastAsia="Calibri" w:hAnsi="Arial" w:cs="Arial"/>
          <w:b/>
          <w:bCs/>
          <w:color w:val="000000" w:themeColor="text1"/>
          <w:sz w:val="22"/>
        </w:rPr>
        <w:t xml:space="preserve">– </w:t>
      </w:r>
      <w:r w:rsidR="006925DB" w:rsidRPr="08C64D80">
        <w:rPr>
          <w:rFonts w:ascii="Arial" w:eastAsia="Calibri" w:hAnsi="Arial" w:cs="Arial"/>
          <w:b/>
          <w:bCs/>
          <w:color w:val="000000" w:themeColor="text1"/>
          <w:sz w:val="22"/>
          <w:lang w:val="es-ES"/>
        </w:rPr>
        <w:t xml:space="preserve">Naturaleza </w:t>
      </w:r>
      <w:r w:rsidR="000E5117" w:rsidRPr="08C64D80">
        <w:rPr>
          <w:rFonts w:ascii="Arial" w:eastAsia="Calibri" w:hAnsi="Arial" w:cs="Arial"/>
          <w:b/>
          <w:bCs/>
          <w:color w:val="000000" w:themeColor="text1"/>
          <w:sz w:val="22"/>
        </w:rPr>
        <w:t>–</w:t>
      </w:r>
      <w:r w:rsidR="003A75C3" w:rsidRPr="08C64D80">
        <w:rPr>
          <w:rFonts w:ascii="Arial" w:eastAsia="Calibri" w:hAnsi="Arial" w:cs="Arial"/>
          <w:b/>
          <w:bCs/>
          <w:color w:val="000000" w:themeColor="text1"/>
          <w:sz w:val="22"/>
          <w:lang w:val="es-ES"/>
        </w:rPr>
        <w:t xml:space="preserve"> Calidad</w:t>
      </w:r>
      <w:r w:rsidR="3F8503A1" w:rsidRPr="08C64D80">
        <w:rPr>
          <w:rFonts w:ascii="Arial" w:eastAsia="Calibri" w:hAnsi="Arial" w:cs="Arial"/>
          <w:b/>
          <w:bCs/>
          <w:color w:val="000000" w:themeColor="text1"/>
          <w:sz w:val="22"/>
          <w:lang w:val="es-ES"/>
        </w:rPr>
        <w:t>es</w:t>
      </w:r>
      <w:r w:rsidR="003A75C3" w:rsidRPr="08C64D80">
        <w:rPr>
          <w:rFonts w:ascii="Arial" w:eastAsia="Calibri" w:hAnsi="Arial" w:cs="Arial"/>
          <w:b/>
          <w:bCs/>
          <w:color w:val="000000" w:themeColor="text1"/>
          <w:sz w:val="22"/>
          <w:lang w:val="es-ES"/>
        </w:rPr>
        <w:t xml:space="preserve"> de los contratantes</w:t>
      </w:r>
    </w:p>
    <w:p w14:paraId="40124612" w14:textId="77777777" w:rsidR="003A75C3" w:rsidRPr="009738BA" w:rsidRDefault="003A75C3" w:rsidP="0068200F">
      <w:pPr>
        <w:jc w:val="both"/>
        <w:rPr>
          <w:rFonts w:ascii="Arial" w:eastAsia="Calibri" w:hAnsi="Arial" w:cs="Arial"/>
          <w:b/>
          <w:color w:val="000000" w:themeColor="text1"/>
          <w:sz w:val="20"/>
          <w:szCs w:val="20"/>
          <w:lang w:val="es-ES_tradnl"/>
        </w:rPr>
      </w:pPr>
    </w:p>
    <w:p w14:paraId="75CA2284" w14:textId="77777777" w:rsidR="00C87949" w:rsidRDefault="00C734A7" w:rsidP="00C87949">
      <w:pPr>
        <w:spacing w:after="120"/>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65B7315D" w14:textId="12BA2D76" w:rsidR="00C87949" w:rsidRDefault="00C734A7" w:rsidP="00C87949">
      <w:pPr>
        <w:spacing w:after="120"/>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 xml:space="preserve">Además, es necesario tener en cuenta que para que un contrato o convenio interadministrativo exista debe cumplir con los siguientes elementos: acuerdo sobre el objeto y la contraprestación y que conste por escrito. Entonces, si ambas partes son entidades estatales, pueden celebrar convenios interadministrativos porque las disposiciones que regulan esta tipología hacen referencia </w:t>
      </w:r>
      <w:r w:rsidRPr="009738BA">
        <w:rPr>
          <w:rFonts w:ascii="Arial" w:eastAsia="Calibri" w:hAnsi="Arial" w:cs="Arial"/>
          <w:color w:val="000000" w:themeColor="text1"/>
          <w:sz w:val="20"/>
          <w:szCs w:val="20"/>
        </w:rPr>
        <w:lastRenderedPageBreak/>
        <w:t>a la calidad de los sujetos que intervienen en la contratación, que deben ser entidades estatales o de derecho público.</w:t>
      </w:r>
    </w:p>
    <w:p w14:paraId="698CCAF1" w14:textId="788F80C0" w:rsidR="00E359B3" w:rsidRPr="009738BA" w:rsidRDefault="00C734A7" w:rsidP="0068200F">
      <w:pPr>
        <w:jc w:val="both"/>
        <w:rPr>
          <w:rFonts w:ascii="Arial" w:eastAsia="Calibri" w:hAnsi="Arial" w:cs="Arial"/>
          <w:b/>
          <w:bCs/>
          <w:color w:val="000000" w:themeColor="text1"/>
          <w:sz w:val="20"/>
          <w:szCs w:val="20"/>
        </w:rPr>
      </w:pPr>
      <w:r w:rsidRPr="009738BA">
        <w:rPr>
          <w:rFonts w:ascii="Arial" w:eastAsia="Calibri" w:hAnsi="Arial" w:cs="Arial"/>
          <w:color w:val="000000" w:themeColor="text1"/>
          <w:sz w:val="20"/>
          <w:szCs w:val="20"/>
        </w:rPr>
        <w:t>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w:t>
      </w:r>
      <w:r w:rsidR="001F7366" w:rsidRPr="009738BA">
        <w:rPr>
          <w:rFonts w:ascii="Arial" w:eastAsia="Calibri" w:hAnsi="Arial" w:cs="Arial"/>
          <w:color w:val="000000" w:themeColor="text1"/>
          <w:sz w:val="20"/>
          <w:szCs w:val="20"/>
        </w:rPr>
        <w:t xml:space="preserve"> </w:t>
      </w:r>
    </w:p>
    <w:p w14:paraId="07A53B2D" w14:textId="77777777" w:rsidR="00CE5F39" w:rsidRPr="009738BA" w:rsidRDefault="00CE5F39" w:rsidP="0068200F">
      <w:pPr>
        <w:jc w:val="both"/>
        <w:rPr>
          <w:rFonts w:ascii="Arial" w:eastAsia="Calibri" w:hAnsi="Arial" w:cs="Arial"/>
          <w:b/>
          <w:bCs/>
          <w:color w:val="000000" w:themeColor="text1"/>
          <w:sz w:val="20"/>
          <w:szCs w:val="20"/>
        </w:rPr>
      </w:pPr>
    </w:p>
    <w:p w14:paraId="43A2409D" w14:textId="7FAE9B6F" w:rsidR="00E359B3" w:rsidRPr="0068200F" w:rsidRDefault="00E359B3" w:rsidP="08C64D80">
      <w:pPr>
        <w:jc w:val="both"/>
        <w:rPr>
          <w:rFonts w:ascii="Arial" w:eastAsia="Calibri" w:hAnsi="Arial" w:cs="Arial"/>
          <w:b/>
          <w:bCs/>
          <w:color w:val="000000" w:themeColor="text1"/>
          <w:sz w:val="22"/>
        </w:rPr>
      </w:pPr>
      <w:r w:rsidRPr="08C64D80">
        <w:rPr>
          <w:rFonts w:ascii="Arial" w:eastAsia="Calibri" w:hAnsi="Arial" w:cs="Arial"/>
          <w:b/>
          <w:bCs/>
          <w:color w:val="000000" w:themeColor="text1"/>
          <w:sz w:val="22"/>
        </w:rPr>
        <w:t xml:space="preserve">CONCURSO DE MÉRITOS </w:t>
      </w:r>
      <w:r w:rsidR="000E5117" w:rsidRPr="08C64D80">
        <w:rPr>
          <w:rFonts w:ascii="Arial" w:eastAsia="Calibri" w:hAnsi="Arial" w:cs="Arial"/>
          <w:b/>
          <w:bCs/>
          <w:color w:val="000000" w:themeColor="text1"/>
          <w:sz w:val="22"/>
        </w:rPr>
        <w:t>–</w:t>
      </w:r>
      <w:r w:rsidR="27FA7B90" w:rsidRPr="08C64D80">
        <w:rPr>
          <w:rFonts w:ascii="Arial" w:eastAsia="Calibri" w:hAnsi="Arial" w:cs="Arial"/>
          <w:b/>
          <w:bCs/>
          <w:color w:val="000000" w:themeColor="text1"/>
          <w:sz w:val="22"/>
        </w:rPr>
        <w:t xml:space="preserve"> Modalidad de selección – </w:t>
      </w:r>
      <w:r w:rsidRPr="08C64D80">
        <w:rPr>
          <w:rFonts w:ascii="Arial" w:eastAsia="Calibri" w:hAnsi="Arial" w:cs="Arial"/>
          <w:b/>
          <w:bCs/>
          <w:color w:val="000000" w:themeColor="text1"/>
          <w:sz w:val="22"/>
        </w:rPr>
        <w:t>Ley 80 de 1993</w:t>
      </w:r>
    </w:p>
    <w:p w14:paraId="429594D0" w14:textId="77777777" w:rsidR="00E359B3" w:rsidRPr="009738BA" w:rsidRDefault="00E359B3" w:rsidP="0068200F">
      <w:pPr>
        <w:jc w:val="both"/>
        <w:rPr>
          <w:rFonts w:ascii="Arial" w:eastAsia="Calibri" w:hAnsi="Arial" w:cs="Arial"/>
          <w:b/>
          <w:color w:val="000000" w:themeColor="text1"/>
          <w:sz w:val="20"/>
          <w:szCs w:val="20"/>
        </w:rPr>
      </w:pPr>
    </w:p>
    <w:p w14:paraId="7F7AB7DD" w14:textId="4948E459" w:rsidR="00E359B3" w:rsidRPr="009738BA" w:rsidRDefault="00E359B3" w:rsidP="0068200F">
      <w:pPr>
        <w:jc w:val="both"/>
        <w:rPr>
          <w:rFonts w:ascii="Arial" w:eastAsia="Calibri" w:hAnsi="Arial" w:cs="Arial"/>
          <w:b/>
          <w:color w:val="000000" w:themeColor="text1"/>
          <w:sz w:val="20"/>
          <w:szCs w:val="20"/>
        </w:rPr>
      </w:pPr>
      <w:r w:rsidRPr="009738BA">
        <w:rPr>
          <w:rFonts w:ascii="Arial" w:eastAsia="Calibri" w:hAnsi="Arial" w:cs="Arial"/>
          <w:color w:val="000000" w:themeColor="text1"/>
          <w:sz w:val="20"/>
          <w:szCs w:val="20"/>
        </w:rPr>
        <w:t>Es la modalidad de selección por la cual la entidad contrata servicios de consultoría y proyectos de arquitectura con un alto contenido de trabajo intelectual. En los concursos de méritos, la entidad hace uso de factores de calificación que privilegian aspectos técnicos de la propuesta, experiencia y 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p>
    <w:p w14:paraId="21ECA45B" w14:textId="2A9E364A" w:rsidR="00E359B3" w:rsidRPr="009738BA" w:rsidRDefault="00E359B3" w:rsidP="0068200F">
      <w:pPr>
        <w:jc w:val="both"/>
        <w:rPr>
          <w:rFonts w:ascii="Arial" w:eastAsia="Calibri" w:hAnsi="Arial" w:cs="Arial"/>
          <w:b/>
          <w:color w:val="000000" w:themeColor="text1"/>
          <w:sz w:val="20"/>
          <w:szCs w:val="20"/>
        </w:rPr>
      </w:pPr>
    </w:p>
    <w:p w14:paraId="0E69EF55" w14:textId="0445AD45" w:rsidR="00E359B3" w:rsidRPr="0068200F" w:rsidRDefault="00E359B3" w:rsidP="08C64D80">
      <w:pPr>
        <w:jc w:val="both"/>
        <w:rPr>
          <w:rFonts w:ascii="Arial" w:eastAsia="Calibri" w:hAnsi="Arial" w:cs="Arial"/>
          <w:b/>
          <w:bCs/>
          <w:color w:val="000000" w:themeColor="text1"/>
          <w:sz w:val="22"/>
        </w:rPr>
      </w:pPr>
      <w:r w:rsidRPr="08C64D80">
        <w:rPr>
          <w:rFonts w:ascii="Arial" w:eastAsia="Calibri" w:hAnsi="Arial" w:cs="Arial"/>
          <w:b/>
          <w:bCs/>
          <w:color w:val="000000" w:themeColor="text1"/>
          <w:sz w:val="22"/>
        </w:rPr>
        <w:t xml:space="preserve">CONCURSO DE MÉRITOS </w:t>
      </w:r>
      <w:r w:rsidR="000E5117" w:rsidRPr="08C64D80">
        <w:rPr>
          <w:rFonts w:ascii="Arial" w:eastAsia="Calibri" w:hAnsi="Arial" w:cs="Arial"/>
          <w:b/>
          <w:bCs/>
          <w:color w:val="000000" w:themeColor="text1"/>
          <w:sz w:val="22"/>
        </w:rPr>
        <w:t>–</w:t>
      </w:r>
      <w:r w:rsidR="089CDD48" w:rsidRPr="08C64D80">
        <w:rPr>
          <w:rFonts w:ascii="Arial" w:eastAsia="Calibri" w:hAnsi="Arial" w:cs="Arial"/>
          <w:b/>
          <w:bCs/>
          <w:color w:val="000000" w:themeColor="text1"/>
          <w:sz w:val="22"/>
        </w:rPr>
        <w:t xml:space="preserve"> Modalidad de selección</w:t>
      </w:r>
      <w:r w:rsidR="006D0970" w:rsidRPr="08C64D80">
        <w:rPr>
          <w:rFonts w:ascii="Arial" w:eastAsia="Calibri" w:hAnsi="Arial" w:cs="Arial"/>
          <w:b/>
          <w:bCs/>
          <w:color w:val="000000" w:themeColor="text1"/>
          <w:sz w:val="22"/>
        </w:rPr>
        <w:t xml:space="preserve"> </w:t>
      </w:r>
      <w:r w:rsidR="1E49D3B8" w:rsidRPr="08C64D80">
        <w:rPr>
          <w:rFonts w:ascii="Arial" w:eastAsia="Calibri" w:hAnsi="Arial" w:cs="Arial"/>
          <w:b/>
          <w:bCs/>
          <w:color w:val="000000" w:themeColor="text1"/>
          <w:sz w:val="22"/>
        </w:rPr>
        <w:t xml:space="preserve">– </w:t>
      </w:r>
      <w:r w:rsidR="006D0970" w:rsidRPr="08C64D80">
        <w:rPr>
          <w:rFonts w:ascii="Arial" w:eastAsia="Calibri" w:hAnsi="Arial" w:cs="Arial"/>
          <w:b/>
          <w:bCs/>
          <w:color w:val="000000" w:themeColor="text1"/>
          <w:sz w:val="22"/>
        </w:rPr>
        <w:t>Elección</w:t>
      </w:r>
      <w:r w:rsidR="2A874F0A" w:rsidRPr="08C64D80">
        <w:rPr>
          <w:rFonts w:ascii="Arial" w:eastAsia="Calibri" w:hAnsi="Arial" w:cs="Arial"/>
          <w:b/>
          <w:bCs/>
          <w:color w:val="000000" w:themeColor="text1"/>
          <w:sz w:val="22"/>
        </w:rPr>
        <w:t xml:space="preserve"> –</w:t>
      </w:r>
      <w:r w:rsidR="006D0970" w:rsidRPr="08C64D80">
        <w:rPr>
          <w:rFonts w:ascii="Arial" w:eastAsia="Calibri" w:hAnsi="Arial" w:cs="Arial"/>
          <w:b/>
          <w:bCs/>
          <w:color w:val="000000" w:themeColor="text1"/>
          <w:sz w:val="22"/>
        </w:rPr>
        <w:t xml:space="preserve"> Personero </w:t>
      </w:r>
      <w:r w:rsidR="1A3369C8" w:rsidRPr="08C64D80">
        <w:rPr>
          <w:rFonts w:ascii="Arial" w:eastAsia="Calibri" w:hAnsi="Arial" w:cs="Arial"/>
          <w:b/>
          <w:bCs/>
          <w:color w:val="000000" w:themeColor="text1"/>
          <w:sz w:val="22"/>
        </w:rPr>
        <w:t>m</w:t>
      </w:r>
      <w:r w:rsidR="006D0970" w:rsidRPr="08C64D80">
        <w:rPr>
          <w:rFonts w:ascii="Arial" w:eastAsia="Calibri" w:hAnsi="Arial" w:cs="Arial"/>
          <w:b/>
          <w:bCs/>
          <w:color w:val="000000" w:themeColor="text1"/>
          <w:sz w:val="22"/>
        </w:rPr>
        <w:t>unicipal</w:t>
      </w:r>
    </w:p>
    <w:p w14:paraId="110F532B" w14:textId="77777777" w:rsidR="00E359B3" w:rsidRPr="009738BA" w:rsidRDefault="00E359B3" w:rsidP="0068200F">
      <w:pPr>
        <w:jc w:val="both"/>
        <w:rPr>
          <w:rFonts w:ascii="Arial" w:eastAsia="Calibri" w:hAnsi="Arial" w:cs="Arial"/>
          <w:b/>
          <w:color w:val="000000" w:themeColor="text1"/>
          <w:sz w:val="20"/>
          <w:szCs w:val="20"/>
        </w:rPr>
      </w:pPr>
    </w:p>
    <w:p w14:paraId="13F65072" w14:textId="0DE1F39C" w:rsidR="00E359B3" w:rsidRPr="009738BA" w:rsidRDefault="00E359B3" w:rsidP="0068200F">
      <w:pPr>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 xml:space="preserve">La Ley 136 de 1994, que regula el funcionamiento de los municipios, en el capítulo XI se refiere a los personeros municipales estableciendo: i) naturaleza del cargo, </w:t>
      </w:r>
      <w:proofErr w:type="spellStart"/>
      <w:r w:rsidRPr="009738BA">
        <w:rPr>
          <w:rFonts w:ascii="Arial" w:eastAsia="Calibri" w:hAnsi="Arial" w:cs="Arial"/>
          <w:color w:val="000000" w:themeColor="text1"/>
          <w:sz w:val="20"/>
          <w:szCs w:val="20"/>
        </w:rPr>
        <w:t>ii</w:t>
      </w:r>
      <w:proofErr w:type="spellEnd"/>
      <w:r w:rsidRPr="009738BA">
        <w:rPr>
          <w:rFonts w:ascii="Arial" w:eastAsia="Calibri" w:hAnsi="Arial" w:cs="Arial"/>
          <w:color w:val="000000" w:themeColor="text1"/>
          <w:sz w:val="20"/>
          <w:szCs w:val="20"/>
        </w:rPr>
        <w:t xml:space="preserve">) elección, </w:t>
      </w:r>
      <w:proofErr w:type="spellStart"/>
      <w:r w:rsidRPr="009738BA">
        <w:rPr>
          <w:rFonts w:ascii="Arial" w:eastAsia="Calibri" w:hAnsi="Arial" w:cs="Arial"/>
          <w:color w:val="000000" w:themeColor="text1"/>
          <w:sz w:val="20"/>
          <w:szCs w:val="20"/>
        </w:rPr>
        <w:t>iii</w:t>
      </w:r>
      <w:proofErr w:type="spellEnd"/>
      <w:r w:rsidRPr="009738BA">
        <w:rPr>
          <w:rFonts w:ascii="Arial" w:eastAsia="Calibri" w:hAnsi="Arial" w:cs="Arial"/>
          <w:color w:val="000000" w:themeColor="text1"/>
          <w:sz w:val="20"/>
          <w:szCs w:val="20"/>
        </w:rPr>
        <w:t xml:space="preserve">) faltas, </w:t>
      </w:r>
      <w:proofErr w:type="spellStart"/>
      <w:r w:rsidRPr="009738BA">
        <w:rPr>
          <w:rFonts w:ascii="Arial" w:eastAsia="Calibri" w:hAnsi="Arial" w:cs="Arial"/>
          <w:color w:val="000000" w:themeColor="text1"/>
          <w:sz w:val="20"/>
          <w:szCs w:val="20"/>
        </w:rPr>
        <w:t>iv</w:t>
      </w:r>
      <w:proofErr w:type="spellEnd"/>
      <w:r w:rsidRPr="009738BA">
        <w:rPr>
          <w:rFonts w:ascii="Arial" w:eastAsia="Calibri" w:hAnsi="Arial" w:cs="Arial"/>
          <w:color w:val="000000" w:themeColor="text1"/>
          <w:sz w:val="20"/>
          <w:szCs w:val="20"/>
        </w:rPr>
        <w:t>) calidades, v) inhabilidades e incompatibilidades, vi) funciones, entre otros aspectos. Sobre la elección, el artículo 170, modificado por el artículo 35 de la Ley 1551 de 2012, es claro en indicar que el Concejo Municipal debe elegir al personero previo concurso público de méritos. Por ende, para definir el concepto de «concurso público de méritos» es necesario acudir al decreto reglamentario de la norma citada, esto es, el Decreto 1083 de 2015 «Por medio del cual se expide el Decreto Único Reglamentario del Sector de Función Pública».</w:t>
      </w:r>
    </w:p>
    <w:p w14:paraId="6B78E540" w14:textId="77777777" w:rsidR="00E359B3" w:rsidRPr="009738BA" w:rsidRDefault="00E359B3" w:rsidP="0068200F">
      <w:pPr>
        <w:jc w:val="both"/>
        <w:rPr>
          <w:rFonts w:ascii="Arial" w:eastAsia="Calibri" w:hAnsi="Arial" w:cs="Arial"/>
          <w:b/>
          <w:color w:val="000000" w:themeColor="text1"/>
          <w:sz w:val="20"/>
          <w:szCs w:val="20"/>
        </w:rPr>
      </w:pPr>
    </w:p>
    <w:p w14:paraId="17FFBF2A" w14:textId="4EF41D00" w:rsidR="00E359B3" w:rsidRPr="0068200F" w:rsidRDefault="00E359B3" w:rsidP="08C64D80">
      <w:pPr>
        <w:jc w:val="both"/>
        <w:rPr>
          <w:rFonts w:ascii="Arial" w:eastAsia="Calibri" w:hAnsi="Arial" w:cs="Arial"/>
          <w:b/>
          <w:bCs/>
          <w:color w:val="000000" w:themeColor="text1"/>
          <w:sz w:val="22"/>
        </w:rPr>
      </w:pPr>
      <w:r w:rsidRPr="08C64D80">
        <w:rPr>
          <w:rFonts w:ascii="Arial" w:eastAsia="Calibri" w:hAnsi="Arial" w:cs="Arial"/>
          <w:b/>
          <w:bCs/>
          <w:color w:val="000000" w:themeColor="text1"/>
          <w:sz w:val="22"/>
        </w:rPr>
        <w:t xml:space="preserve">CONCURSO DE MÉRITOS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w:t>
      </w:r>
      <w:r w:rsidR="0A31930F" w:rsidRPr="08C64D80">
        <w:rPr>
          <w:rFonts w:ascii="Arial" w:eastAsia="Calibri" w:hAnsi="Arial" w:cs="Arial"/>
          <w:b/>
          <w:bCs/>
          <w:color w:val="000000" w:themeColor="text1"/>
          <w:sz w:val="22"/>
        </w:rPr>
        <w:t xml:space="preserve">Modalidad de selección – </w:t>
      </w:r>
      <w:r w:rsidRPr="08C64D80">
        <w:rPr>
          <w:rFonts w:ascii="Arial" w:eastAsia="Calibri" w:hAnsi="Arial" w:cs="Arial"/>
          <w:b/>
          <w:bCs/>
          <w:color w:val="000000" w:themeColor="text1"/>
          <w:sz w:val="22"/>
        </w:rPr>
        <w:t xml:space="preserve">Ley 80 de 1993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Empleo público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Diferencias</w:t>
      </w:r>
    </w:p>
    <w:p w14:paraId="49556BEC" w14:textId="77777777" w:rsidR="00E359B3" w:rsidRPr="009738BA" w:rsidRDefault="00E359B3" w:rsidP="0068200F">
      <w:pPr>
        <w:jc w:val="both"/>
        <w:rPr>
          <w:rFonts w:ascii="Arial" w:eastAsia="Calibri" w:hAnsi="Arial" w:cs="Arial"/>
          <w:b/>
          <w:color w:val="000000" w:themeColor="text1"/>
          <w:sz w:val="20"/>
          <w:szCs w:val="20"/>
        </w:rPr>
      </w:pPr>
    </w:p>
    <w:p w14:paraId="6D1A2961" w14:textId="77777777" w:rsidR="00E359B3" w:rsidRPr="009738BA" w:rsidRDefault="00E359B3" w:rsidP="0068200F">
      <w:pPr>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 xml:space="preserve">Con lo anterior se evidencia que a pesar de que en la contratación pública y en el empleo público existe la noción de «concurso de méritos», este es diferente de acuerdo con las normas que aplican a cada ámbito, ya que al revisar las etapas que sigue cada concurso estas se diferencian por: i) el objetivo, porque la contratación pública busca la adquisición de bienes, obras y servicios; y el empleo público la provisión de un cargo y </w:t>
      </w:r>
      <w:proofErr w:type="spellStart"/>
      <w:r w:rsidRPr="009738BA">
        <w:rPr>
          <w:rFonts w:ascii="Arial" w:eastAsia="Calibri" w:hAnsi="Arial" w:cs="Arial"/>
          <w:color w:val="000000" w:themeColor="text1"/>
          <w:sz w:val="20"/>
          <w:szCs w:val="20"/>
        </w:rPr>
        <w:t>ii</w:t>
      </w:r>
      <w:proofErr w:type="spellEnd"/>
      <w:r w:rsidRPr="009738BA">
        <w:rPr>
          <w:rFonts w:ascii="Arial" w:eastAsia="Calibri" w:hAnsi="Arial" w:cs="Arial"/>
          <w:color w:val="000000" w:themeColor="text1"/>
          <w:sz w:val="20"/>
          <w:szCs w:val="20"/>
        </w:rPr>
        <w:t>) el desarrollo, puesto que mientras la contratación pública comienza con la planeación y finaliza con la ejecución, en el empleo público existe una convocatoria, el reclutamiento y las pruebas cuyos resultados determinan la elección de quien va a ocupar el cargo de personero municipal.</w:t>
      </w:r>
    </w:p>
    <w:p w14:paraId="1FB2569E" w14:textId="77777777" w:rsidR="00E359B3" w:rsidRPr="009738BA" w:rsidRDefault="00E359B3" w:rsidP="0068200F">
      <w:pPr>
        <w:jc w:val="both"/>
        <w:rPr>
          <w:rFonts w:ascii="Arial" w:hAnsi="Arial" w:cs="Arial"/>
          <w:color w:val="000000" w:themeColor="text1"/>
          <w:sz w:val="20"/>
          <w:szCs w:val="20"/>
        </w:rPr>
      </w:pPr>
    </w:p>
    <w:p w14:paraId="17B19FED" w14:textId="0014D96E" w:rsidR="00E359B3" w:rsidRPr="0068200F" w:rsidRDefault="00E359B3" w:rsidP="08C64D80">
      <w:pPr>
        <w:jc w:val="both"/>
        <w:rPr>
          <w:rFonts w:ascii="Arial" w:eastAsia="Calibri" w:hAnsi="Arial" w:cs="Arial"/>
          <w:b/>
          <w:bCs/>
          <w:color w:val="000000" w:themeColor="text1"/>
          <w:sz w:val="22"/>
        </w:rPr>
      </w:pPr>
      <w:r w:rsidRPr="08C64D80">
        <w:rPr>
          <w:rFonts w:ascii="Arial" w:eastAsia="Calibri" w:hAnsi="Arial" w:cs="Arial"/>
          <w:b/>
          <w:bCs/>
          <w:color w:val="000000" w:themeColor="text1"/>
          <w:sz w:val="22"/>
        </w:rPr>
        <w:t xml:space="preserve">CONCURSO DE MÉRITOS </w:t>
      </w:r>
      <w:r w:rsidR="0068200F"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w:t>
      </w:r>
      <w:r w:rsidR="776A107B" w:rsidRPr="08C64D80">
        <w:rPr>
          <w:rFonts w:ascii="Arial" w:eastAsia="Calibri" w:hAnsi="Arial" w:cs="Arial"/>
          <w:b/>
          <w:bCs/>
          <w:color w:val="000000" w:themeColor="text1"/>
          <w:sz w:val="22"/>
        </w:rPr>
        <w:t xml:space="preserve">Modalidad de selección – </w:t>
      </w:r>
      <w:r w:rsidRPr="08C64D80">
        <w:rPr>
          <w:rFonts w:ascii="Arial" w:eastAsia="Calibri" w:hAnsi="Arial" w:cs="Arial"/>
          <w:b/>
          <w:bCs/>
          <w:color w:val="000000" w:themeColor="text1"/>
          <w:sz w:val="22"/>
        </w:rPr>
        <w:t xml:space="preserve">Empleo público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Universidades</w:t>
      </w:r>
      <w:r w:rsidR="1B7383B2" w:rsidRPr="08C64D80">
        <w:rPr>
          <w:rFonts w:ascii="Arial" w:eastAsia="Calibri" w:hAnsi="Arial" w:cs="Arial"/>
          <w:b/>
          <w:bCs/>
          <w:color w:val="000000" w:themeColor="text1"/>
          <w:sz w:val="22"/>
        </w:rPr>
        <w:t xml:space="preserve"> –</w:t>
      </w:r>
      <w:r w:rsidR="006D0970" w:rsidRPr="08C64D80">
        <w:rPr>
          <w:rFonts w:ascii="Arial" w:eastAsia="Calibri" w:hAnsi="Arial" w:cs="Arial"/>
          <w:b/>
          <w:bCs/>
          <w:color w:val="000000" w:themeColor="text1"/>
          <w:sz w:val="22"/>
        </w:rPr>
        <w:t xml:space="preserve"> </w:t>
      </w:r>
      <w:r w:rsidR="0031C1CB" w:rsidRPr="08C64D80">
        <w:rPr>
          <w:rFonts w:ascii="Arial" w:eastAsia="Calibri" w:hAnsi="Arial" w:cs="Arial"/>
          <w:b/>
          <w:bCs/>
          <w:color w:val="000000" w:themeColor="text1"/>
          <w:sz w:val="22"/>
        </w:rPr>
        <w:t>I</w:t>
      </w:r>
      <w:r w:rsidR="006D0970" w:rsidRPr="08C64D80">
        <w:rPr>
          <w:rFonts w:ascii="Arial" w:eastAsia="Calibri" w:hAnsi="Arial" w:cs="Arial"/>
          <w:b/>
          <w:bCs/>
          <w:color w:val="000000" w:themeColor="text1"/>
          <w:sz w:val="22"/>
        </w:rPr>
        <w:t>nstituciones de educación superior</w:t>
      </w:r>
    </w:p>
    <w:p w14:paraId="1451073D" w14:textId="77777777" w:rsidR="00E359B3" w:rsidRPr="009738BA" w:rsidRDefault="00E359B3" w:rsidP="0068200F">
      <w:pPr>
        <w:jc w:val="both"/>
        <w:rPr>
          <w:rFonts w:ascii="Arial" w:hAnsi="Arial" w:cs="Arial"/>
          <w:color w:val="000000" w:themeColor="text1"/>
          <w:sz w:val="20"/>
          <w:szCs w:val="20"/>
        </w:rPr>
      </w:pPr>
    </w:p>
    <w:p w14:paraId="038F7539" w14:textId="236D379D" w:rsidR="00E359B3" w:rsidRDefault="00E359B3" w:rsidP="0068200F">
      <w:pPr>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 xml:space="preserve">Teniendo en cuenta que usted consulta por la convocatoria para elegir la universidad que de acuerdo con el artículo 2.2.27.1. del Decreto 1083 de 2015 citado podrá adelantar el concurso, permitiéndole </w:t>
      </w:r>
      <w:r w:rsidRPr="009738BA">
        <w:rPr>
          <w:rFonts w:ascii="Arial" w:eastAsia="Calibri" w:hAnsi="Arial" w:cs="Arial"/>
          <w:color w:val="000000" w:themeColor="text1"/>
          <w:sz w:val="20"/>
          <w:szCs w:val="20"/>
        </w:rPr>
        <w:lastRenderedPageBreak/>
        <w:t>al Concejo Municipal apoyarse en este tipo de instituciones especializadas, se observa que la norma no prevé un procedimiento especial para la elección de la universidad. En consecuencia, si esto implica una actividad contractual de la entidad y la celebración de un contrato, debe regirse por la Ley 80 de 1993, que es la norma para la contratación pública de las entidades señaladas en el artículo 2, entre las cuales se incluyen los municipios.</w:t>
      </w:r>
    </w:p>
    <w:p w14:paraId="2FFB47A5" w14:textId="77777777" w:rsidR="0068200F" w:rsidRPr="009738BA" w:rsidRDefault="0068200F" w:rsidP="0068200F">
      <w:pPr>
        <w:jc w:val="both"/>
        <w:rPr>
          <w:rFonts w:ascii="Arial" w:eastAsia="Calibri" w:hAnsi="Arial" w:cs="Arial"/>
          <w:color w:val="000000" w:themeColor="text1"/>
          <w:sz w:val="20"/>
          <w:szCs w:val="20"/>
        </w:rPr>
      </w:pPr>
    </w:p>
    <w:p w14:paraId="16A16408" w14:textId="3AE60EA1" w:rsidR="00EF1202" w:rsidRPr="0068200F" w:rsidRDefault="00EF1202" w:rsidP="4E4A4C05">
      <w:pPr>
        <w:jc w:val="both"/>
        <w:rPr>
          <w:rFonts w:ascii="Arial" w:eastAsia="Calibri" w:hAnsi="Arial" w:cs="Arial"/>
          <w:b/>
          <w:bCs/>
          <w:color w:val="000000" w:themeColor="text1"/>
          <w:sz w:val="22"/>
        </w:rPr>
      </w:pPr>
      <w:r w:rsidRPr="4E4A4C05">
        <w:rPr>
          <w:rFonts w:ascii="Arial" w:eastAsia="Calibri" w:hAnsi="Arial" w:cs="Arial"/>
          <w:b/>
          <w:bCs/>
          <w:color w:val="000000" w:themeColor="text1"/>
          <w:sz w:val="22"/>
        </w:rPr>
        <w:t xml:space="preserve">CONCURSO DE MÉRITOS </w:t>
      </w:r>
      <w:r w:rsidR="7BF39107" w:rsidRPr="4E4A4C05">
        <w:rPr>
          <w:rFonts w:ascii="Arial" w:eastAsia="Calibri" w:hAnsi="Arial" w:cs="Arial"/>
          <w:b/>
          <w:bCs/>
          <w:color w:val="000000" w:themeColor="text1"/>
          <w:sz w:val="22"/>
        </w:rPr>
        <w:t>–</w:t>
      </w:r>
      <w:r w:rsidRPr="4E4A4C05">
        <w:rPr>
          <w:rFonts w:ascii="Arial" w:eastAsia="Calibri" w:hAnsi="Arial" w:cs="Arial"/>
          <w:b/>
          <w:bCs/>
          <w:color w:val="000000" w:themeColor="text1"/>
          <w:sz w:val="22"/>
        </w:rPr>
        <w:t xml:space="preserve"> Empleo público </w:t>
      </w:r>
      <w:r w:rsidR="6E3A7C3E" w:rsidRPr="4E4A4C05">
        <w:rPr>
          <w:rFonts w:ascii="Arial" w:eastAsia="Calibri" w:hAnsi="Arial" w:cs="Arial"/>
          <w:b/>
          <w:bCs/>
          <w:color w:val="000000" w:themeColor="text1"/>
          <w:sz w:val="22"/>
        </w:rPr>
        <w:t>–</w:t>
      </w:r>
      <w:r w:rsidRPr="4E4A4C05">
        <w:rPr>
          <w:rFonts w:ascii="Arial" w:eastAsia="Calibri" w:hAnsi="Arial" w:cs="Arial"/>
          <w:b/>
          <w:bCs/>
          <w:color w:val="000000" w:themeColor="text1"/>
          <w:sz w:val="22"/>
        </w:rPr>
        <w:t xml:space="preserve"> Publicidad</w:t>
      </w:r>
    </w:p>
    <w:p w14:paraId="4887349D" w14:textId="77777777" w:rsidR="00EF1202" w:rsidRPr="009738BA" w:rsidRDefault="00EF1202" w:rsidP="0068200F">
      <w:pPr>
        <w:jc w:val="both"/>
        <w:rPr>
          <w:rFonts w:ascii="Arial" w:eastAsia="Calibri" w:hAnsi="Arial" w:cs="Arial"/>
          <w:b/>
          <w:color w:val="000000" w:themeColor="text1"/>
          <w:sz w:val="20"/>
          <w:szCs w:val="20"/>
        </w:rPr>
      </w:pPr>
    </w:p>
    <w:p w14:paraId="7700A6DF" w14:textId="355055CD" w:rsidR="00E753C6" w:rsidRDefault="00EF1202" w:rsidP="00E753C6">
      <w:pPr>
        <w:spacing w:after="120"/>
        <w:jc w:val="both"/>
        <w:rPr>
          <w:rFonts w:ascii="Arial" w:eastAsia="Calibri" w:hAnsi="Arial" w:cs="Arial"/>
          <w:color w:val="000000" w:themeColor="text1"/>
          <w:sz w:val="20"/>
          <w:szCs w:val="20"/>
        </w:rPr>
      </w:pPr>
      <w:r w:rsidRPr="0068200F">
        <w:rPr>
          <w:rFonts w:ascii="Arial" w:eastAsia="Calibri" w:hAnsi="Arial" w:cs="Arial"/>
          <w:color w:val="000000" w:themeColor="text1"/>
          <w:sz w:val="20"/>
          <w:szCs w:val="20"/>
        </w:rPr>
        <w:t>Sobre el deber de publicidad, el artículo 2.2.1.1.1.7.1. del Decreto 1082 de 2015 regula la publicidad en el SECOP, y el deber de las entidades de publicar en dicha plataforma los documentos que resulten de la actividad contractual, lo cual permite controlar las actuaciones y decisiones de la Administración y el cumplimiento de los demás principios de la contratación pública. Así lo confirma el Consejo de Estado, que analizó el principio de publicidad</w:t>
      </w:r>
      <w:r w:rsidR="00DE293C">
        <w:rPr>
          <w:rFonts w:ascii="Arial" w:eastAsia="Calibri" w:hAnsi="Arial" w:cs="Arial"/>
          <w:color w:val="000000" w:themeColor="text1"/>
          <w:sz w:val="20"/>
          <w:szCs w:val="20"/>
        </w:rPr>
        <w:t xml:space="preserve"> […]</w:t>
      </w:r>
      <w:r w:rsidRPr="0068200F">
        <w:rPr>
          <w:rFonts w:ascii="Arial" w:eastAsia="Calibri" w:hAnsi="Arial" w:cs="Arial"/>
          <w:color w:val="000000" w:themeColor="text1"/>
          <w:sz w:val="20"/>
          <w:szCs w:val="20"/>
        </w:rPr>
        <w:t>.</w:t>
      </w:r>
    </w:p>
    <w:p w14:paraId="1F3FCFE7" w14:textId="375ADD46" w:rsidR="00EF1202" w:rsidRPr="0068200F" w:rsidRDefault="00DE293C" w:rsidP="4E4A4C05">
      <w:pPr>
        <w:spacing w:after="120"/>
        <w:jc w:val="both"/>
        <w:rPr>
          <w:rFonts w:ascii="Arial" w:eastAsia="Calibri" w:hAnsi="Arial" w:cs="Arial"/>
          <w:color w:val="000000" w:themeColor="text1"/>
          <w:sz w:val="20"/>
          <w:szCs w:val="20"/>
        </w:rPr>
      </w:pPr>
      <w:r w:rsidRPr="4E4A4C05">
        <w:rPr>
          <w:rFonts w:ascii="Arial" w:eastAsia="Calibri" w:hAnsi="Arial" w:cs="Arial"/>
          <w:color w:val="000000" w:themeColor="text1"/>
          <w:sz w:val="20"/>
          <w:szCs w:val="20"/>
        </w:rPr>
        <w:t>[…]</w:t>
      </w:r>
      <w:r w:rsidR="7383732E" w:rsidRPr="4E4A4C05">
        <w:rPr>
          <w:rFonts w:ascii="Arial" w:eastAsia="Calibri" w:hAnsi="Arial" w:cs="Arial"/>
          <w:color w:val="000000" w:themeColor="text1"/>
          <w:sz w:val="20"/>
          <w:szCs w:val="20"/>
        </w:rPr>
        <w:t xml:space="preserve"> d</w:t>
      </w:r>
      <w:r w:rsidR="00EF1202" w:rsidRPr="4E4A4C05">
        <w:rPr>
          <w:rFonts w:ascii="Arial" w:eastAsia="Calibri" w:hAnsi="Arial" w:cs="Arial"/>
          <w:color w:val="000000" w:themeColor="text1"/>
          <w:sz w:val="20"/>
          <w:szCs w:val="20"/>
        </w:rPr>
        <w:t>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p>
    <w:p w14:paraId="3190B8D1" w14:textId="77777777" w:rsidR="00E359B3" w:rsidRPr="009738BA" w:rsidRDefault="00E359B3" w:rsidP="0068200F">
      <w:pPr>
        <w:jc w:val="both"/>
        <w:rPr>
          <w:rFonts w:ascii="Arial" w:eastAsia="Calibri" w:hAnsi="Arial" w:cs="Arial"/>
          <w:color w:val="000000" w:themeColor="text1"/>
          <w:sz w:val="20"/>
          <w:szCs w:val="20"/>
        </w:rPr>
      </w:pPr>
    </w:p>
    <w:p w14:paraId="481AF2CC" w14:textId="69D8506E" w:rsidR="00E359B3" w:rsidRPr="0068200F" w:rsidRDefault="00E359B3" w:rsidP="0068200F">
      <w:pPr>
        <w:jc w:val="both"/>
        <w:rPr>
          <w:rFonts w:ascii="Arial" w:eastAsia="Calibri" w:hAnsi="Arial" w:cs="Arial"/>
          <w:b/>
          <w:color w:val="000000" w:themeColor="text1"/>
          <w:sz w:val="22"/>
        </w:rPr>
      </w:pPr>
      <w:r w:rsidRPr="0068200F">
        <w:rPr>
          <w:rFonts w:ascii="Arial" w:eastAsia="Calibri" w:hAnsi="Arial" w:cs="Arial"/>
          <w:b/>
          <w:color w:val="000000" w:themeColor="text1"/>
          <w:sz w:val="22"/>
        </w:rPr>
        <w:t xml:space="preserve">PUBLICIDAD </w:t>
      </w:r>
      <w:r w:rsidR="000E5117" w:rsidRPr="00FA2DA0">
        <w:rPr>
          <w:rFonts w:ascii="Arial" w:eastAsia="Calibri" w:hAnsi="Arial" w:cs="Arial"/>
          <w:b/>
          <w:color w:val="000000" w:themeColor="text1"/>
          <w:sz w:val="22"/>
        </w:rPr>
        <w:t>–</w:t>
      </w:r>
      <w:r w:rsidRPr="0068200F">
        <w:rPr>
          <w:rFonts w:ascii="Arial" w:eastAsia="Calibri" w:hAnsi="Arial" w:cs="Arial"/>
          <w:b/>
          <w:color w:val="000000" w:themeColor="text1"/>
          <w:sz w:val="22"/>
        </w:rPr>
        <w:t xml:space="preserve"> SECOP </w:t>
      </w:r>
      <w:r w:rsidR="000E5117" w:rsidRPr="00FA2DA0">
        <w:rPr>
          <w:rFonts w:ascii="Arial" w:eastAsia="Calibri" w:hAnsi="Arial" w:cs="Arial"/>
          <w:b/>
          <w:color w:val="000000" w:themeColor="text1"/>
          <w:sz w:val="22"/>
        </w:rPr>
        <w:t>–</w:t>
      </w:r>
      <w:r w:rsidRPr="0068200F">
        <w:rPr>
          <w:rFonts w:ascii="Arial" w:eastAsia="Calibri" w:hAnsi="Arial" w:cs="Arial"/>
          <w:b/>
          <w:color w:val="000000" w:themeColor="text1"/>
          <w:sz w:val="22"/>
        </w:rPr>
        <w:t xml:space="preserve"> Obligación</w:t>
      </w:r>
    </w:p>
    <w:p w14:paraId="4CE15C2B" w14:textId="77777777" w:rsidR="00E359B3" w:rsidRPr="009738BA" w:rsidRDefault="00E359B3" w:rsidP="0068200F">
      <w:pPr>
        <w:jc w:val="both"/>
        <w:rPr>
          <w:rFonts w:ascii="Arial" w:eastAsia="Calibri" w:hAnsi="Arial" w:cs="Arial"/>
          <w:b/>
          <w:color w:val="000000" w:themeColor="text1"/>
          <w:sz w:val="20"/>
          <w:szCs w:val="20"/>
        </w:rPr>
      </w:pPr>
    </w:p>
    <w:p w14:paraId="7C99B236" w14:textId="2619FB83" w:rsidR="00E359B3" w:rsidRPr="009738BA" w:rsidRDefault="00E359B3" w:rsidP="0068200F">
      <w:pPr>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2F56C498" w14:textId="77777777" w:rsidR="00E359B3" w:rsidRPr="009738BA" w:rsidRDefault="00E359B3" w:rsidP="0068200F">
      <w:pPr>
        <w:jc w:val="both"/>
        <w:rPr>
          <w:rFonts w:ascii="Arial" w:eastAsia="Calibri" w:hAnsi="Arial" w:cs="Arial"/>
          <w:color w:val="000000" w:themeColor="text1"/>
          <w:sz w:val="20"/>
          <w:szCs w:val="20"/>
        </w:rPr>
      </w:pPr>
    </w:p>
    <w:p w14:paraId="2EC0C22D" w14:textId="01FC5A26" w:rsidR="00E359B3" w:rsidRPr="0068200F" w:rsidRDefault="00E359B3" w:rsidP="08C64D80">
      <w:pPr>
        <w:jc w:val="both"/>
        <w:rPr>
          <w:rFonts w:ascii="Arial" w:eastAsia="Calibri" w:hAnsi="Arial" w:cs="Arial"/>
          <w:b/>
          <w:bCs/>
          <w:color w:val="000000" w:themeColor="text1"/>
          <w:sz w:val="22"/>
        </w:rPr>
      </w:pPr>
      <w:r w:rsidRPr="08C64D80">
        <w:rPr>
          <w:rFonts w:ascii="Arial" w:eastAsia="Calibri" w:hAnsi="Arial" w:cs="Arial"/>
          <w:b/>
          <w:bCs/>
          <w:color w:val="000000" w:themeColor="text1"/>
          <w:sz w:val="22"/>
        </w:rPr>
        <w:t xml:space="preserve">PUBLICIDAD </w:t>
      </w:r>
      <w:bookmarkStart w:id="0" w:name="_Hlk39744129"/>
      <w:r w:rsidR="0068200F" w:rsidRPr="08C64D80">
        <w:rPr>
          <w:rFonts w:ascii="Arial" w:eastAsia="Calibri" w:hAnsi="Arial" w:cs="Arial"/>
          <w:b/>
          <w:bCs/>
          <w:color w:val="000000" w:themeColor="text1"/>
          <w:sz w:val="22"/>
        </w:rPr>
        <w:t>–</w:t>
      </w:r>
      <w:bookmarkEnd w:id="0"/>
      <w:r w:rsidRPr="08C64D80">
        <w:rPr>
          <w:rFonts w:ascii="Arial" w:eastAsia="Calibri" w:hAnsi="Arial" w:cs="Arial"/>
          <w:b/>
          <w:bCs/>
          <w:color w:val="000000" w:themeColor="text1"/>
          <w:sz w:val="22"/>
        </w:rPr>
        <w:t xml:space="preserve"> </w:t>
      </w:r>
      <w:proofErr w:type="spellStart"/>
      <w:r w:rsidRPr="08C64D80">
        <w:rPr>
          <w:rFonts w:ascii="Arial" w:eastAsia="Calibri" w:hAnsi="Arial" w:cs="Arial"/>
          <w:b/>
          <w:bCs/>
          <w:color w:val="000000" w:themeColor="text1"/>
          <w:sz w:val="22"/>
        </w:rPr>
        <w:t>S</w:t>
      </w:r>
      <w:r w:rsidR="1467C6BD" w:rsidRPr="08C64D80">
        <w:rPr>
          <w:rFonts w:ascii="Arial" w:eastAsia="Calibri" w:hAnsi="Arial" w:cs="Arial"/>
          <w:b/>
          <w:bCs/>
          <w:color w:val="000000" w:themeColor="text1"/>
          <w:sz w:val="22"/>
        </w:rPr>
        <w:t>ecop</w:t>
      </w:r>
      <w:proofErr w:type="spellEnd"/>
      <w:r w:rsidRPr="08C64D80">
        <w:rPr>
          <w:rFonts w:ascii="Arial" w:eastAsia="Calibri" w:hAnsi="Arial" w:cs="Arial"/>
          <w:b/>
          <w:bCs/>
          <w:color w:val="000000" w:themeColor="text1"/>
          <w:sz w:val="22"/>
        </w:rPr>
        <w:t xml:space="preserve">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Obligación </w:t>
      </w:r>
      <w:r w:rsidR="000E5117"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Ejecución </w:t>
      </w:r>
      <w:r w:rsidR="5AE55A9C" w:rsidRPr="08C64D80">
        <w:rPr>
          <w:rFonts w:ascii="Arial" w:eastAsia="Calibri" w:hAnsi="Arial" w:cs="Arial"/>
          <w:b/>
          <w:bCs/>
          <w:color w:val="000000" w:themeColor="text1"/>
          <w:sz w:val="22"/>
        </w:rPr>
        <w:t>–</w:t>
      </w:r>
      <w:r w:rsidRPr="08C64D80">
        <w:rPr>
          <w:rFonts w:ascii="Arial" w:eastAsia="Calibri" w:hAnsi="Arial" w:cs="Arial"/>
          <w:b/>
          <w:bCs/>
          <w:color w:val="000000" w:themeColor="text1"/>
          <w:sz w:val="22"/>
        </w:rPr>
        <w:t xml:space="preserve"> </w:t>
      </w:r>
      <w:r w:rsidR="650C4C18" w:rsidRPr="08C64D80">
        <w:rPr>
          <w:rFonts w:ascii="Arial" w:eastAsia="Calibri" w:hAnsi="Arial" w:cs="Arial"/>
          <w:b/>
          <w:bCs/>
          <w:color w:val="000000" w:themeColor="text1"/>
          <w:sz w:val="22"/>
        </w:rPr>
        <w:t>R</w:t>
      </w:r>
      <w:r w:rsidRPr="08C64D80">
        <w:rPr>
          <w:rFonts w:ascii="Arial" w:eastAsia="Calibri" w:hAnsi="Arial" w:cs="Arial"/>
          <w:b/>
          <w:bCs/>
          <w:color w:val="000000" w:themeColor="text1"/>
          <w:sz w:val="22"/>
        </w:rPr>
        <w:t>ecursos públicos</w:t>
      </w:r>
    </w:p>
    <w:p w14:paraId="33E612B6" w14:textId="77777777" w:rsidR="00E359B3" w:rsidRPr="009738BA" w:rsidRDefault="00E359B3" w:rsidP="0068200F">
      <w:pPr>
        <w:jc w:val="both"/>
        <w:rPr>
          <w:rFonts w:ascii="Arial" w:eastAsia="Calibri" w:hAnsi="Arial" w:cs="Arial"/>
          <w:color w:val="000000" w:themeColor="text1"/>
          <w:sz w:val="20"/>
          <w:szCs w:val="20"/>
        </w:rPr>
      </w:pPr>
    </w:p>
    <w:p w14:paraId="1C68AC35" w14:textId="77777777" w:rsidR="00E359B3" w:rsidRPr="009738BA" w:rsidRDefault="00E359B3" w:rsidP="0068200F">
      <w:pPr>
        <w:jc w:val="both"/>
        <w:rPr>
          <w:rFonts w:ascii="Arial" w:eastAsia="Calibri" w:hAnsi="Arial" w:cs="Arial"/>
          <w:color w:val="000000" w:themeColor="text1"/>
          <w:sz w:val="20"/>
          <w:szCs w:val="20"/>
        </w:rPr>
      </w:pPr>
      <w:r w:rsidRPr="009738BA">
        <w:rPr>
          <w:rFonts w:ascii="Arial" w:eastAsia="Calibri" w:hAnsi="Arial" w:cs="Arial"/>
          <w:color w:val="000000" w:themeColor="text1"/>
          <w:sz w:val="20"/>
          <w:szCs w:val="20"/>
        </w:rPr>
        <w:t xml:space="preserve">Analizando las normas de publicidad en el SECOP, se concluye que no existen disposiciones de las que se pueda inferir el interés de la ley en exigir la publicación de los actos que involucren la ejecución de recursos públicos, puesto que su objetivo es general y se refiere a la actividad precontractual, contractual y </w:t>
      </w:r>
      <w:proofErr w:type="spellStart"/>
      <w:r w:rsidRPr="009738BA">
        <w:rPr>
          <w:rFonts w:ascii="Arial" w:eastAsia="Calibri" w:hAnsi="Arial" w:cs="Arial"/>
          <w:color w:val="000000" w:themeColor="text1"/>
          <w:sz w:val="20"/>
          <w:szCs w:val="20"/>
        </w:rPr>
        <w:t>poscontractual</w:t>
      </w:r>
      <w:proofErr w:type="spellEnd"/>
      <w:r w:rsidRPr="009738BA">
        <w:rPr>
          <w:rFonts w:ascii="Arial" w:eastAsia="Calibri" w:hAnsi="Arial" w:cs="Arial"/>
          <w:color w:val="000000" w:themeColor="text1"/>
          <w:sz w:val="20"/>
          <w:szCs w:val="20"/>
        </w:rPr>
        <w:t xml:space="preserve"> de las entidades, sin que pueda existir una interpretación diferente, debido a la finalidad de la ley respecto de la ciudadanía y su derecho a conocer las decisiones de la Administración pública.</w:t>
      </w:r>
    </w:p>
    <w:p w14:paraId="03A6A537" w14:textId="6384340D" w:rsidR="005A79FE" w:rsidRDefault="005A79FE" w:rsidP="005A79FE">
      <w:pPr>
        <w:rPr>
          <w:rFonts w:ascii="Arial" w:hAnsi="Arial" w:cs="Arial"/>
          <w:color w:val="000000" w:themeColor="text1"/>
          <w:sz w:val="20"/>
          <w:szCs w:val="20"/>
        </w:rPr>
      </w:pPr>
    </w:p>
    <w:p w14:paraId="79D76F9B" w14:textId="77777777" w:rsidR="00FA4E25" w:rsidRPr="008A68B4" w:rsidRDefault="00FA4E25" w:rsidP="005A79FE">
      <w:pPr>
        <w:rPr>
          <w:rFonts w:ascii="Arial" w:hAnsi="Arial" w:cs="Arial"/>
          <w:color w:val="000000" w:themeColor="text1"/>
          <w:sz w:val="20"/>
          <w:szCs w:val="20"/>
        </w:rPr>
      </w:pPr>
    </w:p>
    <w:p w14:paraId="2E94D47D" w14:textId="6BE5403C" w:rsidR="00F46F2E" w:rsidRPr="00F46F2E" w:rsidRDefault="00F46F2E" w:rsidP="00F46F2E">
      <w:pPr>
        <w:pStyle w:val="Default"/>
        <w:rPr>
          <w:sz w:val="22"/>
          <w:szCs w:val="22"/>
        </w:rPr>
      </w:pPr>
      <w:r w:rsidRPr="00F46F2E">
        <w:rPr>
          <w:sz w:val="22"/>
          <w:szCs w:val="22"/>
        </w:rPr>
        <w:t xml:space="preserve">Bogotá D.C., </w:t>
      </w:r>
      <w:r w:rsidRPr="00F46F2E">
        <w:rPr>
          <w:b/>
          <w:bCs/>
          <w:sz w:val="22"/>
          <w:szCs w:val="22"/>
        </w:rPr>
        <w:t xml:space="preserve">13/04/2020 Hora 19:9:42s </w:t>
      </w:r>
    </w:p>
    <w:p w14:paraId="3FF1732E" w14:textId="4F18A05A" w:rsidR="00436316" w:rsidRDefault="00F46F2E" w:rsidP="00F46F2E">
      <w:pPr>
        <w:jc w:val="right"/>
        <w:rPr>
          <w:rFonts w:ascii="Arial" w:hAnsi="Arial" w:cs="Arial"/>
          <w:b/>
          <w:bCs/>
          <w:sz w:val="22"/>
        </w:rPr>
      </w:pPr>
      <w:proofErr w:type="spellStart"/>
      <w:r w:rsidRPr="00F46F2E">
        <w:rPr>
          <w:rFonts w:ascii="Arial" w:hAnsi="Arial" w:cs="Arial"/>
          <w:b/>
          <w:bCs/>
          <w:sz w:val="22"/>
        </w:rPr>
        <w:t>N°</w:t>
      </w:r>
      <w:proofErr w:type="spellEnd"/>
      <w:r w:rsidRPr="00F46F2E">
        <w:rPr>
          <w:rFonts w:ascii="Arial" w:hAnsi="Arial" w:cs="Arial"/>
          <w:b/>
          <w:bCs/>
          <w:sz w:val="22"/>
        </w:rPr>
        <w:t xml:space="preserve"> Radicado: 2202013000002638</w:t>
      </w:r>
    </w:p>
    <w:p w14:paraId="192C99F9" w14:textId="77777777" w:rsidR="006D3F80" w:rsidRDefault="006D3F80" w:rsidP="005A79FE">
      <w:pPr>
        <w:rPr>
          <w:rFonts w:ascii="Arial" w:eastAsia="Calibri" w:hAnsi="Arial" w:cs="Arial"/>
          <w:color w:val="000000" w:themeColor="text1"/>
          <w:sz w:val="22"/>
        </w:rPr>
      </w:pPr>
    </w:p>
    <w:p w14:paraId="2097EFDF" w14:textId="7FDE95FA" w:rsidR="005A79FE" w:rsidRPr="009738BA" w:rsidRDefault="005A79FE" w:rsidP="005A79FE">
      <w:pPr>
        <w:rPr>
          <w:rFonts w:ascii="Arial" w:eastAsia="Calibri" w:hAnsi="Arial" w:cs="Arial"/>
          <w:color w:val="000000" w:themeColor="text1"/>
          <w:sz w:val="22"/>
        </w:rPr>
      </w:pPr>
      <w:r w:rsidRPr="009738BA">
        <w:rPr>
          <w:rFonts w:ascii="Arial" w:eastAsia="Calibri" w:hAnsi="Arial" w:cs="Arial"/>
          <w:color w:val="000000" w:themeColor="text1"/>
          <w:sz w:val="22"/>
        </w:rPr>
        <w:t>Señor</w:t>
      </w:r>
      <w:r w:rsidR="004B25F1" w:rsidRPr="009738BA">
        <w:rPr>
          <w:rFonts w:ascii="Arial" w:eastAsia="Calibri" w:hAnsi="Arial" w:cs="Arial"/>
          <w:color w:val="000000" w:themeColor="text1"/>
          <w:sz w:val="22"/>
        </w:rPr>
        <w:t>a</w:t>
      </w:r>
    </w:p>
    <w:p w14:paraId="7FDA027E" w14:textId="729B2F92" w:rsidR="005A79FE" w:rsidRPr="009738BA" w:rsidRDefault="004B25F1" w:rsidP="005A79FE">
      <w:pPr>
        <w:rPr>
          <w:rFonts w:ascii="Arial" w:eastAsia="Calibri" w:hAnsi="Arial" w:cs="Arial"/>
          <w:b/>
          <w:color w:val="000000" w:themeColor="text1"/>
          <w:sz w:val="22"/>
        </w:rPr>
      </w:pPr>
      <w:r w:rsidRPr="009738BA">
        <w:rPr>
          <w:rFonts w:ascii="Arial" w:eastAsia="Calibri" w:hAnsi="Arial" w:cs="Arial"/>
          <w:b/>
          <w:color w:val="000000" w:themeColor="text1"/>
          <w:sz w:val="22"/>
        </w:rPr>
        <w:t>INGRIS PAOLA SALAS ARRIETA</w:t>
      </w:r>
    </w:p>
    <w:p w14:paraId="699E9CB9" w14:textId="262B9887" w:rsidR="005A79FE" w:rsidRPr="009738BA" w:rsidRDefault="004B25F1" w:rsidP="005A79FE">
      <w:pPr>
        <w:rPr>
          <w:rFonts w:ascii="Arial" w:eastAsia="Calibri" w:hAnsi="Arial" w:cs="Arial"/>
          <w:color w:val="000000" w:themeColor="text1"/>
          <w:sz w:val="22"/>
        </w:rPr>
      </w:pPr>
      <w:r w:rsidRPr="009738BA">
        <w:rPr>
          <w:rFonts w:ascii="Arial" w:eastAsia="Calibri" w:hAnsi="Arial" w:cs="Arial"/>
          <w:color w:val="000000" w:themeColor="text1"/>
          <w:sz w:val="22"/>
        </w:rPr>
        <w:t>Magangué ─ Bolívar</w:t>
      </w:r>
    </w:p>
    <w:p w14:paraId="2322BBA8" w14:textId="44BE20A6" w:rsidR="00E753C6" w:rsidRDefault="00E753C6" w:rsidP="005A79FE">
      <w:pPr>
        <w:jc w:val="center"/>
        <w:rPr>
          <w:rFonts w:ascii="Arial" w:eastAsia="Calibri" w:hAnsi="Arial" w:cs="Arial"/>
          <w:b/>
          <w:color w:val="000000" w:themeColor="text1"/>
          <w:sz w:val="22"/>
        </w:rPr>
      </w:pPr>
    </w:p>
    <w:p w14:paraId="52507195" w14:textId="26311015" w:rsidR="00436316" w:rsidRDefault="005A79FE" w:rsidP="005A79FE">
      <w:pPr>
        <w:jc w:val="center"/>
        <w:rPr>
          <w:rFonts w:ascii="Arial" w:eastAsia="Calibri" w:hAnsi="Arial" w:cs="Arial"/>
          <w:b/>
          <w:color w:val="000000" w:themeColor="text1"/>
          <w:sz w:val="22"/>
        </w:rPr>
      </w:pPr>
      <w:r w:rsidRPr="009738BA">
        <w:rPr>
          <w:rFonts w:ascii="Arial" w:eastAsia="Calibri" w:hAnsi="Arial" w:cs="Arial"/>
          <w:b/>
          <w:color w:val="000000" w:themeColor="text1"/>
          <w:sz w:val="22"/>
        </w:rPr>
        <w:t xml:space="preserve">Concepto C ─ </w:t>
      </w:r>
      <w:r w:rsidR="00FD3C54" w:rsidRPr="009738BA">
        <w:rPr>
          <w:rFonts w:ascii="Arial" w:eastAsia="Calibri" w:hAnsi="Arial" w:cs="Arial"/>
          <w:b/>
          <w:color w:val="000000" w:themeColor="text1"/>
          <w:sz w:val="22"/>
        </w:rPr>
        <w:t>220</w:t>
      </w:r>
      <w:r w:rsidRPr="009738BA">
        <w:rPr>
          <w:rFonts w:ascii="Arial" w:eastAsia="Calibri" w:hAnsi="Arial" w:cs="Arial"/>
          <w:b/>
          <w:color w:val="000000" w:themeColor="text1"/>
          <w:sz w:val="22"/>
        </w:rPr>
        <w:t xml:space="preserve"> de 2020</w:t>
      </w:r>
    </w:p>
    <w:p w14:paraId="207A41DB" w14:textId="77777777" w:rsidR="00597981" w:rsidRDefault="00597981" w:rsidP="005A79FE">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738BA" w:rsidRPr="009738BA" w14:paraId="21699201" w14:textId="77777777" w:rsidTr="00266042">
        <w:tc>
          <w:tcPr>
            <w:tcW w:w="2689" w:type="dxa"/>
            <w:hideMark/>
          </w:tcPr>
          <w:p w14:paraId="26712367" w14:textId="77777777" w:rsidR="005A79FE" w:rsidRPr="009738BA" w:rsidRDefault="005A79FE" w:rsidP="00266042">
            <w:pPr>
              <w:rPr>
                <w:rFonts w:ascii="Arial" w:eastAsia="Calibri" w:hAnsi="Arial" w:cs="Arial"/>
                <w:color w:val="000000" w:themeColor="text1"/>
                <w:sz w:val="22"/>
              </w:rPr>
            </w:pPr>
            <w:r w:rsidRPr="009738BA">
              <w:rPr>
                <w:rFonts w:ascii="Arial" w:eastAsia="Calibri" w:hAnsi="Arial" w:cs="Arial"/>
                <w:b/>
                <w:color w:val="000000" w:themeColor="text1"/>
                <w:sz w:val="22"/>
              </w:rPr>
              <w:t>Temas:</w:t>
            </w:r>
            <w:r w:rsidRPr="009738BA">
              <w:rPr>
                <w:rFonts w:ascii="Arial" w:eastAsia="Calibri" w:hAnsi="Arial" w:cs="Arial"/>
                <w:color w:val="000000" w:themeColor="text1"/>
                <w:sz w:val="22"/>
              </w:rPr>
              <w:t xml:space="preserve">           </w:t>
            </w:r>
          </w:p>
          <w:p w14:paraId="5D67F5C4" w14:textId="77777777" w:rsidR="005A79FE" w:rsidRPr="009738BA" w:rsidRDefault="005A79FE" w:rsidP="00266042">
            <w:pPr>
              <w:rPr>
                <w:rFonts w:ascii="Arial" w:eastAsia="Calibri" w:hAnsi="Arial" w:cs="Arial"/>
                <w:color w:val="000000" w:themeColor="text1"/>
                <w:sz w:val="22"/>
              </w:rPr>
            </w:pPr>
            <w:r w:rsidRPr="009738BA">
              <w:rPr>
                <w:rFonts w:ascii="Arial" w:eastAsia="Calibri" w:hAnsi="Arial" w:cs="Arial"/>
                <w:color w:val="000000" w:themeColor="text1"/>
                <w:sz w:val="22"/>
              </w:rPr>
              <w:t xml:space="preserve">                           </w:t>
            </w:r>
          </w:p>
        </w:tc>
        <w:tc>
          <w:tcPr>
            <w:tcW w:w="6237" w:type="dxa"/>
            <w:hideMark/>
          </w:tcPr>
          <w:p w14:paraId="18D0285C" w14:textId="39AC512D" w:rsidR="008A68B4" w:rsidRDefault="00C76FC8" w:rsidP="008A68B4">
            <w:pPr>
              <w:jc w:val="both"/>
              <w:rPr>
                <w:rFonts w:ascii="Arial" w:eastAsia="Calibri" w:hAnsi="Arial" w:cs="Arial"/>
                <w:bCs/>
                <w:color w:val="000000" w:themeColor="text1"/>
                <w:sz w:val="22"/>
              </w:rPr>
            </w:pPr>
            <w:r w:rsidRPr="009738BA">
              <w:rPr>
                <w:rFonts w:ascii="Arial" w:eastAsia="Calibri" w:hAnsi="Arial" w:cs="Arial"/>
                <w:bCs/>
                <w:color w:val="000000" w:themeColor="text1"/>
                <w:sz w:val="22"/>
                <w:lang w:val="es-ES_tradnl"/>
              </w:rPr>
              <w:t xml:space="preserve">PROCESO CONTRACTUAL </w:t>
            </w:r>
            <w:r w:rsidR="00D30352" w:rsidRPr="009738BA">
              <w:rPr>
                <w:rFonts w:ascii="Arial" w:eastAsia="Calibri" w:hAnsi="Arial" w:cs="Arial"/>
                <w:bCs/>
                <w:color w:val="000000" w:themeColor="text1"/>
                <w:sz w:val="22"/>
                <w:lang w:val="es-ES_tradnl"/>
              </w:rPr>
              <w:t>─</w:t>
            </w:r>
            <w:r w:rsidRPr="009738BA">
              <w:rPr>
                <w:rFonts w:ascii="Arial" w:eastAsia="Calibri" w:hAnsi="Arial" w:cs="Arial"/>
                <w:bCs/>
                <w:color w:val="000000" w:themeColor="text1"/>
                <w:sz w:val="22"/>
                <w:lang w:val="es-ES_tradnl"/>
              </w:rPr>
              <w:t xml:space="preserve"> Modalidad de selección / </w:t>
            </w:r>
            <w:r w:rsidR="00D30352" w:rsidRPr="009738BA">
              <w:rPr>
                <w:rFonts w:ascii="Arial" w:eastAsia="Calibri" w:hAnsi="Arial" w:cs="Arial"/>
                <w:bCs/>
                <w:color w:val="000000" w:themeColor="text1"/>
                <w:sz w:val="22"/>
                <w:lang w:val="es-ES_tradnl"/>
              </w:rPr>
              <w:t>CONVENIO O CONTRATO INTERADMINISTRATIVO ─ Concepto ─ Régimen jurídico</w:t>
            </w:r>
            <w:r w:rsidR="00003513" w:rsidRPr="009738BA">
              <w:rPr>
                <w:rFonts w:ascii="Arial" w:eastAsia="Calibri" w:hAnsi="Arial" w:cs="Arial"/>
                <w:bCs/>
                <w:color w:val="000000" w:themeColor="text1"/>
                <w:sz w:val="22"/>
                <w:lang w:val="es-ES_tradnl"/>
              </w:rPr>
              <w:t xml:space="preserve"> ─ Elementos ─ Naturaleza ─ Calidad de los contratantes / </w:t>
            </w:r>
            <w:r w:rsidR="006300AF">
              <w:rPr>
                <w:rFonts w:ascii="Arial" w:eastAsia="Calibri" w:hAnsi="Arial" w:cs="Arial"/>
                <w:bCs/>
                <w:color w:val="000000" w:themeColor="text1"/>
                <w:sz w:val="22"/>
                <w:lang w:val="es-ES_tradnl"/>
              </w:rPr>
              <w:t xml:space="preserve">PROCESO DE </w:t>
            </w:r>
            <w:r w:rsidR="00003513" w:rsidRPr="009738BA">
              <w:rPr>
                <w:rFonts w:ascii="Arial" w:eastAsia="Calibri" w:hAnsi="Arial" w:cs="Arial"/>
                <w:bCs/>
                <w:color w:val="000000" w:themeColor="text1"/>
                <w:sz w:val="22"/>
              </w:rPr>
              <w:t xml:space="preserve">CONCURSO DE MÉRITOS </w:t>
            </w:r>
            <w:r w:rsidR="00694D33" w:rsidRPr="009738BA">
              <w:rPr>
                <w:rFonts w:ascii="Arial" w:eastAsia="Calibri" w:hAnsi="Arial" w:cs="Arial"/>
                <w:bCs/>
                <w:color w:val="000000" w:themeColor="text1"/>
                <w:sz w:val="22"/>
              </w:rPr>
              <w:t>─ Ley 80 de 1993</w:t>
            </w:r>
            <w:r w:rsidR="006D0970" w:rsidRPr="009738BA">
              <w:rPr>
                <w:rFonts w:ascii="Arial" w:eastAsia="Calibri" w:hAnsi="Arial" w:cs="Arial"/>
                <w:bCs/>
                <w:color w:val="000000" w:themeColor="text1"/>
                <w:sz w:val="22"/>
              </w:rPr>
              <w:t xml:space="preserve"> ─ Elección Personero Municipal ─ </w:t>
            </w:r>
            <w:r w:rsidR="006300AF">
              <w:rPr>
                <w:rFonts w:ascii="Arial" w:eastAsia="Calibri" w:hAnsi="Arial" w:cs="Arial"/>
                <w:bCs/>
                <w:color w:val="000000" w:themeColor="text1"/>
                <w:sz w:val="22"/>
                <w:lang w:val="es-ES_tradnl"/>
              </w:rPr>
              <w:t xml:space="preserve">PROCESO DE </w:t>
            </w:r>
            <w:r w:rsidR="006300AF" w:rsidRPr="009738BA">
              <w:rPr>
                <w:rFonts w:ascii="Arial" w:eastAsia="Calibri" w:hAnsi="Arial" w:cs="Arial"/>
                <w:bCs/>
                <w:color w:val="000000" w:themeColor="text1"/>
                <w:sz w:val="22"/>
              </w:rPr>
              <w:t xml:space="preserve">CONCURSO DE MÉRITOS </w:t>
            </w:r>
            <w:r w:rsidR="006300AF">
              <w:rPr>
                <w:rFonts w:ascii="Arial" w:eastAsia="Calibri" w:hAnsi="Arial" w:cs="Arial"/>
                <w:bCs/>
                <w:color w:val="000000" w:themeColor="text1"/>
                <w:sz w:val="22"/>
              </w:rPr>
              <w:t xml:space="preserve">- </w:t>
            </w:r>
            <w:r w:rsidR="006D0970" w:rsidRPr="009738BA">
              <w:rPr>
                <w:rFonts w:ascii="Arial" w:eastAsia="Calibri" w:hAnsi="Arial" w:cs="Arial"/>
                <w:bCs/>
                <w:color w:val="000000" w:themeColor="text1"/>
                <w:sz w:val="22"/>
              </w:rPr>
              <w:t>Empleo público ─ Diferencias ─ Universidades o instituciones de educación superior ─ Publicidad / PUBLICIDAD ─ SECOP ─ Obligación ─ Ejecución de recursos públicos</w:t>
            </w:r>
          </w:p>
          <w:p w14:paraId="3AA1F046" w14:textId="718B895D" w:rsidR="00597981" w:rsidRDefault="00597981" w:rsidP="008A68B4">
            <w:pPr>
              <w:jc w:val="both"/>
              <w:rPr>
                <w:rFonts w:ascii="Arial" w:eastAsia="Calibri" w:hAnsi="Arial" w:cs="Arial"/>
                <w:bCs/>
                <w:color w:val="000000" w:themeColor="text1"/>
                <w:sz w:val="22"/>
              </w:rPr>
            </w:pPr>
          </w:p>
          <w:p w14:paraId="1121B01F" w14:textId="77777777" w:rsidR="00597981" w:rsidRDefault="00597981" w:rsidP="008A68B4">
            <w:pPr>
              <w:jc w:val="both"/>
              <w:rPr>
                <w:rFonts w:ascii="Arial" w:eastAsia="Calibri" w:hAnsi="Arial" w:cs="Arial"/>
                <w:bCs/>
                <w:color w:val="000000" w:themeColor="text1"/>
                <w:sz w:val="22"/>
              </w:rPr>
            </w:pPr>
          </w:p>
          <w:p w14:paraId="784C47C0" w14:textId="586B2177" w:rsidR="008A68B4" w:rsidRPr="009738BA" w:rsidRDefault="008A68B4" w:rsidP="008A68B4">
            <w:pPr>
              <w:jc w:val="both"/>
              <w:rPr>
                <w:rFonts w:ascii="Arial" w:eastAsia="Calibri" w:hAnsi="Arial" w:cs="Arial"/>
                <w:bCs/>
                <w:color w:val="000000" w:themeColor="text1"/>
                <w:sz w:val="22"/>
              </w:rPr>
            </w:pPr>
          </w:p>
        </w:tc>
      </w:tr>
      <w:tr w:rsidR="005A79FE" w:rsidRPr="009738BA" w14:paraId="7C0A7D18" w14:textId="77777777" w:rsidTr="00266042">
        <w:tc>
          <w:tcPr>
            <w:tcW w:w="2689" w:type="dxa"/>
          </w:tcPr>
          <w:p w14:paraId="6A12F093" w14:textId="77777777" w:rsidR="005A79FE" w:rsidRPr="009738BA" w:rsidRDefault="005A79FE" w:rsidP="00266042">
            <w:pPr>
              <w:rPr>
                <w:rFonts w:ascii="Arial" w:eastAsia="Calibri" w:hAnsi="Arial" w:cs="Arial"/>
                <w:b/>
                <w:color w:val="000000" w:themeColor="text1"/>
                <w:sz w:val="22"/>
              </w:rPr>
            </w:pPr>
            <w:r w:rsidRPr="009738BA">
              <w:rPr>
                <w:rFonts w:ascii="Arial" w:eastAsia="Calibri" w:hAnsi="Arial" w:cs="Arial"/>
                <w:b/>
                <w:color w:val="000000" w:themeColor="text1"/>
                <w:sz w:val="22"/>
              </w:rPr>
              <w:t>Radicación:</w:t>
            </w:r>
            <w:r w:rsidRPr="009738BA">
              <w:rPr>
                <w:rFonts w:ascii="Arial" w:eastAsia="Calibri" w:hAnsi="Arial" w:cs="Arial"/>
                <w:color w:val="000000" w:themeColor="text1"/>
                <w:sz w:val="22"/>
              </w:rPr>
              <w:t xml:space="preserve">                              </w:t>
            </w:r>
          </w:p>
        </w:tc>
        <w:tc>
          <w:tcPr>
            <w:tcW w:w="6237" w:type="dxa"/>
          </w:tcPr>
          <w:p w14:paraId="4D24C95D" w14:textId="0D3D4554" w:rsidR="008A68B4" w:rsidRDefault="005A79FE" w:rsidP="00F46F2E">
            <w:pPr>
              <w:jc w:val="both"/>
              <w:rPr>
                <w:rFonts w:ascii="Arial" w:eastAsia="Calibri" w:hAnsi="Arial" w:cs="Arial"/>
                <w:color w:val="000000" w:themeColor="text1"/>
                <w:sz w:val="22"/>
              </w:rPr>
            </w:pPr>
            <w:r w:rsidRPr="009738BA">
              <w:rPr>
                <w:rFonts w:ascii="Arial" w:eastAsia="Calibri" w:hAnsi="Arial" w:cs="Arial"/>
                <w:color w:val="000000" w:themeColor="text1"/>
                <w:sz w:val="22"/>
              </w:rPr>
              <w:t>Respuesta a consulta # 4</w:t>
            </w:r>
            <w:r w:rsidR="00D1016F" w:rsidRPr="009738BA">
              <w:rPr>
                <w:rFonts w:ascii="Arial" w:eastAsia="Calibri" w:hAnsi="Arial" w:cs="Arial"/>
                <w:color w:val="000000" w:themeColor="text1"/>
                <w:sz w:val="22"/>
              </w:rPr>
              <w:t>202012000001847</w:t>
            </w:r>
          </w:p>
          <w:p w14:paraId="65C87D47" w14:textId="77777777" w:rsidR="00597981" w:rsidRDefault="00597981" w:rsidP="00F46F2E">
            <w:pPr>
              <w:jc w:val="both"/>
              <w:rPr>
                <w:rFonts w:ascii="Arial" w:eastAsia="Calibri" w:hAnsi="Arial" w:cs="Arial"/>
                <w:color w:val="000000" w:themeColor="text1"/>
                <w:sz w:val="22"/>
              </w:rPr>
            </w:pPr>
          </w:p>
          <w:p w14:paraId="73A42ACA" w14:textId="37A0A449" w:rsidR="008A68B4" w:rsidRPr="009738BA" w:rsidRDefault="008A68B4" w:rsidP="00F46F2E">
            <w:pPr>
              <w:jc w:val="both"/>
              <w:rPr>
                <w:rFonts w:ascii="Arial" w:eastAsia="Calibri" w:hAnsi="Arial" w:cs="Arial"/>
                <w:color w:val="000000" w:themeColor="text1"/>
                <w:sz w:val="22"/>
              </w:rPr>
            </w:pPr>
          </w:p>
        </w:tc>
      </w:tr>
    </w:tbl>
    <w:p w14:paraId="657E7EE7" w14:textId="418E1C60" w:rsidR="005A79FE" w:rsidRDefault="005A79FE" w:rsidP="005A79FE">
      <w:pPr>
        <w:rPr>
          <w:rFonts w:ascii="Arial" w:eastAsia="Calibri" w:hAnsi="Arial" w:cs="Arial"/>
          <w:color w:val="000000" w:themeColor="text1"/>
          <w:sz w:val="22"/>
        </w:rPr>
      </w:pPr>
      <w:r w:rsidRPr="009738BA">
        <w:rPr>
          <w:rFonts w:ascii="Arial" w:eastAsia="Calibri" w:hAnsi="Arial" w:cs="Arial"/>
          <w:color w:val="000000" w:themeColor="text1"/>
          <w:sz w:val="22"/>
        </w:rPr>
        <w:t>Estimad</w:t>
      </w:r>
      <w:r w:rsidR="001E2240" w:rsidRPr="009738BA">
        <w:rPr>
          <w:rFonts w:ascii="Arial" w:eastAsia="Calibri" w:hAnsi="Arial" w:cs="Arial"/>
          <w:color w:val="000000" w:themeColor="text1"/>
          <w:sz w:val="22"/>
        </w:rPr>
        <w:t>a</w:t>
      </w:r>
      <w:r w:rsidRPr="009738BA">
        <w:rPr>
          <w:rFonts w:ascii="Arial" w:eastAsia="Calibri" w:hAnsi="Arial" w:cs="Arial"/>
          <w:color w:val="000000" w:themeColor="text1"/>
          <w:sz w:val="22"/>
        </w:rPr>
        <w:t xml:space="preserve"> señora</w:t>
      </w:r>
      <w:r w:rsidR="001E2240" w:rsidRPr="009738BA">
        <w:rPr>
          <w:rFonts w:ascii="Arial" w:eastAsia="Calibri" w:hAnsi="Arial" w:cs="Arial"/>
          <w:color w:val="000000" w:themeColor="text1"/>
          <w:sz w:val="22"/>
        </w:rPr>
        <w:t xml:space="preserve"> Salas Arrieta</w:t>
      </w:r>
      <w:r w:rsidRPr="009738BA">
        <w:rPr>
          <w:rFonts w:ascii="Arial" w:eastAsia="Calibri" w:hAnsi="Arial" w:cs="Arial"/>
          <w:color w:val="000000" w:themeColor="text1"/>
          <w:sz w:val="22"/>
        </w:rPr>
        <w:t>,</w:t>
      </w:r>
    </w:p>
    <w:p w14:paraId="40D74C98" w14:textId="2F7C6C73" w:rsidR="005A79FE" w:rsidRDefault="005A79FE" w:rsidP="005A79FE">
      <w:pPr>
        <w:rPr>
          <w:rFonts w:ascii="Arial" w:eastAsia="Calibri" w:hAnsi="Arial" w:cs="Arial"/>
          <w:color w:val="000000" w:themeColor="text1"/>
          <w:sz w:val="22"/>
        </w:rPr>
      </w:pPr>
    </w:p>
    <w:p w14:paraId="1EA2338B" w14:textId="0499FEF9" w:rsidR="005A79FE" w:rsidRPr="009738BA" w:rsidRDefault="005A79FE" w:rsidP="005A79FE">
      <w:pPr>
        <w:spacing w:line="276" w:lineRule="auto"/>
        <w:ind w:right="49"/>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Agencia Nacional de Contratación Pública ―Colombia Compra Eficiente― responde su consulta del </w:t>
      </w:r>
      <w:r w:rsidR="000615C5" w:rsidRPr="009738BA">
        <w:rPr>
          <w:rFonts w:ascii="Arial" w:eastAsia="Calibri" w:hAnsi="Arial" w:cs="Arial"/>
          <w:color w:val="000000" w:themeColor="text1"/>
          <w:sz w:val="22"/>
        </w:rPr>
        <w:t>11</w:t>
      </w:r>
      <w:r w:rsidRPr="009738BA">
        <w:rPr>
          <w:rFonts w:ascii="Arial" w:eastAsia="Calibri" w:hAnsi="Arial" w:cs="Arial"/>
          <w:color w:val="000000" w:themeColor="text1"/>
          <w:sz w:val="22"/>
        </w:rPr>
        <w:t xml:space="preserve"> de</w:t>
      </w:r>
      <w:r w:rsidR="000615C5" w:rsidRPr="009738BA">
        <w:rPr>
          <w:rFonts w:ascii="Arial" w:eastAsia="Calibri" w:hAnsi="Arial" w:cs="Arial"/>
          <w:color w:val="000000" w:themeColor="text1"/>
          <w:sz w:val="22"/>
        </w:rPr>
        <w:t xml:space="preserve"> marzo</w:t>
      </w:r>
      <w:r w:rsidRPr="009738BA">
        <w:rPr>
          <w:rFonts w:ascii="Arial" w:eastAsia="Calibri" w:hAnsi="Arial" w:cs="Arial"/>
          <w:color w:val="000000" w:themeColor="text1"/>
          <w:sz w:val="22"/>
        </w:rPr>
        <w:t xml:space="preserve"> de 20</w:t>
      </w:r>
      <w:r w:rsidR="000615C5" w:rsidRPr="009738BA">
        <w:rPr>
          <w:rFonts w:ascii="Arial" w:eastAsia="Calibri" w:hAnsi="Arial" w:cs="Arial"/>
          <w:color w:val="000000" w:themeColor="text1"/>
          <w:sz w:val="22"/>
        </w:rPr>
        <w:t>20</w:t>
      </w:r>
      <w:r w:rsidRPr="009738BA">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9738BA" w:rsidRDefault="005A79FE" w:rsidP="005A79FE">
      <w:pPr>
        <w:spacing w:line="276" w:lineRule="auto"/>
        <w:jc w:val="both"/>
        <w:rPr>
          <w:rFonts w:ascii="Arial" w:eastAsia="Calibri" w:hAnsi="Arial" w:cs="Arial"/>
          <w:color w:val="000000" w:themeColor="text1"/>
          <w:sz w:val="22"/>
        </w:rPr>
      </w:pPr>
    </w:p>
    <w:p w14:paraId="4E8D0889" w14:textId="77777777" w:rsidR="005A79FE" w:rsidRPr="009738BA"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9738BA">
        <w:rPr>
          <w:rFonts w:ascii="Arial" w:eastAsia="Calibri" w:hAnsi="Arial" w:cs="Arial"/>
          <w:b/>
          <w:color w:val="000000" w:themeColor="text1"/>
          <w:sz w:val="22"/>
        </w:rPr>
        <w:t xml:space="preserve">Problemas planteados </w:t>
      </w:r>
    </w:p>
    <w:p w14:paraId="138D5B25" w14:textId="77777777" w:rsidR="005A79FE" w:rsidRPr="009738BA" w:rsidRDefault="005A79FE" w:rsidP="005A79FE">
      <w:pPr>
        <w:tabs>
          <w:tab w:val="left" w:pos="426"/>
        </w:tabs>
        <w:spacing w:line="276" w:lineRule="auto"/>
        <w:jc w:val="both"/>
        <w:rPr>
          <w:rFonts w:ascii="Arial" w:eastAsia="Calibri" w:hAnsi="Arial" w:cs="Arial"/>
          <w:b/>
          <w:color w:val="000000" w:themeColor="text1"/>
          <w:sz w:val="22"/>
        </w:rPr>
      </w:pPr>
    </w:p>
    <w:p w14:paraId="30EE5915" w14:textId="6C435646" w:rsidR="005A79FE" w:rsidRPr="009738BA" w:rsidRDefault="005A79FE" w:rsidP="006E0656">
      <w:pPr>
        <w:tabs>
          <w:tab w:val="left" w:pos="426"/>
        </w:tabs>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Usted realiza la siguiente pregunta: </w:t>
      </w:r>
      <w:r w:rsidR="006E0656" w:rsidRPr="009738BA">
        <w:rPr>
          <w:rFonts w:ascii="Arial" w:eastAsia="Calibri" w:hAnsi="Arial" w:cs="Arial"/>
          <w:color w:val="000000" w:themeColor="text1"/>
          <w:sz w:val="22"/>
        </w:rPr>
        <w:t xml:space="preserve">«Nos informe si los convenios suscritos en el marco de procesos de elecciones de personeros </w:t>
      </w:r>
      <w:proofErr w:type="gramStart"/>
      <w:r w:rsidR="006E0656" w:rsidRPr="009738BA">
        <w:rPr>
          <w:rFonts w:ascii="Arial" w:eastAsia="Calibri" w:hAnsi="Arial" w:cs="Arial"/>
          <w:color w:val="000000" w:themeColor="text1"/>
          <w:sz w:val="22"/>
        </w:rPr>
        <w:t>municipales,</w:t>
      </w:r>
      <w:proofErr w:type="gramEnd"/>
      <w:r w:rsidR="006E0656" w:rsidRPr="009738BA">
        <w:rPr>
          <w:rFonts w:ascii="Arial" w:eastAsia="Calibri" w:hAnsi="Arial" w:cs="Arial"/>
          <w:color w:val="000000" w:themeColor="text1"/>
          <w:sz w:val="22"/>
        </w:rPr>
        <w:t xml:space="preserve"> deben ser cargados al aplicativo SECOP</w:t>
      </w:r>
      <w:r w:rsidR="002256F2" w:rsidRPr="009738BA">
        <w:rPr>
          <w:rFonts w:ascii="Arial" w:eastAsia="Calibri" w:hAnsi="Arial" w:cs="Arial"/>
          <w:color w:val="000000" w:themeColor="text1"/>
          <w:sz w:val="22"/>
        </w:rPr>
        <w:t>».</w:t>
      </w:r>
    </w:p>
    <w:p w14:paraId="42DC4EC6" w14:textId="251F87A7" w:rsidR="005A79FE" w:rsidRDefault="005A79FE"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9738BA"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9738BA">
        <w:rPr>
          <w:rFonts w:ascii="Arial" w:eastAsia="Calibri" w:hAnsi="Arial" w:cs="Arial"/>
          <w:b/>
          <w:color w:val="000000" w:themeColor="text1"/>
          <w:sz w:val="22"/>
        </w:rPr>
        <w:t>Consideraciones</w:t>
      </w:r>
    </w:p>
    <w:p w14:paraId="2CA12CAE" w14:textId="3E3BE4B4" w:rsidR="00850487" w:rsidRPr="009738BA" w:rsidRDefault="00850487" w:rsidP="00101964">
      <w:pPr>
        <w:spacing w:line="276" w:lineRule="auto"/>
        <w:jc w:val="both"/>
        <w:rPr>
          <w:rFonts w:ascii="Arial" w:eastAsia="Calibri" w:hAnsi="Arial" w:cs="Arial"/>
          <w:color w:val="000000" w:themeColor="text1"/>
          <w:sz w:val="22"/>
        </w:rPr>
      </w:pPr>
    </w:p>
    <w:p w14:paraId="69B101E8" w14:textId="3A950449" w:rsidR="00850487" w:rsidRPr="009738BA" w:rsidRDefault="00850487" w:rsidP="00850487">
      <w:pPr>
        <w:spacing w:line="276" w:lineRule="auto"/>
        <w:jc w:val="both"/>
        <w:rPr>
          <w:rFonts w:ascii="Arial" w:eastAsia="Calibri" w:hAnsi="Arial" w:cs="Arial"/>
          <w:b/>
          <w:color w:val="000000" w:themeColor="text1"/>
          <w:sz w:val="22"/>
          <w:lang w:val="es-ES_tradnl"/>
        </w:rPr>
      </w:pPr>
      <w:r w:rsidRPr="009738BA">
        <w:rPr>
          <w:rFonts w:ascii="Arial" w:eastAsia="Calibri" w:hAnsi="Arial" w:cs="Arial"/>
          <w:b/>
          <w:color w:val="000000" w:themeColor="text1"/>
          <w:sz w:val="22"/>
          <w:lang w:val="es-ES_tradnl"/>
        </w:rPr>
        <w:t>2.1. Convenios o C</w:t>
      </w:r>
      <w:r w:rsidR="00477948" w:rsidRPr="009738BA">
        <w:rPr>
          <w:rFonts w:ascii="Arial" w:eastAsia="Calibri" w:hAnsi="Arial" w:cs="Arial"/>
          <w:b/>
          <w:color w:val="000000" w:themeColor="text1"/>
          <w:sz w:val="22"/>
          <w:lang w:val="es-ES_tradnl"/>
        </w:rPr>
        <w:t xml:space="preserve">ontratos </w:t>
      </w:r>
      <w:r w:rsidRPr="009738BA">
        <w:rPr>
          <w:rFonts w:ascii="Arial" w:eastAsia="Calibri" w:hAnsi="Arial" w:cs="Arial"/>
          <w:b/>
          <w:color w:val="000000" w:themeColor="text1"/>
          <w:sz w:val="22"/>
          <w:lang w:val="es-ES_tradnl"/>
        </w:rPr>
        <w:t>interadministrativos. Concepto y régimen jurídico aplicable</w:t>
      </w:r>
    </w:p>
    <w:p w14:paraId="46A31977" w14:textId="77777777" w:rsidR="00850487" w:rsidRPr="009738BA" w:rsidRDefault="00850487" w:rsidP="00850487">
      <w:pPr>
        <w:spacing w:line="276" w:lineRule="auto"/>
        <w:jc w:val="both"/>
        <w:rPr>
          <w:rFonts w:ascii="Arial" w:eastAsia="Calibri" w:hAnsi="Arial" w:cs="Arial"/>
          <w:color w:val="000000" w:themeColor="text1"/>
          <w:sz w:val="22"/>
          <w:lang w:val="es-ES_tradnl"/>
        </w:rPr>
      </w:pPr>
    </w:p>
    <w:p w14:paraId="7A14D18E" w14:textId="54BB7A25" w:rsidR="00850487" w:rsidRPr="009738BA" w:rsidRDefault="00850487" w:rsidP="00850487">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Agencia Nacional de Contratación Pública - Colombia Compra Eficiente, en el concepto con radicado </w:t>
      </w:r>
      <w:r w:rsidR="00394C7E" w:rsidRPr="009738BA">
        <w:rPr>
          <w:rFonts w:ascii="Arial" w:eastAsia="Calibri" w:hAnsi="Arial" w:cs="Arial"/>
          <w:color w:val="000000" w:themeColor="text1"/>
          <w:sz w:val="22"/>
        </w:rPr>
        <w:t>númer</w:t>
      </w:r>
      <w:r w:rsidR="00AD6E9D" w:rsidRPr="009738BA">
        <w:rPr>
          <w:rFonts w:ascii="Arial" w:eastAsia="Calibri" w:hAnsi="Arial" w:cs="Arial"/>
          <w:color w:val="000000" w:themeColor="text1"/>
          <w:sz w:val="22"/>
        </w:rPr>
        <w:t>o</w:t>
      </w:r>
      <w:r w:rsidRPr="009738BA">
        <w:rPr>
          <w:rFonts w:ascii="Arial" w:eastAsia="Calibri" w:hAnsi="Arial" w:cs="Arial"/>
          <w:color w:val="000000" w:themeColor="text1"/>
          <w:sz w:val="22"/>
        </w:rPr>
        <w:t xml:space="preserve"> 4201913000004536 del 22 de julio de 2019, reiterado y desarrollado en los conceptos identificados con radicado</w:t>
      </w:r>
      <w:r w:rsidR="00125EE3" w:rsidRPr="009738BA">
        <w:rPr>
          <w:rFonts w:ascii="Arial" w:eastAsia="Calibri" w:hAnsi="Arial" w:cs="Arial"/>
          <w:color w:val="000000" w:themeColor="text1"/>
          <w:sz w:val="22"/>
        </w:rPr>
        <w:t>s</w:t>
      </w:r>
      <w:r w:rsidRPr="009738BA">
        <w:rPr>
          <w:rFonts w:ascii="Arial" w:eastAsia="Calibri" w:hAnsi="Arial" w:cs="Arial"/>
          <w:color w:val="000000" w:themeColor="text1"/>
          <w:sz w:val="22"/>
        </w:rPr>
        <w:t xml:space="preserve"> </w:t>
      </w:r>
      <w:r w:rsidR="00AD6E9D" w:rsidRPr="009738BA">
        <w:rPr>
          <w:rFonts w:ascii="Arial" w:eastAsia="Calibri" w:hAnsi="Arial" w:cs="Arial"/>
          <w:color w:val="000000" w:themeColor="text1"/>
          <w:sz w:val="22"/>
        </w:rPr>
        <w:t>número</w:t>
      </w:r>
      <w:r w:rsidR="00125EE3" w:rsidRPr="009738BA">
        <w:rPr>
          <w:rFonts w:ascii="Arial" w:eastAsia="Calibri" w:hAnsi="Arial" w:cs="Arial"/>
          <w:color w:val="000000" w:themeColor="text1"/>
          <w:sz w:val="22"/>
        </w:rPr>
        <w:t>s</w:t>
      </w:r>
      <w:r w:rsidRPr="009738BA">
        <w:rPr>
          <w:rFonts w:ascii="Arial" w:eastAsia="Calibri" w:hAnsi="Arial" w:cs="Arial"/>
          <w:color w:val="000000" w:themeColor="text1"/>
          <w:sz w:val="22"/>
        </w:rPr>
        <w:t xml:space="preserve"> 4201913000004446 del 13 de agosto de 2019, 4201912000004954 del 5 de septiembre de 2019</w:t>
      </w:r>
      <w:r w:rsidR="00AD6E9D" w:rsidRPr="009738BA">
        <w:rPr>
          <w:rFonts w:ascii="Arial" w:eastAsia="Calibri" w:hAnsi="Arial" w:cs="Arial"/>
          <w:color w:val="000000" w:themeColor="text1"/>
          <w:sz w:val="22"/>
        </w:rPr>
        <w:t>,</w:t>
      </w:r>
      <w:r w:rsidRPr="009738BA">
        <w:rPr>
          <w:rFonts w:ascii="Arial" w:eastAsia="Calibri" w:hAnsi="Arial" w:cs="Arial"/>
          <w:color w:val="000000" w:themeColor="text1"/>
          <w:sz w:val="22"/>
        </w:rPr>
        <w:t xml:space="preserve"> 4201913000007429 del 25 de noviembre de 2019, Concepto C</w:t>
      </w:r>
      <w:r w:rsidR="000F5050" w:rsidRPr="009738BA">
        <w:rPr>
          <w:rFonts w:ascii="Arial" w:eastAsia="Calibri" w:hAnsi="Arial" w:cs="Arial"/>
          <w:color w:val="000000" w:themeColor="text1"/>
          <w:sz w:val="22"/>
        </w:rPr>
        <w:t xml:space="preserve"> ─ </w:t>
      </w:r>
      <w:r w:rsidRPr="009738BA">
        <w:rPr>
          <w:rFonts w:ascii="Arial" w:eastAsia="Calibri" w:hAnsi="Arial" w:cs="Arial"/>
          <w:color w:val="000000" w:themeColor="text1"/>
          <w:sz w:val="22"/>
        </w:rPr>
        <w:t>023 de 2020</w:t>
      </w:r>
      <w:r w:rsidR="000F5050" w:rsidRPr="009738BA">
        <w:rPr>
          <w:rFonts w:ascii="Arial" w:eastAsia="Calibri" w:hAnsi="Arial" w:cs="Arial"/>
          <w:color w:val="000000" w:themeColor="text1"/>
          <w:sz w:val="22"/>
        </w:rPr>
        <w:t xml:space="preserve"> y Concepto </w:t>
      </w:r>
      <w:r w:rsidR="002068A0" w:rsidRPr="009738BA">
        <w:rPr>
          <w:rFonts w:ascii="Arial" w:eastAsia="Calibri" w:hAnsi="Arial" w:cs="Arial"/>
          <w:color w:val="000000" w:themeColor="text1"/>
          <w:sz w:val="22"/>
        </w:rPr>
        <w:t xml:space="preserve">C ─ </w:t>
      </w:r>
      <w:r w:rsidR="00101964" w:rsidRPr="009738BA">
        <w:rPr>
          <w:rFonts w:ascii="Arial" w:eastAsia="Calibri" w:hAnsi="Arial" w:cs="Arial"/>
          <w:color w:val="000000" w:themeColor="text1"/>
          <w:sz w:val="22"/>
        </w:rPr>
        <w:t>157 de 2020, estudió los convenios interadministrativos</w:t>
      </w:r>
      <w:r w:rsidRPr="009738BA">
        <w:rPr>
          <w:rFonts w:ascii="Arial" w:eastAsia="Calibri" w:hAnsi="Arial" w:cs="Arial"/>
          <w:color w:val="000000" w:themeColor="text1"/>
          <w:sz w:val="22"/>
        </w:rPr>
        <w:t xml:space="preserve">. La tesis desarrollada se expone a continuación. </w:t>
      </w:r>
    </w:p>
    <w:p w14:paraId="0BB820F0"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w:t>
      </w:r>
      <w:r w:rsidRPr="009738BA">
        <w:rPr>
          <w:rFonts w:ascii="Arial" w:eastAsia="Calibri" w:hAnsi="Arial" w:cs="Arial"/>
          <w:color w:val="000000" w:themeColor="text1"/>
          <w:sz w:val="22"/>
        </w:rPr>
        <w:lastRenderedPageBreak/>
        <w:t>de 1993― se aplica a las entidades estatales relacionadas en el artículo 2</w:t>
      </w:r>
      <w:r w:rsidRPr="009738BA">
        <w:rPr>
          <w:rStyle w:val="Refdenotaalpie"/>
          <w:rFonts w:ascii="Arial" w:eastAsia="Calibri" w:hAnsi="Arial" w:cs="Arial"/>
          <w:color w:val="000000" w:themeColor="text1"/>
          <w:sz w:val="22"/>
        </w:rPr>
        <w:footnoteReference w:id="1"/>
      </w:r>
      <w:r w:rsidRPr="009738BA">
        <w:rPr>
          <w:rFonts w:ascii="Arial" w:eastAsia="Calibri" w:hAnsi="Arial" w:cs="Arial"/>
          <w:color w:val="000000" w:themeColor="text1"/>
          <w:sz w:val="22"/>
        </w:rPr>
        <w:t xml:space="preserve"> y demás normas que lo complementan, con lo cual se puede determinar quiénes deben cumplir los principios y obligaciones señalados en las normas citadas. </w:t>
      </w:r>
    </w:p>
    <w:p w14:paraId="31D43D7A"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9738BA">
        <w:rPr>
          <w:rStyle w:val="Refdenotaalpie"/>
          <w:rFonts w:ascii="Arial" w:eastAsia="Calibri" w:hAnsi="Arial" w:cs="Arial"/>
          <w:color w:val="000000" w:themeColor="text1"/>
          <w:sz w:val="22"/>
        </w:rPr>
        <w:footnoteReference w:id="2"/>
      </w:r>
      <w:r w:rsidRPr="009738BA">
        <w:rPr>
          <w:rFonts w:ascii="Arial" w:eastAsia="Calibri" w:hAnsi="Arial" w:cs="Arial"/>
          <w:color w:val="000000" w:themeColor="text1"/>
          <w:sz w:val="22"/>
        </w:rPr>
        <w:t xml:space="preserve">. </w:t>
      </w:r>
    </w:p>
    <w:p w14:paraId="36474431"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9738BA">
        <w:rPr>
          <w:rFonts w:ascii="Arial" w:eastAsia="Calibri" w:hAnsi="Arial" w:cs="Arial"/>
          <w:color w:val="000000" w:themeColor="text1"/>
          <w:sz w:val="22"/>
        </w:rPr>
        <w:t>eficiente,</w:t>
      </w:r>
      <w:proofErr w:type="gramEnd"/>
      <w:r w:rsidRPr="009738BA">
        <w:rPr>
          <w:rFonts w:ascii="Arial" w:eastAsia="Calibri" w:hAnsi="Arial" w:cs="Arial"/>
          <w:color w:val="000000" w:themeColor="text1"/>
          <w:sz w:val="22"/>
        </w:rPr>
        <w:t xml:space="preserve"> es el de modular las modalidades de selección en razón a las características del objeto». </w:t>
      </w:r>
    </w:p>
    <w:p w14:paraId="670FE197" w14:textId="75CD3FED" w:rsidR="00850487" w:rsidRPr="009738BA" w:rsidRDefault="00850487" w:rsidP="00850487">
      <w:pPr>
        <w:spacing w:before="120" w:after="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Sobre e</w:t>
      </w:r>
      <w:r w:rsidR="00CA78DE" w:rsidRPr="009738BA">
        <w:rPr>
          <w:rFonts w:ascii="Arial" w:eastAsia="Calibri" w:hAnsi="Arial" w:cs="Arial"/>
          <w:color w:val="000000" w:themeColor="text1"/>
          <w:sz w:val="22"/>
        </w:rPr>
        <w:t>l</w:t>
      </w:r>
      <w:r w:rsidRPr="009738BA">
        <w:rPr>
          <w:rFonts w:ascii="Arial" w:eastAsia="Calibri" w:hAnsi="Arial" w:cs="Arial"/>
          <w:color w:val="000000" w:themeColor="text1"/>
          <w:sz w:val="22"/>
        </w:rPr>
        <w:t xml:space="preserve"> convenio interadministrativo, fue creado en la Ley 80 de 1993, y aunque no lo definió ni desarrolló, el Decreto 1082 de 2015, «Por medio del cual se expide el Decreto único reglamentario del sector administrativo de planeación nacional», califica a os convenios o contratos interadministrativos como contratación entre entidades estatales</w:t>
      </w:r>
      <w:r w:rsidRPr="009738BA">
        <w:rPr>
          <w:rStyle w:val="Refdenotaalpie"/>
          <w:rFonts w:ascii="Arial" w:eastAsia="Calibri" w:hAnsi="Arial" w:cs="Arial"/>
          <w:color w:val="000000" w:themeColor="text1"/>
          <w:sz w:val="22"/>
        </w:rPr>
        <w:footnoteReference w:id="3"/>
      </w:r>
      <w:r w:rsidRPr="009738BA">
        <w:rPr>
          <w:rFonts w:ascii="Arial" w:eastAsia="Calibri" w:hAnsi="Arial" w:cs="Arial"/>
          <w:color w:val="000000" w:themeColor="text1"/>
          <w:sz w:val="22"/>
        </w:rPr>
        <w:t>.</w:t>
      </w:r>
    </w:p>
    <w:p w14:paraId="674E5D3B" w14:textId="77777777" w:rsidR="00850487" w:rsidRPr="009738BA" w:rsidRDefault="00850487" w:rsidP="00850487">
      <w:pPr>
        <w:spacing w:before="120" w:after="120" w:line="276" w:lineRule="auto"/>
        <w:jc w:val="both"/>
        <w:rPr>
          <w:rFonts w:ascii="Arial" w:eastAsia="Calibri" w:hAnsi="Arial" w:cs="Arial"/>
          <w:color w:val="000000" w:themeColor="text1"/>
          <w:sz w:val="22"/>
        </w:rPr>
      </w:pPr>
      <w:r w:rsidRPr="009738BA">
        <w:rPr>
          <w:rFonts w:ascii="Arial" w:hAnsi="Arial" w:cs="Arial"/>
          <w:color w:val="000000" w:themeColor="text1"/>
          <w:sz w:val="22"/>
        </w:rPr>
        <w:tab/>
      </w:r>
      <w:r w:rsidRPr="009738BA">
        <w:rPr>
          <w:rFonts w:ascii="Arial" w:eastAsia="Calibri" w:hAnsi="Arial" w:cs="Arial"/>
          <w:color w:val="000000" w:themeColor="text1"/>
          <w:sz w:val="22"/>
        </w:rPr>
        <w:t xml:space="preserve">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w:t>
      </w:r>
      <w:r w:rsidRPr="009738BA">
        <w:rPr>
          <w:rFonts w:ascii="Arial" w:eastAsia="Calibri" w:hAnsi="Arial" w:cs="Arial"/>
          <w:color w:val="000000" w:themeColor="text1"/>
          <w:sz w:val="22"/>
        </w:rPr>
        <w:lastRenderedPageBreak/>
        <w:t>en la Ley 80 de 1993 están determinados por un criterio orgánico, pues es necesario que los extremos de la relación contractual sean entidades estatales.</w:t>
      </w:r>
    </w:p>
    <w:p w14:paraId="445B988B" w14:textId="77777777" w:rsidR="00850487" w:rsidRPr="009738BA" w:rsidRDefault="00850487" w:rsidP="00850487">
      <w:pPr>
        <w:spacing w:before="120" w:after="120" w:line="276" w:lineRule="auto"/>
        <w:ind w:firstLine="708"/>
        <w:jc w:val="both"/>
        <w:rPr>
          <w:rFonts w:ascii="Arial" w:hAnsi="Arial" w:cs="Arial"/>
          <w:color w:val="000000" w:themeColor="text1"/>
          <w:sz w:val="22"/>
        </w:rPr>
      </w:pPr>
      <w:r w:rsidRPr="009738BA">
        <w:rPr>
          <w:rFonts w:ascii="Arial" w:eastAsia="Calibri" w:hAnsi="Arial"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 entidad con régimen especial ̶  desarrolle su actividad en competencia con el sector privado o que la ejecución del contrato interadministrativo tenga relación directa con el desarrollo de su actividad</w:t>
      </w:r>
      <w:r w:rsidRPr="009738BA">
        <w:rPr>
          <w:rStyle w:val="Refdenotaalpie"/>
          <w:rFonts w:ascii="Arial" w:eastAsia="Calibri" w:hAnsi="Arial" w:cs="Arial"/>
          <w:color w:val="000000" w:themeColor="text1"/>
          <w:sz w:val="22"/>
        </w:rPr>
        <w:footnoteReference w:id="4"/>
      </w:r>
      <w:r w:rsidRPr="009738BA">
        <w:rPr>
          <w:rFonts w:ascii="Arial" w:eastAsia="Calibri" w:hAnsi="Arial" w:cs="Arial"/>
          <w:color w:val="000000" w:themeColor="text1"/>
          <w:sz w:val="22"/>
        </w:rPr>
        <w:t>.</w:t>
      </w:r>
    </w:p>
    <w:p w14:paraId="08F7ECDC"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9738BA">
        <w:rPr>
          <w:rStyle w:val="Refdenotaalpie"/>
          <w:rFonts w:ascii="Arial" w:eastAsia="Calibri" w:hAnsi="Arial" w:cs="Arial"/>
          <w:color w:val="000000" w:themeColor="text1"/>
          <w:sz w:val="22"/>
        </w:rPr>
        <w:footnoteReference w:id="5"/>
      </w:r>
      <w:r w:rsidRPr="009738BA">
        <w:rPr>
          <w:rFonts w:ascii="Arial" w:eastAsia="Calibri" w:hAnsi="Arial" w:cs="Arial"/>
          <w:color w:val="000000" w:themeColor="text1"/>
          <w:sz w:val="22"/>
        </w:rPr>
        <w:t>. Nótese que, en este caso, lo que cambia es la modalidad de selección y no la naturaleza de contrato interadministrativo.</w:t>
      </w:r>
    </w:p>
    <w:p w14:paraId="2A4657AA"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Además, es necesario tener en cuenta que para que un contrato o convenio interadministrativo exista debe cumplir con los siguientes elementos: acuerdo sobre el objeto y la contraprestación y que conste por escrito</w:t>
      </w:r>
      <w:r w:rsidRPr="009738BA">
        <w:rPr>
          <w:rStyle w:val="Refdenotaalpie"/>
          <w:rFonts w:ascii="Arial" w:eastAsia="Calibri" w:hAnsi="Arial" w:cs="Arial"/>
          <w:color w:val="000000" w:themeColor="text1"/>
          <w:sz w:val="22"/>
        </w:rPr>
        <w:footnoteReference w:id="6"/>
      </w:r>
      <w:r w:rsidRPr="009738BA">
        <w:rPr>
          <w:rFonts w:ascii="Arial" w:eastAsia="Calibri" w:hAnsi="Arial" w:cs="Arial"/>
          <w:color w:val="000000" w:themeColor="text1"/>
          <w:sz w:val="22"/>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679DE0E2"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w:t>
      </w:r>
      <w:r w:rsidRPr="009738BA">
        <w:rPr>
          <w:rFonts w:ascii="Arial" w:eastAsia="Calibri" w:hAnsi="Arial" w:cs="Arial"/>
          <w:color w:val="000000" w:themeColor="text1"/>
          <w:sz w:val="22"/>
        </w:rPr>
        <w:lastRenderedPageBreak/>
        <w:t xml:space="preserve">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2EC92CEC" w14:textId="77777777" w:rsidR="00850487" w:rsidRPr="009738BA" w:rsidRDefault="00850487" w:rsidP="00F33FDE">
      <w:pPr>
        <w:spacing w:before="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Así las cosas, y atendiendo a la literalidad de las normas enunciadas, no cabe una interpretación diferente</w:t>
      </w:r>
      <w:r w:rsidRPr="009738BA">
        <w:rPr>
          <w:rStyle w:val="Refdenotaalpie"/>
          <w:rFonts w:ascii="Arial" w:hAnsi="Arial" w:cs="Arial"/>
          <w:color w:val="000000" w:themeColor="text1"/>
          <w:sz w:val="22"/>
        </w:rPr>
        <w:footnoteReference w:id="7"/>
      </w:r>
      <w:r w:rsidRPr="009738BA">
        <w:rPr>
          <w:rFonts w:ascii="Arial" w:eastAsia="Calibri"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76CD2602" w14:textId="77777777" w:rsidR="00850487" w:rsidRPr="009738BA" w:rsidRDefault="00850487" w:rsidP="00F33FDE">
      <w:pPr>
        <w:ind w:firstLine="709"/>
        <w:jc w:val="both"/>
        <w:rPr>
          <w:rFonts w:ascii="Arial" w:eastAsia="Calibri" w:hAnsi="Arial" w:cs="Arial"/>
          <w:color w:val="000000" w:themeColor="text1"/>
          <w:sz w:val="22"/>
        </w:rPr>
      </w:pPr>
    </w:p>
    <w:p w14:paraId="3738177C" w14:textId="77777777" w:rsidR="00850487" w:rsidRPr="009738BA" w:rsidRDefault="00850487" w:rsidP="00F33FDE">
      <w:pPr>
        <w:ind w:left="709" w:right="709"/>
        <w:jc w:val="both"/>
        <w:rPr>
          <w:rFonts w:ascii="Arial" w:eastAsia="Calibri" w:hAnsi="Arial" w:cs="Arial"/>
          <w:color w:val="000000" w:themeColor="text1"/>
          <w:sz w:val="21"/>
          <w:szCs w:val="21"/>
        </w:rPr>
      </w:pPr>
      <w:r w:rsidRPr="009738BA">
        <w:rPr>
          <w:rFonts w:ascii="Arial" w:eastAsia="Calibri" w:hAnsi="Arial" w:cs="Arial"/>
          <w:color w:val="000000" w:themeColor="text1"/>
          <w:sz w:val="21"/>
          <w:szCs w:val="21"/>
        </w:rPr>
        <w:t>[…] se puede señalar que los convenios o contratos interadministrativos tienen como características principales las siguientes:</w:t>
      </w:r>
    </w:p>
    <w:p w14:paraId="7DE9B427" w14:textId="77777777" w:rsidR="00850487" w:rsidRPr="009738BA" w:rsidRDefault="00850487" w:rsidP="00F33FDE">
      <w:pPr>
        <w:ind w:left="709" w:right="709" w:firstLine="708"/>
        <w:jc w:val="both"/>
        <w:rPr>
          <w:rFonts w:ascii="Arial" w:eastAsia="Calibri" w:hAnsi="Arial" w:cs="Arial"/>
          <w:color w:val="000000" w:themeColor="text1"/>
          <w:sz w:val="21"/>
          <w:szCs w:val="21"/>
        </w:rPr>
      </w:pPr>
    </w:p>
    <w:p w14:paraId="09B140A5" w14:textId="77777777" w:rsidR="00850487" w:rsidRPr="009738BA" w:rsidRDefault="00850487" w:rsidP="00F33FDE">
      <w:pPr>
        <w:ind w:left="709" w:right="709"/>
        <w:jc w:val="both"/>
        <w:rPr>
          <w:rFonts w:ascii="Arial" w:eastAsia="Calibri" w:hAnsi="Arial" w:cs="Arial"/>
          <w:color w:val="000000" w:themeColor="text1"/>
          <w:sz w:val="21"/>
          <w:szCs w:val="21"/>
        </w:rPr>
      </w:pPr>
      <w:r w:rsidRPr="009738BA">
        <w:rPr>
          <w:rFonts w:ascii="Arial" w:eastAsia="Calibri" w:hAnsi="Arial" w:cs="Arial"/>
          <w:color w:val="000000" w:themeColor="text1"/>
          <w:sz w:val="21"/>
          <w:szCs w:val="21"/>
        </w:rPr>
        <w:t>(i) constituyen verdaderos contratos en los términos del Código de Comercio cuando su objeto lo constituyen obligaciones patrimoniales; (</w:t>
      </w:r>
      <w:proofErr w:type="spellStart"/>
      <w:r w:rsidRPr="009738BA">
        <w:rPr>
          <w:rFonts w:ascii="Arial" w:eastAsia="Calibri" w:hAnsi="Arial" w:cs="Arial"/>
          <w:color w:val="000000" w:themeColor="text1"/>
          <w:sz w:val="21"/>
          <w:szCs w:val="21"/>
        </w:rPr>
        <w:t>ii</w:t>
      </w:r>
      <w:proofErr w:type="spellEnd"/>
      <w:r w:rsidRPr="009738BA">
        <w:rPr>
          <w:rFonts w:ascii="Arial" w:eastAsia="Calibri" w:hAnsi="Arial" w:cs="Arial"/>
          <w:color w:val="000000" w:themeColor="text1"/>
          <w:sz w:val="21"/>
          <w:szCs w:val="21"/>
        </w:rPr>
        <w:t>) tienen como fuente la autonomía contractual; (</w:t>
      </w:r>
      <w:proofErr w:type="spellStart"/>
      <w:r w:rsidRPr="009738BA">
        <w:rPr>
          <w:rFonts w:ascii="Arial" w:eastAsia="Calibri" w:hAnsi="Arial" w:cs="Arial"/>
          <w:color w:val="000000" w:themeColor="text1"/>
          <w:sz w:val="21"/>
          <w:szCs w:val="21"/>
        </w:rPr>
        <w:t>iii</w:t>
      </w:r>
      <w:proofErr w:type="spellEnd"/>
      <w:r w:rsidRPr="009738BA">
        <w:rPr>
          <w:rFonts w:ascii="Arial" w:eastAsia="Calibri" w:hAnsi="Arial" w:cs="Arial"/>
          <w:color w:val="000000" w:themeColor="text1"/>
          <w:sz w:val="21"/>
          <w:szCs w:val="21"/>
        </w:rPr>
        <w:t>) son contratos nominados puesto que están mencionados en la ley; (</w:t>
      </w:r>
      <w:proofErr w:type="spellStart"/>
      <w:r w:rsidRPr="009738BA">
        <w:rPr>
          <w:rFonts w:ascii="Arial" w:eastAsia="Calibri" w:hAnsi="Arial" w:cs="Arial"/>
          <w:color w:val="000000" w:themeColor="text1"/>
          <w:sz w:val="21"/>
          <w:szCs w:val="21"/>
        </w:rPr>
        <w:t>iv</w:t>
      </w:r>
      <w:proofErr w:type="spellEnd"/>
      <w:r w:rsidRPr="009738BA">
        <w:rPr>
          <w:rFonts w:ascii="Arial" w:eastAsia="Calibri" w:hAnsi="Arial" w:cs="Arial"/>
          <w:color w:val="000000" w:themeColor="text1"/>
          <w:sz w:val="21"/>
          <w:szCs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9738BA">
        <w:rPr>
          <w:rFonts w:ascii="Arial" w:eastAsia="Calibri" w:hAnsi="Arial" w:cs="Arial"/>
          <w:color w:val="000000" w:themeColor="text1"/>
          <w:sz w:val="21"/>
          <w:szCs w:val="21"/>
        </w:rPr>
        <w:t>vii</w:t>
      </w:r>
      <w:proofErr w:type="spellEnd"/>
      <w:r w:rsidRPr="009738BA">
        <w:rPr>
          <w:rFonts w:ascii="Arial" w:eastAsia="Calibri" w:hAnsi="Arial" w:cs="Arial"/>
          <w:color w:val="000000" w:themeColor="text1"/>
          <w:sz w:val="21"/>
          <w:szCs w:val="21"/>
        </w:rPr>
        <w:t>) persiguen una finalidad común a través de la realización de intereses compartidos entre las entidades vinculadas; (</w:t>
      </w:r>
      <w:proofErr w:type="spellStart"/>
      <w:r w:rsidRPr="009738BA">
        <w:rPr>
          <w:rFonts w:ascii="Arial" w:eastAsia="Calibri" w:hAnsi="Arial" w:cs="Arial"/>
          <w:color w:val="000000" w:themeColor="text1"/>
          <w:sz w:val="21"/>
          <w:szCs w:val="21"/>
        </w:rPr>
        <w:t>viii</w:t>
      </w:r>
      <w:proofErr w:type="spellEnd"/>
      <w:r w:rsidRPr="009738BA">
        <w:rPr>
          <w:rFonts w:ascii="Arial" w:eastAsia="Calibri" w:hAnsi="Arial" w:cs="Arial"/>
          <w:color w:val="000000" w:themeColor="text1"/>
          <w:sz w:val="21"/>
          <w:szCs w:val="21"/>
        </w:rPr>
        <w:t>) la acción mediante la cual se deben ventilar las diferencias que sobre el particular surjan es la de controversias contractuales</w:t>
      </w:r>
      <w:r w:rsidRPr="009738BA">
        <w:rPr>
          <w:rStyle w:val="Refdenotaalpie"/>
          <w:rFonts w:ascii="Arial" w:eastAsia="Calibri" w:hAnsi="Arial" w:cs="Arial"/>
          <w:color w:val="000000" w:themeColor="text1"/>
          <w:sz w:val="21"/>
          <w:szCs w:val="21"/>
        </w:rPr>
        <w:footnoteReference w:id="8"/>
      </w:r>
      <w:r w:rsidRPr="009738BA">
        <w:rPr>
          <w:rFonts w:ascii="Arial" w:eastAsia="Calibri" w:hAnsi="Arial" w:cs="Arial"/>
          <w:color w:val="000000" w:themeColor="text1"/>
          <w:sz w:val="21"/>
          <w:szCs w:val="21"/>
        </w:rPr>
        <w:t>.</w:t>
      </w:r>
    </w:p>
    <w:p w14:paraId="7009B2CF" w14:textId="77777777" w:rsidR="00850487" w:rsidRPr="009738BA" w:rsidRDefault="00850487" w:rsidP="00F33FDE">
      <w:pPr>
        <w:ind w:right="709"/>
        <w:jc w:val="both"/>
        <w:rPr>
          <w:rFonts w:ascii="Arial" w:eastAsia="Calibri" w:hAnsi="Arial" w:cs="Arial"/>
          <w:color w:val="000000" w:themeColor="text1"/>
          <w:sz w:val="22"/>
        </w:rPr>
      </w:pPr>
    </w:p>
    <w:p w14:paraId="3F1DAA3B" w14:textId="77777777" w:rsidR="00850487" w:rsidRPr="009738BA" w:rsidRDefault="00850487" w:rsidP="00850487">
      <w:pPr>
        <w:spacing w:after="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para la celebración de los contratos interadministrativos. </w:t>
      </w:r>
    </w:p>
    <w:p w14:paraId="70187D29"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contratación directa es una modalidad de aplicación restrictiva, esto es, solo procede por las causales señaladas taxativamente en el numeral 4 del artículo 2 de la Ley </w:t>
      </w:r>
      <w:r w:rsidRPr="009738BA">
        <w:rPr>
          <w:rFonts w:ascii="Arial" w:eastAsia="Calibri" w:hAnsi="Arial" w:cs="Arial"/>
          <w:color w:val="000000" w:themeColor="text1"/>
          <w:sz w:val="22"/>
        </w:rPr>
        <w:lastRenderedPageBreak/>
        <w:t xml:space="preserve">1150 de 2007, ya que es una excepción al principio de </w:t>
      </w:r>
      <w:proofErr w:type="gramStart"/>
      <w:r w:rsidRPr="009738BA">
        <w:rPr>
          <w:rFonts w:ascii="Arial" w:eastAsia="Calibri" w:hAnsi="Arial" w:cs="Arial"/>
          <w:color w:val="000000" w:themeColor="text1"/>
          <w:sz w:val="22"/>
        </w:rPr>
        <w:t>libre concurrencia y libre competencia</w:t>
      </w:r>
      <w:proofErr w:type="gramEnd"/>
      <w:r w:rsidRPr="009738BA">
        <w:rPr>
          <w:rFonts w:ascii="Arial" w:eastAsia="Calibri" w:hAnsi="Arial" w:cs="Arial"/>
          <w:color w:val="000000" w:themeColor="text1"/>
          <w:sz w:val="22"/>
        </w:rPr>
        <w:t xml:space="preserve">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76868507"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21AA568E" w14:textId="77777777" w:rsidR="00850487" w:rsidRPr="009738BA" w:rsidRDefault="00850487" w:rsidP="00623B2F">
      <w:pPr>
        <w:spacing w:before="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1EC7468D" w14:textId="77777777" w:rsidR="00850487" w:rsidRPr="009738BA" w:rsidRDefault="00850487" w:rsidP="00623B2F">
      <w:pPr>
        <w:pStyle w:val="Textoindependiente"/>
        <w:rPr>
          <w:color w:val="000000" w:themeColor="text1"/>
          <w:sz w:val="22"/>
          <w:szCs w:val="22"/>
        </w:rPr>
      </w:pPr>
    </w:p>
    <w:p w14:paraId="5DEA5534" w14:textId="77777777" w:rsidR="00850487" w:rsidRPr="009738BA" w:rsidRDefault="00850487" w:rsidP="00623B2F">
      <w:pPr>
        <w:pStyle w:val="Textoindependiente"/>
        <w:ind w:left="709" w:right="709"/>
        <w:jc w:val="both"/>
        <w:rPr>
          <w:color w:val="000000" w:themeColor="text1"/>
          <w:sz w:val="21"/>
          <w:szCs w:val="21"/>
        </w:rPr>
      </w:pPr>
      <w:r w:rsidRPr="009738BA">
        <w:rPr>
          <w:color w:val="000000" w:themeColor="text1"/>
          <w:sz w:val="21"/>
          <w:szCs w:val="21"/>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w:t>
      </w:r>
      <w:proofErr w:type="gramStart"/>
      <w:r w:rsidRPr="009738BA">
        <w:rPr>
          <w:color w:val="000000" w:themeColor="text1"/>
          <w:sz w:val="21"/>
          <w:szCs w:val="21"/>
        </w:rPr>
        <w:t>que</w:t>
      </w:r>
      <w:proofErr w:type="gramEnd"/>
      <w:r w:rsidRPr="009738BA">
        <w:rPr>
          <w:color w:val="000000" w:themeColor="text1"/>
          <w:sz w:val="21"/>
          <w:szCs w:val="21"/>
        </w:rPr>
        <w:t xml:space="preserv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w:t>
      </w:r>
      <w:r w:rsidRPr="009738BA">
        <w:rPr>
          <w:color w:val="000000" w:themeColor="text1"/>
          <w:spacing w:val="-4"/>
          <w:sz w:val="21"/>
          <w:szCs w:val="21"/>
        </w:rPr>
        <w:t xml:space="preserve"> </w:t>
      </w:r>
      <w:r w:rsidRPr="009738BA">
        <w:rPr>
          <w:color w:val="000000" w:themeColor="text1"/>
          <w:sz w:val="21"/>
          <w:szCs w:val="21"/>
        </w:rPr>
        <w:t>[...]</w:t>
      </w:r>
      <w:r w:rsidRPr="009738BA">
        <w:rPr>
          <w:rStyle w:val="Refdenotaalpie"/>
          <w:color w:val="000000" w:themeColor="text1"/>
          <w:sz w:val="21"/>
          <w:szCs w:val="21"/>
        </w:rPr>
        <w:footnoteReference w:id="9"/>
      </w:r>
      <w:r w:rsidRPr="009738BA">
        <w:rPr>
          <w:color w:val="000000" w:themeColor="text1"/>
          <w:sz w:val="21"/>
          <w:szCs w:val="21"/>
        </w:rPr>
        <w:t>.</w:t>
      </w:r>
    </w:p>
    <w:p w14:paraId="01D39EC3" w14:textId="77777777" w:rsidR="00850487" w:rsidRPr="009738BA" w:rsidRDefault="00850487" w:rsidP="00623B2F">
      <w:pPr>
        <w:ind w:firstLine="708"/>
        <w:jc w:val="both"/>
        <w:rPr>
          <w:rFonts w:ascii="Arial" w:eastAsia="Calibri" w:hAnsi="Arial" w:cs="Arial"/>
          <w:color w:val="000000" w:themeColor="text1"/>
          <w:sz w:val="22"/>
          <w:lang w:val="es-ES"/>
        </w:rPr>
      </w:pPr>
    </w:p>
    <w:p w14:paraId="2E7E3D69" w14:textId="77777777" w:rsidR="00850487" w:rsidRPr="009738BA" w:rsidRDefault="00850487" w:rsidP="00F0677F">
      <w:pPr>
        <w:spacing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Existe una diferencia fundamental con otras modalidades de selección, y es que en la contratación directa no se otorga puntaje a las ofertas para ponderarlas y elegir el ofrecimiento más favorable, ya que la entidad recibe solo una. Lo anterior lo complementa el Consejo de Estado, al definir qué significa contratación directa: </w:t>
      </w:r>
    </w:p>
    <w:p w14:paraId="3C06C32F" w14:textId="77777777" w:rsidR="00850487" w:rsidRPr="009738BA" w:rsidRDefault="00850487" w:rsidP="00F0677F">
      <w:pPr>
        <w:jc w:val="both"/>
        <w:rPr>
          <w:rFonts w:ascii="Arial" w:hAnsi="Arial" w:cs="Arial"/>
          <w:color w:val="000000" w:themeColor="text1"/>
          <w:sz w:val="22"/>
        </w:rPr>
      </w:pPr>
    </w:p>
    <w:p w14:paraId="6A7AAAFA" w14:textId="77777777" w:rsidR="00850487" w:rsidRPr="009738BA" w:rsidRDefault="00850487" w:rsidP="00F0677F">
      <w:pPr>
        <w:ind w:left="708" w:right="709"/>
        <w:jc w:val="both"/>
        <w:rPr>
          <w:rFonts w:ascii="Arial" w:hAnsi="Arial" w:cs="Arial"/>
          <w:color w:val="000000" w:themeColor="text1"/>
          <w:sz w:val="21"/>
          <w:szCs w:val="21"/>
        </w:rPr>
      </w:pPr>
      <w:r w:rsidRPr="009738BA">
        <w:rPr>
          <w:rFonts w:ascii="Arial" w:hAnsi="Arial" w:cs="Arial"/>
          <w:color w:val="000000" w:themeColor="text1"/>
          <w:sz w:val="21"/>
          <w:szCs w:val="21"/>
        </w:rPr>
        <w:lastRenderedPageBreak/>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9738BA">
        <w:rPr>
          <w:rFonts w:ascii="Arial" w:hAnsi="Arial" w:cs="Arial"/>
          <w:color w:val="000000" w:themeColor="text1"/>
          <w:sz w:val="21"/>
          <w:szCs w:val="21"/>
        </w:rPr>
        <w:t>en razón del</w:t>
      </w:r>
      <w:proofErr w:type="gramEnd"/>
      <w:r w:rsidRPr="009738BA">
        <w:rPr>
          <w:rFonts w:ascii="Arial" w:hAnsi="Arial" w:cs="Arial"/>
          <w:color w:val="000000" w:themeColor="text1"/>
          <w:sz w:val="21"/>
          <w:szCs w:val="21"/>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9738BA">
        <w:rPr>
          <w:rStyle w:val="Refdenotaalpie"/>
          <w:rFonts w:ascii="Arial" w:hAnsi="Arial" w:cs="Arial"/>
          <w:color w:val="000000" w:themeColor="text1"/>
          <w:sz w:val="21"/>
          <w:szCs w:val="21"/>
        </w:rPr>
        <w:footnoteReference w:id="10"/>
      </w:r>
      <w:r w:rsidRPr="009738BA">
        <w:rPr>
          <w:rFonts w:ascii="Arial" w:hAnsi="Arial" w:cs="Arial"/>
          <w:color w:val="000000" w:themeColor="text1"/>
          <w:sz w:val="21"/>
          <w:szCs w:val="21"/>
        </w:rPr>
        <w:t>.</w:t>
      </w:r>
    </w:p>
    <w:p w14:paraId="7EFE2EE7" w14:textId="77777777" w:rsidR="00850487" w:rsidRPr="009738BA" w:rsidRDefault="00850487" w:rsidP="00F0677F">
      <w:pPr>
        <w:jc w:val="both"/>
        <w:rPr>
          <w:rFonts w:ascii="Arial" w:hAnsi="Arial" w:cs="Arial"/>
          <w:color w:val="000000" w:themeColor="text1"/>
          <w:sz w:val="22"/>
        </w:rPr>
      </w:pPr>
    </w:p>
    <w:p w14:paraId="785A5E4F" w14:textId="1E254560" w:rsidR="00850487" w:rsidRPr="009738BA" w:rsidRDefault="00850487" w:rsidP="00F0677F">
      <w:pPr>
        <w:spacing w:after="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Por su parte, el artículo 2, numeral 4, literal c) de la Ley 1150 de 2007, señala que, de manera excepcional, las entidades estatales pueden contratar directamente, entre otr</w:t>
      </w:r>
      <w:r w:rsidR="005722A1" w:rsidRPr="009738BA">
        <w:rPr>
          <w:rFonts w:ascii="Arial" w:eastAsia="Calibri" w:hAnsi="Arial" w:cs="Arial"/>
          <w:color w:val="000000" w:themeColor="text1"/>
          <w:sz w:val="22"/>
        </w:rPr>
        <w:t>o</w:t>
      </w:r>
      <w:r w:rsidRPr="009738BA">
        <w:rPr>
          <w:rFonts w:ascii="Arial" w:eastAsia="Calibri" w:hAnsi="Arial" w:cs="Arial"/>
          <w:color w:val="000000" w:themeColor="text1"/>
          <w:sz w:val="22"/>
        </w:rPr>
        <w:t>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9738BA">
        <w:rPr>
          <w:rStyle w:val="Refdenotaalpie"/>
          <w:rFonts w:ascii="Arial" w:eastAsia="Calibri" w:hAnsi="Arial" w:cs="Arial"/>
          <w:color w:val="000000" w:themeColor="text1"/>
          <w:sz w:val="22"/>
        </w:rPr>
        <w:footnoteReference w:id="11"/>
      </w:r>
      <w:r w:rsidRPr="009738BA">
        <w:rPr>
          <w:rFonts w:ascii="Arial" w:eastAsia="Calibri" w:hAnsi="Arial" w:cs="Arial"/>
          <w:color w:val="000000" w:themeColor="text1"/>
          <w:sz w:val="22"/>
        </w:rPr>
        <w:t>.</w:t>
      </w:r>
    </w:p>
    <w:p w14:paraId="3DE0E96C"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w:t>
      </w:r>
      <w:r w:rsidRPr="009738BA">
        <w:rPr>
          <w:rFonts w:ascii="Arial" w:eastAsia="Calibri" w:hAnsi="Arial" w:cs="Arial"/>
          <w:color w:val="000000" w:themeColor="text1"/>
          <w:sz w:val="22"/>
        </w:rPr>
        <w:lastRenderedPageBreak/>
        <w:t>la contemplada en el último párrafo del literal c, numeral 4, artículo 2 ibidem: «Estarán exceptuados de la figura del contrato interadministrativo, los contratos de seguro de las entidades estatales».</w:t>
      </w:r>
    </w:p>
    <w:p w14:paraId="78679D49" w14:textId="77777777" w:rsidR="00850487" w:rsidRPr="009738BA" w:rsidRDefault="00850487" w:rsidP="00850487">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1AC1B0E6" w14:textId="3A09FD8B" w:rsidR="00850487" w:rsidRPr="009738BA" w:rsidRDefault="00850487" w:rsidP="00864953">
      <w:pPr>
        <w:spacing w:before="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Finalmente, el artículo 7 de la Ley 1150 de 2007 establece que en los contratos interadministrativos las garantías no serán obligatorias</w:t>
      </w:r>
      <w:r w:rsidRPr="009738BA">
        <w:rPr>
          <w:rStyle w:val="Refdenotaalpie"/>
          <w:rFonts w:ascii="Arial" w:eastAsia="Calibri" w:hAnsi="Arial" w:cs="Arial"/>
          <w:color w:val="000000" w:themeColor="text1"/>
          <w:sz w:val="22"/>
        </w:rPr>
        <w:footnoteReference w:id="12"/>
      </w:r>
      <w:r w:rsidRPr="009738BA">
        <w:rPr>
          <w:rFonts w:ascii="Arial" w:eastAsia="Calibri" w:hAnsi="Arial" w:cs="Arial"/>
          <w:color w:val="000000" w:themeColor="text1"/>
          <w:sz w:val="22"/>
        </w:rPr>
        <w:t>. En el mismo sentido, el Decreto 1082 de 2015 prevé que en los convenios interadministrativos la exigencia de garantías no es obligatoria, y la justificación para exigirlas o no debe estar en los estudios previos</w:t>
      </w:r>
      <w:r w:rsidRPr="009738BA">
        <w:rPr>
          <w:rStyle w:val="Refdenotaalpie"/>
          <w:rFonts w:ascii="Arial" w:eastAsia="Calibri" w:hAnsi="Arial" w:cs="Arial"/>
          <w:color w:val="000000" w:themeColor="text1"/>
          <w:sz w:val="22"/>
        </w:rPr>
        <w:footnoteReference w:id="13"/>
      </w:r>
      <w:r w:rsidRPr="009738BA">
        <w:rPr>
          <w:rFonts w:ascii="Arial" w:eastAsia="Calibri" w:hAnsi="Arial" w:cs="Arial"/>
          <w:color w:val="000000" w:themeColor="text1"/>
          <w:sz w:val="22"/>
        </w:rPr>
        <w:t>.</w:t>
      </w:r>
    </w:p>
    <w:p w14:paraId="1BE5EAC0" w14:textId="2E4826E4" w:rsidR="005A79FE" w:rsidRPr="009738BA" w:rsidRDefault="005A79FE" w:rsidP="00864953">
      <w:pPr>
        <w:spacing w:line="276" w:lineRule="auto"/>
        <w:jc w:val="both"/>
        <w:rPr>
          <w:rFonts w:ascii="Arial" w:eastAsia="Calibri" w:hAnsi="Arial" w:cs="Arial"/>
          <w:color w:val="000000" w:themeColor="text1"/>
          <w:sz w:val="22"/>
        </w:rPr>
      </w:pPr>
    </w:p>
    <w:p w14:paraId="2699FA09" w14:textId="5C8506B0" w:rsidR="00183582" w:rsidRPr="009738BA" w:rsidRDefault="00864953" w:rsidP="00864953">
      <w:pPr>
        <w:spacing w:line="276" w:lineRule="auto"/>
        <w:jc w:val="both"/>
        <w:rPr>
          <w:rFonts w:ascii="Arial" w:hAnsi="Arial" w:cs="Arial"/>
          <w:b/>
          <w:color w:val="000000" w:themeColor="text1"/>
          <w:sz w:val="22"/>
        </w:rPr>
      </w:pPr>
      <w:r w:rsidRPr="009738BA">
        <w:rPr>
          <w:rFonts w:ascii="Arial" w:hAnsi="Arial" w:cs="Arial"/>
          <w:b/>
          <w:color w:val="000000" w:themeColor="text1"/>
          <w:sz w:val="22"/>
        </w:rPr>
        <w:t xml:space="preserve">2.2. </w:t>
      </w:r>
      <w:r w:rsidR="00F634E7" w:rsidRPr="009738BA">
        <w:rPr>
          <w:rFonts w:ascii="Arial" w:hAnsi="Arial" w:cs="Arial"/>
          <w:b/>
          <w:color w:val="000000" w:themeColor="text1"/>
          <w:sz w:val="22"/>
        </w:rPr>
        <w:t xml:space="preserve">Procedimiento de Selección de Contratista para </w:t>
      </w:r>
      <w:r w:rsidR="00183582" w:rsidRPr="009738BA">
        <w:rPr>
          <w:rFonts w:ascii="Arial" w:hAnsi="Arial" w:cs="Arial"/>
          <w:b/>
          <w:color w:val="000000" w:themeColor="text1"/>
          <w:sz w:val="22"/>
        </w:rPr>
        <w:t xml:space="preserve">Elección de Personeros Municipales </w:t>
      </w:r>
    </w:p>
    <w:p w14:paraId="094942A1" w14:textId="3454717B" w:rsidR="00183582" w:rsidRPr="009738BA" w:rsidRDefault="00183582" w:rsidP="00864953">
      <w:pPr>
        <w:spacing w:line="276" w:lineRule="auto"/>
        <w:jc w:val="both"/>
        <w:rPr>
          <w:rFonts w:ascii="Arial" w:hAnsi="Arial" w:cs="Arial"/>
          <w:b/>
          <w:color w:val="000000" w:themeColor="text1"/>
          <w:sz w:val="22"/>
        </w:rPr>
      </w:pPr>
    </w:p>
    <w:p w14:paraId="26924437" w14:textId="7074823E" w:rsidR="00183582" w:rsidRPr="009738BA" w:rsidRDefault="00183582" w:rsidP="00864953">
      <w:pPr>
        <w:spacing w:line="276" w:lineRule="auto"/>
        <w:jc w:val="both"/>
        <w:rPr>
          <w:rFonts w:ascii="Arial" w:hAnsi="Arial" w:cs="Arial"/>
          <w:b/>
          <w:color w:val="000000" w:themeColor="text1"/>
          <w:sz w:val="22"/>
        </w:rPr>
      </w:pPr>
      <w:r w:rsidRPr="009738BA">
        <w:rPr>
          <w:rFonts w:ascii="Arial" w:eastAsia="Calibri" w:hAnsi="Arial" w:cs="Arial"/>
          <w:color w:val="000000" w:themeColor="text1"/>
          <w:sz w:val="22"/>
        </w:rPr>
        <w:t xml:space="preserve">La Agencia Nacional de Contratación Pública </w:t>
      </w:r>
      <w:r w:rsidR="00274FA6" w:rsidRPr="009738BA">
        <w:rPr>
          <w:rFonts w:ascii="Arial" w:eastAsia="Calibri" w:hAnsi="Arial" w:cs="Arial"/>
          <w:color w:val="000000" w:themeColor="text1"/>
          <w:sz w:val="22"/>
        </w:rPr>
        <w:t>─</w:t>
      </w:r>
      <w:r w:rsidRPr="009738BA">
        <w:rPr>
          <w:rFonts w:ascii="Arial" w:eastAsia="Calibri" w:hAnsi="Arial" w:cs="Arial"/>
          <w:color w:val="000000" w:themeColor="text1"/>
          <w:sz w:val="22"/>
        </w:rPr>
        <w:t xml:space="preserve"> Colombia Compra Eficiente, en el Concepto C ─ </w:t>
      </w:r>
      <w:r w:rsidR="005347A0" w:rsidRPr="009738BA">
        <w:rPr>
          <w:rFonts w:ascii="Arial" w:eastAsia="Calibri" w:hAnsi="Arial" w:cs="Arial"/>
          <w:color w:val="000000" w:themeColor="text1"/>
          <w:sz w:val="22"/>
        </w:rPr>
        <w:t>045</w:t>
      </w:r>
      <w:r w:rsidRPr="009738BA">
        <w:rPr>
          <w:rFonts w:ascii="Arial" w:eastAsia="Calibri" w:hAnsi="Arial" w:cs="Arial"/>
          <w:color w:val="000000" w:themeColor="text1"/>
          <w:sz w:val="22"/>
        </w:rPr>
        <w:t xml:space="preserve"> de 2020, estudió </w:t>
      </w:r>
      <w:r w:rsidR="0027785F" w:rsidRPr="009738BA">
        <w:rPr>
          <w:rFonts w:ascii="Arial" w:eastAsia="Calibri" w:hAnsi="Arial" w:cs="Arial"/>
          <w:color w:val="000000" w:themeColor="text1"/>
          <w:sz w:val="22"/>
        </w:rPr>
        <w:t xml:space="preserve">el procedimiento </w:t>
      </w:r>
      <w:r w:rsidR="009E3D33" w:rsidRPr="009738BA">
        <w:rPr>
          <w:rFonts w:ascii="Arial" w:eastAsia="Calibri" w:hAnsi="Arial" w:cs="Arial"/>
          <w:color w:val="000000" w:themeColor="text1"/>
          <w:sz w:val="22"/>
        </w:rPr>
        <w:t>para la escogencia</w:t>
      </w:r>
      <w:r w:rsidR="0027785F" w:rsidRPr="009738BA">
        <w:rPr>
          <w:rFonts w:ascii="Arial" w:eastAsia="Calibri" w:hAnsi="Arial" w:cs="Arial"/>
          <w:color w:val="000000" w:themeColor="text1"/>
          <w:sz w:val="22"/>
        </w:rPr>
        <w:t xml:space="preserve"> </w:t>
      </w:r>
      <w:r w:rsidR="00B853FC" w:rsidRPr="009738BA">
        <w:rPr>
          <w:rFonts w:ascii="Arial" w:eastAsia="Calibri" w:hAnsi="Arial" w:cs="Arial"/>
          <w:color w:val="000000" w:themeColor="text1"/>
          <w:sz w:val="22"/>
        </w:rPr>
        <w:t xml:space="preserve">de universidades o instituciones de educación superior públicas o privadas o con entidades especializadas en procesos de </w:t>
      </w:r>
      <w:r w:rsidR="009E3D33" w:rsidRPr="009738BA">
        <w:rPr>
          <w:rFonts w:ascii="Arial" w:eastAsia="Calibri" w:hAnsi="Arial" w:cs="Arial"/>
          <w:color w:val="000000" w:themeColor="text1"/>
          <w:sz w:val="22"/>
        </w:rPr>
        <w:t>selección,</w:t>
      </w:r>
      <w:r w:rsidR="00D36720" w:rsidRPr="009738BA">
        <w:rPr>
          <w:rFonts w:ascii="Arial" w:eastAsia="Calibri" w:hAnsi="Arial" w:cs="Arial"/>
          <w:color w:val="000000" w:themeColor="text1"/>
          <w:sz w:val="22"/>
        </w:rPr>
        <w:t xml:space="preserve"> para la elección de Personeros Munici</w:t>
      </w:r>
      <w:r w:rsidR="00E75E44" w:rsidRPr="009738BA">
        <w:rPr>
          <w:rFonts w:ascii="Arial" w:eastAsia="Calibri" w:hAnsi="Arial" w:cs="Arial"/>
          <w:color w:val="000000" w:themeColor="text1"/>
          <w:sz w:val="22"/>
        </w:rPr>
        <w:t>pales.</w:t>
      </w:r>
      <w:r w:rsidRPr="009738BA">
        <w:rPr>
          <w:rFonts w:ascii="Arial" w:eastAsia="Calibri" w:hAnsi="Arial" w:cs="Arial"/>
          <w:color w:val="000000" w:themeColor="text1"/>
          <w:sz w:val="22"/>
        </w:rPr>
        <w:t xml:space="preserve"> La tesis desarrollada se expone</w:t>
      </w:r>
      <w:r w:rsidR="00E75E44" w:rsidRPr="009738BA">
        <w:rPr>
          <w:rFonts w:ascii="Arial" w:eastAsia="Calibri" w:hAnsi="Arial" w:cs="Arial"/>
          <w:color w:val="000000" w:themeColor="text1"/>
          <w:sz w:val="22"/>
        </w:rPr>
        <w:t xml:space="preserve"> y reitera</w:t>
      </w:r>
      <w:r w:rsidRPr="009738BA">
        <w:rPr>
          <w:rFonts w:ascii="Arial" w:eastAsia="Calibri" w:hAnsi="Arial" w:cs="Arial"/>
          <w:color w:val="000000" w:themeColor="text1"/>
          <w:sz w:val="22"/>
        </w:rPr>
        <w:t xml:space="preserve"> a continuación.</w:t>
      </w:r>
    </w:p>
    <w:p w14:paraId="3093E211" w14:textId="77777777" w:rsidR="00183582" w:rsidRPr="009738BA" w:rsidRDefault="00183582" w:rsidP="00864953">
      <w:pPr>
        <w:spacing w:line="276" w:lineRule="auto"/>
        <w:jc w:val="both"/>
        <w:rPr>
          <w:rFonts w:ascii="Arial" w:hAnsi="Arial" w:cs="Arial"/>
          <w:b/>
          <w:color w:val="000000" w:themeColor="text1"/>
          <w:sz w:val="22"/>
        </w:rPr>
      </w:pPr>
    </w:p>
    <w:p w14:paraId="6A1980B4" w14:textId="68FDD69A" w:rsidR="00864953" w:rsidRPr="009738BA" w:rsidRDefault="00183582" w:rsidP="00864953">
      <w:pPr>
        <w:spacing w:line="276" w:lineRule="auto"/>
        <w:jc w:val="both"/>
        <w:rPr>
          <w:rFonts w:ascii="Arial" w:hAnsi="Arial" w:cs="Arial"/>
          <w:b/>
          <w:color w:val="000000" w:themeColor="text1"/>
          <w:sz w:val="22"/>
        </w:rPr>
      </w:pPr>
      <w:r w:rsidRPr="009738BA">
        <w:rPr>
          <w:rFonts w:ascii="Arial" w:hAnsi="Arial" w:cs="Arial"/>
          <w:b/>
          <w:color w:val="000000" w:themeColor="text1"/>
          <w:sz w:val="22"/>
        </w:rPr>
        <w:t xml:space="preserve">2.2.1. </w:t>
      </w:r>
      <w:r w:rsidR="00864953" w:rsidRPr="009738BA">
        <w:rPr>
          <w:rFonts w:ascii="Arial" w:hAnsi="Arial" w:cs="Arial"/>
          <w:b/>
          <w:color w:val="000000" w:themeColor="text1"/>
          <w:sz w:val="22"/>
        </w:rPr>
        <w:t xml:space="preserve">La noción de «concurso de méritos» y sus acepciones: Diferencia entre la </w:t>
      </w:r>
      <w:proofErr w:type="gramStart"/>
      <w:r w:rsidR="00864953" w:rsidRPr="009738BA">
        <w:rPr>
          <w:rFonts w:ascii="Arial" w:hAnsi="Arial" w:cs="Arial"/>
          <w:b/>
          <w:color w:val="000000" w:themeColor="text1"/>
          <w:sz w:val="22"/>
        </w:rPr>
        <w:t>contratación pública y el empleo público</w:t>
      </w:r>
      <w:proofErr w:type="gramEnd"/>
    </w:p>
    <w:p w14:paraId="6F6B7C4A" w14:textId="5C8C9798" w:rsidR="00864953" w:rsidRPr="009738BA" w:rsidRDefault="00864953" w:rsidP="00864953">
      <w:pPr>
        <w:spacing w:line="276" w:lineRule="auto"/>
        <w:jc w:val="both"/>
        <w:rPr>
          <w:rFonts w:ascii="Arial" w:hAnsi="Arial" w:cs="Arial"/>
          <w:b/>
          <w:color w:val="000000" w:themeColor="text1"/>
          <w:sz w:val="22"/>
        </w:rPr>
      </w:pPr>
    </w:p>
    <w:p w14:paraId="098C093D" w14:textId="77777777" w:rsidR="00864953" w:rsidRPr="009738BA" w:rsidRDefault="00864953" w:rsidP="00864953">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El «concurso de méritos» es un término utilizado en diferentes contextos jurídicos para referirse a un procedimiento que, de acuerdo con la norma que lo regule, tendrá etapas y actividades que se pueden diferenciar según su finalidad. Teniendo en cuenta lo anterior, para resolver su consulta es necesario analizar: i) el concurso de méritos como modalidad de selección de las entidades, </w:t>
      </w:r>
      <w:proofErr w:type="spellStart"/>
      <w:r w:rsidRPr="009738BA">
        <w:rPr>
          <w:rFonts w:ascii="Arial" w:eastAsia="Calibri" w:hAnsi="Arial" w:cs="Arial"/>
          <w:color w:val="000000" w:themeColor="text1"/>
          <w:sz w:val="22"/>
        </w:rPr>
        <w:t>ii</w:t>
      </w:r>
      <w:proofErr w:type="spellEnd"/>
      <w:r w:rsidRPr="009738BA">
        <w:rPr>
          <w:rFonts w:ascii="Arial" w:eastAsia="Calibri" w:hAnsi="Arial" w:cs="Arial"/>
          <w:color w:val="000000" w:themeColor="text1"/>
          <w:sz w:val="22"/>
        </w:rPr>
        <w:t xml:space="preserve">) el concurso de méritos para elegir un personero, </w:t>
      </w:r>
      <w:proofErr w:type="spellStart"/>
      <w:r w:rsidRPr="009738BA">
        <w:rPr>
          <w:rFonts w:ascii="Arial" w:eastAsia="Calibri" w:hAnsi="Arial" w:cs="Arial"/>
          <w:color w:val="000000" w:themeColor="text1"/>
          <w:sz w:val="22"/>
        </w:rPr>
        <w:t>iii</w:t>
      </w:r>
      <w:proofErr w:type="spellEnd"/>
      <w:r w:rsidRPr="009738BA">
        <w:rPr>
          <w:rFonts w:ascii="Arial" w:eastAsia="Calibri" w:hAnsi="Arial" w:cs="Arial"/>
          <w:color w:val="000000" w:themeColor="text1"/>
          <w:sz w:val="22"/>
        </w:rPr>
        <w:t xml:space="preserve">) la diferencia entre estos procedimientos, </w:t>
      </w:r>
      <w:proofErr w:type="spellStart"/>
      <w:r w:rsidRPr="009738BA">
        <w:rPr>
          <w:rFonts w:ascii="Arial" w:eastAsia="Calibri" w:hAnsi="Arial" w:cs="Arial"/>
          <w:color w:val="000000" w:themeColor="text1"/>
          <w:sz w:val="22"/>
        </w:rPr>
        <w:t>iv</w:t>
      </w:r>
      <w:proofErr w:type="spellEnd"/>
      <w:r w:rsidRPr="009738BA">
        <w:rPr>
          <w:rFonts w:ascii="Arial" w:eastAsia="Calibri" w:hAnsi="Arial" w:cs="Arial"/>
          <w:color w:val="000000" w:themeColor="text1"/>
          <w:sz w:val="22"/>
        </w:rPr>
        <w:t>) la contratación de una universidad que realice el concurso para la elección del personero y v) su publicidad o no en el SECOP cuando no implique erogación presupuestal.</w:t>
      </w:r>
    </w:p>
    <w:p w14:paraId="5C4B216E" w14:textId="77777777" w:rsidR="00864953" w:rsidRPr="009738BA" w:rsidRDefault="00864953" w:rsidP="00864953">
      <w:pPr>
        <w:spacing w:line="276" w:lineRule="auto"/>
        <w:jc w:val="both"/>
        <w:rPr>
          <w:rFonts w:ascii="Arial" w:eastAsia="Calibri" w:hAnsi="Arial" w:cs="Arial"/>
          <w:color w:val="000000" w:themeColor="text1"/>
          <w:sz w:val="22"/>
        </w:rPr>
      </w:pPr>
    </w:p>
    <w:p w14:paraId="494E629C" w14:textId="77777777" w:rsidR="00864953" w:rsidRPr="009738BA" w:rsidRDefault="00864953" w:rsidP="00864953">
      <w:pPr>
        <w:spacing w:line="276" w:lineRule="auto"/>
        <w:jc w:val="both"/>
        <w:rPr>
          <w:rFonts w:ascii="Arial" w:eastAsia="Calibri" w:hAnsi="Arial" w:cs="Arial"/>
          <w:color w:val="000000" w:themeColor="text1"/>
          <w:sz w:val="22"/>
        </w:rPr>
      </w:pPr>
      <w:r w:rsidRPr="009738BA">
        <w:rPr>
          <w:rFonts w:ascii="Arial" w:eastAsia="Calibri" w:hAnsi="Arial" w:cs="Arial"/>
          <w:b/>
          <w:bCs/>
          <w:color w:val="000000" w:themeColor="text1"/>
          <w:sz w:val="22"/>
        </w:rPr>
        <w:t>a) Concurso de méritos: modalidad de selección de la contratación pública</w:t>
      </w:r>
      <w:r w:rsidRPr="009738BA">
        <w:rPr>
          <w:rFonts w:ascii="Arial" w:eastAsia="Calibri" w:hAnsi="Arial" w:cs="Arial"/>
          <w:color w:val="000000" w:themeColor="text1"/>
          <w:sz w:val="22"/>
        </w:rPr>
        <w:t xml:space="preserve"> </w:t>
      </w:r>
    </w:p>
    <w:p w14:paraId="5F29D8DB" w14:textId="77777777" w:rsidR="00864953" w:rsidRPr="009738BA" w:rsidRDefault="00864953" w:rsidP="00864953">
      <w:pPr>
        <w:spacing w:line="276" w:lineRule="auto"/>
        <w:jc w:val="both"/>
        <w:rPr>
          <w:rFonts w:ascii="Arial" w:eastAsia="Calibri" w:hAnsi="Arial" w:cs="Arial"/>
          <w:color w:val="000000" w:themeColor="text1"/>
          <w:sz w:val="22"/>
        </w:rPr>
      </w:pPr>
    </w:p>
    <w:p w14:paraId="63712FC2" w14:textId="77777777" w:rsidR="00864953" w:rsidRPr="009738BA" w:rsidRDefault="00864953" w:rsidP="00E75E44">
      <w:pPr>
        <w:spacing w:after="120"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Es la modalidad de selección por la cual la entidad contrata servicios de consultoría y proyectos de arquitectura con un alto contenido de trabajo intelectual</w:t>
      </w:r>
      <w:r w:rsidRPr="009738BA">
        <w:rPr>
          <w:rFonts w:ascii="Arial" w:eastAsia="Calibri" w:hAnsi="Arial" w:cs="Arial"/>
          <w:color w:val="000000" w:themeColor="text1"/>
          <w:sz w:val="22"/>
          <w:vertAlign w:val="superscript"/>
        </w:rPr>
        <w:footnoteReference w:id="14"/>
      </w:r>
      <w:r w:rsidRPr="009738BA">
        <w:rPr>
          <w:rFonts w:ascii="Arial" w:eastAsia="Calibri" w:hAnsi="Arial" w:cs="Arial"/>
          <w:color w:val="000000" w:themeColor="text1"/>
          <w:sz w:val="22"/>
        </w:rPr>
        <w:t>. En los concursos de méritos, la entidad hace uso de factores de calificación que privilegian aspectos técnicos de la propuesta, experiencia y 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r w:rsidRPr="009738BA">
        <w:rPr>
          <w:rFonts w:ascii="Arial" w:eastAsia="Calibri" w:hAnsi="Arial" w:cs="Arial"/>
          <w:color w:val="000000" w:themeColor="text1"/>
          <w:sz w:val="22"/>
          <w:vertAlign w:val="superscript"/>
        </w:rPr>
        <w:footnoteReference w:id="15"/>
      </w:r>
      <w:r w:rsidRPr="009738BA">
        <w:rPr>
          <w:rFonts w:ascii="Arial" w:eastAsia="Calibri" w:hAnsi="Arial" w:cs="Arial"/>
          <w:color w:val="000000" w:themeColor="text1"/>
          <w:sz w:val="22"/>
        </w:rPr>
        <w:t>.</w:t>
      </w:r>
    </w:p>
    <w:p w14:paraId="08421C64" w14:textId="35750467" w:rsidR="00864953" w:rsidRPr="009738BA" w:rsidRDefault="00864953" w:rsidP="00783D2A">
      <w:pPr>
        <w:spacing w:before="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Por lo anterior, en esta modalidad de selección las entidades fijan en el pliego de condiciones factores puntuables técnicos, y califican la experiencia específica del proponente y de su equipo de trabajo. Además, es necesario analizar los objetos contractuales que se ejecutan en los procedimientos adelantados mediante concurso de méritos, que como ya se mencionó tienen la característica de estar relacionados con el </w:t>
      </w:r>
      <w:r w:rsidRPr="009738BA">
        <w:rPr>
          <w:rFonts w:ascii="Arial" w:eastAsia="Calibri" w:hAnsi="Arial" w:cs="Arial"/>
          <w:color w:val="000000" w:themeColor="text1"/>
          <w:sz w:val="22"/>
        </w:rPr>
        <w:lastRenderedPageBreak/>
        <w:t>intelecto, el saber académico o altos niveles de conocimiento</w:t>
      </w:r>
      <w:r w:rsidRPr="009738BA">
        <w:rPr>
          <w:rFonts w:ascii="Arial" w:eastAsia="Calibri" w:hAnsi="Arial" w:cs="Arial"/>
          <w:color w:val="000000" w:themeColor="text1"/>
          <w:sz w:val="22"/>
          <w:vertAlign w:val="superscript"/>
        </w:rPr>
        <w:footnoteReference w:id="16"/>
      </w:r>
      <w:r w:rsidRPr="009738BA">
        <w:rPr>
          <w:rFonts w:ascii="Arial" w:eastAsia="Calibri" w:hAnsi="Arial" w:cs="Arial"/>
          <w:color w:val="000000" w:themeColor="text1"/>
          <w:sz w:val="22"/>
        </w:rPr>
        <w:t>. Esto se confirma con lo expuesto por el Consejo de Estado, donde se ejemplifican los objetos contractuales que corresponden al concurso de méritos:</w:t>
      </w:r>
    </w:p>
    <w:p w14:paraId="6B47E5EB" w14:textId="77777777" w:rsidR="00864953" w:rsidRPr="009738BA" w:rsidRDefault="00864953" w:rsidP="00783D2A">
      <w:pPr>
        <w:ind w:right="709"/>
        <w:jc w:val="both"/>
        <w:rPr>
          <w:rFonts w:ascii="Arial" w:hAnsi="Arial" w:cs="Arial"/>
          <w:color w:val="000000" w:themeColor="text1"/>
          <w:sz w:val="22"/>
        </w:rPr>
      </w:pPr>
    </w:p>
    <w:p w14:paraId="404C4E0D" w14:textId="2356249C" w:rsidR="00864953" w:rsidRPr="009738BA" w:rsidRDefault="00864953" w:rsidP="00783D2A">
      <w:pPr>
        <w:ind w:left="709" w:right="709"/>
        <w:jc w:val="both"/>
        <w:rPr>
          <w:rFonts w:ascii="Arial" w:hAnsi="Arial" w:cs="Arial"/>
          <w:color w:val="000000" w:themeColor="text1"/>
          <w:sz w:val="21"/>
          <w:szCs w:val="21"/>
        </w:rPr>
      </w:pPr>
      <w:r w:rsidRPr="009738BA">
        <w:rPr>
          <w:rFonts w:ascii="Arial" w:hAnsi="Arial" w:cs="Arial"/>
          <w:color w:val="000000" w:themeColor="text1"/>
          <w:sz w:val="21"/>
          <w:szCs w:val="21"/>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sea a los contratos </w:t>
      </w:r>
      <w:r w:rsidRPr="009738BA">
        <w:rPr>
          <w:rFonts w:ascii="Arial" w:hAnsi="Arial" w:cs="Arial"/>
          <w:i/>
          <w:iCs/>
          <w:color w:val="000000" w:themeColor="text1"/>
          <w:sz w:val="21"/>
          <w:szCs w:val="21"/>
        </w:rPr>
        <w:t>intuit</w:t>
      </w:r>
      <w:r w:rsidR="00783D2A" w:rsidRPr="009738BA">
        <w:rPr>
          <w:rFonts w:ascii="Arial" w:hAnsi="Arial" w:cs="Arial"/>
          <w:i/>
          <w:iCs/>
          <w:color w:val="000000" w:themeColor="text1"/>
          <w:sz w:val="21"/>
          <w:szCs w:val="21"/>
        </w:rPr>
        <w:t>o</w:t>
      </w:r>
      <w:r w:rsidRPr="009738BA">
        <w:rPr>
          <w:rFonts w:ascii="Arial" w:hAnsi="Arial" w:cs="Arial"/>
          <w:i/>
          <w:iCs/>
          <w:color w:val="000000" w:themeColor="text1"/>
          <w:sz w:val="21"/>
          <w:szCs w:val="21"/>
        </w:rPr>
        <w:t xml:space="preserve"> </w:t>
      </w:r>
      <w:proofErr w:type="spellStart"/>
      <w:r w:rsidRPr="009738BA">
        <w:rPr>
          <w:rFonts w:ascii="Arial" w:hAnsi="Arial" w:cs="Arial"/>
          <w:i/>
          <w:iCs/>
          <w:color w:val="000000" w:themeColor="text1"/>
          <w:sz w:val="21"/>
          <w:szCs w:val="21"/>
        </w:rPr>
        <w:t>personae</w:t>
      </w:r>
      <w:proofErr w:type="spellEnd"/>
      <w:r w:rsidRPr="009738BA">
        <w:rPr>
          <w:rFonts w:ascii="Arial" w:hAnsi="Arial" w:cs="Arial"/>
          <w:color w:val="000000" w:themeColor="text1"/>
          <w:sz w:val="21"/>
          <w:szCs w:val="21"/>
        </w:rPr>
        <w:t xml:space="preserve"> en que las cualidades técnico-subjetivas sirven de mérito para la selección.</w:t>
      </w:r>
    </w:p>
    <w:p w14:paraId="4A5B0EEE" w14:textId="77777777" w:rsidR="00864953" w:rsidRPr="009738BA" w:rsidRDefault="00864953" w:rsidP="00783D2A">
      <w:pPr>
        <w:ind w:left="709" w:right="709"/>
        <w:jc w:val="both"/>
        <w:rPr>
          <w:rFonts w:ascii="Arial" w:hAnsi="Arial" w:cs="Arial"/>
          <w:color w:val="000000" w:themeColor="text1"/>
          <w:sz w:val="21"/>
          <w:szCs w:val="21"/>
        </w:rPr>
      </w:pPr>
    </w:p>
    <w:p w14:paraId="2258A1DF" w14:textId="77777777" w:rsidR="00864953" w:rsidRPr="009738BA" w:rsidRDefault="00864953" w:rsidP="00783D2A">
      <w:pPr>
        <w:ind w:left="709" w:right="709"/>
        <w:jc w:val="both"/>
        <w:rPr>
          <w:rFonts w:ascii="Arial" w:hAnsi="Arial" w:cs="Arial"/>
          <w:color w:val="000000" w:themeColor="text1"/>
          <w:sz w:val="21"/>
          <w:szCs w:val="21"/>
        </w:rPr>
      </w:pPr>
      <w:r w:rsidRPr="009738BA">
        <w:rPr>
          <w:rFonts w:ascii="Arial" w:hAnsi="Arial" w:cs="Arial"/>
          <w:color w:val="000000" w:themeColor="text1"/>
          <w:sz w:val="21"/>
          <w:szCs w:val="21"/>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9738BA">
        <w:rPr>
          <w:rStyle w:val="Refdenotaalpie"/>
          <w:rFonts w:ascii="Arial" w:hAnsi="Arial" w:cs="Arial"/>
          <w:color w:val="000000" w:themeColor="text1"/>
          <w:sz w:val="21"/>
          <w:szCs w:val="21"/>
        </w:rPr>
        <w:footnoteReference w:id="17"/>
      </w:r>
      <w:r w:rsidRPr="009738BA">
        <w:rPr>
          <w:rFonts w:ascii="Arial" w:hAnsi="Arial" w:cs="Arial"/>
          <w:color w:val="000000" w:themeColor="text1"/>
          <w:sz w:val="21"/>
          <w:szCs w:val="21"/>
        </w:rPr>
        <w:t>.</w:t>
      </w:r>
    </w:p>
    <w:p w14:paraId="3D46A095" w14:textId="77777777" w:rsidR="00864953" w:rsidRPr="009738BA" w:rsidRDefault="00864953" w:rsidP="00864953">
      <w:pPr>
        <w:spacing w:line="276" w:lineRule="auto"/>
        <w:ind w:right="709"/>
        <w:jc w:val="both"/>
        <w:rPr>
          <w:rFonts w:ascii="Arial" w:hAnsi="Arial" w:cs="Arial"/>
          <w:color w:val="000000" w:themeColor="text1"/>
          <w:sz w:val="22"/>
        </w:rPr>
      </w:pPr>
    </w:p>
    <w:p w14:paraId="598B5349" w14:textId="052E0D8D" w:rsidR="00864953" w:rsidRPr="009738BA" w:rsidRDefault="00864953" w:rsidP="00864953">
      <w:pPr>
        <w:spacing w:line="276" w:lineRule="auto"/>
        <w:jc w:val="both"/>
        <w:rPr>
          <w:rFonts w:ascii="Arial" w:eastAsia="Calibri" w:hAnsi="Arial" w:cs="Arial"/>
          <w:color w:val="000000" w:themeColor="text1"/>
          <w:sz w:val="22"/>
        </w:rPr>
      </w:pPr>
      <w:r w:rsidRPr="009738BA">
        <w:rPr>
          <w:rFonts w:ascii="Arial" w:hAnsi="Arial" w:cs="Arial"/>
          <w:color w:val="000000" w:themeColor="text1"/>
          <w:sz w:val="21"/>
          <w:szCs w:val="21"/>
        </w:rPr>
        <w:tab/>
      </w:r>
      <w:r w:rsidRPr="009738BA">
        <w:rPr>
          <w:rFonts w:ascii="Arial" w:eastAsia="Calibri" w:hAnsi="Arial" w:cs="Arial"/>
          <w:color w:val="000000" w:themeColor="text1"/>
          <w:sz w:val="22"/>
        </w:rPr>
        <w:t xml:space="preserve">Por tanto, el concurso de méritos, para efectos de la contratación pública, es una modalidad de selección del oferente que desarrollará el objeto contractual que la ley definió como causal de esta modalidad, lo cual </w:t>
      </w:r>
      <w:r w:rsidR="00783D2A" w:rsidRPr="009738BA">
        <w:rPr>
          <w:rFonts w:ascii="Arial" w:eastAsia="Calibri" w:hAnsi="Arial" w:cs="Arial"/>
          <w:color w:val="000000" w:themeColor="text1"/>
          <w:sz w:val="22"/>
        </w:rPr>
        <w:t>está</w:t>
      </w:r>
      <w:r w:rsidRPr="009738BA">
        <w:rPr>
          <w:rFonts w:ascii="Arial" w:eastAsia="Calibri" w:hAnsi="Arial" w:cs="Arial"/>
          <w:color w:val="000000" w:themeColor="text1"/>
          <w:sz w:val="22"/>
        </w:rPr>
        <w:t xml:space="preserve"> relacionado, principalmente, con conocimientos especializados.</w:t>
      </w:r>
    </w:p>
    <w:p w14:paraId="51070B95" w14:textId="77777777" w:rsidR="00864953" w:rsidRPr="009738BA" w:rsidRDefault="00864953" w:rsidP="00864953">
      <w:pPr>
        <w:spacing w:line="276" w:lineRule="auto"/>
        <w:jc w:val="both"/>
        <w:rPr>
          <w:rFonts w:ascii="Arial" w:eastAsia="Calibri" w:hAnsi="Arial" w:cs="Arial"/>
          <w:color w:val="000000" w:themeColor="text1"/>
          <w:sz w:val="22"/>
        </w:rPr>
      </w:pPr>
    </w:p>
    <w:p w14:paraId="16543AD5" w14:textId="77777777" w:rsidR="00864953" w:rsidRPr="009738BA" w:rsidRDefault="00864953" w:rsidP="00864953">
      <w:pPr>
        <w:spacing w:line="276" w:lineRule="auto"/>
        <w:jc w:val="both"/>
        <w:rPr>
          <w:rFonts w:ascii="Arial" w:eastAsia="Calibri" w:hAnsi="Arial" w:cs="Arial"/>
          <w:b/>
          <w:bCs/>
          <w:color w:val="000000" w:themeColor="text1"/>
          <w:sz w:val="22"/>
        </w:rPr>
      </w:pPr>
      <w:r w:rsidRPr="009738BA">
        <w:rPr>
          <w:rFonts w:ascii="Arial" w:eastAsia="Calibri" w:hAnsi="Arial" w:cs="Arial"/>
          <w:b/>
          <w:bCs/>
          <w:color w:val="000000" w:themeColor="text1"/>
          <w:sz w:val="22"/>
        </w:rPr>
        <w:t>b) Concurso de méritos para elegir un personero municipal: reglas de la función pública</w:t>
      </w:r>
    </w:p>
    <w:p w14:paraId="3861BFD7" w14:textId="77777777" w:rsidR="00864953" w:rsidRPr="009738BA" w:rsidRDefault="00864953" w:rsidP="00864953">
      <w:pPr>
        <w:spacing w:line="276" w:lineRule="auto"/>
        <w:jc w:val="both"/>
        <w:rPr>
          <w:rFonts w:ascii="Arial" w:eastAsia="Calibri" w:hAnsi="Arial" w:cs="Arial"/>
          <w:b/>
          <w:bCs/>
          <w:color w:val="000000" w:themeColor="text1"/>
          <w:sz w:val="22"/>
        </w:rPr>
      </w:pPr>
    </w:p>
    <w:p w14:paraId="1909795E" w14:textId="3CF52686" w:rsidR="00864953" w:rsidRPr="009738BA" w:rsidRDefault="00864953" w:rsidP="00783D2A">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Ley 136 de 1994, que regula el funcionamiento de los municipios, en el capítulo XI se refiere a los personeros municipales estableciendo: i) naturaleza del cargo, </w:t>
      </w:r>
      <w:proofErr w:type="spellStart"/>
      <w:r w:rsidRPr="009738BA">
        <w:rPr>
          <w:rFonts w:ascii="Arial" w:eastAsia="Calibri" w:hAnsi="Arial" w:cs="Arial"/>
          <w:color w:val="000000" w:themeColor="text1"/>
          <w:sz w:val="22"/>
        </w:rPr>
        <w:t>ii</w:t>
      </w:r>
      <w:proofErr w:type="spellEnd"/>
      <w:r w:rsidRPr="009738BA">
        <w:rPr>
          <w:rFonts w:ascii="Arial" w:eastAsia="Calibri" w:hAnsi="Arial" w:cs="Arial"/>
          <w:color w:val="000000" w:themeColor="text1"/>
          <w:sz w:val="22"/>
        </w:rPr>
        <w:t xml:space="preserve">) elección, </w:t>
      </w:r>
      <w:proofErr w:type="spellStart"/>
      <w:r w:rsidRPr="009738BA">
        <w:rPr>
          <w:rFonts w:ascii="Arial" w:eastAsia="Calibri" w:hAnsi="Arial" w:cs="Arial"/>
          <w:color w:val="000000" w:themeColor="text1"/>
          <w:sz w:val="22"/>
        </w:rPr>
        <w:t>iii</w:t>
      </w:r>
      <w:proofErr w:type="spellEnd"/>
      <w:r w:rsidRPr="009738BA">
        <w:rPr>
          <w:rFonts w:ascii="Arial" w:eastAsia="Calibri" w:hAnsi="Arial" w:cs="Arial"/>
          <w:color w:val="000000" w:themeColor="text1"/>
          <w:sz w:val="22"/>
        </w:rPr>
        <w:t xml:space="preserve">) faltas, </w:t>
      </w:r>
      <w:proofErr w:type="spellStart"/>
      <w:r w:rsidRPr="009738BA">
        <w:rPr>
          <w:rFonts w:ascii="Arial" w:eastAsia="Calibri" w:hAnsi="Arial" w:cs="Arial"/>
          <w:color w:val="000000" w:themeColor="text1"/>
          <w:sz w:val="22"/>
        </w:rPr>
        <w:t>iv</w:t>
      </w:r>
      <w:proofErr w:type="spellEnd"/>
      <w:r w:rsidRPr="009738BA">
        <w:rPr>
          <w:rFonts w:ascii="Arial" w:eastAsia="Calibri" w:hAnsi="Arial" w:cs="Arial"/>
          <w:color w:val="000000" w:themeColor="text1"/>
          <w:sz w:val="22"/>
        </w:rPr>
        <w:t xml:space="preserve">) calidades, v) inhabilidades e incompatibilidades, vi) funciones, entre otros aspectos. Sobre la elección, el artículo 170, modificado por el artículo 35 de la Ley 1551 de </w:t>
      </w:r>
      <w:r w:rsidRPr="009738BA">
        <w:rPr>
          <w:rFonts w:ascii="Arial" w:eastAsia="Calibri" w:hAnsi="Arial" w:cs="Arial"/>
          <w:color w:val="000000" w:themeColor="text1"/>
          <w:sz w:val="22"/>
        </w:rPr>
        <w:lastRenderedPageBreak/>
        <w:t xml:space="preserve">2012, es claro en indicar que el </w:t>
      </w:r>
      <w:r w:rsidR="00BB6A3C" w:rsidRPr="009738BA">
        <w:rPr>
          <w:rFonts w:ascii="Arial" w:eastAsia="Calibri" w:hAnsi="Arial" w:cs="Arial"/>
          <w:color w:val="000000" w:themeColor="text1"/>
          <w:sz w:val="22"/>
        </w:rPr>
        <w:t>c</w:t>
      </w:r>
      <w:r w:rsidRPr="009738BA">
        <w:rPr>
          <w:rFonts w:ascii="Arial" w:eastAsia="Calibri" w:hAnsi="Arial" w:cs="Arial"/>
          <w:color w:val="000000" w:themeColor="text1"/>
          <w:sz w:val="22"/>
        </w:rPr>
        <w:t xml:space="preserve">oncejo </w:t>
      </w:r>
      <w:r w:rsidR="00BB6A3C" w:rsidRPr="009738BA">
        <w:rPr>
          <w:rFonts w:ascii="Arial" w:eastAsia="Calibri" w:hAnsi="Arial" w:cs="Arial"/>
          <w:color w:val="000000" w:themeColor="text1"/>
          <w:sz w:val="22"/>
        </w:rPr>
        <w:t>m</w:t>
      </w:r>
      <w:r w:rsidRPr="009738BA">
        <w:rPr>
          <w:rFonts w:ascii="Arial" w:eastAsia="Calibri" w:hAnsi="Arial" w:cs="Arial"/>
          <w:color w:val="000000" w:themeColor="text1"/>
          <w:sz w:val="22"/>
        </w:rPr>
        <w:t>unicipal debe elegir al personero previo concurso público de méritos</w:t>
      </w:r>
      <w:r w:rsidRPr="009738BA">
        <w:rPr>
          <w:rStyle w:val="Refdenotaalpie"/>
          <w:rFonts w:ascii="Arial" w:eastAsia="Calibri" w:hAnsi="Arial" w:cs="Arial"/>
          <w:color w:val="000000" w:themeColor="text1"/>
          <w:sz w:val="22"/>
        </w:rPr>
        <w:footnoteReference w:id="18"/>
      </w:r>
      <w:r w:rsidRPr="009738BA">
        <w:rPr>
          <w:rFonts w:ascii="Arial" w:eastAsia="Calibri" w:hAnsi="Arial" w:cs="Arial"/>
          <w:color w:val="000000" w:themeColor="text1"/>
          <w:sz w:val="22"/>
        </w:rPr>
        <w:t>. Por ende, para definir el concepto de «concurso público de méritos» es necesario acudir al decreto reglamentario de la norma citada, esto es, el Decreto 1083 de 2015 «Por medio del cual se expide el Decreto Único Reglamentario del Sector de Función Pública» que lo define así:</w:t>
      </w:r>
    </w:p>
    <w:p w14:paraId="1B81D1F5" w14:textId="77777777" w:rsidR="00864953" w:rsidRPr="009738BA" w:rsidRDefault="00864953" w:rsidP="00783D2A">
      <w:pPr>
        <w:spacing w:line="276" w:lineRule="auto"/>
        <w:jc w:val="both"/>
        <w:rPr>
          <w:rFonts w:ascii="Arial" w:eastAsia="Calibri" w:hAnsi="Arial" w:cs="Arial"/>
          <w:color w:val="000000" w:themeColor="text1"/>
          <w:sz w:val="22"/>
        </w:rPr>
      </w:pPr>
    </w:p>
    <w:p w14:paraId="5E60706E" w14:textId="77777777" w:rsidR="00864953" w:rsidRPr="009738BA" w:rsidRDefault="00864953" w:rsidP="00783D2A">
      <w:pPr>
        <w:ind w:left="709" w:right="709"/>
        <w:jc w:val="both"/>
        <w:rPr>
          <w:rFonts w:ascii="Arial" w:eastAsia="Calibri" w:hAnsi="Arial" w:cs="Arial"/>
          <w:color w:val="000000" w:themeColor="text1"/>
          <w:sz w:val="21"/>
          <w:szCs w:val="21"/>
        </w:rPr>
      </w:pPr>
      <w:r w:rsidRPr="009738BA">
        <w:rPr>
          <w:rFonts w:ascii="Arial" w:eastAsia="Calibri" w:hAnsi="Arial" w:cs="Arial"/>
          <w:color w:val="000000" w:themeColor="text1"/>
          <w:sz w:val="21"/>
          <w:szCs w:val="21"/>
        </w:rPr>
        <w:t>ARTÍCULO 2.2.27.1. Concurso público de méritos para la elección personeros. El personero municipal o distrital será elegido de la lista que resulte del proceso de selección público y abierto adelantado por el concejo municipal o distrital.</w:t>
      </w:r>
    </w:p>
    <w:p w14:paraId="34C6104A" w14:textId="77777777" w:rsidR="00864953" w:rsidRPr="009738BA" w:rsidRDefault="00864953" w:rsidP="00783D2A">
      <w:pPr>
        <w:ind w:left="709" w:right="709"/>
        <w:jc w:val="both"/>
        <w:rPr>
          <w:rFonts w:ascii="Arial" w:eastAsia="Calibri" w:hAnsi="Arial" w:cs="Arial"/>
          <w:color w:val="000000" w:themeColor="text1"/>
          <w:sz w:val="21"/>
          <w:szCs w:val="21"/>
        </w:rPr>
      </w:pPr>
    </w:p>
    <w:p w14:paraId="2D6BC90A" w14:textId="77777777" w:rsidR="00864953" w:rsidRPr="009738BA" w:rsidRDefault="00864953" w:rsidP="00783D2A">
      <w:pPr>
        <w:ind w:left="709" w:right="709"/>
        <w:jc w:val="both"/>
        <w:rPr>
          <w:rFonts w:ascii="Arial" w:eastAsia="Calibri" w:hAnsi="Arial" w:cs="Arial"/>
          <w:color w:val="000000" w:themeColor="text1"/>
          <w:sz w:val="21"/>
          <w:szCs w:val="21"/>
        </w:rPr>
      </w:pPr>
      <w:r w:rsidRPr="009738BA">
        <w:rPr>
          <w:rFonts w:ascii="Arial" w:eastAsia="Calibri" w:hAnsi="Arial" w:cs="Arial"/>
          <w:color w:val="000000" w:themeColor="text1"/>
          <w:sz w:val="21"/>
          <w:szCs w:val="21"/>
        </w:rPr>
        <w:t>Los concejos municipales o distritales efectuarán los trámites pertinentes para el concurso, que podrá efectuarse a través de universidades o instituciones de educación superior públicas o privadas o con entidades especializadas en procesos de selección de personal.</w:t>
      </w:r>
    </w:p>
    <w:p w14:paraId="1B0C5C87" w14:textId="77777777" w:rsidR="00864953" w:rsidRPr="009738BA" w:rsidRDefault="00864953" w:rsidP="00783D2A">
      <w:pPr>
        <w:ind w:left="709" w:right="709"/>
        <w:jc w:val="both"/>
        <w:rPr>
          <w:rFonts w:ascii="Arial" w:eastAsia="Calibri" w:hAnsi="Arial" w:cs="Arial"/>
          <w:color w:val="000000" w:themeColor="text1"/>
          <w:sz w:val="21"/>
          <w:szCs w:val="21"/>
        </w:rPr>
      </w:pPr>
    </w:p>
    <w:p w14:paraId="44465CFE" w14:textId="77777777" w:rsidR="00864953" w:rsidRPr="009738BA" w:rsidRDefault="00864953" w:rsidP="00783D2A">
      <w:pPr>
        <w:ind w:left="709" w:right="709"/>
        <w:jc w:val="both"/>
        <w:rPr>
          <w:rFonts w:ascii="Arial" w:eastAsia="Calibri" w:hAnsi="Arial" w:cs="Arial"/>
          <w:color w:val="000000" w:themeColor="text1"/>
          <w:sz w:val="21"/>
          <w:szCs w:val="21"/>
        </w:rPr>
      </w:pPr>
      <w:r w:rsidRPr="009738BA">
        <w:rPr>
          <w:rFonts w:ascii="Arial" w:eastAsia="Calibri" w:hAnsi="Arial" w:cs="Arial"/>
          <w:color w:val="000000" w:themeColor="text1"/>
          <w:sz w:val="21"/>
          <w:szCs w:val="21"/>
        </w:rPr>
        <w:t>El concurso de méritos en todas sus etapas deberá ser adelantado atendiendo criterios de objetividad, transparencia, imparcialidad y publicidad, teniendo en cuenta la idoneidad de los aspirantes para el ejercicio de las funciones.</w:t>
      </w:r>
    </w:p>
    <w:p w14:paraId="5A6A4DB8" w14:textId="77777777" w:rsidR="00864953" w:rsidRPr="009738BA" w:rsidRDefault="00864953" w:rsidP="00783D2A">
      <w:pPr>
        <w:spacing w:line="276" w:lineRule="auto"/>
        <w:jc w:val="both"/>
        <w:rPr>
          <w:rFonts w:ascii="Arial" w:hAnsi="Arial" w:cs="Arial"/>
          <w:b/>
          <w:color w:val="000000" w:themeColor="text1"/>
          <w:sz w:val="22"/>
        </w:rPr>
      </w:pPr>
    </w:p>
    <w:p w14:paraId="3B3476B1" w14:textId="77777777" w:rsidR="00864953" w:rsidRPr="009738BA" w:rsidRDefault="00864953" w:rsidP="00783D2A">
      <w:pPr>
        <w:spacing w:after="120" w:line="276" w:lineRule="auto"/>
        <w:ind w:firstLine="709"/>
        <w:jc w:val="both"/>
        <w:rPr>
          <w:rFonts w:ascii="Arial" w:hAnsi="Arial" w:cs="Arial"/>
          <w:bCs/>
          <w:color w:val="000000" w:themeColor="text1"/>
          <w:sz w:val="22"/>
        </w:rPr>
      </w:pPr>
      <w:r w:rsidRPr="009738BA">
        <w:rPr>
          <w:rFonts w:ascii="Arial" w:hAnsi="Arial" w:cs="Arial"/>
          <w:bCs/>
          <w:color w:val="000000" w:themeColor="text1"/>
          <w:sz w:val="22"/>
        </w:rPr>
        <w:t xml:space="preserve">Para establecer la diferencia con el concurso de méritos de la contratación estatal es necesario observar las etapas y características señaladas por el Decreto 1083 de 2015: i) convocatoria, que genera obligaciones para la entidad y para quienes fueron contratados para realizar el concurso, debe contener el reglamento, el procedimiento del concurso y los aspectos señalados en la norma relacionados con la información general, cronograma, entre otros, </w:t>
      </w:r>
      <w:proofErr w:type="spellStart"/>
      <w:r w:rsidRPr="009738BA">
        <w:rPr>
          <w:rFonts w:ascii="Arial" w:hAnsi="Arial" w:cs="Arial"/>
          <w:bCs/>
          <w:color w:val="000000" w:themeColor="text1"/>
          <w:sz w:val="22"/>
        </w:rPr>
        <w:t>ii</w:t>
      </w:r>
      <w:proofErr w:type="spellEnd"/>
      <w:r w:rsidRPr="009738BA">
        <w:rPr>
          <w:rFonts w:ascii="Arial" w:hAnsi="Arial" w:cs="Arial"/>
          <w:bCs/>
          <w:color w:val="000000" w:themeColor="text1"/>
          <w:sz w:val="22"/>
        </w:rPr>
        <w:t xml:space="preserve">) reclutamiento o inscripción de aspirantes que cumplan los requisitos del empleo y </w:t>
      </w:r>
      <w:proofErr w:type="spellStart"/>
      <w:r w:rsidRPr="009738BA">
        <w:rPr>
          <w:rFonts w:ascii="Arial" w:hAnsi="Arial" w:cs="Arial"/>
          <w:bCs/>
          <w:color w:val="000000" w:themeColor="text1"/>
          <w:sz w:val="22"/>
        </w:rPr>
        <w:t>iii</w:t>
      </w:r>
      <w:proofErr w:type="spellEnd"/>
      <w:r w:rsidRPr="009738BA">
        <w:rPr>
          <w:rFonts w:ascii="Arial" w:hAnsi="Arial" w:cs="Arial"/>
          <w:bCs/>
          <w:color w:val="000000" w:themeColor="text1"/>
          <w:sz w:val="22"/>
        </w:rPr>
        <w:t>) pruebas de capacidad, que permita clasificar a los candidatos de acuerdo con las calidades que exigen las funciones del empleo</w:t>
      </w:r>
      <w:r w:rsidRPr="009738BA">
        <w:rPr>
          <w:rStyle w:val="Refdenotaalpie"/>
          <w:rFonts w:ascii="Arial" w:hAnsi="Arial" w:cs="Arial"/>
          <w:bCs/>
          <w:color w:val="000000" w:themeColor="text1"/>
          <w:sz w:val="22"/>
        </w:rPr>
        <w:footnoteReference w:id="19"/>
      </w:r>
      <w:r w:rsidRPr="009738BA">
        <w:rPr>
          <w:rFonts w:ascii="Arial" w:hAnsi="Arial" w:cs="Arial"/>
          <w:bCs/>
          <w:color w:val="000000" w:themeColor="text1"/>
          <w:sz w:val="22"/>
        </w:rPr>
        <w:t>.</w:t>
      </w:r>
    </w:p>
    <w:p w14:paraId="66BA3EE3" w14:textId="0471CCA0" w:rsidR="00864953" w:rsidRPr="009738BA" w:rsidRDefault="00864953" w:rsidP="00864953">
      <w:pPr>
        <w:spacing w:before="120" w:after="120" w:line="276" w:lineRule="auto"/>
        <w:ind w:firstLine="708"/>
        <w:jc w:val="both"/>
        <w:rPr>
          <w:rFonts w:ascii="Arial" w:hAnsi="Arial" w:cs="Arial"/>
          <w:bCs/>
          <w:color w:val="000000" w:themeColor="text1"/>
          <w:sz w:val="22"/>
        </w:rPr>
      </w:pPr>
      <w:r w:rsidRPr="009738BA">
        <w:rPr>
          <w:rFonts w:ascii="Arial" w:hAnsi="Arial" w:cs="Arial"/>
          <w:bCs/>
          <w:color w:val="000000" w:themeColor="text1"/>
          <w:sz w:val="22"/>
        </w:rPr>
        <w:lastRenderedPageBreak/>
        <w:t xml:space="preserve">Con lo anterior se evidencia que a pesar de que en la contratación pública y en el empleo público existe la noción de </w:t>
      </w:r>
      <w:r w:rsidRPr="009738BA">
        <w:rPr>
          <w:rFonts w:ascii="Arial" w:eastAsia="Calibri" w:hAnsi="Arial" w:cs="Arial"/>
          <w:color w:val="000000" w:themeColor="text1"/>
          <w:sz w:val="22"/>
        </w:rPr>
        <w:t xml:space="preserve">«concurso de méritos», este es diferente de acuerdo con las normas que aplican a cada ámbito, ya que al revisar las etapas que sigue cada concurso se diferencian por: i) el objetivo, porque la contratación pública busca la adquisición de bienes, obras y servicios; y el empleo público la provisión de un cargo y </w:t>
      </w:r>
      <w:proofErr w:type="spellStart"/>
      <w:r w:rsidRPr="009738BA">
        <w:rPr>
          <w:rFonts w:ascii="Arial" w:eastAsia="Calibri" w:hAnsi="Arial" w:cs="Arial"/>
          <w:color w:val="000000" w:themeColor="text1"/>
          <w:sz w:val="22"/>
        </w:rPr>
        <w:t>ii</w:t>
      </w:r>
      <w:proofErr w:type="spellEnd"/>
      <w:r w:rsidRPr="009738BA">
        <w:rPr>
          <w:rFonts w:ascii="Arial" w:eastAsia="Calibri" w:hAnsi="Arial" w:cs="Arial"/>
          <w:color w:val="000000" w:themeColor="text1"/>
          <w:sz w:val="22"/>
        </w:rPr>
        <w:t xml:space="preserve">) el desarrollo, puesto que mientras la contratación pública comienza con la planeación y finaliza con la ejecución, en el empleo público existe una convocatoria, el reclutamiento y las pruebas cuyos resultados determinan la elección de quien va a ocupar el cargo de personero municipal. </w:t>
      </w:r>
    </w:p>
    <w:p w14:paraId="120B7B76" w14:textId="77777777" w:rsidR="00864953" w:rsidRPr="009738BA" w:rsidRDefault="00864953" w:rsidP="00864953">
      <w:pPr>
        <w:spacing w:before="120" w:after="120" w:line="276" w:lineRule="auto"/>
        <w:jc w:val="both"/>
        <w:rPr>
          <w:rFonts w:ascii="Arial" w:hAnsi="Arial" w:cs="Arial"/>
          <w:bCs/>
          <w:color w:val="000000" w:themeColor="text1"/>
          <w:sz w:val="22"/>
        </w:rPr>
      </w:pPr>
      <w:r w:rsidRPr="009738BA">
        <w:rPr>
          <w:rFonts w:ascii="Arial" w:hAnsi="Arial" w:cs="Arial"/>
          <w:b/>
          <w:color w:val="000000" w:themeColor="text1"/>
          <w:sz w:val="22"/>
        </w:rPr>
        <w:tab/>
      </w:r>
      <w:r w:rsidRPr="009738BA">
        <w:rPr>
          <w:rFonts w:ascii="Arial" w:hAnsi="Arial" w:cs="Arial"/>
          <w:bCs/>
          <w:color w:val="000000" w:themeColor="text1"/>
          <w:sz w:val="22"/>
        </w:rPr>
        <w:t>Teniendo en cuenta que usted consulta por la convocatoria para elegir la universidad que de acuerdo con el artículo 2.2.27.1. del Decreto 1083 de 2015 citado podrá adelantar el concurso, permitiéndole al Concejo Municipal apoyarse en este tipo de instituciones especializadas, se observa que la norma no prevé un procedimiento especial para la elección de la universidad. En consecuencia, si esto implica una actividad contractual de la entidad y la celebración de un contrato, debe regirse por la Ley 80 de 1993, que es la norma para la contratación pública de las entidades señaladas en el artículo 2, entre las cuales se incluyen los municipios</w:t>
      </w:r>
      <w:r w:rsidRPr="009738BA">
        <w:rPr>
          <w:rStyle w:val="Refdenotaalpie"/>
          <w:rFonts w:ascii="Arial" w:hAnsi="Arial" w:cs="Arial"/>
          <w:bCs/>
          <w:color w:val="000000" w:themeColor="text1"/>
          <w:sz w:val="22"/>
        </w:rPr>
        <w:footnoteReference w:id="20"/>
      </w:r>
      <w:r w:rsidRPr="009738BA">
        <w:rPr>
          <w:rFonts w:ascii="Arial" w:hAnsi="Arial" w:cs="Arial"/>
          <w:bCs/>
          <w:color w:val="000000" w:themeColor="text1"/>
          <w:sz w:val="22"/>
        </w:rPr>
        <w:t>.</w:t>
      </w:r>
    </w:p>
    <w:p w14:paraId="5D8C0E0B" w14:textId="77777777" w:rsidR="00864953" w:rsidRPr="009738BA" w:rsidRDefault="00864953" w:rsidP="00864953">
      <w:pPr>
        <w:spacing w:before="120" w:after="120" w:line="276" w:lineRule="auto"/>
        <w:jc w:val="both"/>
        <w:rPr>
          <w:rFonts w:ascii="Arial" w:hAnsi="Arial" w:cs="Arial"/>
          <w:bCs/>
          <w:color w:val="000000" w:themeColor="text1"/>
          <w:sz w:val="22"/>
        </w:rPr>
      </w:pPr>
      <w:r w:rsidRPr="009738BA">
        <w:rPr>
          <w:rFonts w:ascii="Arial" w:hAnsi="Arial" w:cs="Arial"/>
          <w:bCs/>
          <w:color w:val="000000" w:themeColor="text1"/>
          <w:sz w:val="22"/>
        </w:rPr>
        <w:tab/>
        <w:t xml:space="preserve">La actividad contractual puede definirse como la ejercida por personas de derecho público competentes, en virtud del artículo 2 de la Ley 80 de 1993 citado, u otra ley que otorgue capacidad. Contratos estatales son aquellos actos jurídicos donde el contratista se obliga con la entidad estatal a dar, hacer o no hacer alguna cosa, a cambio de una </w:t>
      </w:r>
      <w:r w:rsidRPr="009738BA">
        <w:rPr>
          <w:rFonts w:ascii="Arial" w:hAnsi="Arial" w:cs="Arial"/>
          <w:bCs/>
          <w:color w:val="000000" w:themeColor="text1"/>
          <w:sz w:val="22"/>
        </w:rPr>
        <w:lastRenderedPageBreak/>
        <w:t>contraprestación o pago. En general, son contratos todos los negocios jurídicos en los cuales existen obligaciones, o una contraprestación por el dinero público entregado al contratista.</w:t>
      </w:r>
    </w:p>
    <w:p w14:paraId="6103B454" w14:textId="77777777" w:rsidR="00864953" w:rsidRPr="009738BA" w:rsidRDefault="00864953" w:rsidP="006D3F80">
      <w:pPr>
        <w:spacing w:line="276" w:lineRule="auto"/>
        <w:jc w:val="both"/>
        <w:rPr>
          <w:rFonts w:ascii="Arial" w:hAnsi="Arial" w:cs="Arial"/>
          <w:bCs/>
          <w:color w:val="000000" w:themeColor="text1"/>
          <w:sz w:val="22"/>
        </w:rPr>
      </w:pPr>
      <w:r w:rsidRPr="009738BA">
        <w:rPr>
          <w:rFonts w:ascii="Arial" w:hAnsi="Arial" w:cs="Arial"/>
          <w:bCs/>
          <w:color w:val="000000" w:themeColor="text1"/>
          <w:sz w:val="22"/>
        </w:rPr>
        <w:tab/>
        <w:t>Así, la convocatoria para seleccionar a la universidad que apoyará al Concejo Municipal en el desarrollo del concurso de méritos para elegir personero municipal del Decreto 1083 de 2015 se rige por la normativa de contratación pública.</w:t>
      </w:r>
      <w:r w:rsidRPr="009738BA">
        <w:rPr>
          <w:rFonts w:ascii="Arial" w:hAnsi="Arial" w:cs="Arial"/>
          <w:bCs/>
          <w:color w:val="000000" w:themeColor="text1"/>
          <w:sz w:val="22"/>
        </w:rPr>
        <w:tab/>
      </w:r>
    </w:p>
    <w:p w14:paraId="6629EFC7" w14:textId="77777777" w:rsidR="00864953" w:rsidRPr="009738BA" w:rsidRDefault="00864953" w:rsidP="006D3F80">
      <w:pPr>
        <w:spacing w:line="276" w:lineRule="auto"/>
        <w:jc w:val="both"/>
        <w:rPr>
          <w:rFonts w:ascii="Arial" w:hAnsi="Arial" w:cs="Arial"/>
          <w:b/>
          <w:color w:val="000000" w:themeColor="text1"/>
          <w:sz w:val="22"/>
        </w:rPr>
      </w:pPr>
    </w:p>
    <w:p w14:paraId="71E08965" w14:textId="2E7B242E" w:rsidR="00864953" w:rsidRPr="009738BA" w:rsidRDefault="00C450BE" w:rsidP="006D3F80">
      <w:pPr>
        <w:spacing w:line="276" w:lineRule="auto"/>
        <w:jc w:val="both"/>
        <w:rPr>
          <w:rFonts w:ascii="Arial" w:eastAsia="Calibri" w:hAnsi="Arial" w:cs="Arial"/>
          <w:b/>
          <w:color w:val="000000" w:themeColor="text1"/>
          <w:sz w:val="22"/>
        </w:rPr>
      </w:pPr>
      <w:r w:rsidRPr="009738BA">
        <w:rPr>
          <w:rFonts w:ascii="Arial" w:hAnsi="Arial" w:cs="Arial"/>
          <w:b/>
          <w:color w:val="000000" w:themeColor="text1"/>
          <w:sz w:val="22"/>
        </w:rPr>
        <w:t>2.2.2.</w:t>
      </w:r>
      <w:r w:rsidR="00864953" w:rsidRPr="009738BA">
        <w:rPr>
          <w:rFonts w:ascii="Arial" w:hAnsi="Arial" w:cs="Arial"/>
          <w:b/>
          <w:color w:val="000000" w:themeColor="text1"/>
          <w:sz w:val="22"/>
        </w:rPr>
        <w:t xml:space="preserve"> </w:t>
      </w:r>
      <w:r w:rsidR="00864953" w:rsidRPr="009738BA">
        <w:rPr>
          <w:rFonts w:ascii="Arial" w:eastAsia="Calibri" w:hAnsi="Arial" w:cs="Arial"/>
          <w:b/>
          <w:color w:val="000000" w:themeColor="text1"/>
          <w:sz w:val="22"/>
        </w:rPr>
        <w:t>Procedimientos contractuales y su publicidad: Deber de las entidades estatales</w:t>
      </w:r>
    </w:p>
    <w:p w14:paraId="4E03DB4E" w14:textId="77777777" w:rsidR="00864953" w:rsidRPr="009738BA" w:rsidRDefault="00864953" w:rsidP="006D3F80">
      <w:pPr>
        <w:pStyle w:val="Prrafodelista"/>
        <w:spacing w:line="276" w:lineRule="auto"/>
        <w:ind w:left="360"/>
        <w:jc w:val="both"/>
        <w:rPr>
          <w:rFonts w:ascii="Arial" w:eastAsia="Calibri" w:hAnsi="Arial" w:cs="Arial"/>
          <w:b/>
          <w:color w:val="000000" w:themeColor="text1"/>
          <w:sz w:val="22"/>
        </w:rPr>
      </w:pPr>
    </w:p>
    <w:p w14:paraId="050123AB" w14:textId="77777777" w:rsidR="00864953" w:rsidRPr="009738BA" w:rsidRDefault="00864953" w:rsidP="006D3F80">
      <w:pPr>
        <w:spacing w:line="276" w:lineRule="auto"/>
        <w:jc w:val="both"/>
        <w:rPr>
          <w:rFonts w:ascii="Arial" w:eastAsia="Calibri" w:hAnsi="Arial" w:cs="Arial"/>
          <w:b/>
          <w:color w:val="000000" w:themeColor="text1"/>
          <w:sz w:val="22"/>
        </w:rPr>
      </w:pPr>
      <w:r w:rsidRPr="009738BA">
        <w:rPr>
          <w:rFonts w:ascii="Arial" w:eastAsia="Calibri" w:hAnsi="Arial" w:cs="Arial"/>
          <w:b/>
          <w:color w:val="000000" w:themeColor="text1"/>
          <w:sz w:val="22"/>
        </w:rPr>
        <w:t>a) Marco normativo</w:t>
      </w:r>
    </w:p>
    <w:p w14:paraId="17C212EB" w14:textId="77777777" w:rsidR="00864953" w:rsidRPr="009738BA" w:rsidRDefault="00864953" w:rsidP="006D3F80">
      <w:pPr>
        <w:spacing w:line="276" w:lineRule="auto"/>
        <w:jc w:val="both"/>
        <w:rPr>
          <w:rFonts w:ascii="Arial" w:eastAsia="Calibri" w:hAnsi="Arial" w:cs="Arial"/>
          <w:b/>
          <w:color w:val="000000" w:themeColor="text1"/>
          <w:sz w:val="22"/>
        </w:rPr>
      </w:pPr>
    </w:p>
    <w:p w14:paraId="0B5C72E7" w14:textId="77777777" w:rsidR="00864953" w:rsidRPr="009738BA" w:rsidRDefault="00864953" w:rsidP="00864953">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cuando no existe erogación presupuestal. La tesis desarrollada se expone a continuación. </w:t>
      </w:r>
    </w:p>
    <w:p w14:paraId="74B0BDDD" w14:textId="77777777" w:rsidR="00864953" w:rsidRPr="009738BA" w:rsidRDefault="00864953" w:rsidP="00864953">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El procedimiento de contratación de las entidades es reglado, es decir, no es discrecional y se deben consultar las normas que lo rigen para determinar la forma que la ley prevé para adelantarlo. Por consiguiente, las principales normas son: la Ley 80 de </w:t>
      </w:r>
      <w:proofErr w:type="gramStart"/>
      <w:r w:rsidRPr="009738BA">
        <w:rPr>
          <w:rFonts w:ascii="Arial" w:eastAsia="Calibri" w:hAnsi="Arial" w:cs="Arial"/>
          <w:color w:val="000000" w:themeColor="text1"/>
          <w:sz w:val="22"/>
        </w:rPr>
        <w:t>1993  ̶</w:t>
      </w:r>
      <w:proofErr w:type="gramEnd"/>
      <w:r w:rsidRPr="009738BA">
        <w:rPr>
          <w:rFonts w:ascii="Arial" w:eastAsia="Calibri" w:hAnsi="Arial" w:cs="Arial"/>
          <w:color w:val="000000" w:themeColor="text1"/>
          <w:sz w:val="22"/>
        </w:rPr>
        <w:t xml:space="preserve"> Estatuto General de Contratación de la Administración Pública ̶ ; la Ley 1150 de 2007, que regula las modalidades de selección para la escogencia del contratista; y el Decreto 1082 de 2015, que es reglamentario y concreta cada modalidad de selección, señalando las reglas o pasos a seguir para celebrar el contrato estatal</w:t>
      </w:r>
      <w:r w:rsidRPr="009738BA">
        <w:rPr>
          <w:rStyle w:val="Refdenotaalpie"/>
          <w:rFonts w:ascii="Arial" w:eastAsia="Calibri" w:hAnsi="Arial" w:cs="Arial"/>
          <w:color w:val="000000" w:themeColor="text1"/>
          <w:sz w:val="22"/>
        </w:rPr>
        <w:footnoteReference w:id="21"/>
      </w:r>
      <w:r w:rsidRPr="009738BA">
        <w:rPr>
          <w:rFonts w:ascii="Arial" w:eastAsia="Calibri" w:hAnsi="Arial" w:cs="Arial"/>
          <w:color w:val="000000" w:themeColor="text1"/>
          <w:sz w:val="22"/>
        </w:rPr>
        <w:t>. Por consiguiente, para que los documentos de la actividad contractual se conozcan, la entidad debe publicarlos, sin importar la modalidad de selección utilizada. El parágrafo 2 del artículo 2 de la Ley 1150 de 2007</w:t>
      </w:r>
      <w:r w:rsidRPr="009738BA">
        <w:rPr>
          <w:rStyle w:val="Refdenotaalpie"/>
          <w:rFonts w:ascii="Arial" w:eastAsia="Calibri" w:hAnsi="Arial" w:cs="Arial"/>
          <w:color w:val="000000" w:themeColor="text1"/>
          <w:sz w:val="22"/>
        </w:rPr>
        <w:footnoteReference w:id="22"/>
      </w:r>
      <w:r w:rsidRPr="009738BA">
        <w:rPr>
          <w:rFonts w:ascii="Arial" w:eastAsia="Calibri" w:hAnsi="Arial" w:cs="Arial"/>
          <w:color w:val="000000" w:themeColor="text1"/>
          <w:sz w:val="22"/>
        </w:rPr>
        <w:t xml:space="preserve"> y el artículo 2.2.1.1.1.3.1. del Decreto 1082 de 2015 definen cuáles son esos </w:t>
      </w:r>
      <w:r w:rsidRPr="009738BA">
        <w:rPr>
          <w:rFonts w:ascii="Arial" w:eastAsia="Calibri" w:hAnsi="Arial" w:cs="Arial"/>
          <w:color w:val="000000" w:themeColor="text1"/>
          <w:sz w:val="22"/>
        </w:rPr>
        <w:lastRenderedPageBreak/>
        <w:t>documentos: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B70BF19" w14:textId="77777777" w:rsidR="00864953" w:rsidRPr="009738BA" w:rsidRDefault="00864953" w:rsidP="00345181">
      <w:pPr>
        <w:spacing w:before="120"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9738BA">
        <w:rPr>
          <w:rStyle w:val="Refdenotaalpie"/>
          <w:rFonts w:ascii="Arial" w:eastAsia="Calibri" w:hAnsi="Arial" w:cs="Arial"/>
          <w:color w:val="000000" w:themeColor="text1"/>
          <w:sz w:val="22"/>
        </w:rPr>
        <w:footnoteReference w:id="23"/>
      </w:r>
      <w:r w:rsidRPr="009738BA">
        <w:rPr>
          <w:rFonts w:ascii="Arial" w:eastAsia="Calibri" w:hAnsi="Arial" w:cs="Arial"/>
          <w:color w:val="000000" w:themeColor="text1"/>
          <w:sz w:val="22"/>
        </w:rPr>
        <w:t>, lo cual permite controlar las actuaciones y decisiones de la Administración y el cumplimiento de los demás principios de la contratación pública. Así lo confirma el Consejo de Estado, que analizó el principio de publicidad:</w:t>
      </w:r>
    </w:p>
    <w:p w14:paraId="6F5FE6A4" w14:textId="77777777" w:rsidR="00864953" w:rsidRPr="009738BA" w:rsidRDefault="00864953" w:rsidP="00345181">
      <w:pPr>
        <w:jc w:val="both"/>
        <w:rPr>
          <w:rFonts w:ascii="Arial" w:eastAsia="Calibri" w:hAnsi="Arial" w:cs="Arial"/>
          <w:color w:val="000000" w:themeColor="text1"/>
          <w:sz w:val="22"/>
        </w:rPr>
      </w:pPr>
    </w:p>
    <w:p w14:paraId="4D200322" w14:textId="77777777" w:rsidR="00864953" w:rsidRPr="009738BA" w:rsidRDefault="00864953" w:rsidP="00345181">
      <w:pPr>
        <w:ind w:left="708" w:right="680"/>
        <w:jc w:val="both"/>
        <w:rPr>
          <w:rFonts w:ascii="Arial" w:eastAsia="Calibri" w:hAnsi="Arial" w:cs="Arial"/>
          <w:color w:val="000000" w:themeColor="text1"/>
          <w:sz w:val="22"/>
        </w:rPr>
      </w:pPr>
      <w:r w:rsidRPr="009738BA">
        <w:rPr>
          <w:rFonts w:ascii="Arial" w:eastAsia="Calibri" w:hAnsi="Arial" w:cs="Arial"/>
          <w:color w:val="000000" w:themeColor="text1"/>
          <w:sz w:val="22"/>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9738BA">
        <w:rPr>
          <w:rFonts w:ascii="Arial" w:hAnsi="Arial" w:cs="Arial"/>
          <w:color w:val="000000" w:themeColor="text1"/>
          <w:sz w:val="22"/>
        </w:rPr>
        <w:t xml:space="preserve"> </w:t>
      </w:r>
      <w:r w:rsidRPr="009738BA">
        <w:rPr>
          <w:rFonts w:ascii="Arial" w:eastAsia="Calibri" w:hAnsi="Arial" w:cs="Arial"/>
          <w:color w:val="000000" w:themeColor="text1"/>
          <w:sz w:val="22"/>
        </w:rPr>
        <w:t>hacerlas saber a quiénes va dirigida, de manera que puedan ser obligatorias, controvertibles y controlables.</w:t>
      </w:r>
    </w:p>
    <w:p w14:paraId="60251C5F" w14:textId="77777777" w:rsidR="00864953" w:rsidRPr="009738BA" w:rsidRDefault="00864953" w:rsidP="00345181">
      <w:pPr>
        <w:ind w:left="708" w:right="680"/>
        <w:jc w:val="both"/>
        <w:rPr>
          <w:rFonts w:ascii="Arial" w:eastAsia="Calibri" w:hAnsi="Arial" w:cs="Arial"/>
          <w:color w:val="000000" w:themeColor="text1"/>
          <w:sz w:val="22"/>
        </w:rPr>
      </w:pPr>
    </w:p>
    <w:p w14:paraId="0ABE4D5E" w14:textId="77777777" w:rsidR="00864953" w:rsidRPr="009738BA" w:rsidRDefault="00864953" w:rsidP="00345181">
      <w:pPr>
        <w:ind w:left="708" w:right="680"/>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9738BA">
        <w:rPr>
          <w:rFonts w:ascii="Arial" w:eastAsia="Calibri" w:hAnsi="Arial" w:cs="Arial"/>
          <w:color w:val="000000" w:themeColor="text1"/>
          <w:sz w:val="22"/>
        </w:rPr>
        <w:t>ibídem</w:t>
      </w:r>
      <w:proofErr w:type="spellEnd"/>
      <w:r w:rsidRPr="009738BA">
        <w:rPr>
          <w:rFonts w:ascii="Arial" w:eastAsia="Calibri" w:hAnsi="Arial" w:cs="Arial"/>
          <w:color w:val="000000" w:themeColor="text1"/>
          <w:sz w:val="22"/>
        </w:rPr>
        <w:t xml:space="preserve"> en armonía con el artículo 273 de la Constitución Política).</w:t>
      </w:r>
    </w:p>
    <w:p w14:paraId="41AAD55B" w14:textId="77777777" w:rsidR="00864953" w:rsidRPr="009738BA" w:rsidRDefault="00864953" w:rsidP="00345181">
      <w:pPr>
        <w:ind w:left="708" w:right="680"/>
        <w:jc w:val="both"/>
        <w:rPr>
          <w:rFonts w:ascii="Arial" w:eastAsia="Calibri" w:hAnsi="Arial" w:cs="Arial"/>
          <w:color w:val="000000" w:themeColor="text1"/>
          <w:sz w:val="22"/>
        </w:rPr>
      </w:pPr>
    </w:p>
    <w:p w14:paraId="51C7E577" w14:textId="77777777" w:rsidR="00864953" w:rsidRPr="009738BA" w:rsidRDefault="00864953" w:rsidP="00345181">
      <w:pPr>
        <w:ind w:left="708" w:right="680"/>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w:t>
      </w:r>
      <w:r w:rsidRPr="009738BA">
        <w:rPr>
          <w:rFonts w:ascii="Arial" w:eastAsia="Calibri" w:hAnsi="Arial" w:cs="Arial"/>
          <w:color w:val="000000" w:themeColor="text1"/>
          <w:sz w:val="22"/>
        </w:rPr>
        <w:lastRenderedPageBreak/>
        <w:t>(art. 23 y 74 de la C.P., No. 4 del artículo 24 de la Ley 80 de 1993, entre otros)</w:t>
      </w:r>
      <w:r w:rsidRPr="009738BA">
        <w:rPr>
          <w:rStyle w:val="Refdenotaalpie"/>
          <w:rFonts w:ascii="Arial" w:eastAsia="Calibri" w:hAnsi="Arial" w:cs="Arial"/>
          <w:color w:val="000000" w:themeColor="text1"/>
          <w:sz w:val="22"/>
        </w:rPr>
        <w:footnoteReference w:id="24"/>
      </w:r>
      <w:r w:rsidRPr="009738BA">
        <w:rPr>
          <w:rFonts w:ascii="Arial" w:eastAsia="Calibri" w:hAnsi="Arial" w:cs="Arial"/>
          <w:color w:val="000000" w:themeColor="text1"/>
          <w:sz w:val="22"/>
        </w:rPr>
        <w:t>.</w:t>
      </w:r>
    </w:p>
    <w:p w14:paraId="7CBAE529" w14:textId="77777777" w:rsidR="00864953" w:rsidRPr="009738BA" w:rsidRDefault="00864953" w:rsidP="00864953">
      <w:pPr>
        <w:ind w:left="708" w:right="680"/>
        <w:jc w:val="both"/>
        <w:rPr>
          <w:rFonts w:ascii="Arial" w:eastAsia="Calibri" w:hAnsi="Arial" w:cs="Arial"/>
          <w:color w:val="000000" w:themeColor="text1"/>
          <w:sz w:val="22"/>
        </w:rPr>
      </w:pPr>
    </w:p>
    <w:p w14:paraId="28F65B6B" w14:textId="4578807C" w:rsidR="00864953" w:rsidRPr="009738BA" w:rsidRDefault="00864953" w:rsidP="00864953">
      <w:pPr>
        <w:spacing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w:t>
      </w:r>
      <w:r w:rsidR="00345181" w:rsidRPr="009738BA">
        <w:rPr>
          <w:rFonts w:ascii="Arial" w:eastAsia="Calibri" w:hAnsi="Arial" w:cs="Arial"/>
          <w:color w:val="000000" w:themeColor="text1"/>
          <w:sz w:val="22"/>
        </w:rPr>
        <w:t>─</w:t>
      </w:r>
      <w:r w:rsidRPr="009738BA">
        <w:rPr>
          <w:rFonts w:ascii="Arial" w:eastAsia="Calibri" w:hAnsi="Arial" w:cs="Arial"/>
          <w:color w:val="000000" w:themeColor="text1"/>
          <w:sz w:val="22"/>
        </w:rPr>
        <w:t xml:space="preserve"> Colombia Compra Eficiente, </w:t>
      </w:r>
      <w:bookmarkStart w:id="2" w:name="_Hlk22626097"/>
      <w:r w:rsidRPr="009738BA">
        <w:rPr>
          <w:rFonts w:ascii="Arial" w:eastAsia="Calibri" w:hAnsi="Arial" w:cs="Arial"/>
          <w:color w:val="000000" w:themeColor="text1"/>
          <w:sz w:val="22"/>
        </w:rPr>
        <w:t>mediante la Circular Externa No 1 de 21 de junio de 2013, recopilada en la Circular Externa Única</w:t>
      </w:r>
      <w:r w:rsidRPr="009738BA">
        <w:rPr>
          <w:rFonts w:eastAsia="Calibri"/>
          <w:color w:val="000000" w:themeColor="text1"/>
          <w:vertAlign w:val="superscript"/>
        </w:rPr>
        <w:footnoteReference w:id="25"/>
      </w:r>
      <w:r w:rsidRPr="009738BA">
        <w:rPr>
          <w:rFonts w:ascii="Arial" w:eastAsia="Calibri" w:hAnsi="Arial" w:cs="Arial"/>
          <w:color w:val="000000" w:themeColor="text1"/>
          <w:sz w:val="22"/>
        </w:rPr>
        <w:t>,</w:t>
      </w:r>
      <w:bookmarkEnd w:id="2"/>
      <w:r w:rsidRPr="009738BA">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p>
    <w:p w14:paraId="0E1DE5BA" w14:textId="77777777" w:rsidR="00864953" w:rsidRPr="009738BA" w:rsidRDefault="00864953" w:rsidP="00864953">
      <w:pPr>
        <w:spacing w:line="276" w:lineRule="auto"/>
        <w:jc w:val="both"/>
        <w:rPr>
          <w:rFonts w:ascii="Arial" w:eastAsia="Calibri" w:hAnsi="Arial" w:cs="Arial"/>
          <w:color w:val="000000" w:themeColor="text1"/>
          <w:sz w:val="22"/>
        </w:rPr>
      </w:pPr>
    </w:p>
    <w:p w14:paraId="2C02B97C" w14:textId="7AA70A30" w:rsidR="00864953" w:rsidRPr="009738BA" w:rsidRDefault="00345181" w:rsidP="00864953">
      <w:pPr>
        <w:spacing w:line="276" w:lineRule="auto"/>
        <w:jc w:val="both"/>
        <w:rPr>
          <w:rFonts w:ascii="Arial" w:eastAsia="Calibri" w:hAnsi="Arial" w:cs="Arial"/>
          <w:b/>
          <w:color w:val="000000" w:themeColor="text1"/>
          <w:sz w:val="22"/>
        </w:rPr>
      </w:pPr>
      <w:r w:rsidRPr="009738BA">
        <w:rPr>
          <w:rFonts w:ascii="Arial" w:eastAsia="Calibri" w:hAnsi="Arial" w:cs="Arial"/>
          <w:b/>
          <w:color w:val="000000" w:themeColor="text1"/>
          <w:sz w:val="22"/>
        </w:rPr>
        <w:t>2.2.3.</w:t>
      </w:r>
      <w:r w:rsidR="00864953" w:rsidRPr="009738BA">
        <w:rPr>
          <w:rFonts w:ascii="Arial" w:eastAsia="Calibri" w:hAnsi="Arial" w:cs="Arial"/>
          <w:b/>
          <w:color w:val="000000" w:themeColor="text1"/>
          <w:sz w:val="22"/>
        </w:rPr>
        <w:t xml:space="preserve"> El Sistema Electrónico de Contratación Pública – SECOP: transformación hacia la tecnología y los medios electrónicos </w:t>
      </w:r>
    </w:p>
    <w:p w14:paraId="7F928443" w14:textId="77777777" w:rsidR="00864953" w:rsidRPr="009738BA" w:rsidRDefault="00864953" w:rsidP="00864953">
      <w:pPr>
        <w:spacing w:line="276" w:lineRule="auto"/>
        <w:jc w:val="both"/>
        <w:rPr>
          <w:rFonts w:ascii="Arial" w:eastAsia="Calibri" w:hAnsi="Arial" w:cs="Arial"/>
          <w:color w:val="000000" w:themeColor="text1"/>
          <w:sz w:val="22"/>
        </w:rPr>
      </w:pPr>
    </w:p>
    <w:p w14:paraId="32E903B7" w14:textId="77777777" w:rsidR="00864953" w:rsidRPr="009738BA" w:rsidRDefault="00864953" w:rsidP="00864953">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9738BA">
        <w:rPr>
          <w:rStyle w:val="Refdenotaalpie"/>
          <w:rFonts w:ascii="Arial" w:eastAsia="Calibri" w:hAnsi="Arial" w:cs="Arial"/>
          <w:color w:val="000000" w:themeColor="text1"/>
          <w:sz w:val="22"/>
        </w:rPr>
        <w:footnoteReference w:id="26"/>
      </w:r>
      <w:r w:rsidRPr="009738BA">
        <w:rPr>
          <w:rFonts w:ascii="Arial" w:eastAsia="Calibri" w:hAnsi="Arial" w:cs="Arial"/>
          <w:color w:val="000000" w:themeColor="text1"/>
          <w:sz w:val="22"/>
        </w:rPr>
        <w:t xml:space="preserve">. Este sistema debe contar con la información </w:t>
      </w:r>
      <w:r w:rsidRPr="009738BA">
        <w:rPr>
          <w:rFonts w:ascii="Arial" w:eastAsia="Calibri" w:hAnsi="Arial" w:cs="Arial"/>
          <w:color w:val="000000" w:themeColor="text1"/>
          <w:sz w:val="22"/>
        </w:rPr>
        <w:lastRenderedPageBreak/>
        <w:t>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3040433F" w14:textId="77777777" w:rsidR="00864953" w:rsidRPr="009738BA" w:rsidRDefault="00864953" w:rsidP="00864953">
      <w:pPr>
        <w:spacing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9738BA">
        <w:rPr>
          <w:rFonts w:ascii="Arial" w:eastAsia="Calibri" w:hAnsi="Arial" w:cs="Arial"/>
          <w:color w:val="000000" w:themeColor="text1"/>
          <w:sz w:val="22"/>
        </w:rPr>
        <w:t>autoridades públicas</w:t>
      </w:r>
      <w:proofErr w:type="gramEnd"/>
      <w:r w:rsidRPr="009738BA">
        <w:rPr>
          <w:rFonts w:ascii="Arial" w:eastAsia="Calibri" w:hAnsi="Arial" w:cs="Arial"/>
          <w:color w:val="000000" w:themeColor="text1"/>
          <w:sz w:val="22"/>
        </w:rPr>
        <w:t xml:space="preserve"> en el ejercicio de las funciones administrativas que la ley les otorga. No obstante,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 </w:t>
      </w:r>
    </w:p>
    <w:p w14:paraId="2C609178" w14:textId="77777777" w:rsidR="00864953" w:rsidRPr="009738BA" w:rsidRDefault="00864953" w:rsidP="00864953">
      <w:pPr>
        <w:spacing w:before="120" w:after="120" w:line="276" w:lineRule="auto"/>
        <w:ind w:firstLine="708"/>
        <w:jc w:val="both"/>
        <w:rPr>
          <w:rFonts w:ascii="Arial" w:eastAsia="Calibri" w:hAnsi="Arial" w:cs="Arial"/>
          <w:color w:val="000000" w:themeColor="text1"/>
          <w:sz w:val="22"/>
        </w:rPr>
      </w:pPr>
      <w:r w:rsidRPr="009738BA">
        <w:rPr>
          <w:rFonts w:ascii="Arial" w:eastAsia="Calibri" w:hAnsi="Arial" w:cs="Arial"/>
          <w:color w:val="000000" w:themeColor="text1"/>
          <w:sz w:val="22"/>
        </w:rPr>
        <w:t>Lo anterior se armoniza con el artículo 2.2.1.1.1.7.1. del Decreto 1082 de 2015, que relaciona los documentos que se deben publicar en el SECOP, sin que haga referencia a aquellos actos que ejecuten recursos públicos, porque el interés principal de las normas es el principio de transparencia y publicidad, es decir, que la ciudadanía conozca la actividad contractual de las entidades, sin importar que se involucren recursos públicos, más aún cuando cada documento da cuenta de las decisiones de la Administración pública en beneficio del interés general, lo cual puede o no requerir dineros del erario, sin que en ello radique el interés de la ciudadanía en conocer lo relacionado con los organismos que la dirigen.</w:t>
      </w:r>
    </w:p>
    <w:p w14:paraId="2108CFD2" w14:textId="0FB96A4F" w:rsidR="00864953" w:rsidRPr="009738BA" w:rsidRDefault="00864953" w:rsidP="006D3F80">
      <w:pPr>
        <w:spacing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 xml:space="preserve">Analizando las normas de publicidad en el SECOP, se concluye que no existen disposiciones de las que se pueda inferir el interés de la ley en exigir la publicación de los actos que involucren la ejecución de recursos públicos, puesto que su objetivo es general y se refiere a la actividad precontractual, contractual y </w:t>
      </w:r>
      <w:proofErr w:type="spellStart"/>
      <w:r w:rsidRPr="009738BA">
        <w:rPr>
          <w:rFonts w:ascii="Arial" w:eastAsia="Calibri" w:hAnsi="Arial" w:cs="Arial"/>
          <w:color w:val="000000" w:themeColor="text1"/>
          <w:sz w:val="22"/>
        </w:rPr>
        <w:t>poscontractual</w:t>
      </w:r>
      <w:proofErr w:type="spellEnd"/>
      <w:r w:rsidRPr="009738BA">
        <w:rPr>
          <w:rFonts w:ascii="Arial" w:eastAsia="Calibri" w:hAnsi="Arial" w:cs="Arial"/>
          <w:color w:val="000000" w:themeColor="text1"/>
          <w:sz w:val="22"/>
        </w:rPr>
        <w:t xml:space="preserve"> de las entidades, sin que pueda existir una interpretación diferente, debido a la finalidad de la ley respecto de la ciudadanía y su derecho a conocer las decisiones de la Administración pública.</w:t>
      </w:r>
    </w:p>
    <w:p w14:paraId="5E6B8351" w14:textId="4DBEADBF" w:rsidR="005A79FE" w:rsidRPr="009738BA" w:rsidRDefault="005A79FE" w:rsidP="006D3F80">
      <w:pPr>
        <w:spacing w:line="276" w:lineRule="auto"/>
        <w:jc w:val="both"/>
        <w:rPr>
          <w:rFonts w:ascii="Arial" w:eastAsia="Calibri" w:hAnsi="Arial" w:cs="Arial"/>
          <w:b/>
          <w:color w:val="000000" w:themeColor="text1"/>
          <w:sz w:val="22"/>
        </w:rPr>
      </w:pPr>
    </w:p>
    <w:p w14:paraId="5D99A3C6" w14:textId="5463A561" w:rsidR="005A79FE" w:rsidRPr="009738BA" w:rsidRDefault="005A79FE" w:rsidP="006D3F80">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9738BA">
        <w:rPr>
          <w:rFonts w:ascii="Arial" w:eastAsia="Calibri" w:hAnsi="Arial" w:cs="Arial"/>
          <w:b/>
          <w:color w:val="000000" w:themeColor="text1"/>
          <w:sz w:val="22"/>
        </w:rPr>
        <w:t>Respuesta</w:t>
      </w:r>
    </w:p>
    <w:p w14:paraId="6A2CCB9A" w14:textId="77777777" w:rsidR="005A79FE" w:rsidRPr="009738BA" w:rsidRDefault="005A79FE" w:rsidP="006D3F80">
      <w:pPr>
        <w:spacing w:line="276" w:lineRule="auto"/>
        <w:ind w:right="709"/>
        <w:jc w:val="both"/>
        <w:rPr>
          <w:rFonts w:ascii="Arial" w:eastAsia="Calibri" w:hAnsi="Arial" w:cs="Arial"/>
          <w:i/>
          <w:color w:val="000000" w:themeColor="text1"/>
          <w:sz w:val="22"/>
        </w:rPr>
      </w:pPr>
    </w:p>
    <w:p w14:paraId="538BC9A1" w14:textId="0989E3FC" w:rsidR="005A79FE" w:rsidRPr="009738BA" w:rsidRDefault="00F30712" w:rsidP="006D3F80">
      <w:pPr>
        <w:spacing w:line="276" w:lineRule="auto"/>
        <w:ind w:left="709" w:right="709"/>
        <w:jc w:val="both"/>
        <w:rPr>
          <w:rFonts w:ascii="Arial" w:eastAsia="Calibri" w:hAnsi="Arial" w:cs="Arial"/>
          <w:color w:val="000000" w:themeColor="text1"/>
          <w:sz w:val="22"/>
        </w:rPr>
      </w:pPr>
      <w:r w:rsidRPr="009738BA">
        <w:rPr>
          <w:rFonts w:ascii="Arial" w:eastAsia="Calibri" w:hAnsi="Arial" w:cs="Arial"/>
          <w:color w:val="000000" w:themeColor="text1"/>
          <w:sz w:val="22"/>
        </w:rPr>
        <w:t>«</w:t>
      </w:r>
      <w:r w:rsidR="005A79FE" w:rsidRPr="009738BA">
        <w:rPr>
          <w:rFonts w:ascii="Arial" w:eastAsia="Calibri" w:hAnsi="Arial" w:cs="Arial"/>
          <w:color w:val="000000" w:themeColor="text1"/>
          <w:sz w:val="22"/>
        </w:rPr>
        <w:t>¿</w:t>
      </w:r>
      <w:r w:rsidR="00BB0148" w:rsidRPr="009738BA">
        <w:rPr>
          <w:rFonts w:ascii="Arial" w:eastAsia="Calibri" w:hAnsi="Arial" w:cs="Arial"/>
          <w:color w:val="000000" w:themeColor="text1"/>
          <w:sz w:val="22"/>
        </w:rPr>
        <w:t xml:space="preserve">Nos informe si los convenios suscritos en el marco de procesos de elecciones de personeros </w:t>
      </w:r>
      <w:proofErr w:type="gramStart"/>
      <w:r w:rsidR="00BB0148" w:rsidRPr="009738BA">
        <w:rPr>
          <w:rFonts w:ascii="Arial" w:eastAsia="Calibri" w:hAnsi="Arial" w:cs="Arial"/>
          <w:color w:val="000000" w:themeColor="text1"/>
          <w:sz w:val="22"/>
        </w:rPr>
        <w:t>municipales,</w:t>
      </w:r>
      <w:proofErr w:type="gramEnd"/>
      <w:r w:rsidR="00BB0148" w:rsidRPr="009738BA">
        <w:rPr>
          <w:rFonts w:ascii="Arial" w:eastAsia="Calibri" w:hAnsi="Arial" w:cs="Arial"/>
          <w:color w:val="000000" w:themeColor="text1"/>
          <w:sz w:val="22"/>
        </w:rPr>
        <w:t xml:space="preserve"> deben ser cargados al aplicativo SECOP</w:t>
      </w:r>
      <w:r w:rsidR="005A79FE" w:rsidRPr="009738BA">
        <w:rPr>
          <w:rFonts w:ascii="Arial" w:eastAsia="Calibri" w:hAnsi="Arial" w:cs="Arial"/>
          <w:color w:val="000000" w:themeColor="text1"/>
          <w:sz w:val="22"/>
        </w:rPr>
        <w:t>?</w:t>
      </w:r>
      <w:r w:rsidRPr="009738BA">
        <w:rPr>
          <w:rFonts w:ascii="Arial" w:eastAsia="Calibri" w:hAnsi="Arial" w:cs="Arial"/>
          <w:color w:val="000000" w:themeColor="text1"/>
          <w:sz w:val="22"/>
        </w:rPr>
        <w:t>».</w:t>
      </w:r>
    </w:p>
    <w:p w14:paraId="2070B699" w14:textId="77777777" w:rsidR="000B40AF" w:rsidRPr="009738BA" w:rsidRDefault="00ED1632" w:rsidP="006D3F80">
      <w:pPr>
        <w:spacing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lastRenderedPageBreak/>
        <w:t>Los Concejos Municipales</w:t>
      </w:r>
      <w:r w:rsidR="00D34394" w:rsidRPr="009738BA">
        <w:rPr>
          <w:rFonts w:ascii="Arial" w:eastAsia="Calibri" w:hAnsi="Arial" w:cs="Arial"/>
          <w:color w:val="000000" w:themeColor="text1"/>
          <w:sz w:val="22"/>
        </w:rPr>
        <w:t xml:space="preserve"> son la autoridad competente para </w:t>
      </w:r>
      <w:r w:rsidR="00DD0E69" w:rsidRPr="009738BA">
        <w:rPr>
          <w:rFonts w:ascii="Arial" w:eastAsia="Calibri" w:hAnsi="Arial" w:cs="Arial"/>
          <w:color w:val="000000" w:themeColor="text1"/>
          <w:sz w:val="22"/>
        </w:rPr>
        <w:t>elegir al Personero Muni</w:t>
      </w:r>
      <w:r w:rsidR="001C4B29" w:rsidRPr="009738BA">
        <w:rPr>
          <w:rFonts w:ascii="Arial" w:eastAsia="Calibri" w:hAnsi="Arial" w:cs="Arial"/>
          <w:color w:val="000000" w:themeColor="text1"/>
          <w:sz w:val="22"/>
        </w:rPr>
        <w:t xml:space="preserve">cipal; en ejercicio de esa competencia están facultados para </w:t>
      </w:r>
      <w:r w:rsidR="0019225D" w:rsidRPr="009738BA">
        <w:rPr>
          <w:rFonts w:ascii="Arial" w:eastAsia="Calibri" w:hAnsi="Arial" w:cs="Arial"/>
          <w:color w:val="000000" w:themeColor="text1"/>
          <w:sz w:val="22"/>
        </w:rPr>
        <w:t>suscribir contratos o convenios interadministrativos con</w:t>
      </w:r>
      <w:r w:rsidR="004E310C" w:rsidRPr="009738BA">
        <w:rPr>
          <w:rFonts w:ascii="Arial" w:eastAsia="Calibri" w:hAnsi="Arial" w:cs="Arial"/>
          <w:color w:val="000000" w:themeColor="text1"/>
          <w:sz w:val="22"/>
        </w:rPr>
        <w:t xml:space="preserve"> </w:t>
      </w:r>
      <w:r w:rsidR="0019225D" w:rsidRPr="009738BA">
        <w:rPr>
          <w:rFonts w:ascii="Arial" w:eastAsia="Calibri" w:hAnsi="Arial" w:cs="Arial"/>
          <w:color w:val="000000" w:themeColor="text1"/>
          <w:sz w:val="22"/>
        </w:rPr>
        <w:t>universidades o instituciones de educación superior públicas o privadas o con entidades especializadas en procesos de selección de personal</w:t>
      </w:r>
      <w:r w:rsidR="009A2CD3" w:rsidRPr="009738BA">
        <w:rPr>
          <w:rFonts w:ascii="Arial" w:eastAsia="Calibri" w:hAnsi="Arial" w:cs="Arial"/>
          <w:color w:val="000000" w:themeColor="text1"/>
          <w:sz w:val="22"/>
        </w:rPr>
        <w:t xml:space="preserve">; </w:t>
      </w:r>
      <w:r w:rsidR="004E310C" w:rsidRPr="009738BA">
        <w:rPr>
          <w:rFonts w:ascii="Arial" w:eastAsia="Calibri" w:hAnsi="Arial" w:cs="Arial"/>
          <w:color w:val="000000" w:themeColor="text1"/>
          <w:sz w:val="22"/>
        </w:rPr>
        <w:t>esto implica el desa</w:t>
      </w:r>
      <w:r w:rsidR="00927CD8" w:rsidRPr="009738BA">
        <w:rPr>
          <w:rFonts w:ascii="Arial" w:eastAsia="Calibri" w:hAnsi="Arial" w:cs="Arial"/>
          <w:color w:val="000000" w:themeColor="text1"/>
          <w:sz w:val="22"/>
        </w:rPr>
        <w:t>rrollo de un</w:t>
      </w:r>
      <w:r w:rsidR="00997492" w:rsidRPr="009738BA">
        <w:rPr>
          <w:rFonts w:ascii="Arial" w:eastAsia="Calibri" w:hAnsi="Arial" w:cs="Arial"/>
          <w:color w:val="000000" w:themeColor="text1"/>
          <w:sz w:val="22"/>
        </w:rPr>
        <w:t xml:space="preserve"> </w:t>
      </w:r>
      <w:r w:rsidR="003B6D7D" w:rsidRPr="009738BA">
        <w:rPr>
          <w:rFonts w:ascii="Arial" w:eastAsia="Calibri" w:hAnsi="Arial" w:cs="Arial"/>
          <w:color w:val="000000" w:themeColor="text1"/>
          <w:sz w:val="22"/>
        </w:rPr>
        <w:t>p</w:t>
      </w:r>
      <w:r w:rsidR="00997492" w:rsidRPr="009738BA">
        <w:rPr>
          <w:rFonts w:ascii="Arial" w:eastAsia="Calibri" w:hAnsi="Arial" w:cs="Arial"/>
          <w:color w:val="000000" w:themeColor="text1"/>
          <w:sz w:val="22"/>
        </w:rPr>
        <w:t xml:space="preserve">roceso de </w:t>
      </w:r>
      <w:r w:rsidR="003B6D7D" w:rsidRPr="009738BA">
        <w:rPr>
          <w:rFonts w:ascii="Arial" w:eastAsia="Calibri" w:hAnsi="Arial" w:cs="Arial"/>
          <w:color w:val="000000" w:themeColor="text1"/>
          <w:sz w:val="22"/>
        </w:rPr>
        <w:t>c</w:t>
      </w:r>
      <w:r w:rsidR="00997492" w:rsidRPr="009738BA">
        <w:rPr>
          <w:rFonts w:ascii="Arial" w:eastAsia="Calibri" w:hAnsi="Arial" w:cs="Arial"/>
          <w:color w:val="000000" w:themeColor="text1"/>
          <w:sz w:val="22"/>
        </w:rPr>
        <w:t>ontrata</w:t>
      </w:r>
      <w:r w:rsidR="002F7C35" w:rsidRPr="009738BA">
        <w:rPr>
          <w:rFonts w:ascii="Arial" w:eastAsia="Calibri" w:hAnsi="Arial" w:cs="Arial"/>
          <w:color w:val="000000" w:themeColor="text1"/>
          <w:sz w:val="22"/>
        </w:rPr>
        <w:t>ción</w:t>
      </w:r>
      <w:r w:rsidR="003F7D69" w:rsidRPr="009738BA">
        <w:rPr>
          <w:rFonts w:ascii="Arial" w:eastAsia="Calibri" w:hAnsi="Arial" w:cs="Arial"/>
          <w:color w:val="000000" w:themeColor="text1"/>
          <w:sz w:val="22"/>
        </w:rPr>
        <w:t xml:space="preserve"> </w:t>
      </w:r>
      <w:r w:rsidR="00927CD8" w:rsidRPr="009738BA">
        <w:rPr>
          <w:rFonts w:ascii="Arial" w:eastAsia="Calibri" w:hAnsi="Arial" w:cs="Arial"/>
          <w:color w:val="000000" w:themeColor="text1"/>
          <w:sz w:val="22"/>
        </w:rPr>
        <w:t xml:space="preserve">por parte de esa </w:t>
      </w:r>
      <w:r w:rsidR="00FD4429" w:rsidRPr="009738BA">
        <w:rPr>
          <w:rFonts w:ascii="Arial" w:eastAsia="Calibri" w:hAnsi="Arial" w:cs="Arial"/>
          <w:color w:val="000000" w:themeColor="text1"/>
          <w:sz w:val="22"/>
        </w:rPr>
        <w:t>c</w:t>
      </w:r>
      <w:r w:rsidR="00927CD8" w:rsidRPr="009738BA">
        <w:rPr>
          <w:rFonts w:ascii="Arial" w:eastAsia="Calibri" w:hAnsi="Arial" w:cs="Arial"/>
          <w:color w:val="000000" w:themeColor="text1"/>
          <w:sz w:val="22"/>
        </w:rPr>
        <w:t xml:space="preserve">orporación </w:t>
      </w:r>
      <w:r w:rsidR="00FD4429" w:rsidRPr="009738BA">
        <w:rPr>
          <w:rFonts w:ascii="Arial" w:eastAsia="Calibri" w:hAnsi="Arial" w:cs="Arial"/>
          <w:color w:val="000000" w:themeColor="text1"/>
          <w:sz w:val="22"/>
        </w:rPr>
        <w:t>p</w:t>
      </w:r>
      <w:r w:rsidR="00927CD8" w:rsidRPr="009738BA">
        <w:rPr>
          <w:rFonts w:ascii="Arial" w:eastAsia="Calibri" w:hAnsi="Arial" w:cs="Arial"/>
          <w:color w:val="000000" w:themeColor="text1"/>
          <w:sz w:val="22"/>
        </w:rPr>
        <w:t>ública.</w:t>
      </w:r>
    </w:p>
    <w:p w14:paraId="7968ED43" w14:textId="763BF06E" w:rsidR="00ED1632" w:rsidRPr="009738BA" w:rsidRDefault="008D708E" w:rsidP="006D3F80">
      <w:pPr>
        <w:spacing w:line="276" w:lineRule="auto"/>
        <w:ind w:firstLine="709"/>
        <w:jc w:val="both"/>
        <w:rPr>
          <w:rFonts w:ascii="Arial" w:eastAsia="Calibri" w:hAnsi="Arial" w:cs="Arial"/>
          <w:color w:val="000000" w:themeColor="text1"/>
          <w:sz w:val="22"/>
        </w:rPr>
      </w:pPr>
      <w:r w:rsidRPr="009738BA">
        <w:rPr>
          <w:rFonts w:ascii="Arial" w:eastAsia="Calibri" w:hAnsi="Arial" w:cs="Arial"/>
          <w:color w:val="000000" w:themeColor="text1"/>
          <w:sz w:val="22"/>
        </w:rPr>
        <w:t>Los</w:t>
      </w:r>
      <w:r w:rsidR="00CA6BF2" w:rsidRPr="009738BA">
        <w:rPr>
          <w:rFonts w:ascii="Arial" w:eastAsia="Calibri" w:hAnsi="Arial" w:cs="Arial"/>
          <w:color w:val="000000" w:themeColor="text1"/>
          <w:sz w:val="22"/>
        </w:rPr>
        <w:t xml:space="preserve"> Concejo</w:t>
      </w:r>
      <w:r w:rsidRPr="009738BA">
        <w:rPr>
          <w:rFonts w:ascii="Arial" w:eastAsia="Calibri" w:hAnsi="Arial" w:cs="Arial"/>
          <w:color w:val="000000" w:themeColor="text1"/>
          <w:sz w:val="22"/>
        </w:rPr>
        <w:t>s</w:t>
      </w:r>
      <w:r w:rsidR="00CA6BF2" w:rsidRPr="009738BA">
        <w:rPr>
          <w:rFonts w:ascii="Arial" w:eastAsia="Calibri" w:hAnsi="Arial" w:cs="Arial"/>
          <w:color w:val="000000" w:themeColor="text1"/>
          <w:sz w:val="22"/>
        </w:rPr>
        <w:t xml:space="preserve"> Municipal</w:t>
      </w:r>
      <w:r w:rsidRPr="009738BA">
        <w:rPr>
          <w:rFonts w:ascii="Arial" w:eastAsia="Calibri" w:hAnsi="Arial" w:cs="Arial"/>
          <w:color w:val="000000" w:themeColor="text1"/>
          <w:sz w:val="22"/>
        </w:rPr>
        <w:t>es</w:t>
      </w:r>
      <w:r w:rsidR="006D02D7" w:rsidRPr="009738BA">
        <w:rPr>
          <w:rFonts w:ascii="Arial" w:eastAsia="Calibri" w:hAnsi="Arial" w:cs="Arial"/>
          <w:color w:val="000000" w:themeColor="text1"/>
          <w:sz w:val="22"/>
        </w:rPr>
        <w:t>,</w:t>
      </w:r>
      <w:r w:rsidR="00927CD8" w:rsidRPr="009738BA">
        <w:rPr>
          <w:rFonts w:ascii="Arial" w:eastAsia="Calibri" w:hAnsi="Arial" w:cs="Arial"/>
          <w:color w:val="000000" w:themeColor="text1"/>
          <w:sz w:val="22"/>
        </w:rPr>
        <w:t xml:space="preserve"> </w:t>
      </w:r>
      <w:r w:rsidR="00F26760" w:rsidRPr="009738BA">
        <w:rPr>
          <w:rFonts w:ascii="Arial" w:eastAsia="Calibri" w:hAnsi="Arial" w:cs="Arial"/>
          <w:color w:val="000000" w:themeColor="text1"/>
          <w:sz w:val="22"/>
        </w:rPr>
        <w:t>independiente</w:t>
      </w:r>
      <w:r w:rsidR="00FD4429" w:rsidRPr="009738BA">
        <w:rPr>
          <w:rFonts w:ascii="Arial" w:eastAsia="Calibri" w:hAnsi="Arial" w:cs="Arial"/>
          <w:color w:val="000000" w:themeColor="text1"/>
          <w:sz w:val="22"/>
        </w:rPr>
        <w:t>mente</w:t>
      </w:r>
      <w:r w:rsidR="00F26760" w:rsidRPr="009738BA">
        <w:rPr>
          <w:rFonts w:ascii="Arial" w:eastAsia="Calibri" w:hAnsi="Arial" w:cs="Arial"/>
          <w:color w:val="000000" w:themeColor="text1"/>
          <w:sz w:val="22"/>
        </w:rPr>
        <w:t xml:space="preserve"> de </w:t>
      </w:r>
      <w:r w:rsidR="005D5CBC" w:rsidRPr="009738BA">
        <w:rPr>
          <w:rFonts w:ascii="Arial" w:eastAsia="Calibri" w:hAnsi="Arial" w:cs="Arial"/>
          <w:color w:val="000000" w:themeColor="text1"/>
          <w:sz w:val="22"/>
        </w:rPr>
        <w:t>la modalidad de selección</w:t>
      </w:r>
      <w:r w:rsidR="00B740A3" w:rsidRPr="009738BA">
        <w:rPr>
          <w:rFonts w:ascii="Arial" w:eastAsia="Calibri" w:hAnsi="Arial" w:cs="Arial"/>
          <w:color w:val="000000" w:themeColor="text1"/>
          <w:sz w:val="22"/>
        </w:rPr>
        <w:t xml:space="preserve"> utilizada p</w:t>
      </w:r>
      <w:r w:rsidRPr="009738BA">
        <w:rPr>
          <w:rFonts w:ascii="Arial" w:eastAsia="Calibri" w:hAnsi="Arial" w:cs="Arial"/>
          <w:color w:val="000000" w:themeColor="text1"/>
          <w:sz w:val="22"/>
        </w:rPr>
        <w:t>ar</w:t>
      </w:r>
      <w:r w:rsidR="00B740A3" w:rsidRPr="009738BA">
        <w:rPr>
          <w:rFonts w:ascii="Arial" w:eastAsia="Calibri" w:hAnsi="Arial" w:cs="Arial"/>
          <w:color w:val="000000" w:themeColor="text1"/>
          <w:sz w:val="22"/>
        </w:rPr>
        <w:t>a</w:t>
      </w:r>
      <w:r w:rsidRPr="009738BA">
        <w:rPr>
          <w:rFonts w:ascii="Arial" w:eastAsia="Calibri" w:hAnsi="Arial" w:cs="Arial"/>
          <w:color w:val="000000" w:themeColor="text1"/>
          <w:sz w:val="22"/>
        </w:rPr>
        <w:t xml:space="preserve"> </w:t>
      </w:r>
      <w:r w:rsidR="00B740A3" w:rsidRPr="009738BA">
        <w:rPr>
          <w:rFonts w:ascii="Arial" w:eastAsia="Calibri" w:hAnsi="Arial" w:cs="Arial"/>
          <w:color w:val="000000" w:themeColor="text1"/>
          <w:sz w:val="22"/>
        </w:rPr>
        <w:t xml:space="preserve">la escogencia de la </w:t>
      </w:r>
      <w:r w:rsidR="00FD17F3" w:rsidRPr="009738BA">
        <w:rPr>
          <w:rFonts w:ascii="Arial" w:eastAsia="Calibri" w:hAnsi="Arial" w:cs="Arial"/>
          <w:color w:val="000000" w:themeColor="text1"/>
          <w:sz w:val="22"/>
        </w:rPr>
        <w:t xml:space="preserve">institución que deba </w:t>
      </w:r>
      <w:r w:rsidR="005061AC" w:rsidRPr="009738BA">
        <w:rPr>
          <w:rFonts w:ascii="Arial" w:eastAsia="Calibri" w:hAnsi="Arial" w:cs="Arial"/>
          <w:color w:val="000000" w:themeColor="text1"/>
          <w:sz w:val="22"/>
        </w:rPr>
        <w:t xml:space="preserve">realizar el concurso de </w:t>
      </w:r>
      <w:r w:rsidR="00DE276D" w:rsidRPr="009738BA">
        <w:rPr>
          <w:rFonts w:ascii="Arial" w:eastAsia="Calibri" w:hAnsi="Arial" w:cs="Arial"/>
          <w:color w:val="000000" w:themeColor="text1"/>
          <w:sz w:val="22"/>
        </w:rPr>
        <w:t xml:space="preserve">público de méritos para la elección de Personero Municipal, </w:t>
      </w:r>
      <w:r w:rsidR="00DD2FD4" w:rsidRPr="009738BA">
        <w:rPr>
          <w:rFonts w:ascii="Arial" w:eastAsia="Calibri" w:hAnsi="Arial" w:cs="Arial"/>
          <w:color w:val="000000" w:themeColor="text1"/>
          <w:sz w:val="22"/>
        </w:rPr>
        <w:t xml:space="preserve">acorde con los preceptos analizados en el acápite de consideraciones, </w:t>
      </w:r>
      <w:r w:rsidR="00D1718E" w:rsidRPr="009738BA">
        <w:rPr>
          <w:rFonts w:ascii="Arial" w:eastAsia="Calibri" w:hAnsi="Arial" w:cs="Arial"/>
          <w:color w:val="000000" w:themeColor="text1"/>
          <w:sz w:val="22"/>
        </w:rPr>
        <w:t xml:space="preserve">están en la obligación de publicar su actividad contractual en el SECOP, inclusive los convenios </w:t>
      </w:r>
      <w:r w:rsidR="00FF6BC5" w:rsidRPr="009738BA">
        <w:rPr>
          <w:rFonts w:ascii="Arial" w:eastAsia="Calibri" w:hAnsi="Arial" w:cs="Arial"/>
          <w:color w:val="000000" w:themeColor="text1"/>
          <w:sz w:val="22"/>
        </w:rPr>
        <w:t xml:space="preserve">o contratos </w:t>
      </w:r>
      <w:r w:rsidR="00D1718E" w:rsidRPr="009738BA">
        <w:rPr>
          <w:rFonts w:ascii="Arial" w:eastAsia="Calibri" w:hAnsi="Arial" w:cs="Arial"/>
          <w:color w:val="000000" w:themeColor="text1"/>
          <w:sz w:val="22"/>
        </w:rPr>
        <w:t>interadministrativos suscritos con otras entidades públicas</w:t>
      </w:r>
      <w:r w:rsidR="00D63928" w:rsidRPr="009738BA">
        <w:rPr>
          <w:rFonts w:ascii="Arial" w:eastAsia="Calibri" w:hAnsi="Arial" w:cs="Arial"/>
          <w:color w:val="000000" w:themeColor="text1"/>
          <w:sz w:val="22"/>
        </w:rPr>
        <w:t xml:space="preserve"> para el cumplimiento de la mencionada función.</w:t>
      </w:r>
    </w:p>
    <w:p w14:paraId="00ACD882" w14:textId="7A3B4D45" w:rsidR="009D297F" w:rsidRPr="009738BA" w:rsidRDefault="009D297F" w:rsidP="004E7A34">
      <w:pPr>
        <w:jc w:val="both"/>
        <w:rPr>
          <w:rFonts w:ascii="Arial" w:hAnsi="Arial" w:cs="Arial"/>
          <w:color w:val="000000" w:themeColor="text1"/>
          <w:sz w:val="22"/>
        </w:rPr>
      </w:pPr>
    </w:p>
    <w:p w14:paraId="5F429EFF" w14:textId="3E954CB7" w:rsidR="005A79FE" w:rsidRPr="009738BA" w:rsidRDefault="005A79FE" w:rsidP="004E7A34">
      <w:pPr>
        <w:spacing w:after="120" w:line="276" w:lineRule="auto"/>
        <w:jc w:val="both"/>
        <w:rPr>
          <w:rFonts w:ascii="Arial" w:eastAsia="Calibri" w:hAnsi="Arial" w:cs="Arial"/>
          <w:color w:val="000000" w:themeColor="text1"/>
          <w:sz w:val="22"/>
        </w:rPr>
      </w:pPr>
      <w:r w:rsidRPr="009738BA">
        <w:rPr>
          <w:rFonts w:ascii="Arial" w:eastAsia="Calibri" w:hAnsi="Arial" w:cs="Arial"/>
          <w:color w:val="000000" w:themeColor="text1"/>
          <w:sz w:val="22"/>
        </w:rPr>
        <w:t>Este concepto tiene el alcance previsto en el artículo 28 del Código de Procedimiento Administrativo y de lo Contencioso Administrativo.</w:t>
      </w:r>
    </w:p>
    <w:p w14:paraId="7080CFA4" w14:textId="77777777" w:rsidR="005A79FE" w:rsidRPr="009738BA" w:rsidRDefault="005A79FE" w:rsidP="005A79FE">
      <w:pPr>
        <w:jc w:val="both"/>
        <w:rPr>
          <w:rFonts w:ascii="Arial" w:eastAsia="Calibri" w:hAnsi="Arial" w:cs="Arial"/>
          <w:color w:val="000000" w:themeColor="text1"/>
          <w:sz w:val="22"/>
        </w:rPr>
      </w:pPr>
      <w:r w:rsidRPr="009738BA">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C3A10D7">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EA0D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31D530BC" w14:textId="199312CA" w:rsidR="00E753C6" w:rsidRDefault="005A79FE" w:rsidP="005A79FE">
      <w:pPr>
        <w:rPr>
          <w:rFonts w:ascii="Arial" w:eastAsia="Times New Roman" w:hAnsi="Arial" w:cs="Arial"/>
          <w:color w:val="000000" w:themeColor="text1"/>
          <w:sz w:val="22"/>
          <w:lang w:eastAsia="es-CO"/>
        </w:rPr>
      </w:pPr>
      <w:r w:rsidRPr="009738BA">
        <w:rPr>
          <w:rFonts w:ascii="Arial" w:eastAsia="Times New Roman" w:hAnsi="Arial" w:cs="Arial"/>
          <w:color w:val="000000" w:themeColor="text1"/>
          <w:sz w:val="22"/>
          <w:lang w:eastAsia="es-CO"/>
        </w:rPr>
        <w:t>Atentamente,</w:t>
      </w:r>
      <w:r w:rsidR="002E52EC">
        <w:rPr>
          <w:rFonts w:ascii="Arial" w:eastAsia="Times New Roman" w:hAnsi="Arial" w:cs="Arial"/>
          <w:color w:val="000000" w:themeColor="text1"/>
          <w:sz w:val="22"/>
          <w:lang w:eastAsia="es-CO"/>
        </w:rPr>
        <w:t xml:space="preserve"> </w:t>
      </w:r>
    </w:p>
    <w:p w14:paraId="648D6FF0" w14:textId="0B31DA9F" w:rsidR="00E753C6" w:rsidRDefault="002E52EC" w:rsidP="002E52EC">
      <w:pPr>
        <w:jc w:val="center"/>
        <w:rPr>
          <w:rFonts w:ascii="Arial" w:eastAsia="Times New Roman" w:hAnsi="Arial" w:cs="Arial"/>
          <w:color w:val="000000" w:themeColor="text1"/>
          <w:sz w:val="22"/>
          <w:lang w:eastAsia="es-CO"/>
        </w:rPr>
      </w:pPr>
      <w:r>
        <w:rPr>
          <w:noProof/>
        </w:rPr>
        <w:drawing>
          <wp:inline distT="0" distB="0" distL="0" distR="0" wp14:anchorId="129CC920" wp14:editId="1DE9AD18">
            <wp:extent cx="2773045" cy="988695"/>
            <wp:effectExtent l="0" t="0" r="0" b="0"/>
            <wp:docPr id="118741159"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7909B52" w14:textId="010ED29A" w:rsidR="005A79FE" w:rsidRPr="002E52EC" w:rsidRDefault="005A79FE" w:rsidP="005A79FE">
      <w:pPr>
        <w:rPr>
          <w:rFonts w:ascii="Arial" w:eastAsia="Times New Roman" w:hAnsi="Arial" w:cs="Arial"/>
          <w:color w:val="000000" w:themeColor="text1"/>
          <w:sz w:val="16"/>
          <w:szCs w:val="16"/>
          <w:lang w:eastAsia="es-CO"/>
        </w:rPr>
      </w:pPr>
    </w:p>
    <w:tbl>
      <w:tblPr>
        <w:tblStyle w:val="Tablaconcuadrcula"/>
        <w:tblpPr w:leftFromText="141" w:rightFromText="141" w:vertAnchor="page" w:horzAnchor="margin" w:tblpY="85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3F80" w:rsidRPr="009738BA" w14:paraId="520368D6" w14:textId="77777777" w:rsidTr="006D3F80">
        <w:trPr>
          <w:trHeight w:val="315"/>
        </w:trPr>
        <w:tc>
          <w:tcPr>
            <w:tcW w:w="812" w:type="dxa"/>
            <w:vAlign w:val="center"/>
            <w:hideMark/>
          </w:tcPr>
          <w:p w14:paraId="2AD68288"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25A6E0E"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Juan Manuel Castillo López</w:t>
            </w:r>
          </w:p>
          <w:p w14:paraId="623CCFF9"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Contratista ─ Subdirección de Gestión Contractual</w:t>
            </w:r>
          </w:p>
        </w:tc>
      </w:tr>
      <w:tr w:rsidR="006D3F80" w:rsidRPr="009738BA" w14:paraId="5062CAD2" w14:textId="77777777" w:rsidTr="006D3F80">
        <w:trPr>
          <w:trHeight w:val="330"/>
        </w:trPr>
        <w:tc>
          <w:tcPr>
            <w:tcW w:w="812" w:type="dxa"/>
            <w:vAlign w:val="center"/>
            <w:hideMark/>
          </w:tcPr>
          <w:p w14:paraId="67D9C15E"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DC1502"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Fabián Gonzalo Marín Cortés</w:t>
            </w:r>
          </w:p>
          <w:p w14:paraId="411EA9BF"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Subdirector de Gestión Contractual</w:t>
            </w:r>
          </w:p>
        </w:tc>
      </w:tr>
      <w:tr w:rsidR="006D3F80" w:rsidRPr="009738BA" w14:paraId="2800ED39" w14:textId="77777777" w:rsidTr="006D3F80">
        <w:trPr>
          <w:trHeight w:val="300"/>
        </w:trPr>
        <w:tc>
          <w:tcPr>
            <w:tcW w:w="812" w:type="dxa"/>
            <w:vAlign w:val="center"/>
            <w:hideMark/>
          </w:tcPr>
          <w:p w14:paraId="790BAA3C"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8EB8BB"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Fabián Gonzalo Marín Cortés</w:t>
            </w:r>
          </w:p>
          <w:p w14:paraId="3151BE5E" w14:textId="77777777" w:rsidR="006D3F80" w:rsidRPr="009738BA" w:rsidRDefault="006D3F80" w:rsidP="006D3F80">
            <w:pPr>
              <w:rPr>
                <w:rFonts w:ascii="Arial" w:eastAsia="Times New Roman" w:hAnsi="Arial" w:cs="Arial"/>
                <w:color w:val="000000" w:themeColor="text1"/>
                <w:sz w:val="16"/>
                <w:szCs w:val="16"/>
                <w:lang w:eastAsia="es-ES"/>
              </w:rPr>
            </w:pPr>
            <w:r w:rsidRPr="009738BA">
              <w:rPr>
                <w:rFonts w:ascii="Arial" w:eastAsia="Times New Roman" w:hAnsi="Arial" w:cs="Arial"/>
                <w:color w:val="000000" w:themeColor="text1"/>
                <w:sz w:val="16"/>
                <w:szCs w:val="16"/>
                <w:lang w:eastAsia="es-ES"/>
              </w:rPr>
              <w:t>Subdirector de Gestión Contractual</w:t>
            </w:r>
          </w:p>
        </w:tc>
      </w:tr>
    </w:tbl>
    <w:p w14:paraId="7C643A8D" w14:textId="1018416B" w:rsidR="005A79FE" w:rsidRPr="009738BA" w:rsidRDefault="005A79FE" w:rsidP="005A79FE">
      <w:pPr>
        <w:rPr>
          <w:rFonts w:ascii="Arial" w:eastAsia="Times New Roman" w:hAnsi="Arial" w:cs="Arial"/>
          <w:color w:val="000000" w:themeColor="text1"/>
          <w:sz w:val="22"/>
          <w:lang w:eastAsia="es-CO"/>
        </w:rPr>
      </w:pPr>
    </w:p>
    <w:p w14:paraId="7EBF297E" w14:textId="3A6CA844" w:rsidR="007B0854" w:rsidRPr="009738BA" w:rsidRDefault="007B0854" w:rsidP="00CA287E">
      <w:pPr>
        <w:jc w:val="both"/>
        <w:rPr>
          <w:rFonts w:ascii="Arial" w:eastAsia="Calibri" w:hAnsi="Arial" w:cs="Arial"/>
          <w:color w:val="000000" w:themeColor="text1"/>
          <w:sz w:val="22"/>
        </w:rPr>
      </w:pPr>
      <w:bookmarkStart w:id="3" w:name="_Hlk29890381"/>
      <w:bookmarkEnd w:id="3"/>
    </w:p>
    <w:sectPr w:rsidR="007B0854" w:rsidRPr="009738BA"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3EE84" w14:textId="77777777" w:rsidR="00E109B6" w:rsidRDefault="00E109B6">
      <w:r>
        <w:separator/>
      </w:r>
    </w:p>
  </w:endnote>
  <w:endnote w:type="continuationSeparator" w:id="0">
    <w:p w14:paraId="3671985D" w14:textId="77777777" w:rsidR="00E109B6" w:rsidRDefault="00E1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68258" w14:textId="77777777" w:rsidR="006D3F80" w:rsidRDefault="006D3F80" w:rsidP="005A79FE">
    <w:pPr>
      <w:pStyle w:val="Piedepgina"/>
      <w:jc w:val="right"/>
      <w:rPr>
        <w:rFonts w:ascii="Arial" w:hAnsi="Arial" w:cs="Arial"/>
        <w:bCs/>
        <w:color w:val="7F7F7F" w:themeColor="text1" w:themeTint="80"/>
        <w:sz w:val="16"/>
        <w:szCs w:val="16"/>
      </w:rPr>
    </w:pPr>
  </w:p>
  <w:p w14:paraId="312C4A14" w14:textId="4CF6AE3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300AF">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300AF">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0E0B8C38" w:rsidR="009047C5" w:rsidRDefault="4E4A4C05" w:rsidP="007B0854">
    <w:pPr>
      <w:pStyle w:val="Piedepgina"/>
      <w:jc w:val="center"/>
      <w:rPr>
        <w:lang w:val="es-ES"/>
      </w:rPr>
    </w:pPr>
    <w:r>
      <w:rPr>
        <w:noProof/>
      </w:rPr>
      <w:drawing>
        <wp:inline distT="0" distB="0" distL="0" distR="0" wp14:anchorId="608B196D" wp14:editId="0B6036EB">
          <wp:extent cx="4241994" cy="595165"/>
          <wp:effectExtent l="0" t="0" r="6350" b="0"/>
          <wp:docPr id="164653283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597981" w:rsidRDefault="004A34D2" w:rsidP="007B0854">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4304A" w14:textId="77777777" w:rsidR="00E109B6" w:rsidRDefault="00E109B6">
      <w:r>
        <w:separator/>
      </w:r>
    </w:p>
  </w:footnote>
  <w:footnote w:type="continuationSeparator" w:id="0">
    <w:p w14:paraId="759F8F16" w14:textId="77777777" w:rsidR="00E109B6" w:rsidRDefault="00E109B6">
      <w:r>
        <w:continuationSeparator/>
      </w:r>
    </w:p>
  </w:footnote>
  <w:footnote w:id="1">
    <w:p w14:paraId="2C50996F"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80 de 1993: «Artículo 2. De la definición de entidades, servidores y servicios públicos. Para los solos efectos de esta ley:</w:t>
      </w:r>
    </w:p>
    <w:p w14:paraId="2B1B0C4B"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»1. Se denominan entidades estatales:</w:t>
      </w:r>
    </w:p>
    <w:p w14:paraId="47B37256"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A3625F5"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A5B043E" w14:textId="77777777" w:rsidR="00850487" w:rsidRPr="009738BA" w:rsidRDefault="00850487" w:rsidP="00850487">
      <w:pPr>
        <w:pStyle w:val="Textonotapie"/>
        <w:ind w:firstLine="709"/>
        <w:jc w:val="both"/>
        <w:rPr>
          <w:rFonts w:ascii="Arial" w:hAnsi="Arial" w:cs="Arial"/>
          <w:color w:val="000000" w:themeColor="text1"/>
          <w:sz w:val="18"/>
          <w:szCs w:val="18"/>
        </w:rPr>
      </w:pPr>
    </w:p>
  </w:footnote>
  <w:footnote w:id="2">
    <w:p w14:paraId="30BE8901"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189AB3F9" w14:textId="77777777" w:rsidR="00850487" w:rsidRPr="009738BA" w:rsidRDefault="00850487" w:rsidP="00850487">
      <w:pPr>
        <w:pStyle w:val="Textonotapie"/>
        <w:ind w:firstLine="709"/>
        <w:jc w:val="both"/>
        <w:rPr>
          <w:rFonts w:ascii="Arial" w:hAnsi="Arial" w:cs="Arial"/>
          <w:color w:val="000000" w:themeColor="text1"/>
          <w:sz w:val="18"/>
          <w:szCs w:val="18"/>
          <w:lang w:val="es-ES"/>
        </w:rPr>
      </w:pPr>
    </w:p>
  </w:footnote>
  <w:footnote w:id="3">
    <w:p w14:paraId="01F70B50"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D79A3D9"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E8FA6FB" w14:textId="77777777" w:rsidR="00850487" w:rsidRPr="009738BA" w:rsidRDefault="00850487" w:rsidP="00850487">
      <w:pPr>
        <w:pStyle w:val="Textonotapie"/>
        <w:ind w:firstLine="709"/>
        <w:jc w:val="both"/>
        <w:rPr>
          <w:rFonts w:ascii="Arial" w:hAnsi="Arial" w:cs="Arial"/>
          <w:color w:val="000000" w:themeColor="text1"/>
          <w:sz w:val="18"/>
          <w:szCs w:val="18"/>
        </w:rPr>
      </w:pPr>
    </w:p>
  </w:footnote>
  <w:footnote w:id="4">
    <w:p w14:paraId="2805D25D" w14:textId="77777777" w:rsidR="00850487" w:rsidRPr="009738BA" w:rsidRDefault="00850487" w:rsidP="00850487">
      <w:pPr>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Style w:val="Refdenotaalpie"/>
          <w:rFonts w:ascii="Arial" w:hAnsi="Arial" w:cs="Arial"/>
          <w:color w:val="000000" w:themeColor="text1"/>
          <w:sz w:val="18"/>
          <w:szCs w:val="18"/>
        </w:rPr>
        <w:t xml:space="preserve"> </w:t>
      </w:r>
      <w:r w:rsidRPr="009738BA">
        <w:rPr>
          <w:rFonts w:ascii="Arial" w:hAnsi="Arial" w:cs="Arial"/>
          <w:color w:val="000000" w:themeColor="text1"/>
          <w:sz w:val="18"/>
          <w:szCs w:val="18"/>
        </w:rPr>
        <w:t>Ley 1150 de 2007, artículo 2, literal 4, numeral c, modificada por el artículo 92 de la Ley 1474 de 2011.</w:t>
      </w:r>
    </w:p>
    <w:p w14:paraId="0263F1D6" w14:textId="77777777" w:rsidR="00850487" w:rsidRPr="009738BA" w:rsidRDefault="00850487" w:rsidP="00850487">
      <w:pPr>
        <w:ind w:firstLine="709"/>
        <w:jc w:val="both"/>
        <w:rPr>
          <w:rFonts w:ascii="Arial" w:hAnsi="Arial" w:cs="Arial"/>
          <w:color w:val="000000" w:themeColor="text1"/>
          <w:sz w:val="18"/>
          <w:szCs w:val="18"/>
        </w:rPr>
      </w:pPr>
    </w:p>
  </w:footnote>
  <w:footnote w:id="5">
    <w:p w14:paraId="4F414D1F" w14:textId="77777777" w:rsidR="00850487" w:rsidRPr="009738BA" w:rsidRDefault="00850487" w:rsidP="00850487">
      <w:pPr>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Style w:val="Refdenotaalpie"/>
          <w:rFonts w:ascii="Arial" w:hAnsi="Arial" w:cs="Arial"/>
          <w:color w:val="000000" w:themeColor="text1"/>
          <w:sz w:val="18"/>
          <w:szCs w:val="18"/>
        </w:rPr>
        <w:t xml:space="preserve"> </w:t>
      </w:r>
      <w:r w:rsidRPr="009738BA">
        <w:rPr>
          <w:rFonts w:ascii="Arial" w:hAnsi="Arial" w:cs="Arial"/>
          <w:color w:val="000000" w:themeColor="text1"/>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73888D1" w14:textId="77777777" w:rsidR="00850487" w:rsidRPr="009738BA" w:rsidRDefault="00850487" w:rsidP="00850487">
      <w:pPr>
        <w:ind w:firstLine="709"/>
        <w:jc w:val="both"/>
        <w:rPr>
          <w:rFonts w:ascii="Arial" w:hAnsi="Arial" w:cs="Arial"/>
          <w:color w:val="000000" w:themeColor="text1"/>
          <w:sz w:val="18"/>
          <w:szCs w:val="18"/>
        </w:rPr>
      </w:pPr>
    </w:p>
  </w:footnote>
  <w:footnote w:id="6">
    <w:p w14:paraId="6EE56947"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80 de 1993: «Artículo 41. Del perfeccionamiento del contrato. Los contratos del Estado se perfeccionan cuando se logre acuerdo sobre el objeto y la contraprestación y éste se eleve a escrito.</w:t>
      </w:r>
    </w:p>
    <w:p w14:paraId="7204C133"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3B74BDD6" w14:textId="77777777" w:rsidR="00850487" w:rsidRPr="009738BA" w:rsidRDefault="00850487" w:rsidP="00850487">
      <w:pPr>
        <w:pStyle w:val="Textonotapie"/>
        <w:ind w:firstLine="709"/>
        <w:jc w:val="both"/>
        <w:rPr>
          <w:rFonts w:ascii="Arial" w:hAnsi="Arial" w:cs="Arial"/>
          <w:color w:val="000000" w:themeColor="text1"/>
          <w:sz w:val="18"/>
          <w:szCs w:val="18"/>
          <w:lang w:val="es-ES"/>
        </w:rPr>
      </w:pPr>
    </w:p>
  </w:footnote>
  <w:footnote w:id="7">
    <w:p w14:paraId="08A37B69"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Código Civil: «Artículo 27. Cuando el sentido de la ley sea claro, no se desatenderá su tenor a pretexto de consultar su espíritu».</w:t>
      </w:r>
    </w:p>
    <w:p w14:paraId="02C21542" w14:textId="77777777" w:rsidR="00850487" w:rsidRPr="009738BA" w:rsidRDefault="00850487" w:rsidP="00850487">
      <w:pPr>
        <w:pStyle w:val="Textonotapie"/>
        <w:ind w:firstLine="709"/>
        <w:jc w:val="both"/>
        <w:rPr>
          <w:rFonts w:ascii="Arial" w:hAnsi="Arial" w:cs="Arial"/>
          <w:color w:val="000000" w:themeColor="text1"/>
          <w:sz w:val="18"/>
          <w:szCs w:val="18"/>
          <w:lang w:val="es-ES"/>
        </w:rPr>
      </w:pPr>
    </w:p>
  </w:footnote>
  <w:footnote w:id="8">
    <w:p w14:paraId="6AB63B99"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Consejo de Estado. Sección Tercera. Sentencia del 23 de junio de 2010. Radicación No. 66001-23-31-000-1998-00261-01(17.860). Consejero Ponente: Mauricio Fajardo Gómez.</w:t>
      </w:r>
    </w:p>
    <w:p w14:paraId="6C194661" w14:textId="77777777" w:rsidR="00850487" w:rsidRPr="009738BA" w:rsidRDefault="00850487" w:rsidP="00850487">
      <w:pPr>
        <w:pStyle w:val="Textonotapie"/>
        <w:ind w:firstLine="709"/>
        <w:jc w:val="both"/>
        <w:rPr>
          <w:rFonts w:ascii="Arial" w:hAnsi="Arial" w:cs="Arial"/>
          <w:color w:val="000000" w:themeColor="text1"/>
          <w:sz w:val="18"/>
          <w:szCs w:val="18"/>
          <w:lang w:val="es-ES"/>
        </w:rPr>
      </w:pPr>
    </w:p>
  </w:footnote>
  <w:footnote w:id="9">
    <w:p w14:paraId="20ADFA5D"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Consejo de Estado. Sentencia del 29 de agosto de 2007. Radicado No. 15.305. Consejero Ponente: Mauricio Fajardo Gómez.</w:t>
      </w:r>
    </w:p>
    <w:p w14:paraId="4D6A96D4" w14:textId="77777777" w:rsidR="00850487" w:rsidRPr="009738BA" w:rsidRDefault="00850487" w:rsidP="00850487">
      <w:pPr>
        <w:pStyle w:val="Textonotapie"/>
        <w:ind w:firstLine="709"/>
        <w:jc w:val="both"/>
        <w:rPr>
          <w:rFonts w:ascii="Arial" w:hAnsi="Arial" w:cs="Arial"/>
          <w:color w:val="000000" w:themeColor="text1"/>
          <w:sz w:val="18"/>
          <w:szCs w:val="18"/>
        </w:rPr>
      </w:pPr>
    </w:p>
  </w:footnote>
  <w:footnote w:id="10">
    <w:p w14:paraId="0D292314" w14:textId="24183C4D"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Consejo de Estado. Sala de </w:t>
      </w:r>
      <w:r w:rsidR="008B2342" w:rsidRPr="009738BA">
        <w:rPr>
          <w:rFonts w:ascii="Arial" w:hAnsi="Arial" w:cs="Arial"/>
          <w:color w:val="000000" w:themeColor="text1"/>
          <w:sz w:val="18"/>
          <w:szCs w:val="18"/>
        </w:rPr>
        <w:t>C</w:t>
      </w:r>
      <w:r w:rsidRPr="009738BA">
        <w:rPr>
          <w:rFonts w:ascii="Arial" w:hAnsi="Arial" w:cs="Arial"/>
          <w:color w:val="000000" w:themeColor="text1"/>
          <w:sz w:val="18"/>
          <w:szCs w:val="18"/>
        </w:rPr>
        <w:t xml:space="preserve">onsulta y </w:t>
      </w:r>
      <w:r w:rsidR="0035197B" w:rsidRPr="009738BA">
        <w:rPr>
          <w:rFonts w:ascii="Arial" w:hAnsi="Arial" w:cs="Arial"/>
          <w:color w:val="000000" w:themeColor="text1"/>
          <w:sz w:val="18"/>
          <w:szCs w:val="18"/>
        </w:rPr>
        <w:t>S</w:t>
      </w:r>
      <w:r w:rsidRPr="009738BA">
        <w:rPr>
          <w:rFonts w:ascii="Arial" w:hAnsi="Arial" w:cs="Arial"/>
          <w:color w:val="000000" w:themeColor="text1"/>
          <w:sz w:val="18"/>
          <w:szCs w:val="18"/>
        </w:rPr>
        <w:t xml:space="preserve">ervicio </w:t>
      </w:r>
      <w:r w:rsidR="0035197B" w:rsidRPr="009738BA">
        <w:rPr>
          <w:rFonts w:ascii="Arial" w:hAnsi="Arial" w:cs="Arial"/>
          <w:color w:val="000000" w:themeColor="text1"/>
          <w:sz w:val="18"/>
          <w:szCs w:val="18"/>
        </w:rPr>
        <w:t>C</w:t>
      </w:r>
      <w:r w:rsidRPr="009738BA">
        <w:rPr>
          <w:rFonts w:ascii="Arial" w:hAnsi="Arial" w:cs="Arial"/>
          <w:color w:val="000000" w:themeColor="text1"/>
          <w:sz w:val="18"/>
          <w:szCs w:val="18"/>
        </w:rPr>
        <w:t>ivil. Sentencia del 20 de febrero de 2006. Radicado No. 1.727. Consejero Ponente: Enrique José Arboleda Perdomo.</w:t>
      </w:r>
    </w:p>
    <w:p w14:paraId="7E33647E" w14:textId="77777777" w:rsidR="00850487" w:rsidRPr="009738BA" w:rsidRDefault="00850487" w:rsidP="00850487">
      <w:pPr>
        <w:pStyle w:val="Textonotapie"/>
        <w:ind w:firstLine="709"/>
        <w:jc w:val="both"/>
        <w:rPr>
          <w:rFonts w:ascii="Arial" w:hAnsi="Arial" w:cs="Arial"/>
          <w:color w:val="000000" w:themeColor="text1"/>
          <w:sz w:val="18"/>
          <w:szCs w:val="18"/>
        </w:rPr>
      </w:pPr>
    </w:p>
  </w:footnote>
  <w:footnote w:id="11">
    <w:p w14:paraId="14A338C0"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4C4E4B5"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2086CE1F" w14:textId="77777777" w:rsidR="00850487" w:rsidRPr="009738BA" w:rsidRDefault="00850487" w:rsidP="00850487">
      <w:pPr>
        <w:pStyle w:val="Textonotapie"/>
        <w:ind w:firstLine="709"/>
        <w:jc w:val="both"/>
        <w:rPr>
          <w:rFonts w:ascii="Arial" w:hAnsi="Arial" w:cs="Arial"/>
          <w:color w:val="000000" w:themeColor="text1"/>
          <w:sz w:val="18"/>
          <w:szCs w:val="18"/>
        </w:rPr>
      </w:pPr>
    </w:p>
  </w:footnote>
  <w:footnote w:id="12">
    <w:p w14:paraId="6E9E30FC"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150 de 2007: «Artículo 7. De las garantías en la contratación. </w:t>
      </w:r>
    </w:p>
    <w:p w14:paraId="45CA1674"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 xml:space="preserve">[…] </w:t>
      </w:r>
    </w:p>
    <w:p w14:paraId="74CC30FC"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58803360"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Fonts w:ascii="Arial" w:hAnsi="Arial" w:cs="Arial"/>
          <w:color w:val="000000" w:themeColor="text1"/>
          <w:sz w:val="18"/>
          <w:szCs w:val="18"/>
        </w:rPr>
        <w:t>[…]».</w:t>
      </w:r>
    </w:p>
  </w:footnote>
  <w:footnote w:id="13">
    <w:p w14:paraId="493FBF38" w14:textId="77777777" w:rsidR="00850487" w:rsidRPr="009738BA" w:rsidRDefault="00850487" w:rsidP="00850487">
      <w:pPr>
        <w:pStyle w:val="Textonotapie"/>
        <w:ind w:firstLine="709"/>
        <w:jc w:val="both"/>
        <w:rPr>
          <w:rFonts w:ascii="Arial" w:hAnsi="Arial" w:cs="Arial"/>
          <w:color w:val="000000" w:themeColor="text1"/>
          <w:sz w:val="18"/>
          <w:szCs w:val="18"/>
        </w:rPr>
      </w:pPr>
    </w:p>
    <w:p w14:paraId="2D979CEA" w14:textId="77777777" w:rsidR="00850487" w:rsidRPr="009738BA" w:rsidRDefault="00850487" w:rsidP="00850487">
      <w:pPr>
        <w:pStyle w:val="Textonotapie"/>
        <w:ind w:firstLine="709"/>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3453A02" w14:textId="77777777" w:rsidR="00850487" w:rsidRPr="009738BA" w:rsidRDefault="00850487" w:rsidP="00850487">
      <w:pPr>
        <w:pStyle w:val="Textonotapie"/>
        <w:ind w:firstLine="709"/>
        <w:jc w:val="both"/>
        <w:rPr>
          <w:rFonts w:ascii="Arial" w:hAnsi="Arial" w:cs="Arial"/>
          <w:color w:val="000000" w:themeColor="text1"/>
          <w:sz w:val="18"/>
          <w:szCs w:val="18"/>
          <w:lang w:val="es-ES"/>
        </w:rPr>
      </w:pPr>
    </w:p>
  </w:footnote>
  <w:footnote w:id="14">
    <w:p w14:paraId="573017A3"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 y para los proyectos de arquitectura.</w:t>
      </w:r>
    </w:p>
    <w:p w14:paraId="6B07B83B"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»El procedimiento para la selección de proyectos de arquitectura es el establecido en los artículos 2.2.1.2.1.3.8 al 2.2.1.2.1.3.25 del presente decreto».</w:t>
      </w:r>
    </w:p>
    <w:p w14:paraId="22339E7B" w14:textId="77777777" w:rsidR="00864953" w:rsidRPr="009738BA" w:rsidRDefault="00864953" w:rsidP="00864953">
      <w:pPr>
        <w:pStyle w:val="Textonotapie"/>
        <w:ind w:firstLine="708"/>
        <w:jc w:val="both"/>
        <w:rPr>
          <w:rFonts w:ascii="Arial" w:hAnsi="Arial" w:cs="Arial"/>
          <w:color w:val="000000" w:themeColor="text1"/>
          <w:sz w:val="18"/>
          <w:szCs w:val="18"/>
        </w:rPr>
      </w:pPr>
    </w:p>
  </w:footnote>
  <w:footnote w:id="15">
    <w:p w14:paraId="31538FA7"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1150 de 2007: «Artículo 2. De las modalidades de selección. </w:t>
      </w:r>
    </w:p>
    <w:p w14:paraId="6DBAD1A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3309172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7EC940C0"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»De conformidad con las condiciones que señale el reglamento, en desarrollo de estos procesos de selección, las propuestas técnicas o de proyectos podrán ser presentadas en forma anónima ante un jurado plural, impar deliberante y calificado».</w:t>
      </w:r>
    </w:p>
    <w:p w14:paraId="09C5F7F2" w14:textId="77777777" w:rsidR="00864953" w:rsidRPr="009738BA" w:rsidRDefault="00864953" w:rsidP="00864953">
      <w:pPr>
        <w:pStyle w:val="Textonotapie"/>
        <w:ind w:firstLine="708"/>
        <w:jc w:val="both"/>
        <w:rPr>
          <w:rFonts w:ascii="Arial" w:hAnsi="Arial" w:cs="Arial"/>
          <w:color w:val="000000" w:themeColor="text1"/>
          <w:sz w:val="18"/>
          <w:szCs w:val="18"/>
        </w:rPr>
      </w:pPr>
    </w:p>
  </w:footnote>
  <w:footnote w:id="16">
    <w:p w14:paraId="0AC5AB80"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5C5103E6" w14:textId="77777777" w:rsidR="00864953" w:rsidRPr="009738BA" w:rsidRDefault="00864953" w:rsidP="00864953">
      <w:pPr>
        <w:pStyle w:val="Textonotapie"/>
        <w:ind w:firstLine="708"/>
        <w:jc w:val="both"/>
        <w:rPr>
          <w:rFonts w:ascii="Arial" w:hAnsi="Arial" w:cs="Arial"/>
          <w:color w:val="000000" w:themeColor="text1"/>
          <w:sz w:val="18"/>
          <w:szCs w:val="18"/>
        </w:rPr>
      </w:pPr>
    </w:p>
  </w:footnote>
  <w:footnote w:id="17">
    <w:p w14:paraId="2B0F6373"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Consejo de Estado. Sección Tercera. Sentencia del 15 de junio de 2000. Exp. 10.963. C. P. Ricardo Hoyos Duque.</w:t>
      </w:r>
    </w:p>
    <w:p w14:paraId="086704E7" w14:textId="77777777" w:rsidR="00864953" w:rsidRPr="009738BA" w:rsidRDefault="00864953" w:rsidP="00864953">
      <w:pPr>
        <w:pStyle w:val="Textonotapie"/>
        <w:ind w:firstLine="708"/>
        <w:jc w:val="both"/>
        <w:rPr>
          <w:rFonts w:ascii="Arial" w:hAnsi="Arial" w:cs="Arial"/>
          <w:color w:val="000000" w:themeColor="text1"/>
          <w:sz w:val="18"/>
          <w:szCs w:val="18"/>
        </w:rPr>
      </w:pPr>
    </w:p>
  </w:footnote>
  <w:footnote w:id="18">
    <w:p w14:paraId="7333C863"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w:t>
      </w:r>
      <w:bookmarkStart w:id="1" w:name="_Hlk32960666"/>
      <w:r w:rsidRPr="009738BA">
        <w:rPr>
          <w:rFonts w:ascii="Arial" w:hAnsi="Arial" w:cs="Arial"/>
          <w:color w:val="000000" w:themeColor="text1"/>
          <w:sz w:val="18"/>
          <w:szCs w:val="18"/>
        </w:rPr>
        <w:t xml:space="preserve">Ley 136 de 1994: «Artículo 170. Elección. Los Concejos Municipales o distritales según el caso, elegirán personeros para periodos institucionales de cuatro (4) años, dentro de los diez (10) primeros días del mes de enero del año en que inicia su periodo constitucional, previo </w:t>
      </w:r>
      <w:r w:rsidRPr="009738BA">
        <w:rPr>
          <w:rFonts w:ascii="Arial" w:hAnsi="Arial" w:cs="Arial"/>
          <w:i/>
          <w:iCs/>
          <w:color w:val="000000" w:themeColor="text1"/>
          <w:sz w:val="18"/>
          <w:szCs w:val="18"/>
        </w:rPr>
        <w:t>concurso público de méritos</w:t>
      </w:r>
      <w:r w:rsidRPr="009738BA">
        <w:rPr>
          <w:rFonts w:ascii="Arial" w:hAnsi="Arial" w:cs="Arial"/>
          <w:color w:val="000000" w:themeColor="text1"/>
          <w:sz w:val="18"/>
          <w:szCs w:val="18"/>
        </w:rPr>
        <w:t>, de conformidad con la ley vigente. Los personeros así elegidos, iniciarán su periodo el primero de marzo siguiente a su elección y lo concluirán el último día del mes de febrero del cuarto año. Cursiva fuera de texto.</w:t>
      </w:r>
      <w:bookmarkEnd w:id="1"/>
    </w:p>
    <w:p w14:paraId="249B8031"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7C91A5F3" w14:textId="77777777" w:rsidR="00864953" w:rsidRPr="009738BA" w:rsidRDefault="00864953" w:rsidP="00864953">
      <w:pPr>
        <w:pStyle w:val="Textonotapie"/>
        <w:ind w:firstLine="708"/>
        <w:jc w:val="both"/>
        <w:rPr>
          <w:rFonts w:ascii="Arial" w:hAnsi="Arial" w:cs="Arial"/>
          <w:color w:val="000000" w:themeColor="text1"/>
          <w:sz w:val="18"/>
          <w:szCs w:val="18"/>
          <w:lang w:val="es-CO"/>
        </w:rPr>
      </w:pPr>
      <w:r w:rsidRPr="009738BA">
        <w:rPr>
          <w:rFonts w:ascii="Arial" w:hAnsi="Arial" w:cs="Arial"/>
          <w:color w:val="000000" w:themeColor="text1"/>
          <w:sz w:val="18"/>
          <w:szCs w:val="18"/>
        </w:rPr>
        <w:t xml:space="preserve"> </w:t>
      </w:r>
    </w:p>
  </w:footnote>
  <w:footnote w:id="19">
    <w:p w14:paraId="7A98466C"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1083 de 2015: «Artículo 2.2.27.2. Etapas del concurso público de méritos para la elección de personeros. El concurso público de méritos para la elección de personeros tendrá como mínimo las siguientes etapas:</w:t>
      </w:r>
    </w:p>
    <w:p w14:paraId="3ED293D9"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a) Convocatoria. La convocatoria, deberá ser suscrita por la Mesa Directiva del Concejo Municipal o Distrital, previa autorización de la Plenaria de la corporación. La convocatoria es norma reguladora de todo el concurso y obliga tanto a la administración, como a las entidades contratadas para su realización y a los participantes. Contendrá el reglamento del concurso, las etapas que deben surtirse y el procedimiento administrativo orientado a garantizar los principios de igualdad, moralidad, eficacia, economía, celeridad, imparcialidad y publicidad en el proceso de elección.</w:t>
      </w:r>
    </w:p>
    <w:p w14:paraId="2F7EB3FD"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La convocatoria deberá contener, por lo menos, la siguiente información: fecha de fijación; denominación, código y grado; salario; lugar de trabajo; lugar, fecha y hora de inscripciones; fecha de publicación de lista de admitidos y no admitidos; trámite de reclamaciones y recursos procedentes; fecha, hora y lugar de la prueba de conocimientos; pruebas que se aplicarán, indicando el carácter de la prueba, el puntaje mínimo aprobatorio y el valor dentro del concurso; fecha de publicación de los resultados del concurso; los requisitos para el desempeño del cargo, que en ningún caso podrán ser diferentes a los establecidos en la Ley 1551 de 2012; y funciones y condiciones adicionales que se consideren pertinentes para el proceso.</w:t>
      </w:r>
    </w:p>
    <w:p w14:paraId="2ACBC7AE"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b) Reclutamiento. Esta etapa tiene como objetivo atraer e inscribir el mayor número de aspirantes que reúna los requisitos para el desempeño del empleo objeto del concurso.</w:t>
      </w:r>
    </w:p>
    <w:p w14:paraId="66B81EB9"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c) Pruebas. Las pruebas o instrumentos de selección tienen como finalidad apreciar la capacidad, idoneidad y adecuación de los aspirantes, así como establecer una clasificación de los candidatos respecto a las calidades requeridas para desempeñar con efectividad las funciones del empleo.</w:t>
      </w:r>
    </w:p>
    <w:p w14:paraId="407F881B"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El proceso público de méritos para la elección del personero deberá comprender la aplicación de las siguientes pruebas:</w:t>
      </w:r>
    </w:p>
    <w:p w14:paraId="77955909"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1. Prueba de conocimientos académicos, la cual tendrá el valor que se fije en la convocatoria, que no podrá ser inferior al 60% respecto del total del concurso.</w:t>
      </w:r>
    </w:p>
    <w:p w14:paraId="3785975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2. Prueba que evalúe las competencias laborales.</w:t>
      </w:r>
    </w:p>
    <w:p w14:paraId="1B0AF1BE"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3. Valoración de los estudios y experiencia que sobrepasen los requisitos del empleo, la cual tendrá el valor que se fije en la convocatoria.</w:t>
      </w:r>
    </w:p>
    <w:p w14:paraId="0DE8CE68"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bCs/>
          <w:color w:val="000000" w:themeColor="text1"/>
          <w:sz w:val="18"/>
          <w:szCs w:val="18"/>
        </w:rPr>
        <w:t>»</w:t>
      </w:r>
      <w:r w:rsidRPr="009738BA">
        <w:rPr>
          <w:rFonts w:ascii="Arial" w:hAnsi="Arial" w:cs="Arial"/>
          <w:color w:val="000000" w:themeColor="text1"/>
          <w:sz w:val="18"/>
          <w:szCs w:val="18"/>
        </w:rPr>
        <w:t>4. Entrevista, la cual tendrá un valor no superior del 10%, sobre un total de valoración del concurso</w:t>
      </w:r>
      <w:r w:rsidRPr="009738BA">
        <w:rPr>
          <w:rFonts w:ascii="Arial" w:hAnsi="Arial" w:cs="Arial"/>
          <w:bCs/>
          <w:color w:val="000000" w:themeColor="text1"/>
          <w:sz w:val="18"/>
          <w:szCs w:val="18"/>
        </w:rPr>
        <w:t>»</w:t>
      </w:r>
      <w:r w:rsidRPr="009738BA">
        <w:rPr>
          <w:rFonts w:ascii="Arial" w:hAnsi="Arial" w:cs="Arial"/>
          <w:color w:val="000000" w:themeColor="text1"/>
          <w:sz w:val="18"/>
          <w:szCs w:val="18"/>
        </w:rPr>
        <w:t>.</w:t>
      </w:r>
    </w:p>
    <w:p w14:paraId="37433117" w14:textId="77777777" w:rsidR="00864953" w:rsidRPr="009738BA" w:rsidRDefault="00864953" w:rsidP="00864953">
      <w:pPr>
        <w:pStyle w:val="Textonotapie"/>
        <w:ind w:firstLine="708"/>
        <w:jc w:val="both"/>
        <w:rPr>
          <w:rFonts w:ascii="Arial" w:hAnsi="Arial" w:cs="Arial"/>
          <w:color w:val="000000" w:themeColor="text1"/>
          <w:sz w:val="18"/>
          <w:szCs w:val="18"/>
          <w:lang w:val="es-CO"/>
        </w:rPr>
      </w:pPr>
      <w:r w:rsidRPr="009738BA">
        <w:rPr>
          <w:rFonts w:ascii="Arial" w:hAnsi="Arial" w:cs="Arial"/>
          <w:color w:val="000000" w:themeColor="text1"/>
          <w:sz w:val="18"/>
          <w:szCs w:val="18"/>
        </w:rPr>
        <w:t xml:space="preserve"> </w:t>
      </w:r>
    </w:p>
  </w:footnote>
  <w:footnote w:id="20">
    <w:p w14:paraId="27BF19DF"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80 de 1993: «Artículo 2. De la definición de entidades, servidores y servicios públicos. Para los solos efectos de esta ley:</w:t>
      </w:r>
    </w:p>
    <w:p w14:paraId="695043AB"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»1. Se denominan entidades estatales:</w:t>
      </w:r>
    </w:p>
    <w:p w14:paraId="4740F826"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27C9B67"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216290D7" w14:textId="77777777" w:rsidR="00864953" w:rsidRPr="009738BA" w:rsidRDefault="00864953" w:rsidP="00864953">
      <w:pPr>
        <w:pStyle w:val="Textonotapie"/>
        <w:ind w:firstLine="708"/>
        <w:jc w:val="both"/>
        <w:rPr>
          <w:rFonts w:ascii="Arial" w:hAnsi="Arial" w:cs="Arial"/>
          <w:color w:val="000000" w:themeColor="text1"/>
          <w:sz w:val="18"/>
          <w:szCs w:val="18"/>
          <w:lang w:val="es-ES"/>
        </w:rPr>
      </w:pPr>
      <w:r w:rsidRPr="009738BA">
        <w:rPr>
          <w:rFonts w:ascii="Arial" w:hAnsi="Arial" w:cs="Arial"/>
          <w:color w:val="000000" w:themeColor="text1"/>
          <w:sz w:val="18"/>
          <w:szCs w:val="18"/>
        </w:rPr>
        <w:t xml:space="preserve"> </w:t>
      </w:r>
    </w:p>
  </w:footnote>
  <w:footnote w:id="21">
    <w:p w14:paraId="5D5B5A73"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14A9DF85"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 [...]</w:t>
      </w:r>
    </w:p>
    <w:p w14:paraId="53F0C0D0"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5621E10D"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6CC3825E" w14:textId="77777777" w:rsidR="00864953" w:rsidRPr="009738BA" w:rsidRDefault="00864953" w:rsidP="00864953">
      <w:pPr>
        <w:pStyle w:val="Textonotapie"/>
        <w:jc w:val="both"/>
        <w:rPr>
          <w:rFonts w:ascii="Arial" w:hAnsi="Arial" w:cs="Arial"/>
          <w:color w:val="000000" w:themeColor="text1"/>
          <w:sz w:val="18"/>
          <w:szCs w:val="18"/>
          <w:lang w:val="es-ES"/>
        </w:rPr>
      </w:pPr>
    </w:p>
  </w:footnote>
  <w:footnote w:id="22">
    <w:p w14:paraId="236D3767"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1150 de 2007: «Artículo 2. </w:t>
      </w:r>
    </w:p>
    <w:p w14:paraId="2FF32995"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1E8F17B1"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»Parágrafo 2. El procedimiento aplicable para la ejecución de cada una de las causales a que se refiere el numeral 2o del presente artículo, deberá observar los principios de transparencia, economía, responsabilidad y las siguientes reglas:</w:t>
      </w:r>
    </w:p>
    <w:p w14:paraId="728C9D9E"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 xml:space="preserve">»1. Se dará publicidad a todos los procedimientos y actos. </w:t>
      </w:r>
    </w:p>
    <w:p w14:paraId="178798B5"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47FA1738" w14:textId="77777777" w:rsidR="00864953" w:rsidRPr="009738BA" w:rsidRDefault="00864953" w:rsidP="00864953">
      <w:pPr>
        <w:pStyle w:val="Textonotapie"/>
        <w:jc w:val="both"/>
        <w:rPr>
          <w:rFonts w:ascii="Arial" w:hAnsi="Arial" w:cs="Arial"/>
          <w:color w:val="000000" w:themeColor="text1"/>
          <w:sz w:val="18"/>
          <w:szCs w:val="18"/>
          <w:lang w:val="es-ES"/>
        </w:rPr>
      </w:pPr>
    </w:p>
  </w:footnote>
  <w:footnote w:id="23">
    <w:p w14:paraId="60599369"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7791BB4"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C28AC32" w14:textId="77777777" w:rsidR="00864953" w:rsidRPr="009738BA" w:rsidRDefault="00864953" w:rsidP="00864953">
      <w:pPr>
        <w:pStyle w:val="Textonotapie"/>
        <w:jc w:val="both"/>
        <w:rPr>
          <w:rFonts w:ascii="Arial" w:hAnsi="Arial" w:cs="Arial"/>
          <w:color w:val="000000" w:themeColor="text1"/>
          <w:sz w:val="18"/>
          <w:szCs w:val="18"/>
          <w:lang w:val="es-ES"/>
        </w:rPr>
      </w:pPr>
    </w:p>
  </w:footnote>
  <w:footnote w:id="24">
    <w:p w14:paraId="2F62D1E8"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Consejo de Estado. Sección Tercera. Radicado 24.715. Sentencia del 14 de diciembre de 2007. Consejera Ponente: Ruth Stella Correa Palacio.</w:t>
      </w:r>
    </w:p>
    <w:p w14:paraId="7D1B7FA7" w14:textId="77777777" w:rsidR="00864953" w:rsidRPr="009738BA" w:rsidRDefault="00864953" w:rsidP="00864953">
      <w:pPr>
        <w:pStyle w:val="Textonotapie"/>
        <w:ind w:firstLine="708"/>
        <w:rPr>
          <w:rFonts w:ascii="Arial" w:hAnsi="Arial" w:cs="Arial"/>
          <w:color w:val="000000" w:themeColor="text1"/>
          <w:sz w:val="18"/>
          <w:szCs w:val="18"/>
          <w:lang w:val="es-ES"/>
        </w:rPr>
      </w:pPr>
      <w:r w:rsidRPr="009738BA">
        <w:rPr>
          <w:rFonts w:ascii="Arial" w:hAnsi="Arial" w:cs="Arial"/>
          <w:color w:val="000000" w:themeColor="text1"/>
          <w:sz w:val="18"/>
          <w:szCs w:val="18"/>
        </w:rPr>
        <w:t xml:space="preserve"> </w:t>
      </w:r>
    </w:p>
  </w:footnote>
  <w:footnote w:id="25">
    <w:p w14:paraId="22FD29B9"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65366204" w14:textId="77777777" w:rsidR="00864953" w:rsidRPr="009738BA" w:rsidRDefault="00864953" w:rsidP="00864953">
      <w:pPr>
        <w:pStyle w:val="Textonotapie"/>
        <w:ind w:firstLine="708"/>
        <w:jc w:val="both"/>
        <w:rPr>
          <w:rFonts w:ascii="Arial" w:hAnsi="Arial" w:cs="Arial"/>
          <w:color w:val="000000" w:themeColor="text1"/>
          <w:sz w:val="18"/>
          <w:szCs w:val="18"/>
          <w:lang w:val="es-CO"/>
        </w:rPr>
      </w:pPr>
    </w:p>
  </w:footnote>
  <w:footnote w:id="26">
    <w:p w14:paraId="725B1C0D"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Style w:val="Refdenotaalpie"/>
          <w:rFonts w:ascii="Arial" w:hAnsi="Arial" w:cs="Arial"/>
          <w:color w:val="000000" w:themeColor="text1"/>
          <w:sz w:val="18"/>
          <w:szCs w:val="18"/>
        </w:rPr>
        <w:footnoteRef/>
      </w:r>
      <w:r w:rsidRPr="009738BA">
        <w:rPr>
          <w:rFonts w:ascii="Arial" w:hAnsi="Arial" w:cs="Arial"/>
          <w:color w:val="000000" w:themeColor="text1"/>
          <w:sz w:val="18"/>
          <w:szCs w:val="18"/>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C500E71"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»Lo anterior, sin perjuicio de las publicaciones previstas en el numeral 3 del artículo 30 de la Ley 80 de 1993.</w:t>
      </w:r>
    </w:p>
    <w:p w14:paraId="1646D84D"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»Con el fin de materializar los objetivos a que se refiere el inciso anterior, el Gobierno Nacional desarrollará el Sistema Electrónico para la Contratación Pública, Secop, el cual:</w:t>
      </w:r>
    </w:p>
    <w:p w14:paraId="36E4ADE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»a) Dispondrá de las funcionalidades tecnológicas para realizar procesos de contratación electrónicos bajo los métodos de selección señalados en el artículo 2o de la presente ley según lo defina el reglamento;</w:t>
      </w:r>
    </w:p>
    <w:p w14:paraId="7DEF7B8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»b) Servirá de punto único de ingreso de información y de generación de reportes para las entidades estatales y la ciudadanía;</w:t>
      </w:r>
    </w:p>
    <w:p w14:paraId="67622435"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»c) Contará con la información oficial de la contratación realizada con dineros públicos, para lo cual establecerá los patrones a que haya lugar y se encargará de su difusión a través de canales electrónicos y;</w:t>
      </w:r>
    </w:p>
    <w:p w14:paraId="3B13FA5E"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0878BE52" w14:textId="77777777" w:rsidR="00864953" w:rsidRPr="009738BA" w:rsidRDefault="00864953" w:rsidP="00864953">
      <w:pPr>
        <w:pStyle w:val="Textonotapie"/>
        <w:ind w:firstLine="708"/>
        <w:jc w:val="both"/>
        <w:rPr>
          <w:rFonts w:ascii="Arial" w:hAnsi="Arial" w:cs="Arial"/>
          <w:color w:val="000000" w:themeColor="text1"/>
          <w:sz w:val="18"/>
          <w:szCs w:val="18"/>
        </w:rPr>
      </w:pPr>
      <w:r w:rsidRPr="009738BA">
        <w:rPr>
          <w:rFonts w:ascii="Arial" w:hAnsi="Arial" w:cs="Arial"/>
          <w:color w:val="000000" w:themeColor="text1"/>
          <w:sz w:val="18"/>
          <w:szCs w:val="18"/>
        </w:rPr>
        <w:t>[...]».</w:t>
      </w:r>
    </w:p>
    <w:p w14:paraId="1B29FEEC" w14:textId="77777777" w:rsidR="00864953" w:rsidRPr="009738BA" w:rsidRDefault="00864953" w:rsidP="00864953">
      <w:pPr>
        <w:pStyle w:val="Textonotapie"/>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8E0C28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513"/>
    <w:rsid w:val="00010367"/>
    <w:rsid w:val="00026AD9"/>
    <w:rsid w:val="0003211D"/>
    <w:rsid w:val="00033634"/>
    <w:rsid w:val="00051B60"/>
    <w:rsid w:val="000615C5"/>
    <w:rsid w:val="000942EB"/>
    <w:rsid w:val="000B103F"/>
    <w:rsid w:val="000B40AF"/>
    <w:rsid w:val="000D4020"/>
    <w:rsid w:val="000E5117"/>
    <w:rsid w:val="000F14E8"/>
    <w:rsid w:val="000F5050"/>
    <w:rsid w:val="00101964"/>
    <w:rsid w:val="00103915"/>
    <w:rsid w:val="00107A1C"/>
    <w:rsid w:val="00112152"/>
    <w:rsid w:val="00122B23"/>
    <w:rsid w:val="00125EE3"/>
    <w:rsid w:val="00137FFA"/>
    <w:rsid w:val="001752C5"/>
    <w:rsid w:val="00181F80"/>
    <w:rsid w:val="00183582"/>
    <w:rsid w:val="0019225D"/>
    <w:rsid w:val="001C4B29"/>
    <w:rsid w:val="001E2240"/>
    <w:rsid w:val="001F7366"/>
    <w:rsid w:val="002068A0"/>
    <w:rsid w:val="002256F2"/>
    <w:rsid w:val="00234B84"/>
    <w:rsid w:val="00251286"/>
    <w:rsid w:val="002606DF"/>
    <w:rsid w:val="00274FA6"/>
    <w:rsid w:val="0027785F"/>
    <w:rsid w:val="002A4009"/>
    <w:rsid w:val="002B6626"/>
    <w:rsid w:val="002E52EC"/>
    <w:rsid w:val="002F7C35"/>
    <w:rsid w:val="003033BA"/>
    <w:rsid w:val="0031C1CB"/>
    <w:rsid w:val="00345181"/>
    <w:rsid w:val="0034680A"/>
    <w:rsid w:val="0035197B"/>
    <w:rsid w:val="00356697"/>
    <w:rsid w:val="00367910"/>
    <w:rsid w:val="003743A5"/>
    <w:rsid w:val="00386456"/>
    <w:rsid w:val="00394C7E"/>
    <w:rsid w:val="003A581E"/>
    <w:rsid w:val="003A75C3"/>
    <w:rsid w:val="003B6D7D"/>
    <w:rsid w:val="003F7D69"/>
    <w:rsid w:val="00413D54"/>
    <w:rsid w:val="00436316"/>
    <w:rsid w:val="004422D6"/>
    <w:rsid w:val="00477948"/>
    <w:rsid w:val="00487FE0"/>
    <w:rsid w:val="004969AC"/>
    <w:rsid w:val="004A34D2"/>
    <w:rsid w:val="004B025D"/>
    <w:rsid w:val="004B25F1"/>
    <w:rsid w:val="004E310C"/>
    <w:rsid w:val="004E7A34"/>
    <w:rsid w:val="005061AC"/>
    <w:rsid w:val="0051074C"/>
    <w:rsid w:val="00513AF2"/>
    <w:rsid w:val="005347A0"/>
    <w:rsid w:val="0054413A"/>
    <w:rsid w:val="005564CA"/>
    <w:rsid w:val="005722A1"/>
    <w:rsid w:val="005842BA"/>
    <w:rsid w:val="005920D9"/>
    <w:rsid w:val="00597981"/>
    <w:rsid w:val="005A79FE"/>
    <w:rsid w:val="005D5CBC"/>
    <w:rsid w:val="00623B2F"/>
    <w:rsid w:val="006300AF"/>
    <w:rsid w:val="006533F8"/>
    <w:rsid w:val="00655371"/>
    <w:rsid w:val="0068200F"/>
    <w:rsid w:val="006925DB"/>
    <w:rsid w:val="00694D33"/>
    <w:rsid w:val="00697665"/>
    <w:rsid w:val="006A062A"/>
    <w:rsid w:val="006A7FD0"/>
    <w:rsid w:val="006C1BA0"/>
    <w:rsid w:val="006D02D7"/>
    <w:rsid w:val="006D0970"/>
    <w:rsid w:val="006D3F80"/>
    <w:rsid w:val="006D7687"/>
    <w:rsid w:val="006E0572"/>
    <w:rsid w:val="006E0656"/>
    <w:rsid w:val="00705631"/>
    <w:rsid w:val="00712C4D"/>
    <w:rsid w:val="00742DD2"/>
    <w:rsid w:val="0075647A"/>
    <w:rsid w:val="007634AD"/>
    <w:rsid w:val="00763F20"/>
    <w:rsid w:val="0078122E"/>
    <w:rsid w:val="00783D2A"/>
    <w:rsid w:val="007B0854"/>
    <w:rsid w:val="007D21A9"/>
    <w:rsid w:val="007F72CB"/>
    <w:rsid w:val="0083119B"/>
    <w:rsid w:val="00836EAB"/>
    <w:rsid w:val="00840827"/>
    <w:rsid w:val="00850487"/>
    <w:rsid w:val="0085092D"/>
    <w:rsid w:val="00864953"/>
    <w:rsid w:val="008A68B4"/>
    <w:rsid w:val="008B2342"/>
    <w:rsid w:val="008C316D"/>
    <w:rsid w:val="008D708E"/>
    <w:rsid w:val="008E1C15"/>
    <w:rsid w:val="009047C5"/>
    <w:rsid w:val="00927CD8"/>
    <w:rsid w:val="00937F2E"/>
    <w:rsid w:val="0095385A"/>
    <w:rsid w:val="009647C2"/>
    <w:rsid w:val="009738BA"/>
    <w:rsid w:val="00997492"/>
    <w:rsid w:val="009A2CD3"/>
    <w:rsid w:val="009C6747"/>
    <w:rsid w:val="009D297F"/>
    <w:rsid w:val="009D54EC"/>
    <w:rsid w:val="009E10C4"/>
    <w:rsid w:val="009E3D33"/>
    <w:rsid w:val="00A02EA2"/>
    <w:rsid w:val="00A04DD8"/>
    <w:rsid w:val="00A24560"/>
    <w:rsid w:val="00A34538"/>
    <w:rsid w:val="00AA442B"/>
    <w:rsid w:val="00AA5DE4"/>
    <w:rsid w:val="00AD6E9D"/>
    <w:rsid w:val="00AE31E1"/>
    <w:rsid w:val="00B22E22"/>
    <w:rsid w:val="00B451C2"/>
    <w:rsid w:val="00B525CB"/>
    <w:rsid w:val="00B63CB2"/>
    <w:rsid w:val="00B740A3"/>
    <w:rsid w:val="00B853FC"/>
    <w:rsid w:val="00B8741A"/>
    <w:rsid w:val="00BB0148"/>
    <w:rsid w:val="00BB6A3C"/>
    <w:rsid w:val="00BC46FA"/>
    <w:rsid w:val="00BD78FE"/>
    <w:rsid w:val="00BF2D17"/>
    <w:rsid w:val="00C07A92"/>
    <w:rsid w:val="00C2341D"/>
    <w:rsid w:val="00C23B1A"/>
    <w:rsid w:val="00C450BE"/>
    <w:rsid w:val="00C60B44"/>
    <w:rsid w:val="00C734A7"/>
    <w:rsid w:val="00C76FC8"/>
    <w:rsid w:val="00C86506"/>
    <w:rsid w:val="00C87949"/>
    <w:rsid w:val="00CA287E"/>
    <w:rsid w:val="00CA40BC"/>
    <w:rsid w:val="00CA6BF2"/>
    <w:rsid w:val="00CA78DE"/>
    <w:rsid w:val="00CC00CD"/>
    <w:rsid w:val="00CE5F39"/>
    <w:rsid w:val="00D1016F"/>
    <w:rsid w:val="00D16E39"/>
    <w:rsid w:val="00D1718E"/>
    <w:rsid w:val="00D30352"/>
    <w:rsid w:val="00D34394"/>
    <w:rsid w:val="00D36720"/>
    <w:rsid w:val="00D60840"/>
    <w:rsid w:val="00D63928"/>
    <w:rsid w:val="00D72E9D"/>
    <w:rsid w:val="00D740E5"/>
    <w:rsid w:val="00D82CE5"/>
    <w:rsid w:val="00DA5AB1"/>
    <w:rsid w:val="00DB1142"/>
    <w:rsid w:val="00DC62E5"/>
    <w:rsid w:val="00DD0E69"/>
    <w:rsid w:val="00DD2FD4"/>
    <w:rsid w:val="00DD735D"/>
    <w:rsid w:val="00DE276D"/>
    <w:rsid w:val="00DE293C"/>
    <w:rsid w:val="00DE3119"/>
    <w:rsid w:val="00DF236B"/>
    <w:rsid w:val="00E109B6"/>
    <w:rsid w:val="00E13AB8"/>
    <w:rsid w:val="00E33B62"/>
    <w:rsid w:val="00E359B3"/>
    <w:rsid w:val="00E53F89"/>
    <w:rsid w:val="00E753C6"/>
    <w:rsid w:val="00E75E44"/>
    <w:rsid w:val="00E83237"/>
    <w:rsid w:val="00EC5364"/>
    <w:rsid w:val="00ED1632"/>
    <w:rsid w:val="00EE20A5"/>
    <w:rsid w:val="00EF1202"/>
    <w:rsid w:val="00EF238E"/>
    <w:rsid w:val="00EF795D"/>
    <w:rsid w:val="00F0677F"/>
    <w:rsid w:val="00F26760"/>
    <w:rsid w:val="00F30712"/>
    <w:rsid w:val="00F33FDE"/>
    <w:rsid w:val="00F46F2E"/>
    <w:rsid w:val="00F634E7"/>
    <w:rsid w:val="00F84899"/>
    <w:rsid w:val="00F859F0"/>
    <w:rsid w:val="00F94DB6"/>
    <w:rsid w:val="00FA4E25"/>
    <w:rsid w:val="00FD0B8F"/>
    <w:rsid w:val="00FD17F3"/>
    <w:rsid w:val="00FD3C54"/>
    <w:rsid w:val="00FD4429"/>
    <w:rsid w:val="00FE141E"/>
    <w:rsid w:val="00FF6BC5"/>
    <w:rsid w:val="089CDD48"/>
    <w:rsid w:val="08C64D80"/>
    <w:rsid w:val="0A31930F"/>
    <w:rsid w:val="0A5B2E37"/>
    <w:rsid w:val="1467C6BD"/>
    <w:rsid w:val="1A3369C8"/>
    <w:rsid w:val="1B7383B2"/>
    <w:rsid w:val="1E2A7F67"/>
    <w:rsid w:val="1E49D3B8"/>
    <w:rsid w:val="27FA7B90"/>
    <w:rsid w:val="28736B37"/>
    <w:rsid w:val="2A874F0A"/>
    <w:rsid w:val="335D3928"/>
    <w:rsid w:val="372FEDC9"/>
    <w:rsid w:val="3F8503A1"/>
    <w:rsid w:val="4E4A4C05"/>
    <w:rsid w:val="5146CB89"/>
    <w:rsid w:val="5AE55A9C"/>
    <w:rsid w:val="6306750A"/>
    <w:rsid w:val="650C4C18"/>
    <w:rsid w:val="688EA33B"/>
    <w:rsid w:val="6E3A7C3E"/>
    <w:rsid w:val="72225633"/>
    <w:rsid w:val="7383732E"/>
    <w:rsid w:val="776A107B"/>
    <w:rsid w:val="7BF3910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850487"/>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850487"/>
    <w:rPr>
      <w:rFonts w:ascii="Arial" w:eastAsia="Arial" w:hAnsi="Arial" w:cs="Arial"/>
      <w:sz w:val="20"/>
      <w:szCs w:val="20"/>
      <w:lang w:val="es-ES" w:eastAsia="es-ES" w:bidi="es-ES"/>
    </w:rPr>
  </w:style>
  <w:style w:type="paragraph" w:styleId="Revisin">
    <w:name w:val="Revision"/>
    <w:hidden/>
    <w:uiPriority w:val="99"/>
    <w:semiHidden/>
    <w:rsid w:val="00FD0B8F"/>
    <w:pPr>
      <w:spacing w:after="0" w:line="240" w:lineRule="auto"/>
    </w:pPr>
    <w:rPr>
      <w:sz w:val="24"/>
      <w:lang w:val="es-MX"/>
    </w:rPr>
  </w:style>
  <w:style w:type="paragraph" w:customStyle="1" w:styleId="Default">
    <w:name w:val="Default"/>
    <w:rsid w:val="00F46F2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FA44C47-06ED-48CD-A908-3588348EB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D7B60-3DA4-4ACC-9F0E-8CC1243C06D1}">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DF2D78E-BF03-4089-8F01-9AEDC8162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19</Pages>
  <Words>6818</Words>
  <Characters>37501</Characters>
  <Application>Microsoft Office Word</Application>
  <DocSecurity>0</DocSecurity>
  <Lines>312</Lines>
  <Paragraphs>88</Paragraphs>
  <ScaleCrop>false</ScaleCrop>
  <Company/>
  <LinksUpToDate>false</LinksUpToDate>
  <CharactersWithSpaces>44231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31</cp:revision>
  <dcterms:created xsi:type="dcterms:W3CDTF">2020-04-13T16:09:00Z</dcterms:created>
  <dcterms:modified xsi:type="dcterms:W3CDTF">2020-08-03T11:49:00Z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