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FEAAD7" w14:textId="77777777" w:rsidR="00977CE6" w:rsidRDefault="00977CE6" w:rsidP="00977CE6">
      <w:pPr>
        <w:jc w:val="both"/>
        <w:rPr>
          <w:rFonts w:ascii="Arial" w:hAnsi="Arial" w:cs="Arial"/>
          <w:b/>
          <w:sz w:val="22"/>
          <w:szCs w:val="22"/>
          <w:lang w:val="es-ES_tradnl" w:eastAsia="es-ES"/>
        </w:rPr>
      </w:pPr>
    </w:p>
    <w:p w14:paraId="09ECBF7E" w14:textId="77777777" w:rsidR="00977CE6" w:rsidRPr="009C6B45" w:rsidRDefault="00977CE6" w:rsidP="00977CE6">
      <w:pPr>
        <w:jc w:val="both"/>
        <w:rPr>
          <w:rFonts w:ascii="Arial" w:hAnsi="Arial" w:cs="Arial"/>
          <w:b/>
          <w:sz w:val="22"/>
          <w:szCs w:val="22"/>
          <w:lang w:val="es-ES_tradnl" w:eastAsia="es-ES"/>
        </w:rPr>
      </w:pPr>
      <w:r w:rsidRPr="009C6B45">
        <w:rPr>
          <w:rFonts w:ascii="Arial" w:hAnsi="Arial" w:cs="Arial"/>
          <w:b/>
          <w:sz w:val="22"/>
          <w:szCs w:val="22"/>
          <w:lang w:val="es-ES_tradnl" w:eastAsia="es-ES"/>
        </w:rPr>
        <w:t xml:space="preserve">LIQUIDACIÓN DEL CONTRATO </w:t>
      </w:r>
      <w:r>
        <w:rPr>
          <w:rFonts w:ascii="Arial" w:hAnsi="Arial" w:cs="Arial"/>
          <w:b/>
          <w:sz w:val="22"/>
          <w:szCs w:val="22"/>
          <w:lang w:val="es-ES_tradnl" w:eastAsia="es-ES"/>
        </w:rPr>
        <w:t>–</w:t>
      </w:r>
      <w:r w:rsidRPr="009C6B45">
        <w:rPr>
          <w:rFonts w:ascii="Arial" w:hAnsi="Arial" w:cs="Arial"/>
          <w:b/>
          <w:sz w:val="22"/>
          <w:szCs w:val="22"/>
          <w:lang w:val="es-ES_tradnl" w:eastAsia="es-ES"/>
        </w:rPr>
        <w:t xml:space="preserve"> Definición – Objetivo </w:t>
      </w:r>
    </w:p>
    <w:p w14:paraId="5A7AFFE4" w14:textId="77777777" w:rsidR="00977CE6" w:rsidRPr="009C6B45" w:rsidRDefault="00977CE6" w:rsidP="00977CE6">
      <w:pPr>
        <w:jc w:val="both"/>
        <w:rPr>
          <w:rFonts w:ascii="Arial" w:hAnsi="Arial" w:cs="Arial"/>
          <w:b/>
          <w:sz w:val="16"/>
          <w:szCs w:val="16"/>
          <w:lang w:val="es-ES_tradnl" w:eastAsia="es-ES"/>
        </w:rPr>
      </w:pPr>
    </w:p>
    <w:p w14:paraId="3BB7B3BB" w14:textId="77777777" w:rsidR="00977CE6" w:rsidRDefault="00977CE6" w:rsidP="00977CE6">
      <w:pPr>
        <w:jc w:val="both"/>
        <w:rPr>
          <w:rFonts w:ascii="Arial" w:hAnsi="Arial" w:cs="Arial"/>
          <w:color w:val="000000" w:themeColor="text1"/>
          <w:sz w:val="20"/>
          <w:szCs w:val="20"/>
          <w:lang w:val="es-ES_tradnl"/>
        </w:rPr>
      </w:pPr>
      <w:r w:rsidRPr="00F3576A">
        <w:rPr>
          <w:rFonts w:ascii="Arial" w:hAnsi="Arial" w:cs="Arial"/>
          <w:color w:val="000000" w:themeColor="text1"/>
          <w:sz w:val="20"/>
          <w:szCs w:val="20"/>
          <w:lang w:val="es-ES_tradnl"/>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cumplida</w:t>
      </w:r>
      <w:r>
        <w:rPr>
          <w:rFonts w:ascii="Arial" w:hAnsi="Arial" w:cs="Arial"/>
          <w:color w:val="000000" w:themeColor="text1"/>
          <w:sz w:val="20"/>
          <w:szCs w:val="20"/>
          <w:lang w:val="es-ES_tradnl"/>
        </w:rPr>
        <w:t>.</w:t>
      </w:r>
    </w:p>
    <w:p w14:paraId="1176E7FA" w14:textId="77777777" w:rsidR="00977CE6" w:rsidRPr="00F3576A" w:rsidRDefault="00977CE6" w:rsidP="00977CE6">
      <w:pPr>
        <w:jc w:val="both"/>
        <w:rPr>
          <w:rFonts w:ascii="Arial" w:hAnsi="Arial" w:cs="Arial"/>
          <w:sz w:val="20"/>
          <w:szCs w:val="20"/>
          <w:lang w:val="es-ES_tradnl" w:eastAsia="es-ES"/>
        </w:rPr>
      </w:pPr>
    </w:p>
    <w:p w14:paraId="19AE0989" w14:textId="77777777" w:rsidR="00977CE6" w:rsidRPr="009C6B45" w:rsidRDefault="00977CE6" w:rsidP="00977CE6">
      <w:pPr>
        <w:jc w:val="both"/>
        <w:rPr>
          <w:rFonts w:ascii="Arial" w:hAnsi="Arial" w:cs="Arial"/>
          <w:b/>
          <w:sz w:val="22"/>
          <w:szCs w:val="22"/>
          <w:lang w:val="es-ES_tradnl" w:eastAsia="es-ES"/>
        </w:rPr>
      </w:pPr>
      <w:r w:rsidRPr="009C6B45">
        <w:rPr>
          <w:rFonts w:ascii="Arial" w:hAnsi="Arial" w:cs="Arial"/>
          <w:b/>
          <w:sz w:val="22"/>
          <w:szCs w:val="22"/>
          <w:lang w:val="es-ES_tradnl" w:eastAsia="es-ES"/>
        </w:rPr>
        <w:t xml:space="preserve">LIQUIDACIÓN DEL CONTRATO – Normativa </w:t>
      </w:r>
    </w:p>
    <w:p w14:paraId="44B08A96" w14:textId="77777777" w:rsidR="00977CE6" w:rsidRPr="009C6B45" w:rsidRDefault="00977CE6" w:rsidP="00977CE6">
      <w:pPr>
        <w:jc w:val="both"/>
        <w:rPr>
          <w:rFonts w:ascii="Arial" w:hAnsi="Arial" w:cs="Arial"/>
          <w:sz w:val="20"/>
          <w:szCs w:val="20"/>
          <w:lang w:val="es-ES_tradnl" w:eastAsia="es-ES"/>
        </w:rPr>
      </w:pPr>
    </w:p>
    <w:p w14:paraId="43C170B6" w14:textId="77777777" w:rsidR="00977CE6" w:rsidRPr="00F3576A" w:rsidRDefault="00977CE6" w:rsidP="00977CE6">
      <w:pPr>
        <w:jc w:val="both"/>
        <w:rPr>
          <w:rFonts w:ascii="Arial" w:hAnsi="Arial" w:cs="Arial"/>
          <w:color w:val="000000" w:themeColor="text1"/>
          <w:sz w:val="20"/>
          <w:szCs w:val="20"/>
          <w:lang w:val="es-ES_tradnl"/>
        </w:rPr>
      </w:pPr>
      <w:r w:rsidRPr="00F3576A">
        <w:rPr>
          <w:rFonts w:ascii="Arial" w:hAnsi="Arial" w:cs="Arial"/>
          <w:color w:val="000000" w:themeColor="text1"/>
          <w:sz w:val="20"/>
          <w:szCs w:val="20"/>
          <w:lang w:val="es-ES_tradnl"/>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w:t>
      </w:r>
    </w:p>
    <w:p w14:paraId="6F0DD63F" w14:textId="77777777" w:rsidR="00977CE6" w:rsidRPr="009C6B45" w:rsidRDefault="00977CE6" w:rsidP="00977CE6">
      <w:pPr>
        <w:jc w:val="both"/>
        <w:rPr>
          <w:rFonts w:ascii="Arial" w:hAnsi="Arial" w:cs="Arial"/>
          <w:sz w:val="20"/>
          <w:szCs w:val="20"/>
          <w:lang w:val="es-ES_tradnl" w:eastAsia="es-ES"/>
        </w:rPr>
      </w:pPr>
    </w:p>
    <w:p w14:paraId="00E130D1" w14:textId="77777777" w:rsidR="00977CE6" w:rsidRPr="009C6B45" w:rsidRDefault="00977CE6" w:rsidP="00977CE6">
      <w:pPr>
        <w:jc w:val="both"/>
        <w:rPr>
          <w:rFonts w:ascii="Arial" w:hAnsi="Arial" w:cs="Arial"/>
          <w:b/>
          <w:sz w:val="22"/>
          <w:szCs w:val="22"/>
          <w:lang w:val="es-ES_tradnl" w:eastAsia="es-ES"/>
        </w:rPr>
      </w:pPr>
      <w:r w:rsidRPr="009C6B45">
        <w:rPr>
          <w:rFonts w:ascii="Arial" w:hAnsi="Arial" w:cs="Arial"/>
          <w:b/>
          <w:sz w:val="22"/>
          <w:szCs w:val="22"/>
          <w:lang w:val="es-ES_tradnl" w:eastAsia="es-ES"/>
        </w:rPr>
        <w:t xml:space="preserve">LIQUIDACIÓN DEL CONTRATO – Oportunidad </w:t>
      </w:r>
    </w:p>
    <w:p w14:paraId="5A1A7434" w14:textId="77777777" w:rsidR="00977CE6" w:rsidRDefault="00977CE6" w:rsidP="00977CE6">
      <w:pPr>
        <w:jc w:val="both"/>
        <w:rPr>
          <w:rFonts w:ascii="Arial" w:hAnsi="Arial" w:cs="Arial"/>
          <w:sz w:val="20"/>
          <w:szCs w:val="20"/>
          <w:lang w:val="es-ES_tradnl" w:eastAsia="es-ES"/>
        </w:rPr>
      </w:pPr>
    </w:p>
    <w:p w14:paraId="43E8C429" w14:textId="77777777" w:rsidR="00977CE6" w:rsidRPr="006F57D2" w:rsidRDefault="00977CE6" w:rsidP="00977CE6">
      <w:pPr>
        <w:pStyle w:val="Sinespaciado"/>
        <w:spacing w:after="120"/>
        <w:jc w:val="both"/>
        <w:rPr>
          <w:rFonts w:ascii="Arial" w:hAnsi="Arial" w:cs="Arial"/>
          <w:color w:val="000000" w:themeColor="text1"/>
          <w:sz w:val="20"/>
          <w:szCs w:val="20"/>
          <w:lang w:val="es-ES_tradnl"/>
        </w:rPr>
      </w:pPr>
      <w:r w:rsidRPr="006F57D2">
        <w:rPr>
          <w:rFonts w:ascii="Arial" w:hAnsi="Arial" w:cs="Arial"/>
          <w:sz w:val="20"/>
          <w:szCs w:val="20"/>
          <w:lang w:val="es-ES_tradnl" w:eastAsia="es-ES"/>
        </w:rPr>
        <w:t xml:space="preserve">[…] </w:t>
      </w:r>
      <w:r w:rsidRPr="006F57D2">
        <w:rPr>
          <w:rFonts w:ascii="Arial" w:hAnsi="Arial" w:cs="Arial"/>
          <w:color w:val="000000" w:themeColor="text1"/>
          <w:sz w:val="20"/>
          <w:szCs w:val="20"/>
          <w:lang w:val="es-ES_tradnl"/>
        </w:rPr>
        <w:t>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w:t>
      </w:r>
    </w:p>
    <w:p w14:paraId="53BA32F5" w14:textId="77777777" w:rsidR="00977CE6" w:rsidRPr="006F57D2" w:rsidRDefault="00977CE6" w:rsidP="00977CE6">
      <w:pPr>
        <w:pStyle w:val="Sinespaciado"/>
        <w:spacing w:after="120"/>
        <w:jc w:val="both"/>
        <w:rPr>
          <w:rFonts w:ascii="Arial" w:hAnsi="Arial" w:cs="Arial"/>
          <w:color w:val="000000" w:themeColor="text1"/>
          <w:sz w:val="22"/>
          <w:lang w:val="es-ES_tradnl"/>
        </w:rPr>
      </w:pPr>
      <w:r w:rsidRPr="006F57D2">
        <w:rPr>
          <w:rFonts w:ascii="Arial" w:hAnsi="Arial" w:cs="Arial"/>
          <w:color w:val="000000" w:themeColor="text1"/>
          <w:sz w:val="20"/>
          <w:szCs w:val="20"/>
          <w:lang w:val="es-ES_tradn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6F57D2">
        <w:rPr>
          <w:rStyle w:val="Refdenotaalpie"/>
          <w:rFonts w:ascii="Arial" w:hAnsi="Arial" w:cs="Arial"/>
          <w:color w:val="000000" w:themeColor="text1"/>
          <w:sz w:val="20"/>
          <w:szCs w:val="20"/>
          <w:lang w:val="es-ES_tradnl"/>
        </w:rPr>
        <w:footnoteReference w:id="1"/>
      </w:r>
      <w:r w:rsidRPr="006F57D2">
        <w:rPr>
          <w:rFonts w:ascii="Arial" w:hAnsi="Arial" w:cs="Arial"/>
          <w:color w:val="000000" w:themeColor="text1"/>
          <w:sz w:val="20"/>
          <w:szCs w:val="20"/>
          <w:lang w:val="es-ES_tradnl"/>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6F57D2">
        <w:rPr>
          <w:rStyle w:val="Refdenotaalpie"/>
          <w:rFonts w:ascii="Arial" w:hAnsi="Arial" w:cs="Arial"/>
          <w:iCs/>
          <w:color w:val="000000" w:themeColor="text1"/>
          <w:sz w:val="20"/>
          <w:szCs w:val="20"/>
          <w:lang w:val="es-ES_tradnl"/>
        </w:rPr>
        <w:footnoteReference w:id="2"/>
      </w:r>
      <w:r w:rsidRPr="006F57D2">
        <w:rPr>
          <w:rFonts w:ascii="Arial" w:hAnsi="Arial" w:cs="Arial"/>
          <w:color w:val="000000" w:themeColor="text1"/>
          <w:sz w:val="20"/>
          <w:szCs w:val="20"/>
          <w:lang w:val="es-ES_tradnl"/>
        </w:rPr>
        <w:t xml:space="preserve">, y </w:t>
      </w:r>
      <w:r w:rsidRPr="006F57D2">
        <w:rPr>
          <w:rFonts w:ascii="Arial" w:hAnsi="Arial" w:cs="Arial"/>
          <w:iCs/>
          <w:color w:val="000000" w:themeColor="text1"/>
          <w:sz w:val="20"/>
          <w:szCs w:val="20"/>
          <w:lang w:val="es-ES_tradnl"/>
        </w:rPr>
        <w:t>el documento que la contiene presta mérito ejecutivo, siempre que se satisfagan los elementos materiales para considerarlo como tal</w:t>
      </w:r>
      <w:r w:rsidRPr="006F57D2">
        <w:rPr>
          <w:rFonts w:ascii="Arial" w:hAnsi="Arial" w:cs="Arial"/>
          <w:color w:val="000000" w:themeColor="text1"/>
          <w:sz w:val="20"/>
          <w:szCs w:val="20"/>
          <w:lang w:val="es-ES_tradnl"/>
        </w:rPr>
        <w:t>.</w:t>
      </w:r>
    </w:p>
    <w:p w14:paraId="2941C795" w14:textId="77777777" w:rsidR="00977CE6" w:rsidRPr="009C6B45" w:rsidRDefault="00977CE6" w:rsidP="00977CE6">
      <w:pPr>
        <w:pStyle w:val="Sinespaciado"/>
        <w:rPr>
          <w:rFonts w:ascii="Arial" w:hAnsi="Arial" w:cs="Arial"/>
          <w:sz w:val="20"/>
          <w:szCs w:val="20"/>
          <w:lang w:val="es-ES_tradnl" w:eastAsia="es-ES"/>
        </w:rPr>
      </w:pPr>
    </w:p>
    <w:p w14:paraId="5B926C27" w14:textId="77777777" w:rsidR="00977CE6" w:rsidRDefault="00977CE6" w:rsidP="00977CE6">
      <w:pPr>
        <w:jc w:val="both"/>
        <w:rPr>
          <w:rFonts w:ascii="Arial" w:hAnsi="Arial" w:cs="Arial"/>
          <w:b/>
          <w:sz w:val="22"/>
          <w:szCs w:val="22"/>
          <w:lang w:val="es-ES_tradnl" w:eastAsia="es-ES"/>
        </w:rPr>
      </w:pPr>
      <w:r>
        <w:rPr>
          <w:rFonts w:ascii="Arial" w:hAnsi="Arial" w:cs="Arial"/>
          <w:b/>
          <w:sz w:val="22"/>
          <w:szCs w:val="22"/>
          <w:lang w:val="es-ES_tradnl" w:eastAsia="es-ES"/>
        </w:rPr>
        <w:t>LIQUIDACIÓN DEL CONTRATO – Pérdida de competencia</w:t>
      </w:r>
    </w:p>
    <w:p w14:paraId="1B4C09E2" w14:textId="77777777" w:rsidR="00977CE6" w:rsidRDefault="00977CE6" w:rsidP="00977CE6">
      <w:pPr>
        <w:jc w:val="both"/>
        <w:rPr>
          <w:rFonts w:ascii="Arial" w:hAnsi="Arial" w:cs="Arial"/>
          <w:b/>
          <w:sz w:val="22"/>
          <w:szCs w:val="22"/>
          <w:lang w:val="es-ES_tradnl" w:eastAsia="es-ES"/>
        </w:rPr>
      </w:pPr>
    </w:p>
    <w:p w14:paraId="4F23E44A" w14:textId="77777777" w:rsidR="00977CE6" w:rsidRPr="00F3576A" w:rsidRDefault="00977CE6" w:rsidP="00977CE6">
      <w:pPr>
        <w:jc w:val="both"/>
        <w:rPr>
          <w:rFonts w:ascii="Arial" w:hAnsi="Arial" w:cs="Arial"/>
          <w:color w:val="000000" w:themeColor="text1"/>
          <w:sz w:val="20"/>
          <w:szCs w:val="20"/>
          <w:bdr w:val="none" w:sz="0" w:space="0" w:color="auto" w:frame="1"/>
          <w:shd w:val="clear" w:color="auto" w:fill="FFFFFF"/>
        </w:rPr>
      </w:pPr>
      <w:r w:rsidRPr="00F3576A">
        <w:rPr>
          <w:rFonts w:ascii="Arial" w:hAnsi="Arial" w:cs="Arial"/>
          <w:color w:val="000000" w:themeColor="text1"/>
          <w:sz w:val="20"/>
          <w:szCs w:val="20"/>
          <w:bdr w:val="none" w:sz="0" w:space="0" w:color="auto" w:frame="1"/>
          <w:shd w:val="clear" w:color="auto" w:fill="FFFFFF"/>
        </w:rPr>
        <w:t xml:space="preserve">[L]a demanda produce numerosos e importantes efectos jurídicos materiales que equivalen, en general, a un reforzamiento o intensificación, desde el punto de vista del actor, de una situación jurídica sustantiva.  Este reforzamiento se produce creando consecuencias que originalmente no existían, como la constitución en mora, o conservando consecuencias que existían, pero estaban en trance de desaparecer. La consecuencia típica de conservación es la que produce la presentación de la demanda, al interrumpir la prescripción. Al efecto, el Artículo 90 del Código de Procedimiento Civil, modificado por el decreto 2282 de 1989, aplicable a la presente controversia, […] Frente al vacío que se pretende colmar se hace necesario un ejercicio de integración normativa que esté mas (sic) acorde con los efectos que la legislación procesal le atribuye a la presentación de la demanda, y que no están condicionados a su notificación. Desde este enfoque, la Sala declarará que la </w:t>
      </w:r>
      <w:r w:rsidRPr="00F3576A">
        <w:rPr>
          <w:rFonts w:ascii="Arial" w:hAnsi="Arial" w:cs="Arial"/>
          <w:color w:val="000000" w:themeColor="text1"/>
          <w:sz w:val="20"/>
          <w:szCs w:val="20"/>
          <w:bdr w:val="none" w:sz="0" w:space="0" w:color="auto" w:frame="1"/>
          <w:shd w:val="clear" w:color="auto" w:fill="FFFFFF"/>
        </w:rPr>
        <w:lastRenderedPageBreak/>
        <w:t>Administración perdió competencia para liquidar el contrato en forma unilateral, a partir de la fecha en que se presentó la demanda que pretendió su liquidación judicial.</w:t>
      </w:r>
    </w:p>
    <w:p w14:paraId="2EF9C5C6" w14:textId="77777777" w:rsidR="00977CE6" w:rsidRDefault="00977CE6" w:rsidP="00977CE6">
      <w:pPr>
        <w:jc w:val="both"/>
        <w:rPr>
          <w:rFonts w:ascii="Arial" w:hAnsi="Arial" w:cs="Arial"/>
          <w:b/>
          <w:sz w:val="22"/>
          <w:szCs w:val="22"/>
          <w:lang w:val="es-ES_tradnl" w:eastAsia="es-ES"/>
        </w:rPr>
      </w:pPr>
    </w:p>
    <w:p w14:paraId="3F24FD12" w14:textId="77777777" w:rsidR="00977CE6" w:rsidRDefault="00977CE6" w:rsidP="00977CE6">
      <w:pPr>
        <w:tabs>
          <w:tab w:val="left" w:pos="426"/>
        </w:tabs>
        <w:spacing w:line="276" w:lineRule="auto"/>
        <w:jc w:val="both"/>
        <w:rPr>
          <w:rFonts w:ascii="Arial" w:hAnsi="Arial" w:cs="Arial"/>
          <w:bCs/>
          <w:color w:val="000000" w:themeColor="text1"/>
          <w:sz w:val="21"/>
          <w:szCs w:val="21"/>
          <w:lang w:val="es-ES_tradnl"/>
        </w:rPr>
      </w:pPr>
    </w:p>
    <w:p w14:paraId="090D619A" w14:textId="77777777" w:rsidR="00977CE6" w:rsidRPr="00AA6BB5" w:rsidRDefault="00977CE6" w:rsidP="00977CE6">
      <w:pPr>
        <w:jc w:val="right"/>
      </w:pPr>
      <w:r w:rsidRPr="00AA6BB5">
        <w:fldChar w:fldCharType="begin"/>
      </w:r>
      <w:r w:rsidRPr="00AA6BB5">
        <w:instrText xml:space="preserve"> INCLUDEPICTURE "/var/folders/tb/0fmk9b510f57pz5rwhv8lnpw0000gp/T/com.microsoft.Word/WebArchiveCopyPasteTempFiles/page1image11210400" \* MERGEFORMATINET </w:instrText>
      </w:r>
      <w:r w:rsidRPr="00AA6BB5">
        <w:fldChar w:fldCharType="separate"/>
      </w:r>
      <w:r w:rsidRPr="00AA6BB5">
        <w:rPr>
          <w:noProof/>
        </w:rPr>
        <w:drawing>
          <wp:inline distT="0" distB="0" distL="0" distR="0" wp14:anchorId="02E7EBDC" wp14:editId="1650029C">
            <wp:extent cx="2397125" cy="609600"/>
            <wp:effectExtent l="0" t="0" r="3175" b="0"/>
            <wp:docPr id="4" name="Imagen 4" descr="page1image1121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12104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7125" cy="609600"/>
                    </a:xfrm>
                    <a:prstGeom prst="rect">
                      <a:avLst/>
                    </a:prstGeom>
                    <a:noFill/>
                    <a:ln>
                      <a:noFill/>
                    </a:ln>
                  </pic:spPr>
                </pic:pic>
              </a:graphicData>
            </a:graphic>
          </wp:inline>
        </w:drawing>
      </w:r>
      <w:r w:rsidRPr="00AA6BB5">
        <w:fldChar w:fldCharType="end"/>
      </w:r>
    </w:p>
    <w:p w14:paraId="6165FE0D" w14:textId="77777777" w:rsidR="00977CE6" w:rsidRPr="006C15D5" w:rsidRDefault="00977CE6" w:rsidP="00977CE6">
      <w:pPr>
        <w:rPr>
          <w:rFonts w:ascii="Arial" w:eastAsia="Calibri" w:hAnsi="Arial" w:cs="Arial"/>
          <w:color w:val="000000" w:themeColor="text1"/>
          <w:sz w:val="22"/>
        </w:rPr>
      </w:pPr>
    </w:p>
    <w:p w14:paraId="20D01FE7" w14:textId="77777777" w:rsidR="00977CE6" w:rsidRPr="006C15D5" w:rsidRDefault="00977CE6" w:rsidP="00977CE6">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6B6498F6" w14:textId="77777777" w:rsidR="00977CE6" w:rsidRDefault="00977CE6" w:rsidP="00977CE6">
      <w:pPr>
        <w:rPr>
          <w:rFonts w:ascii="Arial" w:eastAsia="Calibri" w:hAnsi="Arial" w:cs="Arial"/>
          <w:b/>
          <w:color w:val="000000" w:themeColor="text1"/>
          <w:sz w:val="22"/>
        </w:rPr>
      </w:pPr>
      <w:r>
        <w:rPr>
          <w:rFonts w:ascii="Arial" w:eastAsia="Calibri" w:hAnsi="Arial" w:cs="Arial"/>
          <w:b/>
          <w:color w:val="000000" w:themeColor="text1"/>
          <w:sz w:val="22"/>
        </w:rPr>
        <w:t>XXXX</w:t>
      </w:r>
    </w:p>
    <w:p w14:paraId="0D4D107A" w14:textId="77777777" w:rsidR="00977CE6" w:rsidRPr="006C15D5" w:rsidRDefault="00977CE6" w:rsidP="00977CE6">
      <w:pPr>
        <w:rPr>
          <w:rFonts w:ascii="Arial" w:eastAsia="Calibri" w:hAnsi="Arial" w:cs="Arial"/>
          <w:color w:val="000000" w:themeColor="text1"/>
          <w:sz w:val="22"/>
        </w:rPr>
      </w:pPr>
      <w:r>
        <w:rPr>
          <w:rFonts w:ascii="Arial" w:eastAsia="Calibri" w:hAnsi="Arial" w:cs="Arial"/>
          <w:bCs/>
          <w:color w:val="000000" w:themeColor="text1"/>
          <w:sz w:val="22"/>
        </w:rPr>
        <w:t xml:space="preserve">Villavicencio </w:t>
      </w:r>
    </w:p>
    <w:p w14:paraId="607DDC94" w14:textId="77777777" w:rsidR="00977CE6" w:rsidRDefault="00977CE6" w:rsidP="00977CE6">
      <w:pPr>
        <w:rPr>
          <w:rFonts w:ascii="Arial" w:eastAsia="Calibri" w:hAnsi="Arial" w:cs="Arial"/>
          <w:color w:val="000000" w:themeColor="text1"/>
          <w:sz w:val="22"/>
        </w:rPr>
      </w:pPr>
    </w:p>
    <w:p w14:paraId="578405D0" w14:textId="77777777" w:rsidR="00977CE6" w:rsidRPr="006C15D5" w:rsidRDefault="00977CE6" w:rsidP="00977CE6">
      <w:pPr>
        <w:rPr>
          <w:rFonts w:ascii="Arial" w:eastAsia="Calibri" w:hAnsi="Arial" w:cs="Arial"/>
          <w:color w:val="000000" w:themeColor="text1"/>
          <w:sz w:val="22"/>
        </w:rPr>
      </w:pPr>
    </w:p>
    <w:p w14:paraId="7EDFD38D" w14:textId="77777777" w:rsidR="00977CE6" w:rsidRPr="006C15D5" w:rsidRDefault="00977CE6" w:rsidP="00977CE6">
      <w:pPr>
        <w:ind w:firstLine="2552"/>
        <w:rPr>
          <w:rFonts w:ascii="Arial" w:eastAsia="Calibri" w:hAnsi="Arial" w:cs="Arial"/>
          <w:b/>
          <w:color w:val="000000" w:themeColor="text1"/>
          <w:sz w:val="22"/>
        </w:rPr>
      </w:pPr>
      <w:r w:rsidRPr="006C15D5">
        <w:rPr>
          <w:rFonts w:ascii="Arial" w:eastAsia="Calibri" w:hAnsi="Arial" w:cs="Arial"/>
          <w:b/>
          <w:color w:val="000000" w:themeColor="text1"/>
          <w:sz w:val="22"/>
        </w:rPr>
        <w:t>Concepto C</w:t>
      </w:r>
      <w:r>
        <w:rPr>
          <w:rFonts w:ascii="Arial" w:eastAsia="Calibri" w:hAnsi="Arial" w:cs="Arial"/>
          <w:b/>
          <w:color w:val="000000" w:themeColor="text1"/>
          <w:sz w:val="22"/>
        </w:rPr>
        <w:t xml:space="preserve">-220 </w:t>
      </w:r>
      <w:r w:rsidRPr="00BF3AEF">
        <w:rPr>
          <w:rFonts w:ascii="Arial" w:eastAsia="Calibri" w:hAnsi="Arial" w:cs="Arial"/>
          <w:b/>
          <w:color w:val="000000" w:themeColor="text1"/>
          <w:sz w:val="22"/>
        </w:rPr>
        <w:t>de 202</w:t>
      </w:r>
      <w:r>
        <w:rPr>
          <w:rFonts w:ascii="Arial" w:eastAsia="Calibri" w:hAnsi="Arial" w:cs="Arial"/>
          <w:b/>
          <w:color w:val="000000" w:themeColor="text1"/>
          <w:sz w:val="22"/>
        </w:rPr>
        <w:t>1</w:t>
      </w:r>
    </w:p>
    <w:p w14:paraId="6BC3C400" w14:textId="77777777" w:rsidR="00977CE6" w:rsidRPr="006C15D5" w:rsidRDefault="00977CE6" w:rsidP="00977CE6">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977CE6" w:rsidRPr="00E96F75" w14:paraId="239D72B7" w14:textId="77777777" w:rsidTr="007C6F1C">
        <w:tc>
          <w:tcPr>
            <w:tcW w:w="2552" w:type="dxa"/>
            <w:hideMark/>
          </w:tcPr>
          <w:p w14:paraId="504336E6" w14:textId="77777777" w:rsidR="00977CE6" w:rsidRPr="006C15D5" w:rsidRDefault="00977CE6" w:rsidP="007C6F1C">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3D9DFBFB" w14:textId="77777777" w:rsidR="00977CE6" w:rsidRPr="006C15D5" w:rsidRDefault="00977CE6" w:rsidP="007C6F1C">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374" w:type="dxa"/>
            <w:hideMark/>
          </w:tcPr>
          <w:p w14:paraId="70D8B1A2" w14:textId="77777777" w:rsidR="00977CE6" w:rsidRDefault="00977CE6" w:rsidP="007C6F1C">
            <w:pPr>
              <w:jc w:val="both"/>
              <w:rPr>
                <w:rFonts w:ascii="Arial" w:hAnsi="Arial" w:cs="Arial"/>
                <w:bCs/>
                <w:lang w:val="es-ES_tradnl" w:eastAsia="es-ES"/>
              </w:rPr>
            </w:pPr>
            <w:r w:rsidRPr="006D4461">
              <w:rPr>
                <w:rFonts w:ascii="Arial" w:hAnsi="Arial" w:cs="Arial"/>
                <w:bCs/>
                <w:lang w:val="es-ES_tradnl" w:eastAsia="es-ES"/>
              </w:rPr>
              <w:t xml:space="preserve">LIQUIDACIÓN DEL CONTRATO </w:t>
            </w:r>
            <w:r>
              <w:rPr>
                <w:rFonts w:ascii="Arial" w:hAnsi="Arial" w:cs="Arial"/>
                <w:bCs/>
                <w:lang w:val="es-ES_tradnl" w:eastAsia="es-ES"/>
              </w:rPr>
              <w:t>–</w:t>
            </w:r>
            <w:r w:rsidRPr="006D4461">
              <w:rPr>
                <w:rFonts w:ascii="Arial" w:hAnsi="Arial" w:cs="Arial"/>
                <w:bCs/>
                <w:lang w:val="es-ES_tradnl" w:eastAsia="es-ES"/>
              </w:rPr>
              <w:t xml:space="preserve"> Definición – Objetivo / LIQUIDACIÓN DEL CONTRATO – Normativa / LIQUIDACIÓN DEL CONTRATO – Oportunidad / </w:t>
            </w:r>
            <w:r w:rsidRPr="001F520F">
              <w:rPr>
                <w:rFonts w:ascii="Arial" w:hAnsi="Arial" w:cs="Arial"/>
                <w:bCs/>
                <w:lang w:val="es-ES_tradnl" w:eastAsia="es-ES"/>
              </w:rPr>
              <w:t>LIQUIDACIÓN DEL CONTRATO – P</w:t>
            </w:r>
            <w:r>
              <w:rPr>
                <w:rFonts w:ascii="Arial" w:hAnsi="Arial" w:cs="Arial"/>
                <w:bCs/>
                <w:lang w:val="es-ES_tradnl" w:eastAsia="es-ES"/>
              </w:rPr>
              <w:t>é</w:t>
            </w:r>
            <w:r w:rsidRPr="001F520F">
              <w:rPr>
                <w:rFonts w:ascii="Arial" w:hAnsi="Arial" w:cs="Arial"/>
                <w:bCs/>
                <w:lang w:val="es-ES_tradnl" w:eastAsia="es-ES"/>
              </w:rPr>
              <w:t xml:space="preserve">rdida de competencia </w:t>
            </w:r>
          </w:p>
          <w:p w14:paraId="442391CE" w14:textId="77777777" w:rsidR="00977CE6" w:rsidRPr="006D4461" w:rsidRDefault="00977CE6" w:rsidP="007C6F1C">
            <w:pPr>
              <w:jc w:val="both"/>
              <w:rPr>
                <w:rFonts w:ascii="Arial" w:eastAsia="Calibri" w:hAnsi="Arial" w:cs="Arial"/>
                <w:bCs/>
                <w:color w:val="000000" w:themeColor="text1"/>
                <w:lang w:val="es-ES_tradnl"/>
              </w:rPr>
            </w:pPr>
          </w:p>
        </w:tc>
      </w:tr>
      <w:tr w:rsidR="00977CE6" w:rsidRPr="00E96F75" w14:paraId="2724E343" w14:textId="77777777" w:rsidTr="007C6F1C">
        <w:tc>
          <w:tcPr>
            <w:tcW w:w="2552" w:type="dxa"/>
          </w:tcPr>
          <w:p w14:paraId="6A469904" w14:textId="77777777" w:rsidR="00977CE6" w:rsidRPr="006C15D5" w:rsidRDefault="00977CE6" w:rsidP="007C6F1C">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374" w:type="dxa"/>
          </w:tcPr>
          <w:p w14:paraId="316913AF" w14:textId="77777777" w:rsidR="00977CE6" w:rsidRPr="00E96F75" w:rsidRDefault="00977CE6" w:rsidP="007C6F1C">
            <w:pPr>
              <w:spacing w:before="120"/>
              <w:jc w:val="both"/>
              <w:rPr>
                <w:rFonts w:ascii="Arial" w:eastAsia="Calibri" w:hAnsi="Arial" w:cs="Arial"/>
                <w:bCs/>
                <w:color w:val="000000" w:themeColor="text1"/>
              </w:rPr>
            </w:pPr>
            <w:r w:rsidRPr="00E96F75">
              <w:rPr>
                <w:rFonts w:ascii="Arial" w:eastAsia="Calibri" w:hAnsi="Arial" w:cs="Arial"/>
                <w:bCs/>
                <w:color w:val="000000" w:themeColor="text1"/>
              </w:rPr>
              <w:t>Respuesta a consulta P2021</w:t>
            </w:r>
            <w:r>
              <w:rPr>
                <w:rFonts w:ascii="Arial" w:eastAsia="Calibri" w:hAnsi="Arial" w:cs="Arial"/>
                <w:bCs/>
                <w:color w:val="000000" w:themeColor="text1"/>
              </w:rPr>
              <w:t>0406002674</w:t>
            </w:r>
          </w:p>
        </w:tc>
      </w:tr>
      <w:tr w:rsidR="00977CE6" w:rsidRPr="003F6D32" w14:paraId="5FCA2104" w14:textId="77777777" w:rsidTr="007C6F1C">
        <w:trPr>
          <w:trHeight w:val="80"/>
        </w:trPr>
        <w:tc>
          <w:tcPr>
            <w:tcW w:w="2552" w:type="dxa"/>
          </w:tcPr>
          <w:p w14:paraId="4D2F4E24" w14:textId="77777777" w:rsidR="00977CE6" w:rsidRPr="006C15D5" w:rsidRDefault="00977CE6" w:rsidP="007C6F1C">
            <w:pPr>
              <w:spacing w:before="120"/>
              <w:rPr>
                <w:rFonts w:ascii="Arial" w:eastAsia="Calibri" w:hAnsi="Arial" w:cs="Arial"/>
                <w:b/>
                <w:color w:val="000000" w:themeColor="text1"/>
              </w:rPr>
            </w:pPr>
          </w:p>
        </w:tc>
        <w:tc>
          <w:tcPr>
            <w:tcW w:w="6374" w:type="dxa"/>
          </w:tcPr>
          <w:p w14:paraId="2AD59BE3" w14:textId="77777777" w:rsidR="00977CE6" w:rsidRPr="006C15D5" w:rsidRDefault="00977CE6" w:rsidP="007C6F1C">
            <w:pPr>
              <w:spacing w:before="120"/>
              <w:jc w:val="both"/>
              <w:rPr>
                <w:rFonts w:ascii="Arial" w:eastAsia="Calibri" w:hAnsi="Arial" w:cs="Arial"/>
                <w:color w:val="000000" w:themeColor="text1"/>
              </w:rPr>
            </w:pPr>
          </w:p>
        </w:tc>
      </w:tr>
    </w:tbl>
    <w:p w14:paraId="68617037" w14:textId="77777777" w:rsidR="00977CE6" w:rsidRPr="006C15D5" w:rsidRDefault="00977CE6" w:rsidP="00977CE6">
      <w:pPr>
        <w:jc w:val="both"/>
        <w:rPr>
          <w:rFonts w:ascii="Arial" w:eastAsia="Calibri" w:hAnsi="Arial" w:cs="Arial"/>
          <w:color w:val="000000" w:themeColor="text1"/>
          <w:sz w:val="22"/>
        </w:rPr>
      </w:pPr>
    </w:p>
    <w:p w14:paraId="7D1ADF0B" w14:textId="77777777" w:rsidR="00977CE6" w:rsidRPr="006C15D5" w:rsidRDefault="00977CE6" w:rsidP="00977CE6">
      <w:pPr>
        <w:rPr>
          <w:rFonts w:ascii="Arial" w:eastAsia="Calibri" w:hAnsi="Arial" w:cs="Arial"/>
          <w:color w:val="000000" w:themeColor="text1"/>
          <w:sz w:val="22"/>
        </w:rPr>
      </w:pPr>
      <w:r w:rsidRPr="006C15D5">
        <w:rPr>
          <w:rFonts w:ascii="Arial" w:eastAsia="Calibri" w:hAnsi="Arial" w:cs="Arial"/>
          <w:color w:val="000000" w:themeColor="text1"/>
          <w:sz w:val="22"/>
        </w:rPr>
        <w:t>Estima</w:t>
      </w:r>
      <w:r>
        <w:rPr>
          <w:rFonts w:ascii="Arial" w:eastAsia="Calibri" w:hAnsi="Arial" w:cs="Arial"/>
          <w:color w:val="000000" w:themeColor="text1"/>
          <w:sz w:val="22"/>
        </w:rPr>
        <w:t xml:space="preserve">do señor </w:t>
      </w:r>
      <w:r w:rsidRPr="006C15D5">
        <w:rPr>
          <w:rFonts w:ascii="Arial" w:eastAsia="Calibri" w:hAnsi="Arial" w:cs="Arial"/>
          <w:color w:val="000000" w:themeColor="text1"/>
          <w:sz w:val="22"/>
        </w:rPr>
        <w:t>:</w:t>
      </w:r>
    </w:p>
    <w:p w14:paraId="0AEBACE0" w14:textId="77777777" w:rsidR="00977CE6" w:rsidRPr="006C15D5" w:rsidRDefault="00977CE6" w:rsidP="00977CE6">
      <w:pPr>
        <w:rPr>
          <w:rFonts w:ascii="Arial" w:eastAsia="Calibri" w:hAnsi="Arial" w:cs="Arial"/>
          <w:color w:val="000000" w:themeColor="text1"/>
          <w:sz w:val="22"/>
        </w:rPr>
      </w:pPr>
    </w:p>
    <w:p w14:paraId="0E53B4DE" w14:textId="77777777" w:rsidR="00977CE6" w:rsidRPr="006C15D5" w:rsidRDefault="00977CE6" w:rsidP="00977CE6">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 xml:space="preserve">6 de abril de 2021. </w:t>
      </w:r>
    </w:p>
    <w:p w14:paraId="3C4E518F" w14:textId="77777777" w:rsidR="00977CE6" w:rsidRPr="008D4647" w:rsidRDefault="00977CE6" w:rsidP="00977CE6">
      <w:pPr>
        <w:spacing w:line="276" w:lineRule="auto"/>
        <w:jc w:val="both"/>
        <w:rPr>
          <w:rFonts w:ascii="Arial" w:eastAsia="Calibri" w:hAnsi="Arial" w:cs="Arial"/>
          <w:color w:val="000000" w:themeColor="text1"/>
          <w:sz w:val="22"/>
        </w:rPr>
      </w:pPr>
    </w:p>
    <w:p w14:paraId="239BBB89" w14:textId="77777777" w:rsidR="00977CE6" w:rsidRDefault="00977CE6" w:rsidP="00977CE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8D4647">
        <w:rPr>
          <w:rFonts w:ascii="Arial" w:eastAsia="Calibri" w:hAnsi="Arial" w:cs="Arial"/>
          <w:b/>
          <w:color w:val="000000" w:themeColor="text1"/>
          <w:sz w:val="22"/>
        </w:rPr>
        <w:t xml:space="preserve">Problema planteado </w:t>
      </w:r>
    </w:p>
    <w:p w14:paraId="28762F6B" w14:textId="77777777" w:rsidR="00977CE6" w:rsidRPr="008D4647" w:rsidRDefault="00977CE6" w:rsidP="00977CE6">
      <w:pPr>
        <w:pStyle w:val="Prrafodelista"/>
        <w:tabs>
          <w:tab w:val="left" w:pos="284"/>
        </w:tabs>
        <w:spacing w:line="276" w:lineRule="auto"/>
        <w:ind w:left="0"/>
        <w:jc w:val="both"/>
        <w:rPr>
          <w:rFonts w:ascii="Arial" w:eastAsia="Calibri" w:hAnsi="Arial" w:cs="Arial"/>
          <w:b/>
          <w:color w:val="000000" w:themeColor="text1"/>
          <w:sz w:val="22"/>
        </w:rPr>
      </w:pPr>
    </w:p>
    <w:p w14:paraId="5905DBA2" w14:textId="77777777" w:rsidR="00977CE6" w:rsidRDefault="00977CE6" w:rsidP="00977CE6">
      <w:pPr>
        <w:pStyle w:val="NormalWeb"/>
        <w:spacing w:before="0" w:beforeAutospacing="0" w:after="0" w:afterAutospacing="0"/>
        <w:jc w:val="both"/>
        <w:rPr>
          <w:rFonts w:ascii="Arial" w:eastAsia="Calibri" w:hAnsi="Arial" w:cs="Arial"/>
          <w:color w:val="000000" w:themeColor="text1"/>
          <w:sz w:val="22"/>
          <w:szCs w:val="22"/>
        </w:rPr>
      </w:pPr>
      <w:r w:rsidRPr="008D4647">
        <w:rPr>
          <w:rFonts w:ascii="Arial" w:eastAsia="Calibri" w:hAnsi="Arial" w:cs="Arial"/>
          <w:color w:val="000000" w:themeColor="text1"/>
          <w:sz w:val="22"/>
        </w:rPr>
        <w:t>Usted realiza las siguientes pregun</w:t>
      </w:r>
      <w:r w:rsidRPr="008D4647">
        <w:rPr>
          <w:rFonts w:ascii="Arial" w:eastAsia="Calibri" w:hAnsi="Arial" w:cs="Arial"/>
          <w:color w:val="000000" w:themeColor="text1"/>
          <w:sz w:val="22"/>
          <w:szCs w:val="22"/>
        </w:rPr>
        <w:t xml:space="preserve">tas: </w:t>
      </w:r>
    </w:p>
    <w:p w14:paraId="50C7C5CB" w14:textId="77777777" w:rsidR="00977CE6" w:rsidRDefault="00977CE6" w:rsidP="00977CE6">
      <w:pPr>
        <w:pStyle w:val="NormalWeb"/>
        <w:spacing w:before="0" w:beforeAutospacing="0" w:after="0" w:afterAutospacing="0"/>
        <w:jc w:val="both"/>
        <w:rPr>
          <w:rFonts w:ascii="Arial" w:eastAsia="Calibri" w:hAnsi="Arial" w:cs="Arial"/>
          <w:color w:val="000000" w:themeColor="text1"/>
          <w:sz w:val="22"/>
          <w:szCs w:val="22"/>
        </w:rPr>
      </w:pPr>
    </w:p>
    <w:p w14:paraId="1AFBE4D3"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sidRPr="008D4647">
        <w:rPr>
          <w:rStyle w:val="apple-converted-space"/>
          <w:rFonts w:ascii="Arial" w:hAnsi="Arial" w:cs="Arial"/>
          <w:color w:val="000000" w:themeColor="text1"/>
          <w:sz w:val="21"/>
          <w:szCs w:val="21"/>
        </w:rPr>
        <w:t> </w:t>
      </w: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80 de 1993 contiene causales para no liquidar un contrato estatal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4C863197"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53295DDF"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sidRPr="008D4647">
        <w:rPr>
          <w:rFonts w:ascii="Arial" w:hAnsi="Arial" w:cs="Arial"/>
          <w:color w:val="000000" w:themeColor="text1"/>
          <w:sz w:val="21"/>
          <w:szCs w:val="21"/>
        </w:rPr>
        <w:t> </w:t>
      </w:r>
      <w:r>
        <w:rPr>
          <w:rFonts w:ascii="Arial" w:hAnsi="Arial" w:cs="Arial"/>
          <w:color w:val="000000" w:themeColor="text1"/>
          <w:sz w:val="21"/>
          <w:szCs w:val="21"/>
        </w:rPr>
        <w:t>«</w:t>
      </w:r>
      <w:r w:rsidRPr="008D4647">
        <w:rPr>
          <w:rFonts w:ascii="Arial" w:hAnsi="Arial" w:cs="Arial"/>
          <w:color w:val="000000" w:themeColor="text1"/>
          <w:sz w:val="21"/>
          <w:szCs w:val="21"/>
        </w:rPr>
        <w:t> ¿La Ley 1150 de 2007 contiene causales para no liquidar un contrato estatal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7503230D"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1464B145"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sidRPr="008D4647">
        <w:rPr>
          <w:rFonts w:ascii="Arial" w:hAnsi="Arial" w:cs="Arial"/>
          <w:color w:val="000000" w:themeColor="text1"/>
          <w:sz w:val="21"/>
          <w:szCs w:val="21"/>
        </w:rPr>
        <w:t> </w:t>
      </w:r>
      <w:r w:rsidRPr="008D4647">
        <w:rPr>
          <w:rStyle w:val="apple-converted-space"/>
          <w:rFonts w:ascii="Arial" w:hAnsi="Arial" w:cs="Arial"/>
          <w:color w:val="000000" w:themeColor="text1"/>
          <w:sz w:val="21"/>
          <w:szCs w:val="21"/>
        </w:rPr>
        <w:t> </w:t>
      </w: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1474 de 2011 contiene causales para no liquidar un contrato estatal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75F16E2B"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4A1C5A1C"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1882 de 2018 contiene causales para no liquidar un contrato estatal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3CB9D2FE"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3FE0268D"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¿El Decreto 1085 de 2015 contiene causales para no liquidar un contrato estatal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1533C59E" w14:textId="77777777" w:rsidR="00977CE6" w:rsidRDefault="00977CE6" w:rsidP="00977CE6">
      <w:pPr>
        <w:pStyle w:val="NormalWeb"/>
        <w:spacing w:after="0" w:afterAutospacing="0"/>
        <w:ind w:right="709"/>
        <w:contextualSpacing/>
        <w:jc w:val="both"/>
        <w:rPr>
          <w:rFonts w:ascii="Arial" w:hAnsi="Arial" w:cs="Arial"/>
          <w:color w:val="000000" w:themeColor="text1"/>
          <w:sz w:val="21"/>
          <w:szCs w:val="21"/>
        </w:rPr>
      </w:pPr>
    </w:p>
    <w:p w14:paraId="7E31026E" w14:textId="77777777" w:rsidR="00977CE6" w:rsidRPr="008D4647"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sidRPr="008D4647">
        <w:rPr>
          <w:rFonts w:ascii="Arial" w:hAnsi="Arial" w:cs="Arial"/>
          <w:color w:val="000000" w:themeColor="text1"/>
          <w:sz w:val="21"/>
          <w:szCs w:val="21"/>
        </w:rPr>
        <w:t>«¿La Ley 80 de 1993 obliga a la Entidad Estatal liquidar un contrato</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39373377"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15BE3FAA"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lastRenderedPageBreak/>
        <w:t>«</w:t>
      </w:r>
      <w:r w:rsidRPr="008D4647">
        <w:rPr>
          <w:rFonts w:ascii="Arial" w:hAnsi="Arial" w:cs="Arial"/>
          <w:color w:val="000000" w:themeColor="text1"/>
          <w:sz w:val="21"/>
          <w:szCs w:val="21"/>
        </w:rPr>
        <w:t>¿La Ley 1150 de 2007 obliga a la Entidad Estatal liquidar un contrato</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3E9D11A8"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2ABB3D03"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1474 de 2011 obliga a la Entidad Estatal liquidar un contrato</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6C2073E7"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340B60A0"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1882 de 2018 obliga a la Entidad Estatal liquidar un contrato</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3386AFC5"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5111E3A5"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¿El Decreto 1085 de 2015 obliga a la Entidad Estatal liquidar un contrato</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36570AEE"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444B2C12"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Pr>
          <w:rFonts w:ascii="Arial" w:hAnsi="Arial" w:cs="Arial"/>
          <w:color w:val="000000" w:themeColor="text1"/>
          <w:sz w:val="21"/>
          <w:szCs w:val="21"/>
        </w:rPr>
        <w:t>«</w:t>
      </w:r>
      <w:r w:rsidRPr="008D4647">
        <w:rPr>
          <w:rFonts w:ascii="Arial" w:hAnsi="Arial" w:cs="Arial"/>
          <w:color w:val="000000" w:themeColor="text1"/>
          <w:sz w:val="21"/>
          <w:szCs w:val="21"/>
        </w:rPr>
        <w:t>¿La Ley 80 de 1993 contiene causales de suspensión de liquidación del contrato estatal por existir procesos de responsabilidad (disciplinario, fiscal y penal)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12E67FB1"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2FBD51EA" w14:textId="77777777" w:rsidR="00977CE6" w:rsidRPr="008D4647" w:rsidRDefault="00977CE6" w:rsidP="00977CE6">
      <w:pPr>
        <w:pStyle w:val="NormalWeb"/>
        <w:numPr>
          <w:ilvl w:val="0"/>
          <w:numId w:val="2"/>
        </w:numPr>
        <w:spacing w:after="0" w:afterAutospacing="0"/>
        <w:ind w:left="1429" w:right="709"/>
        <w:contextualSpacing/>
        <w:jc w:val="both"/>
        <w:rPr>
          <w:rFonts w:ascii="Arial" w:hAnsi="Arial" w:cs="Arial"/>
          <w:b/>
          <w:bCs/>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1150 de 2007 contiene causales de suspensión de liquidación del contrato estatal por existir procesos de responsabilidad (disciplinario, fiscal y penal)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0CFC42B8"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449855F9"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1474 de 2011 contiene causales de suspensión de liquidación del contrato estatal por existir procesos de responsabilidad (disciplinario, fiscal y penal)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23271616"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2D8721A9" w14:textId="77777777" w:rsidR="00977CE6"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1882 de 2018 contiene causales de suspensión de liquidación del contrato estatal por existir procesos de responsabilidad (disciplinario, fiscal y penal)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342317CD"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4154F148" w14:textId="77777777" w:rsidR="00977CE6" w:rsidRPr="008D4647" w:rsidRDefault="00977CE6" w:rsidP="00977CE6">
      <w:pPr>
        <w:pStyle w:val="NormalWeb"/>
        <w:numPr>
          <w:ilvl w:val="0"/>
          <w:numId w:val="2"/>
        </w:numPr>
        <w:spacing w:after="0" w:afterAutospacing="0"/>
        <w:ind w:left="1429"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 El Decreto 1085 de 2015 contiene causales de suspensión de liquidación del contrato estatal por existir procesos de responsabilidad (disciplinario, fiscal y penal)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72B940E1" w14:textId="77777777" w:rsidR="00977CE6" w:rsidRPr="00064944" w:rsidRDefault="00977CE6" w:rsidP="00977CE6">
      <w:pPr>
        <w:pStyle w:val="xxmsonospacing"/>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p>
    <w:p w14:paraId="47FADCE4" w14:textId="77777777" w:rsidR="00977CE6" w:rsidRDefault="00977CE6" w:rsidP="00977CE6">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7DF8F90E" w14:textId="77777777" w:rsidR="00977CE6" w:rsidRDefault="00977CE6" w:rsidP="00977CE6">
      <w:pPr>
        <w:tabs>
          <w:tab w:val="left" w:pos="426"/>
        </w:tabs>
        <w:spacing w:line="276" w:lineRule="auto"/>
        <w:jc w:val="both"/>
        <w:rPr>
          <w:rFonts w:ascii="Arial" w:eastAsia="Calibri" w:hAnsi="Arial" w:cs="Arial"/>
          <w:b/>
          <w:color w:val="000000" w:themeColor="text1"/>
          <w:sz w:val="22"/>
        </w:rPr>
      </w:pPr>
    </w:p>
    <w:p w14:paraId="5377934F" w14:textId="77777777" w:rsidR="00977CE6" w:rsidRPr="00DD7334" w:rsidRDefault="00977CE6" w:rsidP="00977CE6">
      <w:pPr>
        <w:spacing w:line="276" w:lineRule="auto"/>
        <w:jc w:val="both"/>
        <w:rPr>
          <w:rFonts w:ascii="Arial" w:hAnsi="Arial" w:cs="Arial"/>
          <w:color w:val="000000" w:themeColor="text1"/>
          <w:sz w:val="22"/>
          <w:szCs w:val="22"/>
          <w:bdr w:val="none" w:sz="0" w:space="0" w:color="auto" w:frame="1"/>
          <w:shd w:val="clear" w:color="auto" w:fill="FFFFFF"/>
        </w:rPr>
      </w:pPr>
      <w:r w:rsidRPr="00410AF1">
        <w:rPr>
          <w:rFonts w:ascii="Arial" w:eastAsia="Calibri" w:hAnsi="Arial" w:cs="Arial"/>
          <w:bCs/>
          <w:color w:val="000000" w:themeColor="text1"/>
          <w:sz w:val="22"/>
        </w:rPr>
        <w:t>Para responder sus interrogantes se estudiarán los siguientes t</w:t>
      </w:r>
      <w:r>
        <w:rPr>
          <w:rFonts w:ascii="Arial" w:eastAsia="Calibri" w:hAnsi="Arial" w:cs="Arial"/>
          <w:bCs/>
          <w:color w:val="000000" w:themeColor="text1"/>
          <w:sz w:val="22"/>
        </w:rPr>
        <w:t>emas</w:t>
      </w:r>
      <w:r w:rsidRPr="00410AF1">
        <w:rPr>
          <w:rFonts w:ascii="Arial" w:eastAsia="Calibri" w:hAnsi="Arial" w:cs="Arial"/>
          <w:bCs/>
          <w:color w:val="000000" w:themeColor="text1"/>
          <w:sz w:val="22"/>
        </w:rPr>
        <w:t>: i)</w:t>
      </w:r>
      <w:r>
        <w:rPr>
          <w:rFonts w:ascii="Arial" w:eastAsia="Calibri" w:hAnsi="Arial" w:cs="Arial"/>
          <w:bCs/>
          <w:color w:val="000000" w:themeColor="text1"/>
          <w:sz w:val="22"/>
        </w:rPr>
        <w:t xml:space="preserve"> la liquidación</w:t>
      </w:r>
      <w:r>
        <w:rPr>
          <w:rFonts w:ascii="Arial" w:hAnsi="Arial" w:cs="Arial"/>
          <w:bCs/>
          <w:sz w:val="22"/>
          <w:lang w:val="es-ES_tradnl"/>
        </w:rPr>
        <w:t xml:space="preserve"> de los contratos estatales</w:t>
      </w:r>
      <w:bookmarkStart w:id="0" w:name="_Hlk38448224"/>
      <w:r>
        <w:rPr>
          <w:rFonts w:ascii="Arial" w:hAnsi="Arial" w:cs="Arial"/>
          <w:bCs/>
          <w:sz w:val="22"/>
          <w:lang w:val="es-ES_tradnl"/>
        </w:rPr>
        <w:t>, ii</w:t>
      </w:r>
      <w:r w:rsidRPr="00DD7334">
        <w:rPr>
          <w:rFonts w:ascii="Arial" w:hAnsi="Arial" w:cs="Arial"/>
          <w:bCs/>
          <w:sz w:val="22"/>
          <w:lang w:val="es-ES_tradnl"/>
        </w:rPr>
        <w:t>)</w:t>
      </w:r>
      <w:r>
        <w:rPr>
          <w:rFonts w:ascii="Arial" w:hAnsi="Arial" w:cs="Arial"/>
          <w:bCs/>
          <w:sz w:val="22"/>
          <w:lang w:val="es-ES_tradnl"/>
        </w:rPr>
        <w:t xml:space="preserve"> la</w:t>
      </w:r>
      <w:r w:rsidRPr="00DD7334">
        <w:rPr>
          <w:rFonts w:ascii="Arial" w:hAnsi="Arial" w:cs="Arial"/>
          <w:bCs/>
          <w:sz w:val="22"/>
          <w:lang w:val="es-ES_tradnl"/>
        </w:rPr>
        <w:t xml:space="preserve"> </w:t>
      </w:r>
      <w:r>
        <w:rPr>
          <w:rFonts w:ascii="Arial" w:hAnsi="Arial" w:cs="Arial"/>
          <w:bCs/>
          <w:color w:val="000000" w:themeColor="text1"/>
          <w:sz w:val="22"/>
          <w:szCs w:val="22"/>
          <w:bdr w:val="none" w:sz="0" w:space="0" w:color="auto" w:frame="1"/>
          <w:shd w:val="clear" w:color="auto" w:fill="FFFFFF"/>
        </w:rPr>
        <w:t>o</w:t>
      </w:r>
      <w:r w:rsidRPr="00DD7334">
        <w:rPr>
          <w:rFonts w:ascii="Arial" w:hAnsi="Arial" w:cs="Arial"/>
          <w:bCs/>
          <w:color w:val="000000" w:themeColor="text1"/>
          <w:sz w:val="22"/>
          <w:szCs w:val="22"/>
          <w:bdr w:val="none" w:sz="0" w:space="0" w:color="auto" w:frame="1"/>
          <w:shd w:val="clear" w:color="auto" w:fill="FFFFFF"/>
        </w:rPr>
        <w:t>bligación</w:t>
      </w:r>
      <w:r>
        <w:rPr>
          <w:rFonts w:ascii="Arial" w:hAnsi="Arial" w:cs="Arial"/>
          <w:bCs/>
          <w:color w:val="000000" w:themeColor="text1"/>
          <w:sz w:val="22"/>
          <w:szCs w:val="22"/>
          <w:bdr w:val="none" w:sz="0" w:space="0" w:color="auto" w:frame="1"/>
          <w:shd w:val="clear" w:color="auto" w:fill="FFFFFF"/>
        </w:rPr>
        <w:t xml:space="preserve"> legal</w:t>
      </w:r>
      <w:r w:rsidRPr="00DD7334">
        <w:rPr>
          <w:rFonts w:ascii="Arial" w:hAnsi="Arial" w:cs="Arial"/>
          <w:bCs/>
          <w:color w:val="000000" w:themeColor="text1"/>
          <w:sz w:val="22"/>
          <w:szCs w:val="22"/>
          <w:bdr w:val="none" w:sz="0" w:space="0" w:color="auto" w:frame="1"/>
          <w:shd w:val="clear" w:color="auto" w:fill="FFFFFF"/>
        </w:rPr>
        <w:t xml:space="preserve"> de liquidar un contrato estatal</w:t>
      </w:r>
      <w:r w:rsidRPr="00F91C73">
        <w:rPr>
          <w:rFonts w:ascii="Arial" w:hAnsi="Arial" w:cs="Arial"/>
          <w:b/>
          <w:bCs/>
          <w:color w:val="000000" w:themeColor="text1"/>
          <w:sz w:val="22"/>
          <w:szCs w:val="22"/>
          <w:bdr w:val="none" w:sz="0" w:space="0" w:color="auto" w:frame="1"/>
          <w:shd w:val="clear" w:color="auto" w:fill="FFFFFF"/>
        </w:rPr>
        <w:t xml:space="preserve"> </w:t>
      </w:r>
      <w:r>
        <w:rPr>
          <w:rFonts w:ascii="Arial" w:hAnsi="Arial" w:cs="Arial"/>
          <w:color w:val="000000" w:themeColor="text1"/>
          <w:sz w:val="22"/>
          <w:szCs w:val="22"/>
          <w:bdr w:val="none" w:sz="0" w:space="0" w:color="auto" w:frame="1"/>
          <w:shd w:val="clear" w:color="auto" w:fill="FFFFFF"/>
        </w:rPr>
        <w:t xml:space="preserve">y iii) el procedimiento de liquidación del contrato estatal. </w:t>
      </w:r>
    </w:p>
    <w:p w14:paraId="2D5B160B" w14:textId="77777777" w:rsidR="00977CE6" w:rsidRDefault="00977CE6" w:rsidP="00977CE6">
      <w:pPr>
        <w:tabs>
          <w:tab w:val="left" w:pos="426"/>
        </w:tabs>
        <w:spacing w:before="120" w:line="276" w:lineRule="auto"/>
        <w:ind w:firstLine="709"/>
        <w:jc w:val="both"/>
        <w:rPr>
          <w:rFonts w:ascii="Arial" w:eastAsia="Calibri" w:hAnsi="Arial" w:cs="Arial"/>
          <w:color w:val="000000" w:themeColor="text1"/>
          <w:sz w:val="22"/>
          <w:lang w:val="es-ES_tradnl"/>
        </w:rPr>
      </w:pPr>
      <w:r w:rsidRPr="00A23E33">
        <w:rPr>
          <w:rFonts w:ascii="Arial" w:hAnsi="Arial" w:cs="Arial"/>
          <w:sz w:val="22"/>
          <w:lang w:val="es-ES_tradnl"/>
        </w:rPr>
        <w:t>La Agencia Nacional de Contratación Pública – Colombia Compra Eficiente</w:t>
      </w:r>
      <w:r w:rsidRPr="00A23E33">
        <w:rPr>
          <w:rFonts w:ascii="Arial" w:hAnsi="Arial" w:cs="Arial"/>
          <w:sz w:val="22"/>
          <w:lang w:val="es-ES"/>
        </w:rPr>
        <w:t xml:space="preserve"> </w:t>
      </w:r>
      <w:r w:rsidRPr="009C6B45">
        <w:rPr>
          <w:rFonts w:ascii="Arial" w:eastAsia="Calibri" w:hAnsi="Arial" w:cs="Arial"/>
          <w:color w:val="000000" w:themeColor="text1"/>
          <w:sz w:val="22"/>
          <w:lang w:val="es-ES_tradnl"/>
        </w:rPr>
        <w:t xml:space="preserve">se </w:t>
      </w:r>
      <w:r>
        <w:rPr>
          <w:rFonts w:ascii="Arial" w:eastAsia="Calibri" w:hAnsi="Arial" w:cs="Arial"/>
          <w:color w:val="000000" w:themeColor="text1"/>
          <w:sz w:val="22"/>
          <w:lang w:val="es-ES_tradnl"/>
        </w:rPr>
        <w:t xml:space="preserve">ha </w:t>
      </w:r>
      <w:r w:rsidRPr="009C6B45">
        <w:rPr>
          <w:rFonts w:ascii="Arial" w:eastAsia="Calibri" w:hAnsi="Arial" w:cs="Arial"/>
          <w:color w:val="000000" w:themeColor="text1"/>
          <w:sz w:val="22"/>
          <w:lang w:val="es-ES_tradnl"/>
        </w:rPr>
        <w:t>pronunci</w:t>
      </w:r>
      <w:r>
        <w:rPr>
          <w:rFonts w:ascii="Arial" w:eastAsia="Calibri" w:hAnsi="Arial" w:cs="Arial"/>
          <w:color w:val="000000" w:themeColor="text1"/>
          <w:sz w:val="22"/>
          <w:lang w:val="es-ES_tradnl"/>
        </w:rPr>
        <w:t>ado</w:t>
      </w:r>
      <w:r w:rsidRPr="009C6B45">
        <w:rPr>
          <w:rFonts w:ascii="Arial" w:eastAsia="Calibri" w:hAnsi="Arial" w:cs="Arial"/>
          <w:color w:val="000000" w:themeColor="text1"/>
          <w:sz w:val="22"/>
          <w:lang w:val="es-ES_tradnl"/>
        </w:rPr>
        <w:t xml:space="preserve"> sobre la liquidación </w:t>
      </w:r>
      <w:r>
        <w:rPr>
          <w:rFonts w:ascii="Arial" w:eastAsia="Calibri" w:hAnsi="Arial" w:cs="Arial"/>
          <w:color w:val="000000" w:themeColor="text1"/>
          <w:sz w:val="22"/>
          <w:lang w:val="es-ES_tradnl"/>
        </w:rPr>
        <w:t xml:space="preserve">de los contratos estatales </w:t>
      </w:r>
      <w:r w:rsidRPr="009C6B45">
        <w:rPr>
          <w:rFonts w:ascii="Arial" w:eastAsia="Calibri" w:hAnsi="Arial" w:cs="Arial"/>
          <w:color w:val="000000" w:themeColor="text1"/>
          <w:sz w:val="22"/>
          <w:lang w:val="es-ES_tradnl"/>
        </w:rPr>
        <w:t xml:space="preserve">en </w:t>
      </w:r>
      <w:r>
        <w:rPr>
          <w:rFonts w:ascii="Arial" w:eastAsia="Calibri" w:hAnsi="Arial" w:cs="Arial"/>
          <w:color w:val="000000" w:themeColor="text1"/>
          <w:sz w:val="22"/>
          <w:lang w:val="es-ES_tradnl"/>
        </w:rPr>
        <w:t xml:space="preserve">el concepto con radicado No. 4201912000004908 del 27 de septiembre de 2019 y los conceptos con número interno </w:t>
      </w:r>
      <w:r w:rsidRPr="009C6B45">
        <w:rPr>
          <w:rFonts w:ascii="Arial" w:eastAsia="Calibri" w:hAnsi="Arial" w:cs="Arial"/>
          <w:color w:val="000000" w:themeColor="text1"/>
          <w:sz w:val="22"/>
          <w:lang w:val="es-ES_tradnl"/>
        </w:rPr>
        <w:t>CU-028 de 25 de febrero de 2020</w:t>
      </w:r>
      <w:r>
        <w:rPr>
          <w:rFonts w:ascii="Arial" w:eastAsia="Calibri" w:hAnsi="Arial" w:cs="Arial"/>
          <w:color w:val="000000" w:themeColor="text1"/>
          <w:sz w:val="22"/>
          <w:lang w:val="es-ES_tradnl"/>
        </w:rPr>
        <w:t xml:space="preserve">, </w:t>
      </w:r>
      <w:r w:rsidRPr="009C6B45">
        <w:rPr>
          <w:rFonts w:ascii="Arial" w:eastAsia="Calibri" w:hAnsi="Arial" w:cs="Arial"/>
          <w:color w:val="000000" w:themeColor="text1"/>
          <w:sz w:val="22"/>
          <w:lang w:val="es-ES_tradnl"/>
        </w:rPr>
        <w:t>C-221 de 21 de abril de 20</w:t>
      </w:r>
      <w:r>
        <w:rPr>
          <w:rFonts w:ascii="Arial" w:eastAsia="Calibri" w:hAnsi="Arial" w:cs="Arial"/>
          <w:color w:val="000000" w:themeColor="text1"/>
          <w:sz w:val="22"/>
          <w:lang w:val="es-ES_tradnl"/>
        </w:rPr>
        <w:t>20 y C-078 del 17 de marzo de 2021. Las tesis desarrolladas en los conceptos referidos se reiteran a continuación.</w:t>
      </w:r>
    </w:p>
    <w:bookmarkEnd w:id="0"/>
    <w:p w14:paraId="1A695D65" w14:textId="77777777" w:rsidR="00977CE6" w:rsidRDefault="00977CE6" w:rsidP="00977CE6">
      <w:pPr>
        <w:spacing w:line="276" w:lineRule="auto"/>
        <w:jc w:val="both"/>
        <w:rPr>
          <w:rFonts w:ascii="Arial" w:eastAsia="Calibri" w:hAnsi="Arial" w:cs="Arial"/>
          <w:sz w:val="22"/>
          <w:lang w:val="es-ES"/>
        </w:rPr>
      </w:pPr>
    </w:p>
    <w:p w14:paraId="5730A469" w14:textId="77777777" w:rsidR="00977CE6" w:rsidRPr="00BC42A3" w:rsidRDefault="00977CE6" w:rsidP="00977CE6">
      <w:pPr>
        <w:spacing w:line="276" w:lineRule="auto"/>
        <w:jc w:val="both"/>
        <w:rPr>
          <w:rFonts w:ascii="Arial" w:hAnsi="Arial" w:cs="Arial"/>
          <w:b/>
          <w:sz w:val="22"/>
          <w:lang w:val="es-ES_tradnl"/>
        </w:rPr>
      </w:pPr>
      <w:r w:rsidRPr="00866D6C">
        <w:rPr>
          <w:rFonts w:ascii="Arial" w:hAnsi="Arial" w:cs="Arial"/>
          <w:b/>
          <w:bCs/>
          <w:sz w:val="22"/>
        </w:rPr>
        <w:t>2.1.</w:t>
      </w:r>
      <w:r>
        <w:rPr>
          <w:rFonts w:ascii="Arial" w:hAnsi="Arial" w:cs="Arial"/>
          <w:b/>
          <w:sz w:val="22"/>
          <w:lang w:val="es-ES_tradnl"/>
        </w:rPr>
        <w:t xml:space="preserve"> Liquidación de los contratos estatales</w:t>
      </w:r>
    </w:p>
    <w:p w14:paraId="00203D3F" w14:textId="77777777" w:rsidR="00977CE6" w:rsidRDefault="00977CE6" w:rsidP="00977CE6">
      <w:pPr>
        <w:autoSpaceDE w:val="0"/>
        <w:autoSpaceDN w:val="0"/>
        <w:adjustRightInd w:val="0"/>
        <w:spacing w:line="276" w:lineRule="auto"/>
        <w:jc w:val="both"/>
        <w:rPr>
          <w:rFonts w:ascii="Arial" w:eastAsia="Calibri" w:hAnsi="Arial" w:cs="Arial"/>
          <w:b/>
          <w:color w:val="000000" w:themeColor="text1"/>
          <w:sz w:val="22"/>
        </w:rPr>
      </w:pPr>
    </w:p>
    <w:p w14:paraId="6FDA38FB" w14:textId="77777777" w:rsidR="00977CE6" w:rsidRDefault="00977CE6" w:rsidP="00977CE6">
      <w:pPr>
        <w:pStyle w:val="Sinespaciado"/>
        <w:spacing w:line="276" w:lineRule="auto"/>
        <w:jc w:val="both"/>
        <w:rPr>
          <w:rFonts w:ascii="Arial" w:hAnsi="Arial" w:cs="Arial"/>
          <w:color w:val="000000" w:themeColor="text1"/>
          <w:sz w:val="22"/>
          <w:lang w:val="es-ES_tradnl"/>
        </w:rPr>
      </w:pPr>
      <w:r w:rsidRPr="009C6B45">
        <w:rPr>
          <w:rFonts w:ascii="Arial" w:hAnsi="Arial" w:cs="Arial"/>
          <w:color w:val="000000" w:themeColor="text1"/>
          <w:sz w:val="22"/>
          <w:lang w:val="es-ES_tradnl"/>
        </w:rPr>
        <w:t>La liquidación es el momento en el cual, una vez concluido el contrato estatal, las partes cruzan cuentas respecto de sus obligaciones</w:t>
      </w:r>
      <w:r>
        <w:rPr>
          <w:rFonts w:ascii="Arial" w:hAnsi="Arial" w:cs="Arial"/>
          <w:color w:val="000000" w:themeColor="text1"/>
          <w:sz w:val="22"/>
          <w:lang w:val="es-ES_tradnl"/>
        </w:rPr>
        <w:t>, por tanto, su</w:t>
      </w:r>
      <w:r w:rsidRPr="009C6B45">
        <w:rPr>
          <w:rFonts w:ascii="Arial" w:hAnsi="Arial" w:cs="Arial"/>
          <w:color w:val="000000" w:themeColor="text1"/>
          <w:sz w:val="22"/>
          <w:lang w:val="es-ES_tradnl"/>
        </w:rPr>
        <w:t xml:space="preserve"> objetivo es determinar si pueden declararse a paz y salvo mutuo o si</w:t>
      </w:r>
      <w:r>
        <w:rPr>
          <w:rFonts w:ascii="Arial" w:hAnsi="Arial" w:cs="Arial"/>
          <w:color w:val="000000" w:themeColor="text1"/>
          <w:sz w:val="22"/>
          <w:lang w:val="es-ES_tradnl"/>
        </w:rPr>
        <w:t>, por el contrario,</w:t>
      </w:r>
      <w:r w:rsidRPr="009C6B45">
        <w:rPr>
          <w:rFonts w:ascii="Arial" w:hAnsi="Arial" w:cs="Arial"/>
          <w:color w:val="000000" w:themeColor="text1"/>
          <w:sz w:val="22"/>
          <w:lang w:val="es-ES_tradnl"/>
        </w:rPr>
        <w:t xml:space="preserve"> existen </w:t>
      </w:r>
      <w:r>
        <w:rPr>
          <w:rFonts w:ascii="Arial" w:hAnsi="Arial" w:cs="Arial"/>
          <w:color w:val="000000" w:themeColor="text1"/>
          <w:sz w:val="22"/>
          <w:lang w:val="es-ES_tradnl"/>
        </w:rPr>
        <w:t xml:space="preserve">aún </w:t>
      </w:r>
      <w:r w:rsidRPr="009C6B45">
        <w:rPr>
          <w:rFonts w:ascii="Arial" w:hAnsi="Arial" w:cs="Arial"/>
          <w:color w:val="000000" w:themeColor="text1"/>
          <w:sz w:val="22"/>
          <w:lang w:val="es-ES_tradnl"/>
        </w:rPr>
        <w:t xml:space="preserve">obligaciones por cumplir, </w:t>
      </w:r>
      <w:r>
        <w:rPr>
          <w:rFonts w:ascii="Arial" w:hAnsi="Arial" w:cs="Arial"/>
          <w:color w:val="000000" w:themeColor="text1"/>
          <w:sz w:val="22"/>
          <w:lang w:val="es-ES_tradnl"/>
        </w:rPr>
        <w:t>para a</w:t>
      </w:r>
      <w:r w:rsidRPr="009C6B45">
        <w:rPr>
          <w:rFonts w:ascii="Arial" w:hAnsi="Arial" w:cs="Arial"/>
          <w:color w:val="000000" w:themeColor="text1"/>
          <w:sz w:val="22"/>
          <w:lang w:val="es-ES_tradnl"/>
        </w:rPr>
        <w:t xml:space="preserve">cordar la forma en que deben ser cumplida. </w:t>
      </w:r>
      <w:r>
        <w:rPr>
          <w:rFonts w:ascii="Arial" w:hAnsi="Arial" w:cs="Arial"/>
          <w:color w:val="000000" w:themeColor="text1"/>
          <w:sz w:val="22"/>
          <w:lang w:val="es-ES_tradnl"/>
        </w:rPr>
        <w:t>En armonía con lo anterior, la doctrina ha considerado que:</w:t>
      </w:r>
    </w:p>
    <w:p w14:paraId="21C8DDA3" w14:textId="77777777" w:rsidR="00977CE6" w:rsidRDefault="00977CE6" w:rsidP="00977CE6">
      <w:pPr>
        <w:pStyle w:val="Sinespaciado"/>
        <w:spacing w:line="276" w:lineRule="auto"/>
        <w:jc w:val="both"/>
        <w:rPr>
          <w:rFonts w:ascii="Arial" w:hAnsi="Arial" w:cs="Arial"/>
          <w:color w:val="000000" w:themeColor="text1"/>
          <w:sz w:val="22"/>
          <w:lang w:val="es-ES_tradnl"/>
        </w:rPr>
      </w:pPr>
    </w:p>
    <w:p w14:paraId="31EB8005" w14:textId="77777777" w:rsidR="00977CE6" w:rsidRPr="00850051" w:rsidRDefault="00977CE6" w:rsidP="00977CE6">
      <w:pPr>
        <w:pStyle w:val="Sinespaciado"/>
        <w:ind w:left="708" w:right="758"/>
        <w:jc w:val="both"/>
        <w:rPr>
          <w:rFonts w:ascii="Arial" w:hAnsi="Arial" w:cs="Arial"/>
          <w:color w:val="000000" w:themeColor="text1"/>
          <w:sz w:val="21"/>
          <w:szCs w:val="21"/>
          <w:lang w:val="es-ES_tradnl"/>
        </w:rPr>
      </w:pPr>
      <w:r w:rsidRPr="00850051">
        <w:rPr>
          <w:rFonts w:ascii="Arial" w:hAnsi="Arial" w:cs="Arial"/>
          <w:color w:val="000000" w:themeColor="text1"/>
          <w:sz w:val="21"/>
          <w:szCs w:val="21"/>
          <w:lang w:val="es-ES_tradnl"/>
        </w:rPr>
        <w:lastRenderedPageBreak/>
        <w:t>«La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850051">
        <w:rPr>
          <w:rStyle w:val="Refdenotaalpie"/>
          <w:rFonts w:ascii="Arial" w:hAnsi="Arial" w:cs="Arial"/>
          <w:color w:val="000000" w:themeColor="text1"/>
          <w:sz w:val="22"/>
          <w:lang w:val="es-ES_tradnl"/>
        </w:rPr>
        <w:t xml:space="preserve"> </w:t>
      </w:r>
      <w:r>
        <w:rPr>
          <w:rStyle w:val="Refdenotaalpie"/>
          <w:rFonts w:ascii="Arial" w:hAnsi="Arial" w:cs="Arial"/>
          <w:color w:val="000000" w:themeColor="text1"/>
          <w:sz w:val="22"/>
          <w:lang w:val="es-ES_tradnl"/>
        </w:rPr>
        <w:footnoteReference w:id="3"/>
      </w:r>
    </w:p>
    <w:p w14:paraId="329B166F" w14:textId="77777777" w:rsidR="00977CE6" w:rsidRDefault="00977CE6" w:rsidP="00977CE6">
      <w:pPr>
        <w:pStyle w:val="Sinespaciado"/>
        <w:spacing w:line="276" w:lineRule="auto"/>
        <w:jc w:val="both"/>
        <w:rPr>
          <w:rFonts w:ascii="Arial" w:hAnsi="Arial" w:cs="Arial"/>
          <w:color w:val="000000" w:themeColor="text1"/>
          <w:sz w:val="22"/>
          <w:lang w:val="es-ES_tradnl"/>
        </w:rPr>
      </w:pPr>
    </w:p>
    <w:p w14:paraId="02B87945" w14:textId="77777777" w:rsidR="00977CE6" w:rsidRDefault="00977CE6" w:rsidP="00977CE6">
      <w:pPr>
        <w:pStyle w:val="Sinespaciado"/>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En el mismo sentido, se ha definido la liquidación de la siguiente manera:</w:t>
      </w:r>
    </w:p>
    <w:p w14:paraId="7A10F07A" w14:textId="77777777" w:rsidR="00977CE6" w:rsidRDefault="00977CE6" w:rsidP="00977CE6">
      <w:pPr>
        <w:pStyle w:val="Sinespaciado"/>
        <w:spacing w:line="276" w:lineRule="auto"/>
        <w:jc w:val="both"/>
        <w:rPr>
          <w:rFonts w:ascii="Arial" w:hAnsi="Arial" w:cs="Arial"/>
          <w:color w:val="000000" w:themeColor="text1"/>
          <w:sz w:val="22"/>
          <w:lang w:val="es-ES_tradnl"/>
        </w:rPr>
      </w:pPr>
    </w:p>
    <w:p w14:paraId="76E68329" w14:textId="77777777" w:rsidR="00977CE6" w:rsidRPr="00975B5D" w:rsidRDefault="00977CE6" w:rsidP="00977CE6">
      <w:pPr>
        <w:pStyle w:val="Sinespaciado"/>
        <w:ind w:left="709" w:right="758"/>
        <w:jc w:val="both"/>
        <w:rPr>
          <w:rFonts w:ascii="Arial" w:hAnsi="Arial" w:cs="Arial"/>
          <w:sz w:val="21"/>
          <w:szCs w:val="21"/>
        </w:rPr>
      </w:pPr>
      <w:r w:rsidRPr="00850051">
        <w:rPr>
          <w:rFonts w:ascii="Arial" w:hAnsi="Arial" w:cs="Arial"/>
          <w:color w:val="000000" w:themeColor="text1"/>
          <w:sz w:val="21"/>
          <w:szCs w:val="21"/>
          <w:lang w:val="es-ES_tradnl"/>
        </w:rPr>
        <w:t>«</w:t>
      </w:r>
      <w:r w:rsidRPr="00975B5D">
        <w:rPr>
          <w:rFonts w:ascii="Arial" w:hAnsi="Arial" w:cs="Arial"/>
          <w:sz w:val="21"/>
          <w:szCs w:val="21"/>
        </w:rPr>
        <w:t>[…]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sidRPr="00850051">
        <w:rPr>
          <w:rFonts w:ascii="Arial" w:hAnsi="Arial" w:cs="Arial"/>
          <w:color w:val="000000" w:themeColor="text1"/>
          <w:sz w:val="21"/>
          <w:szCs w:val="21"/>
          <w:lang w:val="es-ES_tradnl"/>
        </w:rPr>
        <w:t>»</w:t>
      </w:r>
      <w:r>
        <w:rPr>
          <w:rStyle w:val="Refdenotaalpie"/>
          <w:rFonts w:ascii="Arial" w:hAnsi="Arial" w:cs="Arial"/>
          <w:color w:val="000000" w:themeColor="text1"/>
          <w:sz w:val="21"/>
          <w:szCs w:val="21"/>
          <w:lang w:val="es-ES_tradnl"/>
        </w:rPr>
        <w:footnoteReference w:id="4"/>
      </w:r>
      <w:r w:rsidRPr="00975B5D">
        <w:rPr>
          <w:rFonts w:ascii="Arial" w:hAnsi="Arial" w:cs="Arial"/>
          <w:sz w:val="21"/>
          <w:szCs w:val="21"/>
        </w:rPr>
        <w:t xml:space="preserve"> </w:t>
      </w:r>
    </w:p>
    <w:p w14:paraId="0442C2FF" w14:textId="77777777" w:rsidR="00977CE6" w:rsidRPr="009C6B45" w:rsidRDefault="00977CE6" w:rsidP="00977CE6">
      <w:pPr>
        <w:pStyle w:val="Sinespaciado"/>
        <w:spacing w:line="276" w:lineRule="auto"/>
        <w:jc w:val="both"/>
        <w:rPr>
          <w:rFonts w:ascii="Arial" w:hAnsi="Arial" w:cs="Arial"/>
          <w:color w:val="000000" w:themeColor="text1"/>
          <w:sz w:val="22"/>
          <w:lang w:val="es-ES_tradnl"/>
        </w:rPr>
      </w:pPr>
    </w:p>
    <w:p w14:paraId="103F50EF" w14:textId="77777777" w:rsidR="00977CE6" w:rsidRDefault="00977CE6" w:rsidP="00977CE6">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En línea con lo anterior, </w:t>
      </w:r>
      <w:r w:rsidRPr="009C6B45">
        <w:rPr>
          <w:rFonts w:ascii="Arial" w:hAnsi="Arial" w:cs="Arial"/>
          <w:color w:val="000000" w:themeColor="text1"/>
          <w:sz w:val="22"/>
          <w:lang w:val="es-ES_tradnl"/>
        </w:rPr>
        <w:t xml:space="preserve">según la jurisprudencia, </w:t>
      </w:r>
      <w:r>
        <w:rPr>
          <w:rFonts w:ascii="Arial" w:hAnsi="Arial" w:cs="Arial"/>
          <w:color w:val="000000" w:themeColor="text1"/>
          <w:sz w:val="22"/>
          <w:lang w:val="es-ES_tradnl"/>
        </w:rPr>
        <w:t xml:space="preserve">la liquidación </w:t>
      </w:r>
      <w:r w:rsidRPr="009C6B45">
        <w:rPr>
          <w:rFonts w:ascii="Arial" w:hAnsi="Arial" w:cs="Arial"/>
          <w:color w:val="000000" w:themeColor="text1"/>
          <w:sz w:val="22"/>
          <w:lang w:val="es-ES_tradnl"/>
        </w:rPr>
        <w:t xml:space="preserve">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9C6B45">
        <w:rPr>
          <w:rFonts w:ascii="Arial" w:hAnsi="Arial" w:cs="Arial"/>
          <w:i/>
          <w:iCs/>
          <w:color w:val="000000" w:themeColor="text1"/>
          <w:sz w:val="22"/>
          <w:lang w:val="es-ES_tradnl"/>
        </w:rPr>
        <w:t>liquidar</w:t>
      </w:r>
      <w:r w:rsidRPr="009C6B45">
        <w:rPr>
          <w:rFonts w:ascii="Arial" w:hAnsi="Arial" w:cs="Arial"/>
          <w:color w:val="000000" w:themeColor="text1"/>
          <w:sz w:val="22"/>
          <w:lang w:val="es-ES_tradnl"/>
        </w:rPr>
        <w:t xml:space="preserve"> supone un ajuste en relación con las cuentas y el estado de cumplimiento del contrato estatal y, por el otro, que la </w:t>
      </w:r>
      <w:r w:rsidRPr="009C6B45">
        <w:rPr>
          <w:rFonts w:ascii="Arial" w:hAnsi="Arial" w:cs="Arial"/>
          <w:i/>
          <w:iCs/>
          <w:color w:val="000000" w:themeColor="text1"/>
          <w:sz w:val="22"/>
          <w:lang w:val="es-ES_tradnl"/>
        </w:rPr>
        <w:t>liquidación</w:t>
      </w:r>
      <w:r w:rsidRPr="009C6B45">
        <w:rPr>
          <w:rFonts w:ascii="Arial" w:hAnsi="Arial" w:cs="Arial"/>
          <w:color w:val="000000" w:themeColor="text1"/>
          <w:sz w:val="22"/>
          <w:lang w:val="es-ES_tradnl"/>
        </w:rPr>
        <w:t xml:space="preserve"> debe incluir el análisis de las condiciones de calidad y oportunidad en la entrega de los bienes, obras o servicios, así como el balance económico y el comportamiento financiero del negocio</w:t>
      </w:r>
      <w:r w:rsidRPr="009C6B45">
        <w:rPr>
          <w:rStyle w:val="Refdenotaalpie"/>
          <w:rFonts w:ascii="Arial" w:hAnsi="Arial" w:cs="Arial"/>
          <w:color w:val="000000" w:themeColor="text1"/>
          <w:sz w:val="22"/>
          <w:lang w:val="es-ES_tradnl"/>
        </w:rPr>
        <w:footnoteReference w:id="5"/>
      </w:r>
      <w:r w:rsidRPr="009C6B45">
        <w:rPr>
          <w:rFonts w:ascii="Arial" w:hAnsi="Arial" w:cs="Arial"/>
          <w:color w:val="000000" w:themeColor="text1"/>
          <w:sz w:val="22"/>
          <w:lang w:val="es-ES_tradnl"/>
        </w:rPr>
        <w:t xml:space="preserve">. </w:t>
      </w:r>
    </w:p>
    <w:p w14:paraId="68109F50" w14:textId="77777777" w:rsidR="00977CE6" w:rsidRPr="003F4A71" w:rsidRDefault="00977CE6" w:rsidP="00977CE6">
      <w:pPr>
        <w:spacing w:line="276" w:lineRule="auto"/>
        <w:ind w:firstLine="709"/>
        <w:jc w:val="both"/>
        <w:rPr>
          <w:rFonts w:ascii="Arial" w:hAnsi="Arial" w:cs="Arial"/>
          <w:color w:val="000000" w:themeColor="text1"/>
          <w:sz w:val="21"/>
          <w:szCs w:val="21"/>
          <w:lang w:val="es-ES_tradnl"/>
        </w:rPr>
      </w:pPr>
    </w:p>
    <w:p w14:paraId="60BCACA2" w14:textId="77777777" w:rsidR="00977CE6" w:rsidRDefault="00977CE6" w:rsidP="00977CE6">
      <w:pPr>
        <w:spacing w:line="276" w:lineRule="auto"/>
        <w:jc w:val="both"/>
        <w:rPr>
          <w:rFonts w:ascii="Arial" w:hAnsi="Arial" w:cs="Arial"/>
          <w:b/>
          <w:bCs/>
          <w:color w:val="000000" w:themeColor="text1"/>
          <w:sz w:val="22"/>
          <w:szCs w:val="22"/>
          <w:bdr w:val="none" w:sz="0" w:space="0" w:color="auto" w:frame="1"/>
          <w:shd w:val="clear" w:color="auto" w:fill="FFFFFF"/>
        </w:rPr>
      </w:pPr>
      <w:r w:rsidRPr="00F91C73">
        <w:rPr>
          <w:rFonts w:ascii="Arial" w:hAnsi="Arial" w:cs="Arial"/>
          <w:b/>
          <w:bCs/>
          <w:color w:val="000000" w:themeColor="text1"/>
          <w:sz w:val="22"/>
          <w:szCs w:val="22"/>
          <w:bdr w:val="none" w:sz="0" w:space="0" w:color="auto" w:frame="1"/>
          <w:shd w:val="clear" w:color="auto" w:fill="FFFFFF"/>
        </w:rPr>
        <w:t xml:space="preserve">2.2. </w:t>
      </w:r>
      <w:r>
        <w:rPr>
          <w:rFonts w:ascii="Arial" w:hAnsi="Arial" w:cs="Arial"/>
          <w:b/>
          <w:bCs/>
          <w:color w:val="000000" w:themeColor="text1"/>
          <w:sz w:val="22"/>
          <w:szCs w:val="22"/>
          <w:bdr w:val="none" w:sz="0" w:space="0" w:color="auto" w:frame="1"/>
          <w:shd w:val="clear" w:color="auto" w:fill="FFFFFF"/>
        </w:rPr>
        <w:t>O</w:t>
      </w:r>
      <w:r w:rsidRPr="00F91C73">
        <w:rPr>
          <w:rFonts w:ascii="Arial" w:hAnsi="Arial" w:cs="Arial"/>
          <w:b/>
          <w:bCs/>
          <w:color w:val="000000" w:themeColor="text1"/>
          <w:sz w:val="22"/>
          <w:szCs w:val="22"/>
          <w:bdr w:val="none" w:sz="0" w:space="0" w:color="auto" w:frame="1"/>
          <w:shd w:val="clear" w:color="auto" w:fill="FFFFFF"/>
        </w:rPr>
        <w:t xml:space="preserve">bligación </w:t>
      </w:r>
      <w:r>
        <w:rPr>
          <w:rFonts w:ascii="Arial" w:hAnsi="Arial" w:cs="Arial"/>
          <w:b/>
          <w:bCs/>
          <w:color w:val="000000" w:themeColor="text1"/>
          <w:sz w:val="22"/>
          <w:szCs w:val="22"/>
          <w:bdr w:val="none" w:sz="0" w:space="0" w:color="auto" w:frame="1"/>
          <w:shd w:val="clear" w:color="auto" w:fill="FFFFFF"/>
        </w:rPr>
        <w:t xml:space="preserve">legal </w:t>
      </w:r>
      <w:r w:rsidRPr="00F91C73">
        <w:rPr>
          <w:rFonts w:ascii="Arial" w:hAnsi="Arial" w:cs="Arial"/>
          <w:b/>
          <w:bCs/>
          <w:color w:val="000000" w:themeColor="text1"/>
          <w:sz w:val="22"/>
          <w:szCs w:val="22"/>
          <w:bdr w:val="none" w:sz="0" w:space="0" w:color="auto" w:frame="1"/>
          <w:shd w:val="clear" w:color="auto" w:fill="FFFFFF"/>
        </w:rPr>
        <w:t xml:space="preserve">de liquidar un contrato estatal </w:t>
      </w:r>
    </w:p>
    <w:p w14:paraId="4137A442" w14:textId="77777777" w:rsidR="00977CE6" w:rsidRDefault="00977CE6" w:rsidP="00977CE6">
      <w:pPr>
        <w:spacing w:line="276" w:lineRule="auto"/>
        <w:jc w:val="both"/>
        <w:rPr>
          <w:rFonts w:ascii="Arial" w:hAnsi="Arial" w:cs="Arial"/>
          <w:b/>
          <w:bCs/>
          <w:color w:val="000000" w:themeColor="text1"/>
          <w:sz w:val="22"/>
          <w:szCs w:val="22"/>
          <w:bdr w:val="none" w:sz="0" w:space="0" w:color="auto" w:frame="1"/>
          <w:shd w:val="clear" w:color="auto" w:fill="FFFFFF"/>
        </w:rPr>
      </w:pPr>
    </w:p>
    <w:p w14:paraId="0EA556EA" w14:textId="77777777" w:rsidR="00977CE6" w:rsidRDefault="00977CE6" w:rsidP="00977CE6">
      <w:pPr>
        <w:spacing w:after="120" w:line="276" w:lineRule="auto"/>
        <w:jc w:val="both"/>
        <w:rPr>
          <w:rFonts w:ascii="Arial" w:hAnsi="Arial" w:cs="Arial"/>
          <w:color w:val="000000" w:themeColor="text1"/>
          <w:sz w:val="22"/>
          <w:lang w:val="es-ES_tradnl"/>
        </w:rPr>
      </w:pPr>
      <w:r>
        <w:rPr>
          <w:rFonts w:ascii="Arial" w:hAnsi="Arial" w:cs="Arial"/>
          <w:color w:val="000000" w:themeColor="text1"/>
          <w:sz w:val="22"/>
          <w:szCs w:val="22"/>
          <w:bdr w:val="none" w:sz="0" w:space="0" w:color="auto" w:frame="1"/>
          <w:shd w:val="clear" w:color="auto" w:fill="FFFFFF"/>
        </w:rPr>
        <w:t xml:space="preserve">El legislador estableció la obligación de liquidar algunos contratos estatales, de hecho, la mayoría de ellos, debido a la importancia de esta etapa, con la finalidad de precaver conflictos futuros, realizar un balance final y un cierre de cuentas y, de ser posible, que las partes se declaren a paz y salvo, de conformidad con lo previsto en </w:t>
      </w:r>
      <w:r>
        <w:rPr>
          <w:rFonts w:ascii="Arial" w:hAnsi="Arial" w:cs="Arial"/>
          <w:color w:val="000000" w:themeColor="text1"/>
          <w:sz w:val="22"/>
          <w:lang w:val="es-ES_tradnl"/>
        </w:rPr>
        <w:t xml:space="preserve">el Estatuto General de Contratación de la Administración Pública. </w:t>
      </w:r>
    </w:p>
    <w:p w14:paraId="780407CD" w14:textId="77777777" w:rsidR="00977CE6" w:rsidRDefault="00977CE6" w:rsidP="00977CE6">
      <w:pPr>
        <w:pStyle w:val="Sinespaciado"/>
        <w:spacing w:line="276" w:lineRule="auto"/>
        <w:ind w:firstLine="709"/>
        <w:jc w:val="both"/>
        <w:rPr>
          <w:rFonts w:ascii="Arial" w:hAnsi="Arial" w:cs="Arial"/>
          <w:color w:val="000000" w:themeColor="text1"/>
          <w:sz w:val="22"/>
          <w:lang w:val="es-ES_tradnl"/>
        </w:rPr>
      </w:pPr>
      <w:r w:rsidRPr="009C6B45">
        <w:rPr>
          <w:rFonts w:ascii="Arial" w:hAnsi="Arial" w:cs="Arial"/>
          <w:color w:val="000000" w:themeColor="text1"/>
          <w:sz w:val="22"/>
          <w:lang w:val="es-ES_tradnl"/>
        </w:rPr>
        <w:t>Las disposiciones legales que</w:t>
      </w:r>
      <w:r>
        <w:rPr>
          <w:rFonts w:ascii="Arial" w:hAnsi="Arial" w:cs="Arial"/>
          <w:color w:val="000000" w:themeColor="text1"/>
          <w:sz w:val="22"/>
          <w:lang w:val="es-ES_tradnl"/>
        </w:rPr>
        <w:t xml:space="preserve"> regulan</w:t>
      </w:r>
      <w:r w:rsidRPr="009C6B45">
        <w:rPr>
          <w:rFonts w:ascii="Arial" w:hAnsi="Arial" w:cs="Arial"/>
          <w:color w:val="000000" w:themeColor="text1"/>
          <w:sz w:val="22"/>
          <w:lang w:val="es-ES_tradnl"/>
        </w:rPr>
        <w:t xml:space="preserve"> la etapa de liquidación de los contratos estatales son el artículo 60 de la Ley 80 de 1993, modificado por el artículo 217 del Decreto 019 de 2012, y el artículo 11 de la Ley 1150 de 2007. El primer</w:t>
      </w:r>
      <w:r>
        <w:rPr>
          <w:rFonts w:ascii="Arial" w:hAnsi="Arial" w:cs="Arial"/>
          <w:color w:val="000000" w:themeColor="text1"/>
          <w:sz w:val="22"/>
          <w:lang w:val="es-ES_tradnl"/>
        </w:rPr>
        <w:t>o</w:t>
      </w:r>
      <w:r w:rsidRPr="009C6B45">
        <w:rPr>
          <w:rFonts w:ascii="Arial" w:hAnsi="Arial" w:cs="Arial"/>
          <w:color w:val="000000" w:themeColor="text1"/>
          <w:sz w:val="22"/>
          <w:lang w:val="es-ES_tradnl"/>
        </w:rPr>
        <w:t xml:space="preserve"> de estos artículos se refiere al alcance sustantivo de la liquidación</w:t>
      </w:r>
      <w:r>
        <w:rPr>
          <w:rFonts w:ascii="Arial" w:hAnsi="Arial" w:cs="Arial"/>
          <w:color w:val="000000" w:themeColor="text1"/>
          <w:sz w:val="22"/>
          <w:lang w:val="es-ES_tradnl"/>
        </w:rPr>
        <w:t xml:space="preserve"> y los contratos en que procede</w:t>
      </w:r>
      <w:r w:rsidRPr="009C6B45">
        <w:rPr>
          <w:rFonts w:ascii="Arial" w:hAnsi="Arial" w:cs="Arial"/>
          <w:color w:val="000000" w:themeColor="text1"/>
          <w:sz w:val="22"/>
          <w:lang w:val="es-ES_tradnl"/>
        </w:rPr>
        <w:t xml:space="preserve">, mientras que </w:t>
      </w:r>
      <w:r>
        <w:rPr>
          <w:rFonts w:ascii="Arial" w:hAnsi="Arial" w:cs="Arial"/>
          <w:color w:val="000000" w:themeColor="text1"/>
          <w:sz w:val="22"/>
          <w:lang w:val="es-ES_tradnl"/>
        </w:rPr>
        <w:t>el</w:t>
      </w:r>
      <w:r w:rsidRPr="009C6B45">
        <w:rPr>
          <w:rFonts w:ascii="Arial" w:hAnsi="Arial" w:cs="Arial"/>
          <w:color w:val="000000" w:themeColor="text1"/>
          <w:sz w:val="22"/>
          <w:lang w:val="es-ES_tradnl"/>
        </w:rPr>
        <w:t xml:space="preserve"> segund</w:t>
      </w:r>
      <w:r>
        <w:rPr>
          <w:rFonts w:ascii="Arial" w:hAnsi="Arial" w:cs="Arial"/>
          <w:color w:val="000000" w:themeColor="text1"/>
          <w:sz w:val="22"/>
          <w:lang w:val="es-ES_tradnl"/>
        </w:rPr>
        <w:t>o</w:t>
      </w:r>
      <w:r w:rsidRPr="009C6B45">
        <w:rPr>
          <w:rFonts w:ascii="Arial" w:hAnsi="Arial" w:cs="Arial"/>
          <w:color w:val="000000" w:themeColor="text1"/>
          <w:sz w:val="22"/>
          <w:lang w:val="es-ES_tradnl"/>
        </w:rPr>
        <w:t xml:space="preserve"> contiene reglas procedimentales para su </w:t>
      </w:r>
      <w:r>
        <w:rPr>
          <w:rFonts w:ascii="Arial" w:hAnsi="Arial" w:cs="Arial"/>
          <w:color w:val="000000" w:themeColor="text1"/>
          <w:sz w:val="22"/>
          <w:lang w:val="es-ES_tradnl"/>
        </w:rPr>
        <w:t>realización</w:t>
      </w:r>
      <w:r w:rsidRPr="009C6B45">
        <w:rPr>
          <w:rFonts w:ascii="Arial" w:hAnsi="Arial" w:cs="Arial"/>
          <w:color w:val="000000" w:themeColor="text1"/>
          <w:sz w:val="22"/>
          <w:lang w:val="es-ES_tradnl"/>
        </w:rPr>
        <w:t xml:space="preserve">. </w:t>
      </w:r>
      <w:r>
        <w:rPr>
          <w:rFonts w:ascii="Arial" w:hAnsi="Arial" w:cs="Arial"/>
          <w:color w:val="000000" w:themeColor="text1"/>
          <w:sz w:val="22"/>
          <w:lang w:val="es-ES_tradnl"/>
        </w:rPr>
        <w:t>En relación con el artículo 60 referido, la doctrina ha indicado que:</w:t>
      </w:r>
    </w:p>
    <w:p w14:paraId="4DAC3789" w14:textId="77777777" w:rsidR="00977CE6" w:rsidRDefault="00977CE6" w:rsidP="00977CE6">
      <w:pPr>
        <w:pStyle w:val="Sinespaciado"/>
        <w:spacing w:line="276" w:lineRule="auto"/>
        <w:ind w:firstLine="708"/>
        <w:jc w:val="both"/>
        <w:rPr>
          <w:rFonts w:ascii="Arial" w:hAnsi="Arial" w:cs="Arial"/>
          <w:color w:val="000000" w:themeColor="text1"/>
          <w:sz w:val="22"/>
          <w:lang w:val="es-ES_tradnl"/>
        </w:rPr>
      </w:pPr>
    </w:p>
    <w:p w14:paraId="62DB6A8B" w14:textId="77777777" w:rsidR="00977CE6" w:rsidRDefault="00977CE6" w:rsidP="00977CE6">
      <w:pPr>
        <w:pStyle w:val="Sinespaciado"/>
        <w:ind w:left="709" w:right="709"/>
        <w:jc w:val="both"/>
        <w:rPr>
          <w:rFonts w:ascii="Arial" w:hAnsi="Arial" w:cs="Arial"/>
          <w:color w:val="000000"/>
          <w:sz w:val="21"/>
          <w:szCs w:val="21"/>
          <w:shd w:val="clear" w:color="auto" w:fill="FFFFFF"/>
        </w:rPr>
      </w:pPr>
      <w:r w:rsidRPr="00850051">
        <w:rPr>
          <w:rFonts w:ascii="Arial" w:hAnsi="Arial" w:cs="Arial"/>
          <w:color w:val="000000" w:themeColor="text1"/>
          <w:sz w:val="21"/>
          <w:szCs w:val="21"/>
          <w:lang w:val="es-ES_tradnl"/>
        </w:rPr>
        <w:t>«</w:t>
      </w:r>
      <w:r w:rsidRPr="00B16BEC">
        <w:rPr>
          <w:rFonts w:ascii="Arial" w:hAnsi="Arial" w:cs="Arial"/>
          <w:sz w:val="21"/>
          <w:szCs w:val="21"/>
        </w:rPr>
        <w:t xml:space="preserve">La ley 80 de 1993 </w:t>
      </w:r>
      <w:r>
        <w:rPr>
          <w:rFonts w:ascii="Arial" w:hAnsi="Arial" w:cs="Arial"/>
          <w:sz w:val="21"/>
          <w:szCs w:val="21"/>
        </w:rPr>
        <w:t>[</w:t>
      </w:r>
      <w:r w:rsidRPr="00B16BEC">
        <w:rPr>
          <w:rFonts w:ascii="Arial" w:hAnsi="Arial" w:cs="Arial"/>
          <w:sz w:val="21"/>
          <w:szCs w:val="21"/>
        </w:rPr>
        <w:t>…</w:t>
      </w:r>
      <w:r>
        <w:rPr>
          <w:rFonts w:ascii="Arial" w:hAnsi="Arial" w:cs="Arial"/>
          <w:sz w:val="21"/>
          <w:szCs w:val="21"/>
        </w:rPr>
        <w:t>]</w:t>
      </w:r>
      <w:r w:rsidRPr="00B16BEC">
        <w:rPr>
          <w:rFonts w:ascii="Arial" w:hAnsi="Arial" w:cs="Arial"/>
          <w:sz w:val="21"/>
          <w:szCs w:val="21"/>
        </w:rPr>
        <w:t xml:space="preserve"> dispuso en el artículo 60 que serían objeto de liquidación todos los contratos de tracto sucesivo, entendiendo por estos los de ejecución y cumplimiento prolongados en el tiempo, así como los demás que lo requieran </w:t>
      </w:r>
      <w:r>
        <w:rPr>
          <w:rFonts w:ascii="Arial" w:hAnsi="Arial" w:cs="Arial"/>
          <w:sz w:val="21"/>
          <w:szCs w:val="21"/>
        </w:rPr>
        <w:t>–</w:t>
      </w:r>
      <w:r w:rsidRPr="00B16BEC">
        <w:rPr>
          <w:rFonts w:ascii="Arial" w:hAnsi="Arial" w:cs="Arial"/>
          <w:sz w:val="21"/>
          <w:szCs w:val="21"/>
        </w:rPr>
        <w:t>que son generalmente aquellos de ejecución instantánea en los que la misma se ha extendido temporalmente</w:t>
      </w:r>
      <w:r>
        <w:rPr>
          <w:rFonts w:ascii="Arial" w:hAnsi="Arial" w:cs="Arial"/>
          <w:sz w:val="21"/>
          <w:szCs w:val="21"/>
        </w:rPr>
        <w:t>–</w:t>
      </w:r>
      <w:r w:rsidRPr="00B16BEC">
        <w:rPr>
          <w:rFonts w:ascii="Arial" w:hAnsi="Arial" w:cs="Arial"/>
          <w:sz w:val="21"/>
          <w:szCs w:val="21"/>
        </w:rPr>
        <w:t>, etapa en l</w:t>
      </w:r>
      <w:r>
        <w:rPr>
          <w:rFonts w:ascii="Arial" w:hAnsi="Arial" w:cs="Arial"/>
          <w:sz w:val="21"/>
          <w:szCs w:val="21"/>
        </w:rPr>
        <w:t>a</w:t>
      </w:r>
      <w:r w:rsidRPr="00B16BEC">
        <w:rPr>
          <w:rFonts w:ascii="Arial" w:hAnsi="Arial" w:cs="Arial"/>
          <w:sz w:val="21"/>
          <w:szCs w:val="21"/>
        </w:rPr>
        <w:t xml:space="preserve"> cual las partes debían acordar los ajustes, revisiones y reconocimientos a que hubiera lugar, y que el contenido de la misma debía reflejar </w:t>
      </w:r>
      <w:r>
        <w:rPr>
          <w:rFonts w:ascii="Arial" w:hAnsi="Arial" w:cs="Arial"/>
          <w:sz w:val="21"/>
          <w:szCs w:val="21"/>
        </w:rPr>
        <w:t>«</w:t>
      </w:r>
      <w:r w:rsidRPr="00B16BEC">
        <w:rPr>
          <w:rFonts w:ascii="Arial" w:hAnsi="Arial" w:cs="Arial"/>
          <w:sz w:val="21"/>
          <w:szCs w:val="21"/>
        </w:rPr>
        <w:t>los acuerdos, conciliaciones y transacciones a que llegaren las partes para poner fin a las divergencias presentadas y poder declararse a paz y salvo</w:t>
      </w:r>
      <w:r w:rsidRPr="00B16BEC">
        <w:rPr>
          <w:rFonts w:ascii="Arial" w:hAnsi="Arial" w:cs="Arial"/>
          <w:color w:val="000000"/>
          <w:sz w:val="21"/>
          <w:szCs w:val="21"/>
          <w:shd w:val="clear" w:color="auto" w:fill="FFFFFF"/>
        </w:rPr>
        <w:t>»</w:t>
      </w:r>
      <w:r w:rsidRPr="00B16BEC">
        <w:rPr>
          <w:rStyle w:val="Refdenotaalpie"/>
          <w:rFonts w:ascii="Arial" w:hAnsi="Arial" w:cs="Arial"/>
          <w:color w:val="000000"/>
          <w:sz w:val="21"/>
          <w:szCs w:val="21"/>
          <w:shd w:val="clear" w:color="auto" w:fill="FFFFFF"/>
        </w:rPr>
        <w:footnoteReference w:id="6"/>
      </w:r>
      <w:r>
        <w:rPr>
          <w:rFonts w:ascii="Arial" w:hAnsi="Arial" w:cs="Arial"/>
          <w:color w:val="000000"/>
          <w:sz w:val="21"/>
          <w:szCs w:val="21"/>
          <w:shd w:val="clear" w:color="auto" w:fill="FFFFFF"/>
        </w:rPr>
        <w:t>.</w:t>
      </w:r>
    </w:p>
    <w:p w14:paraId="1693464B" w14:textId="77777777" w:rsidR="00977CE6" w:rsidRPr="003F4A71" w:rsidRDefault="00977CE6" w:rsidP="00977CE6">
      <w:pPr>
        <w:pStyle w:val="Sinespaciado"/>
        <w:ind w:left="709" w:right="758"/>
        <w:jc w:val="both"/>
        <w:rPr>
          <w:rFonts w:ascii="Arial" w:hAnsi="Arial" w:cs="Arial"/>
          <w:color w:val="000000"/>
          <w:sz w:val="21"/>
          <w:szCs w:val="21"/>
          <w:shd w:val="clear" w:color="auto" w:fill="FFFFFF"/>
        </w:rPr>
      </w:pPr>
    </w:p>
    <w:p w14:paraId="2AFC5F06" w14:textId="77777777" w:rsidR="00977CE6" w:rsidRPr="002E797D" w:rsidRDefault="00977CE6" w:rsidP="00977CE6">
      <w:pPr>
        <w:spacing w:line="276" w:lineRule="auto"/>
        <w:ind w:firstLine="708"/>
        <w:jc w:val="both"/>
        <w:rPr>
          <w:rFonts w:ascii="Arial" w:hAnsi="Arial" w:cs="Arial"/>
          <w:color w:val="000000" w:themeColor="text1"/>
          <w:sz w:val="22"/>
          <w:szCs w:val="22"/>
          <w:bdr w:val="none" w:sz="0" w:space="0" w:color="auto" w:frame="1"/>
          <w:shd w:val="clear" w:color="auto" w:fill="FFFFFF"/>
        </w:rPr>
      </w:pPr>
      <w:r>
        <w:rPr>
          <w:rFonts w:ascii="Arial" w:hAnsi="Arial" w:cs="Arial"/>
          <w:color w:val="000000" w:themeColor="text1"/>
          <w:sz w:val="22"/>
          <w:lang w:val="es-ES_tradnl"/>
        </w:rPr>
        <w:t>L</w:t>
      </w:r>
      <w:r w:rsidRPr="009C6B45">
        <w:rPr>
          <w:rFonts w:ascii="Arial" w:hAnsi="Arial" w:cs="Arial"/>
          <w:color w:val="000000" w:themeColor="text1"/>
          <w:sz w:val="22"/>
          <w:lang w:val="es-ES_tradnl"/>
        </w:rPr>
        <w:t>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w:t>
      </w:r>
      <w:r>
        <w:rPr>
          <w:rFonts w:ascii="Arial" w:hAnsi="Arial" w:cs="Arial"/>
          <w:color w:val="000000" w:themeColor="text1"/>
          <w:sz w:val="22"/>
          <w:lang w:val="es-ES_tradnl"/>
        </w:rPr>
        <w:t xml:space="preserve"> y de apoyo a la gestión</w:t>
      </w:r>
      <w:r w:rsidRPr="009C6B45">
        <w:rPr>
          <w:rFonts w:ascii="Arial" w:hAnsi="Arial" w:cs="Arial"/>
          <w:color w:val="000000" w:themeColor="text1"/>
          <w:sz w:val="22"/>
          <w:lang w:val="es-ES_tradnl"/>
        </w:rPr>
        <w:t xml:space="preserve">. Adicionalmente, </w:t>
      </w:r>
      <w:r>
        <w:rPr>
          <w:rFonts w:ascii="Arial" w:hAnsi="Arial" w:cs="Arial"/>
          <w:color w:val="000000" w:themeColor="text1"/>
          <w:sz w:val="22"/>
          <w:lang w:val="es-ES_tradnl"/>
        </w:rPr>
        <w:t>en los contratos</w:t>
      </w:r>
      <w:r w:rsidRPr="009C6B45">
        <w:rPr>
          <w:rFonts w:ascii="Arial" w:hAnsi="Arial" w:cs="Arial"/>
          <w:color w:val="000000" w:themeColor="text1"/>
          <w:sz w:val="22"/>
          <w:lang w:val="es-ES_tradnl"/>
        </w:rPr>
        <w:t xml:space="preserve"> las entidades estatales deben definir la oportunidad y forma de recibir el objeto contratado y, en cada caso</w:t>
      </w:r>
      <w:r>
        <w:rPr>
          <w:rFonts w:ascii="Arial" w:hAnsi="Arial" w:cs="Arial"/>
          <w:color w:val="000000" w:themeColor="text1"/>
          <w:sz w:val="22"/>
          <w:lang w:val="es-ES_tradnl"/>
        </w:rPr>
        <w:t>,</w:t>
      </w:r>
      <w:r w:rsidRPr="009C6B45">
        <w:rPr>
          <w:rFonts w:ascii="Arial" w:hAnsi="Arial" w:cs="Arial"/>
          <w:color w:val="000000" w:themeColor="text1"/>
          <w:sz w:val="22"/>
          <w:lang w:val="es-ES_tradnl"/>
        </w:rPr>
        <w:t xml:space="preserve"> si un contrato requiere o no de liquidación</w:t>
      </w:r>
      <w:r>
        <w:rPr>
          <w:rFonts w:ascii="Arial" w:hAnsi="Arial" w:cs="Arial"/>
          <w:color w:val="000000" w:themeColor="text1"/>
          <w:sz w:val="22"/>
          <w:lang w:val="es-ES_tradnl"/>
        </w:rPr>
        <w:t>,</w:t>
      </w:r>
      <w:r w:rsidRPr="009C6B45">
        <w:rPr>
          <w:rFonts w:ascii="Arial" w:hAnsi="Arial" w:cs="Arial"/>
          <w:color w:val="000000" w:themeColor="text1"/>
          <w:sz w:val="22"/>
          <w:lang w:val="es-ES_tradnl"/>
        </w:rPr>
        <w:t xml:space="preserve"> con arreglo a criterios tales como la naturaleza, objeto y plazo del contrato</w:t>
      </w:r>
      <w:r w:rsidRPr="009C6B45">
        <w:rPr>
          <w:rStyle w:val="Refdenotaalpie"/>
          <w:rFonts w:ascii="Arial" w:hAnsi="Arial" w:cs="Arial"/>
          <w:color w:val="000000" w:themeColor="text1"/>
          <w:sz w:val="22"/>
          <w:lang w:val="es-ES_tradnl"/>
        </w:rPr>
        <w:footnoteReference w:id="7"/>
      </w:r>
      <w:r w:rsidRPr="009C6B45">
        <w:rPr>
          <w:rFonts w:ascii="Arial" w:hAnsi="Arial" w:cs="Arial"/>
          <w:color w:val="000000" w:themeColor="text1"/>
          <w:sz w:val="22"/>
          <w:lang w:val="es-ES_tradnl"/>
        </w:rPr>
        <w:t xml:space="preserve">, así como la probabilidad de que </w:t>
      </w:r>
      <w:r>
        <w:rPr>
          <w:rFonts w:ascii="Arial" w:hAnsi="Arial" w:cs="Arial"/>
          <w:color w:val="000000" w:themeColor="text1"/>
          <w:sz w:val="22"/>
          <w:lang w:val="es-ES_tradnl"/>
        </w:rPr>
        <w:t>hayan</w:t>
      </w:r>
      <w:r w:rsidRPr="009C6B45">
        <w:rPr>
          <w:rFonts w:ascii="Arial" w:hAnsi="Arial" w:cs="Arial"/>
          <w:color w:val="000000" w:themeColor="text1"/>
          <w:sz w:val="22"/>
          <w:lang w:val="es-ES_tradnl"/>
        </w:rPr>
        <w:t xml:space="preserve"> surgi</w:t>
      </w:r>
      <w:r>
        <w:rPr>
          <w:rFonts w:ascii="Arial" w:hAnsi="Arial" w:cs="Arial"/>
          <w:color w:val="000000" w:themeColor="text1"/>
          <w:sz w:val="22"/>
          <w:lang w:val="es-ES_tradnl"/>
        </w:rPr>
        <w:t>do</w:t>
      </w:r>
      <w:r w:rsidRPr="009C6B45">
        <w:rPr>
          <w:rFonts w:ascii="Arial" w:hAnsi="Arial" w:cs="Arial"/>
          <w:color w:val="000000" w:themeColor="text1"/>
          <w:sz w:val="22"/>
          <w:lang w:val="es-ES_tradnl"/>
        </w:rPr>
        <w:t xml:space="preserve"> diferencias </w:t>
      </w:r>
      <w:r>
        <w:rPr>
          <w:rFonts w:ascii="Arial" w:hAnsi="Arial" w:cs="Arial"/>
          <w:color w:val="000000" w:themeColor="text1"/>
          <w:sz w:val="22"/>
          <w:lang w:val="es-ES_tradnl"/>
        </w:rPr>
        <w:t xml:space="preserve">entre las partes </w:t>
      </w:r>
      <w:r w:rsidRPr="009C6B45">
        <w:rPr>
          <w:rFonts w:ascii="Arial" w:hAnsi="Arial" w:cs="Arial"/>
          <w:color w:val="000000" w:themeColor="text1"/>
          <w:sz w:val="22"/>
          <w:lang w:val="es-ES_tradnl"/>
        </w:rPr>
        <w:t>durante la ejecución del contrato</w:t>
      </w:r>
      <w:r>
        <w:rPr>
          <w:rFonts w:ascii="Arial" w:hAnsi="Arial" w:cs="Arial"/>
          <w:color w:val="000000" w:themeColor="text1"/>
          <w:sz w:val="22"/>
          <w:lang w:val="es-ES_tradnl"/>
        </w:rPr>
        <w:t xml:space="preserve">. Lo anterior, sin perjuicio de que, como se indicó, todos los contratos estatales de </w:t>
      </w:r>
      <w:r>
        <w:rPr>
          <w:rFonts w:ascii="Arial" w:hAnsi="Arial" w:cs="Arial"/>
          <w:i/>
          <w:iCs/>
          <w:color w:val="000000" w:themeColor="text1"/>
          <w:sz w:val="22"/>
          <w:lang w:val="es-ES_tradnl"/>
        </w:rPr>
        <w:t>tracto sucesivo</w:t>
      </w:r>
      <w:r>
        <w:rPr>
          <w:rFonts w:ascii="Arial" w:hAnsi="Arial" w:cs="Arial"/>
          <w:color w:val="000000" w:themeColor="text1"/>
          <w:sz w:val="22"/>
          <w:lang w:val="es-ES_tradnl"/>
        </w:rPr>
        <w:t xml:space="preserve"> o aquellos cuya ejecución se prolongue en el tiempo siempre deban liquidarse, convirtiéndose en estos contratos en una cláusula de la naturaleza, conforme a la clasificación prevista en el artículo 1501 del Código Civil.</w:t>
      </w:r>
    </w:p>
    <w:p w14:paraId="2ED6305D" w14:textId="77777777" w:rsidR="00977CE6" w:rsidRDefault="00977CE6" w:rsidP="00977CE6">
      <w:pPr>
        <w:spacing w:line="276" w:lineRule="auto"/>
        <w:jc w:val="both"/>
        <w:rPr>
          <w:rFonts w:ascii="Arial" w:hAnsi="Arial" w:cs="Arial"/>
          <w:b/>
          <w:bCs/>
          <w:color w:val="000000" w:themeColor="text1"/>
          <w:sz w:val="22"/>
          <w:szCs w:val="22"/>
          <w:bdr w:val="none" w:sz="0" w:space="0" w:color="auto" w:frame="1"/>
          <w:shd w:val="clear" w:color="auto" w:fill="FFFFFF"/>
        </w:rPr>
      </w:pPr>
    </w:p>
    <w:p w14:paraId="6A0A28B0" w14:textId="77777777" w:rsidR="00977CE6" w:rsidRPr="007D0505" w:rsidRDefault="00977CE6" w:rsidP="00977CE6">
      <w:pPr>
        <w:spacing w:line="276" w:lineRule="auto"/>
        <w:jc w:val="both"/>
        <w:rPr>
          <w:rFonts w:ascii="Arial" w:hAnsi="Arial" w:cs="Arial"/>
          <w:b/>
          <w:bCs/>
          <w:color w:val="000000" w:themeColor="text1"/>
          <w:sz w:val="22"/>
          <w:szCs w:val="22"/>
          <w:bdr w:val="none" w:sz="0" w:space="0" w:color="auto" w:frame="1"/>
          <w:shd w:val="clear" w:color="auto" w:fill="FFFFFF"/>
        </w:rPr>
      </w:pPr>
      <w:r>
        <w:rPr>
          <w:rFonts w:ascii="Arial" w:hAnsi="Arial" w:cs="Arial"/>
          <w:b/>
          <w:bCs/>
          <w:color w:val="000000" w:themeColor="text1"/>
          <w:sz w:val="22"/>
          <w:szCs w:val="22"/>
          <w:bdr w:val="none" w:sz="0" w:space="0" w:color="auto" w:frame="1"/>
          <w:shd w:val="clear" w:color="auto" w:fill="FFFFFF"/>
        </w:rPr>
        <w:t>2.3. Procedimiento de liquidación del contrato estatal</w:t>
      </w:r>
    </w:p>
    <w:p w14:paraId="22C7DE07" w14:textId="77777777" w:rsidR="00977CE6" w:rsidRDefault="00977CE6" w:rsidP="00977CE6">
      <w:pPr>
        <w:rPr>
          <w:rFonts w:ascii="Calibri" w:hAnsi="Calibri"/>
          <w:color w:val="000000"/>
          <w:sz w:val="22"/>
          <w:szCs w:val="22"/>
        </w:rPr>
      </w:pPr>
    </w:p>
    <w:p w14:paraId="689D7035" w14:textId="77777777" w:rsidR="00977CE6" w:rsidRDefault="00977CE6" w:rsidP="00977CE6">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En este contexto, es necesario distinguir las distintas hipótesis temporales previstas en el artículo 11 de la Ley 1150 de 2007 a efectos de la liquidación del contrato. Así las cosas, de un lado, los términos para la liquidación bilateral, bien sea el convencional –según lo fijado en el pliego de condiciones o el contrato– o el supletivo legal –de 4 meses–, y el de 2 meses para la liquidación unilateral, en caso de no lograr la liquidación bilateral, y de otro lado, el término de 2 años durante el cual se puede realizar la liquidación de manera unilateral, bilateral o judicial.</w:t>
      </w:r>
    </w:p>
    <w:p w14:paraId="7AE68DE6" w14:textId="77777777" w:rsidR="00977CE6" w:rsidRPr="009C6B45" w:rsidRDefault="00977CE6" w:rsidP="00977CE6">
      <w:pPr>
        <w:pStyle w:val="Sinespaciado"/>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
        </w:rPr>
        <w:t>De esta manera</w:t>
      </w:r>
      <w:r>
        <w:rPr>
          <w:rFonts w:ascii="Arial" w:hAnsi="Arial" w:cs="Arial"/>
          <w:color w:val="000000" w:themeColor="text1"/>
          <w:sz w:val="22"/>
          <w:lang w:val="es-ES_tradnl"/>
        </w:rPr>
        <w:t>, e</w:t>
      </w:r>
      <w:r w:rsidRPr="009C6B45">
        <w:rPr>
          <w:rFonts w:ascii="Arial" w:hAnsi="Arial" w:cs="Arial"/>
          <w:color w:val="000000" w:themeColor="text1"/>
          <w:sz w:val="22"/>
          <w:lang w:val="es-ES_tradnl"/>
        </w:rPr>
        <w:t>l artículo 11 de la Ley 1150 de 2007</w:t>
      </w:r>
      <w:r w:rsidRPr="009C6B45">
        <w:rPr>
          <w:rStyle w:val="Refdenotaalpie"/>
          <w:rFonts w:ascii="Arial" w:hAnsi="Arial" w:cs="Arial"/>
          <w:color w:val="000000" w:themeColor="text1"/>
          <w:sz w:val="22"/>
          <w:lang w:val="es-ES_tradnl"/>
        </w:rPr>
        <w:footnoteReference w:id="8"/>
      </w:r>
      <w:r w:rsidRPr="009C6B45">
        <w:rPr>
          <w:rFonts w:ascii="Arial" w:hAnsi="Arial" w:cs="Arial"/>
          <w:color w:val="000000" w:themeColor="text1"/>
          <w:sz w:val="22"/>
          <w:lang w:val="es-ES_tradnl"/>
        </w:rPr>
        <w:t xml:space="preserve"> contiene las reglas de tipo procedimental para liquidar los contratos estatales</w:t>
      </w:r>
      <w:r>
        <w:rPr>
          <w:rFonts w:ascii="Arial" w:hAnsi="Arial" w:cs="Arial"/>
          <w:color w:val="000000" w:themeColor="text1"/>
          <w:sz w:val="22"/>
          <w:lang w:val="es-ES_tradnl"/>
        </w:rPr>
        <w:t xml:space="preserve">, las cuales </w:t>
      </w:r>
      <w:r w:rsidRPr="009C6B45">
        <w:rPr>
          <w:rFonts w:ascii="Arial" w:hAnsi="Arial" w:cs="Arial"/>
          <w:color w:val="000000" w:themeColor="text1"/>
          <w:sz w:val="22"/>
          <w:lang w:val="es-ES_tradnl"/>
        </w:rPr>
        <w:t>se pasan a explicar. En primer lugar, en ejercicio de la autonomía de la voluntad y de conformidad con los criterios de la naturaleza, objeto y plazo del contrato, la entidad puede definir en el pliego de condiciones</w:t>
      </w:r>
      <w:r>
        <w:rPr>
          <w:rFonts w:ascii="Arial" w:hAnsi="Arial" w:cs="Arial"/>
          <w:color w:val="000000" w:themeColor="text1"/>
          <w:sz w:val="22"/>
          <w:lang w:val="es-ES_tradnl"/>
        </w:rPr>
        <w:t xml:space="preserve"> o en el contrato</w:t>
      </w:r>
      <w:r w:rsidRPr="009C6B45">
        <w:rPr>
          <w:rFonts w:ascii="Arial" w:hAnsi="Arial" w:cs="Arial"/>
          <w:color w:val="000000" w:themeColor="text1"/>
          <w:sz w:val="22"/>
          <w:lang w:val="es-ES_tradnl"/>
        </w:rPr>
        <w:t xml:space="preserve"> el plazo para efectuar la liquidación de mutuo acuerdo. En ausencia de pacto contractual, el artículo 11 de la Ley 1150 de 2007 prevé un término supletivo de 4 meses contados desde</w:t>
      </w:r>
      <w:r>
        <w:rPr>
          <w:rFonts w:ascii="Arial" w:hAnsi="Arial" w:cs="Arial"/>
          <w:color w:val="000000" w:themeColor="text1"/>
          <w:sz w:val="22"/>
          <w:lang w:val="es-ES_tradnl"/>
        </w:rPr>
        <w:t>:</w:t>
      </w:r>
      <w:r w:rsidRPr="009C6B45">
        <w:rPr>
          <w:rFonts w:ascii="Arial" w:hAnsi="Arial" w:cs="Arial"/>
          <w:color w:val="000000" w:themeColor="text1"/>
          <w:sz w:val="22"/>
          <w:lang w:val="es-ES_tradnl"/>
        </w:rPr>
        <w:t xml:space="preserve"> i) el vencimiento del plazo previsto para la ejecución del contrato, ii) la expedición del acto administrativo que ordene la terminación del contrato o iii) la fecha del acuerdo que disponga la terminación del contrato.</w:t>
      </w:r>
    </w:p>
    <w:p w14:paraId="79DE98ED" w14:textId="77777777" w:rsidR="00977CE6" w:rsidRPr="009C6B45" w:rsidRDefault="00977CE6" w:rsidP="00977CE6">
      <w:pPr>
        <w:pStyle w:val="Sinespaciado"/>
        <w:spacing w:after="120" w:line="276" w:lineRule="auto"/>
        <w:ind w:firstLine="709"/>
        <w:jc w:val="both"/>
        <w:rPr>
          <w:rFonts w:ascii="Arial" w:hAnsi="Arial" w:cs="Arial"/>
          <w:color w:val="000000" w:themeColor="text1"/>
          <w:sz w:val="22"/>
          <w:lang w:val="es-ES_tradnl"/>
        </w:rPr>
      </w:pPr>
      <w:r w:rsidRPr="009C6B45">
        <w:rPr>
          <w:rFonts w:ascii="Arial" w:hAnsi="Arial" w:cs="Arial"/>
          <w:color w:val="000000" w:themeColor="text1"/>
          <w:sz w:val="22"/>
          <w:lang w:val="es-ES_tradnl"/>
        </w:rPr>
        <w:t xml:space="preserve">Durante este término, el contratista puede solicitar que se adelante el trámite de liquidación. Sin embargo, es responsabilidad de la </w:t>
      </w:r>
      <w:r>
        <w:rPr>
          <w:rFonts w:ascii="Arial" w:hAnsi="Arial" w:cs="Arial"/>
          <w:color w:val="000000" w:themeColor="text1"/>
          <w:sz w:val="22"/>
          <w:lang w:val="es-ES_tradnl"/>
        </w:rPr>
        <w:t>e</w:t>
      </w:r>
      <w:r w:rsidRPr="009C6B45">
        <w:rPr>
          <w:rFonts w:ascii="Arial" w:hAnsi="Arial" w:cs="Arial"/>
          <w:color w:val="000000" w:themeColor="text1"/>
          <w:sz w:val="22"/>
          <w:lang w:val="es-ES_tradnl"/>
        </w:rPr>
        <w:t xml:space="preserve">ntidad </w:t>
      </w:r>
      <w:r>
        <w:rPr>
          <w:rFonts w:ascii="Arial" w:hAnsi="Arial" w:cs="Arial"/>
          <w:color w:val="000000" w:themeColor="text1"/>
          <w:sz w:val="22"/>
          <w:lang w:val="es-ES_tradnl"/>
        </w:rPr>
        <w:t>e</w:t>
      </w:r>
      <w:r w:rsidRPr="009C6B45">
        <w:rPr>
          <w:rFonts w:ascii="Arial" w:hAnsi="Arial" w:cs="Arial"/>
          <w:color w:val="000000" w:themeColor="text1"/>
          <w:sz w:val="22"/>
          <w:lang w:val="es-ES_tradnl"/>
        </w:rPr>
        <w:t xml:space="preserve">statal convocarlo para adelantar la liquidación de común acuerdo o notificarlo para que se presente a </w:t>
      </w:r>
      <w:r>
        <w:rPr>
          <w:rFonts w:ascii="Arial" w:hAnsi="Arial" w:cs="Arial"/>
          <w:color w:val="000000" w:themeColor="text1"/>
          <w:sz w:val="22"/>
          <w:lang w:val="es-ES_tradnl"/>
        </w:rPr>
        <w:t>realizarla</w:t>
      </w:r>
      <w:r w:rsidRPr="009C6B45">
        <w:rPr>
          <w:rStyle w:val="Refdenotaalpie"/>
          <w:rFonts w:ascii="Arial" w:hAnsi="Arial" w:cs="Arial"/>
          <w:color w:val="000000" w:themeColor="text1"/>
          <w:sz w:val="22"/>
          <w:lang w:val="es-ES_tradnl"/>
        </w:rPr>
        <w:footnoteReference w:id="9"/>
      </w:r>
      <w:r w:rsidRPr="009C6B45">
        <w:rPr>
          <w:rFonts w:ascii="Arial" w:hAnsi="Arial" w:cs="Arial"/>
          <w:color w:val="000000" w:themeColor="text1"/>
          <w:sz w:val="22"/>
          <w:lang w:val="es-ES_tradnl"/>
        </w:rPr>
        <w:t xml:space="preserve">, de manera que el contrato pueda ser liquidado bilateralmente, bien sea en el plazo previsto en el pliego de condiciones, el acordado por las partes, o </w:t>
      </w:r>
      <w:r>
        <w:rPr>
          <w:rFonts w:ascii="Arial" w:hAnsi="Arial" w:cs="Arial"/>
          <w:color w:val="000000" w:themeColor="text1"/>
          <w:sz w:val="22"/>
          <w:lang w:val="es-ES_tradnl"/>
        </w:rPr>
        <w:t>el supletivo de</w:t>
      </w:r>
      <w:r w:rsidRPr="009C6B45">
        <w:rPr>
          <w:rFonts w:ascii="Arial" w:hAnsi="Arial" w:cs="Arial"/>
          <w:color w:val="000000" w:themeColor="text1"/>
          <w:sz w:val="22"/>
          <w:lang w:val="es-ES_tradnl"/>
        </w:rPr>
        <w:t xml:space="preserve"> cuatro meses señalado en la </w:t>
      </w:r>
      <w:r>
        <w:rPr>
          <w:rFonts w:ascii="Arial" w:hAnsi="Arial" w:cs="Arial"/>
          <w:color w:val="000000" w:themeColor="text1"/>
          <w:sz w:val="22"/>
          <w:lang w:val="es-ES_tradnl"/>
        </w:rPr>
        <w:t>l</w:t>
      </w:r>
      <w:r w:rsidRPr="009C6B45">
        <w:rPr>
          <w:rFonts w:ascii="Arial" w:hAnsi="Arial" w:cs="Arial"/>
          <w:color w:val="000000" w:themeColor="text1"/>
          <w:sz w:val="22"/>
          <w:lang w:val="es-ES_tradnl"/>
        </w:rPr>
        <w:t>ey, según corresponda. Esta liquidación bilateral puede ser total o parcial</w:t>
      </w:r>
      <w:r w:rsidRPr="009C6B45">
        <w:rPr>
          <w:rStyle w:val="Refdenotaalpie"/>
          <w:rFonts w:ascii="Arial" w:hAnsi="Arial" w:cs="Arial"/>
          <w:iCs/>
          <w:color w:val="000000" w:themeColor="text1"/>
          <w:sz w:val="22"/>
          <w:lang w:val="es-ES_tradnl"/>
        </w:rPr>
        <w:footnoteReference w:id="10"/>
      </w:r>
      <w:r w:rsidRPr="009C6B45">
        <w:rPr>
          <w:rFonts w:ascii="Arial" w:hAnsi="Arial" w:cs="Arial"/>
          <w:color w:val="000000" w:themeColor="text1"/>
          <w:sz w:val="22"/>
          <w:lang w:val="es-ES_tradnl"/>
        </w:rPr>
        <w:t xml:space="preserve">, y </w:t>
      </w:r>
      <w:r w:rsidRPr="009C6B45">
        <w:rPr>
          <w:rFonts w:ascii="Arial" w:hAnsi="Arial" w:cs="Arial"/>
          <w:iCs/>
          <w:color w:val="000000" w:themeColor="text1"/>
          <w:sz w:val="22"/>
          <w:lang w:val="es-ES_tradnl"/>
        </w:rPr>
        <w:t xml:space="preserve">el documento </w:t>
      </w:r>
      <w:r w:rsidRPr="009C6B45">
        <w:rPr>
          <w:rFonts w:ascii="Arial" w:hAnsi="Arial" w:cs="Arial"/>
          <w:iCs/>
          <w:color w:val="000000" w:themeColor="text1"/>
          <w:sz w:val="22"/>
          <w:lang w:val="es-ES_tradnl"/>
        </w:rPr>
        <w:lastRenderedPageBreak/>
        <w:t>que la contiene presta mérito ejecutivo</w:t>
      </w:r>
      <w:r>
        <w:rPr>
          <w:rFonts w:ascii="Arial" w:hAnsi="Arial" w:cs="Arial"/>
          <w:iCs/>
          <w:color w:val="000000" w:themeColor="text1"/>
          <w:sz w:val="22"/>
          <w:lang w:val="es-ES_tradnl"/>
        </w:rPr>
        <w:t>, siempre que se satisfagan los elementos materiales para considerarlo como tal</w:t>
      </w:r>
      <w:r w:rsidRPr="009C6B45">
        <w:rPr>
          <w:rFonts w:ascii="Arial" w:hAnsi="Arial" w:cs="Arial"/>
          <w:color w:val="000000" w:themeColor="text1"/>
          <w:sz w:val="22"/>
          <w:lang w:val="es-ES_tradnl"/>
        </w:rPr>
        <w:t>.</w:t>
      </w:r>
    </w:p>
    <w:p w14:paraId="6B9DBD59" w14:textId="77777777" w:rsidR="00977CE6" w:rsidRPr="00F666B7" w:rsidRDefault="00977CE6" w:rsidP="00977CE6">
      <w:pPr>
        <w:spacing w:line="276" w:lineRule="auto"/>
        <w:ind w:firstLine="705"/>
        <w:jc w:val="both"/>
        <w:rPr>
          <w:rFonts w:ascii="Arial" w:hAnsi="Arial" w:cs="Arial"/>
          <w:color w:val="000000" w:themeColor="text1"/>
          <w:sz w:val="22"/>
          <w:szCs w:val="22"/>
        </w:rPr>
      </w:pPr>
      <w:r w:rsidRPr="00F666B7">
        <w:rPr>
          <w:rFonts w:ascii="Arial" w:hAnsi="Arial" w:cs="Arial"/>
          <w:color w:val="000000" w:themeColor="text1"/>
          <w:sz w:val="22"/>
          <w:szCs w:val="22"/>
          <w:bdr w:val="none" w:sz="0" w:space="0" w:color="auto" w:frame="1"/>
          <w:shd w:val="clear" w:color="auto" w:fill="FFFFFF"/>
          <w:lang w:val="es-ES"/>
        </w:rPr>
        <w:t xml:space="preserve">Si no es posible efectuar la liquidación de manera bilateral, el ordenamiento jurídico prevé una </w:t>
      </w:r>
      <w:r>
        <w:rPr>
          <w:rFonts w:ascii="Arial" w:hAnsi="Arial" w:cs="Arial"/>
          <w:color w:val="000000" w:themeColor="text1"/>
          <w:sz w:val="22"/>
          <w:szCs w:val="22"/>
          <w:bdr w:val="none" w:sz="0" w:space="0" w:color="auto" w:frame="1"/>
          <w:shd w:val="clear" w:color="auto" w:fill="FFFFFF"/>
          <w:lang w:val="es-ES"/>
        </w:rPr>
        <w:t>facultad</w:t>
      </w:r>
      <w:r w:rsidRPr="00F666B7">
        <w:rPr>
          <w:rFonts w:ascii="Arial" w:hAnsi="Arial" w:cs="Arial"/>
          <w:color w:val="000000" w:themeColor="text1"/>
          <w:sz w:val="22"/>
          <w:szCs w:val="22"/>
          <w:bdr w:val="none" w:sz="0" w:space="0" w:color="auto" w:frame="1"/>
          <w:shd w:val="clear" w:color="auto" w:fill="FFFFFF"/>
          <w:lang w:val="es-ES"/>
        </w:rPr>
        <w:t xml:space="preserve">, de carácter subsidiario, para que la entidad estatal realice la liquidación unilateralmente. </w:t>
      </w:r>
      <w:r>
        <w:rPr>
          <w:rFonts w:ascii="Arial" w:hAnsi="Arial" w:cs="Arial"/>
          <w:color w:val="000000" w:themeColor="text1"/>
          <w:sz w:val="22"/>
          <w:szCs w:val="22"/>
          <w:bdr w:val="none" w:sz="0" w:space="0" w:color="auto" w:frame="1"/>
          <w:shd w:val="clear" w:color="auto" w:fill="FFFFFF"/>
          <w:lang w:val="es-ES"/>
        </w:rPr>
        <w:t>En relación con este aspecto</w:t>
      </w:r>
      <w:r w:rsidRPr="00F666B7">
        <w:rPr>
          <w:rFonts w:ascii="Arial" w:hAnsi="Arial" w:cs="Arial"/>
          <w:color w:val="000000" w:themeColor="text1"/>
          <w:sz w:val="22"/>
          <w:szCs w:val="22"/>
          <w:bdr w:val="none" w:sz="0" w:space="0" w:color="auto" w:frame="1"/>
          <w:shd w:val="clear" w:color="auto" w:fill="FFFFFF"/>
          <w:lang w:val="es-ES"/>
        </w:rPr>
        <w:t>, </w:t>
      </w:r>
      <w:r>
        <w:rPr>
          <w:rFonts w:ascii="Arial" w:hAnsi="Arial" w:cs="Arial"/>
          <w:color w:val="000000" w:themeColor="text1"/>
          <w:sz w:val="22"/>
          <w:szCs w:val="22"/>
          <w:bdr w:val="none" w:sz="0" w:space="0" w:color="auto" w:frame="1"/>
          <w:shd w:val="clear" w:color="auto" w:fill="FFFFFF"/>
          <w:lang w:val="es-ES"/>
        </w:rPr>
        <w:t xml:space="preserve">la </w:t>
      </w:r>
      <w:r w:rsidRPr="00F666B7">
        <w:rPr>
          <w:rFonts w:ascii="Arial" w:hAnsi="Arial" w:cs="Arial"/>
          <w:color w:val="000000" w:themeColor="text1"/>
          <w:sz w:val="22"/>
          <w:szCs w:val="22"/>
          <w:bdr w:val="none" w:sz="0" w:space="0" w:color="auto" w:frame="1"/>
          <w:shd w:val="clear" w:color="auto" w:fill="FFFFFF"/>
          <w:lang w:val="es-MX"/>
        </w:rPr>
        <w:t>Sala de Consulta y Servicio Civil</w:t>
      </w:r>
      <w:r>
        <w:rPr>
          <w:rFonts w:ascii="Arial" w:hAnsi="Arial" w:cs="Arial"/>
          <w:color w:val="000000" w:themeColor="text1"/>
          <w:sz w:val="22"/>
          <w:szCs w:val="22"/>
          <w:bdr w:val="none" w:sz="0" w:space="0" w:color="auto" w:frame="1"/>
          <w:shd w:val="clear" w:color="auto" w:fill="FFFFFF"/>
          <w:lang w:val="es-MX"/>
        </w:rPr>
        <w:t xml:space="preserve"> del </w:t>
      </w:r>
      <w:r w:rsidRPr="00F666B7">
        <w:rPr>
          <w:rFonts w:ascii="Arial" w:hAnsi="Arial" w:cs="Arial"/>
          <w:color w:val="000000" w:themeColor="text1"/>
          <w:sz w:val="22"/>
          <w:szCs w:val="22"/>
          <w:bdr w:val="none" w:sz="0" w:space="0" w:color="auto" w:frame="1"/>
          <w:shd w:val="clear" w:color="auto" w:fill="FFFFFF"/>
          <w:lang w:val="es-ES"/>
        </w:rPr>
        <w:t>Consejo de Estado</w:t>
      </w:r>
      <w:r w:rsidRPr="00F666B7">
        <w:rPr>
          <w:rFonts w:ascii="Arial" w:hAnsi="Arial" w:cs="Arial"/>
          <w:color w:val="000000" w:themeColor="text1"/>
          <w:sz w:val="22"/>
          <w:szCs w:val="22"/>
          <w:bdr w:val="none" w:sz="0" w:space="0" w:color="auto" w:frame="1"/>
          <w:shd w:val="clear" w:color="auto" w:fill="FFFFFF"/>
          <w:lang w:val="es-MX"/>
        </w:rPr>
        <w:t>, en concepto del 28 de junio de 2016</w:t>
      </w:r>
      <w:r>
        <w:rPr>
          <w:rStyle w:val="Refdenotaalpie"/>
          <w:rFonts w:ascii="Arial" w:hAnsi="Arial" w:cs="Arial"/>
          <w:color w:val="000000" w:themeColor="text1"/>
          <w:sz w:val="22"/>
          <w:szCs w:val="22"/>
          <w:bdr w:val="none" w:sz="0" w:space="0" w:color="auto" w:frame="1"/>
          <w:shd w:val="clear" w:color="auto" w:fill="FFFFFF"/>
          <w:lang w:val="es-MX"/>
        </w:rPr>
        <w:footnoteReference w:id="11"/>
      </w:r>
      <w:r w:rsidRPr="00F666B7">
        <w:rPr>
          <w:rFonts w:ascii="Arial" w:hAnsi="Arial" w:cs="Arial"/>
          <w:color w:val="000000" w:themeColor="text1"/>
          <w:sz w:val="22"/>
          <w:szCs w:val="22"/>
          <w:bdr w:val="none" w:sz="0" w:space="0" w:color="auto" w:frame="1"/>
          <w:shd w:val="clear" w:color="auto" w:fill="FFFFFF"/>
          <w:lang w:val="es-MX"/>
        </w:rPr>
        <w:t>, manifestó que:  </w:t>
      </w:r>
    </w:p>
    <w:p w14:paraId="1D75E5E9" w14:textId="77777777" w:rsidR="00977CE6" w:rsidRPr="00F666B7" w:rsidRDefault="00977CE6" w:rsidP="00977CE6">
      <w:pPr>
        <w:spacing w:line="276" w:lineRule="auto"/>
        <w:ind w:left="705" w:right="750"/>
        <w:jc w:val="both"/>
        <w:rPr>
          <w:rFonts w:ascii="Arial" w:hAnsi="Arial" w:cs="Arial"/>
          <w:color w:val="000000" w:themeColor="text1"/>
          <w:sz w:val="22"/>
          <w:szCs w:val="22"/>
        </w:rPr>
      </w:pPr>
    </w:p>
    <w:p w14:paraId="4F01E8BF" w14:textId="77777777" w:rsidR="00977CE6" w:rsidRPr="00DD74BB" w:rsidRDefault="00977CE6" w:rsidP="00977CE6">
      <w:pPr>
        <w:ind w:left="705" w:right="750"/>
        <w:jc w:val="both"/>
        <w:rPr>
          <w:rFonts w:ascii="Arial" w:hAnsi="Arial" w:cs="Arial"/>
          <w:color w:val="000000" w:themeColor="text1"/>
          <w:sz w:val="21"/>
          <w:szCs w:val="21"/>
        </w:rPr>
      </w:pPr>
      <w:r w:rsidRPr="00850051">
        <w:rPr>
          <w:rFonts w:ascii="Arial" w:hAnsi="Arial" w:cs="Arial"/>
          <w:color w:val="000000" w:themeColor="text1"/>
          <w:sz w:val="21"/>
          <w:szCs w:val="21"/>
          <w:lang w:val="es-ES_tradnl"/>
        </w:rPr>
        <w:t>«</w:t>
      </w:r>
      <w:r>
        <w:rPr>
          <w:rFonts w:ascii="Arial" w:eastAsia="Calibri" w:hAnsi="Arial" w:cs="Arial"/>
          <w:color w:val="000000" w:themeColor="text1"/>
          <w:sz w:val="21"/>
          <w:szCs w:val="21"/>
          <w:lang w:val="es-ES"/>
        </w:rPr>
        <w:t>[</w:t>
      </w:r>
      <w:r w:rsidRPr="00DD74BB">
        <w:rPr>
          <w:rFonts w:ascii="Arial" w:hAnsi="Arial" w:cs="Arial"/>
          <w:color w:val="000000" w:themeColor="text1"/>
          <w:sz w:val="21"/>
          <w:szCs w:val="21"/>
          <w:bdr w:val="none" w:sz="0" w:space="0" w:color="auto" w:frame="1"/>
          <w:shd w:val="clear" w:color="auto" w:fill="FFFFFF"/>
        </w:rPr>
        <w:t>…</w:t>
      </w:r>
      <w:r>
        <w:rPr>
          <w:rFonts w:ascii="Arial" w:hAnsi="Arial" w:cs="Arial"/>
          <w:color w:val="000000" w:themeColor="text1"/>
          <w:sz w:val="21"/>
          <w:szCs w:val="21"/>
          <w:bdr w:val="none" w:sz="0" w:space="0" w:color="auto" w:frame="1"/>
          <w:shd w:val="clear" w:color="auto" w:fill="FFFFFF"/>
        </w:rPr>
        <w:t>]</w:t>
      </w:r>
      <w:r w:rsidRPr="00DD74BB">
        <w:rPr>
          <w:rFonts w:ascii="Arial" w:hAnsi="Arial" w:cs="Arial"/>
          <w:color w:val="000000" w:themeColor="text1"/>
          <w:sz w:val="21"/>
          <w:szCs w:val="21"/>
          <w:bdr w:val="none" w:sz="0" w:space="0" w:color="auto" w:frame="1"/>
          <w:shd w:val="clear" w:color="auto" w:fill="FFFFFF"/>
          <w:lang w:val="es-ES"/>
        </w:rPr>
        <w:t xml:space="preserve">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w:t>
      </w:r>
      <w:r>
        <w:rPr>
          <w:rFonts w:ascii="Arial" w:hAnsi="Arial" w:cs="Arial"/>
          <w:color w:val="000000" w:themeColor="text1"/>
          <w:sz w:val="21"/>
          <w:szCs w:val="21"/>
          <w:bdr w:val="none" w:sz="0" w:space="0" w:color="auto" w:frame="1"/>
          <w:shd w:val="clear" w:color="auto" w:fill="FFFFFF"/>
          <w:lang w:val="es-ES"/>
        </w:rPr>
        <w:t>(</w:t>
      </w:r>
      <w:r w:rsidRPr="00DD74BB">
        <w:rPr>
          <w:rFonts w:ascii="Arial" w:hAnsi="Arial" w:cs="Arial"/>
          <w:color w:val="000000" w:themeColor="text1"/>
          <w:sz w:val="21"/>
          <w:szCs w:val="21"/>
          <w:bdr w:val="none" w:sz="0" w:space="0" w:color="auto" w:frame="1"/>
          <w:shd w:val="clear" w:color="auto" w:fill="FFFFFF"/>
          <w:lang w:val="es-ES"/>
        </w:rPr>
        <w:t>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850051">
        <w:rPr>
          <w:rFonts w:ascii="Arial" w:hAnsi="Arial" w:cs="Arial"/>
          <w:color w:val="000000" w:themeColor="text1"/>
          <w:sz w:val="21"/>
          <w:szCs w:val="21"/>
          <w:lang w:val="es-ES_tradnl"/>
        </w:rPr>
        <w:t>»</w:t>
      </w:r>
      <w:r>
        <w:rPr>
          <w:rFonts w:ascii="Arial" w:hAnsi="Arial" w:cs="Arial"/>
          <w:color w:val="000000" w:themeColor="text1"/>
          <w:sz w:val="21"/>
          <w:szCs w:val="21"/>
          <w:lang w:val="es-ES_tradnl"/>
        </w:rPr>
        <w:t>.</w:t>
      </w:r>
      <w:r w:rsidRPr="00DD74BB">
        <w:rPr>
          <w:rFonts w:ascii="Arial" w:hAnsi="Arial" w:cs="Arial"/>
          <w:color w:val="000000" w:themeColor="text1"/>
          <w:sz w:val="21"/>
          <w:szCs w:val="21"/>
          <w:bdr w:val="none" w:sz="0" w:space="0" w:color="auto" w:frame="1"/>
          <w:shd w:val="clear" w:color="auto" w:fill="FFFFFF"/>
          <w:lang w:val="es-ES"/>
        </w:rPr>
        <w:t> </w:t>
      </w:r>
      <w:r w:rsidRPr="00DD74BB">
        <w:rPr>
          <w:rFonts w:ascii="Arial" w:hAnsi="Arial" w:cs="Arial"/>
          <w:color w:val="000000" w:themeColor="text1"/>
          <w:sz w:val="21"/>
          <w:szCs w:val="21"/>
          <w:bdr w:val="none" w:sz="0" w:space="0" w:color="auto" w:frame="1"/>
          <w:shd w:val="clear" w:color="auto" w:fill="FFFFFF"/>
        </w:rPr>
        <w:t>  </w:t>
      </w:r>
    </w:p>
    <w:p w14:paraId="174ABDB5" w14:textId="77777777" w:rsidR="00977CE6" w:rsidRPr="00F666B7" w:rsidRDefault="00977CE6" w:rsidP="00977CE6">
      <w:pPr>
        <w:spacing w:line="276" w:lineRule="auto"/>
        <w:ind w:left="705" w:right="750"/>
        <w:jc w:val="both"/>
        <w:rPr>
          <w:rFonts w:ascii="Arial" w:hAnsi="Arial" w:cs="Arial"/>
          <w:color w:val="000000" w:themeColor="text1"/>
          <w:sz w:val="22"/>
          <w:szCs w:val="22"/>
        </w:rPr>
      </w:pPr>
    </w:p>
    <w:p w14:paraId="295C85D2" w14:textId="77777777" w:rsidR="00977CE6" w:rsidRPr="00F666B7" w:rsidRDefault="00977CE6" w:rsidP="00977CE6">
      <w:pPr>
        <w:spacing w:after="120" w:line="276" w:lineRule="auto"/>
        <w:ind w:firstLine="705"/>
        <w:jc w:val="both"/>
        <w:rPr>
          <w:rFonts w:ascii="Arial" w:hAnsi="Arial" w:cs="Arial"/>
          <w:color w:val="000000" w:themeColor="text1"/>
          <w:sz w:val="22"/>
          <w:szCs w:val="22"/>
        </w:rPr>
      </w:pPr>
      <w:r>
        <w:rPr>
          <w:rFonts w:ascii="Arial" w:hAnsi="Arial" w:cs="Arial"/>
          <w:color w:val="000000" w:themeColor="text1"/>
          <w:sz w:val="22"/>
          <w:szCs w:val="22"/>
          <w:bdr w:val="none" w:sz="0" w:space="0" w:color="auto" w:frame="1"/>
          <w:shd w:val="clear" w:color="auto" w:fill="FFFFFF"/>
          <w:lang w:val="es-ES"/>
        </w:rPr>
        <w:t>De esta manera, como se indicó, s</w:t>
      </w:r>
      <w:r w:rsidRPr="00F666B7">
        <w:rPr>
          <w:rFonts w:ascii="Arial" w:hAnsi="Arial" w:cs="Arial"/>
          <w:color w:val="000000" w:themeColor="text1"/>
          <w:sz w:val="22"/>
          <w:szCs w:val="22"/>
          <w:bdr w:val="none" w:sz="0" w:space="0" w:color="auto" w:frame="1"/>
          <w:shd w:val="clear" w:color="auto" w:fill="FFFFFF"/>
          <w:lang w:val="es-ES"/>
        </w:rPr>
        <w:t>i no se logra la liquidación bilateral del contrato, la entidad estatal tiene la facultad de liquidar</w:t>
      </w:r>
      <w:r>
        <w:rPr>
          <w:rFonts w:ascii="Arial" w:hAnsi="Arial" w:cs="Arial"/>
          <w:color w:val="000000" w:themeColor="text1"/>
          <w:sz w:val="22"/>
          <w:szCs w:val="22"/>
          <w:bdr w:val="none" w:sz="0" w:space="0" w:color="auto" w:frame="1"/>
          <w:shd w:val="clear" w:color="auto" w:fill="FFFFFF"/>
          <w:lang w:val="es-ES"/>
        </w:rPr>
        <w:t>lo</w:t>
      </w:r>
      <w:r w:rsidRPr="00F666B7">
        <w:rPr>
          <w:rFonts w:ascii="Arial" w:hAnsi="Arial" w:cs="Arial"/>
          <w:color w:val="000000" w:themeColor="text1"/>
          <w:sz w:val="22"/>
          <w:szCs w:val="22"/>
          <w:bdr w:val="none" w:sz="0" w:space="0" w:color="auto" w:frame="1"/>
          <w:shd w:val="clear" w:color="auto" w:fill="FFFFFF"/>
          <w:lang w:val="es-ES"/>
        </w:rPr>
        <w:t xml:space="preserve"> unilateralmente </w:t>
      </w:r>
      <w:r>
        <w:rPr>
          <w:rFonts w:ascii="Arial" w:hAnsi="Arial" w:cs="Arial"/>
          <w:color w:val="000000" w:themeColor="text1"/>
          <w:sz w:val="22"/>
          <w:szCs w:val="22"/>
          <w:bdr w:val="none" w:sz="0" w:space="0" w:color="auto" w:frame="1"/>
          <w:shd w:val="clear" w:color="auto" w:fill="FFFFFF"/>
          <w:lang w:val="es-ES"/>
        </w:rPr>
        <w:t>dentro d</w:t>
      </w:r>
      <w:r w:rsidRPr="00F666B7">
        <w:rPr>
          <w:rFonts w:ascii="Arial" w:hAnsi="Arial" w:cs="Arial"/>
          <w:color w:val="000000" w:themeColor="text1"/>
          <w:sz w:val="22"/>
          <w:szCs w:val="22"/>
          <w:bdr w:val="none" w:sz="0" w:space="0" w:color="auto" w:frame="1"/>
          <w:shd w:val="clear" w:color="auto" w:fill="FFFFFF"/>
          <w:lang w:val="es-ES"/>
        </w:rPr>
        <w:t>el término de 2 meses contados a partir del</w:t>
      </w:r>
      <w:r>
        <w:rPr>
          <w:rFonts w:ascii="Arial" w:hAnsi="Arial" w:cs="Arial"/>
          <w:color w:val="000000" w:themeColor="text1"/>
          <w:sz w:val="22"/>
          <w:szCs w:val="22"/>
          <w:bdr w:val="none" w:sz="0" w:space="0" w:color="auto" w:frame="1"/>
          <w:shd w:val="clear" w:color="auto" w:fill="FFFFFF"/>
          <w:lang w:val="es-ES"/>
        </w:rPr>
        <w:t xml:space="preserve"> </w:t>
      </w:r>
      <w:r w:rsidRPr="00F666B7">
        <w:rPr>
          <w:rFonts w:ascii="Arial" w:hAnsi="Arial" w:cs="Arial"/>
          <w:color w:val="000000" w:themeColor="text1"/>
          <w:sz w:val="22"/>
          <w:szCs w:val="22"/>
          <w:bdr w:val="none" w:sz="0" w:space="0" w:color="auto" w:frame="1"/>
          <w:shd w:val="clear" w:color="auto" w:fill="FFFFFF"/>
          <w:lang w:val="es-ES"/>
        </w:rPr>
        <w:t xml:space="preserve">vencimiento del plazo que acuerden las partes para liquidar bilateralmente o, ante el silencio de estas, del vencimiento de los 4 meses supletivo establecido por la </w:t>
      </w:r>
      <w:r>
        <w:rPr>
          <w:rFonts w:ascii="Arial" w:hAnsi="Arial" w:cs="Arial"/>
          <w:color w:val="000000" w:themeColor="text1"/>
          <w:sz w:val="22"/>
          <w:szCs w:val="22"/>
          <w:bdr w:val="none" w:sz="0" w:space="0" w:color="auto" w:frame="1"/>
          <w:shd w:val="clear" w:color="auto" w:fill="FFFFFF"/>
          <w:lang w:val="es-ES"/>
        </w:rPr>
        <w:t>l</w:t>
      </w:r>
      <w:r w:rsidRPr="00F666B7">
        <w:rPr>
          <w:rFonts w:ascii="Arial" w:hAnsi="Arial" w:cs="Arial"/>
          <w:color w:val="000000" w:themeColor="text1"/>
          <w:sz w:val="22"/>
          <w:szCs w:val="22"/>
          <w:bdr w:val="none" w:sz="0" w:space="0" w:color="auto" w:frame="1"/>
          <w:shd w:val="clear" w:color="auto" w:fill="FFFFFF"/>
          <w:lang w:val="es-ES"/>
        </w:rPr>
        <w:t>ey. </w:t>
      </w:r>
    </w:p>
    <w:p w14:paraId="5D86A48D" w14:textId="77777777" w:rsidR="00977CE6" w:rsidRDefault="00977CE6" w:rsidP="00977CE6">
      <w:pPr>
        <w:spacing w:line="276" w:lineRule="auto"/>
        <w:ind w:firstLine="705"/>
        <w:jc w:val="both"/>
        <w:rPr>
          <w:rFonts w:ascii="Arial" w:hAnsi="Arial" w:cs="Arial"/>
          <w:color w:val="000000" w:themeColor="text1"/>
          <w:sz w:val="22"/>
          <w:szCs w:val="22"/>
          <w:bdr w:val="none" w:sz="0" w:space="0" w:color="auto" w:frame="1"/>
          <w:shd w:val="clear" w:color="auto" w:fill="FFFFFF"/>
        </w:rPr>
      </w:pPr>
      <w:r w:rsidRPr="00F666B7">
        <w:rPr>
          <w:rFonts w:ascii="Arial" w:hAnsi="Arial" w:cs="Arial"/>
          <w:color w:val="000000" w:themeColor="text1"/>
          <w:sz w:val="22"/>
          <w:szCs w:val="22"/>
          <w:bdr w:val="none" w:sz="0" w:space="0" w:color="auto" w:frame="1"/>
          <w:shd w:val="clear" w:color="auto" w:fill="FFFFFF"/>
          <w:lang w:val="es-ES"/>
        </w:rPr>
        <w:t>Finalmente, transcurridos estos meses, la liquidación podrá ser realizada en cualquier tiempo dentro de los dos años siguientes al vencimiento del término referido</w:t>
      </w:r>
      <w:r>
        <w:rPr>
          <w:rFonts w:ascii="Arial" w:hAnsi="Arial" w:cs="Arial"/>
          <w:color w:val="000000" w:themeColor="text1"/>
          <w:sz w:val="22"/>
          <w:szCs w:val="22"/>
          <w:bdr w:val="none" w:sz="0" w:space="0" w:color="auto" w:frame="1"/>
          <w:shd w:val="clear" w:color="auto" w:fill="FFFFFF"/>
          <w:lang w:val="es-ES"/>
        </w:rPr>
        <w:t>, de mutuo acuerdo o unilateralmente, salvo que el contratista haya presentado la demanda con la cual pretenda la liquidación judicial del contrato</w:t>
      </w:r>
      <w:r w:rsidRPr="00F666B7">
        <w:rPr>
          <w:rFonts w:ascii="Arial" w:hAnsi="Arial" w:cs="Arial"/>
          <w:color w:val="000000" w:themeColor="text1"/>
          <w:sz w:val="22"/>
          <w:szCs w:val="22"/>
          <w:bdr w:val="none" w:sz="0" w:space="0" w:color="auto" w:frame="1"/>
          <w:shd w:val="clear" w:color="auto" w:fill="FFFFFF"/>
          <w:lang w:val="es-ES"/>
        </w:rPr>
        <w:t xml:space="preserve">. </w:t>
      </w:r>
      <w:r>
        <w:rPr>
          <w:rFonts w:ascii="Arial" w:hAnsi="Arial" w:cs="Arial"/>
          <w:color w:val="000000" w:themeColor="text1"/>
          <w:sz w:val="22"/>
          <w:szCs w:val="22"/>
          <w:bdr w:val="none" w:sz="0" w:space="0" w:color="auto" w:frame="1"/>
          <w:shd w:val="clear" w:color="auto" w:fill="FFFFFF"/>
          <w:lang w:val="es-ES"/>
        </w:rPr>
        <w:t>De esta manera, d</w:t>
      </w:r>
      <w:r w:rsidRPr="00F666B7">
        <w:rPr>
          <w:rFonts w:ascii="Arial" w:hAnsi="Arial" w:cs="Arial"/>
          <w:color w:val="000000" w:themeColor="text1"/>
          <w:sz w:val="22"/>
          <w:szCs w:val="22"/>
          <w:bdr w:val="none" w:sz="0" w:space="0" w:color="auto" w:frame="1"/>
          <w:shd w:val="clear" w:color="auto" w:fill="FFFFFF"/>
          <w:lang w:val="es-ES"/>
        </w:rPr>
        <w:t xml:space="preserve">urante estos dos años la liquidación podrá hacerse de mutuo acuerdo, unilateralmente por la entidad, o podrá ser solicitada judicialmente por el interesado. En este sentido, en decisión de </w:t>
      </w:r>
      <w:r>
        <w:rPr>
          <w:rFonts w:ascii="Arial" w:hAnsi="Arial" w:cs="Arial"/>
          <w:color w:val="000000" w:themeColor="text1"/>
          <w:sz w:val="22"/>
          <w:szCs w:val="22"/>
          <w:bdr w:val="none" w:sz="0" w:space="0" w:color="auto" w:frame="1"/>
          <w:shd w:val="clear" w:color="auto" w:fill="FFFFFF"/>
          <w:lang w:val="es-ES"/>
        </w:rPr>
        <w:t>u</w:t>
      </w:r>
      <w:r w:rsidRPr="00F666B7">
        <w:rPr>
          <w:rFonts w:ascii="Arial" w:hAnsi="Arial" w:cs="Arial"/>
          <w:color w:val="000000" w:themeColor="text1"/>
          <w:sz w:val="22"/>
          <w:szCs w:val="22"/>
          <w:bdr w:val="none" w:sz="0" w:space="0" w:color="auto" w:frame="1"/>
          <w:shd w:val="clear" w:color="auto" w:fill="FFFFFF"/>
          <w:lang w:val="es-ES"/>
        </w:rPr>
        <w:t xml:space="preserve">nificación </w:t>
      </w:r>
      <w:r>
        <w:rPr>
          <w:rFonts w:ascii="Arial" w:hAnsi="Arial" w:cs="Arial"/>
          <w:color w:val="000000" w:themeColor="text1"/>
          <w:sz w:val="22"/>
          <w:szCs w:val="22"/>
          <w:bdr w:val="none" w:sz="0" w:space="0" w:color="auto" w:frame="1"/>
          <w:shd w:val="clear" w:color="auto" w:fill="FFFFFF"/>
          <w:lang w:val="es-ES"/>
        </w:rPr>
        <w:t>de la</w:t>
      </w:r>
      <w:r w:rsidRPr="00F666B7">
        <w:rPr>
          <w:rFonts w:ascii="Arial" w:hAnsi="Arial" w:cs="Arial"/>
          <w:color w:val="000000" w:themeColor="text1"/>
          <w:sz w:val="22"/>
          <w:szCs w:val="22"/>
          <w:bdr w:val="none" w:sz="0" w:space="0" w:color="auto" w:frame="1"/>
          <w:shd w:val="clear" w:color="auto" w:fill="FFFFFF"/>
          <w:lang w:val="es-ES"/>
        </w:rPr>
        <w:t xml:space="preserve"> </w:t>
      </w:r>
      <w:r w:rsidRPr="00F666B7">
        <w:rPr>
          <w:rFonts w:ascii="Arial" w:hAnsi="Arial" w:cs="Arial"/>
          <w:color w:val="000000" w:themeColor="text1"/>
          <w:sz w:val="22"/>
          <w:szCs w:val="22"/>
          <w:bdr w:val="none" w:sz="0" w:space="0" w:color="auto" w:frame="1"/>
          <w:shd w:val="clear" w:color="auto" w:fill="FFFFFF"/>
          <w:lang w:val="es-MX"/>
        </w:rPr>
        <w:t>Sección Tercera</w:t>
      </w:r>
      <w:r w:rsidRPr="00F666B7">
        <w:rPr>
          <w:rFonts w:ascii="Arial" w:hAnsi="Arial" w:cs="Arial"/>
          <w:color w:val="000000" w:themeColor="text1"/>
          <w:sz w:val="22"/>
          <w:szCs w:val="22"/>
          <w:bdr w:val="none" w:sz="0" w:space="0" w:color="auto" w:frame="1"/>
          <w:shd w:val="clear" w:color="auto" w:fill="FFFFFF"/>
          <w:lang w:val="es-ES"/>
        </w:rPr>
        <w:t xml:space="preserve"> </w:t>
      </w:r>
      <w:r>
        <w:rPr>
          <w:rFonts w:ascii="Arial" w:hAnsi="Arial" w:cs="Arial"/>
          <w:color w:val="000000" w:themeColor="text1"/>
          <w:sz w:val="22"/>
          <w:szCs w:val="22"/>
          <w:bdr w:val="none" w:sz="0" w:space="0" w:color="auto" w:frame="1"/>
          <w:shd w:val="clear" w:color="auto" w:fill="FFFFFF"/>
          <w:lang w:val="es-ES"/>
        </w:rPr>
        <w:t xml:space="preserve">del </w:t>
      </w:r>
      <w:r w:rsidRPr="00F666B7">
        <w:rPr>
          <w:rFonts w:ascii="Arial" w:hAnsi="Arial" w:cs="Arial"/>
          <w:color w:val="000000" w:themeColor="text1"/>
          <w:sz w:val="22"/>
          <w:szCs w:val="22"/>
          <w:bdr w:val="none" w:sz="0" w:space="0" w:color="auto" w:frame="1"/>
          <w:shd w:val="clear" w:color="auto" w:fill="FFFFFF"/>
          <w:lang w:val="es-ES"/>
        </w:rPr>
        <w:t>Consejo de Estado</w:t>
      </w:r>
      <w:r>
        <w:rPr>
          <w:rFonts w:ascii="Arial" w:hAnsi="Arial" w:cs="Arial"/>
          <w:color w:val="000000" w:themeColor="text1"/>
          <w:sz w:val="22"/>
          <w:szCs w:val="22"/>
          <w:bdr w:val="none" w:sz="0" w:space="0" w:color="auto" w:frame="1"/>
          <w:shd w:val="clear" w:color="auto" w:fill="FFFFFF"/>
          <w:lang w:val="es-ES"/>
        </w:rPr>
        <w:t>, del</w:t>
      </w:r>
      <w:r w:rsidRPr="00F666B7">
        <w:rPr>
          <w:rFonts w:ascii="Arial" w:hAnsi="Arial" w:cs="Arial"/>
          <w:color w:val="000000" w:themeColor="text1"/>
          <w:sz w:val="22"/>
          <w:szCs w:val="22"/>
          <w:bdr w:val="none" w:sz="0" w:space="0" w:color="auto" w:frame="1"/>
          <w:shd w:val="clear" w:color="auto" w:fill="FFFFFF"/>
          <w:lang w:val="es-MX"/>
        </w:rPr>
        <w:t> </w:t>
      </w:r>
      <w:r w:rsidRPr="00F666B7">
        <w:rPr>
          <w:rFonts w:ascii="Arial" w:hAnsi="Arial" w:cs="Arial"/>
          <w:color w:val="000000" w:themeColor="text1"/>
          <w:sz w:val="22"/>
          <w:szCs w:val="22"/>
          <w:bdr w:val="none" w:sz="0" w:space="0" w:color="auto" w:frame="1"/>
          <w:shd w:val="clear" w:color="auto" w:fill="FFFFFF"/>
        </w:rPr>
        <w:t>1 de agosto de 2019</w:t>
      </w:r>
      <w:r>
        <w:rPr>
          <w:rStyle w:val="Refdenotaalpie"/>
          <w:rFonts w:ascii="Arial" w:hAnsi="Arial" w:cs="Arial"/>
          <w:color w:val="000000" w:themeColor="text1"/>
          <w:sz w:val="22"/>
          <w:szCs w:val="22"/>
          <w:bdr w:val="none" w:sz="0" w:space="0" w:color="auto" w:frame="1"/>
          <w:shd w:val="clear" w:color="auto" w:fill="FFFFFF"/>
        </w:rPr>
        <w:footnoteReference w:id="12"/>
      </w:r>
      <w:r>
        <w:rPr>
          <w:rFonts w:ascii="Arial" w:hAnsi="Arial" w:cs="Arial"/>
          <w:color w:val="000000" w:themeColor="text1"/>
          <w:sz w:val="22"/>
          <w:szCs w:val="22"/>
          <w:bdr w:val="none" w:sz="0" w:space="0" w:color="auto" w:frame="1"/>
          <w:shd w:val="clear" w:color="auto" w:fill="FFFFFF"/>
        </w:rPr>
        <w:t>, se expresó</w:t>
      </w:r>
      <w:r w:rsidRPr="00F666B7">
        <w:rPr>
          <w:rFonts w:ascii="Arial" w:hAnsi="Arial" w:cs="Arial"/>
          <w:color w:val="000000" w:themeColor="text1"/>
          <w:sz w:val="22"/>
          <w:szCs w:val="22"/>
          <w:bdr w:val="none" w:sz="0" w:space="0" w:color="auto" w:frame="1"/>
          <w:shd w:val="clear" w:color="auto" w:fill="FFFFFF"/>
        </w:rPr>
        <w:t>: </w:t>
      </w:r>
    </w:p>
    <w:p w14:paraId="11639835" w14:textId="77777777" w:rsidR="00977CE6" w:rsidRPr="00F666B7" w:rsidRDefault="00977CE6" w:rsidP="00977CE6">
      <w:pPr>
        <w:spacing w:line="276" w:lineRule="auto"/>
        <w:ind w:firstLine="705"/>
        <w:jc w:val="both"/>
        <w:rPr>
          <w:rFonts w:ascii="Arial" w:hAnsi="Arial" w:cs="Arial"/>
          <w:color w:val="000000" w:themeColor="text1"/>
          <w:sz w:val="22"/>
          <w:szCs w:val="22"/>
        </w:rPr>
      </w:pPr>
    </w:p>
    <w:p w14:paraId="34D2DAB5" w14:textId="77777777" w:rsidR="00977CE6" w:rsidRDefault="00977CE6" w:rsidP="00977CE6">
      <w:pPr>
        <w:ind w:left="705" w:right="750"/>
        <w:jc w:val="both"/>
        <w:rPr>
          <w:rFonts w:ascii="Arial" w:eastAsia="Calibri" w:hAnsi="Arial" w:cs="Arial"/>
          <w:color w:val="000000" w:themeColor="text1"/>
          <w:sz w:val="21"/>
          <w:szCs w:val="21"/>
          <w:lang w:val="es-ES"/>
        </w:rPr>
      </w:pPr>
      <w:r w:rsidRPr="00850051">
        <w:rPr>
          <w:rFonts w:ascii="Arial" w:hAnsi="Arial" w:cs="Arial"/>
          <w:color w:val="000000" w:themeColor="text1"/>
          <w:sz w:val="21"/>
          <w:szCs w:val="21"/>
          <w:lang w:val="es-ES_tradnl"/>
        </w:rPr>
        <w:t>«</w:t>
      </w:r>
      <w:r w:rsidRPr="00820BC4">
        <w:rPr>
          <w:rFonts w:ascii="Arial" w:hAnsi="Arial" w:cs="Arial"/>
          <w:color w:val="000000" w:themeColor="text1"/>
          <w:sz w:val="21"/>
          <w:szCs w:val="21"/>
          <w:bdr w:val="none" w:sz="0" w:space="0" w:color="auto" w:frame="1"/>
          <w:shd w:val="clear" w:color="auto" w:fill="FFFFFF"/>
          <w:lang w:val="es-ES"/>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liquidatorio se logre dentro del lapso de dos años contados a partir del vencimiento del término legalmente conocido para la liquidación unilateral, pues </w:t>
      </w:r>
      <w:r w:rsidRPr="00820BC4">
        <w:rPr>
          <w:rFonts w:ascii="Arial" w:hAnsi="Arial" w:cs="Arial"/>
          <w:color w:val="000000" w:themeColor="text1"/>
          <w:sz w:val="21"/>
          <w:szCs w:val="21"/>
          <w:bdr w:val="none" w:sz="0" w:space="0" w:color="auto" w:frame="1"/>
          <w:shd w:val="clear" w:color="auto" w:fill="FFFFFF"/>
          <w:lang w:val="es-ES"/>
        </w:rPr>
        <w:lastRenderedPageBreak/>
        <w:t>ese es el lapso que el ordenamiento ha fijado para el ejercicio oportuno de la acción</w:t>
      </w:r>
      <w:r w:rsidRPr="00850051">
        <w:rPr>
          <w:rFonts w:ascii="Arial" w:hAnsi="Arial" w:cs="Arial"/>
          <w:color w:val="000000" w:themeColor="text1"/>
          <w:sz w:val="21"/>
          <w:szCs w:val="21"/>
          <w:lang w:val="es-ES_tradnl"/>
        </w:rPr>
        <w:t>»</w:t>
      </w:r>
      <w:r>
        <w:rPr>
          <w:rFonts w:ascii="Arial" w:hAnsi="Arial" w:cs="Arial"/>
          <w:color w:val="000000" w:themeColor="text1"/>
          <w:sz w:val="21"/>
          <w:szCs w:val="21"/>
          <w:lang w:val="es-ES_tradnl"/>
        </w:rPr>
        <w:t>.</w:t>
      </w:r>
    </w:p>
    <w:p w14:paraId="181D271A" w14:textId="77777777" w:rsidR="00977CE6" w:rsidRDefault="00977CE6" w:rsidP="00977CE6">
      <w:pPr>
        <w:ind w:left="705" w:right="750"/>
        <w:jc w:val="both"/>
        <w:rPr>
          <w:rFonts w:ascii="Arial" w:eastAsia="Calibri" w:hAnsi="Arial" w:cs="Arial"/>
          <w:color w:val="000000" w:themeColor="text1"/>
          <w:sz w:val="21"/>
          <w:szCs w:val="21"/>
          <w:lang w:val="es-ES"/>
        </w:rPr>
      </w:pPr>
    </w:p>
    <w:p w14:paraId="3171BFA7" w14:textId="77777777" w:rsidR="00977CE6" w:rsidRDefault="00977CE6" w:rsidP="00977CE6">
      <w:pPr>
        <w:spacing w:line="276" w:lineRule="auto"/>
        <w:ind w:right="106" w:firstLine="705"/>
        <w:jc w:val="both"/>
        <w:rPr>
          <w:rFonts w:ascii="Arial" w:hAnsi="Arial" w:cs="Arial"/>
          <w:color w:val="000000" w:themeColor="text1"/>
          <w:sz w:val="22"/>
          <w:szCs w:val="22"/>
          <w:bdr w:val="none" w:sz="0" w:space="0" w:color="auto" w:frame="1"/>
          <w:shd w:val="clear" w:color="auto" w:fill="FFFFFF"/>
        </w:rPr>
      </w:pPr>
      <w:r>
        <w:rPr>
          <w:rFonts w:ascii="Arial" w:hAnsi="Arial" w:cs="Arial"/>
          <w:color w:val="000000" w:themeColor="text1"/>
          <w:sz w:val="22"/>
          <w:szCs w:val="22"/>
          <w:bdr w:val="none" w:sz="0" w:space="0" w:color="auto" w:frame="1"/>
          <w:shd w:val="clear" w:color="auto" w:fill="FFFFFF"/>
        </w:rPr>
        <w:t>A su turno, en relación con la pérdida de competencia de la Administración para liquidar el contrato unilateralmente, ante la presentación de una demanda, el Consejo de Estado, en sentencia del 1 de junio de 2020, varió la línea jurisprudencial, en el sentido de ubicar la pérdida de competencia con la presentación de la demanda, y no en la notificación del auto admisorio, como lo sostuvo reiteradamente con anterioridad . En efecto, se indicó que:</w:t>
      </w:r>
    </w:p>
    <w:p w14:paraId="73D22DC6" w14:textId="77777777" w:rsidR="00977CE6" w:rsidRDefault="00977CE6" w:rsidP="00977CE6">
      <w:pPr>
        <w:spacing w:line="276" w:lineRule="auto"/>
        <w:ind w:right="106" w:firstLine="705"/>
        <w:jc w:val="both"/>
        <w:rPr>
          <w:rFonts w:ascii="Arial" w:hAnsi="Arial" w:cs="Arial"/>
          <w:color w:val="000000" w:themeColor="text1"/>
          <w:sz w:val="22"/>
          <w:szCs w:val="22"/>
          <w:bdr w:val="none" w:sz="0" w:space="0" w:color="auto" w:frame="1"/>
          <w:shd w:val="clear" w:color="auto" w:fill="FFFFFF"/>
        </w:rPr>
      </w:pPr>
    </w:p>
    <w:p w14:paraId="61330967" w14:textId="77777777" w:rsidR="00977CE6" w:rsidRPr="003775F7" w:rsidRDefault="00977CE6" w:rsidP="00977CE6">
      <w:pPr>
        <w:ind w:left="709" w:right="758"/>
        <w:jc w:val="both"/>
        <w:rPr>
          <w:rFonts w:ascii="Arial" w:hAnsi="Arial" w:cs="Arial"/>
          <w:color w:val="000000" w:themeColor="text1"/>
          <w:sz w:val="21"/>
          <w:szCs w:val="21"/>
          <w:bdr w:val="none" w:sz="0" w:space="0" w:color="auto" w:frame="1"/>
          <w:shd w:val="clear" w:color="auto" w:fill="FFFFFF"/>
        </w:rPr>
      </w:pPr>
      <w:r w:rsidRPr="00850051">
        <w:rPr>
          <w:rFonts w:ascii="Arial" w:hAnsi="Arial" w:cs="Arial"/>
          <w:color w:val="000000" w:themeColor="text1"/>
          <w:sz w:val="21"/>
          <w:szCs w:val="21"/>
          <w:lang w:val="es-ES_tradnl"/>
        </w:rPr>
        <w:t>«</w:t>
      </w:r>
      <w:r w:rsidRPr="003775F7">
        <w:rPr>
          <w:rFonts w:ascii="Arial" w:hAnsi="Arial" w:cs="Arial"/>
          <w:color w:val="000000" w:themeColor="text1"/>
          <w:sz w:val="21"/>
          <w:szCs w:val="21"/>
          <w:bdr w:val="none" w:sz="0" w:space="0" w:color="auto" w:frame="1"/>
          <w:shd w:val="clear" w:color="auto" w:fill="FFFFFF"/>
        </w:rPr>
        <w:t xml:space="preserve">La Corporación ha señalado de manera consistente que la Administración pierde la competencia para liquidar el contrato cuando el contratista, previamente, haya instaurado la acción judicial correspondiente, fenómeno que se explica por el traslado de esa competencia a otra autoridad […] La jurisprudencia ha sostenido, a partir de lo preceptuado en el literal d) del numeral 10 del artículo 136 del CCA, </w:t>
      </w:r>
      <w:r>
        <w:rPr>
          <w:rFonts w:ascii="Arial" w:hAnsi="Arial" w:cs="Arial"/>
          <w:color w:val="000000" w:themeColor="text1"/>
          <w:sz w:val="21"/>
          <w:szCs w:val="21"/>
          <w:bdr w:val="none" w:sz="0" w:space="0" w:color="auto" w:frame="1"/>
          <w:shd w:val="clear" w:color="auto" w:fill="FFFFFF"/>
        </w:rPr>
        <w:t>[</w:t>
      </w:r>
      <w:r w:rsidRPr="003775F7">
        <w:rPr>
          <w:rFonts w:ascii="Arial" w:hAnsi="Arial" w:cs="Arial"/>
          <w:color w:val="000000" w:themeColor="text1"/>
          <w:sz w:val="21"/>
          <w:szCs w:val="21"/>
          <w:bdr w:val="none" w:sz="0" w:space="0" w:color="auto" w:frame="1"/>
          <w:shd w:val="clear" w:color="auto" w:fill="FFFFFF"/>
        </w:rPr>
        <w:t>subrogado por el artículo 44 de la ley 446 de 1998] , que la notificación del auto admisorio de la demanda que tenga por objeto la liquidación judicial del contrato es el hito que genera la pérdida de competencia de la entidad para ejercer la facultad de liquidar unilateralmente el contrato, mientras esta no lo haya liquidado unilateral o bilateralmente. […] No obstante, la Sala encuentra que el punto de partida de la pérdida de competencia que se fijó jurisprudencialmente es susceptible de ser revisado, a partir del empleo de un criterio de interpretación que resulte coherente con los efectos procesales que el legislador fijó la presentación de la demanda. […] [L]a demanda produce numerosos e importantes efectos jurídicos materiales que equivalen, en general, a un reforzamiento o intensificación, desde el punto de vista del actor, de una situación jurídica sustantiva.  Este reforzamiento se produce creando consecuencias que originalmente no existían, como la constitución en mora, o conservando consecuencias que existían, pero estaban en trance de desaparecer. La consecuencia típica de conservación es la que produce la presentación de la demanda, al interrumpir la prescripción. Al efecto, el Artículo 90 del Código de Procedimiento Civil, modificado por el decreto 2282 de 1989, aplicable a la presente controversia, […] Frente al vacío que se pretende colmar se hace necesario un ejercicio de integración normativa que esté mas</w:t>
      </w:r>
      <w:r>
        <w:rPr>
          <w:rFonts w:ascii="Arial" w:hAnsi="Arial" w:cs="Arial"/>
          <w:color w:val="000000" w:themeColor="text1"/>
          <w:sz w:val="21"/>
          <w:szCs w:val="21"/>
          <w:bdr w:val="none" w:sz="0" w:space="0" w:color="auto" w:frame="1"/>
          <w:shd w:val="clear" w:color="auto" w:fill="FFFFFF"/>
        </w:rPr>
        <w:t xml:space="preserve"> (sic)</w:t>
      </w:r>
      <w:r w:rsidRPr="003775F7">
        <w:rPr>
          <w:rFonts w:ascii="Arial" w:hAnsi="Arial" w:cs="Arial"/>
          <w:color w:val="000000" w:themeColor="text1"/>
          <w:sz w:val="21"/>
          <w:szCs w:val="21"/>
          <w:bdr w:val="none" w:sz="0" w:space="0" w:color="auto" w:frame="1"/>
          <w:shd w:val="clear" w:color="auto" w:fill="FFFFFF"/>
        </w:rPr>
        <w:t xml:space="preserve"> acorde con los efectos que la legislación procesal le atribuye a la presentación de la demanda, y que no están condicionados a su notificación. Desde este enfoque, la Sala declarará que la Administración perdió competencia para liquidar el contrato en forma unilateral, a partir de la fecha en que se presentó la demanda que pretendió su liquidación judicial</w:t>
      </w:r>
      <w:r>
        <w:rPr>
          <w:rFonts w:ascii="Arial" w:hAnsi="Arial" w:cs="Arial"/>
          <w:color w:val="000000" w:themeColor="text1"/>
          <w:sz w:val="21"/>
          <w:szCs w:val="21"/>
          <w:bdr w:val="none" w:sz="0" w:space="0" w:color="auto" w:frame="1"/>
          <w:shd w:val="clear" w:color="auto" w:fill="FFFFFF"/>
        </w:rPr>
        <w:t>.</w:t>
      </w:r>
      <w:r w:rsidRPr="00850051">
        <w:rPr>
          <w:rFonts w:ascii="Arial" w:hAnsi="Arial" w:cs="Arial"/>
          <w:color w:val="000000" w:themeColor="text1"/>
          <w:sz w:val="21"/>
          <w:szCs w:val="21"/>
          <w:lang w:val="es-ES_tradnl"/>
        </w:rPr>
        <w:t>»</w:t>
      </w:r>
    </w:p>
    <w:p w14:paraId="7DFC93A6" w14:textId="77777777" w:rsidR="00977CE6" w:rsidRDefault="00977CE6" w:rsidP="00977CE6">
      <w:pPr>
        <w:spacing w:line="276" w:lineRule="auto"/>
        <w:ind w:right="106" w:firstLine="705"/>
        <w:jc w:val="both"/>
        <w:rPr>
          <w:rFonts w:ascii="Arial" w:hAnsi="Arial" w:cs="Arial"/>
          <w:color w:val="000000" w:themeColor="text1"/>
          <w:sz w:val="22"/>
          <w:szCs w:val="22"/>
          <w:bdr w:val="none" w:sz="0" w:space="0" w:color="auto" w:frame="1"/>
          <w:shd w:val="clear" w:color="auto" w:fill="FFFFFF"/>
        </w:rPr>
      </w:pPr>
    </w:p>
    <w:p w14:paraId="5DB94256" w14:textId="77777777" w:rsidR="00977CE6" w:rsidRPr="00F666B7" w:rsidRDefault="00977CE6" w:rsidP="00977CE6">
      <w:pPr>
        <w:spacing w:line="276" w:lineRule="auto"/>
        <w:ind w:right="106" w:firstLine="705"/>
        <w:jc w:val="both"/>
        <w:rPr>
          <w:rFonts w:ascii="Arial" w:hAnsi="Arial" w:cs="Arial"/>
          <w:color w:val="000000" w:themeColor="text1"/>
          <w:sz w:val="22"/>
          <w:szCs w:val="22"/>
        </w:rPr>
      </w:pPr>
      <w:r>
        <w:rPr>
          <w:rFonts w:ascii="Arial" w:hAnsi="Arial" w:cs="Arial"/>
          <w:color w:val="000000" w:themeColor="text1"/>
          <w:sz w:val="22"/>
          <w:szCs w:val="22"/>
          <w:bdr w:val="none" w:sz="0" w:space="0" w:color="auto" w:frame="1"/>
          <w:shd w:val="clear" w:color="auto" w:fill="FFFFFF"/>
        </w:rPr>
        <w:t>En armonía con lo anterior, s</w:t>
      </w:r>
      <w:r w:rsidRPr="00F666B7">
        <w:rPr>
          <w:rFonts w:ascii="Arial" w:hAnsi="Arial" w:cs="Arial"/>
          <w:color w:val="000000" w:themeColor="text1"/>
          <w:sz w:val="22"/>
          <w:szCs w:val="22"/>
          <w:bdr w:val="none" w:sz="0" w:space="0" w:color="auto" w:frame="1"/>
          <w:shd w:val="clear" w:color="auto" w:fill="FFFFFF"/>
        </w:rPr>
        <w:t>e podrá, entonces, interponer una demanda ante la jurisdicción de lo contencioso administrativo solicitando la liquidación judicial del contrato mediante el medio de control de controversias contractuales</w:t>
      </w:r>
      <w:r>
        <w:rPr>
          <w:rFonts w:ascii="Arial" w:hAnsi="Arial" w:cs="Arial"/>
          <w:color w:val="000000" w:themeColor="text1"/>
          <w:sz w:val="22"/>
          <w:szCs w:val="22"/>
          <w:bdr w:val="none" w:sz="0" w:space="0" w:color="auto" w:frame="1"/>
          <w:shd w:val="clear" w:color="auto" w:fill="FFFFFF"/>
        </w:rPr>
        <w:t>,</w:t>
      </w:r>
      <w:r w:rsidRPr="00F666B7">
        <w:rPr>
          <w:rFonts w:ascii="Arial" w:hAnsi="Arial" w:cs="Arial"/>
          <w:color w:val="000000" w:themeColor="text1"/>
          <w:sz w:val="22"/>
          <w:szCs w:val="22"/>
          <w:bdr w:val="none" w:sz="0" w:space="0" w:color="auto" w:frame="1"/>
          <w:shd w:val="clear" w:color="auto" w:fill="FFFFFF"/>
        </w:rPr>
        <w:t xml:space="preserve"> en los términos del artículo 141 del Código de Procedimiento Administrativo y de lo Contencioso Administrativo</w:t>
      </w:r>
      <w:r>
        <w:rPr>
          <w:rFonts w:ascii="Arial" w:hAnsi="Arial" w:cs="Arial"/>
          <w:color w:val="000000" w:themeColor="text1"/>
          <w:sz w:val="22"/>
          <w:szCs w:val="22"/>
          <w:bdr w:val="none" w:sz="0" w:space="0" w:color="auto" w:frame="1"/>
          <w:shd w:val="clear" w:color="auto" w:fill="FFFFFF"/>
        </w:rPr>
        <w:t xml:space="preserve"> –CPACA–</w:t>
      </w:r>
      <w:r w:rsidRPr="00F666B7">
        <w:rPr>
          <w:rFonts w:ascii="Arial" w:hAnsi="Arial" w:cs="Arial"/>
          <w:color w:val="000000" w:themeColor="text1"/>
          <w:sz w:val="22"/>
          <w:szCs w:val="22"/>
          <w:bdr w:val="none" w:sz="0" w:space="0" w:color="auto" w:frame="1"/>
          <w:shd w:val="clear" w:color="auto" w:fill="FFFFFF"/>
        </w:rPr>
        <w:t>. La demanda debe ser presentada dentro del término que establece el artículo 164</w:t>
      </w:r>
      <w:r>
        <w:rPr>
          <w:rFonts w:ascii="Arial" w:hAnsi="Arial" w:cs="Arial"/>
          <w:color w:val="000000" w:themeColor="text1"/>
          <w:sz w:val="22"/>
          <w:szCs w:val="22"/>
          <w:bdr w:val="none" w:sz="0" w:space="0" w:color="auto" w:frame="1"/>
          <w:shd w:val="clear" w:color="auto" w:fill="FFFFFF"/>
        </w:rPr>
        <w:t xml:space="preserve"> </w:t>
      </w:r>
      <w:r w:rsidRPr="00F666B7">
        <w:rPr>
          <w:rFonts w:ascii="Arial" w:hAnsi="Arial" w:cs="Arial"/>
          <w:color w:val="000000" w:themeColor="text1"/>
          <w:sz w:val="22"/>
          <w:szCs w:val="22"/>
          <w:bdr w:val="none" w:sz="0" w:space="0" w:color="auto" w:frame="1"/>
          <w:shd w:val="clear" w:color="auto" w:fill="FFFFFF"/>
        </w:rPr>
        <w:t xml:space="preserve">del </w:t>
      </w:r>
      <w:r>
        <w:rPr>
          <w:rFonts w:ascii="Arial" w:hAnsi="Arial" w:cs="Arial"/>
          <w:color w:val="000000" w:themeColor="text1"/>
          <w:sz w:val="22"/>
          <w:szCs w:val="22"/>
          <w:bdr w:val="none" w:sz="0" w:space="0" w:color="auto" w:frame="1"/>
          <w:shd w:val="clear" w:color="auto" w:fill="FFFFFF"/>
        </w:rPr>
        <w:t>CPACA</w:t>
      </w:r>
      <w:r w:rsidRPr="00F666B7">
        <w:rPr>
          <w:rFonts w:ascii="Arial" w:hAnsi="Arial" w:cs="Arial"/>
          <w:color w:val="000000" w:themeColor="text1"/>
          <w:sz w:val="22"/>
          <w:szCs w:val="22"/>
          <w:bdr w:val="none" w:sz="0" w:space="0" w:color="auto" w:frame="1"/>
          <w:shd w:val="clear" w:color="auto" w:fill="FFFFFF"/>
        </w:rPr>
        <w:t xml:space="preserve">, pues de lo contrario operará el fenómeno de la caducidad, por </w:t>
      </w:r>
      <w:r>
        <w:rPr>
          <w:rFonts w:ascii="Arial" w:hAnsi="Arial" w:cs="Arial"/>
          <w:color w:val="000000" w:themeColor="text1"/>
          <w:sz w:val="22"/>
          <w:szCs w:val="22"/>
          <w:bdr w:val="none" w:sz="0" w:space="0" w:color="auto" w:frame="1"/>
          <w:shd w:val="clear" w:color="auto" w:fill="FFFFFF"/>
        </w:rPr>
        <w:t>lo</w:t>
      </w:r>
      <w:r w:rsidRPr="00F666B7">
        <w:rPr>
          <w:rFonts w:ascii="Arial" w:hAnsi="Arial" w:cs="Arial"/>
          <w:color w:val="000000" w:themeColor="text1"/>
          <w:sz w:val="22"/>
          <w:szCs w:val="22"/>
          <w:bdr w:val="none" w:sz="0" w:space="0" w:color="auto" w:frame="1"/>
          <w:shd w:val="clear" w:color="auto" w:fill="FFFFFF"/>
        </w:rPr>
        <w:t xml:space="preserve"> cual no ser</w:t>
      </w:r>
      <w:r>
        <w:rPr>
          <w:rFonts w:ascii="Arial" w:hAnsi="Arial" w:cs="Arial"/>
          <w:color w:val="000000" w:themeColor="text1"/>
          <w:sz w:val="22"/>
          <w:szCs w:val="22"/>
          <w:bdr w:val="none" w:sz="0" w:space="0" w:color="auto" w:frame="1"/>
          <w:shd w:val="clear" w:color="auto" w:fill="FFFFFF"/>
        </w:rPr>
        <w:t>ía</w:t>
      </w:r>
      <w:r w:rsidRPr="00F666B7">
        <w:rPr>
          <w:rFonts w:ascii="Arial" w:hAnsi="Arial" w:cs="Arial"/>
          <w:color w:val="000000" w:themeColor="text1"/>
          <w:sz w:val="22"/>
          <w:szCs w:val="22"/>
          <w:bdr w:val="none" w:sz="0" w:space="0" w:color="auto" w:frame="1"/>
          <w:shd w:val="clear" w:color="auto" w:fill="FFFFFF"/>
        </w:rPr>
        <w:t xml:space="preserve"> posible realizar la liquidación del contrato por ningún medio. </w:t>
      </w:r>
    </w:p>
    <w:p w14:paraId="2732C0F9" w14:textId="77777777" w:rsidR="00977CE6" w:rsidRPr="00F666B7" w:rsidRDefault="00977CE6" w:rsidP="00977CE6">
      <w:pPr>
        <w:spacing w:before="120" w:line="276" w:lineRule="auto"/>
        <w:ind w:right="110" w:firstLine="705"/>
        <w:jc w:val="both"/>
        <w:rPr>
          <w:rFonts w:ascii="Arial" w:hAnsi="Arial" w:cs="Arial"/>
          <w:color w:val="000000" w:themeColor="text1"/>
          <w:sz w:val="22"/>
          <w:szCs w:val="22"/>
        </w:rPr>
      </w:pPr>
      <w:r w:rsidRPr="00F666B7">
        <w:rPr>
          <w:rFonts w:ascii="Arial" w:hAnsi="Arial" w:cs="Arial"/>
          <w:color w:val="000000" w:themeColor="text1"/>
          <w:sz w:val="22"/>
          <w:szCs w:val="22"/>
          <w:bdr w:val="none" w:sz="0" w:space="0" w:color="auto" w:frame="1"/>
          <w:shd w:val="clear" w:color="auto" w:fill="FFFFFF"/>
        </w:rPr>
        <w:t>En este punto, vale la pena aclarar que en relación con el t</w:t>
      </w:r>
      <w:r>
        <w:rPr>
          <w:rFonts w:ascii="Arial" w:hAnsi="Arial" w:cs="Arial"/>
          <w:color w:val="000000" w:themeColor="text1"/>
          <w:sz w:val="22"/>
          <w:szCs w:val="22"/>
          <w:bdr w:val="none" w:sz="0" w:space="0" w:color="auto" w:frame="1"/>
          <w:shd w:val="clear" w:color="auto" w:fill="FFFFFF"/>
        </w:rPr>
        <w:t>é</w:t>
      </w:r>
      <w:r w:rsidRPr="00F666B7">
        <w:rPr>
          <w:rFonts w:ascii="Arial" w:hAnsi="Arial" w:cs="Arial"/>
          <w:color w:val="000000" w:themeColor="text1"/>
          <w:sz w:val="22"/>
          <w:szCs w:val="22"/>
          <w:bdr w:val="none" w:sz="0" w:space="0" w:color="auto" w:frame="1"/>
          <w:shd w:val="clear" w:color="auto" w:fill="FFFFFF"/>
        </w:rPr>
        <w:t xml:space="preserve">rmino de caducidad para demandar en aquellos contratos </w:t>
      </w:r>
      <w:r>
        <w:rPr>
          <w:rFonts w:ascii="Arial" w:hAnsi="Arial" w:cs="Arial"/>
          <w:color w:val="000000" w:themeColor="text1"/>
          <w:sz w:val="22"/>
          <w:szCs w:val="22"/>
          <w:bdr w:val="none" w:sz="0" w:space="0" w:color="auto" w:frame="1"/>
          <w:shd w:val="clear" w:color="auto" w:fill="FFFFFF"/>
        </w:rPr>
        <w:t xml:space="preserve">que </w:t>
      </w:r>
      <w:r w:rsidRPr="00F666B7">
        <w:rPr>
          <w:rFonts w:ascii="Arial" w:hAnsi="Arial" w:cs="Arial"/>
          <w:color w:val="000000" w:themeColor="text1"/>
          <w:sz w:val="22"/>
          <w:szCs w:val="22"/>
          <w:bdr w:val="none" w:sz="0" w:space="0" w:color="auto" w:frame="1"/>
          <w:shd w:val="clear" w:color="auto" w:fill="FFFFFF"/>
        </w:rPr>
        <w:t xml:space="preserve">requieran liquidación, la jurisprudencia unificada </w:t>
      </w:r>
      <w:r w:rsidRPr="00F666B7">
        <w:rPr>
          <w:rFonts w:ascii="Arial" w:hAnsi="Arial" w:cs="Arial"/>
          <w:color w:val="000000" w:themeColor="text1"/>
          <w:sz w:val="22"/>
          <w:szCs w:val="22"/>
          <w:bdr w:val="none" w:sz="0" w:space="0" w:color="auto" w:frame="1"/>
          <w:shd w:val="clear" w:color="auto" w:fill="FFFFFF"/>
        </w:rPr>
        <w:lastRenderedPageBreak/>
        <w:t>del Consejo de Estado</w:t>
      </w:r>
      <w:r>
        <w:rPr>
          <w:rStyle w:val="Refdenotaalpie"/>
          <w:rFonts w:ascii="Arial" w:hAnsi="Arial" w:cs="Arial"/>
          <w:color w:val="000000" w:themeColor="text1"/>
          <w:sz w:val="22"/>
          <w:szCs w:val="22"/>
          <w:bdr w:val="none" w:sz="0" w:space="0" w:color="auto" w:frame="1"/>
          <w:shd w:val="clear" w:color="auto" w:fill="FFFFFF"/>
        </w:rPr>
        <w:footnoteReference w:id="13"/>
      </w:r>
      <w:r w:rsidRPr="00F666B7">
        <w:rPr>
          <w:rFonts w:ascii="Arial" w:hAnsi="Arial" w:cs="Arial"/>
          <w:color w:val="000000" w:themeColor="text1"/>
          <w:sz w:val="22"/>
          <w:szCs w:val="22"/>
          <w:bdr w:val="none" w:sz="0" w:space="0" w:color="auto" w:frame="1"/>
          <w:shd w:val="clear" w:color="auto" w:fill="FFFFFF"/>
        </w:rPr>
        <w:t xml:space="preserve"> ha determinado que, en virtud del artículo 164 de la Ley 1437 de 2011, la regla general es que los dos años comiencen a correr a partir de la fecha de expedición del acta de liquidación, bien sea unilateral o de mutuo acuerdo, y solo en caso</w:t>
      </w:r>
      <w:r>
        <w:rPr>
          <w:rFonts w:ascii="Arial" w:hAnsi="Arial" w:cs="Arial"/>
          <w:color w:val="000000" w:themeColor="text1"/>
          <w:sz w:val="22"/>
          <w:szCs w:val="22"/>
          <w:bdr w:val="none" w:sz="0" w:space="0" w:color="auto" w:frame="1"/>
          <w:shd w:val="clear" w:color="auto" w:fill="FFFFFF"/>
        </w:rPr>
        <w:t xml:space="preserve"> de</w:t>
      </w:r>
      <w:r w:rsidRPr="00F666B7">
        <w:rPr>
          <w:rFonts w:ascii="Arial" w:hAnsi="Arial" w:cs="Arial"/>
          <w:color w:val="000000" w:themeColor="text1"/>
          <w:sz w:val="22"/>
          <w:szCs w:val="22"/>
          <w:bdr w:val="none" w:sz="0" w:space="0" w:color="auto" w:frame="1"/>
          <w:shd w:val="clear" w:color="auto" w:fill="FFFFFF"/>
        </w:rPr>
        <w:t xml:space="preserve"> que no exista liquidación de ningún tipo, el t</w:t>
      </w:r>
      <w:r>
        <w:rPr>
          <w:rFonts w:ascii="Arial" w:hAnsi="Arial" w:cs="Arial"/>
          <w:color w:val="000000" w:themeColor="text1"/>
          <w:sz w:val="22"/>
          <w:szCs w:val="22"/>
          <w:bdr w:val="none" w:sz="0" w:space="0" w:color="auto" w:frame="1"/>
          <w:shd w:val="clear" w:color="auto" w:fill="FFFFFF"/>
        </w:rPr>
        <w:t>é</w:t>
      </w:r>
      <w:r w:rsidRPr="00F666B7">
        <w:rPr>
          <w:rFonts w:ascii="Arial" w:hAnsi="Arial" w:cs="Arial"/>
          <w:color w:val="000000" w:themeColor="text1"/>
          <w:sz w:val="22"/>
          <w:szCs w:val="22"/>
          <w:bdr w:val="none" w:sz="0" w:space="0" w:color="auto" w:frame="1"/>
          <w:shd w:val="clear" w:color="auto" w:fill="FFFFFF"/>
        </w:rPr>
        <w:t xml:space="preserve">rmino de dos años comienza a contar a partir de </w:t>
      </w:r>
      <w:r>
        <w:rPr>
          <w:rFonts w:ascii="Arial" w:hAnsi="Arial" w:cs="Arial"/>
          <w:color w:val="000000" w:themeColor="text1"/>
          <w:sz w:val="22"/>
          <w:szCs w:val="22"/>
          <w:bdr w:val="none" w:sz="0" w:space="0" w:color="auto" w:frame="1"/>
          <w:shd w:val="clear" w:color="auto" w:fill="FFFFFF"/>
        </w:rPr>
        <w:t>la suma de los</w:t>
      </w:r>
      <w:r w:rsidRPr="00F666B7">
        <w:rPr>
          <w:rFonts w:ascii="Arial" w:hAnsi="Arial" w:cs="Arial"/>
          <w:color w:val="000000" w:themeColor="text1"/>
          <w:sz w:val="22"/>
          <w:szCs w:val="22"/>
          <w:bdr w:val="none" w:sz="0" w:space="0" w:color="auto" w:frame="1"/>
          <w:shd w:val="clear" w:color="auto" w:fill="FFFFFF"/>
        </w:rPr>
        <w:t xml:space="preserve"> seis meses </w:t>
      </w:r>
      <w:r>
        <w:rPr>
          <w:rFonts w:ascii="Arial" w:hAnsi="Arial" w:cs="Arial"/>
          <w:color w:val="000000" w:themeColor="text1"/>
          <w:sz w:val="22"/>
          <w:szCs w:val="22"/>
          <w:bdr w:val="none" w:sz="0" w:space="0" w:color="auto" w:frame="1"/>
          <w:shd w:val="clear" w:color="auto" w:fill="FFFFFF"/>
        </w:rPr>
        <w:t xml:space="preserve">–partiendo del supuesto de que el plazo para la liquidación bilateral sea de 4 meses– </w:t>
      </w:r>
      <w:r w:rsidRPr="00F666B7">
        <w:rPr>
          <w:rFonts w:ascii="Arial" w:hAnsi="Arial" w:cs="Arial"/>
          <w:color w:val="000000" w:themeColor="text1"/>
          <w:sz w:val="22"/>
          <w:szCs w:val="22"/>
          <w:bdr w:val="none" w:sz="0" w:space="0" w:color="auto" w:frame="1"/>
          <w:shd w:val="clear" w:color="auto" w:fill="FFFFFF"/>
        </w:rPr>
        <w:t xml:space="preserve">que </w:t>
      </w:r>
      <w:r>
        <w:rPr>
          <w:rFonts w:ascii="Arial" w:hAnsi="Arial" w:cs="Arial"/>
          <w:color w:val="000000" w:themeColor="text1"/>
          <w:sz w:val="22"/>
          <w:szCs w:val="22"/>
          <w:bdr w:val="none" w:sz="0" w:space="0" w:color="auto" w:frame="1"/>
          <w:shd w:val="clear" w:color="auto" w:fill="FFFFFF"/>
        </w:rPr>
        <w:t>trata</w:t>
      </w:r>
      <w:r w:rsidRPr="00F666B7">
        <w:rPr>
          <w:rFonts w:ascii="Arial" w:hAnsi="Arial" w:cs="Arial"/>
          <w:color w:val="000000" w:themeColor="text1"/>
          <w:sz w:val="22"/>
          <w:szCs w:val="22"/>
          <w:bdr w:val="none" w:sz="0" w:space="0" w:color="auto" w:frame="1"/>
          <w:shd w:val="clear" w:color="auto" w:fill="FFFFFF"/>
        </w:rPr>
        <w:t xml:space="preserve"> e</w:t>
      </w:r>
      <w:r>
        <w:rPr>
          <w:rFonts w:ascii="Arial" w:hAnsi="Arial" w:cs="Arial"/>
          <w:color w:val="000000" w:themeColor="text1"/>
          <w:sz w:val="22"/>
          <w:szCs w:val="22"/>
          <w:bdr w:val="none" w:sz="0" w:space="0" w:color="auto" w:frame="1"/>
          <w:shd w:val="clear" w:color="auto" w:fill="FFFFFF"/>
        </w:rPr>
        <w:t>l</w:t>
      </w:r>
      <w:r w:rsidRPr="00F666B7">
        <w:rPr>
          <w:rFonts w:ascii="Arial" w:hAnsi="Arial" w:cs="Arial"/>
          <w:color w:val="000000" w:themeColor="text1"/>
          <w:sz w:val="22"/>
          <w:szCs w:val="22"/>
          <w:bdr w:val="none" w:sz="0" w:space="0" w:color="auto" w:frame="1"/>
          <w:shd w:val="clear" w:color="auto" w:fill="FFFFFF"/>
        </w:rPr>
        <w:t xml:space="preserve"> art</w:t>
      </w:r>
      <w:r>
        <w:rPr>
          <w:rFonts w:ascii="Arial" w:hAnsi="Arial" w:cs="Arial"/>
          <w:color w:val="000000" w:themeColor="text1"/>
          <w:sz w:val="22"/>
          <w:szCs w:val="22"/>
          <w:bdr w:val="none" w:sz="0" w:space="0" w:color="auto" w:frame="1"/>
          <w:shd w:val="clear" w:color="auto" w:fill="FFFFFF"/>
        </w:rPr>
        <w:t>í</w:t>
      </w:r>
      <w:r w:rsidRPr="00F666B7">
        <w:rPr>
          <w:rFonts w:ascii="Arial" w:hAnsi="Arial" w:cs="Arial"/>
          <w:color w:val="000000" w:themeColor="text1"/>
          <w:sz w:val="22"/>
          <w:szCs w:val="22"/>
          <w:bdr w:val="none" w:sz="0" w:space="0" w:color="auto" w:frame="1"/>
          <w:shd w:val="clear" w:color="auto" w:fill="FFFFFF"/>
        </w:rPr>
        <w:t>culo 11 de la Ley 1150 de</w:t>
      </w:r>
      <w:r w:rsidRPr="00F666B7">
        <w:rPr>
          <w:rFonts w:ascii="Arial" w:hAnsi="Arial" w:cs="Arial"/>
          <w:color w:val="000000" w:themeColor="text1"/>
          <w:spacing w:val="-25"/>
          <w:sz w:val="22"/>
          <w:szCs w:val="22"/>
          <w:bdr w:val="none" w:sz="0" w:space="0" w:color="auto" w:frame="1"/>
          <w:shd w:val="clear" w:color="auto" w:fill="FFFFFF"/>
        </w:rPr>
        <w:t> </w:t>
      </w:r>
      <w:r w:rsidRPr="00F666B7">
        <w:rPr>
          <w:rFonts w:ascii="Arial" w:hAnsi="Arial" w:cs="Arial"/>
          <w:color w:val="000000" w:themeColor="text1"/>
          <w:sz w:val="22"/>
          <w:szCs w:val="22"/>
          <w:bdr w:val="none" w:sz="0" w:space="0" w:color="auto" w:frame="1"/>
          <w:shd w:val="clear" w:color="auto" w:fill="FFFFFF"/>
        </w:rPr>
        <w:t>2011. </w:t>
      </w:r>
    </w:p>
    <w:p w14:paraId="6121E13A" w14:textId="77777777" w:rsidR="00977CE6" w:rsidRDefault="00977CE6" w:rsidP="00977CE6">
      <w:pPr>
        <w:spacing w:before="120" w:line="276" w:lineRule="auto"/>
        <w:ind w:firstLine="705"/>
        <w:jc w:val="both"/>
        <w:rPr>
          <w:rFonts w:ascii="Arial" w:hAnsi="Arial" w:cs="Arial"/>
          <w:color w:val="000000" w:themeColor="text1"/>
          <w:sz w:val="22"/>
          <w:szCs w:val="22"/>
          <w:bdr w:val="none" w:sz="0" w:space="0" w:color="auto" w:frame="1"/>
          <w:shd w:val="clear" w:color="auto" w:fill="FFFFFF"/>
        </w:rPr>
      </w:pPr>
      <w:r w:rsidRPr="00F666B7">
        <w:rPr>
          <w:rFonts w:ascii="Arial" w:hAnsi="Arial" w:cs="Arial"/>
          <w:color w:val="000000" w:themeColor="text1"/>
          <w:sz w:val="22"/>
          <w:szCs w:val="22"/>
          <w:bdr w:val="none" w:sz="0" w:space="0" w:color="auto" w:frame="1"/>
          <w:shd w:val="clear" w:color="auto" w:fill="FFFFFF"/>
          <w:lang w:val="es-ES"/>
        </w:rPr>
        <w:t>Así las cosas, es claro que el ordenamiento jurídico permite la liquidación unilateral, bilateral</w:t>
      </w:r>
      <w:r>
        <w:rPr>
          <w:rFonts w:ascii="Arial" w:hAnsi="Arial" w:cs="Arial"/>
          <w:color w:val="000000" w:themeColor="text1"/>
          <w:sz w:val="22"/>
          <w:szCs w:val="22"/>
          <w:bdr w:val="none" w:sz="0" w:space="0" w:color="auto" w:frame="1"/>
          <w:shd w:val="clear" w:color="auto" w:fill="FFFFFF"/>
          <w:lang w:val="es-ES"/>
        </w:rPr>
        <w:t xml:space="preserve"> e</w:t>
      </w:r>
      <w:r w:rsidRPr="00F666B7">
        <w:rPr>
          <w:rFonts w:ascii="Arial" w:hAnsi="Arial" w:cs="Arial"/>
          <w:color w:val="000000" w:themeColor="text1"/>
          <w:sz w:val="22"/>
          <w:szCs w:val="22"/>
          <w:bdr w:val="none" w:sz="0" w:space="0" w:color="auto" w:frame="1"/>
          <w:shd w:val="clear" w:color="auto" w:fill="FFFFFF"/>
          <w:lang w:val="es-ES"/>
        </w:rPr>
        <w:t xml:space="preserve"> incluso judicial una vez vencido el plazo establecido por el artículo 11 de la Ley 1150 de 2007. En otras palabras, la </w:t>
      </w:r>
      <w:r>
        <w:rPr>
          <w:rFonts w:ascii="Arial" w:hAnsi="Arial" w:cs="Arial"/>
          <w:color w:val="000000" w:themeColor="text1"/>
          <w:sz w:val="22"/>
          <w:szCs w:val="22"/>
          <w:bdr w:val="none" w:sz="0" w:space="0" w:color="auto" w:frame="1"/>
          <w:shd w:val="clear" w:color="auto" w:fill="FFFFFF"/>
          <w:lang w:val="es-ES"/>
        </w:rPr>
        <w:t>liquidación final de</w:t>
      </w:r>
      <w:r w:rsidRPr="00F666B7">
        <w:rPr>
          <w:rFonts w:ascii="Arial" w:hAnsi="Arial" w:cs="Arial"/>
          <w:color w:val="000000" w:themeColor="text1"/>
          <w:sz w:val="22"/>
          <w:szCs w:val="22"/>
          <w:bdr w:val="none" w:sz="0" w:space="0" w:color="auto" w:frame="1"/>
          <w:shd w:val="clear" w:color="auto" w:fill="FFFFFF"/>
          <w:lang w:val="es-ES"/>
        </w:rPr>
        <w:t xml:space="preserve"> los contratos</w:t>
      </w:r>
      <w:r>
        <w:rPr>
          <w:rFonts w:ascii="Arial" w:hAnsi="Arial" w:cs="Arial"/>
          <w:color w:val="000000" w:themeColor="text1"/>
          <w:sz w:val="22"/>
          <w:szCs w:val="22"/>
          <w:bdr w:val="none" w:sz="0" w:space="0" w:color="auto" w:frame="1"/>
          <w:shd w:val="clear" w:color="auto" w:fill="FFFFFF"/>
          <w:lang w:val="es-ES"/>
        </w:rPr>
        <w:t xml:space="preserve"> estatales</w:t>
      </w:r>
      <w:r w:rsidRPr="00F666B7">
        <w:rPr>
          <w:rFonts w:ascii="Arial" w:hAnsi="Arial" w:cs="Arial"/>
          <w:color w:val="000000" w:themeColor="text1"/>
          <w:sz w:val="22"/>
          <w:szCs w:val="22"/>
          <w:bdr w:val="none" w:sz="0" w:space="0" w:color="auto" w:frame="1"/>
          <w:shd w:val="clear" w:color="auto" w:fill="FFFFFF"/>
          <w:lang w:val="es-ES"/>
        </w:rPr>
        <w:t xml:space="preserve"> tiene un </w:t>
      </w:r>
      <w:r>
        <w:rPr>
          <w:rFonts w:ascii="Arial" w:hAnsi="Arial" w:cs="Arial"/>
          <w:color w:val="000000" w:themeColor="text1"/>
          <w:sz w:val="22"/>
          <w:szCs w:val="22"/>
          <w:bdr w:val="none" w:sz="0" w:space="0" w:color="auto" w:frame="1"/>
          <w:shd w:val="clear" w:color="auto" w:fill="FFFFFF"/>
          <w:lang w:val="es-ES"/>
        </w:rPr>
        <w:t>ámbito</w:t>
      </w:r>
      <w:r w:rsidRPr="00F666B7">
        <w:rPr>
          <w:rFonts w:ascii="Arial" w:hAnsi="Arial" w:cs="Arial"/>
          <w:color w:val="000000" w:themeColor="text1"/>
          <w:sz w:val="22"/>
          <w:szCs w:val="22"/>
          <w:bdr w:val="none" w:sz="0" w:space="0" w:color="auto" w:frame="1"/>
          <w:shd w:val="clear" w:color="auto" w:fill="FFFFFF"/>
          <w:lang w:val="es-ES"/>
        </w:rPr>
        <w:t xml:space="preserve"> temporal que empieza con la terminación del contrato y comprende el período contractual pactado por las partes o supletivo</w:t>
      </w:r>
      <w:r>
        <w:rPr>
          <w:rFonts w:ascii="Arial" w:hAnsi="Arial" w:cs="Arial"/>
          <w:color w:val="000000" w:themeColor="text1"/>
          <w:sz w:val="22"/>
          <w:szCs w:val="22"/>
          <w:bdr w:val="none" w:sz="0" w:space="0" w:color="auto" w:frame="1"/>
          <w:shd w:val="clear" w:color="auto" w:fill="FFFFFF"/>
          <w:lang w:val="es-ES"/>
        </w:rPr>
        <w:t xml:space="preserve"> legal </w:t>
      </w:r>
      <w:r w:rsidRPr="00F666B7">
        <w:rPr>
          <w:rFonts w:ascii="Arial" w:hAnsi="Arial" w:cs="Arial"/>
          <w:color w:val="000000" w:themeColor="text1"/>
          <w:sz w:val="22"/>
          <w:szCs w:val="22"/>
          <w:bdr w:val="none" w:sz="0" w:space="0" w:color="auto" w:frame="1"/>
          <w:shd w:val="clear" w:color="auto" w:fill="FFFFFF"/>
          <w:lang w:val="es-ES"/>
        </w:rPr>
        <w:t>–de 4 meses– para la liquidación bilateral, más el período legal para la liquidación unilateral –de 2 meses–, más el plazo </w:t>
      </w:r>
      <w:r>
        <w:rPr>
          <w:rFonts w:ascii="Arial" w:hAnsi="Arial" w:cs="Arial"/>
          <w:color w:val="000000" w:themeColor="text1"/>
          <w:sz w:val="22"/>
          <w:szCs w:val="22"/>
          <w:bdr w:val="none" w:sz="0" w:space="0" w:color="auto" w:frame="1"/>
          <w:shd w:val="clear" w:color="auto" w:fill="FFFFFF"/>
          <w:lang w:val="es-ES"/>
        </w:rPr>
        <w:t>de dos años para hacerlo de mutuo acuerdo o unilateralmente</w:t>
      </w:r>
      <w:r w:rsidRPr="00F666B7">
        <w:rPr>
          <w:rFonts w:ascii="Arial" w:hAnsi="Arial" w:cs="Arial"/>
          <w:color w:val="000000" w:themeColor="text1"/>
          <w:sz w:val="22"/>
          <w:szCs w:val="22"/>
          <w:bdr w:val="none" w:sz="0" w:space="0" w:color="auto" w:frame="1"/>
          <w:shd w:val="clear" w:color="auto" w:fill="FFFFFF"/>
          <w:lang w:val="es-ES"/>
        </w:rPr>
        <w:t xml:space="preserve">, </w:t>
      </w:r>
      <w:r>
        <w:rPr>
          <w:rFonts w:ascii="Arial" w:hAnsi="Arial" w:cs="Arial"/>
          <w:color w:val="000000" w:themeColor="text1"/>
          <w:sz w:val="22"/>
          <w:szCs w:val="22"/>
          <w:bdr w:val="none" w:sz="0" w:space="0" w:color="auto" w:frame="1"/>
          <w:shd w:val="clear" w:color="auto" w:fill="FFFFFF"/>
          <w:lang w:val="es-ES"/>
        </w:rPr>
        <w:t>sin perjuicio de que se solicite la liquidación judicial</w:t>
      </w:r>
      <w:r w:rsidRPr="00F666B7">
        <w:rPr>
          <w:rFonts w:ascii="Arial" w:hAnsi="Arial" w:cs="Arial"/>
          <w:color w:val="000000" w:themeColor="text1"/>
          <w:sz w:val="22"/>
          <w:szCs w:val="22"/>
          <w:bdr w:val="none" w:sz="0" w:space="0" w:color="auto" w:frame="1"/>
          <w:shd w:val="clear" w:color="auto" w:fill="FFFFFF"/>
          <w:lang w:val="es-ES"/>
        </w:rPr>
        <w:t>.</w:t>
      </w:r>
      <w:r w:rsidRPr="00F666B7">
        <w:rPr>
          <w:rFonts w:ascii="Arial" w:hAnsi="Arial" w:cs="Arial"/>
          <w:color w:val="000000" w:themeColor="text1"/>
          <w:sz w:val="22"/>
          <w:szCs w:val="22"/>
          <w:bdr w:val="none" w:sz="0" w:space="0" w:color="auto" w:frame="1"/>
          <w:shd w:val="clear" w:color="auto" w:fill="FFFFFF"/>
        </w:rPr>
        <w:t> </w:t>
      </w:r>
    </w:p>
    <w:p w14:paraId="6BCA66ED" w14:textId="77777777" w:rsidR="00977CE6" w:rsidRPr="00CB617B" w:rsidRDefault="00977CE6" w:rsidP="00977CE6">
      <w:pPr>
        <w:spacing w:line="276" w:lineRule="auto"/>
        <w:ind w:firstLine="705"/>
        <w:jc w:val="both"/>
        <w:rPr>
          <w:rFonts w:ascii="Arial" w:hAnsi="Arial" w:cs="Arial"/>
          <w:color w:val="000000" w:themeColor="text1"/>
          <w:sz w:val="22"/>
          <w:szCs w:val="22"/>
          <w:bdr w:val="none" w:sz="0" w:space="0" w:color="auto" w:frame="1"/>
          <w:shd w:val="clear" w:color="auto" w:fill="FFFFFF"/>
        </w:rPr>
      </w:pPr>
    </w:p>
    <w:p w14:paraId="4EDB91C6" w14:textId="77777777" w:rsidR="00977CE6" w:rsidRDefault="00977CE6" w:rsidP="00977CE6">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064944">
        <w:rPr>
          <w:rFonts w:ascii="Arial" w:hAnsi="Arial" w:cs="Arial"/>
          <w:b/>
          <w:bCs/>
          <w:color w:val="000000" w:themeColor="text1"/>
          <w:sz w:val="22"/>
          <w:lang w:val="es-CO"/>
        </w:rPr>
        <w:t>Respuesta</w:t>
      </w:r>
    </w:p>
    <w:p w14:paraId="5874468C" w14:textId="77777777" w:rsidR="00977CE6" w:rsidRPr="002433E2" w:rsidRDefault="00977CE6" w:rsidP="00977CE6">
      <w:pPr>
        <w:pStyle w:val="Prrafodelista"/>
        <w:tabs>
          <w:tab w:val="left" w:pos="284"/>
        </w:tabs>
        <w:spacing w:line="276" w:lineRule="auto"/>
        <w:ind w:left="0"/>
        <w:rPr>
          <w:rFonts w:ascii="Arial" w:hAnsi="Arial" w:cs="Arial"/>
          <w:b/>
          <w:bCs/>
          <w:color w:val="000000" w:themeColor="text1"/>
          <w:sz w:val="22"/>
          <w:lang w:val="es-CO"/>
        </w:rPr>
      </w:pPr>
    </w:p>
    <w:p w14:paraId="7FC35F18" w14:textId="77777777" w:rsidR="00977CE6" w:rsidRDefault="00977CE6" w:rsidP="00977CE6">
      <w:pPr>
        <w:pStyle w:val="NormalWeb"/>
        <w:numPr>
          <w:ilvl w:val="0"/>
          <w:numId w:val="3"/>
        </w:numPr>
        <w:spacing w:before="0" w:beforeAutospacing="0" w:after="0" w:afterAutospacing="0"/>
        <w:ind w:right="709"/>
        <w:contextualSpacing/>
        <w:jc w:val="both"/>
        <w:rPr>
          <w:rFonts w:ascii="Arial" w:hAnsi="Arial" w:cs="Arial"/>
          <w:color w:val="000000" w:themeColor="text1"/>
          <w:sz w:val="21"/>
          <w:szCs w:val="21"/>
        </w:rPr>
      </w:pPr>
      <w:r w:rsidRPr="008D4647">
        <w:rPr>
          <w:rStyle w:val="apple-converted-space"/>
          <w:rFonts w:ascii="Arial" w:hAnsi="Arial" w:cs="Arial"/>
          <w:color w:val="000000" w:themeColor="text1"/>
          <w:sz w:val="21"/>
          <w:szCs w:val="21"/>
        </w:rPr>
        <w:t> </w:t>
      </w: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80 de 1993 contiene causales para no liquidar un contrato estatal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05240DB0"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532DD70D" w14:textId="77777777" w:rsidR="00977CE6"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sidRPr="008D4647">
        <w:rPr>
          <w:rFonts w:ascii="Arial" w:hAnsi="Arial" w:cs="Arial"/>
          <w:color w:val="000000" w:themeColor="text1"/>
          <w:sz w:val="21"/>
          <w:szCs w:val="21"/>
        </w:rPr>
        <w:t> </w:t>
      </w:r>
      <w:r>
        <w:rPr>
          <w:rFonts w:ascii="Arial" w:hAnsi="Arial" w:cs="Arial"/>
          <w:color w:val="000000" w:themeColor="text1"/>
          <w:sz w:val="21"/>
          <w:szCs w:val="21"/>
        </w:rPr>
        <w:t>«</w:t>
      </w:r>
      <w:r w:rsidRPr="008D4647">
        <w:rPr>
          <w:rFonts w:ascii="Arial" w:hAnsi="Arial" w:cs="Arial"/>
          <w:color w:val="000000" w:themeColor="text1"/>
          <w:sz w:val="21"/>
          <w:szCs w:val="21"/>
        </w:rPr>
        <w:t> ¿La Ley 1150 de 2007 contiene causales para no liquidar un contrato estatal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209FFDD1"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34D90A93" w14:textId="77777777" w:rsidR="00977CE6"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sidRPr="008D4647">
        <w:rPr>
          <w:rFonts w:ascii="Arial" w:hAnsi="Arial" w:cs="Arial"/>
          <w:color w:val="000000" w:themeColor="text1"/>
          <w:sz w:val="21"/>
          <w:szCs w:val="21"/>
        </w:rPr>
        <w:t> </w:t>
      </w:r>
      <w:r w:rsidRPr="008D4647">
        <w:rPr>
          <w:rStyle w:val="apple-converted-space"/>
          <w:rFonts w:ascii="Arial" w:hAnsi="Arial" w:cs="Arial"/>
          <w:color w:val="000000" w:themeColor="text1"/>
          <w:sz w:val="21"/>
          <w:szCs w:val="21"/>
        </w:rPr>
        <w:t> </w:t>
      </w: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1474 de 2011 contiene causales para no liquidar un contrato estatal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05778678"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556E4DA2" w14:textId="77777777" w:rsidR="00977CE6"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1882 de 2018 contiene causales para no liquidar un contrato estatal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03A527DB"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71F6B487" w14:textId="77777777" w:rsidR="00977CE6"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¿El Decreto 1085 de 2015 contiene causales para no liquidar un contrato estatal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2078932F" w14:textId="77777777" w:rsidR="00977CE6" w:rsidRPr="00B81C07" w:rsidRDefault="00977CE6" w:rsidP="00977CE6">
      <w:pPr>
        <w:spacing w:line="276" w:lineRule="auto"/>
        <w:ind w:left="709" w:right="709"/>
        <w:jc w:val="both"/>
        <w:rPr>
          <w:rFonts w:ascii="Arial" w:eastAsia="Calibri" w:hAnsi="Arial" w:cs="Arial"/>
          <w:sz w:val="22"/>
          <w:szCs w:val="22"/>
          <w:lang w:val="es-ES"/>
        </w:rPr>
      </w:pPr>
    </w:p>
    <w:p w14:paraId="4CB33A88" w14:textId="77777777" w:rsidR="00977CE6" w:rsidRPr="006F57D2" w:rsidRDefault="00977CE6" w:rsidP="00977CE6">
      <w:pPr>
        <w:spacing w:after="120" w:line="276" w:lineRule="auto"/>
        <w:ind w:right="105"/>
        <w:jc w:val="both"/>
        <w:rPr>
          <w:rFonts w:ascii="Arial" w:hAnsi="Arial" w:cs="Arial"/>
          <w:color w:val="201F1E"/>
          <w:sz w:val="22"/>
          <w:szCs w:val="22"/>
          <w:bdr w:val="none" w:sz="0" w:space="0" w:color="auto" w:frame="1"/>
          <w:shd w:val="clear" w:color="auto" w:fill="FFFFFF"/>
        </w:rPr>
      </w:pPr>
      <w:r>
        <w:rPr>
          <w:rFonts w:ascii="Arial" w:hAnsi="Arial" w:cs="Arial"/>
          <w:color w:val="201F1E"/>
          <w:sz w:val="22"/>
          <w:szCs w:val="22"/>
          <w:bdr w:val="none" w:sz="0" w:space="0" w:color="auto" w:frame="1"/>
          <w:shd w:val="clear" w:color="auto" w:fill="FFFFFF"/>
        </w:rPr>
        <w:t>Las anteriores preguntas, por su unidad temática, se responden en conjunto. Para ello, c</w:t>
      </w:r>
      <w:r w:rsidRPr="00916949">
        <w:rPr>
          <w:rFonts w:ascii="Arial" w:hAnsi="Arial" w:cs="Arial"/>
          <w:color w:val="201F1E"/>
          <w:sz w:val="22"/>
          <w:szCs w:val="22"/>
          <w:bdr w:val="none" w:sz="0" w:space="0" w:color="auto" w:frame="1"/>
          <w:shd w:val="clear" w:color="auto" w:fill="FFFFFF"/>
        </w:rPr>
        <w:t xml:space="preserve">on base en las consideraciones anteriores, </w:t>
      </w:r>
      <w:r>
        <w:rPr>
          <w:rFonts w:ascii="Arial" w:hAnsi="Arial" w:cs="Arial"/>
          <w:color w:val="201F1E"/>
          <w:sz w:val="22"/>
          <w:szCs w:val="22"/>
          <w:bdr w:val="none" w:sz="0" w:space="0" w:color="auto" w:frame="1"/>
          <w:shd w:val="clear" w:color="auto" w:fill="FFFFFF"/>
        </w:rPr>
        <w:t xml:space="preserve">es posible afirmar que nuestro ordenamiento jurídico y, particularmente, las Leyes 80 de 1993, 1150 de 2007, 1474 de 2011 y 1882 de 208, no prevén causales que impidan la liquidación de los contratos estatales. Más bien, es posible afirmar que, según lo dispuesto en el artículo 60 de la Ley 80 de 1993 existen algunos contratos en que no es obligatorio llevar a cabo el proceso de liquidación, los cuales son los </w:t>
      </w:r>
      <w:r w:rsidRPr="009C6B45">
        <w:rPr>
          <w:rFonts w:ascii="Arial" w:hAnsi="Arial" w:cs="Arial"/>
          <w:color w:val="000000" w:themeColor="text1"/>
          <w:sz w:val="22"/>
          <w:lang w:val="es-ES_tradnl"/>
        </w:rPr>
        <w:t>contratos de prestación de servicios profesionales</w:t>
      </w:r>
      <w:r>
        <w:rPr>
          <w:rFonts w:ascii="Arial" w:hAnsi="Arial" w:cs="Arial"/>
          <w:color w:val="000000" w:themeColor="text1"/>
          <w:sz w:val="22"/>
          <w:lang w:val="es-ES_tradnl"/>
        </w:rPr>
        <w:t xml:space="preserve"> y de apoyo a la gestión, además de aquellos otros contratos que no </w:t>
      </w:r>
      <w:r w:rsidRPr="006F57D2">
        <w:rPr>
          <w:rFonts w:ascii="Arial" w:hAnsi="Arial" w:cs="Arial"/>
          <w:color w:val="201F1E"/>
          <w:sz w:val="22"/>
          <w:szCs w:val="22"/>
          <w:bdr w:val="none" w:sz="0" w:space="0" w:color="auto" w:frame="1"/>
          <w:shd w:val="clear" w:color="auto" w:fill="FFFFFF"/>
        </w:rPr>
        <w:t>sean de tracto sucesivo</w:t>
      </w:r>
      <w:r>
        <w:rPr>
          <w:rFonts w:ascii="Arial" w:hAnsi="Arial" w:cs="Arial"/>
          <w:color w:val="201F1E"/>
          <w:sz w:val="22"/>
          <w:szCs w:val="22"/>
          <w:bdr w:val="none" w:sz="0" w:space="0" w:color="auto" w:frame="1"/>
          <w:shd w:val="clear" w:color="auto" w:fill="FFFFFF"/>
        </w:rPr>
        <w:t xml:space="preserve"> y</w:t>
      </w:r>
      <w:r w:rsidRPr="006F57D2">
        <w:rPr>
          <w:rFonts w:ascii="Arial" w:hAnsi="Arial" w:cs="Arial"/>
          <w:color w:val="201F1E"/>
          <w:sz w:val="22"/>
          <w:szCs w:val="22"/>
          <w:bdr w:val="none" w:sz="0" w:space="0" w:color="auto" w:frame="1"/>
          <w:shd w:val="clear" w:color="auto" w:fill="FFFFFF"/>
        </w:rPr>
        <w:t xml:space="preserve"> aquellos cuya ejecución o cumplimiento </w:t>
      </w:r>
      <w:r>
        <w:rPr>
          <w:rFonts w:ascii="Arial" w:hAnsi="Arial" w:cs="Arial"/>
          <w:color w:val="201F1E"/>
          <w:sz w:val="22"/>
          <w:szCs w:val="22"/>
          <w:bdr w:val="none" w:sz="0" w:space="0" w:color="auto" w:frame="1"/>
          <w:shd w:val="clear" w:color="auto" w:fill="FFFFFF"/>
        </w:rPr>
        <w:t xml:space="preserve">no </w:t>
      </w:r>
      <w:r w:rsidRPr="006F57D2">
        <w:rPr>
          <w:rFonts w:ascii="Arial" w:hAnsi="Arial" w:cs="Arial"/>
          <w:color w:val="201F1E"/>
          <w:sz w:val="22"/>
          <w:szCs w:val="22"/>
          <w:bdr w:val="none" w:sz="0" w:space="0" w:color="auto" w:frame="1"/>
          <w:shd w:val="clear" w:color="auto" w:fill="FFFFFF"/>
        </w:rPr>
        <w:t>se prolongue en el tiempo</w:t>
      </w:r>
      <w:r>
        <w:rPr>
          <w:rFonts w:ascii="Arial" w:hAnsi="Arial" w:cs="Arial"/>
          <w:color w:val="201F1E"/>
          <w:sz w:val="22"/>
          <w:szCs w:val="22"/>
          <w:bdr w:val="none" w:sz="0" w:space="0" w:color="auto" w:frame="1"/>
          <w:shd w:val="clear" w:color="auto" w:fill="FFFFFF"/>
        </w:rPr>
        <w:t xml:space="preserve">. Lo anterior, sin perjuicio de que las partes opten por liquidar cualquier contrato estatal. En este sentido, se reiteran las </w:t>
      </w:r>
      <w:r>
        <w:rPr>
          <w:rFonts w:ascii="Arial" w:hAnsi="Arial" w:cs="Arial"/>
          <w:color w:val="201F1E"/>
          <w:sz w:val="22"/>
          <w:szCs w:val="22"/>
          <w:bdr w:val="none" w:sz="0" w:space="0" w:color="auto" w:frame="1"/>
          <w:shd w:val="clear" w:color="auto" w:fill="FFFFFF"/>
        </w:rPr>
        <w:lastRenderedPageBreak/>
        <w:t>explicaciones desarrolladas en las consideraciones, donde se explicó en qué contratos estatales es obligatoria la liquidación y el procedimiento para realizarla.</w:t>
      </w:r>
    </w:p>
    <w:p w14:paraId="12D93FB0" w14:textId="77777777" w:rsidR="00977CE6" w:rsidRPr="008D4647"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sidRPr="008D4647">
        <w:rPr>
          <w:rFonts w:ascii="Arial" w:hAnsi="Arial" w:cs="Arial"/>
          <w:color w:val="000000" w:themeColor="text1"/>
          <w:sz w:val="21"/>
          <w:szCs w:val="21"/>
        </w:rPr>
        <w:t>«¿La Ley 80 de 1993 obliga a la Entidad Estatal liquidar un contrato</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336CF2F8"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75B1D820" w14:textId="77777777" w:rsidR="00977CE6"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1150 de 2007 obliga a la Entidad Estatal liquidar un contrato</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42BD4121"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7178726A" w14:textId="77777777" w:rsidR="00977CE6"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1474 de 2011 obliga a la Entidad Estatal liquidar un contrato</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34CA4E23"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5024517B" w14:textId="77777777" w:rsidR="00977CE6"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1882 de 2018 obliga a la Entidad Estatal liquidar un contrato</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1C56C170"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4747B2CA" w14:textId="77777777" w:rsidR="00977CE6"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¿El Decreto 1085 de 2015 obliga a la Entidad Estatal liquidar un contrato</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24A2C5B4" w14:textId="77777777" w:rsidR="00977CE6" w:rsidRDefault="00977CE6" w:rsidP="00977CE6">
      <w:pPr>
        <w:pStyle w:val="NormalWeb"/>
        <w:spacing w:after="0" w:afterAutospacing="0"/>
        <w:ind w:right="709"/>
        <w:contextualSpacing/>
        <w:jc w:val="both"/>
        <w:rPr>
          <w:rFonts w:ascii="Arial" w:hAnsi="Arial" w:cs="Arial"/>
          <w:color w:val="000000" w:themeColor="text1"/>
          <w:sz w:val="21"/>
          <w:szCs w:val="21"/>
        </w:rPr>
      </w:pPr>
    </w:p>
    <w:p w14:paraId="13874776" w14:textId="77777777" w:rsidR="00977CE6" w:rsidRDefault="00977CE6" w:rsidP="00977CE6">
      <w:pPr>
        <w:pStyle w:val="NormalWeb"/>
        <w:spacing w:before="0" w:beforeAutospacing="0" w:after="120" w:afterAutospacing="0" w:line="276" w:lineRule="auto"/>
        <w:contextualSpacing/>
        <w:jc w:val="both"/>
        <w:rPr>
          <w:rFonts w:ascii="Arial" w:hAnsi="Arial" w:cs="Arial"/>
          <w:color w:val="000000" w:themeColor="text1"/>
          <w:sz w:val="22"/>
          <w:szCs w:val="22"/>
        </w:rPr>
      </w:pPr>
      <w:r>
        <w:rPr>
          <w:rFonts w:ascii="Arial" w:hAnsi="Arial" w:cs="Arial"/>
          <w:color w:val="000000" w:themeColor="text1"/>
          <w:sz w:val="22"/>
          <w:szCs w:val="22"/>
        </w:rPr>
        <w:t>Igualmente, las anteriores preguntas se responden en conjunto debido a su unidad temática. En este sentido, de conformidad con las consideraciones anteriores, el artículo 60 de la Ley 80 de 1993 establece los contratos en los cuales es obligatoria la liquidación, tal como se desarrolló en el numeral 2.2. de este concepto.</w:t>
      </w:r>
    </w:p>
    <w:p w14:paraId="47CD2EC4" w14:textId="77777777" w:rsidR="00977CE6" w:rsidRDefault="00977CE6" w:rsidP="00977CE6">
      <w:pPr>
        <w:pStyle w:val="NormalWeb"/>
        <w:spacing w:before="0" w:beforeAutospacing="0" w:after="120" w:afterAutospacing="0" w:line="276" w:lineRule="auto"/>
        <w:contextualSpacing/>
        <w:jc w:val="both"/>
        <w:rPr>
          <w:rFonts w:ascii="Arial" w:hAnsi="Arial" w:cs="Arial"/>
          <w:color w:val="000000" w:themeColor="text1"/>
          <w:sz w:val="22"/>
          <w:lang w:val="es-ES_tradnl"/>
        </w:rPr>
      </w:pPr>
    </w:p>
    <w:p w14:paraId="2587F82F" w14:textId="77777777" w:rsidR="00977CE6"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Pr>
          <w:rFonts w:ascii="Arial" w:hAnsi="Arial" w:cs="Arial"/>
          <w:color w:val="000000" w:themeColor="text1"/>
          <w:sz w:val="21"/>
          <w:szCs w:val="21"/>
        </w:rPr>
        <w:t>«</w:t>
      </w:r>
      <w:r w:rsidRPr="008D4647">
        <w:rPr>
          <w:rFonts w:ascii="Arial" w:hAnsi="Arial" w:cs="Arial"/>
          <w:color w:val="000000" w:themeColor="text1"/>
          <w:sz w:val="21"/>
          <w:szCs w:val="21"/>
        </w:rPr>
        <w:t>¿La Ley 80 de 1993 contiene causales de suspensión de liquidación del contrato estatal por existir procesos de responsabilidad (disciplinario, fiscal y penal)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6C48FAE3"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46CDD22C" w14:textId="77777777" w:rsidR="00977CE6" w:rsidRPr="008D4647" w:rsidRDefault="00977CE6" w:rsidP="00977CE6">
      <w:pPr>
        <w:pStyle w:val="NormalWeb"/>
        <w:numPr>
          <w:ilvl w:val="0"/>
          <w:numId w:val="3"/>
        </w:numPr>
        <w:spacing w:after="0" w:afterAutospacing="0"/>
        <w:ind w:right="709"/>
        <w:contextualSpacing/>
        <w:jc w:val="both"/>
        <w:rPr>
          <w:rFonts w:ascii="Arial" w:hAnsi="Arial" w:cs="Arial"/>
          <w:b/>
          <w:bCs/>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1150 de 2007 contiene causales de suspensión de liquidación del contrato estatal por existir procesos de responsabilidad (disciplinario, fiscal y penal)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6104B7A0"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0D056692" w14:textId="77777777" w:rsidR="00977CE6"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1474 de 2011 contiene causales de suspensión de liquidación del contrato estatal por existir procesos de responsabilidad (disciplinario, fiscal y penal)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233CA2AB"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6839335D" w14:textId="77777777" w:rsidR="00977CE6"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¿La Ley 1882 de 2018 contiene causales de suspensión de liquidación del contrato estatal por existir procesos de responsabilidad (disciplinario, fiscal y penal)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75746E4B" w14:textId="77777777" w:rsidR="00977CE6" w:rsidRPr="008D4647" w:rsidRDefault="00977CE6" w:rsidP="00977CE6">
      <w:pPr>
        <w:pStyle w:val="NormalWeb"/>
        <w:spacing w:after="0" w:afterAutospacing="0"/>
        <w:ind w:left="709" w:right="709"/>
        <w:contextualSpacing/>
        <w:jc w:val="both"/>
        <w:rPr>
          <w:rFonts w:ascii="Arial" w:hAnsi="Arial" w:cs="Arial"/>
          <w:color w:val="000000" w:themeColor="text1"/>
          <w:sz w:val="21"/>
          <w:szCs w:val="21"/>
        </w:rPr>
      </w:pPr>
    </w:p>
    <w:p w14:paraId="0EB82896" w14:textId="77777777" w:rsidR="00977CE6" w:rsidRPr="008D4647" w:rsidRDefault="00977CE6" w:rsidP="00977CE6">
      <w:pPr>
        <w:pStyle w:val="NormalWeb"/>
        <w:numPr>
          <w:ilvl w:val="0"/>
          <w:numId w:val="3"/>
        </w:numPr>
        <w:spacing w:after="0" w:afterAutospacing="0"/>
        <w:ind w:right="709"/>
        <w:contextualSpacing/>
        <w:jc w:val="both"/>
        <w:rPr>
          <w:rFonts w:ascii="Arial" w:hAnsi="Arial" w:cs="Arial"/>
          <w:color w:val="000000" w:themeColor="text1"/>
          <w:sz w:val="21"/>
          <w:szCs w:val="21"/>
        </w:rPr>
      </w:pPr>
      <w:r>
        <w:rPr>
          <w:rStyle w:val="apple-converted-space"/>
          <w:rFonts w:ascii="Arial" w:hAnsi="Arial" w:cs="Arial"/>
          <w:color w:val="000000" w:themeColor="text1"/>
          <w:sz w:val="21"/>
          <w:szCs w:val="21"/>
        </w:rPr>
        <w:t>«</w:t>
      </w:r>
      <w:r w:rsidRPr="008D4647">
        <w:rPr>
          <w:rFonts w:ascii="Arial" w:hAnsi="Arial" w:cs="Arial"/>
          <w:color w:val="000000" w:themeColor="text1"/>
          <w:sz w:val="21"/>
          <w:szCs w:val="21"/>
        </w:rPr>
        <w:t>¿ El Decreto 1085 de 2015 contiene causales de suspensión de liquidación del contrato estatal por existir procesos de responsabilidad (disciplinario, fiscal y penal)</w:t>
      </w:r>
      <w:r w:rsidRPr="008D4647">
        <w:rPr>
          <w:rFonts w:ascii="Arial" w:hAnsi="Arial" w:cs="Arial"/>
          <w:color w:val="000000" w:themeColor="text1"/>
          <w:sz w:val="21"/>
          <w:szCs w:val="21"/>
          <w:lang w:val="es-ES"/>
        </w:rPr>
        <w:t>?</w:t>
      </w:r>
      <w:r w:rsidRPr="008D4647">
        <w:rPr>
          <w:rFonts w:ascii="Arial" w:eastAsia="Calibri" w:hAnsi="Arial" w:cs="Arial"/>
          <w:color w:val="000000" w:themeColor="text1"/>
          <w:sz w:val="21"/>
          <w:szCs w:val="21"/>
          <w:lang w:val="es-ES"/>
        </w:rPr>
        <w:t>».</w:t>
      </w:r>
    </w:p>
    <w:p w14:paraId="49F9C75A" w14:textId="77777777" w:rsidR="00977CE6" w:rsidRDefault="00977CE6" w:rsidP="00977CE6">
      <w:pPr>
        <w:pStyle w:val="NormalWeb"/>
        <w:spacing w:before="0" w:beforeAutospacing="0" w:after="0" w:afterAutospacing="0" w:line="276" w:lineRule="auto"/>
        <w:contextualSpacing/>
        <w:jc w:val="both"/>
        <w:rPr>
          <w:rFonts w:ascii="Arial" w:hAnsi="Arial" w:cs="Arial"/>
          <w:color w:val="000000" w:themeColor="text1"/>
          <w:sz w:val="22"/>
          <w:szCs w:val="22"/>
        </w:rPr>
      </w:pPr>
    </w:p>
    <w:p w14:paraId="0E619EC4" w14:textId="77777777" w:rsidR="00977CE6" w:rsidRPr="00F45FF8" w:rsidRDefault="00977CE6" w:rsidP="00977CE6">
      <w:pPr>
        <w:pStyle w:val="NormalWeb"/>
        <w:spacing w:before="0" w:beforeAutospacing="0" w:after="0" w:afterAutospacing="0" w:line="276" w:lineRule="auto"/>
        <w:contextualSpacing/>
        <w:jc w:val="both"/>
        <w:rPr>
          <w:rFonts w:ascii="Arial" w:hAnsi="Arial" w:cs="Arial"/>
          <w:color w:val="000000" w:themeColor="text1"/>
          <w:sz w:val="22"/>
          <w:szCs w:val="22"/>
        </w:rPr>
      </w:pPr>
      <w:r>
        <w:rPr>
          <w:rFonts w:ascii="Arial" w:hAnsi="Arial" w:cs="Arial"/>
          <w:color w:val="000000" w:themeColor="text1"/>
          <w:sz w:val="22"/>
          <w:szCs w:val="22"/>
        </w:rPr>
        <w:t xml:space="preserve">Por último, también se agrupan las anteriores preguntas por afinidad temática. Para ello, con base en el régimen procedimental de la liquidación de los contratos estatales, es posible afirmar que nuestro ordenamiento jurídico no prevé causales de suspensión del proceso de liquidación, ya que, el procedimiento de corte y ajuste de cuentas se debe desarrollar una vez se constante el acaecimiento de i) </w:t>
      </w:r>
      <w:r w:rsidRPr="009C6B45">
        <w:rPr>
          <w:rFonts w:ascii="Arial" w:hAnsi="Arial" w:cs="Arial"/>
          <w:color w:val="000000" w:themeColor="text1"/>
          <w:sz w:val="22"/>
          <w:lang w:val="es-ES_tradnl"/>
        </w:rPr>
        <w:t>el vencimiento del plazo previsto para la ejecución del contrato, ii) la expedición del acto administrativo que ordene la terminación del contrato o iii) la fecha del acuerdo que disponga la terminación del contrato.</w:t>
      </w:r>
      <w:r>
        <w:rPr>
          <w:rFonts w:ascii="Arial" w:hAnsi="Arial" w:cs="Arial"/>
          <w:color w:val="000000" w:themeColor="text1"/>
          <w:sz w:val="22"/>
          <w:lang w:val="es-ES_tradnl"/>
        </w:rPr>
        <w:t xml:space="preserve"> En este contexto, en las disposiciones señaladas por el peticionario no existen este tipo de causales de suspensión de la liquidación del contrato estatal</w:t>
      </w:r>
      <w:r>
        <w:rPr>
          <w:rFonts w:ascii="Arial" w:hAnsi="Arial" w:cs="Arial"/>
          <w:color w:val="000000" w:themeColor="text1"/>
          <w:sz w:val="22"/>
          <w:szCs w:val="22"/>
        </w:rPr>
        <w:t xml:space="preserve">. </w:t>
      </w:r>
    </w:p>
    <w:p w14:paraId="52147B3A" w14:textId="77777777" w:rsidR="00977CE6" w:rsidRPr="00916949" w:rsidRDefault="00977CE6" w:rsidP="00977CE6">
      <w:pPr>
        <w:spacing w:after="120" w:line="276" w:lineRule="auto"/>
        <w:ind w:right="105"/>
        <w:jc w:val="both"/>
        <w:rPr>
          <w:rFonts w:ascii="Arial" w:hAnsi="Arial" w:cs="Arial"/>
          <w:color w:val="000000"/>
          <w:sz w:val="22"/>
          <w:szCs w:val="22"/>
        </w:rPr>
      </w:pPr>
    </w:p>
    <w:p w14:paraId="76C8387C" w14:textId="77777777" w:rsidR="00977CE6" w:rsidRPr="006C15D5" w:rsidRDefault="00977CE6" w:rsidP="00977CE6">
      <w:pPr>
        <w:spacing w:line="276" w:lineRule="auto"/>
        <w:jc w:val="both"/>
        <w:rPr>
          <w:rFonts w:ascii="Arial" w:eastAsia="Calibri" w:hAnsi="Arial" w:cs="Arial"/>
          <w:color w:val="000000" w:themeColor="text1"/>
          <w:sz w:val="22"/>
        </w:rPr>
      </w:pPr>
      <w:r w:rsidRPr="006A443A">
        <w:rPr>
          <w:rFonts w:ascii="Arial" w:eastAsia="Calibri" w:hAnsi="Arial" w:cs="Arial"/>
          <w:color w:val="000000" w:themeColor="text1"/>
          <w:sz w:val="22"/>
          <w:szCs w:val="22"/>
        </w:rPr>
        <w:lastRenderedPageBreak/>
        <w:t>Este concepto tiene el alcance previsto en el artículo 28 del Cód</w:t>
      </w:r>
      <w:r w:rsidRPr="006C15D5">
        <w:rPr>
          <w:rFonts w:ascii="Arial" w:eastAsia="Calibri" w:hAnsi="Arial" w:cs="Arial"/>
          <w:color w:val="000000" w:themeColor="text1"/>
          <w:sz w:val="22"/>
        </w:rPr>
        <w:t>igo de Procedimiento Administrativo y de lo Contencioso Administrativo.</w:t>
      </w:r>
    </w:p>
    <w:p w14:paraId="7A2BD3C5" w14:textId="77777777" w:rsidR="00977CE6" w:rsidRPr="006C15D5" w:rsidRDefault="00977CE6" w:rsidP="00977CE6">
      <w:pPr>
        <w:ind w:firstLine="709"/>
        <w:jc w:val="both"/>
        <w:rPr>
          <w:rFonts w:ascii="Arial" w:eastAsia="Calibri" w:hAnsi="Arial" w:cs="Arial"/>
          <w:color w:val="000000" w:themeColor="text1"/>
          <w:sz w:val="22"/>
        </w:rPr>
      </w:pPr>
    </w:p>
    <w:p w14:paraId="7E682DF7" w14:textId="77777777" w:rsidR="00977CE6" w:rsidRDefault="00977CE6" w:rsidP="00977CE6">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7DB8513E" w14:textId="77777777" w:rsidR="00977CE6" w:rsidRDefault="00977CE6" w:rsidP="00977CE6">
      <w:pPr>
        <w:jc w:val="center"/>
        <w:rPr>
          <w:rFonts w:ascii="Arial" w:hAnsi="Arial" w:cs="Arial"/>
          <w:color w:val="000000" w:themeColor="text1"/>
          <w:sz w:val="22"/>
          <w:lang w:eastAsia="es-CO"/>
        </w:rPr>
      </w:pPr>
      <w:r w:rsidRPr="00FC4438">
        <w:rPr>
          <w:noProof/>
        </w:rPr>
        <w:drawing>
          <wp:inline distT="0" distB="0" distL="0" distR="0" wp14:anchorId="1680CA2E" wp14:editId="65D91755">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14600" cy="1114425"/>
                    </a:xfrm>
                    <a:prstGeom prst="rect">
                      <a:avLst/>
                    </a:prstGeom>
                  </pic:spPr>
                </pic:pic>
              </a:graphicData>
            </a:graphic>
          </wp:inline>
        </w:drawing>
      </w:r>
    </w:p>
    <w:p w14:paraId="2311A2BF" w14:textId="77777777" w:rsidR="00977CE6" w:rsidRDefault="00977CE6" w:rsidP="00977CE6">
      <w:pPr>
        <w:jc w:val="center"/>
        <w:rPr>
          <w:rFonts w:ascii="Arial" w:hAnsi="Arial" w:cs="Arial"/>
          <w:color w:val="000000" w:themeColor="text1"/>
          <w:sz w:val="18"/>
          <w:szCs w:val="20"/>
          <w:lang w:eastAsia="es-CO"/>
        </w:rPr>
      </w:pPr>
    </w:p>
    <w:p w14:paraId="769D5086" w14:textId="77777777" w:rsidR="00977CE6" w:rsidRPr="006C15D5" w:rsidRDefault="00977CE6" w:rsidP="00977CE6">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77CE6" w:rsidRPr="003F6D32" w14:paraId="2570218C" w14:textId="77777777" w:rsidTr="007C6F1C">
        <w:trPr>
          <w:trHeight w:val="315"/>
        </w:trPr>
        <w:tc>
          <w:tcPr>
            <w:tcW w:w="812" w:type="dxa"/>
            <w:vAlign w:val="center"/>
            <w:hideMark/>
          </w:tcPr>
          <w:p w14:paraId="0C272E67" w14:textId="77777777" w:rsidR="00977CE6" w:rsidRPr="006C15D5" w:rsidRDefault="00977CE6"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2BD37F" w14:textId="77777777" w:rsidR="00977CE6" w:rsidRPr="006C15D5" w:rsidRDefault="00977CE6" w:rsidP="007C6F1C">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6A5DA42C" w14:textId="77777777" w:rsidR="00977CE6" w:rsidRPr="006C15D5" w:rsidRDefault="00977CE6"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977CE6" w:rsidRPr="003F6D32" w14:paraId="43783B7D" w14:textId="77777777" w:rsidTr="007C6F1C">
        <w:trPr>
          <w:trHeight w:val="330"/>
        </w:trPr>
        <w:tc>
          <w:tcPr>
            <w:tcW w:w="812" w:type="dxa"/>
            <w:vAlign w:val="center"/>
            <w:hideMark/>
          </w:tcPr>
          <w:p w14:paraId="59C3D179" w14:textId="77777777" w:rsidR="00977CE6" w:rsidRPr="006C15D5" w:rsidRDefault="00977CE6"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847F216" w14:textId="77777777" w:rsidR="00977CE6" w:rsidRDefault="00977CE6" w:rsidP="007C6F1C">
            <w:pPr>
              <w:rPr>
                <w:rFonts w:ascii="Arial" w:hAnsi="Arial" w:cs="Arial"/>
                <w:color w:val="000000" w:themeColor="text1"/>
                <w:sz w:val="16"/>
                <w:szCs w:val="16"/>
                <w:lang w:eastAsia="es-ES"/>
              </w:rPr>
            </w:pPr>
            <w:r>
              <w:rPr>
                <w:rFonts w:ascii="Arial" w:hAnsi="Arial" w:cs="Arial"/>
                <w:color w:val="000000" w:themeColor="text1"/>
                <w:sz w:val="16"/>
                <w:szCs w:val="16"/>
                <w:lang w:eastAsia="es-ES"/>
              </w:rPr>
              <w:t>Sebastián Ramírez Grisales</w:t>
            </w:r>
          </w:p>
          <w:p w14:paraId="0B1F1BC0" w14:textId="77777777" w:rsidR="00977CE6" w:rsidRPr="006C15D5" w:rsidRDefault="00977CE6" w:rsidP="007C6F1C">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977CE6" w:rsidRPr="003F6D32" w14:paraId="480A7731" w14:textId="77777777" w:rsidTr="007C6F1C">
        <w:trPr>
          <w:trHeight w:val="300"/>
        </w:trPr>
        <w:tc>
          <w:tcPr>
            <w:tcW w:w="812" w:type="dxa"/>
            <w:vAlign w:val="center"/>
            <w:hideMark/>
          </w:tcPr>
          <w:p w14:paraId="768F00B9" w14:textId="77777777" w:rsidR="00977CE6" w:rsidRPr="006C15D5" w:rsidRDefault="00977CE6"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1BC300" w14:textId="77777777" w:rsidR="00977CE6" w:rsidRDefault="00977CE6" w:rsidP="007C6F1C">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2F14B257" w14:textId="77777777" w:rsidR="00977CE6" w:rsidRPr="006C15D5" w:rsidRDefault="00977CE6"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548B667F" w14:textId="77777777" w:rsidR="00977CE6" w:rsidRDefault="00977CE6" w:rsidP="00977CE6"/>
    <w:p w14:paraId="683EDC8E" w14:textId="77777777" w:rsidR="00977CE6" w:rsidRDefault="00977CE6"/>
    <w:sectPr w:rsidR="00977CE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B62DFC" w14:textId="77777777" w:rsidR="00DB1506" w:rsidRDefault="00DB1506" w:rsidP="00977CE6">
      <w:r>
        <w:separator/>
      </w:r>
    </w:p>
  </w:endnote>
  <w:endnote w:type="continuationSeparator" w:id="0">
    <w:p w14:paraId="758DAB74" w14:textId="77777777" w:rsidR="00DB1506" w:rsidRDefault="00DB1506" w:rsidP="00977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83BE2C" w14:textId="77777777" w:rsidR="00DB1506" w:rsidRDefault="00DB1506" w:rsidP="00977CE6">
      <w:r>
        <w:separator/>
      </w:r>
    </w:p>
  </w:footnote>
  <w:footnote w:type="continuationSeparator" w:id="0">
    <w:p w14:paraId="25C9BF0A" w14:textId="77777777" w:rsidR="00DB1506" w:rsidRDefault="00DB1506" w:rsidP="00977CE6">
      <w:r>
        <w:continuationSeparator/>
      </w:r>
    </w:p>
  </w:footnote>
  <w:footnote w:id="1">
    <w:p w14:paraId="546102CD" w14:textId="77777777" w:rsidR="00977CE6" w:rsidRPr="00295EBD" w:rsidRDefault="00977CE6" w:rsidP="00977CE6">
      <w:pPr>
        <w:pStyle w:val="Textonotapie"/>
        <w:ind w:firstLine="708"/>
        <w:jc w:val="both"/>
        <w:rPr>
          <w:rFonts w:ascii="Arial" w:hAnsi="Arial" w:cs="Arial"/>
          <w:sz w:val="19"/>
          <w:szCs w:val="19"/>
        </w:rPr>
      </w:pPr>
      <w:r w:rsidRPr="00295EBD">
        <w:rPr>
          <w:rStyle w:val="Refdenotaalpie"/>
          <w:rFonts w:ascii="Arial" w:hAnsi="Arial" w:cs="Arial"/>
          <w:sz w:val="19"/>
          <w:szCs w:val="19"/>
        </w:rPr>
        <w:footnoteRef/>
      </w:r>
      <w:r w:rsidRPr="00295EBD">
        <w:rPr>
          <w:rFonts w:ascii="Arial" w:hAnsi="Arial" w:cs="Arial"/>
          <w:sz w:val="19"/>
          <w:szCs w:val="19"/>
        </w:rPr>
        <w:t xml:space="preserve"> COLOMBIA COMPRA EFICIENTE. Guía para la Liquidación de los Procesos de Contratación. página 5, disponible en: </w:t>
      </w:r>
      <w:hyperlink r:id="rId1" w:history="1">
        <w:r w:rsidRPr="00295EBD">
          <w:rPr>
            <w:rStyle w:val="Hipervnculo"/>
            <w:rFonts w:ascii="Arial" w:hAnsi="Arial" w:cs="Arial"/>
            <w:sz w:val="19"/>
            <w:szCs w:val="19"/>
          </w:rPr>
          <w:t>https://www.colombiacompra.gov.co/sites/cce_public/files/cce_documents/cce_guia_liquidacion_procesos.pdf</w:t>
        </w:r>
      </w:hyperlink>
      <w:r w:rsidRPr="00295EBD">
        <w:rPr>
          <w:rFonts w:ascii="Arial" w:hAnsi="Arial" w:cs="Arial"/>
          <w:sz w:val="19"/>
          <w:szCs w:val="19"/>
        </w:rPr>
        <w:t xml:space="preserve"> </w:t>
      </w:r>
    </w:p>
    <w:p w14:paraId="28B55408" w14:textId="77777777" w:rsidR="00977CE6" w:rsidRPr="00295EBD" w:rsidRDefault="00977CE6" w:rsidP="00977CE6">
      <w:pPr>
        <w:pStyle w:val="Textonotapie"/>
        <w:ind w:firstLine="708"/>
        <w:jc w:val="both"/>
        <w:rPr>
          <w:rFonts w:ascii="Arial" w:hAnsi="Arial" w:cs="Arial"/>
          <w:sz w:val="19"/>
          <w:szCs w:val="19"/>
          <w:lang w:val="es-ES"/>
        </w:rPr>
      </w:pPr>
    </w:p>
  </w:footnote>
  <w:footnote w:id="2">
    <w:p w14:paraId="4F657D6A" w14:textId="77777777" w:rsidR="00977CE6" w:rsidRPr="00295EBD" w:rsidRDefault="00977CE6" w:rsidP="00977CE6">
      <w:pPr>
        <w:pStyle w:val="Textonotapie"/>
        <w:ind w:firstLine="708"/>
        <w:jc w:val="both"/>
        <w:rPr>
          <w:rFonts w:ascii="Arial" w:hAnsi="Arial" w:cs="Arial"/>
          <w:color w:val="000000" w:themeColor="text1"/>
          <w:sz w:val="19"/>
          <w:szCs w:val="19"/>
        </w:rPr>
      </w:pPr>
      <w:r w:rsidRPr="00295EBD">
        <w:rPr>
          <w:rStyle w:val="Refdenotaalpie"/>
          <w:rFonts w:ascii="Arial" w:hAnsi="Arial" w:cs="Arial"/>
          <w:color w:val="000000" w:themeColor="text1"/>
          <w:sz w:val="19"/>
          <w:szCs w:val="19"/>
        </w:rPr>
        <w:footnoteRef/>
      </w:r>
      <w:r w:rsidRPr="00295EBD">
        <w:rPr>
          <w:rFonts w:ascii="Arial" w:hAnsi="Arial" w:cs="Arial"/>
          <w:color w:val="000000" w:themeColor="text1"/>
          <w:sz w:val="19"/>
          <w:szCs w:val="19"/>
        </w:rPr>
        <w:t xml:space="preserve"> </w:t>
      </w:r>
      <w:r w:rsidRPr="00295EBD">
        <w:rPr>
          <w:rFonts w:ascii="Arial" w:hAnsi="Arial" w:cs="Arial"/>
          <w:color w:val="000000" w:themeColor="text1"/>
          <w:sz w:val="19"/>
          <w:szCs w:val="19"/>
        </w:rPr>
        <w:t>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0389226E" w14:textId="77777777" w:rsidR="00977CE6" w:rsidRPr="00295EBD" w:rsidRDefault="00977CE6" w:rsidP="00977CE6">
      <w:pPr>
        <w:pStyle w:val="Textonotapie"/>
        <w:ind w:firstLine="708"/>
        <w:jc w:val="both"/>
        <w:rPr>
          <w:rFonts w:ascii="Arial" w:hAnsi="Arial" w:cs="Arial"/>
          <w:color w:val="000000" w:themeColor="text1"/>
          <w:sz w:val="19"/>
          <w:szCs w:val="19"/>
          <w:lang w:val="es-ES"/>
        </w:rPr>
      </w:pPr>
    </w:p>
  </w:footnote>
  <w:footnote w:id="3">
    <w:p w14:paraId="3EFA7E0C" w14:textId="77777777" w:rsidR="00977CE6" w:rsidRPr="00295EBD" w:rsidRDefault="00977CE6" w:rsidP="00977CE6">
      <w:pPr>
        <w:pStyle w:val="Textonotapie"/>
        <w:ind w:firstLine="708"/>
        <w:jc w:val="both"/>
        <w:rPr>
          <w:rFonts w:ascii="Arial" w:hAnsi="Arial" w:cs="Arial"/>
          <w:sz w:val="19"/>
          <w:szCs w:val="19"/>
        </w:rPr>
      </w:pPr>
      <w:r w:rsidRPr="00295EBD">
        <w:rPr>
          <w:rStyle w:val="Refdenotaalpie"/>
          <w:rFonts w:ascii="Arial" w:hAnsi="Arial" w:cs="Arial"/>
          <w:sz w:val="19"/>
          <w:szCs w:val="19"/>
        </w:rPr>
        <w:footnoteRef/>
      </w:r>
      <w:r w:rsidRPr="00295EBD">
        <w:rPr>
          <w:rFonts w:ascii="Arial" w:hAnsi="Arial" w:cs="Arial"/>
          <w:sz w:val="19"/>
          <w:szCs w:val="19"/>
        </w:rPr>
        <w:t xml:space="preserve"> </w:t>
      </w:r>
      <w:r w:rsidRPr="00295EBD">
        <w:rPr>
          <w:rFonts w:ascii="Arial" w:hAnsi="Arial" w:cs="Arial"/>
          <w:sz w:val="19"/>
          <w:szCs w:val="19"/>
        </w:rPr>
        <w:t>EXPOSITO, Juan Carlos. Forma y contenido del contrato estatal. Bogotá: Universidad Externado de Colombia, pp. 89 y 90.</w:t>
      </w:r>
    </w:p>
    <w:p w14:paraId="2AC27305" w14:textId="77777777" w:rsidR="00977CE6" w:rsidRPr="00295EBD" w:rsidRDefault="00977CE6" w:rsidP="00977CE6">
      <w:pPr>
        <w:pStyle w:val="Textonotapie"/>
        <w:ind w:firstLine="708"/>
        <w:jc w:val="both"/>
        <w:rPr>
          <w:rFonts w:ascii="Arial" w:hAnsi="Arial" w:cs="Arial"/>
          <w:sz w:val="19"/>
          <w:szCs w:val="19"/>
        </w:rPr>
      </w:pPr>
      <w:r w:rsidRPr="00295EBD">
        <w:rPr>
          <w:rFonts w:ascii="Arial" w:hAnsi="Arial" w:cs="Arial"/>
          <w:sz w:val="19"/>
          <w:szCs w:val="19"/>
        </w:rPr>
        <w:t xml:space="preserve"> </w:t>
      </w:r>
    </w:p>
  </w:footnote>
  <w:footnote w:id="4">
    <w:p w14:paraId="00C3466F" w14:textId="77777777" w:rsidR="00977CE6" w:rsidRPr="00295EBD" w:rsidRDefault="00977CE6" w:rsidP="00977CE6">
      <w:pPr>
        <w:pStyle w:val="Textonotapie"/>
        <w:ind w:firstLine="708"/>
        <w:jc w:val="both"/>
        <w:rPr>
          <w:rFonts w:ascii="Arial" w:hAnsi="Arial" w:cs="Arial"/>
          <w:sz w:val="19"/>
          <w:szCs w:val="19"/>
          <w:lang w:val="es-CO"/>
        </w:rPr>
      </w:pPr>
      <w:r w:rsidRPr="00295EBD">
        <w:rPr>
          <w:rStyle w:val="Refdenotaalpie"/>
          <w:rFonts w:ascii="Arial" w:hAnsi="Arial" w:cs="Arial"/>
          <w:sz w:val="19"/>
          <w:szCs w:val="19"/>
        </w:rPr>
        <w:footnoteRef/>
      </w:r>
      <w:r w:rsidRPr="00295EBD">
        <w:rPr>
          <w:rFonts w:ascii="Arial" w:hAnsi="Arial" w:cs="Arial"/>
          <w:sz w:val="19"/>
          <w:szCs w:val="19"/>
        </w:rPr>
        <w:t xml:space="preserve"> </w:t>
      </w:r>
      <w:r w:rsidRPr="00295EBD">
        <w:rPr>
          <w:rFonts w:ascii="Arial" w:hAnsi="Arial" w:cs="Arial"/>
          <w:sz w:val="19"/>
          <w:szCs w:val="19"/>
        </w:rPr>
        <w:t>DÍAZ DÍEZ, Cristian Andrés. La liquidación. Serie: Las Cláusulas del Contrato Estatal. Medellín: Librería Jurídica Sánchez y Centro de Estudios de Derecho Administrativo -CEDA-, 2013,</w:t>
      </w:r>
      <w:r>
        <w:rPr>
          <w:rFonts w:ascii="Arial" w:hAnsi="Arial" w:cs="Arial"/>
          <w:sz w:val="19"/>
          <w:szCs w:val="19"/>
        </w:rPr>
        <w:t xml:space="preserve"> pp. 53-54.</w:t>
      </w:r>
      <w:r w:rsidRPr="00295EBD">
        <w:rPr>
          <w:rFonts w:ascii="Arial" w:hAnsi="Arial" w:cs="Arial"/>
          <w:sz w:val="19"/>
          <w:szCs w:val="19"/>
        </w:rPr>
        <w:t xml:space="preserve">  </w:t>
      </w:r>
    </w:p>
  </w:footnote>
  <w:footnote w:id="5">
    <w:p w14:paraId="5E71CBF7" w14:textId="77777777" w:rsidR="00977CE6" w:rsidRPr="00295EBD" w:rsidRDefault="00977CE6" w:rsidP="00977CE6">
      <w:pPr>
        <w:ind w:firstLine="708"/>
        <w:jc w:val="both"/>
        <w:rPr>
          <w:rFonts w:ascii="Arial" w:hAnsi="Arial" w:cs="Arial"/>
          <w:color w:val="000000" w:themeColor="text1"/>
          <w:sz w:val="19"/>
          <w:szCs w:val="19"/>
        </w:rPr>
      </w:pPr>
      <w:r w:rsidRPr="00295EBD">
        <w:rPr>
          <w:rStyle w:val="Refdenotaalpie"/>
          <w:rFonts w:ascii="Arial" w:hAnsi="Arial" w:cs="Arial"/>
          <w:color w:val="000000" w:themeColor="text1"/>
          <w:sz w:val="19"/>
          <w:szCs w:val="19"/>
        </w:rPr>
        <w:footnoteRef/>
      </w:r>
      <w:r w:rsidRPr="00295EBD">
        <w:rPr>
          <w:rFonts w:ascii="Arial" w:hAnsi="Arial" w:cs="Arial"/>
          <w:color w:val="000000" w:themeColor="text1"/>
          <w:sz w:val="19"/>
          <w:szCs w:val="19"/>
        </w:rPr>
        <w:t xml:space="preserve"> </w:t>
      </w:r>
      <w:r w:rsidRPr="00295EBD">
        <w:rPr>
          <w:rFonts w:ascii="Arial" w:hAnsi="Arial" w:cs="Arial"/>
          <w:color w:val="000000" w:themeColor="text1"/>
          <w:sz w:val="19"/>
          <w:szCs w:val="19"/>
        </w:rPr>
        <w:t>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4EAAB30C" w14:textId="77777777" w:rsidR="00977CE6" w:rsidRPr="00295EBD" w:rsidRDefault="00977CE6" w:rsidP="00977CE6">
      <w:pPr>
        <w:pStyle w:val="Textonotapie"/>
        <w:ind w:firstLine="708"/>
        <w:jc w:val="both"/>
        <w:rPr>
          <w:rFonts w:ascii="Arial" w:hAnsi="Arial" w:cs="Arial"/>
          <w:color w:val="000000" w:themeColor="text1"/>
          <w:sz w:val="19"/>
          <w:szCs w:val="19"/>
          <w:lang w:val="es-ES"/>
        </w:rPr>
      </w:pPr>
    </w:p>
  </w:footnote>
  <w:footnote w:id="6">
    <w:p w14:paraId="05A3C362" w14:textId="77777777" w:rsidR="00977CE6" w:rsidRPr="00295EBD" w:rsidRDefault="00977CE6" w:rsidP="00977CE6">
      <w:pPr>
        <w:pStyle w:val="Textonotapie"/>
        <w:ind w:firstLine="708"/>
        <w:jc w:val="both"/>
        <w:rPr>
          <w:rFonts w:ascii="Arial" w:hAnsi="Arial" w:cs="Arial"/>
          <w:sz w:val="19"/>
          <w:szCs w:val="19"/>
        </w:rPr>
      </w:pPr>
      <w:r w:rsidRPr="00295EBD">
        <w:rPr>
          <w:rStyle w:val="Refdenotaalpie"/>
          <w:rFonts w:ascii="Arial" w:hAnsi="Arial" w:cs="Arial"/>
          <w:sz w:val="19"/>
          <w:szCs w:val="19"/>
        </w:rPr>
        <w:footnoteRef/>
      </w:r>
      <w:r w:rsidRPr="00295EBD">
        <w:rPr>
          <w:rFonts w:ascii="Arial" w:hAnsi="Arial" w:cs="Arial"/>
          <w:sz w:val="19"/>
          <w:szCs w:val="19"/>
        </w:rPr>
        <w:t xml:space="preserve"> </w:t>
      </w:r>
      <w:r w:rsidRPr="00295EBD">
        <w:rPr>
          <w:rFonts w:ascii="Arial" w:hAnsi="Arial" w:cs="Arial"/>
          <w:sz w:val="19"/>
          <w:szCs w:val="19"/>
        </w:rPr>
        <w:t>EXPOSITO. Juan Carlos. Forma y contenido del contrato estatal, cit. p</w:t>
      </w:r>
      <w:r>
        <w:rPr>
          <w:rFonts w:ascii="Arial" w:hAnsi="Arial" w:cs="Arial"/>
          <w:sz w:val="19"/>
          <w:szCs w:val="19"/>
        </w:rPr>
        <w:t>p</w:t>
      </w:r>
      <w:r w:rsidRPr="00295EBD">
        <w:rPr>
          <w:rFonts w:ascii="Arial" w:hAnsi="Arial" w:cs="Arial"/>
          <w:sz w:val="19"/>
          <w:szCs w:val="19"/>
        </w:rPr>
        <w:t>. 90.</w:t>
      </w:r>
    </w:p>
  </w:footnote>
  <w:footnote w:id="7">
    <w:p w14:paraId="768B28EA" w14:textId="77777777" w:rsidR="00977CE6" w:rsidRPr="00295EBD" w:rsidRDefault="00977CE6" w:rsidP="00977CE6">
      <w:pPr>
        <w:pStyle w:val="Textonotapie"/>
        <w:ind w:firstLine="708"/>
        <w:jc w:val="both"/>
        <w:rPr>
          <w:rFonts w:ascii="Arial" w:hAnsi="Arial" w:cs="Arial"/>
          <w:sz w:val="19"/>
          <w:szCs w:val="19"/>
        </w:rPr>
      </w:pPr>
    </w:p>
    <w:p w14:paraId="53ADA08D" w14:textId="77777777" w:rsidR="00977CE6" w:rsidRPr="00295EBD" w:rsidRDefault="00977CE6" w:rsidP="00977CE6">
      <w:pPr>
        <w:pStyle w:val="Textonotapie"/>
        <w:ind w:firstLine="708"/>
        <w:jc w:val="both"/>
        <w:rPr>
          <w:rFonts w:ascii="Arial" w:hAnsi="Arial" w:cs="Arial"/>
          <w:sz w:val="19"/>
          <w:szCs w:val="19"/>
        </w:rPr>
      </w:pPr>
      <w:r w:rsidRPr="00295EBD">
        <w:rPr>
          <w:rStyle w:val="Refdenotaalpie"/>
          <w:rFonts w:ascii="Arial" w:hAnsi="Arial" w:cs="Arial"/>
          <w:sz w:val="19"/>
          <w:szCs w:val="19"/>
        </w:rPr>
        <w:footnoteRef/>
      </w:r>
      <w:r w:rsidRPr="00295EBD">
        <w:rPr>
          <w:rFonts w:ascii="Arial" w:hAnsi="Arial" w:cs="Arial"/>
          <w:sz w:val="19"/>
          <w:szCs w:val="19"/>
        </w:rPr>
        <w:t xml:space="preserve"> </w:t>
      </w:r>
      <w:r w:rsidRPr="00295EBD">
        <w:rPr>
          <w:rFonts w:ascii="Arial" w:hAnsi="Arial" w:cs="Arial"/>
          <w:sz w:val="19"/>
          <w:szCs w:val="19"/>
        </w:rPr>
        <w:t>CONSEJO DE ESTADO, Sala de Consulta y Servicio Civil. Radicado No. 1453. Concepto de 6 de agosto de 2003. MP. Augusto Trejos.</w:t>
      </w:r>
    </w:p>
    <w:p w14:paraId="46F531B1" w14:textId="77777777" w:rsidR="00977CE6" w:rsidRPr="00295EBD" w:rsidRDefault="00977CE6" w:rsidP="00977CE6">
      <w:pPr>
        <w:pStyle w:val="Textonotapie"/>
        <w:ind w:firstLine="708"/>
        <w:jc w:val="both"/>
        <w:rPr>
          <w:rFonts w:ascii="Arial" w:hAnsi="Arial" w:cs="Arial"/>
          <w:sz w:val="19"/>
          <w:szCs w:val="19"/>
        </w:rPr>
      </w:pPr>
    </w:p>
  </w:footnote>
  <w:footnote w:id="8">
    <w:p w14:paraId="47801F6E" w14:textId="77777777" w:rsidR="00977CE6" w:rsidRPr="00295EBD" w:rsidRDefault="00977CE6" w:rsidP="00977CE6">
      <w:pPr>
        <w:pStyle w:val="Textonotapie"/>
        <w:ind w:firstLine="708"/>
        <w:jc w:val="both"/>
        <w:rPr>
          <w:rFonts w:ascii="Arial" w:hAnsi="Arial" w:cs="Arial"/>
          <w:sz w:val="19"/>
          <w:szCs w:val="19"/>
          <w:lang w:val="es-ES"/>
        </w:rPr>
      </w:pPr>
      <w:r w:rsidRPr="00295EBD">
        <w:rPr>
          <w:rStyle w:val="Refdenotaalpie"/>
          <w:rFonts w:ascii="Arial" w:hAnsi="Arial" w:cs="Arial"/>
          <w:sz w:val="19"/>
          <w:szCs w:val="19"/>
        </w:rPr>
        <w:footnoteRef/>
      </w:r>
      <w:r w:rsidRPr="00295EBD">
        <w:rPr>
          <w:rFonts w:ascii="Arial" w:hAnsi="Arial" w:cs="Arial"/>
          <w:sz w:val="19"/>
          <w:szCs w:val="19"/>
        </w:rPr>
        <w:t xml:space="preserve"> </w:t>
      </w:r>
      <w:r w:rsidRPr="00295EBD">
        <w:rPr>
          <w:rFonts w:ascii="Arial" w:hAnsi="Arial" w:cs="Arial"/>
          <w:sz w:val="19"/>
          <w:szCs w:val="19"/>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1942876B" w14:textId="77777777" w:rsidR="00977CE6" w:rsidRPr="00295EBD" w:rsidRDefault="00977CE6" w:rsidP="00977CE6">
      <w:pPr>
        <w:pStyle w:val="Textonotapie"/>
        <w:ind w:firstLine="708"/>
        <w:jc w:val="both"/>
        <w:rPr>
          <w:rFonts w:ascii="Arial" w:hAnsi="Arial" w:cs="Arial"/>
          <w:sz w:val="19"/>
          <w:szCs w:val="19"/>
          <w:lang w:val="es-ES"/>
        </w:rPr>
      </w:pPr>
      <w:r w:rsidRPr="00295EBD">
        <w:rPr>
          <w:rFonts w:ascii="Arial" w:hAnsi="Arial" w:cs="Arial"/>
          <w:sz w:val="19"/>
          <w:szCs w:val="19"/>
          <w:lang w:val="es-ES"/>
        </w:rPr>
        <w:t>» 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2851E026" w14:textId="77777777" w:rsidR="00977CE6" w:rsidRPr="00295EBD" w:rsidRDefault="00977CE6" w:rsidP="00977CE6">
      <w:pPr>
        <w:pStyle w:val="Textonotapie"/>
        <w:ind w:firstLine="708"/>
        <w:jc w:val="both"/>
        <w:rPr>
          <w:rFonts w:ascii="Arial" w:hAnsi="Arial" w:cs="Arial"/>
          <w:sz w:val="19"/>
          <w:szCs w:val="19"/>
          <w:lang w:val="es-ES"/>
        </w:rPr>
      </w:pPr>
      <w:r w:rsidRPr="00295EBD">
        <w:rPr>
          <w:rFonts w:ascii="Arial" w:hAnsi="Arial" w:cs="Arial"/>
          <w:sz w:val="19"/>
          <w:szCs w:val="19"/>
          <w:lang w:val="es-ES"/>
        </w:rPr>
        <w:t>»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6810E832" w14:textId="77777777" w:rsidR="00977CE6" w:rsidRPr="00295EBD" w:rsidRDefault="00977CE6" w:rsidP="00977CE6">
      <w:pPr>
        <w:pStyle w:val="Textonotapie"/>
        <w:ind w:firstLine="708"/>
        <w:jc w:val="both"/>
        <w:rPr>
          <w:rFonts w:ascii="Arial" w:hAnsi="Arial" w:cs="Arial"/>
          <w:sz w:val="19"/>
          <w:szCs w:val="19"/>
          <w:lang w:val="es-ES"/>
        </w:rPr>
      </w:pPr>
      <w:r w:rsidRPr="00295EBD">
        <w:rPr>
          <w:rFonts w:ascii="Arial" w:hAnsi="Arial" w:cs="Arial"/>
          <w:sz w:val="19"/>
          <w:szCs w:val="19"/>
          <w:lang w:val="es-ES"/>
        </w:rPr>
        <w:t>» Los contratistas tendrán derecho a efectuar salvedades a la liquidación por mutuo acuerdo, y en este evento la liquidación unilateral solo procederá en relación con los aspectos que no hayan sido objeto de acuerdo».</w:t>
      </w:r>
    </w:p>
    <w:p w14:paraId="6BA8B08F" w14:textId="77777777" w:rsidR="00977CE6" w:rsidRPr="00295EBD" w:rsidRDefault="00977CE6" w:rsidP="00977CE6">
      <w:pPr>
        <w:pStyle w:val="Textonotapie"/>
        <w:ind w:firstLine="708"/>
        <w:jc w:val="both"/>
        <w:rPr>
          <w:rFonts w:ascii="Arial" w:hAnsi="Arial" w:cs="Arial"/>
          <w:sz w:val="19"/>
          <w:szCs w:val="19"/>
          <w:lang w:val="es-ES"/>
        </w:rPr>
      </w:pPr>
    </w:p>
  </w:footnote>
  <w:footnote w:id="9">
    <w:p w14:paraId="418A5B74" w14:textId="77777777" w:rsidR="00977CE6" w:rsidRPr="00295EBD" w:rsidRDefault="00977CE6" w:rsidP="00977CE6">
      <w:pPr>
        <w:pStyle w:val="Textonotapie"/>
        <w:ind w:firstLine="708"/>
        <w:jc w:val="both"/>
        <w:rPr>
          <w:rFonts w:ascii="Arial" w:hAnsi="Arial" w:cs="Arial"/>
          <w:sz w:val="19"/>
          <w:szCs w:val="19"/>
        </w:rPr>
      </w:pPr>
      <w:r w:rsidRPr="00295EBD">
        <w:rPr>
          <w:rStyle w:val="Refdenotaalpie"/>
          <w:rFonts w:ascii="Arial" w:hAnsi="Arial" w:cs="Arial"/>
          <w:sz w:val="19"/>
          <w:szCs w:val="19"/>
        </w:rPr>
        <w:footnoteRef/>
      </w:r>
      <w:r w:rsidRPr="00295EBD">
        <w:rPr>
          <w:rFonts w:ascii="Arial" w:hAnsi="Arial" w:cs="Arial"/>
          <w:sz w:val="19"/>
          <w:szCs w:val="19"/>
        </w:rPr>
        <w:t xml:space="preserve"> </w:t>
      </w:r>
      <w:r w:rsidRPr="00295EBD">
        <w:rPr>
          <w:rFonts w:ascii="Arial" w:hAnsi="Arial" w:cs="Arial"/>
          <w:sz w:val="19"/>
          <w:szCs w:val="19"/>
        </w:rPr>
        <w:t xml:space="preserve">COLOMBIA COMPRA EFICIENTE. Guía para la Liquidación de los Procesos de Contratación. página 5, disponible en: </w:t>
      </w:r>
      <w:hyperlink r:id="rId2" w:history="1">
        <w:r w:rsidRPr="00295EBD">
          <w:rPr>
            <w:rStyle w:val="Hipervnculo"/>
            <w:rFonts w:ascii="Arial" w:hAnsi="Arial" w:cs="Arial"/>
            <w:sz w:val="19"/>
            <w:szCs w:val="19"/>
          </w:rPr>
          <w:t>https://www.colombiacompra.gov.co/sites/cce_public/files/cce_documents/cce_guia_liquidacion_procesos.pdf</w:t>
        </w:r>
      </w:hyperlink>
      <w:r w:rsidRPr="00295EBD">
        <w:rPr>
          <w:rFonts w:ascii="Arial" w:hAnsi="Arial" w:cs="Arial"/>
          <w:sz w:val="19"/>
          <w:szCs w:val="19"/>
        </w:rPr>
        <w:t xml:space="preserve"> </w:t>
      </w:r>
    </w:p>
    <w:p w14:paraId="73E35491" w14:textId="77777777" w:rsidR="00977CE6" w:rsidRPr="00295EBD" w:rsidRDefault="00977CE6" w:rsidP="00977CE6">
      <w:pPr>
        <w:pStyle w:val="Textonotapie"/>
        <w:ind w:firstLine="708"/>
        <w:jc w:val="both"/>
        <w:rPr>
          <w:rFonts w:ascii="Arial" w:hAnsi="Arial" w:cs="Arial"/>
          <w:sz w:val="19"/>
          <w:szCs w:val="19"/>
          <w:lang w:val="es-ES"/>
        </w:rPr>
      </w:pPr>
    </w:p>
  </w:footnote>
  <w:footnote w:id="10">
    <w:p w14:paraId="7330404D" w14:textId="77777777" w:rsidR="00977CE6" w:rsidRPr="00295EBD" w:rsidRDefault="00977CE6" w:rsidP="00977CE6">
      <w:pPr>
        <w:pStyle w:val="Textonotapie"/>
        <w:ind w:firstLine="708"/>
        <w:jc w:val="both"/>
        <w:rPr>
          <w:rFonts w:ascii="Arial" w:hAnsi="Arial" w:cs="Arial"/>
          <w:color w:val="000000" w:themeColor="text1"/>
          <w:sz w:val="19"/>
          <w:szCs w:val="19"/>
        </w:rPr>
      </w:pPr>
      <w:r w:rsidRPr="00295EBD">
        <w:rPr>
          <w:rStyle w:val="Refdenotaalpie"/>
          <w:rFonts w:ascii="Arial" w:hAnsi="Arial" w:cs="Arial"/>
          <w:color w:val="000000" w:themeColor="text1"/>
          <w:sz w:val="19"/>
          <w:szCs w:val="19"/>
        </w:rPr>
        <w:footnoteRef/>
      </w:r>
      <w:r w:rsidRPr="00295EBD">
        <w:rPr>
          <w:rFonts w:ascii="Arial" w:hAnsi="Arial" w:cs="Arial"/>
          <w:color w:val="000000" w:themeColor="text1"/>
          <w:sz w:val="19"/>
          <w:szCs w:val="19"/>
        </w:rPr>
        <w:t xml:space="preserve"> </w:t>
      </w:r>
      <w:r w:rsidRPr="00295EBD">
        <w:rPr>
          <w:rFonts w:ascii="Arial" w:hAnsi="Arial" w:cs="Arial"/>
          <w:color w:val="000000" w:themeColor="text1"/>
          <w:sz w:val="19"/>
          <w:szCs w:val="19"/>
        </w:rPr>
        <w:t>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1D1FAD1B" w14:textId="77777777" w:rsidR="00977CE6" w:rsidRPr="00295EBD" w:rsidRDefault="00977CE6" w:rsidP="00977CE6">
      <w:pPr>
        <w:pStyle w:val="Textonotapie"/>
        <w:ind w:firstLine="708"/>
        <w:jc w:val="both"/>
        <w:rPr>
          <w:rFonts w:ascii="Arial" w:hAnsi="Arial" w:cs="Arial"/>
          <w:color w:val="000000" w:themeColor="text1"/>
          <w:sz w:val="19"/>
          <w:szCs w:val="19"/>
          <w:lang w:val="es-ES"/>
        </w:rPr>
      </w:pPr>
    </w:p>
  </w:footnote>
  <w:footnote w:id="11">
    <w:p w14:paraId="6340A445" w14:textId="77777777" w:rsidR="00977CE6" w:rsidRPr="00295EBD" w:rsidRDefault="00977CE6" w:rsidP="00977CE6">
      <w:pPr>
        <w:pStyle w:val="Textonotapie"/>
        <w:ind w:firstLine="708"/>
        <w:jc w:val="both"/>
        <w:rPr>
          <w:rFonts w:ascii="Arial" w:hAnsi="Arial" w:cs="Arial"/>
          <w:sz w:val="19"/>
          <w:szCs w:val="19"/>
        </w:rPr>
      </w:pPr>
      <w:r w:rsidRPr="00295EBD">
        <w:rPr>
          <w:rStyle w:val="Refdenotaalpie"/>
          <w:rFonts w:ascii="Arial" w:hAnsi="Arial" w:cs="Arial"/>
          <w:sz w:val="19"/>
          <w:szCs w:val="19"/>
        </w:rPr>
        <w:footnoteRef/>
      </w:r>
      <w:r w:rsidRPr="00295EBD">
        <w:rPr>
          <w:rFonts w:ascii="Arial" w:hAnsi="Arial" w:cs="Arial"/>
          <w:sz w:val="19"/>
          <w:szCs w:val="19"/>
        </w:rPr>
        <w:t xml:space="preserve"> </w:t>
      </w:r>
      <w:r w:rsidRPr="00295EBD">
        <w:rPr>
          <w:rFonts w:ascii="Arial" w:hAnsi="Arial" w:cs="Arial"/>
          <w:sz w:val="19"/>
          <w:szCs w:val="19"/>
        </w:rPr>
        <w:t xml:space="preserve">CONSEJO DE ESTADO. Sala de Consulta y Servicio Civil. Concepto de 28 de </w:t>
      </w:r>
      <w:r>
        <w:rPr>
          <w:rFonts w:ascii="Arial" w:hAnsi="Arial" w:cs="Arial"/>
          <w:sz w:val="19"/>
          <w:szCs w:val="19"/>
        </w:rPr>
        <w:t>j</w:t>
      </w:r>
      <w:r w:rsidRPr="00295EBD">
        <w:rPr>
          <w:rFonts w:ascii="Arial" w:hAnsi="Arial" w:cs="Arial"/>
          <w:sz w:val="19"/>
          <w:szCs w:val="19"/>
        </w:rPr>
        <w:t xml:space="preserve">unio de 2016. </w:t>
      </w:r>
      <w:r>
        <w:rPr>
          <w:rFonts w:ascii="Arial" w:hAnsi="Arial" w:cs="Arial"/>
          <w:sz w:val="19"/>
          <w:szCs w:val="19"/>
        </w:rPr>
        <w:t>Exp.</w:t>
      </w:r>
      <w:r w:rsidRPr="00295EBD">
        <w:rPr>
          <w:rFonts w:ascii="Arial" w:hAnsi="Arial" w:cs="Arial"/>
          <w:sz w:val="19"/>
          <w:szCs w:val="19"/>
        </w:rPr>
        <w:t xml:space="preserve"> 2253. C.P. Álvaro Namén Vargas. </w:t>
      </w:r>
    </w:p>
    <w:p w14:paraId="41EAE580" w14:textId="77777777" w:rsidR="00977CE6" w:rsidRPr="00295EBD" w:rsidRDefault="00977CE6" w:rsidP="00977CE6">
      <w:pPr>
        <w:pStyle w:val="Textonotapie"/>
        <w:jc w:val="both"/>
        <w:rPr>
          <w:rFonts w:ascii="Arial" w:hAnsi="Arial" w:cs="Arial"/>
          <w:sz w:val="19"/>
          <w:szCs w:val="19"/>
          <w:lang w:val="es-ES"/>
        </w:rPr>
      </w:pPr>
    </w:p>
  </w:footnote>
  <w:footnote w:id="12">
    <w:p w14:paraId="6B7331B2" w14:textId="77777777" w:rsidR="00977CE6" w:rsidRPr="00295EBD" w:rsidRDefault="00977CE6" w:rsidP="00977CE6">
      <w:pPr>
        <w:pStyle w:val="Textonotapie"/>
        <w:ind w:firstLine="708"/>
        <w:jc w:val="both"/>
        <w:rPr>
          <w:rFonts w:ascii="Arial" w:hAnsi="Arial" w:cs="Arial"/>
          <w:sz w:val="19"/>
          <w:szCs w:val="19"/>
          <w:lang w:val="es-ES"/>
        </w:rPr>
      </w:pPr>
      <w:r w:rsidRPr="00295EBD">
        <w:rPr>
          <w:rStyle w:val="Refdenotaalpie"/>
          <w:rFonts w:ascii="Arial" w:hAnsi="Arial" w:cs="Arial"/>
          <w:sz w:val="19"/>
          <w:szCs w:val="19"/>
        </w:rPr>
        <w:footnoteRef/>
      </w:r>
      <w:r w:rsidRPr="00295EBD">
        <w:rPr>
          <w:rFonts w:ascii="Arial" w:hAnsi="Arial" w:cs="Arial"/>
          <w:sz w:val="19"/>
          <w:szCs w:val="19"/>
        </w:rPr>
        <w:t xml:space="preserve"> </w:t>
      </w:r>
      <w:r w:rsidRPr="00295EBD">
        <w:rPr>
          <w:rFonts w:ascii="Arial" w:hAnsi="Arial" w:cs="Arial"/>
          <w:sz w:val="19"/>
          <w:szCs w:val="19"/>
        </w:rPr>
        <w:t xml:space="preserve">CONSEJO DE ESTADO. Sección Tercera. </w:t>
      </w:r>
      <w:r w:rsidRPr="00295EBD">
        <w:rPr>
          <w:rFonts w:ascii="Arial" w:hAnsi="Arial" w:cs="Arial"/>
          <w:sz w:val="19"/>
          <w:szCs w:val="19"/>
          <w:lang w:val="es-CO"/>
        </w:rPr>
        <w:t xml:space="preserve">Sala Plena. Auto del 1 de agosto de 2019. </w:t>
      </w:r>
      <w:r w:rsidRPr="00295EBD">
        <w:rPr>
          <w:rFonts w:ascii="Arial" w:hAnsi="Arial" w:cs="Arial"/>
          <w:sz w:val="19"/>
          <w:szCs w:val="19"/>
        </w:rPr>
        <w:t xml:space="preserve">Exp. 62009. C.P. Jaime Enrique Rodríguez Navas. </w:t>
      </w:r>
      <w:r w:rsidRPr="00295EBD">
        <w:rPr>
          <w:rFonts w:ascii="Arial" w:hAnsi="Arial" w:cs="Arial"/>
          <w:sz w:val="19"/>
          <w:szCs w:val="19"/>
          <w:lang w:val="es-ES"/>
        </w:rPr>
        <w:t xml:space="preserve"> </w:t>
      </w:r>
    </w:p>
  </w:footnote>
  <w:footnote w:id="13">
    <w:p w14:paraId="3D465D78" w14:textId="77777777" w:rsidR="00977CE6" w:rsidRPr="006F57D2" w:rsidRDefault="00977CE6" w:rsidP="00977CE6">
      <w:pPr>
        <w:pStyle w:val="Textonotapie"/>
        <w:ind w:firstLine="708"/>
        <w:jc w:val="both"/>
        <w:rPr>
          <w:rFonts w:ascii="Arial" w:hAnsi="Arial" w:cs="Arial"/>
          <w:sz w:val="19"/>
          <w:szCs w:val="19"/>
          <w:lang w:val="es-ES"/>
        </w:rPr>
      </w:pPr>
      <w:r w:rsidRPr="006F57D2">
        <w:rPr>
          <w:rStyle w:val="Refdenotaalpie"/>
          <w:rFonts w:ascii="Arial" w:hAnsi="Arial" w:cs="Arial"/>
          <w:sz w:val="19"/>
          <w:szCs w:val="19"/>
        </w:rPr>
        <w:footnoteRef/>
      </w:r>
      <w:r w:rsidRPr="006F57D2">
        <w:rPr>
          <w:rFonts w:ascii="Arial" w:hAnsi="Arial" w:cs="Arial"/>
          <w:sz w:val="19"/>
          <w:szCs w:val="19"/>
        </w:rPr>
        <w:t xml:space="preserve"> </w:t>
      </w:r>
      <w:r w:rsidRPr="006F57D2">
        <w:rPr>
          <w:rFonts w:ascii="Arial" w:hAnsi="Arial" w:cs="Arial"/>
          <w:sz w:val="19"/>
          <w:szCs w:val="19"/>
          <w:lang w:val="es-ES"/>
        </w:rPr>
        <w:t xml:space="preserve">Consejo de Estado, Sala de lo Contencioso Administrativo, Sección Tercera, Sala Plena, Consejero Ponente: Jaime Enrique Rodriguez Navas. Sentencia del 1 de agosto de 2019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E34344E"/>
    <w:multiLevelType w:val="hybridMultilevel"/>
    <w:tmpl w:val="F96C29C0"/>
    <w:lvl w:ilvl="0" w:tplc="032E7668">
      <w:start w:val="1"/>
      <w:numFmt w:val="lowerRoman"/>
      <w:lvlText w:val="%1)"/>
      <w:lvlJc w:val="left"/>
      <w:pPr>
        <w:ind w:left="1287" w:hanging="720"/>
      </w:pPr>
      <w:rPr>
        <w:rFonts w:hint="default"/>
        <w:b w:val="0"/>
        <w:bCs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366A2FF3"/>
    <w:multiLevelType w:val="hybridMultilevel"/>
    <w:tmpl w:val="F96C29C0"/>
    <w:lvl w:ilvl="0" w:tplc="032E7668">
      <w:start w:val="1"/>
      <w:numFmt w:val="lowerRoman"/>
      <w:lvlText w:val="%1)"/>
      <w:lvlJc w:val="left"/>
      <w:pPr>
        <w:ind w:left="1429" w:hanging="720"/>
      </w:pPr>
      <w:rPr>
        <w:rFonts w:hint="default"/>
        <w:b w:val="0"/>
        <w:bCs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E6"/>
    <w:rsid w:val="00977CE6"/>
    <w:rsid w:val="00DB15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07CFA3F"/>
  <w15:chartTrackingRefBased/>
  <w15:docId w15:val="{E824918F-0EC4-BA46-B1B6-FDB19779B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CE6"/>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77CE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77CE6"/>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977CE6"/>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77CE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77CE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77CE6"/>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77CE6"/>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77CE6"/>
    <w:rPr>
      <w:vertAlign w:val="superscript"/>
    </w:rPr>
  </w:style>
  <w:style w:type="paragraph" w:customStyle="1" w:styleId="xxmsonospacing">
    <w:name w:val="x_xmsonospacing"/>
    <w:basedOn w:val="Normal"/>
    <w:rsid w:val="00977CE6"/>
    <w:pPr>
      <w:spacing w:before="100" w:beforeAutospacing="1" w:after="100" w:afterAutospacing="1"/>
    </w:pPr>
  </w:style>
  <w:style w:type="paragraph" w:customStyle="1" w:styleId="Appelnotedebasde">
    <w:name w:val="Appel note de bas de..."/>
    <w:basedOn w:val="Normal"/>
    <w:link w:val="Refdenotaalpie"/>
    <w:uiPriority w:val="99"/>
    <w:rsid w:val="00977CE6"/>
    <w:pPr>
      <w:spacing w:after="160" w:line="240" w:lineRule="exact"/>
    </w:pPr>
    <w:rPr>
      <w:rFonts w:asciiTheme="minorHAnsi" w:eastAsiaTheme="minorHAnsi" w:hAnsiTheme="minorHAnsi" w:cstheme="minorBidi"/>
      <w:vertAlign w:val="superscript"/>
      <w:lang w:eastAsia="en-US"/>
    </w:rPr>
  </w:style>
  <w:style w:type="character" w:styleId="Hipervnculo">
    <w:name w:val="Hyperlink"/>
    <w:basedOn w:val="Fuentedeprrafopredeter"/>
    <w:uiPriority w:val="99"/>
    <w:unhideWhenUsed/>
    <w:rsid w:val="00977CE6"/>
    <w:rPr>
      <w:color w:val="0563C1" w:themeColor="hyperlink"/>
      <w:u w:val="single"/>
    </w:rPr>
  </w:style>
  <w:style w:type="paragraph" w:styleId="NormalWeb">
    <w:name w:val="Normal (Web)"/>
    <w:basedOn w:val="Normal"/>
    <w:uiPriority w:val="99"/>
    <w:unhideWhenUsed/>
    <w:rsid w:val="00977CE6"/>
    <w:pPr>
      <w:spacing w:before="100" w:beforeAutospacing="1" w:after="100" w:afterAutospacing="1"/>
    </w:pPr>
  </w:style>
  <w:style w:type="character" w:customStyle="1" w:styleId="apple-converted-space">
    <w:name w:val="apple-converted-space"/>
    <w:basedOn w:val="Fuentedeprrafopredeter"/>
    <w:rsid w:val="00977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liquidacion_procesos.pdf" TargetMode="External"/><Relationship Id="rId1" Type="http://schemas.openxmlformats.org/officeDocument/2006/relationships/hyperlink" Target="https://www.colombiacompra.gov.co/sites/cce_public/files/cce_documents/cce_guia_liquidacion_procesos.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A0E20EB-120A-4ED7-A38D-D4219980A39F}"/>
</file>

<file path=customXml/itemProps2.xml><?xml version="1.0" encoding="utf-8"?>
<ds:datastoreItem xmlns:ds="http://schemas.openxmlformats.org/officeDocument/2006/customXml" ds:itemID="{A4319D0B-E781-4AD9-82F0-4DB99BCF29AF}"/>
</file>

<file path=customXml/itemProps3.xml><?xml version="1.0" encoding="utf-8"?>
<ds:datastoreItem xmlns:ds="http://schemas.openxmlformats.org/officeDocument/2006/customXml" ds:itemID="{8F28A779-1800-4D92-AED1-09A5A3561811}"/>
</file>

<file path=docProps/app.xml><?xml version="1.0" encoding="utf-8"?>
<Properties xmlns="http://schemas.openxmlformats.org/officeDocument/2006/extended-properties" xmlns:vt="http://schemas.openxmlformats.org/officeDocument/2006/docPropsVTypes">
  <Template>Normal.dotm</Template>
  <TotalTime>1</TotalTime>
  <Pages>11</Pages>
  <Words>4023</Words>
  <Characters>22132</Characters>
  <Application>Microsoft Office Word</Application>
  <DocSecurity>0</DocSecurity>
  <Lines>184</Lines>
  <Paragraphs>52</Paragraphs>
  <ScaleCrop>false</ScaleCrop>
  <Company/>
  <LinksUpToDate>false</LinksUpToDate>
  <CharactersWithSpaces>26103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1</cp:revision>
  <dcterms:created xsi:type="dcterms:W3CDTF">2021-05-19T14:23:00Z</dcterms:created>
  <dcterms:modified xsi:type="dcterms:W3CDTF">2021-05-19T14:24:00Z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