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1770" w14:textId="77777777" w:rsidR="000B2F93" w:rsidRPr="0008465D" w:rsidRDefault="000B2F93" w:rsidP="000B2F93">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1FE3ED05" w14:textId="77777777" w:rsidR="00953313" w:rsidRDefault="00953313" w:rsidP="00F11750">
      <w:pPr>
        <w:jc w:val="both"/>
        <w:rPr>
          <w:rFonts w:ascii="Arial" w:eastAsia="Calibri" w:hAnsi="Arial" w:cs="Arial"/>
          <w:b/>
          <w:sz w:val="20"/>
          <w:szCs w:val="20"/>
          <w:lang w:val="es-MX"/>
        </w:rPr>
      </w:pPr>
    </w:p>
    <w:p w14:paraId="7F9923C0" w14:textId="5D6848D3" w:rsidR="00A95548" w:rsidRPr="003B2A1E" w:rsidRDefault="00A95548" w:rsidP="00CD65F4">
      <w:pPr>
        <w:tabs>
          <w:tab w:val="left" w:pos="0"/>
        </w:tabs>
        <w:jc w:val="both"/>
        <w:rPr>
          <w:rFonts w:ascii="Arial" w:eastAsia="Calibri" w:hAnsi="Arial" w:cs="Arial"/>
          <w:b/>
          <w:sz w:val="22"/>
          <w:szCs w:val="22"/>
        </w:rPr>
      </w:pPr>
      <w:r w:rsidRPr="003B2A1E">
        <w:rPr>
          <w:rFonts w:ascii="Arial" w:eastAsia="Calibri" w:hAnsi="Arial" w:cs="Arial"/>
          <w:b/>
          <w:sz w:val="22"/>
          <w:szCs w:val="22"/>
        </w:rPr>
        <w:t>CAPACIDAD RESIDUAL – C</w:t>
      </w:r>
      <w:r w:rsidR="00183225" w:rsidRPr="003B2A1E">
        <w:rPr>
          <w:rFonts w:ascii="Arial" w:eastAsia="Calibri" w:hAnsi="Arial" w:cs="Arial"/>
          <w:b/>
          <w:sz w:val="22"/>
          <w:szCs w:val="22"/>
        </w:rPr>
        <w:t>á</w:t>
      </w:r>
      <w:r w:rsidRPr="003B2A1E">
        <w:rPr>
          <w:rFonts w:ascii="Arial" w:eastAsia="Calibri" w:hAnsi="Arial" w:cs="Arial"/>
          <w:b/>
          <w:sz w:val="22"/>
          <w:szCs w:val="22"/>
        </w:rPr>
        <w:t xml:space="preserve">lculo </w:t>
      </w:r>
    </w:p>
    <w:p w14:paraId="1580894F" w14:textId="77777777" w:rsidR="00CD65F4" w:rsidRDefault="00CD65F4" w:rsidP="00CD65F4">
      <w:pPr>
        <w:tabs>
          <w:tab w:val="left" w:pos="0"/>
        </w:tabs>
        <w:jc w:val="both"/>
        <w:rPr>
          <w:rFonts w:ascii="Arial" w:eastAsia="Calibri" w:hAnsi="Arial" w:cs="Arial"/>
          <w:b/>
        </w:rPr>
      </w:pPr>
    </w:p>
    <w:p w14:paraId="48BEBAE2" w14:textId="60347AF6" w:rsidR="00455152" w:rsidRDefault="00455152" w:rsidP="00CD65F4">
      <w:pPr>
        <w:tabs>
          <w:tab w:val="left" w:pos="0"/>
        </w:tabs>
        <w:jc w:val="both"/>
        <w:rPr>
          <w:rFonts w:ascii="Arial" w:hAnsi="Arial" w:cs="Arial"/>
          <w:sz w:val="20"/>
          <w:szCs w:val="20"/>
        </w:rPr>
      </w:pPr>
      <w:r w:rsidRPr="00455152">
        <w:rPr>
          <w:rFonts w:ascii="Arial" w:eastAsiaTheme="minorHAnsi" w:hAnsi="Arial" w:cs="Arial"/>
          <w:color w:val="000000" w:themeColor="text1"/>
          <w:sz w:val="20"/>
          <w:szCs w:val="20"/>
          <w:lang w:val="es-MX"/>
        </w:rPr>
        <w:t>De acuerdo con la definición establecida en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selección. Por su parte, el Consejo de Estado ha definido la capacidad residual como «[…] la diferencia que existe entre el potencial de contratación que se tiene y los compromisos que haya adquirido y que se encuentren en ejecución, para la fecha de presentación de la oferta».En tales términos, la capacidad residual hace referencia a la suficiencia que tiene el proponente para asumir nuevas obligaciones que se derivan del contrato objeto del proceso de contratación, en relación con las obligaciones que ya adquirió frente a otros contratos</w:t>
      </w:r>
      <w:r w:rsidRPr="00455152">
        <w:rPr>
          <w:rFonts w:ascii="Arial" w:hAnsi="Arial" w:cs="Arial"/>
          <w:sz w:val="20"/>
          <w:szCs w:val="20"/>
        </w:rPr>
        <w:t xml:space="preserve">. </w:t>
      </w:r>
    </w:p>
    <w:p w14:paraId="585E091E" w14:textId="77777777" w:rsidR="00CD65F4" w:rsidRPr="00455152" w:rsidRDefault="00CD65F4" w:rsidP="00CD65F4">
      <w:pPr>
        <w:tabs>
          <w:tab w:val="left" w:pos="0"/>
        </w:tabs>
        <w:jc w:val="both"/>
        <w:rPr>
          <w:rFonts w:ascii="Arial" w:eastAsia="Calibri" w:hAnsi="Arial" w:cs="Arial"/>
          <w:b/>
          <w:sz w:val="20"/>
          <w:szCs w:val="20"/>
        </w:rPr>
      </w:pPr>
    </w:p>
    <w:p w14:paraId="12E9BD11" w14:textId="2A909E1D" w:rsidR="00A95548" w:rsidRPr="003B2A1E" w:rsidRDefault="00CD65F4" w:rsidP="00CD65F4">
      <w:pPr>
        <w:tabs>
          <w:tab w:val="left" w:pos="0"/>
        </w:tabs>
        <w:jc w:val="both"/>
        <w:rPr>
          <w:rFonts w:ascii="Arial" w:eastAsia="Calibri" w:hAnsi="Arial" w:cs="Arial"/>
          <w:b/>
          <w:sz w:val="22"/>
          <w:szCs w:val="22"/>
        </w:rPr>
      </w:pPr>
      <w:r w:rsidRPr="003B2A1E">
        <w:rPr>
          <w:rFonts w:ascii="Arial" w:eastAsia="Calibri" w:hAnsi="Arial" w:cs="Arial"/>
          <w:b/>
          <w:sz w:val="22"/>
          <w:szCs w:val="22"/>
        </w:rPr>
        <w:t>SALDOS DE CONTRATOS EN EJECUCIÓN</w:t>
      </w:r>
      <w:r w:rsidR="00A95548" w:rsidRPr="003B2A1E">
        <w:rPr>
          <w:rFonts w:ascii="Arial" w:eastAsia="Calibri" w:hAnsi="Arial" w:cs="Arial"/>
          <w:b/>
          <w:sz w:val="22"/>
          <w:szCs w:val="22"/>
        </w:rPr>
        <w:t xml:space="preserve"> – Acreditación – Aplicativo </w:t>
      </w:r>
    </w:p>
    <w:p w14:paraId="090E8CB0" w14:textId="77777777" w:rsidR="00CD65F4" w:rsidRPr="00150841" w:rsidRDefault="00CD65F4" w:rsidP="00CD65F4">
      <w:pPr>
        <w:tabs>
          <w:tab w:val="left" w:pos="0"/>
        </w:tabs>
        <w:jc w:val="both"/>
        <w:rPr>
          <w:rFonts w:ascii="Arial" w:eastAsia="Calibri" w:hAnsi="Arial" w:cs="Arial"/>
          <w:b/>
        </w:rPr>
      </w:pPr>
    </w:p>
    <w:p w14:paraId="1C77F7E3" w14:textId="73605EBE" w:rsidR="00455152" w:rsidRPr="00455152" w:rsidRDefault="00455152" w:rsidP="00455152">
      <w:pPr>
        <w:spacing w:after="120"/>
        <w:jc w:val="both"/>
        <w:rPr>
          <w:rFonts w:ascii="Arial" w:eastAsia="Arial" w:hAnsi="Arial" w:cs="Arial"/>
          <w:sz w:val="20"/>
          <w:szCs w:val="20"/>
          <w:lang w:eastAsia="es-ES" w:bidi="es-ES"/>
        </w:rPr>
      </w:pPr>
      <w:r w:rsidRPr="00455152">
        <w:rPr>
          <w:rFonts w:ascii="Arial" w:eastAsia="Arial," w:hAnsi="Arial" w:cs="Arial"/>
          <w:sz w:val="20"/>
          <w:szCs w:val="20"/>
        </w:rPr>
        <w:t xml:space="preserve">Para facilitar la implementación de la metodología para el cálculo de la capacidad residual, esta Agencia ha puesto a disposición de la ciudadanía una «Aplicación para establecer la Capacidad Residual», que sirve para calcular la capacidad residual en los procesos de selección, a la cual se puede acceder mediante el </w:t>
      </w:r>
      <w:r w:rsidRPr="00455152">
        <w:rPr>
          <w:rFonts w:ascii="Arial" w:eastAsia="Arial" w:hAnsi="Arial" w:cs="Arial"/>
          <w:sz w:val="20"/>
          <w:szCs w:val="20"/>
          <w:lang w:eastAsia="es-ES" w:bidi="es-ES"/>
        </w:rPr>
        <w:t xml:space="preserve">enlace incluido en la siguiente nota al pie. </w:t>
      </w:r>
    </w:p>
    <w:p w14:paraId="636D7908" w14:textId="168A1783" w:rsidR="00455152" w:rsidRDefault="00455152" w:rsidP="00CD65F4">
      <w:pPr>
        <w:jc w:val="both"/>
        <w:rPr>
          <w:rFonts w:ascii="Arial" w:eastAsia="Arial," w:hAnsi="Arial" w:cs="Arial"/>
          <w:sz w:val="20"/>
          <w:szCs w:val="20"/>
        </w:rPr>
      </w:pPr>
      <w:r w:rsidRPr="00455152">
        <w:rPr>
          <w:rFonts w:ascii="Arial" w:eastAsia="Arial" w:hAnsi="Arial" w:cs="Arial"/>
          <w:sz w:val="20"/>
          <w:szCs w:val="20"/>
          <w:lang w:eastAsia="es-ES" w:bidi="es-ES"/>
        </w:rPr>
        <w:t>Este, pregunta, en primer lugar, el número de contratos en ejecución, y tras darse clic en el botón «Guardar información» despliega una tabla con una fila para cada contrato, cada una de las cuales consta de cinco columnas en las que se debe indicar: i) Valor en pesos colombianos del contrato; ii) la fecha inicio; iii) el plazo expresado en meses;  iv) establecer si trata o no de un contrato ejecutado por un contratista plural; v) el porcentaje de participación en la ejecución del contrato; vi) indicar si el contrato se encuentra suspendido o no; y vii) la fecha de suspensión.</w:t>
      </w:r>
      <w:r w:rsidRPr="00455152">
        <w:rPr>
          <w:rFonts w:ascii="Arial" w:eastAsia="Arial," w:hAnsi="Arial" w:cs="Arial"/>
          <w:sz w:val="20"/>
          <w:szCs w:val="20"/>
        </w:rPr>
        <w:t xml:space="preserve"> Referente a las ultimas columnas, es necesario resaltar que la información solicitada se refiere a si el contrato se encuentra suspendido, caso en el cual se debe informar la fecha de suspensión. Al respecto, es necesario aclarar que la información que se requiere es únicamente la solicitada por el aplicativo y no una distinta a esta, lo cual es plenamente coincidente con las consideraciones efectuadas en relación con la capacidad residual. </w:t>
      </w:r>
    </w:p>
    <w:p w14:paraId="4AB4C08D" w14:textId="77777777" w:rsidR="00CD65F4" w:rsidRPr="00455152" w:rsidRDefault="00CD65F4" w:rsidP="00CD65F4">
      <w:pPr>
        <w:jc w:val="both"/>
        <w:rPr>
          <w:rFonts w:ascii="Arial" w:eastAsia="Arial," w:hAnsi="Arial" w:cs="Arial"/>
          <w:sz w:val="20"/>
          <w:szCs w:val="20"/>
        </w:rPr>
      </w:pPr>
    </w:p>
    <w:p w14:paraId="6A004B3B" w14:textId="4B67EEE4" w:rsidR="00FF0B9E" w:rsidRPr="003B2A1E" w:rsidRDefault="00CD65F4" w:rsidP="00E87923">
      <w:pPr>
        <w:tabs>
          <w:tab w:val="left" w:pos="0"/>
        </w:tabs>
        <w:spacing w:after="120"/>
        <w:jc w:val="both"/>
        <w:rPr>
          <w:rFonts w:ascii="Arial" w:eastAsia="Calibri" w:hAnsi="Arial" w:cs="Arial"/>
          <w:b/>
          <w:sz w:val="22"/>
          <w:szCs w:val="22"/>
          <w:lang w:val="es-MX"/>
        </w:rPr>
      </w:pPr>
      <w:r w:rsidRPr="003B2A1E">
        <w:rPr>
          <w:rFonts w:ascii="Arial" w:eastAsia="Calibri" w:hAnsi="Arial" w:cs="Arial"/>
          <w:b/>
          <w:sz w:val="22"/>
          <w:szCs w:val="22"/>
          <w:lang w:val="es-MX"/>
        </w:rPr>
        <w:t>CONTRATOS EN EJECUCIÓN</w:t>
      </w:r>
      <w:r w:rsidR="00455152" w:rsidRPr="003B2A1E">
        <w:rPr>
          <w:rFonts w:ascii="Arial" w:eastAsia="Calibri" w:hAnsi="Arial" w:cs="Arial"/>
          <w:b/>
          <w:sz w:val="22"/>
          <w:szCs w:val="22"/>
          <w:lang w:val="es-MX"/>
        </w:rPr>
        <w:t xml:space="preserve"> – Actas de inicio de contratos </w:t>
      </w:r>
    </w:p>
    <w:p w14:paraId="04D698D1" w14:textId="009C00B4" w:rsidR="00625F10" w:rsidRPr="00625F10" w:rsidRDefault="00625F10" w:rsidP="00625F10">
      <w:pPr>
        <w:jc w:val="both"/>
        <w:rPr>
          <w:rFonts w:ascii="Arial" w:hAnsi="Arial" w:cs="Arial"/>
          <w:i/>
          <w:iCs/>
          <w:sz w:val="20"/>
          <w:szCs w:val="20"/>
        </w:rPr>
      </w:pPr>
      <w:r w:rsidRPr="00625F10">
        <w:rPr>
          <w:rFonts w:ascii="Arial" w:hAnsi="Arial" w:cs="Arial"/>
          <w:sz w:val="20"/>
          <w:szCs w:val="20"/>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En este sentido, la «</w:t>
      </w:r>
      <w:r w:rsidRPr="00625F10">
        <w:rPr>
          <w:rFonts w:ascii="Arial" w:hAnsi="Arial" w:cs="Arial"/>
          <w:i/>
          <w:iCs/>
          <w:sz w:val="20"/>
          <w:szCs w:val="20"/>
        </w:rPr>
        <w:t xml:space="preserve">Guía para Determinar y Verificar la Capacidad Residual del Proponente en los Procesos de Contratación de Obra Pública» </w:t>
      </w:r>
      <w:r w:rsidRPr="00625F10">
        <w:rPr>
          <w:rFonts w:ascii="Arial" w:hAnsi="Arial" w:cs="Arial"/>
          <w:sz w:val="20"/>
          <w:szCs w:val="20"/>
        </w:rPr>
        <w:t xml:space="preserve">define los </w:t>
      </w:r>
      <w:r w:rsidRPr="00625F10">
        <w:rPr>
          <w:rFonts w:ascii="Arial" w:hAnsi="Arial" w:cs="Arial"/>
          <w:i/>
          <w:iCs/>
          <w:sz w:val="20"/>
          <w:szCs w:val="20"/>
        </w:rPr>
        <w:t>Contratos en ejecución</w:t>
      </w:r>
      <w:r w:rsidRPr="00625F10">
        <w:rPr>
          <w:rFonts w:ascii="Arial" w:hAnsi="Arial" w:cs="Arial"/>
          <w:sz w:val="20"/>
          <w:szCs w:val="20"/>
        </w:rPr>
        <w:t xml:space="preserve"> de la siguiente manera: </w:t>
      </w:r>
      <w:r w:rsidRPr="00625F10">
        <w:rPr>
          <w:rFonts w:ascii="Arial" w:hAnsi="Arial" w:cs="Arial"/>
          <w:i/>
          <w:iCs/>
          <w:sz w:val="20"/>
          <w:szCs w:val="20"/>
        </w:rPr>
        <w:t xml:space="preserve"> </w:t>
      </w:r>
      <w:r w:rsidRPr="00625F10">
        <w:rPr>
          <w:rFonts w:ascii="Arial" w:hAnsi="Arial" w:cs="Arial"/>
          <w:sz w:val="20"/>
          <w:szCs w:val="20"/>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625F10">
        <w:rPr>
          <w:rFonts w:ascii="Arial" w:hAnsi="Arial" w:cs="Arial"/>
          <w:sz w:val="20"/>
          <w:szCs w:val="20"/>
          <w:u w:val="single"/>
        </w:rPr>
        <w:t xml:space="preserve">incluyendo los contratos suspendidos y aquellos que no tengan acta de inicio. </w:t>
      </w:r>
      <w:r w:rsidRPr="00625F10">
        <w:rPr>
          <w:rFonts w:ascii="Arial" w:hAnsi="Arial" w:cs="Arial"/>
          <w:sz w:val="20"/>
          <w:szCs w:val="20"/>
        </w:rPr>
        <w:t>No se entenderán como contratos en ejecución los que se encuentren en liquidación. [Subrayas fuera del texto].</w:t>
      </w:r>
    </w:p>
    <w:p w14:paraId="37B13203" w14:textId="5F3147CA" w:rsidR="00625F10" w:rsidRPr="00625F10" w:rsidRDefault="00625F10" w:rsidP="00625F10">
      <w:pPr>
        <w:pStyle w:val="NormalWeb"/>
        <w:spacing w:after="0" w:afterAutospacing="0"/>
        <w:jc w:val="both"/>
        <w:rPr>
          <w:rFonts w:ascii="Arial" w:hAnsi="Arial" w:cs="Arial"/>
          <w:color w:val="000000" w:themeColor="text1"/>
          <w:sz w:val="20"/>
          <w:szCs w:val="20"/>
        </w:rPr>
      </w:pPr>
      <w:r w:rsidRPr="00625F10">
        <w:rPr>
          <w:rFonts w:ascii="Arial" w:hAnsi="Arial" w:cs="Arial"/>
          <w:color w:val="000000" w:themeColor="text1"/>
          <w:sz w:val="20"/>
          <w:szCs w:val="20"/>
        </w:rPr>
        <w:t xml:space="preserve">Lo anterior toda vez que los contratos que se encuentren en ejecución son aquellos que se encuentran celebrados y perfeccionados, se entiende por perfeccionado el contrato estatal que, </w:t>
      </w:r>
      <w:r w:rsidRPr="00625F10">
        <w:rPr>
          <w:rFonts w:ascii="Arial" w:hAnsi="Arial" w:cs="Arial"/>
          <w:color w:val="000000" w:themeColor="text1"/>
          <w:sz w:val="20"/>
          <w:szCs w:val="20"/>
        </w:rPr>
        <w:lastRenderedPageBreak/>
        <w:t xml:space="preserve">cuenta con el acuerdo de voluntades al que llegan las partes, y que adicionalmente se eleva por escrito. </w:t>
      </w:r>
    </w:p>
    <w:p w14:paraId="6D446D41" w14:textId="77777777" w:rsidR="00CD65F4" w:rsidRPr="00455152" w:rsidRDefault="00CD65F4" w:rsidP="00E87923">
      <w:pPr>
        <w:tabs>
          <w:tab w:val="left" w:pos="0"/>
        </w:tabs>
        <w:spacing w:after="120"/>
        <w:jc w:val="both"/>
        <w:rPr>
          <w:rFonts w:ascii="Arial" w:eastAsia="Calibri" w:hAnsi="Arial" w:cs="Arial"/>
          <w:b/>
          <w:lang w:val="es-MX"/>
        </w:rPr>
      </w:pPr>
    </w:p>
    <w:p w14:paraId="39EF539A" w14:textId="77777777" w:rsidR="00455152" w:rsidRDefault="00455152" w:rsidP="00E87923">
      <w:pPr>
        <w:tabs>
          <w:tab w:val="left" w:pos="0"/>
        </w:tabs>
        <w:spacing w:after="120"/>
        <w:jc w:val="both"/>
        <w:rPr>
          <w:rFonts w:ascii="Arial" w:eastAsia="Calibri" w:hAnsi="Arial" w:cs="Arial"/>
          <w:b/>
          <w:sz w:val="22"/>
          <w:szCs w:val="22"/>
          <w:lang w:val="es-MX"/>
        </w:rPr>
      </w:pPr>
    </w:p>
    <w:p w14:paraId="119076D4" w14:textId="6E2B5AD6" w:rsidR="00FF0B9E" w:rsidRDefault="00FF0B9E" w:rsidP="00E87923">
      <w:pPr>
        <w:tabs>
          <w:tab w:val="left" w:pos="0"/>
        </w:tabs>
        <w:spacing w:after="120"/>
        <w:jc w:val="both"/>
        <w:rPr>
          <w:rFonts w:ascii="Arial" w:eastAsia="Calibri" w:hAnsi="Arial" w:cs="Arial"/>
          <w:b/>
          <w:sz w:val="22"/>
          <w:szCs w:val="22"/>
          <w:lang w:val="es-MX"/>
        </w:rPr>
      </w:pPr>
    </w:p>
    <w:p w14:paraId="1048A9F3" w14:textId="4EAC7976" w:rsidR="00FF0B9E" w:rsidRDefault="00FF0B9E" w:rsidP="00E87923">
      <w:pPr>
        <w:tabs>
          <w:tab w:val="left" w:pos="0"/>
        </w:tabs>
        <w:spacing w:after="120"/>
        <w:jc w:val="both"/>
        <w:rPr>
          <w:rFonts w:ascii="Arial" w:eastAsia="Calibri" w:hAnsi="Arial" w:cs="Arial"/>
          <w:b/>
          <w:sz w:val="22"/>
          <w:szCs w:val="22"/>
          <w:lang w:val="es-MX"/>
        </w:rPr>
      </w:pPr>
    </w:p>
    <w:p w14:paraId="49BC87D2" w14:textId="60B368F7" w:rsidR="00FF0B9E" w:rsidRDefault="00FF0B9E" w:rsidP="00E87923">
      <w:pPr>
        <w:tabs>
          <w:tab w:val="left" w:pos="0"/>
        </w:tabs>
        <w:spacing w:after="120"/>
        <w:jc w:val="both"/>
        <w:rPr>
          <w:rFonts w:ascii="Arial" w:eastAsia="Calibri" w:hAnsi="Arial" w:cs="Arial"/>
          <w:b/>
          <w:sz w:val="22"/>
          <w:szCs w:val="22"/>
          <w:lang w:val="es-MX"/>
        </w:rPr>
      </w:pPr>
    </w:p>
    <w:p w14:paraId="5DCEB83A" w14:textId="5E7E6382" w:rsidR="00FF0B9E" w:rsidRDefault="00FF0B9E" w:rsidP="00E87923">
      <w:pPr>
        <w:tabs>
          <w:tab w:val="left" w:pos="0"/>
        </w:tabs>
        <w:spacing w:after="120"/>
        <w:jc w:val="both"/>
        <w:rPr>
          <w:rFonts w:ascii="Arial" w:eastAsia="Calibri" w:hAnsi="Arial" w:cs="Arial"/>
          <w:b/>
          <w:sz w:val="22"/>
          <w:szCs w:val="22"/>
          <w:lang w:val="es-MX"/>
        </w:rPr>
      </w:pPr>
    </w:p>
    <w:p w14:paraId="31BC5548" w14:textId="212089F1" w:rsidR="00FF0B9E" w:rsidRDefault="00FF0B9E" w:rsidP="00E87923">
      <w:pPr>
        <w:tabs>
          <w:tab w:val="left" w:pos="0"/>
        </w:tabs>
        <w:spacing w:after="120"/>
        <w:jc w:val="both"/>
        <w:rPr>
          <w:rFonts w:ascii="Arial" w:eastAsia="Calibri" w:hAnsi="Arial" w:cs="Arial"/>
          <w:b/>
          <w:sz w:val="22"/>
          <w:szCs w:val="22"/>
          <w:lang w:val="es-MX"/>
        </w:rPr>
      </w:pPr>
    </w:p>
    <w:p w14:paraId="06748ECA" w14:textId="752051F1" w:rsidR="00B65034" w:rsidRDefault="00B65034" w:rsidP="008F1F27">
      <w:pPr>
        <w:rPr>
          <w:rFonts w:ascii="Arial" w:eastAsia="Calibri" w:hAnsi="Arial" w:cs="Arial"/>
          <w:b/>
          <w:sz w:val="22"/>
          <w:szCs w:val="22"/>
          <w:lang w:val="es-MX"/>
        </w:rPr>
      </w:pPr>
    </w:p>
    <w:p w14:paraId="73F48A27" w14:textId="7BD3B794" w:rsidR="00CD65F4" w:rsidRDefault="00CD65F4" w:rsidP="008F1F27">
      <w:pPr>
        <w:rPr>
          <w:rFonts w:ascii="Arial" w:eastAsia="Calibri" w:hAnsi="Arial" w:cs="Arial"/>
          <w:b/>
          <w:sz w:val="22"/>
          <w:szCs w:val="22"/>
          <w:lang w:val="es-MX"/>
        </w:rPr>
      </w:pPr>
    </w:p>
    <w:p w14:paraId="04369FD5" w14:textId="3E9E5F28" w:rsidR="00625F10" w:rsidRDefault="00625F10" w:rsidP="008F1F27">
      <w:pPr>
        <w:rPr>
          <w:rFonts w:ascii="Arial" w:eastAsia="Calibri" w:hAnsi="Arial" w:cs="Arial"/>
          <w:b/>
          <w:sz w:val="22"/>
          <w:szCs w:val="22"/>
          <w:lang w:val="es-MX"/>
        </w:rPr>
      </w:pPr>
    </w:p>
    <w:p w14:paraId="5CB564E2" w14:textId="35EC2CC3" w:rsidR="00625F10" w:rsidRDefault="00625F10" w:rsidP="008F1F27">
      <w:pPr>
        <w:rPr>
          <w:rFonts w:ascii="Arial" w:eastAsia="Calibri" w:hAnsi="Arial" w:cs="Arial"/>
          <w:b/>
          <w:sz w:val="22"/>
          <w:szCs w:val="22"/>
          <w:lang w:val="es-MX"/>
        </w:rPr>
      </w:pPr>
    </w:p>
    <w:p w14:paraId="407DF594" w14:textId="3B430635" w:rsidR="00625F10" w:rsidRDefault="00625F10" w:rsidP="008F1F27">
      <w:pPr>
        <w:rPr>
          <w:rFonts w:ascii="Arial" w:eastAsia="Calibri" w:hAnsi="Arial" w:cs="Arial"/>
          <w:b/>
          <w:sz w:val="22"/>
          <w:szCs w:val="22"/>
          <w:lang w:val="es-MX"/>
        </w:rPr>
      </w:pPr>
    </w:p>
    <w:p w14:paraId="1551F81F" w14:textId="04A88113" w:rsidR="00625F10" w:rsidRDefault="00625F10" w:rsidP="008F1F27">
      <w:pPr>
        <w:rPr>
          <w:rFonts w:ascii="Arial" w:eastAsia="Calibri" w:hAnsi="Arial" w:cs="Arial"/>
          <w:b/>
          <w:sz w:val="22"/>
          <w:szCs w:val="22"/>
          <w:lang w:val="es-MX"/>
        </w:rPr>
      </w:pPr>
    </w:p>
    <w:p w14:paraId="4F6C7823" w14:textId="0F49C670" w:rsidR="00625F10" w:rsidRDefault="00625F10" w:rsidP="008F1F27">
      <w:pPr>
        <w:rPr>
          <w:rFonts w:ascii="Arial" w:eastAsia="Calibri" w:hAnsi="Arial" w:cs="Arial"/>
          <w:b/>
          <w:sz w:val="22"/>
          <w:szCs w:val="22"/>
          <w:lang w:val="es-MX"/>
        </w:rPr>
      </w:pPr>
    </w:p>
    <w:p w14:paraId="1C4E637F" w14:textId="064BCA72" w:rsidR="00625F10" w:rsidRDefault="00625F10" w:rsidP="008F1F27">
      <w:pPr>
        <w:rPr>
          <w:rFonts w:ascii="Arial" w:eastAsia="Calibri" w:hAnsi="Arial" w:cs="Arial"/>
          <w:b/>
          <w:sz w:val="22"/>
          <w:szCs w:val="22"/>
          <w:lang w:val="es-MX"/>
        </w:rPr>
      </w:pPr>
    </w:p>
    <w:p w14:paraId="24A21995" w14:textId="79BC3C5F" w:rsidR="00625F10" w:rsidRDefault="00625F10" w:rsidP="008F1F27">
      <w:pPr>
        <w:rPr>
          <w:rFonts w:ascii="Arial" w:eastAsia="Calibri" w:hAnsi="Arial" w:cs="Arial"/>
          <w:b/>
          <w:sz w:val="22"/>
          <w:szCs w:val="22"/>
          <w:lang w:val="es-MX"/>
        </w:rPr>
      </w:pPr>
    </w:p>
    <w:p w14:paraId="45650125" w14:textId="4EE9D35D" w:rsidR="00625F10" w:rsidRDefault="00625F10" w:rsidP="008F1F27">
      <w:pPr>
        <w:rPr>
          <w:rFonts w:ascii="Arial" w:eastAsia="Calibri" w:hAnsi="Arial" w:cs="Arial"/>
          <w:b/>
          <w:sz w:val="22"/>
          <w:szCs w:val="22"/>
          <w:lang w:val="es-MX"/>
        </w:rPr>
      </w:pPr>
    </w:p>
    <w:p w14:paraId="7B5E7857" w14:textId="723B8E79" w:rsidR="00625F10" w:rsidRDefault="00625F10" w:rsidP="008F1F27">
      <w:pPr>
        <w:rPr>
          <w:rFonts w:ascii="Arial" w:eastAsia="Calibri" w:hAnsi="Arial" w:cs="Arial"/>
          <w:b/>
          <w:sz w:val="22"/>
          <w:szCs w:val="22"/>
          <w:lang w:val="es-MX"/>
        </w:rPr>
      </w:pPr>
    </w:p>
    <w:p w14:paraId="71D5B54F" w14:textId="2E99938F" w:rsidR="00625F10" w:rsidRDefault="00625F10" w:rsidP="008F1F27">
      <w:pPr>
        <w:rPr>
          <w:rFonts w:ascii="Arial" w:eastAsia="Calibri" w:hAnsi="Arial" w:cs="Arial"/>
          <w:b/>
          <w:sz w:val="22"/>
          <w:szCs w:val="22"/>
          <w:lang w:val="es-MX"/>
        </w:rPr>
      </w:pPr>
    </w:p>
    <w:p w14:paraId="54BE922A" w14:textId="2DFA3E75" w:rsidR="00625F10" w:rsidRDefault="00625F10" w:rsidP="008F1F27">
      <w:pPr>
        <w:rPr>
          <w:rFonts w:ascii="Arial" w:eastAsia="Calibri" w:hAnsi="Arial" w:cs="Arial"/>
          <w:b/>
          <w:sz w:val="22"/>
          <w:szCs w:val="22"/>
          <w:lang w:val="es-MX"/>
        </w:rPr>
      </w:pPr>
    </w:p>
    <w:p w14:paraId="743AE93D" w14:textId="1312C817" w:rsidR="00625F10" w:rsidRDefault="00625F10" w:rsidP="008F1F27">
      <w:pPr>
        <w:rPr>
          <w:rFonts w:ascii="Arial" w:eastAsia="Calibri" w:hAnsi="Arial" w:cs="Arial"/>
          <w:b/>
          <w:sz w:val="22"/>
          <w:szCs w:val="22"/>
          <w:lang w:val="es-MX"/>
        </w:rPr>
      </w:pPr>
    </w:p>
    <w:p w14:paraId="5292E8CE" w14:textId="68FA077E" w:rsidR="00625F10" w:rsidRDefault="00625F10" w:rsidP="008F1F27">
      <w:pPr>
        <w:rPr>
          <w:rFonts w:ascii="Arial" w:eastAsia="Calibri" w:hAnsi="Arial" w:cs="Arial"/>
          <w:b/>
          <w:sz w:val="22"/>
          <w:szCs w:val="22"/>
          <w:lang w:val="es-MX"/>
        </w:rPr>
      </w:pPr>
    </w:p>
    <w:p w14:paraId="5AFE52C0" w14:textId="69B971C1" w:rsidR="00625F10" w:rsidRDefault="00625F10" w:rsidP="008F1F27">
      <w:pPr>
        <w:rPr>
          <w:rFonts w:ascii="Arial" w:eastAsia="Calibri" w:hAnsi="Arial" w:cs="Arial"/>
          <w:b/>
          <w:sz w:val="22"/>
          <w:szCs w:val="22"/>
          <w:lang w:val="es-MX"/>
        </w:rPr>
      </w:pPr>
    </w:p>
    <w:p w14:paraId="0A4DE96F" w14:textId="6A010583" w:rsidR="00625F10" w:rsidRDefault="00625F10" w:rsidP="008F1F27">
      <w:pPr>
        <w:rPr>
          <w:rFonts w:ascii="Arial" w:eastAsia="Calibri" w:hAnsi="Arial" w:cs="Arial"/>
          <w:b/>
          <w:sz w:val="22"/>
          <w:szCs w:val="22"/>
          <w:lang w:val="es-MX"/>
        </w:rPr>
      </w:pPr>
    </w:p>
    <w:p w14:paraId="443D69A7" w14:textId="030AF733" w:rsidR="00625F10" w:rsidRDefault="00625F10" w:rsidP="008F1F27">
      <w:pPr>
        <w:rPr>
          <w:rFonts w:ascii="Arial" w:eastAsia="Calibri" w:hAnsi="Arial" w:cs="Arial"/>
          <w:b/>
          <w:sz w:val="22"/>
          <w:szCs w:val="22"/>
          <w:lang w:val="es-MX"/>
        </w:rPr>
      </w:pPr>
    </w:p>
    <w:p w14:paraId="56BA1699" w14:textId="3C01D8D5" w:rsidR="00625F10" w:rsidRDefault="00625F10" w:rsidP="008F1F27">
      <w:pPr>
        <w:rPr>
          <w:rFonts w:ascii="Arial" w:eastAsia="Calibri" w:hAnsi="Arial" w:cs="Arial"/>
          <w:b/>
          <w:sz w:val="22"/>
          <w:szCs w:val="22"/>
          <w:lang w:val="es-MX"/>
        </w:rPr>
      </w:pPr>
    </w:p>
    <w:p w14:paraId="2DE8276A" w14:textId="3E3CE4A6" w:rsidR="00625F10" w:rsidRDefault="00625F10" w:rsidP="008F1F27">
      <w:pPr>
        <w:rPr>
          <w:rFonts w:ascii="Arial" w:eastAsia="Calibri" w:hAnsi="Arial" w:cs="Arial"/>
          <w:b/>
          <w:sz w:val="22"/>
          <w:szCs w:val="22"/>
          <w:lang w:val="es-MX"/>
        </w:rPr>
      </w:pPr>
    </w:p>
    <w:p w14:paraId="411C97A9" w14:textId="00F302B1" w:rsidR="00625F10" w:rsidRDefault="00625F10" w:rsidP="008F1F27">
      <w:pPr>
        <w:rPr>
          <w:rFonts w:ascii="Arial" w:eastAsia="Calibri" w:hAnsi="Arial" w:cs="Arial"/>
          <w:b/>
          <w:sz w:val="22"/>
          <w:szCs w:val="22"/>
          <w:lang w:val="es-MX"/>
        </w:rPr>
      </w:pPr>
    </w:p>
    <w:p w14:paraId="05BB010B" w14:textId="7223B413" w:rsidR="00625F10" w:rsidRDefault="00625F10" w:rsidP="008F1F27">
      <w:pPr>
        <w:rPr>
          <w:rFonts w:ascii="Arial" w:eastAsia="Calibri" w:hAnsi="Arial" w:cs="Arial"/>
          <w:b/>
          <w:sz w:val="22"/>
          <w:szCs w:val="22"/>
          <w:lang w:val="es-MX"/>
        </w:rPr>
      </w:pPr>
    </w:p>
    <w:p w14:paraId="5EC02143" w14:textId="0BC8F88F" w:rsidR="00625F10" w:rsidRDefault="00625F10" w:rsidP="008F1F27">
      <w:pPr>
        <w:rPr>
          <w:rFonts w:ascii="Arial" w:eastAsia="Calibri" w:hAnsi="Arial" w:cs="Arial"/>
          <w:b/>
          <w:sz w:val="22"/>
          <w:szCs w:val="22"/>
          <w:lang w:val="es-MX"/>
        </w:rPr>
      </w:pPr>
    </w:p>
    <w:p w14:paraId="37F44B09" w14:textId="31EF5DE1" w:rsidR="00625F10" w:rsidRDefault="00625F10" w:rsidP="008F1F27">
      <w:pPr>
        <w:rPr>
          <w:rFonts w:ascii="Arial" w:eastAsia="Calibri" w:hAnsi="Arial" w:cs="Arial"/>
          <w:b/>
          <w:sz w:val="22"/>
          <w:szCs w:val="22"/>
          <w:lang w:val="es-MX"/>
        </w:rPr>
      </w:pPr>
    </w:p>
    <w:p w14:paraId="46F150C3" w14:textId="32B42261" w:rsidR="00625F10" w:rsidRDefault="00625F10" w:rsidP="008F1F27">
      <w:pPr>
        <w:rPr>
          <w:rFonts w:ascii="Arial" w:eastAsia="Calibri" w:hAnsi="Arial" w:cs="Arial"/>
          <w:b/>
          <w:sz w:val="22"/>
          <w:szCs w:val="22"/>
          <w:lang w:val="es-MX"/>
        </w:rPr>
      </w:pPr>
    </w:p>
    <w:p w14:paraId="4397BF66" w14:textId="2F9695EE" w:rsidR="00625F10" w:rsidRDefault="00625F10" w:rsidP="008F1F27">
      <w:pPr>
        <w:rPr>
          <w:rFonts w:ascii="Arial" w:eastAsia="Calibri" w:hAnsi="Arial" w:cs="Arial"/>
          <w:b/>
          <w:sz w:val="22"/>
          <w:szCs w:val="22"/>
          <w:lang w:val="es-MX"/>
        </w:rPr>
      </w:pPr>
    </w:p>
    <w:p w14:paraId="3F029830" w14:textId="61954346" w:rsidR="00625F10" w:rsidRDefault="00625F10" w:rsidP="008F1F27">
      <w:pPr>
        <w:rPr>
          <w:rFonts w:ascii="Arial" w:eastAsia="Calibri" w:hAnsi="Arial" w:cs="Arial"/>
          <w:b/>
          <w:sz w:val="22"/>
          <w:szCs w:val="22"/>
          <w:lang w:val="es-MX"/>
        </w:rPr>
      </w:pPr>
    </w:p>
    <w:p w14:paraId="3642CC77" w14:textId="3BAACA9F" w:rsidR="00625F10" w:rsidRDefault="00625F10" w:rsidP="008F1F27">
      <w:pPr>
        <w:rPr>
          <w:rFonts w:ascii="Arial" w:eastAsia="Calibri" w:hAnsi="Arial" w:cs="Arial"/>
          <w:b/>
          <w:sz w:val="22"/>
          <w:szCs w:val="22"/>
          <w:lang w:val="es-MX"/>
        </w:rPr>
      </w:pPr>
    </w:p>
    <w:p w14:paraId="222C03FD" w14:textId="0DA1CCAB" w:rsidR="00625F10" w:rsidRDefault="00625F10" w:rsidP="008F1F27">
      <w:pPr>
        <w:rPr>
          <w:rFonts w:ascii="Arial" w:eastAsia="Calibri" w:hAnsi="Arial" w:cs="Arial"/>
          <w:b/>
          <w:sz w:val="22"/>
          <w:szCs w:val="22"/>
          <w:lang w:val="es-MX"/>
        </w:rPr>
      </w:pPr>
    </w:p>
    <w:p w14:paraId="133561BD" w14:textId="01F34A2F" w:rsidR="00625F10" w:rsidRDefault="00625F10" w:rsidP="008F1F27">
      <w:pPr>
        <w:rPr>
          <w:rFonts w:ascii="Arial" w:eastAsia="Calibri" w:hAnsi="Arial" w:cs="Arial"/>
          <w:b/>
          <w:sz w:val="22"/>
          <w:szCs w:val="22"/>
          <w:lang w:val="es-MX"/>
        </w:rPr>
      </w:pPr>
    </w:p>
    <w:p w14:paraId="6D719B3A" w14:textId="3A5CFC14" w:rsidR="00625F10" w:rsidRDefault="00625F10" w:rsidP="008F1F27">
      <w:pPr>
        <w:rPr>
          <w:rFonts w:ascii="Arial" w:eastAsia="Calibri" w:hAnsi="Arial" w:cs="Arial"/>
          <w:b/>
          <w:sz w:val="22"/>
          <w:szCs w:val="22"/>
          <w:lang w:val="es-MX"/>
        </w:rPr>
      </w:pPr>
    </w:p>
    <w:p w14:paraId="1C3F6D59" w14:textId="4852C041" w:rsidR="00625F10" w:rsidRDefault="00625F10" w:rsidP="008F1F27">
      <w:pPr>
        <w:rPr>
          <w:rFonts w:ascii="Arial" w:eastAsia="Calibri" w:hAnsi="Arial" w:cs="Arial"/>
          <w:b/>
          <w:sz w:val="22"/>
          <w:szCs w:val="22"/>
          <w:lang w:val="es-MX"/>
        </w:rPr>
      </w:pPr>
    </w:p>
    <w:p w14:paraId="29A65E0C" w14:textId="77777777" w:rsidR="00625F10" w:rsidRDefault="00625F10" w:rsidP="008F1F27">
      <w:pPr>
        <w:rPr>
          <w:rFonts w:ascii="Arial" w:eastAsia="Calibri" w:hAnsi="Arial" w:cs="Arial"/>
          <w:b/>
          <w:sz w:val="22"/>
          <w:szCs w:val="22"/>
          <w:lang w:val="es-MX"/>
        </w:rPr>
      </w:pPr>
    </w:p>
    <w:p w14:paraId="44148C3B" w14:textId="77777777" w:rsidR="00CD65F4" w:rsidRDefault="00CD65F4" w:rsidP="008F1F27">
      <w:pPr>
        <w:rPr>
          <w:rFonts w:ascii="Arial" w:eastAsia="Calibri" w:hAnsi="Arial" w:cs="Arial"/>
          <w:b/>
          <w:sz w:val="22"/>
          <w:szCs w:val="22"/>
          <w:lang w:val="es-MX"/>
        </w:rPr>
      </w:pPr>
    </w:p>
    <w:p w14:paraId="629254F3" w14:textId="34305351" w:rsidR="002C7044" w:rsidRDefault="002C7044" w:rsidP="002C7044">
      <w:pPr>
        <w:jc w:val="right"/>
      </w:pPr>
      <w:r>
        <w:lastRenderedPageBreak/>
        <w:fldChar w:fldCharType="begin"/>
      </w:r>
      <w:r>
        <w:instrText xml:space="preserve"> INCLUDEPICTURE "/var/folders/tb/0fmk9b510f57pz5rwhv8lnpw0000gp/T/com.microsoft.Word/WebArchiveCopyPasteTempFiles/page1image21916432" \* MERGEFORMATINET </w:instrText>
      </w:r>
      <w:r>
        <w:fldChar w:fldCharType="separate"/>
      </w:r>
      <w:r>
        <w:rPr>
          <w:noProof/>
        </w:rPr>
        <w:drawing>
          <wp:inline distT="0" distB="0" distL="0" distR="0" wp14:anchorId="2984B14B" wp14:editId="392DFC2E">
            <wp:extent cx="2402840" cy="605790"/>
            <wp:effectExtent l="0" t="0" r="0" b="3810"/>
            <wp:docPr id="6" name="Imagen 6" descr="page1image21916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19164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fldChar w:fldCharType="end"/>
      </w:r>
    </w:p>
    <w:p w14:paraId="3054A28D" w14:textId="5BC06473" w:rsidR="00455152" w:rsidRDefault="00455152" w:rsidP="008F1F27">
      <w:pPr>
        <w:rPr>
          <w:rFonts w:ascii="Arial" w:eastAsia="Calibri" w:hAnsi="Arial" w:cs="Arial"/>
          <w:sz w:val="22"/>
          <w:szCs w:val="22"/>
          <w:lang w:val="es-ES"/>
        </w:rPr>
      </w:pPr>
    </w:p>
    <w:p w14:paraId="7EDA736E" w14:textId="617F61F2" w:rsidR="006D1A97" w:rsidRDefault="006D1A97" w:rsidP="008F1F27">
      <w:pPr>
        <w:rPr>
          <w:rFonts w:ascii="Arial" w:eastAsia="Calibri" w:hAnsi="Arial" w:cs="Arial"/>
          <w:sz w:val="22"/>
          <w:szCs w:val="22"/>
          <w:lang w:val="es-ES"/>
        </w:rPr>
      </w:pPr>
      <w:r>
        <w:rPr>
          <w:rFonts w:ascii="Arial" w:eastAsia="Calibri" w:hAnsi="Arial" w:cs="Arial"/>
          <w:sz w:val="22"/>
          <w:szCs w:val="22"/>
          <w:lang w:val="es-ES"/>
        </w:rPr>
        <w:t>Bogotá, 22 de abril de 2022</w:t>
      </w:r>
    </w:p>
    <w:p w14:paraId="06E91AD2" w14:textId="77777777" w:rsidR="006D1A97" w:rsidRDefault="006D1A97" w:rsidP="008F1F27">
      <w:pPr>
        <w:rPr>
          <w:rFonts w:ascii="Arial" w:eastAsia="Calibri" w:hAnsi="Arial" w:cs="Arial"/>
          <w:sz w:val="22"/>
          <w:szCs w:val="22"/>
          <w:lang w:val="es-ES"/>
        </w:rPr>
      </w:pPr>
    </w:p>
    <w:p w14:paraId="082B6DB4" w14:textId="5DFB22D8" w:rsidR="008F1F27" w:rsidRPr="00924DEF" w:rsidRDefault="008F1F27" w:rsidP="008F1F27">
      <w:pPr>
        <w:rPr>
          <w:rFonts w:ascii="Arial" w:eastAsia="Calibri" w:hAnsi="Arial" w:cs="Arial"/>
          <w:sz w:val="22"/>
          <w:szCs w:val="22"/>
          <w:lang w:val="es-ES"/>
        </w:rPr>
      </w:pPr>
      <w:r w:rsidRPr="006244FD">
        <w:rPr>
          <w:rFonts w:ascii="Arial" w:eastAsia="Calibri" w:hAnsi="Arial" w:cs="Arial"/>
          <w:sz w:val="22"/>
          <w:szCs w:val="22"/>
          <w:lang w:val="es-ES"/>
        </w:rPr>
        <w:t>Señor</w:t>
      </w:r>
    </w:p>
    <w:p w14:paraId="20EB80AD" w14:textId="122924EE" w:rsidR="00D83877" w:rsidRDefault="00FF0B9E" w:rsidP="008F1F27">
      <w:pPr>
        <w:rPr>
          <w:rFonts w:ascii="Arial" w:eastAsia="Calibri" w:hAnsi="Arial" w:cs="Arial"/>
          <w:b/>
          <w:bCs/>
          <w:sz w:val="22"/>
          <w:szCs w:val="22"/>
          <w:lang w:val="es-ES"/>
        </w:rPr>
      </w:pPr>
      <w:r>
        <w:rPr>
          <w:rFonts w:ascii="Arial" w:eastAsia="Calibri" w:hAnsi="Arial" w:cs="Arial"/>
          <w:b/>
          <w:bCs/>
          <w:sz w:val="22"/>
          <w:szCs w:val="22"/>
          <w:lang w:val="es-ES"/>
        </w:rPr>
        <w:t>Iván Felipe Acevedo Forero</w:t>
      </w:r>
    </w:p>
    <w:p w14:paraId="2B910637" w14:textId="2C15DF31" w:rsidR="008F1F27" w:rsidRPr="00924DEF" w:rsidRDefault="00FF0B9E" w:rsidP="008F1F27">
      <w:pPr>
        <w:rPr>
          <w:rFonts w:ascii="Arial" w:eastAsia="Calibri" w:hAnsi="Arial" w:cs="Arial"/>
          <w:sz w:val="22"/>
          <w:szCs w:val="22"/>
          <w:lang w:val="es-ES"/>
        </w:rPr>
      </w:pPr>
      <w:r>
        <w:rPr>
          <w:rFonts w:ascii="Arial" w:eastAsia="Calibri" w:hAnsi="Arial" w:cs="Arial"/>
          <w:sz w:val="22"/>
          <w:szCs w:val="22"/>
          <w:lang w:val="es-ES"/>
        </w:rPr>
        <w:t xml:space="preserve">Bucaramanga, Santander </w:t>
      </w:r>
    </w:p>
    <w:p w14:paraId="75A8322F" w14:textId="77777777" w:rsidR="008F1F27" w:rsidRPr="00924DEF" w:rsidRDefault="008F1F27" w:rsidP="008F1F27">
      <w:pPr>
        <w:rPr>
          <w:rFonts w:ascii="Arial" w:eastAsia="Calibri" w:hAnsi="Arial" w:cs="Arial"/>
          <w:sz w:val="22"/>
          <w:szCs w:val="22"/>
          <w:lang w:val="es-ES"/>
        </w:rPr>
      </w:pPr>
    </w:p>
    <w:p w14:paraId="509A3CD8" w14:textId="77777777" w:rsidR="008F1F27" w:rsidRPr="00924DEF" w:rsidRDefault="008F1F27" w:rsidP="008F1F27">
      <w:pPr>
        <w:rPr>
          <w:rFonts w:ascii="Arial" w:eastAsia="Calibri" w:hAnsi="Arial" w:cs="Arial"/>
          <w:b/>
          <w:sz w:val="22"/>
          <w:szCs w:val="22"/>
          <w:lang w:val="es-ES"/>
        </w:rPr>
      </w:pPr>
    </w:p>
    <w:p w14:paraId="481D0967" w14:textId="57E2B70E" w:rsidR="008F1F27" w:rsidRDefault="008F1F27" w:rsidP="008F1F27">
      <w:pPr>
        <w:rPr>
          <w:rFonts w:ascii="Arial" w:eastAsia="Calibri" w:hAnsi="Arial" w:cs="Arial"/>
          <w:b/>
          <w:sz w:val="22"/>
          <w:szCs w:val="22"/>
          <w:lang w:val="es-ES"/>
        </w:rPr>
      </w:pPr>
      <w:r w:rsidRPr="00924DEF">
        <w:rPr>
          <w:rFonts w:ascii="Arial" w:eastAsia="Calibri" w:hAnsi="Arial" w:cs="Arial"/>
          <w:b/>
          <w:sz w:val="22"/>
          <w:szCs w:val="22"/>
          <w:lang w:val="es-ES"/>
        </w:rPr>
        <w:t xml:space="preserve">                                          Concepto C – </w:t>
      </w:r>
      <w:r w:rsidR="00FF0B9E">
        <w:rPr>
          <w:rFonts w:ascii="Arial" w:eastAsia="Calibri" w:hAnsi="Arial" w:cs="Arial"/>
          <w:b/>
          <w:sz w:val="22"/>
          <w:szCs w:val="22"/>
          <w:lang w:val="es-ES"/>
        </w:rPr>
        <w:t>220</w:t>
      </w:r>
      <w:r>
        <w:rPr>
          <w:rFonts w:ascii="Arial" w:eastAsia="Calibri" w:hAnsi="Arial" w:cs="Arial"/>
          <w:b/>
          <w:sz w:val="22"/>
          <w:szCs w:val="22"/>
          <w:lang w:val="es-ES"/>
        </w:rPr>
        <w:t xml:space="preserve"> de 2022</w:t>
      </w:r>
    </w:p>
    <w:p w14:paraId="1CFE9394" w14:textId="77777777" w:rsidR="008F1F27" w:rsidRPr="00924DEF" w:rsidRDefault="008F1F27" w:rsidP="008F1F2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0A12D9" w:rsidRPr="00924DEF" w14:paraId="273EBBC8" w14:textId="77777777" w:rsidTr="00D83877">
        <w:trPr>
          <w:trHeight w:val="550"/>
        </w:trPr>
        <w:tc>
          <w:tcPr>
            <w:tcW w:w="2552" w:type="dxa"/>
          </w:tcPr>
          <w:p w14:paraId="6D706277" w14:textId="09319225" w:rsidR="000A12D9" w:rsidRPr="00924DEF" w:rsidRDefault="000A12D9" w:rsidP="000A12D9">
            <w:pPr>
              <w:rPr>
                <w:rFonts w:ascii="Arial" w:eastAsia="Calibri" w:hAnsi="Arial" w:cs="Arial"/>
                <w:lang w:val="es-ES"/>
              </w:rPr>
            </w:pPr>
            <w:r w:rsidRPr="00924DEF">
              <w:rPr>
                <w:rFonts w:ascii="Arial" w:eastAsia="Calibri" w:hAnsi="Arial" w:cs="Arial"/>
                <w:b/>
                <w:lang w:val="es-ES"/>
              </w:rPr>
              <w:t>T</w:t>
            </w:r>
            <w:r w:rsidR="00150841">
              <w:rPr>
                <w:rFonts w:ascii="Arial" w:eastAsia="Calibri" w:hAnsi="Arial" w:cs="Arial"/>
                <w:b/>
                <w:lang w:val="es-ES"/>
              </w:rPr>
              <w:t>e</w:t>
            </w:r>
            <w:r w:rsidRPr="00924DEF">
              <w:rPr>
                <w:rFonts w:ascii="Arial" w:eastAsia="Calibri" w:hAnsi="Arial" w:cs="Arial"/>
                <w:b/>
                <w:lang w:val="es-ES"/>
              </w:rPr>
              <w:t>mas:</w:t>
            </w:r>
            <w:r w:rsidRPr="00924DEF">
              <w:rPr>
                <w:rFonts w:ascii="Arial" w:eastAsia="Calibri" w:hAnsi="Arial" w:cs="Arial"/>
                <w:lang w:val="es-ES"/>
              </w:rPr>
              <w:t xml:space="preserve">                                    </w:t>
            </w:r>
          </w:p>
        </w:tc>
        <w:tc>
          <w:tcPr>
            <w:tcW w:w="6374" w:type="dxa"/>
          </w:tcPr>
          <w:p w14:paraId="08D9D14A" w14:textId="04BEB480" w:rsidR="000A12D9" w:rsidRPr="000E1127" w:rsidRDefault="004109F0" w:rsidP="00284A4E">
            <w:pPr>
              <w:tabs>
                <w:tab w:val="left" w:pos="0"/>
              </w:tabs>
              <w:spacing w:after="120"/>
              <w:jc w:val="both"/>
              <w:rPr>
                <w:rFonts w:ascii="Arial" w:eastAsia="Calibri" w:hAnsi="Arial" w:cs="Arial"/>
                <w:b/>
                <w:lang w:val="es-MX"/>
              </w:rPr>
            </w:pPr>
            <w:r w:rsidRPr="00A95548">
              <w:rPr>
                <w:rFonts w:ascii="Arial" w:eastAsia="Calibri" w:hAnsi="Arial" w:cs="Arial"/>
                <w:bCs/>
              </w:rPr>
              <w:t>CAPACIDAD RESIDUAL – C</w:t>
            </w:r>
            <w:r w:rsidR="00183225">
              <w:rPr>
                <w:rFonts w:ascii="Arial" w:eastAsia="Calibri" w:hAnsi="Arial" w:cs="Arial"/>
                <w:bCs/>
              </w:rPr>
              <w:t>á</w:t>
            </w:r>
            <w:r w:rsidRPr="00A95548">
              <w:rPr>
                <w:rFonts w:ascii="Arial" w:eastAsia="Calibri" w:hAnsi="Arial" w:cs="Arial"/>
                <w:bCs/>
              </w:rPr>
              <w:t>lculo /</w:t>
            </w:r>
            <w:r w:rsidR="00A95548" w:rsidRPr="00A95548">
              <w:rPr>
                <w:rFonts w:ascii="Arial" w:eastAsia="Calibri" w:hAnsi="Arial" w:cs="Arial"/>
                <w:bCs/>
              </w:rPr>
              <w:t xml:space="preserve"> </w:t>
            </w:r>
            <w:r w:rsidR="00CD65F4" w:rsidRPr="00CD65F4">
              <w:rPr>
                <w:rFonts w:ascii="Arial" w:eastAsia="Calibri" w:hAnsi="Arial" w:cs="Arial"/>
                <w:bCs/>
              </w:rPr>
              <w:t>SALDOS DE CONTRATOS EN EJECUCIÓN – Acreditación – Aplicativo</w:t>
            </w:r>
            <w:r w:rsidR="00CD65F4">
              <w:rPr>
                <w:rFonts w:ascii="Arial" w:eastAsia="Calibri" w:hAnsi="Arial" w:cs="Arial"/>
                <w:b/>
              </w:rPr>
              <w:t xml:space="preserve"> / </w:t>
            </w:r>
            <w:r w:rsidR="00CD65F4" w:rsidRPr="00CD65F4">
              <w:rPr>
                <w:rFonts w:ascii="Arial" w:eastAsia="Calibri" w:hAnsi="Arial" w:cs="Arial"/>
                <w:bCs/>
                <w:lang w:val="es-MX"/>
              </w:rPr>
              <w:t>CONTRATOS EN EJECUCIÓN</w:t>
            </w:r>
            <w:r w:rsidR="00CD65F4" w:rsidRPr="00CD65F4">
              <w:rPr>
                <w:rFonts w:ascii="Arial" w:eastAsia="Calibri" w:hAnsi="Arial" w:cs="Arial"/>
                <w:bCs/>
                <w:sz w:val="24"/>
                <w:szCs w:val="24"/>
                <w:lang w:val="es-MX"/>
              </w:rPr>
              <w:t xml:space="preserve"> – Actas de inicio de contratos</w:t>
            </w:r>
            <w:r w:rsidR="00CD65F4" w:rsidRPr="00455152">
              <w:rPr>
                <w:rFonts w:ascii="Arial" w:eastAsia="Calibri" w:hAnsi="Arial" w:cs="Arial"/>
                <w:b/>
                <w:sz w:val="24"/>
                <w:szCs w:val="24"/>
                <w:lang w:val="es-MX"/>
              </w:rPr>
              <w:t xml:space="preserve"> </w:t>
            </w:r>
          </w:p>
        </w:tc>
      </w:tr>
      <w:tr w:rsidR="008F1F27" w:rsidRPr="00924DEF" w14:paraId="4D112C5C" w14:textId="77777777" w:rsidTr="00D83877">
        <w:tc>
          <w:tcPr>
            <w:tcW w:w="2552" w:type="dxa"/>
          </w:tcPr>
          <w:p w14:paraId="2CB6AE77" w14:textId="77777777" w:rsidR="008F1F27" w:rsidRPr="00924DEF" w:rsidRDefault="008F1F27" w:rsidP="00B10244">
            <w:pPr>
              <w:rPr>
                <w:rFonts w:ascii="Arial" w:eastAsia="Calibri" w:hAnsi="Arial" w:cs="Arial"/>
                <w:lang w:val="es-ES"/>
              </w:rPr>
            </w:pPr>
            <w:r w:rsidRPr="00924DEF">
              <w:rPr>
                <w:rFonts w:ascii="Arial" w:eastAsia="Calibri" w:hAnsi="Arial" w:cs="Arial"/>
                <w:b/>
                <w:lang w:val="es-ES"/>
              </w:rPr>
              <w:t>Radicación:</w:t>
            </w:r>
            <w:r w:rsidRPr="00924DEF">
              <w:rPr>
                <w:rFonts w:ascii="Arial" w:eastAsia="Calibri" w:hAnsi="Arial" w:cs="Arial"/>
                <w:lang w:val="es-ES"/>
              </w:rPr>
              <w:t xml:space="preserve">                              </w:t>
            </w:r>
          </w:p>
        </w:tc>
        <w:tc>
          <w:tcPr>
            <w:tcW w:w="6374" w:type="dxa"/>
          </w:tcPr>
          <w:p w14:paraId="774FD7A7" w14:textId="0574B893" w:rsidR="008F1F27" w:rsidRPr="00924DEF" w:rsidRDefault="008F1F27" w:rsidP="00B10244">
            <w:pPr>
              <w:rPr>
                <w:rFonts w:ascii="Arial" w:eastAsia="Calibri" w:hAnsi="Arial" w:cs="Arial"/>
                <w:lang w:val="es-ES"/>
              </w:rPr>
            </w:pPr>
            <w:r w:rsidRPr="00924DEF">
              <w:rPr>
                <w:rFonts w:ascii="Arial" w:eastAsia="Calibri" w:hAnsi="Arial" w:cs="Arial"/>
                <w:lang w:val="es-ES"/>
              </w:rPr>
              <w:t xml:space="preserve">Respuesta a consulta </w:t>
            </w:r>
            <w:r w:rsidR="00293834" w:rsidRPr="00ED384F">
              <w:rPr>
                <w:rFonts w:ascii="Arial" w:hAnsi="Arial" w:cs="Arial"/>
                <w:lang w:val="es-ES"/>
              </w:rPr>
              <w:t>P20220</w:t>
            </w:r>
            <w:r w:rsidR="00FF0B9E">
              <w:rPr>
                <w:rFonts w:ascii="Arial" w:hAnsi="Arial" w:cs="Arial"/>
                <w:lang w:val="es-ES"/>
              </w:rPr>
              <w:t>308002280</w:t>
            </w:r>
          </w:p>
        </w:tc>
      </w:tr>
    </w:tbl>
    <w:p w14:paraId="26DFA7A8" w14:textId="77777777" w:rsidR="008F1F27" w:rsidRPr="00924DEF" w:rsidRDefault="008F1F27" w:rsidP="008F1F27">
      <w:pPr>
        <w:spacing w:line="276" w:lineRule="auto"/>
        <w:rPr>
          <w:rFonts w:ascii="Arial" w:eastAsia="Calibri" w:hAnsi="Arial" w:cs="Arial"/>
          <w:sz w:val="22"/>
          <w:szCs w:val="22"/>
          <w:lang w:val="es-ES"/>
        </w:rPr>
      </w:pPr>
    </w:p>
    <w:p w14:paraId="6D2F9086" w14:textId="77777777" w:rsidR="008F1F27" w:rsidRPr="00924DEF" w:rsidRDefault="008F1F27" w:rsidP="008F1F27">
      <w:pPr>
        <w:spacing w:line="276" w:lineRule="auto"/>
        <w:rPr>
          <w:rFonts w:ascii="Arial" w:eastAsia="Calibri" w:hAnsi="Arial" w:cs="Arial"/>
          <w:sz w:val="22"/>
          <w:szCs w:val="22"/>
          <w:lang w:val="es-ES"/>
        </w:rPr>
      </w:pPr>
    </w:p>
    <w:p w14:paraId="54C8633C" w14:textId="424426CA" w:rsidR="008F1F27" w:rsidRPr="00924DEF" w:rsidRDefault="008F1F27" w:rsidP="008F1F27">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sidR="00CA648B">
        <w:rPr>
          <w:rFonts w:ascii="Arial" w:eastAsia="Calibri" w:hAnsi="Arial" w:cs="Arial"/>
          <w:sz w:val="22"/>
          <w:szCs w:val="22"/>
          <w:lang w:val="es-ES"/>
        </w:rPr>
        <w:t>o</w:t>
      </w:r>
      <w:r w:rsidRPr="00924DEF">
        <w:rPr>
          <w:rFonts w:ascii="Arial" w:eastAsia="Calibri" w:hAnsi="Arial" w:cs="Arial"/>
          <w:sz w:val="22"/>
          <w:szCs w:val="22"/>
          <w:lang w:val="es-ES"/>
        </w:rPr>
        <w:t xml:space="preserve"> señor</w:t>
      </w:r>
      <w:r w:rsidR="00FF0B9E">
        <w:rPr>
          <w:rFonts w:ascii="Arial" w:eastAsia="Calibri" w:hAnsi="Arial" w:cs="Arial"/>
          <w:sz w:val="22"/>
          <w:szCs w:val="22"/>
          <w:lang w:val="es-ES"/>
        </w:rPr>
        <w:t xml:space="preserve"> Acevedo</w:t>
      </w:r>
      <w:r w:rsidRPr="00924DEF">
        <w:rPr>
          <w:rFonts w:ascii="Arial" w:eastAsia="Calibri" w:hAnsi="Arial" w:cs="Arial"/>
          <w:sz w:val="22"/>
          <w:szCs w:val="22"/>
          <w:lang w:val="es-ES"/>
        </w:rPr>
        <w:t>:</w:t>
      </w:r>
      <w:r w:rsidRPr="00924DEF">
        <w:rPr>
          <w:rFonts w:ascii="Arial" w:eastAsia="Calibri" w:hAnsi="Arial" w:cs="Arial"/>
          <w:sz w:val="22"/>
          <w:szCs w:val="22"/>
          <w:lang w:val="es-ES"/>
        </w:rPr>
        <w:tab/>
      </w:r>
    </w:p>
    <w:p w14:paraId="2693C6B2" w14:textId="77777777" w:rsidR="008F1F27" w:rsidRPr="00924DEF" w:rsidRDefault="008F1F27" w:rsidP="008F1F27">
      <w:pPr>
        <w:spacing w:line="276" w:lineRule="auto"/>
        <w:rPr>
          <w:rFonts w:ascii="Arial" w:eastAsia="Calibri" w:hAnsi="Arial" w:cs="Arial"/>
          <w:sz w:val="22"/>
          <w:szCs w:val="22"/>
          <w:lang w:val="es-ES"/>
        </w:rPr>
      </w:pPr>
    </w:p>
    <w:p w14:paraId="0E3A6299" w14:textId="039EE0D4" w:rsidR="008F1F27" w:rsidRPr="00924DEF"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sidR="00FF0B9E">
        <w:rPr>
          <w:rFonts w:ascii="Arial" w:eastAsia="Calibri" w:hAnsi="Arial" w:cs="Arial"/>
          <w:sz w:val="22"/>
          <w:szCs w:val="22"/>
          <w:lang w:val="es-ES"/>
        </w:rPr>
        <w:t>8 de marzo</w:t>
      </w:r>
      <w:r>
        <w:rPr>
          <w:rFonts w:ascii="Arial" w:eastAsia="Calibri" w:hAnsi="Arial" w:cs="Arial"/>
          <w:sz w:val="22"/>
          <w:szCs w:val="22"/>
          <w:lang w:val="es-ES"/>
        </w:rPr>
        <w:t xml:space="preserve"> de 2022.</w:t>
      </w:r>
    </w:p>
    <w:p w14:paraId="70E54971" w14:textId="77777777" w:rsidR="008F1F27" w:rsidRPr="00924DEF" w:rsidRDefault="008F1F27" w:rsidP="008F1F27">
      <w:pPr>
        <w:pStyle w:val="Prrafodelista"/>
        <w:spacing w:line="276" w:lineRule="auto"/>
        <w:ind w:left="0"/>
        <w:rPr>
          <w:rFonts w:ascii="Arial" w:eastAsia="Calibri" w:hAnsi="Arial" w:cs="Arial"/>
          <w:sz w:val="22"/>
          <w:lang w:val="es-ES"/>
        </w:rPr>
      </w:pPr>
    </w:p>
    <w:p w14:paraId="273F674B" w14:textId="77777777" w:rsidR="008F1F27" w:rsidRPr="00924DEF" w:rsidRDefault="008F1F27" w:rsidP="008F1F27">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466A69CF" w14:textId="77777777" w:rsidR="008F1F27" w:rsidRPr="00924DEF" w:rsidRDefault="008F1F27" w:rsidP="008F1F27">
      <w:pPr>
        <w:rPr>
          <w:rFonts w:ascii="Arial" w:eastAsia="Calibri" w:hAnsi="Arial" w:cs="Arial"/>
          <w:sz w:val="22"/>
          <w:szCs w:val="22"/>
          <w:lang w:val="es-ES"/>
        </w:rPr>
      </w:pPr>
    </w:p>
    <w:p w14:paraId="4E00A008" w14:textId="257F3001" w:rsidR="00FF0B9E"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 xml:space="preserve">Usted </w:t>
      </w:r>
      <w:r>
        <w:rPr>
          <w:rFonts w:ascii="Arial" w:eastAsia="Calibri" w:hAnsi="Arial" w:cs="Arial"/>
          <w:sz w:val="22"/>
          <w:szCs w:val="22"/>
          <w:lang w:val="es-ES"/>
        </w:rPr>
        <w:t>realiza</w:t>
      </w:r>
      <w:r w:rsidRPr="00924DEF">
        <w:rPr>
          <w:rFonts w:ascii="Arial" w:eastAsia="Calibri" w:hAnsi="Arial" w:cs="Arial"/>
          <w:sz w:val="22"/>
          <w:szCs w:val="22"/>
          <w:lang w:val="es-ES"/>
        </w:rPr>
        <w:t xml:space="preserve"> la siguiente pregunta: </w:t>
      </w:r>
    </w:p>
    <w:p w14:paraId="1B615289" w14:textId="77777777" w:rsidR="00FF0B9E" w:rsidRDefault="00FF0B9E" w:rsidP="008F1F27">
      <w:pPr>
        <w:spacing w:line="276" w:lineRule="auto"/>
        <w:jc w:val="both"/>
        <w:rPr>
          <w:rFonts w:ascii="Arial" w:eastAsia="Calibri" w:hAnsi="Arial" w:cs="Arial"/>
          <w:sz w:val="22"/>
          <w:szCs w:val="22"/>
          <w:lang w:val="es-ES"/>
        </w:rPr>
      </w:pPr>
    </w:p>
    <w:p w14:paraId="7B6A0190" w14:textId="5BCFCD37" w:rsidR="008F1F27" w:rsidRPr="00FF0B9E" w:rsidRDefault="00FF0B9E" w:rsidP="003B2A1E">
      <w:pPr>
        <w:ind w:left="709" w:right="709"/>
        <w:jc w:val="both"/>
        <w:rPr>
          <w:rFonts w:ascii="Arial" w:eastAsia="Calibri" w:hAnsi="Arial" w:cs="Arial"/>
          <w:sz w:val="21"/>
          <w:szCs w:val="21"/>
          <w:lang w:val="es-ES"/>
        </w:rPr>
      </w:pPr>
      <w:r w:rsidRPr="00FF0B9E">
        <w:rPr>
          <w:rFonts w:ascii="Arial" w:hAnsi="Arial" w:cs="Arial"/>
          <w:sz w:val="21"/>
          <w:szCs w:val="21"/>
        </w:rPr>
        <w:t>«Al realizar la revisión de estos contratos en ejecución y que a la fecha no tienen acta de inicio y al realizar la verificación del aplicativo señalado por Colombia Compra, solicita escribir la fecha del acta de inicio, por ende, si lo describo no lo toma, ¿Cuál sería la formula para hallar este "K residual"?».</w:t>
      </w:r>
    </w:p>
    <w:p w14:paraId="39F49406" w14:textId="77777777" w:rsidR="00FF0B9E" w:rsidRDefault="00FF0B9E" w:rsidP="008F1F27">
      <w:pPr>
        <w:spacing w:line="276" w:lineRule="auto"/>
        <w:jc w:val="both"/>
        <w:rPr>
          <w:rFonts w:ascii="Arial" w:eastAsia="Calibri" w:hAnsi="Arial" w:cs="Arial"/>
          <w:b/>
          <w:sz w:val="22"/>
          <w:szCs w:val="22"/>
          <w:lang w:val="es-ES"/>
        </w:rPr>
      </w:pPr>
    </w:p>
    <w:p w14:paraId="7062BAA0" w14:textId="626E3BAF" w:rsidR="008F1F27" w:rsidRDefault="008F1F27" w:rsidP="008F1F27">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2. Consideraciones</w:t>
      </w:r>
    </w:p>
    <w:p w14:paraId="63167F17" w14:textId="77777777" w:rsidR="00417118" w:rsidRPr="00924DEF" w:rsidRDefault="00417118" w:rsidP="008F1F27">
      <w:pPr>
        <w:spacing w:line="276" w:lineRule="auto"/>
        <w:jc w:val="both"/>
        <w:rPr>
          <w:rFonts w:ascii="Arial" w:eastAsia="Calibri" w:hAnsi="Arial" w:cs="Arial"/>
          <w:b/>
          <w:sz w:val="22"/>
          <w:szCs w:val="22"/>
          <w:lang w:val="es-ES"/>
        </w:rPr>
      </w:pPr>
    </w:p>
    <w:p w14:paraId="3E5A3AF3" w14:textId="1A546D31" w:rsidR="002409FC" w:rsidRPr="002409FC" w:rsidRDefault="00293834" w:rsidP="002409FC">
      <w:pPr>
        <w:spacing w:line="276" w:lineRule="auto"/>
        <w:jc w:val="both"/>
        <w:rPr>
          <w:rFonts w:ascii="Arial" w:hAnsi="Arial" w:cs="Arial"/>
          <w:b/>
          <w:bCs/>
          <w:sz w:val="22"/>
          <w:szCs w:val="22"/>
        </w:rPr>
      </w:pPr>
      <w:r w:rsidRPr="00DA403A">
        <w:rPr>
          <w:rFonts w:ascii="Arial" w:eastAsia="Calibri" w:hAnsi="Arial" w:cs="Arial"/>
          <w:sz w:val="22"/>
        </w:rPr>
        <w:t xml:space="preserve">Para absolver </w:t>
      </w:r>
      <w:r w:rsidR="004109F0">
        <w:rPr>
          <w:rFonts w:ascii="Arial" w:eastAsia="Calibri" w:hAnsi="Arial" w:cs="Arial"/>
          <w:sz w:val="22"/>
        </w:rPr>
        <w:t>el interrogante formulado</w:t>
      </w:r>
      <w:r w:rsidRPr="00DA403A">
        <w:rPr>
          <w:rFonts w:ascii="Arial" w:eastAsia="Calibri" w:hAnsi="Arial" w:cs="Arial"/>
          <w:sz w:val="22"/>
        </w:rPr>
        <w:t xml:space="preserve">, esta dependencia analizará los siguientes temas: i) </w:t>
      </w:r>
      <w:r w:rsidR="002409FC">
        <w:rPr>
          <w:rFonts w:ascii="Arial" w:eastAsia="Calibri" w:hAnsi="Arial" w:cs="Arial"/>
          <w:sz w:val="22"/>
        </w:rPr>
        <w:t xml:space="preserve">capacidad residual: generalidades y ii) </w:t>
      </w:r>
      <w:bookmarkStart w:id="0" w:name="_Hlk81557838"/>
      <w:r w:rsidR="002409FC" w:rsidRPr="002409FC">
        <w:rPr>
          <w:rFonts w:ascii="Arial" w:hAnsi="Arial" w:cs="Arial"/>
          <w:sz w:val="22"/>
          <w:szCs w:val="22"/>
        </w:rPr>
        <w:t>Contratos a tener en cuenta para el cálculo del factor Saldos de Contratos en Ejecución (SCE) de la fórmula para determinar la Capacidad Residual del Proponente (CRP)</w:t>
      </w:r>
      <w:bookmarkEnd w:id="0"/>
      <w:r w:rsidR="002409FC" w:rsidRPr="002409FC">
        <w:rPr>
          <w:rFonts w:ascii="Arial" w:hAnsi="Arial" w:cs="Arial"/>
          <w:sz w:val="22"/>
          <w:szCs w:val="22"/>
        </w:rPr>
        <w:t>.</w:t>
      </w:r>
      <w:r w:rsidR="002409FC">
        <w:rPr>
          <w:rFonts w:ascii="Arial" w:hAnsi="Arial" w:cs="Arial"/>
          <w:b/>
          <w:bCs/>
          <w:sz w:val="22"/>
          <w:szCs w:val="22"/>
        </w:rPr>
        <w:t xml:space="preserve"> </w:t>
      </w:r>
    </w:p>
    <w:p w14:paraId="203469FF" w14:textId="77777777" w:rsidR="004109F0" w:rsidRDefault="004109F0" w:rsidP="004109F0">
      <w:pPr>
        <w:pStyle w:val="paragraph"/>
        <w:spacing w:before="120" w:beforeAutospacing="0" w:after="0" w:afterAutospacing="0" w:line="276" w:lineRule="auto"/>
        <w:ind w:firstLine="705"/>
        <w:jc w:val="both"/>
        <w:textAlignment w:val="baseline"/>
        <w:rPr>
          <w:rFonts w:ascii="Segoe UI" w:hAnsi="Segoe UI" w:cs="Segoe UI"/>
          <w:sz w:val="14"/>
          <w:szCs w:val="14"/>
        </w:rPr>
      </w:pPr>
      <w:r>
        <w:rPr>
          <w:rStyle w:val="normaltextrun"/>
          <w:rFonts w:ascii="Arial" w:hAnsi="Arial" w:cs="Arial"/>
          <w:sz w:val="22"/>
        </w:rPr>
        <w:lastRenderedPageBreak/>
        <w:t>La Agencia Nacional de Contratación Pública − Colombia Compra Eficiente se ha pronunciado 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y C–590 del 12 de octubre de 2021. En lo pertinente, las ideas expuestas en estos conceptos se reiteran y complementan a continuación.</w:t>
      </w:r>
      <w:r>
        <w:rPr>
          <w:rStyle w:val="eop"/>
          <w:rFonts w:ascii="Arial" w:hAnsi="Arial" w:cs="Arial"/>
          <w:sz w:val="22"/>
          <w:szCs w:val="22"/>
        </w:rPr>
        <w:t> </w:t>
      </w:r>
    </w:p>
    <w:p w14:paraId="53F92ED5" w14:textId="21997EBB" w:rsidR="004109F0" w:rsidRPr="004109F0" w:rsidRDefault="004109F0" w:rsidP="004109F0">
      <w:pPr>
        <w:pStyle w:val="paragraph"/>
        <w:spacing w:before="0" w:beforeAutospacing="0" w:after="0" w:afterAutospacing="0" w:line="276" w:lineRule="auto"/>
        <w:jc w:val="both"/>
        <w:textAlignment w:val="baseline"/>
        <w:rPr>
          <w:rFonts w:ascii="Segoe UI" w:hAnsi="Segoe UI" w:cs="Segoe UI"/>
          <w:sz w:val="14"/>
          <w:szCs w:val="14"/>
        </w:rPr>
      </w:pPr>
      <w:r>
        <w:rPr>
          <w:rStyle w:val="eop"/>
          <w:rFonts w:ascii="Arial" w:hAnsi="Arial" w:cs="Arial"/>
          <w:color w:val="000000"/>
          <w:sz w:val="22"/>
          <w:szCs w:val="22"/>
        </w:rPr>
        <w:t> </w:t>
      </w:r>
    </w:p>
    <w:p w14:paraId="27A53C92" w14:textId="77777777" w:rsidR="002409FC" w:rsidRPr="0008465D" w:rsidRDefault="002409FC" w:rsidP="002409FC">
      <w:pPr>
        <w:spacing w:line="276" w:lineRule="auto"/>
        <w:jc w:val="both"/>
        <w:rPr>
          <w:rFonts w:ascii="Arial" w:hAnsi="Arial" w:cs="Arial"/>
          <w:b/>
          <w:bCs/>
          <w:sz w:val="22"/>
          <w:lang w:val="es-ES"/>
        </w:rPr>
      </w:pPr>
      <w:r w:rsidRPr="0008465D">
        <w:rPr>
          <w:rFonts w:ascii="Arial" w:eastAsia="Calibri" w:hAnsi="Arial" w:cs="Arial"/>
          <w:b/>
          <w:bCs/>
          <w:sz w:val="22"/>
          <w:szCs w:val="22"/>
          <w:lang w:val="es-ES"/>
        </w:rPr>
        <w:t>2.1.</w:t>
      </w:r>
      <w:r w:rsidRPr="0008465D">
        <w:rPr>
          <w:rFonts w:ascii="Arial" w:hAnsi="Arial" w:cs="Arial"/>
          <w:b/>
          <w:bCs/>
          <w:sz w:val="22"/>
          <w:lang w:val="es-ES"/>
        </w:rPr>
        <w:t xml:space="preserve"> </w:t>
      </w:r>
      <w:r>
        <w:rPr>
          <w:rFonts w:ascii="Arial" w:hAnsi="Arial" w:cs="Arial"/>
          <w:b/>
          <w:bCs/>
          <w:sz w:val="22"/>
          <w:lang w:val="es-ES"/>
        </w:rPr>
        <w:t xml:space="preserve">Capacidad residual: Generalidades </w:t>
      </w:r>
    </w:p>
    <w:p w14:paraId="09116D1B" w14:textId="77777777" w:rsidR="002409FC" w:rsidRDefault="002409FC" w:rsidP="002409FC">
      <w:pPr>
        <w:pStyle w:val="Textoindependiente"/>
        <w:spacing w:line="276" w:lineRule="auto"/>
        <w:jc w:val="both"/>
        <w:rPr>
          <w:rFonts w:eastAsiaTheme="minorHAnsi"/>
          <w:color w:val="000000" w:themeColor="text1"/>
          <w:sz w:val="22"/>
          <w:szCs w:val="22"/>
          <w:lang w:val="es-MX"/>
        </w:rPr>
      </w:pPr>
    </w:p>
    <w:p w14:paraId="3FDA9201" w14:textId="6DCE3BA4" w:rsidR="00455152" w:rsidRDefault="002409FC" w:rsidP="002409FC">
      <w:pPr>
        <w:pStyle w:val="Textoindependiente"/>
        <w:spacing w:after="120" w:line="276" w:lineRule="auto"/>
        <w:jc w:val="both"/>
        <w:rPr>
          <w:rFonts w:eastAsiaTheme="minorHAnsi"/>
          <w:color w:val="000000" w:themeColor="text1"/>
          <w:sz w:val="22"/>
          <w:szCs w:val="22"/>
          <w:lang w:val="es-MX"/>
        </w:rPr>
      </w:pPr>
      <w:r w:rsidRPr="00BF28DB">
        <w:rPr>
          <w:rFonts w:eastAsiaTheme="minorHAnsi"/>
          <w:color w:val="000000" w:themeColor="text1"/>
          <w:sz w:val="22"/>
          <w:szCs w:val="22"/>
          <w:lang w:val="es-MX"/>
        </w:rPr>
        <w:t>De acuerdo con l</w:t>
      </w:r>
      <w:r>
        <w:rPr>
          <w:rFonts w:eastAsiaTheme="minorHAnsi"/>
          <w:color w:val="000000" w:themeColor="text1"/>
          <w:sz w:val="22"/>
          <w:szCs w:val="22"/>
          <w:lang w:val="es-MX"/>
        </w:rPr>
        <w:t>a definición</w:t>
      </w:r>
      <w:r w:rsidRPr="00BF28DB">
        <w:rPr>
          <w:rFonts w:eastAsiaTheme="minorHAnsi"/>
          <w:color w:val="000000" w:themeColor="text1"/>
          <w:sz w:val="22"/>
          <w:szCs w:val="22"/>
          <w:lang w:val="es-MX"/>
        </w:rPr>
        <w:t xml:space="preserve"> establecid</w:t>
      </w:r>
      <w:r>
        <w:rPr>
          <w:rFonts w:eastAsiaTheme="minorHAnsi"/>
          <w:color w:val="000000" w:themeColor="text1"/>
          <w:sz w:val="22"/>
          <w:szCs w:val="22"/>
          <w:lang w:val="es-MX"/>
        </w:rPr>
        <w:t>a</w:t>
      </w:r>
      <w:r w:rsidRPr="00BF28DB">
        <w:rPr>
          <w:rFonts w:eastAsiaTheme="minorHAnsi"/>
          <w:color w:val="000000" w:themeColor="text1"/>
          <w:sz w:val="22"/>
          <w:szCs w:val="22"/>
          <w:lang w:val="es-MX"/>
        </w:rPr>
        <w:t xml:space="preserve"> en el artículo 2.2.1.1.1.3.1. del Decreto 1082 de 2015, la capacidad residual es la aptitud de los oferentes para cumplir de manera oportuna y a cabalidad el objeto de un contrato de obra, sin que los demás compromisos contractuales que han adquirido afecten su habilidad </w:t>
      </w:r>
      <w:r>
        <w:rPr>
          <w:rFonts w:eastAsiaTheme="minorHAnsi"/>
          <w:color w:val="000000" w:themeColor="text1"/>
          <w:sz w:val="22"/>
          <w:szCs w:val="22"/>
          <w:lang w:val="es-MX"/>
        </w:rPr>
        <w:t>para</w:t>
      </w:r>
      <w:r w:rsidRPr="00BF28DB">
        <w:rPr>
          <w:rFonts w:eastAsiaTheme="minorHAnsi"/>
          <w:color w:val="000000" w:themeColor="text1"/>
          <w:sz w:val="22"/>
          <w:szCs w:val="22"/>
          <w:lang w:val="es-MX"/>
        </w:rPr>
        <w:t xml:space="preserve"> cumplir el objeto del contrato que está en proceso de selección</w:t>
      </w:r>
      <w:r w:rsidRPr="00BF28DB">
        <w:rPr>
          <w:rFonts w:eastAsiaTheme="minorHAnsi"/>
          <w:color w:val="000000" w:themeColor="text1"/>
          <w:sz w:val="22"/>
          <w:vertAlign w:val="superscript"/>
          <w:lang w:val="es-MX"/>
        </w:rPr>
        <w:footnoteReference w:id="1"/>
      </w:r>
      <w:r w:rsidRPr="00BF28DB">
        <w:rPr>
          <w:rFonts w:eastAsiaTheme="minorHAnsi"/>
          <w:color w:val="000000" w:themeColor="text1"/>
          <w:sz w:val="22"/>
          <w:szCs w:val="22"/>
          <w:lang w:val="es-MX"/>
        </w:rPr>
        <w:t>. Por su parte, el Consejo de Estado ha definido la capacidad residual como «</w:t>
      </w:r>
      <w:r>
        <w:rPr>
          <w:rFonts w:eastAsiaTheme="minorHAnsi"/>
          <w:color w:val="000000" w:themeColor="text1"/>
          <w:sz w:val="22"/>
          <w:szCs w:val="22"/>
          <w:lang w:val="es-MX"/>
        </w:rPr>
        <w:t xml:space="preserve">[…] </w:t>
      </w:r>
      <w:r w:rsidRPr="00BF28DB">
        <w:rPr>
          <w:rFonts w:eastAsiaTheme="minorHAnsi"/>
          <w:color w:val="000000" w:themeColor="text1"/>
          <w:sz w:val="22"/>
          <w:szCs w:val="22"/>
          <w:lang w:val="es-MX"/>
        </w:rPr>
        <w:t>la diferencia que existe entre el potencial de contratación que se tiene y los compromisos que haya adquirido y que se encuentren en ejecución, para la fecha de presentación de la oferta»</w:t>
      </w:r>
      <w:r w:rsidRPr="00BF28DB">
        <w:rPr>
          <w:rFonts w:eastAsia="Calibri"/>
          <w:color w:val="000000" w:themeColor="text1"/>
          <w:sz w:val="22"/>
          <w:szCs w:val="22"/>
          <w:vertAlign w:val="superscript"/>
          <w:lang w:val="es-MX"/>
        </w:rPr>
        <w:footnoteReference w:id="2"/>
      </w:r>
      <w:r w:rsidRPr="00BF28DB">
        <w:rPr>
          <w:rFonts w:eastAsiaTheme="minorHAnsi"/>
          <w:color w:val="000000" w:themeColor="text1"/>
          <w:sz w:val="22"/>
          <w:szCs w:val="22"/>
          <w:lang w:val="es-MX"/>
        </w:rPr>
        <w:t>.</w:t>
      </w:r>
      <w:r w:rsidR="00B8287E">
        <w:rPr>
          <w:rFonts w:eastAsiaTheme="minorHAnsi"/>
          <w:color w:val="000000" w:themeColor="text1"/>
          <w:sz w:val="22"/>
          <w:szCs w:val="22"/>
          <w:lang w:val="es-MX"/>
        </w:rPr>
        <w:t xml:space="preserve"> </w:t>
      </w:r>
      <w:r w:rsidRPr="00BF28DB">
        <w:rPr>
          <w:rFonts w:eastAsiaTheme="minorHAnsi"/>
          <w:color w:val="000000" w:themeColor="text1"/>
          <w:sz w:val="22"/>
          <w:szCs w:val="22"/>
          <w:lang w:val="es-MX"/>
        </w:rPr>
        <w:t xml:space="preserve">En </w:t>
      </w:r>
      <w:r>
        <w:rPr>
          <w:rFonts w:eastAsiaTheme="minorHAnsi"/>
          <w:color w:val="000000" w:themeColor="text1"/>
          <w:sz w:val="22"/>
          <w:szCs w:val="22"/>
          <w:lang w:val="es-MX"/>
        </w:rPr>
        <w:t>tales términos</w:t>
      </w:r>
      <w:r w:rsidRPr="00BF28DB">
        <w:rPr>
          <w:rFonts w:eastAsiaTheme="minorHAnsi"/>
          <w:color w:val="000000" w:themeColor="text1"/>
          <w:sz w:val="22"/>
          <w:szCs w:val="22"/>
          <w:lang w:val="es-MX"/>
        </w:rPr>
        <w:t>, la capacidad residual hace referencia a la suficiencia que tiene el proponente para asumir nuevas obligaciones que se derivan del contrato objeto del proceso de contratación, en relación con las obligaciones que ya adquirió frente a otros contratos</w:t>
      </w:r>
      <w:r w:rsidR="00455152">
        <w:rPr>
          <w:rFonts w:eastAsiaTheme="minorHAnsi"/>
          <w:color w:val="000000" w:themeColor="text1"/>
          <w:sz w:val="22"/>
          <w:szCs w:val="22"/>
          <w:lang w:val="es-MX"/>
        </w:rPr>
        <w:t>.</w:t>
      </w:r>
    </w:p>
    <w:p w14:paraId="3D6C4625" w14:textId="77777777" w:rsidR="002409FC" w:rsidRPr="00BF28DB" w:rsidRDefault="002409FC" w:rsidP="002409FC">
      <w:pPr>
        <w:spacing w:before="120" w:line="276" w:lineRule="auto"/>
        <w:ind w:firstLine="708"/>
        <w:jc w:val="both"/>
        <w:rPr>
          <w:rFonts w:ascii="Arial" w:hAnsi="Arial" w:cs="Arial"/>
          <w:color w:val="000000" w:themeColor="text1"/>
          <w:sz w:val="22"/>
          <w:szCs w:val="22"/>
          <w:lang w:val="es-MX"/>
        </w:rPr>
      </w:pPr>
      <w:r w:rsidRPr="00BF28DB">
        <w:rPr>
          <w:rFonts w:ascii="Arial" w:hAnsi="Arial" w:cs="Arial"/>
          <w:color w:val="000000" w:themeColor="text1"/>
          <w:sz w:val="22"/>
          <w:szCs w:val="22"/>
          <w:lang w:val="es-MX"/>
        </w:rPr>
        <w:t xml:space="preserve">El artículo 6 de la Ley 1150 de 2007 estableció como condición «para poder participar en los procesos de selección de los contratos de obra, la capacidad residual del </w:t>
      </w:r>
      <w:r w:rsidRPr="00BF28DB">
        <w:rPr>
          <w:rFonts w:ascii="Arial" w:hAnsi="Arial" w:cs="Arial"/>
          <w:color w:val="000000" w:themeColor="text1"/>
          <w:sz w:val="22"/>
          <w:szCs w:val="22"/>
          <w:lang w:val="es-MX"/>
        </w:rPr>
        <w:lastRenderedPageBreak/>
        <w:t xml:space="preserve">proponente o </w:t>
      </w:r>
      <w:r w:rsidRPr="007328D2">
        <w:rPr>
          <w:rFonts w:ascii="Arial" w:hAnsi="Arial" w:cs="Arial"/>
          <w:i/>
          <w:iCs/>
          <w:color w:val="000000" w:themeColor="text1"/>
          <w:sz w:val="22"/>
          <w:szCs w:val="22"/>
          <w:lang w:val="es-MX"/>
        </w:rPr>
        <w:t>K</w:t>
      </w:r>
      <w:r w:rsidRPr="00BF28DB">
        <w:rPr>
          <w:rFonts w:ascii="Arial" w:hAnsi="Arial" w:cs="Arial"/>
          <w:color w:val="000000" w:themeColor="text1"/>
          <w:sz w:val="22"/>
          <w:szCs w:val="22"/>
          <w:lang w:val="es-MX"/>
        </w:rPr>
        <w:t xml:space="preserve"> de contratación». Además, determinó que esta debe ser igual o superior a la establecida en los pliegos de condiciones, en los siguientes términos: </w:t>
      </w:r>
    </w:p>
    <w:p w14:paraId="7DCBE051" w14:textId="77777777" w:rsidR="002409FC" w:rsidRPr="00BF28DB" w:rsidRDefault="002409FC" w:rsidP="002409FC">
      <w:pPr>
        <w:spacing w:before="120"/>
        <w:ind w:right="709"/>
        <w:jc w:val="both"/>
        <w:rPr>
          <w:rFonts w:ascii="Arial" w:eastAsia="Calibri" w:hAnsi="Arial" w:cs="Arial"/>
          <w:color w:val="000000" w:themeColor="text1"/>
          <w:sz w:val="21"/>
          <w:szCs w:val="21"/>
          <w:lang w:val="es-MX"/>
        </w:rPr>
      </w:pPr>
    </w:p>
    <w:p w14:paraId="11696C54" w14:textId="50EA818E" w:rsidR="002409FC" w:rsidRPr="003B2A1E" w:rsidRDefault="000E1127" w:rsidP="002409FC">
      <w:pPr>
        <w:ind w:left="708" w:right="709"/>
        <w:jc w:val="both"/>
        <w:rPr>
          <w:rFonts w:ascii="Arial" w:eastAsia="Calibri" w:hAnsi="Arial" w:cs="Arial"/>
          <w:color w:val="000000" w:themeColor="text1"/>
          <w:sz w:val="21"/>
          <w:szCs w:val="21"/>
          <w:lang w:val="es-MX"/>
        </w:rPr>
      </w:pPr>
      <w:r w:rsidRPr="00F87A2B">
        <w:rPr>
          <w:rFonts w:ascii="Arial" w:hAnsi="Arial" w:cs="Arial"/>
          <w:sz w:val="21"/>
          <w:szCs w:val="21"/>
        </w:rPr>
        <w:t>«</w:t>
      </w:r>
      <w:r w:rsidR="002409FC" w:rsidRPr="00BF28DB">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w:t>
      </w:r>
      <w:r w:rsidR="002409FC" w:rsidRPr="003B2A1E">
        <w:rPr>
          <w:rFonts w:ascii="Arial" w:eastAsia="Calibri" w:hAnsi="Arial" w:cs="Arial"/>
          <w:color w:val="000000" w:themeColor="text1"/>
          <w:sz w:val="21"/>
          <w:szCs w:val="21"/>
          <w:lang w:val="es-MX"/>
        </w:rPr>
        <w:t>ponente o K de contratación deberá ser igual o superior al que la entidad haya establecido para el efecto en los pliegos de condiciones.</w:t>
      </w:r>
    </w:p>
    <w:p w14:paraId="146D9162" w14:textId="77777777" w:rsidR="002409FC" w:rsidRPr="003B2A1E" w:rsidRDefault="002409FC" w:rsidP="002409FC">
      <w:pPr>
        <w:ind w:left="708" w:right="709"/>
        <w:jc w:val="both"/>
        <w:rPr>
          <w:rFonts w:ascii="Arial" w:eastAsia="Calibri" w:hAnsi="Arial" w:cs="Arial"/>
          <w:color w:val="000000" w:themeColor="text1"/>
          <w:sz w:val="21"/>
          <w:szCs w:val="21"/>
          <w:lang w:val="es-MX"/>
        </w:rPr>
      </w:pPr>
    </w:p>
    <w:p w14:paraId="4A6F1F4A" w14:textId="03ADDF1E" w:rsidR="002409FC" w:rsidRPr="003B2A1E" w:rsidRDefault="002409FC" w:rsidP="002409FC">
      <w:pPr>
        <w:ind w:left="708" w:right="709"/>
        <w:jc w:val="both"/>
        <w:rPr>
          <w:rFonts w:ascii="Arial" w:eastAsia="Calibri" w:hAnsi="Arial" w:cs="Arial"/>
          <w:color w:val="000000" w:themeColor="text1"/>
          <w:sz w:val="22"/>
          <w:szCs w:val="22"/>
          <w:lang w:val="es-MX"/>
        </w:rPr>
      </w:pPr>
      <w:r w:rsidRPr="003B2A1E">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sidR="000E1127" w:rsidRPr="003B2A1E">
        <w:rPr>
          <w:rFonts w:ascii="Arial" w:hAnsi="Arial" w:cs="Arial"/>
          <w:sz w:val="21"/>
          <w:szCs w:val="21"/>
        </w:rPr>
        <w:t>»</w:t>
      </w:r>
    </w:p>
    <w:p w14:paraId="241026B0" w14:textId="77777777" w:rsidR="002409FC" w:rsidRPr="003B2A1E" w:rsidRDefault="002409FC" w:rsidP="002409FC">
      <w:pPr>
        <w:pStyle w:val="Textoindependiente"/>
        <w:ind w:right="49"/>
        <w:rPr>
          <w:sz w:val="22"/>
          <w:szCs w:val="22"/>
          <w:lang w:val="es-CO"/>
        </w:rPr>
      </w:pPr>
    </w:p>
    <w:p w14:paraId="1AA8E862" w14:textId="77777777" w:rsidR="002409FC" w:rsidRPr="003B2A1E" w:rsidRDefault="002409FC" w:rsidP="002409FC">
      <w:pPr>
        <w:spacing w:before="120" w:line="276" w:lineRule="auto"/>
        <w:ind w:firstLine="709"/>
        <w:jc w:val="both"/>
        <w:rPr>
          <w:rFonts w:ascii="Arial" w:hAnsi="Arial" w:cs="Arial"/>
          <w:color w:val="000000" w:themeColor="text1"/>
          <w:sz w:val="22"/>
          <w:szCs w:val="22"/>
          <w:lang w:val="es-MX"/>
        </w:rPr>
      </w:pPr>
      <w:r w:rsidRPr="003B2A1E">
        <w:rPr>
          <w:rFonts w:ascii="Arial" w:hAnsi="Arial" w:cs="Arial"/>
          <w:color w:val="000000" w:themeColor="text1"/>
          <w:sz w:val="22"/>
          <w:szCs w:val="22"/>
          <w:lang w:val="es-MX"/>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3B2A1E">
        <w:rPr>
          <w:rFonts w:ascii="Arial" w:eastAsia="Calibri" w:hAnsi="Arial" w:cs="Arial"/>
          <w:bCs/>
          <w:color w:val="000000" w:themeColor="text1"/>
          <w:sz w:val="22"/>
          <w:szCs w:val="22"/>
          <w:lang w:val="es-MX"/>
        </w:rPr>
        <w:t>Organización</w:t>
      </w:r>
      <w:r w:rsidRPr="003B2A1E">
        <w:rPr>
          <w:rFonts w:ascii="Arial" w:hAnsi="Arial" w:cs="Arial"/>
          <w:color w:val="000000" w:themeColor="text1"/>
          <w:sz w:val="22"/>
          <w:szCs w:val="22"/>
          <w:lang w:val="es-MX"/>
        </w:rPr>
        <w:t xml:space="preserve"> –CO–. </w:t>
      </w:r>
    </w:p>
    <w:p w14:paraId="5CE7C527" w14:textId="77777777" w:rsidR="002409FC" w:rsidRPr="003B2A1E" w:rsidRDefault="002409FC" w:rsidP="002409FC">
      <w:pPr>
        <w:spacing w:before="120" w:line="276" w:lineRule="auto"/>
        <w:ind w:firstLine="709"/>
        <w:jc w:val="both"/>
        <w:rPr>
          <w:rFonts w:ascii="Arial" w:eastAsia="Calibri" w:hAnsi="Arial" w:cs="Arial"/>
          <w:color w:val="000000" w:themeColor="text1"/>
          <w:sz w:val="22"/>
          <w:szCs w:val="22"/>
          <w:lang w:val="es-MX"/>
        </w:rPr>
      </w:pPr>
      <w:r w:rsidRPr="003B2A1E">
        <w:rPr>
          <w:rFonts w:ascii="Arial" w:eastAsia="Calibri" w:hAnsi="Arial" w:cs="Arial"/>
          <w:color w:val="000000" w:themeColor="text1"/>
          <w:sz w:val="22"/>
          <w:szCs w:val="22"/>
          <w:lang w:val="es-MX"/>
        </w:rPr>
        <w:t>Igualmente, el artículo 2.2.1.1.1.6.4 del Decreto 1082 de 2015, establece que las entidades estatales deberán calcular la capacidad residual conforme a la metodología definida por Colombia Compre Eficiente y precisó que, para tales fines, resulta necesario tener en cuenta los factores de: i) experiencia; ii) capacidad financiera; iii) capacidad técnica; iv) capacidad de organización; y v) los saldos de los contratos en ejecución, así:</w:t>
      </w:r>
    </w:p>
    <w:p w14:paraId="428342EF" w14:textId="77777777" w:rsidR="002409FC" w:rsidRPr="003B2A1E" w:rsidRDefault="002409FC" w:rsidP="002409FC">
      <w:pPr>
        <w:spacing w:line="276" w:lineRule="auto"/>
        <w:ind w:right="709"/>
        <w:jc w:val="both"/>
        <w:rPr>
          <w:rFonts w:ascii="Arial" w:eastAsia="Calibri" w:hAnsi="Arial" w:cs="Arial"/>
          <w:color w:val="000000" w:themeColor="text1"/>
          <w:sz w:val="21"/>
          <w:szCs w:val="21"/>
          <w:lang w:val="es-MX"/>
        </w:rPr>
      </w:pPr>
    </w:p>
    <w:p w14:paraId="40AB9587" w14:textId="04D010EF" w:rsidR="002409FC" w:rsidRPr="003B2A1E" w:rsidRDefault="000E1127" w:rsidP="002409FC">
      <w:pPr>
        <w:ind w:left="708" w:right="709"/>
        <w:jc w:val="both"/>
        <w:rPr>
          <w:rFonts w:ascii="Arial" w:eastAsia="Calibri" w:hAnsi="Arial" w:cs="Arial"/>
          <w:color w:val="000000" w:themeColor="text1"/>
          <w:sz w:val="21"/>
          <w:szCs w:val="21"/>
          <w:lang w:val="es-MX"/>
        </w:rPr>
      </w:pPr>
      <w:bookmarkStart w:id="1" w:name="_Hlk99783567"/>
      <w:r w:rsidRPr="003B2A1E">
        <w:rPr>
          <w:rFonts w:ascii="Arial" w:hAnsi="Arial" w:cs="Arial"/>
          <w:sz w:val="21"/>
          <w:szCs w:val="21"/>
        </w:rPr>
        <w:t>«</w:t>
      </w:r>
      <w:bookmarkEnd w:id="1"/>
      <w:r w:rsidR="002409FC" w:rsidRPr="003B2A1E">
        <w:rPr>
          <w:rFonts w:ascii="Arial" w:eastAsia="Calibri" w:hAnsi="Arial" w:cs="Arial"/>
          <w:color w:val="000000" w:themeColor="text1"/>
          <w:sz w:val="21"/>
          <w:szCs w:val="21"/>
          <w:lang w:val="es-MX"/>
        </w:rPr>
        <w:t>Artículo 2.2.1.1.1.6.4. Capacidad Residual. El interesado en celebrar contratos de obra pública con Entidades Estatales debe acreditar su Capacidad Residual o K de Contratación con los siguientes documentos: […]</w:t>
      </w:r>
      <w:bookmarkStart w:id="2" w:name="_Hlk99783586"/>
      <w:r w:rsidRPr="003B2A1E">
        <w:rPr>
          <w:rFonts w:ascii="Arial" w:hAnsi="Arial" w:cs="Arial"/>
          <w:sz w:val="21"/>
          <w:szCs w:val="21"/>
        </w:rPr>
        <w:t>»</w:t>
      </w:r>
      <w:bookmarkEnd w:id="2"/>
    </w:p>
    <w:p w14:paraId="1194398E" w14:textId="77777777" w:rsidR="002409FC" w:rsidRPr="003B2A1E" w:rsidRDefault="002409FC" w:rsidP="002409FC">
      <w:pPr>
        <w:ind w:left="708" w:right="709"/>
        <w:jc w:val="both"/>
        <w:rPr>
          <w:rFonts w:ascii="Arial" w:eastAsia="Calibri" w:hAnsi="Arial" w:cs="Arial"/>
          <w:color w:val="000000" w:themeColor="text1"/>
          <w:sz w:val="21"/>
          <w:szCs w:val="21"/>
          <w:lang w:val="es-MX"/>
        </w:rPr>
      </w:pPr>
    </w:p>
    <w:p w14:paraId="7E70CA6F" w14:textId="1010EA4D" w:rsidR="002409FC" w:rsidRPr="003B2A1E" w:rsidRDefault="002409FC" w:rsidP="00065406">
      <w:pPr>
        <w:pStyle w:val="Textoindependiente"/>
        <w:spacing w:before="120" w:line="276" w:lineRule="auto"/>
        <w:ind w:left="708" w:right="616" w:firstLine="1"/>
        <w:jc w:val="both"/>
        <w:rPr>
          <w:sz w:val="22"/>
          <w:szCs w:val="22"/>
          <w:lang w:val="es-CO"/>
        </w:rPr>
      </w:pPr>
      <w:r w:rsidRPr="003B2A1E">
        <w:rPr>
          <w:rFonts w:eastAsia="Calibri"/>
          <w:color w:val="000000" w:themeColor="text1"/>
          <w:sz w:val="21"/>
          <w:szCs w:val="21"/>
          <w:lang w:val="es-MX"/>
        </w:rPr>
        <w:t xml:space="preserve">La Entidad Estatal debe calcular la Capacidad Residual del proponente de acuerdo con la metodología que defina Colombia Compra Eficiente, teniendo en cuenta los factores de: Experiencia (E), Capacidad Financiera (CF), </w:t>
      </w:r>
      <w:r w:rsidR="00065406" w:rsidRPr="003B2A1E">
        <w:rPr>
          <w:rFonts w:eastAsia="Calibri"/>
          <w:color w:val="000000" w:themeColor="text1"/>
          <w:sz w:val="21"/>
          <w:szCs w:val="21"/>
          <w:lang w:val="es-MX"/>
        </w:rPr>
        <w:t>Capacidad Técnica (CT), Capacidad de Organización (CO), y los saldos de los contratos en ejecución (SCE).</w:t>
      </w:r>
      <w:r w:rsidR="00065406" w:rsidRPr="003B2A1E">
        <w:rPr>
          <w:sz w:val="21"/>
          <w:szCs w:val="21"/>
        </w:rPr>
        <w:t>»</w:t>
      </w:r>
    </w:p>
    <w:p w14:paraId="4812F9F6" w14:textId="77777777" w:rsidR="002409FC" w:rsidRPr="003B2A1E" w:rsidRDefault="002409FC" w:rsidP="002409FC">
      <w:pPr>
        <w:pStyle w:val="Textoindependiente"/>
        <w:ind w:right="49"/>
        <w:rPr>
          <w:sz w:val="22"/>
          <w:szCs w:val="22"/>
          <w:lang w:val="es-CO"/>
        </w:rPr>
      </w:pPr>
    </w:p>
    <w:p w14:paraId="1B0C331A" w14:textId="3C69CD31" w:rsidR="002409FC" w:rsidRPr="003B2A1E" w:rsidRDefault="002409FC" w:rsidP="002409FC">
      <w:pPr>
        <w:pStyle w:val="Textoindependiente"/>
        <w:spacing w:line="276" w:lineRule="auto"/>
        <w:ind w:firstLine="709"/>
        <w:jc w:val="both"/>
        <w:rPr>
          <w:sz w:val="22"/>
          <w:szCs w:val="22"/>
          <w:lang w:val="es-CO"/>
        </w:rPr>
      </w:pPr>
      <w:r w:rsidRPr="003B2A1E">
        <w:rPr>
          <w:sz w:val="22"/>
          <w:szCs w:val="22"/>
          <w:lang w:val="es-CO"/>
        </w:rPr>
        <w:t xml:space="preserve">De conformidad con lo anterior, esta Agencia expidió la </w:t>
      </w:r>
      <w:r w:rsidRPr="003B2A1E">
        <w:rPr>
          <w:i/>
          <w:iCs/>
          <w:sz w:val="22"/>
          <w:szCs w:val="22"/>
          <w:lang w:val="es-CO"/>
        </w:rPr>
        <w:t>Guía para Determinar y Verificar la Capacidad Residual del Proponente en los Procesos de Contratación de Obra Pública</w:t>
      </w:r>
      <w:r w:rsidRPr="003B2A1E">
        <w:rPr>
          <w:sz w:val="22"/>
          <w:szCs w:val="22"/>
          <w:lang w:val="es-CO"/>
        </w:rPr>
        <w:t xml:space="preserve">. En este documento se establece, entre otras cuestiones, que a la entidad contratante le corresponde, primero, establecer la capacidad residual del proceso de contratación </w:t>
      </w:r>
      <w:r w:rsidR="00B8287E" w:rsidRPr="003B2A1E">
        <w:rPr>
          <w:sz w:val="22"/>
          <w:szCs w:val="22"/>
          <w:lang w:val="es-CO"/>
        </w:rPr>
        <w:t>–</w:t>
      </w:r>
      <w:r w:rsidRPr="003B2A1E">
        <w:rPr>
          <w:i/>
          <w:iCs/>
          <w:sz w:val="22"/>
          <w:szCs w:val="22"/>
          <w:lang w:val="es-CO"/>
        </w:rPr>
        <w:t>CRPC</w:t>
      </w:r>
      <w:r w:rsidR="00B8287E" w:rsidRPr="003B2A1E">
        <w:rPr>
          <w:i/>
          <w:iCs/>
          <w:sz w:val="22"/>
          <w:szCs w:val="22"/>
          <w:lang w:val="es-CO"/>
        </w:rPr>
        <w:t>–</w:t>
      </w:r>
      <w:r w:rsidRPr="003B2A1E">
        <w:rPr>
          <w:sz w:val="22"/>
          <w:szCs w:val="22"/>
          <w:lang w:val="es-CO"/>
        </w:rPr>
        <w:t xml:space="preserve"> y, segundo, determinar si los proponentes cumplen con la capacidad residual del proceso de contratación, claro está, teniendo en cuenta la siguiente información </w:t>
      </w:r>
      <w:r w:rsidRPr="003B2A1E">
        <w:rPr>
          <w:sz w:val="22"/>
          <w:szCs w:val="22"/>
          <w:lang w:val="es-CO"/>
        </w:rPr>
        <w:lastRenderedPageBreak/>
        <w:t>aportada por el proponente:</w:t>
      </w:r>
    </w:p>
    <w:p w14:paraId="3E113307" w14:textId="77777777" w:rsidR="002409FC" w:rsidRPr="003B2A1E" w:rsidRDefault="002409FC" w:rsidP="002409FC">
      <w:pPr>
        <w:pStyle w:val="Textoindependiente"/>
        <w:ind w:left="709" w:right="760"/>
        <w:jc w:val="both"/>
        <w:rPr>
          <w:sz w:val="22"/>
          <w:szCs w:val="22"/>
          <w:lang w:val="es-CO"/>
        </w:rPr>
      </w:pPr>
    </w:p>
    <w:p w14:paraId="34DF716E" w14:textId="77777777" w:rsidR="002409FC" w:rsidRPr="003B2A1E" w:rsidRDefault="002409FC" w:rsidP="002409FC">
      <w:pPr>
        <w:pStyle w:val="Textoindependiente"/>
        <w:numPr>
          <w:ilvl w:val="0"/>
          <w:numId w:val="3"/>
        </w:numPr>
        <w:tabs>
          <w:tab w:val="left" w:pos="993"/>
        </w:tabs>
        <w:ind w:left="709" w:right="709" w:firstLine="0"/>
        <w:jc w:val="both"/>
        <w:rPr>
          <w:sz w:val="22"/>
          <w:szCs w:val="22"/>
          <w:lang w:val="es-CO"/>
        </w:rPr>
      </w:pPr>
      <w:r w:rsidRPr="003B2A1E">
        <w:rPr>
          <w:sz w:val="22"/>
          <w:szCs w:val="22"/>
          <w:lang w:val="es-CO"/>
        </w:rPr>
        <w:t>La lista de los Contratos en Ejecución, así como el valor y plazo de tales contratos.</w:t>
      </w:r>
    </w:p>
    <w:p w14:paraId="7B0F5349" w14:textId="77777777" w:rsidR="002409FC" w:rsidRPr="003B2A1E" w:rsidRDefault="002409FC" w:rsidP="002409FC">
      <w:pPr>
        <w:pStyle w:val="Textoindependiente"/>
        <w:tabs>
          <w:tab w:val="left" w:pos="993"/>
        </w:tabs>
        <w:ind w:left="709" w:right="709"/>
        <w:jc w:val="both"/>
        <w:rPr>
          <w:sz w:val="22"/>
          <w:szCs w:val="22"/>
          <w:lang w:val="es-CO"/>
        </w:rPr>
      </w:pPr>
    </w:p>
    <w:p w14:paraId="15FB1EEB" w14:textId="77777777" w:rsidR="002409FC" w:rsidRPr="003B2A1E" w:rsidRDefault="002409FC" w:rsidP="002409FC">
      <w:pPr>
        <w:pStyle w:val="Textoindependiente"/>
        <w:numPr>
          <w:ilvl w:val="0"/>
          <w:numId w:val="3"/>
        </w:numPr>
        <w:tabs>
          <w:tab w:val="left" w:pos="993"/>
        </w:tabs>
        <w:ind w:left="709" w:right="709" w:firstLine="0"/>
        <w:jc w:val="both"/>
        <w:rPr>
          <w:sz w:val="22"/>
          <w:szCs w:val="22"/>
          <w:lang w:val="es-CO"/>
        </w:rPr>
      </w:pPr>
      <w:r w:rsidRPr="003B2A1E">
        <w:rPr>
          <w:sz w:val="22"/>
          <w:szCs w:val="22"/>
          <w:lang w:val="es-CO"/>
        </w:rPr>
        <w:t>La lista de los Contratos en Ejecución, suscritos por sociedades, consorcios o uniones temporales, en los cuales el proponente tenga participación, así como el valor y plazo de tales contratos.</w:t>
      </w:r>
    </w:p>
    <w:p w14:paraId="5DDDD989" w14:textId="77777777" w:rsidR="002409FC" w:rsidRPr="003B2A1E" w:rsidRDefault="002409FC" w:rsidP="002409FC">
      <w:pPr>
        <w:pStyle w:val="Textoindependiente"/>
        <w:tabs>
          <w:tab w:val="left" w:pos="993"/>
        </w:tabs>
        <w:ind w:right="709"/>
        <w:jc w:val="both"/>
        <w:rPr>
          <w:sz w:val="22"/>
          <w:szCs w:val="22"/>
          <w:lang w:val="es-CO"/>
        </w:rPr>
      </w:pPr>
    </w:p>
    <w:p w14:paraId="22EF5781" w14:textId="77777777" w:rsidR="002409FC" w:rsidRPr="003B2A1E" w:rsidRDefault="002409FC" w:rsidP="002409FC">
      <w:pPr>
        <w:pStyle w:val="Textoindependiente"/>
        <w:numPr>
          <w:ilvl w:val="0"/>
          <w:numId w:val="3"/>
        </w:numPr>
        <w:tabs>
          <w:tab w:val="left" w:pos="993"/>
        </w:tabs>
        <w:ind w:left="709" w:right="709" w:firstLine="0"/>
        <w:jc w:val="both"/>
        <w:rPr>
          <w:sz w:val="22"/>
          <w:szCs w:val="22"/>
          <w:lang w:val="es-CO"/>
        </w:rPr>
      </w:pPr>
      <w:r w:rsidRPr="003B2A1E">
        <w:rPr>
          <w:sz w:val="22"/>
          <w:szCs w:val="22"/>
          <w:lang w:val="es-CO"/>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52FCB792" w14:textId="77777777" w:rsidR="002409FC" w:rsidRPr="003B2A1E" w:rsidRDefault="002409FC" w:rsidP="002409FC">
      <w:pPr>
        <w:pStyle w:val="Textoindependiente"/>
        <w:spacing w:line="276" w:lineRule="auto"/>
        <w:ind w:firstLine="709"/>
        <w:jc w:val="both"/>
        <w:rPr>
          <w:sz w:val="22"/>
          <w:szCs w:val="22"/>
          <w:lang w:val="es-CO"/>
        </w:rPr>
      </w:pPr>
    </w:p>
    <w:p w14:paraId="441B2F5C" w14:textId="77777777" w:rsidR="002409FC" w:rsidRPr="003B2A1E" w:rsidRDefault="002409FC" w:rsidP="002409FC">
      <w:pPr>
        <w:pStyle w:val="Textoindependiente"/>
        <w:spacing w:after="120" w:line="276" w:lineRule="auto"/>
        <w:ind w:firstLine="709"/>
        <w:jc w:val="both"/>
        <w:rPr>
          <w:sz w:val="22"/>
          <w:szCs w:val="22"/>
          <w:lang w:val="es-CO"/>
        </w:rPr>
      </w:pPr>
      <w:r w:rsidRPr="003B2A1E">
        <w:rPr>
          <w:sz w:val="22"/>
          <w:szCs w:val="22"/>
          <w:lang w:val="es-CO"/>
        </w:rPr>
        <w:t>Ahora bien, para lo primero, esto es, para establecer la capacidad residual del proceso de contratación «CRPC»,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1F4B5A9" w14:textId="77777777" w:rsidR="002409FC" w:rsidRPr="003B2A1E" w:rsidRDefault="002409FC" w:rsidP="002409FC">
      <w:pPr>
        <w:pStyle w:val="Textoindependiente"/>
        <w:spacing w:before="120" w:after="120" w:line="276" w:lineRule="auto"/>
        <w:ind w:firstLine="709"/>
        <w:jc w:val="both"/>
        <w:rPr>
          <w:sz w:val="22"/>
          <w:szCs w:val="22"/>
          <w:lang w:val="es-CO"/>
        </w:rPr>
      </w:pPr>
      <w:r w:rsidRPr="003B2A1E">
        <w:rPr>
          <w:sz w:val="22"/>
          <w:szCs w:val="22"/>
          <w:lang w:val="es-CO"/>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03E9FB0D" w14:textId="77777777" w:rsidR="002409FC" w:rsidRPr="003B2A1E" w:rsidRDefault="002409FC" w:rsidP="002409FC">
      <w:pPr>
        <w:pStyle w:val="Textoindependiente"/>
        <w:tabs>
          <w:tab w:val="left" w:pos="709"/>
          <w:tab w:val="left" w:pos="8080"/>
        </w:tabs>
        <w:spacing w:before="10"/>
        <w:ind w:right="49"/>
        <w:rPr>
          <w:sz w:val="22"/>
          <w:szCs w:val="22"/>
          <w:lang w:val="es-CO"/>
        </w:rPr>
      </w:pPr>
      <w:r w:rsidRPr="003B2A1E">
        <w:rPr>
          <w:noProof/>
          <w:sz w:val="22"/>
          <w:szCs w:val="22"/>
          <w:lang w:val="es-CO" w:eastAsia="es-ES_tradnl"/>
        </w:rPr>
        <w:drawing>
          <wp:anchor distT="0" distB="0" distL="0" distR="0" simplePos="0" relativeHeight="251659264" behindDoc="0" locked="0" layoutInCell="1" allowOverlap="1" wp14:anchorId="54383538" wp14:editId="0B5E89FA">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4250CF5B" w14:textId="77777777" w:rsidR="002409FC" w:rsidRPr="003B2A1E" w:rsidRDefault="002409FC" w:rsidP="002409FC">
      <w:pPr>
        <w:pStyle w:val="Textoindependiente"/>
        <w:spacing w:before="120" w:line="276" w:lineRule="auto"/>
        <w:ind w:right="51" w:firstLine="709"/>
        <w:jc w:val="both"/>
        <w:rPr>
          <w:sz w:val="22"/>
          <w:szCs w:val="22"/>
          <w:lang w:val="es-CO"/>
        </w:rPr>
      </w:pPr>
    </w:p>
    <w:p w14:paraId="312FA14A" w14:textId="77777777" w:rsidR="002409FC" w:rsidRPr="003B2A1E" w:rsidRDefault="002409FC" w:rsidP="002409FC">
      <w:pPr>
        <w:pStyle w:val="Textoindependiente"/>
        <w:spacing w:before="120" w:after="120" w:line="276" w:lineRule="auto"/>
        <w:ind w:firstLine="709"/>
        <w:jc w:val="both"/>
        <w:rPr>
          <w:sz w:val="22"/>
          <w:szCs w:val="22"/>
          <w:lang w:val="es-CO"/>
        </w:rPr>
      </w:pPr>
      <w:r w:rsidRPr="003B2A1E">
        <w:rPr>
          <w:sz w:val="22"/>
          <w:szCs w:val="22"/>
          <w:lang w:val="es-CO"/>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0B4B5573" w14:textId="77777777" w:rsidR="002409FC" w:rsidRPr="003B2A1E" w:rsidRDefault="002409FC" w:rsidP="002409FC">
      <w:pPr>
        <w:pStyle w:val="Textoindependiente"/>
        <w:numPr>
          <w:ilvl w:val="0"/>
          <w:numId w:val="4"/>
        </w:numPr>
        <w:tabs>
          <w:tab w:val="left" w:pos="993"/>
        </w:tabs>
        <w:spacing w:before="120" w:after="120" w:line="276" w:lineRule="auto"/>
        <w:ind w:left="0" w:firstLine="709"/>
        <w:jc w:val="both"/>
        <w:rPr>
          <w:i/>
          <w:iCs/>
          <w:sz w:val="22"/>
          <w:szCs w:val="22"/>
          <w:lang w:val="es-CO"/>
        </w:rPr>
      </w:pPr>
      <w:r w:rsidRPr="003B2A1E">
        <w:rPr>
          <w:i/>
          <w:iCs/>
          <w:sz w:val="22"/>
          <w:szCs w:val="22"/>
          <w:lang w:val="es-CO"/>
        </w:rPr>
        <w:lastRenderedPageBreak/>
        <w:t>Capacidad financiera (CF).</w:t>
      </w:r>
      <w:r w:rsidRPr="003B2A1E">
        <w:rPr>
          <w:sz w:val="22"/>
          <w:szCs w:val="22"/>
          <w:lang w:val="es-CO"/>
        </w:rPr>
        <w:t xml:space="preserve"> Se mide por el «índice de liquidez» y este, a su vez, corresponde al resultado de dividir el «activo corriente» sobre el «pasivo corriente». El resultado puede ser calificado entre 20 y cuarenta puntos, según se explica en la Guía.</w:t>
      </w:r>
    </w:p>
    <w:p w14:paraId="6419CDC7" w14:textId="4127D864" w:rsidR="002409FC" w:rsidRPr="003B2A1E" w:rsidRDefault="002409FC" w:rsidP="002409FC">
      <w:pPr>
        <w:pStyle w:val="Textoindependiente"/>
        <w:numPr>
          <w:ilvl w:val="0"/>
          <w:numId w:val="4"/>
        </w:numPr>
        <w:tabs>
          <w:tab w:val="left" w:pos="993"/>
        </w:tabs>
        <w:spacing w:before="120" w:after="120" w:line="276" w:lineRule="auto"/>
        <w:ind w:left="0" w:firstLine="709"/>
        <w:jc w:val="both"/>
        <w:rPr>
          <w:i/>
          <w:iCs/>
          <w:sz w:val="22"/>
          <w:szCs w:val="22"/>
          <w:lang w:val="es-CO"/>
        </w:rPr>
      </w:pPr>
      <w:r w:rsidRPr="003B2A1E">
        <w:rPr>
          <w:i/>
          <w:iCs/>
          <w:sz w:val="22"/>
          <w:szCs w:val="22"/>
          <w:lang w:val="es-CO"/>
        </w:rPr>
        <w:t>Capacidad técnica (CT)</w:t>
      </w:r>
      <w:r w:rsidRPr="003B2A1E">
        <w:rPr>
          <w:sz w:val="22"/>
          <w:szCs w:val="22"/>
          <w:lang w:val="es-CO"/>
        </w:rPr>
        <w:t xml:space="preserve">. Se determina teniendo en cuenta el número de socios y profesionales de la arquitectura, ingeniería y geología vinculados mediante una relación laboral o contractual. El puntaje a asignar, según la Guía, oscila entre 20 y 40 puntos. Para tales fines, se aclara, el proponente debe diligenciar el Anexo 2 de la «Guía para Determinar y Verificar la Capacidad Residual del Proponente en los Procesos de Contratación de Obra Pública» </w:t>
      </w:r>
      <w:r w:rsidR="00560047" w:rsidRPr="003B2A1E">
        <w:rPr>
          <w:sz w:val="22"/>
          <w:szCs w:val="22"/>
          <w:lang w:val="es-CO"/>
        </w:rPr>
        <w:t>.</w:t>
      </w:r>
    </w:p>
    <w:p w14:paraId="4CF8438D" w14:textId="77777777" w:rsidR="002409FC" w:rsidRPr="003B2A1E" w:rsidRDefault="002409FC" w:rsidP="002409FC">
      <w:pPr>
        <w:pStyle w:val="Textoindependiente"/>
        <w:numPr>
          <w:ilvl w:val="0"/>
          <w:numId w:val="4"/>
        </w:numPr>
        <w:tabs>
          <w:tab w:val="left" w:pos="993"/>
        </w:tabs>
        <w:spacing w:before="120" w:after="120" w:line="276" w:lineRule="auto"/>
        <w:ind w:left="0" w:firstLine="709"/>
        <w:jc w:val="both"/>
        <w:rPr>
          <w:i/>
          <w:iCs/>
          <w:sz w:val="22"/>
          <w:szCs w:val="22"/>
          <w:lang w:val="es-CO"/>
        </w:rPr>
      </w:pPr>
      <w:r w:rsidRPr="003B2A1E">
        <w:rPr>
          <w:i/>
          <w:iCs/>
          <w:sz w:val="22"/>
          <w:szCs w:val="22"/>
          <w:lang w:val="es-CO"/>
        </w:rPr>
        <w:t>Capacidad de organización (CO)</w:t>
      </w:r>
      <w:r w:rsidRPr="003B2A1E">
        <w:rPr>
          <w:sz w:val="22"/>
          <w:szCs w:val="22"/>
          <w:lang w:val="es-CO"/>
        </w:rPr>
        <w:t>. Corresponde a los ingresos operacionales, según el siguiente cuadro:</w:t>
      </w:r>
    </w:p>
    <w:tbl>
      <w:tblPr>
        <w:tblStyle w:val="Tablaconcuadrcula"/>
        <w:tblW w:w="7366" w:type="dxa"/>
        <w:tblInd w:w="709" w:type="dxa"/>
        <w:tblLook w:val="04A0" w:firstRow="1" w:lastRow="0" w:firstColumn="1" w:lastColumn="0" w:noHBand="0" w:noVBand="1"/>
      </w:tblPr>
      <w:tblGrid>
        <w:gridCol w:w="4053"/>
        <w:gridCol w:w="3313"/>
      </w:tblGrid>
      <w:tr w:rsidR="002409FC" w:rsidRPr="003B2A1E" w14:paraId="2215B7AA" w14:textId="77777777" w:rsidTr="00B21FBB">
        <w:tc>
          <w:tcPr>
            <w:tcW w:w="4053" w:type="dxa"/>
            <w:shd w:val="clear" w:color="auto" w:fill="D9D9D9" w:themeFill="background1" w:themeFillShade="D9"/>
          </w:tcPr>
          <w:p w14:paraId="6B446684" w14:textId="77777777" w:rsidR="002409FC" w:rsidRPr="003B2A1E" w:rsidRDefault="002409FC" w:rsidP="00B21FBB">
            <w:pPr>
              <w:pStyle w:val="Textoindependiente"/>
              <w:tabs>
                <w:tab w:val="left" w:pos="993"/>
              </w:tabs>
              <w:spacing w:before="120" w:line="276" w:lineRule="auto"/>
              <w:ind w:right="51"/>
              <w:jc w:val="center"/>
              <w:rPr>
                <w:b/>
                <w:bCs/>
                <w:sz w:val="22"/>
                <w:szCs w:val="22"/>
                <w:lang w:val="es-CO"/>
              </w:rPr>
            </w:pPr>
            <w:r w:rsidRPr="003B2A1E">
              <w:rPr>
                <w:b/>
                <w:bCs/>
                <w:sz w:val="22"/>
                <w:szCs w:val="22"/>
                <w:lang w:val="es-CO"/>
              </w:rPr>
              <w:t>Años de información financiera</w:t>
            </w:r>
          </w:p>
        </w:tc>
        <w:tc>
          <w:tcPr>
            <w:tcW w:w="3313" w:type="dxa"/>
            <w:shd w:val="clear" w:color="auto" w:fill="D9D9D9" w:themeFill="background1" w:themeFillShade="D9"/>
          </w:tcPr>
          <w:p w14:paraId="3A1DBE2E" w14:textId="77777777" w:rsidR="002409FC" w:rsidRPr="003B2A1E" w:rsidRDefault="002409FC" w:rsidP="00B21FBB">
            <w:pPr>
              <w:pStyle w:val="Textoindependiente"/>
              <w:tabs>
                <w:tab w:val="left" w:pos="993"/>
              </w:tabs>
              <w:spacing w:before="120" w:line="276" w:lineRule="auto"/>
              <w:ind w:right="51"/>
              <w:jc w:val="center"/>
              <w:rPr>
                <w:b/>
                <w:bCs/>
                <w:sz w:val="22"/>
                <w:szCs w:val="22"/>
                <w:lang w:val="es-CO"/>
              </w:rPr>
            </w:pPr>
            <w:r w:rsidRPr="003B2A1E">
              <w:rPr>
                <w:b/>
                <w:bCs/>
                <w:sz w:val="22"/>
                <w:szCs w:val="22"/>
                <w:lang w:val="es-CO"/>
              </w:rPr>
              <w:t>Capacidad de organización</w:t>
            </w:r>
          </w:p>
        </w:tc>
      </w:tr>
      <w:tr w:rsidR="002409FC" w:rsidRPr="003B2A1E" w14:paraId="6719577A" w14:textId="77777777" w:rsidTr="00B21FBB">
        <w:tc>
          <w:tcPr>
            <w:tcW w:w="4053" w:type="dxa"/>
          </w:tcPr>
          <w:p w14:paraId="3633BD24"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Cinco (5) años o más</w:t>
            </w:r>
          </w:p>
        </w:tc>
        <w:tc>
          <w:tcPr>
            <w:tcW w:w="3313" w:type="dxa"/>
          </w:tcPr>
          <w:p w14:paraId="79EBD362"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Mayor ingreso operacional de los últimos cinco años</w:t>
            </w:r>
          </w:p>
        </w:tc>
      </w:tr>
      <w:tr w:rsidR="002409FC" w:rsidRPr="003B2A1E" w14:paraId="76F5AF72" w14:textId="77777777" w:rsidTr="00B21FBB">
        <w:tc>
          <w:tcPr>
            <w:tcW w:w="4053" w:type="dxa"/>
          </w:tcPr>
          <w:p w14:paraId="523DCD58"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Entre uno (1) y cinco (5) años</w:t>
            </w:r>
          </w:p>
        </w:tc>
        <w:tc>
          <w:tcPr>
            <w:tcW w:w="3313" w:type="dxa"/>
          </w:tcPr>
          <w:p w14:paraId="27FB83A2"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Mayor ingreso operacional de los años de vida del oferente</w:t>
            </w:r>
          </w:p>
        </w:tc>
      </w:tr>
      <w:tr w:rsidR="002409FC" w:rsidRPr="003B2A1E" w14:paraId="6894A3C0" w14:textId="77777777" w:rsidTr="00B21FBB">
        <w:tc>
          <w:tcPr>
            <w:tcW w:w="4053" w:type="dxa"/>
          </w:tcPr>
          <w:p w14:paraId="4A58A133"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Menos de un (1) año</w:t>
            </w:r>
          </w:p>
        </w:tc>
        <w:tc>
          <w:tcPr>
            <w:tcW w:w="3313" w:type="dxa"/>
          </w:tcPr>
          <w:p w14:paraId="452CF3E0" w14:textId="77777777" w:rsidR="002409FC" w:rsidRPr="003B2A1E" w:rsidRDefault="002409FC" w:rsidP="00B21FBB">
            <w:pPr>
              <w:pStyle w:val="Textoindependiente"/>
              <w:tabs>
                <w:tab w:val="left" w:pos="993"/>
              </w:tabs>
              <w:spacing w:before="120" w:line="276" w:lineRule="auto"/>
              <w:ind w:right="51"/>
              <w:jc w:val="both"/>
              <w:rPr>
                <w:sz w:val="22"/>
                <w:szCs w:val="22"/>
                <w:lang w:val="es-CO"/>
              </w:rPr>
            </w:pPr>
            <w:r w:rsidRPr="003B2A1E">
              <w:rPr>
                <w:sz w:val="22"/>
                <w:szCs w:val="22"/>
                <w:lang w:val="es-CO"/>
              </w:rPr>
              <w:t>USD 125.000</w:t>
            </w:r>
          </w:p>
        </w:tc>
      </w:tr>
    </w:tbl>
    <w:p w14:paraId="295AF29D" w14:textId="77777777" w:rsidR="002409FC" w:rsidRPr="003B2A1E" w:rsidRDefault="002409FC" w:rsidP="002409FC">
      <w:pPr>
        <w:pStyle w:val="Textoindependiente"/>
        <w:numPr>
          <w:ilvl w:val="0"/>
          <w:numId w:val="4"/>
        </w:numPr>
        <w:tabs>
          <w:tab w:val="left" w:pos="993"/>
        </w:tabs>
        <w:spacing w:before="120" w:after="120" w:line="276" w:lineRule="auto"/>
        <w:ind w:left="0" w:firstLine="709"/>
        <w:jc w:val="both"/>
        <w:rPr>
          <w:sz w:val="22"/>
          <w:szCs w:val="22"/>
          <w:lang w:val="es-CO"/>
        </w:rPr>
      </w:pPr>
      <w:r w:rsidRPr="003B2A1E">
        <w:rPr>
          <w:i/>
          <w:iCs/>
          <w:sz w:val="22"/>
          <w:szCs w:val="22"/>
          <w:lang w:val="es-CO"/>
        </w:rPr>
        <w:t>Saldos de los Contratos en ejecución (SCE)</w:t>
      </w:r>
      <w:r w:rsidRPr="003B2A1E">
        <w:rPr>
          <w:sz w:val="22"/>
          <w:szCs w:val="22"/>
          <w:lang w:val="es-CO"/>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211A4029" w14:textId="77777777" w:rsidR="002409FC" w:rsidRPr="003B2A1E" w:rsidRDefault="002409FC" w:rsidP="002409FC">
      <w:pPr>
        <w:pStyle w:val="Textoindependiente"/>
        <w:numPr>
          <w:ilvl w:val="0"/>
          <w:numId w:val="4"/>
        </w:numPr>
        <w:tabs>
          <w:tab w:val="left" w:pos="993"/>
        </w:tabs>
        <w:spacing w:before="120" w:after="120" w:line="276" w:lineRule="auto"/>
        <w:ind w:left="0" w:firstLine="709"/>
        <w:jc w:val="both"/>
        <w:rPr>
          <w:sz w:val="22"/>
          <w:szCs w:val="22"/>
          <w:lang w:val="es-CO"/>
        </w:rPr>
      </w:pPr>
      <w:r w:rsidRPr="003B2A1E">
        <w:rPr>
          <w:i/>
          <w:iCs/>
          <w:sz w:val="22"/>
          <w:szCs w:val="22"/>
          <w:lang w:val="es-CO"/>
        </w:rPr>
        <w:t>Experiencia</w:t>
      </w:r>
      <w:r w:rsidRPr="003B2A1E">
        <w:rPr>
          <w:sz w:val="22"/>
          <w:szCs w:val="22"/>
          <w:lang w:val="es-CO"/>
        </w:rPr>
        <w:t xml:space="preserve"> </w:t>
      </w:r>
      <w:r w:rsidRPr="003B2A1E">
        <w:rPr>
          <w:i/>
          <w:iCs/>
          <w:sz w:val="22"/>
          <w:szCs w:val="22"/>
          <w:lang w:val="es-CO"/>
        </w:rPr>
        <w:t>(E).</w:t>
      </w:r>
      <w:r w:rsidRPr="003B2A1E">
        <w:rPr>
          <w:sz w:val="22"/>
          <w:szCs w:val="22"/>
          <w:lang w:val="es-CO"/>
        </w:rPr>
        <w:t xml:space="preserve"> Para los efectos de la capacidad residual, corresponde de un lado, a la relación entre «el valor total en pesos de los contratos relacionados con la actividad de la construcción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  </w:t>
      </w:r>
    </w:p>
    <w:p w14:paraId="071C378B" w14:textId="77777777" w:rsidR="002409FC" w:rsidRPr="003B2A1E" w:rsidRDefault="002409FC" w:rsidP="002409FC">
      <w:pPr>
        <w:pStyle w:val="Textoindependiente"/>
        <w:spacing w:before="120" w:line="276" w:lineRule="auto"/>
        <w:ind w:firstLine="709"/>
        <w:jc w:val="both"/>
        <w:rPr>
          <w:sz w:val="22"/>
          <w:szCs w:val="22"/>
          <w:lang w:val="es-CO"/>
        </w:rPr>
      </w:pPr>
      <w:r w:rsidRPr="003B2A1E">
        <w:rPr>
          <w:sz w:val="22"/>
          <w:szCs w:val="22"/>
          <w:lang w:val="es-CO"/>
        </w:rPr>
        <w:t xml:space="preserve">En este contexto, resulta oportuno precisar que, si bien es cierto la entidad estatal es la que debe calcular la capacidad residual de los proponentes, también lo es que estos últimos, como se referenció, tienen la carga de aportar los documentos para acreditar su </w:t>
      </w:r>
      <w:r w:rsidRPr="003B2A1E">
        <w:rPr>
          <w:sz w:val="22"/>
          <w:szCs w:val="22"/>
          <w:lang w:val="es-CO"/>
        </w:rPr>
        <w:lastRenderedPageBreak/>
        <w:t>capacidad residual</w:t>
      </w:r>
      <w:r w:rsidRPr="003B2A1E">
        <w:rPr>
          <w:rStyle w:val="Refdenotaalpie"/>
          <w:sz w:val="22"/>
          <w:szCs w:val="22"/>
          <w:lang w:val="es-CO"/>
        </w:rPr>
        <w:footnoteReference w:id="3"/>
      </w:r>
      <w:r w:rsidRPr="003B2A1E">
        <w:rPr>
          <w:sz w:val="22"/>
          <w:szCs w:val="22"/>
          <w:lang w:val="es-CO"/>
        </w:rPr>
        <w:t xml:space="preserve">. </w:t>
      </w:r>
    </w:p>
    <w:p w14:paraId="608B9062" w14:textId="77777777" w:rsidR="002409FC" w:rsidRPr="003B2A1E" w:rsidRDefault="002409FC" w:rsidP="002409FC">
      <w:pPr>
        <w:pStyle w:val="Textoindependiente"/>
        <w:spacing w:line="276" w:lineRule="auto"/>
        <w:ind w:right="51" w:firstLine="709"/>
        <w:jc w:val="both"/>
        <w:rPr>
          <w:sz w:val="22"/>
          <w:szCs w:val="22"/>
          <w:lang w:val="es-CO"/>
        </w:rPr>
      </w:pPr>
    </w:p>
    <w:p w14:paraId="652EE4FA" w14:textId="77777777" w:rsidR="002409FC" w:rsidRPr="003B2A1E" w:rsidRDefault="002409FC" w:rsidP="002409FC">
      <w:pPr>
        <w:spacing w:line="276" w:lineRule="auto"/>
        <w:jc w:val="both"/>
        <w:rPr>
          <w:rFonts w:ascii="Arial" w:hAnsi="Arial" w:cs="Arial"/>
          <w:b/>
          <w:bCs/>
          <w:sz w:val="22"/>
          <w:szCs w:val="22"/>
        </w:rPr>
      </w:pPr>
      <w:r w:rsidRPr="003B2A1E">
        <w:rPr>
          <w:rFonts w:ascii="Arial" w:hAnsi="Arial" w:cs="Arial"/>
          <w:b/>
          <w:bCs/>
          <w:sz w:val="22"/>
          <w:szCs w:val="22"/>
        </w:rPr>
        <w:t>2.2. Contratos a tener en cuenta para el cálculo del factor Saldos de Contratos en Ejecución (SCE) de la fórmula para determinar la Capacidad Residual del Proponente (CRP)</w:t>
      </w:r>
    </w:p>
    <w:p w14:paraId="531341CE" w14:textId="77777777" w:rsidR="002409FC" w:rsidRPr="003B2A1E" w:rsidRDefault="002409FC" w:rsidP="002409FC">
      <w:pPr>
        <w:jc w:val="both"/>
        <w:rPr>
          <w:rFonts w:ascii="Arial" w:hAnsi="Arial" w:cs="Arial"/>
          <w:b/>
          <w:bCs/>
          <w:sz w:val="22"/>
          <w:szCs w:val="22"/>
        </w:rPr>
      </w:pPr>
    </w:p>
    <w:p w14:paraId="24D066C3" w14:textId="77777777" w:rsidR="002409FC" w:rsidRPr="003B2A1E" w:rsidRDefault="002409FC" w:rsidP="002409FC">
      <w:pPr>
        <w:spacing w:after="120" w:line="276" w:lineRule="auto"/>
        <w:jc w:val="both"/>
        <w:rPr>
          <w:rFonts w:ascii="Arial" w:hAnsi="Arial" w:cs="Arial"/>
          <w:sz w:val="22"/>
          <w:szCs w:val="22"/>
        </w:rPr>
      </w:pPr>
      <w:r w:rsidRPr="003B2A1E">
        <w:rPr>
          <w:rFonts w:ascii="Arial" w:hAnsi="Arial" w:cs="Arial"/>
          <w:sz w:val="22"/>
          <w:szCs w:val="22"/>
        </w:rPr>
        <w:t xml:space="preserve">A efectos del cálculo de la Capacidad Residual del Proponente (CRP), conforme a la metodología descrita </w:t>
      </w:r>
      <w:r w:rsidRPr="003B2A1E">
        <w:rPr>
          <w:rFonts w:ascii="Arial" w:hAnsi="Arial" w:cs="Arial"/>
          <w:i/>
          <w:iCs/>
          <w:sz w:val="22"/>
          <w:szCs w:val="22"/>
        </w:rPr>
        <w:t>supra</w:t>
      </w:r>
      <w:r w:rsidRPr="003B2A1E">
        <w:rPr>
          <w:rFonts w:ascii="Arial" w:hAnsi="Arial" w:cs="Arial"/>
          <w:sz w:val="22"/>
          <w:szCs w:val="22"/>
        </w:rPr>
        <w:t xml:space="preserve">, es necesario tener en cuenta la lista de los contratos en ejecución en cabeza del proponente, que son aquellos que, a la fecha de presentación de la oferta, obligan al proponente con entidades estatales y con entidades privadas para ejecutar obras públicas.  Es decir, los saldos pendientes se derivan de las obligaciones que se encuentran vigentes al momento de la presentación de la oferta. </w:t>
      </w:r>
    </w:p>
    <w:p w14:paraId="6A030208" w14:textId="77777777" w:rsidR="002409FC" w:rsidRPr="003B2A1E" w:rsidRDefault="002409FC" w:rsidP="002409FC">
      <w:pPr>
        <w:spacing w:line="276" w:lineRule="auto"/>
        <w:jc w:val="both"/>
        <w:rPr>
          <w:rFonts w:ascii="Arial" w:hAnsi="Arial" w:cs="Arial"/>
          <w:sz w:val="22"/>
          <w:szCs w:val="22"/>
        </w:rPr>
      </w:pPr>
      <w:r w:rsidRPr="003B2A1E">
        <w:rPr>
          <w:rFonts w:ascii="Arial" w:hAnsi="Arial" w:cs="Arial"/>
          <w:sz w:val="22"/>
          <w:szCs w:val="22"/>
        </w:rPr>
        <w:tab/>
        <w:t xml:space="preserve">Para acreditar tales valores, correspondientes al factor Saldos de Contratos en Ejecución (SCE), la </w:t>
      </w:r>
      <w:r w:rsidRPr="003B2A1E">
        <w:rPr>
          <w:rFonts w:ascii="Arial" w:hAnsi="Arial" w:cs="Arial"/>
          <w:i/>
          <w:iCs/>
          <w:sz w:val="22"/>
          <w:szCs w:val="22"/>
        </w:rPr>
        <w:t xml:space="preserve">Guía para Determinar y Verificar la Capacidad Residual del Proponente en los Procesos de Contratación de Obra Pública </w:t>
      </w:r>
      <w:r w:rsidRPr="003B2A1E">
        <w:rPr>
          <w:rFonts w:ascii="Arial" w:hAnsi="Arial" w:cs="Arial"/>
          <w:sz w:val="22"/>
          <w:szCs w:val="22"/>
        </w:rPr>
        <w:t xml:space="preserve">establece lo siguiente: </w:t>
      </w:r>
    </w:p>
    <w:p w14:paraId="1071D9C8" w14:textId="77777777" w:rsidR="002409FC" w:rsidRPr="003B2A1E" w:rsidRDefault="002409FC" w:rsidP="002409FC">
      <w:pPr>
        <w:spacing w:line="276" w:lineRule="auto"/>
        <w:jc w:val="both"/>
        <w:rPr>
          <w:rFonts w:ascii="Arial" w:hAnsi="Arial" w:cs="Arial"/>
          <w:sz w:val="22"/>
          <w:szCs w:val="22"/>
        </w:rPr>
      </w:pPr>
    </w:p>
    <w:p w14:paraId="7ABC7E35" w14:textId="155C5943" w:rsidR="002409FC" w:rsidRPr="003B2A1E" w:rsidRDefault="009D6F00" w:rsidP="002409FC">
      <w:pPr>
        <w:spacing w:line="276" w:lineRule="auto"/>
        <w:ind w:left="709" w:right="709"/>
        <w:jc w:val="both"/>
        <w:rPr>
          <w:rFonts w:ascii="Arial" w:hAnsi="Arial" w:cs="Arial"/>
          <w:sz w:val="21"/>
          <w:szCs w:val="21"/>
        </w:rPr>
      </w:pPr>
      <w:r w:rsidRPr="003B2A1E">
        <w:rPr>
          <w:rFonts w:ascii="Arial" w:hAnsi="Arial" w:cs="Arial"/>
          <w:sz w:val="22"/>
          <w:szCs w:val="22"/>
        </w:rPr>
        <w:t>«</w:t>
      </w:r>
      <w:r w:rsidR="002409FC" w:rsidRPr="003B2A1E">
        <w:rPr>
          <w:rFonts w:ascii="Arial" w:hAnsi="Arial" w:cs="Arial"/>
          <w:sz w:val="21"/>
          <w:szCs w:val="21"/>
        </w:rPr>
        <w:t>El proponente debe presentar un certificado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r w:rsidRPr="003B2A1E">
        <w:rPr>
          <w:rFonts w:ascii="Arial" w:hAnsi="Arial" w:cs="Arial"/>
          <w:sz w:val="21"/>
          <w:szCs w:val="21"/>
        </w:rPr>
        <w:t>»</w:t>
      </w:r>
    </w:p>
    <w:p w14:paraId="2C42AC12" w14:textId="77777777" w:rsidR="002409FC" w:rsidRPr="003B2A1E" w:rsidRDefault="002409FC" w:rsidP="002409FC">
      <w:pPr>
        <w:spacing w:line="276" w:lineRule="auto"/>
        <w:ind w:left="709" w:right="709"/>
        <w:jc w:val="both"/>
        <w:rPr>
          <w:rFonts w:ascii="Arial" w:hAnsi="Arial" w:cs="Arial"/>
          <w:sz w:val="21"/>
          <w:szCs w:val="21"/>
        </w:rPr>
      </w:pPr>
    </w:p>
    <w:p w14:paraId="14CFE8E9" w14:textId="53103E22" w:rsidR="002409FC" w:rsidRPr="003B2A1E" w:rsidRDefault="002409FC" w:rsidP="002409FC">
      <w:pPr>
        <w:spacing w:line="276" w:lineRule="auto"/>
        <w:ind w:firstLine="708"/>
        <w:jc w:val="both"/>
        <w:rPr>
          <w:rFonts w:ascii="Arial" w:hAnsi="Arial" w:cs="Arial"/>
          <w:i/>
          <w:iCs/>
          <w:sz w:val="22"/>
          <w:szCs w:val="22"/>
        </w:rPr>
      </w:pPr>
      <w:r w:rsidRPr="003B2A1E">
        <w:rPr>
          <w:rFonts w:ascii="Arial" w:hAnsi="Arial" w:cs="Arial"/>
          <w:sz w:val="22"/>
          <w:szCs w:val="22"/>
        </w:rPr>
        <w:t>Teniendo en cuenta que los contratos en ejecución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w:t>
      </w:r>
      <w:r w:rsidRPr="003B2A1E">
        <w:rPr>
          <w:rFonts w:ascii="Arial" w:hAnsi="Arial" w:cs="Arial"/>
          <w:sz w:val="20"/>
          <w:szCs w:val="20"/>
        </w:rPr>
        <w:t xml:space="preserve"> </w:t>
      </w:r>
      <w:r w:rsidRPr="003B2A1E">
        <w:rPr>
          <w:rFonts w:ascii="Arial" w:hAnsi="Arial" w:cs="Arial"/>
          <w:sz w:val="22"/>
          <w:szCs w:val="22"/>
        </w:rPr>
        <w:t>En este sentido, la «</w:t>
      </w:r>
      <w:r w:rsidRPr="003B2A1E">
        <w:rPr>
          <w:rFonts w:ascii="Arial" w:hAnsi="Arial" w:cs="Arial"/>
          <w:i/>
          <w:iCs/>
          <w:sz w:val="22"/>
          <w:szCs w:val="22"/>
        </w:rPr>
        <w:t xml:space="preserve">Guía para Determinar y Verificar la Capacidad Residual del Proponente en los Procesos de Contratación de Obra Pública» </w:t>
      </w:r>
      <w:r w:rsidRPr="003B2A1E">
        <w:rPr>
          <w:rFonts w:ascii="Arial" w:hAnsi="Arial" w:cs="Arial"/>
          <w:sz w:val="22"/>
          <w:szCs w:val="22"/>
        </w:rPr>
        <w:t xml:space="preserve">define los </w:t>
      </w:r>
      <w:r w:rsidRPr="003B2A1E">
        <w:rPr>
          <w:rFonts w:ascii="Arial" w:hAnsi="Arial" w:cs="Arial"/>
          <w:i/>
          <w:iCs/>
          <w:sz w:val="22"/>
          <w:szCs w:val="22"/>
        </w:rPr>
        <w:t>Contratos en ejecución</w:t>
      </w:r>
      <w:r w:rsidR="00560047" w:rsidRPr="003B2A1E">
        <w:rPr>
          <w:rFonts w:ascii="Arial" w:hAnsi="Arial" w:cs="Arial"/>
          <w:i/>
          <w:iCs/>
          <w:sz w:val="22"/>
          <w:szCs w:val="22"/>
        </w:rPr>
        <w:t xml:space="preserve">, </w:t>
      </w:r>
      <w:r w:rsidR="00560047" w:rsidRPr="003B2A1E">
        <w:rPr>
          <w:rFonts w:ascii="Arial" w:hAnsi="Arial" w:cs="Arial"/>
          <w:sz w:val="22"/>
          <w:szCs w:val="22"/>
        </w:rPr>
        <w:t>para efectos de calcular la capacidad residual,</w:t>
      </w:r>
      <w:r w:rsidRPr="003B2A1E">
        <w:rPr>
          <w:rFonts w:ascii="Arial" w:hAnsi="Arial" w:cs="Arial"/>
          <w:sz w:val="22"/>
          <w:szCs w:val="22"/>
        </w:rPr>
        <w:t xml:space="preserve"> de la siguiente manera: </w:t>
      </w:r>
      <w:r w:rsidRPr="003B2A1E">
        <w:rPr>
          <w:rFonts w:ascii="Arial" w:hAnsi="Arial" w:cs="Arial"/>
          <w:i/>
          <w:iCs/>
          <w:sz w:val="22"/>
          <w:szCs w:val="22"/>
        </w:rPr>
        <w:t xml:space="preserve"> </w:t>
      </w:r>
    </w:p>
    <w:p w14:paraId="0726F93B" w14:textId="77777777" w:rsidR="002409FC" w:rsidRPr="003B2A1E" w:rsidRDefault="002409FC" w:rsidP="002409FC">
      <w:pPr>
        <w:ind w:left="709" w:right="709"/>
        <w:jc w:val="both"/>
        <w:rPr>
          <w:rFonts w:ascii="Arial" w:hAnsi="Arial" w:cs="Arial"/>
          <w:sz w:val="22"/>
          <w:szCs w:val="22"/>
        </w:rPr>
      </w:pPr>
    </w:p>
    <w:p w14:paraId="4F889855" w14:textId="14842506" w:rsidR="002409FC" w:rsidRPr="003B2A1E" w:rsidRDefault="009D6F00" w:rsidP="00EA1F1D">
      <w:pPr>
        <w:ind w:left="709" w:right="709"/>
        <w:jc w:val="both"/>
        <w:rPr>
          <w:rFonts w:ascii="Arial" w:hAnsi="Arial" w:cs="Arial"/>
          <w:sz w:val="22"/>
          <w:szCs w:val="22"/>
        </w:rPr>
      </w:pPr>
      <w:r w:rsidRPr="003B2A1E">
        <w:rPr>
          <w:rFonts w:ascii="Arial" w:hAnsi="Arial" w:cs="Arial"/>
          <w:sz w:val="22"/>
          <w:szCs w:val="22"/>
        </w:rPr>
        <w:t>«</w:t>
      </w:r>
      <w:r w:rsidR="002409FC" w:rsidRPr="003B2A1E">
        <w:rPr>
          <w:rFonts w:ascii="Arial" w:hAnsi="Arial" w:cs="Arial"/>
          <w:sz w:val="21"/>
          <w:szCs w:val="21"/>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002409FC" w:rsidRPr="003B2A1E">
        <w:rPr>
          <w:rFonts w:ascii="Arial" w:hAnsi="Arial" w:cs="Arial"/>
          <w:sz w:val="21"/>
          <w:szCs w:val="21"/>
          <w:u w:val="single"/>
        </w:rPr>
        <w:t xml:space="preserve">incluyendo los contratos suspendidos y aquellos que no tengan acta de inicio. </w:t>
      </w:r>
      <w:r w:rsidR="002409FC" w:rsidRPr="003B2A1E">
        <w:rPr>
          <w:rFonts w:ascii="Arial" w:hAnsi="Arial" w:cs="Arial"/>
          <w:sz w:val="21"/>
          <w:szCs w:val="21"/>
        </w:rPr>
        <w:t>No se entenderán como contratos en ejecución los que se encuentren en liquidación.</w:t>
      </w:r>
      <w:r w:rsidRPr="003B2A1E">
        <w:rPr>
          <w:rFonts w:ascii="Arial" w:hAnsi="Arial" w:cs="Arial"/>
          <w:sz w:val="22"/>
          <w:szCs w:val="22"/>
        </w:rPr>
        <w:t>»</w:t>
      </w:r>
      <w:r w:rsidR="002409FC" w:rsidRPr="003B2A1E">
        <w:rPr>
          <w:rFonts w:ascii="Arial" w:hAnsi="Arial" w:cs="Arial"/>
          <w:sz w:val="21"/>
          <w:szCs w:val="21"/>
        </w:rPr>
        <w:t xml:space="preserve"> </w:t>
      </w:r>
      <w:r w:rsidR="00560047" w:rsidRPr="003B2A1E">
        <w:rPr>
          <w:rFonts w:ascii="Arial" w:hAnsi="Arial" w:cs="Arial"/>
          <w:sz w:val="21"/>
          <w:szCs w:val="21"/>
        </w:rPr>
        <w:t>(</w:t>
      </w:r>
      <w:r w:rsidR="002409FC" w:rsidRPr="003B2A1E">
        <w:rPr>
          <w:rFonts w:ascii="Arial" w:hAnsi="Arial" w:cs="Arial"/>
          <w:sz w:val="21"/>
          <w:szCs w:val="21"/>
        </w:rPr>
        <w:t>Subrayas fuera del texto</w:t>
      </w:r>
      <w:r w:rsidR="00560047" w:rsidRPr="003B2A1E">
        <w:rPr>
          <w:rFonts w:ascii="Arial" w:hAnsi="Arial" w:cs="Arial"/>
          <w:sz w:val="21"/>
          <w:szCs w:val="21"/>
        </w:rPr>
        <w:t>)</w:t>
      </w:r>
      <w:r w:rsidR="002409FC" w:rsidRPr="003B2A1E">
        <w:rPr>
          <w:rStyle w:val="Refdenotaalpie"/>
          <w:rFonts w:ascii="Arial" w:hAnsi="Arial" w:cs="Arial"/>
          <w:sz w:val="22"/>
          <w:szCs w:val="22"/>
        </w:rPr>
        <w:footnoteReference w:id="4"/>
      </w:r>
      <w:r w:rsidR="002409FC" w:rsidRPr="003B2A1E">
        <w:rPr>
          <w:rFonts w:ascii="Arial" w:hAnsi="Arial" w:cs="Arial"/>
          <w:sz w:val="22"/>
          <w:szCs w:val="22"/>
        </w:rPr>
        <w:t>.</w:t>
      </w:r>
    </w:p>
    <w:p w14:paraId="6B95BDB2" w14:textId="77777777" w:rsidR="00625F10" w:rsidRPr="003B2A1E" w:rsidRDefault="00EA1F1D" w:rsidP="00625F10">
      <w:pPr>
        <w:pStyle w:val="NormalWeb"/>
        <w:spacing w:after="0" w:afterAutospacing="0" w:line="276" w:lineRule="auto"/>
        <w:jc w:val="both"/>
        <w:rPr>
          <w:rFonts w:ascii="Arial" w:hAnsi="Arial" w:cs="Arial"/>
          <w:color w:val="000000" w:themeColor="text1"/>
          <w:sz w:val="22"/>
          <w:szCs w:val="22"/>
        </w:rPr>
      </w:pPr>
      <w:r w:rsidRPr="003B2A1E">
        <w:rPr>
          <w:rFonts w:ascii="Arial" w:hAnsi="Arial" w:cs="Arial"/>
          <w:color w:val="000000" w:themeColor="text1"/>
          <w:sz w:val="22"/>
          <w:szCs w:val="22"/>
        </w:rPr>
        <w:tab/>
        <w:t xml:space="preserve">Lo anterior toda vez que los contratos que se encuentren en ejecución son aquellos que se encuentran celebrados y perfeccionados, se entiende por perfeccionado el contrato estatal que, cuenta con el acuerdo de voluntades al que llegan las partes, y que adicionalmente se eleva por escrito. </w:t>
      </w:r>
    </w:p>
    <w:p w14:paraId="10090DAF" w14:textId="12D73AE2" w:rsidR="00EA1F1D" w:rsidRPr="003B2A1E" w:rsidRDefault="00625F10" w:rsidP="00625F10">
      <w:pPr>
        <w:pStyle w:val="NormalWeb"/>
        <w:spacing w:before="120" w:beforeAutospacing="0" w:line="276" w:lineRule="auto"/>
        <w:ind w:firstLine="708"/>
        <w:jc w:val="both"/>
        <w:rPr>
          <w:rFonts w:ascii="Arial" w:hAnsi="Arial" w:cs="Arial"/>
          <w:color w:val="000000" w:themeColor="text1"/>
          <w:sz w:val="22"/>
          <w:szCs w:val="22"/>
        </w:rPr>
      </w:pPr>
      <w:r w:rsidRPr="003B2A1E">
        <w:rPr>
          <w:rFonts w:ascii="Arial" w:hAnsi="Arial" w:cs="Arial"/>
          <w:color w:val="000000" w:themeColor="text1"/>
          <w:sz w:val="22"/>
          <w:szCs w:val="22"/>
        </w:rPr>
        <w:t>Distinto es el proceso de</w:t>
      </w:r>
      <w:r w:rsidR="00EA1F1D" w:rsidRPr="003B2A1E">
        <w:rPr>
          <w:rFonts w:ascii="Arial" w:hAnsi="Arial" w:cs="Arial"/>
          <w:color w:val="000000" w:themeColor="text1"/>
          <w:sz w:val="22"/>
          <w:szCs w:val="22"/>
        </w:rPr>
        <w:t xml:space="preserve"> legalización del contrato</w:t>
      </w:r>
      <w:r w:rsidRPr="003B2A1E">
        <w:rPr>
          <w:rFonts w:ascii="Arial" w:hAnsi="Arial" w:cs="Arial"/>
          <w:color w:val="000000" w:themeColor="text1"/>
          <w:sz w:val="22"/>
          <w:szCs w:val="22"/>
        </w:rPr>
        <w:t xml:space="preserve">, los cuales son </w:t>
      </w:r>
      <w:r w:rsidR="00EA1F1D" w:rsidRPr="003B2A1E">
        <w:rPr>
          <w:rFonts w:ascii="Arial" w:hAnsi="Arial" w:cs="Arial"/>
          <w:color w:val="000000" w:themeColor="text1"/>
          <w:sz w:val="22"/>
          <w:szCs w:val="22"/>
        </w:rPr>
        <w:t>utiliza todos los requisitos que deben cumplir las partes del contrato antes de iniciar su ejecución</w:t>
      </w:r>
      <w:r w:rsidRPr="003B2A1E">
        <w:rPr>
          <w:rFonts w:ascii="Arial" w:hAnsi="Arial" w:cs="Arial"/>
          <w:color w:val="000000" w:themeColor="text1"/>
          <w:sz w:val="22"/>
          <w:szCs w:val="22"/>
        </w:rPr>
        <w:t xml:space="preserve"> como es</w:t>
      </w:r>
      <w:r w:rsidR="00EA1F1D" w:rsidRPr="003B2A1E">
        <w:rPr>
          <w:rFonts w:ascii="Arial" w:hAnsi="Arial" w:cs="Arial"/>
          <w:color w:val="000000" w:themeColor="text1"/>
          <w:sz w:val="22"/>
          <w:szCs w:val="22"/>
        </w:rPr>
        <w:t xml:space="preserve"> (i) </w:t>
      </w:r>
      <w:r w:rsidR="00560047" w:rsidRPr="003B2A1E">
        <w:rPr>
          <w:rFonts w:ascii="Arial" w:hAnsi="Arial" w:cs="Arial"/>
          <w:color w:val="000000" w:themeColor="text1"/>
          <w:sz w:val="22"/>
          <w:szCs w:val="22"/>
        </w:rPr>
        <w:t>l</w:t>
      </w:r>
      <w:r w:rsidR="00EA1F1D" w:rsidRPr="003B2A1E">
        <w:rPr>
          <w:rFonts w:ascii="Arial" w:hAnsi="Arial" w:cs="Arial"/>
          <w:color w:val="000000" w:themeColor="text1"/>
          <w:sz w:val="22"/>
          <w:szCs w:val="22"/>
        </w:rPr>
        <w:t xml:space="preserve">a aprobación de la garantía cuando el contrato la requiera; (ii) </w:t>
      </w:r>
      <w:r w:rsidR="00560047" w:rsidRPr="003B2A1E">
        <w:rPr>
          <w:rFonts w:ascii="Arial" w:hAnsi="Arial" w:cs="Arial"/>
          <w:color w:val="000000" w:themeColor="text1"/>
          <w:sz w:val="22"/>
          <w:szCs w:val="22"/>
        </w:rPr>
        <w:t>l</w:t>
      </w:r>
      <w:r w:rsidR="00EA1F1D" w:rsidRPr="003B2A1E">
        <w:rPr>
          <w:rFonts w:ascii="Arial" w:hAnsi="Arial" w:cs="Arial"/>
          <w:color w:val="000000" w:themeColor="text1"/>
          <w:sz w:val="22"/>
          <w:szCs w:val="22"/>
        </w:rPr>
        <w:t xml:space="preserve">a existencia de las disponibilidades presupuestales correspondientes, salvo que se trate de la contratación con recursos de vigencias fiscales futuras, y (iii) </w:t>
      </w:r>
      <w:r w:rsidR="00560047" w:rsidRPr="003B2A1E">
        <w:rPr>
          <w:rFonts w:ascii="Arial" w:hAnsi="Arial" w:cs="Arial"/>
          <w:color w:val="000000" w:themeColor="text1"/>
          <w:sz w:val="22"/>
          <w:szCs w:val="22"/>
        </w:rPr>
        <w:t>l</w:t>
      </w:r>
      <w:r w:rsidR="00EA1F1D" w:rsidRPr="003B2A1E">
        <w:rPr>
          <w:rFonts w:ascii="Arial" w:hAnsi="Arial" w:cs="Arial"/>
          <w:color w:val="000000" w:themeColor="text1"/>
          <w:sz w:val="22"/>
          <w:szCs w:val="22"/>
        </w:rPr>
        <w:t>a acreditación de que el contratista se encuentra al día en el pago de aportes parafiscales relativos al Sistema de Seguridad Social Integral, en los términos que establezca la normativa.</w:t>
      </w:r>
    </w:p>
    <w:p w14:paraId="4648D5E9" w14:textId="77777777" w:rsidR="002409FC" w:rsidRPr="003B2A1E" w:rsidRDefault="002409FC" w:rsidP="002409FC">
      <w:pPr>
        <w:pStyle w:val="Prrafodelista"/>
        <w:numPr>
          <w:ilvl w:val="2"/>
          <w:numId w:val="5"/>
        </w:numPr>
        <w:spacing w:line="276" w:lineRule="auto"/>
        <w:jc w:val="both"/>
        <w:rPr>
          <w:rFonts w:ascii="Arial" w:hAnsi="Arial" w:cs="Arial"/>
          <w:b/>
          <w:bCs/>
          <w:sz w:val="22"/>
        </w:rPr>
      </w:pPr>
      <w:r w:rsidRPr="003B2A1E">
        <w:rPr>
          <w:rFonts w:ascii="Arial" w:hAnsi="Arial" w:cs="Arial"/>
          <w:b/>
          <w:bCs/>
          <w:sz w:val="22"/>
        </w:rPr>
        <w:t xml:space="preserve">Aplicativo para establecer la capacidad residual </w:t>
      </w:r>
    </w:p>
    <w:p w14:paraId="73432E19" w14:textId="77777777" w:rsidR="002409FC" w:rsidRPr="003B2A1E" w:rsidRDefault="002409FC" w:rsidP="002409FC">
      <w:pPr>
        <w:pStyle w:val="Prrafodelista"/>
        <w:spacing w:line="276" w:lineRule="auto"/>
        <w:jc w:val="both"/>
        <w:rPr>
          <w:rFonts w:ascii="Arial" w:hAnsi="Arial" w:cs="Arial"/>
          <w:b/>
          <w:bCs/>
          <w:sz w:val="22"/>
        </w:rPr>
      </w:pPr>
    </w:p>
    <w:p w14:paraId="734C68D8" w14:textId="77777777" w:rsidR="002409FC" w:rsidRPr="003B2A1E" w:rsidRDefault="002409FC" w:rsidP="002409FC">
      <w:pPr>
        <w:spacing w:after="120" w:line="276" w:lineRule="auto"/>
        <w:jc w:val="both"/>
        <w:rPr>
          <w:rFonts w:ascii="Arial" w:eastAsia="Arial" w:hAnsi="Arial" w:cs="Arial"/>
          <w:sz w:val="22"/>
          <w:lang w:eastAsia="es-ES" w:bidi="es-ES"/>
        </w:rPr>
      </w:pPr>
      <w:r w:rsidRPr="003B2A1E">
        <w:rPr>
          <w:rFonts w:ascii="Arial" w:eastAsia="Arial," w:hAnsi="Arial" w:cs="Arial"/>
          <w:sz w:val="22"/>
          <w:szCs w:val="22"/>
        </w:rPr>
        <w:t xml:space="preserve">Para facilitar la implementación de la metodología para el cálculo de la capacidad residual, esta Agencia ha puesto a disposición de la ciudadanía una «Aplicación para establecer la Capacidad Residual», que sirve para calcular la capacidad residual en los procesos de selección, a la cual se puede acceder mediante el </w:t>
      </w:r>
      <w:r w:rsidRPr="003B2A1E">
        <w:rPr>
          <w:rFonts w:ascii="Arial" w:eastAsia="Arial" w:hAnsi="Arial" w:cs="Arial"/>
          <w:sz w:val="22"/>
          <w:lang w:eastAsia="es-ES" w:bidi="es-ES"/>
        </w:rPr>
        <w:t>enlace incluido en la siguiente nota al pie</w:t>
      </w:r>
      <w:r w:rsidRPr="003B2A1E">
        <w:rPr>
          <w:rFonts w:ascii="Arial" w:eastAsia="Arial" w:hAnsi="Arial" w:cs="Arial"/>
          <w:sz w:val="22"/>
          <w:szCs w:val="22"/>
          <w:vertAlign w:val="superscript"/>
          <w:lang w:eastAsia="es-ES" w:bidi="es-ES"/>
        </w:rPr>
        <w:footnoteReference w:id="5"/>
      </w:r>
      <w:r w:rsidRPr="003B2A1E">
        <w:rPr>
          <w:rFonts w:ascii="Arial" w:eastAsia="Arial" w:hAnsi="Arial" w:cs="Arial"/>
          <w:sz w:val="22"/>
          <w:lang w:eastAsia="es-ES" w:bidi="es-ES"/>
        </w:rPr>
        <w:t xml:space="preserve">. </w:t>
      </w:r>
    </w:p>
    <w:p w14:paraId="555F18BC" w14:textId="4C4DEF16" w:rsidR="002409FC" w:rsidRPr="003B2A1E" w:rsidRDefault="002409FC" w:rsidP="002409FC">
      <w:pPr>
        <w:spacing w:after="120" w:line="276" w:lineRule="auto"/>
        <w:ind w:firstLine="708"/>
        <w:jc w:val="both"/>
        <w:rPr>
          <w:rFonts w:ascii="Arial" w:eastAsia="Arial," w:hAnsi="Arial" w:cs="Arial"/>
          <w:sz w:val="22"/>
          <w:szCs w:val="22"/>
        </w:rPr>
      </w:pPr>
      <w:r w:rsidRPr="003B2A1E">
        <w:rPr>
          <w:rFonts w:ascii="Arial" w:eastAsia="Arial" w:hAnsi="Arial" w:cs="Arial"/>
          <w:sz w:val="22"/>
          <w:lang w:eastAsia="es-ES" w:bidi="es-ES"/>
        </w:rPr>
        <w:lastRenderedPageBreak/>
        <w:t>Este, pregunta, en primer lugar, el número de contratos en ejecución, y tras darse clic en el botón «Guardar información» despliega una tabla con una fila para cada contrato, cada una de las cuales consta de cinco columnas en las que se debe indicar: i) Valor en pesos colombianos del contrato; ii) la fecha inicio; iii) el plazo expresado en meses;  iv) establecer si trata o no de un contrato ejecutado por un contratista plural; v) el porcentaje de participación en la ejecución del contrato; vi) indicar si el contrato se encuentra suspendido o no; y vii) la fecha de suspensión.</w:t>
      </w:r>
      <w:r w:rsidRPr="003B2A1E">
        <w:rPr>
          <w:rFonts w:ascii="Arial" w:eastAsia="Arial," w:hAnsi="Arial" w:cs="Arial"/>
          <w:sz w:val="22"/>
          <w:szCs w:val="22"/>
        </w:rPr>
        <w:t xml:space="preserve"> Referente a las ultimas columnas, es necesario resaltar que la información solicitada se refiere a si el contrato se encuentra suspendido, caso en el cual se debe informar la fecha de suspensión. Al respecto, es necesario aclarar que la información que se requiere es únicamente la solicitada por el aplicativo y no una distinta a esta, lo cual coinc</w:t>
      </w:r>
      <w:r w:rsidR="00614F03" w:rsidRPr="003B2A1E">
        <w:rPr>
          <w:rFonts w:ascii="Arial" w:eastAsia="Arial," w:hAnsi="Arial" w:cs="Arial"/>
          <w:sz w:val="22"/>
          <w:szCs w:val="22"/>
        </w:rPr>
        <w:t>ide plenamente</w:t>
      </w:r>
      <w:r w:rsidRPr="003B2A1E">
        <w:rPr>
          <w:rFonts w:ascii="Arial" w:eastAsia="Arial," w:hAnsi="Arial" w:cs="Arial"/>
          <w:sz w:val="22"/>
          <w:szCs w:val="22"/>
        </w:rPr>
        <w:t xml:space="preserve"> con las consideraciones efectuadas en relación con la capacidad residual. </w:t>
      </w:r>
    </w:p>
    <w:p w14:paraId="3C44BE49" w14:textId="77777777" w:rsidR="002409FC" w:rsidRPr="003B2A1E" w:rsidRDefault="002409FC" w:rsidP="002409FC">
      <w:pPr>
        <w:pStyle w:val="Textoindependiente"/>
        <w:spacing w:before="120" w:line="276" w:lineRule="auto"/>
        <w:ind w:right="51" w:firstLine="709"/>
        <w:jc w:val="both"/>
        <w:rPr>
          <w:sz w:val="22"/>
          <w:szCs w:val="22"/>
          <w:lang w:val="es-CO"/>
        </w:rPr>
      </w:pPr>
      <w:r w:rsidRPr="003B2A1E">
        <w:rPr>
          <w:sz w:val="22"/>
          <w:szCs w:val="22"/>
          <w:lang w:val="es-CO"/>
        </w:rPr>
        <w:t>Sin perjuicio de lo anterior, sobre el uso del aplicativo y la acreditación de los factores necesarios para calcular la capacidad residual, la Circular Externa Única de Colombia Compra Eficiente, en el punto 7, establece lo siguiente:</w:t>
      </w:r>
    </w:p>
    <w:p w14:paraId="3444D621" w14:textId="77777777" w:rsidR="002409FC" w:rsidRPr="003B2A1E" w:rsidRDefault="002409FC" w:rsidP="002409FC">
      <w:pPr>
        <w:pStyle w:val="Textoindependiente"/>
        <w:spacing w:line="276" w:lineRule="auto"/>
        <w:ind w:right="51" w:firstLine="709"/>
        <w:jc w:val="both"/>
        <w:rPr>
          <w:lang w:val="es-CO"/>
        </w:rPr>
      </w:pPr>
    </w:p>
    <w:p w14:paraId="4FD78123" w14:textId="77777777" w:rsidR="002409FC" w:rsidRPr="003B2A1E" w:rsidRDefault="002409FC" w:rsidP="002409FC">
      <w:pPr>
        <w:pStyle w:val="Textoindependiente"/>
        <w:ind w:left="709" w:right="709"/>
        <w:jc w:val="both"/>
        <w:rPr>
          <w:sz w:val="21"/>
          <w:szCs w:val="21"/>
          <w:lang w:val="es-CO"/>
        </w:rPr>
      </w:pPr>
      <w:r w:rsidRPr="003B2A1E">
        <w:rPr>
          <w:rFonts w:eastAsia="Calibri"/>
          <w:color w:val="000000" w:themeColor="text1"/>
          <w:sz w:val="21"/>
          <w:szCs w:val="21"/>
        </w:rPr>
        <w:t>«</w:t>
      </w:r>
      <w:r w:rsidRPr="003B2A1E">
        <w:rPr>
          <w:sz w:val="21"/>
          <w:szCs w:val="21"/>
          <w:lang w:val="es-CO"/>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r w:rsidRPr="003B2A1E">
        <w:rPr>
          <w:rFonts w:eastAsia="Calibri"/>
          <w:color w:val="000000" w:themeColor="text1"/>
          <w:sz w:val="21"/>
          <w:szCs w:val="21"/>
        </w:rPr>
        <w:t>»</w:t>
      </w:r>
    </w:p>
    <w:p w14:paraId="1981EAB1" w14:textId="77777777" w:rsidR="002409FC" w:rsidRPr="003B2A1E" w:rsidRDefault="002409FC" w:rsidP="002409FC">
      <w:pPr>
        <w:pStyle w:val="Textoindependiente"/>
        <w:ind w:left="709" w:right="760"/>
        <w:jc w:val="both"/>
        <w:rPr>
          <w:sz w:val="21"/>
          <w:szCs w:val="21"/>
          <w:lang w:val="es-CO"/>
        </w:rPr>
      </w:pPr>
    </w:p>
    <w:p w14:paraId="28154D03" w14:textId="464A2D32" w:rsidR="002409FC" w:rsidRPr="003B2A1E" w:rsidRDefault="002409FC" w:rsidP="002409FC">
      <w:pPr>
        <w:pStyle w:val="Textoindependiente"/>
        <w:spacing w:line="276" w:lineRule="auto"/>
        <w:ind w:firstLine="709"/>
        <w:jc w:val="both"/>
        <w:rPr>
          <w:rFonts w:eastAsia="Arial,"/>
          <w:sz w:val="22"/>
          <w:szCs w:val="22"/>
          <w:lang w:val="es-CO"/>
        </w:rPr>
      </w:pPr>
      <w:r w:rsidRPr="003B2A1E">
        <w:rPr>
          <w:rFonts w:eastAsia="Arial,"/>
          <w:sz w:val="22"/>
          <w:szCs w:val="22"/>
          <w:lang w:val="es-CO"/>
        </w:rPr>
        <w:t>Conforme a lo anterior,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w:t>
      </w:r>
      <w:r w:rsidRPr="003B2A1E">
        <w:rPr>
          <w:lang w:val="es-CO"/>
        </w:rPr>
        <w:t xml:space="preserve">. </w:t>
      </w:r>
      <w:r w:rsidRPr="003B2A1E">
        <w:rPr>
          <w:rFonts w:eastAsia="Arial,"/>
          <w:sz w:val="22"/>
          <w:szCs w:val="22"/>
          <w:lang w:val="es-CO"/>
        </w:rPr>
        <w:t>Así mismo, se reitera, la guía es el instrumento que detenta fuerza vinculante y, por tanto, son sus disposiciones las que deben observarse para la determinación de la capacidad residual.</w:t>
      </w:r>
      <w:r w:rsidR="00322FE7" w:rsidRPr="003B2A1E">
        <w:rPr>
          <w:rFonts w:eastAsia="Arial,"/>
          <w:sz w:val="22"/>
          <w:szCs w:val="22"/>
          <w:lang w:val="es-CO"/>
        </w:rPr>
        <w:t xml:space="preserve"> En tal sentido, ante las eventualidades que se presenten en desarrollo de la evaluación de las ofertas, las entidades estatales deberán tomar la</w:t>
      </w:r>
      <w:r w:rsidR="001443BD" w:rsidRPr="003B2A1E">
        <w:rPr>
          <w:rFonts w:eastAsia="Arial,"/>
          <w:sz w:val="22"/>
          <w:szCs w:val="22"/>
          <w:lang w:val="es-CO"/>
        </w:rPr>
        <w:t>s</w:t>
      </w:r>
      <w:r w:rsidR="00322FE7" w:rsidRPr="003B2A1E">
        <w:rPr>
          <w:rFonts w:eastAsia="Arial,"/>
          <w:sz w:val="22"/>
          <w:szCs w:val="22"/>
          <w:lang w:val="es-CO"/>
        </w:rPr>
        <w:t xml:space="preserve"> medidas necesarias para realizar el cálculo atendiendo a los criterios establecidos en la </w:t>
      </w:r>
      <w:r w:rsidR="00BE68B9" w:rsidRPr="003B2A1E">
        <w:rPr>
          <w:rFonts w:eastAsia="Arial,"/>
          <w:sz w:val="22"/>
          <w:szCs w:val="22"/>
          <w:lang w:val="es-CO"/>
        </w:rPr>
        <w:t>«</w:t>
      </w:r>
      <w:r w:rsidR="00322FE7" w:rsidRPr="003B2A1E">
        <w:rPr>
          <w:rFonts w:eastAsia="Arial,"/>
          <w:sz w:val="22"/>
          <w:szCs w:val="22"/>
          <w:lang w:val="es-CO"/>
        </w:rPr>
        <w:t>Guía para Determinar y Verificar la Capacidad Residual del Proponente en los Procesos de Contratación de Obra Pública</w:t>
      </w:r>
      <w:r w:rsidR="00BE68B9" w:rsidRPr="003B2A1E">
        <w:rPr>
          <w:rFonts w:eastAsia="Arial,"/>
          <w:sz w:val="22"/>
          <w:szCs w:val="22"/>
          <w:lang w:val="es-CO"/>
        </w:rPr>
        <w:t>»</w:t>
      </w:r>
      <w:r w:rsidR="00874F8A" w:rsidRPr="003B2A1E">
        <w:rPr>
          <w:rFonts w:eastAsia="Arial,"/>
          <w:sz w:val="22"/>
          <w:szCs w:val="22"/>
          <w:lang w:val="es-CO"/>
        </w:rPr>
        <w:t>.</w:t>
      </w:r>
    </w:p>
    <w:p w14:paraId="2C0F4EA2" w14:textId="77777777" w:rsidR="002409FC" w:rsidRPr="003B2A1E" w:rsidRDefault="002409FC" w:rsidP="002409FC">
      <w:pPr>
        <w:pStyle w:val="Textoindependiente"/>
        <w:spacing w:line="276" w:lineRule="auto"/>
        <w:ind w:firstLine="709"/>
        <w:jc w:val="both"/>
        <w:rPr>
          <w:rFonts w:eastAsia="Arial,"/>
          <w:sz w:val="22"/>
          <w:szCs w:val="22"/>
          <w:lang w:val="es-CO"/>
        </w:rPr>
      </w:pPr>
    </w:p>
    <w:p w14:paraId="0B37DE35" w14:textId="3262B879" w:rsidR="008F1F27" w:rsidRPr="003B2A1E" w:rsidRDefault="008F1F27" w:rsidP="00417118">
      <w:pPr>
        <w:tabs>
          <w:tab w:val="left" w:pos="709"/>
        </w:tabs>
        <w:spacing w:line="276" w:lineRule="auto"/>
        <w:jc w:val="both"/>
        <w:rPr>
          <w:rFonts w:ascii="Arial" w:eastAsia="Calibri" w:hAnsi="Arial" w:cs="Arial"/>
          <w:b/>
          <w:sz w:val="22"/>
          <w:szCs w:val="22"/>
          <w:lang w:val="es-ES"/>
        </w:rPr>
      </w:pPr>
      <w:r w:rsidRPr="003B2A1E">
        <w:rPr>
          <w:rFonts w:ascii="Arial" w:eastAsia="Calibri" w:hAnsi="Arial" w:cs="Arial"/>
          <w:b/>
          <w:sz w:val="22"/>
          <w:szCs w:val="22"/>
          <w:lang w:val="es-ES"/>
        </w:rPr>
        <w:t>3. Respuesta</w:t>
      </w:r>
    </w:p>
    <w:p w14:paraId="5F4FF60F" w14:textId="77777777" w:rsidR="002409FC" w:rsidRPr="003B2A1E" w:rsidRDefault="002409FC" w:rsidP="002409FC">
      <w:pPr>
        <w:spacing w:line="276" w:lineRule="auto"/>
        <w:ind w:left="709" w:right="709"/>
        <w:jc w:val="both"/>
        <w:rPr>
          <w:rFonts w:ascii="Arial" w:hAnsi="Arial" w:cs="Arial"/>
          <w:sz w:val="21"/>
          <w:szCs w:val="21"/>
        </w:rPr>
      </w:pPr>
    </w:p>
    <w:p w14:paraId="5566AA0F" w14:textId="1DD23FDE" w:rsidR="002409FC" w:rsidRPr="003B2A1E" w:rsidRDefault="002409FC" w:rsidP="003B2A1E">
      <w:pPr>
        <w:ind w:left="709" w:right="709"/>
        <w:jc w:val="both"/>
        <w:rPr>
          <w:rFonts w:ascii="Arial" w:hAnsi="Arial" w:cs="Arial"/>
          <w:sz w:val="21"/>
          <w:szCs w:val="21"/>
        </w:rPr>
      </w:pPr>
      <w:r w:rsidRPr="003B2A1E">
        <w:rPr>
          <w:rFonts w:ascii="Arial" w:hAnsi="Arial" w:cs="Arial"/>
          <w:sz w:val="21"/>
          <w:szCs w:val="21"/>
        </w:rPr>
        <w:lastRenderedPageBreak/>
        <w:t>«Al realizar la revisión de estos contratos en ejecución y que a la fecha no tienen acta de inicio y al realizar la verificación del aplicativo señalado por Colombia Compra, solicita escribir la fecha del acta de inicio, por ende, si lo describo no lo toma, ¿Cuál sería la formula para hallar este "K residual"?».</w:t>
      </w:r>
    </w:p>
    <w:p w14:paraId="25E8E458" w14:textId="728CBC63" w:rsidR="00625F10" w:rsidRPr="003B2A1E" w:rsidRDefault="00625F10" w:rsidP="00625F10">
      <w:pPr>
        <w:spacing w:line="276" w:lineRule="auto"/>
        <w:ind w:right="709"/>
        <w:jc w:val="both"/>
        <w:rPr>
          <w:rFonts w:ascii="Arial" w:hAnsi="Arial" w:cs="Arial"/>
          <w:sz w:val="21"/>
          <w:szCs w:val="21"/>
        </w:rPr>
      </w:pPr>
    </w:p>
    <w:p w14:paraId="1C24198E" w14:textId="522F9749" w:rsidR="00625F10" w:rsidRPr="003B2A1E" w:rsidRDefault="009D6F00" w:rsidP="003B2A1E">
      <w:pPr>
        <w:spacing w:after="120" w:line="276" w:lineRule="auto"/>
        <w:ind w:right="51"/>
        <w:jc w:val="both"/>
        <w:rPr>
          <w:rFonts w:ascii="Arial" w:hAnsi="Arial" w:cs="Arial"/>
          <w:sz w:val="22"/>
          <w:szCs w:val="22"/>
        </w:rPr>
      </w:pPr>
      <w:r w:rsidRPr="003B2A1E">
        <w:rPr>
          <w:rFonts w:ascii="Arial" w:hAnsi="Arial" w:cs="Arial"/>
          <w:sz w:val="22"/>
          <w:szCs w:val="22"/>
        </w:rPr>
        <w:t xml:space="preserve">Con base en las anteriores consideraciones, </w:t>
      </w:r>
      <w:r w:rsidR="00065406" w:rsidRPr="003B2A1E">
        <w:rPr>
          <w:rFonts w:ascii="Arial" w:hAnsi="Arial" w:cs="Arial"/>
          <w:sz w:val="22"/>
          <w:szCs w:val="22"/>
        </w:rPr>
        <w:t xml:space="preserve">es posible concluir que </w:t>
      </w:r>
      <w:r w:rsidR="003516A4" w:rsidRPr="003B2A1E">
        <w:rPr>
          <w:rFonts w:ascii="Arial" w:hAnsi="Arial" w:cs="Arial"/>
          <w:sz w:val="22"/>
          <w:szCs w:val="22"/>
        </w:rPr>
        <w:t xml:space="preserve">la normativa vigente prevé en la definición de contratos en ejecución aquellos que a la fecha de presentación de la oferta obligan al proponente con </w:t>
      </w:r>
      <w:r w:rsidR="00BE68B9" w:rsidRPr="003B2A1E">
        <w:rPr>
          <w:rFonts w:ascii="Arial" w:hAnsi="Arial" w:cs="Arial"/>
          <w:sz w:val="22"/>
          <w:szCs w:val="22"/>
        </w:rPr>
        <w:t>e</w:t>
      </w:r>
      <w:r w:rsidR="003516A4" w:rsidRPr="003B2A1E">
        <w:rPr>
          <w:rFonts w:ascii="Arial" w:hAnsi="Arial" w:cs="Arial"/>
          <w:sz w:val="22"/>
          <w:szCs w:val="22"/>
        </w:rPr>
        <w:t xml:space="preserve">ntidades </w:t>
      </w:r>
      <w:r w:rsidR="00BE68B9" w:rsidRPr="003B2A1E">
        <w:rPr>
          <w:rFonts w:ascii="Arial" w:hAnsi="Arial" w:cs="Arial"/>
          <w:sz w:val="22"/>
          <w:szCs w:val="22"/>
        </w:rPr>
        <w:t>e</w:t>
      </w:r>
      <w:r w:rsidR="003516A4" w:rsidRPr="003B2A1E">
        <w:rPr>
          <w:rFonts w:ascii="Arial" w:hAnsi="Arial" w:cs="Arial"/>
          <w:sz w:val="22"/>
          <w:szCs w:val="22"/>
        </w:rPr>
        <w:t xml:space="preserve">statales y con entidades privadas para ejecutar obras civiles, incluyendo la ejecución de obras civiles en los contratos de concesión y los contratos de obra suscritos con concesionarios, </w:t>
      </w:r>
      <w:r w:rsidR="003516A4" w:rsidRPr="003B2A1E">
        <w:rPr>
          <w:rFonts w:ascii="Arial" w:hAnsi="Arial" w:cs="Arial"/>
          <w:i/>
          <w:iCs/>
          <w:sz w:val="22"/>
          <w:szCs w:val="22"/>
        </w:rPr>
        <w:t>incluyendo los contratos suspendidos y aquellos que no tengan acta de inicio</w:t>
      </w:r>
      <w:r w:rsidR="00BE68B9" w:rsidRPr="003B2A1E">
        <w:rPr>
          <w:rFonts w:ascii="Arial" w:hAnsi="Arial" w:cs="Arial"/>
          <w:sz w:val="22"/>
          <w:szCs w:val="22"/>
        </w:rPr>
        <w:t>, como se establece en la «Guía para Determinar y Verificar la Capacidad Residual del Proponente en los Procesos de Contratación de Obra Pública»</w:t>
      </w:r>
      <w:r w:rsidR="003516A4" w:rsidRPr="003B2A1E">
        <w:rPr>
          <w:rFonts w:ascii="Arial" w:hAnsi="Arial" w:cs="Arial"/>
          <w:i/>
          <w:iCs/>
          <w:sz w:val="22"/>
          <w:szCs w:val="22"/>
        </w:rPr>
        <w:t xml:space="preserve">. </w:t>
      </w:r>
      <w:r w:rsidR="003516A4" w:rsidRPr="003B2A1E">
        <w:rPr>
          <w:rFonts w:ascii="Arial" w:hAnsi="Arial" w:cs="Arial"/>
          <w:sz w:val="22"/>
          <w:szCs w:val="22"/>
        </w:rPr>
        <w:t>De este modo, a efectos de su consulta, resulta que</w:t>
      </w:r>
      <w:r w:rsidR="00202D66" w:rsidRPr="003B2A1E">
        <w:rPr>
          <w:rFonts w:ascii="Arial" w:hAnsi="Arial" w:cs="Arial"/>
          <w:sz w:val="22"/>
          <w:szCs w:val="22"/>
        </w:rPr>
        <w:t xml:space="preserve"> la f</w:t>
      </w:r>
      <w:r w:rsidR="00BE68B9" w:rsidRPr="003B2A1E">
        <w:rPr>
          <w:rFonts w:ascii="Arial" w:hAnsi="Arial" w:cs="Arial"/>
          <w:sz w:val="22"/>
          <w:szCs w:val="22"/>
        </w:rPr>
        <w:t>ó</w:t>
      </w:r>
      <w:r w:rsidR="00202D66" w:rsidRPr="003B2A1E">
        <w:rPr>
          <w:rFonts w:ascii="Arial" w:hAnsi="Arial" w:cs="Arial"/>
          <w:sz w:val="22"/>
          <w:szCs w:val="22"/>
        </w:rPr>
        <w:t>rmula sigue siendo la misma y que</w:t>
      </w:r>
      <w:r w:rsidR="003516A4" w:rsidRPr="003B2A1E">
        <w:rPr>
          <w:rFonts w:ascii="Arial" w:hAnsi="Arial" w:cs="Arial"/>
          <w:sz w:val="22"/>
          <w:szCs w:val="22"/>
        </w:rPr>
        <w:t xml:space="preserve"> </w:t>
      </w:r>
      <w:r w:rsidR="008D1D8F" w:rsidRPr="003B2A1E">
        <w:rPr>
          <w:rFonts w:ascii="Arial" w:hAnsi="Arial" w:cs="Arial"/>
          <w:sz w:val="22"/>
          <w:szCs w:val="22"/>
        </w:rPr>
        <w:t>el cálculo de la capacidad residual debe incluir</w:t>
      </w:r>
      <w:r w:rsidR="00202D66" w:rsidRPr="003B2A1E">
        <w:rPr>
          <w:rFonts w:ascii="Arial" w:hAnsi="Arial" w:cs="Arial"/>
          <w:sz w:val="22"/>
          <w:szCs w:val="22"/>
        </w:rPr>
        <w:t>,</w:t>
      </w:r>
      <w:r w:rsidR="008D1D8F" w:rsidRPr="003B2A1E">
        <w:rPr>
          <w:rFonts w:ascii="Arial" w:hAnsi="Arial" w:cs="Arial"/>
          <w:sz w:val="22"/>
          <w:szCs w:val="22"/>
        </w:rPr>
        <w:t xml:space="preserve"> también</w:t>
      </w:r>
      <w:r w:rsidR="00202D66" w:rsidRPr="003B2A1E">
        <w:rPr>
          <w:rFonts w:ascii="Arial" w:hAnsi="Arial" w:cs="Arial"/>
          <w:sz w:val="22"/>
          <w:szCs w:val="22"/>
        </w:rPr>
        <w:t>,</w:t>
      </w:r>
      <w:r w:rsidR="008D1D8F" w:rsidRPr="003B2A1E">
        <w:rPr>
          <w:rFonts w:ascii="Arial" w:hAnsi="Arial" w:cs="Arial"/>
          <w:sz w:val="22"/>
          <w:szCs w:val="22"/>
        </w:rPr>
        <w:t xml:space="preserve"> los contratos</w:t>
      </w:r>
      <w:r w:rsidR="00625F10" w:rsidRPr="003B2A1E">
        <w:rPr>
          <w:rFonts w:ascii="Arial" w:hAnsi="Arial" w:cs="Arial"/>
          <w:sz w:val="22"/>
          <w:szCs w:val="22"/>
        </w:rPr>
        <w:t xml:space="preserve"> debidamente celebrado</w:t>
      </w:r>
      <w:r w:rsidR="008D1D8F" w:rsidRPr="003B2A1E">
        <w:rPr>
          <w:rFonts w:ascii="Arial" w:hAnsi="Arial" w:cs="Arial"/>
          <w:sz w:val="22"/>
          <w:szCs w:val="22"/>
        </w:rPr>
        <w:t>s</w:t>
      </w:r>
      <w:r w:rsidR="00625F10" w:rsidRPr="003B2A1E">
        <w:rPr>
          <w:rFonts w:ascii="Arial" w:hAnsi="Arial" w:cs="Arial"/>
          <w:sz w:val="22"/>
          <w:szCs w:val="22"/>
        </w:rPr>
        <w:t>,</w:t>
      </w:r>
      <w:r w:rsidR="008D1D8F" w:rsidRPr="003B2A1E">
        <w:rPr>
          <w:rFonts w:ascii="Arial" w:hAnsi="Arial" w:cs="Arial"/>
          <w:sz w:val="22"/>
          <w:szCs w:val="22"/>
        </w:rPr>
        <w:t xml:space="preserve"> incluso cuando no tengan acta de inicio,</w:t>
      </w:r>
      <w:r w:rsidR="00625F10" w:rsidRPr="003B2A1E">
        <w:rPr>
          <w:rFonts w:ascii="Arial" w:hAnsi="Arial" w:cs="Arial"/>
          <w:sz w:val="22"/>
          <w:szCs w:val="22"/>
        </w:rPr>
        <w:t xml:space="preserve"> toda vez que </w:t>
      </w:r>
      <w:r w:rsidR="008D1D8F" w:rsidRPr="003B2A1E">
        <w:rPr>
          <w:rFonts w:ascii="Arial" w:hAnsi="Arial" w:cs="Arial"/>
          <w:sz w:val="22"/>
          <w:szCs w:val="22"/>
        </w:rPr>
        <w:t xml:space="preserve">se trataría de contratos </w:t>
      </w:r>
      <w:r w:rsidR="00625F10" w:rsidRPr="003B2A1E">
        <w:rPr>
          <w:rFonts w:ascii="Arial" w:hAnsi="Arial" w:cs="Arial"/>
          <w:sz w:val="22"/>
          <w:szCs w:val="22"/>
        </w:rPr>
        <w:t>que obliga</w:t>
      </w:r>
      <w:r w:rsidR="008D1D8F" w:rsidRPr="003B2A1E">
        <w:rPr>
          <w:rFonts w:ascii="Arial" w:hAnsi="Arial" w:cs="Arial"/>
          <w:sz w:val="22"/>
          <w:szCs w:val="22"/>
        </w:rPr>
        <w:t>n</w:t>
      </w:r>
      <w:r w:rsidR="00625F10" w:rsidRPr="003B2A1E">
        <w:rPr>
          <w:rFonts w:ascii="Arial" w:hAnsi="Arial" w:cs="Arial"/>
          <w:sz w:val="22"/>
          <w:szCs w:val="22"/>
        </w:rPr>
        <w:t xml:space="preserve"> al contratista y</w:t>
      </w:r>
      <w:r w:rsidR="008D1D8F" w:rsidRPr="003B2A1E">
        <w:rPr>
          <w:rFonts w:ascii="Arial" w:hAnsi="Arial" w:cs="Arial"/>
          <w:sz w:val="22"/>
          <w:szCs w:val="22"/>
        </w:rPr>
        <w:t>,</w:t>
      </w:r>
      <w:r w:rsidR="00625F10" w:rsidRPr="003B2A1E">
        <w:rPr>
          <w:rFonts w:ascii="Arial" w:hAnsi="Arial" w:cs="Arial"/>
          <w:sz w:val="22"/>
          <w:szCs w:val="22"/>
        </w:rPr>
        <w:t xml:space="preserve"> por ende</w:t>
      </w:r>
      <w:r w:rsidR="008D1D8F" w:rsidRPr="003B2A1E">
        <w:rPr>
          <w:rFonts w:ascii="Arial" w:hAnsi="Arial" w:cs="Arial"/>
          <w:sz w:val="22"/>
          <w:szCs w:val="22"/>
        </w:rPr>
        <w:t>,</w:t>
      </w:r>
      <w:r w:rsidR="00625F10" w:rsidRPr="003B2A1E">
        <w:rPr>
          <w:rFonts w:ascii="Arial" w:hAnsi="Arial" w:cs="Arial"/>
          <w:sz w:val="22"/>
          <w:szCs w:val="22"/>
        </w:rPr>
        <w:t xml:space="preserve"> h</w:t>
      </w:r>
      <w:r w:rsidR="008D1D8F" w:rsidRPr="003B2A1E">
        <w:rPr>
          <w:rFonts w:ascii="Arial" w:hAnsi="Arial" w:cs="Arial"/>
          <w:sz w:val="22"/>
          <w:szCs w:val="22"/>
        </w:rPr>
        <w:t xml:space="preserve">arían </w:t>
      </w:r>
      <w:r w:rsidR="00625F10" w:rsidRPr="003B2A1E">
        <w:rPr>
          <w:rFonts w:ascii="Arial" w:hAnsi="Arial" w:cs="Arial"/>
          <w:sz w:val="22"/>
          <w:szCs w:val="22"/>
        </w:rPr>
        <w:t xml:space="preserve">parte de los saldos de contratos en ejecución. </w:t>
      </w:r>
    </w:p>
    <w:p w14:paraId="198B760B" w14:textId="3B535B1C" w:rsidR="00625F10" w:rsidRDefault="00625F10" w:rsidP="003B2A1E">
      <w:pPr>
        <w:spacing w:line="276" w:lineRule="auto"/>
        <w:ind w:right="49"/>
        <w:jc w:val="both"/>
        <w:rPr>
          <w:rFonts w:ascii="Arial" w:hAnsi="Arial" w:cs="Arial"/>
          <w:sz w:val="22"/>
          <w:szCs w:val="22"/>
        </w:rPr>
      </w:pPr>
      <w:r w:rsidRPr="003B2A1E">
        <w:rPr>
          <w:rFonts w:ascii="Arial" w:hAnsi="Arial" w:cs="Arial"/>
          <w:sz w:val="22"/>
          <w:szCs w:val="22"/>
        </w:rPr>
        <w:tab/>
      </w:r>
      <w:r w:rsidR="00874F8A" w:rsidRPr="003B2A1E">
        <w:rPr>
          <w:rFonts w:ascii="Arial" w:hAnsi="Arial" w:cs="Arial"/>
          <w:sz w:val="22"/>
          <w:szCs w:val="22"/>
        </w:rPr>
        <w:t>Además, como se expresó en las consideraciones, si bien el aplicativo de Excel desarrollado por esta Agencia constituye una herramienta que facilita la implementación de la metodología establecida en la guía, su uso no exime del deber de aplicar lo dispuesto en la normativa pertinente. En virtud de esto, el aplicativo más que una herramienta para determinar si se cumple o no con la capacidad residual, constituye una herramienta de validación de la aplicación de la metodología dispuesta en la guía, en la medida en que si bien no es de uso obligatorio facilita el cálculo de la capacidad residual. Así mismo, se reitera, la guía es el instrumento que detenta fuerza vinculante y, por tanto, son sus disposiciones las que deben observarse para la determinación de la capacidad residual. En tal sentido, ante las eventualidades que se presenten en desarrollo de la evaluación de las ofertas, las entidades estatales deberán tomar las medidas necesarias para realizar el cálculo atendiendo a los criterios establecidos en la «Guía para Determinar y Verificar la Capacidad Residual del Proponente en los Procesos de Contratación de Obra Pública».</w:t>
      </w:r>
    </w:p>
    <w:p w14:paraId="3A4EAFB2" w14:textId="77777777" w:rsidR="00FB68A9" w:rsidRPr="00625F10" w:rsidRDefault="00FB68A9" w:rsidP="00FB68A9">
      <w:pPr>
        <w:spacing w:before="120" w:line="276" w:lineRule="auto"/>
        <w:ind w:right="49"/>
        <w:jc w:val="both"/>
        <w:rPr>
          <w:rFonts w:ascii="Arial" w:eastAsia="Calibri" w:hAnsi="Arial" w:cs="Arial"/>
          <w:sz w:val="22"/>
          <w:szCs w:val="22"/>
          <w:lang w:val="es-ES"/>
        </w:rPr>
      </w:pPr>
    </w:p>
    <w:p w14:paraId="5F50678A" w14:textId="77777777" w:rsidR="008F1F27" w:rsidRPr="00924DEF" w:rsidRDefault="008F1F27" w:rsidP="008F1F27">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2AA109C0" w14:textId="77777777" w:rsidR="008F1F27" w:rsidRPr="00924DEF" w:rsidRDefault="008F1F27" w:rsidP="008F1F27">
      <w:pPr>
        <w:jc w:val="both"/>
        <w:rPr>
          <w:rFonts w:ascii="Arial" w:eastAsia="Calibri" w:hAnsi="Arial" w:cs="Arial"/>
          <w:sz w:val="22"/>
          <w:szCs w:val="22"/>
          <w:lang w:val="es-ES"/>
        </w:rPr>
      </w:pPr>
    </w:p>
    <w:p w14:paraId="7EFFE4CF" w14:textId="77777777" w:rsidR="008F1F27" w:rsidRPr="00924DEF" w:rsidRDefault="008F1F27" w:rsidP="008F1F27">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39F9E624" w14:textId="4CF41C79" w:rsidR="008F1F27" w:rsidRPr="0008465D" w:rsidRDefault="00AA4C80" w:rsidP="008F1F27">
      <w:pPr>
        <w:jc w:val="center"/>
        <w:rPr>
          <w:rFonts w:ascii="Arial" w:hAnsi="Arial" w:cs="Arial"/>
          <w:sz w:val="18"/>
          <w:szCs w:val="20"/>
          <w:lang w:val="es-ES" w:eastAsia="es-CO"/>
        </w:rPr>
      </w:pPr>
      <w:r w:rsidRPr="009000E4">
        <w:rPr>
          <w:rFonts w:ascii="Arial" w:hAnsi="Arial" w:cs="Arial"/>
          <w:noProof/>
          <w:lang w:val="es-ES_tradnl" w:eastAsia="es-CO"/>
        </w:rPr>
        <w:lastRenderedPageBreak/>
        <w:drawing>
          <wp:inline distT="0" distB="0" distL="0" distR="0" wp14:anchorId="7078DFC5" wp14:editId="682D6DDE">
            <wp:extent cx="2514600" cy="1114425"/>
            <wp:effectExtent l="0" t="0" r="0"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p w14:paraId="42FEC02E" w14:textId="77777777" w:rsidR="008F1F27" w:rsidRPr="0008465D" w:rsidRDefault="008F1F27" w:rsidP="008F1F2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F1F27" w:rsidRPr="0008465D" w14:paraId="0ADD22D4" w14:textId="77777777" w:rsidTr="00B10244">
        <w:trPr>
          <w:trHeight w:val="315"/>
        </w:trPr>
        <w:tc>
          <w:tcPr>
            <w:tcW w:w="812" w:type="dxa"/>
            <w:vAlign w:val="center"/>
            <w:hideMark/>
          </w:tcPr>
          <w:p w14:paraId="421F7B07"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CBF9EF9"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6E4291B8"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8F1F27" w:rsidRPr="0008465D" w14:paraId="157EA2CB" w14:textId="77777777" w:rsidTr="00B10244">
        <w:trPr>
          <w:trHeight w:val="330"/>
        </w:trPr>
        <w:tc>
          <w:tcPr>
            <w:tcW w:w="812" w:type="dxa"/>
            <w:vAlign w:val="center"/>
            <w:hideMark/>
          </w:tcPr>
          <w:p w14:paraId="608DD08B"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461CD16" w14:textId="2B3E180D" w:rsidR="000A12D9" w:rsidRPr="009F5860" w:rsidRDefault="002409FC" w:rsidP="000A12D9">
            <w:pPr>
              <w:rPr>
                <w:rFonts w:ascii="Arial" w:hAnsi="Arial" w:cs="Arial"/>
                <w:sz w:val="16"/>
                <w:szCs w:val="16"/>
                <w:lang w:val="es-ES" w:eastAsia="es-ES"/>
              </w:rPr>
            </w:pPr>
            <w:r>
              <w:rPr>
                <w:rFonts w:ascii="Arial" w:hAnsi="Arial" w:cs="Arial"/>
                <w:sz w:val="16"/>
                <w:szCs w:val="16"/>
                <w:lang w:val="es-ES" w:eastAsia="es-ES"/>
              </w:rPr>
              <w:t xml:space="preserve">Sebastián Ramírez </w:t>
            </w:r>
            <w:r w:rsidR="004109F0">
              <w:rPr>
                <w:rFonts w:ascii="Arial" w:hAnsi="Arial" w:cs="Arial"/>
                <w:sz w:val="16"/>
                <w:szCs w:val="16"/>
                <w:lang w:val="es-ES" w:eastAsia="es-ES"/>
              </w:rPr>
              <w:t xml:space="preserve">Grisales </w:t>
            </w:r>
          </w:p>
          <w:p w14:paraId="287116A6" w14:textId="4EA38CD4" w:rsidR="008F1F27" w:rsidRPr="0008465D" w:rsidRDefault="002409FC" w:rsidP="000A12D9">
            <w:pPr>
              <w:rPr>
                <w:rFonts w:ascii="Arial" w:hAnsi="Arial" w:cs="Arial"/>
                <w:sz w:val="16"/>
                <w:szCs w:val="16"/>
                <w:lang w:val="es-ES" w:eastAsia="es-ES"/>
              </w:rPr>
            </w:pPr>
            <w:r>
              <w:rPr>
                <w:rFonts w:ascii="Arial" w:hAnsi="Arial" w:cs="Arial"/>
                <w:sz w:val="16"/>
                <w:szCs w:val="16"/>
                <w:lang w:val="es-ES" w:eastAsia="es-ES"/>
              </w:rPr>
              <w:t xml:space="preserve">Contratista de la Subdirección de Gestión Contractual </w:t>
            </w:r>
          </w:p>
        </w:tc>
      </w:tr>
      <w:tr w:rsidR="008F1F27" w:rsidRPr="0008465D" w14:paraId="56EFC3BD" w14:textId="77777777" w:rsidTr="00B10244">
        <w:trPr>
          <w:trHeight w:val="300"/>
        </w:trPr>
        <w:tc>
          <w:tcPr>
            <w:tcW w:w="812" w:type="dxa"/>
            <w:vAlign w:val="center"/>
            <w:hideMark/>
          </w:tcPr>
          <w:p w14:paraId="3637F9F9"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7D9017"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180D728A" w14:textId="77777777" w:rsidR="008F1F27" w:rsidRPr="0008465D" w:rsidRDefault="008F1F27" w:rsidP="00B10244">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50A69111" w14:textId="77777777" w:rsidR="000B2F93" w:rsidRDefault="000B2F93" w:rsidP="008F1F27">
      <w:pPr>
        <w:spacing w:line="276" w:lineRule="auto"/>
      </w:pPr>
    </w:p>
    <w:sectPr w:rsidR="000B2F93" w:rsidSect="007F1895">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CFA99" w14:textId="77777777" w:rsidR="0069643C" w:rsidRDefault="0069643C" w:rsidP="000B2F93">
      <w:r>
        <w:separator/>
      </w:r>
    </w:p>
  </w:endnote>
  <w:endnote w:type="continuationSeparator" w:id="0">
    <w:p w14:paraId="31B40AFD" w14:textId="77777777" w:rsidR="0069643C" w:rsidRDefault="0069643C" w:rsidP="000B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096" w14:textId="77777777" w:rsidR="00387886" w:rsidRDefault="0069643C" w:rsidP="007F1895">
    <w:pPr>
      <w:pStyle w:val="Sinespaciado"/>
      <w:jc w:val="right"/>
      <w:rPr>
        <w:rFonts w:ascii="Arial" w:hAnsi="Arial" w:cs="Arial"/>
        <w:sz w:val="18"/>
        <w:szCs w:val="18"/>
      </w:rPr>
    </w:pPr>
  </w:p>
  <w:p w14:paraId="6B8912A4" w14:textId="77777777" w:rsidR="00387886" w:rsidRDefault="0069643C" w:rsidP="007F1895">
    <w:pPr>
      <w:pStyle w:val="Sinespaciado"/>
      <w:jc w:val="right"/>
      <w:rPr>
        <w:rFonts w:ascii="Arial" w:hAnsi="Arial" w:cs="Arial"/>
        <w:sz w:val="18"/>
        <w:szCs w:val="18"/>
      </w:rPr>
    </w:pPr>
  </w:p>
  <w:p w14:paraId="049D09DA" w14:textId="77777777" w:rsidR="00387886" w:rsidRPr="008217B7" w:rsidRDefault="007C2EF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78FB5CE" w14:textId="77777777" w:rsidR="00387886" w:rsidRDefault="007C2EF0" w:rsidP="007F1895">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F3E6FDB" w14:textId="77777777" w:rsidR="00387886" w:rsidRPr="00E756AC" w:rsidRDefault="0069643C" w:rsidP="007F1895">
    <w:pPr>
      <w:pStyle w:val="Piedepgina"/>
      <w:jc w:val="center"/>
      <w:rPr>
        <w:sz w:val="18"/>
        <w:szCs w:val="18"/>
        <w:lang w:val="es-ES"/>
      </w:rPr>
    </w:pPr>
  </w:p>
  <w:p w14:paraId="19562477" w14:textId="77777777" w:rsidR="00387886" w:rsidRPr="00E756AC" w:rsidRDefault="0069643C"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BB0A1" w14:textId="77777777" w:rsidR="0069643C" w:rsidRDefault="0069643C" w:rsidP="000B2F93">
      <w:r>
        <w:separator/>
      </w:r>
    </w:p>
  </w:footnote>
  <w:footnote w:type="continuationSeparator" w:id="0">
    <w:p w14:paraId="75760BCF" w14:textId="77777777" w:rsidR="0069643C" w:rsidRDefault="0069643C" w:rsidP="000B2F93">
      <w:r>
        <w:continuationSeparator/>
      </w:r>
    </w:p>
  </w:footnote>
  <w:footnote w:id="1">
    <w:p w14:paraId="44DFED20" w14:textId="77777777" w:rsidR="002409FC" w:rsidRPr="009F7C66" w:rsidRDefault="002409FC" w:rsidP="002409FC">
      <w:pPr>
        <w:pStyle w:val="Textonotapie"/>
        <w:ind w:firstLine="708"/>
        <w:jc w:val="both"/>
        <w:rPr>
          <w:rFonts w:ascii="Arial" w:eastAsia="Calibri" w:hAnsi="Arial" w:cs="Arial"/>
          <w:color w:val="000000" w:themeColor="text1"/>
          <w:sz w:val="19"/>
          <w:szCs w:val="19"/>
        </w:rPr>
      </w:pPr>
      <w:r w:rsidRPr="000823DB">
        <w:rPr>
          <w:rStyle w:val="Refdenotaalpie"/>
          <w:rFonts w:ascii="Arial" w:hAnsi="Arial" w:cs="Arial"/>
          <w:color w:val="000000" w:themeColor="text1"/>
          <w:sz w:val="19"/>
          <w:szCs w:val="19"/>
        </w:rPr>
        <w:footnoteRef/>
      </w:r>
      <w:r w:rsidRPr="000823DB">
        <w:rPr>
          <w:rFonts w:ascii="Arial" w:hAnsi="Arial" w:cs="Arial"/>
          <w:color w:val="000000" w:themeColor="text1"/>
          <w:sz w:val="19"/>
          <w:szCs w:val="19"/>
        </w:rPr>
        <w:t xml:space="preserve"> </w:t>
      </w:r>
      <w:r w:rsidRPr="000823DB">
        <w:rPr>
          <w:rFonts w:ascii="Arial" w:eastAsia="Calibri" w:hAnsi="Arial" w:cs="Arial"/>
          <w:color w:val="000000" w:themeColor="text1"/>
          <w:sz w:val="19"/>
          <w:szCs w:val="19"/>
        </w:rPr>
        <w:t>Decreto 1082 de 2015: «Arti</w:t>
      </w:r>
      <w:r w:rsidRPr="009F7C66">
        <w:rPr>
          <w:rFonts w:ascii="Arial" w:eastAsia="Calibri" w:hAnsi="Arial" w:cs="Arial"/>
          <w:color w:val="000000" w:themeColor="text1"/>
          <w:sz w:val="19"/>
          <w:szCs w:val="19"/>
        </w:rPr>
        <w:t xml:space="preserve">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D98AC08" w14:textId="77777777" w:rsidR="002409FC" w:rsidRPr="009F7C66" w:rsidRDefault="002409FC" w:rsidP="002409FC">
      <w:pPr>
        <w:pStyle w:val="Textonotapie"/>
        <w:ind w:firstLine="708"/>
        <w:jc w:val="both"/>
        <w:rPr>
          <w:rFonts w:ascii="Arial" w:eastAsia="Calibri" w:hAnsi="Arial" w:cs="Arial"/>
          <w:color w:val="000000" w:themeColor="text1"/>
          <w:sz w:val="19"/>
          <w:szCs w:val="19"/>
        </w:rPr>
      </w:pPr>
      <w:r w:rsidRPr="009F7C66">
        <w:rPr>
          <w:rFonts w:ascii="Arial" w:eastAsia="Calibri" w:hAnsi="Arial" w:cs="Arial"/>
          <w:color w:val="000000" w:themeColor="text1"/>
          <w:sz w:val="19"/>
          <w:szCs w:val="19"/>
        </w:rPr>
        <w:t>[…]</w:t>
      </w:r>
    </w:p>
    <w:p w14:paraId="450C8CB7" w14:textId="77777777" w:rsidR="002409FC" w:rsidRPr="009F7C66" w:rsidRDefault="002409FC" w:rsidP="002409FC">
      <w:pPr>
        <w:pStyle w:val="Textonotapie"/>
        <w:ind w:firstLine="708"/>
        <w:jc w:val="both"/>
        <w:rPr>
          <w:rFonts w:ascii="Arial" w:hAnsi="Arial" w:cs="Arial"/>
          <w:color w:val="000000" w:themeColor="text1"/>
          <w:sz w:val="19"/>
          <w:szCs w:val="19"/>
          <w:lang w:val="es-CO"/>
        </w:rPr>
      </w:pPr>
      <w:r w:rsidRPr="009F7C66">
        <w:rPr>
          <w:rFonts w:ascii="Arial" w:eastAsia="Calibri"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9F7C66">
        <w:rPr>
          <w:rFonts w:ascii="Arial" w:hAnsi="Arial" w:cs="Arial"/>
          <w:color w:val="000000" w:themeColor="text1"/>
          <w:sz w:val="19"/>
          <w:szCs w:val="19"/>
          <w:lang w:val="es-CO"/>
        </w:rPr>
        <w:t xml:space="preserve"> </w:t>
      </w:r>
    </w:p>
    <w:p w14:paraId="0D7F3235" w14:textId="77777777" w:rsidR="002409FC" w:rsidRPr="009F7C66" w:rsidRDefault="002409FC" w:rsidP="002409FC">
      <w:pPr>
        <w:pStyle w:val="Textonotapie"/>
        <w:jc w:val="both"/>
        <w:rPr>
          <w:rFonts w:ascii="Arial" w:hAnsi="Arial" w:cs="Arial"/>
          <w:color w:val="000000" w:themeColor="text1"/>
          <w:sz w:val="19"/>
          <w:szCs w:val="19"/>
          <w:lang w:val="es-CO"/>
        </w:rPr>
      </w:pPr>
    </w:p>
  </w:footnote>
  <w:footnote w:id="2">
    <w:p w14:paraId="63B5DA0B" w14:textId="77777777" w:rsidR="002409FC" w:rsidRPr="009F7C66" w:rsidRDefault="002409FC" w:rsidP="002409FC">
      <w:pPr>
        <w:pStyle w:val="Textonotapie"/>
        <w:ind w:firstLine="708"/>
        <w:jc w:val="both"/>
        <w:rPr>
          <w:rFonts w:ascii="Arial" w:hAnsi="Arial" w:cs="Arial"/>
          <w:color w:val="000000" w:themeColor="text1"/>
          <w:sz w:val="19"/>
          <w:szCs w:val="19"/>
          <w:lang w:val="es-CO"/>
        </w:rPr>
      </w:pPr>
      <w:r w:rsidRPr="000823DB">
        <w:rPr>
          <w:rFonts w:ascii="Arial" w:eastAsia="Calibri" w:hAnsi="Arial" w:cs="Arial"/>
          <w:color w:val="000000" w:themeColor="text1"/>
          <w:sz w:val="19"/>
          <w:szCs w:val="19"/>
          <w:vertAlign w:val="superscript"/>
        </w:rPr>
        <w:footnoteRef/>
      </w:r>
      <w:r w:rsidRPr="000823DB">
        <w:rPr>
          <w:rFonts w:ascii="Arial" w:eastAsia="Calibri" w:hAnsi="Arial" w:cs="Arial"/>
          <w:color w:val="000000" w:themeColor="text1"/>
          <w:sz w:val="19"/>
          <w:szCs w:val="19"/>
          <w:vertAlign w:val="superscript"/>
        </w:rPr>
        <w:t xml:space="preserve"> </w:t>
      </w:r>
      <w:r w:rsidRPr="000823DB">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3">
    <w:p w14:paraId="527ABA14" w14:textId="77777777" w:rsidR="002409FC" w:rsidRPr="00543959" w:rsidRDefault="002409FC" w:rsidP="002409FC">
      <w:pPr>
        <w:ind w:right="49" w:firstLine="708"/>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543959">
        <w:rPr>
          <w:rFonts w:ascii="Arial" w:hAnsi="Arial" w:cs="Arial"/>
          <w:color w:val="000000" w:themeColor="text1"/>
          <w:spacing w:val="-3"/>
          <w:sz w:val="19"/>
          <w:szCs w:val="19"/>
        </w:rPr>
        <w:t xml:space="preserve"> </w:t>
      </w:r>
      <w:r w:rsidRPr="00543959">
        <w:rPr>
          <w:rFonts w:ascii="Arial" w:hAnsi="Arial" w:cs="Arial"/>
          <w:color w:val="000000" w:themeColor="text1"/>
          <w:sz w:val="19"/>
          <w:szCs w:val="19"/>
        </w:rPr>
        <w:t>documentos:</w:t>
      </w:r>
    </w:p>
    <w:p w14:paraId="49416230" w14:textId="77777777" w:rsidR="002409FC" w:rsidRDefault="002409FC" w:rsidP="002409FC">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543959">
        <w:rPr>
          <w:rFonts w:ascii="Arial" w:hAnsi="Arial" w:cs="Arial"/>
          <w:color w:val="000000" w:themeColor="text1"/>
          <w:spacing w:val="-4"/>
          <w:sz w:val="19"/>
          <w:szCs w:val="19"/>
        </w:rPr>
        <w:t xml:space="preserve"> </w:t>
      </w:r>
      <w:r w:rsidRPr="00543959">
        <w:rPr>
          <w:rFonts w:ascii="Arial" w:hAnsi="Arial" w:cs="Arial"/>
          <w:color w:val="000000" w:themeColor="text1"/>
          <w:sz w:val="19"/>
          <w:szCs w:val="19"/>
        </w:rPr>
        <w:t>concesionarios.</w:t>
      </w:r>
    </w:p>
    <w:p w14:paraId="6C60ABDE" w14:textId="77777777" w:rsidR="002409FC" w:rsidRPr="00543959" w:rsidRDefault="002409FC" w:rsidP="002409FC">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53AE5B15" w14:textId="77777777" w:rsidR="002409FC" w:rsidRPr="00543959" w:rsidRDefault="002409FC" w:rsidP="002409FC">
      <w:pPr>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4">
    <w:p w14:paraId="62E92325" w14:textId="77777777" w:rsidR="002409FC" w:rsidRPr="00EB4F7E" w:rsidRDefault="002409FC" w:rsidP="002409FC">
      <w:pPr>
        <w:pStyle w:val="Textonotapie"/>
        <w:ind w:firstLine="708"/>
        <w:jc w:val="both"/>
        <w:rPr>
          <w:lang w:val="es-CO"/>
        </w:rPr>
      </w:pPr>
      <w:r w:rsidRPr="00A16516">
        <w:rPr>
          <w:rStyle w:val="Refdenotaalpie"/>
          <w:rFonts w:ascii="Arial" w:hAnsi="Arial" w:cs="Arial"/>
          <w:sz w:val="19"/>
          <w:szCs w:val="19"/>
        </w:rPr>
        <w:footnoteRef/>
      </w:r>
      <w:r w:rsidRPr="00A16516">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Pág 4. Disponible en:</w:t>
      </w:r>
      <w:r>
        <w:rPr>
          <w:rFonts w:ascii="Arial" w:hAnsi="Arial" w:cs="Arial"/>
          <w:sz w:val="19"/>
          <w:szCs w:val="19"/>
        </w:rPr>
        <w:t xml:space="preserve"> </w:t>
      </w:r>
      <w:hyperlink r:id="rId1" w:history="1">
        <w:r w:rsidRPr="00A16516">
          <w:rPr>
            <w:rStyle w:val="Hipervnculo"/>
            <w:rFonts w:ascii="Arial" w:hAnsi="Arial" w:cs="Arial"/>
            <w:sz w:val="19"/>
            <w:szCs w:val="19"/>
          </w:rPr>
          <w:t>https://colombiacompra.gov.co/sites/cce_public/files/cce_documents/cce_guia_capacidad_residual.pdf</w:t>
        </w:r>
      </w:hyperlink>
      <w:r>
        <w:t xml:space="preserve"> </w:t>
      </w:r>
    </w:p>
  </w:footnote>
  <w:footnote w:id="5">
    <w:p w14:paraId="24F63F93" w14:textId="77777777" w:rsidR="002409FC" w:rsidRPr="00C7187E" w:rsidRDefault="002409FC" w:rsidP="002409FC">
      <w:pPr>
        <w:pStyle w:val="Textonotapie"/>
        <w:ind w:firstLine="708"/>
        <w:rPr>
          <w:rFonts w:ascii="Arial" w:hAnsi="Arial" w:cs="Arial"/>
          <w:sz w:val="19"/>
          <w:szCs w:val="19"/>
          <w:lang w:val="es-CO"/>
        </w:rPr>
      </w:pPr>
      <w:r w:rsidRPr="00C7187E">
        <w:rPr>
          <w:rStyle w:val="Refdenotaalpie"/>
          <w:rFonts w:ascii="Arial" w:hAnsi="Arial" w:cs="Arial"/>
          <w:sz w:val="19"/>
          <w:szCs w:val="19"/>
        </w:rPr>
        <w:footnoteRef/>
      </w:r>
      <w:r w:rsidRPr="00C7187E">
        <w:rPr>
          <w:rFonts w:ascii="Arial" w:hAnsi="Arial" w:cs="Arial"/>
          <w:sz w:val="19"/>
          <w:szCs w:val="19"/>
        </w:rPr>
        <w:t xml:space="preserve"> </w:t>
      </w:r>
      <w:hyperlink r:id="rId2" w:history="1">
        <w:r w:rsidRPr="00282361">
          <w:rPr>
            <w:rStyle w:val="Hipervnculo"/>
            <w:rFonts w:ascii="Arial" w:hAnsi="Arial" w:cs="Arial"/>
            <w:sz w:val="19"/>
            <w:szCs w:val="19"/>
          </w:rPr>
          <w:t>https://colombiacompra.gov.co/manuales-guias-y-pliegos-tipo/manuales-y-guias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A9E4" w14:textId="77777777" w:rsidR="00387886" w:rsidRDefault="007C2EF0">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abstractNum w:abstractNumId="2" w15:restartNumberingAfterBreak="0">
    <w:nsid w:val="5E1804C7"/>
    <w:multiLevelType w:val="multilevel"/>
    <w:tmpl w:val="01ECF908"/>
    <w:lvl w:ilvl="0">
      <w:start w:val="2"/>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4"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384136543">
    <w:abstractNumId w:val="1"/>
  </w:num>
  <w:num w:numId="2" w16cid:durableId="833644384">
    <w:abstractNumId w:val="0"/>
  </w:num>
  <w:num w:numId="3" w16cid:durableId="105001407">
    <w:abstractNumId w:val="4"/>
  </w:num>
  <w:num w:numId="4" w16cid:durableId="1743983655">
    <w:abstractNumId w:val="3"/>
  </w:num>
  <w:num w:numId="5" w16cid:durableId="120541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0748D"/>
    <w:rsid w:val="0003011E"/>
    <w:rsid w:val="00055E3F"/>
    <w:rsid w:val="00064409"/>
    <w:rsid w:val="00065406"/>
    <w:rsid w:val="000A12D9"/>
    <w:rsid w:val="000B011E"/>
    <w:rsid w:val="000B2F93"/>
    <w:rsid w:val="000D6091"/>
    <w:rsid w:val="000E1127"/>
    <w:rsid w:val="00101939"/>
    <w:rsid w:val="0010780D"/>
    <w:rsid w:val="001425A1"/>
    <w:rsid w:val="001443BD"/>
    <w:rsid w:val="00150841"/>
    <w:rsid w:val="0015294A"/>
    <w:rsid w:val="00183225"/>
    <w:rsid w:val="001A1A0D"/>
    <w:rsid w:val="00201B06"/>
    <w:rsid w:val="00202D66"/>
    <w:rsid w:val="00211F5E"/>
    <w:rsid w:val="002249BE"/>
    <w:rsid w:val="002275B6"/>
    <w:rsid w:val="00237A66"/>
    <w:rsid w:val="002409FC"/>
    <w:rsid w:val="00240B73"/>
    <w:rsid w:val="00252BB8"/>
    <w:rsid w:val="00254949"/>
    <w:rsid w:val="00284A4E"/>
    <w:rsid w:val="00293834"/>
    <w:rsid w:val="00296FD4"/>
    <w:rsid w:val="002B3E9C"/>
    <w:rsid w:val="002B4CE5"/>
    <w:rsid w:val="002C7044"/>
    <w:rsid w:val="002D3A36"/>
    <w:rsid w:val="002D5118"/>
    <w:rsid w:val="002E444D"/>
    <w:rsid w:val="00322518"/>
    <w:rsid w:val="00322FE7"/>
    <w:rsid w:val="003516A4"/>
    <w:rsid w:val="00364293"/>
    <w:rsid w:val="00390998"/>
    <w:rsid w:val="003B0B3B"/>
    <w:rsid w:val="003B2A1E"/>
    <w:rsid w:val="003C31E8"/>
    <w:rsid w:val="003C60BC"/>
    <w:rsid w:val="003C7DB7"/>
    <w:rsid w:val="003D11EE"/>
    <w:rsid w:val="003E35B1"/>
    <w:rsid w:val="004109F0"/>
    <w:rsid w:val="00417118"/>
    <w:rsid w:val="00435999"/>
    <w:rsid w:val="00453A6E"/>
    <w:rsid w:val="00455152"/>
    <w:rsid w:val="004F4122"/>
    <w:rsid w:val="005072EF"/>
    <w:rsid w:val="00560047"/>
    <w:rsid w:val="005B37D5"/>
    <w:rsid w:val="005E2DF7"/>
    <w:rsid w:val="005F2B8F"/>
    <w:rsid w:val="005F65BA"/>
    <w:rsid w:val="00614F03"/>
    <w:rsid w:val="006172AF"/>
    <w:rsid w:val="00625A84"/>
    <w:rsid w:val="00625F10"/>
    <w:rsid w:val="00634C41"/>
    <w:rsid w:val="006372B8"/>
    <w:rsid w:val="006374F7"/>
    <w:rsid w:val="00685908"/>
    <w:rsid w:val="0069643C"/>
    <w:rsid w:val="006D1A97"/>
    <w:rsid w:val="007001A5"/>
    <w:rsid w:val="00707F4C"/>
    <w:rsid w:val="00791A94"/>
    <w:rsid w:val="00794929"/>
    <w:rsid w:val="00794A8C"/>
    <w:rsid w:val="007C25D3"/>
    <w:rsid w:val="007C2EF0"/>
    <w:rsid w:val="007D01F8"/>
    <w:rsid w:val="007F39CD"/>
    <w:rsid w:val="00801942"/>
    <w:rsid w:val="00822ECB"/>
    <w:rsid w:val="008563F2"/>
    <w:rsid w:val="00874F8A"/>
    <w:rsid w:val="008D1D8F"/>
    <w:rsid w:val="008D5075"/>
    <w:rsid w:val="008F1F27"/>
    <w:rsid w:val="009165F4"/>
    <w:rsid w:val="009252DF"/>
    <w:rsid w:val="00944899"/>
    <w:rsid w:val="00953313"/>
    <w:rsid w:val="00990D67"/>
    <w:rsid w:val="00995C47"/>
    <w:rsid w:val="009C4252"/>
    <w:rsid w:val="009D6F00"/>
    <w:rsid w:val="009E688F"/>
    <w:rsid w:val="00A34FD7"/>
    <w:rsid w:val="00A4661E"/>
    <w:rsid w:val="00A47AA9"/>
    <w:rsid w:val="00A712A2"/>
    <w:rsid w:val="00A95548"/>
    <w:rsid w:val="00AA2BDA"/>
    <w:rsid w:val="00AA4C80"/>
    <w:rsid w:val="00AB6847"/>
    <w:rsid w:val="00AF663B"/>
    <w:rsid w:val="00B15023"/>
    <w:rsid w:val="00B373D0"/>
    <w:rsid w:val="00B50EF0"/>
    <w:rsid w:val="00B5202F"/>
    <w:rsid w:val="00B65034"/>
    <w:rsid w:val="00B76D93"/>
    <w:rsid w:val="00B8287E"/>
    <w:rsid w:val="00BE68B9"/>
    <w:rsid w:val="00BF34F2"/>
    <w:rsid w:val="00C3128D"/>
    <w:rsid w:val="00C91611"/>
    <w:rsid w:val="00CA648B"/>
    <w:rsid w:val="00CC410C"/>
    <w:rsid w:val="00CC7CCF"/>
    <w:rsid w:val="00CD023B"/>
    <w:rsid w:val="00CD29A6"/>
    <w:rsid w:val="00CD65F4"/>
    <w:rsid w:val="00CF0ADF"/>
    <w:rsid w:val="00CF318F"/>
    <w:rsid w:val="00D03416"/>
    <w:rsid w:val="00D43F4B"/>
    <w:rsid w:val="00D724A9"/>
    <w:rsid w:val="00D81D35"/>
    <w:rsid w:val="00D83877"/>
    <w:rsid w:val="00D902B7"/>
    <w:rsid w:val="00DE3656"/>
    <w:rsid w:val="00DF178A"/>
    <w:rsid w:val="00E018E5"/>
    <w:rsid w:val="00E049E3"/>
    <w:rsid w:val="00E142F6"/>
    <w:rsid w:val="00E146F0"/>
    <w:rsid w:val="00E2049E"/>
    <w:rsid w:val="00E25DCE"/>
    <w:rsid w:val="00E8665C"/>
    <w:rsid w:val="00E87923"/>
    <w:rsid w:val="00EA1F1D"/>
    <w:rsid w:val="00EA2FEE"/>
    <w:rsid w:val="00EC1837"/>
    <w:rsid w:val="00EE151D"/>
    <w:rsid w:val="00F11750"/>
    <w:rsid w:val="00F25B2A"/>
    <w:rsid w:val="00F4421F"/>
    <w:rsid w:val="00F57173"/>
    <w:rsid w:val="00F734F2"/>
    <w:rsid w:val="00F92A79"/>
    <w:rsid w:val="00F93ACE"/>
    <w:rsid w:val="00FB68A9"/>
    <w:rsid w:val="00FB7620"/>
    <w:rsid w:val="00FC03E1"/>
    <w:rsid w:val="00FD32BE"/>
    <w:rsid w:val="00FE487F"/>
    <w:rsid w:val="00FF0B9E"/>
    <w:rsid w:val="00FF39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394C"/>
  <w15:chartTrackingRefBased/>
  <w15:docId w15:val="{847351DB-D241-9A45-8995-A577B52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044"/>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B2F9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0B2F9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B2F9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customStyle="1" w:styleId="Appelnotedebasde">
    <w:name w:val="Appel note de bas de..."/>
    <w:basedOn w:val="Normal"/>
    <w:link w:val="Refdenotaalpie"/>
    <w:uiPriority w:val="99"/>
    <w:rsid w:val="000B2F93"/>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customStyle="1" w:styleId="NormalWebCar">
    <w:name w:val="Normal (Web) Car"/>
    <w:link w:val="NormalWeb"/>
    <w:uiPriority w:val="99"/>
    <w:rsid w:val="000B2F93"/>
    <w:rPr>
      <w:rFonts w:ascii="Times New Roman" w:eastAsia="Times New Roman" w:hAnsi="Times New Roman" w:cs="Times New Roman"/>
      <w:lang w:eastAsia="es-MX"/>
    </w:rPr>
  </w:style>
  <w:style w:type="paragraph" w:styleId="Textoindependiente">
    <w:name w:val="Body Text"/>
    <w:basedOn w:val="Normal"/>
    <w:link w:val="TextoindependienteCar"/>
    <w:uiPriority w:val="1"/>
    <w:qFormat/>
    <w:rsid w:val="008F1F2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8F1F27"/>
    <w:rPr>
      <w:rFonts w:ascii="Arial" w:eastAsia="Arial" w:hAnsi="Arial" w:cs="Arial"/>
      <w:sz w:val="20"/>
      <w:szCs w:val="20"/>
      <w:lang w:val="es-ES"/>
    </w:rPr>
  </w:style>
  <w:style w:type="character" w:customStyle="1" w:styleId="baj">
    <w:name w:val="b_aj"/>
    <w:basedOn w:val="Fuentedeprrafopredeter"/>
    <w:rsid w:val="008F1F27"/>
  </w:style>
  <w:style w:type="character" w:styleId="Textoennegrita">
    <w:name w:val="Strong"/>
    <w:basedOn w:val="Fuentedeprrafopredeter"/>
    <w:uiPriority w:val="22"/>
    <w:qFormat/>
    <w:rsid w:val="00E25DCE"/>
    <w:rPr>
      <w:b/>
      <w:bCs/>
    </w:rPr>
  </w:style>
  <w:style w:type="paragraph" w:styleId="Revisin">
    <w:name w:val="Revision"/>
    <w:hidden/>
    <w:uiPriority w:val="99"/>
    <w:semiHidden/>
    <w:rsid w:val="00E146F0"/>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C410C"/>
    <w:rPr>
      <w:sz w:val="16"/>
      <w:szCs w:val="16"/>
    </w:rPr>
  </w:style>
  <w:style w:type="paragraph" w:styleId="Textocomentario">
    <w:name w:val="annotation text"/>
    <w:basedOn w:val="Normal"/>
    <w:link w:val="TextocomentarioCar"/>
    <w:uiPriority w:val="99"/>
    <w:semiHidden/>
    <w:unhideWhenUsed/>
    <w:rsid w:val="00CC410C"/>
    <w:rPr>
      <w:sz w:val="20"/>
      <w:szCs w:val="20"/>
    </w:rPr>
  </w:style>
  <w:style w:type="character" w:customStyle="1" w:styleId="TextocomentarioCar">
    <w:name w:val="Texto comentario Car"/>
    <w:basedOn w:val="Fuentedeprrafopredeter"/>
    <w:link w:val="Textocomentario"/>
    <w:uiPriority w:val="99"/>
    <w:semiHidden/>
    <w:rsid w:val="00CC410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C410C"/>
    <w:rPr>
      <w:b/>
      <w:bCs/>
    </w:rPr>
  </w:style>
  <w:style w:type="character" w:customStyle="1" w:styleId="AsuntodelcomentarioCar">
    <w:name w:val="Asunto del comentario Car"/>
    <w:basedOn w:val="TextocomentarioCar"/>
    <w:link w:val="Asuntodelcomentario"/>
    <w:uiPriority w:val="99"/>
    <w:semiHidden/>
    <w:rsid w:val="00CC410C"/>
    <w:rPr>
      <w:rFonts w:ascii="Times New Roman" w:eastAsia="Times New Roman" w:hAnsi="Times New Roman" w:cs="Times New Roman"/>
      <w:b/>
      <w:bCs/>
      <w:sz w:val="20"/>
      <w:szCs w:val="20"/>
      <w:lang w:eastAsia="es-MX"/>
    </w:rPr>
  </w:style>
  <w:style w:type="character" w:customStyle="1" w:styleId="normaltextrun">
    <w:name w:val="normaltextrun"/>
    <w:basedOn w:val="Fuentedeprrafopredeter"/>
    <w:rsid w:val="00435999"/>
  </w:style>
  <w:style w:type="character" w:customStyle="1" w:styleId="eop">
    <w:name w:val="eop"/>
    <w:basedOn w:val="Fuentedeprrafopredeter"/>
    <w:rsid w:val="00435999"/>
  </w:style>
  <w:style w:type="character" w:styleId="Hipervnculo">
    <w:name w:val="Hyperlink"/>
    <w:basedOn w:val="Fuentedeprrafopredeter"/>
    <w:uiPriority w:val="99"/>
    <w:unhideWhenUsed/>
    <w:rsid w:val="005F65BA"/>
    <w:rPr>
      <w:color w:val="0563C1" w:themeColor="hyperlink"/>
      <w:u w:val="single"/>
    </w:rPr>
  </w:style>
  <w:style w:type="character" w:customStyle="1" w:styleId="Hipervnculo1">
    <w:name w:val="Hipervínculo1"/>
    <w:basedOn w:val="Fuentedeprrafopredeter"/>
    <w:uiPriority w:val="99"/>
    <w:unhideWhenUsed/>
    <w:rsid w:val="005F65BA"/>
    <w:rPr>
      <w:color w:val="F2F2F2"/>
      <w:u w:val="single"/>
    </w:rPr>
  </w:style>
  <w:style w:type="paragraph" w:customStyle="1" w:styleId="paragraph">
    <w:name w:val="paragraph"/>
    <w:basedOn w:val="Normal"/>
    <w:rsid w:val="004109F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370997">
      <w:bodyDiv w:val="1"/>
      <w:marLeft w:val="0"/>
      <w:marRight w:val="0"/>
      <w:marTop w:val="0"/>
      <w:marBottom w:val="0"/>
      <w:divBdr>
        <w:top w:val="none" w:sz="0" w:space="0" w:color="auto"/>
        <w:left w:val="none" w:sz="0" w:space="0" w:color="auto"/>
        <w:bottom w:val="none" w:sz="0" w:space="0" w:color="auto"/>
        <w:right w:val="none" w:sz="0" w:space="0" w:color="auto"/>
      </w:divBdr>
      <w:divsChild>
        <w:div w:id="1884362991">
          <w:marLeft w:val="0"/>
          <w:marRight w:val="0"/>
          <w:marTop w:val="0"/>
          <w:marBottom w:val="0"/>
          <w:divBdr>
            <w:top w:val="none" w:sz="0" w:space="0" w:color="auto"/>
            <w:left w:val="none" w:sz="0" w:space="0" w:color="auto"/>
            <w:bottom w:val="none" w:sz="0" w:space="0" w:color="auto"/>
            <w:right w:val="none" w:sz="0" w:space="0" w:color="auto"/>
          </w:divBdr>
        </w:div>
      </w:divsChild>
    </w:div>
    <w:div w:id="380521641">
      <w:bodyDiv w:val="1"/>
      <w:marLeft w:val="0"/>
      <w:marRight w:val="0"/>
      <w:marTop w:val="0"/>
      <w:marBottom w:val="0"/>
      <w:divBdr>
        <w:top w:val="none" w:sz="0" w:space="0" w:color="auto"/>
        <w:left w:val="none" w:sz="0" w:space="0" w:color="auto"/>
        <w:bottom w:val="none" w:sz="0" w:space="0" w:color="auto"/>
        <w:right w:val="none" w:sz="0" w:space="0" w:color="auto"/>
      </w:divBdr>
      <w:divsChild>
        <w:div w:id="1752896554">
          <w:marLeft w:val="0"/>
          <w:marRight w:val="0"/>
          <w:marTop w:val="0"/>
          <w:marBottom w:val="0"/>
          <w:divBdr>
            <w:top w:val="none" w:sz="0" w:space="0" w:color="auto"/>
            <w:left w:val="none" w:sz="0" w:space="0" w:color="auto"/>
            <w:bottom w:val="none" w:sz="0" w:space="0" w:color="auto"/>
            <w:right w:val="none" w:sz="0" w:space="0" w:color="auto"/>
          </w:divBdr>
        </w:div>
      </w:divsChild>
    </w:div>
    <w:div w:id="682053784">
      <w:bodyDiv w:val="1"/>
      <w:marLeft w:val="0"/>
      <w:marRight w:val="0"/>
      <w:marTop w:val="0"/>
      <w:marBottom w:val="0"/>
      <w:divBdr>
        <w:top w:val="none" w:sz="0" w:space="0" w:color="auto"/>
        <w:left w:val="none" w:sz="0" w:space="0" w:color="auto"/>
        <w:bottom w:val="none" w:sz="0" w:space="0" w:color="auto"/>
        <w:right w:val="none" w:sz="0" w:space="0" w:color="auto"/>
      </w:divBdr>
      <w:divsChild>
        <w:div w:id="953904694">
          <w:marLeft w:val="0"/>
          <w:marRight w:val="0"/>
          <w:marTop w:val="0"/>
          <w:marBottom w:val="0"/>
          <w:divBdr>
            <w:top w:val="none" w:sz="0" w:space="0" w:color="auto"/>
            <w:left w:val="none" w:sz="0" w:space="0" w:color="auto"/>
            <w:bottom w:val="none" w:sz="0" w:space="0" w:color="auto"/>
            <w:right w:val="none" w:sz="0" w:space="0" w:color="auto"/>
          </w:divBdr>
        </w:div>
      </w:divsChild>
    </w:div>
    <w:div w:id="782460076">
      <w:bodyDiv w:val="1"/>
      <w:marLeft w:val="0"/>
      <w:marRight w:val="0"/>
      <w:marTop w:val="0"/>
      <w:marBottom w:val="0"/>
      <w:divBdr>
        <w:top w:val="none" w:sz="0" w:space="0" w:color="auto"/>
        <w:left w:val="none" w:sz="0" w:space="0" w:color="auto"/>
        <w:bottom w:val="none" w:sz="0" w:space="0" w:color="auto"/>
        <w:right w:val="none" w:sz="0" w:space="0" w:color="auto"/>
      </w:divBdr>
    </w:div>
    <w:div w:id="1474521055">
      <w:bodyDiv w:val="1"/>
      <w:marLeft w:val="0"/>
      <w:marRight w:val="0"/>
      <w:marTop w:val="0"/>
      <w:marBottom w:val="0"/>
      <w:divBdr>
        <w:top w:val="none" w:sz="0" w:space="0" w:color="auto"/>
        <w:left w:val="none" w:sz="0" w:space="0" w:color="auto"/>
        <w:bottom w:val="none" w:sz="0" w:space="0" w:color="auto"/>
        <w:right w:val="none" w:sz="0" w:space="0" w:color="auto"/>
      </w:divBdr>
      <w:divsChild>
        <w:div w:id="1099371791">
          <w:marLeft w:val="0"/>
          <w:marRight w:val="0"/>
          <w:marTop w:val="0"/>
          <w:marBottom w:val="0"/>
          <w:divBdr>
            <w:top w:val="none" w:sz="0" w:space="0" w:color="auto"/>
            <w:left w:val="none" w:sz="0" w:space="0" w:color="auto"/>
            <w:bottom w:val="none" w:sz="0" w:space="0" w:color="auto"/>
            <w:right w:val="none" w:sz="0" w:space="0" w:color="auto"/>
          </w:divBdr>
        </w:div>
        <w:div w:id="1536431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 TargetMode="External"/><Relationship Id="rId1" Type="http://schemas.openxmlformats.org/officeDocument/2006/relationships/hyperlink" Target="https://colombiacompra.gov.co/sites/cce_public/files/cce_documents/cce_guia_capacidad_residu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E7B2C-A5BA-420F-974F-9DF1DFA92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E4BBB-3611-4327-AD61-C340E242933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C27CC15-C910-4BE0-9822-2DB07477A7C1}">
  <ds:schemaRefs>
    <ds:schemaRef ds:uri="http://schemas.microsoft.com/sharepoint/v3/contenttype/forms"/>
  </ds:schemaRefs>
</ds:datastoreItem>
</file>

<file path=customXml/itemProps4.xml><?xml version="1.0" encoding="utf-8"?>
<ds:datastoreItem xmlns:ds="http://schemas.openxmlformats.org/officeDocument/2006/customXml" ds:itemID="{EE0E2F89-250A-4FB2-A96C-B022B93DE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3836</Words>
  <Characters>21100</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7</cp:revision>
  <dcterms:created xsi:type="dcterms:W3CDTF">2022-04-22T17:00:00Z</dcterms:created>
  <dcterms:modified xsi:type="dcterms:W3CDTF">2022-05-25T16:18:00Z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