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CE41C" w14:textId="77777777" w:rsidR="00D17400" w:rsidRPr="003376DC" w:rsidRDefault="00D17400" w:rsidP="005A1C97">
      <w:pPr>
        <w:tabs>
          <w:tab w:val="left" w:pos="426"/>
        </w:tabs>
        <w:spacing w:line="240" w:lineRule="auto"/>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MIPYMES – Decreto 1860 de 2021 – Artículo 5 – Convocatorias limitadas territorialmente – Vigencia </w:t>
      </w:r>
    </w:p>
    <w:p w14:paraId="77C3F3D2"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145536BA" w14:textId="7D5939A9"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 categoría que, como es sabido, incluye los decretos reglamentarios– dejan de ser obligatorios o decaen “Cuando desaparezcan sus fundamentos de hecho o de derecho”.</w:t>
      </w:r>
    </w:p>
    <w:p w14:paraId="2B06ECA4" w14:textId="3186CB41"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Lo anterior quedó reafirmado con la expedición del Decreto 1860 de 24 de diciembre de 2021, reglamento que modificó, entre otros aspectos, la Subsección</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5</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de la Secci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1 del Cap</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2 del 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1 de la Parte 2 del Libro 2 y los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 xml:space="preserve">culos 2.2.1.2.4.2.2. y 2.2.1.2.4.2.3. y siguientes del Decreto 1082 de 2015, </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nico Reglamentario del Sector Administrativo de Planeaci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Nacional, modificaci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que entrar</w:t>
      </w:r>
      <w:r w:rsidRPr="003376DC">
        <w:rPr>
          <w:rFonts w:ascii="Century Gothic" w:eastAsia="Calibri" w:hAnsi="Century Gothic" w:cs="Century Gothic"/>
          <w:color w:val="000000" w:themeColor="text1"/>
          <w:lang w:val="es-ES" w:eastAsia="es-ES"/>
        </w:rPr>
        <w:t>á</w:t>
      </w:r>
      <w:r w:rsidRPr="003376DC">
        <w:rPr>
          <w:rFonts w:ascii="Century Gothic" w:eastAsia="Calibri" w:hAnsi="Century Gothic" w:cs="Arial"/>
          <w:color w:val="000000" w:themeColor="text1"/>
          <w:lang w:val="es-ES" w:eastAsia="es-ES"/>
        </w:rPr>
        <w:t xml:space="preserve"> a regir a partir del 24 de marzo de 2022, seg</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 lo dispone el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culo 8 de la nueva norma reglamentaria de las convocatorias limitadas a las mipymes que sometió la vigencia de los cambios al transcurso del periodo de 3 meses siguientes a la expedición del decreto.</w:t>
      </w:r>
    </w:p>
    <w:p w14:paraId="1CB6E3FB"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61CD17F4" w14:textId="6DE49A7E" w:rsidR="00D17400" w:rsidRPr="003376DC" w:rsidRDefault="00D17400" w:rsidP="005A1C97">
      <w:pPr>
        <w:tabs>
          <w:tab w:val="left" w:pos="426"/>
        </w:tabs>
        <w:spacing w:line="240" w:lineRule="auto"/>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CONVOCATORIAS LIMITADAS A MIPYMES NACIONALES – Limitación territorial – Relevancia del domicilio de la Mipymes</w:t>
      </w:r>
    </w:p>
    <w:p w14:paraId="426D7E23" w14:textId="77777777" w:rsidR="00D17400" w:rsidRPr="003376DC" w:rsidRDefault="00D17400" w:rsidP="005A1C97">
      <w:pPr>
        <w:tabs>
          <w:tab w:val="left" w:pos="426"/>
        </w:tabs>
        <w:spacing w:line="240" w:lineRule="auto"/>
        <w:jc w:val="both"/>
        <w:rPr>
          <w:rFonts w:ascii="Century Gothic" w:eastAsia="Calibri" w:hAnsi="Century Gothic" w:cs="Arial"/>
          <w:color w:val="000000" w:themeColor="text1"/>
          <w:lang w:val="es-ES" w:eastAsia="es-ES"/>
        </w:rPr>
      </w:pPr>
    </w:p>
    <w:p w14:paraId="62D42867" w14:textId="77777777" w:rsidR="00D17400" w:rsidRPr="003376DC" w:rsidRDefault="00D17400" w:rsidP="00D17400">
      <w:pPr>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 xml:space="preserve">Ahora bien,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agencias o establecimientos </w:t>
      </w:r>
      <w:r w:rsidRPr="003376DC">
        <w:rPr>
          <w:rFonts w:ascii="Century Gothic" w:eastAsia="Calibri" w:hAnsi="Century Gothic" w:cs="Arial"/>
          <w:color w:val="000000" w:themeColor="text1"/>
          <w:lang w:val="es-ES" w:eastAsia="es-ES"/>
        </w:rPr>
        <w:lastRenderedPageBreak/>
        <w:t>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3C42A0A3" w14:textId="77777777" w:rsidR="00D17400" w:rsidRPr="003376DC" w:rsidRDefault="00D17400" w:rsidP="00D17400">
      <w:pPr>
        <w:jc w:val="both"/>
        <w:rPr>
          <w:rFonts w:ascii="Century Gothic" w:eastAsia="Calibri" w:hAnsi="Century Gothic" w:cs="Arial"/>
          <w:b/>
          <w:bCs/>
          <w:color w:val="000000" w:themeColor="text1"/>
          <w:lang w:val="es-ES" w:eastAsia="es-ES"/>
        </w:rPr>
      </w:pPr>
    </w:p>
    <w:p w14:paraId="7D0204C2" w14:textId="77777777" w:rsidR="00D17400" w:rsidRPr="003376DC" w:rsidRDefault="00D17400" w:rsidP="00D17400">
      <w:pPr>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CONVOCATORIAS LIMITADAS A MIPYMES NACIONALES – Limitación territorial – Tiempo mínimo de constitución </w:t>
      </w:r>
    </w:p>
    <w:p w14:paraId="59B29B5D" w14:textId="77777777" w:rsidR="00D17400" w:rsidRPr="00D17400" w:rsidRDefault="00D17400" w:rsidP="00D17400">
      <w:pPr>
        <w:jc w:val="both"/>
        <w:rPr>
          <w:rFonts w:ascii="Century Gothic" w:eastAsia="Calibri" w:hAnsi="Century Gothic" w:cs="Arial"/>
          <w:color w:val="000000" w:themeColor="text1"/>
          <w:lang w:val="es-ES" w:eastAsia="es-ES"/>
        </w:rPr>
      </w:pPr>
    </w:p>
    <w:p w14:paraId="0D9ED61B" w14:textId="77777777" w:rsidR="00AA3576" w:rsidRDefault="00D17400" w:rsidP="00D17400">
      <w:pPr>
        <w:jc w:val="both"/>
        <w:rPr>
          <w:rFonts w:ascii="Century Gothic" w:eastAsia="Calibri" w:hAnsi="Century Gothic" w:cs="Arial"/>
          <w:color w:val="000000" w:themeColor="text1"/>
          <w:lang w:val="es-ES" w:eastAsia="es-ES"/>
        </w:rPr>
      </w:pPr>
      <w:r w:rsidRPr="00D17400">
        <w:rPr>
          <w:rFonts w:ascii="Century Gothic" w:eastAsia="Calibri" w:hAnsi="Century Gothic" w:cs="Arial"/>
          <w:color w:val="000000" w:themeColor="text1"/>
          <w:lang w:val="es-ES" w:eastAsia="es-ES"/>
        </w:rPr>
        <w:t>En atención a la consulta remitida, es imperioso señalar conforme lo expuesto en el numeral 2.3 del presente concepto, el artículo 2.2.1.2.4.2.2. para que proceda la limitación que el valor del proceso de contratación sea “menor a ciento veinticinco mil dólares de los Estados Unidos de América”; que al menos dos (2) Mipymes colombianas presenten a la entidad la solicitud de limitar el proceso contractual; y que dicha solicitud se haga por lo menos un día (1) hábil antes de la expedición del acto administrativo de apertura del Proceso de Contratación. Además, la norma señala que, una vez concurran todos los requisitos señalados anteriormente y siempre que cuenten con mínimo un (1) año de existencia. Así las cosas, es claro que el término de un (1) año que exige la norma se predica respecto del tiempo mínimo de constitución que debe tener la Mipyme interesada en participar en el Proceso de Contratación, no obstante, dicho término de no se exige respecto del tiempo en que el domicilio de la Mipyme se encuentra en un determinado lugar.</w:t>
      </w:r>
    </w:p>
    <w:p w14:paraId="0ACE1B9F" w14:textId="77777777" w:rsidR="00AA3576" w:rsidRDefault="00AA3576" w:rsidP="00D17400">
      <w:pPr>
        <w:jc w:val="both"/>
        <w:rPr>
          <w:rFonts w:ascii="Century Gothic" w:eastAsia="Calibri" w:hAnsi="Century Gothic" w:cs="Arial"/>
          <w:color w:val="000000" w:themeColor="text1"/>
          <w:lang w:val="es-ES" w:eastAsia="es-ES"/>
        </w:rPr>
      </w:pPr>
    </w:p>
    <w:p w14:paraId="23AEB216" w14:textId="77777777" w:rsidR="00AA3576" w:rsidRPr="00AA3576" w:rsidRDefault="00AA3576" w:rsidP="00AA3576">
      <w:pPr>
        <w:jc w:val="both"/>
        <w:rPr>
          <w:rFonts w:ascii="Century Gothic" w:eastAsia="Geomanist Light" w:hAnsi="Century Gothic" w:cs="Arial"/>
          <w:color w:val="000000" w:themeColor="text1"/>
        </w:rPr>
      </w:pPr>
      <w:r w:rsidRPr="00AA3576">
        <w:rPr>
          <w:rFonts w:ascii="Century Gothic" w:eastAsia="Geomanist Light" w:hAnsi="Century Gothic" w:cs="Arial"/>
          <w:b/>
          <w:bCs/>
          <w:color w:val="000000" w:themeColor="text1"/>
        </w:rPr>
        <w:t>LOTES O SEGMENTOS – Ley 2069 de 2020 – Artículo 33</w:t>
      </w:r>
      <w:r w:rsidRPr="00AA3576">
        <w:rPr>
          <w:rFonts w:ascii="Century Gothic" w:eastAsia="Geomanist Light" w:hAnsi="Century Gothic" w:cs="Arial"/>
          <w:color w:val="000000" w:themeColor="text1"/>
        </w:rPr>
        <w:t> </w:t>
      </w:r>
    </w:p>
    <w:p w14:paraId="7FF2C5F0" w14:textId="77777777" w:rsidR="00AA3576" w:rsidRPr="00AA3576" w:rsidRDefault="00AA3576" w:rsidP="00AA3576">
      <w:pPr>
        <w:jc w:val="both"/>
        <w:rPr>
          <w:rFonts w:ascii="Century Gothic" w:eastAsia="Geomanist Light" w:hAnsi="Century Gothic" w:cs="Arial"/>
          <w:color w:val="000000" w:themeColor="text1"/>
        </w:rPr>
      </w:pPr>
      <w:r w:rsidRPr="00AA3576">
        <w:rPr>
          <w:rFonts w:ascii="Century Gothic" w:eastAsia="Geomanist Light" w:hAnsi="Century Gothic" w:cs="Arial"/>
          <w:color w:val="000000" w:themeColor="text1"/>
        </w:rPr>
        <w:t> </w:t>
      </w:r>
    </w:p>
    <w:p w14:paraId="1FA08120" w14:textId="77777777" w:rsidR="00AA3576" w:rsidRPr="00AA3576" w:rsidRDefault="00AA3576" w:rsidP="00AA3576">
      <w:pPr>
        <w:jc w:val="both"/>
        <w:rPr>
          <w:rFonts w:ascii="Century Gothic" w:eastAsia="Geomanist Light" w:hAnsi="Century Gothic" w:cs="Arial"/>
          <w:color w:val="000000" w:themeColor="text1"/>
        </w:rPr>
      </w:pPr>
      <w:r w:rsidRPr="00AA3576">
        <w:rPr>
          <w:rFonts w:ascii="Century Gothic" w:eastAsia="Geomanist Light" w:hAnsi="Century Gothic" w:cs="Arial"/>
          <w:color w:val="000000" w:themeColor="text1"/>
        </w:rPr>
        <w:lastRenderedPageBreak/>
        <w:t>[…] con la reciente expedición del Decreto 142 del de 2023 se reglamentó la disposición contenida en el numeral 6 del artículo 33 de la Ley 2069 de 2020  Con el fin de cumplir el mandato legal indicado, el artículo 2 del Decreto 0142 de 2023 modificó el artículo 2.2.1.1.1.4.1 del Decreto 1082 de 2015, para instar a las entidades públicas para que, desde la configuración del Plan Anual de Adquisiciones, propendan por planear su contratación de tal manera que promueva el adelantamiento de procesos de contratación por lotes o segmentos, a fin de promover la participación de las Mipymes en los procesos de contratación. En concordancia con lo anterior, el artículo 6 del Decreto 142 de 2023, adicionó el 2.2.1.2.4.2.19 al Decreto 1082 de 2015, ratificando en el reglamento el deber de las entidades estatales de promover la división de procesos de contratación en lotes o segmentos, ya establecido de manera expresa en el numeral 6 del artículo 33 de la Ley 2069 de 2020. </w:t>
      </w:r>
    </w:p>
    <w:p w14:paraId="6B8662B1" w14:textId="77777777" w:rsidR="00AA3576" w:rsidRPr="00AA3576" w:rsidRDefault="00AA3576" w:rsidP="00AA3576">
      <w:pPr>
        <w:jc w:val="both"/>
        <w:rPr>
          <w:rFonts w:ascii="Century Gothic" w:eastAsia="Geomanist Light" w:hAnsi="Century Gothic" w:cs="Arial"/>
          <w:color w:val="000000" w:themeColor="text1"/>
        </w:rPr>
      </w:pPr>
      <w:r w:rsidRPr="00AA3576">
        <w:rPr>
          <w:rFonts w:ascii="Century Gothic" w:eastAsia="Geomanist Light" w:hAnsi="Century Gothic" w:cs="Arial"/>
          <w:color w:val="000000" w:themeColor="text1"/>
        </w:rPr>
        <w:t> </w:t>
      </w:r>
    </w:p>
    <w:p w14:paraId="1D8517BD" w14:textId="77777777" w:rsidR="00AA3576" w:rsidRPr="00AA3576" w:rsidRDefault="00AA3576" w:rsidP="00AA3576">
      <w:pPr>
        <w:jc w:val="both"/>
        <w:rPr>
          <w:rFonts w:ascii="Century Gothic" w:eastAsia="Geomanist Light" w:hAnsi="Century Gothic" w:cs="Arial"/>
          <w:color w:val="000000" w:themeColor="text1"/>
        </w:rPr>
      </w:pPr>
      <w:r w:rsidRPr="00AA3576">
        <w:rPr>
          <w:rFonts w:ascii="Century Gothic" w:eastAsia="Geomanist Light" w:hAnsi="Century Gothic" w:cs="Arial"/>
          <w:b/>
          <w:bCs/>
          <w:color w:val="000000" w:themeColor="text1"/>
        </w:rPr>
        <w:t>LOTES O SEGMENTOS – Decreto 142 de 2023 – Artículo – 2.2.1.2.4.2.19</w:t>
      </w:r>
      <w:r w:rsidRPr="00AA3576">
        <w:rPr>
          <w:rFonts w:ascii="Century Gothic" w:eastAsia="Geomanist Light" w:hAnsi="Century Gothic" w:cs="Arial"/>
          <w:color w:val="000000" w:themeColor="text1"/>
        </w:rPr>
        <w:t> </w:t>
      </w:r>
    </w:p>
    <w:p w14:paraId="15EC75D2" w14:textId="77777777" w:rsidR="00AA3576" w:rsidRPr="00AA3576" w:rsidRDefault="00AA3576" w:rsidP="00AA3576">
      <w:pPr>
        <w:jc w:val="both"/>
        <w:rPr>
          <w:rFonts w:ascii="Century Gothic" w:eastAsia="Geomanist Light" w:hAnsi="Century Gothic" w:cs="Arial"/>
          <w:color w:val="000000" w:themeColor="text1"/>
        </w:rPr>
      </w:pPr>
      <w:r w:rsidRPr="00AA3576">
        <w:rPr>
          <w:rFonts w:ascii="Century Gothic" w:eastAsia="Geomanist Light" w:hAnsi="Century Gothic" w:cs="Arial"/>
          <w:color w:val="000000" w:themeColor="text1"/>
        </w:rPr>
        <w:t> </w:t>
      </w:r>
    </w:p>
    <w:p w14:paraId="2B70A9B2" w14:textId="77777777" w:rsidR="00AA3576" w:rsidRPr="00AA3576" w:rsidRDefault="00AA3576" w:rsidP="00AA3576">
      <w:pPr>
        <w:jc w:val="both"/>
        <w:rPr>
          <w:rFonts w:ascii="Century Gothic" w:eastAsia="Geomanist Light" w:hAnsi="Century Gothic" w:cs="Arial"/>
          <w:color w:val="000000" w:themeColor="text1"/>
        </w:rPr>
      </w:pPr>
      <w:r w:rsidRPr="00AA3576">
        <w:rPr>
          <w:rFonts w:ascii="Century Gothic" w:eastAsia="Geomanist Light" w:hAnsi="Century Gothic" w:cs="Arial"/>
          <w:color w:val="000000" w:themeColor="text1"/>
        </w:rPr>
        <w:t>[…] el primer inciso de la norma establece los criterios que pueden tener en cuenta las entidades públicas para dividir los procesos por lotes o segmentos como lo son: i) el tipo de entregable, ii) el valor del contrato y (iii) el ámbito geográfico de la entrega. Estos criterios se disponen, con el fin de facilitar la participación de las Mipymes en los procesos de contratación. Asimismo, la norma señala que, para dar cumplimiento a lo indicado, las entidades estatales deberán tener en cuenta el análisis del sector económico y de los oferentes en los términos establecidos en el artículo 2.2.1.1.1.6.1 del Decreto 1082 de 2015.  </w:t>
      </w:r>
    </w:p>
    <w:p w14:paraId="1C2AD22E" w14:textId="77777777" w:rsidR="00AA3576" w:rsidRPr="00AA3576" w:rsidRDefault="00AA3576" w:rsidP="00AA3576">
      <w:pPr>
        <w:jc w:val="both"/>
        <w:rPr>
          <w:rFonts w:ascii="Century Gothic" w:eastAsia="Geomanist Light" w:hAnsi="Century Gothic" w:cs="Arial"/>
          <w:color w:val="000000" w:themeColor="text1"/>
        </w:rPr>
      </w:pPr>
      <w:r w:rsidRPr="00AA3576">
        <w:rPr>
          <w:rFonts w:ascii="Century Gothic" w:eastAsia="Geomanist Light" w:hAnsi="Century Gothic" w:cs="Arial"/>
          <w:color w:val="000000" w:themeColor="text1"/>
        </w:rPr>
        <w:t> </w:t>
      </w:r>
    </w:p>
    <w:p w14:paraId="088191B2" w14:textId="77777777" w:rsidR="00AA3576" w:rsidRDefault="00AA3576" w:rsidP="00AA3576">
      <w:pPr>
        <w:spacing w:after="0" w:line="240" w:lineRule="auto"/>
        <w:jc w:val="both"/>
        <w:rPr>
          <w:rFonts w:ascii="Century Gothic" w:hAnsi="Century Gothic"/>
          <w:sz w:val="20"/>
          <w:szCs w:val="20"/>
        </w:rPr>
      </w:pPr>
      <w:r w:rsidRPr="00AA3576">
        <w:rPr>
          <w:rFonts w:ascii="Century Gothic" w:eastAsia="Geomanist Light" w:hAnsi="Century Gothic" w:cs="Arial"/>
          <w:color w:val="000000" w:themeColor="text1"/>
        </w:rPr>
        <w:t>Por su parte, el cuarto inciso de la disposición, habilita a las entidades públicas para que incluyan en los pliegos de condiciones mecanismos y reglas que limiten el número de lotes que pueden ser adjudicados a un mismo oferente. En relación con este aspecto,</w:t>
      </w:r>
      <w:r>
        <w:rPr>
          <w:rFonts w:ascii="Century Gothic" w:eastAsia="Geomanist Light" w:hAnsi="Century Gothic" w:cs="Arial"/>
          <w:color w:val="000000" w:themeColor="text1"/>
        </w:rPr>
        <w:t xml:space="preserve"> </w:t>
      </w:r>
      <w:r w:rsidRPr="008D0226">
        <w:rPr>
          <w:rFonts w:ascii="Century Gothic" w:hAnsi="Century Gothic"/>
          <w:sz w:val="20"/>
          <w:szCs w:val="20"/>
        </w:rPr>
        <w:t>seconsidera que, como la norma no determina que los mecanismos y reglas que pueden establecer las entidades para limitar el número de lotes a adjudicarse a un mismo oferente, solo proceda respecto de los lotes o segmentos de un mismo proceso de contratación, la restricción puede incluirse en relación con todos los lotes o segmentos de los diferentes procesos de selección que adelante la entidad estatal.</w:t>
      </w:r>
    </w:p>
    <w:p w14:paraId="6DBF1C93" w14:textId="77777777" w:rsidR="00AA3576" w:rsidRDefault="00AA3576" w:rsidP="00AA3576">
      <w:pPr>
        <w:spacing w:after="0" w:line="240" w:lineRule="auto"/>
        <w:jc w:val="both"/>
        <w:rPr>
          <w:rFonts w:ascii="Century Gothic" w:hAnsi="Century Gothic"/>
          <w:sz w:val="20"/>
          <w:szCs w:val="20"/>
        </w:rPr>
      </w:pPr>
      <w:r>
        <w:rPr>
          <w:rFonts w:ascii="Century Gothic" w:hAnsi="Century Gothic"/>
          <w:sz w:val="20"/>
          <w:szCs w:val="20"/>
        </w:rPr>
        <w:t>[…]</w:t>
      </w:r>
    </w:p>
    <w:p w14:paraId="57B8151C" w14:textId="77777777" w:rsidR="00AA3576" w:rsidRPr="008D0226" w:rsidRDefault="00AA3576" w:rsidP="00AA3576">
      <w:pPr>
        <w:spacing w:after="0" w:line="240" w:lineRule="auto"/>
        <w:jc w:val="both"/>
        <w:rPr>
          <w:rFonts w:ascii="Century Gothic" w:hAnsi="Century Gothic"/>
          <w:sz w:val="20"/>
          <w:szCs w:val="20"/>
        </w:rPr>
      </w:pPr>
      <w:r>
        <w:rPr>
          <w:rFonts w:ascii="Century Gothic" w:hAnsi="Century Gothic"/>
          <w:sz w:val="20"/>
          <w:szCs w:val="20"/>
        </w:rPr>
        <w:lastRenderedPageBreak/>
        <w:t>[…]</w:t>
      </w:r>
      <w:r w:rsidRPr="008D0226">
        <w:rPr>
          <w:rFonts w:ascii="Century Gothic" w:hAnsi="Century Gothic"/>
        </w:rPr>
        <w:t>le corresponde a la entidad estatal en ejercicio de su autonomía y discrecionalidad que le confiere el artículo 2.2.1.2.4.2.19 del Decreto 1082 de 2015, determinar en los pliegos de condiciones para los procesos estructurados por lotes o segmentos, si un proponente puede resultar adjudicatario en uno o varios de los lotes o segmentos en los que se dividen los distinto procesos de contratación que se encuentra adelantando. Esto supone la posibilidad de que la entidad estatal establezca en el pliego de condiciones reglas y/o causales de rechazo, dirigidas a excluir garantizar a evitar que se concentre la contratación en un único proponente.  Además, el inciso en comento establece que, la decisión de la entidad de no adjudicar un contrato puede obedecer −entre otras razones− a que: i) mediante este mecanismo se pueda restringir la competencia o ii) que la segmentación del mercado pueda conducir a que la ejecución del contrato sea imposible desde el punto de vista técnico o económico.</w:t>
      </w:r>
    </w:p>
    <w:p w14:paraId="31CDF140" w14:textId="4C0EA79E" w:rsidR="00AA3576" w:rsidRPr="00AA3576" w:rsidRDefault="00AA3576" w:rsidP="00AA3576">
      <w:pPr>
        <w:jc w:val="both"/>
        <w:rPr>
          <w:rFonts w:ascii="Century Gothic" w:eastAsia="Geomanist Light" w:hAnsi="Century Gothic" w:cs="Arial"/>
          <w:color w:val="000000" w:themeColor="text1"/>
        </w:rPr>
      </w:pPr>
    </w:p>
    <w:p w14:paraId="2C7914B4" w14:textId="218873C5" w:rsidR="00D17400" w:rsidRDefault="00D17400" w:rsidP="00D17400">
      <w:pPr>
        <w:jc w:val="both"/>
        <w:rPr>
          <w:rFonts w:ascii="Century Gothic" w:eastAsia="Geomanist Light" w:hAnsi="Century Gothic" w:cs="Arial"/>
          <w:color w:val="000000" w:themeColor="text1"/>
          <w:lang w:val="es-MX"/>
        </w:rPr>
      </w:pPr>
      <w:r>
        <w:rPr>
          <w:rFonts w:ascii="Century Gothic" w:eastAsia="Geomanist Light" w:hAnsi="Century Gothic" w:cs="Arial"/>
          <w:color w:val="000000" w:themeColor="text1"/>
          <w:lang w:val="es-MX"/>
        </w:rPr>
        <w:br w:type="page"/>
      </w:r>
    </w:p>
    <w:p w14:paraId="6700D6DA" w14:textId="1AA7A531"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lastRenderedPageBreak/>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212A22B2" w:rsidR="00871B59" w:rsidRPr="00F919E7" w:rsidRDefault="00871B59" w:rsidP="00871B59">
      <w:pPr>
        <w:spacing w:after="0" w:line="240" w:lineRule="auto"/>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Señor</w:t>
      </w:r>
      <w:r w:rsidR="0037046D">
        <w:rPr>
          <w:rFonts w:ascii="Century Gothic" w:eastAsia="Calibri" w:hAnsi="Century Gothic" w:cs="Arial"/>
          <w:bCs/>
          <w:lang w:val="es-MX" w:eastAsia="es-ES_tradnl"/>
        </w:rPr>
        <w:t>a</w:t>
      </w:r>
    </w:p>
    <w:p w14:paraId="18BD7358" w14:textId="33DE6AD4" w:rsidR="007700D3" w:rsidRPr="007700D3" w:rsidRDefault="00AA3576" w:rsidP="00871B59">
      <w:pPr>
        <w:spacing w:after="0" w:line="240" w:lineRule="auto"/>
        <w:rPr>
          <w:rFonts w:ascii="Century Gothic" w:eastAsia="Calibri" w:hAnsi="Century Gothic" w:cs="Arial"/>
          <w:bCs/>
          <w:u w:val="single"/>
          <w:lang w:eastAsia="es-ES_tradnl"/>
        </w:rPr>
      </w:pPr>
      <w:r w:rsidRPr="00AA3576">
        <w:rPr>
          <w:rFonts w:ascii="Century Gothic" w:eastAsia="Calibri" w:hAnsi="Century Gothic" w:cs="Arial"/>
          <w:b/>
          <w:lang w:eastAsia="es-ES_tradnl"/>
        </w:rPr>
        <w:t>Lady Esperanza Carreño Sabogal</w:t>
      </w:r>
      <w:r w:rsidRPr="00AA3576">
        <w:rPr>
          <w:rFonts w:ascii="Century Gothic" w:eastAsia="Calibri" w:hAnsi="Century Gothic" w:cs="Arial"/>
          <w:b/>
          <w:lang w:eastAsia="es-ES_tradnl"/>
        </w:rPr>
        <w:cr/>
      </w:r>
      <w:r w:rsidRPr="00AA3576">
        <w:rPr>
          <w:rFonts w:ascii="Century Gothic" w:eastAsia="Calibri" w:hAnsi="Century Gothic" w:cs="Arial"/>
          <w:bCs/>
          <w:u w:val="single"/>
          <w:lang w:eastAsia="es-ES_tradnl"/>
        </w:rPr>
        <w:t>lady22072@gmail.com</w:t>
      </w:r>
    </w:p>
    <w:p w14:paraId="5ACFEA17" w14:textId="30A4F903" w:rsidR="00871B59" w:rsidRPr="00F919E7" w:rsidRDefault="00AA3576" w:rsidP="00871B59">
      <w:pPr>
        <w:spacing w:after="0" w:line="240" w:lineRule="auto"/>
        <w:rPr>
          <w:rFonts w:ascii="Century Gothic" w:eastAsia="Calibri" w:hAnsi="Century Gothic" w:cs="Arial"/>
          <w:bCs/>
          <w:lang w:val="es-MX" w:eastAsia="es-ES_tradnl"/>
        </w:rPr>
      </w:pPr>
      <w:r>
        <w:rPr>
          <w:rFonts w:ascii="Century Gothic" w:eastAsia="Calibri" w:hAnsi="Century Gothic" w:cs="Arial"/>
          <w:bCs/>
          <w:lang w:val="es-MX" w:eastAsia="es-ES_tradnl"/>
        </w:rPr>
        <w:t>Tunja</w:t>
      </w:r>
      <w:r w:rsidR="0037046D">
        <w:rPr>
          <w:rFonts w:ascii="Century Gothic" w:eastAsia="Calibri" w:hAnsi="Century Gothic" w:cs="Arial"/>
          <w:bCs/>
          <w:lang w:val="es-MX" w:eastAsia="es-ES_tradnl"/>
        </w:rPr>
        <w:t xml:space="preserve">, </w:t>
      </w:r>
      <w:r>
        <w:rPr>
          <w:rFonts w:ascii="Century Gothic" w:eastAsia="Calibri" w:hAnsi="Century Gothic" w:cs="Arial"/>
          <w:bCs/>
          <w:lang w:val="es-MX" w:eastAsia="es-ES_tradnl"/>
        </w:rPr>
        <w:t>Boyacá</w:t>
      </w:r>
      <w:r w:rsidR="00916160">
        <w:rPr>
          <w:rFonts w:ascii="Century Gothic" w:eastAsia="Calibri" w:hAnsi="Century Gothic" w:cs="Arial"/>
          <w:bCs/>
          <w:lang w:val="es-MX" w:eastAsia="es-ES_tradnl"/>
        </w:rPr>
        <w:t xml:space="preserve">. </w:t>
      </w:r>
    </w:p>
    <w:p w14:paraId="75545CBA" w14:textId="77777777" w:rsidR="00871B59" w:rsidRDefault="00871B59" w:rsidP="00871B59">
      <w:pPr>
        <w:spacing w:after="0" w:line="240" w:lineRule="auto"/>
        <w:rPr>
          <w:rFonts w:ascii="Century Gothic" w:eastAsia="Calibri" w:hAnsi="Century Gothic" w:cs="Arial"/>
          <w:b/>
          <w:bCs/>
          <w:color w:val="000000"/>
          <w:lang w:val="es-ES_tradnl" w:eastAsia="es-ES_tradnl"/>
        </w:rPr>
      </w:pPr>
    </w:p>
    <w:p w14:paraId="516F9483" w14:textId="30D1731C" w:rsidR="00B7675C" w:rsidRPr="00F919E7" w:rsidRDefault="00B7675C" w:rsidP="00B7675C">
      <w:pPr>
        <w:spacing w:after="0" w:line="240" w:lineRule="auto"/>
        <w:jc w:val="right"/>
        <w:rPr>
          <w:rFonts w:ascii="Century Gothic" w:eastAsia="Calibri" w:hAnsi="Century Gothic" w:cs="Arial"/>
          <w:b/>
          <w:bCs/>
          <w:color w:val="000000"/>
          <w:lang w:val="es-ES_tradnl" w:eastAsia="es-ES_tradnl"/>
        </w:rPr>
      </w:pPr>
      <w:r w:rsidRPr="00B7675C">
        <w:rPr>
          <w:rFonts w:ascii="Century Gothic" w:eastAsia="Calibri" w:hAnsi="Century Gothic" w:cs="Arial"/>
          <w:b/>
          <w:bCs/>
          <w:color w:val="000000"/>
          <w:lang w:val="es-ES_tradnl" w:eastAsia="es-ES_tradnl"/>
        </w:rPr>
        <w:drawing>
          <wp:inline distT="0" distB="0" distL="0" distR="0" wp14:anchorId="6E39D987" wp14:editId="3C5B0083">
            <wp:extent cx="3368332" cy="1051651"/>
            <wp:effectExtent l="0" t="0" r="3810" b="0"/>
            <wp:docPr id="4088903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90302" name=""/>
                    <pic:cNvPicPr/>
                  </pic:nvPicPr>
                  <pic:blipFill>
                    <a:blip r:embed="rId11"/>
                    <a:stretch>
                      <a:fillRect/>
                    </a:stretch>
                  </pic:blipFill>
                  <pic:spPr>
                    <a:xfrm>
                      <a:off x="0" y="0"/>
                      <a:ext cx="3368332" cy="1051651"/>
                    </a:xfrm>
                    <a:prstGeom prst="rect">
                      <a:avLst/>
                    </a:prstGeom>
                  </pic:spPr>
                </pic:pic>
              </a:graphicData>
            </a:graphic>
          </wp:inline>
        </w:drawing>
      </w:r>
    </w:p>
    <w:p w14:paraId="40764CBF"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71B59" w:rsidRPr="00F919E7" w14:paraId="6AC1791A" w14:textId="77777777" w:rsidTr="005A1C9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242" w:type="dxa"/>
          </w:tcPr>
          <w:p w14:paraId="48F499EA" w14:textId="40916FD4" w:rsidR="00871B59" w:rsidRPr="005A1C97" w:rsidRDefault="00871B59" w:rsidP="002607A7">
            <w:pPr>
              <w:jc w:val="both"/>
              <w:rPr>
                <w:rFonts w:ascii="Century Gothic" w:eastAsia="Calibri" w:hAnsi="Century Gothic" w:cs="Arial"/>
                <w:b/>
                <w:lang w:val="es-MX" w:eastAsia="es-ES_tradnl"/>
              </w:rPr>
            </w:pPr>
            <w:r w:rsidRPr="005A1C97">
              <w:rPr>
                <w:rFonts w:ascii="Century Gothic" w:eastAsia="Calibri" w:hAnsi="Century Gothic" w:cs="Arial"/>
                <w:b/>
                <w:lang w:val="es-MX" w:eastAsia="es-ES_tradnl"/>
              </w:rPr>
              <w:t xml:space="preserve">Concepto C- </w:t>
            </w:r>
            <w:r w:rsidR="00AA3576">
              <w:rPr>
                <w:rFonts w:ascii="Century Gothic" w:eastAsia="Calibri" w:hAnsi="Century Gothic" w:cs="Arial"/>
                <w:b/>
                <w:lang w:val="es-MX" w:eastAsia="es-ES_tradnl"/>
              </w:rPr>
              <w:t>221</w:t>
            </w:r>
            <w:r w:rsidRPr="005A1C97">
              <w:rPr>
                <w:rFonts w:ascii="Century Gothic" w:eastAsia="Calibri" w:hAnsi="Century Gothic" w:cs="Arial"/>
                <w:b/>
                <w:lang w:val="es-MX" w:eastAsia="es-ES_tradnl"/>
              </w:rPr>
              <w:t xml:space="preserve"> de 2024</w:t>
            </w:r>
          </w:p>
        </w:tc>
      </w:tr>
      <w:tr w:rsidR="00916160" w:rsidRPr="00F919E7" w14:paraId="0DD246A7" w14:textId="77777777" w:rsidTr="005A1C97">
        <w:trPr>
          <w:trHeight w:val="884"/>
        </w:trPr>
        <w:tc>
          <w:tcPr>
            <w:tcW w:w="2689" w:type="dxa"/>
          </w:tcPr>
          <w:p w14:paraId="1B4FC52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242" w:type="dxa"/>
          </w:tcPr>
          <w:p w14:paraId="41F4878D" w14:textId="77777777" w:rsidR="00685FFD" w:rsidRDefault="00AA3576" w:rsidP="00916160">
            <w:pPr>
              <w:spacing w:line="276" w:lineRule="auto"/>
              <w:jc w:val="both"/>
              <w:rPr>
                <w:rFonts w:ascii="Century Gothic" w:eastAsia="Times New Roman" w:hAnsi="Century Gothic" w:cs="Arial"/>
                <w:color w:val="000000"/>
                <w:lang w:eastAsia="es-CO"/>
              </w:rPr>
            </w:pPr>
            <w:r w:rsidRPr="00AA3576">
              <w:rPr>
                <w:rFonts w:ascii="Century Gothic" w:eastAsia="Calibri" w:hAnsi="Century Gothic" w:cs="Arial"/>
                <w:bCs/>
                <w:lang w:val="es-ES_tradnl" w:eastAsia="es-ES_tradnl"/>
              </w:rPr>
              <w:t xml:space="preserve">LOTES O SEGMENTOS – Ley 2069 de 2020 – Artículo 33 / LOTES O SEGMENTOS – Decreto 142 de 2023 – Artículo – </w:t>
            </w:r>
            <w:r w:rsidRPr="00AA3576">
              <w:rPr>
                <w:rFonts w:ascii="Century Gothic" w:eastAsia="Times New Roman" w:hAnsi="Century Gothic" w:cs="Arial"/>
                <w:color w:val="000000"/>
                <w:lang w:eastAsia="es-CO"/>
              </w:rPr>
              <w:t>2.2.1.2.4.2.19. </w:t>
            </w:r>
          </w:p>
          <w:p w14:paraId="7ADD1096" w14:textId="4DF425A7" w:rsidR="00AA3576" w:rsidRPr="00F919E7" w:rsidRDefault="00AA3576" w:rsidP="00916160">
            <w:pPr>
              <w:spacing w:line="276" w:lineRule="auto"/>
              <w:jc w:val="both"/>
              <w:rPr>
                <w:rFonts w:ascii="Century Gothic" w:eastAsia="Calibri" w:hAnsi="Century Gothic" w:cs="Arial"/>
                <w:bCs/>
                <w:lang w:val="es-MX" w:eastAsia="es-ES_tradnl"/>
              </w:rPr>
            </w:pPr>
          </w:p>
        </w:tc>
      </w:tr>
      <w:tr w:rsidR="00916160" w:rsidRPr="00F919E7" w14:paraId="0A874006" w14:textId="77777777" w:rsidTr="005A1C97">
        <w:tc>
          <w:tcPr>
            <w:tcW w:w="2689" w:type="dxa"/>
          </w:tcPr>
          <w:p w14:paraId="56ED2765" w14:textId="2B3DFFBD" w:rsidR="00916160" w:rsidRPr="00F919E7" w:rsidRDefault="00916160" w:rsidP="00916160">
            <w:pPr>
              <w:jc w:val="both"/>
              <w:rPr>
                <w:rFonts w:ascii="Century Gothic" w:eastAsia="Calibri" w:hAnsi="Century Gothic" w:cs="Arial"/>
                <w:bCs/>
                <w:lang w:val="es-MX" w:eastAsia="es-ES_tradnl"/>
              </w:rPr>
            </w:pPr>
          </w:p>
        </w:tc>
        <w:tc>
          <w:tcPr>
            <w:tcW w:w="6242" w:type="dxa"/>
          </w:tcPr>
          <w:p w14:paraId="630D2668" w14:textId="5F361BAC"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5A1C97" w:rsidRPr="005A1C97">
              <w:rPr>
                <w:rFonts w:ascii="Century Gothic" w:eastAsia="Calibri" w:hAnsi="Century Gothic" w:cs="Arial"/>
                <w:bCs/>
                <w:lang w:eastAsia="es-ES_tradnl"/>
              </w:rPr>
              <w:t>P</w:t>
            </w:r>
            <w:r w:rsidR="0037046D">
              <w:rPr>
                <w:rFonts w:ascii="Century Gothic" w:eastAsia="Calibri" w:hAnsi="Century Gothic" w:cs="Arial"/>
                <w:bCs/>
                <w:lang w:eastAsia="es-ES_tradnl"/>
              </w:rPr>
              <w:t>2</w:t>
            </w:r>
            <w:r w:rsidR="0037046D" w:rsidRPr="0037046D">
              <w:rPr>
                <w:rFonts w:ascii="Century Gothic" w:eastAsia="Calibri" w:hAnsi="Century Gothic" w:cs="Arial"/>
                <w:bCs/>
                <w:lang w:eastAsia="es-ES_tradnl"/>
              </w:rPr>
              <w:t>024</w:t>
            </w:r>
            <w:r w:rsidR="00AA3576">
              <w:rPr>
                <w:rFonts w:ascii="Century Gothic" w:eastAsia="Calibri" w:hAnsi="Century Gothic" w:cs="Arial"/>
                <w:bCs/>
                <w:lang w:eastAsia="es-ES_tradnl"/>
              </w:rPr>
              <w:t>0625006447</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3F27EDDD" w14:textId="77777777" w:rsidR="0037046D" w:rsidRDefault="0037046D" w:rsidP="00871B59">
      <w:pPr>
        <w:spacing w:after="0" w:line="276" w:lineRule="auto"/>
        <w:jc w:val="both"/>
        <w:rPr>
          <w:rFonts w:ascii="Century Gothic" w:eastAsia="Calibri" w:hAnsi="Century Gothic" w:cs="Arial"/>
          <w:color w:val="000000"/>
          <w:lang w:val="es-ES_tradnl" w:eastAsia="es-ES_tradnl"/>
        </w:rPr>
      </w:pPr>
    </w:p>
    <w:p w14:paraId="5A8CAE32" w14:textId="6014EC9A"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37046D">
        <w:rPr>
          <w:rFonts w:ascii="Century Gothic" w:eastAsia="Calibri" w:hAnsi="Century Gothic" w:cs="Arial"/>
          <w:bCs/>
          <w:lang w:val="es-MX" w:eastAsia="es-ES_tradnl"/>
        </w:rPr>
        <w:t>a señora</w:t>
      </w:r>
      <w:r w:rsidR="00AA3576">
        <w:rPr>
          <w:rFonts w:ascii="Century Gothic" w:eastAsia="Calibri" w:hAnsi="Century Gothic" w:cs="Arial"/>
          <w:bCs/>
          <w:lang w:val="es-MX" w:eastAsia="es-ES_tradnl"/>
        </w:rPr>
        <w:t xml:space="preserve"> Carreño</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2D6A82CC"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AA3576">
        <w:rPr>
          <w:rFonts w:ascii="Century Gothic" w:eastAsia="Calibri" w:hAnsi="Century Gothic" w:cs="Arial"/>
          <w:lang w:val="es-ES" w:eastAsia="es-ES"/>
        </w:rPr>
        <w:t>25</w:t>
      </w:r>
      <w:r w:rsidR="00BF755C" w:rsidRPr="00E43EBA">
        <w:rPr>
          <w:rFonts w:ascii="Century Gothic" w:eastAsia="Calibri" w:hAnsi="Century Gothic" w:cs="Arial"/>
          <w:lang w:val="es-ES" w:eastAsia="es-ES"/>
        </w:rPr>
        <w:t xml:space="preserve"> </w:t>
      </w:r>
      <w:r w:rsidRPr="00E43EBA">
        <w:rPr>
          <w:rFonts w:ascii="Century Gothic" w:eastAsia="Calibri" w:hAnsi="Century Gothic" w:cs="Arial"/>
          <w:lang w:val="es-ES" w:eastAsia="es-ES"/>
        </w:rPr>
        <w:t xml:space="preserve">de </w:t>
      </w:r>
      <w:r w:rsidR="005A1C97">
        <w:rPr>
          <w:rFonts w:ascii="Century Gothic" w:eastAsia="Calibri" w:hAnsi="Century Gothic" w:cs="Arial"/>
          <w:lang w:val="es-ES" w:eastAsia="es-ES"/>
        </w:rPr>
        <w:t>junio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53EDB2BC" w:rsidR="00871B59" w:rsidRPr="00916160" w:rsidRDefault="00871B59" w:rsidP="00AA3576">
      <w:pPr>
        <w:ind w:left="709" w:right="616"/>
        <w:jc w:val="both"/>
        <w:rPr>
          <w:rFonts w:ascii="Century Gothic" w:eastAsia="Century Gothic" w:hAnsi="Century Gothic" w:cs="Century Gothic"/>
          <w:sz w:val="20"/>
          <w:szCs w:val="20"/>
        </w:rPr>
      </w:pPr>
      <w:bookmarkStart w:id="0" w:name="_Hlk95313578"/>
      <w:r w:rsidRPr="00A83E50">
        <w:rPr>
          <w:rFonts w:ascii="Century Gothic" w:eastAsia="Century Gothic" w:hAnsi="Century Gothic" w:cs="Century Gothic"/>
          <w:sz w:val="20"/>
          <w:szCs w:val="20"/>
          <w:lang w:val="es-ES"/>
        </w:rPr>
        <w:t>“</w:t>
      </w:r>
      <w:bookmarkEnd w:id="0"/>
      <w:r w:rsidR="00AA3576" w:rsidRPr="00AA3576">
        <w:rPr>
          <w:rFonts w:ascii="Century Gothic" w:eastAsia="Century Gothic" w:hAnsi="Century Gothic" w:cs="Century Gothic"/>
          <w:sz w:val="20"/>
          <w:szCs w:val="20"/>
        </w:rPr>
        <w:t>Si una entidad estatal decide realizar un proceso de Licitación Pública cuyo valor</w:t>
      </w:r>
      <w:r w:rsidR="00AA3576">
        <w:rPr>
          <w:rFonts w:ascii="Century Gothic" w:eastAsia="Century Gothic" w:hAnsi="Century Gothic" w:cs="Century Gothic"/>
          <w:sz w:val="20"/>
          <w:szCs w:val="20"/>
        </w:rPr>
        <w:t xml:space="preserve"> </w:t>
      </w:r>
      <w:r w:rsidR="00AA3576" w:rsidRPr="00AA3576">
        <w:rPr>
          <w:rFonts w:ascii="Century Gothic" w:eastAsia="Century Gothic" w:hAnsi="Century Gothic" w:cs="Century Gothic"/>
          <w:sz w:val="20"/>
          <w:szCs w:val="20"/>
        </w:rPr>
        <w:t>total supera el umbral para limitacion a mipymes, sin embargo al realizarse por lotes</w:t>
      </w:r>
      <w:r w:rsidR="00AA3576">
        <w:rPr>
          <w:rFonts w:ascii="Century Gothic" w:eastAsia="Century Gothic" w:hAnsi="Century Gothic" w:cs="Century Gothic"/>
          <w:sz w:val="20"/>
          <w:szCs w:val="20"/>
        </w:rPr>
        <w:t xml:space="preserve"> </w:t>
      </w:r>
      <w:r w:rsidR="00AA3576" w:rsidRPr="00AA3576">
        <w:rPr>
          <w:rFonts w:ascii="Century Gothic" w:eastAsia="Century Gothic" w:hAnsi="Century Gothic" w:cs="Century Gothic"/>
          <w:sz w:val="20"/>
          <w:szCs w:val="20"/>
        </w:rPr>
        <w:t xml:space="preserve">y cada lote tiene como valor, un valor inferior al umbral </w:t>
      </w:r>
      <w:r w:rsidR="00AA3576" w:rsidRPr="00AA3576">
        <w:rPr>
          <w:rFonts w:ascii="Century Gothic" w:eastAsia="Century Gothic" w:hAnsi="Century Gothic" w:cs="Century Gothic"/>
          <w:sz w:val="20"/>
          <w:szCs w:val="20"/>
        </w:rPr>
        <w:lastRenderedPageBreak/>
        <w:t>para la limitación a mipymes,</w:t>
      </w:r>
      <w:r w:rsidR="00AA3576">
        <w:rPr>
          <w:rFonts w:ascii="Century Gothic" w:eastAsia="Century Gothic" w:hAnsi="Century Gothic" w:cs="Century Gothic"/>
          <w:sz w:val="20"/>
          <w:szCs w:val="20"/>
        </w:rPr>
        <w:t xml:space="preserve"> </w:t>
      </w:r>
      <w:r w:rsidR="00AA3576" w:rsidRPr="00AA3576">
        <w:rPr>
          <w:rFonts w:ascii="Century Gothic" w:eastAsia="Century Gothic" w:hAnsi="Century Gothic" w:cs="Century Gothic"/>
          <w:sz w:val="20"/>
          <w:szCs w:val="20"/>
        </w:rPr>
        <w:t>¿es susceptible de limitacion a mipymes el lote que no supere el umbral?:</w:t>
      </w:r>
      <w:r w:rsidR="00AA3576" w:rsidRPr="00AA3576">
        <w:rPr>
          <w:rFonts w:ascii="Century Gothic" w:eastAsia="Century Gothic" w:hAnsi="Century Gothic" w:cs="Century Gothic"/>
          <w:sz w:val="20"/>
          <w:szCs w:val="20"/>
          <w:lang w:val="es-ES"/>
        </w:rPr>
        <w:t xml:space="preserve"> </w:t>
      </w:r>
      <w:r w:rsidR="006E1D19" w:rsidRPr="00A83E50">
        <w:rPr>
          <w:rFonts w:ascii="Century Gothic" w:eastAsia="Century Gothic" w:hAnsi="Century Gothic" w:cs="Century Gothic"/>
          <w:sz w:val="20"/>
          <w:szCs w:val="20"/>
          <w:lang w:val="es-ES"/>
        </w:rPr>
        <w:t>[sic]</w:t>
      </w:r>
      <w:r w:rsidR="0037046D">
        <w:rPr>
          <w:rFonts w:ascii="Century Gothic" w:eastAsia="Century Gothic" w:hAnsi="Century Gothic" w:cs="Century Gothic"/>
          <w:sz w:val="20"/>
          <w:szCs w:val="20"/>
          <w:lang w:val="es-ES"/>
        </w:rPr>
        <w:t>”</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Default="00871B59" w:rsidP="00871B59">
      <w:pPr>
        <w:spacing w:after="0" w:line="276" w:lineRule="auto"/>
        <w:ind w:firstLine="709"/>
        <w:jc w:val="both"/>
        <w:rPr>
          <w:rFonts w:ascii="Century Gothic" w:eastAsia="Calibri" w:hAnsi="Century Gothic" w:cs="Arial"/>
          <w:color w:val="000000"/>
          <w:lang w:val="es-ES" w:eastAsia="es-ES"/>
        </w:rPr>
      </w:pPr>
    </w:p>
    <w:p w14:paraId="6DBDE788" w14:textId="77777777" w:rsidR="00685FFD" w:rsidRPr="00E43EBA" w:rsidRDefault="00685FFD"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Default="00871B59" w:rsidP="00871B59">
      <w:pPr>
        <w:tabs>
          <w:tab w:val="left" w:pos="426"/>
        </w:tabs>
        <w:spacing w:after="0" w:line="276" w:lineRule="auto"/>
        <w:jc w:val="both"/>
        <w:rPr>
          <w:rFonts w:ascii="Century Gothic" w:eastAsia="Century Gothic" w:hAnsi="Century Gothic" w:cs="Century Gothic"/>
          <w:lang w:val="es-ES"/>
        </w:rPr>
      </w:pPr>
    </w:p>
    <w:p w14:paraId="212D4FF9" w14:textId="77777777" w:rsidR="00685FFD" w:rsidRPr="00E43EBA" w:rsidRDefault="00685FFD" w:rsidP="00871B59">
      <w:pPr>
        <w:tabs>
          <w:tab w:val="left" w:pos="426"/>
        </w:tabs>
        <w:spacing w:after="0" w:line="276" w:lineRule="auto"/>
        <w:jc w:val="both"/>
        <w:rPr>
          <w:rFonts w:ascii="Century Gothic" w:eastAsia="Century Gothic" w:hAnsi="Century Gothic" w:cs="Century Gothic"/>
          <w:lang w:val="es-ES"/>
        </w:rPr>
      </w:pPr>
    </w:p>
    <w:p w14:paraId="443840AB" w14:textId="6990887A" w:rsidR="00792884" w:rsidRPr="00792884" w:rsidRDefault="00871B59" w:rsidP="00792884">
      <w:pPr>
        <w:spacing w:after="0" w:line="240" w:lineRule="auto"/>
        <w:ind w:left="709" w:right="709"/>
        <w:jc w:val="both"/>
        <w:rPr>
          <w:rFonts w:ascii="Century Gothic" w:eastAsia="Century Gothic" w:hAnsi="Century Gothic" w:cs="Century Gothic"/>
        </w:rPr>
      </w:pPr>
      <w:r w:rsidRPr="00E43EBA">
        <w:rPr>
          <w:rFonts w:ascii="Century Gothic" w:eastAsia="Century Gothic" w:hAnsi="Century Gothic" w:cs="Century Gothic"/>
        </w:rPr>
        <w:t xml:space="preserve">De acuerdo con el contenido de su solicitud, esta Agencia resolverá </w:t>
      </w:r>
      <w:r w:rsidR="00916160">
        <w:rPr>
          <w:rFonts w:ascii="Century Gothic" w:eastAsia="Century Gothic" w:hAnsi="Century Gothic" w:cs="Century Gothic"/>
        </w:rPr>
        <w:t>los</w:t>
      </w:r>
      <w:r w:rsidRPr="00E43EBA">
        <w:rPr>
          <w:rFonts w:ascii="Century Gothic" w:eastAsia="Century Gothic" w:hAnsi="Century Gothic" w:cs="Century Gothic"/>
        </w:rPr>
        <w:t xml:space="preserve"> siguiente</w:t>
      </w:r>
      <w:r w:rsidR="00916160">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problema</w:t>
      </w:r>
      <w:r w:rsidR="00916160">
        <w:rPr>
          <w:rFonts w:ascii="Century Gothic" w:eastAsia="Century Gothic" w:hAnsi="Century Gothic" w:cs="Century Gothic"/>
        </w:rPr>
        <w:t>s</w:t>
      </w:r>
      <w:r w:rsidRPr="00E43EBA">
        <w:rPr>
          <w:rFonts w:ascii="Century Gothic" w:eastAsia="Century Gothic" w:hAnsi="Century Gothic" w:cs="Century Gothic"/>
        </w:rPr>
        <w:t xml:space="preserve"> jurídico: </w:t>
      </w:r>
      <w:r w:rsidR="00916160" w:rsidRPr="00916160">
        <w:rPr>
          <w:rFonts w:ascii="Century Gothic" w:eastAsia="Century Gothic" w:hAnsi="Century Gothic" w:cs="Century Gothic"/>
        </w:rPr>
        <w:t>¿</w:t>
      </w:r>
      <w:r w:rsidR="00792884">
        <w:rPr>
          <w:rFonts w:ascii="Century Gothic" w:eastAsia="Times New Roman" w:hAnsi="Century Gothic" w:cs="Arial"/>
          <w:color w:val="000000"/>
          <w:lang w:eastAsia="es-CO"/>
        </w:rPr>
        <w:t>C</w:t>
      </w:r>
      <w:r w:rsidR="00792884" w:rsidRPr="00D075D3">
        <w:rPr>
          <w:rFonts w:ascii="Century Gothic" w:eastAsia="Times New Roman" w:hAnsi="Century Gothic" w:cs="Arial"/>
          <w:color w:val="000000"/>
          <w:lang w:eastAsia="es-CO"/>
        </w:rPr>
        <w:t xml:space="preserve">uando el </w:t>
      </w:r>
      <w:r w:rsidR="00792884">
        <w:rPr>
          <w:rFonts w:ascii="Century Gothic" w:eastAsia="Times New Roman" w:hAnsi="Century Gothic" w:cs="Arial"/>
          <w:color w:val="000000"/>
          <w:lang w:eastAsia="es-CO"/>
        </w:rPr>
        <w:t>P</w:t>
      </w:r>
      <w:r w:rsidR="00792884" w:rsidRPr="00D075D3">
        <w:rPr>
          <w:rFonts w:ascii="Century Gothic" w:eastAsia="Times New Roman" w:hAnsi="Century Gothic" w:cs="Arial"/>
          <w:color w:val="000000"/>
          <w:lang w:eastAsia="es-CO"/>
        </w:rPr>
        <w:t xml:space="preserve">roceso </w:t>
      </w:r>
      <w:r w:rsidR="00792884">
        <w:rPr>
          <w:rFonts w:ascii="Century Gothic" w:eastAsia="Times New Roman" w:hAnsi="Century Gothic" w:cs="Arial"/>
          <w:color w:val="000000"/>
          <w:lang w:eastAsia="es-CO"/>
        </w:rPr>
        <w:t xml:space="preserve">de Contratación </w:t>
      </w:r>
      <w:r w:rsidR="00792884" w:rsidRPr="00D075D3">
        <w:rPr>
          <w:rFonts w:ascii="Century Gothic" w:eastAsia="Times New Roman" w:hAnsi="Century Gothic" w:cs="Arial"/>
          <w:color w:val="000000"/>
          <w:lang w:eastAsia="es-CO"/>
        </w:rPr>
        <w:t xml:space="preserve">se adelante por lotes </w:t>
      </w:r>
      <w:r w:rsidR="00792884">
        <w:rPr>
          <w:rFonts w:ascii="Century Gothic" w:eastAsia="Times New Roman" w:hAnsi="Century Gothic" w:cs="Arial"/>
          <w:color w:val="000000"/>
          <w:lang w:eastAsia="es-CO"/>
        </w:rPr>
        <w:t xml:space="preserve">o segmentos </w:t>
      </w:r>
      <w:r w:rsidR="00792884" w:rsidRPr="00D075D3">
        <w:rPr>
          <w:rFonts w:ascii="Century Gothic" w:eastAsia="Times New Roman" w:hAnsi="Century Gothic" w:cs="Arial"/>
          <w:color w:val="000000"/>
          <w:lang w:eastAsia="es-CO"/>
        </w:rPr>
        <w:t xml:space="preserve">el valor de los </w:t>
      </w:r>
      <w:r w:rsidR="00792884" w:rsidRPr="00D075D3">
        <w:rPr>
          <w:rFonts w:ascii="Century Gothic" w:hAnsi="Century Gothic" w:cs="Arial"/>
          <w:color w:val="000000"/>
        </w:rPr>
        <w:t xml:space="preserve">(US$125.000) debe establecerse en relación con el </w:t>
      </w:r>
      <w:r w:rsidR="00792884">
        <w:rPr>
          <w:rFonts w:ascii="Century Gothic" w:hAnsi="Century Gothic" w:cs="Arial"/>
          <w:color w:val="000000"/>
        </w:rPr>
        <w:t xml:space="preserve">lote o </w:t>
      </w:r>
      <w:r w:rsidR="00792884" w:rsidRPr="00D075D3">
        <w:rPr>
          <w:rFonts w:ascii="Century Gothic" w:hAnsi="Century Gothic" w:cs="Arial"/>
          <w:color w:val="000000"/>
        </w:rPr>
        <w:t>segmento</w:t>
      </w:r>
      <w:r w:rsidR="00792884">
        <w:rPr>
          <w:rFonts w:ascii="Century Gothic" w:hAnsi="Century Gothic" w:cs="Arial"/>
          <w:color w:val="000000"/>
        </w:rPr>
        <w:t xml:space="preserve"> o</w:t>
      </w:r>
      <w:r w:rsidR="00792884" w:rsidRPr="00D075D3">
        <w:rPr>
          <w:rFonts w:ascii="Century Gothic" w:hAnsi="Century Gothic" w:cs="Arial"/>
          <w:color w:val="000000"/>
        </w:rPr>
        <w:t xml:space="preserve"> </w:t>
      </w:r>
      <w:r w:rsidR="00792884">
        <w:rPr>
          <w:rFonts w:ascii="Century Gothic" w:hAnsi="Century Gothic" w:cs="Arial"/>
          <w:color w:val="000000"/>
        </w:rPr>
        <w:t>por</w:t>
      </w:r>
      <w:r w:rsidR="00792884" w:rsidRPr="00D075D3">
        <w:rPr>
          <w:rFonts w:ascii="Century Gothic" w:hAnsi="Century Gothic" w:cs="Arial"/>
          <w:color w:val="000000"/>
        </w:rPr>
        <w:t xml:space="preserve"> valor total del </w:t>
      </w:r>
      <w:r w:rsidR="00792884">
        <w:rPr>
          <w:rFonts w:ascii="Century Gothic" w:hAnsi="Century Gothic" w:cs="Arial"/>
          <w:color w:val="000000"/>
        </w:rPr>
        <w:t>P</w:t>
      </w:r>
      <w:r w:rsidR="00792884" w:rsidRPr="00D075D3">
        <w:rPr>
          <w:rFonts w:ascii="Century Gothic" w:hAnsi="Century Gothic" w:cs="Arial"/>
          <w:color w:val="000000"/>
        </w:rPr>
        <w:t xml:space="preserve">roceso de </w:t>
      </w:r>
      <w:r w:rsidR="00792884">
        <w:rPr>
          <w:rFonts w:ascii="Century Gothic" w:hAnsi="Century Gothic" w:cs="Arial"/>
          <w:color w:val="000000"/>
        </w:rPr>
        <w:t>C</w:t>
      </w:r>
      <w:r w:rsidR="00792884" w:rsidRPr="00D075D3">
        <w:rPr>
          <w:rFonts w:ascii="Century Gothic" w:hAnsi="Century Gothic" w:cs="Arial"/>
          <w:color w:val="000000"/>
        </w:rPr>
        <w:t>ontratación</w:t>
      </w:r>
      <w:r w:rsidR="00792884" w:rsidRPr="00792884">
        <w:rPr>
          <w:rFonts w:ascii="Century Gothic" w:eastAsia="Century Gothic" w:hAnsi="Century Gothic" w:cs="Century Gothic"/>
        </w:rPr>
        <w:t>?</w:t>
      </w:r>
    </w:p>
    <w:p w14:paraId="1D71B419" w14:textId="3D15CA38" w:rsidR="00916160" w:rsidRPr="005639E9" w:rsidRDefault="00916160" w:rsidP="00916160">
      <w:pPr>
        <w:pStyle w:val="Textoindependiente"/>
        <w:spacing w:before="1" w:line="276" w:lineRule="auto"/>
        <w:ind w:right="306"/>
        <w:jc w:val="both"/>
      </w:pPr>
    </w:p>
    <w:p w14:paraId="57640A16" w14:textId="44EF1AD0" w:rsidR="00871B59"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t xml:space="preserve"> </w:t>
      </w:r>
    </w:p>
    <w:p w14:paraId="5C57421A" w14:textId="77777777" w:rsidR="00685FFD" w:rsidRPr="00FE33B4" w:rsidRDefault="00685FFD" w:rsidP="00871B59">
      <w:pPr>
        <w:spacing w:after="0" w:line="276" w:lineRule="auto"/>
        <w:jc w:val="both"/>
        <w:rPr>
          <w:rFonts w:ascii="Century Gothic" w:eastAsia="Century Gothic" w:hAnsi="Century Gothic" w:cs="Century Gothic"/>
        </w:rPr>
      </w:pP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lastRenderedPageBreak/>
        <w:t>Respuesta:</w:t>
      </w:r>
    </w:p>
    <w:p w14:paraId="4647B31A" w14:textId="77777777" w:rsidR="00871B59"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741C328F" w14:textId="77777777" w:rsidR="00D17400" w:rsidRPr="00E43EBA" w:rsidRDefault="00D17400"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1AA3F60A" w14:textId="77777777" w:rsidR="00792884" w:rsidRDefault="001F48DA" w:rsidP="008B7F31">
            <w:pPr>
              <w:spacing w:line="276" w:lineRule="auto"/>
              <w:contextualSpacing/>
              <w:jc w:val="both"/>
              <w:rPr>
                <w:rFonts w:ascii="Century Gothic" w:hAnsi="Century Gothic" w:cs="Arial"/>
                <w:color w:val="000000"/>
              </w:rPr>
            </w:pPr>
            <w:r>
              <w:rPr>
                <w:rFonts w:ascii="Arial" w:eastAsia="Calibri" w:hAnsi="Arial" w:cs="Arial"/>
                <w:color w:val="000000" w:themeColor="text1"/>
                <w:lang w:val="es-ES_tradnl" w:eastAsia="es-CO"/>
              </w:rPr>
              <w:t xml:space="preserve"> </w:t>
            </w:r>
            <w:r w:rsidR="00792884">
              <w:rPr>
                <w:rFonts w:ascii="Arial" w:eastAsia="Calibri" w:hAnsi="Arial" w:cs="Arial"/>
                <w:color w:val="000000" w:themeColor="text1"/>
                <w:lang w:val="es-ES_tradnl" w:eastAsia="es-CO"/>
              </w:rPr>
              <w:t>E</w:t>
            </w:r>
            <w:r w:rsidR="00792884" w:rsidRPr="00D075D3">
              <w:rPr>
                <w:rFonts w:ascii="Century Gothic" w:hAnsi="Century Gothic" w:cs="Arial"/>
              </w:rPr>
              <w:t xml:space="preserve">n los </w:t>
            </w:r>
            <w:r w:rsidR="00792884">
              <w:rPr>
                <w:rFonts w:ascii="Century Gothic" w:hAnsi="Century Gothic" w:cs="Arial"/>
              </w:rPr>
              <w:t>P</w:t>
            </w:r>
            <w:r w:rsidR="00792884" w:rsidRPr="00D075D3">
              <w:rPr>
                <w:rFonts w:ascii="Century Gothic" w:hAnsi="Century Gothic" w:cs="Arial"/>
              </w:rPr>
              <w:t xml:space="preserve">rocesos de </w:t>
            </w:r>
            <w:r w:rsidR="00792884">
              <w:rPr>
                <w:rFonts w:ascii="Century Gothic" w:hAnsi="Century Gothic" w:cs="Arial"/>
              </w:rPr>
              <w:t>C</w:t>
            </w:r>
            <w:r w:rsidR="00792884" w:rsidRPr="00D075D3">
              <w:rPr>
                <w:rFonts w:ascii="Century Gothic" w:hAnsi="Century Gothic" w:cs="Arial"/>
              </w:rPr>
              <w:t xml:space="preserve">ontratación adelantados por lotes o </w:t>
            </w:r>
            <w:r w:rsidR="00792884">
              <w:rPr>
                <w:rFonts w:ascii="Century Gothic" w:hAnsi="Century Gothic" w:cs="Arial"/>
              </w:rPr>
              <w:t>segmentos</w:t>
            </w:r>
            <w:r w:rsidR="00792884" w:rsidRPr="00D075D3">
              <w:rPr>
                <w:rFonts w:ascii="Century Gothic" w:hAnsi="Century Gothic" w:cs="Arial"/>
              </w:rPr>
              <w:t xml:space="preserve"> deberá aplicarse lo regulado en el artículo </w:t>
            </w:r>
            <w:r w:rsidR="00792884" w:rsidRPr="00D075D3">
              <w:rPr>
                <w:rFonts w:ascii="Century Gothic" w:hAnsi="Century Gothic" w:cs="Arial"/>
                <w:color w:val="000000"/>
              </w:rPr>
              <w:t>2.2.1.2.4.2.2</w:t>
            </w:r>
            <w:r w:rsidR="00792884" w:rsidRPr="00D075D3">
              <w:rPr>
                <w:rFonts w:ascii="Century Gothic" w:hAnsi="Century Gothic" w:cs="Arial"/>
                <w:color w:val="000000"/>
                <w:vertAlign w:val="superscript"/>
              </w:rPr>
              <w:footnoteReference w:id="2"/>
            </w:r>
            <w:r w:rsidR="00792884" w:rsidRPr="00D075D3">
              <w:rPr>
                <w:rFonts w:ascii="Century Gothic" w:hAnsi="Century Gothic" w:cs="Arial"/>
                <w:color w:val="000000"/>
              </w:rPr>
              <w:t xml:space="preserve"> </w:t>
            </w:r>
            <w:r w:rsidR="00792884" w:rsidRPr="00D075D3">
              <w:rPr>
                <w:rFonts w:ascii="Century Gothic" w:hAnsi="Century Gothic" w:cs="Arial"/>
                <w:i/>
                <w:iCs/>
                <w:color w:val="000000"/>
              </w:rPr>
              <w:t>“convocatorias limitadas a Mipymes”</w:t>
            </w:r>
            <w:r w:rsidR="00792884" w:rsidRPr="00D075D3">
              <w:rPr>
                <w:rFonts w:ascii="Century Gothic" w:hAnsi="Century Gothic" w:cs="Arial"/>
                <w:color w:val="000000"/>
              </w:rPr>
              <w:t xml:space="preserve"> del Decreto 1082 de 2015, tomando en consideración el valor del Proceso de Contratación imputable al respectivo lote </w:t>
            </w:r>
            <w:r w:rsidR="00792884">
              <w:rPr>
                <w:rFonts w:ascii="Century Gothic" w:hAnsi="Century Gothic" w:cs="Arial"/>
                <w:color w:val="000000"/>
              </w:rPr>
              <w:t xml:space="preserve">o segmento </w:t>
            </w:r>
            <w:r w:rsidR="00792884" w:rsidRPr="00D075D3">
              <w:rPr>
                <w:rFonts w:ascii="Century Gothic" w:hAnsi="Century Gothic" w:cs="Arial"/>
                <w:color w:val="000000"/>
              </w:rPr>
              <w:t>en el que se solicite su aplicación. En relación con el aspecto señalado, es pertinente mencionar que, el numeral uno del artículo 2.2.1.2.4.2.2</w:t>
            </w:r>
            <w:r w:rsidR="00792884">
              <w:rPr>
                <w:rFonts w:ascii="Century Gothic" w:hAnsi="Century Gothic" w:cs="Arial"/>
                <w:color w:val="000000"/>
              </w:rPr>
              <w:t xml:space="preserve"> del Decreto 1082 de 2015,</w:t>
            </w:r>
            <w:r w:rsidR="00792884" w:rsidRPr="00D075D3">
              <w:rPr>
                <w:rFonts w:ascii="Century Gothic" w:hAnsi="Century Gothic" w:cs="Arial"/>
                <w:color w:val="000000"/>
              </w:rPr>
              <w:t xml:space="preserve"> establece como requisitos para limitar convocatorias a Mipymes que el valor del Proceso de Contratación sea menor a ciento veinticinco mil dólares de los Estados Unidos de América (US$125.000), liquidados con la tasa de cambio que para el efecto determina cada dos años el Ministerio de Comercio, Industria y Turismo. </w:t>
            </w:r>
          </w:p>
          <w:p w14:paraId="1013C395" w14:textId="77777777" w:rsidR="00792884" w:rsidRDefault="00792884" w:rsidP="008B7F31">
            <w:pPr>
              <w:spacing w:line="276" w:lineRule="auto"/>
              <w:contextualSpacing/>
              <w:jc w:val="both"/>
              <w:rPr>
                <w:rFonts w:ascii="Century Gothic" w:hAnsi="Century Gothic" w:cs="Arial"/>
                <w:color w:val="000000"/>
              </w:rPr>
            </w:pPr>
          </w:p>
          <w:p w14:paraId="47AEB666" w14:textId="6DA05847" w:rsidR="00916160" w:rsidRPr="001F48DA" w:rsidRDefault="00792884" w:rsidP="008B7F31">
            <w:pPr>
              <w:spacing w:line="276" w:lineRule="auto"/>
              <w:contextualSpacing/>
              <w:jc w:val="both"/>
              <w:rPr>
                <w:rFonts w:ascii="Century Gothic" w:eastAsia="Calibri" w:hAnsi="Century Gothic" w:cs="Arial"/>
                <w:lang w:val="es-ES_tradnl" w:eastAsia="es-MX"/>
              </w:rPr>
            </w:pPr>
            <w:r w:rsidRPr="00D075D3">
              <w:rPr>
                <w:rFonts w:ascii="Century Gothic" w:hAnsi="Century Gothic" w:cs="Arial"/>
                <w:color w:val="000000"/>
              </w:rPr>
              <w:t xml:space="preserve">No obstante, de acuerdo con el parágrafo del </w:t>
            </w:r>
            <w:r w:rsidRPr="00D075D3">
              <w:rPr>
                <w:rFonts w:ascii="Century Gothic" w:eastAsia="Times New Roman" w:hAnsi="Century Gothic" w:cs="Arial"/>
                <w:color w:val="000000"/>
                <w:lang w:eastAsia="es-CO"/>
              </w:rPr>
              <w:t>artículo 2.2.1.2.4.2.19</w:t>
            </w:r>
            <w:r>
              <w:rPr>
                <w:rFonts w:ascii="Century Gothic" w:eastAsia="Times New Roman" w:hAnsi="Century Gothic" w:cs="Arial"/>
                <w:color w:val="000000"/>
                <w:lang w:eastAsia="es-CO"/>
              </w:rPr>
              <w:t>,</w:t>
            </w:r>
            <w:r w:rsidRPr="00D075D3">
              <w:rPr>
                <w:rFonts w:ascii="Century Gothic" w:eastAsia="Times New Roman" w:hAnsi="Century Gothic" w:cs="Arial"/>
                <w:color w:val="000000"/>
                <w:lang w:eastAsia="es-CO"/>
              </w:rPr>
              <w:t xml:space="preserve"> cuando el proceso se adelante por lotes </w:t>
            </w:r>
            <w:r>
              <w:rPr>
                <w:rFonts w:ascii="Century Gothic" w:eastAsia="Times New Roman" w:hAnsi="Century Gothic" w:cs="Arial"/>
                <w:color w:val="000000"/>
                <w:lang w:eastAsia="es-CO"/>
              </w:rPr>
              <w:t xml:space="preserve">o segmentos </w:t>
            </w:r>
            <w:r w:rsidRPr="00D075D3">
              <w:rPr>
                <w:rFonts w:ascii="Century Gothic" w:eastAsia="Times New Roman" w:hAnsi="Century Gothic" w:cs="Arial"/>
                <w:color w:val="000000"/>
                <w:lang w:eastAsia="es-CO"/>
              </w:rPr>
              <w:t xml:space="preserve">el valor de los </w:t>
            </w:r>
            <w:r w:rsidRPr="00D075D3">
              <w:rPr>
                <w:rFonts w:ascii="Century Gothic" w:hAnsi="Century Gothic" w:cs="Arial"/>
                <w:color w:val="000000"/>
              </w:rPr>
              <w:t xml:space="preserve">(US$125.000) debe establecerse en relación con el </w:t>
            </w:r>
            <w:r>
              <w:rPr>
                <w:rFonts w:ascii="Century Gothic" w:hAnsi="Century Gothic" w:cs="Arial"/>
                <w:color w:val="000000"/>
              </w:rPr>
              <w:t xml:space="preserve">lote o </w:t>
            </w:r>
            <w:r w:rsidRPr="00D075D3">
              <w:rPr>
                <w:rFonts w:ascii="Century Gothic" w:hAnsi="Century Gothic" w:cs="Arial"/>
                <w:color w:val="000000"/>
              </w:rPr>
              <w:t xml:space="preserve">segmento, y no respecto del valor total del proceso de contratación −que se establecería con la sumatoria de todos los lotes o segmentos−. </w:t>
            </w:r>
            <w:r w:rsidRPr="00D075D3">
              <w:rPr>
                <w:rFonts w:ascii="Century Gothic" w:hAnsi="Century Gothic" w:cs="Arial"/>
              </w:rPr>
              <w:t xml:space="preserve">Finalmente, es pertinente mencionar que, el parágrafo en comento dispone que, en los procesos adelantados por lotes o grupos, también, </w:t>
            </w:r>
            <w:r w:rsidRPr="00D075D3">
              <w:rPr>
                <w:rFonts w:ascii="Century Gothic" w:hAnsi="Century Gothic" w:cs="Arial"/>
              </w:rPr>
              <w:lastRenderedPageBreak/>
              <w:t>se aplicará lo previsto en el artículo 2.2.1.2.4.2.3. del Decreto 1082 de 2015</w:t>
            </w:r>
            <w:r w:rsidRPr="006669FD">
              <w:rPr>
                <w:rFonts w:ascii="Century Gothic" w:hAnsi="Century Gothic" w:cs="Arial"/>
                <w:vertAlign w:val="superscript"/>
              </w:rPr>
              <w:footnoteReference w:id="3"/>
            </w:r>
            <w:r w:rsidRPr="00D075D3">
              <w:rPr>
                <w:rFonts w:ascii="Century Gothic" w:hAnsi="Century Gothic" w:cs="Arial"/>
              </w:rPr>
              <w:t>, a partir del lugar de ejecución del contrato asociado al respectivo lote o segmento. </w:t>
            </w: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3DB997BC" w14:textId="77777777" w:rsidR="008B7F31" w:rsidRDefault="008B7F31" w:rsidP="008B7F31">
      <w:pPr>
        <w:pStyle w:val="Prrafodelista"/>
        <w:spacing w:after="0" w:line="276" w:lineRule="auto"/>
        <w:jc w:val="both"/>
        <w:rPr>
          <w:rFonts w:ascii="Century Gothic" w:eastAsia="Calibri" w:hAnsi="Century Gothic" w:cs="Arial"/>
          <w:color w:val="000000" w:themeColor="text1"/>
        </w:rPr>
      </w:pPr>
    </w:p>
    <w:p w14:paraId="7B8387A6" w14:textId="77777777" w:rsidR="00792884" w:rsidRDefault="00792884" w:rsidP="00792884">
      <w:pPr>
        <w:pStyle w:val="Prrafodelista"/>
        <w:numPr>
          <w:ilvl w:val="0"/>
          <w:numId w:val="15"/>
        </w:numPr>
        <w:spacing w:after="120" w:line="276" w:lineRule="auto"/>
        <w:jc w:val="both"/>
        <w:rPr>
          <w:rFonts w:ascii="Century Gothic" w:hAnsi="Century Gothic" w:cs="Arial"/>
          <w:bCs/>
        </w:rPr>
      </w:pPr>
      <w:r w:rsidRPr="00792884">
        <w:rPr>
          <w:rFonts w:ascii="Century Gothic" w:hAnsi="Century Gothic" w:cs="Arial"/>
          <w:bCs/>
        </w:rPr>
        <w:t xml:space="preserve">Las entidades estatales sometidas al Estatuto General de Contratación de la Administración Pública, en el marco de la autonomía y discrecionalidad que les asiste para desarrollar su actividad contractual, tienen la posibilidad de segmentar los objetos a contratar, adelantando procesos de contratación divididos en lotes. En términos de eficiencia y economía, esto es procedente cuando, en atención a las condiciones de ejecución requeridas, resulta conveniente segmentar el cumplimiento del objeto del contrato, dando lugar a lotes o segmentos, de tal manera que los virtuales proponentes puedan ofertar respecto de un lote en concreto, y la entidad pueda definir un adjudicatario para uno de los lotes definidos.   </w:t>
      </w:r>
    </w:p>
    <w:p w14:paraId="190CA7DE" w14:textId="77777777" w:rsidR="00792884" w:rsidRDefault="00792884" w:rsidP="00792884">
      <w:pPr>
        <w:spacing w:after="120" w:line="276" w:lineRule="auto"/>
        <w:ind w:left="360"/>
        <w:jc w:val="both"/>
        <w:rPr>
          <w:rFonts w:ascii="Century Gothic" w:eastAsia="Calibri" w:hAnsi="Century Gothic" w:cs="Arial"/>
          <w:bCs/>
          <w:lang w:val="es-ES_tradnl" w:eastAsia="es-MX"/>
        </w:rPr>
      </w:pPr>
    </w:p>
    <w:p w14:paraId="7FF7F1F2" w14:textId="2EF21B43" w:rsidR="00792884" w:rsidRPr="00792884" w:rsidRDefault="00792884" w:rsidP="00792884">
      <w:pPr>
        <w:pStyle w:val="Prrafodelista"/>
        <w:numPr>
          <w:ilvl w:val="0"/>
          <w:numId w:val="15"/>
        </w:numPr>
        <w:spacing w:after="120" w:line="276" w:lineRule="auto"/>
        <w:jc w:val="both"/>
        <w:rPr>
          <w:rFonts w:ascii="Century Gothic" w:hAnsi="Century Gothic" w:cs="Arial"/>
          <w:bCs/>
        </w:rPr>
      </w:pPr>
      <w:r w:rsidRPr="00792884">
        <w:rPr>
          <w:rFonts w:ascii="Century Gothic" w:eastAsia="Calibri" w:hAnsi="Century Gothic" w:cs="Arial"/>
          <w:bCs/>
          <w:lang w:val="es-ES_tradnl" w:eastAsia="es-MX"/>
        </w:rPr>
        <w:t>Sin perjuicio de lo anterior, con</w:t>
      </w:r>
      <w:r w:rsidRPr="00792884">
        <w:rPr>
          <w:rFonts w:ascii="Century Gothic" w:hAnsi="Century Gothic" w:cs="Arial"/>
          <w:bCs/>
          <w:color w:val="000000" w:themeColor="text1"/>
          <w:lang w:val="es-MX" w:eastAsia="es-MX"/>
        </w:rPr>
        <w:t xml:space="preserve"> la reciente expedición del Decreto 142 del de 2023</w:t>
      </w:r>
      <w:r w:rsidRPr="00D075D3">
        <w:rPr>
          <w:vertAlign w:val="superscript"/>
          <w:lang w:val="es-MX" w:eastAsia="es-MX"/>
        </w:rPr>
        <w:footnoteReference w:id="4"/>
      </w:r>
      <w:r w:rsidRPr="00792884">
        <w:rPr>
          <w:rFonts w:ascii="Century Gothic" w:hAnsi="Century Gothic" w:cs="Arial"/>
          <w:bCs/>
          <w:color w:val="000000" w:themeColor="text1"/>
          <w:lang w:val="es-MX" w:eastAsia="es-MX"/>
        </w:rPr>
        <w:t xml:space="preserve"> se reglamentó la disposición contenida en el numeral 6 del artículo 33 de la Ley 2069 de 2020</w:t>
      </w:r>
      <w:r>
        <w:rPr>
          <w:rStyle w:val="Refdenotaalpie"/>
          <w:rFonts w:ascii="Century Gothic" w:hAnsi="Century Gothic" w:cs="Arial"/>
          <w:bCs/>
          <w:color w:val="000000" w:themeColor="text1"/>
          <w:lang w:val="es-MX" w:eastAsia="es-MX"/>
        </w:rPr>
        <w:footnoteReference w:id="5"/>
      </w:r>
      <w:r w:rsidRPr="00792884">
        <w:rPr>
          <w:rFonts w:ascii="Century Gothic" w:hAnsi="Century Gothic" w:cs="Arial"/>
          <w:bCs/>
          <w:color w:val="000000" w:themeColor="text1"/>
          <w:lang w:val="es-MX" w:eastAsia="es-MX"/>
        </w:rPr>
        <w:t xml:space="preserve">. Con el fin de cumplir el mandato legal indicado, </w:t>
      </w:r>
      <w:r w:rsidRPr="00792884">
        <w:rPr>
          <w:rFonts w:ascii="Century Gothic" w:hAnsi="Century Gothic" w:cs="Arial"/>
          <w:bCs/>
          <w:color w:val="000000" w:themeColor="text1"/>
          <w:lang w:val="es-MX" w:eastAsia="es-MX"/>
        </w:rPr>
        <w:lastRenderedPageBreak/>
        <w:t xml:space="preserve">el artículo 2 del Decreto 0142 de 2023 modificó el artículo </w:t>
      </w:r>
      <w:r w:rsidRPr="00792884">
        <w:rPr>
          <w:rFonts w:ascii="Century Gothic" w:hAnsi="Century Gothic" w:cs="Arial"/>
          <w:bCs/>
          <w:color w:val="000000"/>
        </w:rPr>
        <w:t>2.2.1.1.1.4.1</w:t>
      </w:r>
      <w:r w:rsidRPr="00792884">
        <w:rPr>
          <w:rFonts w:ascii="Century Gothic" w:hAnsi="Century Gothic" w:cs="Arial"/>
          <w:bCs/>
          <w:color w:val="000000" w:themeColor="text1"/>
          <w:lang w:val="es-MX" w:eastAsia="es-MX"/>
        </w:rPr>
        <w:t xml:space="preserve"> </w:t>
      </w:r>
      <w:r w:rsidRPr="00792884">
        <w:rPr>
          <w:rFonts w:ascii="Century Gothic" w:hAnsi="Century Gothic" w:cs="Arial"/>
          <w:bCs/>
          <w:color w:val="000000"/>
        </w:rPr>
        <w:t>del Decreto 1082 de 2015</w:t>
      </w:r>
      <w:r w:rsidRPr="00D075D3">
        <w:rPr>
          <w:color w:val="000000"/>
          <w:vertAlign w:val="superscript"/>
        </w:rPr>
        <w:footnoteReference w:id="6"/>
      </w:r>
      <w:r w:rsidRPr="00792884">
        <w:rPr>
          <w:rFonts w:ascii="Century Gothic" w:hAnsi="Century Gothic" w:cs="Arial"/>
          <w:bCs/>
          <w:i/>
          <w:iCs/>
          <w:color w:val="000000"/>
        </w:rPr>
        <w:t xml:space="preserve">, </w:t>
      </w:r>
      <w:r w:rsidRPr="00792884">
        <w:rPr>
          <w:rFonts w:ascii="Century Gothic" w:hAnsi="Century Gothic" w:cs="Arial"/>
          <w:bCs/>
          <w:color w:val="000000"/>
        </w:rPr>
        <w:t xml:space="preserve">para </w:t>
      </w:r>
      <w:r w:rsidRPr="00792884">
        <w:rPr>
          <w:rFonts w:ascii="Century Gothic" w:hAnsi="Century Gothic" w:cs="Arial"/>
          <w:bCs/>
        </w:rPr>
        <w:t>instar a las entidades públicas para que, desde la configuración del Plan Anual de Adquisiciones, propendan por planear su contratación de tal manera que promueva el adelantamiento de procesos de contratación por lotes o segmentos, a fin de promover la participación de las Mipymes en los procesos de contratación. En concordancia con lo anterior,</w:t>
      </w:r>
      <w:r w:rsidRPr="00792884">
        <w:rPr>
          <w:rFonts w:ascii="Century Gothic" w:hAnsi="Century Gothic" w:cs="Arial"/>
          <w:bCs/>
          <w:i/>
          <w:iCs/>
        </w:rPr>
        <w:t xml:space="preserve"> </w:t>
      </w:r>
      <w:r w:rsidRPr="00792884">
        <w:rPr>
          <w:rFonts w:ascii="Century Gothic" w:hAnsi="Century Gothic" w:cs="Arial"/>
          <w:bCs/>
        </w:rPr>
        <w:t xml:space="preserve">el artículo 6 del Decreto 142 de 2023, adicionó el </w:t>
      </w:r>
      <w:r w:rsidRPr="00792884">
        <w:rPr>
          <w:rFonts w:ascii="Century Gothic" w:hAnsi="Century Gothic" w:cs="Arial"/>
          <w:bCs/>
          <w:color w:val="000000"/>
        </w:rPr>
        <w:t>2.2.1.2.4.2.19 </w:t>
      </w:r>
      <w:r w:rsidRPr="00792884">
        <w:rPr>
          <w:rFonts w:ascii="Century Gothic" w:hAnsi="Century Gothic" w:cs="Arial"/>
          <w:bCs/>
          <w:iCs/>
          <w:color w:val="000000"/>
        </w:rPr>
        <w:t>al Decreto 1082 de 2015</w:t>
      </w:r>
      <w:r w:rsidRPr="00792884">
        <w:rPr>
          <w:rFonts w:ascii="Century Gothic" w:hAnsi="Century Gothic" w:cs="Arial"/>
          <w:bCs/>
          <w:i/>
          <w:iCs/>
          <w:color w:val="000000"/>
        </w:rPr>
        <w:t xml:space="preserve">, </w:t>
      </w:r>
      <w:r w:rsidRPr="00792884">
        <w:rPr>
          <w:rFonts w:ascii="Century Gothic" w:hAnsi="Century Gothic" w:cs="Arial"/>
          <w:bCs/>
          <w:color w:val="000000"/>
        </w:rPr>
        <w:t xml:space="preserve">ratificando en el reglamento el deber de las entidades estatales de promover la división de </w:t>
      </w:r>
      <w:r w:rsidRPr="00792884">
        <w:rPr>
          <w:rFonts w:ascii="Century Gothic" w:eastAsia="Times New Roman" w:hAnsi="Century Gothic" w:cs="Arial"/>
          <w:bCs/>
          <w:color w:val="000000"/>
          <w:lang w:eastAsia="es-CO"/>
        </w:rPr>
        <w:t xml:space="preserve">procesos de contratación en lotes o segmentos, ya establecido de manera expresa en el </w:t>
      </w:r>
      <w:r w:rsidRPr="00792884">
        <w:rPr>
          <w:rFonts w:ascii="Century Gothic" w:hAnsi="Century Gothic" w:cs="Arial"/>
          <w:bCs/>
          <w:color w:val="000000" w:themeColor="text1"/>
          <w:lang w:val="es-MX" w:eastAsia="es-MX"/>
        </w:rPr>
        <w:t>numeral 6 del artículo 33 de la Ley 2069 de 2020. Esta última</w:t>
      </w:r>
      <w:r w:rsidRPr="00792884">
        <w:rPr>
          <w:rFonts w:ascii="Century Gothic" w:hAnsi="Century Gothic" w:cs="Arial"/>
          <w:bCs/>
          <w:color w:val="000000"/>
        </w:rPr>
        <w:t xml:space="preserve"> obedece al siguiente tenor:  </w:t>
      </w:r>
    </w:p>
    <w:p w14:paraId="6609E0D9" w14:textId="77777777" w:rsidR="00792884" w:rsidRPr="004B0AE9" w:rsidRDefault="00792884" w:rsidP="00792884">
      <w:pPr>
        <w:spacing w:after="0" w:line="276" w:lineRule="auto"/>
        <w:ind w:firstLine="709"/>
        <w:jc w:val="both"/>
        <w:rPr>
          <w:rFonts w:ascii="Work Sans" w:hAnsi="Work Sans"/>
          <w:b/>
          <w:bCs/>
          <w:color w:val="333333"/>
          <w:shd w:val="clear" w:color="auto" w:fill="FFFFFF"/>
        </w:rPr>
      </w:pPr>
    </w:p>
    <w:p w14:paraId="2403E27D" w14:textId="77777777" w:rsidR="00792884" w:rsidRPr="00792884" w:rsidRDefault="00792884" w:rsidP="00792884">
      <w:pPr>
        <w:pStyle w:val="Prrafodelista"/>
        <w:spacing w:after="120" w:line="240" w:lineRule="auto"/>
        <w:ind w:right="709"/>
        <w:jc w:val="both"/>
        <w:rPr>
          <w:rFonts w:ascii="Century Gothic" w:eastAsia="Times New Roman" w:hAnsi="Century Gothic" w:cs="Arial"/>
          <w:color w:val="000000"/>
          <w:sz w:val="20"/>
          <w:szCs w:val="20"/>
          <w:lang w:eastAsia="es-CO"/>
        </w:rPr>
      </w:pPr>
      <w:r w:rsidRPr="00792884">
        <w:rPr>
          <w:rFonts w:ascii="Century Gothic" w:eastAsia="Times New Roman" w:hAnsi="Century Gothic" w:cs="Arial"/>
          <w:color w:val="000000"/>
          <w:sz w:val="20"/>
          <w:szCs w:val="20"/>
          <w:lang w:eastAsia="es-CO"/>
        </w:rPr>
        <w:t>“Artículo 2.2.1.2.4.2.19. </w:t>
      </w:r>
      <w:r w:rsidRPr="00792884">
        <w:rPr>
          <w:rFonts w:ascii="Century Gothic" w:eastAsia="Times New Roman" w:hAnsi="Century Gothic" w:cs="Arial"/>
          <w:i/>
          <w:iCs/>
          <w:color w:val="000000"/>
          <w:sz w:val="20"/>
          <w:szCs w:val="20"/>
          <w:lang w:eastAsia="es-CO"/>
        </w:rPr>
        <w:t>División en lotes o segmentos. </w:t>
      </w:r>
      <w:r w:rsidRPr="00792884">
        <w:rPr>
          <w:rFonts w:ascii="Century Gothic" w:eastAsia="Times New Roman" w:hAnsi="Century Gothic" w:cs="Arial"/>
          <w:color w:val="000000"/>
          <w:sz w:val="20"/>
          <w:szCs w:val="20"/>
          <w:lang w:eastAsia="es-CO"/>
        </w:rPr>
        <w:t xml:space="preserve">Las entidades estatales promoverán la división de procesos de contratación en lotes o segmentos que faciliten la participación de las Mipymes atendiendo a criterios tales como: i) el tipo de entregable, ii) el valor del contrato y iii) el ámbito </w:t>
      </w:r>
      <w:r w:rsidRPr="00792884">
        <w:rPr>
          <w:rFonts w:ascii="Century Gothic" w:eastAsia="Times New Roman" w:hAnsi="Century Gothic" w:cs="Arial"/>
          <w:color w:val="000000"/>
          <w:sz w:val="20"/>
          <w:szCs w:val="20"/>
          <w:lang w:eastAsia="es-CO"/>
        </w:rPr>
        <w:lastRenderedPageBreak/>
        <w:t>geográfico de la entrega. Para el efecto: las entidades estatales deberán tener en cuenta el análisis del sector económico y de los oferentes en los términos establecidos en el artículo 2.2.1.1.1.6.1. de presente decreto. </w:t>
      </w:r>
    </w:p>
    <w:p w14:paraId="4414A057" w14:textId="77777777" w:rsidR="00792884" w:rsidRPr="00792884" w:rsidRDefault="00792884" w:rsidP="00792884">
      <w:pPr>
        <w:pStyle w:val="Prrafodelista"/>
        <w:spacing w:after="120" w:line="240" w:lineRule="auto"/>
        <w:ind w:right="709"/>
        <w:jc w:val="both"/>
        <w:rPr>
          <w:rFonts w:ascii="Century Gothic" w:eastAsia="Times New Roman" w:hAnsi="Century Gothic" w:cs="Arial"/>
          <w:color w:val="000000"/>
          <w:sz w:val="20"/>
          <w:szCs w:val="20"/>
          <w:lang w:eastAsia="es-CO"/>
        </w:rPr>
      </w:pPr>
      <w:r w:rsidRPr="00792884">
        <w:rPr>
          <w:rFonts w:ascii="Century Gothic" w:eastAsia="Times New Roman" w:hAnsi="Century Gothic" w:cs="Arial"/>
          <w:color w:val="000000"/>
          <w:sz w:val="20"/>
          <w:szCs w:val="20"/>
          <w:lang w:eastAsia="es-CO"/>
        </w:rPr>
        <w:t>[…]  </w:t>
      </w:r>
    </w:p>
    <w:p w14:paraId="6657F5A8" w14:textId="77777777" w:rsidR="00792884" w:rsidRPr="00792884" w:rsidRDefault="00792884" w:rsidP="00792884">
      <w:pPr>
        <w:pStyle w:val="Prrafodelista"/>
        <w:spacing w:after="120" w:line="240" w:lineRule="auto"/>
        <w:ind w:right="709"/>
        <w:jc w:val="both"/>
        <w:rPr>
          <w:rFonts w:ascii="Century Gothic" w:eastAsia="Times New Roman" w:hAnsi="Century Gothic" w:cs="Arial"/>
          <w:color w:val="000000"/>
          <w:sz w:val="20"/>
          <w:szCs w:val="20"/>
          <w:lang w:eastAsia="es-CO"/>
        </w:rPr>
      </w:pPr>
      <w:r w:rsidRPr="00792884">
        <w:rPr>
          <w:rFonts w:ascii="Century Gothic" w:eastAsia="Times New Roman" w:hAnsi="Century Gothic" w:cs="Arial"/>
          <w:color w:val="000000"/>
          <w:sz w:val="20"/>
          <w:szCs w:val="20"/>
          <w:lang w:eastAsia="es-CO"/>
        </w:rPr>
        <w:t>Las entidades estatales podrán incluir en el pliego de condiciones mecanismos o reglas que limiten el número de lotes que se adjudican a un mismo proponente, con el fin de evitar que se concentre la contratación, sobre la base de criterios objetivos y no discriminatorios. La decisión de no adjudicar un contrato en lotes o segmentos podrá obedecer entre otras razones, a que mediante este mecanismo se pueda restringir la competencia o que la segmentación del mercado pueda conducir a que la ejecución del contrato sea imposible desde el punto de vista técnico o económico. </w:t>
      </w:r>
    </w:p>
    <w:p w14:paraId="577815E1" w14:textId="77777777" w:rsidR="00792884" w:rsidRPr="00792884" w:rsidRDefault="00792884" w:rsidP="00792884">
      <w:pPr>
        <w:pStyle w:val="Prrafodelista"/>
        <w:spacing w:after="0" w:line="240" w:lineRule="auto"/>
        <w:ind w:right="709"/>
        <w:jc w:val="both"/>
        <w:rPr>
          <w:rFonts w:ascii="Arial" w:eastAsia="Times New Roman" w:hAnsi="Arial" w:cs="Arial"/>
          <w:color w:val="000000"/>
          <w:sz w:val="21"/>
          <w:szCs w:val="21"/>
          <w:lang w:eastAsia="es-CO"/>
        </w:rPr>
      </w:pPr>
      <w:r w:rsidRPr="00792884">
        <w:rPr>
          <w:rFonts w:ascii="Century Gothic" w:eastAsia="Times New Roman" w:hAnsi="Century Gothic" w:cs="Arial"/>
          <w:color w:val="000000"/>
          <w:sz w:val="20"/>
          <w:szCs w:val="20"/>
          <w:lang w:eastAsia="es-CO"/>
        </w:rPr>
        <w:t>Parágrafo. En los Procesos de Contratación adelantados por lotes o grupos deberá aplicarse lo regulado en el artículo 2.2.1.2.4.2.2. del presente Decreto, tornando en consideración el valor del Proceso de Contratación imputable al respectivo lote en el que se solicite su aplicación. De igual manera será aplicable lo previsto en el artículo 2.2.1.2.4.2.3. a partir del lugar de ejecución del contrato asociado al respectivo lote o segmento”</w:t>
      </w:r>
      <w:r w:rsidRPr="00792884">
        <w:rPr>
          <w:rFonts w:ascii="Arial" w:eastAsia="Times New Roman" w:hAnsi="Arial" w:cs="Arial"/>
          <w:color w:val="000000"/>
          <w:sz w:val="21"/>
          <w:szCs w:val="21"/>
          <w:lang w:eastAsia="es-CO"/>
        </w:rPr>
        <w:t>. </w:t>
      </w:r>
    </w:p>
    <w:p w14:paraId="34EC4F80" w14:textId="77777777" w:rsidR="00792884" w:rsidRPr="004B0AE9" w:rsidRDefault="00792884" w:rsidP="00792884">
      <w:pPr>
        <w:spacing w:after="0" w:line="276" w:lineRule="auto"/>
        <w:ind w:firstLine="709"/>
        <w:jc w:val="both"/>
        <w:rPr>
          <w:rFonts w:ascii="Arial" w:hAnsi="Arial" w:cs="Arial"/>
        </w:rPr>
      </w:pPr>
    </w:p>
    <w:p w14:paraId="68B2B784" w14:textId="77777777" w:rsidR="00792884" w:rsidRPr="00792884" w:rsidRDefault="00792884" w:rsidP="00792884">
      <w:pPr>
        <w:pStyle w:val="Prrafodelista"/>
        <w:numPr>
          <w:ilvl w:val="0"/>
          <w:numId w:val="15"/>
        </w:numPr>
        <w:spacing w:after="120" w:line="276" w:lineRule="auto"/>
        <w:jc w:val="both"/>
        <w:rPr>
          <w:rFonts w:ascii="Century Gothic" w:hAnsi="Century Gothic" w:cs="Arial"/>
        </w:rPr>
      </w:pPr>
      <w:r w:rsidRPr="00792884">
        <w:rPr>
          <w:rFonts w:ascii="Century Gothic" w:hAnsi="Century Gothic" w:cs="Arial"/>
          <w:color w:val="000000"/>
        </w:rPr>
        <w:t>Como se observa, el primer inciso de la norma establece los criterios que pueden tener en cuenta las entidades públicas para dividir los procesos por lotes o segmentos como lo son: i) el tipo de entregable, ii) el valor del contrato y (iii) el ámbito geográfico de la entrega</w:t>
      </w:r>
      <w:r w:rsidRPr="00792884">
        <w:rPr>
          <w:rFonts w:ascii="Century Gothic" w:hAnsi="Century Gothic" w:cs="Arial"/>
        </w:rPr>
        <w:t xml:space="preserve">. Estos criterios se disponen, con el fin de facilitar la participación de las Mipymes en los procesos de contratación. </w:t>
      </w:r>
      <w:r w:rsidRPr="00792884">
        <w:rPr>
          <w:rFonts w:ascii="Century Gothic" w:eastAsia="Times New Roman" w:hAnsi="Century Gothic" w:cs="Arial"/>
          <w:color w:val="000000"/>
          <w:lang w:eastAsia="es-CO"/>
        </w:rPr>
        <w:t>Asimismo, la norma señala que, para dar cumplimiento a lo indicado, las</w:t>
      </w:r>
      <w:r w:rsidRPr="00792884">
        <w:rPr>
          <w:rFonts w:ascii="Century Gothic" w:hAnsi="Century Gothic" w:cs="Arial"/>
          <w:color w:val="000000"/>
        </w:rPr>
        <w:t xml:space="preserve"> entidades estatales deberán tener en cuenta el análisis del sector económico y de los oferentes en los términos establecidos en el artículo 2.2.1.1.1.6.1 del Decreto 1082 de 2015. </w:t>
      </w:r>
    </w:p>
    <w:p w14:paraId="179F5FDE" w14:textId="77777777" w:rsidR="00792884" w:rsidRPr="00792884" w:rsidRDefault="00792884" w:rsidP="00792884">
      <w:pPr>
        <w:pStyle w:val="Prrafodelista"/>
        <w:spacing w:after="120" w:line="276" w:lineRule="auto"/>
        <w:jc w:val="both"/>
        <w:rPr>
          <w:rFonts w:ascii="Century Gothic" w:hAnsi="Century Gothic" w:cs="Arial"/>
        </w:rPr>
      </w:pPr>
    </w:p>
    <w:p w14:paraId="2B3730E0" w14:textId="582D8324" w:rsidR="00792884" w:rsidRPr="00792884" w:rsidRDefault="00792884" w:rsidP="00792884">
      <w:pPr>
        <w:pStyle w:val="Prrafodelista"/>
        <w:numPr>
          <w:ilvl w:val="0"/>
          <w:numId w:val="15"/>
        </w:numPr>
        <w:spacing w:after="120" w:line="276" w:lineRule="auto"/>
        <w:jc w:val="both"/>
        <w:rPr>
          <w:rFonts w:ascii="Century Gothic" w:eastAsia="Times New Roman" w:hAnsi="Century Gothic" w:cs="Arial"/>
          <w:color w:val="000000"/>
          <w:lang w:eastAsia="es-CO"/>
        </w:rPr>
      </w:pPr>
      <w:r w:rsidRPr="00792884">
        <w:rPr>
          <w:rFonts w:ascii="Century Gothic" w:hAnsi="Century Gothic" w:cs="Arial"/>
        </w:rPr>
        <w:t>Por su parte, el cuarto inciso de la disposición, habilita a las entidades públicas para que incluyan en los pliegos de condiciones mecanismos y reglas que limiten el número de lotes que pueden ser adjudicados a un mismo oferente. En relación con este aspecto, se</w:t>
      </w:r>
      <w:r>
        <w:rPr>
          <w:rFonts w:ascii="Century Gothic" w:hAnsi="Century Gothic" w:cs="Arial"/>
        </w:rPr>
        <w:t xml:space="preserve"> </w:t>
      </w:r>
      <w:r w:rsidRPr="00792884">
        <w:rPr>
          <w:rFonts w:ascii="Century Gothic" w:hAnsi="Century Gothic" w:cs="Arial"/>
        </w:rPr>
        <w:t xml:space="preserve">considera que, como la norma no determina que los </w:t>
      </w:r>
      <w:r w:rsidRPr="00792884">
        <w:rPr>
          <w:rFonts w:ascii="Century Gothic" w:hAnsi="Century Gothic" w:cs="Arial"/>
          <w:i/>
          <w:iCs/>
        </w:rPr>
        <w:t>mecanismos y reglas</w:t>
      </w:r>
      <w:r w:rsidRPr="00792884">
        <w:rPr>
          <w:rFonts w:ascii="Century Gothic" w:hAnsi="Century Gothic" w:cs="Arial"/>
        </w:rPr>
        <w:t xml:space="preserve"> que pueden establecer las entidades para limitar el número de lotes a adjudicarse a un mismo oferente, solo proceda respecto de los lotes o segmentos de un mismo proceso de contratación, la </w:t>
      </w:r>
      <w:r w:rsidRPr="00792884">
        <w:rPr>
          <w:rFonts w:ascii="Century Gothic" w:eastAsia="Times New Roman" w:hAnsi="Century Gothic" w:cs="Arial"/>
          <w:color w:val="000000"/>
          <w:lang w:eastAsia="es-CO"/>
        </w:rPr>
        <w:t xml:space="preserve">restricción puede incluirse en relación con todos </w:t>
      </w:r>
      <w:r w:rsidRPr="00792884">
        <w:rPr>
          <w:rFonts w:ascii="Century Gothic" w:eastAsia="Times New Roman" w:hAnsi="Century Gothic" w:cs="Arial"/>
          <w:color w:val="000000"/>
          <w:lang w:eastAsia="es-CO"/>
        </w:rPr>
        <w:lastRenderedPageBreak/>
        <w:t xml:space="preserve">los lotes o segmentos de los diferentes procesos de selección que adelante la entidad estatal. </w:t>
      </w:r>
    </w:p>
    <w:p w14:paraId="7F5AC6C1" w14:textId="77777777" w:rsidR="00792884" w:rsidRDefault="00792884" w:rsidP="00792884">
      <w:pPr>
        <w:pStyle w:val="Prrafodelista"/>
        <w:numPr>
          <w:ilvl w:val="0"/>
          <w:numId w:val="15"/>
        </w:numPr>
        <w:spacing w:after="120" w:line="276" w:lineRule="auto"/>
        <w:jc w:val="both"/>
        <w:rPr>
          <w:rFonts w:ascii="Century Gothic" w:hAnsi="Century Gothic" w:cs="Arial"/>
        </w:rPr>
      </w:pPr>
      <w:r w:rsidRPr="00792884">
        <w:rPr>
          <w:rFonts w:ascii="Century Gothic" w:eastAsia="Times New Roman" w:hAnsi="Century Gothic" w:cs="Arial"/>
          <w:color w:val="000000"/>
          <w:lang w:eastAsia="es-CO"/>
        </w:rPr>
        <w:t xml:space="preserve">De esta forma, la entidad estatal podrá limitar el número de lotes de los que puede resultar adjudicatario un mismo proponente, considerando los segmentos de los distintos procesos de selección que se encuentre adelantando. Esto, </w:t>
      </w:r>
      <w:r w:rsidRPr="00792884">
        <w:rPr>
          <w:rFonts w:ascii="Century Gothic" w:hAnsi="Century Gothic" w:cs="Arial"/>
          <w:i/>
          <w:iCs/>
        </w:rPr>
        <w:t>“con la finalidad de evitar que se concentre la contratación”</w:t>
      </w:r>
      <w:r w:rsidRPr="00792884">
        <w:rPr>
          <w:rFonts w:ascii="Century Gothic" w:hAnsi="Century Gothic" w:cs="Arial"/>
        </w:rPr>
        <w:t xml:space="preserve"> en un solo oferente, y siempre y cuando esta restricción se realice sobre la base de criterios objetivos y no discriminatorios. </w:t>
      </w:r>
    </w:p>
    <w:p w14:paraId="39BF1B4D" w14:textId="77777777" w:rsidR="00792884" w:rsidRPr="00792884" w:rsidRDefault="00792884" w:rsidP="00792884">
      <w:pPr>
        <w:pStyle w:val="Prrafodelista"/>
        <w:spacing w:after="120" w:line="276" w:lineRule="auto"/>
        <w:jc w:val="both"/>
        <w:rPr>
          <w:rFonts w:ascii="Century Gothic" w:hAnsi="Century Gothic" w:cs="Arial"/>
        </w:rPr>
      </w:pPr>
    </w:p>
    <w:p w14:paraId="25A01EA4" w14:textId="5099F2C2" w:rsidR="00792884" w:rsidRDefault="00792884" w:rsidP="00792884">
      <w:pPr>
        <w:pStyle w:val="Prrafodelista"/>
        <w:numPr>
          <w:ilvl w:val="0"/>
          <w:numId w:val="15"/>
        </w:numPr>
        <w:spacing w:after="120" w:line="276" w:lineRule="auto"/>
        <w:jc w:val="both"/>
        <w:rPr>
          <w:rFonts w:ascii="Century Gothic" w:eastAsia="Times New Roman" w:hAnsi="Century Gothic" w:cs="Arial"/>
          <w:color w:val="000000"/>
          <w:lang w:eastAsia="es-CO"/>
        </w:rPr>
      </w:pPr>
      <w:r w:rsidRPr="00792884">
        <w:rPr>
          <w:rFonts w:ascii="Century Gothic" w:eastAsia="Times New Roman" w:hAnsi="Century Gothic" w:cs="Arial"/>
          <w:color w:val="000000"/>
          <w:lang w:eastAsia="es-CO"/>
        </w:rPr>
        <w:t xml:space="preserve">Conforme a lo anterior, le corresponde a la entidad estatal en ejercicio de su autonomía y discrecionalidad que le confiere el artículo 2.2.1.2.4.2.19 del Decreto 1082 de 2015, determinar en los pliegos de condiciones para los procesos estructurados por lotes o segmentos, si un proponente puede resultar adjudicatario en uno o varios de los lotes o segmentos en los que se dividen los distinto procesos de contratación que se encuentra adelantando. Esto supone la posibilidad de que la entidad estatal establezca en el pliego de condiciones reglas y/o causales de rechazo, dirigidas a excluir garantizar a evitar que se concentre la contratación en un único proponente.  </w:t>
      </w:r>
      <w:r w:rsidRPr="00792884">
        <w:rPr>
          <w:rFonts w:ascii="Century Gothic" w:hAnsi="Century Gothic" w:cs="Arial"/>
        </w:rPr>
        <w:t xml:space="preserve">Además, el inciso en comento establece que, la decisión de la entidad </w:t>
      </w:r>
      <w:r w:rsidRPr="00792884">
        <w:rPr>
          <w:rFonts w:ascii="Century Gothic" w:eastAsia="Times New Roman" w:hAnsi="Century Gothic" w:cs="Arial"/>
          <w:color w:val="000000"/>
          <w:lang w:eastAsia="es-CO"/>
        </w:rPr>
        <w:t>de no adjudicar un contrato puede obedecer −entre otras razones− a que: i) mediante este mecanismo se pueda restringir la competencia o ii) que la segmentación del mercado pueda conducir a que la ejecución del contrato sea imposible desde el punto de vista técnico o económico</w:t>
      </w:r>
      <w:r>
        <w:rPr>
          <w:rFonts w:ascii="Century Gothic" w:eastAsia="Times New Roman" w:hAnsi="Century Gothic" w:cs="Arial"/>
          <w:color w:val="000000"/>
          <w:lang w:eastAsia="es-CO"/>
        </w:rPr>
        <w:t>.</w:t>
      </w:r>
    </w:p>
    <w:p w14:paraId="2F8BC29E" w14:textId="77777777" w:rsidR="00792884" w:rsidRPr="00792884" w:rsidRDefault="00792884" w:rsidP="00792884">
      <w:pPr>
        <w:spacing w:after="120" w:line="276" w:lineRule="auto"/>
        <w:jc w:val="both"/>
        <w:rPr>
          <w:rFonts w:ascii="Century Gothic" w:eastAsia="Times New Roman" w:hAnsi="Century Gothic" w:cs="Arial"/>
          <w:color w:val="000000"/>
          <w:lang w:eastAsia="es-CO"/>
        </w:rPr>
      </w:pPr>
    </w:p>
    <w:p w14:paraId="6FF459FB" w14:textId="77777777" w:rsidR="00792884" w:rsidRDefault="00792884" w:rsidP="00792884">
      <w:pPr>
        <w:pStyle w:val="Prrafodelista"/>
        <w:numPr>
          <w:ilvl w:val="0"/>
          <w:numId w:val="15"/>
        </w:numPr>
        <w:shd w:val="clear" w:color="auto" w:fill="FFFFFF"/>
        <w:spacing w:after="120" w:line="276" w:lineRule="auto"/>
        <w:jc w:val="both"/>
        <w:rPr>
          <w:rFonts w:ascii="Century Gothic" w:hAnsi="Century Gothic" w:cs="Arial"/>
        </w:rPr>
      </w:pPr>
      <w:r w:rsidRPr="00792884">
        <w:rPr>
          <w:rFonts w:ascii="Century Gothic" w:hAnsi="Century Gothic" w:cs="Arial"/>
        </w:rPr>
        <w:t xml:space="preserve">Por otra parte, el parágrafo de la norma menciona que, en los procesos de contratación adelantados por lotes o grupos deberá aplicarse lo regulado en el artículo </w:t>
      </w:r>
      <w:r w:rsidRPr="00792884">
        <w:rPr>
          <w:rFonts w:ascii="Century Gothic" w:hAnsi="Century Gothic" w:cs="Arial"/>
          <w:color w:val="000000"/>
        </w:rPr>
        <w:t>2.2.1.2.4.2.2</w:t>
      </w:r>
      <w:r w:rsidRPr="00D075D3">
        <w:rPr>
          <w:color w:val="000000"/>
          <w:vertAlign w:val="superscript"/>
        </w:rPr>
        <w:footnoteReference w:id="7"/>
      </w:r>
      <w:r w:rsidRPr="00792884">
        <w:rPr>
          <w:rFonts w:ascii="Century Gothic" w:hAnsi="Century Gothic" w:cs="Arial"/>
          <w:color w:val="000000"/>
        </w:rPr>
        <w:t xml:space="preserve"> </w:t>
      </w:r>
      <w:r w:rsidRPr="00792884">
        <w:rPr>
          <w:rFonts w:ascii="Century Gothic" w:hAnsi="Century Gothic" w:cs="Arial"/>
          <w:i/>
          <w:iCs/>
          <w:color w:val="000000"/>
        </w:rPr>
        <w:t>“convocatorias limitadas a Mipymes”</w:t>
      </w:r>
      <w:r w:rsidRPr="00792884">
        <w:rPr>
          <w:rFonts w:ascii="Century Gothic" w:hAnsi="Century Gothic" w:cs="Arial"/>
          <w:color w:val="000000"/>
        </w:rPr>
        <w:t xml:space="preserve"> del Decreto </w:t>
      </w:r>
      <w:r w:rsidRPr="00792884">
        <w:rPr>
          <w:rFonts w:ascii="Century Gothic" w:hAnsi="Century Gothic" w:cs="Arial"/>
          <w:color w:val="000000"/>
        </w:rPr>
        <w:lastRenderedPageBreak/>
        <w:t xml:space="preserve">1082 de 2015, tomando en consideración el valor del Proceso de Contratación imputable al respectivo lote en el que se solicite su aplicación. En relación con el aspecto señalado, es pertinente mencionar que, el numeral uno del artículo 2.2.1.2.4.2.2, establece como requisitos para limitar convocatorias a Mipymes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792884">
        <w:rPr>
          <w:rFonts w:ascii="Century Gothic" w:eastAsia="Times New Roman" w:hAnsi="Century Gothic" w:cs="Arial"/>
          <w:color w:val="000000"/>
          <w:lang w:eastAsia="es-CO"/>
        </w:rPr>
        <w:t xml:space="preserve">artículo 2.2.1.2.4.2.19, cuando el proceso se adelante por lotes el valor de los </w:t>
      </w:r>
      <w:r w:rsidRPr="00792884">
        <w:rPr>
          <w:rFonts w:ascii="Century Gothic" w:hAnsi="Century Gothic" w:cs="Arial"/>
          <w:color w:val="000000"/>
        </w:rPr>
        <w:t xml:space="preserve">(US$125.000) debe establecerse en relación con el segmento, y no respecto del valor total del proceso de contratación −que se establecería con la sumatoria de todos los lotes o segmentos−. </w:t>
      </w:r>
      <w:r w:rsidRPr="00792884">
        <w:rPr>
          <w:rFonts w:ascii="Century Gothic" w:hAnsi="Century Gothic" w:cs="Arial"/>
        </w:rPr>
        <w:t>Finalmente, es pertinente mencionar que, el parágrafo en comento dispone que, en los procesos adelantados por lotes o grupos, también, se aplicará lo previsto en el artículo 2.2.1.2.4.2.3. del Decreto 1082 de 2015</w:t>
      </w:r>
      <w:r w:rsidRPr="006669FD">
        <w:rPr>
          <w:vertAlign w:val="superscript"/>
        </w:rPr>
        <w:footnoteReference w:id="8"/>
      </w:r>
      <w:r w:rsidRPr="00792884">
        <w:rPr>
          <w:rFonts w:ascii="Century Gothic" w:hAnsi="Century Gothic" w:cs="Arial"/>
        </w:rPr>
        <w:t>, a partir del lugar de ejecución del contrato asociado al respectivo lote o segmento. </w:t>
      </w:r>
    </w:p>
    <w:p w14:paraId="6CE96715" w14:textId="77777777" w:rsidR="00792884" w:rsidRPr="00792884" w:rsidRDefault="00792884" w:rsidP="00792884">
      <w:pPr>
        <w:pStyle w:val="Prrafodelista"/>
        <w:shd w:val="clear" w:color="auto" w:fill="FFFFFF"/>
        <w:spacing w:after="120" w:line="276" w:lineRule="auto"/>
        <w:jc w:val="both"/>
        <w:rPr>
          <w:rFonts w:ascii="Century Gothic" w:hAnsi="Century Gothic" w:cs="Arial"/>
        </w:rPr>
      </w:pPr>
    </w:p>
    <w:p w14:paraId="524C4581" w14:textId="77777777" w:rsidR="00871B59" w:rsidRPr="00E43EBA" w:rsidRDefault="00871B59" w:rsidP="00792884">
      <w:pPr>
        <w:widowControl w:val="0"/>
        <w:autoSpaceDE w:val="0"/>
        <w:autoSpaceDN w:val="0"/>
        <w:spacing w:after="0" w:line="276" w:lineRule="auto"/>
        <w:jc w:val="both"/>
        <w:rPr>
          <w:rFonts w:ascii="Century Gothic" w:hAnsi="Century Gothic" w:cs="Arial"/>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79B782AA" w14:textId="01BF04FA" w:rsidR="00792884" w:rsidRDefault="00792884"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Pr>
                <w:rFonts w:ascii="Century Gothic" w:eastAsia="Calibri" w:hAnsi="Century Gothic" w:cs="Arial"/>
                <w:color w:val="000000"/>
                <w:lang w:val="es-ES"/>
              </w:rPr>
              <w:t>Ley 80 de 1993</w:t>
            </w:r>
          </w:p>
          <w:p w14:paraId="0D5F2A9A" w14:textId="086A8686" w:rsid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056656D9" w14:textId="20DE3A2D" w:rsidR="00685FFD" w:rsidRDefault="00792884"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Pr>
                <w:rFonts w:ascii="Century Gothic" w:hAnsi="Century Gothic" w:cs="Arial"/>
              </w:rPr>
              <w:t>A</w:t>
            </w:r>
            <w:r w:rsidRPr="00D075D3">
              <w:rPr>
                <w:rFonts w:ascii="Century Gothic" w:hAnsi="Century Gothic" w:cs="Arial"/>
              </w:rPr>
              <w:t xml:space="preserve">rtículo </w:t>
            </w:r>
            <w:r w:rsidRPr="00D075D3">
              <w:rPr>
                <w:rFonts w:ascii="Century Gothic" w:hAnsi="Century Gothic" w:cs="Arial"/>
                <w:color w:val="000000"/>
              </w:rPr>
              <w:t>2.2.1.2.4.2.2</w:t>
            </w:r>
            <w:r>
              <w:rPr>
                <w:rFonts w:ascii="Century Gothic" w:hAnsi="Century Gothic" w:cs="Arial"/>
                <w:color w:val="000000"/>
              </w:rPr>
              <w:t xml:space="preserve"> </w:t>
            </w:r>
            <w:r w:rsidR="00685FFD" w:rsidRPr="00685FFD">
              <w:rPr>
                <w:rFonts w:ascii="Century Gothic" w:eastAsia="Calibri" w:hAnsi="Century Gothic" w:cs="Arial"/>
                <w:color w:val="000000"/>
                <w:lang w:val="es-ES"/>
              </w:rPr>
              <w:t>Decreto Único Reglamentario 1082 de 2015</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2"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3"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Default="00871B59" w:rsidP="00871B59">
      <w:pPr>
        <w:widowControl w:val="0"/>
        <w:autoSpaceDE w:val="0"/>
        <w:autoSpaceDN w:val="0"/>
        <w:spacing w:after="0" w:line="276" w:lineRule="auto"/>
        <w:jc w:val="both"/>
        <w:rPr>
          <w:rFonts w:ascii="Century Gothic" w:hAnsi="Century Gothic" w:cs="Arial"/>
        </w:rPr>
      </w:pPr>
    </w:p>
    <w:p w14:paraId="7D95ADC8"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41294D6D" w14:textId="77777777" w:rsidR="00871B59" w:rsidRDefault="00871B59" w:rsidP="00871B59">
      <w:pPr>
        <w:widowControl w:val="0"/>
        <w:autoSpaceDE w:val="0"/>
        <w:autoSpaceDN w:val="0"/>
        <w:spacing w:after="0" w:line="276" w:lineRule="auto"/>
        <w:jc w:val="both"/>
        <w:rPr>
          <w:rFonts w:ascii="Century Gothic" w:hAnsi="Century Gothic" w:cs="Arial"/>
        </w:rPr>
      </w:pPr>
    </w:p>
    <w:p w14:paraId="0A6FE44F"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688C30E7" w14:textId="0BEF86FB" w:rsidR="00871B59" w:rsidRPr="00E43EBA" w:rsidRDefault="007A7364" w:rsidP="00871B59">
      <w:pPr>
        <w:widowControl w:val="0"/>
        <w:autoSpaceDE w:val="0"/>
        <w:autoSpaceDN w:val="0"/>
        <w:spacing w:after="0" w:line="276" w:lineRule="auto"/>
        <w:jc w:val="both"/>
        <w:rPr>
          <w:rStyle w:val="normaltextrun"/>
          <w:rFonts w:ascii="Century Gothic" w:hAnsi="Century Gothic" w:cs="Arial"/>
          <w:color w:val="7030A0"/>
          <w:shd w:val="clear" w:color="auto" w:fill="FFFFFF"/>
          <w:lang w:val="es-ES"/>
        </w:rPr>
      </w:pPr>
      <w:r w:rsidRPr="00E43EBA">
        <w:rPr>
          <w:rFonts w:ascii="Century Gothic" w:eastAsia="Calibri" w:hAnsi="Century Gothic" w:cs="Arial"/>
          <w:color w:val="000000"/>
        </w:rPr>
        <w:t>L</w:t>
      </w:r>
      <w:r w:rsidRPr="00E43EBA">
        <w:rPr>
          <w:rFonts w:ascii="Century Gothic" w:eastAsia="Calibri" w:hAnsi="Century Gothic" w:cs="Arial"/>
          <w:color w:val="000000"/>
          <w:lang w:val="es-ES"/>
        </w:rPr>
        <w:t>a Agencia Nacional de Contratación Pública – Colombia Compra Eficiente, en lo</w:t>
      </w:r>
      <w:r w:rsidR="00600948">
        <w:rPr>
          <w:rFonts w:ascii="Century Gothic" w:eastAsia="Calibri" w:hAnsi="Century Gothic" w:cs="Arial"/>
          <w:color w:val="000000"/>
          <w:lang w:val="es-ES"/>
        </w:rPr>
        <w:t>s</w:t>
      </w:r>
      <w:r w:rsidR="00E43EBA">
        <w:rPr>
          <w:rFonts w:ascii="Century Gothic" w:eastAsia="Calibri" w:hAnsi="Century Gothic" w:cs="Arial"/>
          <w:color w:val="000000"/>
          <w:lang w:val="es-ES"/>
        </w:rPr>
        <w:t xml:space="preserve"> </w:t>
      </w:r>
      <w:r w:rsidR="0031699C" w:rsidRPr="00685FFD">
        <w:rPr>
          <w:rFonts w:ascii="Century Gothic" w:eastAsia="Calibri" w:hAnsi="Century Gothic" w:cs="Arial"/>
          <w:color w:val="000000"/>
          <w:lang w:val="es-ES"/>
        </w:rPr>
        <w:t>Conceptos número</w:t>
      </w:r>
      <w:r w:rsidR="00685FFD" w:rsidRPr="00685FFD">
        <w:rPr>
          <w:rFonts w:ascii="Century Gothic" w:eastAsia="Calibri" w:hAnsi="Century Gothic" w:cs="Arial"/>
          <w:color w:val="000000"/>
          <w:lang w:val="es-ES"/>
        </w:rPr>
        <w:t xml:space="preserve"> Conceptos</w:t>
      </w:r>
      <w:r w:rsidR="00D17400" w:rsidRPr="00D17400">
        <w:t xml:space="preserve"> </w:t>
      </w:r>
      <w:r w:rsidR="00D17400" w:rsidRPr="00D17400">
        <w:rPr>
          <w:rFonts w:ascii="Century Gothic" w:eastAsia="Calibri" w:hAnsi="Century Gothic" w:cs="Arial"/>
          <w:color w:val="000000"/>
        </w:rPr>
        <w:t xml:space="preserve">Concepto </w:t>
      </w:r>
      <w:r w:rsidR="00792884">
        <w:rPr>
          <w:rFonts w:ascii="Century Gothic" w:eastAsia="Calibri" w:hAnsi="Century Gothic" w:cs="Arial"/>
          <w:bCs/>
          <w:color w:val="000000" w:themeColor="text1"/>
          <w:lang w:val="es-ES_tradnl"/>
        </w:rPr>
        <w:t>-670 del 19 de octubre de 2022, C-951 del 18 de enero de 2022, C-598 del 22 de septiembre de 2022, C-670 del 19 de octubre de 2022, C-113 del 12 de mayo de 2023, C-194 del 18 de mayo de 2023 y C-064 del 5 de junio de 2023</w:t>
      </w:r>
      <w:r w:rsidR="00685FFD" w:rsidRPr="00685FFD">
        <w:rPr>
          <w:rFonts w:ascii="Century Gothic" w:eastAsia="Calibri" w:hAnsi="Century Gothic" w:cs="Arial"/>
          <w:color w:val="000000"/>
          <w:lang w:val="es-ES"/>
        </w:rPr>
        <w:t>, entre otros</w:t>
      </w:r>
      <w:r w:rsidRPr="00E43EBA">
        <w:rPr>
          <w:rFonts w:ascii="Century Gothic" w:eastAsia="Calibri" w:hAnsi="Century Gothic" w:cs="Arial"/>
          <w:color w:val="000000"/>
          <w:lang w:val="es-ES"/>
        </w:rPr>
        <w:t>.</w:t>
      </w:r>
      <w:r w:rsidR="00685FFD">
        <w:rPr>
          <w:rFonts w:ascii="Century Gothic" w:eastAsia="Calibri" w:hAnsi="Century Gothic" w:cs="Arial"/>
          <w:color w:val="000000"/>
          <w:lang w:val="es-ES"/>
        </w:rPr>
        <w:t xml:space="preserve"> </w:t>
      </w:r>
      <w:r w:rsidR="00871B59" w:rsidRPr="00E43EBA">
        <w:rPr>
          <w:rStyle w:val="normaltextrun"/>
          <w:rFonts w:ascii="Century Gothic" w:hAnsi="Century Gothic" w:cs="Arial"/>
          <w:shd w:val="clear" w:color="auto" w:fill="FFFFFF"/>
          <w:lang w:val="es-ES"/>
        </w:rPr>
        <w:t>Es</w:t>
      </w:r>
      <w:r w:rsidR="00871B59" w:rsidRPr="00E43EBA">
        <w:rPr>
          <w:rFonts w:ascii="Century Gothic" w:hAnsi="Century Gothic"/>
        </w:rPr>
        <w:t>tos y otros conceptos se encuentran disponibles para consulta en el Sistema de relatoría de la Agencia, al cual se puede acceder a través del siguiente enlace:</w:t>
      </w:r>
      <w:r w:rsidR="00871B59" w:rsidRPr="00E43EBA">
        <w:rPr>
          <w:rStyle w:val="normaltextrun"/>
          <w:rFonts w:ascii="Century Gothic" w:hAnsi="Century Gothic" w:cs="Arial"/>
          <w:shd w:val="clear" w:color="auto" w:fill="FFFFFF"/>
          <w:lang w:val="es-ES"/>
        </w:rPr>
        <w:t xml:space="preserve"> </w:t>
      </w:r>
      <w:hyperlink r:id="rId14" w:history="1">
        <w:r w:rsidR="00871B59" w:rsidRPr="00E43EBA">
          <w:rPr>
            <w:rStyle w:val="Hipervnculo"/>
            <w:rFonts w:ascii="Century Gothic" w:hAnsi="Century Gothic" w:cs="Arial"/>
            <w:shd w:val="clear" w:color="auto" w:fill="FFFFFF"/>
            <w:lang w:val="es-ES"/>
          </w:rPr>
          <w:t>https://relatoria.colombiacompra.gov.co/busqueda/conceptos</w:t>
        </w:r>
      </w:hyperlink>
      <w:r w:rsidR="00871B59" w:rsidRPr="00E43EBA">
        <w:rPr>
          <w:rStyle w:val="normaltextrun"/>
          <w:rFonts w:ascii="Century Gothic" w:hAnsi="Century Gothic" w:cs="Arial"/>
          <w:color w:val="FF0000"/>
          <w:shd w:val="clear" w:color="auto" w:fill="FFFFFF"/>
          <w:lang w:val="es-ES"/>
        </w:rPr>
        <w:t xml:space="preserve">. </w:t>
      </w:r>
    </w:p>
    <w:p w14:paraId="653CF3BE" w14:textId="777777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p>
    <w:p w14:paraId="5384012E" w14:textId="77777777" w:rsidR="0031699C"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43EBA">
        <w:rPr>
          <w:rStyle w:val="normaltextrun"/>
          <w:rFonts w:ascii="Century Gothic" w:hAnsi="Century Gothic" w:cs="Arial"/>
          <w:color w:val="FF0000"/>
          <w:shd w:val="clear" w:color="auto" w:fill="FFFFFF"/>
          <w:lang w:val="es-ES"/>
        </w:rPr>
        <w:t xml:space="preserve"> </w:t>
      </w:r>
      <w:hyperlink r:id="rId15" w:history="1">
        <w:r w:rsidRPr="00E43EBA">
          <w:rPr>
            <w:rStyle w:val="Hipervnculo"/>
            <w:rFonts w:ascii="Century Gothic" w:hAnsi="Century Gothic" w:cs="Arial"/>
            <w:shd w:val="clear" w:color="auto" w:fill="FFFFFF"/>
            <w:lang w:val="es-ES"/>
          </w:rPr>
          <w:t>https://www.colombiacompra.gov.co/sala-de-prensa/boletin-digital</w:t>
        </w:r>
      </w:hyperlink>
      <w:r w:rsidRPr="00E43EBA">
        <w:rPr>
          <w:rStyle w:val="normaltextrun"/>
          <w:rFonts w:ascii="Century Gothic" w:hAnsi="Century Gothic" w:cs="Arial"/>
          <w:color w:val="FF0000"/>
          <w:shd w:val="clear" w:color="auto" w:fill="FFFFFF"/>
          <w:lang w:val="es-ES"/>
        </w:rPr>
        <w:t xml:space="preserve">   </w:t>
      </w:r>
    </w:p>
    <w:p w14:paraId="6E5FBA74" w14:textId="64E22A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FF0000"/>
          <w:shd w:val="clear" w:color="auto" w:fill="FFFFFF"/>
          <w:lang w:val="es-ES"/>
        </w:rPr>
        <w:t xml:space="preserve">   </w:t>
      </w: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lastRenderedPageBreak/>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6980ECB3" w14:textId="77777777" w:rsidR="00871B59" w:rsidRDefault="00871B59" w:rsidP="00871B59">
      <w:pPr>
        <w:widowControl w:val="0"/>
        <w:autoSpaceDE w:val="0"/>
        <w:autoSpaceDN w:val="0"/>
        <w:spacing w:after="0" w:line="276" w:lineRule="auto"/>
        <w:jc w:val="both"/>
        <w:rPr>
          <w:rFonts w:ascii="Century Gothic" w:hAnsi="Century Gothic" w:cs="Arial"/>
        </w:rPr>
      </w:pPr>
    </w:p>
    <w:p w14:paraId="618EB3FF" w14:textId="77777777" w:rsidR="0031699C" w:rsidRDefault="0031699C" w:rsidP="00871B59">
      <w:pPr>
        <w:widowControl w:val="0"/>
        <w:autoSpaceDE w:val="0"/>
        <w:autoSpaceDN w:val="0"/>
        <w:spacing w:after="0" w:line="276" w:lineRule="auto"/>
        <w:jc w:val="both"/>
        <w:rPr>
          <w:rFonts w:ascii="Century Gothic" w:hAnsi="Century Gothic" w:cs="Arial"/>
        </w:rPr>
      </w:pPr>
    </w:p>
    <w:p w14:paraId="35836F7A" w14:textId="07B2A4CB" w:rsidR="0031699C" w:rsidRDefault="0031699C" w:rsidP="00871B59">
      <w:pPr>
        <w:widowControl w:val="0"/>
        <w:autoSpaceDE w:val="0"/>
        <w:autoSpaceDN w:val="0"/>
        <w:spacing w:after="0" w:line="276" w:lineRule="auto"/>
        <w:jc w:val="both"/>
        <w:rPr>
          <w:rFonts w:ascii="Century Gothic" w:hAnsi="Century Gothic" w:cs="Arial"/>
        </w:rPr>
      </w:pPr>
      <w:r w:rsidRPr="0031699C">
        <w:rPr>
          <w:rFonts w:ascii="Century Gothic" w:hAnsi="Century Gothic" w:cs="Arial"/>
        </w:rPr>
        <w:t>También le recomendamos consultar las versiones I y II de 2024 del Boletín de Relatoría de la Subdirección de Gestión Contractual, las cuales puede descargar en la página web de la Agencia: </w:t>
      </w:r>
      <w:hyperlink r:id="rId16" w:tgtFrame="_blank" w:tooltip="Dirección URL original: https://www.colombiacompra.gov.co/sala-de-prensa/boletin-digital. Haga clic o pulse si confía en este vínculo." w:history="1">
        <w:r w:rsidRPr="0031699C">
          <w:rPr>
            <w:rStyle w:val="Hipervnculo"/>
            <w:rFonts w:ascii="Century Gothic" w:hAnsi="Century Gothic" w:cs="Arial"/>
          </w:rPr>
          <w:t>https://www.colombiacompra.gov.co/sala-de-prensa/boletin-digital</w:t>
        </w:r>
      </w:hyperlink>
      <w:r w:rsidRPr="0031699C">
        <w:rPr>
          <w:rFonts w:ascii="Century Gothic" w:hAnsi="Century Gothic" w:cs="Arial"/>
        </w:rPr>
        <w:t xml:space="preserve">. </w:t>
      </w:r>
    </w:p>
    <w:p w14:paraId="584CCC13" w14:textId="77777777" w:rsidR="00D17400" w:rsidRDefault="00D17400"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4E00EB38" w:rsidR="00871B59" w:rsidRPr="00593A5F" w:rsidRDefault="00EF4A80"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144C96F7" wp14:editId="5948507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929B3B3" w14:textId="25C0935A" w:rsidR="007A7364" w:rsidRPr="00685FFD" w:rsidRDefault="00652F78" w:rsidP="002607A7">
            <w:pPr>
              <w:contextualSpacing/>
              <w:rPr>
                <w:rFonts w:ascii="Century Gothic" w:hAnsi="Century Gothic" w:cs="Arial"/>
                <w:sz w:val="16"/>
                <w:szCs w:val="16"/>
                <w:lang w:val="es-ES_tradnl"/>
              </w:rPr>
            </w:pPr>
            <w:r>
              <w:rPr>
                <w:rFonts w:ascii="Century Gothic" w:hAnsi="Century Gothic" w:cs="Arial"/>
                <w:sz w:val="16"/>
                <w:szCs w:val="16"/>
                <w:lang w:val="es-ES_tradnl"/>
              </w:rPr>
              <w:t xml:space="preserve">Diana </w:t>
            </w:r>
            <w:r w:rsidR="007A7364" w:rsidRPr="00685FFD">
              <w:rPr>
                <w:rFonts w:ascii="Century Gothic" w:hAnsi="Century Gothic" w:cs="Arial"/>
                <w:sz w:val="16"/>
                <w:szCs w:val="16"/>
                <w:lang w:val="es-ES_tradnl"/>
              </w:rPr>
              <w:t xml:space="preserve">Carolina Blanco Rodriguez </w:t>
            </w:r>
          </w:p>
          <w:p w14:paraId="27134A92" w14:textId="0A67E70D" w:rsidR="00871B59" w:rsidRPr="00685FFD" w:rsidRDefault="007A7364" w:rsidP="002607A7">
            <w:pPr>
              <w:contextualSpacing/>
              <w:rPr>
                <w:rFonts w:ascii="Century Gothic" w:hAnsi="Century Gothic" w:cs="Arial"/>
                <w:sz w:val="16"/>
                <w:szCs w:val="16"/>
                <w:lang w:val="es-ES_tradnl"/>
              </w:rPr>
            </w:pPr>
            <w:r w:rsidRPr="00685FFD">
              <w:rPr>
                <w:rFonts w:ascii="Century Gothic" w:hAnsi="Century Gothic"/>
                <w:sz w:val="16"/>
                <w:szCs w:val="16"/>
                <w:lang w:val="es-ES_tradnl"/>
              </w:rPr>
              <w:t xml:space="preserve">Contratista </w:t>
            </w:r>
            <w:r w:rsidR="00871B59" w:rsidRPr="00685FFD">
              <w:rPr>
                <w:rFonts w:ascii="Century Gothic" w:hAnsi="Century Gothic"/>
                <w:sz w:val="16"/>
                <w:szCs w:val="16"/>
                <w:lang w:val="es-ES_tradnl"/>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F80C80" w14:textId="15BB0A43" w:rsidR="0031699C" w:rsidRPr="00685FFD" w:rsidRDefault="00D17400" w:rsidP="002607A7">
            <w:pPr>
              <w:pStyle w:val="paragraph"/>
              <w:spacing w:before="0" w:beforeAutospacing="0" w:after="0" w:afterAutospacing="0"/>
              <w:contextualSpacing/>
              <w:textAlignment w:val="baseline"/>
              <w:rPr>
                <w:rFonts w:ascii="Century Gothic" w:eastAsiaTheme="minorHAnsi" w:hAnsi="Century Gothic"/>
                <w:sz w:val="16"/>
                <w:szCs w:val="16"/>
                <w:lang w:val="es-ES_tradnl" w:eastAsia="en-US"/>
              </w:rPr>
            </w:pPr>
            <w:r>
              <w:rPr>
                <w:rFonts w:ascii="Century Gothic" w:eastAsiaTheme="minorHAnsi" w:hAnsi="Century Gothic"/>
                <w:sz w:val="16"/>
                <w:szCs w:val="16"/>
                <w:lang w:val="es-ES_tradnl" w:eastAsia="en-US"/>
              </w:rPr>
              <w:t xml:space="preserve">Adriana López </w:t>
            </w:r>
          </w:p>
          <w:p w14:paraId="408B71DB" w14:textId="0A2E1569" w:rsidR="00871B59" w:rsidRPr="00685FFD" w:rsidRDefault="007A7364" w:rsidP="002607A7">
            <w:pPr>
              <w:pStyle w:val="paragraph"/>
              <w:spacing w:before="0" w:beforeAutospacing="0" w:after="0" w:afterAutospacing="0"/>
              <w:contextualSpacing/>
              <w:textAlignment w:val="baseline"/>
              <w:rPr>
                <w:rFonts w:ascii="Century Gothic" w:eastAsiaTheme="minorHAnsi" w:hAnsi="Century Gothic" w:cs="Arial"/>
                <w:sz w:val="16"/>
                <w:szCs w:val="16"/>
                <w:lang w:val="es-ES_tradnl" w:eastAsia="en-US"/>
              </w:rPr>
            </w:pPr>
            <w:r w:rsidRPr="00685FFD">
              <w:rPr>
                <w:rFonts w:ascii="Century Gothic" w:eastAsiaTheme="minorHAnsi" w:hAnsi="Century Gothic"/>
                <w:sz w:val="16"/>
                <w:szCs w:val="16"/>
                <w:lang w:val="es-ES_tradnl" w:eastAsia="en-US"/>
              </w:rPr>
              <w:t>Contratista</w:t>
            </w:r>
            <w:r w:rsidR="00871B59" w:rsidRPr="00685FFD">
              <w:rPr>
                <w:rFonts w:ascii="Century Gothic" w:eastAsiaTheme="minorHAnsi" w:hAnsi="Century Gothic"/>
                <w:sz w:val="16"/>
                <w:szCs w:val="16"/>
                <w:lang w:val="es-ES_tradnl" w:eastAsia="en-US"/>
              </w:rPr>
              <w:t xml:space="preserve"> de la Subdirección de Gestión Contractual </w:t>
            </w:r>
          </w:p>
        </w:tc>
      </w:tr>
      <w:tr w:rsidR="00871B59" w:rsidRPr="00593A5F" w14:paraId="2A81CFC8" w14:textId="77777777" w:rsidTr="002607A7">
        <w:trPr>
          <w:trHeight w:val="300"/>
        </w:trPr>
        <w:tc>
          <w:tcPr>
            <w:tcW w:w="893" w:type="dxa"/>
            <w:vAlign w:val="center"/>
          </w:tcPr>
          <w:p w14:paraId="3159EE97"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Carolina Quintero Gacharná</w:t>
            </w:r>
          </w:p>
          <w:p w14:paraId="6EE38C14"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B08CD" w14:textId="77777777" w:rsidR="00133097" w:rsidRDefault="00133097" w:rsidP="00B30448">
      <w:pPr>
        <w:spacing w:after="0" w:line="240" w:lineRule="auto"/>
      </w:pPr>
      <w:r>
        <w:separator/>
      </w:r>
    </w:p>
  </w:endnote>
  <w:endnote w:type="continuationSeparator" w:id="0">
    <w:p w14:paraId="0BA26954" w14:textId="77777777" w:rsidR="00133097" w:rsidRDefault="00133097" w:rsidP="00B30448">
      <w:pPr>
        <w:spacing w:after="0" w:line="240" w:lineRule="auto"/>
      </w:pPr>
      <w:r>
        <w:continuationSeparator/>
      </w:r>
    </w:p>
  </w:endnote>
  <w:endnote w:type="continuationNotice" w:id="1">
    <w:p w14:paraId="1866B3BD" w14:textId="77777777" w:rsidR="00133097" w:rsidRDefault="001330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Work Sans">
    <w:charset w:val="00"/>
    <w:family w:val="auto"/>
    <w:pitch w:val="variable"/>
    <w:sig w:usb0="A00000FF" w:usb1="5000E07B"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13BBA" w14:textId="77777777" w:rsidR="00133097" w:rsidRDefault="00133097" w:rsidP="00B30448">
      <w:pPr>
        <w:spacing w:after="0" w:line="240" w:lineRule="auto"/>
      </w:pPr>
      <w:r>
        <w:separator/>
      </w:r>
    </w:p>
  </w:footnote>
  <w:footnote w:type="continuationSeparator" w:id="0">
    <w:p w14:paraId="1ED33804" w14:textId="77777777" w:rsidR="00133097" w:rsidRDefault="00133097" w:rsidP="00B30448">
      <w:pPr>
        <w:spacing w:after="0" w:line="240" w:lineRule="auto"/>
      </w:pPr>
      <w:r>
        <w:continuationSeparator/>
      </w:r>
    </w:p>
  </w:footnote>
  <w:footnote w:type="continuationNotice" w:id="1">
    <w:p w14:paraId="592ABA34" w14:textId="77777777" w:rsidR="00133097" w:rsidRDefault="00133097">
      <w:pPr>
        <w:spacing w:after="0" w:line="240" w:lineRule="auto"/>
      </w:pPr>
    </w:p>
  </w:footnote>
  <w:footnote w:id="2">
    <w:p w14:paraId="6E2DDE13" w14:textId="77777777" w:rsidR="00792884" w:rsidRPr="00D075D3" w:rsidRDefault="00792884" w:rsidP="00792884">
      <w:pPr>
        <w:pStyle w:val="NormalWeb"/>
        <w:shd w:val="clear" w:color="auto" w:fill="FFFFFF"/>
        <w:spacing w:after="0"/>
        <w:ind w:firstLine="708"/>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Decreto 1082 de 2015: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70AD64A7" w14:textId="77777777" w:rsidR="00792884" w:rsidRPr="00D075D3" w:rsidRDefault="00792884" w:rsidP="00792884">
      <w:pPr>
        <w:shd w:val="clear" w:color="auto" w:fill="FFFFFF"/>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1. El valor del Proceso de Contratación sea menor a ciento veinticinco mil dólares de los Estados Unidos de América (US$125.000), liquidados con la tasa de cambio que para el efecto determina cada dos años el Ministerio de Comercio, Industria y Turismo.</w:t>
      </w:r>
    </w:p>
    <w:p w14:paraId="46FB4E48" w14:textId="77777777" w:rsidR="00792884" w:rsidRPr="00D075D3" w:rsidRDefault="00792884" w:rsidP="00792884">
      <w:pPr>
        <w:shd w:val="clear" w:color="auto" w:fill="FFFFFF"/>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31F7047D" w14:textId="77777777" w:rsidR="00792884" w:rsidRPr="00D075D3" w:rsidRDefault="00792884" w:rsidP="00792884">
      <w:pPr>
        <w:shd w:val="clear" w:color="auto" w:fill="FFFFFF"/>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Tratándose de personas jurídicas, las solicitudes solo las podrán realizar Mipyme, cuyo objeto social les permita ejecutar el contrato relacionado con el proceso contractual.</w:t>
      </w:r>
    </w:p>
    <w:p w14:paraId="6C73EB33" w14:textId="77777777" w:rsidR="00792884" w:rsidRPr="00D075D3" w:rsidRDefault="00792884" w:rsidP="00792884">
      <w:pPr>
        <w:shd w:val="clear" w:color="auto" w:fill="FFFFFF"/>
        <w:spacing w:after="0" w:line="240" w:lineRule="auto"/>
        <w:ind w:firstLine="708"/>
        <w:jc w:val="both"/>
        <w:rPr>
          <w:rFonts w:ascii="Century Gothic" w:hAnsi="Century Gothic" w:cs="Arial"/>
          <w:sz w:val="16"/>
          <w:szCs w:val="16"/>
        </w:rPr>
      </w:pPr>
      <w:r w:rsidRPr="00D075D3">
        <w:rPr>
          <w:rFonts w:ascii="Century Gothic" w:eastAsia="Times New Roman" w:hAnsi="Century Gothic" w:cs="Arial"/>
          <w:sz w:val="16"/>
          <w:szCs w:val="16"/>
          <w:lang w:eastAsia="es-CO"/>
        </w:rPr>
        <w:t>PARÁGRAFO. Las cooperativas y demás entidades de economía solidaria, siempre que tengan la calidad de Mípyme, podrán solicitar y participar en las convocatorias limitadas en las mismas condiciones dispuestas en el presente artículo”.</w:t>
      </w:r>
    </w:p>
  </w:footnote>
  <w:footnote w:id="3">
    <w:p w14:paraId="361301C8" w14:textId="77777777" w:rsidR="00792884" w:rsidRPr="00D075D3" w:rsidRDefault="00792884" w:rsidP="00792884">
      <w:pPr>
        <w:pStyle w:val="Textonotapie"/>
        <w:ind w:firstLine="708"/>
        <w:jc w:val="both"/>
        <w:rPr>
          <w:rFonts w:ascii="Century Gothic" w:hAnsi="Century Gothic" w:cs="Arial"/>
          <w:sz w:val="16"/>
          <w:szCs w:val="16"/>
          <w:lang w:val="es-CO"/>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Decreto 1082 de 2015: “</w:t>
      </w:r>
      <w:r w:rsidRPr="00D075D3">
        <w:rPr>
          <w:rFonts w:ascii="Century Gothic" w:hAnsi="Century Gothic" w:cs="Arial"/>
          <w:sz w:val="16"/>
          <w:szCs w:val="16"/>
          <w:lang w:val="es-CO"/>
        </w:rPr>
        <w:t>Artículo</w:t>
      </w:r>
      <w:bookmarkStart w:id="1" w:name="2.2.1.2.4.2.3"/>
      <w:bookmarkEnd w:id="1"/>
      <w:r w:rsidRPr="00D075D3">
        <w:rPr>
          <w:rFonts w:ascii="Century Gothic" w:hAnsi="Century Gothic" w:cs="Arial"/>
          <w:sz w:val="16"/>
          <w:szCs w:val="16"/>
          <w:lang w:val="es-CO"/>
        </w:rPr>
        <w:t> 2.2.1.2.4.2.3. Limitaciones territoriales. De conformidad con el parágrafo </w:t>
      </w:r>
      <w:hyperlink r:id="rId1" w:anchor="12.p1" w:history="1">
        <w:r w:rsidRPr="00D075D3">
          <w:rPr>
            <w:rFonts w:ascii="Century Gothic" w:hAnsi="Century Gothic" w:cs="Arial"/>
            <w:sz w:val="16"/>
            <w:szCs w:val="16"/>
            <w:lang w:val="es-CO"/>
          </w:rPr>
          <w:t>1 </w:t>
        </w:r>
      </w:hyperlink>
      <w:r w:rsidRPr="00D075D3">
        <w:rPr>
          <w:rFonts w:ascii="Century Gothic" w:hAnsi="Century Gothic" w:cs="Arial"/>
          <w:sz w:val="16"/>
          <w:szCs w:val="16"/>
          <w:lang w:val="es-CO"/>
        </w:rPr>
        <w:t>del artículo </w:t>
      </w:r>
      <w:hyperlink r:id="rId2" w:anchor="12" w:history="1">
        <w:r w:rsidRPr="00D075D3">
          <w:rPr>
            <w:rFonts w:ascii="Century Gothic" w:hAnsi="Century Gothic" w:cs="Arial"/>
            <w:sz w:val="16"/>
            <w:szCs w:val="16"/>
            <w:lang w:val="es-CO"/>
          </w:rPr>
          <w:t>12 </w:t>
        </w:r>
      </w:hyperlink>
      <w:r w:rsidRPr="00D075D3">
        <w:rPr>
          <w:rFonts w:ascii="Century Gothic" w:hAnsi="Century Gothic" w:cs="Arial"/>
          <w:sz w:val="16"/>
          <w:szCs w:val="16"/>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footnote>
  <w:footnote w:id="4">
    <w:p w14:paraId="0E47BB5D" w14:textId="77777777" w:rsidR="00792884" w:rsidRPr="00D075D3" w:rsidRDefault="00792884" w:rsidP="00792884">
      <w:pPr>
        <w:pStyle w:val="Textonotapie"/>
        <w:ind w:firstLine="709"/>
        <w:jc w:val="both"/>
        <w:rPr>
          <w:rFonts w:ascii="Century Gothic" w:hAnsi="Century Gothic" w:cs="Arial"/>
          <w:sz w:val="16"/>
          <w:szCs w:val="16"/>
          <w:lang w:val="es-CO"/>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sz w:val="16"/>
          <w:szCs w:val="16"/>
          <w:lang w:eastAsia="es-MX"/>
        </w:rPr>
        <w:t xml:space="preserve">“Por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5">
    <w:p w14:paraId="70EBA5BD" w14:textId="77777777" w:rsidR="00792884" w:rsidRPr="00D075D3" w:rsidRDefault="00792884" w:rsidP="00792884">
      <w:pPr>
        <w:pStyle w:val="Textonotapie"/>
        <w:ind w:firstLine="708"/>
        <w:rPr>
          <w:rFonts w:ascii="Century Gothic" w:hAnsi="Century Gothic"/>
          <w:sz w:val="16"/>
          <w:szCs w:val="16"/>
        </w:rPr>
      </w:pPr>
    </w:p>
    <w:p w14:paraId="1B424464" w14:textId="77777777" w:rsidR="00792884" w:rsidRPr="00D075D3" w:rsidRDefault="00792884" w:rsidP="00792884">
      <w:pPr>
        <w:pStyle w:val="Textonotapie"/>
        <w:ind w:firstLine="708"/>
        <w:jc w:val="both"/>
        <w:rPr>
          <w:rFonts w:ascii="Century Gothic" w:hAnsi="Century Gothic"/>
          <w:sz w:val="16"/>
          <w:szCs w:val="16"/>
        </w:rPr>
      </w:pPr>
      <w:r w:rsidRPr="00D075D3">
        <w:rPr>
          <w:rStyle w:val="Refdenotaalpie"/>
          <w:rFonts w:ascii="Century Gothic" w:hAnsi="Century Gothic"/>
          <w:sz w:val="16"/>
          <w:szCs w:val="16"/>
        </w:rPr>
        <w:footnoteRef/>
      </w:r>
      <w:r w:rsidRPr="00D075D3">
        <w:rPr>
          <w:rFonts w:ascii="Century Gothic" w:hAnsi="Century Gothic"/>
          <w:sz w:val="16"/>
          <w:szCs w:val="16"/>
        </w:rPr>
        <w:t xml:space="preserve"> Decreto 2069 de 2020: “Artículo 33. PROMOCIÓN DEL ACCESO DE LAS MIPYMES AL MERCADO DE COMPRAS PÚBLICAS. Modifíquese el artículo 12 de la Ley 590 de 2000, el cual quedará así:  </w:t>
      </w:r>
    </w:p>
    <w:p w14:paraId="58466633" w14:textId="77777777" w:rsidR="00792884" w:rsidRPr="00D075D3" w:rsidRDefault="00792884" w:rsidP="00792884">
      <w:pPr>
        <w:pStyle w:val="Textonotapie"/>
        <w:ind w:firstLine="708"/>
        <w:jc w:val="both"/>
        <w:rPr>
          <w:rFonts w:ascii="Century Gothic" w:hAnsi="Century Gothic"/>
          <w:sz w:val="16"/>
          <w:szCs w:val="16"/>
        </w:rPr>
      </w:pPr>
      <w:r w:rsidRPr="00D075D3">
        <w:rPr>
          <w:rFonts w:ascii="Century Gothic" w:hAnsi="Century Gothic"/>
          <w:sz w:val="16"/>
          <w:szCs w:val="16"/>
        </w:rPr>
        <w:t xml:space="preserve">"Artículo 12. Promoción del acceso de las MIPYMES al mercado de Compras Públicas. Con el fin de promover el acceso de las MIPYMES al mercado de Compras Públicas, las Entidades Estatales indistintamente de su régimen de contratación, los patrimonios autónomos constituidos por Entidades Estatales y los particulares que ejecuten recursos públicos: </w:t>
      </w:r>
    </w:p>
    <w:p w14:paraId="1FCBA35F" w14:textId="77777777" w:rsidR="00792884" w:rsidRPr="00D075D3" w:rsidRDefault="00792884" w:rsidP="00792884">
      <w:pPr>
        <w:pStyle w:val="Textonotapie"/>
        <w:ind w:firstLine="708"/>
        <w:jc w:val="both"/>
        <w:rPr>
          <w:rFonts w:ascii="Century Gothic" w:hAnsi="Century Gothic"/>
          <w:sz w:val="16"/>
          <w:szCs w:val="16"/>
        </w:rPr>
      </w:pPr>
      <w:r w:rsidRPr="00D075D3">
        <w:rPr>
          <w:rFonts w:ascii="Century Gothic" w:hAnsi="Century Gothic"/>
          <w:sz w:val="16"/>
          <w:szCs w:val="16"/>
        </w:rPr>
        <w:t>[…]</w:t>
      </w:r>
    </w:p>
    <w:p w14:paraId="62473C1E" w14:textId="77777777" w:rsidR="00792884" w:rsidRPr="00D075D3" w:rsidRDefault="00792884" w:rsidP="00792884">
      <w:pPr>
        <w:pStyle w:val="Textonotapie"/>
        <w:ind w:firstLine="708"/>
        <w:jc w:val="both"/>
        <w:rPr>
          <w:rFonts w:ascii="Century Gothic" w:hAnsi="Century Gothic" w:cs="Arial"/>
          <w:color w:val="000000"/>
          <w:sz w:val="16"/>
          <w:szCs w:val="16"/>
        </w:rPr>
      </w:pPr>
      <w:r w:rsidRPr="00D075D3">
        <w:rPr>
          <w:rFonts w:ascii="Century Gothic" w:hAnsi="Century Gothic" w:cs="Arial"/>
          <w:color w:val="000000"/>
          <w:sz w:val="16"/>
          <w:szCs w:val="16"/>
        </w:rPr>
        <w:t>6. Promoverán la división del Proceso de Contratación en lotes o segmentos que faciliten la participación de las MIPYMES en el Proceso de Contratación […]”.</w:t>
      </w:r>
    </w:p>
    <w:p w14:paraId="61DA251C" w14:textId="77777777" w:rsidR="00792884" w:rsidRPr="00D075D3" w:rsidRDefault="00792884" w:rsidP="00792884">
      <w:pPr>
        <w:pStyle w:val="Textonotapie"/>
        <w:ind w:firstLine="708"/>
        <w:rPr>
          <w:rFonts w:ascii="Century Gothic" w:hAnsi="Century Gothic"/>
          <w:sz w:val="16"/>
          <w:szCs w:val="16"/>
        </w:rPr>
      </w:pPr>
      <w:r w:rsidRPr="00D075D3">
        <w:rPr>
          <w:rFonts w:ascii="Century Gothic" w:hAnsi="Century Gothic" w:cs="Arial"/>
          <w:color w:val="000000"/>
          <w:sz w:val="16"/>
          <w:szCs w:val="16"/>
        </w:rPr>
        <w:t xml:space="preserve">  </w:t>
      </w:r>
      <w:r w:rsidRPr="00D075D3">
        <w:rPr>
          <w:rFonts w:ascii="Century Gothic" w:hAnsi="Century Gothic"/>
          <w:sz w:val="16"/>
          <w:szCs w:val="16"/>
        </w:rPr>
        <w:t xml:space="preserve"> </w:t>
      </w:r>
    </w:p>
  </w:footnote>
  <w:footnote w:id="6">
    <w:p w14:paraId="08CE97B0" w14:textId="77777777" w:rsidR="00792884" w:rsidRPr="00D075D3" w:rsidRDefault="00792884" w:rsidP="00792884">
      <w:pPr>
        <w:pStyle w:val="NormalWeb"/>
        <w:spacing w:after="0"/>
        <w:ind w:firstLine="709"/>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Decreto 1082 de 2015 −modificado por el artículo 2 del Decreto 142 de 2023−: “Artículo 2.2.1.1.1.4.1. </w:t>
      </w:r>
      <w:r w:rsidRPr="00D075D3">
        <w:rPr>
          <w:rFonts w:ascii="Century Gothic" w:hAnsi="Century Gothic" w:cs="Arial"/>
          <w:i/>
          <w:iCs/>
          <w:sz w:val="16"/>
          <w:szCs w:val="16"/>
        </w:rPr>
        <w:t>Plan Anual de Adquisiciones. </w:t>
      </w:r>
      <w:r w:rsidRPr="00D075D3">
        <w:rPr>
          <w:rFonts w:ascii="Century Gothic" w:hAnsi="Century Gothic" w:cs="Arial"/>
          <w:sz w:val="16"/>
          <w:szCs w:val="16"/>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w:t>
      </w:r>
    </w:p>
    <w:p w14:paraId="789DFFB8" w14:textId="77777777" w:rsidR="00792884" w:rsidRPr="00D075D3" w:rsidRDefault="00792884" w:rsidP="00792884">
      <w:pPr>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Las entidades estatales deberán planear su contratación de manera que se promueva la división de Procesos de Contratación en lotes o segmentos en los que se facilite la participación de las Mipymes. </w:t>
      </w:r>
    </w:p>
    <w:p w14:paraId="60682C4E" w14:textId="77777777" w:rsidR="00792884" w:rsidRPr="00D075D3" w:rsidRDefault="00792884" w:rsidP="00792884">
      <w:pPr>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Dentro de estas Mipymes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 </w:t>
      </w:r>
    </w:p>
    <w:p w14:paraId="17788CEC" w14:textId="77777777" w:rsidR="00792884" w:rsidRPr="00D075D3" w:rsidRDefault="00792884" w:rsidP="00792884">
      <w:pPr>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Mipymes en los términos previstos en el artículo 23 de la Ley 2069 de 2020, el artículo 2° de la Ley 590 de 2000 y por el Decreto número 957 de 2019 o las normas que los modifiquen”. </w:t>
      </w:r>
    </w:p>
    <w:p w14:paraId="06C2F262" w14:textId="77777777" w:rsidR="00792884" w:rsidRPr="00D075D3" w:rsidRDefault="00792884" w:rsidP="00792884">
      <w:pPr>
        <w:pStyle w:val="Textonotapie"/>
        <w:jc w:val="both"/>
        <w:rPr>
          <w:rFonts w:ascii="Century Gothic" w:hAnsi="Century Gothic" w:cs="Arial"/>
          <w:sz w:val="16"/>
          <w:szCs w:val="16"/>
          <w:lang w:val="es-CO"/>
        </w:rPr>
      </w:pPr>
    </w:p>
  </w:footnote>
  <w:footnote w:id="7">
    <w:p w14:paraId="7FD9595D" w14:textId="77777777" w:rsidR="00792884" w:rsidRPr="00D075D3" w:rsidRDefault="00792884" w:rsidP="00792884">
      <w:pPr>
        <w:pStyle w:val="NormalWeb"/>
        <w:shd w:val="clear" w:color="auto" w:fill="FFFFFF"/>
        <w:spacing w:after="0"/>
        <w:ind w:firstLine="708"/>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Decreto 1082 de 2015: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504634BA" w14:textId="77777777" w:rsidR="00792884" w:rsidRPr="00D075D3" w:rsidRDefault="00792884" w:rsidP="00792884">
      <w:pPr>
        <w:shd w:val="clear" w:color="auto" w:fill="FFFFFF"/>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1. El valor del Proceso de Contratación sea menor a ciento veinticinco mil dólares de los Estados Unidos de América (US$125.000), liquidados con la tasa de cambio que para el efecto determina cada dos años el Ministerio de Comercio, Industria y Turismo.</w:t>
      </w:r>
    </w:p>
    <w:p w14:paraId="3061ABCC" w14:textId="77777777" w:rsidR="00792884" w:rsidRPr="00D075D3" w:rsidRDefault="00792884" w:rsidP="00792884">
      <w:pPr>
        <w:shd w:val="clear" w:color="auto" w:fill="FFFFFF"/>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2E087DFD" w14:textId="77777777" w:rsidR="00792884" w:rsidRPr="00D075D3" w:rsidRDefault="00792884" w:rsidP="00792884">
      <w:pPr>
        <w:shd w:val="clear" w:color="auto" w:fill="FFFFFF"/>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Tratándose de personas jurídicas, las solicitudes solo las podrán realizar Mipyme, cuyo objeto social les permita ejecutar el contrato relacionado con el proceso contractual.</w:t>
      </w:r>
    </w:p>
    <w:p w14:paraId="16D61453" w14:textId="77777777" w:rsidR="00792884" w:rsidRPr="00D075D3" w:rsidRDefault="00792884" w:rsidP="00792884">
      <w:pPr>
        <w:shd w:val="clear" w:color="auto" w:fill="FFFFFF"/>
        <w:spacing w:after="0" w:line="240" w:lineRule="auto"/>
        <w:ind w:firstLine="708"/>
        <w:jc w:val="both"/>
        <w:rPr>
          <w:rFonts w:ascii="Century Gothic" w:hAnsi="Century Gothic" w:cs="Arial"/>
          <w:sz w:val="16"/>
          <w:szCs w:val="16"/>
        </w:rPr>
      </w:pPr>
      <w:r w:rsidRPr="00D075D3">
        <w:rPr>
          <w:rFonts w:ascii="Century Gothic" w:eastAsia="Times New Roman" w:hAnsi="Century Gothic" w:cs="Arial"/>
          <w:sz w:val="16"/>
          <w:szCs w:val="16"/>
          <w:lang w:eastAsia="es-CO"/>
        </w:rPr>
        <w:t>PARÁGRAFO. Las cooperativas y demás entidades de economía solidaria, siempre que tengan la calidad de Mípyme, podrán solicitar y participar en las convocatorias limitadas en las mismas condiciones dispuestas en el presente artículo”.</w:t>
      </w:r>
    </w:p>
  </w:footnote>
  <w:footnote w:id="8">
    <w:p w14:paraId="2DD67D95" w14:textId="77777777" w:rsidR="00792884" w:rsidRPr="00D075D3" w:rsidRDefault="00792884" w:rsidP="00792884">
      <w:pPr>
        <w:pStyle w:val="Textonotapie"/>
        <w:ind w:firstLine="708"/>
        <w:jc w:val="both"/>
        <w:rPr>
          <w:rFonts w:ascii="Century Gothic" w:hAnsi="Century Gothic" w:cs="Arial"/>
          <w:sz w:val="16"/>
          <w:szCs w:val="16"/>
          <w:lang w:val="es-CO"/>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Decreto 1082 de 2015: “</w:t>
      </w:r>
      <w:r w:rsidRPr="00D075D3">
        <w:rPr>
          <w:rFonts w:ascii="Century Gothic" w:hAnsi="Century Gothic" w:cs="Arial"/>
          <w:sz w:val="16"/>
          <w:szCs w:val="16"/>
          <w:lang w:val="es-CO"/>
        </w:rPr>
        <w:t>Artículo 2.2.1.2.4.2.3. Limitaciones territoriales. De conformidad con el parágrafo </w:t>
      </w:r>
      <w:hyperlink r:id="rId3" w:anchor="12.p1" w:history="1">
        <w:r w:rsidRPr="00D075D3">
          <w:rPr>
            <w:rFonts w:ascii="Century Gothic" w:hAnsi="Century Gothic" w:cs="Arial"/>
            <w:sz w:val="16"/>
            <w:szCs w:val="16"/>
            <w:lang w:val="es-CO"/>
          </w:rPr>
          <w:t>1 </w:t>
        </w:r>
      </w:hyperlink>
      <w:r w:rsidRPr="00D075D3">
        <w:rPr>
          <w:rFonts w:ascii="Century Gothic" w:hAnsi="Century Gothic" w:cs="Arial"/>
          <w:sz w:val="16"/>
          <w:szCs w:val="16"/>
          <w:lang w:val="es-CO"/>
        </w:rPr>
        <w:t>del artículo </w:t>
      </w:r>
      <w:hyperlink r:id="rId4" w:anchor="12" w:history="1">
        <w:r w:rsidRPr="00D075D3">
          <w:rPr>
            <w:rFonts w:ascii="Century Gothic" w:hAnsi="Century Gothic" w:cs="Arial"/>
            <w:sz w:val="16"/>
            <w:szCs w:val="16"/>
            <w:lang w:val="es-CO"/>
          </w:rPr>
          <w:t>12 </w:t>
        </w:r>
      </w:hyperlink>
      <w:r w:rsidRPr="00D075D3">
        <w:rPr>
          <w:rFonts w:ascii="Century Gothic" w:hAnsi="Century Gothic" w:cs="Arial"/>
          <w:sz w:val="16"/>
          <w:szCs w:val="16"/>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DE447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4"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9"/>
  </w:num>
  <w:num w:numId="2" w16cid:durableId="4285022">
    <w:abstractNumId w:val="2"/>
  </w:num>
  <w:num w:numId="3" w16cid:durableId="881983949">
    <w:abstractNumId w:val="6"/>
  </w:num>
  <w:num w:numId="4" w16cid:durableId="341274352">
    <w:abstractNumId w:val="0"/>
  </w:num>
  <w:num w:numId="5" w16cid:durableId="1887524674">
    <w:abstractNumId w:val="13"/>
  </w:num>
  <w:num w:numId="6" w16cid:durableId="1082990391">
    <w:abstractNumId w:val="1"/>
  </w:num>
  <w:num w:numId="7" w16cid:durableId="1492209491">
    <w:abstractNumId w:val="8"/>
  </w:num>
  <w:num w:numId="8" w16cid:durableId="679089576">
    <w:abstractNumId w:val="10"/>
  </w:num>
  <w:num w:numId="9" w16cid:durableId="2123767494">
    <w:abstractNumId w:val="11"/>
  </w:num>
  <w:num w:numId="10" w16cid:durableId="1391228846">
    <w:abstractNumId w:val="7"/>
  </w:num>
  <w:num w:numId="11" w16cid:durableId="15233557">
    <w:abstractNumId w:val="14"/>
  </w:num>
  <w:num w:numId="12" w16cid:durableId="354035714">
    <w:abstractNumId w:val="3"/>
  </w:num>
  <w:num w:numId="13" w16cid:durableId="101463356">
    <w:abstractNumId w:val="5"/>
  </w:num>
  <w:num w:numId="14" w16cid:durableId="190606430">
    <w:abstractNumId w:val="4"/>
  </w:num>
  <w:num w:numId="15" w16cid:durableId="1307583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0F1AE5"/>
    <w:rsid w:val="0011037E"/>
    <w:rsid w:val="00133097"/>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5DD4"/>
    <w:rsid w:val="001A67E9"/>
    <w:rsid w:val="001B143B"/>
    <w:rsid w:val="001B21CA"/>
    <w:rsid w:val="001C04FC"/>
    <w:rsid w:val="001C25A3"/>
    <w:rsid w:val="001C5D03"/>
    <w:rsid w:val="001C6E33"/>
    <w:rsid w:val="001C7771"/>
    <w:rsid w:val="001D62FF"/>
    <w:rsid w:val="001F3F48"/>
    <w:rsid w:val="001F48DA"/>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E1DB5"/>
    <w:rsid w:val="002F6CCB"/>
    <w:rsid w:val="0030461E"/>
    <w:rsid w:val="0031699C"/>
    <w:rsid w:val="0032756A"/>
    <w:rsid w:val="00334EF8"/>
    <w:rsid w:val="00336408"/>
    <w:rsid w:val="003376DC"/>
    <w:rsid w:val="00340DFB"/>
    <w:rsid w:val="0034404F"/>
    <w:rsid w:val="00356980"/>
    <w:rsid w:val="00367462"/>
    <w:rsid w:val="0037046D"/>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45489"/>
    <w:rsid w:val="0055082B"/>
    <w:rsid w:val="00552503"/>
    <w:rsid w:val="00552B57"/>
    <w:rsid w:val="00557DA1"/>
    <w:rsid w:val="00562FFA"/>
    <w:rsid w:val="0056322C"/>
    <w:rsid w:val="0058743A"/>
    <w:rsid w:val="005A1C97"/>
    <w:rsid w:val="005A3696"/>
    <w:rsid w:val="005A4DB0"/>
    <w:rsid w:val="005A7B8E"/>
    <w:rsid w:val="005B012B"/>
    <w:rsid w:val="005B0C87"/>
    <w:rsid w:val="005D23F6"/>
    <w:rsid w:val="005D2FA8"/>
    <w:rsid w:val="005E2281"/>
    <w:rsid w:val="005E667C"/>
    <w:rsid w:val="005F077C"/>
    <w:rsid w:val="005F63D0"/>
    <w:rsid w:val="005F7973"/>
    <w:rsid w:val="00600948"/>
    <w:rsid w:val="0061690E"/>
    <w:rsid w:val="00627361"/>
    <w:rsid w:val="0063017E"/>
    <w:rsid w:val="00631B28"/>
    <w:rsid w:val="00645B90"/>
    <w:rsid w:val="00650991"/>
    <w:rsid w:val="006511D7"/>
    <w:rsid w:val="00652F78"/>
    <w:rsid w:val="006577BA"/>
    <w:rsid w:val="00663D75"/>
    <w:rsid w:val="00670AEF"/>
    <w:rsid w:val="00675678"/>
    <w:rsid w:val="00677012"/>
    <w:rsid w:val="006825B4"/>
    <w:rsid w:val="00682AF2"/>
    <w:rsid w:val="00685FFD"/>
    <w:rsid w:val="006864DF"/>
    <w:rsid w:val="006A3C8A"/>
    <w:rsid w:val="006A7552"/>
    <w:rsid w:val="006B5953"/>
    <w:rsid w:val="006B7A81"/>
    <w:rsid w:val="006C4BAC"/>
    <w:rsid w:val="006C52F3"/>
    <w:rsid w:val="006E1D19"/>
    <w:rsid w:val="006E7F37"/>
    <w:rsid w:val="006F3B81"/>
    <w:rsid w:val="006F4F79"/>
    <w:rsid w:val="00705B37"/>
    <w:rsid w:val="00711FD9"/>
    <w:rsid w:val="0071249B"/>
    <w:rsid w:val="007256B8"/>
    <w:rsid w:val="0072628E"/>
    <w:rsid w:val="00735062"/>
    <w:rsid w:val="00746BA5"/>
    <w:rsid w:val="00751D23"/>
    <w:rsid w:val="007700D3"/>
    <w:rsid w:val="00770577"/>
    <w:rsid w:val="00777666"/>
    <w:rsid w:val="00780EE2"/>
    <w:rsid w:val="0078159B"/>
    <w:rsid w:val="00782E10"/>
    <w:rsid w:val="0078706B"/>
    <w:rsid w:val="00790836"/>
    <w:rsid w:val="00792884"/>
    <w:rsid w:val="00797131"/>
    <w:rsid w:val="007A3C1D"/>
    <w:rsid w:val="007A7364"/>
    <w:rsid w:val="007B285D"/>
    <w:rsid w:val="007C6BC6"/>
    <w:rsid w:val="00807D79"/>
    <w:rsid w:val="00813634"/>
    <w:rsid w:val="00822821"/>
    <w:rsid w:val="00831C29"/>
    <w:rsid w:val="008431EF"/>
    <w:rsid w:val="008468E0"/>
    <w:rsid w:val="008628F4"/>
    <w:rsid w:val="00871B59"/>
    <w:rsid w:val="00877D03"/>
    <w:rsid w:val="00877E96"/>
    <w:rsid w:val="008806CA"/>
    <w:rsid w:val="008815E5"/>
    <w:rsid w:val="00887B37"/>
    <w:rsid w:val="008909B9"/>
    <w:rsid w:val="00891DFC"/>
    <w:rsid w:val="008B12B4"/>
    <w:rsid w:val="008B7914"/>
    <w:rsid w:val="008B7F31"/>
    <w:rsid w:val="008C5D2A"/>
    <w:rsid w:val="008C7AF4"/>
    <w:rsid w:val="008D529F"/>
    <w:rsid w:val="008F5CC8"/>
    <w:rsid w:val="009061B8"/>
    <w:rsid w:val="0091008B"/>
    <w:rsid w:val="00911EA2"/>
    <w:rsid w:val="00916160"/>
    <w:rsid w:val="00916C7D"/>
    <w:rsid w:val="0092575D"/>
    <w:rsid w:val="009341DA"/>
    <w:rsid w:val="009430F9"/>
    <w:rsid w:val="009442E8"/>
    <w:rsid w:val="00946BD0"/>
    <w:rsid w:val="0095426C"/>
    <w:rsid w:val="00970087"/>
    <w:rsid w:val="00971074"/>
    <w:rsid w:val="00995D86"/>
    <w:rsid w:val="009A5453"/>
    <w:rsid w:val="009B2175"/>
    <w:rsid w:val="009B4D94"/>
    <w:rsid w:val="009C2871"/>
    <w:rsid w:val="009D3C33"/>
    <w:rsid w:val="009D50FB"/>
    <w:rsid w:val="009D7F3A"/>
    <w:rsid w:val="009E35E3"/>
    <w:rsid w:val="009E4885"/>
    <w:rsid w:val="00A07DB6"/>
    <w:rsid w:val="00A10A73"/>
    <w:rsid w:val="00A170B3"/>
    <w:rsid w:val="00A223D5"/>
    <w:rsid w:val="00A37D1C"/>
    <w:rsid w:val="00A5453E"/>
    <w:rsid w:val="00A56F6C"/>
    <w:rsid w:val="00A76C8C"/>
    <w:rsid w:val="00A83E50"/>
    <w:rsid w:val="00A85F30"/>
    <w:rsid w:val="00A9099E"/>
    <w:rsid w:val="00A91FB7"/>
    <w:rsid w:val="00A9298F"/>
    <w:rsid w:val="00AA0351"/>
    <w:rsid w:val="00AA1CB7"/>
    <w:rsid w:val="00AA3576"/>
    <w:rsid w:val="00AA5F4A"/>
    <w:rsid w:val="00AB025E"/>
    <w:rsid w:val="00AB1984"/>
    <w:rsid w:val="00AB52B1"/>
    <w:rsid w:val="00AC4CB3"/>
    <w:rsid w:val="00AC780D"/>
    <w:rsid w:val="00AD036B"/>
    <w:rsid w:val="00AD1996"/>
    <w:rsid w:val="00AD4099"/>
    <w:rsid w:val="00AD4901"/>
    <w:rsid w:val="00AF1F30"/>
    <w:rsid w:val="00B02FE0"/>
    <w:rsid w:val="00B03FDE"/>
    <w:rsid w:val="00B057B6"/>
    <w:rsid w:val="00B05978"/>
    <w:rsid w:val="00B168B3"/>
    <w:rsid w:val="00B30448"/>
    <w:rsid w:val="00B34786"/>
    <w:rsid w:val="00B400EC"/>
    <w:rsid w:val="00B40162"/>
    <w:rsid w:val="00B41ACE"/>
    <w:rsid w:val="00B50156"/>
    <w:rsid w:val="00B518AD"/>
    <w:rsid w:val="00B60A96"/>
    <w:rsid w:val="00B678EC"/>
    <w:rsid w:val="00B7675C"/>
    <w:rsid w:val="00B76C94"/>
    <w:rsid w:val="00B772D0"/>
    <w:rsid w:val="00B836EA"/>
    <w:rsid w:val="00B84C05"/>
    <w:rsid w:val="00B87A25"/>
    <w:rsid w:val="00B91B81"/>
    <w:rsid w:val="00B97135"/>
    <w:rsid w:val="00BB3072"/>
    <w:rsid w:val="00BC7632"/>
    <w:rsid w:val="00BD48A9"/>
    <w:rsid w:val="00BD630F"/>
    <w:rsid w:val="00BD7EC6"/>
    <w:rsid w:val="00BE73FA"/>
    <w:rsid w:val="00BF6B4B"/>
    <w:rsid w:val="00BF755C"/>
    <w:rsid w:val="00C0511C"/>
    <w:rsid w:val="00C20ACF"/>
    <w:rsid w:val="00C22307"/>
    <w:rsid w:val="00C23469"/>
    <w:rsid w:val="00C30C62"/>
    <w:rsid w:val="00C371DF"/>
    <w:rsid w:val="00C42055"/>
    <w:rsid w:val="00C44B4C"/>
    <w:rsid w:val="00C46734"/>
    <w:rsid w:val="00C47A86"/>
    <w:rsid w:val="00C53220"/>
    <w:rsid w:val="00C82406"/>
    <w:rsid w:val="00C96C0A"/>
    <w:rsid w:val="00C96C74"/>
    <w:rsid w:val="00CA3347"/>
    <w:rsid w:val="00CC299A"/>
    <w:rsid w:val="00CD03E3"/>
    <w:rsid w:val="00CE4DAB"/>
    <w:rsid w:val="00CE6BDA"/>
    <w:rsid w:val="00CE7288"/>
    <w:rsid w:val="00D03DBE"/>
    <w:rsid w:val="00D072C0"/>
    <w:rsid w:val="00D17400"/>
    <w:rsid w:val="00D34C82"/>
    <w:rsid w:val="00D3757A"/>
    <w:rsid w:val="00D377C3"/>
    <w:rsid w:val="00D504A9"/>
    <w:rsid w:val="00D5206D"/>
    <w:rsid w:val="00D7177D"/>
    <w:rsid w:val="00D81311"/>
    <w:rsid w:val="00D8204C"/>
    <w:rsid w:val="00DA0694"/>
    <w:rsid w:val="00DB201E"/>
    <w:rsid w:val="00DC0E68"/>
    <w:rsid w:val="00DD25ED"/>
    <w:rsid w:val="00DE0D6E"/>
    <w:rsid w:val="00E051A5"/>
    <w:rsid w:val="00E052DF"/>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4A80"/>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728FE"/>
    <w:rsid w:val="00F906F4"/>
    <w:rsid w:val="00F919E7"/>
    <w:rsid w:val="00FA0716"/>
    <w:rsid w:val="00FB4629"/>
    <w:rsid w:val="00FB6FB1"/>
    <w:rsid w:val="00FB7063"/>
    <w:rsid w:val="00FC7056"/>
    <w:rsid w:val="00FE1A00"/>
    <w:rsid w:val="00FE33B4"/>
    <w:rsid w:val="00FE4B01"/>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805391597">
      <w:bodyDiv w:val="1"/>
      <w:marLeft w:val="0"/>
      <w:marRight w:val="0"/>
      <w:marTop w:val="0"/>
      <w:marBottom w:val="0"/>
      <w:divBdr>
        <w:top w:val="none" w:sz="0" w:space="0" w:color="auto"/>
        <w:left w:val="none" w:sz="0" w:space="0" w:color="auto"/>
        <w:bottom w:val="none" w:sz="0" w:space="0" w:color="auto"/>
        <w:right w:val="none" w:sz="0" w:space="0" w:color="auto"/>
      </w:divBdr>
      <w:divsChild>
        <w:div w:id="1967392115">
          <w:marLeft w:val="0"/>
          <w:marRight w:val="0"/>
          <w:marTop w:val="0"/>
          <w:marBottom w:val="0"/>
          <w:divBdr>
            <w:top w:val="none" w:sz="0" w:space="0" w:color="auto"/>
            <w:left w:val="none" w:sz="0" w:space="0" w:color="auto"/>
            <w:bottom w:val="none" w:sz="0" w:space="0" w:color="auto"/>
            <w:right w:val="none" w:sz="0" w:space="0" w:color="auto"/>
          </w:divBdr>
        </w:div>
        <w:div w:id="418987469">
          <w:marLeft w:val="0"/>
          <w:marRight w:val="0"/>
          <w:marTop w:val="0"/>
          <w:marBottom w:val="0"/>
          <w:divBdr>
            <w:top w:val="none" w:sz="0" w:space="0" w:color="auto"/>
            <w:left w:val="none" w:sz="0" w:space="0" w:color="auto"/>
            <w:bottom w:val="none" w:sz="0" w:space="0" w:color="auto"/>
            <w:right w:val="none" w:sz="0" w:space="0" w:color="auto"/>
          </w:divBdr>
        </w:div>
        <w:div w:id="192696639">
          <w:marLeft w:val="0"/>
          <w:marRight w:val="0"/>
          <w:marTop w:val="0"/>
          <w:marBottom w:val="0"/>
          <w:divBdr>
            <w:top w:val="none" w:sz="0" w:space="0" w:color="auto"/>
            <w:left w:val="none" w:sz="0" w:space="0" w:color="auto"/>
            <w:bottom w:val="none" w:sz="0" w:space="0" w:color="auto"/>
            <w:right w:val="none" w:sz="0" w:space="0" w:color="auto"/>
          </w:divBdr>
        </w:div>
        <w:div w:id="51663640">
          <w:marLeft w:val="0"/>
          <w:marRight w:val="0"/>
          <w:marTop w:val="0"/>
          <w:marBottom w:val="0"/>
          <w:divBdr>
            <w:top w:val="none" w:sz="0" w:space="0" w:color="auto"/>
            <w:left w:val="none" w:sz="0" w:space="0" w:color="auto"/>
            <w:bottom w:val="none" w:sz="0" w:space="0" w:color="auto"/>
            <w:right w:val="none" w:sz="0" w:space="0" w:color="auto"/>
          </w:divBdr>
        </w:div>
        <w:div w:id="1464499061">
          <w:marLeft w:val="0"/>
          <w:marRight w:val="0"/>
          <w:marTop w:val="0"/>
          <w:marBottom w:val="0"/>
          <w:divBdr>
            <w:top w:val="none" w:sz="0" w:space="0" w:color="auto"/>
            <w:left w:val="none" w:sz="0" w:space="0" w:color="auto"/>
            <w:bottom w:val="none" w:sz="0" w:space="0" w:color="auto"/>
            <w:right w:val="none" w:sz="0" w:space="0" w:color="auto"/>
          </w:divBdr>
        </w:div>
        <w:div w:id="1849248828">
          <w:marLeft w:val="0"/>
          <w:marRight w:val="0"/>
          <w:marTop w:val="0"/>
          <w:marBottom w:val="0"/>
          <w:divBdr>
            <w:top w:val="none" w:sz="0" w:space="0" w:color="auto"/>
            <w:left w:val="none" w:sz="0" w:space="0" w:color="auto"/>
            <w:bottom w:val="none" w:sz="0" w:space="0" w:color="auto"/>
            <w:right w:val="none" w:sz="0" w:space="0" w:color="auto"/>
          </w:divBdr>
        </w:div>
        <w:div w:id="1100612387">
          <w:marLeft w:val="0"/>
          <w:marRight w:val="0"/>
          <w:marTop w:val="0"/>
          <w:marBottom w:val="0"/>
          <w:divBdr>
            <w:top w:val="none" w:sz="0" w:space="0" w:color="auto"/>
            <w:left w:val="none" w:sz="0" w:space="0" w:color="auto"/>
            <w:bottom w:val="none" w:sz="0" w:space="0" w:color="auto"/>
            <w:right w:val="none" w:sz="0" w:space="0" w:color="auto"/>
          </w:divBdr>
        </w:div>
        <w:div w:id="1413964852">
          <w:marLeft w:val="0"/>
          <w:marRight w:val="0"/>
          <w:marTop w:val="0"/>
          <w:marBottom w:val="0"/>
          <w:divBdr>
            <w:top w:val="none" w:sz="0" w:space="0" w:color="auto"/>
            <w:left w:val="none" w:sz="0" w:space="0" w:color="auto"/>
            <w:bottom w:val="none" w:sz="0" w:space="0" w:color="auto"/>
            <w:right w:val="none" w:sz="0" w:space="0" w:color="auto"/>
          </w:divBdr>
        </w:div>
        <w:div w:id="1001615412">
          <w:marLeft w:val="0"/>
          <w:marRight w:val="0"/>
          <w:marTop w:val="0"/>
          <w:marBottom w:val="0"/>
          <w:divBdr>
            <w:top w:val="none" w:sz="0" w:space="0" w:color="auto"/>
            <w:left w:val="none" w:sz="0" w:space="0" w:color="auto"/>
            <w:bottom w:val="none" w:sz="0" w:space="0" w:color="auto"/>
            <w:right w:val="none" w:sz="0" w:space="0" w:color="auto"/>
          </w:divBdr>
        </w:div>
      </w:divsChild>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752703366">
      <w:bodyDiv w:val="1"/>
      <w:marLeft w:val="0"/>
      <w:marRight w:val="0"/>
      <w:marTop w:val="0"/>
      <w:marBottom w:val="0"/>
      <w:divBdr>
        <w:top w:val="none" w:sz="0" w:space="0" w:color="auto"/>
        <w:left w:val="none" w:sz="0" w:space="0" w:color="auto"/>
        <w:bottom w:val="none" w:sz="0" w:space="0" w:color="auto"/>
        <w:right w:val="none" w:sz="0" w:space="0" w:color="auto"/>
      </w:divBdr>
      <w:divsChild>
        <w:div w:id="194269573">
          <w:marLeft w:val="0"/>
          <w:marRight w:val="0"/>
          <w:marTop w:val="0"/>
          <w:marBottom w:val="0"/>
          <w:divBdr>
            <w:top w:val="none" w:sz="0" w:space="0" w:color="auto"/>
            <w:left w:val="none" w:sz="0" w:space="0" w:color="auto"/>
            <w:bottom w:val="none" w:sz="0" w:space="0" w:color="auto"/>
            <w:right w:val="none" w:sz="0" w:space="0" w:color="auto"/>
          </w:divBdr>
        </w:div>
        <w:div w:id="2111924223">
          <w:marLeft w:val="0"/>
          <w:marRight w:val="0"/>
          <w:marTop w:val="0"/>
          <w:marBottom w:val="0"/>
          <w:divBdr>
            <w:top w:val="none" w:sz="0" w:space="0" w:color="auto"/>
            <w:left w:val="none" w:sz="0" w:space="0" w:color="auto"/>
            <w:bottom w:val="none" w:sz="0" w:space="0" w:color="auto"/>
            <w:right w:val="none" w:sz="0" w:space="0" w:color="auto"/>
          </w:divBdr>
        </w:div>
        <w:div w:id="1281954439">
          <w:marLeft w:val="0"/>
          <w:marRight w:val="0"/>
          <w:marTop w:val="0"/>
          <w:marBottom w:val="0"/>
          <w:divBdr>
            <w:top w:val="none" w:sz="0" w:space="0" w:color="auto"/>
            <w:left w:val="none" w:sz="0" w:space="0" w:color="auto"/>
            <w:bottom w:val="none" w:sz="0" w:space="0" w:color="auto"/>
            <w:right w:val="none" w:sz="0" w:space="0" w:color="auto"/>
          </w:divBdr>
        </w:div>
        <w:div w:id="1336765322">
          <w:marLeft w:val="0"/>
          <w:marRight w:val="0"/>
          <w:marTop w:val="0"/>
          <w:marBottom w:val="0"/>
          <w:divBdr>
            <w:top w:val="none" w:sz="0" w:space="0" w:color="auto"/>
            <w:left w:val="none" w:sz="0" w:space="0" w:color="auto"/>
            <w:bottom w:val="none" w:sz="0" w:space="0" w:color="auto"/>
            <w:right w:val="none" w:sz="0" w:space="0" w:color="auto"/>
          </w:divBdr>
        </w:div>
        <w:div w:id="695303181">
          <w:marLeft w:val="0"/>
          <w:marRight w:val="0"/>
          <w:marTop w:val="0"/>
          <w:marBottom w:val="0"/>
          <w:divBdr>
            <w:top w:val="none" w:sz="0" w:space="0" w:color="auto"/>
            <w:left w:val="none" w:sz="0" w:space="0" w:color="auto"/>
            <w:bottom w:val="none" w:sz="0" w:space="0" w:color="auto"/>
            <w:right w:val="none" w:sz="0" w:space="0" w:color="auto"/>
          </w:divBdr>
        </w:div>
        <w:div w:id="599725927">
          <w:marLeft w:val="0"/>
          <w:marRight w:val="0"/>
          <w:marTop w:val="0"/>
          <w:marBottom w:val="0"/>
          <w:divBdr>
            <w:top w:val="none" w:sz="0" w:space="0" w:color="auto"/>
            <w:left w:val="none" w:sz="0" w:space="0" w:color="auto"/>
            <w:bottom w:val="none" w:sz="0" w:space="0" w:color="auto"/>
            <w:right w:val="none" w:sz="0" w:space="0" w:color="auto"/>
          </w:divBdr>
        </w:div>
        <w:div w:id="1421951358">
          <w:marLeft w:val="0"/>
          <w:marRight w:val="0"/>
          <w:marTop w:val="0"/>
          <w:marBottom w:val="0"/>
          <w:divBdr>
            <w:top w:val="none" w:sz="0" w:space="0" w:color="auto"/>
            <w:left w:val="none" w:sz="0" w:space="0" w:color="auto"/>
            <w:bottom w:val="none" w:sz="0" w:space="0" w:color="auto"/>
            <w:right w:val="none" w:sz="0" w:space="0" w:color="auto"/>
          </w:divBdr>
        </w:div>
        <w:div w:id="644044834">
          <w:marLeft w:val="0"/>
          <w:marRight w:val="0"/>
          <w:marTop w:val="0"/>
          <w:marBottom w:val="0"/>
          <w:divBdr>
            <w:top w:val="none" w:sz="0" w:space="0" w:color="auto"/>
            <w:left w:val="none" w:sz="0" w:space="0" w:color="auto"/>
            <w:bottom w:val="none" w:sz="0" w:space="0" w:color="auto"/>
            <w:right w:val="none" w:sz="0" w:space="0" w:color="auto"/>
          </w:divBdr>
        </w:div>
        <w:div w:id="7647665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manuales-guias-y-pliegos-tipo/manuales-y-guia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latoria.colombiacompra.gov.co/providencias-consejo-de-estad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martha.romero%40colombiacompra.gov.co%7Ca5385b6e6e634a6b840208dca5c36dc1%7C7b09041e245149d08cb179d5e3d8c1be%7C0%7C0%7C638567505997032573%7CUnknown%7CTWFpbGZsb3d8eyJWIjoiMC4wLjAwMDAiLCJQIjoiV2luMzIiLCJBTiI6Ik1haWwiLCJXVCI6Mn0%3D%7C0%7C%7C%7C&amp;sdata=j4ImOtt5uUfNvC%2F1zxNkaxTRx9T0X%2FcdFXai6dbYw3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ala-de-prensa/boletin-digita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sisjur/home/Norma1.jsp?i=25678" TargetMode="External"/><Relationship Id="rId2" Type="http://schemas.openxmlformats.org/officeDocument/2006/relationships/hyperlink" Target="https://www.funcionpublica.gov.co/sisjur/home/Norma1.jsp?i=25678" TargetMode="External"/><Relationship Id="rId1" Type="http://schemas.openxmlformats.org/officeDocument/2006/relationships/hyperlink" Target="https://www.funcionpublica.gov.co/sisjur/home/Norma1.jsp?i=25678" TargetMode="External"/><Relationship Id="rId4" Type="http://schemas.openxmlformats.org/officeDocument/2006/relationships/hyperlink" Target="https://www.funcionpublica.gov.co/sisjur/home/Norma1.js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3508</Words>
  <Characters>19297</Characters>
  <Application>Microsoft Office Word</Application>
  <DocSecurity>0</DocSecurity>
  <Lines>160</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4</cp:revision>
  <dcterms:created xsi:type="dcterms:W3CDTF">2024-07-26T17:26:00Z</dcterms:created>
  <dcterms:modified xsi:type="dcterms:W3CDTF">2024-08-19T17:15:00Z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