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A186E0" w14:textId="77777777" w:rsidR="0078349B" w:rsidRPr="00D1604E" w:rsidRDefault="0078349B" w:rsidP="0078349B">
      <w:pPr>
        <w:tabs>
          <w:tab w:val="left" w:pos="426"/>
        </w:tabs>
        <w:spacing w:after="0" w:line="240" w:lineRule="auto"/>
        <w:contextualSpacing/>
        <w:jc w:val="both"/>
        <w:rPr>
          <w:rFonts w:ascii="Arial" w:eastAsia="Calibri" w:hAnsi="Arial" w:cs="Arial"/>
          <w:b/>
          <w:bCs/>
          <w:lang w:val="es-ES_tradnl"/>
        </w:rPr>
      </w:pPr>
      <w:bookmarkStart w:id="0" w:name="_Hlk77165666"/>
      <w:r w:rsidRPr="00D1604E">
        <w:rPr>
          <w:rFonts w:ascii="Arial" w:eastAsia="Calibri" w:hAnsi="Arial" w:cs="Arial"/>
          <w:b/>
          <w:bCs/>
          <w:lang w:val="es-ES_tradnl"/>
        </w:rPr>
        <w:t xml:space="preserve">LEY DE GARANTÍAS ELECTORALES ─ </w:t>
      </w:r>
      <w:r w:rsidRPr="00D1604E">
        <w:rPr>
          <w:rFonts w:ascii="Arial" w:eastAsia="Calibri" w:hAnsi="Arial" w:cs="Arial"/>
          <w:b/>
          <w:bCs/>
          <w:color w:val="000000" w:themeColor="text1"/>
          <w:lang w:val="es-ES_tradnl"/>
        </w:rPr>
        <w:t>Finalidad</w:t>
      </w:r>
    </w:p>
    <w:p w14:paraId="6DC0226D" w14:textId="77777777" w:rsidR="0078349B" w:rsidRPr="00D1604E" w:rsidRDefault="0078349B" w:rsidP="0078349B">
      <w:pPr>
        <w:tabs>
          <w:tab w:val="left" w:pos="426"/>
        </w:tabs>
        <w:spacing w:after="0" w:line="240" w:lineRule="auto"/>
        <w:contextualSpacing/>
        <w:jc w:val="both"/>
        <w:rPr>
          <w:rFonts w:ascii="Arial" w:eastAsia="Calibri" w:hAnsi="Arial" w:cs="Arial"/>
          <w:b/>
          <w:bCs/>
          <w:sz w:val="20"/>
          <w:szCs w:val="20"/>
          <w:lang w:val="es-ES_tradnl"/>
        </w:rPr>
      </w:pPr>
    </w:p>
    <w:p w14:paraId="7EF5B4BE" w14:textId="77777777" w:rsidR="0078349B" w:rsidRPr="00D1604E" w:rsidRDefault="0078349B" w:rsidP="0078349B">
      <w:pPr>
        <w:spacing w:after="0" w:line="240" w:lineRule="auto"/>
        <w:contextualSpacing/>
        <w:jc w:val="both"/>
        <w:rPr>
          <w:rFonts w:ascii="Arial" w:eastAsia="Arial" w:hAnsi="Arial" w:cs="Arial"/>
          <w:sz w:val="20"/>
          <w:szCs w:val="20"/>
          <w:lang w:val="es-ES_tradnl" w:eastAsia="es-ES" w:bidi="es-ES"/>
        </w:rPr>
      </w:pPr>
      <w:r w:rsidRPr="00D1604E">
        <w:rPr>
          <w:rFonts w:ascii="Arial" w:eastAsia="Arial" w:hAnsi="Arial" w:cs="Arial"/>
          <w:sz w:val="20"/>
          <w:szCs w:val="20"/>
          <w:lang w:val="es-ES_tradnl" w:eastAsia="es-ES" w:bidi="es-ES"/>
        </w:rPr>
        <w:t>[…] la Ley de Garantías Electorales fijó una serie de regulaciones y prohibiciones dirigidas a los servidores públicos. Así,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Específicamente, las restricciones consagradas en la citada ley se dirigen a dos (2) tipos de campañas electorales claramente diferenciadas: las presidenciales y las demás que se adelanten para la elección de los demás cargos de elección popular, tanto a nivel nacional como a nivel territorial.</w:t>
      </w:r>
    </w:p>
    <w:p w14:paraId="3323D4AF" w14:textId="77777777" w:rsidR="0078349B" w:rsidRPr="00D1604E" w:rsidRDefault="0078349B" w:rsidP="0078349B">
      <w:pPr>
        <w:spacing w:after="0" w:line="240" w:lineRule="auto"/>
        <w:contextualSpacing/>
        <w:jc w:val="both"/>
        <w:rPr>
          <w:rFonts w:ascii="Arial" w:eastAsia="Arial" w:hAnsi="Arial" w:cs="Arial"/>
          <w:sz w:val="20"/>
          <w:szCs w:val="20"/>
          <w:lang w:val="es-ES_tradnl" w:eastAsia="es-ES" w:bidi="es-ES"/>
        </w:rPr>
      </w:pPr>
    </w:p>
    <w:p w14:paraId="00A31A90" w14:textId="77777777" w:rsidR="0078349B" w:rsidRPr="00D1604E" w:rsidRDefault="0078349B" w:rsidP="0078349B">
      <w:pPr>
        <w:tabs>
          <w:tab w:val="left" w:pos="426"/>
        </w:tabs>
        <w:spacing w:after="0" w:line="240" w:lineRule="auto"/>
        <w:contextualSpacing/>
        <w:jc w:val="both"/>
        <w:rPr>
          <w:rFonts w:ascii="Arial" w:eastAsia="Calibri" w:hAnsi="Arial" w:cs="Arial"/>
          <w:b/>
          <w:bCs/>
          <w:color w:val="000000" w:themeColor="text1"/>
          <w:lang w:val="es-ES_tradnl"/>
        </w:rPr>
      </w:pPr>
      <w:bookmarkStart w:id="1" w:name="_Hlk77152637"/>
      <w:r w:rsidRPr="00D1604E">
        <w:rPr>
          <w:rFonts w:ascii="Arial" w:eastAsia="Calibri" w:hAnsi="Arial" w:cs="Arial"/>
          <w:b/>
          <w:bCs/>
          <w:color w:val="000000" w:themeColor="text1"/>
          <w:lang w:val="es-ES_tradnl"/>
        </w:rPr>
        <w:t xml:space="preserve">LEY DE GARANTÍAS ELECTORALES </w:t>
      </w:r>
      <w:bookmarkEnd w:id="1"/>
      <w:r w:rsidRPr="00D1604E">
        <w:rPr>
          <w:rFonts w:ascii="Arial" w:eastAsia="Calibri" w:hAnsi="Arial" w:cs="Arial"/>
          <w:b/>
          <w:bCs/>
          <w:lang w:val="es-ES_tradnl"/>
        </w:rPr>
        <w:t>─</w:t>
      </w:r>
      <w:r w:rsidRPr="00D1604E">
        <w:rPr>
          <w:rFonts w:ascii="Arial" w:eastAsia="Calibri" w:hAnsi="Arial" w:cs="Arial"/>
          <w:b/>
          <w:bCs/>
          <w:color w:val="000000" w:themeColor="text1"/>
          <w:lang w:val="es-ES_tradnl"/>
        </w:rPr>
        <w:t xml:space="preserve"> Restricciones </w:t>
      </w:r>
      <w:bookmarkStart w:id="2" w:name="_Hlk77157034"/>
      <w:r w:rsidRPr="00D1604E">
        <w:rPr>
          <w:rFonts w:ascii="Arial" w:eastAsia="Calibri" w:hAnsi="Arial" w:cs="Arial"/>
          <w:b/>
          <w:bCs/>
          <w:lang w:val="es-ES_tradnl"/>
        </w:rPr>
        <w:t>─</w:t>
      </w:r>
      <w:r w:rsidRPr="00D1604E">
        <w:rPr>
          <w:rFonts w:ascii="Arial" w:eastAsia="Calibri" w:hAnsi="Arial" w:cs="Arial"/>
          <w:b/>
          <w:bCs/>
          <w:color w:val="000000" w:themeColor="text1"/>
          <w:lang w:val="es-ES_tradnl"/>
        </w:rPr>
        <w:t xml:space="preserve"> </w:t>
      </w:r>
      <w:bookmarkEnd w:id="2"/>
      <w:r w:rsidRPr="00D1604E">
        <w:rPr>
          <w:rFonts w:ascii="Arial" w:eastAsia="Calibri" w:hAnsi="Arial" w:cs="Arial"/>
          <w:b/>
          <w:bCs/>
          <w:color w:val="000000" w:themeColor="text1"/>
          <w:lang w:val="es-ES_tradnl"/>
        </w:rPr>
        <w:t>Contratación</w:t>
      </w:r>
      <w:bookmarkStart w:id="3" w:name="_Hlk77153098"/>
      <w:r w:rsidRPr="00D1604E">
        <w:rPr>
          <w:rFonts w:ascii="Arial" w:eastAsia="Calibri" w:hAnsi="Arial" w:cs="Arial"/>
          <w:b/>
          <w:bCs/>
          <w:color w:val="000000" w:themeColor="text1"/>
          <w:lang w:val="es-ES_tradnl"/>
        </w:rPr>
        <w:t xml:space="preserve"> </w:t>
      </w:r>
      <w:r w:rsidRPr="00D1604E">
        <w:rPr>
          <w:rFonts w:ascii="Arial" w:eastAsia="Calibri" w:hAnsi="Arial" w:cs="Arial"/>
          <w:b/>
          <w:bCs/>
          <w:lang w:val="es-ES_tradnl"/>
        </w:rPr>
        <w:t>─</w:t>
      </w:r>
      <w:r w:rsidRPr="00D1604E">
        <w:rPr>
          <w:rFonts w:ascii="Arial" w:eastAsia="Calibri" w:hAnsi="Arial" w:cs="Arial"/>
          <w:b/>
          <w:bCs/>
          <w:color w:val="000000" w:themeColor="text1"/>
          <w:lang w:val="es-ES_tradnl"/>
        </w:rPr>
        <w:t xml:space="preserve"> Tipos de elección</w:t>
      </w:r>
      <w:bookmarkEnd w:id="3"/>
      <w:r w:rsidRPr="00D1604E">
        <w:rPr>
          <w:rFonts w:ascii="Arial" w:eastAsia="Calibri" w:hAnsi="Arial" w:cs="Arial"/>
          <w:b/>
          <w:bCs/>
          <w:color w:val="000000" w:themeColor="text1"/>
          <w:lang w:val="es-ES_tradnl"/>
        </w:rPr>
        <w:t xml:space="preserve"> </w:t>
      </w:r>
    </w:p>
    <w:p w14:paraId="0C3EC9C0" w14:textId="77777777" w:rsidR="0078349B" w:rsidRPr="00D1604E" w:rsidRDefault="0078349B" w:rsidP="0078349B">
      <w:pPr>
        <w:spacing w:after="0" w:line="240" w:lineRule="auto"/>
        <w:contextualSpacing/>
        <w:jc w:val="both"/>
        <w:rPr>
          <w:rFonts w:ascii="Arial" w:eastAsia="Calibri" w:hAnsi="Arial" w:cs="Arial"/>
          <w:sz w:val="20"/>
          <w:szCs w:val="20"/>
          <w:lang w:val="es-ES_tradnl"/>
        </w:rPr>
      </w:pPr>
    </w:p>
    <w:p w14:paraId="5FCE9082" w14:textId="77777777" w:rsidR="0078349B" w:rsidRPr="00D1604E" w:rsidRDefault="0078349B" w:rsidP="0078349B">
      <w:pPr>
        <w:spacing w:after="0" w:line="240" w:lineRule="auto"/>
        <w:contextualSpacing/>
        <w:jc w:val="both"/>
        <w:rPr>
          <w:rFonts w:ascii="Arial" w:eastAsia="Calibri" w:hAnsi="Arial" w:cs="Arial"/>
          <w:sz w:val="20"/>
          <w:szCs w:val="20"/>
          <w:lang w:val="es-ES_tradnl"/>
        </w:rPr>
      </w:pPr>
      <w:r w:rsidRPr="00D1604E">
        <w:rPr>
          <w:rFonts w:ascii="Arial" w:eastAsia="Calibri" w:hAnsi="Arial" w:cs="Arial"/>
          <w:sz w:val="20"/>
          <w:szCs w:val="20"/>
          <w:lang w:val="es-ES_tradnl"/>
        </w:rPr>
        <w:t xml:space="preserve">Por un lado, el artículo 33 de la Ley 996 de 2005 prohíbe </w:t>
      </w:r>
      <w:r w:rsidRPr="00D1604E">
        <w:rPr>
          <w:rFonts w:ascii="Arial" w:eastAsia="Calibri" w:hAnsi="Arial" w:cs="Arial"/>
          <w:bCs/>
          <w:sz w:val="20"/>
          <w:szCs w:val="20"/>
          <w:lang w:val="es-ES_tradnl"/>
        </w:rPr>
        <w:t xml:space="preserve">«[…] </w:t>
      </w:r>
      <w:r w:rsidRPr="00D1604E">
        <w:rPr>
          <w:rFonts w:ascii="Arial" w:eastAsia="Calibri" w:hAnsi="Arial" w:cs="Arial"/>
          <w:sz w:val="20"/>
          <w:szCs w:val="20"/>
          <w:lang w:val="es-ES_tradnl"/>
        </w:rPr>
        <w:t>la contratación directa por parte de todos los entes del Estado</w:t>
      </w:r>
      <w:r w:rsidRPr="00D1604E">
        <w:rPr>
          <w:rFonts w:ascii="Arial" w:eastAsia="Calibri" w:hAnsi="Arial" w:cs="Arial"/>
          <w:bCs/>
          <w:sz w:val="20"/>
          <w:szCs w:val="20"/>
          <w:lang w:val="es-ES_tradnl"/>
        </w:rPr>
        <w:t>»</w:t>
      </w:r>
      <w:r w:rsidRPr="00D1604E">
        <w:rPr>
          <w:rFonts w:ascii="Arial" w:eastAsia="Calibri" w:hAnsi="Arial" w:cs="Arial"/>
          <w:sz w:val="20"/>
          <w:szCs w:val="20"/>
          <w:lang w:val="es-ES_tradnl"/>
        </w:rPr>
        <w:t xml:space="preserve"> durante los cuatro (4) meses anteriores a las elecciones presidenciales, salvo </w:t>
      </w:r>
      <w:r w:rsidRPr="00D1604E">
        <w:rPr>
          <w:rFonts w:ascii="Arial" w:eastAsia="Calibri" w:hAnsi="Arial" w:cs="Arial"/>
          <w:bCs/>
          <w:sz w:val="20"/>
          <w:szCs w:val="20"/>
          <w:lang w:val="es-ES_tradnl"/>
        </w:rPr>
        <w:t xml:space="preserve">«[…] </w:t>
      </w:r>
      <w:r w:rsidRPr="00D1604E">
        <w:rPr>
          <w:rFonts w:ascii="Arial" w:eastAsia="Calibri" w:hAnsi="Arial" w:cs="Arial"/>
          <w:sz w:val="20"/>
          <w:szCs w:val="20"/>
          <w:lang w:val="es-ES_tradnl"/>
        </w:rPr>
        <w:t>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D1604E">
        <w:rPr>
          <w:rFonts w:ascii="Arial" w:eastAsia="Calibri" w:hAnsi="Arial" w:cs="Arial"/>
          <w:bCs/>
          <w:sz w:val="20"/>
          <w:szCs w:val="20"/>
          <w:lang w:val="es-ES_tradnl"/>
        </w:rPr>
        <w:t>»</w:t>
      </w:r>
      <w:r w:rsidRPr="00D1604E">
        <w:rPr>
          <w:rFonts w:ascii="Arial" w:eastAsia="Calibri" w:hAnsi="Arial" w:cs="Arial"/>
          <w:sz w:val="20"/>
          <w:szCs w:val="20"/>
          <w:lang w:val="es-ES_tradnl"/>
        </w:rPr>
        <w:t>.</w:t>
      </w:r>
    </w:p>
    <w:p w14:paraId="128AB4B1" w14:textId="77777777" w:rsidR="0078349B" w:rsidRPr="00D1604E" w:rsidRDefault="0078349B" w:rsidP="0078349B">
      <w:pPr>
        <w:tabs>
          <w:tab w:val="left" w:pos="426"/>
        </w:tabs>
        <w:spacing w:after="0" w:line="240" w:lineRule="auto"/>
        <w:contextualSpacing/>
        <w:jc w:val="both"/>
        <w:rPr>
          <w:rFonts w:ascii="Arial" w:eastAsia="Calibri" w:hAnsi="Arial" w:cs="Arial"/>
          <w:b/>
          <w:bCs/>
          <w:sz w:val="20"/>
          <w:szCs w:val="20"/>
          <w:lang w:val="es-ES_tradnl"/>
        </w:rPr>
      </w:pPr>
      <w:r w:rsidRPr="00D1604E">
        <w:rPr>
          <w:rFonts w:ascii="Arial" w:eastAsia="Calibri" w:hAnsi="Arial" w:cs="Arial"/>
          <w:sz w:val="20"/>
          <w:szCs w:val="20"/>
          <w:lang w:val="es-ES_tradnl"/>
        </w:rPr>
        <w:t xml:space="preserve">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w:t>
      </w:r>
      <w:r w:rsidRPr="00D1604E">
        <w:rPr>
          <w:rFonts w:ascii="Arial" w:eastAsia="Calibri" w:hAnsi="Arial" w:cs="Arial"/>
          <w:bCs/>
          <w:sz w:val="20"/>
          <w:szCs w:val="20"/>
          <w:lang w:val="es-ES_tradnl"/>
        </w:rPr>
        <w:t xml:space="preserve">«[…] </w:t>
      </w:r>
      <w:r w:rsidRPr="00D1604E">
        <w:rPr>
          <w:rFonts w:ascii="Arial" w:eastAsia="Calibri" w:hAnsi="Arial" w:cs="Arial"/>
          <w:sz w:val="20"/>
          <w:szCs w:val="20"/>
          <w:lang w:val="es-ES_tradnl"/>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D1604E">
        <w:rPr>
          <w:rFonts w:ascii="Arial" w:eastAsia="Calibri" w:hAnsi="Arial" w:cs="Arial"/>
          <w:bCs/>
          <w:sz w:val="20"/>
          <w:szCs w:val="20"/>
          <w:lang w:val="es-ES_tradnl"/>
        </w:rPr>
        <w:t>»</w:t>
      </w:r>
      <w:r w:rsidRPr="00D1604E">
        <w:rPr>
          <w:rFonts w:ascii="Arial" w:eastAsia="Arial" w:hAnsi="Arial" w:cs="Arial"/>
          <w:sz w:val="20"/>
          <w:szCs w:val="20"/>
          <w:lang w:val="es-ES_tradnl" w:eastAsia="es-ES" w:bidi="es-ES"/>
        </w:rPr>
        <w:t xml:space="preserve"> […] </w:t>
      </w:r>
    </w:p>
    <w:p w14:paraId="6E42A3D8" w14:textId="77777777" w:rsidR="0078349B" w:rsidRPr="00D1604E" w:rsidRDefault="0078349B" w:rsidP="0078349B">
      <w:pPr>
        <w:spacing w:after="0" w:line="240" w:lineRule="auto"/>
        <w:contextualSpacing/>
        <w:jc w:val="both"/>
        <w:rPr>
          <w:rFonts w:ascii="Arial" w:eastAsia="Arial" w:hAnsi="Arial" w:cs="Arial"/>
          <w:sz w:val="20"/>
          <w:szCs w:val="20"/>
          <w:lang w:val="es-ES_tradnl" w:eastAsia="es-ES" w:bidi="es-ES"/>
        </w:rPr>
      </w:pPr>
    </w:p>
    <w:p w14:paraId="0D94827E" w14:textId="77777777" w:rsidR="0078349B" w:rsidRPr="00D1604E" w:rsidRDefault="0078349B" w:rsidP="0078349B">
      <w:pPr>
        <w:tabs>
          <w:tab w:val="left" w:pos="426"/>
        </w:tabs>
        <w:spacing w:after="0" w:line="240" w:lineRule="auto"/>
        <w:contextualSpacing/>
        <w:jc w:val="both"/>
        <w:rPr>
          <w:rFonts w:ascii="Arial" w:eastAsia="Calibri" w:hAnsi="Arial" w:cs="Arial"/>
          <w:b/>
          <w:bCs/>
          <w:lang w:val="es-ES_tradnl"/>
        </w:rPr>
      </w:pPr>
      <w:r w:rsidRPr="00D1604E">
        <w:rPr>
          <w:rFonts w:ascii="Arial" w:eastAsia="Calibri" w:hAnsi="Arial" w:cs="Arial"/>
          <w:b/>
          <w:bCs/>
          <w:color w:val="000000" w:themeColor="text1"/>
          <w:lang w:val="es-ES_tradnl"/>
        </w:rPr>
        <w:t xml:space="preserve">LEY DE GARANTÍAS ELECTORALES </w:t>
      </w:r>
      <w:r w:rsidRPr="00D1604E">
        <w:rPr>
          <w:rFonts w:ascii="Arial" w:eastAsia="Calibri" w:hAnsi="Arial" w:cs="Arial"/>
          <w:b/>
          <w:bCs/>
          <w:lang w:val="es-ES_tradnl"/>
        </w:rPr>
        <w:t>─</w:t>
      </w:r>
      <w:r>
        <w:rPr>
          <w:rFonts w:ascii="Arial" w:eastAsia="Calibri" w:hAnsi="Arial" w:cs="Arial"/>
          <w:b/>
          <w:bCs/>
          <w:lang w:val="es-ES_tradnl"/>
        </w:rPr>
        <w:t xml:space="preserve"> </w:t>
      </w:r>
      <w:r>
        <w:rPr>
          <w:rFonts w:ascii="Arial" w:eastAsia="Calibri" w:hAnsi="Arial" w:cs="Arial"/>
          <w:b/>
          <w:bCs/>
          <w:color w:val="000000" w:themeColor="text1"/>
          <w:lang w:val="es-ES_tradnl"/>
        </w:rPr>
        <w:t xml:space="preserve">Artículo 33 </w:t>
      </w:r>
      <w:r w:rsidRPr="00D1604E">
        <w:rPr>
          <w:rFonts w:ascii="Arial" w:eastAsia="Calibri" w:hAnsi="Arial" w:cs="Arial"/>
          <w:b/>
          <w:bCs/>
          <w:lang w:val="es-ES_tradnl"/>
        </w:rPr>
        <w:t xml:space="preserve">─ Prohibición ─ </w:t>
      </w:r>
      <w:bookmarkEnd w:id="0"/>
      <w:r w:rsidRPr="00D1604E">
        <w:rPr>
          <w:rFonts w:ascii="Arial" w:eastAsia="Calibri" w:hAnsi="Arial" w:cs="Arial"/>
          <w:b/>
          <w:bCs/>
          <w:lang w:val="es-ES_tradnl"/>
        </w:rPr>
        <w:t>Contratación directa ─ Alcance</w:t>
      </w:r>
    </w:p>
    <w:p w14:paraId="155EDA57" w14:textId="77777777" w:rsidR="0078349B" w:rsidRPr="00D1604E" w:rsidRDefault="0078349B" w:rsidP="0078349B">
      <w:pPr>
        <w:tabs>
          <w:tab w:val="left" w:pos="426"/>
        </w:tabs>
        <w:spacing w:after="0" w:line="240" w:lineRule="auto"/>
        <w:contextualSpacing/>
        <w:jc w:val="both"/>
        <w:rPr>
          <w:rFonts w:ascii="Arial" w:eastAsia="Calibri" w:hAnsi="Arial" w:cs="Arial"/>
          <w:noProof/>
          <w:sz w:val="20"/>
          <w:szCs w:val="20"/>
          <w:lang w:val="es-ES_tradnl"/>
        </w:rPr>
      </w:pPr>
    </w:p>
    <w:p w14:paraId="72EB08C7" w14:textId="77777777" w:rsidR="0078349B" w:rsidRPr="00D1604E" w:rsidRDefault="0078349B" w:rsidP="0078349B">
      <w:pPr>
        <w:tabs>
          <w:tab w:val="left" w:pos="426"/>
        </w:tabs>
        <w:spacing w:after="0" w:line="240" w:lineRule="auto"/>
        <w:contextualSpacing/>
        <w:jc w:val="both"/>
        <w:rPr>
          <w:rFonts w:ascii="Arial" w:hAnsi="Arial" w:cs="Arial"/>
          <w:bCs/>
          <w:color w:val="000000" w:themeColor="text1"/>
          <w:sz w:val="20"/>
          <w:szCs w:val="20"/>
          <w:lang w:val="es-ES_tradnl" w:eastAsia="x-none"/>
        </w:rPr>
      </w:pPr>
      <w:r w:rsidRPr="00D1604E">
        <w:rPr>
          <w:rFonts w:ascii="Arial" w:eastAsia="Calibri" w:hAnsi="Arial" w:cs="Arial"/>
          <w:noProof/>
          <w:sz w:val="20"/>
          <w:szCs w:val="20"/>
          <w:lang w:val="es-ES_tradnl"/>
        </w:rPr>
        <w:t xml:space="preserve">[…] </w:t>
      </w:r>
      <w:r w:rsidRPr="00D1604E">
        <w:rPr>
          <w:rFonts w:ascii="Arial" w:hAnsi="Arial" w:cs="Arial"/>
          <w:bCs/>
          <w:color w:val="000000" w:themeColor="text1"/>
          <w:sz w:val="20"/>
          <w:szCs w:val="20"/>
          <w:lang w:val="es-ES_tradnl" w:eastAsia="x-none"/>
        </w:rPr>
        <w:t xml:space="preserve">Así las cosas, ha de entenderse que, para los efectos de 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 </w:t>
      </w:r>
    </w:p>
    <w:p w14:paraId="3DBCBDF1" w14:textId="77777777" w:rsidR="0078349B" w:rsidRPr="00D1604E" w:rsidRDefault="0078349B" w:rsidP="0078349B">
      <w:pPr>
        <w:tabs>
          <w:tab w:val="left" w:pos="426"/>
        </w:tabs>
        <w:spacing w:after="0" w:line="240" w:lineRule="auto"/>
        <w:contextualSpacing/>
        <w:jc w:val="both"/>
        <w:rPr>
          <w:rFonts w:ascii="Arial" w:hAnsi="Arial" w:cs="Arial"/>
          <w:bCs/>
          <w:color w:val="000000" w:themeColor="text1"/>
          <w:sz w:val="20"/>
          <w:szCs w:val="20"/>
          <w:lang w:val="es-ES_tradnl" w:eastAsia="x-none"/>
        </w:rPr>
      </w:pPr>
    </w:p>
    <w:p w14:paraId="0CCFA5F0" w14:textId="77777777" w:rsidR="0078349B" w:rsidRPr="00D1604E" w:rsidRDefault="0078349B" w:rsidP="0078349B">
      <w:pPr>
        <w:tabs>
          <w:tab w:val="left" w:pos="426"/>
        </w:tabs>
        <w:spacing w:after="0" w:line="240" w:lineRule="auto"/>
        <w:contextualSpacing/>
        <w:jc w:val="both"/>
        <w:rPr>
          <w:rFonts w:ascii="Arial" w:hAnsi="Arial" w:cs="Arial"/>
          <w:bCs/>
          <w:color w:val="000000" w:themeColor="text1"/>
          <w:lang w:val="es-ES_tradnl" w:eastAsia="x-none"/>
        </w:rPr>
      </w:pPr>
      <w:r w:rsidRPr="00D1604E">
        <w:rPr>
          <w:rFonts w:ascii="Arial" w:eastAsia="Calibri" w:hAnsi="Arial" w:cs="Arial"/>
          <w:b/>
          <w:bCs/>
          <w:color w:val="000000" w:themeColor="text1"/>
          <w:lang w:val="es-ES_tradnl"/>
        </w:rPr>
        <w:t xml:space="preserve">LEY DE GARANTÍAS ELECTORALES </w:t>
      </w:r>
      <w:r w:rsidRPr="00D1604E">
        <w:rPr>
          <w:rFonts w:ascii="Arial" w:eastAsia="Calibri" w:hAnsi="Arial" w:cs="Arial"/>
          <w:b/>
          <w:bCs/>
          <w:lang w:val="es-ES_tradnl"/>
        </w:rPr>
        <w:t>─</w:t>
      </w:r>
      <w:r w:rsidRPr="00D1604E">
        <w:rPr>
          <w:rFonts w:ascii="Arial" w:eastAsia="Times New Roman" w:hAnsi="Arial" w:cs="Arial"/>
          <w:b/>
          <w:bCs/>
          <w:lang w:val="es-ES_tradnl" w:eastAsia="es-CO"/>
        </w:rPr>
        <w:t xml:space="preserve"> </w:t>
      </w:r>
      <w:r>
        <w:rPr>
          <w:rFonts w:ascii="Arial" w:eastAsia="Calibri" w:hAnsi="Arial" w:cs="Arial"/>
          <w:b/>
          <w:bCs/>
          <w:color w:val="000000" w:themeColor="text1"/>
          <w:lang w:val="es-ES_tradnl"/>
        </w:rPr>
        <w:t xml:space="preserve">Artículo 33 </w:t>
      </w:r>
      <w:r w:rsidRPr="00D1604E">
        <w:rPr>
          <w:rFonts w:ascii="Arial" w:eastAsia="Calibri" w:hAnsi="Arial" w:cs="Arial"/>
          <w:b/>
          <w:bCs/>
          <w:lang w:val="es-ES_tradnl"/>
        </w:rPr>
        <w:t xml:space="preserve">─ </w:t>
      </w:r>
      <w:r w:rsidRPr="00D1604E">
        <w:rPr>
          <w:rFonts w:ascii="Arial" w:eastAsia="Times New Roman" w:hAnsi="Arial" w:cs="Arial"/>
          <w:b/>
          <w:bCs/>
          <w:lang w:val="es-ES_tradnl" w:eastAsia="es-CO"/>
        </w:rPr>
        <w:t>Excepciones</w:t>
      </w:r>
      <w:r w:rsidRPr="00D1604E">
        <w:rPr>
          <w:rFonts w:ascii="Arial" w:eastAsia="Calibri" w:hAnsi="Arial" w:cs="Arial"/>
          <w:b/>
          <w:bCs/>
          <w:lang w:val="es-ES_tradnl"/>
        </w:rPr>
        <w:t xml:space="preserve"> </w:t>
      </w:r>
    </w:p>
    <w:p w14:paraId="151DA46F" w14:textId="77777777" w:rsidR="0078349B" w:rsidRPr="00D1604E" w:rsidRDefault="0078349B" w:rsidP="0078349B">
      <w:pPr>
        <w:tabs>
          <w:tab w:val="left" w:pos="426"/>
        </w:tabs>
        <w:spacing w:after="0" w:line="240" w:lineRule="auto"/>
        <w:contextualSpacing/>
        <w:jc w:val="both"/>
        <w:rPr>
          <w:rFonts w:ascii="Arial" w:hAnsi="Arial" w:cs="Arial"/>
          <w:bCs/>
          <w:color w:val="000000" w:themeColor="text1"/>
          <w:sz w:val="20"/>
          <w:szCs w:val="20"/>
          <w:lang w:val="es-ES_tradnl" w:eastAsia="x-none"/>
        </w:rPr>
      </w:pPr>
    </w:p>
    <w:p w14:paraId="2D39EB4D" w14:textId="77777777" w:rsidR="0078349B" w:rsidRPr="00D1604E" w:rsidRDefault="0078349B" w:rsidP="0078349B">
      <w:pPr>
        <w:spacing w:after="0" w:line="240" w:lineRule="auto"/>
        <w:contextualSpacing/>
        <w:jc w:val="both"/>
        <w:rPr>
          <w:rFonts w:ascii="Arial" w:hAnsi="Arial" w:cs="Arial"/>
          <w:bCs/>
          <w:color w:val="000000" w:themeColor="text1"/>
          <w:sz w:val="20"/>
          <w:szCs w:val="20"/>
          <w:lang w:val="es-ES_tradnl" w:eastAsia="es-CO"/>
        </w:rPr>
      </w:pPr>
      <w:r w:rsidRPr="00D1604E">
        <w:rPr>
          <w:rFonts w:ascii="Arial" w:hAnsi="Arial" w:cs="Arial"/>
          <w:bCs/>
          <w:color w:val="000000" w:themeColor="text1"/>
          <w:sz w:val="20"/>
          <w:szCs w:val="20"/>
          <w:lang w:val="es-ES_tradnl" w:eastAsia="x-none"/>
        </w:rPr>
        <w:t xml:space="preserve">De otro lado, las excepciones a la restricción prevista en la Ley de Garantías, con fundamento en las cuales podrán las entidades públicas adelantar procedimientos de selección directa en períodos previos a la contienda electoral por la Presidencia, se encuentran consagradas en el inciso final del citado artículo 33 de la Ley 996 de 2005 en lo referente a i) la defensa y seguridad del Estado; </w:t>
      </w:r>
      <w:proofErr w:type="spellStart"/>
      <w:r w:rsidRPr="00D1604E">
        <w:rPr>
          <w:rFonts w:ascii="Arial" w:hAnsi="Arial" w:cs="Arial"/>
          <w:bCs/>
          <w:color w:val="000000" w:themeColor="text1"/>
          <w:sz w:val="20"/>
          <w:szCs w:val="20"/>
          <w:lang w:val="es-ES_tradnl" w:eastAsia="x-none"/>
        </w:rPr>
        <w:t>ii</w:t>
      </w:r>
      <w:proofErr w:type="spellEnd"/>
      <w:r w:rsidRPr="00D1604E">
        <w:rPr>
          <w:rFonts w:ascii="Arial" w:hAnsi="Arial" w:cs="Arial"/>
          <w:bCs/>
          <w:color w:val="000000" w:themeColor="text1"/>
          <w:sz w:val="20"/>
          <w:szCs w:val="20"/>
          <w:lang w:val="es-ES_tradnl" w:eastAsia="x-none"/>
        </w:rPr>
        <w:t xml:space="preserve">) los contratos de crédito público; </w:t>
      </w:r>
      <w:proofErr w:type="spellStart"/>
      <w:r w:rsidRPr="00D1604E">
        <w:rPr>
          <w:rFonts w:ascii="Arial" w:hAnsi="Arial" w:cs="Arial"/>
          <w:bCs/>
          <w:color w:val="000000" w:themeColor="text1"/>
          <w:sz w:val="20"/>
          <w:szCs w:val="20"/>
          <w:lang w:val="es-ES_tradnl" w:eastAsia="x-none"/>
        </w:rPr>
        <w:t>iii</w:t>
      </w:r>
      <w:proofErr w:type="spellEnd"/>
      <w:r w:rsidRPr="00D1604E">
        <w:rPr>
          <w:rFonts w:ascii="Arial" w:hAnsi="Arial" w:cs="Arial"/>
          <w:bCs/>
          <w:color w:val="000000" w:themeColor="text1"/>
          <w:sz w:val="20"/>
          <w:szCs w:val="20"/>
          <w:lang w:val="es-ES_tradnl" w:eastAsia="x-none"/>
        </w:rPr>
        <w:t xml:space="preserve">) los requeridos para cubrir las emergencias educativas, sanitarias y desastres; </w:t>
      </w:r>
      <w:proofErr w:type="spellStart"/>
      <w:r w:rsidRPr="00D1604E">
        <w:rPr>
          <w:rFonts w:ascii="Arial" w:hAnsi="Arial" w:cs="Arial"/>
          <w:bCs/>
          <w:color w:val="000000" w:themeColor="text1"/>
          <w:sz w:val="20"/>
          <w:szCs w:val="20"/>
          <w:lang w:val="es-ES_tradnl" w:eastAsia="x-none"/>
        </w:rPr>
        <w:t>iv</w:t>
      </w:r>
      <w:proofErr w:type="spellEnd"/>
      <w:r w:rsidRPr="00D1604E">
        <w:rPr>
          <w:rFonts w:ascii="Arial" w:hAnsi="Arial" w:cs="Arial"/>
          <w:bCs/>
          <w:color w:val="000000" w:themeColor="text1"/>
          <w:sz w:val="20"/>
          <w:szCs w:val="20"/>
          <w:lang w:val="es-ES_tradnl" w:eastAsia="x-none"/>
        </w:rPr>
        <w:t xml:space="preserve">) los utilizados para la reconstrucción de vías, puentes, carreteras, infraestructura energética y de comunicaciones, en caso de que hayan sido objeto de atentados, acciones terroristas, </w:t>
      </w:r>
      <w:r w:rsidRPr="00D1604E">
        <w:rPr>
          <w:rFonts w:ascii="Arial" w:hAnsi="Arial" w:cs="Arial"/>
          <w:bCs/>
          <w:color w:val="000000" w:themeColor="text1"/>
          <w:sz w:val="20"/>
          <w:szCs w:val="20"/>
          <w:lang w:val="es-ES_tradnl" w:eastAsia="x-none"/>
        </w:rPr>
        <w:lastRenderedPageBreak/>
        <w:t>desastres naturales o casos de fuerza mayor; y, v) los que deban realizar las entidades sanitarias y hospitalarias.</w:t>
      </w:r>
      <w:r w:rsidRPr="00D1604E">
        <w:rPr>
          <w:rFonts w:ascii="Arial" w:hAnsi="Arial" w:cs="Arial"/>
          <w:bCs/>
          <w:color w:val="000000" w:themeColor="text1"/>
          <w:sz w:val="20"/>
          <w:szCs w:val="20"/>
          <w:lang w:val="es-ES_tradnl" w:eastAsia="es-CO"/>
        </w:rPr>
        <w:t xml:space="preserve">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2204AC8F" w14:textId="77777777" w:rsidR="0078349B" w:rsidRDefault="0078349B" w:rsidP="0078349B">
      <w:pPr>
        <w:tabs>
          <w:tab w:val="left" w:pos="426"/>
        </w:tabs>
        <w:spacing w:after="0" w:line="240" w:lineRule="auto"/>
        <w:contextualSpacing/>
        <w:jc w:val="both"/>
        <w:rPr>
          <w:rFonts w:ascii="Arial" w:eastAsia="Calibri" w:hAnsi="Arial" w:cs="Arial"/>
          <w:b/>
          <w:bCs/>
          <w:color w:val="000000" w:themeColor="text1"/>
          <w:sz w:val="20"/>
          <w:szCs w:val="20"/>
          <w:lang w:val="es-ES_tradnl"/>
        </w:rPr>
      </w:pPr>
    </w:p>
    <w:p w14:paraId="285CBDA5" w14:textId="77777777" w:rsidR="0078349B" w:rsidRPr="00D1604E" w:rsidRDefault="0078349B" w:rsidP="0078349B">
      <w:pPr>
        <w:tabs>
          <w:tab w:val="left" w:pos="426"/>
        </w:tabs>
        <w:spacing w:after="0" w:line="240" w:lineRule="auto"/>
        <w:contextualSpacing/>
        <w:jc w:val="both"/>
        <w:rPr>
          <w:rFonts w:ascii="Arial" w:eastAsia="Calibri" w:hAnsi="Arial" w:cs="Arial"/>
          <w:noProof/>
          <w:lang w:val="es-ES_tradnl"/>
        </w:rPr>
      </w:pPr>
      <w:r w:rsidRPr="00D1604E">
        <w:rPr>
          <w:rFonts w:ascii="Arial" w:eastAsia="Calibri" w:hAnsi="Arial" w:cs="Arial"/>
          <w:b/>
          <w:bCs/>
          <w:color w:val="000000" w:themeColor="text1"/>
          <w:lang w:val="es-ES_tradnl"/>
        </w:rPr>
        <w:t xml:space="preserve">LEY DE GARANTÍAS ELECTORALES </w:t>
      </w:r>
      <w:r w:rsidRPr="00D1604E">
        <w:rPr>
          <w:rFonts w:ascii="Arial" w:eastAsia="Calibri" w:hAnsi="Arial" w:cs="Arial"/>
          <w:b/>
          <w:bCs/>
          <w:lang w:val="es-ES_tradnl"/>
        </w:rPr>
        <w:t>─</w:t>
      </w:r>
      <w:r w:rsidRPr="00D1604E">
        <w:rPr>
          <w:rFonts w:ascii="Arial" w:eastAsia="Times New Roman" w:hAnsi="Arial" w:cs="Arial"/>
          <w:b/>
          <w:bCs/>
          <w:lang w:val="es-ES_tradnl" w:eastAsia="es-CO"/>
        </w:rPr>
        <w:t xml:space="preserve"> </w:t>
      </w:r>
      <w:r>
        <w:rPr>
          <w:rFonts w:ascii="Arial" w:eastAsia="Calibri" w:hAnsi="Arial" w:cs="Arial"/>
          <w:b/>
          <w:bCs/>
          <w:color w:val="000000" w:themeColor="text1"/>
          <w:lang w:val="es-ES_tradnl"/>
        </w:rPr>
        <w:t xml:space="preserve">Artículo 33 </w:t>
      </w:r>
      <w:r w:rsidRPr="00D1604E">
        <w:rPr>
          <w:rFonts w:ascii="Arial" w:eastAsia="Calibri" w:hAnsi="Arial" w:cs="Arial"/>
          <w:b/>
          <w:bCs/>
          <w:lang w:val="es-ES_tradnl"/>
        </w:rPr>
        <w:t>─ Destinatarios</w:t>
      </w:r>
    </w:p>
    <w:p w14:paraId="08E438AA" w14:textId="77777777" w:rsidR="0078349B" w:rsidRPr="00D1604E" w:rsidRDefault="0078349B" w:rsidP="0078349B">
      <w:pPr>
        <w:tabs>
          <w:tab w:val="left" w:pos="426"/>
        </w:tabs>
        <w:spacing w:after="0" w:line="240" w:lineRule="auto"/>
        <w:contextualSpacing/>
        <w:jc w:val="both"/>
        <w:rPr>
          <w:rFonts w:ascii="Arial" w:eastAsia="Calibri" w:hAnsi="Arial" w:cs="Arial"/>
          <w:noProof/>
          <w:sz w:val="20"/>
          <w:szCs w:val="20"/>
          <w:lang w:val="es-ES_tradnl"/>
        </w:rPr>
      </w:pPr>
    </w:p>
    <w:p w14:paraId="365E7D71" w14:textId="77777777" w:rsidR="0078349B" w:rsidRPr="00D1604E" w:rsidRDefault="0078349B" w:rsidP="0078349B">
      <w:pPr>
        <w:tabs>
          <w:tab w:val="left" w:pos="426"/>
        </w:tabs>
        <w:spacing w:after="0" w:line="240" w:lineRule="auto"/>
        <w:contextualSpacing/>
        <w:jc w:val="both"/>
        <w:rPr>
          <w:rFonts w:ascii="Arial" w:hAnsi="Arial" w:cs="Arial"/>
          <w:bCs/>
          <w:color w:val="000000" w:themeColor="text1"/>
          <w:sz w:val="20"/>
          <w:szCs w:val="20"/>
          <w:lang w:val="es-ES_tradnl" w:eastAsia="x-none"/>
        </w:rPr>
      </w:pPr>
      <w:r w:rsidRPr="00D1604E">
        <w:rPr>
          <w:rFonts w:ascii="Arial" w:eastAsia="Calibri" w:hAnsi="Arial" w:cs="Arial"/>
          <w:noProof/>
          <w:sz w:val="20"/>
          <w:szCs w:val="20"/>
          <w:lang w:val="es-ES_tradnl"/>
        </w:rPr>
        <w:t xml:space="preserve">[…] </w:t>
      </w:r>
      <w:r w:rsidRPr="00D1604E">
        <w:rPr>
          <w:rFonts w:ascii="Arial" w:hAnsi="Arial" w:cs="Arial"/>
          <w:bCs/>
          <w:color w:val="000000" w:themeColor="text1"/>
          <w:sz w:val="20"/>
          <w:szCs w:val="20"/>
          <w:lang w:val="es-ES_tradnl" w:eastAsia="x-none"/>
        </w:rPr>
        <w:t>El artículo 33 de la Ley 996 de 2005 señala expresamente a los destinatarios de la prohibición, en el sentido de que son «todos los entes del Estado», expresión que contempla a los diferentes organismos o entidades autorizadas por la ley para suscribir contratos.</w:t>
      </w:r>
      <w:r w:rsidRPr="00D1604E">
        <w:rPr>
          <w:rFonts w:ascii="Arial" w:hAnsi="Arial" w:cs="Arial"/>
          <w:color w:val="000000" w:themeColor="text1"/>
          <w:sz w:val="20"/>
          <w:szCs w:val="20"/>
          <w:lang w:val="es-ES_tradnl"/>
        </w:rPr>
        <w:t xml:space="preserve"> </w:t>
      </w:r>
      <w:r w:rsidRPr="00D1604E">
        <w:rPr>
          <w:rFonts w:ascii="Arial" w:hAnsi="Arial" w:cs="Arial"/>
          <w:bCs/>
          <w:color w:val="000000" w:themeColor="text1"/>
          <w:sz w:val="20"/>
          <w:szCs w:val="20"/>
          <w:lang w:val="es-ES_tradnl" w:eastAsia="x-none"/>
        </w:rPr>
        <w:t>En efecto, tal como lo ha sostenido el Consejo de Estado, el vocablo «todos» utilizado por el legislador comprende</w:t>
      </w:r>
      <w:r w:rsidRPr="00D1604E">
        <w:rPr>
          <w:rFonts w:ascii="Arial" w:hAnsi="Arial" w:cs="Arial"/>
          <w:color w:val="000000" w:themeColor="text1"/>
          <w:sz w:val="20"/>
          <w:szCs w:val="20"/>
          <w:lang w:val="es-ES_tradnl"/>
        </w:rPr>
        <w:t xml:space="preserve"> </w:t>
      </w:r>
      <w:r w:rsidRPr="00D1604E">
        <w:rPr>
          <w:rFonts w:ascii="Arial" w:hAnsi="Arial" w:cs="Arial"/>
          <w:bCs/>
          <w:color w:val="000000" w:themeColor="text1"/>
          <w:sz w:val="20"/>
          <w:szCs w:val="20"/>
          <w:lang w:val="es-ES_tradnl" w:eastAsia="x-none"/>
        </w:rPr>
        <w:t>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w:t>
      </w:r>
    </w:p>
    <w:p w14:paraId="61FF2DEB" w14:textId="77777777" w:rsidR="0078349B" w:rsidRPr="00D1604E" w:rsidRDefault="0078349B" w:rsidP="0078349B">
      <w:pPr>
        <w:tabs>
          <w:tab w:val="left" w:pos="426"/>
        </w:tabs>
        <w:spacing w:after="0" w:line="240" w:lineRule="auto"/>
        <w:contextualSpacing/>
        <w:jc w:val="both"/>
        <w:rPr>
          <w:rFonts w:ascii="Arial" w:hAnsi="Arial" w:cs="Arial"/>
          <w:bCs/>
          <w:color w:val="000000" w:themeColor="text1"/>
          <w:sz w:val="20"/>
          <w:szCs w:val="20"/>
          <w:lang w:val="es-ES_tradnl" w:eastAsia="x-none"/>
        </w:rPr>
      </w:pPr>
    </w:p>
    <w:p w14:paraId="1591705B" w14:textId="77777777" w:rsidR="0078349B" w:rsidRPr="00D1604E" w:rsidRDefault="0078349B" w:rsidP="0078349B">
      <w:pPr>
        <w:tabs>
          <w:tab w:val="left" w:pos="426"/>
        </w:tabs>
        <w:spacing w:after="0" w:line="240" w:lineRule="auto"/>
        <w:contextualSpacing/>
        <w:jc w:val="both"/>
        <w:rPr>
          <w:rFonts w:ascii="Arial" w:hAnsi="Arial" w:cs="Arial"/>
          <w:bCs/>
          <w:color w:val="000000" w:themeColor="text1"/>
          <w:lang w:val="es-ES_tradnl" w:eastAsia="x-none"/>
        </w:rPr>
      </w:pPr>
      <w:r w:rsidRPr="00D1604E">
        <w:rPr>
          <w:rFonts w:ascii="Arial" w:eastAsia="Calibri" w:hAnsi="Arial" w:cs="Arial"/>
          <w:b/>
          <w:lang w:val="es-MX"/>
        </w:rPr>
        <w:t xml:space="preserve">LEY DE GARANTÍAS ELECTORALES </w:t>
      </w:r>
      <w:r w:rsidRPr="00D1604E">
        <w:rPr>
          <w:rFonts w:ascii="Arial" w:eastAsia="Calibri" w:hAnsi="Arial" w:cs="Arial"/>
          <w:b/>
          <w:bCs/>
          <w:lang w:val="es-ES_tradnl"/>
        </w:rPr>
        <w:t>─</w:t>
      </w:r>
      <w:r w:rsidRPr="00D1604E">
        <w:rPr>
          <w:rFonts w:ascii="Arial" w:eastAsia="Calibri" w:hAnsi="Arial" w:cs="Arial"/>
          <w:b/>
          <w:lang w:val="es-MX"/>
        </w:rPr>
        <w:t xml:space="preserve"> </w:t>
      </w:r>
      <w:r w:rsidRPr="00D1604E">
        <w:rPr>
          <w:rFonts w:ascii="Arial" w:hAnsi="Arial" w:cs="Arial"/>
          <w:b/>
          <w:bCs/>
          <w:lang w:val="es-MX" w:eastAsia="es-CO"/>
        </w:rPr>
        <w:t xml:space="preserve">Contratos y convenios interadministrativos </w:t>
      </w:r>
      <w:r w:rsidRPr="00D1604E">
        <w:rPr>
          <w:rFonts w:ascii="Arial" w:eastAsia="Calibri" w:hAnsi="Arial" w:cs="Arial"/>
          <w:b/>
          <w:bCs/>
          <w:lang w:val="es-ES_tradnl"/>
        </w:rPr>
        <w:t xml:space="preserve">─ Prohibición </w:t>
      </w:r>
    </w:p>
    <w:p w14:paraId="079020B0" w14:textId="77777777" w:rsidR="0078349B" w:rsidRPr="00D1604E" w:rsidRDefault="0078349B" w:rsidP="0078349B">
      <w:pPr>
        <w:tabs>
          <w:tab w:val="left" w:pos="426"/>
        </w:tabs>
        <w:spacing w:after="0" w:line="240" w:lineRule="auto"/>
        <w:contextualSpacing/>
        <w:jc w:val="both"/>
        <w:rPr>
          <w:rFonts w:ascii="Arial" w:hAnsi="Arial" w:cs="Arial"/>
          <w:bCs/>
          <w:color w:val="000000" w:themeColor="text1"/>
          <w:sz w:val="20"/>
          <w:szCs w:val="20"/>
          <w:lang w:val="es-ES_tradnl" w:eastAsia="x-none"/>
        </w:rPr>
      </w:pPr>
    </w:p>
    <w:p w14:paraId="3F42BA4F" w14:textId="77777777" w:rsidR="0078349B" w:rsidRPr="00D1604E" w:rsidRDefault="0078349B" w:rsidP="0078349B">
      <w:pPr>
        <w:shd w:val="clear" w:color="auto" w:fill="FFFFFF" w:themeFill="background1"/>
        <w:tabs>
          <w:tab w:val="left" w:pos="426"/>
        </w:tabs>
        <w:spacing w:after="0" w:line="240" w:lineRule="auto"/>
        <w:contextualSpacing/>
        <w:jc w:val="both"/>
        <w:rPr>
          <w:rFonts w:ascii="Arial" w:eastAsia="Arial" w:hAnsi="Arial" w:cs="Arial"/>
          <w:sz w:val="20"/>
          <w:szCs w:val="20"/>
          <w:lang w:val="es-ES" w:eastAsia="es-ES" w:bidi="es-ES"/>
        </w:rPr>
      </w:pPr>
      <w:r w:rsidRPr="00D1604E">
        <w:rPr>
          <w:rFonts w:ascii="Arial" w:hAnsi="Arial" w:cs="Arial"/>
          <w:bCs/>
          <w:color w:val="000000" w:themeColor="text1"/>
          <w:sz w:val="20"/>
          <w:szCs w:val="20"/>
          <w:lang w:val="es-ES_tradnl" w:eastAsia="x-none"/>
        </w:rPr>
        <w:t xml:space="preserve">[…] </w:t>
      </w:r>
      <w:r w:rsidRPr="00D1604E">
        <w:rPr>
          <w:rFonts w:ascii="Arial" w:eastAsia="Arial" w:hAnsi="Arial" w:cs="Arial"/>
          <w:sz w:val="20"/>
          <w:szCs w:val="20"/>
          <w:lang w:val="es-ES" w:eastAsia="es-ES" w:bidi="es-ES"/>
        </w:rPr>
        <w:t xml:space="preserve">el parágrafo del artículo 38 de la Ley 996 de 2005 prohíbe a los alcaldes, gobernadores, secretarios, gerentes y directores de las entidades del orden municipal, departamental o distrital celebrar convenios y contratos interadministrativos para la ejecución de recursos públicos, dentro de los 4 meses anteriores a los comicios de cargos de elección popular. De esta manera, solo si una de las partes de la relación contractual es una entidad de aquellas descritas en el parágrafo ibidem, no se podrán celebrar tales convenios o contratos mientras rija la restricción del parágrafo indiciado, toda vez que la citada disposición hace referencia a dicha tipología contractual –contratos o convenios interadministrativos–, sin que el legislador hubiere contemplado excepción alguna frente a la modalidad de selección o naturaleza de su objeto. </w:t>
      </w:r>
    </w:p>
    <w:p w14:paraId="7DF22F47" w14:textId="77777777" w:rsidR="0078349B" w:rsidRPr="00D1604E" w:rsidRDefault="0078349B" w:rsidP="0078349B">
      <w:pPr>
        <w:shd w:val="clear" w:color="auto" w:fill="FFFFFF" w:themeFill="background1"/>
        <w:tabs>
          <w:tab w:val="left" w:pos="426"/>
        </w:tabs>
        <w:spacing w:after="0" w:line="240" w:lineRule="auto"/>
        <w:contextualSpacing/>
        <w:jc w:val="both"/>
        <w:rPr>
          <w:rFonts w:ascii="Arial" w:hAnsi="Arial" w:cs="Arial"/>
          <w:bCs/>
          <w:color w:val="000000" w:themeColor="text1"/>
          <w:sz w:val="20"/>
          <w:szCs w:val="20"/>
          <w:lang w:val="es-ES_tradnl" w:eastAsia="x-none"/>
        </w:rPr>
      </w:pPr>
    </w:p>
    <w:p w14:paraId="4F0CBB0A" w14:textId="77777777" w:rsidR="0078349B" w:rsidRPr="00D1604E" w:rsidRDefault="0078349B" w:rsidP="0078349B">
      <w:pPr>
        <w:spacing w:after="0" w:line="240" w:lineRule="auto"/>
        <w:contextualSpacing/>
        <w:jc w:val="both"/>
        <w:rPr>
          <w:rFonts w:ascii="Arial" w:eastAsia="Calibri" w:hAnsi="Arial" w:cs="Arial"/>
          <w:b/>
          <w:bCs/>
          <w:lang w:val="es-MX"/>
        </w:rPr>
      </w:pPr>
      <w:r w:rsidRPr="00D1604E">
        <w:rPr>
          <w:rFonts w:ascii="Arial" w:eastAsia="Calibri" w:hAnsi="Arial" w:cs="Arial"/>
          <w:b/>
          <w:bCs/>
          <w:lang w:val="es-MX"/>
        </w:rPr>
        <w:t>MODIFICACIÓN DE LA LEY 2159 DE 2021 – Ley Anual de Presupuesto – Parágrafo del artículo 38 Ley de Garantías – Transitoriedad</w:t>
      </w:r>
    </w:p>
    <w:p w14:paraId="36705F67" w14:textId="77777777" w:rsidR="0078349B" w:rsidRDefault="0078349B" w:rsidP="0078349B">
      <w:pPr>
        <w:tabs>
          <w:tab w:val="left" w:pos="426"/>
        </w:tabs>
        <w:spacing w:after="0" w:line="240" w:lineRule="auto"/>
        <w:contextualSpacing/>
        <w:jc w:val="both"/>
        <w:rPr>
          <w:rFonts w:ascii="Arial" w:eastAsia="Calibri" w:hAnsi="Arial" w:cs="Arial"/>
          <w:sz w:val="20"/>
          <w:szCs w:val="20"/>
          <w:lang w:val="es-MX"/>
        </w:rPr>
      </w:pPr>
    </w:p>
    <w:p w14:paraId="1008B40F" w14:textId="77777777" w:rsidR="0078349B" w:rsidRPr="00D1604E" w:rsidRDefault="0078349B" w:rsidP="0078349B">
      <w:pPr>
        <w:tabs>
          <w:tab w:val="left" w:pos="426"/>
        </w:tabs>
        <w:spacing w:after="0" w:line="240" w:lineRule="auto"/>
        <w:contextualSpacing/>
        <w:jc w:val="both"/>
        <w:rPr>
          <w:rFonts w:ascii="Arial" w:eastAsia="Arial" w:hAnsi="Arial" w:cs="Arial"/>
          <w:sz w:val="20"/>
          <w:szCs w:val="20"/>
          <w:lang w:val="es-ES" w:eastAsia="es-ES" w:bidi="es-ES"/>
        </w:rPr>
      </w:pPr>
      <w:r w:rsidRPr="00D1604E">
        <w:rPr>
          <w:rFonts w:ascii="Arial" w:eastAsia="Arial" w:hAnsi="Arial" w:cs="Arial"/>
          <w:sz w:val="20"/>
          <w:szCs w:val="20"/>
          <w:lang w:val="es-ES" w:eastAsia="es-ES" w:bidi="es-ES"/>
        </w:rPr>
        <w:t xml:space="preserve">Así mismo, se resalta que este parágrafo fue modificado parcial y transitoriamente por el artículo 124 de la Ley 2159 de 2021, estableciendo una excepción a la prohibición, según la cual a partir de la publicación de dicha ley y durante la vigencia fiscal 2022, la Nación podrá celebrar convenios interadministrativos con las entidades territoriales para ejecutar programas y proyectos correspondientes al Presupuesto General de la Nación. </w:t>
      </w:r>
      <w:r w:rsidRPr="00D1604E">
        <w:rPr>
          <w:rFonts w:ascii="Arial" w:eastAsia="Times New Roman" w:hAnsi="Arial" w:cs="Arial"/>
          <w:bCs/>
          <w:sz w:val="20"/>
          <w:szCs w:val="20"/>
          <w:lang w:val="es-MX" w:eastAsia="es-CO"/>
        </w:rPr>
        <w:t xml:space="preserve">En efecto, la modificación transitoria del artículo 124 de la Ley 2159 de 2021, </w:t>
      </w:r>
      <w:r w:rsidRPr="00D1604E">
        <w:rPr>
          <w:rFonts w:ascii="Arial" w:eastAsia="Times New Roman" w:hAnsi="Arial" w:cs="Arial"/>
          <w:bCs/>
          <w:sz w:val="20"/>
          <w:szCs w:val="20"/>
          <w:lang w:eastAsia="es-CO"/>
        </w:rPr>
        <w:t xml:space="preserve">fijó ciertas condiciones temporales, subjetivas y materiales o teleológicas para la celebración de los convenios interadministrativos: i) que sean celebrados a partir de la publicación de la Ley del Presupuesto en el Diario Oficial y hasta el término de la vigencia fiscal 2022, </w:t>
      </w:r>
      <w:proofErr w:type="spellStart"/>
      <w:r w:rsidRPr="00D1604E">
        <w:rPr>
          <w:rFonts w:ascii="Arial" w:eastAsia="Times New Roman" w:hAnsi="Arial" w:cs="Arial"/>
          <w:bCs/>
          <w:sz w:val="20"/>
          <w:szCs w:val="20"/>
          <w:lang w:eastAsia="es-CO"/>
        </w:rPr>
        <w:t>ii</w:t>
      </w:r>
      <w:proofErr w:type="spellEnd"/>
      <w:r w:rsidRPr="00D1604E">
        <w:rPr>
          <w:rFonts w:ascii="Arial" w:eastAsia="Times New Roman" w:hAnsi="Arial" w:cs="Arial"/>
          <w:bCs/>
          <w:sz w:val="20"/>
          <w:szCs w:val="20"/>
          <w:lang w:eastAsia="es-CO"/>
        </w:rPr>
        <w:t xml:space="preserve">) que sean celebrados entre la Nación, por una parte, y las entidades territoriales, por otra, y </w:t>
      </w:r>
      <w:proofErr w:type="spellStart"/>
      <w:r w:rsidRPr="00D1604E">
        <w:rPr>
          <w:rFonts w:ascii="Arial" w:eastAsia="Times New Roman" w:hAnsi="Arial" w:cs="Arial"/>
          <w:bCs/>
          <w:sz w:val="20"/>
          <w:szCs w:val="20"/>
          <w:lang w:eastAsia="es-CO"/>
        </w:rPr>
        <w:t>iii</w:t>
      </w:r>
      <w:proofErr w:type="spellEnd"/>
      <w:r w:rsidRPr="00D1604E">
        <w:rPr>
          <w:rFonts w:ascii="Arial" w:eastAsia="Times New Roman" w:hAnsi="Arial" w:cs="Arial"/>
          <w:bCs/>
          <w:sz w:val="20"/>
          <w:szCs w:val="20"/>
          <w:lang w:eastAsia="es-CO"/>
        </w:rPr>
        <w:t>) que los convenios sean celebrados con el fin de ejecutar programas o proyectos que correspondan al Presupuesto General de la Nación</w:t>
      </w:r>
      <w:r w:rsidRPr="00D1604E">
        <w:rPr>
          <w:rFonts w:ascii="Arial" w:eastAsia="Times New Roman" w:hAnsi="Arial" w:cs="Arial"/>
          <w:bCs/>
          <w:sz w:val="20"/>
          <w:szCs w:val="20"/>
          <w:lang w:val="es-MX" w:eastAsia="es-CO"/>
        </w:rPr>
        <w:t>. De acuerdo con esto, a los convenios interadministrativos no relacionados con la ejecución de recursos del Presupuesto General Nacional, les aplicaría la restricción del artículo 38, no estando cobijados por la habilitación transitoria dispuesta en el artículo 124 de la Ley 2159 de 2021, al no cumplirse los mencionados requisitos.</w:t>
      </w:r>
      <w:r w:rsidRPr="00D1604E">
        <w:rPr>
          <w:rFonts w:ascii="Arial" w:eastAsia="Times New Roman" w:hAnsi="Arial" w:cs="Arial"/>
          <w:bCs/>
          <w:sz w:val="20"/>
          <w:szCs w:val="20"/>
          <w:lang w:eastAsia="es-CO"/>
        </w:rPr>
        <w:t> </w:t>
      </w:r>
    </w:p>
    <w:p w14:paraId="38F05B6C" w14:textId="77777777" w:rsidR="0078349B" w:rsidRPr="00D1604E" w:rsidRDefault="0078349B" w:rsidP="0078349B">
      <w:pPr>
        <w:tabs>
          <w:tab w:val="left" w:pos="426"/>
        </w:tabs>
        <w:spacing w:after="0" w:line="240" w:lineRule="auto"/>
        <w:contextualSpacing/>
        <w:jc w:val="both"/>
        <w:rPr>
          <w:rFonts w:ascii="Arial" w:eastAsia="Calibri" w:hAnsi="Arial" w:cs="Arial"/>
          <w:noProof/>
          <w:sz w:val="20"/>
          <w:szCs w:val="20"/>
          <w:lang w:val="es-ES_tradnl"/>
        </w:rPr>
      </w:pPr>
    </w:p>
    <w:p w14:paraId="77F00C02" w14:textId="77777777" w:rsidR="0078349B" w:rsidRPr="00D1604E" w:rsidRDefault="0078349B" w:rsidP="0078349B">
      <w:pPr>
        <w:tabs>
          <w:tab w:val="left" w:pos="426"/>
        </w:tabs>
        <w:spacing w:after="0" w:line="240" w:lineRule="auto"/>
        <w:contextualSpacing/>
        <w:jc w:val="both"/>
        <w:rPr>
          <w:rFonts w:ascii="Arial" w:eastAsia="Calibri" w:hAnsi="Arial" w:cs="Arial"/>
          <w:b/>
          <w:bCs/>
          <w:noProof/>
          <w:lang w:val="es-ES_tradnl"/>
        </w:rPr>
      </w:pPr>
      <w:r w:rsidRPr="00D1604E">
        <w:rPr>
          <w:rFonts w:ascii="Arial" w:eastAsia="Calibri" w:hAnsi="Arial" w:cs="Arial"/>
          <w:b/>
          <w:bCs/>
          <w:noProof/>
          <w:lang w:val="es-ES_tradnl"/>
        </w:rPr>
        <w:t>LEY DE GARANTÍAS – Contratación con ESAL – Aplicación – Restricciones</w:t>
      </w:r>
    </w:p>
    <w:p w14:paraId="4F099765" w14:textId="77777777" w:rsidR="0078349B" w:rsidRPr="00D1604E" w:rsidRDefault="0078349B" w:rsidP="0078349B">
      <w:pPr>
        <w:tabs>
          <w:tab w:val="left" w:pos="426"/>
        </w:tabs>
        <w:spacing w:after="0" w:line="240" w:lineRule="auto"/>
        <w:contextualSpacing/>
        <w:jc w:val="both"/>
        <w:rPr>
          <w:rFonts w:ascii="Arial" w:eastAsia="Calibri" w:hAnsi="Arial" w:cs="Arial"/>
          <w:noProof/>
          <w:sz w:val="20"/>
          <w:szCs w:val="20"/>
          <w:lang w:val="es-ES_tradnl"/>
        </w:rPr>
      </w:pPr>
    </w:p>
    <w:p w14:paraId="3E01E278" w14:textId="77777777" w:rsidR="0078349B" w:rsidRPr="00D1604E" w:rsidRDefault="0078349B" w:rsidP="0078349B">
      <w:pPr>
        <w:spacing w:after="0" w:line="240" w:lineRule="auto"/>
        <w:contextualSpacing/>
        <w:jc w:val="both"/>
        <w:rPr>
          <w:rFonts w:ascii="Arial" w:eastAsia="Calibri" w:hAnsi="Arial" w:cs="Arial"/>
          <w:color w:val="000000"/>
          <w:sz w:val="20"/>
          <w:szCs w:val="20"/>
          <w:lang w:eastAsia="es-ES_tradnl"/>
        </w:rPr>
      </w:pPr>
      <w:r w:rsidRPr="00D1604E">
        <w:rPr>
          <w:rFonts w:ascii="Arial" w:eastAsia="Calibri" w:hAnsi="Arial" w:cs="Arial"/>
          <w:color w:val="000000"/>
          <w:sz w:val="20"/>
          <w:szCs w:val="20"/>
          <w:lang w:eastAsia="es-ES_tradnl"/>
        </w:rPr>
        <w:t>En contraste, la restricción citada no aplicaría a los convenios de asociación que celebren las entidades estatales y las ESAL bajo el procedimiento competitivo, pues este supone la pluralidad de oferentes y la selección objetiva del contratista. Conforme al artículo 5 del Decreto 092 de 2017, esta es la regla general, salvo en aquellos casos en que una ESAL comprometa recursos en dinero por un valor igual o superior al 30% del valor total del convenio, siempre que la entidad estatal verifique previamente que no existe ninguna otra ESAL que ofrezca aportes iguales o superiores a dicho porcentaje, supuesto excepcional en que procede la selección directa. Esto es congruente con el numeral 15.4 de la Circular Externa Única de Colombia Compra Eficiente, en el entendido que «Se encuentran restringidas las contrataciones que en el marco del Decreto 092 de 2017 se realicen a través de procesos no competitivos […]». Por el contrario, «Los procesos competitivos que se adelanten en el marco del Decreto 092 de 2017 no se encuentran restringidos por la Ley de Garantías».</w:t>
      </w:r>
    </w:p>
    <w:p w14:paraId="17B8E6AE" w14:textId="4C8ABAED" w:rsidR="006F47F2" w:rsidRDefault="006F47F2">
      <w:pPr>
        <w:rPr>
          <w:rFonts w:ascii="Arial" w:eastAsia="Times New Roman" w:hAnsi="Arial" w:cs="Arial"/>
          <w:b/>
          <w:bCs/>
          <w:sz w:val="16"/>
          <w:szCs w:val="16"/>
          <w:lang w:eastAsia="es-ES"/>
        </w:rPr>
      </w:pPr>
      <w:r>
        <w:rPr>
          <w:rFonts w:ascii="Arial" w:eastAsia="Times New Roman" w:hAnsi="Arial" w:cs="Arial"/>
          <w:b/>
          <w:bCs/>
          <w:sz w:val="16"/>
          <w:szCs w:val="16"/>
          <w:lang w:eastAsia="es-ES"/>
        </w:rPr>
        <w:br w:type="page"/>
      </w:r>
    </w:p>
    <w:p w14:paraId="06063767" w14:textId="294AE62D" w:rsidR="00883C23" w:rsidRDefault="00883C23" w:rsidP="003471FF">
      <w:pPr>
        <w:spacing w:after="0" w:line="276" w:lineRule="auto"/>
        <w:contextualSpacing/>
        <w:jc w:val="right"/>
        <w:rPr>
          <w:rFonts w:ascii="Arial" w:eastAsia="Times New Roman" w:hAnsi="Arial" w:cs="Arial"/>
          <w:b/>
          <w:bCs/>
          <w:sz w:val="16"/>
          <w:szCs w:val="16"/>
          <w:lang w:eastAsia="es-ES"/>
        </w:rPr>
      </w:pPr>
      <w:r w:rsidRPr="00CB7E8C">
        <w:rPr>
          <w:rFonts w:ascii="Arial" w:eastAsia="Times New Roman" w:hAnsi="Arial" w:cs="Arial"/>
          <w:b/>
          <w:bCs/>
          <w:sz w:val="16"/>
          <w:szCs w:val="16"/>
          <w:lang w:eastAsia="es-ES"/>
        </w:rPr>
        <w:lastRenderedPageBreak/>
        <w:t>CCE-DES-FM-17</w:t>
      </w:r>
    </w:p>
    <w:p w14:paraId="396D1B2C" w14:textId="29B8441F" w:rsidR="00104E71" w:rsidRDefault="00104E71" w:rsidP="003471FF">
      <w:pPr>
        <w:spacing w:after="0" w:line="276" w:lineRule="auto"/>
        <w:contextualSpacing/>
        <w:jc w:val="right"/>
        <w:rPr>
          <w:rFonts w:ascii="Arial" w:eastAsia="Times New Roman" w:hAnsi="Arial" w:cs="Arial"/>
          <w:b/>
          <w:bCs/>
          <w:sz w:val="16"/>
          <w:szCs w:val="16"/>
          <w:lang w:eastAsia="es-ES"/>
        </w:rPr>
      </w:pPr>
      <w:r>
        <w:rPr>
          <w:noProof/>
        </w:rPr>
        <w:drawing>
          <wp:inline distT="0" distB="0" distL="0" distR="0" wp14:anchorId="1D1A2AA3" wp14:editId="57D35F6E">
            <wp:extent cx="2696796" cy="609214"/>
            <wp:effectExtent l="0" t="0" r="8890" b="635"/>
            <wp:docPr id="2091321007" name="Imagen 2091321007"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321007" name="Imagen 2091321007" descr="Imagen que contiene Texto&#10;&#10;Descripción generada automáticamente"/>
                    <pic:cNvPicPr/>
                  </pic:nvPicPr>
                  <pic:blipFill>
                    <a:blip r:embed="rId8">
                      <a:extLst>
                        <a:ext uri="{28A0092B-C50C-407E-A947-70E740481C1C}">
                          <a14:useLocalDpi xmlns:a14="http://schemas.microsoft.com/office/drawing/2010/main" val="0"/>
                        </a:ext>
                      </a:extLst>
                    </a:blip>
                    <a:stretch>
                      <a:fillRect/>
                    </a:stretch>
                  </pic:blipFill>
                  <pic:spPr>
                    <a:xfrm>
                      <a:off x="0" y="0"/>
                      <a:ext cx="2799453" cy="632404"/>
                    </a:xfrm>
                    <a:prstGeom prst="rect">
                      <a:avLst/>
                    </a:prstGeom>
                  </pic:spPr>
                </pic:pic>
              </a:graphicData>
            </a:graphic>
          </wp:inline>
        </w:drawing>
      </w:r>
    </w:p>
    <w:p w14:paraId="23FCB555" w14:textId="4CAB0893" w:rsidR="003A273F" w:rsidRPr="00CB7E8C" w:rsidRDefault="003A273F" w:rsidP="003471FF">
      <w:pPr>
        <w:spacing w:after="0" w:line="276" w:lineRule="auto"/>
        <w:contextualSpacing/>
        <w:jc w:val="right"/>
        <w:rPr>
          <w:rFonts w:ascii="Arial" w:eastAsia="Calibri" w:hAnsi="Arial" w:cs="Arial"/>
          <w:b/>
          <w:bCs/>
          <w:sz w:val="16"/>
          <w:szCs w:val="16"/>
        </w:rPr>
      </w:pPr>
      <w:r>
        <w:rPr>
          <w:noProof/>
        </w:rPr>
        <w:drawing>
          <wp:inline distT="0" distB="0" distL="0" distR="0" wp14:anchorId="5874D621" wp14:editId="2CB67413">
            <wp:extent cx="2648310" cy="657023"/>
            <wp:effectExtent l="0" t="0" r="0" b="0"/>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a:blip r:embed="rId9"/>
                    <a:stretch>
                      <a:fillRect/>
                    </a:stretch>
                  </pic:blipFill>
                  <pic:spPr>
                    <a:xfrm>
                      <a:off x="0" y="0"/>
                      <a:ext cx="2684111" cy="665905"/>
                    </a:xfrm>
                    <a:prstGeom prst="rect">
                      <a:avLst/>
                    </a:prstGeom>
                  </pic:spPr>
                </pic:pic>
              </a:graphicData>
            </a:graphic>
          </wp:inline>
        </w:drawing>
      </w:r>
    </w:p>
    <w:p w14:paraId="5852481D" w14:textId="67A55D12" w:rsidR="003471FF" w:rsidRPr="00CB7E8C" w:rsidRDefault="003471FF" w:rsidP="003471FF">
      <w:pPr>
        <w:tabs>
          <w:tab w:val="left" w:pos="3374"/>
        </w:tabs>
        <w:spacing w:after="0" w:line="276" w:lineRule="auto"/>
        <w:contextualSpacing/>
        <w:rPr>
          <w:rFonts w:ascii="Arial" w:eastAsia="Calibri" w:hAnsi="Arial" w:cs="Arial"/>
          <w:lang w:val="es-MX"/>
        </w:rPr>
      </w:pPr>
    </w:p>
    <w:p w14:paraId="4DF061E4" w14:textId="18B843BA" w:rsidR="003471FF" w:rsidRDefault="00104E71" w:rsidP="00104E71">
      <w:pPr>
        <w:tabs>
          <w:tab w:val="left" w:pos="3374"/>
        </w:tabs>
        <w:spacing w:after="0" w:line="276" w:lineRule="auto"/>
        <w:contextualSpacing/>
        <w:rPr>
          <w:rFonts w:ascii="Arial" w:eastAsia="Calibri" w:hAnsi="Arial" w:cs="Arial"/>
          <w:lang w:val="es-MX"/>
        </w:rPr>
      </w:pPr>
      <w:r>
        <w:rPr>
          <w:rFonts w:ascii="Arial" w:eastAsia="Calibri" w:hAnsi="Arial" w:cs="Arial"/>
          <w:lang w:val="es-MX"/>
        </w:rPr>
        <w:t>Bogotá D.C., 25 de abril de 2022</w:t>
      </w:r>
    </w:p>
    <w:p w14:paraId="700AEBC4" w14:textId="77777777" w:rsidR="00104E71" w:rsidRPr="00CB7E8C" w:rsidRDefault="00104E71" w:rsidP="00104E71">
      <w:pPr>
        <w:tabs>
          <w:tab w:val="left" w:pos="3374"/>
        </w:tabs>
        <w:spacing w:after="0" w:line="276" w:lineRule="auto"/>
        <w:contextualSpacing/>
        <w:rPr>
          <w:rFonts w:ascii="Arial" w:eastAsia="Calibri" w:hAnsi="Arial" w:cs="Arial"/>
          <w:lang w:val="es-MX"/>
        </w:rPr>
      </w:pPr>
    </w:p>
    <w:p w14:paraId="706FBDFB" w14:textId="1950562B" w:rsidR="00883C23" w:rsidRPr="00CB7E8C" w:rsidRDefault="003471FF" w:rsidP="003471FF">
      <w:pPr>
        <w:spacing w:after="0" w:line="276" w:lineRule="auto"/>
        <w:contextualSpacing/>
        <w:jc w:val="both"/>
        <w:rPr>
          <w:rFonts w:ascii="Arial" w:eastAsia="Calibri" w:hAnsi="Arial" w:cs="Arial"/>
        </w:rPr>
      </w:pPr>
      <w:bookmarkStart w:id="4" w:name="_Hlk96417464"/>
      <w:r w:rsidRPr="00CB7E8C">
        <w:rPr>
          <w:rFonts w:ascii="Arial" w:eastAsia="Calibri" w:hAnsi="Arial" w:cs="Arial"/>
        </w:rPr>
        <w:t xml:space="preserve">Señor </w:t>
      </w:r>
    </w:p>
    <w:p w14:paraId="09D8468A" w14:textId="1AE44137" w:rsidR="00883C23" w:rsidRPr="00CB7E8C" w:rsidRDefault="003471FF" w:rsidP="003471FF">
      <w:pPr>
        <w:spacing w:after="0" w:line="276" w:lineRule="auto"/>
        <w:contextualSpacing/>
        <w:jc w:val="both"/>
        <w:rPr>
          <w:rFonts w:ascii="Arial" w:eastAsia="Calibri" w:hAnsi="Arial" w:cs="Arial"/>
          <w:b/>
        </w:rPr>
      </w:pPr>
      <w:proofErr w:type="spellStart"/>
      <w:r w:rsidRPr="00CB7E8C">
        <w:rPr>
          <w:rFonts w:ascii="Arial" w:eastAsia="Calibri" w:hAnsi="Arial" w:cs="Arial"/>
          <w:b/>
        </w:rPr>
        <w:t>Faiver</w:t>
      </w:r>
      <w:proofErr w:type="spellEnd"/>
      <w:r w:rsidRPr="00CB7E8C">
        <w:rPr>
          <w:rFonts w:ascii="Arial" w:eastAsia="Calibri" w:hAnsi="Arial" w:cs="Arial"/>
          <w:b/>
        </w:rPr>
        <w:t xml:space="preserve"> Hernán Garcia Romero</w:t>
      </w:r>
    </w:p>
    <w:p w14:paraId="4916D574" w14:textId="3782470C" w:rsidR="00883C23" w:rsidRPr="00CB7E8C" w:rsidRDefault="003471FF" w:rsidP="003471FF">
      <w:pPr>
        <w:spacing w:after="0" w:line="276" w:lineRule="auto"/>
        <w:contextualSpacing/>
        <w:jc w:val="both"/>
        <w:rPr>
          <w:rFonts w:ascii="Arial" w:eastAsia="Calibri" w:hAnsi="Arial" w:cs="Arial"/>
        </w:rPr>
      </w:pPr>
      <w:r w:rsidRPr="00CB7E8C">
        <w:rPr>
          <w:rFonts w:ascii="Arial" w:hAnsi="Arial" w:cs="Arial"/>
        </w:rPr>
        <w:t>Bogotá</w:t>
      </w:r>
    </w:p>
    <w:p w14:paraId="0C079B43" w14:textId="77777777" w:rsidR="00883C23" w:rsidRPr="00CB7E8C" w:rsidRDefault="00883C23" w:rsidP="003471FF">
      <w:pPr>
        <w:spacing w:after="0" w:line="276" w:lineRule="auto"/>
        <w:contextualSpacing/>
        <w:jc w:val="both"/>
        <w:rPr>
          <w:rFonts w:ascii="Arial" w:eastAsia="Calibri" w:hAnsi="Arial" w:cs="Arial"/>
        </w:rPr>
      </w:pPr>
    </w:p>
    <w:p w14:paraId="1ADBFDD5" w14:textId="77777777" w:rsidR="00883C23" w:rsidRPr="00CB7E8C" w:rsidRDefault="00883C23" w:rsidP="003471FF">
      <w:pPr>
        <w:spacing w:after="0" w:line="276" w:lineRule="auto"/>
        <w:contextualSpacing/>
        <w:jc w:val="both"/>
        <w:rPr>
          <w:rFonts w:ascii="Arial" w:eastAsia="Calibri" w:hAnsi="Arial" w:cs="Arial"/>
        </w:rPr>
      </w:pPr>
    </w:p>
    <w:p w14:paraId="04A59977" w14:textId="28E3FDC0" w:rsidR="00883C23" w:rsidRPr="00CB7E8C" w:rsidRDefault="00883C23" w:rsidP="003471FF">
      <w:pPr>
        <w:spacing w:after="0" w:line="276" w:lineRule="auto"/>
        <w:contextualSpacing/>
        <w:jc w:val="both"/>
        <w:rPr>
          <w:rFonts w:ascii="Arial" w:eastAsia="Calibri" w:hAnsi="Arial" w:cs="Arial"/>
        </w:rPr>
      </w:pPr>
      <w:r w:rsidRPr="00CB7E8C">
        <w:rPr>
          <w:rFonts w:ascii="Arial" w:eastAsia="Calibri" w:hAnsi="Arial" w:cs="Arial"/>
        </w:rPr>
        <w:t xml:space="preserve">                                            </w:t>
      </w:r>
      <w:r w:rsidRPr="00CB7E8C">
        <w:rPr>
          <w:rFonts w:ascii="Arial" w:eastAsia="Calibri" w:hAnsi="Arial" w:cs="Arial"/>
          <w:b/>
        </w:rPr>
        <w:t xml:space="preserve">Concepto C – </w:t>
      </w:r>
      <w:r w:rsidR="003471FF" w:rsidRPr="00CB7E8C">
        <w:rPr>
          <w:rFonts w:ascii="Arial" w:eastAsia="Calibri" w:hAnsi="Arial" w:cs="Arial"/>
          <w:b/>
        </w:rPr>
        <w:t>222</w:t>
      </w:r>
      <w:r w:rsidRPr="00CB7E8C">
        <w:rPr>
          <w:rFonts w:ascii="Arial" w:eastAsia="Calibri" w:hAnsi="Arial" w:cs="Arial"/>
          <w:b/>
        </w:rPr>
        <w:t xml:space="preserve"> de 2022</w:t>
      </w:r>
      <w:r w:rsidRPr="00CB7E8C">
        <w:rPr>
          <w:rFonts w:ascii="Arial" w:eastAsia="Calibri" w:hAnsi="Arial" w:cs="Arial"/>
        </w:rPr>
        <w:t xml:space="preserve"> </w:t>
      </w:r>
    </w:p>
    <w:p w14:paraId="5FFD2FD6" w14:textId="77777777" w:rsidR="00883C23" w:rsidRPr="00CB7E8C" w:rsidRDefault="00883C23" w:rsidP="003471FF">
      <w:pPr>
        <w:spacing w:after="0" w:line="276" w:lineRule="auto"/>
        <w:contextualSpacing/>
        <w:jc w:val="both"/>
        <w:rPr>
          <w:rFonts w:ascii="Arial" w:eastAsia="Calibri" w:hAnsi="Arial" w:cs="Arial"/>
          <w:b/>
        </w:rPr>
      </w:pPr>
    </w:p>
    <w:tbl>
      <w:tblPr>
        <w:tblStyle w:val="Tablaconcuadrcula1"/>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3471FF" w:rsidRPr="00CB7E8C" w14:paraId="2218F9C4" w14:textId="77777777" w:rsidTr="00301B6D">
        <w:trPr>
          <w:trHeight w:val="485"/>
        </w:trPr>
        <w:tc>
          <w:tcPr>
            <w:tcW w:w="2689" w:type="dxa"/>
            <w:hideMark/>
          </w:tcPr>
          <w:p w14:paraId="0F211B22" w14:textId="77777777" w:rsidR="00883C23" w:rsidRPr="00CB7E8C" w:rsidRDefault="00883C23" w:rsidP="003471FF">
            <w:pPr>
              <w:spacing w:line="276" w:lineRule="auto"/>
              <w:contextualSpacing/>
              <w:rPr>
                <w:rFonts w:ascii="Arial" w:eastAsia="Calibri" w:hAnsi="Arial" w:cs="Arial"/>
                <w:noProof/>
                <w:lang w:val="es-ES_tradnl"/>
              </w:rPr>
            </w:pPr>
            <w:r w:rsidRPr="00CB7E8C">
              <w:rPr>
                <w:rFonts w:ascii="Arial" w:eastAsia="Calibri" w:hAnsi="Arial" w:cs="Arial"/>
                <w:b/>
                <w:noProof/>
                <w:lang w:val="es-ES_tradnl"/>
              </w:rPr>
              <w:t>Temas:</w:t>
            </w:r>
            <w:r w:rsidRPr="00CB7E8C">
              <w:rPr>
                <w:rFonts w:ascii="Arial" w:eastAsia="Calibri" w:hAnsi="Arial" w:cs="Arial"/>
                <w:noProof/>
                <w:lang w:val="es-ES_tradnl"/>
              </w:rPr>
              <w:t xml:space="preserve">        </w:t>
            </w:r>
          </w:p>
        </w:tc>
        <w:tc>
          <w:tcPr>
            <w:tcW w:w="6237" w:type="dxa"/>
            <w:hideMark/>
          </w:tcPr>
          <w:p w14:paraId="5C5D41F8" w14:textId="77777777" w:rsidR="0078349B" w:rsidRPr="00DC6C86" w:rsidRDefault="0078349B" w:rsidP="0078349B">
            <w:pPr>
              <w:tabs>
                <w:tab w:val="left" w:pos="426"/>
              </w:tabs>
              <w:contextualSpacing/>
              <w:jc w:val="both"/>
              <w:rPr>
                <w:rFonts w:ascii="Arial" w:eastAsia="Calibri" w:hAnsi="Arial" w:cs="Arial"/>
                <w:noProof/>
                <w:lang w:val="es-ES_tradnl"/>
              </w:rPr>
            </w:pPr>
            <w:r w:rsidRPr="00DC6C86">
              <w:rPr>
                <w:rFonts w:ascii="Arial" w:eastAsia="Calibri" w:hAnsi="Arial" w:cs="Arial"/>
                <w:lang w:val="es-ES_tradnl"/>
              </w:rPr>
              <w:t xml:space="preserve">LEY DE GARANTÍAS ELECTORALES ─ </w:t>
            </w:r>
            <w:r w:rsidRPr="00DC6C86">
              <w:rPr>
                <w:rFonts w:ascii="Arial" w:eastAsia="Calibri" w:hAnsi="Arial" w:cs="Arial"/>
                <w:color w:val="000000" w:themeColor="text1"/>
                <w:lang w:val="es-ES_tradnl"/>
              </w:rPr>
              <w:t xml:space="preserve">Finalidad / LEY DE GARANTÍAS ELECTORALES </w:t>
            </w:r>
            <w:r w:rsidRPr="00DC6C86">
              <w:rPr>
                <w:rFonts w:ascii="Arial" w:eastAsia="Calibri" w:hAnsi="Arial" w:cs="Arial"/>
                <w:lang w:val="es-ES_tradnl"/>
              </w:rPr>
              <w:t>─</w:t>
            </w:r>
            <w:r w:rsidRPr="00DC6C86">
              <w:rPr>
                <w:rFonts w:ascii="Arial" w:eastAsia="Calibri" w:hAnsi="Arial" w:cs="Arial"/>
                <w:color w:val="000000" w:themeColor="text1"/>
                <w:lang w:val="es-ES_tradnl"/>
              </w:rPr>
              <w:t xml:space="preserve"> Restricciones </w:t>
            </w:r>
            <w:r w:rsidRPr="00DC6C86">
              <w:rPr>
                <w:rFonts w:ascii="Arial" w:eastAsia="Calibri" w:hAnsi="Arial" w:cs="Arial"/>
                <w:lang w:val="es-ES_tradnl"/>
              </w:rPr>
              <w:t>─</w:t>
            </w:r>
            <w:r w:rsidRPr="00DC6C86">
              <w:rPr>
                <w:rFonts w:ascii="Arial" w:eastAsia="Calibri" w:hAnsi="Arial" w:cs="Arial"/>
                <w:color w:val="000000" w:themeColor="text1"/>
                <w:lang w:val="es-ES_tradnl"/>
              </w:rPr>
              <w:t xml:space="preserve"> Contratación </w:t>
            </w:r>
            <w:r w:rsidRPr="00DC6C86">
              <w:rPr>
                <w:rFonts w:ascii="Arial" w:eastAsia="Calibri" w:hAnsi="Arial" w:cs="Arial"/>
                <w:lang w:val="es-ES_tradnl"/>
              </w:rPr>
              <w:t>─</w:t>
            </w:r>
            <w:r w:rsidRPr="00DC6C86">
              <w:rPr>
                <w:rFonts w:ascii="Arial" w:eastAsia="Calibri" w:hAnsi="Arial" w:cs="Arial"/>
                <w:color w:val="000000" w:themeColor="text1"/>
                <w:lang w:val="es-ES_tradnl"/>
              </w:rPr>
              <w:t xml:space="preserve"> Tipos de elección / LEY DE GARANTÍAS ELECTORALES </w:t>
            </w:r>
            <w:r w:rsidRPr="00DC6C86">
              <w:rPr>
                <w:rFonts w:ascii="Arial" w:eastAsia="Calibri" w:hAnsi="Arial" w:cs="Arial"/>
                <w:lang w:val="es-ES_tradnl"/>
              </w:rPr>
              <w:t xml:space="preserve">─ </w:t>
            </w:r>
            <w:r w:rsidRPr="00DC6C86">
              <w:rPr>
                <w:rFonts w:ascii="Arial" w:eastAsia="Calibri" w:hAnsi="Arial" w:cs="Arial"/>
                <w:color w:val="000000" w:themeColor="text1"/>
                <w:lang w:val="es-ES_tradnl"/>
              </w:rPr>
              <w:t xml:space="preserve">Artículo 33 </w:t>
            </w:r>
            <w:r w:rsidRPr="00DC6C86">
              <w:rPr>
                <w:rFonts w:ascii="Arial" w:eastAsia="Calibri" w:hAnsi="Arial" w:cs="Arial"/>
                <w:lang w:val="es-ES_tradnl"/>
              </w:rPr>
              <w:t xml:space="preserve">─ Prohibición ─ Contratación directa ─ Alcance / </w:t>
            </w:r>
            <w:r w:rsidRPr="00DC6C86">
              <w:rPr>
                <w:rFonts w:ascii="Arial" w:eastAsia="Calibri" w:hAnsi="Arial" w:cs="Arial"/>
                <w:color w:val="000000" w:themeColor="text1"/>
                <w:lang w:val="es-ES_tradnl"/>
              </w:rPr>
              <w:t xml:space="preserve">LEY DE GARANTÍAS ELECTORALES </w:t>
            </w:r>
            <w:r w:rsidRPr="00DC6C86">
              <w:rPr>
                <w:rFonts w:ascii="Arial" w:eastAsia="Calibri" w:hAnsi="Arial" w:cs="Arial"/>
                <w:lang w:val="es-ES_tradnl"/>
              </w:rPr>
              <w:t>─</w:t>
            </w:r>
            <w:r w:rsidRPr="00DC6C86">
              <w:rPr>
                <w:rFonts w:ascii="Arial" w:eastAsia="Times New Roman" w:hAnsi="Arial" w:cs="Arial"/>
                <w:lang w:val="es-ES_tradnl" w:eastAsia="es-CO"/>
              </w:rPr>
              <w:t xml:space="preserve"> </w:t>
            </w:r>
            <w:r w:rsidRPr="00DC6C86">
              <w:rPr>
                <w:rFonts w:ascii="Arial" w:eastAsia="Calibri" w:hAnsi="Arial" w:cs="Arial"/>
                <w:color w:val="000000" w:themeColor="text1"/>
                <w:lang w:val="es-ES_tradnl"/>
              </w:rPr>
              <w:t xml:space="preserve">Artículo 33 </w:t>
            </w:r>
            <w:r w:rsidRPr="00DC6C86">
              <w:rPr>
                <w:rFonts w:ascii="Arial" w:eastAsia="Calibri" w:hAnsi="Arial" w:cs="Arial"/>
                <w:lang w:val="es-ES_tradnl"/>
              </w:rPr>
              <w:t xml:space="preserve">─ </w:t>
            </w:r>
            <w:r w:rsidRPr="00DC6C86">
              <w:rPr>
                <w:rFonts w:ascii="Arial" w:eastAsia="Times New Roman" w:hAnsi="Arial" w:cs="Arial"/>
                <w:lang w:val="es-ES_tradnl" w:eastAsia="es-CO"/>
              </w:rPr>
              <w:t>Excepciones</w:t>
            </w:r>
            <w:r w:rsidRPr="00DC6C86">
              <w:rPr>
                <w:rFonts w:ascii="Arial" w:eastAsia="Calibri" w:hAnsi="Arial" w:cs="Arial"/>
                <w:lang w:val="es-ES_tradnl"/>
              </w:rPr>
              <w:t xml:space="preserve"> / </w:t>
            </w:r>
            <w:r w:rsidRPr="00DC6C86">
              <w:rPr>
                <w:rFonts w:ascii="Arial" w:eastAsia="Calibri" w:hAnsi="Arial" w:cs="Arial"/>
                <w:color w:val="000000" w:themeColor="text1"/>
                <w:lang w:val="es-ES_tradnl"/>
              </w:rPr>
              <w:t xml:space="preserve">LEY DE GARANTÍAS ELECTORALES </w:t>
            </w:r>
            <w:r w:rsidRPr="00DC6C86">
              <w:rPr>
                <w:rFonts w:ascii="Arial" w:eastAsia="Calibri" w:hAnsi="Arial" w:cs="Arial"/>
                <w:lang w:val="es-ES_tradnl"/>
              </w:rPr>
              <w:t>─</w:t>
            </w:r>
            <w:r w:rsidRPr="00DC6C86">
              <w:rPr>
                <w:rFonts w:ascii="Arial" w:eastAsia="Times New Roman" w:hAnsi="Arial" w:cs="Arial"/>
                <w:lang w:val="es-ES_tradnl" w:eastAsia="es-CO"/>
              </w:rPr>
              <w:t xml:space="preserve"> </w:t>
            </w:r>
            <w:r w:rsidRPr="00DC6C86">
              <w:rPr>
                <w:rFonts w:ascii="Arial" w:eastAsia="Calibri" w:hAnsi="Arial" w:cs="Arial"/>
                <w:color w:val="000000" w:themeColor="text1"/>
                <w:lang w:val="es-ES_tradnl"/>
              </w:rPr>
              <w:t xml:space="preserve">Artículo 33 </w:t>
            </w:r>
            <w:r w:rsidRPr="00DC6C86">
              <w:rPr>
                <w:rFonts w:ascii="Arial" w:eastAsia="Calibri" w:hAnsi="Arial" w:cs="Arial"/>
                <w:lang w:val="es-ES_tradnl"/>
              </w:rPr>
              <w:t xml:space="preserve">─ Destinatarios / </w:t>
            </w:r>
            <w:r w:rsidRPr="00DC6C86">
              <w:rPr>
                <w:rFonts w:ascii="Arial" w:eastAsia="Calibri" w:hAnsi="Arial" w:cs="Arial"/>
                <w:lang w:val="es-MX"/>
              </w:rPr>
              <w:t xml:space="preserve">LEY DE GARANTÍAS ELECTORALES </w:t>
            </w:r>
            <w:r w:rsidRPr="00DC6C86">
              <w:rPr>
                <w:rFonts w:ascii="Arial" w:eastAsia="Calibri" w:hAnsi="Arial" w:cs="Arial"/>
                <w:lang w:val="es-ES_tradnl"/>
              </w:rPr>
              <w:t>─</w:t>
            </w:r>
            <w:r w:rsidRPr="00DC6C86">
              <w:rPr>
                <w:rFonts w:ascii="Arial" w:eastAsia="Calibri" w:hAnsi="Arial" w:cs="Arial"/>
                <w:lang w:val="es-MX"/>
              </w:rPr>
              <w:t xml:space="preserve"> </w:t>
            </w:r>
            <w:r w:rsidRPr="00DC6C86">
              <w:rPr>
                <w:rFonts w:ascii="Arial" w:hAnsi="Arial" w:cs="Arial"/>
                <w:lang w:val="es-MX" w:eastAsia="es-CO"/>
              </w:rPr>
              <w:t xml:space="preserve">Contratos y convenios interadministrativos </w:t>
            </w:r>
            <w:r w:rsidRPr="00DC6C86">
              <w:rPr>
                <w:rFonts w:ascii="Arial" w:eastAsia="Calibri" w:hAnsi="Arial" w:cs="Arial"/>
                <w:lang w:val="es-ES_tradnl"/>
              </w:rPr>
              <w:t xml:space="preserve">─ Prohibición / </w:t>
            </w:r>
            <w:r w:rsidRPr="00DC6C86">
              <w:rPr>
                <w:rFonts w:ascii="Arial" w:eastAsia="Calibri" w:hAnsi="Arial" w:cs="Arial"/>
                <w:lang w:val="es-MX"/>
              </w:rPr>
              <w:t xml:space="preserve">MODIFICACIÓN DE LA LEY 2159 DE 2021 – Ley Anual de Presupuesto – Parágrafo del artículo 38 Ley de Garantías – Transitoriedad / </w:t>
            </w:r>
            <w:r w:rsidRPr="00DC6C86">
              <w:rPr>
                <w:rFonts w:ascii="Arial" w:eastAsia="Calibri" w:hAnsi="Arial" w:cs="Arial"/>
                <w:noProof/>
                <w:lang w:val="es-ES_tradnl"/>
              </w:rPr>
              <w:t>LEY DE GARANTÍAS – Contratación con ESAL – Aplicación – Restricciones</w:t>
            </w:r>
          </w:p>
          <w:p w14:paraId="0BA70935" w14:textId="568FDB90" w:rsidR="003471FF" w:rsidRPr="00CB7E8C" w:rsidRDefault="003471FF" w:rsidP="003471FF">
            <w:pPr>
              <w:tabs>
                <w:tab w:val="left" w:pos="426"/>
              </w:tabs>
              <w:spacing w:line="276" w:lineRule="auto"/>
              <w:contextualSpacing/>
              <w:jc w:val="both"/>
              <w:rPr>
                <w:rFonts w:ascii="Arial" w:eastAsia="Calibri" w:hAnsi="Arial" w:cs="Arial"/>
                <w:lang w:val="es-MX"/>
              </w:rPr>
            </w:pPr>
          </w:p>
        </w:tc>
      </w:tr>
      <w:tr w:rsidR="003471FF" w:rsidRPr="00CB7E8C" w14:paraId="222FEFA6" w14:textId="77777777" w:rsidTr="00301B6D">
        <w:tc>
          <w:tcPr>
            <w:tcW w:w="2689" w:type="dxa"/>
          </w:tcPr>
          <w:p w14:paraId="3332A0EE" w14:textId="77777777" w:rsidR="00883C23" w:rsidRPr="00CB7E8C" w:rsidRDefault="00883C23" w:rsidP="003471FF">
            <w:pPr>
              <w:spacing w:line="276" w:lineRule="auto"/>
              <w:contextualSpacing/>
              <w:rPr>
                <w:rFonts w:ascii="Arial" w:eastAsia="Calibri" w:hAnsi="Arial" w:cs="Arial"/>
                <w:b/>
                <w:noProof/>
                <w:lang w:val="es-ES_tradnl"/>
              </w:rPr>
            </w:pPr>
            <w:r w:rsidRPr="00CB7E8C">
              <w:rPr>
                <w:rFonts w:ascii="Arial" w:eastAsia="Calibri" w:hAnsi="Arial" w:cs="Arial"/>
                <w:b/>
                <w:noProof/>
                <w:lang w:val="es-ES_tradnl"/>
              </w:rPr>
              <w:t>Radicación:</w:t>
            </w:r>
            <w:r w:rsidRPr="00CB7E8C">
              <w:rPr>
                <w:rFonts w:ascii="Arial" w:eastAsia="Calibri" w:hAnsi="Arial" w:cs="Arial"/>
                <w:noProof/>
                <w:lang w:val="es-ES_tradnl"/>
              </w:rPr>
              <w:t xml:space="preserve">                              </w:t>
            </w:r>
          </w:p>
        </w:tc>
        <w:tc>
          <w:tcPr>
            <w:tcW w:w="6237" w:type="dxa"/>
          </w:tcPr>
          <w:p w14:paraId="3854A44D" w14:textId="20F85174" w:rsidR="00883C23" w:rsidRPr="00CB7E8C" w:rsidRDefault="00883C23" w:rsidP="003471FF">
            <w:pPr>
              <w:spacing w:line="276" w:lineRule="auto"/>
              <w:contextualSpacing/>
              <w:jc w:val="both"/>
              <w:rPr>
                <w:rFonts w:ascii="Arial" w:eastAsia="Calibri" w:hAnsi="Arial" w:cs="Arial"/>
                <w:noProof/>
                <w:lang w:val="es-ES_tradnl"/>
              </w:rPr>
            </w:pPr>
            <w:r w:rsidRPr="00CB7E8C">
              <w:rPr>
                <w:rFonts w:ascii="Arial" w:eastAsia="Calibri" w:hAnsi="Arial" w:cs="Arial"/>
                <w:noProof/>
                <w:lang w:val="es-ES_tradnl"/>
              </w:rPr>
              <w:t xml:space="preserve">Respuesta a consulta </w:t>
            </w:r>
            <w:r w:rsidR="003471FF" w:rsidRPr="00CB7E8C">
              <w:rPr>
                <w:rFonts w:ascii="Arial" w:eastAsia="Calibri" w:hAnsi="Arial" w:cs="Arial"/>
                <w:noProof/>
                <w:lang w:val="es-ES_tradnl"/>
              </w:rPr>
              <w:t>P20220309002319</w:t>
            </w:r>
          </w:p>
        </w:tc>
      </w:tr>
    </w:tbl>
    <w:p w14:paraId="24096655" w14:textId="77777777" w:rsidR="00883C23" w:rsidRPr="00CB7E8C" w:rsidRDefault="00883C23" w:rsidP="003471FF">
      <w:pPr>
        <w:spacing w:after="0" w:line="276" w:lineRule="auto"/>
        <w:contextualSpacing/>
        <w:jc w:val="both"/>
        <w:rPr>
          <w:rFonts w:ascii="Arial" w:eastAsia="Calibri" w:hAnsi="Arial" w:cs="Arial"/>
        </w:rPr>
      </w:pPr>
    </w:p>
    <w:p w14:paraId="17A7991B" w14:textId="77777777" w:rsidR="00883C23" w:rsidRPr="00CB7E8C" w:rsidRDefault="00883C23" w:rsidP="003471FF">
      <w:pPr>
        <w:spacing w:after="0" w:line="276" w:lineRule="auto"/>
        <w:contextualSpacing/>
        <w:jc w:val="both"/>
        <w:rPr>
          <w:rFonts w:ascii="Arial" w:eastAsia="Calibri" w:hAnsi="Arial" w:cs="Arial"/>
        </w:rPr>
      </w:pPr>
    </w:p>
    <w:p w14:paraId="13A96C90" w14:textId="64D1F43E" w:rsidR="00883C23" w:rsidRPr="00CB7E8C" w:rsidRDefault="00883C23" w:rsidP="003471FF">
      <w:pPr>
        <w:spacing w:after="0" w:line="276" w:lineRule="auto"/>
        <w:contextualSpacing/>
        <w:jc w:val="both"/>
        <w:rPr>
          <w:rFonts w:ascii="Arial" w:eastAsia="Calibri" w:hAnsi="Arial" w:cs="Arial"/>
        </w:rPr>
      </w:pPr>
      <w:r w:rsidRPr="00CB7E8C">
        <w:rPr>
          <w:rFonts w:ascii="Arial" w:eastAsia="Calibri" w:hAnsi="Arial" w:cs="Arial"/>
        </w:rPr>
        <w:t>Estimad</w:t>
      </w:r>
      <w:r w:rsidR="000370B6" w:rsidRPr="00CB7E8C">
        <w:rPr>
          <w:rFonts w:ascii="Arial" w:eastAsia="Calibri" w:hAnsi="Arial" w:cs="Arial"/>
        </w:rPr>
        <w:t>o</w:t>
      </w:r>
      <w:r w:rsidRPr="00CB7E8C">
        <w:rPr>
          <w:rFonts w:ascii="Arial" w:eastAsia="Calibri" w:hAnsi="Arial" w:cs="Arial"/>
        </w:rPr>
        <w:t xml:space="preserve"> señor</w:t>
      </w:r>
      <w:r w:rsidR="000370B6" w:rsidRPr="00CB7E8C">
        <w:rPr>
          <w:rFonts w:ascii="Arial" w:eastAsia="Calibri" w:hAnsi="Arial" w:cs="Arial"/>
        </w:rPr>
        <w:t xml:space="preserve"> </w:t>
      </w:r>
      <w:r w:rsidR="003471FF" w:rsidRPr="00CB7E8C">
        <w:rPr>
          <w:rFonts w:ascii="Arial" w:eastAsia="Calibri" w:hAnsi="Arial" w:cs="Arial"/>
        </w:rPr>
        <w:t>Garcia</w:t>
      </w:r>
      <w:r w:rsidRPr="00CB7E8C">
        <w:rPr>
          <w:rFonts w:ascii="Arial" w:eastAsia="Calibri" w:hAnsi="Arial" w:cs="Arial"/>
        </w:rPr>
        <w:t>:</w:t>
      </w:r>
    </w:p>
    <w:p w14:paraId="65B69C4A" w14:textId="77777777" w:rsidR="00883C23" w:rsidRPr="00CB7E8C" w:rsidRDefault="00883C23" w:rsidP="003471FF">
      <w:pPr>
        <w:spacing w:after="0" w:line="276" w:lineRule="auto"/>
        <w:ind w:firstLine="709"/>
        <w:contextualSpacing/>
        <w:jc w:val="both"/>
        <w:rPr>
          <w:rFonts w:ascii="Arial" w:eastAsia="Calibri" w:hAnsi="Arial" w:cs="Arial"/>
        </w:rPr>
      </w:pPr>
    </w:p>
    <w:p w14:paraId="2996A3C4" w14:textId="65A40D3B" w:rsidR="00883C23" w:rsidRPr="00CB7E8C" w:rsidRDefault="00883C23" w:rsidP="003471FF">
      <w:pPr>
        <w:spacing w:after="0" w:line="276" w:lineRule="auto"/>
        <w:ind w:right="51"/>
        <w:contextualSpacing/>
        <w:jc w:val="both"/>
        <w:rPr>
          <w:rFonts w:ascii="Arial" w:eastAsia="Calibri" w:hAnsi="Arial" w:cs="Arial"/>
        </w:rPr>
      </w:pPr>
      <w:r w:rsidRPr="00CB7E8C">
        <w:rPr>
          <w:rFonts w:ascii="Arial" w:eastAsia="Calibri" w:hAnsi="Arial" w:cs="Arial"/>
        </w:rPr>
        <w:t xml:space="preserve">En ejercicio de la competencia otorgada por el numeral 8 del artículo 11 y el numeral 5 del artículo 3 del Decreto Ley 4170 de 2011, la Agencia Nacional de Contratación Pública – Colombia Compra Eficiente responde la consulta radicada el </w:t>
      </w:r>
      <w:r w:rsidR="003471FF" w:rsidRPr="00CB7E8C">
        <w:rPr>
          <w:rFonts w:ascii="Arial" w:eastAsia="Calibri" w:hAnsi="Arial" w:cs="Arial"/>
        </w:rPr>
        <w:t>9 de marzo</w:t>
      </w:r>
      <w:r w:rsidRPr="00CB7E8C">
        <w:rPr>
          <w:rFonts w:ascii="Arial" w:eastAsia="Calibri" w:hAnsi="Arial" w:cs="Arial"/>
        </w:rPr>
        <w:t xml:space="preserve"> de 2022. </w:t>
      </w:r>
    </w:p>
    <w:p w14:paraId="13156ABA" w14:textId="77777777" w:rsidR="00883C23" w:rsidRPr="00CB7E8C" w:rsidRDefault="00883C23" w:rsidP="003471FF">
      <w:pPr>
        <w:spacing w:after="0" w:line="276" w:lineRule="auto"/>
        <w:contextualSpacing/>
        <w:jc w:val="both"/>
        <w:rPr>
          <w:rFonts w:ascii="Arial" w:eastAsia="Calibri" w:hAnsi="Arial" w:cs="Arial"/>
        </w:rPr>
      </w:pPr>
    </w:p>
    <w:p w14:paraId="37AC10DA" w14:textId="77777777" w:rsidR="00883C23" w:rsidRPr="00CB7E8C" w:rsidRDefault="00883C23" w:rsidP="003471FF">
      <w:pPr>
        <w:tabs>
          <w:tab w:val="left" w:pos="284"/>
        </w:tabs>
        <w:spacing w:after="0" w:line="276" w:lineRule="auto"/>
        <w:contextualSpacing/>
        <w:jc w:val="both"/>
        <w:rPr>
          <w:rFonts w:ascii="Arial" w:eastAsia="Calibri" w:hAnsi="Arial" w:cs="Arial"/>
          <w:b/>
        </w:rPr>
      </w:pPr>
      <w:r w:rsidRPr="00CB7E8C">
        <w:rPr>
          <w:rFonts w:ascii="Arial" w:eastAsia="Calibri" w:hAnsi="Arial" w:cs="Arial"/>
          <w:b/>
        </w:rPr>
        <w:lastRenderedPageBreak/>
        <w:t xml:space="preserve">1. Problema planteado </w:t>
      </w:r>
    </w:p>
    <w:p w14:paraId="5F0F4646" w14:textId="77777777" w:rsidR="00883C23" w:rsidRPr="00CB7E8C" w:rsidRDefault="00883C23" w:rsidP="003471FF">
      <w:pPr>
        <w:tabs>
          <w:tab w:val="left" w:pos="284"/>
        </w:tabs>
        <w:spacing w:after="0" w:line="276" w:lineRule="auto"/>
        <w:ind w:firstLine="709"/>
        <w:contextualSpacing/>
        <w:jc w:val="both"/>
        <w:rPr>
          <w:rFonts w:ascii="Arial" w:eastAsia="Calibri" w:hAnsi="Arial" w:cs="Arial"/>
          <w:b/>
        </w:rPr>
      </w:pPr>
    </w:p>
    <w:p w14:paraId="6807C56B" w14:textId="18955498" w:rsidR="00883C23" w:rsidRPr="00CB7E8C" w:rsidRDefault="003471FF" w:rsidP="003471FF">
      <w:pPr>
        <w:spacing w:after="0" w:line="276" w:lineRule="auto"/>
        <w:contextualSpacing/>
        <w:jc w:val="both"/>
        <w:rPr>
          <w:rFonts w:ascii="Arial" w:eastAsia="Times New Roman" w:hAnsi="Arial" w:cs="Arial"/>
          <w:lang w:eastAsia="es-ES_tradnl"/>
        </w:rPr>
      </w:pPr>
      <w:bookmarkStart w:id="5" w:name="_Hlk58917991"/>
      <w:bookmarkStart w:id="6" w:name="_Hlk56103000"/>
      <w:r w:rsidRPr="00CB7E8C">
        <w:rPr>
          <w:rFonts w:ascii="Arial" w:eastAsia="Times New Roman" w:hAnsi="Arial" w:cs="Arial"/>
          <w:lang w:eastAsia="es-ES_tradnl"/>
        </w:rPr>
        <w:t>Respecto de la Ley de Garantías Electorales, u</w:t>
      </w:r>
      <w:r w:rsidR="00883C23" w:rsidRPr="00CB7E8C">
        <w:rPr>
          <w:rFonts w:ascii="Arial" w:eastAsia="Times New Roman" w:hAnsi="Arial" w:cs="Arial"/>
          <w:lang w:eastAsia="es-ES_tradnl"/>
        </w:rPr>
        <w:t xml:space="preserve">sted realiza la siguiente pregunta: </w:t>
      </w:r>
      <w:bookmarkStart w:id="7" w:name="_Hlk94514883"/>
      <w:r w:rsidR="00883C23" w:rsidRPr="00CB7E8C">
        <w:rPr>
          <w:rFonts w:ascii="Arial" w:eastAsia="Times New Roman" w:hAnsi="Arial" w:cs="Arial"/>
          <w:lang w:eastAsia="es-ES_tradnl"/>
        </w:rPr>
        <w:t>«</w:t>
      </w:r>
      <w:r w:rsidR="004B4CA2" w:rsidRPr="00CB7E8C">
        <w:rPr>
          <w:rFonts w:ascii="Arial" w:eastAsia="Times New Roman" w:hAnsi="Arial" w:cs="Arial"/>
          <w:lang w:eastAsia="es-ES_tradnl"/>
        </w:rPr>
        <w:t>[…]</w:t>
      </w:r>
      <w:r w:rsidRPr="00CB7E8C">
        <w:rPr>
          <w:rFonts w:ascii="Arial" w:eastAsia="Times New Roman" w:hAnsi="Arial" w:cs="Arial"/>
          <w:lang w:eastAsia="es-ES_tradnl"/>
        </w:rPr>
        <w:t xml:space="preserve"> ¿En el período de restricción de la Ley de Garantías Electorales es posible adelantar un proceso competitivo regulado por el Decreto 092 de </w:t>
      </w:r>
      <w:proofErr w:type="gramStart"/>
      <w:r w:rsidRPr="00CB7E8C">
        <w:rPr>
          <w:rFonts w:ascii="Arial" w:eastAsia="Times New Roman" w:hAnsi="Arial" w:cs="Arial"/>
          <w:lang w:eastAsia="es-ES_tradnl"/>
        </w:rPr>
        <w:t>2017?Como</w:t>
      </w:r>
      <w:proofErr w:type="gramEnd"/>
      <w:r w:rsidRPr="00CB7E8C">
        <w:rPr>
          <w:rFonts w:ascii="Arial" w:eastAsia="Times New Roman" w:hAnsi="Arial" w:cs="Arial"/>
          <w:lang w:eastAsia="es-ES_tradnl"/>
        </w:rPr>
        <w:t xml:space="preserve"> resultado de ese proceso de competitivo de selección en el marco del Decreto 092 de 2017, se deriva uno o varios convenios de asociación, ¿es posible celebrar ese o esos convenios de asociación estando en el período de restricción de la Ley de Garantías?</w:t>
      </w:r>
      <w:r w:rsidR="004B2675" w:rsidRPr="00CB7E8C">
        <w:rPr>
          <w:rFonts w:ascii="Arial" w:eastAsia="Times New Roman" w:hAnsi="Arial" w:cs="Arial"/>
          <w:lang w:eastAsia="es-ES_tradnl"/>
        </w:rPr>
        <w:t>»</w:t>
      </w:r>
      <w:r w:rsidRPr="00CB7E8C">
        <w:rPr>
          <w:rFonts w:ascii="Arial" w:eastAsia="Times New Roman" w:hAnsi="Arial" w:cs="Arial"/>
          <w:lang w:eastAsia="es-ES_tradnl"/>
        </w:rPr>
        <w:t xml:space="preserve"> (SIC)</w:t>
      </w:r>
      <w:r w:rsidR="004B2675" w:rsidRPr="00CB7E8C">
        <w:rPr>
          <w:rFonts w:ascii="Arial" w:eastAsia="Times New Roman" w:hAnsi="Arial" w:cs="Arial"/>
          <w:lang w:eastAsia="es-ES_tradnl"/>
        </w:rPr>
        <w:t>.</w:t>
      </w:r>
      <w:r w:rsidR="004B4CA2" w:rsidRPr="00CB7E8C">
        <w:rPr>
          <w:rFonts w:ascii="Arial" w:eastAsia="Times New Roman" w:hAnsi="Arial" w:cs="Arial"/>
          <w:lang w:eastAsia="es-ES_tradnl"/>
        </w:rPr>
        <w:t xml:space="preserve"> </w:t>
      </w:r>
      <w:bookmarkEnd w:id="7"/>
    </w:p>
    <w:p w14:paraId="0D2D797C" w14:textId="77777777" w:rsidR="00883C23" w:rsidRPr="00CB7E8C" w:rsidRDefault="00883C23" w:rsidP="003471FF">
      <w:pPr>
        <w:tabs>
          <w:tab w:val="left" w:pos="426"/>
        </w:tabs>
        <w:spacing w:after="0" w:line="276" w:lineRule="auto"/>
        <w:contextualSpacing/>
        <w:jc w:val="both"/>
        <w:rPr>
          <w:rFonts w:ascii="Arial" w:eastAsia="Calibri" w:hAnsi="Arial" w:cs="Arial"/>
        </w:rPr>
      </w:pPr>
    </w:p>
    <w:bookmarkEnd w:id="5"/>
    <w:bookmarkEnd w:id="6"/>
    <w:p w14:paraId="249A34D5" w14:textId="77777777" w:rsidR="00883C23" w:rsidRPr="00CB7E8C" w:rsidRDefault="00883C23" w:rsidP="003471FF">
      <w:pPr>
        <w:tabs>
          <w:tab w:val="left" w:pos="284"/>
        </w:tabs>
        <w:spacing w:after="0" w:line="276" w:lineRule="auto"/>
        <w:contextualSpacing/>
        <w:jc w:val="both"/>
        <w:rPr>
          <w:rFonts w:ascii="Arial" w:eastAsia="Calibri" w:hAnsi="Arial" w:cs="Arial"/>
          <w:b/>
        </w:rPr>
      </w:pPr>
      <w:r w:rsidRPr="00CB7E8C">
        <w:rPr>
          <w:rFonts w:ascii="Arial" w:eastAsia="Calibri" w:hAnsi="Arial" w:cs="Arial"/>
          <w:b/>
        </w:rPr>
        <w:t>2. Consideraciones</w:t>
      </w:r>
    </w:p>
    <w:p w14:paraId="4AE99E5A" w14:textId="77777777" w:rsidR="00883C23" w:rsidRPr="00CB7E8C" w:rsidRDefault="00883C23" w:rsidP="003471FF">
      <w:pPr>
        <w:tabs>
          <w:tab w:val="left" w:pos="426"/>
        </w:tabs>
        <w:spacing w:after="0" w:line="276" w:lineRule="auto"/>
        <w:ind w:firstLine="709"/>
        <w:contextualSpacing/>
        <w:jc w:val="both"/>
        <w:rPr>
          <w:rFonts w:ascii="Arial" w:eastAsia="Calibri" w:hAnsi="Arial" w:cs="Arial"/>
          <w:bCs/>
        </w:rPr>
      </w:pPr>
    </w:p>
    <w:p w14:paraId="59C15EEF" w14:textId="72EA2736" w:rsidR="00237B05" w:rsidRPr="00CB7E8C" w:rsidRDefault="00B173FA" w:rsidP="00B173FA">
      <w:pPr>
        <w:spacing w:after="120" w:line="276" w:lineRule="auto"/>
        <w:jc w:val="both"/>
        <w:rPr>
          <w:rFonts w:ascii="Arial" w:hAnsi="Arial" w:cs="Arial"/>
          <w:lang w:val="es-MX"/>
        </w:rPr>
      </w:pPr>
      <w:bookmarkStart w:id="8" w:name="_Hlk96420693"/>
      <w:r w:rsidRPr="00CB7E8C">
        <w:rPr>
          <w:rFonts w:ascii="Arial" w:eastAsia="Calibri" w:hAnsi="Arial" w:cs="Arial"/>
          <w:lang w:val="es-ES"/>
        </w:rPr>
        <w:t>Para resolver el interrogante planteado se analizarán los siguientes temas: i) definición y finalidad de la Ley de Garantías Electorales</w:t>
      </w:r>
      <w:r w:rsidR="000C04ED" w:rsidRPr="00CB7E8C">
        <w:rPr>
          <w:rFonts w:ascii="Arial" w:eastAsia="Calibri" w:hAnsi="Arial" w:cs="Arial"/>
          <w:lang w:val="es-ES"/>
        </w:rPr>
        <w:t>;</w:t>
      </w:r>
      <w:r w:rsidRPr="00CB7E8C">
        <w:rPr>
          <w:rFonts w:ascii="Arial" w:eastAsia="Calibri" w:hAnsi="Arial" w:cs="Arial"/>
          <w:lang w:val="es-ES"/>
        </w:rPr>
        <w:t xml:space="preserve"> </w:t>
      </w:r>
      <w:proofErr w:type="spellStart"/>
      <w:r w:rsidRPr="00CB7E8C">
        <w:rPr>
          <w:rFonts w:ascii="Arial" w:eastAsia="Calibri" w:hAnsi="Arial" w:cs="Arial"/>
          <w:lang w:val="es-ES"/>
        </w:rPr>
        <w:t>ii</w:t>
      </w:r>
      <w:proofErr w:type="spellEnd"/>
      <w:r w:rsidRPr="00CB7E8C">
        <w:rPr>
          <w:rFonts w:ascii="Arial" w:eastAsia="Calibri" w:hAnsi="Arial" w:cs="Arial"/>
          <w:lang w:val="es-ES"/>
        </w:rPr>
        <w:t>) restricciones para la suscripción de contratos de forma directa por parte de los entes del Estado –</w:t>
      </w:r>
      <w:r w:rsidR="00237B05" w:rsidRPr="00CB7E8C">
        <w:rPr>
          <w:rFonts w:ascii="Arial" w:eastAsia="Calibri" w:hAnsi="Arial" w:cs="Arial"/>
          <w:lang w:val="es-ES"/>
        </w:rPr>
        <w:t xml:space="preserve">Artículo </w:t>
      </w:r>
      <w:r w:rsidRPr="00CB7E8C">
        <w:rPr>
          <w:rFonts w:ascii="Arial" w:eastAsia="Calibri" w:hAnsi="Arial" w:cs="Arial"/>
          <w:lang w:val="es-ES"/>
        </w:rPr>
        <w:t>33 de la Ley 996 de 2005–</w:t>
      </w:r>
      <w:r w:rsidR="000C04ED" w:rsidRPr="00CB7E8C">
        <w:rPr>
          <w:rFonts w:ascii="Arial" w:eastAsia="Calibri" w:hAnsi="Arial" w:cs="Arial"/>
          <w:lang w:val="es-ES"/>
        </w:rPr>
        <w:t xml:space="preserve">; </w:t>
      </w:r>
      <w:proofErr w:type="spellStart"/>
      <w:r w:rsidRPr="00CB7E8C">
        <w:rPr>
          <w:rFonts w:ascii="Arial" w:eastAsia="Calibri" w:hAnsi="Arial" w:cs="Arial"/>
          <w:lang w:val="es-ES"/>
        </w:rPr>
        <w:t>iii</w:t>
      </w:r>
      <w:proofErr w:type="spellEnd"/>
      <w:r w:rsidRPr="00CB7E8C">
        <w:rPr>
          <w:rFonts w:ascii="Arial" w:eastAsia="Calibri" w:hAnsi="Arial" w:cs="Arial"/>
          <w:lang w:val="es-ES"/>
        </w:rPr>
        <w:t>) restricciones para la celebración de contratos y convenios interadministrativos en los comicios de cargos de elección popular</w:t>
      </w:r>
      <w:r w:rsidR="00237B05" w:rsidRPr="00CB7E8C">
        <w:rPr>
          <w:rFonts w:ascii="Arial" w:eastAsia="Calibri" w:hAnsi="Arial" w:cs="Arial"/>
          <w:lang w:val="es-ES"/>
        </w:rPr>
        <w:t xml:space="preserve"> –Artículo 38 de la Ley 966 de 2005–</w:t>
      </w:r>
      <w:r w:rsidRPr="00CB7E8C">
        <w:rPr>
          <w:rFonts w:ascii="Arial" w:eastAsia="Calibri" w:hAnsi="Arial" w:cs="Arial"/>
          <w:lang w:val="es-ES"/>
        </w:rPr>
        <w:t xml:space="preserve"> y</w:t>
      </w:r>
      <w:r w:rsidR="000C04ED" w:rsidRPr="00CB7E8C">
        <w:rPr>
          <w:rFonts w:ascii="Arial" w:eastAsia="Calibri" w:hAnsi="Arial" w:cs="Arial"/>
          <w:lang w:val="es-ES"/>
        </w:rPr>
        <w:t>;</w:t>
      </w:r>
      <w:r w:rsidRPr="00CB7E8C">
        <w:rPr>
          <w:rFonts w:ascii="Arial" w:eastAsia="Calibri" w:hAnsi="Arial" w:cs="Arial"/>
          <w:lang w:val="es-ES"/>
        </w:rPr>
        <w:t xml:space="preserve"> </w:t>
      </w:r>
      <w:proofErr w:type="spellStart"/>
      <w:r w:rsidR="000C04ED" w:rsidRPr="00CB7E8C">
        <w:rPr>
          <w:rFonts w:ascii="Arial" w:eastAsia="Calibri" w:hAnsi="Arial" w:cs="Arial"/>
          <w:lang w:val="es-ES"/>
        </w:rPr>
        <w:t>i</w:t>
      </w:r>
      <w:r w:rsidRPr="00CB7E8C">
        <w:rPr>
          <w:rFonts w:ascii="Arial" w:eastAsia="Calibri" w:hAnsi="Arial" w:cs="Arial"/>
          <w:lang w:val="es-ES"/>
        </w:rPr>
        <w:t>v</w:t>
      </w:r>
      <w:proofErr w:type="spellEnd"/>
      <w:r w:rsidRPr="00CB7E8C">
        <w:rPr>
          <w:rFonts w:ascii="Arial" w:eastAsia="Calibri" w:hAnsi="Arial" w:cs="Arial"/>
          <w:lang w:val="es-ES"/>
        </w:rPr>
        <w:t>) naturaleza jurídica de los convenios de asociación del artículo 355 de la Constitución Política, regulados por el Decreto 092 de 2017</w:t>
      </w:r>
      <w:bookmarkStart w:id="9" w:name="_Hlk76110351"/>
      <w:r w:rsidR="000C04ED" w:rsidRPr="00CB7E8C">
        <w:rPr>
          <w:rFonts w:ascii="Arial" w:eastAsia="Calibri" w:hAnsi="Arial" w:cs="Arial"/>
          <w:lang w:val="es-ES"/>
        </w:rPr>
        <w:t xml:space="preserve"> </w:t>
      </w:r>
      <w:r w:rsidR="00237B05" w:rsidRPr="00CB7E8C">
        <w:rPr>
          <w:rFonts w:ascii="Arial" w:eastAsia="Calibri" w:hAnsi="Arial" w:cs="Arial"/>
          <w:lang w:val="es-MX" w:bidi="es-ES"/>
        </w:rPr>
        <w:t>y restricciones de la Ley de Garantías Electorales</w:t>
      </w:r>
      <w:r w:rsidR="00237B05" w:rsidRPr="00CB7E8C">
        <w:rPr>
          <w:rFonts w:ascii="Arial" w:eastAsia="Calibri" w:hAnsi="Arial" w:cs="Arial"/>
          <w:lang w:val="es-MX"/>
        </w:rPr>
        <w:t>.</w:t>
      </w:r>
      <w:bookmarkEnd w:id="9"/>
      <w:r w:rsidR="00237B05" w:rsidRPr="00CB7E8C">
        <w:rPr>
          <w:rFonts w:ascii="Arial" w:eastAsia="Calibri" w:hAnsi="Arial" w:cs="Arial"/>
          <w:lang w:val="es-MX"/>
        </w:rPr>
        <w:t xml:space="preserve"> </w:t>
      </w:r>
      <w:r w:rsidR="00237B05" w:rsidRPr="00CB7E8C">
        <w:rPr>
          <w:rFonts w:ascii="Arial" w:eastAsia="Calibri" w:hAnsi="Arial" w:cs="Arial"/>
          <w:lang w:val="es-ES"/>
        </w:rPr>
        <w:t xml:space="preserve">  </w:t>
      </w:r>
    </w:p>
    <w:p w14:paraId="0E1300EA" w14:textId="394DEEB8" w:rsidR="00883C23" w:rsidRPr="00CB7E8C" w:rsidRDefault="00883C23" w:rsidP="003C4862">
      <w:pPr>
        <w:tabs>
          <w:tab w:val="left" w:pos="426"/>
        </w:tabs>
        <w:spacing w:after="0" w:line="276" w:lineRule="auto"/>
        <w:ind w:firstLine="709"/>
        <w:jc w:val="both"/>
        <w:rPr>
          <w:rFonts w:ascii="Arial" w:eastAsia="Times New Roman" w:hAnsi="Arial" w:cs="Arial"/>
          <w:lang w:eastAsia="es-CO"/>
        </w:rPr>
      </w:pPr>
      <w:r w:rsidRPr="00CB7E8C">
        <w:rPr>
          <w:rFonts w:ascii="Arial" w:eastAsia="Calibri" w:hAnsi="Arial" w:cs="Arial"/>
          <w:bCs/>
        </w:rPr>
        <w:t xml:space="preserve">La Agencia Nacional de Contratación Pública – Colombia Compra Eficiente ha impartido lineamientos sobre la aplicación de la Ley 996 de 2005 y también se ha pronunciado al respecto, entre otros, en los Conceptos 4201912000004632 del 6 de agosto de 2019, 2201913000005655 del 8 de agosto de 2019, 2201913000006283 del 27 de agosto de 2019, 2201913000006521 del 3 de septiembre de 2019, 2201913000006634 del 6 de septiembre de 2019, 2201913000006639 del 9 de septiembre de 2019, 2201913000007430 del 7 de octubre de 2019, 2201913000007565 del 10 de octubre de 2019, 2201913000008259 del 6 de noviembre de 2019, C-074 del 17 de marzo de 2021, C-075 del 16 de marzo de 2021, C-227 de 2021 del 5 de mayo de 2021, C-259 del 2 de junio de 2021, C-296 del 22 de junio de 2021, C-337 del 13 de julio de 2021, C-350 del 16 de julio de 2021, C-352 del 27 de julio de 2021, C-374 del 16 de septiembre de 2021, C-381 del 2 de agosto de 2021, C-391 del 11 de agosto de 2021, C-396 del 13 de agosto de 2021, C-401 del 10 de agosto de 2021, C-413 del 17 de agosto de 2021, C-439  del 27 de agosto de 2021, C-456 del 3 de septiembre de 2021, C-481 del 98 de septiembre de 2021, C-495 del 15 de septiembre de 2021, C-497 del 15 de septiembre de 2021, C-499 del 15 de septiembre de 2021, C-523 del 10 de octubre de 2021, C-528 del 27 de septiembre de 2021, C-543 del 9 de noviembre de 2021, C-550 del 5 de octubre de 2021, C-557 del 7 de octubre de 2021, C-563 del 8 de octubre de 2021, C-606 del 3 de noviembre de 2021, C-614 del 2 de noviembre de 2021, C-633 del 11 de noviembre de 2021, C-634 del 11 de noviembre de 2021, C-636 </w:t>
      </w:r>
      <w:r w:rsidRPr="00CB7E8C">
        <w:rPr>
          <w:rFonts w:ascii="Arial" w:eastAsia="Calibri" w:hAnsi="Arial" w:cs="Arial"/>
          <w:bCs/>
        </w:rPr>
        <w:lastRenderedPageBreak/>
        <w:t>del 16 de noviembre de 2021, C-674 del 6 de diciembre de 2021, C-677 del 4 de diciembre de 2021, C-695 del 22 de diciembre de 2021, C-699 del 6 de enero de 2022, C-700 del 6 de enero de 2021, C-723 del 28 de diciembre de 2021, C-715 del 21 de enero de 2022, C-718 del 24 de enero de 2022</w:t>
      </w:r>
      <w:r w:rsidR="00B173FA" w:rsidRPr="00CB7E8C">
        <w:rPr>
          <w:rFonts w:ascii="Arial" w:eastAsia="Calibri" w:hAnsi="Arial" w:cs="Arial"/>
          <w:bCs/>
        </w:rPr>
        <w:t>,</w:t>
      </w:r>
      <w:r w:rsidRPr="00CB7E8C">
        <w:rPr>
          <w:rFonts w:ascii="Arial" w:eastAsia="Calibri" w:hAnsi="Arial" w:cs="Arial"/>
          <w:bCs/>
        </w:rPr>
        <w:t xml:space="preserve"> C-726 del 24 de enero de 2022</w:t>
      </w:r>
      <w:r w:rsidR="00B173FA" w:rsidRPr="00CB7E8C">
        <w:rPr>
          <w:rFonts w:ascii="Arial" w:eastAsia="Calibri" w:hAnsi="Arial" w:cs="Arial"/>
          <w:bCs/>
        </w:rPr>
        <w:t xml:space="preserve">, C-002 del 15 de febrero de 2022, C-003 del </w:t>
      </w:r>
      <w:r w:rsidR="00CC1518" w:rsidRPr="00CB7E8C">
        <w:rPr>
          <w:rFonts w:ascii="Arial" w:eastAsia="Calibri" w:hAnsi="Arial" w:cs="Arial"/>
          <w:bCs/>
        </w:rPr>
        <w:t>1</w:t>
      </w:r>
      <w:r w:rsidR="00B173FA" w:rsidRPr="00CB7E8C">
        <w:rPr>
          <w:rFonts w:ascii="Arial" w:eastAsia="Calibri" w:hAnsi="Arial" w:cs="Arial"/>
          <w:bCs/>
        </w:rPr>
        <w:t xml:space="preserve"> de abril de 2022, C-004 del </w:t>
      </w:r>
      <w:r w:rsidR="00CC1518" w:rsidRPr="00CB7E8C">
        <w:rPr>
          <w:rFonts w:ascii="Arial" w:eastAsia="Calibri" w:hAnsi="Arial" w:cs="Arial"/>
          <w:bCs/>
        </w:rPr>
        <w:t>1</w:t>
      </w:r>
      <w:r w:rsidR="00B173FA" w:rsidRPr="00CB7E8C">
        <w:rPr>
          <w:rFonts w:ascii="Arial" w:eastAsia="Calibri" w:hAnsi="Arial" w:cs="Arial"/>
          <w:bCs/>
        </w:rPr>
        <w:t xml:space="preserve"> de abril de 2022, C-005 del 1</w:t>
      </w:r>
      <w:r w:rsidR="00CC1518" w:rsidRPr="00CB7E8C">
        <w:rPr>
          <w:rFonts w:ascii="Arial" w:eastAsia="Calibri" w:hAnsi="Arial" w:cs="Arial"/>
          <w:bCs/>
        </w:rPr>
        <w:t>6</w:t>
      </w:r>
      <w:r w:rsidR="00B173FA" w:rsidRPr="00CB7E8C">
        <w:rPr>
          <w:rFonts w:ascii="Arial" w:eastAsia="Calibri" w:hAnsi="Arial" w:cs="Arial"/>
          <w:bCs/>
        </w:rPr>
        <w:t xml:space="preserve"> de febrero de 2022, C-009 del 1</w:t>
      </w:r>
      <w:r w:rsidR="00CC1518" w:rsidRPr="00CB7E8C">
        <w:rPr>
          <w:rFonts w:ascii="Arial" w:eastAsia="Calibri" w:hAnsi="Arial" w:cs="Arial"/>
          <w:bCs/>
        </w:rPr>
        <w:t>5</w:t>
      </w:r>
      <w:r w:rsidR="00B173FA" w:rsidRPr="00CB7E8C">
        <w:rPr>
          <w:rFonts w:ascii="Arial" w:eastAsia="Calibri" w:hAnsi="Arial" w:cs="Arial"/>
          <w:bCs/>
        </w:rPr>
        <w:t xml:space="preserve"> de febrero de 2022, C-014 del 18 de febrero de 2022, C-015 del 1</w:t>
      </w:r>
      <w:r w:rsidR="00CC1518" w:rsidRPr="00CB7E8C">
        <w:rPr>
          <w:rFonts w:ascii="Arial" w:eastAsia="Calibri" w:hAnsi="Arial" w:cs="Arial"/>
          <w:bCs/>
        </w:rPr>
        <w:t>2</w:t>
      </w:r>
      <w:r w:rsidR="00B173FA" w:rsidRPr="00CB7E8C">
        <w:rPr>
          <w:rFonts w:ascii="Arial" w:eastAsia="Calibri" w:hAnsi="Arial" w:cs="Arial"/>
          <w:bCs/>
        </w:rPr>
        <w:t xml:space="preserve"> de febrero de 2022, C-015 del 14 de febrero de 2022, C-022 del 21 de febrero de 2022, C-023 del 22 de febrero de 2022, C-008 del 2</w:t>
      </w:r>
      <w:r w:rsidR="00CC1518" w:rsidRPr="00CB7E8C">
        <w:rPr>
          <w:rFonts w:ascii="Arial" w:eastAsia="Calibri" w:hAnsi="Arial" w:cs="Arial"/>
          <w:bCs/>
        </w:rPr>
        <w:t>4</w:t>
      </w:r>
      <w:r w:rsidR="00B173FA" w:rsidRPr="00CB7E8C">
        <w:rPr>
          <w:rFonts w:ascii="Arial" w:eastAsia="Calibri" w:hAnsi="Arial" w:cs="Arial"/>
          <w:bCs/>
        </w:rPr>
        <w:t xml:space="preserve"> de febrero de 2022, C-042 del </w:t>
      </w:r>
      <w:r w:rsidR="00D477B7" w:rsidRPr="00CB7E8C">
        <w:rPr>
          <w:rFonts w:ascii="Arial" w:eastAsia="Calibri" w:hAnsi="Arial" w:cs="Arial"/>
          <w:bCs/>
        </w:rPr>
        <w:t>4</w:t>
      </w:r>
      <w:r w:rsidR="00DC10CE" w:rsidRPr="00CB7E8C">
        <w:rPr>
          <w:rFonts w:ascii="Arial" w:eastAsia="Calibri" w:hAnsi="Arial" w:cs="Arial"/>
          <w:bCs/>
        </w:rPr>
        <w:t xml:space="preserve"> de marzo de 2022, C-045 del 3 de marzo de 2022, C-054 del 7 de marzo de 2022, C-055 del 17 </w:t>
      </w:r>
      <w:r w:rsidR="002E41DE" w:rsidRPr="00CB7E8C">
        <w:rPr>
          <w:rFonts w:ascii="Arial" w:eastAsia="Calibri" w:hAnsi="Arial" w:cs="Arial"/>
          <w:bCs/>
        </w:rPr>
        <w:t>de febrero de 2022, C-064 del 8 de marzo de 2022, C-032 del 11 de marzo de 2022, C-072 del 11 de marzo de 2022, C-109 del 14 de marzo de 2022, C-073 del 14 de marzo de 2022, C-075 del 10 de marzo de 2022, C-076 del 15 de marzo de 2022, C-077</w:t>
      </w:r>
      <w:r w:rsidR="004B789A" w:rsidRPr="00CB7E8C">
        <w:rPr>
          <w:rFonts w:ascii="Arial" w:eastAsia="Calibri" w:hAnsi="Arial" w:cs="Arial"/>
          <w:bCs/>
        </w:rPr>
        <w:t xml:space="preserve"> del 17 de marzo de 2022, C-092 del 1</w:t>
      </w:r>
      <w:r w:rsidR="00D477B7" w:rsidRPr="00CB7E8C">
        <w:rPr>
          <w:rFonts w:ascii="Arial" w:eastAsia="Calibri" w:hAnsi="Arial" w:cs="Arial"/>
          <w:bCs/>
        </w:rPr>
        <w:t>6</w:t>
      </w:r>
      <w:r w:rsidR="004B789A" w:rsidRPr="00CB7E8C">
        <w:rPr>
          <w:rFonts w:ascii="Arial" w:eastAsia="Calibri" w:hAnsi="Arial" w:cs="Arial"/>
          <w:bCs/>
        </w:rPr>
        <w:t xml:space="preserve"> de marzo de 2022, C-094 del 1</w:t>
      </w:r>
      <w:r w:rsidR="00D477B7" w:rsidRPr="00CB7E8C">
        <w:rPr>
          <w:rFonts w:ascii="Arial" w:eastAsia="Calibri" w:hAnsi="Arial" w:cs="Arial"/>
          <w:bCs/>
        </w:rPr>
        <w:t>6</w:t>
      </w:r>
      <w:r w:rsidR="004B789A" w:rsidRPr="00CB7E8C">
        <w:rPr>
          <w:rFonts w:ascii="Arial" w:eastAsia="Calibri" w:hAnsi="Arial" w:cs="Arial"/>
          <w:bCs/>
        </w:rPr>
        <w:t xml:space="preserve"> de marzo de 2022, C-096 del </w:t>
      </w:r>
      <w:r w:rsidR="004E3692" w:rsidRPr="00CB7E8C">
        <w:rPr>
          <w:rFonts w:ascii="Arial" w:eastAsia="Calibri" w:hAnsi="Arial" w:cs="Arial"/>
          <w:bCs/>
        </w:rPr>
        <w:t xml:space="preserve">22 de marzo de 2022, C-097 del 18 de febrero de 2022, C-098 del </w:t>
      </w:r>
      <w:r w:rsidR="00C6686B" w:rsidRPr="00CB7E8C">
        <w:rPr>
          <w:rFonts w:ascii="Arial" w:eastAsia="Calibri" w:hAnsi="Arial" w:cs="Arial"/>
          <w:bCs/>
        </w:rPr>
        <w:t xml:space="preserve">9 de marzo de 2022, C-099 del 22 de marzo de 2022, </w:t>
      </w:r>
      <w:r w:rsidR="00AA7B58" w:rsidRPr="00CB7E8C">
        <w:rPr>
          <w:rFonts w:ascii="Arial" w:eastAsia="Calibri" w:hAnsi="Arial" w:cs="Arial"/>
          <w:bCs/>
        </w:rPr>
        <w:t>C-100 del 29 de marzo de 2022, C-102 del 22 de marzo de 2022,</w:t>
      </w:r>
      <w:r w:rsidR="00202154" w:rsidRPr="00CB7E8C">
        <w:rPr>
          <w:rFonts w:ascii="Arial" w:eastAsia="Calibri" w:hAnsi="Arial" w:cs="Arial"/>
          <w:bCs/>
        </w:rPr>
        <w:t xml:space="preserve"> C-103 del </w:t>
      </w:r>
      <w:r w:rsidR="00D477B7" w:rsidRPr="00CB7E8C">
        <w:rPr>
          <w:rFonts w:ascii="Arial" w:eastAsia="Calibri" w:hAnsi="Arial" w:cs="Arial"/>
          <w:bCs/>
        </w:rPr>
        <w:t>17</w:t>
      </w:r>
      <w:r w:rsidR="00202154" w:rsidRPr="00CB7E8C">
        <w:rPr>
          <w:rFonts w:ascii="Arial" w:eastAsia="Calibri" w:hAnsi="Arial" w:cs="Arial"/>
          <w:bCs/>
        </w:rPr>
        <w:t xml:space="preserve"> de marzo de 2022, </w:t>
      </w:r>
      <w:r w:rsidR="00AA7B58" w:rsidRPr="00CB7E8C">
        <w:rPr>
          <w:rFonts w:ascii="Arial" w:eastAsia="Calibri" w:hAnsi="Arial" w:cs="Arial"/>
          <w:bCs/>
        </w:rPr>
        <w:t xml:space="preserve"> </w:t>
      </w:r>
      <w:r w:rsidR="00C6686B" w:rsidRPr="00CB7E8C">
        <w:rPr>
          <w:rFonts w:ascii="Arial" w:eastAsia="Calibri" w:hAnsi="Arial" w:cs="Arial"/>
          <w:bCs/>
        </w:rPr>
        <w:t xml:space="preserve"> </w:t>
      </w:r>
      <w:r w:rsidR="00202154" w:rsidRPr="00202154">
        <w:rPr>
          <w:rFonts w:ascii="Arial" w:eastAsia="Times New Roman" w:hAnsi="Arial" w:cs="Arial"/>
          <w:lang w:eastAsia="es-CO"/>
        </w:rPr>
        <w:t>C-105</w:t>
      </w:r>
      <w:r w:rsidR="00202154" w:rsidRPr="00CB7E8C">
        <w:rPr>
          <w:rFonts w:ascii="Arial" w:eastAsia="Times New Roman" w:hAnsi="Arial" w:cs="Arial"/>
          <w:lang w:eastAsia="es-CO"/>
        </w:rPr>
        <w:t xml:space="preserve"> del </w:t>
      </w:r>
      <w:r w:rsidR="00D477B7" w:rsidRPr="00CB7E8C">
        <w:rPr>
          <w:rFonts w:ascii="Arial" w:eastAsia="Times New Roman" w:hAnsi="Arial" w:cs="Arial"/>
          <w:lang w:eastAsia="es-CO"/>
        </w:rPr>
        <w:t>18</w:t>
      </w:r>
      <w:r w:rsidR="00202154" w:rsidRPr="00CB7E8C">
        <w:rPr>
          <w:rFonts w:ascii="Arial" w:eastAsia="Times New Roman" w:hAnsi="Arial" w:cs="Arial"/>
          <w:lang w:eastAsia="es-CO"/>
        </w:rPr>
        <w:t xml:space="preserve"> de marzo de 2022, </w:t>
      </w:r>
      <w:r w:rsidR="00202154" w:rsidRPr="00202154">
        <w:rPr>
          <w:rFonts w:ascii="Arial" w:eastAsia="Times New Roman" w:hAnsi="Arial" w:cs="Arial"/>
          <w:lang w:eastAsia="es-CO"/>
        </w:rPr>
        <w:t>C-106</w:t>
      </w:r>
      <w:r w:rsidR="00202154" w:rsidRPr="00CB7E8C">
        <w:rPr>
          <w:rFonts w:ascii="Arial" w:eastAsia="Times New Roman" w:hAnsi="Arial" w:cs="Arial"/>
          <w:lang w:eastAsia="es-CO"/>
        </w:rPr>
        <w:t xml:space="preserve"> del 29 de marzo de 2022, </w:t>
      </w:r>
      <w:r w:rsidR="00202154" w:rsidRPr="00202154">
        <w:rPr>
          <w:rFonts w:ascii="Arial" w:eastAsia="Times New Roman" w:hAnsi="Arial" w:cs="Arial"/>
          <w:lang w:eastAsia="es-CO"/>
        </w:rPr>
        <w:t>C-107</w:t>
      </w:r>
      <w:r w:rsidR="00202154" w:rsidRPr="00CB7E8C">
        <w:rPr>
          <w:rFonts w:ascii="Arial" w:eastAsia="Times New Roman" w:hAnsi="Arial" w:cs="Arial"/>
          <w:lang w:eastAsia="es-CO"/>
        </w:rPr>
        <w:t xml:space="preserve"> del 18 de marzo de 2022, C-111 del 2</w:t>
      </w:r>
      <w:r w:rsidR="00D477B7" w:rsidRPr="00CB7E8C">
        <w:rPr>
          <w:rFonts w:ascii="Arial" w:eastAsia="Times New Roman" w:hAnsi="Arial" w:cs="Arial"/>
          <w:lang w:eastAsia="es-CO"/>
        </w:rPr>
        <w:t>2</w:t>
      </w:r>
      <w:r w:rsidR="00202154" w:rsidRPr="00CB7E8C">
        <w:rPr>
          <w:rFonts w:ascii="Arial" w:eastAsia="Times New Roman" w:hAnsi="Arial" w:cs="Arial"/>
          <w:lang w:eastAsia="es-CO"/>
        </w:rPr>
        <w:t xml:space="preserve"> de marzo de 2022, </w:t>
      </w:r>
      <w:r w:rsidR="00202154" w:rsidRPr="00202154">
        <w:rPr>
          <w:rFonts w:ascii="Arial" w:eastAsia="Times New Roman" w:hAnsi="Arial" w:cs="Arial"/>
          <w:lang w:eastAsia="es-CO"/>
        </w:rPr>
        <w:t>C-115</w:t>
      </w:r>
      <w:r w:rsidR="00202154" w:rsidRPr="00CB7E8C">
        <w:rPr>
          <w:rFonts w:ascii="Arial" w:eastAsia="Times New Roman" w:hAnsi="Arial" w:cs="Arial"/>
          <w:lang w:eastAsia="es-CO"/>
        </w:rPr>
        <w:t xml:space="preserve"> del 2</w:t>
      </w:r>
      <w:r w:rsidR="00D477B7" w:rsidRPr="00CB7E8C">
        <w:rPr>
          <w:rFonts w:ascii="Arial" w:eastAsia="Times New Roman" w:hAnsi="Arial" w:cs="Arial"/>
          <w:lang w:eastAsia="es-CO"/>
        </w:rPr>
        <w:t>2</w:t>
      </w:r>
      <w:r w:rsidR="00202154" w:rsidRPr="00CB7E8C">
        <w:rPr>
          <w:rFonts w:ascii="Arial" w:eastAsia="Times New Roman" w:hAnsi="Arial" w:cs="Arial"/>
          <w:lang w:eastAsia="es-CO"/>
        </w:rPr>
        <w:t xml:space="preserve"> de marzo de 2022, </w:t>
      </w:r>
      <w:r w:rsidR="00202154" w:rsidRPr="00202154">
        <w:rPr>
          <w:rFonts w:ascii="Arial" w:eastAsia="Times New Roman" w:hAnsi="Arial" w:cs="Arial"/>
          <w:lang w:eastAsia="es-CO"/>
        </w:rPr>
        <w:t>C-116</w:t>
      </w:r>
      <w:r w:rsidR="00202154" w:rsidRPr="00CB7E8C">
        <w:rPr>
          <w:rFonts w:ascii="Arial" w:eastAsia="Times New Roman" w:hAnsi="Arial" w:cs="Arial"/>
          <w:lang w:eastAsia="es-CO"/>
        </w:rPr>
        <w:t xml:space="preserve"> del </w:t>
      </w:r>
      <w:r w:rsidR="005D1DC0" w:rsidRPr="00CB7E8C">
        <w:rPr>
          <w:rFonts w:ascii="Arial" w:eastAsia="Times New Roman" w:hAnsi="Arial" w:cs="Arial"/>
          <w:lang w:eastAsia="es-CO"/>
        </w:rPr>
        <w:t>18</w:t>
      </w:r>
      <w:r w:rsidR="00202154" w:rsidRPr="00CB7E8C">
        <w:rPr>
          <w:rFonts w:ascii="Arial" w:eastAsia="Times New Roman" w:hAnsi="Arial" w:cs="Arial"/>
          <w:lang w:eastAsia="es-CO"/>
        </w:rPr>
        <w:t xml:space="preserve"> de marzo de 2022, </w:t>
      </w:r>
      <w:r w:rsidR="00202154" w:rsidRPr="00202154">
        <w:rPr>
          <w:rFonts w:ascii="Arial" w:eastAsia="Times New Roman" w:hAnsi="Arial" w:cs="Arial"/>
          <w:lang w:eastAsia="es-CO"/>
        </w:rPr>
        <w:t>C-122</w:t>
      </w:r>
      <w:r w:rsidR="00202154" w:rsidRPr="00CB7E8C">
        <w:rPr>
          <w:rFonts w:ascii="Arial" w:eastAsia="Times New Roman" w:hAnsi="Arial" w:cs="Arial"/>
          <w:lang w:eastAsia="es-CO"/>
        </w:rPr>
        <w:t xml:space="preserve"> del </w:t>
      </w:r>
      <w:r w:rsidR="005D1DC0" w:rsidRPr="00CB7E8C">
        <w:rPr>
          <w:rFonts w:ascii="Arial" w:eastAsia="Times New Roman" w:hAnsi="Arial" w:cs="Arial"/>
          <w:lang w:eastAsia="es-CO"/>
        </w:rPr>
        <w:t>18</w:t>
      </w:r>
      <w:r w:rsidR="00202154" w:rsidRPr="00CB7E8C">
        <w:rPr>
          <w:rFonts w:ascii="Arial" w:eastAsia="Times New Roman" w:hAnsi="Arial" w:cs="Arial"/>
          <w:lang w:eastAsia="es-CO"/>
        </w:rPr>
        <w:t xml:space="preserve"> de marzo de 2022,  </w:t>
      </w:r>
      <w:r w:rsidR="00202154" w:rsidRPr="00202154">
        <w:rPr>
          <w:rFonts w:ascii="Arial" w:eastAsia="Times New Roman" w:hAnsi="Arial" w:cs="Arial"/>
          <w:lang w:eastAsia="es-CO"/>
        </w:rPr>
        <w:t>C-127</w:t>
      </w:r>
      <w:r w:rsidR="00202154" w:rsidRPr="00CB7E8C">
        <w:rPr>
          <w:rFonts w:ascii="Arial" w:eastAsia="Times New Roman" w:hAnsi="Arial" w:cs="Arial"/>
          <w:lang w:eastAsia="es-CO"/>
        </w:rPr>
        <w:t xml:space="preserve"> del </w:t>
      </w:r>
      <w:r w:rsidR="005D1DC0" w:rsidRPr="00CB7E8C">
        <w:rPr>
          <w:rFonts w:ascii="Arial" w:eastAsia="Times New Roman" w:hAnsi="Arial" w:cs="Arial"/>
          <w:lang w:eastAsia="es-CO"/>
        </w:rPr>
        <w:t>22</w:t>
      </w:r>
      <w:r w:rsidR="00202154" w:rsidRPr="00CB7E8C">
        <w:rPr>
          <w:rFonts w:ascii="Arial" w:eastAsia="Times New Roman" w:hAnsi="Arial" w:cs="Arial"/>
          <w:lang w:eastAsia="es-CO"/>
        </w:rPr>
        <w:t xml:space="preserve"> de marzo de 2022, </w:t>
      </w:r>
      <w:r w:rsidR="00202154" w:rsidRPr="00202154">
        <w:rPr>
          <w:rFonts w:ascii="Arial" w:eastAsia="Times New Roman" w:hAnsi="Arial" w:cs="Arial"/>
          <w:lang w:eastAsia="es-CO"/>
        </w:rPr>
        <w:t>C-139</w:t>
      </w:r>
      <w:r w:rsidR="00202154" w:rsidRPr="00CB7E8C">
        <w:rPr>
          <w:rFonts w:ascii="Arial" w:eastAsia="Times New Roman" w:hAnsi="Arial" w:cs="Arial"/>
          <w:lang w:eastAsia="es-CO"/>
        </w:rPr>
        <w:t xml:space="preserve"> del 31 de marzo de 2022, </w:t>
      </w:r>
      <w:r w:rsidR="00202154" w:rsidRPr="00202154">
        <w:rPr>
          <w:rFonts w:ascii="Arial" w:eastAsia="Times New Roman" w:hAnsi="Arial" w:cs="Arial"/>
          <w:lang w:eastAsia="es-CO"/>
        </w:rPr>
        <w:t>C-145</w:t>
      </w:r>
      <w:r w:rsidR="00202154" w:rsidRPr="00CB7E8C">
        <w:rPr>
          <w:rFonts w:ascii="Arial" w:eastAsia="Times New Roman" w:hAnsi="Arial" w:cs="Arial"/>
          <w:lang w:eastAsia="es-CO"/>
        </w:rPr>
        <w:t xml:space="preserve"> del </w:t>
      </w:r>
      <w:r w:rsidR="005D1DC0" w:rsidRPr="00CB7E8C">
        <w:rPr>
          <w:rFonts w:ascii="Arial" w:eastAsia="Times New Roman" w:hAnsi="Arial" w:cs="Arial"/>
          <w:lang w:eastAsia="es-CO"/>
        </w:rPr>
        <w:t>28</w:t>
      </w:r>
      <w:r w:rsidR="00202154" w:rsidRPr="00CB7E8C">
        <w:rPr>
          <w:rFonts w:ascii="Arial" w:eastAsia="Times New Roman" w:hAnsi="Arial" w:cs="Arial"/>
          <w:lang w:eastAsia="es-CO"/>
        </w:rPr>
        <w:t xml:space="preserve"> de marzo de 2022, C-146 del </w:t>
      </w:r>
      <w:r w:rsidR="005D1DC0" w:rsidRPr="00CB7E8C">
        <w:rPr>
          <w:rFonts w:ascii="Arial" w:eastAsia="Times New Roman" w:hAnsi="Arial" w:cs="Arial"/>
          <w:lang w:eastAsia="es-CO"/>
        </w:rPr>
        <w:t>25 de marzo</w:t>
      </w:r>
      <w:r w:rsidR="00202154" w:rsidRPr="00CB7E8C">
        <w:rPr>
          <w:rFonts w:ascii="Arial" w:eastAsia="Times New Roman" w:hAnsi="Arial" w:cs="Arial"/>
          <w:lang w:eastAsia="es-CO"/>
        </w:rPr>
        <w:t xml:space="preserve"> de </w:t>
      </w:r>
      <w:r w:rsidR="00422F5C" w:rsidRPr="00CB7E8C">
        <w:rPr>
          <w:rFonts w:ascii="Arial" w:eastAsia="Times New Roman" w:hAnsi="Arial" w:cs="Arial"/>
          <w:lang w:eastAsia="es-CO"/>
        </w:rPr>
        <w:t xml:space="preserve">2022, </w:t>
      </w:r>
      <w:r w:rsidR="00422F5C" w:rsidRPr="00202154">
        <w:rPr>
          <w:rFonts w:ascii="Arial" w:eastAsia="Times New Roman" w:hAnsi="Arial" w:cs="Arial"/>
          <w:lang w:eastAsia="es-CO"/>
        </w:rPr>
        <w:t>C-147</w:t>
      </w:r>
      <w:r w:rsidR="00422F5C" w:rsidRPr="00CB7E8C">
        <w:rPr>
          <w:rFonts w:ascii="Arial" w:eastAsia="Times New Roman" w:hAnsi="Arial" w:cs="Arial"/>
          <w:lang w:eastAsia="es-CO"/>
        </w:rPr>
        <w:t xml:space="preserve"> del </w:t>
      </w:r>
      <w:r w:rsidR="005D1DC0" w:rsidRPr="00CB7E8C">
        <w:rPr>
          <w:rFonts w:ascii="Arial" w:eastAsia="Times New Roman" w:hAnsi="Arial" w:cs="Arial"/>
          <w:lang w:eastAsia="es-CO"/>
        </w:rPr>
        <w:t>4</w:t>
      </w:r>
      <w:r w:rsidR="00422F5C" w:rsidRPr="00CB7E8C">
        <w:rPr>
          <w:rFonts w:ascii="Arial" w:eastAsia="Times New Roman" w:hAnsi="Arial" w:cs="Arial"/>
          <w:lang w:eastAsia="es-CO"/>
        </w:rPr>
        <w:t xml:space="preserve"> de abril de 2022, </w:t>
      </w:r>
      <w:r w:rsidR="00422F5C" w:rsidRPr="00202154">
        <w:rPr>
          <w:rFonts w:ascii="Arial" w:eastAsia="Times New Roman" w:hAnsi="Arial" w:cs="Arial"/>
          <w:lang w:eastAsia="es-CO"/>
        </w:rPr>
        <w:t>C-148</w:t>
      </w:r>
      <w:r w:rsidR="00422F5C" w:rsidRPr="00CB7E8C">
        <w:rPr>
          <w:rFonts w:ascii="Arial" w:eastAsia="Times New Roman" w:hAnsi="Arial" w:cs="Arial"/>
          <w:lang w:eastAsia="es-CO"/>
        </w:rPr>
        <w:t xml:space="preserve"> del </w:t>
      </w:r>
      <w:r w:rsidR="005D1DC0" w:rsidRPr="00CB7E8C">
        <w:rPr>
          <w:rFonts w:ascii="Arial" w:eastAsia="Times New Roman" w:hAnsi="Arial" w:cs="Arial"/>
          <w:lang w:eastAsia="es-CO"/>
        </w:rPr>
        <w:t>29 de marzo</w:t>
      </w:r>
      <w:r w:rsidR="00422F5C" w:rsidRPr="00CB7E8C">
        <w:rPr>
          <w:rFonts w:ascii="Arial" w:eastAsia="Times New Roman" w:hAnsi="Arial" w:cs="Arial"/>
          <w:lang w:eastAsia="es-CO"/>
        </w:rPr>
        <w:t xml:space="preserve"> de 2022, </w:t>
      </w:r>
      <w:r w:rsidR="00422F5C" w:rsidRPr="00202154">
        <w:rPr>
          <w:rFonts w:ascii="Arial" w:eastAsia="Times New Roman" w:hAnsi="Arial" w:cs="Arial"/>
          <w:lang w:eastAsia="es-CO"/>
        </w:rPr>
        <w:t>C-150</w:t>
      </w:r>
      <w:r w:rsidR="00422F5C" w:rsidRPr="00CB7E8C">
        <w:rPr>
          <w:rFonts w:ascii="Arial" w:eastAsia="Times New Roman" w:hAnsi="Arial" w:cs="Arial"/>
          <w:lang w:eastAsia="es-CO"/>
        </w:rPr>
        <w:t xml:space="preserve"> del 3</w:t>
      </w:r>
      <w:r w:rsidR="00BD2FB0" w:rsidRPr="00CB7E8C">
        <w:rPr>
          <w:rFonts w:ascii="Arial" w:eastAsia="Times New Roman" w:hAnsi="Arial" w:cs="Arial"/>
          <w:lang w:eastAsia="es-CO"/>
        </w:rPr>
        <w:t>0</w:t>
      </w:r>
      <w:r w:rsidR="00422F5C" w:rsidRPr="00CB7E8C">
        <w:rPr>
          <w:rFonts w:ascii="Arial" w:eastAsia="Times New Roman" w:hAnsi="Arial" w:cs="Arial"/>
          <w:lang w:eastAsia="es-CO"/>
        </w:rPr>
        <w:t xml:space="preserve"> de marzo de 2022, </w:t>
      </w:r>
      <w:r w:rsidR="00422F5C" w:rsidRPr="00202154">
        <w:rPr>
          <w:rFonts w:ascii="Arial" w:eastAsia="Times New Roman" w:hAnsi="Arial" w:cs="Arial"/>
          <w:lang w:eastAsia="es-CO"/>
        </w:rPr>
        <w:t>C-151</w:t>
      </w:r>
      <w:r w:rsidR="00422F5C" w:rsidRPr="00CB7E8C">
        <w:rPr>
          <w:rFonts w:ascii="Arial" w:eastAsia="Times New Roman" w:hAnsi="Arial" w:cs="Arial"/>
          <w:lang w:eastAsia="es-CO"/>
        </w:rPr>
        <w:t xml:space="preserve"> del </w:t>
      </w:r>
      <w:r w:rsidR="00BD2FB0" w:rsidRPr="00CB7E8C">
        <w:rPr>
          <w:rFonts w:ascii="Arial" w:eastAsia="Times New Roman" w:hAnsi="Arial" w:cs="Arial"/>
          <w:lang w:eastAsia="es-CO"/>
        </w:rPr>
        <w:t>5</w:t>
      </w:r>
      <w:r w:rsidR="00422F5C" w:rsidRPr="00CB7E8C">
        <w:rPr>
          <w:rFonts w:ascii="Arial" w:eastAsia="Times New Roman" w:hAnsi="Arial" w:cs="Arial"/>
          <w:lang w:eastAsia="es-CO"/>
        </w:rPr>
        <w:t xml:space="preserve"> de abril de 2022, </w:t>
      </w:r>
      <w:r w:rsidR="00422F5C" w:rsidRPr="00202154">
        <w:rPr>
          <w:rFonts w:ascii="Arial" w:eastAsia="Times New Roman" w:hAnsi="Arial" w:cs="Arial"/>
          <w:lang w:eastAsia="es-CO"/>
        </w:rPr>
        <w:t>C-153</w:t>
      </w:r>
      <w:r w:rsidR="00422F5C" w:rsidRPr="00CB7E8C">
        <w:rPr>
          <w:rFonts w:ascii="Arial" w:eastAsia="Times New Roman" w:hAnsi="Arial" w:cs="Arial"/>
          <w:lang w:eastAsia="es-CO"/>
        </w:rPr>
        <w:t xml:space="preserve"> del </w:t>
      </w:r>
      <w:r w:rsidR="00BD2FB0" w:rsidRPr="00CB7E8C">
        <w:rPr>
          <w:rFonts w:ascii="Arial" w:eastAsia="Times New Roman" w:hAnsi="Arial" w:cs="Arial"/>
          <w:lang w:eastAsia="es-CO"/>
        </w:rPr>
        <w:t>25 de marzo</w:t>
      </w:r>
      <w:r w:rsidR="00422F5C" w:rsidRPr="00CB7E8C">
        <w:rPr>
          <w:rFonts w:ascii="Arial" w:eastAsia="Times New Roman" w:hAnsi="Arial" w:cs="Arial"/>
          <w:lang w:eastAsia="es-CO"/>
        </w:rPr>
        <w:t xml:space="preserve"> de 2022, </w:t>
      </w:r>
      <w:r w:rsidR="00422F5C" w:rsidRPr="00202154">
        <w:rPr>
          <w:rFonts w:ascii="Arial" w:eastAsia="Times New Roman" w:hAnsi="Arial" w:cs="Arial"/>
          <w:lang w:eastAsia="es-CO"/>
        </w:rPr>
        <w:t>C-155</w:t>
      </w:r>
      <w:r w:rsidR="00422F5C" w:rsidRPr="00CB7E8C">
        <w:rPr>
          <w:rFonts w:ascii="Arial" w:eastAsia="Times New Roman" w:hAnsi="Arial" w:cs="Arial"/>
          <w:lang w:eastAsia="es-CO"/>
        </w:rPr>
        <w:t xml:space="preserve"> del </w:t>
      </w:r>
      <w:r w:rsidR="00980622" w:rsidRPr="00CB7E8C">
        <w:rPr>
          <w:rFonts w:ascii="Arial" w:eastAsia="Times New Roman" w:hAnsi="Arial" w:cs="Arial"/>
          <w:lang w:eastAsia="es-CO"/>
        </w:rPr>
        <w:t>1</w:t>
      </w:r>
      <w:r w:rsidR="00422F5C" w:rsidRPr="00CB7E8C">
        <w:rPr>
          <w:rFonts w:ascii="Arial" w:eastAsia="Times New Roman" w:hAnsi="Arial" w:cs="Arial"/>
          <w:lang w:eastAsia="es-CO"/>
        </w:rPr>
        <w:t xml:space="preserve"> de abril de 2022, </w:t>
      </w:r>
      <w:r w:rsidR="00422F5C" w:rsidRPr="00202154">
        <w:rPr>
          <w:rFonts w:ascii="Arial" w:eastAsia="Times New Roman" w:hAnsi="Arial" w:cs="Arial"/>
          <w:lang w:eastAsia="es-CO"/>
        </w:rPr>
        <w:t>C-156</w:t>
      </w:r>
      <w:r w:rsidR="00422F5C" w:rsidRPr="00CB7E8C">
        <w:rPr>
          <w:rFonts w:ascii="Arial" w:eastAsia="Times New Roman" w:hAnsi="Arial" w:cs="Arial"/>
          <w:lang w:eastAsia="es-CO"/>
        </w:rPr>
        <w:t xml:space="preserve"> del </w:t>
      </w:r>
      <w:r w:rsidR="00980622" w:rsidRPr="00CB7E8C">
        <w:rPr>
          <w:rFonts w:ascii="Arial" w:eastAsia="Times New Roman" w:hAnsi="Arial" w:cs="Arial"/>
          <w:lang w:eastAsia="es-CO"/>
        </w:rPr>
        <w:t>28 de marzo</w:t>
      </w:r>
      <w:r w:rsidR="00422F5C" w:rsidRPr="00CB7E8C">
        <w:rPr>
          <w:rFonts w:ascii="Arial" w:eastAsia="Times New Roman" w:hAnsi="Arial" w:cs="Arial"/>
          <w:lang w:eastAsia="es-CO"/>
        </w:rPr>
        <w:t xml:space="preserve"> de 2022, </w:t>
      </w:r>
      <w:r w:rsidR="00422F5C" w:rsidRPr="00202154">
        <w:rPr>
          <w:rFonts w:ascii="Arial" w:eastAsia="Times New Roman" w:hAnsi="Arial" w:cs="Arial"/>
          <w:lang w:eastAsia="es-CO"/>
        </w:rPr>
        <w:t>C-157</w:t>
      </w:r>
      <w:r w:rsidR="00422F5C" w:rsidRPr="00CB7E8C">
        <w:rPr>
          <w:rFonts w:ascii="Arial" w:eastAsia="Times New Roman" w:hAnsi="Arial" w:cs="Arial"/>
          <w:lang w:eastAsia="es-CO"/>
        </w:rPr>
        <w:t xml:space="preserve"> del </w:t>
      </w:r>
      <w:r w:rsidR="00980622" w:rsidRPr="00CB7E8C">
        <w:rPr>
          <w:rFonts w:ascii="Arial" w:eastAsia="Times New Roman" w:hAnsi="Arial" w:cs="Arial"/>
          <w:lang w:eastAsia="es-CO"/>
        </w:rPr>
        <w:t>5</w:t>
      </w:r>
      <w:r w:rsidR="00422F5C" w:rsidRPr="00CB7E8C">
        <w:rPr>
          <w:rFonts w:ascii="Arial" w:eastAsia="Times New Roman" w:hAnsi="Arial" w:cs="Arial"/>
          <w:lang w:eastAsia="es-CO"/>
        </w:rPr>
        <w:t xml:space="preserve"> de abril de 2022, </w:t>
      </w:r>
      <w:r w:rsidR="00422F5C" w:rsidRPr="00202154">
        <w:rPr>
          <w:rFonts w:ascii="Arial" w:eastAsia="Times New Roman" w:hAnsi="Arial" w:cs="Arial"/>
          <w:lang w:eastAsia="es-CO"/>
        </w:rPr>
        <w:t>C-164</w:t>
      </w:r>
      <w:r w:rsidR="00422F5C" w:rsidRPr="00CB7E8C">
        <w:rPr>
          <w:rFonts w:ascii="Arial" w:eastAsia="Times New Roman" w:hAnsi="Arial" w:cs="Arial"/>
          <w:lang w:eastAsia="es-CO"/>
        </w:rPr>
        <w:t xml:space="preserve"> del </w:t>
      </w:r>
      <w:r w:rsidR="00980622" w:rsidRPr="00CB7E8C">
        <w:rPr>
          <w:rFonts w:ascii="Arial" w:eastAsia="Times New Roman" w:hAnsi="Arial" w:cs="Arial"/>
          <w:lang w:eastAsia="es-CO"/>
        </w:rPr>
        <w:t>22</w:t>
      </w:r>
      <w:r w:rsidR="00422F5C" w:rsidRPr="00CB7E8C">
        <w:rPr>
          <w:rFonts w:ascii="Arial" w:eastAsia="Times New Roman" w:hAnsi="Arial" w:cs="Arial"/>
          <w:lang w:eastAsia="es-CO"/>
        </w:rPr>
        <w:t xml:space="preserve"> de marzo de 2022, C-169 del </w:t>
      </w:r>
      <w:r w:rsidR="00980622" w:rsidRPr="00CB7E8C">
        <w:rPr>
          <w:rFonts w:ascii="Arial" w:eastAsia="Times New Roman" w:hAnsi="Arial" w:cs="Arial"/>
          <w:lang w:eastAsia="es-CO"/>
        </w:rPr>
        <w:t>7</w:t>
      </w:r>
      <w:r w:rsidR="00422F5C" w:rsidRPr="00CB7E8C">
        <w:rPr>
          <w:rFonts w:ascii="Arial" w:eastAsia="Times New Roman" w:hAnsi="Arial" w:cs="Arial"/>
          <w:lang w:eastAsia="es-CO"/>
        </w:rPr>
        <w:t xml:space="preserve"> de abril de 2022, C-171 del 6 de abril de 2022 y C-216 de</w:t>
      </w:r>
      <w:r w:rsidR="003C4862" w:rsidRPr="00CB7E8C">
        <w:rPr>
          <w:rFonts w:ascii="Arial" w:eastAsia="Times New Roman" w:hAnsi="Arial" w:cs="Arial"/>
          <w:lang w:eastAsia="es-CO"/>
        </w:rPr>
        <w:t xml:space="preserve">l </w:t>
      </w:r>
      <w:r w:rsidR="00980622" w:rsidRPr="00CB7E8C">
        <w:rPr>
          <w:rFonts w:ascii="Arial" w:eastAsia="Times New Roman" w:hAnsi="Arial" w:cs="Arial"/>
          <w:lang w:eastAsia="es-CO"/>
        </w:rPr>
        <w:t xml:space="preserve">9 </w:t>
      </w:r>
      <w:r w:rsidR="003C4862" w:rsidRPr="00CB7E8C">
        <w:rPr>
          <w:rFonts w:ascii="Arial" w:eastAsia="Times New Roman" w:hAnsi="Arial" w:cs="Arial"/>
          <w:lang w:eastAsia="es-CO"/>
        </w:rPr>
        <w:t>marzo de 2022.</w:t>
      </w:r>
      <w:r w:rsidRPr="00CB7E8C">
        <w:rPr>
          <w:rFonts w:ascii="Arial" w:eastAsia="Calibri" w:hAnsi="Arial" w:cs="Arial"/>
          <w:bCs/>
        </w:rPr>
        <w:t xml:space="preserve"> La tesis desarrollada en estos conceptos se reitera y complementa a continuación:</w:t>
      </w:r>
    </w:p>
    <w:bookmarkEnd w:id="8"/>
    <w:p w14:paraId="0A16D86B" w14:textId="160B7AC9" w:rsidR="00883C23" w:rsidRPr="00CB7E8C" w:rsidRDefault="00883C23" w:rsidP="00883C23">
      <w:pPr>
        <w:tabs>
          <w:tab w:val="left" w:pos="426"/>
        </w:tabs>
        <w:spacing w:after="0" w:line="276" w:lineRule="auto"/>
        <w:ind w:firstLine="709"/>
        <w:contextualSpacing/>
        <w:jc w:val="both"/>
        <w:rPr>
          <w:rFonts w:ascii="Arial" w:eastAsia="Calibri" w:hAnsi="Arial" w:cs="Arial"/>
          <w:b/>
          <w:bCs/>
        </w:rPr>
      </w:pPr>
    </w:p>
    <w:p w14:paraId="4ECC21B5" w14:textId="77777777" w:rsidR="00F8124A" w:rsidRPr="00F8124A" w:rsidRDefault="00F8124A" w:rsidP="00F8124A">
      <w:pPr>
        <w:tabs>
          <w:tab w:val="left" w:pos="426"/>
        </w:tabs>
        <w:spacing w:after="0" w:line="276" w:lineRule="auto"/>
        <w:contextualSpacing/>
        <w:jc w:val="both"/>
        <w:rPr>
          <w:rFonts w:ascii="Arial" w:eastAsia="Calibri" w:hAnsi="Arial" w:cs="Arial"/>
          <w:b/>
          <w:bCs/>
          <w:lang w:val="es-ES_tradnl"/>
        </w:rPr>
      </w:pPr>
      <w:r w:rsidRPr="00F8124A">
        <w:rPr>
          <w:rFonts w:ascii="Arial" w:eastAsia="Calibri" w:hAnsi="Arial" w:cs="Arial"/>
          <w:b/>
          <w:bCs/>
          <w:lang w:val="es-ES_tradnl"/>
        </w:rPr>
        <w:t>2.1. Definición y finalidad de la Ley de Garantías Electorales: alcance de las restricciones</w:t>
      </w:r>
    </w:p>
    <w:p w14:paraId="0835F10D" w14:textId="77777777" w:rsidR="00F8124A" w:rsidRPr="00F8124A" w:rsidRDefault="00F8124A" w:rsidP="00F8124A">
      <w:pPr>
        <w:tabs>
          <w:tab w:val="left" w:pos="426"/>
        </w:tabs>
        <w:spacing w:after="0" w:line="240" w:lineRule="auto"/>
        <w:ind w:firstLine="709"/>
        <w:jc w:val="both"/>
        <w:rPr>
          <w:rFonts w:ascii="Arial" w:eastAsia="Calibri" w:hAnsi="Arial" w:cs="Arial"/>
          <w:bCs/>
          <w:lang w:val="es-ES_tradnl"/>
        </w:rPr>
      </w:pPr>
    </w:p>
    <w:p w14:paraId="186D4077" w14:textId="77777777" w:rsidR="00F8124A" w:rsidRPr="00F8124A" w:rsidRDefault="00F8124A" w:rsidP="00F8124A">
      <w:pPr>
        <w:tabs>
          <w:tab w:val="left" w:pos="426"/>
        </w:tabs>
        <w:spacing w:after="120" w:line="276" w:lineRule="auto"/>
        <w:jc w:val="both"/>
        <w:rPr>
          <w:rFonts w:ascii="Arial" w:eastAsia="Times New Roman" w:hAnsi="Arial" w:cs="Arial"/>
          <w:bCs/>
          <w:lang w:val="es-ES_tradnl" w:eastAsia="es-CO"/>
        </w:rPr>
      </w:pPr>
      <w:r w:rsidRPr="00F8124A">
        <w:rPr>
          <w:rFonts w:ascii="Arial" w:eastAsia="Calibri" w:hAnsi="Arial" w:cs="Arial"/>
          <w:bCs/>
          <w:lang w:val="es-ES_tradnl"/>
        </w:rPr>
        <w:t>El ordenamiento jurídico colombiano contempla previsiones claras para evitar la obtención de beneficios personales en asuntos propios de la administración pública</w:t>
      </w:r>
      <w:r w:rsidRPr="00F8124A">
        <w:rPr>
          <w:rFonts w:ascii="Arial" w:eastAsia="Calibri" w:hAnsi="Arial" w:cs="Arial"/>
          <w:bCs/>
          <w:i/>
          <w:iCs/>
          <w:lang w:val="es-ES_tradnl"/>
        </w:rPr>
        <w:t xml:space="preserve">. </w:t>
      </w:r>
      <w:r w:rsidRPr="00F8124A">
        <w:rPr>
          <w:rFonts w:ascii="Arial" w:eastAsia="Calibri" w:hAnsi="Arial" w:cs="Arial"/>
          <w:bCs/>
          <w:lang w:val="es-ES_tradnl"/>
        </w:rPr>
        <w:t>Por ejemplo, el artículo 127 de la Constitución Política establece una prohibición contractual a los servidores públicos y en cuanto a aspectos políticos establece restricciones a ciertos empleados del Estado, incluso en época no electoral</w:t>
      </w:r>
      <w:r w:rsidRPr="00F8124A">
        <w:rPr>
          <w:rFonts w:ascii="Arial" w:eastAsia="Calibri" w:hAnsi="Arial" w:cs="Arial"/>
          <w:bCs/>
          <w:vertAlign w:val="superscript"/>
          <w:lang w:val="es-ES_tradnl"/>
        </w:rPr>
        <w:footnoteReference w:id="1"/>
      </w:r>
      <w:r w:rsidRPr="00F8124A">
        <w:rPr>
          <w:rFonts w:ascii="Arial" w:eastAsia="Calibri" w:hAnsi="Arial" w:cs="Arial"/>
          <w:bCs/>
          <w:lang w:val="es-ES_tradnl"/>
        </w:rPr>
        <w:t xml:space="preserve">. </w:t>
      </w:r>
    </w:p>
    <w:p w14:paraId="324EC64F" w14:textId="77777777" w:rsidR="00F8124A" w:rsidRPr="00F8124A" w:rsidRDefault="00F8124A" w:rsidP="00F8124A">
      <w:pPr>
        <w:tabs>
          <w:tab w:val="left" w:pos="426"/>
        </w:tabs>
        <w:spacing w:after="0" w:line="276" w:lineRule="auto"/>
        <w:ind w:firstLine="709"/>
        <w:jc w:val="both"/>
        <w:rPr>
          <w:rFonts w:ascii="Arial" w:eastAsia="Times New Roman" w:hAnsi="Arial" w:cs="Arial"/>
          <w:bCs/>
          <w:lang w:val="es-ES_tradnl" w:eastAsia="es-CO"/>
        </w:rPr>
      </w:pPr>
      <w:r w:rsidRPr="00F8124A">
        <w:rPr>
          <w:rFonts w:ascii="Arial" w:eastAsia="Times New Roman" w:hAnsi="Arial" w:cs="Arial"/>
          <w:bCs/>
          <w:lang w:val="es-ES_tradnl" w:eastAsia="es-CO"/>
        </w:rPr>
        <w:lastRenderedPageBreak/>
        <w:t>En el mismo sentido, 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F8124A">
        <w:rPr>
          <w:rFonts w:ascii="Arial" w:eastAsia="Times New Roman" w:hAnsi="Arial" w:cs="Arial"/>
          <w:bCs/>
          <w:vertAlign w:val="superscript"/>
          <w:lang w:val="es-ES_tradnl" w:eastAsia="es-CO"/>
        </w:rPr>
        <w:footnoteReference w:id="2"/>
      </w:r>
      <w:r w:rsidRPr="00F8124A">
        <w:rPr>
          <w:rFonts w:ascii="Arial" w:eastAsia="Times New Roman" w:hAnsi="Arial" w:cs="Arial"/>
          <w:bCs/>
          <w:lang w:val="es-ES_tradnl" w:eastAsia="es-CO"/>
        </w:rPr>
        <w:t>. En esta medida, introduce limitaciones para realizar nombramientos, postulaciones, contrataciones o cualquier otro tipo de actividad que implique destinación de recursos públicos bajo el devenir propio de las entidades estatales.</w:t>
      </w:r>
      <w:r w:rsidRPr="00F8124A">
        <w:rPr>
          <w:rFonts w:ascii="Arial" w:eastAsia="Calibri" w:hAnsi="Arial" w:cs="Arial"/>
          <w:noProof/>
          <w:lang w:val="es-ES_tradnl"/>
        </w:rPr>
        <w:t xml:space="preserve"> </w:t>
      </w:r>
      <w:r w:rsidRPr="00F8124A">
        <w:rPr>
          <w:rFonts w:ascii="Arial" w:eastAsia="Times New Roman" w:hAnsi="Arial" w:cs="Arial"/>
          <w:bCs/>
          <w:lang w:val="es-ES_tradnl" w:eastAsia="es-CO"/>
        </w:rPr>
        <w:t>En armonía con lo anterior, la Corte Constitucional ha abordado la definición de la Ley de Garantías Electorales. De esta manera, explica que tiene como propósito:</w:t>
      </w:r>
    </w:p>
    <w:p w14:paraId="131A9D91" w14:textId="77777777" w:rsidR="00F8124A" w:rsidRPr="00F8124A" w:rsidRDefault="00F8124A" w:rsidP="00F8124A">
      <w:pPr>
        <w:spacing w:after="0" w:line="276" w:lineRule="auto"/>
        <w:ind w:right="709"/>
        <w:jc w:val="both"/>
        <w:rPr>
          <w:rFonts w:ascii="Arial" w:eastAsia="Times New Roman" w:hAnsi="Arial" w:cs="Arial"/>
          <w:sz w:val="21"/>
          <w:szCs w:val="21"/>
          <w:lang w:val="es-ES_tradnl" w:eastAsia="es-CO"/>
        </w:rPr>
      </w:pPr>
    </w:p>
    <w:p w14:paraId="7F1B877B" w14:textId="418AE9B4" w:rsidR="00F8124A" w:rsidRPr="00CB7E8C" w:rsidRDefault="00F8124A" w:rsidP="00F8124A">
      <w:pPr>
        <w:spacing w:after="0" w:line="240" w:lineRule="auto"/>
        <w:ind w:left="709" w:right="709"/>
        <w:contextualSpacing/>
        <w:jc w:val="both"/>
        <w:rPr>
          <w:rFonts w:ascii="Arial" w:eastAsia="Times New Roman" w:hAnsi="Arial" w:cs="Arial"/>
          <w:bCs/>
          <w:sz w:val="21"/>
          <w:szCs w:val="21"/>
          <w:lang w:val="es-ES_tradnl" w:eastAsia="es-CO"/>
        </w:rPr>
      </w:pPr>
      <w:r w:rsidRPr="00F8124A">
        <w:rPr>
          <w:rFonts w:ascii="Arial" w:eastAsia="Times New Roman" w:hAnsi="Arial" w:cs="Arial"/>
          <w:sz w:val="21"/>
          <w:szCs w:val="21"/>
          <w:lang w:val="es-ES_tradnl" w:eastAsia="es-CO"/>
        </w:rPr>
        <w:t xml:space="preserve">[…] </w:t>
      </w:r>
      <w:r w:rsidRPr="00F8124A">
        <w:rPr>
          <w:rFonts w:ascii="Arial" w:eastAsia="Times New Roman" w:hAnsi="Arial" w:cs="Arial"/>
          <w:bCs/>
          <w:sz w:val="21"/>
          <w:szCs w:val="21"/>
          <w:lang w:val="es-ES_tradnl" w:eastAsia="es-CO"/>
        </w:rPr>
        <w:t>la definición de reglas claras que permitan acceder a los canales de expresión democrática de manera efectiva e igualitaria. El objetivo de una ley de garantías es definir esas reglas.</w:t>
      </w:r>
    </w:p>
    <w:p w14:paraId="093469C6" w14:textId="77777777" w:rsidR="00F8124A" w:rsidRPr="00F8124A" w:rsidRDefault="00F8124A" w:rsidP="00F8124A">
      <w:pPr>
        <w:spacing w:after="0" w:line="240" w:lineRule="auto"/>
        <w:ind w:left="709" w:right="709"/>
        <w:contextualSpacing/>
        <w:jc w:val="both"/>
        <w:rPr>
          <w:rFonts w:ascii="Arial" w:eastAsia="Times New Roman" w:hAnsi="Arial" w:cs="Arial"/>
          <w:bCs/>
          <w:sz w:val="21"/>
          <w:szCs w:val="21"/>
          <w:lang w:val="es-ES_tradnl" w:eastAsia="es-CO"/>
        </w:rPr>
      </w:pPr>
    </w:p>
    <w:p w14:paraId="5E2988A5" w14:textId="77777777" w:rsidR="00F8124A" w:rsidRPr="00F8124A" w:rsidRDefault="00F8124A" w:rsidP="00F8124A">
      <w:pPr>
        <w:spacing w:after="0" w:line="240" w:lineRule="auto"/>
        <w:ind w:left="709" w:right="709"/>
        <w:contextualSpacing/>
        <w:jc w:val="both"/>
        <w:rPr>
          <w:rFonts w:ascii="Arial" w:eastAsia="Times New Roman" w:hAnsi="Arial" w:cs="Arial"/>
          <w:bCs/>
          <w:sz w:val="21"/>
          <w:szCs w:val="21"/>
          <w:lang w:val="es-ES_tradnl" w:eastAsia="es-CO"/>
        </w:rPr>
      </w:pPr>
      <w:r w:rsidRPr="00F8124A">
        <w:rPr>
          <w:rFonts w:ascii="Arial" w:eastAsia="Times New Roman" w:hAnsi="Arial" w:cs="Arial"/>
          <w:bCs/>
          <w:sz w:val="21"/>
          <w:szCs w:val="21"/>
          <w:lang w:val="es-ES_tradnl" w:eastAsia="es-CO"/>
        </w:rPr>
        <w:t xml:space="preserve">[…] </w:t>
      </w:r>
    </w:p>
    <w:p w14:paraId="04B9AD4E" w14:textId="77777777" w:rsidR="00F8124A" w:rsidRPr="00CB7E8C" w:rsidRDefault="00F8124A" w:rsidP="00F8124A">
      <w:pPr>
        <w:spacing w:after="0" w:line="240" w:lineRule="auto"/>
        <w:ind w:left="709" w:right="709"/>
        <w:contextualSpacing/>
        <w:jc w:val="both"/>
        <w:rPr>
          <w:rFonts w:ascii="Arial" w:eastAsia="Times New Roman" w:hAnsi="Arial" w:cs="Arial"/>
          <w:bCs/>
          <w:sz w:val="21"/>
          <w:szCs w:val="21"/>
          <w:lang w:val="es-ES_tradnl" w:eastAsia="es-CO"/>
        </w:rPr>
      </w:pPr>
    </w:p>
    <w:p w14:paraId="7A6C11A8" w14:textId="3ACA7A11" w:rsidR="00F8124A" w:rsidRPr="00F8124A" w:rsidRDefault="00F8124A" w:rsidP="00F8124A">
      <w:pPr>
        <w:spacing w:after="0" w:line="240" w:lineRule="auto"/>
        <w:ind w:left="709" w:right="709"/>
        <w:contextualSpacing/>
        <w:jc w:val="both"/>
        <w:rPr>
          <w:rFonts w:ascii="Arial" w:eastAsia="Times New Roman" w:hAnsi="Arial" w:cs="Arial"/>
          <w:bCs/>
          <w:sz w:val="21"/>
          <w:szCs w:val="21"/>
          <w:lang w:val="es-ES_tradnl" w:eastAsia="es-CO"/>
        </w:rPr>
      </w:pPr>
      <w:r w:rsidRPr="00F8124A">
        <w:rPr>
          <w:rFonts w:ascii="Arial" w:eastAsia="Times New Roman" w:hAnsi="Arial" w:cs="Arial"/>
          <w:bCs/>
          <w:sz w:val="21"/>
          <w:szCs w:val="21"/>
          <w:lang w:val="es-ES_tradnl"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F8124A">
        <w:rPr>
          <w:rFonts w:ascii="Arial" w:eastAsia="Calibri" w:hAnsi="Arial" w:cs="Arial"/>
          <w:sz w:val="20"/>
          <w:szCs w:val="20"/>
          <w:vertAlign w:val="superscript"/>
          <w:lang w:val="es-ES_tradnl"/>
        </w:rPr>
        <w:footnoteReference w:id="3"/>
      </w:r>
    </w:p>
    <w:p w14:paraId="1EEE5391" w14:textId="77777777" w:rsidR="00F8124A" w:rsidRPr="00F8124A" w:rsidRDefault="00F8124A" w:rsidP="00F8124A">
      <w:pPr>
        <w:spacing w:after="0" w:line="276" w:lineRule="auto"/>
        <w:ind w:left="709" w:right="709"/>
        <w:jc w:val="both"/>
        <w:rPr>
          <w:rFonts w:ascii="Arial" w:eastAsia="Times New Roman" w:hAnsi="Arial" w:cs="Arial"/>
          <w:bCs/>
          <w:sz w:val="21"/>
          <w:szCs w:val="21"/>
          <w:lang w:val="es-ES_tradnl" w:eastAsia="es-CO"/>
        </w:rPr>
      </w:pPr>
    </w:p>
    <w:p w14:paraId="3808AD21" w14:textId="77777777" w:rsidR="00F8124A" w:rsidRPr="00F8124A" w:rsidRDefault="00F8124A" w:rsidP="00F8124A">
      <w:pPr>
        <w:spacing w:after="0" w:line="276" w:lineRule="auto"/>
        <w:ind w:firstLine="709"/>
        <w:contextualSpacing/>
        <w:jc w:val="both"/>
        <w:rPr>
          <w:rFonts w:ascii="Arial" w:eastAsia="Times New Roman" w:hAnsi="Arial" w:cs="Arial"/>
          <w:bCs/>
          <w:lang w:val="es-ES_tradnl" w:eastAsia="es-CO"/>
        </w:rPr>
      </w:pPr>
      <w:bookmarkStart w:id="10" w:name="_Hlk78818186"/>
      <w:r w:rsidRPr="00F8124A">
        <w:rPr>
          <w:rFonts w:ascii="Arial" w:eastAsia="Times New Roman" w:hAnsi="Arial" w:cs="Arial"/>
          <w:bCs/>
          <w:lang w:val="es-ES_tradnl" w:eastAsia="es-CO"/>
        </w:rPr>
        <w:t xml:space="preserve">En este contexto, la Ley de Garantías Electorales 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w:t>
      </w:r>
      <w:r w:rsidRPr="00F8124A">
        <w:rPr>
          <w:rFonts w:ascii="Arial" w:eastAsia="Times New Roman" w:hAnsi="Arial" w:cs="Arial"/>
          <w:bCs/>
          <w:lang w:val="es-ES_tradnl" w:eastAsia="es-CO"/>
        </w:rPr>
        <w:lastRenderedPageBreak/>
        <w:t xml:space="preserve">públicos en aspiraciones electorales. </w:t>
      </w:r>
      <w:bookmarkEnd w:id="10"/>
      <w:r w:rsidRPr="00F8124A">
        <w:rPr>
          <w:rFonts w:ascii="Arial" w:eastAsia="Times New Roman" w:hAnsi="Arial" w:cs="Arial"/>
          <w:bCs/>
          <w:lang w:val="es-ES_tradnl" w:eastAsia="es-CO"/>
        </w:rPr>
        <w:t>Por ello, varias de las disposiciones de la Ley 996 de 2005, al contener normas prohibitivas, no admiten una interpretación amplia, sino que deben interpretarse restrictivamente. En efecto, la Sala de Consulta y Servicio Civil del Consejo de Estado al analizar la referida ley, precisó lo siguiente:</w:t>
      </w:r>
    </w:p>
    <w:p w14:paraId="3FE6A175" w14:textId="77777777" w:rsidR="00F8124A" w:rsidRPr="00F8124A" w:rsidRDefault="00F8124A" w:rsidP="00F8124A">
      <w:pPr>
        <w:spacing w:after="0" w:line="276" w:lineRule="auto"/>
        <w:ind w:firstLine="709"/>
        <w:jc w:val="both"/>
        <w:rPr>
          <w:rFonts w:ascii="Arial" w:eastAsia="Times New Roman" w:hAnsi="Arial" w:cs="Arial"/>
          <w:bCs/>
          <w:lang w:val="es-ES_tradnl" w:eastAsia="es-CO"/>
        </w:rPr>
      </w:pPr>
    </w:p>
    <w:p w14:paraId="0DCCD083" w14:textId="77777777" w:rsidR="00F8124A" w:rsidRPr="00F8124A" w:rsidRDefault="00F8124A" w:rsidP="00431104">
      <w:pPr>
        <w:spacing w:after="0" w:line="240" w:lineRule="auto"/>
        <w:ind w:left="709" w:right="709"/>
        <w:contextualSpacing/>
        <w:jc w:val="both"/>
        <w:rPr>
          <w:rFonts w:ascii="Arial" w:eastAsia="Times New Roman" w:hAnsi="Arial" w:cs="Arial"/>
          <w:bCs/>
          <w:sz w:val="21"/>
          <w:szCs w:val="21"/>
          <w:lang w:val="es-ES_tradnl" w:eastAsia="es-CO"/>
        </w:rPr>
      </w:pPr>
      <w:r w:rsidRPr="00F8124A">
        <w:rPr>
          <w:rFonts w:ascii="Arial" w:eastAsia="Times New Roman" w:hAnsi="Arial" w:cs="Arial"/>
          <w:bCs/>
          <w:sz w:val="21"/>
          <w:szCs w:val="21"/>
          <w:lang w:val="es-ES_tradnl"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F8124A">
        <w:rPr>
          <w:rFonts w:ascii="Arial" w:eastAsia="Times New Roman" w:hAnsi="Arial" w:cs="Arial"/>
          <w:bCs/>
          <w:sz w:val="21"/>
          <w:szCs w:val="21"/>
          <w:lang w:val="es-ES_tradnl" w:eastAsia="es-CO"/>
        </w:rPr>
        <w:t>legis</w:t>
      </w:r>
      <w:proofErr w:type="spellEnd"/>
      <w:r w:rsidRPr="00F8124A">
        <w:rPr>
          <w:rFonts w:ascii="Arial" w:eastAsia="Times New Roman" w:hAnsi="Arial" w:cs="Arial"/>
          <w:bCs/>
          <w:sz w:val="21"/>
          <w:szCs w:val="21"/>
          <w:lang w:val="es-ES_tradnl" w:eastAsia="es-CO"/>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3494B5D2" w14:textId="77777777" w:rsidR="00431104" w:rsidRPr="00CB7E8C" w:rsidRDefault="00431104" w:rsidP="00431104">
      <w:pPr>
        <w:spacing w:after="0" w:line="240" w:lineRule="auto"/>
        <w:ind w:left="709" w:right="709"/>
        <w:contextualSpacing/>
        <w:jc w:val="both"/>
        <w:rPr>
          <w:rFonts w:ascii="Arial" w:eastAsia="Times New Roman" w:hAnsi="Arial" w:cs="Arial"/>
          <w:bCs/>
          <w:sz w:val="21"/>
          <w:szCs w:val="21"/>
          <w:lang w:val="es-ES_tradnl" w:eastAsia="es-CO"/>
        </w:rPr>
      </w:pPr>
    </w:p>
    <w:p w14:paraId="0567DE40" w14:textId="6F5BECB4" w:rsidR="00F8124A" w:rsidRPr="00F8124A" w:rsidRDefault="00F8124A" w:rsidP="00431104">
      <w:pPr>
        <w:spacing w:after="0" w:line="240" w:lineRule="auto"/>
        <w:ind w:left="709" w:right="709"/>
        <w:contextualSpacing/>
        <w:jc w:val="both"/>
        <w:rPr>
          <w:rFonts w:ascii="Arial" w:eastAsia="Times New Roman" w:hAnsi="Arial" w:cs="Arial"/>
          <w:bCs/>
          <w:sz w:val="21"/>
          <w:szCs w:val="21"/>
          <w:lang w:val="es-ES_tradnl" w:eastAsia="es-CO"/>
        </w:rPr>
      </w:pPr>
      <w:r w:rsidRPr="00F8124A">
        <w:rPr>
          <w:rFonts w:ascii="Arial" w:eastAsia="Times New Roman" w:hAnsi="Arial" w:cs="Arial"/>
          <w:bCs/>
          <w:sz w:val="21"/>
          <w:szCs w:val="21"/>
          <w:lang w:val="es-ES_tradnl" w:eastAsia="es-CO"/>
        </w:rPr>
        <w:t>La jurisprudencia de la Corte Constitucional</w:t>
      </w:r>
      <w:r w:rsidRPr="00F8124A">
        <w:rPr>
          <w:rFonts w:ascii="Arial" w:eastAsia="Times New Roman" w:hAnsi="Arial" w:cs="Arial"/>
          <w:bCs/>
          <w:sz w:val="21"/>
          <w:szCs w:val="21"/>
          <w:vertAlign w:val="superscript"/>
          <w:lang w:val="es-ES_tradnl" w:eastAsia="es-CO"/>
        </w:rPr>
        <w:footnoteReference w:id="4"/>
      </w:r>
      <w:r w:rsidRPr="00F8124A">
        <w:rPr>
          <w:rFonts w:ascii="Arial" w:eastAsia="Times New Roman" w:hAnsi="Arial" w:cs="Arial"/>
          <w:bCs/>
          <w:sz w:val="21"/>
          <w:szCs w:val="21"/>
          <w:lang w:val="es-ES_tradnl" w:eastAsia="es-CO"/>
        </w:rPr>
        <w:t> y del Consejo de Estado</w:t>
      </w:r>
      <w:r w:rsidRPr="00F8124A">
        <w:rPr>
          <w:rFonts w:ascii="Arial" w:eastAsia="Times New Roman" w:hAnsi="Arial" w:cs="Arial"/>
          <w:bCs/>
          <w:sz w:val="21"/>
          <w:szCs w:val="21"/>
          <w:vertAlign w:val="superscript"/>
          <w:lang w:val="es-ES_tradnl" w:eastAsia="es-CO"/>
        </w:rPr>
        <w:footnoteReference w:id="5"/>
      </w:r>
      <w:r w:rsidRPr="00F8124A">
        <w:rPr>
          <w:rFonts w:ascii="Arial" w:eastAsia="Times New Roman" w:hAnsi="Arial" w:cs="Arial"/>
          <w:bCs/>
          <w:sz w:val="21"/>
          <w:szCs w:val="21"/>
          <w:lang w:val="es-ES_tradnl"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F8124A">
        <w:rPr>
          <w:rFonts w:ascii="Arial" w:eastAsia="Times New Roman" w:hAnsi="Arial" w:cs="Arial"/>
          <w:bCs/>
          <w:vertAlign w:val="superscript"/>
          <w:lang w:val="es-ES_tradnl" w:eastAsia="es-CO"/>
        </w:rPr>
        <w:footnoteReference w:id="6"/>
      </w:r>
      <w:r w:rsidRPr="00F8124A">
        <w:rPr>
          <w:rFonts w:ascii="Arial" w:eastAsia="Times New Roman" w:hAnsi="Arial" w:cs="Arial"/>
          <w:bCs/>
          <w:sz w:val="21"/>
          <w:szCs w:val="21"/>
          <w:lang w:val="es-ES_tradnl" w:eastAsia="es-CO"/>
        </w:rPr>
        <w:t>.</w:t>
      </w:r>
    </w:p>
    <w:p w14:paraId="7CC5FA9D" w14:textId="77777777" w:rsidR="00F8124A" w:rsidRPr="00F8124A" w:rsidRDefault="00F8124A" w:rsidP="00F8124A">
      <w:pPr>
        <w:spacing w:after="0" w:line="276" w:lineRule="auto"/>
        <w:ind w:right="709"/>
        <w:jc w:val="both"/>
        <w:rPr>
          <w:rFonts w:ascii="Arial" w:eastAsia="Times New Roman" w:hAnsi="Arial" w:cs="Arial"/>
          <w:bCs/>
          <w:sz w:val="21"/>
          <w:szCs w:val="21"/>
          <w:lang w:val="es-ES_tradnl" w:eastAsia="es-CO"/>
        </w:rPr>
      </w:pPr>
    </w:p>
    <w:p w14:paraId="522C502C" w14:textId="77777777" w:rsidR="00F8124A" w:rsidRPr="00F8124A" w:rsidRDefault="00F8124A" w:rsidP="00F8124A">
      <w:pPr>
        <w:spacing w:after="120" w:line="276" w:lineRule="auto"/>
        <w:jc w:val="both"/>
        <w:rPr>
          <w:rFonts w:ascii="Arial" w:eastAsia="Arial" w:hAnsi="Arial" w:cs="Arial"/>
          <w:lang w:val="es-ES_tradnl" w:eastAsia="es-ES" w:bidi="es-ES"/>
        </w:rPr>
      </w:pPr>
      <w:r w:rsidRPr="00F8124A">
        <w:rPr>
          <w:rFonts w:ascii="Arial" w:eastAsia="Times New Roman" w:hAnsi="Arial" w:cs="Arial"/>
          <w:bCs/>
          <w:lang w:val="es-ES_tradnl" w:eastAsia="es-CO"/>
        </w:rPr>
        <w:tab/>
        <w:t>De</w:t>
      </w:r>
      <w:r w:rsidRPr="00F8124A">
        <w:rPr>
          <w:rFonts w:ascii="Arial" w:eastAsia="Arial" w:hAnsi="Arial" w:cs="Arial"/>
          <w:lang w:val="es-ES_tradnl" w:eastAsia="es-ES" w:bidi="es-ES"/>
        </w:rPr>
        <w:t xml:space="preserve"> conformidad con lo anterior, </w:t>
      </w:r>
      <w:bookmarkStart w:id="11" w:name="_Hlk77236098"/>
      <w:bookmarkStart w:id="12" w:name="_Hlk101791494"/>
      <w:r w:rsidRPr="00F8124A">
        <w:rPr>
          <w:rFonts w:ascii="Arial" w:eastAsia="Arial" w:hAnsi="Arial" w:cs="Arial"/>
          <w:lang w:val="es-ES_tradnl" w:eastAsia="es-ES" w:bidi="es-ES"/>
        </w:rPr>
        <w:t xml:space="preserve">la Ley de Garantías Electorales fijó una serie de regulaciones y prohibiciones dirigidas a los servidores públicos. Así,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Específicamente, las restricciones consagradas en la citada ley se dirigen a </w:t>
      </w:r>
      <w:r w:rsidRPr="00F8124A">
        <w:rPr>
          <w:rFonts w:ascii="Arial" w:eastAsia="Arial" w:hAnsi="Arial" w:cs="Arial"/>
          <w:lang w:val="es-ES_tradnl" w:eastAsia="es-ES" w:bidi="es-ES"/>
        </w:rPr>
        <w:lastRenderedPageBreak/>
        <w:t>dos (2) tipos de campañas electorales claramente diferenciadas: las presidenciales y las demás que se adelanten para la elección de los demás cargos de elección popular, tanto a nivel nacional como a nivel territorial.</w:t>
      </w:r>
      <w:bookmarkEnd w:id="11"/>
    </w:p>
    <w:p w14:paraId="090C7AA2" w14:textId="77777777" w:rsidR="00F8124A" w:rsidRPr="00F8124A" w:rsidRDefault="00F8124A" w:rsidP="00F8124A">
      <w:pPr>
        <w:spacing w:after="120" w:line="276" w:lineRule="auto"/>
        <w:ind w:firstLine="708"/>
        <w:jc w:val="both"/>
        <w:rPr>
          <w:rFonts w:ascii="Arial" w:eastAsia="Calibri" w:hAnsi="Arial" w:cs="Arial"/>
          <w:lang w:val="es-ES_tradnl"/>
        </w:rPr>
      </w:pPr>
      <w:bookmarkStart w:id="13" w:name="_Hlk101791535"/>
      <w:bookmarkEnd w:id="12"/>
      <w:r w:rsidRPr="00F8124A">
        <w:rPr>
          <w:rFonts w:ascii="Arial" w:eastAsia="Calibri" w:hAnsi="Arial" w:cs="Arial"/>
          <w:lang w:val="es-ES_tradnl"/>
        </w:rPr>
        <w:t xml:space="preserve">Por un lado, el artículo 33 de la Ley 996 de 2005 prohíbe </w:t>
      </w:r>
      <w:r w:rsidRPr="00F8124A">
        <w:rPr>
          <w:rFonts w:ascii="Arial" w:eastAsia="Calibri" w:hAnsi="Arial" w:cs="Arial"/>
          <w:bCs/>
          <w:lang w:val="es-ES_tradnl"/>
        </w:rPr>
        <w:t xml:space="preserve">«[…] </w:t>
      </w:r>
      <w:r w:rsidRPr="00F8124A">
        <w:rPr>
          <w:rFonts w:ascii="Arial" w:eastAsia="Calibri" w:hAnsi="Arial" w:cs="Arial"/>
          <w:lang w:val="es-ES_tradnl"/>
        </w:rPr>
        <w:t>la contratación directa por parte de todos los entes del Estado</w:t>
      </w:r>
      <w:r w:rsidRPr="00F8124A">
        <w:rPr>
          <w:rFonts w:ascii="Arial" w:eastAsia="Calibri" w:hAnsi="Arial" w:cs="Arial"/>
          <w:bCs/>
          <w:lang w:val="es-ES_tradnl"/>
        </w:rPr>
        <w:t>»</w:t>
      </w:r>
      <w:r w:rsidRPr="00F8124A">
        <w:rPr>
          <w:rFonts w:ascii="Arial" w:eastAsia="Calibri" w:hAnsi="Arial" w:cs="Arial"/>
          <w:lang w:val="es-ES_tradnl"/>
        </w:rPr>
        <w:t xml:space="preserve"> durante los cuatro (4) meses anteriores a las elecciones presidenciales, salvo </w:t>
      </w:r>
      <w:r w:rsidRPr="00F8124A">
        <w:rPr>
          <w:rFonts w:ascii="Arial" w:eastAsia="Calibri" w:hAnsi="Arial" w:cs="Arial"/>
          <w:bCs/>
          <w:lang w:val="es-ES_tradnl"/>
        </w:rPr>
        <w:t xml:space="preserve">«[…] </w:t>
      </w:r>
      <w:r w:rsidRPr="00F8124A">
        <w:rPr>
          <w:rFonts w:ascii="Arial" w:eastAsia="Calibri" w:hAnsi="Arial" w:cs="Arial"/>
          <w:lang w:val="es-ES_tradnl"/>
        </w:rPr>
        <w:t>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F8124A">
        <w:rPr>
          <w:rFonts w:ascii="Arial" w:eastAsia="Calibri" w:hAnsi="Arial" w:cs="Arial"/>
          <w:bCs/>
          <w:lang w:val="es-ES_tradnl"/>
        </w:rPr>
        <w:t>»</w:t>
      </w:r>
      <w:r w:rsidRPr="00F8124A">
        <w:rPr>
          <w:rFonts w:ascii="Arial" w:eastAsia="Calibri" w:hAnsi="Arial" w:cs="Arial"/>
          <w:bCs/>
          <w:vertAlign w:val="superscript"/>
          <w:lang w:val="es-ES_tradnl"/>
        </w:rPr>
        <w:footnoteReference w:id="7"/>
      </w:r>
      <w:r w:rsidRPr="00F8124A">
        <w:rPr>
          <w:rFonts w:ascii="Arial" w:eastAsia="Calibri" w:hAnsi="Arial" w:cs="Arial"/>
          <w:lang w:val="es-ES_tradnl"/>
        </w:rPr>
        <w:t>.</w:t>
      </w:r>
    </w:p>
    <w:p w14:paraId="3EC959BD" w14:textId="77777777" w:rsidR="00F8124A" w:rsidRPr="00F8124A" w:rsidRDefault="00F8124A" w:rsidP="00AC3C47">
      <w:pPr>
        <w:widowControl w:val="0"/>
        <w:autoSpaceDE w:val="0"/>
        <w:autoSpaceDN w:val="0"/>
        <w:spacing w:after="0" w:line="276" w:lineRule="auto"/>
        <w:ind w:right="113" w:firstLine="708"/>
        <w:contextualSpacing/>
        <w:jc w:val="both"/>
        <w:rPr>
          <w:rFonts w:ascii="Arial" w:eastAsia="Arial" w:hAnsi="Arial" w:cs="Arial"/>
          <w:lang w:val="es-ES_tradnl" w:eastAsia="es-ES" w:bidi="es-ES"/>
        </w:rPr>
      </w:pPr>
      <w:r w:rsidRPr="00F8124A">
        <w:rPr>
          <w:rFonts w:ascii="Arial" w:eastAsia="Calibri" w:hAnsi="Arial" w:cs="Arial"/>
          <w:lang w:val="es-ES_tradnl"/>
        </w:rPr>
        <w:t xml:space="preserve">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w:t>
      </w:r>
      <w:r w:rsidRPr="00F8124A">
        <w:rPr>
          <w:rFonts w:ascii="Arial" w:eastAsia="Calibri" w:hAnsi="Arial" w:cs="Arial"/>
          <w:bCs/>
          <w:lang w:val="es-ES_tradnl"/>
        </w:rPr>
        <w:t xml:space="preserve">«[…] </w:t>
      </w:r>
      <w:r w:rsidRPr="00F8124A">
        <w:rPr>
          <w:rFonts w:ascii="Arial" w:eastAsia="Calibri" w:hAnsi="Arial" w:cs="Arial"/>
          <w:lang w:val="es-ES_tradnl"/>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F8124A">
        <w:rPr>
          <w:rFonts w:ascii="Arial" w:eastAsia="Calibri" w:hAnsi="Arial" w:cs="Arial"/>
          <w:bCs/>
          <w:sz w:val="19"/>
          <w:szCs w:val="19"/>
          <w:lang w:val="es-ES_tradnl"/>
        </w:rPr>
        <w:t>»</w:t>
      </w:r>
      <w:bookmarkEnd w:id="13"/>
      <w:r w:rsidRPr="00F8124A">
        <w:rPr>
          <w:rFonts w:ascii="Arial" w:eastAsia="Calibri" w:hAnsi="Arial" w:cs="Arial"/>
          <w:bCs/>
          <w:sz w:val="19"/>
          <w:szCs w:val="19"/>
          <w:vertAlign w:val="superscript"/>
          <w:lang w:val="es-ES_tradnl"/>
        </w:rPr>
        <w:footnoteReference w:id="8"/>
      </w:r>
      <w:r w:rsidRPr="00F8124A">
        <w:rPr>
          <w:rFonts w:ascii="Arial" w:eastAsia="Calibri" w:hAnsi="Arial" w:cs="Arial"/>
          <w:lang w:val="es-ES_tradnl"/>
        </w:rPr>
        <w:t>.</w:t>
      </w:r>
      <w:r w:rsidRPr="00F8124A">
        <w:rPr>
          <w:rFonts w:ascii="Arial" w:eastAsia="Arial" w:hAnsi="Arial" w:cs="Arial"/>
          <w:lang w:val="es-ES_tradnl" w:eastAsia="es-ES" w:bidi="es-ES"/>
        </w:rPr>
        <w:t xml:space="preserve"> La Sala de Consulta y Servicio Civil del Consejo de Estado ha aclarado la distinción en la aplicación de las prohibiciones de la Ley 996 de 2005, dependiendo del tipo de elección que se trate. Al respecto, considera que:</w:t>
      </w:r>
    </w:p>
    <w:p w14:paraId="4D848D0A" w14:textId="77777777" w:rsidR="00F8124A" w:rsidRPr="00F8124A" w:rsidRDefault="00F8124A" w:rsidP="00AC3C47">
      <w:pPr>
        <w:widowControl w:val="0"/>
        <w:autoSpaceDE w:val="0"/>
        <w:autoSpaceDN w:val="0"/>
        <w:spacing w:after="0" w:line="276" w:lineRule="auto"/>
        <w:ind w:left="805" w:right="812"/>
        <w:contextualSpacing/>
        <w:jc w:val="both"/>
        <w:rPr>
          <w:rFonts w:ascii="Arial" w:eastAsia="Arial" w:hAnsi="Arial" w:cs="Arial"/>
          <w:lang w:val="es-ES_tradnl" w:eastAsia="es-ES" w:bidi="es-ES"/>
        </w:rPr>
      </w:pPr>
    </w:p>
    <w:p w14:paraId="71238941" w14:textId="77777777" w:rsidR="00F8124A" w:rsidRPr="00F8124A" w:rsidRDefault="00F8124A" w:rsidP="00AC3C47">
      <w:pPr>
        <w:widowControl w:val="0"/>
        <w:autoSpaceDE w:val="0"/>
        <w:autoSpaceDN w:val="0"/>
        <w:spacing w:after="0" w:line="240" w:lineRule="auto"/>
        <w:ind w:left="709" w:right="709"/>
        <w:contextualSpacing/>
        <w:jc w:val="both"/>
        <w:rPr>
          <w:rFonts w:ascii="Arial" w:eastAsia="Arial" w:hAnsi="Arial" w:cs="Arial"/>
          <w:sz w:val="21"/>
          <w:szCs w:val="21"/>
          <w:lang w:val="es-ES_tradnl" w:eastAsia="es-ES" w:bidi="es-ES"/>
        </w:rPr>
      </w:pPr>
      <w:r w:rsidRPr="00F8124A">
        <w:rPr>
          <w:rFonts w:ascii="Arial" w:eastAsia="Arial" w:hAnsi="Arial" w:cs="Arial"/>
          <w:sz w:val="21"/>
          <w:szCs w:val="21"/>
          <w:lang w:val="es-ES_tradnl" w:eastAsia="es-ES" w:bidi="es-ES"/>
        </w:rPr>
        <w:lastRenderedPageBreak/>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w:t>
      </w:r>
      <w:bookmarkStart w:id="16" w:name="_Hlk76109421"/>
      <w:r w:rsidRPr="00F8124A">
        <w:rPr>
          <w:rFonts w:ascii="Arial" w:eastAsia="Arial" w:hAnsi="Arial" w:cs="Arial"/>
          <w:sz w:val="21"/>
          <w:szCs w:val="21"/>
          <w:lang w:val="es-ES_tradnl" w:eastAsia="es-ES" w:bidi="es-ES"/>
        </w:rPr>
        <w:t>se integran parcialmente</w:t>
      </w:r>
      <w:bookmarkEnd w:id="16"/>
      <w:r w:rsidRPr="00F8124A">
        <w:rPr>
          <w:rFonts w:ascii="Arial" w:eastAsia="Arial" w:hAnsi="Arial" w:cs="Arial"/>
          <w:sz w:val="21"/>
          <w:szCs w:val="21"/>
          <w:lang w:val="es-ES_tradnl" w:eastAsia="es-ES" w:bidi="es-ES"/>
        </w:rPr>
        <w:t xml:space="preserve">, lo que permite concluir que en periodo preelectoral para elección de Presidente de la República, a todos los entes del Estado, incluidos los territoriales, se aplican las restricciones de los artículos 32 y 33 con sus excepciones, así como las del parágrafo del artículo 38. </w:t>
      </w:r>
      <w:r w:rsidRPr="00F8124A">
        <w:rPr>
          <w:rFonts w:ascii="Arial" w:eastAsia="Arial" w:hAnsi="Arial" w:cs="Arial"/>
          <w:bCs/>
          <w:sz w:val="21"/>
          <w:szCs w:val="21"/>
          <w:lang w:val="es-ES_tradnl" w:eastAsia="es-ES" w:bidi="es-ES"/>
        </w:rPr>
        <w:t xml:space="preserve">En cambio, para elecciones en general, excluyendo las correspondientes a </w:t>
      </w:r>
      <w:proofErr w:type="gramStart"/>
      <w:r w:rsidRPr="00F8124A">
        <w:rPr>
          <w:rFonts w:ascii="Arial" w:eastAsia="Arial" w:hAnsi="Arial" w:cs="Arial"/>
          <w:bCs/>
          <w:sz w:val="21"/>
          <w:szCs w:val="21"/>
          <w:lang w:val="es-ES_tradnl" w:eastAsia="es-ES" w:bidi="es-ES"/>
        </w:rPr>
        <w:t>Presidente</w:t>
      </w:r>
      <w:proofErr w:type="gramEnd"/>
      <w:r w:rsidRPr="00F8124A">
        <w:rPr>
          <w:rFonts w:ascii="Arial" w:eastAsia="Arial" w:hAnsi="Arial" w:cs="Arial"/>
          <w:bCs/>
          <w:sz w:val="21"/>
          <w:szCs w:val="21"/>
          <w:lang w:val="es-ES_tradnl" w:eastAsia="es-ES" w:bidi="es-ES"/>
        </w:rPr>
        <w:t xml:space="preserve"> de la República, a las autoridades territoriales allí mencionadas sólo se aplican las restricciones contenidas en el parágrafo del artículo 38</w:t>
      </w:r>
      <w:r w:rsidRPr="00F8124A">
        <w:rPr>
          <w:rFonts w:ascii="Arial" w:eastAsia="Arial" w:hAnsi="Arial" w:cs="Arial"/>
          <w:sz w:val="21"/>
          <w:szCs w:val="21"/>
          <w:lang w:val="es-ES_tradnl" w:eastAsia="es-ES" w:bidi="es-ES"/>
        </w:rPr>
        <w:t>.</w:t>
      </w:r>
      <w:r w:rsidRPr="00F8124A">
        <w:rPr>
          <w:rFonts w:ascii="Arial" w:eastAsia="Arial" w:hAnsi="Arial" w:cs="Arial"/>
          <w:sz w:val="21"/>
          <w:szCs w:val="21"/>
          <w:vertAlign w:val="superscript"/>
          <w:lang w:val="es-ES_tradnl" w:eastAsia="es-ES" w:bidi="es-ES"/>
        </w:rPr>
        <w:footnoteReference w:id="9"/>
      </w:r>
    </w:p>
    <w:p w14:paraId="7B556D88" w14:textId="77777777" w:rsidR="00F8124A" w:rsidRPr="00F8124A" w:rsidRDefault="00F8124A" w:rsidP="00AC3C47">
      <w:pPr>
        <w:widowControl w:val="0"/>
        <w:autoSpaceDE w:val="0"/>
        <w:autoSpaceDN w:val="0"/>
        <w:spacing w:after="0" w:line="276" w:lineRule="auto"/>
        <w:contextualSpacing/>
        <w:rPr>
          <w:rFonts w:ascii="Arial" w:eastAsia="Arial" w:hAnsi="Arial" w:cs="Arial"/>
          <w:lang w:val="es-ES_tradnl" w:eastAsia="es-ES" w:bidi="es-ES"/>
        </w:rPr>
      </w:pPr>
    </w:p>
    <w:p w14:paraId="17580267" w14:textId="77777777" w:rsidR="00F8124A" w:rsidRPr="00F8124A" w:rsidRDefault="00F8124A" w:rsidP="00F8124A">
      <w:pPr>
        <w:spacing w:after="120" w:line="276" w:lineRule="auto"/>
        <w:ind w:firstLine="709"/>
        <w:jc w:val="both"/>
        <w:rPr>
          <w:rFonts w:ascii="Arial" w:eastAsia="Arial" w:hAnsi="Arial" w:cs="Arial"/>
          <w:lang w:val="es-ES_tradnl" w:eastAsia="es-ES" w:bidi="es-ES"/>
        </w:rPr>
      </w:pPr>
      <w:r w:rsidRPr="00F8124A">
        <w:rPr>
          <w:rFonts w:ascii="Arial" w:eastAsia="Arial" w:hAnsi="Arial" w:cs="Arial"/>
          <w:lang w:val="es-ES_tradnl" w:eastAsia="es-ES" w:bidi="es-ES"/>
        </w:rPr>
        <w:t xml:space="preserve">De conformidad con lo anterior, </w:t>
      </w:r>
      <w:bookmarkStart w:id="17" w:name="_Hlk77236420"/>
      <w:bookmarkStart w:id="18" w:name="_Hlk78818435"/>
      <w:bookmarkStart w:id="19" w:name="_Hlk75780333"/>
      <w:r w:rsidRPr="00F8124A">
        <w:rPr>
          <w:rFonts w:ascii="Arial" w:eastAsia="Arial" w:hAnsi="Arial" w:cs="Arial"/>
          <w:lang w:val="es-ES_tradnl" w:eastAsia="es-ES" w:bidi="es-ES"/>
        </w:rPr>
        <w:t xml:space="preserve">la Ley 996 de 2005 establece dos (2) tipos de restricciones en materia de contratación, las cuales coinciden parcialmente. </w:t>
      </w:r>
      <w:r w:rsidRPr="00F8124A">
        <w:rPr>
          <w:rFonts w:ascii="Arial" w:eastAsia="Arial" w:hAnsi="Arial" w:cs="Arial"/>
          <w:i/>
          <w:iCs/>
          <w:lang w:val="es-ES_tradnl" w:eastAsia="es-ES" w:bidi="es-ES"/>
        </w:rPr>
        <w:t>En primer lugar</w:t>
      </w:r>
      <w:r w:rsidRPr="00F8124A">
        <w:rPr>
          <w:rFonts w:ascii="Arial" w:eastAsia="Arial" w:hAnsi="Arial" w:cs="Arial"/>
          <w:lang w:val="es-ES_tradnl" w:eastAsia="es-ES" w:bidi="es-ES"/>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F8124A">
        <w:rPr>
          <w:rFonts w:ascii="Arial" w:eastAsia="Arial" w:hAnsi="Arial" w:cs="Arial"/>
          <w:i/>
          <w:iCs/>
          <w:lang w:val="es-ES_tradnl" w:eastAsia="es-ES" w:bidi="es-ES"/>
        </w:rPr>
        <w:t>En segundo lugar</w:t>
      </w:r>
      <w:r w:rsidRPr="00F8124A">
        <w:rPr>
          <w:rFonts w:ascii="Arial" w:eastAsia="Arial" w:hAnsi="Arial" w:cs="Arial"/>
          <w:lang w:val="es-ES_tradnl"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bookmarkEnd w:id="17"/>
    </w:p>
    <w:bookmarkEnd w:id="18"/>
    <w:p w14:paraId="2660F6F8" w14:textId="77777777" w:rsidR="00F8124A" w:rsidRPr="00F8124A" w:rsidRDefault="00F8124A" w:rsidP="00F8124A">
      <w:pPr>
        <w:spacing w:after="120" w:line="276" w:lineRule="auto"/>
        <w:ind w:firstLine="709"/>
        <w:jc w:val="both"/>
        <w:rPr>
          <w:rFonts w:ascii="Arial" w:eastAsia="Arial" w:hAnsi="Arial" w:cs="Arial"/>
          <w:lang w:val="es-ES_tradnl" w:eastAsia="es-ES" w:bidi="es-ES"/>
        </w:rPr>
      </w:pPr>
      <w:r w:rsidRPr="00F8124A">
        <w:rPr>
          <w:rFonts w:ascii="Arial" w:eastAsia="Arial" w:hAnsi="Arial" w:cs="Arial"/>
          <w:lang w:val="es-ES_tradnl" w:eastAsia="es-ES" w:bidi="es-ES"/>
        </w:rPr>
        <w:t xml:space="preserve">Ambas restricciones no son excluyentes, lo que permite concluir que en el período preelectoral para elección de </w:t>
      </w:r>
      <w:proofErr w:type="gramStart"/>
      <w:r w:rsidRPr="00F8124A">
        <w:rPr>
          <w:rFonts w:ascii="Arial" w:eastAsia="Arial" w:hAnsi="Arial" w:cs="Arial"/>
          <w:lang w:val="es-ES_tradnl" w:eastAsia="es-ES" w:bidi="es-ES"/>
        </w:rPr>
        <w:t>Presidente</w:t>
      </w:r>
      <w:proofErr w:type="gramEnd"/>
      <w:r w:rsidRPr="00F8124A">
        <w:rPr>
          <w:rFonts w:ascii="Arial" w:eastAsia="Arial" w:hAnsi="Arial" w:cs="Arial"/>
          <w:lang w:val="es-ES_tradnl" w:eastAsia="es-ES" w:bidi="es-ES"/>
        </w:rPr>
        <w:t xml:space="preserve"> de la República, a todos los entes del Estado, incluidos los territoriales, aplican las restricciones del artículo 33 con sus excepciones, así como las del parágrafo del artículo 38. En cambio, tratándose de elecciones en general, excluyendo las correspondientes al </w:t>
      </w:r>
      <w:proofErr w:type="gramStart"/>
      <w:r w:rsidRPr="00F8124A">
        <w:rPr>
          <w:rFonts w:ascii="Arial" w:eastAsia="Arial" w:hAnsi="Arial" w:cs="Arial"/>
          <w:lang w:val="es-ES_tradnl" w:eastAsia="es-ES" w:bidi="es-ES"/>
        </w:rPr>
        <w:t>Presidente</w:t>
      </w:r>
      <w:proofErr w:type="gramEnd"/>
      <w:r w:rsidRPr="00F8124A">
        <w:rPr>
          <w:rFonts w:ascii="Arial" w:eastAsia="Arial" w:hAnsi="Arial" w:cs="Arial"/>
          <w:lang w:val="es-ES_tradnl" w:eastAsia="es-ES" w:bidi="es-ES"/>
        </w:rPr>
        <w:t xml:space="preserve"> de la República, las autoridades allí mencionadas sólo deben aplicar las restricciones contenidas en el parágrafo del artículo 38.</w:t>
      </w:r>
    </w:p>
    <w:bookmarkEnd w:id="19"/>
    <w:p w14:paraId="70EF61DB" w14:textId="704BB1D7" w:rsidR="00F8124A" w:rsidRPr="00CB7E8C" w:rsidRDefault="00F8124A" w:rsidP="00AC3C47">
      <w:pPr>
        <w:spacing w:after="0" w:line="276" w:lineRule="auto"/>
        <w:ind w:firstLine="709"/>
        <w:contextualSpacing/>
        <w:jc w:val="both"/>
        <w:rPr>
          <w:rFonts w:ascii="Arial" w:eastAsia="Arial" w:hAnsi="Arial" w:cs="Arial"/>
          <w:lang w:val="es-ES_tradnl" w:eastAsia="es-ES" w:bidi="es-ES"/>
        </w:rPr>
      </w:pPr>
      <w:r w:rsidRPr="00F8124A">
        <w:rPr>
          <w:rFonts w:ascii="Arial" w:eastAsia="Arial" w:hAnsi="Arial" w:cs="Arial"/>
          <w:lang w:val="es-ES_tradnl" w:eastAsia="es-ES" w:bidi="es-ES"/>
        </w:rPr>
        <w:lastRenderedPageBreak/>
        <w:t xml:space="preserve">La Corte Constitucional, en la Sentencia C-1153 del 11 de noviembre de 2005, señaló que, para que la garantía sea plena, era necesario que la prohibición se aplicara para el </w:t>
      </w:r>
      <w:proofErr w:type="gramStart"/>
      <w:r w:rsidRPr="00F8124A">
        <w:rPr>
          <w:rFonts w:ascii="Arial" w:eastAsia="Arial" w:hAnsi="Arial" w:cs="Arial"/>
          <w:lang w:val="es-ES_tradnl" w:eastAsia="es-ES" w:bidi="es-ES"/>
        </w:rPr>
        <w:t>Presidente</w:t>
      </w:r>
      <w:proofErr w:type="gramEnd"/>
      <w:r w:rsidRPr="00F8124A">
        <w:rPr>
          <w:rFonts w:ascii="Arial" w:eastAsia="Arial" w:hAnsi="Arial" w:cs="Arial"/>
          <w:lang w:val="es-ES_tradnl" w:eastAsia="es-ES" w:bidi="es-ES"/>
        </w:rPr>
        <w:t xml:space="preserve"> o el Vicepresidente desde que éstos –estando en ejercicio de su cargo– manifiesten el interés de ser candidato presidencial, lo cual debe ocurrir seis meses antes de la elección en primera vuelta, de acuerdo con el artículo 9 de la Ley 996 de 2005. Sin embargo, el condicionamiento impuesto por la Corte Constitucional, relacionado con el momento en que estas restricciones empiezan a regir para el Presidente y el Vicepresidente de la República, ha perdido vigencia ante la prohibición de la reelección presidencial, restablecida por el Acto Legislativo 2 de 2015, excepto para el Vicepresidente que no haya ejercido la presidencia o que la haya ejercido por un tiempo inferior a tres (3) meses durante el respectivo cuatrienio, en forma continua o discontinua, conforme al artículo 197 de la Constitución Política.  </w:t>
      </w:r>
    </w:p>
    <w:p w14:paraId="22F27739" w14:textId="77777777" w:rsidR="00AC3C47" w:rsidRPr="00CB7E8C" w:rsidRDefault="00AC3C47" w:rsidP="00AC3C47">
      <w:pPr>
        <w:spacing w:after="0" w:line="276" w:lineRule="auto"/>
        <w:ind w:firstLine="709"/>
        <w:contextualSpacing/>
        <w:jc w:val="both"/>
        <w:rPr>
          <w:rFonts w:ascii="Arial" w:eastAsia="Arial" w:hAnsi="Arial" w:cs="Arial"/>
          <w:lang w:val="es-ES_tradnl" w:eastAsia="es-ES" w:bidi="es-ES"/>
        </w:rPr>
      </w:pPr>
    </w:p>
    <w:p w14:paraId="095166DB" w14:textId="77777777" w:rsidR="00AC3C47" w:rsidRPr="00CB7E8C" w:rsidRDefault="00AC3C47" w:rsidP="00AC3C47">
      <w:pPr>
        <w:spacing w:after="0" w:line="276" w:lineRule="auto"/>
        <w:contextualSpacing/>
        <w:jc w:val="both"/>
        <w:rPr>
          <w:rFonts w:ascii="Arial" w:hAnsi="Arial" w:cs="Arial"/>
          <w:b/>
          <w:color w:val="000000" w:themeColor="text1"/>
          <w:lang w:val="es-ES_tradnl" w:eastAsia="es-CO"/>
        </w:rPr>
      </w:pPr>
      <w:r w:rsidRPr="00CB7E8C">
        <w:rPr>
          <w:rFonts w:ascii="Arial" w:hAnsi="Arial" w:cs="Arial"/>
          <w:b/>
          <w:color w:val="000000" w:themeColor="text1"/>
          <w:lang w:val="es-ES_tradnl" w:eastAsia="es-CO"/>
        </w:rPr>
        <w:t xml:space="preserve">2.2. </w:t>
      </w:r>
      <w:r w:rsidRPr="00CB7E8C">
        <w:rPr>
          <w:rFonts w:ascii="Arial" w:hAnsi="Arial" w:cs="Arial"/>
          <w:b/>
          <w:bCs/>
          <w:color w:val="000000" w:themeColor="text1"/>
          <w:lang w:val="es-ES_tradnl" w:eastAsia="es-CO"/>
        </w:rPr>
        <w:t>Restricciones en elecciones presidenciales: prohibición del artículo 33 de la Ley 996 de 2005</w:t>
      </w:r>
    </w:p>
    <w:p w14:paraId="12E3A46C" w14:textId="77777777" w:rsidR="00AC3C47" w:rsidRPr="00CB7E8C" w:rsidRDefault="00AC3C47" w:rsidP="00AC3C47">
      <w:pPr>
        <w:spacing w:after="0" w:line="276" w:lineRule="auto"/>
        <w:contextualSpacing/>
        <w:jc w:val="both"/>
        <w:rPr>
          <w:rFonts w:ascii="Arial" w:hAnsi="Arial" w:cs="Arial"/>
          <w:bCs/>
          <w:color w:val="000000" w:themeColor="text1"/>
          <w:lang w:val="es-ES_tradnl" w:eastAsia="x-none"/>
        </w:rPr>
      </w:pPr>
    </w:p>
    <w:p w14:paraId="422773F0" w14:textId="77777777" w:rsidR="00AC3C47" w:rsidRPr="00CB7E8C" w:rsidRDefault="00AC3C47" w:rsidP="00AC3C47">
      <w:pPr>
        <w:spacing w:after="0" w:line="276" w:lineRule="auto"/>
        <w:contextualSpacing/>
        <w:jc w:val="both"/>
        <w:rPr>
          <w:rFonts w:ascii="Arial" w:hAnsi="Arial" w:cs="Arial"/>
          <w:bCs/>
          <w:color w:val="000000" w:themeColor="text1"/>
          <w:lang w:val="es-ES_tradnl" w:eastAsia="es-CO"/>
        </w:rPr>
      </w:pPr>
      <w:r w:rsidRPr="00CB7E8C">
        <w:rPr>
          <w:rFonts w:ascii="Arial" w:hAnsi="Arial" w:cs="Arial"/>
          <w:bCs/>
          <w:color w:val="000000" w:themeColor="text1"/>
          <w:lang w:val="es-ES_tradnl" w:eastAsia="x-none"/>
        </w:rPr>
        <w:t xml:space="preserve">El ámbito material de la prohibición contenida en el artículo 33 de la ley 996 de 2005 está delimitado por la expresión </w:t>
      </w:r>
      <w:r w:rsidRPr="00CB7E8C">
        <w:rPr>
          <w:rFonts w:ascii="Arial" w:eastAsia="Calibri" w:hAnsi="Arial" w:cs="Arial"/>
          <w:bCs/>
          <w:color w:val="000000" w:themeColor="text1"/>
          <w:sz w:val="20"/>
          <w:szCs w:val="20"/>
          <w:lang w:val="es-ES_tradnl"/>
        </w:rPr>
        <w:t>«</w:t>
      </w:r>
      <w:r w:rsidRPr="00CB7E8C">
        <w:rPr>
          <w:rFonts w:ascii="Arial" w:hAnsi="Arial" w:cs="Arial"/>
          <w:bCs/>
          <w:color w:val="000000" w:themeColor="text1"/>
          <w:lang w:val="es-ES_tradnl" w:eastAsia="x-none"/>
        </w:rPr>
        <w:t>queda prohibida la contratación directa</w:t>
      </w:r>
      <w:r w:rsidRPr="00CB7E8C">
        <w:rPr>
          <w:rFonts w:ascii="Arial" w:hAnsi="Arial" w:cs="Arial"/>
          <w:color w:val="000000" w:themeColor="text1"/>
          <w:sz w:val="20"/>
          <w:szCs w:val="20"/>
          <w:lang w:val="es-ES_tradnl"/>
        </w:rPr>
        <w:t>»</w:t>
      </w:r>
      <w:r w:rsidRPr="00CB7E8C">
        <w:rPr>
          <w:rFonts w:ascii="Arial" w:hAnsi="Arial" w:cs="Arial"/>
          <w:bCs/>
          <w:color w:val="000000" w:themeColor="text1"/>
          <w:lang w:val="es-ES_tradnl" w:eastAsia="x-none"/>
        </w:rPr>
        <w:t xml:space="preserve">. </w:t>
      </w:r>
      <w:r w:rsidRPr="00CB7E8C">
        <w:rPr>
          <w:rFonts w:ascii="Arial" w:hAnsi="Arial" w:cs="Arial"/>
          <w:color w:val="000000" w:themeColor="text1"/>
          <w:lang w:val="es-ES_tradnl" w:eastAsia="es-CO"/>
        </w:rPr>
        <w:t xml:space="preserve"> A propósito de esta restricción de la Ley de Garantías Electorales, la Sala de Consulta y Servicio Civil del Consejo de Estado ha considerado que:</w:t>
      </w:r>
    </w:p>
    <w:p w14:paraId="7E979A92" w14:textId="77777777" w:rsidR="00AC3C47" w:rsidRPr="00CB7E8C" w:rsidRDefault="00AC3C47" w:rsidP="00AC3C47">
      <w:pPr>
        <w:spacing w:after="0"/>
        <w:ind w:left="708" w:right="709"/>
        <w:contextualSpacing/>
        <w:jc w:val="both"/>
        <w:rPr>
          <w:rFonts w:ascii="Arial" w:hAnsi="Arial" w:cs="Arial"/>
          <w:color w:val="000000" w:themeColor="text1"/>
          <w:sz w:val="21"/>
          <w:szCs w:val="21"/>
          <w:lang w:val="es-ES_tradnl"/>
        </w:rPr>
      </w:pPr>
    </w:p>
    <w:p w14:paraId="1911D1D2" w14:textId="4C2CD55C" w:rsidR="00AC3C47" w:rsidRPr="00CB7E8C" w:rsidRDefault="00AC3C47" w:rsidP="00AC3C47">
      <w:pPr>
        <w:spacing w:after="0"/>
        <w:ind w:left="709" w:right="709"/>
        <w:contextualSpacing/>
        <w:jc w:val="both"/>
        <w:rPr>
          <w:rFonts w:ascii="Arial" w:hAnsi="Arial" w:cs="Arial"/>
          <w:color w:val="000000" w:themeColor="text1"/>
          <w:sz w:val="21"/>
          <w:szCs w:val="21"/>
          <w:lang w:val="es-ES_tradnl"/>
        </w:rPr>
      </w:pPr>
      <w:r w:rsidRPr="00CB7E8C">
        <w:rPr>
          <w:rFonts w:ascii="Arial" w:hAnsi="Arial" w:cs="Arial"/>
          <w:color w:val="000000" w:themeColor="text1"/>
          <w:sz w:val="21"/>
          <w:szCs w:val="21"/>
          <w:lang w:val="es-ES_tradnl"/>
        </w:rPr>
        <w:t>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2, ley 1150 de 2007), y cumpliendo siempre los principios que rigen la contratación pública</w:t>
      </w:r>
      <w:r w:rsidRPr="00CB7E8C">
        <w:rPr>
          <w:rStyle w:val="Refdenotaalpie"/>
          <w:rFonts w:ascii="Arial" w:hAnsi="Arial" w:cs="Arial"/>
          <w:color w:val="000000" w:themeColor="text1"/>
        </w:rPr>
        <w:footnoteReference w:id="10"/>
      </w:r>
      <w:r w:rsidRPr="00CB7E8C">
        <w:rPr>
          <w:rFonts w:ascii="Arial" w:hAnsi="Arial" w:cs="Arial"/>
          <w:color w:val="000000" w:themeColor="text1"/>
          <w:sz w:val="21"/>
          <w:szCs w:val="21"/>
          <w:lang w:val="es-ES_tradnl"/>
        </w:rPr>
        <w:t>.</w:t>
      </w:r>
    </w:p>
    <w:p w14:paraId="6F021365" w14:textId="77777777" w:rsidR="00AC3C47" w:rsidRPr="00CB7E8C" w:rsidRDefault="00AC3C47" w:rsidP="00AC3C47">
      <w:pPr>
        <w:spacing w:after="0"/>
        <w:ind w:left="709" w:right="709"/>
        <w:contextualSpacing/>
        <w:jc w:val="both"/>
        <w:rPr>
          <w:rFonts w:ascii="Arial" w:hAnsi="Arial" w:cs="Arial"/>
          <w:color w:val="000000" w:themeColor="text1"/>
          <w:sz w:val="21"/>
          <w:szCs w:val="21"/>
          <w:lang w:val="es-ES_tradnl"/>
        </w:rPr>
      </w:pPr>
    </w:p>
    <w:p w14:paraId="5BAB25A7" w14:textId="77777777" w:rsidR="00AC3C47" w:rsidRPr="00CB7E8C" w:rsidRDefault="00AC3C47" w:rsidP="00AA1627">
      <w:pPr>
        <w:spacing w:after="0"/>
        <w:ind w:left="709" w:right="709"/>
        <w:contextualSpacing/>
        <w:jc w:val="both"/>
        <w:rPr>
          <w:rFonts w:ascii="Arial" w:hAnsi="Arial" w:cs="Arial"/>
          <w:color w:val="000000" w:themeColor="text1"/>
          <w:sz w:val="21"/>
          <w:szCs w:val="21"/>
          <w:lang w:val="es-ES_tradnl"/>
        </w:rPr>
      </w:pPr>
      <w:r w:rsidRPr="00CB7E8C">
        <w:rPr>
          <w:rFonts w:ascii="Arial" w:hAnsi="Arial" w:cs="Arial"/>
          <w:color w:val="000000" w:themeColor="text1"/>
          <w:sz w:val="21"/>
          <w:szCs w:val="21"/>
          <w:lang w:val="es-ES_tradnl"/>
        </w:rPr>
        <w:t xml:space="preserve">Esta Sala ha entendido </w:t>
      </w:r>
      <w:proofErr w:type="gramStart"/>
      <w:r w:rsidRPr="00CB7E8C">
        <w:rPr>
          <w:rFonts w:ascii="Arial" w:hAnsi="Arial" w:cs="Arial"/>
          <w:color w:val="000000" w:themeColor="text1"/>
          <w:sz w:val="21"/>
          <w:szCs w:val="21"/>
          <w:lang w:val="es-ES_tradnl"/>
        </w:rPr>
        <w:t>que</w:t>
      </w:r>
      <w:proofErr w:type="gramEnd"/>
      <w:r w:rsidRPr="00CB7E8C">
        <w:rPr>
          <w:rFonts w:ascii="Arial" w:hAnsi="Arial" w:cs="Arial"/>
          <w:color w:val="000000" w:themeColor="text1"/>
          <w:sz w:val="21"/>
          <w:szCs w:val="21"/>
          <w:lang w:val="es-ES_tradnl"/>
        </w:rPr>
        <w:t xml:space="preserve"> para los efectos de la ley de garantías, y dada su finalidad, el enunciado ´contratación directa´ es sinónimo de cualquier sistema que no implique convocatoria pública y posibilidad de pluralidad de oferentes, y que, además, no necesariamente hace referencia al procedimiento especial regulado por la ley de contratación estatal, sino a cualquier otro que prescinda de un proceso de licitación pública o concurso</w:t>
      </w:r>
      <w:r w:rsidRPr="00CB7E8C">
        <w:rPr>
          <w:rStyle w:val="Refdenotaalpie"/>
          <w:rFonts w:ascii="Arial" w:hAnsi="Arial" w:cs="Arial"/>
          <w:color w:val="000000" w:themeColor="text1"/>
        </w:rPr>
        <w:footnoteReference w:id="11"/>
      </w:r>
      <w:r w:rsidRPr="00CB7E8C">
        <w:rPr>
          <w:rFonts w:ascii="Arial" w:hAnsi="Arial" w:cs="Arial"/>
          <w:color w:val="000000" w:themeColor="text1"/>
          <w:sz w:val="21"/>
          <w:szCs w:val="21"/>
          <w:vertAlign w:val="superscript"/>
          <w:lang w:val="es-ES_tradnl"/>
        </w:rPr>
        <w:t>.</w:t>
      </w:r>
      <w:r w:rsidRPr="00CB7E8C">
        <w:rPr>
          <w:rFonts w:ascii="Arial" w:hAnsi="Arial" w:cs="Arial"/>
          <w:color w:val="000000" w:themeColor="text1"/>
          <w:sz w:val="21"/>
          <w:szCs w:val="21"/>
          <w:lang w:val="es-ES_tradnl"/>
        </w:rPr>
        <w:t xml:space="preserve"> Por tanto, no son materia de la </w:t>
      </w:r>
      <w:r w:rsidRPr="00CB7E8C">
        <w:rPr>
          <w:rFonts w:ascii="Arial" w:hAnsi="Arial" w:cs="Arial"/>
          <w:color w:val="000000" w:themeColor="text1"/>
          <w:sz w:val="21"/>
          <w:szCs w:val="21"/>
          <w:lang w:val="es-ES_tradnl"/>
        </w:rPr>
        <w:lastRenderedPageBreak/>
        <w:t>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sidRPr="00CB7E8C">
        <w:rPr>
          <w:rStyle w:val="Refdenotaalpie"/>
          <w:rFonts w:ascii="Arial" w:hAnsi="Arial" w:cs="Arial"/>
          <w:color w:val="000000" w:themeColor="text1"/>
        </w:rPr>
        <w:footnoteReference w:id="12"/>
      </w:r>
      <w:r w:rsidRPr="00CB7E8C">
        <w:rPr>
          <w:rFonts w:ascii="Arial" w:hAnsi="Arial" w:cs="Arial"/>
          <w:color w:val="000000" w:themeColor="text1"/>
          <w:sz w:val="21"/>
          <w:szCs w:val="21"/>
          <w:lang w:val="es-ES_tradnl"/>
        </w:rPr>
        <w:t xml:space="preserve"> .</w:t>
      </w:r>
    </w:p>
    <w:p w14:paraId="4FD052A1" w14:textId="77777777" w:rsidR="00AC3C47" w:rsidRPr="00CB7E8C" w:rsidRDefault="00AC3C47" w:rsidP="00AC3C47">
      <w:pPr>
        <w:shd w:val="clear" w:color="auto" w:fill="FFFFFF"/>
        <w:spacing w:after="0" w:line="276" w:lineRule="auto"/>
        <w:ind w:firstLine="709"/>
        <w:contextualSpacing/>
        <w:jc w:val="both"/>
        <w:rPr>
          <w:rFonts w:ascii="Arial" w:hAnsi="Arial" w:cs="Arial"/>
          <w:color w:val="000000" w:themeColor="text1"/>
          <w:lang w:val="es-ES_tradnl" w:eastAsia="x-none"/>
        </w:rPr>
      </w:pPr>
    </w:p>
    <w:p w14:paraId="05FED7F6" w14:textId="77777777" w:rsidR="00AC3C47" w:rsidRPr="00CB7E8C" w:rsidRDefault="00AC3C47" w:rsidP="00AA1627">
      <w:pPr>
        <w:spacing w:after="120" w:line="276" w:lineRule="auto"/>
        <w:ind w:firstLine="709"/>
        <w:jc w:val="both"/>
        <w:rPr>
          <w:rFonts w:ascii="Arial" w:hAnsi="Arial" w:cs="Arial"/>
          <w:bCs/>
          <w:color w:val="000000" w:themeColor="text1"/>
          <w:lang w:val="es-ES_tradnl" w:eastAsia="x-none"/>
        </w:rPr>
      </w:pPr>
      <w:r w:rsidRPr="00CB7E8C">
        <w:rPr>
          <w:rFonts w:ascii="Arial" w:hAnsi="Arial" w:cs="Arial"/>
          <w:color w:val="000000" w:themeColor="text1"/>
          <w:lang w:val="es-ES_tradnl" w:eastAsia="x-none"/>
        </w:rPr>
        <w:t xml:space="preserve">De acuerdo con el citado concepto, la prohibición del artículo 33 de la Ley de Garantías Electorales se refiere a </w:t>
      </w:r>
      <w:r w:rsidRPr="00CB7E8C">
        <w:rPr>
          <w:rFonts w:ascii="Arial" w:hAnsi="Arial" w:cs="Arial"/>
          <w:color w:val="000000" w:themeColor="text1"/>
          <w:sz w:val="19"/>
          <w:szCs w:val="19"/>
          <w:lang w:val="es-ES_tradnl" w:eastAsia="en-GB"/>
        </w:rPr>
        <w:t>«</w:t>
      </w:r>
      <w:r w:rsidRPr="00CB7E8C">
        <w:rPr>
          <w:rFonts w:ascii="Arial" w:hAnsi="Arial" w:cs="Arial"/>
          <w:color w:val="000000" w:themeColor="text1"/>
          <w:lang w:val="es-ES_tradnl" w:eastAsia="x-none"/>
        </w:rPr>
        <w:t>cualquier sistema que no implique convocatoria pública y posibilidad de pluralidad de oferentes</w:t>
      </w:r>
      <w:r w:rsidRPr="00CB7E8C">
        <w:rPr>
          <w:rFonts w:ascii="Arial" w:hAnsi="Arial" w:cs="Arial"/>
          <w:color w:val="000000" w:themeColor="text1"/>
          <w:lang w:val="es-ES_tradnl" w:eastAsia="en-GB"/>
        </w:rPr>
        <w:t>»</w:t>
      </w:r>
      <w:r w:rsidRPr="00CB7E8C">
        <w:rPr>
          <w:rFonts w:ascii="Arial" w:hAnsi="Arial" w:cs="Arial"/>
          <w:color w:val="000000" w:themeColor="text1"/>
          <w:lang w:val="es-ES_tradnl" w:eastAsia="x-none"/>
        </w:rPr>
        <w:t>, por lo que excluye las demás modalidades de contratación previstas en la Ley 1150 de 2007, es decir, la licitación pública, la selección abreviada, el concurso de méritos y la mínima cuantía u otros previstos en normas especiales, que contemplen en alguna de sus etapas la posible participación de pluralidad de oferentes. Esta posición es congruente con la expedición de la Ley 1150 de 2007 que, entre otras reformas, introdujo la selección abreviada, rediseñó el concurso de méritos</w:t>
      </w:r>
      <w:r w:rsidRPr="00CB7E8C">
        <w:rPr>
          <w:rStyle w:val="Refdenotaalpie"/>
          <w:rFonts w:ascii="Arial" w:hAnsi="Arial" w:cs="Arial"/>
          <w:color w:val="000000" w:themeColor="text1"/>
        </w:rPr>
        <w:footnoteReference w:id="13"/>
      </w:r>
      <w:r w:rsidRPr="00CB7E8C">
        <w:rPr>
          <w:rFonts w:ascii="Arial" w:hAnsi="Arial" w:cs="Arial"/>
          <w:color w:val="000000" w:themeColor="text1"/>
          <w:lang w:val="es-ES_tradnl" w:eastAsia="x-none"/>
        </w:rPr>
        <w:t xml:space="preserve"> y sistematizó las causales de contratación directa</w:t>
      </w:r>
      <w:r w:rsidRPr="00CB7E8C">
        <w:rPr>
          <w:rStyle w:val="Refdenotaalpie"/>
          <w:rFonts w:ascii="Arial" w:hAnsi="Arial" w:cs="Arial"/>
          <w:color w:val="000000" w:themeColor="text1"/>
        </w:rPr>
        <w:footnoteReference w:id="14"/>
      </w:r>
      <w:r w:rsidRPr="00CB7E8C">
        <w:rPr>
          <w:rFonts w:ascii="Arial" w:hAnsi="Arial" w:cs="Arial"/>
          <w:color w:val="000000" w:themeColor="text1"/>
          <w:lang w:val="es-ES_tradnl" w:eastAsia="x-none"/>
        </w:rPr>
        <w:t xml:space="preserve">, </w:t>
      </w:r>
      <w:r w:rsidRPr="00CB7E8C">
        <w:rPr>
          <w:rFonts w:ascii="Arial" w:hAnsi="Arial" w:cs="Arial"/>
          <w:color w:val="000000" w:themeColor="text1"/>
          <w:lang w:eastAsia="x-none"/>
        </w:rPr>
        <w:t>además lo es con la posterior creación de la modalidad de mínima cuantía establecida actualmente en el numeral 5 del artículo 2 de la Ley 1150 de 2007, de acuerdo con las modificaciones realizadas por leyes posteriores.</w:t>
      </w:r>
    </w:p>
    <w:p w14:paraId="1CAFBA4E" w14:textId="77777777" w:rsidR="00AC3C47" w:rsidRPr="00CB7E8C" w:rsidRDefault="00AC3C47" w:rsidP="00AA1627">
      <w:pPr>
        <w:spacing w:after="120" w:line="276" w:lineRule="auto"/>
        <w:ind w:firstLine="709"/>
        <w:jc w:val="both"/>
        <w:rPr>
          <w:rFonts w:ascii="Arial" w:hAnsi="Arial" w:cs="Arial"/>
          <w:color w:val="000000" w:themeColor="text1"/>
          <w:lang w:val="es-ES_tradnl" w:eastAsia="x-none"/>
        </w:rPr>
      </w:pPr>
      <w:r w:rsidRPr="00CB7E8C">
        <w:rPr>
          <w:rFonts w:ascii="Arial" w:hAnsi="Arial" w:cs="Arial"/>
          <w:color w:val="000000" w:themeColor="text1"/>
          <w:lang w:val="es-ES_tradnl" w:eastAsia="x-none"/>
        </w:rPr>
        <w:t xml:space="preserve">De esta forma, con fundamento en la evolución de la normativa sobre la contratación pública, se ha depurado la noción de </w:t>
      </w:r>
      <w:r w:rsidRPr="00CB7E8C">
        <w:rPr>
          <w:rFonts w:ascii="Arial" w:hAnsi="Arial" w:cs="Arial"/>
          <w:color w:val="000000" w:themeColor="text1"/>
          <w:sz w:val="19"/>
          <w:szCs w:val="19"/>
          <w:lang w:val="es-ES_tradnl" w:eastAsia="en-GB"/>
        </w:rPr>
        <w:t>«</w:t>
      </w:r>
      <w:r w:rsidRPr="00CB7E8C">
        <w:rPr>
          <w:rFonts w:ascii="Arial" w:hAnsi="Arial" w:cs="Arial"/>
          <w:color w:val="000000" w:themeColor="text1"/>
          <w:lang w:val="es-ES_tradnl" w:eastAsia="x-none"/>
        </w:rPr>
        <w:t>contratación directa</w:t>
      </w:r>
      <w:r w:rsidRPr="00CB7E8C">
        <w:rPr>
          <w:rFonts w:ascii="Arial" w:hAnsi="Arial" w:cs="Arial"/>
          <w:color w:val="000000" w:themeColor="text1"/>
          <w:lang w:val="es-ES_tradnl" w:eastAsia="en-GB"/>
        </w:rPr>
        <w:t>»</w:t>
      </w:r>
      <w:r w:rsidRPr="00CB7E8C">
        <w:rPr>
          <w:rFonts w:ascii="Arial" w:hAnsi="Arial" w:cs="Arial"/>
          <w:color w:val="000000" w:themeColor="text1"/>
          <w:lang w:val="es-ES_tradnl" w:eastAsia="x-none"/>
        </w:rPr>
        <w:t>, precisando el Consejo de Estado –en el concepto citado– que, «aun cuando no coincide única y exactamente con la regulación que de dicho sistema de selección hace el artículo 2º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especiales e, incluso, en el derecho privado</w:t>
      </w:r>
      <w:r w:rsidRPr="00CB7E8C">
        <w:rPr>
          <w:rStyle w:val="Refdenotaalpie"/>
          <w:rFonts w:ascii="Arial" w:hAnsi="Arial" w:cs="Arial"/>
          <w:color w:val="000000" w:themeColor="text1"/>
        </w:rPr>
        <w:footnoteReference w:id="15"/>
      </w:r>
      <w:r w:rsidRPr="00CB7E8C">
        <w:rPr>
          <w:rFonts w:ascii="Arial" w:hAnsi="Arial" w:cs="Arial"/>
          <w:color w:val="000000" w:themeColor="text1"/>
          <w:lang w:val="es-ES_tradnl" w:eastAsia="x-none"/>
        </w:rPr>
        <w:t>, han establecido sistemas de contratación que implican convocatoria pública y participación de varios oferentes</w:t>
      </w:r>
      <w:r w:rsidRPr="00CB7E8C">
        <w:rPr>
          <w:rFonts w:ascii="Arial" w:hAnsi="Arial" w:cs="Arial"/>
          <w:color w:val="000000" w:themeColor="text1"/>
          <w:lang w:val="es-ES_tradnl" w:eastAsia="en-GB"/>
        </w:rPr>
        <w:t>»</w:t>
      </w:r>
      <w:r w:rsidRPr="00CB7E8C">
        <w:rPr>
          <w:rFonts w:ascii="Arial" w:hAnsi="Arial" w:cs="Arial"/>
          <w:color w:val="000000" w:themeColor="text1"/>
          <w:lang w:val="es-ES_tradnl" w:eastAsia="x-none"/>
        </w:rPr>
        <w:t xml:space="preserve">. </w:t>
      </w:r>
    </w:p>
    <w:p w14:paraId="1C8B162F" w14:textId="77777777" w:rsidR="00AC3C47" w:rsidRPr="00CB7E8C" w:rsidRDefault="00AC3C47" w:rsidP="00AA1627">
      <w:pPr>
        <w:spacing w:after="120" w:line="276" w:lineRule="auto"/>
        <w:ind w:firstLine="709"/>
        <w:jc w:val="both"/>
        <w:rPr>
          <w:rFonts w:ascii="Arial" w:hAnsi="Arial" w:cs="Arial"/>
          <w:bCs/>
          <w:color w:val="000000" w:themeColor="text1"/>
          <w:lang w:val="es-ES_tradnl" w:eastAsia="es-CO"/>
        </w:rPr>
      </w:pPr>
      <w:r w:rsidRPr="00CB7E8C">
        <w:rPr>
          <w:rFonts w:ascii="Arial" w:hAnsi="Arial" w:cs="Arial"/>
          <w:bCs/>
          <w:color w:val="000000" w:themeColor="text1"/>
          <w:lang w:val="es-ES_tradnl" w:eastAsia="x-none"/>
        </w:rPr>
        <w:t>E</w:t>
      </w:r>
      <w:r w:rsidRPr="00CB7E8C">
        <w:rPr>
          <w:rFonts w:ascii="Arial" w:hAnsi="Arial" w:cs="Arial"/>
          <w:color w:val="000000" w:themeColor="text1"/>
          <w:lang w:val="es-ES_tradnl" w:eastAsia="x-none"/>
        </w:rPr>
        <w:t xml:space="preserve">n efecto, vale la pena mencionar que, en algunos sistemas de contratación, utilizados por entidades públicas con regímenes especiales, o sujetas al derecho privado, la convocatoria o invitación para contratar puede limitarse a aquellas personas que </w:t>
      </w:r>
      <w:r w:rsidRPr="00CB7E8C">
        <w:rPr>
          <w:rFonts w:ascii="Arial" w:hAnsi="Arial" w:cs="Arial"/>
          <w:color w:val="000000" w:themeColor="text1"/>
          <w:lang w:val="es-ES_tradnl" w:eastAsia="x-none"/>
        </w:rPr>
        <w:lastRenderedPageBreak/>
        <w:t>previamente se hayan inscrito en una lista de precalificados o de simples interesados, o en un determinado registro o banco de datos de proveedores. En estos casos, lo determinante para considerar que dicho sistema no constituye «contratación directa», es que la convocatoria para inscribirse en forma previa se haga de manera pública, y que se permita la participación de una pluralidad de oferentes</w:t>
      </w:r>
      <w:r w:rsidRPr="00CB7E8C">
        <w:rPr>
          <w:rStyle w:val="Refdenotaalpie"/>
          <w:rFonts w:ascii="Arial" w:hAnsi="Arial" w:cs="Arial"/>
          <w:color w:val="000000" w:themeColor="text1"/>
        </w:rPr>
        <w:footnoteReference w:id="16"/>
      </w:r>
      <w:r w:rsidRPr="00CB7E8C">
        <w:rPr>
          <w:rFonts w:ascii="Arial" w:hAnsi="Arial" w:cs="Arial"/>
          <w:color w:val="000000" w:themeColor="text1"/>
          <w:lang w:val="es-ES_tradnl" w:eastAsia="x-none"/>
        </w:rPr>
        <w:t xml:space="preserve">. </w:t>
      </w:r>
    </w:p>
    <w:p w14:paraId="1EDEC65E" w14:textId="77777777" w:rsidR="00AC3C47" w:rsidRPr="00CB7E8C" w:rsidRDefault="00AC3C47" w:rsidP="00AA1627">
      <w:pPr>
        <w:spacing w:after="120" w:line="276" w:lineRule="auto"/>
        <w:ind w:firstLine="709"/>
        <w:jc w:val="both"/>
        <w:rPr>
          <w:rFonts w:ascii="Arial" w:hAnsi="Arial" w:cs="Arial"/>
          <w:bCs/>
          <w:color w:val="000000" w:themeColor="text1"/>
          <w:lang w:val="es-ES_tradnl" w:eastAsia="es-CO"/>
        </w:rPr>
      </w:pPr>
      <w:r w:rsidRPr="00CB7E8C">
        <w:rPr>
          <w:rFonts w:ascii="Arial" w:hAnsi="Arial" w:cs="Arial"/>
          <w:bCs/>
          <w:color w:val="000000" w:themeColor="text1"/>
          <w:lang w:val="es-ES_tradnl" w:eastAsia="es-CO"/>
        </w:rPr>
        <w:t>Como se advierte de lo anterior, el Consejo de Estado realiza una interpretación amplia de la contratación directa, para efectos de aplicar las restricciones establecidas en la Ley de Garantías, al señalar que no solo aplica frente a las entidades sometidas al Estatuto general de Contratación de la Administración Pública, sino también frente a las entidades que tengan un régimen especial de contratación. No obstante, también se observa que luego de la expedición de Ley 1150 de 2007, el Consejo de Estado comenzó a delimitar con mayor precisión el término de «contratación directa».</w:t>
      </w:r>
    </w:p>
    <w:p w14:paraId="636CCDF3" w14:textId="77777777" w:rsidR="00AC3C47" w:rsidRPr="00CB7E8C" w:rsidRDefault="00AC3C47" w:rsidP="00AA1627">
      <w:pPr>
        <w:spacing w:after="120" w:line="276" w:lineRule="auto"/>
        <w:ind w:firstLine="709"/>
        <w:jc w:val="both"/>
        <w:rPr>
          <w:rFonts w:ascii="Arial" w:hAnsi="Arial" w:cs="Arial"/>
          <w:bCs/>
          <w:color w:val="000000" w:themeColor="text1"/>
          <w:lang w:val="es-ES_tradnl" w:eastAsia="x-none"/>
        </w:rPr>
      </w:pPr>
      <w:r w:rsidRPr="00CB7E8C">
        <w:rPr>
          <w:rFonts w:ascii="Arial" w:hAnsi="Arial" w:cs="Arial"/>
          <w:bCs/>
          <w:color w:val="000000" w:themeColor="text1"/>
          <w:lang w:val="es-ES_tradnl" w:eastAsia="x-none"/>
        </w:rPr>
        <w:t xml:space="preserve"> </w:t>
      </w:r>
      <w:bookmarkStart w:id="20" w:name="_Hlk101791623"/>
      <w:r w:rsidRPr="00CB7E8C">
        <w:rPr>
          <w:rFonts w:ascii="Arial" w:hAnsi="Arial" w:cs="Arial"/>
          <w:bCs/>
          <w:color w:val="000000" w:themeColor="text1"/>
          <w:lang w:val="es-ES_tradnl" w:eastAsia="x-none"/>
        </w:rPr>
        <w:t xml:space="preserve">Así las cosas, ha de entenderse que, </w:t>
      </w:r>
      <w:bookmarkStart w:id="21" w:name="_Hlk100592654"/>
      <w:r w:rsidRPr="00CB7E8C">
        <w:rPr>
          <w:rFonts w:ascii="Arial" w:hAnsi="Arial" w:cs="Arial"/>
          <w:bCs/>
          <w:color w:val="000000" w:themeColor="text1"/>
          <w:lang w:val="es-ES_tradnl" w:eastAsia="x-none"/>
        </w:rPr>
        <w:t>para los efectos de 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bookmarkEnd w:id="20"/>
      <w:bookmarkEnd w:id="21"/>
      <w:r w:rsidRPr="00CB7E8C">
        <w:rPr>
          <w:rStyle w:val="Refdenotaalpie"/>
          <w:rFonts w:ascii="Arial" w:hAnsi="Arial" w:cs="Arial"/>
          <w:color w:val="000000" w:themeColor="text1"/>
        </w:rPr>
        <w:footnoteReference w:id="17"/>
      </w:r>
      <w:r w:rsidRPr="00CB7E8C">
        <w:rPr>
          <w:rFonts w:ascii="Arial" w:hAnsi="Arial" w:cs="Arial"/>
          <w:bCs/>
          <w:color w:val="000000" w:themeColor="text1"/>
          <w:lang w:val="es-ES_tradnl" w:eastAsia="x-none"/>
        </w:rPr>
        <w:t>.</w:t>
      </w:r>
      <w:r w:rsidRPr="00CB7E8C">
        <w:rPr>
          <w:rFonts w:ascii="Arial" w:hAnsi="Arial" w:cs="Arial"/>
          <w:color w:val="000000" w:themeColor="text1"/>
          <w:vertAlign w:val="superscript"/>
          <w:lang w:val="es-ES_tradnl" w:eastAsia="x-none"/>
        </w:rPr>
        <w:t xml:space="preserve"> </w:t>
      </w:r>
    </w:p>
    <w:p w14:paraId="6025E042" w14:textId="7C15ACB6" w:rsidR="00AC3C47" w:rsidRPr="00CB7E8C" w:rsidRDefault="00AC3C47" w:rsidP="00AA1627">
      <w:pPr>
        <w:spacing w:after="120" w:line="276" w:lineRule="auto"/>
        <w:ind w:firstLine="709"/>
        <w:jc w:val="both"/>
        <w:rPr>
          <w:rFonts w:ascii="Arial" w:hAnsi="Arial" w:cs="Arial"/>
          <w:color w:val="000000" w:themeColor="text1"/>
          <w:lang w:val="es-ES_tradnl" w:eastAsia="x-none"/>
        </w:rPr>
      </w:pPr>
      <w:r w:rsidRPr="00CB7E8C">
        <w:rPr>
          <w:rFonts w:ascii="Arial" w:hAnsi="Arial" w:cs="Arial"/>
          <w:bCs/>
          <w:color w:val="000000" w:themeColor="text1"/>
          <w:lang w:val="es-ES_tradnl" w:eastAsia="x-none"/>
        </w:rPr>
        <w:t>De lo anterior se desprende que la restricción aplica, sin perjuicio de las excepciones establecidas en la misma ley, para celebrar cualquier contrato de forma directa, esto es, sin que exista un proceso abierto y competitivo.</w:t>
      </w:r>
      <w:r w:rsidRPr="00CB7E8C">
        <w:rPr>
          <w:rFonts w:ascii="Arial" w:hAnsi="Arial" w:cs="Arial"/>
          <w:color w:val="000000" w:themeColor="text1"/>
          <w:lang w:val="es-ES_tradnl" w:eastAsia="x-none"/>
        </w:rPr>
        <w:t xml:space="preserve"> Por tanto, no son materia de la prohibición las demás modalidades de selección previstas en la Ley 1150 de 2007, es decir, la licitación pública, el concurso de méritos, la selección abreviada y la mínima cuantía, razón por la cual en ese período preelectoral de que trata la disposición las entidades públicas </w:t>
      </w:r>
      <w:r w:rsidR="00AA1627" w:rsidRPr="00CB7E8C">
        <w:rPr>
          <w:rFonts w:ascii="Arial" w:hAnsi="Arial" w:cs="Arial"/>
          <w:color w:val="000000" w:themeColor="text1"/>
          <w:lang w:val="es-ES_tradnl" w:eastAsia="x-none"/>
        </w:rPr>
        <w:t xml:space="preserve">pueden </w:t>
      </w:r>
      <w:r w:rsidRPr="00CB7E8C">
        <w:rPr>
          <w:rFonts w:ascii="Arial" w:hAnsi="Arial" w:cs="Arial"/>
          <w:color w:val="000000" w:themeColor="text1"/>
          <w:lang w:val="es-ES_tradnl" w:eastAsia="x-none"/>
        </w:rPr>
        <w:t>seguir contratando bajo estos procedimientos.</w:t>
      </w:r>
    </w:p>
    <w:p w14:paraId="28191CEB" w14:textId="77777777" w:rsidR="00AC3C47" w:rsidRPr="00CB7E8C" w:rsidRDefault="00AC3C47" w:rsidP="00AA1627">
      <w:pPr>
        <w:spacing w:after="120" w:line="276" w:lineRule="auto"/>
        <w:ind w:firstLine="709"/>
        <w:jc w:val="both"/>
        <w:rPr>
          <w:rFonts w:ascii="Arial" w:hAnsi="Arial" w:cs="Arial"/>
          <w:bCs/>
          <w:color w:val="000000" w:themeColor="text1"/>
          <w:lang w:val="es-ES_tradnl" w:eastAsia="x-none"/>
        </w:rPr>
      </w:pPr>
      <w:r w:rsidRPr="00CB7E8C">
        <w:rPr>
          <w:rFonts w:ascii="Arial" w:hAnsi="Arial" w:cs="Arial"/>
          <w:bCs/>
          <w:color w:val="000000" w:themeColor="text1"/>
          <w:lang w:val="es-ES_tradnl" w:eastAsia="es-CO"/>
        </w:rPr>
        <w:t xml:space="preserve">Como en otras oportunidades lo ha manifestado esta Agencia, las prórrogas, modificaciones o adiciones de los contratos suscritos antes de la </w:t>
      </w:r>
      <w:proofErr w:type="gramStart"/>
      <w:r w:rsidRPr="00CB7E8C">
        <w:rPr>
          <w:rFonts w:ascii="Arial" w:hAnsi="Arial" w:cs="Arial"/>
          <w:bCs/>
          <w:color w:val="000000" w:themeColor="text1"/>
          <w:lang w:val="es-ES_tradnl" w:eastAsia="es-CO"/>
        </w:rPr>
        <w:t>entrada en vigencia</w:t>
      </w:r>
      <w:proofErr w:type="gramEnd"/>
      <w:r w:rsidRPr="00CB7E8C">
        <w:rPr>
          <w:rFonts w:ascii="Arial" w:hAnsi="Arial" w:cs="Arial"/>
          <w:bCs/>
          <w:color w:val="000000" w:themeColor="text1"/>
          <w:lang w:val="es-ES_tradnl" w:eastAsia="es-CO"/>
        </w:rPr>
        <w:t xml:space="preserve"> de las prohibiciones anotadas, así como la cesión de los mismos, pueden tener lugar en el período de aplicación de la Ley de Garantías</w:t>
      </w:r>
      <w:r w:rsidRPr="00CB7E8C">
        <w:rPr>
          <w:rStyle w:val="Refdenotaalpie"/>
          <w:rFonts w:ascii="Arial" w:hAnsi="Arial" w:cs="Arial"/>
          <w:color w:val="000000" w:themeColor="text1"/>
        </w:rPr>
        <w:footnoteReference w:id="18"/>
      </w:r>
      <w:r w:rsidRPr="00CB7E8C">
        <w:rPr>
          <w:rFonts w:ascii="Arial" w:hAnsi="Arial" w:cs="Arial"/>
          <w:bCs/>
          <w:color w:val="000000" w:themeColor="text1"/>
          <w:lang w:val="es-ES_tradnl" w:eastAsia="es-CO"/>
        </w:rPr>
        <w:t xml:space="preserve">. Esto sin que ello haga nugatoria la restricción de la </w:t>
      </w:r>
      <w:r w:rsidRPr="00CB7E8C">
        <w:rPr>
          <w:rFonts w:ascii="Arial" w:hAnsi="Arial" w:cs="Arial"/>
          <w:bCs/>
          <w:color w:val="000000" w:themeColor="text1"/>
          <w:lang w:val="es-ES_tradnl" w:eastAsia="es-CO"/>
        </w:rPr>
        <w:lastRenderedPageBreak/>
        <w:t>contratación directa y siempre que cumplan los principios de planeación, transparencia y responsabilidad.</w:t>
      </w:r>
    </w:p>
    <w:p w14:paraId="66772E26" w14:textId="77777777" w:rsidR="00AC3C47" w:rsidRPr="00CB7E8C" w:rsidRDefault="00AC3C47" w:rsidP="00AA1627">
      <w:pPr>
        <w:spacing w:after="120" w:line="276" w:lineRule="auto"/>
        <w:ind w:firstLine="709"/>
        <w:jc w:val="both"/>
        <w:rPr>
          <w:rFonts w:ascii="Arial" w:hAnsi="Arial" w:cs="Arial"/>
          <w:bCs/>
          <w:color w:val="000000" w:themeColor="text1"/>
          <w:lang w:val="es-ES_tradnl" w:eastAsia="es-CO"/>
        </w:rPr>
      </w:pPr>
      <w:bookmarkStart w:id="22" w:name="_Hlk100592684"/>
      <w:r w:rsidRPr="00CB7E8C">
        <w:rPr>
          <w:rFonts w:ascii="Arial" w:hAnsi="Arial" w:cs="Arial"/>
          <w:bCs/>
          <w:color w:val="000000" w:themeColor="text1"/>
          <w:lang w:val="es-ES_tradnl" w:eastAsia="x-none"/>
        </w:rPr>
        <w:t xml:space="preserve">De otro lado, las excepciones a la restricción prevista en la Ley de Garantías, con fundamento en las cuales podrán las entidades públicas adelantar procedimientos de selección directa en períodos previos a la contienda electoral por la Presidencia, se encuentran consagradas en el inciso final del citado artículo 33 de la Ley 996 de 2005 en lo referente a i) la defensa y seguridad del Estado; </w:t>
      </w:r>
      <w:proofErr w:type="spellStart"/>
      <w:r w:rsidRPr="00CB7E8C">
        <w:rPr>
          <w:rFonts w:ascii="Arial" w:hAnsi="Arial" w:cs="Arial"/>
          <w:bCs/>
          <w:color w:val="000000" w:themeColor="text1"/>
          <w:lang w:val="es-ES_tradnl" w:eastAsia="x-none"/>
        </w:rPr>
        <w:t>ii</w:t>
      </w:r>
      <w:proofErr w:type="spellEnd"/>
      <w:r w:rsidRPr="00CB7E8C">
        <w:rPr>
          <w:rFonts w:ascii="Arial" w:hAnsi="Arial" w:cs="Arial"/>
          <w:bCs/>
          <w:color w:val="000000" w:themeColor="text1"/>
          <w:lang w:val="es-ES_tradnl" w:eastAsia="x-none"/>
        </w:rPr>
        <w:t xml:space="preserve">) los contratos de crédito público; </w:t>
      </w:r>
      <w:proofErr w:type="spellStart"/>
      <w:r w:rsidRPr="00CB7E8C">
        <w:rPr>
          <w:rFonts w:ascii="Arial" w:hAnsi="Arial" w:cs="Arial"/>
          <w:bCs/>
          <w:color w:val="000000" w:themeColor="text1"/>
          <w:lang w:val="es-ES_tradnl" w:eastAsia="x-none"/>
        </w:rPr>
        <w:t>iii</w:t>
      </w:r>
      <w:proofErr w:type="spellEnd"/>
      <w:r w:rsidRPr="00CB7E8C">
        <w:rPr>
          <w:rFonts w:ascii="Arial" w:hAnsi="Arial" w:cs="Arial"/>
          <w:bCs/>
          <w:color w:val="000000" w:themeColor="text1"/>
          <w:lang w:val="es-ES_tradnl" w:eastAsia="x-none"/>
        </w:rPr>
        <w:t xml:space="preserve">) los requeridos para cubrir las emergencias educativas, sanitarias y desastres; </w:t>
      </w:r>
      <w:proofErr w:type="spellStart"/>
      <w:r w:rsidRPr="00CB7E8C">
        <w:rPr>
          <w:rFonts w:ascii="Arial" w:hAnsi="Arial" w:cs="Arial"/>
          <w:bCs/>
          <w:color w:val="000000" w:themeColor="text1"/>
          <w:lang w:val="es-ES_tradnl" w:eastAsia="x-none"/>
        </w:rPr>
        <w:t>iv</w:t>
      </w:r>
      <w:proofErr w:type="spellEnd"/>
      <w:r w:rsidRPr="00CB7E8C">
        <w:rPr>
          <w:rFonts w:ascii="Arial" w:hAnsi="Arial" w:cs="Arial"/>
          <w:bCs/>
          <w:color w:val="000000" w:themeColor="text1"/>
          <w:lang w:val="es-ES_tradnl"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CB7E8C">
        <w:rPr>
          <w:rFonts w:ascii="Arial" w:hAnsi="Arial" w:cs="Arial"/>
          <w:bCs/>
          <w:color w:val="000000" w:themeColor="text1"/>
          <w:lang w:val="es-ES_tradnl" w:eastAsia="es-CO"/>
        </w:rPr>
        <w:t xml:space="preserve">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bookmarkEnd w:id="22"/>
    <w:p w14:paraId="05324C4A" w14:textId="77777777" w:rsidR="00AC3C47" w:rsidRPr="00CB7E8C" w:rsidRDefault="00AC3C47" w:rsidP="00AA1627">
      <w:pPr>
        <w:spacing w:after="120" w:line="276" w:lineRule="auto"/>
        <w:ind w:firstLine="709"/>
        <w:jc w:val="both"/>
        <w:rPr>
          <w:rFonts w:ascii="Arial" w:hAnsi="Arial" w:cs="Arial"/>
          <w:bCs/>
          <w:color w:val="000000" w:themeColor="text1"/>
          <w:lang w:val="es-ES_tradnl" w:eastAsia="x-none"/>
        </w:rPr>
      </w:pPr>
      <w:r w:rsidRPr="00CB7E8C">
        <w:rPr>
          <w:rFonts w:ascii="Arial" w:hAnsi="Arial" w:cs="Arial"/>
          <w:bCs/>
          <w:color w:val="000000" w:themeColor="text1"/>
          <w:lang w:val="es-ES_tradnl" w:eastAsia="x-none"/>
        </w:rPr>
        <w:t>En esta labor es importante tener en cuenta, como lo anotó la Corte Constitucional, en Sentencia C-1153 de noviembre 11 de 2005 que «si bien la limitación garantiza la igualdad de condiciones, también es necesario que tal limitación que pretende la igualdad no termine yendo en detrimento de intereses públicos, cuya garantía está en cabeza del ejecutivo, como son los inmersos en las excepciones para la prohibición de contratación»</w:t>
      </w:r>
      <w:r w:rsidRPr="00CB7E8C">
        <w:rPr>
          <w:rStyle w:val="Refdenotaalpie"/>
          <w:rFonts w:ascii="Arial" w:hAnsi="Arial" w:cs="Arial"/>
          <w:color w:val="000000" w:themeColor="text1"/>
        </w:rPr>
        <w:footnoteReference w:id="19"/>
      </w:r>
      <w:r w:rsidRPr="00CB7E8C">
        <w:rPr>
          <w:rFonts w:ascii="Arial" w:hAnsi="Arial" w:cs="Arial"/>
          <w:bCs/>
          <w:color w:val="000000" w:themeColor="text1"/>
          <w:lang w:val="es-ES_tradnl" w:eastAsia="x-none"/>
        </w:rPr>
        <w:t>. De ahí que la Corte haya señalado que las excepciones a la restricción protegen diversos tipos de urgencias de defensa, salud, educación, infraestructura vial y de servicios públicos y ecológicas, que tienden a no limitar desproporcionadamente la acción del Estado en el cumplimiento de sus fines, en procura de la igualdad entre los candidatos como garantía electoral.</w:t>
      </w:r>
    </w:p>
    <w:p w14:paraId="62EAA4E6" w14:textId="12D502F9" w:rsidR="00AC3C47" w:rsidRPr="00CB7E8C" w:rsidRDefault="00AC3C47" w:rsidP="001A4526">
      <w:pPr>
        <w:spacing w:before="120" w:after="0" w:line="276" w:lineRule="auto"/>
        <w:ind w:firstLine="709"/>
        <w:contextualSpacing/>
        <w:jc w:val="both"/>
        <w:rPr>
          <w:rFonts w:ascii="Arial" w:hAnsi="Arial" w:cs="Arial"/>
          <w:bCs/>
          <w:color w:val="000000" w:themeColor="text1"/>
          <w:lang w:val="es-ES_tradnl" w:eastAsia="x-none"/>
        </w:rPr>
      </w:pPr>
      <w:bookmarkStart w:id="23" w:name="_Hlk100592713"/>
      <w:r w:rsidRPr="00CB7E8C">
        <w:rPr>
          <w:rFonts w:ascii="Arial" w:hAnsi="Arial" w:cs="Arial"/>
          <w:bCs/>
          <w:color w:val="000000" w:themeColor="text1"/>
          <w:lang w:val="es-ES_tradnl" w:eastAsia="x-none"/>
        </w:rPr>
        <w:t>El artículo 33 de la Ley 996 de 2005 señala expresamente a los destinatarios de la prohibición, en el sentido de que son «todos los entes del Estado», expresión que contempla a los diferentes organismos o entidades autorizadas por la ley para suscribir contratos.</w:t>
      </w:r>
      <w:r w:rsidRPr="00CB7E8C">
        <w:rPr>
          <w:rFonts w:ascii="Arial" w:hAnsi="Arial" w:cs="Arial"/>
          <w:color w:val="000000" w:themeColor="text1"/>
          <w:lang w:val="es-ES_tradnl"/>
        </w:rPr>
        <w:t xml:space="preserve"> </w:t>
      </w:r>
      <w:r w:rsidRPr="00CB7E8C">
        <w:rPr>
          <w:rFonts w:ascii="Arial" w:hAnsi="Arial" w:cs="Arial"/>
          <w:bCs/>
          <w:color w:val="000000" w:themeColor="text1"/>
          <w:lang w:val="es-ES_tradnl" w:eastAsia="x-none"/>
        </w:rPr>
        <w:t>En efecto, tal como lo ha sostenido el Consejo de Estado, el vocablo «todos» utilizado por el legislador comprende</w:t>
      </w:r>
      <w:r w:rsidRPr="00CB7E8C">
        <w:rPr>
          <w:rFonts w:ascii="Arial" w:hAnsi="Arial" w:cs="Arial"/>
          <w:color w:val="000000" w:themeColor="text1"/>
          <w:lang w:val="es-ES_tradnl"/>
        </w:rPr>
        <w:t xml:space="preserve"> </w:t>
      </w:r>
      <w:r w:rsidRPr="00CB7E8C">
        <w:rPr>
          <w:rFonts w:ascii="Arial" w:hAnsi="Arial" w:cs="Arial"/>
          <w:bCs/>
          <w:color w:val="000000" w:themeColor="text1"/>
          <w:lang w:val="es-ES_tradnl" w:eastAsia="x-none"/>
        </w:rPr>
        <w:t xml:space="preserve">a la totalidad de los entes del Estado, sin distinción del régimen jurídico, forma de organización o naturaleza, su pertenencia a una u otra rama del poder público o su autonomía, e incluso si las entidades estatales tienen régimen especial de </w:t>
      </w:r>
      <w:r w:rsidRPr="00CB7E8C">
        <w:rPr>
          <w:rFonts w:ascii="Arial" w:hAnsi="Arial" w:cs="Arial"/>
          <w:bCs/>
          <w:color w:val="000000" w:themeColor="text1"/>
          <w:lang w:val="es-ES_tradnl" w:eastAsia="x-none"/>
        </w:rPr>
        <w:lastRenderedPageBreak/>
        <w:t>contratación y están exceptuadas del ámbito de aplicación del Estatuto General de Contratación de la Administración Pública.</w:t>
      </w:r>
      <w:bookmarkEnd w:id="23"/>
      <w:r w:rsidRPr="00CB7E8C">
        <w:rPr>
          <w:rFonts w:ascii="Arial" w:hAnsi="Arial" w:cs="Arial"/>
          <w:bCs/>
          <w:color w:val="000000" w:themeColor="text1"/>
          <w:lang w:val="es-ES_tradnl" w:eastAsia="x-none"/>
        </w:rPr>
        <w:t xml:space="preserve"> La Sala de Consulta y Servicio Civil del Consejo de Estado, en Concepto 1727 de fecha 20 de febrero de 2006, consideró que: </w:t>
      </w:r>
    </w:p>
    <w:p w14:paraId="38EB6C45" w14:textId="77777777" w:rsidR="001A4526" w:rsidRPr="00CB7E8C" w:rsidRDefault="001A4526" w:rsidP="001A4526">
      <w:pPr>
        <w:spacing w:after="0"/>
        <w:ind w:left="708" w:right="709"/>
        <w:contextualSpacing/>
        <w:jc w:val="both"/>
        <w:rPr>
          <w:rFonts w:ascii="Arial" w:hAnsi="Arial" w:cs="Arial"/>
          <w:bCs/>
          <w:color w:val="000000" w:themeColor="text1"/>
          <w:sz w:val="21"/>
          <w:szCs w:val="21"/>
          <w:lang w:val="es-ES_tradnl" w:eastAsia="x-none"/>
        </w:rPr>
      </w:pPr>
    </w:p>
    <w:p w14:paraId="5EC4E8B0" w14:textId="52379211" w:rsidR="00AC3C47" w:rsidRPr="00CB7E8C" w:rsidRDefault="00AC3C47" w:rsidP="001A4526">
      <w:pPr>
        <w:spacing w:after="0"/>
        <w:ind w:left="708" w:right="709"/>
        <w:contextualSpacing/>
        <w:jc w:val="both"/>
        <w:rPr>
          <w:rFonts w:ascii="Arial" w:hAnsi="Arial" w:cs="Arial"/>
          <w:bCs/>
          <w:color w:val="000000" w:themeColor="text1"/>
          <w:sz w:val="21"/>
          <w:szCs w:val="21"/>
          <w:lang w:val="es-ES_tradnl" w:eastAsia="es-CO"/>
        </w:rPr>
      </w:pPr>
      <w:r w:rsidRPr="00CB7E8C">
        <w:rPr>
          <w:rFonts w:ascii="Arial" w:hAnsi="Arial" w:cs="Arial"/>
          <w:bCs/>
          <w:color w:val="000000" w:themeColor="text1"/>
          <w:sz w:val="21"/>
          <w:szCs w:val="21"/>
          <w:lang w:val="es-ES_tradnl" w:eastAsia="x-none"/>
        </w:rPr>
        <w:t>El artículo 33 de la ley 996 de 2005, efectivamente se aplica incluso a las entidades estatales con régimen especial de contratación y que están exceptuadas del ámbito de aplicación del Estatuto General de Contratación de la Administración Pública, como por ejemplo los prestadores de servicios públicos domiciliarios (empresas de servicios públicos oficiales y empresas industriales y comerciales del Estado) y a los municipios prestadores directos, incluyendo las excepciones contenidas en el segundo inciso de esta norma</w:t>
      </w:r>
      <w:r w:rsidRPr="00CB7E8C">
        <w:rPr>
          <w:rStyle w:val="Refdenotaalpie"/>
          <w:rFonts w:ascii="Arial" w:hAnsi="Arial" w:cs="Arial"/>
          <w:color w:val="000000" w:themeColor="text1"/>
        </w:rPr>
        <w:footnoteReference w:id="20"/>
      </w:r>
      <w:r w:rsidRPr="00CB7E8C">
        <w:rPr>
          <w:rFonts w:ascii="Arial" w:hAnsi="Arial" w:cs="Arial"/>
          <w:bCs/>
          <w:color w:val="000000" w:themeColor="text1"/>
          <w:sz w:val="21"/>
          <w:szCs w:val="21"/>
          <w:lang w:val="es-ES_tradnl" w:eastAsia="x-none"/>
        </w:rPr>
        <w:t>.</w:t>
      </w:r>
      <w:r w:rsidRPr="00CB7E8C">
        <w:rPr>
          <w:rFonts w:ascii="Arial" w:hAnsi="Arial" w:cs="Arial"/>
          <w:bCs/>
          <w:color w:val="000000" w:themeColor="text1"/>
          <w:sz w:val="21"/>
          <w:szCs w:val="21"/>
          <w:lang w:val="es-ES_tradnl" w:eastAsia="es-CO"/>
        </w:rPr>
        <w:t xml:space="preserve"> </w:t>
      </w:r>
    </w:p>
    <w:p w14:paraId="431F9FAC" w14:textId="77777777" w:rsidR="00AC3C47" w:rsidRPr="00CB7E8C" w:rsidRDefault="00AC3C47" w:rsidP="001A4526">
      <w:pPr>
        <w:spacing w:after="0" w:line="276" w:lineRule="auto"/>
        <w:ind w:firstLine="708"/>
        <w:contextualSpacing/>
        <w:jc w:val="both"/>
        <w:rPr>
          <w:rFonts w:ascii="Arial" w:hAnsi="Arial" w:cs="Arial"/>
          <w:bCs/>
          <w:color w:val="000000" w:themeColor="text1"/>
          <w:lang w:val="es-ES_tradnl" w:eastAsia="es-CO"/>
        </w:rPr>
      </w:pPr>
    </w:p>
    <w:p w14:paraId="2F3D6D5D" w14:textId="10A70CF3" w:rsidR="00AC3C47" w:rsidRPr="00CB7E8C" w:rsidRDefault="00AC3C47" w:rsidP="00CC1950">
      <w:pPr>
        <w:spacing w:after="0" w:line="276" w:lineRule="auto"/>
        <w:ind w:firstLine="708"/>
        <w:contextualSpacing/>
        <w:jc w:val="both"/>
        <w:rPr>
          <w:rFonts w:ascii="Arial" w:hAnsi="Arial" w:cs="Arial"/>
          <w:bCs/>
          <w:color w:val="000000" w:themeColor="text1"/>
          <w:lang w:val="es-ES_tradnl" w:eastAsia="x-none"/>
        </w:rPr>
      </w:pPr>
      <w:r w:rsidRPr="00CB7E8C">
        <w:rPr>
          <w:rFonts w:ascii="Arial" w:hAnsi="Arial" w:cs="Arial"/>
          <w:color w:val="000000" w:themeColor="text1"/>
          <w:lang w:val="es-ES_tradnl"/>
        </w:rPr>
        <w:t xml:space="preserve">Por lo tanto, la restricción prevista en la Ley 996 de 2005, </w:t>
      </w:r>
      <w:r w:rsidRPr="00CB7E8C">
        <w:rPr>
          <w:rFonts w:ascii="Arial" w:hAnsi="Arial" w:cs="Arial"/>
          <w:bCs/>
          <w:color w:val="000000" w:themeColor="text1"/>
          <w:lang w:val="es-ES_tradnl" w:eastAsia="x-none"/>
        </w:rPr>
        <w:t>teniendo en cuenta la finalidad de la ley de garantías electorales, cobija a cualquier ente público que pueda a través de la contratación directa romper el equilibrio entre los candidatos en desarrollo de las elecciones presidenciales. Tampoco existe un supuesto de exoneración a la prohibición por tener un régimen especial de los actos o contratos, pues, la posibilidad de que los entes del Estado utilicen la contratación con fines políticos, esto es, con la intención de influir a los electores y alterar la voluntad popular en las contiendas electorales, se puede presentar tanto en la contratación regulada por la Ley 80 de 1993 como en la regida por normas especiales.</w:t>
      </w:r>
    </w:p>
    <w:p w14:paraId="73A87DDF" w14:textId="77777777" w:rsidR="00CC1950" w:rsidRPr="00CB7E8C" w:rsidRDefault="00CC1950" w:rsidP="00E93A6A">
      <w:pPr>
        <w:spacing w:after="0" w:line="276" w:lineRule="auto"/>
        <w:ind w:firstLine="708"/>
        <w:contextualSpacing/>
        <w:jc w:val="both"/>
        <w:rPr>
          <w:rFonts w:ascii="Arial" w:hAnsi="Arial" w:cs="Arial"/>
          <w:bCs/>
          <w:color w:val="000000" w:themeColor="text1"/>
          <w:lang w:val="es-ES_tradnl" w:eastAsia="x-none"/>
        </w:rPr>
      </w:pPr>
    </w:p>
    <w:p w14:paraId="0DA2BE8D" w14:textId="364B91C8" w:rsidR="00CC1950" w:rsidRPr="00CC1950" w:rsidRDefault="00CC1950" w:rsidP="00E93A6A">
      <w:pPr>
        <w:spacing w:after="0" w:line="276" w:lineRule="auto"/>
        <w:contextualSpacing/>
        <w:jc w:val="both"/>
        <w:rPr>
          <w:rFonts w:ascii="Arial" w:hAnsi="Arial" w:cs="Arial"/>
          <w:b/>
          <w:bCs/>
          <w:lang w:val="es-MX" w:eastAsia="es-CO"/>
        </w:rPr>
      </w:pPr>
      <w:bookmarkStart w:id="24" w:name="_Hlk77237229"/>
      <w:bookmarkStart w:id="25" w:name="_Hlk75741539"/>
      <w:r w:rsidRPr="00CB7E8C">
        <w:rPr>
          <w:rFonts w:ascii="Arial" w:hAnsi="Arial" w:cs="Arial"/>
          <w:b/>
          <w:bCs/>
          <w:lang w:val="es-MX" w:eastAsia="es-CO"/>
        </w:rPr>
        <w:t>2.3.</w:t>
      </w:r>
      <w:r w:rsidRPr="00CC1950">
        <w:rPr>
          <w:rFonts w:ascii="Arial" w:hAnsi="Arial" w:cs="Arial"/>
          <w:b/>
          <w:bCs/>
          <w:lang w:val="es-MX" w:eastAsia="es-CO"/>
        </w:rPr>
        <w:t xml:space="preserve"> Restricciones </w:t>
      </w:r>
      <w:bookmarkStart w:id="26" w:name="_Hlk75643279"/>
      <w:r w:rsidRPr="00CC1950">
        <w:rPr>
          <w:rFonts w:ascii="Arial" w:hAnsi="Arial" w:cs="Arial"/>
          <w:b/>
          <w:bCs/>
          <w:lang w:val="es-MX" w:eastAsia="es-CO"/>
        </w:rPr>
        <w:t xml:space="preserve">para la celebración de contratos y convenios interadministrativos en los comicios de cargos de elección popular </w:t>
      </w:r>
    </w:p>
    <w:p w14:paraId="3774EF9B" w14:textId="77777777" w:rsidR="00CC1950" w:rsidRPr="00CC1950" w:rsidRDefault="00CC1950" w:rsidP="00E93A6A">
      <w:pPr>
        <w:spacing w:after="0" w:line="276" w:lineRule="auto"/>
        <w:contextualSpacing/>
        <w:jc w:val="both"/>
        <w:rPr>
          <w:rFonts w:ascii="Arial" w:hAnsi="Arial" w:cs="Arial"/>
          <w:b/>
          <w:bCs/>
          <w:lang w:val="es-MX"/>
        </w:rPr>
      </w:pPr>
    </w:p>
    <w:bookmarkEnd w:id="26"/>
    <w:p w14:paraId="1C18D29F" w14:textId="77777777" w:rsidR="00CC1950" w:rsidRPr="00CC1950" w:rsidRDefault="00CC1950" w:rsidP="00CC1950">
      <w:pPr>
        <w:tabs>
          <w:tab w:val="left" w:pos="426"/>
        </w:tabs>
        <w:spacing w:after="120" w:line="276" w:lineRule="auto"/>
        <w:jc w:val="both"/>
        <w:rPr>
          <w:rFonts w:ascii="Arial" w:eastAsia="Calibri" w:hAnsi="Arial" w:cs="Arial"/>
          <w:bCs/>
        </w:rPr>
      </w:pPr>
      <w:r w:rsidRPr="00CC1950">
        <w:rPr>
          <w:rFonts w:ascii="Arial" w:eastAsia="Calibri" w:hAnsi="Arial" w:cs="Arial"/>
          <w:bCs/>
        </w:rPr>
        <w:t xml:space="preserve">El parágrafo del artículo 38 de la Ley 996 de 2005 dispone que «[l]os Gobernadores, </w:t>
      </w:r>
      <w:proofErr w:type="gramStart"/>
      <w:r w:rsidRPr="00CC1950">
        <w:rPr>
          <w:rFonts w:ascii="Arial" w:eastAsia="Calibri" w:hAnsi="Arial" w:cs="Arial"/>
          <w:bCs/>
        </w:rPr>
        <w:t>Alcaldes</w:t>
      </w:r>
      <w:proofErr w:type="gramEnd"/>
      <w:r w:rsidRPr="00CC1950">
        <w:rPr>
          <w:rFonts w:ascii="Arial" w:eastAsia="Calibri" w:hAnsi="Arial" w:cs="Arial"/>
          <w:bCs/>
        </w:rPr>
        <w:t xml:space="preserve">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w:t>
      </w:r>
      <w:r w:rsidRPr="00CC1950">
        <w:rPr>
          <w:rFonts w:ascii="Arial" w:hAnsi="Arial" w:cs="Arial"/>
          <w:bCs/>
          <w:iCs/>
          <w:lang w:val="es-MX" w:eastAsia="x-none"/>
        </w:rPr>
        <w:t xml:space="preserve"> Los convenios o contratos interadministrativos que se restringen en el parágrafo del artículo 38 de la Ley 996 de 2005, son únicamente aquellos </w:t>
      </w:r>
      <w:r w:rsidRPr="00CC1950">
        <w:rPr>
          <w:rFonts w:ascii="Arial" w:hAnsi="Arial" w:cs="Arial"/>
          <w:bCs/>
          <w:iCs/>
          <w:lang w:val="es-MX" w:eastAsia="x-none"/>
        </w:rPr>
        <w:lastRenderedPageBreak/>
        <w:t>en que se dispone la ejecución de recursos públicos, para evitar que mediante la suscripción de estos se comprometa el erario con fines políticos o partidistas</w:t>
      </w:r>
      <w:r w:rsidRPr="00CC1950">
        <w:rPr>
          <w:rFonts w:ascii="Arial" w:hAnsi="Arial" w:cs="Arial"/>
          <w:bCs/>
          <w:iCs/>
          <w:vertAlign w:val="superscript"/>
          <w:lang w:val="es-MX" w:eastAsia="x-none"/>
        </w:rPr>
        <w:footnoteReference w:id="21"/>
      </w:r>
      <w:r w:rsidRPr="00CC1950">
        <w:rPr>
          <w:rFonts w:ascii="Arial" w:hAnsi="Arial" w:cs="Arial"/>
          <w:bCs/>
          <w:iCs/>
          <w:lang w:val="es-MX" w:eastAsia="x-none"/>
        </w:rPr>
        <w:t>.</w:t>
      </w:r>
      <w:r w:rsidRPr="00CC1950">
        <w:rPr>
          <w:rFonts w:ascii="Arial" w:hAnsi="Arial" w:cs="Arial"/>
          <w:sz w:val="24"/>
          <w:lang w:val="es-MX"/>
        </w:rPr>
        <w:t xml:space="preserve"> </w:t>
      </w:r>
    </w:p>
    <w:p w14:paraId="7F54D1E9" w14:textId="77777777" w:rsidR="00CC1950" w:rsidRPr="00CC1950" w:rsidRDefault="00CC1950" w:rsidP="00CC1950">
      <w:pPr>
        <w:widowControl w:val="0"/>
        <w:autoSpaceDE w:val="0"/>
        <w:autoSpaceDN w:val="0"/>
        <w:spacing w:after="120" w:line="276" w:lineRule="auto"/>
        <w:ind w:firstLine="707"/>
        <w:jc w:val="both"/>
        <w:rPr>
          <w:rFonts w:ascii="Arial" w:eastAsia="Arial" w:hAnsi="Arial" w:cs="Arial"/>
          <w:lang w:val="es-ES" w:eastAsia="es-ES" w:bidi="es-ES"/>
        </w:rPr>
      </w:pPr>
      <w:r w:rsidRPr="00CC1950">
        <w:rPr>
          <w:rFonts w:ascii="Arial" w:eastAsia="Calibri" w:hAnsi="Arial" w:cs="Arial"/>
          <w:bCs/>
          <w:lang w:eastAsia="es-ES" w:bidi="es-ES"/>
        </w:rPr>
        <w:t xml:space="preserve">Ahora bien, </w:t>
      </w:r>
      <w:bookmarkStart w:id="27" w:name="_Hlk78820161"/>
      <w:r w:rsidRPr="00CC1950">
        <w:rPr>
          <w:rFonts w:ascii="Arial" w:eastAsia="Calibri" w:hAnsi="Arial" w:cs="Arial"/>
          <w:bCs/>
          <w:lang w:eastAsia="es-ES" w:bidi="es-ES"/>
        </w:rPr>
        <w:t xml:space="preserve">para determinar el alcance de esta prohibición consagrada por la Ley de Garantías Electorales, conviene precisar la tipología de convenios o contratos interadministrativos. </w:t>
      </w:r>
      <w:r w:rsidRPr="00CC1950">
        <w:rPr>
          <w:rFonts w:ascii="Arial" w:eastAsia="Arial" w:hAnsi="Arial" w:cs="Arial"/>
          <w:lang w:val="es-ES" w:eastAsia="es-ES" w:bidi="es-ES"/>
        </w:rPr>
        <w:t>Aunque la ley no la definió ni desarrolló, el Decreto 1082 de 2015 califica a los convenios o contratos interadministrativos como aquella contratación entre entidades estatales</w:t>
      </w:r>
      <w:r w:rsidRPr="00CC1950">
        <w:rPr>
          <w:rFonts w:ascii="Arial" w:eastAsia="Arial" w:hAnsi="Arial" w:cs="Arial"/>
          <w:vertAlign w:val="superscript"/>
          <w:lang w:val="es-ES" w:eastAsia="es-ES" w:bidi="es-ES"/>
        </w:rPr>
        <w:footnoteReference w:id="22"/>
      </w:r>
      <w:r w:rsidRPr="00CC1950">
        <w:rPr>
          <w:rFonts w:ascii="Arial" w:eastAsia="Arial" w:hAnsi="Arial" w:cs="Arial"/>
          <w:lang w:val="es-ES" w:eastAsia="es-ES" w:bidi="es-ES"/>
        </w:rPr>
        <w:t>.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w:t>
      </w:r>
      <w:r w:rsidRPr="00CC1950">
        <w:rPr>
          <w:rFonts w:ascii="Arial" w:eastAsia="Arial" w:hAnsi="Arial" w:cs="Arial"/>
          <w:spacing w:val="-6"/>
          <w:lang w:val="es-ES" w:eastAsia="es-ES" w:bidi="es-ES"/>
        </w:rPr>
        <w:t xml:space="preserve"> </w:t>
      </w:r>
      <w:r w:rsidRPr="00CC1950">
        <w:rPr>
          <w:rFonts w:ascii="Arial" w:eastAsia="Arial" w:hAnsi="Arial" w:cs="Arial"/>
          <w:lang w:val="es-ES" w:eastAsia="es-ES" w:bidi="es-ES"/>
        </w:rPr>
        <w:t>estatales.</w:t>
      </w:r>
    </w:p>
    <w:p w14:paraId="7405C1AA" w14:textId="77777777" w:rsidR="00CC1950" w:rsidRPr="00CC1950" w:rsidRDefault="00CC1950" w:rsidP="00CC1950">
      <w:pPr>
        <w:widowControl w:val="0"/>
        <w:autoSpaceDE w:val="0"/>
        <w:autoSpaceDN w:val="0"/>
        <w:spacing w:before="117" w:after="120" w:line="276" w:lineRule="auto"/>
        <w:ind w:firstLine="707"/>
        <w:jc w:val="both"/>
        <w:rPr>
          <w:rFonts w:ascii="Arial" w:eastAsia="Arial" w:hAnsi="Arial" w:cs="Arial"/>
          <w:lang w:val="es-ES" w:eastAsia="es-ES" w:bidi="es-ES"/>
        </w:rPr>
      </w:pPr>
      <w:bookmarkStart w:id="28" w:name="_Hlk78820654"/>
      <w:bookmarkEnd w:id="27"/>
      <w:r w:rsidRPr="00CC1950">
        <w:rPr>
          <w:rFonts w:ascii="Arial" w:eastAsia="Arial" w:hAnsi="Arial" w:cs="Arial"/>
          <w:lang w:val="es-ES" w:eastAsia="es-ES" w:bidi="es-ES"/>
        </w:rPr>
        <w:t>Si bien los contratos o convenios interadministrativos están previstos en la Ley 80 de 1993, en la Ley 1150 de 2007 y en el Decreto en el 1082 de 2015, no quiere decir que solo puedan celebrarse entre entidades estatales que apliquen el régimen de contratación allí previsto, pues bien puede una entidad estatal sometida a la Ley 80 de 1993 celebrar esta clase de convenios con una entidad estatal de régimen especial y no por ello dejará de ser un contrato o convenio interadministrativo.</w:t>
      </w:r>
    </w:p>
    <w:bookmarkEnd w:id="28"/>
    <w:p w14:paraId="1BE397DD" w14:textId="77777777" w:rsidR="00CC1950" w:rsidRPr="00CC1950" w:rsidRDefault="00CC1950" w:rsidP="00CC1950">
      <w:pPr>
        <w:widowControl w:val="0"/>
        <w:autoSpaceDE w:val="0"/>
        <w:autoSpaceDN w:val="0"/>
        <w:spacing w:before="121" w:after="120" w:line="276" w:lineRule="auto"/>
        <w:ind w:firstLine="707"/>
        <w:jc w:val="both"/>
        <w:rPr>
          <w:rFonts w:ascii="Arial" w:eastAsia="Arial" w:hAnsi="Arial" w:cs="Arial"/>
          <w:lang w:val="es-ES" w:eastAsia="es-ES" w:bidi="es-ES"/>
        </w:rPr>
      </w:pPr>
      <w:r w:rsidRPr="00CC1950">
        <w:rPr>
          <w:rFonts w:ascii="Arial" w:eastAsia="Arial" w:hAnsi="Arial" w:cs="Arial"/>
          <w:lang w:val="es-ES" w:eastAsia="es-ES" w:bidi="es-ES"/>
        </w:rPr>
        <w:t>Entonces, 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con pluralidad de oferentes</w:t>
      </w:r>
      <w:r w:rsidRPr="00CC1950">
        <w:rPr>
          <w:rFonts w:ascii="Arial" w:eastAsia="Arial" w:hAnsi="Arial" w:cs="Arial"/>
          <w:vertAlign w:val="superscript"/>
          <w:lang w:val="es-ES" w:eastAsia="es-ES" w:bidi="es-ES"/>
        </w:rPr>
        <w:footnoteReference w:id="23"/>
      </w:r>
      <w:r w:rsidRPr="00CC1950">
        <w:rPr>
          <w:rFonts w:ascii="Arial" w:eastAsia="Arial" w:hAnsi="Arial" w:cs="Arial"/>
          <w:lang w:val="es-ES" w:eastAsia="es-ES" w:bidi="es-ES"/>
        </w:rPr>
        <w:t xml:space="preserve">. Nótese que, en este caso, lo que cambia es la </w:t>
      </w:r>
      <w:r w:rsidRPr="00CC1950">
        <w:rPr>
          <w:rFonts w:ascii="Arial" w:eastAsia="Arial" w:hAnsi="Arial" w:cs="Arial"/>
          <w:lang w:val="es-ES" w:eastAsia="es-ES" w:bidi="es-ES"/>
        </w:rPr>
        <w:lastRenderedPageBreak/>
        <w:t>modalidad de selección y no la naturaleza de contrato</w:t>
      </w:r>
      <w:r w:rsidRPr="00CC1950">
        <w:rPr>
          <w:rFonts w:ascii="Arial" w:eastAsia="Arial" w:hAnsi="Arial" w:cs="Arial"/>
          <w:spacing w:val="-18"/>
          <w:lang w:val="es-ES" w:eastAsia="es-ES" w:bidi="es-ES"/>
        </w:rPr>
        <w:t xml:space="preserve"> </w:t>
      </w:r>
      <w:r w:rsidRPr="00CC1950">
        <w:rPr>
          <w:rFonts w:ascii="Arial" w:eastAsia="Arial" w:hAnsi="Arial" w:cs="Arial"/>
          <w:lang w:val="es-ES" w:eastAsia="es-ES" w:bidi="es-ES"/>
        </w:rPr>
        <w:t>interadministrativo.</w:t>
      </w:r>
    </w:p>
    <w:p w14:paraId="0545AB91" w14:textId="77777777" w:rsidR="00CC1950" w:rsidRPr="00CC1950" w:rsidRDefault="00CC1950" w:rsidP="00CC1950">
      <w:pPr>
        <w:widowControl w:val="0"/>
        <w:autoSpaceDE w:val="0"/>
        <w:autoSpaceDN w:val="0"/>
        <w:spacing w:before="114" w:after="0" w:line="276" w:lineRule="auto"/>
        <w:ind w:firstLine="707"/>
        <w:contextualSpacing/>
        <w:jc w:val="both"/>
        <w:rPr>
          <w:rFonts w:ascii="Arial" w:eastAsia="Arial" w:hAnsi="Arial" w:cs="Arial"/>
          <w:lang w:val="es-ES" w:eastAsia="es-ES" w:bidi="es-ES"/>
        </w:rPr>
      </w:pPr>
      <w:r w:rsidRPr="00CC1950">
        <w:rPr>
          <w:rFonts w:ascii="Arial" w:eastAsia="Arial" w:hAnsi="Arial" w:cs="Arial"/>
          <w:lang w:val="es-ES" w:eastAsia="es-ES" w:bidi="es-ES"/>
        </w:rPr>
        <w:t>La Corte Constitucional expresó, en la Sentencia C–671 de 2015, que «Lo que hace interadministrativo a un contrato o convenio no es el procedimiento de selección aplicable, sino la calidad de los sujetos contratantes, esto es que las dos partes de la relación jurídica contractual formen parte de la administración pública». Así las cosas, esta clase de acuerdos de voluntades se definen por un criterio orgánico, por lo que uno de sus elementos esenciales es que en los extremos de la relación jurídico negocial concurran personas de derecho público. Adicionalmente, el Consejo de Estado ha indicado, frente al convenio interadministrativo y sus características,</w:t>
      </w:r>
      <w:r w:rsidRPr="00CC1950">
        <w:rPr>
          <w:rFonts w:ascii="Arial" w:eastAsia="Arial" w:hAnsi="Arial" w:cs="Arial"/>
          <w:spacing w:val="-13"/>
          <w:lang w:val="es-ES" w:eastAsia="es-ES" w:bidi="es-ES"/>
        </w:rPr>
        <w:t xml:space="preserve"> </w:t>
      </w:r>
      <w:r w:rsidRPr="00CC1950">
        <w:rPr>
          <w:rFonts w:ascii="Arial" w:eastAsia="Arial" w:hAnsi="Arial" w:cs="Arial"/>
          <w:lang w:val="es-ES" w:eastAsia="es-ES" w:bidi="es-ES"/>
        </w:rPr>
        <w:t>que:</w:t>
      </w:r>
    </w:p>
    <w:p w14:paraId="5CD38894" w14:textId="77777777" w:rsidR="00CC1950" w:rsidRPr="00CC1950" w:rsidRDefault="00CC1950" w:rsidP="00CC1950">
      <w:pPr>
        <w:widowControl w:val="0"/>
        <w:autoSpaceDE w:val="0"/>
        <w:autoSpaceDN w:val="0"/>
        <w:spacing w:after="0" w:line="276" w:lineRule="auto"/>
        <w:ind w:firstLine="707"/>
        <w:contextualSpacing/>
        <w:jc w:val="both"/>
        <w:rPr>
          <w:rFonts w:ascii="Arial" w:eastAsia="Arial" w:hAnsi="Arial" w:cs="Arial"/>
          <w:lang w:val="es-ES" w:eastAsia="es-ES" w:bidi="es-ES"/>
        </w:rPr>
      </w:pPr>
    </w:p>
    <w:p w14:paraId="3A2B8ABB" w14:textId="77777777" w:rsidR="00CC1950" w:rsidRPr="00CC1950" w:rsidRDefault="00CC1950" w:rsidP="00CC1950">
      <w:pPr>
        <w:spacing w:after="0" w:line="240" w:lineRule="auto"/>
        <w:ind w:left="709" w:right="709"/>
        <w:contextualSpacing/>
        <w:jc w:val="both"/>
        <w:rPr>
          <w:rFonts w:ascii="Arial" w:hAnsi="Arial" w:cs="Arial"/>
          <w:sz w:val="21"/>
          <w:lang w:val="es-MX"/>
        </w:rPr>
      </w:pPr>
      <w:r w:rsidRPr="00CC1950">
        <w:rPr>
          <w:rFonts w:ascii="Arial" w:eastAsia="Calibri" w:hAnsi="Arial" w:cs="Arial"/>
          <w:sz w:val="21"/>
          <w:szCs w:val="21"/>
          <w:lang w:val="es-ES"/>
        </w:rPr>
        <w:t>«</w:t>
      </w:r>
      <w:r w:rsidRPr="00CC1950">
        <w:rPr>
          <w:rFonts w:ascii="Arial" w:hAnsi="Arial" w:cs="Arial"/>
          <w:sz w:val="21"/>
          <w:lang w:val="es-MX"/>
        </w:rPr>
        <w:t>[…] se puede señalar que los convenios o contratos interadministrativos tienen como características principales las siguientes: (i) constituyen verdaderos contratos en los términos del Código de Comercio cuando su objeto lo constituyen obligaciones patrimoniales; (</w:t>
      </w:r>
      <w:proofErr w:type="spellStart"/>
      <w:r w:rsidRPr="00CC1950">
        <w:rPr>
          <w:rFonts w:ascii="Arial" w:hAnsi="Arial" w:cs="Arial"/>
          <w:sz w:val="21"/>
          <w:lang w:val="es-MX"/>
        </w:rPr>
        <w:t>ii</w:t>
      </w:r>
      <w:proofErr w:type="spellEnd"/>
      <w:r w:rsidRPr="00CC1950">
        <w:rPr>
          <w:rFonts w:ascii="Arial" w:hAnsi="Arial" w:cs="Arial"/>
          <w:sz w:val="21"/>
          <w:lang w:val="es-MX"/>
        </w:rPr>
        <w:t>) tienen como fuente la autonomía contractual; (</w:t>
      </w:r>
      <w:proofErr w:type="spellStart"/>
      <w:r w:rsidRPr="00CC1950">
        <w:rPr>
          <w:rFonts w:ascii="Arial" w:hAnsi="Arial" w:cs="Arial"/>
          <w:sz w:val="21"/>
          <w:lang w:val="es-MX"/>
        </w:rPr>
        <w:t>iii</w:t>
      </w:r>
      <w:proofErr w:type="spellEnd"/>
      <w:r w:rsidRPr="00CC1950">
        <w:rPr>
          <w:rFonts w:ascii="Arial" w:hAnsi="Arial" w:cs="Arial"/>
          <w:sz w:val="21"/>
          <w:lang w:val="es-MX"/>
        </w:rPr>
        <w:t>) son contratos nominados puesto que están mencionados en la ley; (</w:t>
      </w:r>
      <w:proofErr w:type="spellStart"/>
      <w:r w:rsidRPr="00CC1950">
        <w:rPr>
          <w:rFonts w:ascii="Arial" w:hAnsi="Arial" w:cs="Arial"/>
          <w:sz w:val="21"/>
          <w:lang w:val="es-MX"/>
        </w:rPr>
        <w:t>iv</w:t>
      </w:r>
      <w:proofErr w:type="spellEnd"/>
      <w:r w:rsidRPr="00CC1950">
        <w:rPr>
          <w:rFonts w:ascii="Arial" w:hAnsi="Arial" w:cs="Arial"/>
          <w:sz w:val="21"/>
          <w:lang w:val="es-MX"/>
        </w:rPr>
        <w:t>) son contratos atípicos desde la perspectiva legal dado que se advierte la ausencia de unas normas que de manera detallada los disciplinen, los expliquen y los desarrollen, como sí las tienen los contratos típicos, por ejemplo compra venta, arrendamiento, mandato, etc. (v) la normatividad a la cual se encuentran sujetos en principio es la del Estatuto General de Contratación, en atención a que las partes que los celebran son entidades estatales y, por consiguiente, también se obligan a las disposiciones que resulten pertinentes del Código Civil y del Código de Comercio; (vi) dan lugar a la creación de obligaciones jurídicamente exigibles; (</w:t>
      </w:r>
      <w:proofErr w:type="spellStart"/>
      <w:r w:rsidRPr="00CC1950">
        <w:rPr>
          <w:rFonts w:ascii="Arial" w:hAnsi="Arial" w:cs="Arial"/>
          <w:sz w:val="21"/>
          <w:lang w:val="es-MX"/>
        </w:rPr>
        <w:t>vii</w:t>
      </w:r>
      <w:proofErr w:type="spellEnd"/>
      <w:r w:rsidRPr="00CC1950">
        <w:rPr>
          <w:rFonts w:ascii="Arial" w:hAnsi="Arial" w:cs="Arial"/>
          <w:sz w:val="21"/>
          <w:lang w:val="es-MX"/>
        </w:rPr>
        <w:t>) persiguen  una finalidad común a través de la realización de intereses compartidos entre las entidades vinculadas; (</w:t>
      </w:r>
      <w:proofErr w:type="spellStart"/>
      <w:r w:rsidRPr="00CC1950">
        <w:rPr>
          <w:rFonts w:ascii="Arial" w:hAnsi="Arial" w:cs="Arial"/>
          <w:sz w:val="21"/>
          <w:lang w:val="es-MX"/>
        </w:rPr>
        <w:t>viii</w:t>
      </w:r>
      <w:proofErr w:type="spellEnd"/>
      <w:r w:rsidRPr="00CC1950">
        <w:rPr>
          <w:rFonts w:ascii="Arial" w:hAnsi="Arial" w:cs="Arial"/>
          <w:sz w:val="21"/>
          <w:lang w:val="es-MX"/>
        </w:rPr>
        <w:t>) la acción mediante la cual se deben ventilar las diferencias que sobre el particular surjan es la de controversias contractuales.</w:t>
      </w:r>
      <w:r w:rsidRPr="00CC1950">
        <w:rPr>
          <w:rFonts w:ascii="Arial" w:hAnsi="Arial" w:cs="Arial"/>
          <w:sz w:val="21"/>
          <w:szCs w:val="21"/>
          <w:lang w:val="es-ES"/>
        </w:rPr>
        <w:t>»</w:t>
      </w:r>
      <w:r w:rsidRPr="00CC1950">
        <w:rPr>
          <w:rFonts w:ascii="Arial" w:hAnsi="Arial" w:cs="Arial"/>
          <w:sz w:val="21"/>
          <w:vertAlign w:val="superscript"/>
          <w:lang w:val="es-MX"/>
        </w:rPr>
        <w:footnoteReference w:id="24"/>
      </w:r>
    </w:p>
    <w:p w14:paraId="3375F02A" w14:textId="77777777" w:rsidR="00CC1950" w:rsidRPr="00CC1950" w:rsidRDefault="00CC1950" w:rsidP="00CC1950">
      <w:pPr>
        <w:spacing w:after="0" w:line="276" w:lineRule="auto"/>
        <w:ind w:left="709" w:right="709"/>
        <w:contextualSpacing/>
        <w:jc w:val="both"/>
        <w:rPr>
          <w:lang w:val="es-MX"/>
        </w:rPr>
      </w:pPr>
    </w:p>
    <w:p w14:paraId="4E8B58FE" w14:textId="77777777" w:rsidR="00CC1950" w:rsidRPr="00CC1950" w:rsidRDefault="00CC1950" w:rsidP="00CC1950">
      <w:pPr>
        <w:widowControl w:val="0"/>
        <w:autoSpaceDE w:val="0"/>
        <w:autoSpaceDN w:val="0"/>
        <w:spacing w:after="120" w:line="276" w:lineRule="auto"/>
        <w:ind w:firstLine="707"/>
        <w:jc w:val="both"/>
        <w:rPr>
          <w:rFonts w:ascii="Arial" w:eastAsia="Arial" w:hAnsi="Arial" w:cs="Arial"/>
          <w:lang w:val="es-ES" w:eastAsia="es-ES" w:bidi="es-ES"/>
        </w:rPr>
      </w:pPr>
      <w:r w:rsidRPr="00CC1950">
        <w:rPr>
          <w:rFonts w:ascii="Arial" w:eastAsia="Arial" w:hAnsi="Arial" w:cs="Arial"/>
          <w:lang w:val="es-ES" w:eastAsia="es-ES" w:bidi="es-ES"/>
        </w:rPr>
        <w:t xml:space="preserve">En ese sentido, los convenios interadministrativos se caracterizan por los sujetos que intervienen y por la modalidad de selección que la ley permite aplicar para su celebración, ya que comporta un grado de excepcionalidad frente a las demás tipologías contractuales, donde los sujetos no están restringidos a una cualificación particular y aplican otras modalidades de selección. El Estatuto General de Contratación de la Administración Pública </w:t>
      </w:r>
      <w:r w:rsidRPr="00CC1950">
        <w:rPr>
          <w:rFonts w:ascii="Arial" w:eastAsia="Arial" w:hAnsi="Arial" w:cs="Arial"/>
          <w:lang w:val="es-ES" w:eastAsia="es-ES" w:bidi="es-ES"/>
        </w:rPr>
        <w:lastRenderedPageBreak/>
        <w:t>establece la contratación directa como la modalidad de selección aplicable, por regla general, a la celebración de los contratos interadministrativos.</w:t>
      </w:r>
    </w:p>
    <w:p w14:paraId="52E1EB07" w14:textId="77777777" w:rsidR="00CC1950" w:rsidRPr="00CC1950" w:rsidRDefault="00CC1950" w:rsidP="00CC1950">
      <w:pPr>
        <w:widowControl w:val="0"/>
        <w:autoSpaceDE w:val="0"/>
        <w:autoSpaceDN w:val="0"/>
        <w:spacing w:before="119" w:after="120" w:line="276" w:lineRule="auto"/>
        <w:ind w:firstLine="707"/>
        <w:jc w:val="both"/>
        <w:rPr>
          <w:rFonts w:ascii="Arial" w:eastAsia="Arial" w:hAnsi="Arial" w:cs="Arial"/>
          <w:lang w:val="es-ES" w:eastAsia="es-ES" w:bidi="es-ES"/>
        </w:rPr>
      </w:pPr>
      <w:r w:rsidRPr="00CC1950">
        <w:rPr>
          <w:rFonts w:ascii="Arial" w:eastAsia="Arial" w:hAnsi="Arial" w:cs="Arial"/>
          <w:lang w:val="es-ES" w:eastAsia="es-ES" w:bidi="es-ES"/>
        </w:rPr>
        <w:t>Así las cosas, la ley no limitó la celebración de contratos interadministrativos a la modalidad de selección de contratación directa, pues solo estableció, excepcionalmente, su celebración de manera directa cuando dos o más entidades del Estado, con el fin de materializar funciones administrativas de interés común para ambas partes, celebran un negocio jurídico. No obstante, es posible que se celebren contratos interadministrativos en el marco de un proceso donde sea posible la participación de los interesados en ofertar, es decir, a través de las otras modalidades de selección previstas en la Ley 1150 de 2007 diferentes a la de contratación directa, pues, como se indicó, la existencia de un contrato interadministrativo no está determinada por la modalidad de selección sino, entre otras cosas, de la calidad de las partes que lo suscriben, es decir, debe tratarse de entidades</w:t>
      </w:r>
      <w:r w:rsidRPr="00CC1950">
        <w:rPr>
          <w:rFonts w:ascii="Arial" w:eastAsia="Arial" w:hAnsi="Arial" w:cs="Arial"/>
          <w:spacing w:val="-3"/>
          <w:lang w:val="es-ES" w:eastAsia="es-ES" w:bidi="es-ES"/>
        </w:rPr>
        <w:t xml:space="preserve"> </w:t>
      </w:r>
      <w:r w:rsidRPr="00CC1950">
        <w:rPr>
          <w:rFonts w:ascii="Arial" w:eastAsia="Arial" w:hAnsi="Arial" w:cs="Arial"/>
          <w:lang w:val="es-ES" w:eastAsia="es-ES" w:bidi="es-ES"/>
        </w:rPr>
        <w:t>estatales.</w:t>
      </w:r>
    </w:p>
    <w:p w14:paraId="400254D1" w14:textId="77777777" w:rsidR="00CC1950" w:rsidRPr="00CC1950" w:rsidRDefault="00CC1950" w:rsidP="00CC1950">
      <w:pPr>
        <w:widowControl w:val="0"/>
        <w:autoSpaceDE w:val="0"/>
        <w:autoSpaceDN w:val="0"/>
        <w:spacing w:before="120" w:after="0" w:line="276" w:lineRule="auto"/>
        <w:ind w:firstLine="709"/>
        <w:jc w:val="both"/>
        <w:rPr>
          <w:rFonts w:ascii="Arial" w:eastAsia="Arial" w:hAnsi="Arial" w:cs="Arial"/>
          <w:lang w:val="es-ES" w:eastAsia="es-ES" w:bidi="es-ES"/>
        </w:rPr>
      </w:pPr>
      <w:r w:rsidRPr="00CC1950">
        <w:rPr>
          <w:rFonts w:ascii="Arial" w:eastAsia="Arial" w:hAnsi="Arial" w:cs="Arial"/>
          <w:lang w:val="es-ES" w:eastAsia="es-ES" w:bidi="es-ES"/>
        </w:rPr>
        <w:t>Además, es necesario tener en cuenta que para que un contrato o convenio interadministrativo exista, debe cumplir con los siguientes elementos: acuerdo sobre el objeto y la contraprestación, y que se eleve a escrito. Por otra parte, si bien actualmente el EGCAP hace referencia de manera expresa al contrato interadministrativo o en términos generales a los interadministrativos y no al convenio, no por esto puede concluirse que se trate de figuras totalmente diferentes, pues las entidades del Estado, en el marco de la Ley 80 de 1993, pueden acordar entre sí diferentes tipos de obligaciones, siempre que su objeto de creación les permita cumplirlas, con el objetivo común de materializar los fines del Estado. Por este motivo, cuando la Ley 80 de 1993 se refiere a contratos interadministrativos de la misma forma lo hace frente a los convenios, entre otras razones, porque este cuerpo normativo faculta a las entidades públicas a celebrar los demás acuerdos que permitan la autonomía de la voluntad y requieran el cumplimiento de los fines</w:t>
      </w:r>
      <w:r w:rsidRPr="00CC1950">
        <w:rPr>
          <w:rFonts w:ascii="Arial" w:eastAsia="Arial" w:hAnsi="Arial" w:cs="Arial"/>
          <w:spacing w:val="-4"/>
          <w:lang w:val="es-ES" w:eastAsia="es-ES" w:bidi="es-ES"/>
        </w:rPr>
        <w:t xml:space="preserve"> </w:t>
      </w:r>
      <w:r w:rsidRPr="00CC1950">
        <w:rPr>
          <w:rFonts w:ascii="Arial" w:eastAsia="Arial" w:hAnsi="Arial" w:cs="Arial"/>
          <w:lang w:val="es-ES" w:eastAsia="es-ES" w:bidi="es-ES"/>
        </w:rPr>
        <w:t>estatales.</w:t>
      </w:r>
    </w:p>
    <w:p w14:paraId="347CB7A2" w14:textId="77777777" w:rsidR="00CC1950" w:rsidRPr="00CC1950" w:rsidRDefault="00CC1950" w:rsidP="00CC1950">
      <w:pPr>
        <w:widowControl w:val="0"/>
        <w:autoSpaceDE w:val="0"/>
        <w:autoSpaceDN w:val="0"/>
        <w:spacing w:before="122" w:after="120" w:line="276" w:lineRule="auto"/>
        <w:ind w:firstLine="708"/>
        <w:jc w:val="both"/>
        <w:rPr>
          <w:rFonts w:ascii="Arial" w:eastAsia="Arial" w:hAnsi="Arial" w:cs="Arial"/>
          <w:lang w:val="es-ES" w:eastAsia="es-ES" w:bidi="es-ES"/>
        </w:rPr>
      </w:pPr>
      <w:r w:rsidRPr="00CC1950">
        <w:rPr>
          <w:rFonts w:ascii="Arial" w:eastAsia="Arial" w:hAnsi="Arial" w:cs="Arial"/>
          <w:lang w:val="es-ES" w:eastAsia="es-ES" w:bidi="es-ES"/>
        </w:rPr>
        <w:t>Es bueno destacar que el Decreto 1082 de 2015 dispone que los convenios o contratos interadministrativos, así denominados en su artículo 2.2.1.2.1.4.4, se contratan directamente, por lo que no hay lugar a dudas que representan lo mismo en la medida en que concurran entidades estatales en el acuerdo de voluntades. De este modo, es posible concluir que en la contratación estatal no existen mayores diferencias entre convenio y contrato y, dando aplicación al derecho privado y a la definición contenida en el Código Civil, puede afirmarse que se trata de figuras equivalentes.</w:t>
      </w:r>
    </w:p>
    <w:p w14:paraId="2F9D964C" w14:textId="77777777" w:rsidR="00CC1950" w:rsidRPr="00CC1950" w:rsidRDefault="00CC1950" w:rsidP="00E1537C">
      <w:pPr>
        <w:widowControl w:val="0"/>
        <w:autoSpaceDE w:val="0"/>
        <w:autoSpaceDN w:val="0"/>
        <w:spacing w:after="120" w:line="276" w:lineRule="auto"/>
        <w:ind w:firstLine="708"/>
        <w:jc w:val="both"/>
        <w:rPr>
          <w:rFonts w:ascii="Arial" w:eastAsia="Calibri" w:hAnsi="Arial" w:cs="Arial"/>
          <w:bCs/>
          <w:lang w:eastAsia="es-ES" w:bidi="es-ES"/>
        </w:rPr>
      </w:pPr>
      <w:r w:rsidRPr="00CC1950">
        <w:rPr>
          <w:rFonts w:ascii="Arial" w:eastAsia="Arial" w:hAnsi="Arial" w:cs="Arial"/>
          <w:lang w:val="es-ES" w:eastAsia="es-ES" w:bidi="es-ES"/>
        </w:rPr>
        <w:t xml:space="preserve">Por tanto, aunque el artículo 95 de la Ley 489 de 1998 dispone que «Las entidades públicas podrán asociarse con el fin de cooperar en el cumplimiento de funciones administrativas o de prestar conjuntamente servicios que se hallen a su cargo, mediante la celebración de convenios interadministrativos […]», esto no significa que dichos acuerdos </w:t>
      </w:r>
      <w:r w:rsidRPr="00CC1950">
        <w:rPr>
          <w:rFonts w:ascii="Arial" w:eastAsia="Arial" w:hAnsi="Arial" w:cs="Arial"/>
          <w:lang w:val="es-ES" w:eastAsia="es-ES" w:bidi="es-ES"/>
        </w:rPr>
        <w:lastRenderedPageBreak/>
        <w:t>estén exceptuados del Estatuto General de Contratación de la Administración Pública por no tener carácter contractual. Por ello, la jurisprudencia considera que «Estos convenios cuentan con las características propias de los contratos, cuando su objeto lo constituyen obligaciones patrimoniales, y las entidades estatales que los conforman están sujetas tanto a la normativa contractual pública, como a las normas del derecho civil</w:t>
      </w:r>
      <w:r w:rsidRPr="00CC1950">
        <w:rPr>
          <w:rFonts w:ascii="Arial" w:eastAsia="Arial" w:hAnsi="Arial" w:cs="Arial"/>
          <w:spacing w:val="-4"/>
          <w:lang w:val="es-ES" w:eastAsia="es-ES" w:bidi="es-ES"/>
        </w:rPr>
        <w:t xml:space="preserve"> </w:t>
      </w:r>
      <w:r w:rsidRPr="00CC1950">
        <w:rPr>
          <w:rFonts w:ascii="Arial" w:eastAsia="Arial" w:hAnsi="Arial" w:cs="Arial"/>
          <w:lang w:val="es-ES" w:eastAsia="es-ES" w:bidi="es-ES"/>
        </w:rPr>
        <w:t>[…]»</w:t>
      </w:r>
      <w:r w:rsidRPr="00CC1950">
        <w:rPr>
          <w:rFonts w:ascii="Arial" w:eastAsia="Arial" w:hAnsi="Arial" w:cs="Arial"/>
          <w:vertAlign w:val="superscript"/>
          <w:lang w:val="es-ES" w:eastAsia="es-ES" w:bidi="es-ES"/>
        </w:rPr>
        <w:footnoteReference w:id="25"/>
      </w:r>
      <w:r w:rsidRPr="00CC1950">
        <w:rPr>
          <w:rFonts w:ascii="Arial" w:eastAsia="Arial" w:hAnsi="Arial" w:cs="Arial"/>
          <w:lang w:val="es-ES" w:eastAsia="es-ES" w:bidi="es-ES"/>
        </w:rPr>
        <w:t>.</w:t>
      </w:r>
      <w:bookmarkStart w:id="29" w:name="_Hlk77171241"/>
    </w:p>
    <w:p w14:paraId="4B9BB049" w14:textId="026FF834" w:rsidR="00CC1950" w:rsidRPr="00CB7E8C" w:rsidRDefault="00CC1950" w:rsidP="00E1537C">
      <w:pPr>
        <w:widowControl w:val="0"/>
        <w:autoSpaceDE w:val="0"/>
        <w:autoSpaceDN w:val="0"/>
        <w:spacing w:after="0" w:line="276" w:lineRule="auto"/>
        <w:ind w:firstLine="709"/>
        <w:jc w:val="both"/>
        <w:rPr>
          <w:rFonts w:ascii="Arial" w:eastAsia="Arial" w:hAnsi="Arial" w:cs="Arial"/>
          <w:lang w:val="es-ES" w:eastAsia="es-ES" w:bidi="es-ES"/>
        </w:rPr>
      </w:pPr>
      <w:r w:rsidRPr="00CC1950">
        <w:rPr>
          <w:rFonts w:ascii="Arial" w:eastAsia="Arial" w:hAnsi="Arial" w:cs="Arial"/>
          <w:lang w:val="es-ES" w:eastAsia="es-ES" w:bidi="es-ES"/>
        </w:rPr>
        <w:t>Sin perjuicio de lo anterior, vale la pena tener en cuenta que cierto sector de la doctrina y la jurisprudencia han establecido algunas diferencias o caracterización de los contratos interadministrativos frente a los convenios interadministrativos de que trata el artículo 95 de la Ley 489 de 1998. Por ejemplo, el Consejo de Estado sentencia del 14 de junio de 2019 expresó:</w:t>
      </w:r>
    </w:p>
    <w:p w14:paraId="1C9194F2" w14:textId="77777777" w:rsidR="00E93A6A" w:rsidRPr="00CC1950" w:rsidRDefault="00E93A6A" w:rsidP="00E93A6A">
      <w:pPr>
        <w:widowControl w:val="0"/>
        <w:autoSpaceDE w:val="0"/>
        <w:autoSpaceDN w:val="0"/>
        <w:spacing w:after="0" w:line="276" w:lineRule="auto"/>
        <w:ind w:firstLine="709"/>
        <w:contextualSpacing/>
        <w:jc w:val="both"/>
        <w:rPr>
          <w:rFonts w:ascii="Arial" w:eastAsia="Arial" w:hAnsi="Arial" w:cs="Arial"/>
          <w:lang w:val="es-ES" w:eastAsia="es-ES" w:bidi="es-ES"/>
        </w:rPr>
      </w:pPr>
    </w:p>
    <w:p w14:paraId="2EC6AFB8" w14:textId="77777777" w:rsidR="00CC1950" w:rsidRPr="00CC1950" w:rsidRDefault="00CC1950" w:rsidP="00E93A6A">
      <w:pPr>
        <w:spacing w:after="0" w:line="240" w:lineRule="auto"/>
        <w:ind w:left="709" w:right="709"/>
        <w:contextualSpacing/>
        <w:jc w:val="both"/>
        <w:rPr>
          <w:rFonts w:ascii="Arial" w:hAnsi="Arial" w:cs="Arial"/>
          <w:sz w:val="21"/>
          <w:szCs w:val="21"/>
          <w:lang w:val="es-ES_tradnl"/>
        </w:rPr>
      </w:pPr>
      <w:r w:rsidRPr="00CC1950">
        <w:rPr>
          <w:rFonts w:ascii="Arial" w:eastAsia="Calibri" w:hAnsi="Arial" w:cs="Arial"/>
          <w:sz w:val="21"/>
          <w:szCs w:val="21"/>
          <w:lang w:val="es-ES"/>
        </w:rPr>
        <w:t>«</w:t>
      </w:r>
      <w:r w:rsidRPr="00CC1950">
        <w:rPr>
          <w:rFonts w:ascii="Arial" w:hAnsi="Arial" w:cs="Arial"/>
          <w:sz w:val="21"/>
          <w:szCs w:val="21"/>
          <w:lang w:val="es-ES_tradnl"/>
        </w:rPr>
        <w:t>La Sala de Consulta y Servicio Civil</w:t>
      </w:r>
      <w:r w:rsidRPr="00CC1950">
        <w:rPr>
          <w:rFonts w:ascii="Arial" w:hAnsi="Arial" w:cs="Arial"/>
          <w:sz w:val="21"/>
          <w:szCs w:val="21"/>
          <w:vertAlign w:val="superscript"/>
          <w:lang w:val="es-ES_tradnl"/>
        </w:rPr>
        <w:footnoteReference w:id="26"/>
      </w:r>
      <w:r w:rsidRPr="00CC1950">
        <w:rPr>
          <w:rFonts w:ascii="Arial" w:hAnsi="Arial" w:cs="Arial"/>
          <w:sz w:val="21"/>
          <w:szCs w:val="21"/>
          <w:lang w:val="es-ES_tradnl"/>
        </w:rPr>
        <w:t xml:space="preserve"> de esta Corporación se ha referido a los </w:t>
      </w:r>
      <w:r w:rsidRPr="00CC1950">
        <w:rPr>
          <w:rFonts w:ascii="Arial" w:hAnsi="Arial" w:cs="Arial"/>
          <w:i/>
          <w:sz w:val="21"/>
          <w:szCs w:val="21"/>
          <w:lang w:val="es-ES_tradnl"/>
        </w:rPr>
        <w:t>“convenios interadministrativos”</w:t>
      </w:r>
      <w:r w:rsidRPr="00CC1950">
        <w:rPr>
          <w:rFonts w:ascii="Arial" w:hAnsi="Arial" w:cs="Arial"/>
          <w:sz w:val="21"/>
          <w:szCs w:val="21"/>
          <w:lang w:val="es-ES_tradnl"/>
        </w:rPr>
        <w:t xml:space="preserve"> a los cuales alude el artículo 95 de la Ley 489 de 1998, calificándolos de </w:t>
      </w:r>
      <w:r w:rsidRPr="00CC1950">
        <w:rPr>
          <w:rFonts w:ascii="Arial" w:hAnsi="Arial" w:cs="Arial"/>
          <w:i/>
          <w:sz w:val="21"/>
          <w:szCs w:val="21"/>
          <w:lang w:val="es-ES_tradnl"/>
        </w:rPr>
        <w:t xml:space="preserve">“puros” </w:t>
      </w:r>
      <w:r w:rsidRPr="00CC1950">
        <w:rPr>
          <w:rFonts w:ascii="Arial" w:hAnsi="Arial" w:cs="Arial"/>
          <w:sz w:val="21"/>
          <w:szCs w:val="21"/>
          <w:lang w:val="es-ES_tradnl"/>
        </w:rPr>
        <w:t xml:space="preserve">y entendiendo que estos, además de perseguir la finalidad de cooperación antes indicada, no implican intereses contrapuestos ni tampoco se circunscriben a un </w:t>
      </w:r>
      <w:r w:rsidRPr="00CC1950">
        <w:rPr>
          <w:rFonts w:ascii="Arial" w:hAnsi="Arial" w:cs="Arial"/>
          <w:i/>
          <w:sz w:val="21"/>
          <w:szCs w:val="21"/>
          <w:lang w:val="es-ES_tradnl"/>
        </w:rPr>
        <w:t>“intercambio patrimonial”</w:t>
      </w:r>
      <w:r w:rsidRPr="00CC1950">
        <w:rPr>
          <w:rFonts w:ascii="Arial" w:hAnsi="Arial" w:cs="Arial"/>
          <w:sz w:val="21"/>
          <w:szCs w:val="21"/>
          <w:lang w:val="es-ES_tradnl"/>
        </w:rPr>
        <w:t>. Sin perjuicio de lo anterior, en otra oportunidad, la misma Sala</w:t>
      </w:r>
      <w:r w:rsidRPr="00CC1950">
        <w:rPr>
          <w:rFonts w:ascii="Arial" w:hAnsi="Arial" w:cs="Arial"/>
          <w:sz w:val="21"/>
          <w:szCs w:val="21"/>
          <w:vertAlign w:val="superscript"/>
          <w:lang w:val="es-ES_tradnl"/>
        </w:rPr>
        <w:footnoteReference w:id="27"/>
      </w:r>
      <w:r w:rsidRPr="00CC1950">
        <w:rPr>
          <w:rFonts w:ascii="Arial" w:hAnsi="Arial" w:cs="Arial"/>
          <w:sz w:val="21"/>
          <w:szCs w:val="21"/>
          <w:lang w:val="es-ES_tradnl"/>
        </w:rPr>
        <w:t xml:space="preserve"> había indicado que, si bien en dichos convenios no se daba un </w:t>
      </w:r>
      <w:r w:rsidRPr="00CC1950">
        <w:rPr>
          <w:rFonts w:ascii="Arial" w:hAnsi="Arial" w:cs="Arial"/>
          <w:i/>
          <w:sz w:val="21"/>
          <w:szCs w:val="21"/>
          <w:lang w:val="es-ES_tradnl"/>
        </w:rPr>
        <w:t>“verdadero intercambio de bienes o servicios (contrato conmutativo)”</w:t>
      </w:r>
      <w:r w:rsidRPr="00CC1950">
        <w:rPr>
          <w:rFonts w:ascii="Arial" w:hAnsi="Arial" w:cs="Arial"/>
          <w:sz w:val="21"/>
          <w:szCs w:val="21"/>
          <w:lang w:val="es-ES_tradnl"/>
        </w:rPr>
        <w:t>, ello no impedía que se conviniera una remuneración a cargo de alguna(s) entidad(es).</w:t>
      </w:r>
    </w:p>
    <w:p w14:paraId="170F3DC3" w14:textId="77777777" w:rsidR="00E93A6A" w:rsidRPr="00CB7E8C" w:rsidRDefault="00E93A6A" w:rsidP="00E93A6A">
      <w:pPr>
        <w:widowControl w:val="0"/>
        <w:autoSpaceDE w:val="0"/>
        <w:autoSpaceDN w:val="0"/>
        <w:spacing w:after="0" w:line="240" w:lineRule="auto"/>
        <w:ind w:left="709" w:right="709"/>
        <w:contextualSpacing/>
        <w:jc w:val="both"/>
        <w:rPr>
          <w:rFonts w:ascii="Arial" w:eastAsia="Arial" w:hAnsi="Arial" w:cs="Arial"/>
          <w:sz w:val="21"/>
          <w:szCs w:val="21"/>
          <w:lang w:val="es-ES_tradnl" w:eastAsia="es-ES" w:bidi="es-ES"/>
        </w:rPr>
      </w:pPr>
    </w:p>
    <w:p w14:paraId="174FFF76" w14:textId="180BC848" w:rsidR="00CC1950" w:rsidRPr="00CC1950" w:rsidRDefault="00CC1950" w:rsidP="00E93A6A">
      <w:pPr>
        <w:widowControl w:val="0"/>
        <w:autoSpaceDE w:val="0"/>
        <w:autoSpaceDN w:val="0"/>
        <w:spacing w:after="0" w:line="240" w:lineRule="auto"/>
        <w:ind w:left="709" w:right="709"/>
        <w:contextualSpacing/>
        <w:jc w:val="both"/>
        <w:rPr>
          <w:rFonts w:ascii="Arial" w:eastAsia="Arial" w:hAnsi="Arial" w:cs="Arial"/>
          <w:sz w:val="21"/>
          <w:szCs w:val="21"/>
          <w:lang w:val="es-ES" w:eastAsia="es-ES" w:bidi="es-ES"/>
        </w:rPr>
      </w:pPr>
      <w:r w:rsidRPr="00CC1950">
        <w:rPr>
          <w:rFonts w:ascii="Arial" w:eastAsia="Arial" w:hAnsi="Arial" w:cs="Arial"/>
          <w:sz w:val="21"/>
          <w:szCs w:val="21"/>
          <w:lang w:val="es-ES_tradnl" w:eastAsia="es-ES" w:bidi="es-ES"/>
        </w:rPr>
        <w:t xml:space="preserve">Lo expuesto evidencia que, en general, las interpretaciones en torno a los </w:t>
      </w:r>
      <w:r w:rsidRPr="00CC1950">
        <w:rPr>
          <w:rFonts w:ascii="Arial" w:eastAsia="Arial" w:hAnsi="Arial" w:cs="Arial"/>
          <w:i/>
          <w:sz w:val="21"/>
          <w:szCs w:val="21"/>
          <w:lang w:val="es-ES_tradnl" w:eastAsia="es-ES" w:bidi="es-ES"/>
        </w:rPr>
        <w:t>“convenios interadministrativos”</w:t>
      </w:r>
      <w:r w:rsidRPr="00CC1950">
        <w:rPr>
          <w:rFonts w:ascii="Arial" w:eastAsia="Arial" w:hAnsi="Arial" w:cs="Arial"/>
          <w:sz w:val="21"/>
          <w:szCs w:val="21"/>
          <w:lang w:val="es-ES_tradnl" w:eastAsia="es-ES" w:bidi="es-ES"/>
        </w:rPr>
        <w:t xml:space="preserve"> previstos en el artículo 95 de la Ley 489 de 1998, en el propósito de encasillarlos dentro de una categoría normativa delimitada en su estructura, elementos y régimen jurídico, han sido dubitativas al vincular o no las obligaciones propias de dichos convenios con las de los contratos estatales sometidos al EGCAP, las cuales tienen por objeto prestaciones patrimoniales.</w:t>
      </w:r>
      <w:r w:rsidRPr="00CC1950">
        <w:rPr>
          <w:rFonts w:ascii="Arial" w:hAnsi="Arial" w:cs="Arial"/>
          <w:sz w:val="21"/>
          <w:szCs w:val="21"/>
          <w:lang w:val="es-ES"/>
        </w:rPr>
        <w:t>»</w:t>
      </w:r>
      <w:r w:rsidRPr="00CC1950">
        <w:rPr>
          <w:rFonts w:ascii="Arial" w:eastAsia="Arial" w:hAnsi="Arial" w:cs="Arial"/>
          <w:sz w:val="21"/>
          <w:szCs w:val="21"/>
          <w:vertAlign w:val="superscript"/>
          <w:lang w:val="es-ES_tradnl" w:eastAsia="es-ES" w:bidi="es-ES"/>
        </w:rPr>
        <w:footnoteReference w:id="28"/>
      </w:r>
      <w:r w:rsidRPr="00CC1950">
        <w:rPr>
          <w:rFonts w:ascii="Arial" w:hAnsi="Arial" w:cs="Arial"/>
          <w:sz w:val="21"/>
          <w:szCs w:val="21"/>
          <w:vertAlign w:val="superscript"/>
          <w:lang w:val="es-ES"/>
        </w:rPr>
        <w:t>-</w:t>
      </w:r>
      <w:r w:rsidRPr="00CC1950">
        <w:rPr>
          <w:rFonts w:ascii="Arial" w:eastAsia="Arial" w:hAnsi="Arial" w:cs="Arial"/>
          <w:sz w:val="21"/>
          <w:szCs w:val="21"/>
          <w:vertAlign w:val="superscript"/>
          <w:lang w:val="es-ES_tradnl" w:eastAsia="es-ES" w:bidi="es-ES"/>
        </w:rPr>
        <w:lastRenderedPageBreak/>
        <w:footnoteReference w:id="29"/>
      </w:r>
    </w:p>
    <w:p w14:paraId="73080EA2" w14:textId="77777777" w:rsidR="00CC1950" w:rsidRPr="00CC1950" w:rsidRDefault="00CC1950" w:rsidP="00E93A6A">
      <w:pPr>
        <w:widowControl w:val="0"/>
        <w:autoSpaceDE w:val="0"/>
        <w:autoSpaceDN w:val="0"/>
        <w:spacing w:after="0" w:line="276" w:lineRule="auto"/>
        <w:contextualSpacing/>
        <w:jc w:val="both"/>
        <w:rPr>
          <w:rFonts w:ascii="Arial" w:eastAsia="Arial" w:hAnsi="Arial" w:cs="Arial"/>
          <w:lang w:val="es-ES" w:eastAsia="es-ES" w:bidi="es-ES"/>
        </w:rPr>
      </w:pPr>
    </w:p>
    <w:p w14:paraId="1726429B" w14:textId="77777777" w:rsidR="00CC1950" w:rsidRPr="00CC1950" w:rsidRDefault="00CC1950" w:rsidP="00CC1950">
      <w:pPr>
        <w:widowControl w:val="0"/>
        <w:autoSpaceDE w:val="0"/>
        <w:autoSpaceDN w:val="0"/>
        <w:spacing w:after="120" w:line="276" w:lineRule="auto"/>
        <w:jc w:val="both"/>
        <w:rPr>
          <w:rFonts w:ascii="Arial" w:eastAsia="Arial" w:hAnsi="Arial" w:cs="Arial"/>
          <w:lang w:val="es-ES" w:eastAsia="es-ES" w:bidi="es-ES"/>
        </w:rPr>
      </w:pPr>
      <w:r w:rsidRPr="00CC1950">
        <w:rPr>
          <w:rFonts w:ascii="Arial" w:eastAsia="Arial" w:hAnsi="Arial" w:cs="Arial"/>
          <w:lang w:val="es-ES" w:eastAsia="es-ES" w:bidi="es-ES"/>
        </w:rPr>
        <w:tab/>
      </w:r>
      <w:r w:rsidRPr="00CC1950">
        <w:rPr>
          <w:rFonts w:ascii="Arial" w:eastAsia="Arial" w:hAnsi="Arial" w:cs="Arial"/>
          <w:color w:val="000000"/>
        </w:rPr>
        <w:t xml:space="preserve">Sin perjuicio de lo indicado, conviene reiterar que el ordenamiento jurídico en distintas disposiciones utiliza de forma indistinta </w:t>
      </w:r>
      <w:r w:rsidRPr="00CC1950">
        <w:rPr>
          <w:rFonts w:ascii="Arial" w:eastAsia="Arial" w:hAnsi="Arial" w:cs="Arial"/>
          <w:lang w:val="es-ES" w:eastAsia="es-ES" w:bidi="es-ES"/>
        </w:rPr>
        <w:t>los conceptos de contrato o convenio para referirse a la misma institución jurídica</w:t>
      </w:r>
      <w:r w:rsidRPr="00CC1950">
        <w:rPr>
          <w:rFonts w:ascii="Arial" w:eastAsia="Arial" w:hAnsi="Arial" w:cs="Arial"/>
          <w:vertAlign w:val="superscript"/>
          <w:lang w:val="es-ES" w:eastAsia="es-ES" w:bidi="es-ES"/>
        </w:rPr>
        <w:footnoteReference w:id="30"/>
      </w:r>
      <w:r w:rsidRPr="00CC1950">
        <w:rPr>
          <w:rFonts w:ascii="Arial" w:eastAsia="Arial" w:hAnsi="Arial" w:cs="Arial"/>
          <w:lang w:val="es-ES" w:eastAsia="es-ES" w:bidi="es-ES"/>
        </w:rPr>
        <w:t>. Incluso la Corte Constitucional explica la posibilidad de celebrar convenios interadministrativos de forma directa, con fundamento en la causal establecida en la Ley 1150 de 2007 respecto a los contratos interadministrativos</w:t>
      </w:r>
      <w:r w:rsidRPr="00CC1950">
        <w:rPr>
          <w:rFonts w:ascii="Arial" w:eastAsia="Arial" w:hAnsi="Arial" w:cs="Arial"/>
          <w:vertAlign w:val="superscript"/>
          <w:lang w:val="es-ES" w:eastAsia="es-ES" w:bidi="es-ES"/>
        </w:rPr>
        <w:footnoteReference w:id="31"/>
      </w:r>
      <w:r w:rsidRPr="00CC1950">
        <w:rPr>
          <w:rFonts w:ascii="Arial" w:eastAsia="Arial" w:hAnsi="Arial" w:cs="Arial"/>
          <w:lang w:val="es-ES" w:eastAsia="es-ES" w:bidi="es-ES"/>
        </w:rPr>
        <w:t>.</w:t>
      </w:r>
    </w:p>
    <w:p w14:paraId="31D60190" w14:textId="77777777" w:rsidR="00CC1950" w:rsidRPr="00CC1950" w:rsidRDefault="00CC1950" w:rsidP="00E93A6A">
      <w:pPr>
        <w:widowControl w:val="0"/>
        <w:autoSpaceDE w:val="0"/>
        <w:autoSpaceDN w:val="0"/>
        <w:spacing w:after="0" w:line="276" w:lineRule="auto"/>
        <w:contextualSpacing/>
        <w:jc w:val="both"/>
        <w:rPr>
          <w:rFonts w:ascii="Arial" w:eastAsia="Arial" w:hAnsi="Arial" w:cs="Arial"/>
          <w:lang w:val="es-ES" w:eastAsia="es-ES" w:bidi="es-ES"/>
        </w:rPr>
      </w:pPr>
      <w:r w:rsidRPr="00CC1950">
        <w:rPr>
          <w:rFonts w:ascii="Arial" w:eastAsia="Arial" w:hAnsi="Arial" w:cs="Arial"/>
          <w:lang w:val="es-ES" w:eastAsia="es-ES" w:bidi="es-ES"/>
        </w:rPr>
        <w:tab/>
        <w:t>En desarrollo de lo anterior, vale la pena destacar que la Circular Externa Única de Colombia Compra Eficiente, pese a reconocer que se han realizado algunas distinciones jurisprudenciales en torno a los contratos y convenios interadministrativos, relacionados con el alcance de las obligaciones que los caracterizan, señala que no existe una definición legal que diferencie los conceptos de convenio o de contrato. En tal sentido, de acuerdo con las consideraciones expuestas en este numeral los asimila para efectos de aplicar las disposiciones que tangencialmente se refieren a uno u otro vocablo, por ejemplo, lo que resulta bastante relevante para este concepto, para la aplicación de la Ley de Garantías. En este sentido, la Circular, refiriéndose al parágrafo del artículo 38 de la Ley 996 de 2005, expresa:</w:t>
      </w:r>
    </w:p>
    <w:p w14:paraId="7A06AF33" w14:textId="77777777" w:rsidR="00CC1950" w:rsidRPr="00CC1950" w:rsidRDefault="00CC1950" w:rsidP="00E93A6A">
      <w:pPr>
        <w:widowControl w:val="0"/>
        <w:autoSpaceDE w:val="0"/>
        <w:autoSpaceDN w:val="0"/>
        <w:spacing w:after="0" w:line="276" w:lineRule="auto"/>
        <w:contextualSpacing/>
        <w:jc w:val="both"/>
        <w:rPr>
          <w:rFonts w:ascii="Arial" w:eastAsia="Arial" w:hAnsi="Arial" w:cs="Arial"/>
          <w:lang w:val="es-ES" w:eastAsia="es-ES" w:bidi="es-ES"/>
        </w:rPr>
      </w:pPr>
    </w:p>
    <w:p w14:paraId="6D7C3913" w14:textId="63AEC0C6" w:rsidR="00CC1950" w:rsidRPr="00CB7E8C" w:rsidRDefault="00CC1950" w:rsidP="00E93A6A">
      <w:pPr>
        <w:spacing w:after="0" w:line="240" w:lineRule="auto"/>
        <w:ind w:left="709" w:right="709"/>
        <w:contextualSpacing/>
        <w:jc w:val="both"/>
        <w:rPr>
          <w:rFonts w:ascii="Arial" w:hAnsi="Arial" w:cs="Arial"/>
          <w:sz w:val="21"/>
          <w:szCs w:val="21"/>
          <w:lang w:val="es-MX"/>
        </w:rPr>
      </w:pPr>
      <w:r w:rsidRPr="00CC1950">
        <w:rPr>
          <w:rFonts w:ascii="Arial" w:eastAsia="Calibri" w:hAnsi="Arial" w:cs="Arial"/>
          <w:sz w:val="21"/>
          <w:szCs w:val="21"/>
          <w:lang w:val="es-ES"/>
        </w:rPr>
        <w:lastRenderedPageBreak/>
        <w:t>«</w:t>
      </w:r>
      <w:r w:rsidRPr="00CC1950">
        <w:rPr>
          <w:rFonts w:ascii="Arial" w:hAnsi="Arial" w:cs="Arial"/>
          <w:sz w:val="21"/>
          <w:szCs w:val="21"/>
          <w:lang w:val="es-ES_tradnl"/>
        </w:rPr>
        <w:t xml:space="preserve">Esta restricción es aplicable tanto a los convenios como a los contratos interadministrativos. Toda vez que, al no existir definición legal que diferencie el concepto de convenio del concepto de contrato, la denominación prevista por la Ley 80 de 1993 y la Ley 1150 de 2007 </w:t>
      </w:r>
      <w:r w:rsidRPr="00CC1950">
        <w:rPr>
          <w:rFonts w:ascii="Arial" w:hAnsi="Arial" w:cs="Arial"/>
          <w:sz w:val="21"/>
          <w:szCs w:val="21"/>
          <w:lang w:val="es-MX"/>
        </w:rPr>
        <w:t xml:space="preserve">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 </w:t>
      </w:r>
    </w:p>
    <w:p w14:paraId="42264C23" w14:textId="77777777" w:rsidR="00E93A6A" w:rsidRPr="00CC1950" w:rsidRDefault="00E93A6A" w:rsidP="00E93A6A">
      <w:pPr>
        <w:spacing w:after="0" w:line="240" w:lineRule="auto"/>
        <w:ind w:left="709" w:right="709"/>
        <w:contextualSpacing/>
        <w:jc w:val="both"/>
        <w:rPr>
          <w:rFonts w:ascii="Arial" w:hAnsi="Arial" w:cs="Arial"/>
          <w:sz w:val="21"/>
          <w:szCs w:val="21"/>
          <w:lang w:val="es-MX"/>
        </w:rPr>
      </w:pPr>
    </w:p>
    <w:p w14:paraId="51A6905A" w14:textId="77777777" w:rsidR="00CC1950" w:rsidRPr="00CC1950" w:rsidRDefault="00CC1950" w:rsidP="00E93A6A">
      <w:pPr>
        <w:spacing w:after="0" w:line="240" w:lineRule="auto"/>
        <w:ind w:left="709" w:right="709"/>
        <w:contextualSpacing/>
        <w:jc w:val="both"/>
        <w:rPr>
          <w:rFonts w:ascii="Arial" w:hAnsi="Arial" w:cs="Arial"/>
          <w:sz w:val="21"/>
          <w:szCs w:val="21"/>
          <w:lang w:val="es-MX"/>
        </w:rPr>
      </w:pPr>
      <w:r w:rsidRPr="00CC1950">
        <w:rPr>
          <w:rFonts w:ascii="Arial" w:hAnsi="Arial" w:cs="Arial"/>
          <w:sz w:val="21"/>
          <w:szCs w:val="21"/>
          <w:lang w:val="es-MX"/>
        </w:rPr>
        <w:t>No obstante, por vía jurisprudencial se ha establecido que en los contratos interadministrativos existe una contraprestación directa a favor de la entidad que ha entregado el bien o prestado el servicio a la Entidad contratante, habilitado para ello por su objeto legal como entidad ejecutora, como quiera que las obligaciones asignadas legalmente a aquella entidad pública están directamente relacionadas con el objeto contractual. Por su parte, en los convenios interadministrativos las entidades se asocian con el fin de cooperar en el cumplimiento de funciones administrativas o de prestar conjuntamente servicios que se hallen a su cargo, sin que exista una contraprestación para ninguna de las entidades ni la prestación de un servicio a cargo de alguna de ellas y en favor de la otra parte del convenio.</w:t>
      </w:r>
    </w:p>
    <w:p w14:paraId="0BBFEE42" w14:textId="77777777" w:rsidR="00E93A6A" w:rsidRPr="00CB7E8C" w:rsidRDefault="00E93A6A" w:rsidP="00E93A6A">
      <w:pPr>
        <w:spacing w:after="0" w:line="240" w:lineRule="auto"/>
        <w:ind w:left="709" w:right="709"/>
        <w:contextualSpacing/>
        <w:jc w:val="both"/>
        <w:rPr>
          <w:rFonts w:ascii="Arial" w:hAnsi="Arial" w:cs="Arial"/>
          <w:sz w:val="21"/>
          <w:szCs w:val="21"/>
          <w:lang w:val="es-MX"/>
        </w:rPr>
      </w:pPr>
    </w:p>
    <w:p w14:paraId="7DFCAFAC" w14:textId="5243BD3F" w:rsidR="00CC1950" w:rsidRPr="00CC1950" w:rsidRDefault="00CC1950" w:rsidP="00E93A6A">
      <w:pPr>
        <w:spacing w:after="0" w:line="240" w:lineRule="auto"/>
        <w:ind w:left="709" w:right="709"/>
        <w:contextualSpacing/>
        <w:jc w:val="both"/>
        <w:rPr>
          <w:sz w:val="24"/>
          <w:vertAlign w:val="superscript"/>
          <w:lang w:val="es-MX"/>
        </w:rPr>
      </w:pPr>
      <w:r w:rsidRPr="00CC1950">
        <w:rPr>
          <w:rFonts w:ascii="Arial" w:hAnsi="Arial" w:cs="Arial"/>
          <w:sz w:val="21"/>
          <w:szCs w:val="21"/>
          <w:lang w:val="es-MX"/>
        </w:rPr>
        <w:t>En el contexto de la Ley de Garantías, las restricciones además de propender por la igualdad de los candidatos están encaminadas a evitar que por medio de la contratación se altere la voluntad popular, lo cual se puede lograr a través de contratos o convenios.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w:t>
      </w:r>
      <w:r w:rsidRPr="00CC1950">
        <w:rPr>
          <w:rFonts w:ascii="Arial" w:hAnsi="Arial" w:cs="Arial"/>
          <w:sz w:val="21"/>
          <w:szCs w:val="21"/>
          <w:lang w:val="es-ES"/>
        </w:rPr>
        <w:t>»</w:t>
      </w:r>
    </w:p>
    <w:p w14:paraId="61EC57A9" w14:textId="77777777" w:rsidR="00CC1950" w:rsidRPr="00CC1950" w:rsidRDefault="00CC1950" w:rsidP="00F800DF">
      <w:pPr>
        <w:widowControl w:val="0"/>
        <w:autoSpaceDE w:val="0"/>
        <w:autoSpaceDN w:val="0"/>
        <w:spacing w:after="0" w:line="240" w:lineRule="auto"/>
        <w:contextualSpacing/>
        <w:jc w:val="both"/>
        <w:rPr>
          <w:rFonts w:ascii="Arial" w:eastAsia="Arial" w:hAnsi="Arial" w:cs="Arial"/>
          <w:sz w:val="25"/>
          <w:lang w:val="es-ES" w:eastAsia="es-ES" w:bidi="es-ES"/>
        </w:rPr>
      </w:pPr>
    </w:p>
    <w:p w14:paraId="42EBEA1A" w14:textId="77777777" w:rsidR="00CC1950" w:rsidRPr="00CC1950" w:rsidRDefault="00CC1950" w:rsidP="00CC1950">
      <w:pPr>
        <w:widowControl w:val="0"/>
        <w:shd w:val="clear" w:color="auto" w:fill="FFFFFF" w:themeFill="background1"/>
        <w:autoSpaceDE w:val="0"/>
        <w:autoSpaceDN w:val="0"/>
        <w:spacing w:after="120" w:line="276" w:lineRule="auto"/>
        <w:jc w:val="both"/>
        <w:rPr>
          <w:rFonts w:ascii="Arial" w:eastAsia="Calibri" w:hAnsi="Arial" w:cs="Arial"/>
          <w:bCs/>
          <w:lang w:eastAsia="es-ES" w:bidi="es-ES"/>
        </w:rPr>
      </w:pPr>
      <w:r w:rsidRPr="00CC1950">
        <w:rPr>
          <w:rFonts w:ascii="Arial" w:eastAsia="Arial" w:hAnsi="Arial" w:cs="Arial"/>
          <w:sz w:val="25"/>
          <w:lang w:val="es-ES" w:eastAsia="es-ES" w:bidi="es-ES"/>
        </w:rPr>
        <w:tab/>
      </w:r>
      <w:r w:rsidRPr="00CC1950">
        <w:rPr>
          <w:rFonts w:ascii="Arial" w:eastAsia="Arial" w:hAnsi="Arial" w:cs="Arial"/>
          <w:lang w:val="es-ES" w:eastAsia="es-ES" w:bidi="es-ES"/>
        </w:rPr>
        <w:t>Teniendo en cuenta lo anterior, se reitera la conclusión en el sentido de que lo que define los contratos o convenios interadministrativos es la naturaleza de las partes, de manera que están determinados por un criterio orgánico, en el sentido de que lo serán aquellos celebrados entre entidades estatales. Además, como se indicó en la Circular citada, no existe una definición legal que diferencie los conceptos de contrato y convenio, por lo que se asimilaron para la aplicación de la Ley de Garantías. En tal sentido, las referencias realizadas por el legislador a estos términos deben asimilarse, salvo que de su contenido se logre inferir que se le quiere otorgar un contenido en particular, pues como se expresó, el legislador utiliza estos conceptos de forma indistinta.</w:t>
      </w:r>
      <w:bookmarkEnd w:id="29"/>
    </w:p>
    <w:p w14:paraId="6F80BD03" w14:textId="77777777" w:rsidR="00CC1950" w:rsidRPr="00CC1950" w:rsidRDefault="00CC1950" w:rsidP="00CC1950">
      <w:pPr>
        <w:shd w:val="clear" w:color="auto" w:fill="FFFFFF" w:themeFill="background1"/>
        <w:tabs>
          <w:tab w:val="left" w:pos="426"/>
        </w:tabs>
        <w:spacing w:after="120" w:line="276" w:lineRule="auto"/>
        <w:ind w:firstLine="709"/>
        <w:jc w:val="both"/>
        <w:rPr>
          <w:rFonts w:ascii="Arial" w:eastAsia="Arial" w:hAnsi="Arial" w:cs="Arial"/>
          <w:lang w:val="es-ES" w:eastAsia="es-ES" w:bidi="es-ES"/>
        </w:rPr>
      </w:pPr>
      <w:r w:rsidRPr="00CC1950">
        <w:rPr>
          <w:rFonts w:ascii="Arial" w:eastAsia="Arial" w:hAnsi="Arial" w:cs="Arial"/>
          <w:lang w:val="es-ES" w:eastAsia="es-ES" w:bidi="es-ES"/>
        </w:rPr>
        <w:t xml:space="preserve">Se observa entonces que </w:t>
      </w:r>
      <w:bookmarkStart w:id="30" w:name="_Hlk100593620"/>
      <w:r w:rsidRPr="00CC1950">
        <w:rPr>
          <w:rFonts w:ascii="Arial" w:eastAsia="Arial" w:hAnsi="Arial" w:cs="Arial"/>
          <w:lang w:val="es-ES" w:eastAsia="es-ES" w:bidi="es-ES"/>
        </w:rPr>
        <w:t xml:space="preserve">el parágrafo del artículo 38 de la Ley 996 de 2005 prohíbe a los alcaldes, gobernadores, secretarios, gerentes y directores de las entidades del orden municipal, departamental o distrital celebrar convenios y contratos interadministrativos para </w:t>
      </w:r>
      <w:r w:rsidRPr="00CC1950">
        <w:rPr>
          <w:rFonts w:ascii="Arial" w:eastAsia="Arial" w:hAnsi="Arial" w:cs="Arial"/>
          <w:lang w:val="es-ES" w:eastAsia="es-ES" w:bidi="es-ES"/>
        </w:rPr>
        <w:lastRenderedPageBreak/>
        <w:t xml:space="preserve">la ejecución de recursos públicos, dentro de los 4 meses anteriores a los comicios de cargos de elección popular. De esta manera, solo si una de las partes de la relación contractual es una entidad de aquellas descritas en el parágrafo ibidem, no se podrán celebrar tales convenios o contratos mientras rija la restricción del parágrafo indiciado, toda vez que la citada disposición hace referencia a dicha tipología contractual –contratos o convenios interadministrativos–, sin que el legislador hubiere contemplado excepción alguna frente a la modalidad de selección o naturaleza de su objeto. </w:t>
      </w:r>
    </w:p>
    <w:p w14:paraId="38BEC57A" w14:textId="22C3866F" w:rsidR="00E1537C" w:rsidRPr="00CB7E8C" w:rsidRDefault="00E1537C" w:rsidP="00E1537C">
      <w:pPr>
        <w:tabs>
          <w:tab w:val="left" w:pos="426"/>
        </w:tabs>
        <w:spacing w:after="120" w:line="276" w:lineRule="auto"/>
        <w:ind w:firstLine="709"/>
        <w:jc w:val="both"/>
        <w:rPr>
          <w:rFonts w:ascii="Arial" w:eastAsia="Arial" w:hAnsi="Arial" w:cs="Arial"/>
          <w:lang w:val="es-ES" w:eastAsia="es-ES" w:bidi="es-ES"/>
        </w:rPr>
      </w:pPr>
      <w:bookmarkStart w:id="31" w:name="_Hlk101791828"/>
      <w:bookmarkEnd w:id="30"/>
      <w:r w:rsidRPr="00CB7E8C">
        <w:rPr>
          <w:rFonts w:ascii="Arial" w:eastAsia="Arial" w:hAnsi="Arial" w:cs="Arial"/>
          <w:lang w:val="es-ES" w:eastAsia="es-ES" w:bidi="es-ES"/>
        </w:rPr>
        <w:t>Así mismo, se resalta que este parágrafo fue modificado parcial y transitoriamente por el artículo 124 de la Ley 2159 de 2021</w:t>
      </w:r>
      <w:r w:rsidRPr="00CB7E8C">
        <w:rPr>
          <w:rFonts w:ascii="Arial" w:eastAsia="Arial" w:hAnsi="Arial" w:cs="Arial"/>
          <w:vertAlign w:val="superscript"/>
          <w:lang w:val="es-ES" w:eastAsia="es-ES" w:bidi="es-ES"/>
        </w:rPr>
        <w:footnoteReference w:id="32"/>
      </w:r>
      <w:r w:rsidRPr="00CB7E8C">
        <w:rPr>
          <w:rFonts w:ascii="Arial" w:eastAsia="Arial" w:hAnsi="Arial" w:cs="Arial"/>
          <w:lang w:val="es-ES" w:eastAsia="es-ES" w:bidi="es-ES"/>
        </w:rPr>
        <w:t>, estableciendo una excepción a la prohibición, según la cual a partir de la publicación de dicha ley y durante la vigencia fiscal 2022, la Nación podrá celebrar convenios interadministrativos con las entidades territoriales para ejecutar programas y proyectos correspondientes al Presupuesto General de la Nación</w:t>
      </w:r>
      <w:r w:rsidRPr="00CB7E8C">
        <w:rPr>
          <w:rFonts w:ascii="Arial" w:eastAsia="Arial" w:hAnsi="Arial" w:cs="Arial"/>
          <w:vertAlign w:val="superscript"/>
          <w:lang w:val="es-ES" w:eastAsia="es-ES" w:bidi="es-ES"/>
        </w:rPr>
        <w:footnoteReference w:id="33"/>
      </w:r>
      <w:r w:rsidRPr="00CB7E8C">
        <w:rPr>
          <w:rFonts w:ascii="Arial" w:eastAsia="Arial" w:hAnsi="Arial" w:cs="Arial"/>
          <w:lang w:val="es-ES" w:eastAsia="es-ES" w:bidi="es-ES"/>
        </w:rPr>
        <w:t xml:space="preserve">. </w:t>
      </w:r>
      <w:r w:rsidRPr="00CB7E8C">
        <w:rPr>
          <w:rFonts w:ascii="Arial" w:eastAsia="Times New Roman" w:hAnsi="Arial" w:cs="Arial"/>
          <w:bCs/>
          <w:lang w:val="es-MX" w:eastAsia="es-CO"/>
        </w:rPr>
        <w:t xml:space="preserve">En efecto, la modificación transitoria del artículo 124 de la Ley 2159 de 2021, </w:t>
      </w:r>
      <w:r w:rsidRPr="00CB7E8C">
        <w:rPr>
          <w:rFonts w:ascii="Arial" w:eastAsia="Times New Roman" w:hAnsi="Arial" w:cs="Arial"/>
          <w:bCs/>
          <w:lang w:eastAsia="es-CO"/>
        </w:rPr>
        <w:t xml:space="preserve">fijó ciertas condiciones temporales, subjetivas y materiales o teleológicas para la celebración de los convenios interadministrativos: i) que sean celebrados a partir de la publicación de la Ley del Presupuesto en el Diario Oficial y hasta el término de la vigencia fiscal 2022, </w:t>
      </w:r>
      <w:proofErr w:type="spellStart"/>
      <w:r w:rsidRPr="00CB7E8C">
        <w:rPr>
          <w:rFonts w:ascii="Arial" w:eastAsia="Times New Roman" w:hAnsi="Arial" w:cs="Arial"/>
          <w:bCs/>
          <w:lang w:eastAsia="es-CO"/>
        </w:rPr>
        <w:t>ii</w:t>
      </w:r>
      <w:proofErr w:type="spellEnd"/>
      <w:r w:rsidRPr="00CB7E8C">
        <w:rPr>
          <w:rFonts w:ascii="Arial" w:eastAsia="Times New Roman" w:hAnsi="Arial" w:cs="Arial"/>
          <w:bCs/>
          <w:lang w:eastAsia="es-CO"/>
        </w:rPr>
        <w:t xml:space="preserve">) que sean celebrados entre la Nación, por una parte, y las entidades territoriales, por otra, y </w:t>
      </w:r>
      <w:proofErr w:type="spellStart"/>
      <w:r w:rsidRPr="00CB7E8C">
        <w:rPr>
          <w:rFonts w:ascii="Arial" w:eastAsia="Times New Roman" w:hAnsi="Arial" w:cs="Arial"/>
          <w:bCs/>
          <w:lang w:eastAsia="es-CO"/>
        </w:rPr>
        <w:t>iii</w:t>
      </w:r>
      <w:proofErr w:type="spellEnd"/>
      <w:r w:rsidRPr="00CB7E8C">
        <w:rPr>
          <w:rFonts w:ascii="Arial" w:eastAsia="Times New Roman" w:hAnsi="Arial" w:cs="Arial"/>
          <w:bCs/>
          <w:lang w:eastAsia="es-CO"/>
        </w:rPr>
        <w:t>) que los convenios sean celebrados con el fin de ejecutar programas o proyectos que correspondan al Presupuesto General de la Nación</w:t>
      </w:r>
      <w:r w:rsidRPr="00CB7E8C">
        <w:rPr>
          <w:rFonts w:ascii="Arial" w:eastAsia="Times New Roman" w:hAnsi="Arial" w:cs="Arial"/>
          <w:bCs/>
          <w:lang w:val="es-MX" w:eastAsia="es-CO"/>
        </w:rPr>
        <w:t>. De acuerdo con esto, a los convenios interadministrativos no relacionados con la ejecución de recursos del Presupuesto General Nacional, les aplicaría la restricción del artículo 38, no estando cobijados por la habilitación transitoria dispuesta en el artículo 124 de la Ley 2159 de 2021, al no cumplirse los mencionados requisitos.</w:t>
      </w:r>
      <w:r w:rsidRPr="00CB7E8C">
        <w:rPr>
          <w:rFonts w:ascii="Arial" w:eastAsia="Times New Roman" w:hAnsi="Arial" w:cs="Arial"/>
          <w:bCs/>
          <w:lang w:eastAsia="es-CO"/>
        </w:rPr>
        <w:t> </w:t>
      </w:r>
    </w:p>
    <w:p w14:paraId="09AA9C76" w14:textId="77777777" w:rsidR="00E1537C" w:rsidRPr="00CB7E8C" w:rsidRDefault="00E1537C" w:rsidP="00E1537C">
      <w:pPr>
        <w:widowControl w:val="0"/>
        <w:autoSpaceDE w:val="0"/>
        <w:autoSpaceDN w:val="0"/>
        <w:spacing w:after="0" w:line="276" w:lineRule="auto"/>
        <w:ind w:firstLine="709"/>
        <w:contextualSpacing/>
        <w:jc w:val="both"/>
        <w:rPr>
          <w:rFonts w:ascii="Arial" w:eastAsia="Calibri" w:hAnsi="Arial" w:cs="Arial"/>
          <w:lang w:eastAsia="es-ES" w:bidi="es-ES"/>
        </w:rPr>
      </w:pPr>
      <w:bookmarkStart w:id="32" w:name="_Hlk77154098"/>
      <w:bookmarkEnd w:id="31"/>
      <w:r w:rsidRPr="00CB7E8C">
        <w:rPr>
          <w:rFonts w:ascii="Arial" w:eastAsia="Times New Roman" w:hAnsi="Arial" w:cs="Arial"/>
          <w:bCs/>
          <w:lang w:val="es-ES" w:eastAsia="es-CO" w:bidi="es-ES"/>
        </w:rPr>
        <w:t>En todo caso</w:t>
      </w:r>
      <w:r w:rsidRPr="00CB7E8C">
        <w:rPr>
          <w:rFonts w:ascii="Arial" w:eastAsia="Arial" w:hAnsi="Arial" w:cs="Arial"/>
          <w:lang w:val="es-ES" w:eastAsia="es-ES" w:bidi="es-ES"/>
        </w:rPr>
        <w:t xml:space="preserve">, es importante resaltar que la Sala de Consulta y Servicio Civil del Consejo de Estado se ha pronunciado en el sentido de que </w:t>
      </w:r>
      <w:bookmarkStart w:id="33" w:name="_Hlk78820889"/>
      <w:r w:rsidRPr="00CB7E8C">
        <w:rPr>
          <w:rFonts w:ascii="Arial" w:eastAsia="Arial" w:hAnsi="Arial" w:cs="Arial"/>
          <w:lang w:val="es-ES" w:eastAsia="es-ES" w:bidi="es-ES"/>
        </w:rPr>
        <w:t xml:space="preserve">no se les aplica la restricción </w:t>
      </w:r>
      <w:r w:rsidRPr="00CB7E8C">
        <w:rPr>
          <w:rFonts w:ascii="Arial" w:eastAsia="Arial" w:hAnsi="Arial" w:cs="Arial"/>
          <w:lang w:val="es-ES" w:eastAsia="es-ES" w:bidi="es-ES"/>
        </w:rPr>
        <w:lastRenderedPageBreak/>
        <w:t>contemplada en el artículo 38 de la Ley de Garantías a los convenios o contratos interadministrativos que deben celebrarse en virtud de un fallo judicial. Esto en la medida que la obligatoriedad y la fuerza vinculante de las sentencias ejecutoriadas proferidas por los funcionarios investidos del poder judicial emanan de la autonomía conferida a estos por la Constitución y del derecho que tienen los ciudadanos al acceso y oportuna administración de justicia</w:t>
      </w:r>
      <w:bookmarkEnd w:id="33"/>
      <w:r w:rsidRPr="00CB7E8C">
        <w:rPr>
          <w:rFonts w:ascii="Arial" w:eastAsia="Arial" w:hAnsi="Arial" w:cs="Arial"/>
          <w:vertAlign w:val="superscript"/>
          <w:lang w:val="es-ES" w:eastAsia="es-ES" w:bidi="es-ES"/>
        </w:rPr>
        <w:footnoteReference w:id="34"/>
      </w:r>
      <w:r w:rsidRPr="00CB7E8C">
        <w:rPr>
          <w:rFonts w:ascii="Arial" w:eastAsia="Calibri" w:hAnsi="Arial" w:cs="Arial"/>
          <w:lang w:eastAsia="es-ES" w:bidi="es-ES"/>
        </w:rPr>
        <w:t>.</w:t>
      </w:r>
      <w:bookmarkEnd w:id="32"/>
    </w:p>
    <w:p w14:paraId="57D38D91" w14:textId="20625003" w:rsidR="00F8124A" w:rsidRPr="00F8124A" w:rsidRDefault="00F8124A" w:rsidP="00F8124A">
      <w:pPr>
        <w:spacing w:after="0" w:line="276" w:lineRule="auto"/>
        <w:contextualSpacing/>
        <w:jc w:val="both"/>
        <w:rPr>
          <w:rFonts w:ascii="Arial" w:hAnsi="Arial" w:cs="Arial"/>
          <w:b/>
          <w:bCs/>
          <w:lang w:val="es-MX"/>
        </w:rPr>
      </w:pPr>
      <w:r w:rsidRPr="00F8124A">
        <w:rPr>
          <w:rFonts w:ascii="Arial" w:hAnsi="Arial" w:cs="Arial"/>
          <w:b/>
          <w:bCs/>
          <w:lang w:val="es-MX"/>
        </w:rPr>
        <w:t>2.</w:t>
      </w:r>
      <w:r w:rsidR="002D4B8B" w:rsidRPr="00CB7E8C">
        <w:rPr>
          <w:rFonts w:ascii="Arial" w:hAnsi="Arial" w:cs="Arial"/>
          <w:b/>
          <w:bCs/>
          <w:lang w:val="es-MX"/>
        </w:rPr>
        <w:t>4</w:t>
      </w:r>
      <w:r w:rsidRPr="00F8124A">
        <w:rPr>
          <w:rFonts w:ascii="Arial" w:hAnsi="Arial" w:cs="Arial"/>
          <w:b/>
          <w:bCs/>
          <w:lang w:val="es-MX"/>
        </w:rPr>
        <w:t>. Contratación con ESAL y restricciones de la Ley de Garantías</w:t>
      </w:r>
    </w:p>
    <w:p w14:paraId="69EAD7DA" w14:textId="77777777" w:rsidR="00F8124A" w:rsidRPr="00F8124A" w:rsidRDefault="00F8124A" w:rsidP="00F8124A">
      <w:pPr>
        <w:spacing w:after="0" w:line="276" w:lineRule="auto"/>
        <w:contextualSpacing/>
        <w:jc w:val="both"/>
        <w:rPr>
          <w:rFonts w:ascii="Arial" w:hAnsi="Arial" w:cs="Arial"/>
          <w:lang w:val="es-MX"/>
        </w:rPr>
      </w:pPr>
    </w:p>
    <w:p w14:paraId="111E9A6C" w14:textId="77777777" w:rsidR="00415835" w:rsidRPr="00CB7E8C" w:rsidRDefault="00415835" w:rsidP="00415835">
      <w:pPr>
        <w:spacing w:after="120" w:line="276" w:lineRule="auto"/>
        <w:jc w:val="both"/>
        <w:rPr>
          <w:rFonts w:ascii="Arial" w:hAnsi="Arial" w:cs="Arial"/>
          <w:color w:val="000000" w:themeColor="text1"/>
          <w:lang w:val="es-MX"/>
        </w:rPr>
      </w:pPr>
      <w:r w:rsidRPr="00CB7E8C">
        <w:rPr>
          <w:rFonts w:ascii="Arial" w:hAnsi="Arial" w:cs="Arial"/>
          <w:color w:val="000000" w:themeColor="text1"/>
          <w:lang w:val="es-MX"/>
        </w:rPr>
        <w:t>El artículo 355 de la Constitución Política prohíbe a las ramas y órganos del poder público decretar auxilios o donaciones en favor de personas naturales o jurídicas. Igualmente, establece que las entidades del orden nacional, departamental, distrital y municipal podrán, con sus propios recursos, contratar con entidades privadas sin ánimo de lucro –ESAL– con el fin de impulsar programas y actividades de interés público acordes con el plan nacional y los planes seccionales de desarrollo</w:t>
      </w:r>
      <w:r w:rsidRPr="00CB7E8C">
        <w:rPr>
          <w:rFonts w:ascii="Arial" w:hAnsi="Arial" w:cs="Arial"/>
          <w:color w:val="000000" w:themeColor="text1"/>
          <w:vertAlign w:val="superscript"/>
          <w:lang w:val="es-MX"/>
        </w:rPr>
        <w:footnoteReference w:id="35"/>
      </w:r>
      <w:r w:rsidRPr="00CB7E8C">
        <w:rPr>
          <w:rFonts w:ascii="Arial" w:hAnsi="Arial" w:cs="Arial"/>
          <w:color w:val="000000" w:themeColor="text1"/>
          <w:lang w:val="es-MX"/>
        </w:rPr>
        <w:t xml:space="preserve">. </w:t>
      </w:r>
      <w:r w:rsidRPr="00CB7E8C">
        <w:rPr>
          <w:rFonts w:ascii="Arial" w:eastAsia="Calibri" w:hAnsi="Arial" w:cs="Arial"/>
          <w:color w:val="000000" w:themeColor="text1"/>
          <w:lang w:val="es-MX"/>
        </w:rPr>
        <w:t>Por otra parte, la Ley 489 de 1998, en el artículo 96, permite a las entidades públicas en general, es decir, cualquiera sea su naturaleza y orden administrativo, asociarse con personas jurídicas particulares, mediante la celebración de convenios de asociación o la creación de personas jurídicas</w:t>
      </w:r>
      <w:r w:rsidRPr="00CB7E8C">
        <w:rPr>
          <w:rFonts w:ascii="Arial" w:eastAsia="Calibri" w:hAnsi="Arial" w:cs="Arial"/>
          <w:color w:val="000000" w:themeColor="text1"/>
          <w:vertAlign w:val="superscript"/>
          <w:lang w:val="es-MX"/>
        </w:rPr>
        <w:footnoteReference w:id="36"/>
      </w:r>
      <w:r w:rsidRPr="00CB7E8C">
        <w:rPr>
          <w:rFonts w:ascii="Arial" w:eastAsia="Calibri" w:hAnsi="Arial" w:cs="Arial"/>
          <w:color w:val="000000" w:themeColor="text1"/>
          <w:lang w:val="es-MX"/>
        </w:rPr>
        <w:t>. Ambas figuras tienen como fin desarrollar conjuntamente actividades relacionadas con los cometidos y funciones legales asignadas a la entidad.</w:t>
      </w:r>
    </w:p>
    <w:p w14:paraId="33419B3C" w14:textId="690C106B" w:rsidR="00F8124A" w:rsidRPr="00F8124A" w:rsidRDefault="00F8124A" w:rsidP="002D4B8B">
      <w:pPr>
        <w:spacing w:before="120" w:after="120" w:line="276" w:lineRule="auto"/>
        <w:ind w:firstLine="708"/>
        <w:jc w:val="both"/>
        <w:rPr>
          <w:rFonts w:ascii="Arial" w:eastAsia="Calibri" w:hAnsi="Arial" w:cs="Arial"/>
          <w:lang w:val="es-MX"/>
        </w:rPr>
      </w:pPr>
      <w:bookmarkStart w:id="34" w:name="_Hlk101791857"/>
      <w:bookmarkStart w:id="35" w:name="_Hlk100594358"/>
      <w:r w:rsidRPr="00F8124A">
        <w:rPr>
          <w:rFonts w:ascii="Arial" w:hAnsi="Arial" w:cs="Arial"/>
          <w:lang w:val="es-MX"/>
        </w:rPr>
        <w:t xml:space="preserve">El Gobierno Nacional, en desarrollo del artículo 355 de la Constitución, </w:t>
      </w:r>
      <w:bookmarkStart w:id="36" w:name="_Hlk100594336"/>
      <w:r w:rsidRPr="00F8124A">
        <w:rPr>
          <w:rFonts w:ascii="Arial" w:hAnsi="Arial" w:cs="Arial"/>
          <w:lang w:val="es-MX"/>
        </w:rPr>
        <w:t>expidió el Decreto 092 de 2017, q</w:t>
      </w:r>
      <w:r w:rsidRPr="00F8124A">
        <w:rPr>
          <w:rFonts w:ascii="Arial" w:eastAsia="Calibri" w:hAnsi="Arial" w:cs="Arial"/>
          <w:lang w:val="es-MX"/>
        </w:rPr>
        <w:t xml:space="preserve">ue dispone las reglas para las contrataciones que realicen las entidades estatales con las ESAL. El Decreto regula dos [2] eventos: i) los contratos de colaboración o de interés público con el fin de impulsar programas y actividades de interés </w:t>
      </w:r>
      <w:r w:rsidRPr="00F8124A">
        <w:rPr>
          <w:rFonts w:ascii="Arial" w:eastAsia="Calibri" w:hAnsi="Arial" w:cs="Arial"/>
          <w:lang w:val="es-MX"/>
        </w:rPr>
        <w:lastRenderedPageBreak/>
        <w:t xml:space="preserve">público de acuerdo con el plan nacional o los planes seccionales de desarrollo, en los términos del artículo 355 de la Constitución Política, y </w:t>
      </w:r>
      <w:proofErr w:type="spellStart"/>
      <w:r w:rsidRPr="00F8124A">
        <w:rPr>
          <w:rFonts w:ascii="Arial" w:eastAsia="Calibri" w:hAnsi="Arial" w:cs="Arial"/>
          <w:lang w:val="es-MX"/>
        </w:rPr>
        <w:t>ii</w:t>
      </w:r>
      <w:proofErr w:type="spellEnd"/>
      <w:r w:rsidRPr="00F8124A">
        <w:rPr>
          <w:rFonts w:ascii="Arial" w:eastAsia="Calibri" w:hAnsi="Arial" w:cs="Arial"/>
          <w:lang w:val="es-MX"/>
        </w:rPr>
        <w:t xml:space="preserve">) los convenios de asociación, para el desarrollo conjunto de actividades relacionadas con las funciones de las entidades estatales, en desarrollo del artículo 96 de la Ley 489 de 1998. Los primeros están regulados en el artículo 2 del Decreto 092 de 2017, mientras que los segundos están previstos en el artículo 5 </w:t>
      </w:r>
      <w:r w:rsidRPr="00F8124A">
        <w:rPr>
          <w:rFonts w:ascii="Arial" w:eastAsia="Calibri" w:hAnsi="Arial" w:cs="Arial"/>
          <w:i/>
          <w:iCs/>
          <w:lang w:val="es-MX"/>
        </w:rPr>
        <w:t>ibidem</w:t>
      </w:r>
      <w:r w:rsidRPr="00F8124A">
        <w:rPr>
          <w:rFonts w:ascii="Arial" w:eastAsia="Calibri" w:hAnsi="Arial" w:cs="Arial"/>
          <w:lang w:val="es-MX"/>
        </w:rPr>
        <w:t xml:space="preserve">. Así, es posible diferenciar, los </w:t>
      </w:r>
      <w:r w:rsidRPr="00F8124A">
        <w:rPr>
          <w:rFonts w:ascii="Arial" w:eastAsia="Calibri" w:hAnsi="Arial" w:cs="Arial"/>
          <w:i/>
          <w:iCs/>
          <w:lang w:val="es-MX"/>
        </w:rPr>
        <w:t>convenios de asociación</w:t>
      </w:r>
      <w:r w:rsidRPr="00F8124A">
        <w:rPr>
          <w:rFonts w:ascii="Arial" w:eastAsia="Calibri" w:hAnsi="Arial" w:cs="Arial"/>
          <w:lang w:val="es-MX"/>
        </w:rPr>
        <w:t xml:space="preserve">, regulados en el artículo 5, de los </w:t>
      </w:r>
      <w:r w:rsidRPr="00F8124A">
        <w:rPr>
          <w:rFonts w:ascii="Arial" w:eastAsia="Calibri" w:hAnsi="Arial" w:cs="Arial"/>
          <w:i/>
          <w:iCs/>
          <w:lang w:val="es-MX"/>
        </w:rPr>
        <w:t>contratos de colaboración</w:t>
      </w:r>
      <w:r w:rsidRPr="00F8124A">
        <w:rPr>
          <w:rFonts w:ascii="Arial" w:eastAsia="Calibri" w:hAnsi="Arial" w:cs="Arial"/>
          <w:lang w:val="es-MX"/>
        </w:rPr>
        <w:t>, establecidos en el artículo 2 del Decreto 092 de 2017</w:t>
      </w:r>
      <w:bookmarkEnd w:id="34"/>
      <w:r w:rsidRPr="00F8124A">
        <w:rPr>
          <w:rFonts w:ascii="Arial" w:eastAsia="Calibri" w:hAnsi="Arial" w:cs="Arial"/>
          <w:vertAlign w:val="superscript"/>
          <w:lang w:val="es-MX"/>
        </w:rPr>
        <w:footnoteReference w:id="37"/>
      </w:r>
      <w:r w:rsidRPr="00F8124A">
        <w:rPr>
          <w:rFonts w:ascii="Arial" w:eastAsia="Calibri" w:hAnsi="Arial" w:cs="Arial"/>
          <w:lang w:val="es-MX"/>
        </w:rPr>
        <w:t>.</w:t>
      </w:r>
    </w:p>
    <w:bookmarkEnd w:id="35"/>
    <w:bookmarkEnd w:id="36"/>
    <w:p w14:paraId="76ED2C41" w14:textId="77777777" w:rsidR="00F8124A" w:rsidRPr="00F8124A" w:rsidRDefault="00F8124A" w:rsidP="002D4B8B">
      <w:pPr>
        <w:spacing w:before="120" w:after="120" w:line="276" w:lineRule="auto"/>
        <w:ind w:firstLine="708"/>
        <w:jc w:val="both"/>
        <w:rPr>
          <w:rFonts w:ascii="Arial" w:eastAsia="Calibri" w:hAnsi="Arial" w:cs="Arial"/>
          <w:lang w:val="es-MX"/>
        </w:rPr>
      </w:pPr>
      <w:r w:rsidRPr="00F8124A">
        <w:rPr>
          <w:rFonts w:ascii="Arial" w:eastAsia="Calibri" w:hAnsi="Arial" w:cs="Arial"/>
          <w:lang w:val="es-MX"/>
        </w:rPr>
        <w:t xml:space="preserve">De conformidad con el artículo 96 de la Ley 489 de 1996, los </w:t>
      </w:r>
      <w:r w:rsidRPr="00F8124A">
        <w:rPr>
          <w:rFonts w:ascii="Arial" w:eastAsia="Calibri" w:hAnsi="Arial" w:cs="Arial"/>
          <w:i/>
          <w:lang w:val="es-MX"/>
        </w:rPr>
        <w:t>convenios de asociación</w:t>
      </w:r>
      <w:r w:rsidRPr="00F8124A">
        <w:rPr>
          <w:rFonts w:ascii="Arial" w:eastAsia="Calibri" w:hAnsi="Arial" w:cs="Arial"/>
          <w:lang w:val="es-MX"/>
        </w:rPr>
        <w:t xml:space="preserve"> pueden ser celebrados por cualquier entidad estatal «cualquiera sea su naturaleza y orden administrativo», mientras que el artículo 355 Superior establece que los </w:t>
      </w:r>
      <w:r w:rsidRPr="00F8124A">
        <w:rPr>
          <w:rFonts w:ascii="Arial" w:eastAsia="Calibri" w:hAnsi="Arial" w:cs="Arial"/>
          <w:i/>
          <w:lang w:val="es-MX"/>
        </w:rPr>
        <w:t>contratos de colaboración</w:t>
      </w:r>
      <w:r w:rsidRPr="00F8124A">
        <w:rPr>
          <w:rFonts w:ascii="Arial" w:eastAsia="Calibri" w:hAnsi="Arial" w:cs="Arial"/>
          <w:lang w:val="es-MX"/>
        </w:rPr>
        <w:t xml:space="preserve"> podrán ser celebrados por «El Gobierno, en los niveles nacional, departamental, distrital y municipal». Respecto de lo que se debe entender por «Gobierno» en esta norma, esta Agencia ha determinado que «la interpretación del artículo 355 de la Carta Política se debe hacer en armonía con su finalidad, esto es, prohibir los auxilios y permitir la ejecución de actividades de interés público acordes con los planes de desarrollo, a través de la celebración de contratos con ESAL. Esta interpretación </w:t>
      </w:r>
      <w:proofErr w:type="spellStart"/>
      <w:r w:rsidRPr="00F8124A">
        <w:rPr>
          <w:rFonts w:ascii="Arial" w:eastAsia="Calibri" w:hAnsi="Arial" w:cs="Arial"/>
          <w:lang w:val="es-MX"/>
        </w:rPr>
        <w:t>finalística</w:t>
      </w:r>
      <w:proofErr w:type="spellEnd"/>
      <w:r w:rsidRPr="00F8124A">
        <w:rPr>
          <w:rFonts w:ascii="Arial" w:eastAsia="Calibri" w:hAnsi="Arial" w:cs="Arial"/>
          <w:lang w:val="es-MX"/>
        </w:rPr>
        <w:t xml:space="preserve"> supone una lectura de la norma en sentido amplio, es decir, de tal forma que se entienda que todas las entidades que forman parte de la Rama Ejecutiva pueden celebrar contratos con ESAL para la ejecución de actividades de interés público»</w:t>
      </w:r>
      <w:r w:rsidRPr="00F8124A">
        <w:rPr>
          <w:rFonts w:ascii="Arial" w:eastAsia="Calibri" w:hAnsi="Arial" w:cs="Arial"/>
          <w:vertAlign w:val="superscript"/>
          <w:lang w:val="es-MX"/>
        </w:rPr>
        <w:footnoteReference w:id="38"/>
      </w:r>
      <w:r w:rsidRPr="00F8124A">
        <w:rPr>
          <w:rFonts w:ascii="Arial" w:eastAsia="Calibri" w:hAnsi="Arial" w:cs="Arial"/>
          <w:lang w:val="es-MX"/>
        </w:rPr>
        <w:t xml:space="preserve">.   </w:t>
      </w:r>
    </w:p>
    <w:p w14:paraId="03C7A331" w14:textId="77777777" w:rsidR="00F8124A" w:rsidRPr="00F8124A" w:rsidRDefault="00F8124A" w:rsidP="002D4B8B">
      <w:pPr>
        <w:spacing w:before="120" w:after="120" w:line="276" w:lineRule="auto"/>
        <w:ind w:firstLine="708"/>
        <w:jc w:val="both"/>
        <w:rPr>
          <w:rFonts w:ascii="Arial" w:eastAsia="Calibri" w:hAnsi="Arial" w:cs="Arial"/>
          <w:lang w:val="es-MX"/>
        </w:rPr>
      </w:pPr>
      <w:r w:rsidRPr="00F8124A">
        <w:rPr>
          <w:rFonts w:ascii="Arial" w:eastAsia="Calibri" w:hAnsi="Arial" w:cs="Arial"/>
          <w:lang w:val="es-MX"/>
        </w:rPr>
        <w:t xml:space="preserve">Los </w:t>
      </w:r>
      <w:r w:rsidRPr="00F8124A">
        <w:rPr>
          <w:rFonts w:ascii="Arial" w:eastAsia="Calibri" w:hAnsi="Arial" w:cs="Arial"/>
          <w:i/>
          <w:iCs/>
          <w:lang w:val="es-MX"/>
        </w:rPr>
        <w:t xml:space="preserve">contratos de colaboración </w:t>
      </w:r>
      <w:r w:rsidRPr="00F8124A">
        <w:rPr>
          <w:rFonts w:ascii="Arial" w:eastAsia="Calibri" w:hAnsi="Arial" w:cs="Arial"/>
          <w:lang w:val="es-MX"/>
        </w:rPr>
        <w:t xml:space="preserve">tienen como objeto promover acciones de fomento social en beneficio de los sectores más desprotegidos de la población, previstas en los planes de desarrollo, motivo por el cual no dan lugar a una contraprestación directa a favor de la entidad y tampoco a una relación conmutativa entre esta y la ESAL. Esto toda vez que el beneficio real y directo lo reciben, en últimas, los terceros beneficiarios de este tipo de acciones de fomento. Para celebrar estos contratos, según el artículo 4 del Decreto 092 de 2017, la entidad debe adelantar –por regla general– un proceso competitivo para seleccionar la entidad contratista sin ánimo de lucro. </w:t>
      </w:r>
    </w:p>
    <w:p w14:paraId="1CCC3FBB" w14:textId="77777777" w:rsidR="00F8124A" w:rsidRPr="00F8124A" w:rsidRDefault="00F8124A" w:rsidP="002D4B8B">
      <w:pPr>
        <w:spacing w:before="120" w:after="120" w:line="276" w:lineRule="auto"/>
        <w:ind w:firstLine="708"/>
        <w:jc w:val="both"/>
        <w:rPr>
          <w:rFonts w:ascii="Arial" w:eastAsia="Calibri" w:hAnsi="Arial" w:cs="Arial"/>
          <w:lang w:val="es-MX"/>
        </w:rPr>
      </w:pPr>
      <w:r w:rsidRPr="00F8124A">
        <w:rPr>
          <w:rFonts w:ascii="Arial" w:eastAsia="Calibri" w:hAnsi="Arial" w:cs="Arial"/>
          <w:lang w:val="es-MX"/>
        </w:rPr>
        <w:t xml:space="preserve">En particular, debe verificar el cumplimiento de los siguientes requisitos. Por un lado, que el objeto del contrato corresponda a programas y actividades de interés público acordes </w:t>
      </w:r>
      <w:r w:rsidRPr="00F8124A">
        <w:rPr>
          <w:rFonts w:ascii="Arial" w:eastAsia="Calibri" w:hAnsi="Arial" w:cs="Arial"/>
          <w:lang w:val="es-MX"/>
        </w:rPr>
        <w:lastRenderedPageBreak/>
        <w:t>con el Plan Nacional o Seccional de Desarrollo. Por otra parte, que no exista una contraprestación directa a favor de la entidad estatal, es decir, que el programa o actividad a desarrollar esté dirigido al beneficio de la población en general. Lo anterior teniendo en cuenta que cuando se adquieren bienes o servicios o se ejecutan obras en una relación conmutativa, las normas aplicables son las del Estatuto General de Contratación de la Administración Pública –EGCAP–. Por ello, solo cuando se reúnan estas condiciones, y se cuente con la autorización previa y escrita del representante legal de la entidad estatal, es procedente celebrar contratos de colaboración.</w:t>
      </w:r>
    </w:p>
    <w:p w14:paraId="62B5B3DC" w14:textId="77777777" w:rsidR="00F8124A" w:rsidRPr="00F8124A" w:rsidRDefault="00F8124A" w:rsidP="002D4B8B">
      <w:pPr>
        <w:spacing w:before="120" w:after="120" w:line="276" w:lineRule="auto"/>
        <w:ind w:firstLine="708"/>
        <w:jc w:val="both"/>
        <w:rPr>
          <w:rFonts w:ascii="Arial" w:hAnsi="Arial" w:cs="Arial"/>
          <w:lang w:val="es-MX"/>
        </w:rPr>
      </w:pPr>
      <w:r w:rsidRPr="00F8124A">
        <w:rPr>
          <w:rFonts w:ascii="Arial" w:hAnsi="Arial" w:cs="Arial"/>
          <w:lang w:val="es-MX"/>
        </w:rPr>
        <w:t xml:space="preserve">De otro lado, </w:t>
      </w:r>
      <w:bookmarkStart w:id="37" w:name="_Hlk90391817"/>
      <w:r w:rsidRPr="00F8124A">
        <w:rPr>
          <w:rFonts w:ascii="Arial" w:hAnsi="Arial" w:cs="Arial"/>
          <w:lang w:val="es-MX"/>
        </w:rPr>
        <w:t xml:space="preserve">los </w:t>
      </w:r>
      <w:r w:rsidRPr="00F8124A">
        <w:rPr>
          <w:rFonts w:ascii="Arial" w:hAnsi="Arial" w:cs="Arial"/>
          <w:i/>
          <w:iCs/>
          <w:lang w:val="es-MX"/>
        </w:rPr>
        <w:t>convenios de asociación</w:t>
      </w:r>
      <w:r w:rsidRPr="00F8124A">
        <w:rPr>
          <w:rFonts w:ascii="Arial" w:hAnsi="Arial" w:cs="Arial"/>
          <w:lang w:val="es-MX"/>
        </w:rPr>
        <w:t xml:space="preserve"> «Tienen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w:t>
      </w:r>
      <w:r w:rsidRPr="00F8124A">
        <w:rPr>
          <w:rFonts w:ascii="Arial" w:hAnsi="Arial" w:cs="Arial"/>
          <w:vertAlign w:val="superscript"/>
          <w:lang w:val="es-MX"/>
        </w:rPr>
        <w:footnoteReference w:id="39"/>
      </w:r>
      <w:r w:rsidRPr="00F8124A">
        <w:rPr>
          <w:rFonts w:ascii="Arial" w:hAnsi="Arial" w:cs="Arial"/>
          <w:lang w:val="es-MX"/>
        </w:rPr>
        <w:t xml:space="preserve">. En estos convenios no existe contraprestación o pago, sino aportes, los cuales están dirigidos, exclusivamente, a lograr la ejecución del convenio y no a remunerar la actividad o las actuaciones del asociado. De todos modos, la entidad debe adelantar un proceso competitivo, salvo cuando la ESAL comprometa recursos en dinero para la ejecución de estas actividades, en una proporción no inferior al 30% del valor total del convenio. </w:t>
      </w:r>
      <w:bookmarkEnd w:id="37"/>
    </w:p>
    <w:p w14:paraId="6FC1F156" w14:textId="77777777" w:rsidR="00F8124A" w:rsidRPr="00F8124A" w:rsidRDefault="00F8124A" w:rsidP="002D4B8B">
      <w:pPr>
        <w:spacing w:before="120" w:after="120" w:line="276" w:lineRule="auto"/>
        <w:ind w:firstLine="709"/>
        <w:jc w:val="both"/>
        <w:rPr>
          <w:rFonts w:ascii="Arial" w:hAnsi="Arial" w:cs="Arial"/>
          <w:lang w:val="es-MX"/>
        </w:rPr>
      </w:pPr>
      <w:r w:rsidRPr="00F8124A">
        <w:rPr>
          <w:rFonts w:ascii="Arial" w:hAnsi="Arial" w:cs="Arial"/>
          <w:lang w:val="es-MX"/>
        </w:rPr>
        <w:t>No todas las actividades que las entidades estatales deben desarrollar para alcanzar sus objetivos misionales deben ejecutarse a través de la celebración de contratos de colaboración o convenios de asociación. Debe tenerse en cuenta que lo que determina la aplicación del Decreto 92 de 2017 no es únicamente el carácter de las ESAL sino el objeto del contrato o convenio que la entidad pretende adelantar. Por tanto, el hecho de que se trate de una entidad sin ánimo de lucro no implica que necesariamente deba celebrarse un contrato de colaboración o un convenio de asociación.</w:t>
      </w:r>
    </w:p>
    <w:p w14:paraId="7E545817" w14:textId="77777777" w:rsidR="00F8124A" w:rsidRPr="00F8124A" w:rsidRDefault="00F8124A" w:rsidP="002D4B8B">
      <w:pPr>
        <w:spacing w:before="120" w:after="120" w:line="276" w:lineRule="auto"/>
        <w:ind w:firstLine="708"/>
        <w:jc w:val="both"/>
        <w:rPr>
          <w:rFonts w:ascii="Arial" w:hAnsi="Arial" w:cs="Arial"/>
          <w:lang w:val="es-MX"/>
        </w:rPr>
      </w:pPr>
      <w:r w:rsidRPr="00F8124A">
        <w:rPr>
          <w:rFonts w:ascii="Arial" w:hAnsi="Arial" w:cs="Arial"/>
          <w:lang w:val="es-MX"/>
        </w:rPr>
        <w:t xml:space="preserve">De conformidad con el inciso segundo del artículo 96 de la Ley 489 de 1998, en estos convenios debe determinarse «con precisión su objeto, término, obligaciones de las partes, aportes, coordinación y todos aquellos aspectos que se consideren pertinentes». Dentro de estos elementos resalta la exigencia de aportes, que debe interpretarse en el sentido de que las ESAL deben realizar aportes a los convenios que suscriban. Dichos aportes pueden ser en dinero, en porcentajes inferiores o superiores al 30%, o en especie, los cuales deben servir al desarrollo de los objetivos comunes de la asociación. </w:t>
      </w:r>
    </w:p>
    <w:p w14:paraId="04C46145" w14:textId="77777777" w:rsidR="00F8124A" w:rsidRPr="00F8124A" w:rsidRDefault="00F8124A" w:rsidP="002D4B8B">
      <w:pPr>
        <w:spacing w:before="120" w:after="120" w:line="276" w:lineRule="auto"/>
        <w:ind w:firstLine="708"/>
        <w:jc w:val="both"/>
        <w:rPr>
          <w:rFonts w:ascii="Arial" w:hAnsi="Arial" w:cs="Arial"/>
          <w:lang w:val="es-MX"/>
        </w:rPr>
      </w:pPr>
      <w:r w:rsidRPr="00F8124A">
        <w:rPr>
          <w:rFonts w:ascii="Arial" w:hAnsi="Arial" w:cs="Arial"/>
          <w:lang w:val="es-MX"/>
        </w:rPr>
        <w:t xml:space="preserve">La normativa vigente no impide que varias entidades suscriban conjuntamente el convenio de asociación y tampoco que dos o más ESAL pueden hacerlo, a través de las </w:t>
      </w:r>
      <w:r w:rsidRPr="00F8124A">
        <w:rPr>
          <w:rFonts w:ascii="Arial" w:hAnsi="Arial" w:cs="Arial"/>
          <w:lang w:val="es-MX"/>
        </w:rPr>
        <w:lastRenderedPageBreak/>
        <w:t>figuras asociativas autorizadas por la ley, por ejemplo, la unión temporal o el consorcio</w:t>
      </w:r>
      <w:r w:rsidRPr="00F8124A">
        <w:rPr>
          <w:rFonts w:ascii="Arial" w:hAnsi="Arial" w:cs="Arial"/>
          <w:vertAlign w:val="superscript"/>
          <w:lang w:val="es-MX"/>
        </w:rPr>
        <w:footnoteReference w:id="40"/>
      </w:r>
      <w:r w:rsidRPr="00F8124A">
        <w:rPr>
          <w:rFonts w:ascii="Arial" w:hAnsi="Arial" w:cs="Arial"/>
          <w:lang w:val="es-MX"/>
        </w:rPr>
        <w:t xml:space="preserve">. Sin embargo, como el artículo 96 de la Ley 489 de 1998 determina que el convenio busca el desarrollo conjunto de actividades en relación con los cometidos y funciones que la ley les asigna a las entidades estatales, lo cierto es que las funciones legales de las entidades estatales que suscriben conjuntamente el convenio deben coincidir. Igualmente, atendiendo a que los convenios de asociación «no estarán sujetos a competencia cuando la entidad sin ánimo de lucro comprometa recursos en dinero para la ejecución de esas actividades en una proporción no inferior al 30% del valor total del convenio», las entidades deben asegurarse de que su contratista, es decir, una o varias ESAL, aporten al menos el treinta por ciento del valor del convenio para celebrarlo directamente, ya que de lo contrario deberá celebrarse un proceso competitivo. </w:t>
      </w:r>
    </w:p>
    <w:p w14:paraId="7CD451BB" w14:textId="77777777" w:rsidR="00F8124A" w:rsidRPr="00F8124A" w:rsidRDefault="00F8124A" w:rsidP="002D4B8B">
      <w:pPr>
        <w:spacing w:before="120" w:after="120" w:line="276" w:lineRule="auto"/>
        <w:ind w:firstLine="708"/>
        <w:jc w:val="both"/>
        <w:rPr>
          <w:rFonts w:ascii="Arial" w:hAnsi="Arial" w:cs="Arial"/>
          <w:lang w:val="es-MX"/>
        </w:rPr>
      </w:pPr>
      <w:r w:rsidRPr="00F8124A">
        <w:rPr>
          <w:rFonts w:ascii="Arial" w:hAnsi="Arial" w:cs="Arial"/>
          <w:lang w:val="es-MX"/>
        </w:rPr>
        <w:t>Además, en atención al inciso 2 del artículo 5 del Decreto 092 de 2017, deben «asegurarse que no haya otras ESAL que ofrezcan su compromiso de recursos en dinero en una proporción no inferior al 30% del valor total del convenio. En caso de que la entidad encuentre que más de una ESAL le ofrece al menos el 30% de recursos en dinero para el convenio de asociación, debe seleccionar objetivamente con cual asociarse»</w:t>
      </w:r>
      <w:r w:rsidRPr="00F8124A">
        <w:rPr>
          <w:rFonts w:ascii="Arial" w:hAnsi="Arial" w:cs="Arial"/>
          <w:vertAlign w:val="superscript"/>
          <w:lang w:val="es-MX"/>
        </w:rPr>
        <w:footnoteReference w:id="41"/>
      </w:r>
      <w:r w:rsidRPr="00F8124A">
        <w:rPr>
          <w:rFonts w:ascii="Arial" w:hAnsi="Arial" w:cs="Arial"/>
          <w:lang w:val="es-MX"/>
        </w:rPr>
        <w:t>.</w:t>
      </w:r>
    </w:p>
    <w:p w14:paraId="78505F94" w14:textId="77777777" w:rsidR="00F8124A" w:rsidRPr="00F8124A" w:rsidRDefault="00F8124A" w:rsidP="002D4B8B">
      <w:pPr>
        <w:spacing w:before="120" w:after="120" w:line="276" w:lineRule="auto"/>
        <w:ind w:firstLine="708"/>
        <w:jc w:val="both"/>
        <w:rPr>
          <w:rFonts w:ascii="Arial" w:hAnsi="Arial" w:cs="Arial"/>
          <w:lang w:val="es-MX"/>
        </w:rPr>
      </w:pPr>
      <w:r w:rsidRPr="00F8124A">
        <w:rPr>
          <w:rFonts w:ascii="Arial" w:hAnsi="Arial" w:cs="Arial"/>
          <w:lang w:val="es-MX"/>
        </w:rPr>
        <w:t xml:space="preserve">La noción «seleccionar de forma objetiva», contenida en la disposición </w:t>
      </w:r>
      <w:r w:rsidRPr="00F8124A">
        <w:rPr>
          <w:rFonts w:ascii="Arial" w:hAnsi="Arial" w:cs="Arial"/>
          <w:i/>
          <w:iCs/>
          <w:lang w:val="es-MX"/>
        </w:rPr>
        <w:t xml:space="preserve">sub examine </w:t>
      </w:r>
      <w:r w:rsidRPr="00F8124A">
        <w:rPr>
          <w:rFonts w:ascii="Arial" w:hAnsi="Arial" w:cs="Arial"/>
          <w:lang w:val="es-MX"/>
        </w:rPr>
        <w:t>no puede ser entendida como una remisión a las Leyes 80 de 1993 y 1150 de 2007. A lo que se refiere la norma es a que la entidad estatal debe diseñar herramientas que permitan una comparación objetiva de las entidades sin ánimo de lucro para seleccionar objetivamente a aquella que tenga las mejores condiciones para alcanzar el resultado esperado con el proyecto de cooperación, por lo que los criterios que permitan una selección objetiva deben definirse en términos de la obtención de los objetivos del convenio de asociación. Sin perjuicio de lo anterior, la entidad puede decidir acudir a los procesos de selección de contratistas que establece el EGCAP o, incluso, al trámite que regula el inciso 2 del artículo 2 del Decreto 092 de 2017.</w:t>
      </w:r>
    </w:p>
    <w:p w14:paraId="3E6F994B" w14:textId="77777777" w:rsidR="00F8124A" w:rsidRPr="00F8124A" w:rsidRDefault="00F8124A" w:rsidP="002D4B8B">
      <w:pPr>
        <w:spacing w:before="120" w:after="120" w:line="276" w:lineRule="auto"/>
        <w:ind w:firstLine="708"/>
        <w:jc w:val="both"/>
        <w:textAlignment w:val="baseline"/>
        <w:rPr>
          <w:rFonts w:ascii="Arial" w:hAnsi="Arial" w:cs="Arial"/>
          <w:color w:val="000000" w:themeColor="text1"/>
        </w:rPr>
      </w:pPr>
      <w:r w:rsidRPr="00F8124A">
        <w:rPr>
          <w:rFonts w:ascii="Arial" w:eastAsia="Arial" w:hAnsi="Arial" w:cs="Arial"/>
          <w:color w:val="000000" w:themeColor="text1"/>
          <w:lang w:val="es-ES"/>
        </w:rPr>
        <w:lastRenderedPageBreak/>
        <w:t>En suma, las entidades estatales son autónomas en la configuración del proceso competitivo en desarrollo del artículo 5 del Decreto 092 de 2017. En todo caso, el proceso competitivo que definan las entidades estatales para sus convenios de asociación debe garantizar la libre concurrencia y la pluralidad de interesados y la comparación objetiva de las ofertas. Este procedimiento puede ser análogo a otros donde existe competencia, como la licitación pública</w:t>
      </w:r>
      <w:r w:rsidRPr="00F8124A">
        <w:rPr>
          <w:rFonts w:ascii="Arial" w:hAnsi="Arial" w:cs="Arial"/>
          <w:color w:val="000000" w:themeColor="text1"/>
        </w:rPr>
        <w:t>. </w:t>
      </w:r>
    </w:p>
    <w:p w14:paraId="5A5894B5" w14:textId="77777777" w:rsidR="00F8124A" w:rsidRPr="00F8124A" w:rsidRDefault="00F8124A" w:rsidP="00676BB4">
      <w:pPr>
        <w:spacing w:after="120" w:line="276" w:lineRule="auto"/>
        <w:ind w:firstLine="709"/>
        <w:jc w:val="both"/>
        <w:rPr>
          <w:rFonts w:ascii="Arial" w:eastAsia="Calibri" w:hAnsi="Arial" w:cs="Arial"/>
          <w:color w:val="000000" w:themeColor="text1"/>
        </w:rPr>
      </w:pPr>
      <w:r w:rsidRPr="00F8124A">
        <w:rPr>
          <w:rFonts w:ascii="Arial" w:hAnsi="Arial" w:cs="Arial"/>
          <w:color w:val="000000" w:themeColor="text1"/>
        </w:rPr>
        <w:t>Ahora bien, e</w:t>
      </w:r>
      <w:r w:rsidRPr="00F8124A">
        <w:rPr>
          <w:rFonts w:ascii="Arial" w:eastAsia="Calibri" w:hAnsi="Arial" w:cs="Arial"/>
          <w:color w:val="000000" w:themeColor="text1"/>
        </w:rPr>
        <w:t>l Consejo de Estado, en el Auto del 6 de agosto de 2019 de la Sección Tercera, Subsección A –</w:t>
      </w:r>
      <w:proofErr w:type="spellStart"/>
      <w:r w:rsidRPr="00F8124A">
        <w:rPr>
          <w:rFonts w:ascii="Arial" w:eastAsia="Calibri" w:hAnsi="Arial" w:cs="Arial"/>
          <w:color w:val="000000" w:themeColor="text1"/>
        </w:rPr>
        <w:t>Exp</w:t>
      </w:r>
      <w:proofErr w:type="spellEnd"/>
      <w:r w:rsidRPr="00F8124A">
        <w:rPr>
          <w:rFonts w:ascii="Arial" w:eastAsia="Calibri" w:hAnsi="Arial" w:cs="Arial"/>
          <w:color w:val="000000" w:themeColor="text1"/>
        </w:rPr>
        <w:t>. 62.003–, estudió la solicitud de suspensión provisional</w:t>
      </w:r>
      <w:r w:rsidRPr="00F8124A">
        <w:rPr>
          <w:rFonts w:ascii="Arial" w:eastAsia="Calibri" w:hAnsi="Arial" w:cs="Arial"/>
          <w:color w:val="000000" w:themeColor="text1"/>
          <w:vertAlign w:val="superscript"/>
        </w:rPr>
        <w:footnoteReference w:id="42"/>
      </w:r>
      <w:r w:rsidRPr="00F8124A">
        <w:rPr>
          <w:rFonts w:ascii="Arial" w:eastAsia="Calibri" w:hAnsi="Arial" w:cs="Arial"/>
          <w:color w:val="000000" w:themeColor="text1"/>
        </w:rPr>
        <w:t xml:space="preserve"> del inciso 2 del artículo 1, literales a y c del artículo 2, inciso 5 del artículo 2, inciso 2 del artículo 3, inciso final del artículo 4 y artículo 5 del Decreto 092 de 2017. No obstante, sobre esta última norma concluyó que el análisis de esta disposición debe realizarse a profundidad para establecer si efectivamente existe una contradicción normativa que implique que se afectó la competencia del legislador. En consecuencia, negó la solicitud de suspensión provisional, reservando el análisis sobre la legalidad de dicho artículo a la sentencia de fondo. Por tanto, si se pretende realizar un </w:t>
      </w:r>
      <w:r w:rsidRPr="00F8124A">
        <w:rPr>
          <w:rFonts w:ascii="Arial" w:eastAsia="Calibri" w:hAnsi="Arial" w:cs="Arial"/>
          <w:i/>
          <w:iCs/>
          <w:color w:val="000000" w:themeColor="text1"/>
        </w:rPr>
        <w:t>convenio de asociación</w:t>
      </w:r>
      <w:r w:rsidRPr="00F8124A">
        <w:rPr>
          <w:rFonts w:ascii="Arial" w:eastAsia="Calibri" w:hAnsi="Arial" w:cs="Arial"/>
          <w:color w:val="000000" w:themeColor="text1"/>
        </w:rPr>
        <w:t xml:space="preserve"> con ESAL de reconocida idoneidad para el cumplimiento de las funciones que la ley les asigna a las entidades públicas, debe aplicarse lo dispuesto en el artículo 5 del Decreto 092 de 2017. </w:t>
      </w:r>
    </w:p>
    <w:p w14:paraId="3C154E16" w14:textId="77777777" w:rsidR="00676BB4" w:rsidRPr="00CB7E8C" w:rsidRDefault="00F8124A" w:rsidP="00676BB4">
      <w:pPr>
        <w:spacing w:after="120" w:line="276" w:lineRule="auto"/>
        <w:ind w:firstLine="709"/>
        <w:jc w:val="both"/>
        <w:rPr>
          <w:rFonts w:ascii="Arial" w:eastAsia="Calibri" w:hAnsi="Arial" w:cs="Arial"/>
          <w:color w:val="000000" w:themeColor="text1"/>
        </w:rPr>
      </w:pPr>
      <w:r w:rsidRPr="00F8124A">
        <w:rPr>
          <w:rFonts w:ascii="Arial" w:eastAsia="Calibri" w:hAnsi="Arial" w:cs="Arial"/>
          <w:color w:val="000000" w:themeColor="text1"/>
        </w:rPr>
        <w:t xml:space="preserve">Para los convenios de asociación, como se explicó </w:t>
      </w:r>
      <w:r w:rsidRPr="00F8124A">
        <w:rPr>
          <w:rFonts w:ascii="Arial" w:eastAsia="Calibri" w:hAnsi="Arial" w:cs="Arial"/>
          <w:i/>
          <w:iCs/>
          <w:color w:val="000000" w:themeColor="text1"/>
        </w:rPr>
        <w:t>ut supra</w:t>
      </w:r>
      <w:r w:rsidRPr="00F8124A">
        <w:rPr>
          <w:rFonts w:ascii="Arial" w:eastAsia="Calibri" w:hAnsi="Arial" w:cs="Arial"/>
          <w:color w:val="000000" w:themeColor="text1"/>
        </w:rPr>
        <w:t>, el artículo 5 del citado Decreto establece que el proceso para la selección de la ESAL, por regla general, debe estar sujeto a competencia; salvo en aquellos casos en que una entidad sin ánimo de lucro comprometa recursos en dinero por un valor igual o superior al 30% del valor total del convenio</w:t>
      </w:r>
      <w:r w:rsidRPr="00F8124A">
        <w:rPr>
          <w:rFonts w:ascii="Arial" w:hAnsi="Arial" w:cs="Arial"/>
          <w:color w:val="000000" w:themeColor="text1"/>
          <w:vertAlign w:val="superscript"/>
        </w:rPr>
        <w:footnoteReference w:id="43"/>
      </w:r>
      <w:r w:rsidRPr="00F8124A">
        <w:rPr>
          <w:rFonts w:ascii="Arial" w:eastAsia="Calibri" w:hAnsi="Arial" w:cs="Arial"/>
          <w:color w:val="000000" w:themeColor="text1"/>
        </w:rPr>
        <w:t xml:space="preserve">, y siempre que la entidad estatal verifique previamente que no existe ninguna otra entidad sin ánimo de lucro que ofrezca aportes iguales o superiores al 30%. De hecho, en relación con la naturaleza y cuantía de los convenios, la norma anteriormente citada no prohíbe la celebración de convenios en que la ESAL aporte menos del 30% o cuando aporte recursos en especie: solo indica que en esos casos la entidad estatal debe acudir al proceso </w:t>
      </w:r>
      <w:r w:rsidRPr="00F8124A">
        <w:rPr>
          <w:rFonts w:ascii="Arial" w:eastAsia="Calibri" w:hAnsi="Arial" w:cs="Arial"/>
          <w:color w:val="000000" w:themeColor="text1"/>
        </w:rPr>
        <w:lastRenderedPageBreak/>
        <w:t xml:space="preserve">competitivo para seleccionar a la entidad sin ánimo de lucro con la cual celebrará el respectivo convenio. </w:t>
      </w:r>
    </w:p>
    <w:p w14:paraId="134DC204" w14:textId="2BF04860" w:rsidR="00F8124A" w:rsidRPr="00F8124A" w:rsidRDefault="00F8124A" w:rsidP="00676BB4">
      <w:pPr>
        <w:spacing w:after="120" w:line="276" w:lineRule="auto"/>
        <w:ind w:firstLine="708"/>
        <w:jc w:val="both"/>
        <w:rPr>
          <w:rFonts w:ascii="Arial" w:eastAsia="Calibri" w:hAnsi="Arial" w:cs="Arial"/>
          <w:color w:val="000000" w:themeColor="text1"/>
        </w:rPr>
      </w:pPr>
      <w:r w:rsidRPr="00F8124A">
        <w:rPr>
          <w:rFonts w:ascii="Arial" w:eastAsia="Calibri" w:hAnsi="Arial" w:cs="Arial"/>
          <w:color w:val="000000"/>
          <w:szCs w:val="24"/>
          <w:lang w:eastAsia="es-ES_tradnl"/>
        </w:rPr>
        <w:t xml:space="preserve">Teniendo en cuenta lo anterior, y las consideraciones realizadas en los acápites previos, la prohibición de contratación directa del artículo 33 de la Ley de Garantías Electorales únicamente aplica frente a los procedimientos </w:t>
      </w:r>
      <w:r w:rsidRPr="00F8124A">
        <w:rPr>
          <w:rFonts w:ascii="Arial" w:eastAsia="Calibri" w:hAnsi="Arial" w:cs="Arial"/>
          <w:i/>
          <w:iCs/>
          <w:color w:val="000000"/>
          <w:szCs w:val="24"/>
          <w:lang w:eastAsia="es-ES_tradnl"/>
        </w:rPr>
        <w:t>no competitivos</w:t>
      </w:r>
      <w:r w:rsidRPr="00F8124A">
        <w:rPr>
          <w:rFonts w:ascii="Arial" w:eastAsia="Calibri" w:hAnsi="Arial" w:cs="Arial"/>
          <w:color w:val="000000"/>
          <w:szCs w:val="24"/>
          <w:lang w:eastAsia="es-ES_tradnl"/>
        </w:rPr>
        <w:t>, que son los que implican una contratación directa. Como explica la Sala de Consulta y Servicio Civil del Consejo de Estado:</w:t>
      </w:r>
    </w:p>
    <w:p w14:paraId="2918DA43" w14:textId="77777777" w:rsidR="00F8124A" w:rsidRPr="00F8124A" w:rsidRDefault="00F8124A" w:rsidP="00CB375E">
      <w:pPr>
        <w:spacing w:after="0" w:line="276" w:lineRule="auto"/>
        <w:ind w:firstLine="708"/>
        <w:contextualSpacing/>
        <w:jc w:val="both"/>
        <w:rPr>
          <w:rFonts w:ascii="Arial" w:eastAsia="Calibri" w:hAnsi="Arial" w:cs="Arial"/>
          <w:color w:val="000000"/>
          <w:szCs w:val="24"/>
          <w:lang w:eastAsia="es-ES_tradnl"/>
        </w:rPr>
      </w:pPr>
    </w:p>
    <w:p w14:paraId="397A08C4" w14:textId="77777777" w:rsidR="00F8124A" w:rsidRPr="00F8124A" w:rsidRDefault="00F8124A" w:rsidP="00CB375E">
      <w:pPr>
        <w:spacing w:after="0"/>
        <w:ind w:left="709" w:right="709"/>
        <w:contextualSpacing/>
        <w:jc w:val="both"/>
        <w:rPr>
          <w:rFonts w:ascii="Arial" w:eastAsia="Calibri" w:hAnsi="Arial" w:cs="Arial"/>
          <w:color w:val="000000"/>
          <w:sz w:val="21"/>
          <w:szCs w:val="21"/>
          <w:lang w:eastAsia="es-ES_tradnl"/>
        </w:rPr>
      </w:pPr>
      <w:r w:rsidRPr="00F8124A">
        <w:rPr>
          <w:rFonts w:ascii="Arial" w:eastAsia="Calibri" w:hAnsi="Arial" w:cs="Arial"/>
          <w:color w:val="000000"/>
          <w:sz w:val="21"/>
          <w:szCs w:val="21"/>
          <w:lang w:eastAsia="es-ES_tradnl"/>
        </w:rPr>
        <w:t>Para efectos de la «Ley de Garantías Electorales», y en armonía con las normas que regulan la contratación pública en Colombia, debe entenderse por «contratación directa» cualquier sistema de selección de contratistas en el que no exista convocatoria pública, ni sea posible la participación de una pluralidad de oferentes, independientemente del régimen de contratación que se aplique</w:t>
      </w:r>
      <w:r w:rsidRPr="00F8124A">
        <w:rPr>
          <w:rFonts w:ascii="Arial" w:eastAsia="Calibri" w:hAnsi="Arial" w:cs="Arial"/>
          <w:color w:val="000000"/>
          <w:sz w:val="21"/>
          <w:szCs w:val="21"/>
          <w:vertAlign w:val="superscript"/>
          <w:lang w:eastAsia="es-ES_tradnl"/>
        </w:rPr>
        <w:footnoteReference w:id="44"/>
      </w:r>
      <w:r w:rsidRPr="00F8124A">
        <w:rPr>
          <w:rFonts w:ascii="Arial" w:eastAsia="Calibri" w:hAnsi="Arial" w:cs="Arial"/>
          <w:color w:val="000000"/>
          <w:sz w:val="21"/>
          <w:szCs w:val="21"/>
          <w:lang w:eastAsia="es-ES_tradnl"/>
        </w:rPr>
        <w:t xml:space="preserve">. </w:t>
      </w:r>
    </w:p>
    <w:p w14:paraId="19AF2B89" w14:textId="77777777" w:rsidR="00F8124A" w:rsidRPr="00F8124A" w:rsidRDefault="00F8124A" w:rsidP="00CB375E">
      <w:pPr>
        <w:spacing w:after="0" w:line="276" w:lineRule="auto"/>
        <w:ind w:left="709" w:right="709"/>
        <w:contextualSpacing/>
        <w:jc w:val="both"/>
        <w:rPr>
          <w:rFonts w:ascii="Arial" w:eastAsia="Calibri" w:hAnsi="Arial" w:cs="Arial"/>
          <w:color w:val="000000"/>
          <w:szCs w:val="24"/>
          <w:lang w:eastAsia="es-ES_tradnl"/>
        </w:rPr>
      </w:pPr>
    </w:p>
    <w:p w14:paraId="2E276AE7" w14:textId="0A3F1BD6" w:rsidR="00201C55" w:rsidRPr="00CB7E8C" w:rsidRDefault="00F8124A" w:rsidP="00CE4870">
      <w:pPr>
        <w:spacing w:after="120" w:line="276" w:lineRule="auto"/>
        <w:ind w:firstLine="709"/>
        <w:jc w:val="both"/>
        <w:rPr>
          <w:rFonts w:ascii="Arial" w:eastAsia="Calibri" w:hAnsi="Arial" w:cs="Arial"/>
          <w:color w:val="000000"/>
          <w:szCs w:val="24"/>
          <w:lang w:eastAsia="es-ES_tradnl"/>
        </w:rPr>
      </w:pPr>
      <w:bookmarkStart w:id="38" w:name="_Hlk101791877"/>
      <w:r w:rsidRPr="00F8124A">
        <w:rPr>
          <w:rFonts w:ascii="Arial" w:eastAsia="Calibri" w:hAnsi="Arial" w:cs="Arial"/>
          <w:color w:val="000000"/>
          <w:szCs w:val="24"/>
          <w:lang w:eastAsia="es-ES_tradnl"/>
        </w:rPr>
        <w:t>En contraste, la restricción citada no aplicaría a los convenios de asociación que celebren las entidades estatales y las ESAL bajo el procedimiento competitivo, pues este supone la pluralidad de oferentes y la selección objetiva del contratista. Conforme al artículo 5 del Decreto 092 de 2017, esta es la regla general, salvo en aquellos casos en que una ESAL comprometa recursos en dinero por un valor igual o superior al 30% del valor total del convenio, siempre que la entidad estatal verifique previamente que no existe ninguna otra ESAL que ofrezca aportes iguales o superiores a dicho porcentaje, supuesto excepcional en que procede la selección directa</w:t>
      </w:r>
      <w:r w:rsidR="00201C55" w:rsidRPr="00CB7E8C">
        <w:rPr>
          <w:rFonts w:ascii="Arial" w:eastAsia="Calibri" w:hAnsi="Arial" w:cs="Arial"/>
          <w:color w:val="000000"/>
          <w:szCs w:val="24"/>
          <w:lang w:eastAsia="es-ES_tradnl"/>
        </w:rPr>
        <w:t>. Esto es congruente con el numeral 15.4 de la Circular Externa Única de Colombia Compra Eficiente, en el entendido que «Se encuentran restringidas las contrataciones que en el marco del Decreto 092 de 2017 se realicen a través de procesos no competitivos […]». Por el contrario, «Los procesos competitivos que se adelanten en el marco del Decreto 092 de 2017 no se encuentran restringidos por la Ley de Garantías».</w:t>
      </w:r>
    </w:p>
    <w:bookmarkEnd w:id="38"/>
    <w:p w14:paraId="174A5EEB" w14:textId="77777777" w:rsidR="00CE4870" w:rsidRPr="00CB7E8C" w:rsidRDefault="00CE4870" w:rsidP="00CE4870">
      <w:pPr>
        <w:spacing w:after="0" w:line="276" w:lineRule="auto"/>
        <w:ind w:firstLine="709"/>
        <w:contextualSpacing/>
        <w:jc w:val="both"/>
        <w:rPr>
          <w:rFonts w:ascii="Arial" w:eastAsia="Calibri" w:hAnsi="Arial" w:cs="Arial"/>
          <w:color w:val="000000" w:themeColor="text1"/>
          <w:lang w:val="es-MX"/>
        </w:rPr>
      </w:pPr>
      <w:r w:rsidRPr="00CB7E8C">
        <w:rPr>
          <w:rFonts w:ascii="Arial" w:eastAsia="Calibri" w:hAnsi="Arial" w:cs="Arial"/>
          <w:color w:val="000000" w:themeColor="text1"/>
          <w:lang w:val="es-MX"/>
        </w:rPr>
        <w:t>De otra parte, en cuanto a la restricción del parágrafo del artículo 38 de la Ley de 996 de 2005, conforme se en los considerandos anteriores</w:t>
      </w:r>
      <w:r w:rsidRPr="00CB7E8C">
        <w:rPr>
          <w:rFonts w:ascii="Arial" w:eastAsia="Calibri" w:hAnsi="Arial" w:cs="Arial"/>
          <w:i/>
          <w:iCs/>
          <w:color w:val="000000" w:themeColor="text1"/>
          <w:lang w:val="es-MX"/>
        </w:rPr>
        <w:t>,</w:t>
      </w:r>
      <w:r w:rsidRPr="00CB7E8C">
        <w:rPr>
          <w:rFonts w:ascii="Arial" w:eastAsia="Calibri" w:hAnsi="Arial" w:cs="Arial"/>
          <w:color w:val="000000" w:themeColor="text1"/>
          <w:lang w:val="es-MX"/>
        </w:rPr>
        <w:t xml:space="preserve"> esta solo aplica a convenios interadministrativos, es decir, a aquellos en los que ambos extremos de la relación contractual están conformados por entidades estatales. Esto significa que esta restricción no es aplicable a la celebración de contratos o convenios con ESAL, ya que este tipo de </w:t>
      </w:r>
      <w:r w:rsidRPr="00CB7E8C">
        <w:rPr>
          <w:rFonts w:ascii="Arial" w:eastAsia="Calibri" w:hAnsi="Arial" w:cs="Arial"/>
          <w:color w:val="000000" w:themeColor="text1"/>
          <w:lang w:val="es-MX"/>
        </w:rPr>
        <w:lastRenderedPageBreak/>
        <w:t>acuerdos son celebrados entre entidades estatales y entidades privadas sin ánimo de lucro. Es decir, no cumplen con el criterio orgánico que determina la calidad de interadministrativo.</w:t>
      </w:r>
    </w:p>
    <w:p w14:paraId="75E16769" w14:textId="132BEDB1" w:rsidR="00CE4870" w:rsidRPr="00CB7E8C" w:rsidRDefault="00CE4870" w:rsidP="00CE4870">
      <w:pPr>
        <w:spacing w:after="0" w:line="276" w:lineRule="auto"/>
        <w:ind w:firstLine="709"/>
        <w:contextualSpacing/>
        <w:jc w:val="both"/>
        <w:rPr>
          <w:rFonts w:ascii="Arial" w:eastAsia="Calibri" w:hAnsi="Arial" w:cs="Arial"/>
          <w:color w:val="000000" w:themeColor="text1"/>
        </w:rPr>
      </w:pPr>
      <w:r w:rsidRPr="00CB7E8C">
        <w:rPr>
          <w:rFonts w:ascii="Arial" w:eastAsia="Calibri" w:hAnsi="Arial" w:cs="Arial"/>
          <w:color w:val="000000" w:themeColor="text1"/>
          <w:lang w:val="es-MX"/>
        </w:rPr>
        <w:t> </w:t>
      </w:r>
      <w:r w:rsidRPr="00CB7E8C">
        <w:rPr>
          <w:rFonts w:ascii="Arial" w:eastAsia="Calibri" w:hAnsi="Arial" w:cs="Arial"/>
          <w:color w:val="000000" w:themeColor="text1"/>
        </w:rPr>
        <w:t> </w:t>
      </w:r>
    </w:p>
    <w:bookmarkEnd w:id="24"/>
    <w:bookmarkEnd w:id="25"/>
    <w:p w14:paraId="36365547" w14:textId="77777777" w:rsidR="00F8124A" w:rsidRPr="00F8124A" w:rsidRDefault="00F8124A" w:rsidP="00F8124A">
      <w:pPr>
        <w:spacing w:after="0" w:line="276" w:lineRule="auto"/>
        <w:jc w:val="both"/>
        <w:rPr>
          <w:rFonts w:ascii="Arial" w:eastAsia="Calibri" w:hAnsi="Arial" w:cs="Arial"/>
          <w:b/>
          <w:lang w:val="es-ES_tradnl"/>
        </w:rPr>
      </w:pPr>
      <w:r w:rsidRPr="00F8124A">
        <w:rPr>
          <w:rFonts w:ascii="Arial" w:eastAsia="Calibri" w:hAnsi="Arial" w:cs="Arial"/>
          <w:b/>
          <w:lang w:val="es-ES_tradnl"/>
        </w:rPr>
        <w:t>3. Respuesta</w:t>
      </w:r>
    </w:p>
    <w:p w14:paraId="5D725D48" w14:textId="77777777" w:rsidR="00F8124A" w:rsidRPr="00F8124A" w:rsidRDefault="00F8124A" w:rsidP="00F8124A">
      <w:pPr>
        <w:spacing w:after="0" w:line="240" w:lineRule="auto"/>
        <w:jc w:val="both"/>
        <w:rPr>
          <w:rFonts w:ascii="Arial" w:eastAsia="Calibri" w:hAnsi="Arial" w:cs="Arial"/>
          <w:bCs/>
          <w:lang w:val="es-ES_tradnl"/>
        </w:rPr>
      </w:pPr>
    </w:p>
    <w:p w14:paraId="1CF2D1E6" w14:textId="2A6B1A5B" w:rsidR="00CE4870" w:rsidRPr="00F8124A" w:rsidRDefault="00CE4870" w:rsidP="00F8124A">
      <w:pPr>
        <w:autoSpaceDE w:val="0"/>
        <w:autoSpaceDN w:val="0"/>
        <w:adjustRightInd w:val="0"/>
        <w:spacing w:after="0" w:line="240" w:lineRule="auto"/>
        <w:ind w:left="709" w:right="709"/>
        <w:jc w:val="both"/>
        <w:rPr>
          <w:rFonts w:ascii="Arial" w:eastAsia="Calibri" w:hAnsi="Arial" w:cs="Arial"/>
          <w:sz w:val="21"/>
          <w:szCs w:val="21"/>
          <w:lang w:val="es-ES_tradnl"/>
        </w:rPr>
      </w:pPr>
      <w:bookmarkStart w:id="39" w:name="_Hlk57650395"/>
      <w:r w:rsidRPr="00CB7E8C">
        <w:rPr>
          <w:rFonts w:ascii="Arial" w:eastAsia="Times New Roman" w:hAnsi="Arial" w:cs="Arial"/>
          <w:sz w:val="21"/>
          <w:szCs w:val="21"/>
          <w:lang w:eastAsia="es-ES_tradnl"/>
        </w:rPr>
        <w:t xml:space="preserve">«[…] ¿En el período de restricción de la Ley de Garantías Electorales es posible adelantar un proceso competitivo regulado por el Decreto 092 de </w:t>
      </w:r>
      <w:proofErr w:type="gramStart"/>
      <w:r w:rsidRPr="00CB7E8C">
        <w:rPr>
          <w:rFonts w:ascii="Arial" w:eastAsia="Times New Roman" w:hAnsi="Arial" w:cs="Arial"/>
          <w:sz w:val="21"/>
          <w:szCs w:val="21"/>
          <w:lang w:eastAsia="es-ES_tradnl"/>
        </w:rPr>
        <w:t>2017?Como</w:t>
      </w:r>
      <w:proofErr w:type="gramEnd"/>
      <w:r w:rsidRPr="00CB7E8C">
        <w:rPr>
          <w:rFonts w:ascii="Arial" w:eastAsia="Times New Roman" w:hAnsi="Arial" w:cs="Arial"/>
          <w:sz w:val="21"/>
          <w:szCs w:val="21"/>
          <w:lang w:eastAsia="es-ES_tradnl"/>
        </w:rPr>
        <w:t xml:space="preserve"> resultado de ese proceso de competitivo de selección en el marco del Decreto 092 de 2017, se deriva uno o varios convenios de asociación, ¿es posible celebrar ese o esos convenios de asociación estando en el período de restricción de la Ley de Garantías?» (SIC).</w:t>
      </w:r>
    </w:p>
    <w:p w14:paraId="2869020A" w14:textId="77777777" w:rsidR="00F8124A" w:rsidRPr="00F8124A" w:rsidRDefault="00F8124A" w:rsidP="00F8124A">
      <w:pPr>
        <w:spacing w:after="0" w:line="240" w:lineRule="auto"/>
        <w:ind w:right="709"/>
        <w:jc w:val="both"/>
        <w:rPr>
          <w:rFonts w:ascii="Arial" w:eastAsia="Times New Roman" w:hAnsi="Arial" w:cs="Arial"/>
          <w:lang w:val="es-ES_tradnl" w:eastAsia="es-ES_tradnl"/>
        </w:rPr>
      </w:pPr>
    </w:p>
    <w:p w14:paraId="6C5A2579" w14:textId="7F32E21E" w:rsidR="00CE4870" w:rsidRPr="00CB7E8C" w:rsidRDefault="00CE4870" w:rsidP="00CE4870">
      <w:pPr>
        <w:spacing w:after="120" w:line="276" w:lineRule="auto"/>
        <w:jc w:val="both"/>
        <w:rPr>
          <w:rFonts w:ascii="Arial" w:eastAsia="Calibri" w:hAnsi="Arial" w:cs="Arial"/>
          <w:bCs/>
          <w:lang w:val="es-ES_tradnl"/>
        </w:rPr>
      </w:pPr>
      <w:r w:rsidRPr="00CB7E8C">
        <w:rPr>
          <w:rFonts w:ascii="Arial" w:eastAsia="Times New Roman" w:hAnsi="Arial" w:cs="Arial"/>
          <w:bCs/>
          <w:lang w:val="es-MX" w:eastAsia="es-CO"/>
        </w:rPr>
        <w:t xml:space="preserve">De acuerdo con la interpretación de las normas generales del sistema de compras públicas, sin perjuicio de </w:t>
      </w:r>
      <w:r w:rsidRPr="00CB7E8C">
        <w:rPr>
          <w:rFonts w:ascii="Arial" w:eastAsia="Times New Roman" w:hAnsi="Arial" w:cs="Arial"/>
          <w:bCs/>
          <w:lang w:val="es-ES" w:eastAsia="es-CO"/>
        </w:rPr>
        <w:t>cada entidad defina la viabilidad técnica, jurídica y financiera de celebrar determinado contrato estatal en específico</w:t>
      </w:r>
      <w:r w:rsidRPr="00CB7E8C">
        <w:rPr>
          <w:rFonts w:ascii="Arial" w:eastAsia="Times New Roman" w:hAnsi="Arial" w:cs="Arial"/>
          <w:bCs/>
          <w:lang w:val="es-MX" w:eastAsia="es-CO"/>
        </w:rPr>
        <w:t>,</w:t>
      </w:r>
      <w:r w:rsidRPr="00CB7E8C" w:rsidDel="00BF36EC">
        <w:rPr>
          <w:rFonts w:ascii="Arial" w:eastAsia="Times New Roman" w:hAnsi="Arial" w:cs="Arial"/>
          <w:bCs/>
          <w:lang w:val="es-MX" w:eastAsia="es-CO"/>
        </w:rPr>
        <w:t xml:space="preserve"> </w:t>
      </w:r>
      <w:r w:rsidRPr="00CB7E8C">
        <w:rPr>
          <w:rFonts w:ascii="Arial" w:eastAsia="Calibri" w:hAnsi="Arial" w:cs="Arial"/>
          <w:bCs/>
          <w:lang w:val="es-ES_tradnl"/>
        </w:rPr>
        <w:t>el artículo 33 de la Ley 996 de 2005 establece una restricción en atención a la cual, durante los cuatro</w:t>
      </w:r>
      <w:r w:rsidR="00237B05" w:rsidRPr="00CB7E8C">
        <w:rPr>
          <w:rFonts w:ascii="Arial" w:eastAsia="Calibri" w:hAnsi="Arial" w:cs="Arial"/>
          <w:bCs/>
          <w:lang w:val="es-ES_tradnl"/>
        </w:rPr>
        <w:t xml:space="preserve"> (4)</w:t>
      </w:r>
      <w:r w:rsidRPr="00CB7E8C">
        <w:rPr>
          <w:rFonts w:ascii="Arial" w:eastAsia="Calibri" w:hAnsi="Arial" w:cs="Arial"/>
          <w:bCs/>
          <w:lang w:val="es-ES_tradnl"/>
        </w:rPr>
        <w:t xml:space="preserve"> meses anteriores a la elección presidencial y hasta la realización de la elección en la segunda vuelta, si fuere el caso, está prohibida la contratación directa por parte de todos las Entidades Estatales. </w:t>
      </w:r>
    </w:p>
    <w:p w14:paraId="595C879F" w14:textId="77777777" w:rsidR="00CE4870" w:rsidRPr="00CB7E8C" w:rsidRDefault="00CE4870" w:rsidP="00CE4870">
      <w:pPr>
        <w:spacing w:after="120" w:line="276" w:lineRule="auto"/>
        <w:ind w:firstLine="708"/>
        <w:jc w:val="both"/>
        <w:rPr>
          <w:rFonts w:ascii="Arial" w:eastAsia="Calibri" w:hAnsi="Arial" w:cs="Arial"/>
          <w:bCs/>
          <w:lang w:val="es-ES_tradnl"/>
        </w:rPr>
      </w:pPr>
      <w:r w:rsidRPr="00CB7E8C">
        <w:rPr>
          <w:rFonts w:ascii="Arial" w:eastAsia="Calibri" w:hAnsi="Arial" w:cs="Arial"/>
          <w:bCs/>
          <w:lang w:val="es-ES_tradnl"/>
        </w:rPr>
        <w:t xml:space="preserve">En cuanto a los convenios del Decreto 092 de 2017 con ESAL, la prohibición de contratación directa del artículo 33 de la Ley de Garantías aplica únicamente a los procedimientos no competitivos. Como explica la Sala de Consulta y Servicio Civil del Consejo de Estado: «Para efectos de la “Ley de Garantías Electorales”, y en armonía con las normas que regulan la contratación pública en Colombia, debe entenderse por “contratación directa” cualquier sistema de selección de contratistas en el que no exista convocatoria pública, ni sea posible la participación de una pluralidad de oferentes, independientemente del régimen de contratación que se aplique». En contraste, la restricción citada no aplicaría a los convenios que celebren las Entidades Estatales y entidades privadas sin ánimo de lucro bajo el procedimiento competitivo, pues este supone la pluralidad de oferentes y la selección objetiva del contratista.  </w:t>
      </w:r>
    </w:p>
    <w:p w14:paraId="4DCBB18F" w14:textId="2FEE50BE" w:rsidR="00CE4870" w:rsidRPr="00CB7E8C" w:rsidRDefault="00CE4870" w:rsidP="00CE4870">
      <w:pPr>
        <w:spacing w:after="120" w:line="276" w:lineRule="auto"/>
        <w:ind w:firstLine="708"/>
        <w:jc w:val="both"/>
        <w:rPr>
          <w:rFonts w:ascii="Arial" w:eastAsia="Calibri" w:hAnsi="Arial" w:cs="Arial"/>
          <w:bCs/>
        </w:rPr>
      </w:pPr>
      <w:r w:rsidRPr="00CB7E8C">
        <w:rPr>
          <w:rFonts w:ascii="Arial" w:eastAsia="Calibri" w:hAnsi="Arial" w:cs="Arial"/>
          <w:bCs/>
        </w:rPr>
        <w:t xml:space="preserve">De otro lado, </w:t>
      </w:r>
      <w:r w:rsidRPr="00CB7E8C">
        <w:rPr>
          <w:rFonts w:ascii="Arial" w:eastAsia="Calibri" w:hAnsi="Arial" w:cs="Arial"/>
          <w:bCs/>
          <w:lang w:val="es-MX"/>
        </w:rPr>
        <w:t xml:space="preserve">el parágrafo del artículo 38 de la Ley de Garantías Electorales, establece una restricción en virtud de la cual, durante el periodo de cuatro </w:t>
      </w:r>
      <w:r w:rsidR="00237B05" w:rsidRPr="00CB7E8C">
        <w:rPr>
          <w:rFonts w:ascii="Arial" w:eastAsia="Calibri" w:hAnsi="Arial" w:cs="Arial"/>
          <w:bCs/>
          <w:lang w:val="es-MX"/>
        </w:rPr>
        <w:t xml:space="preserve">(4) </w:t>
      </w:r>
      <w:r w:rsidRPr="00CB7E8C">
        <w:rPr>
          <w:rFonts w:ascii="Arial" w:eastAsia="Calibri" w:hAnsi="Arial" w:cs="Arial"/>
          <w:bCs/>
          <w:lang w:val="es-MX"/>
        </w:rPr>
        <w:t xml:space="preserve">meses anteriores a cualquier jornada de elecciones, las entidades territoriales no pueden suscribir convenios interadministrativos que impliquen la ejecución de recursos públicos. Sin embargo, la modificación transitoria del artículo 124 de la Ley 2159 de 2021, </w:t>
      </w:r>
      <w:r w:rsidRPr="00CB7E8C">
        <w:rPr>
          <w:rFonts w:ascii="Arial" w:eastAsia="Calibri" w:hAnsi="Arial" w:cs="Arial"/>
          <w:bCs/>
        </w:rPr>
        <w:t xml:space="preserve">fijó ciertas condiciones temporales, subjetivas y materiales o teleológicas para la celebración de los convenios interadministrativos: i) que sean celebrados a partir de la publicación de la Ley del Presupuesto en el Diario Oficial y hasta el término de la vigencia fiscal 2022, </w:t>
      </w:r>
      <w:proofErr w:type="spellStart"/>
      <w:r w:rsidRPr="00CB7E8C">
        <w:rPr>
          <w:rFonts w:ascii="Arial" w:eastAsia="Calibri" w:hAnsi="Arial" w:cs="Arial"/>
          <w:bCs/>
        </w:rPr>
        <w:t>ii</w:t>
      </w:r>
      <w:proofErr w:type="spellEnd"/>
      <w:r w:rsidRPr="00CB7E8C">
        <w:rPr>
          <w:rFonts w:ascii="Arial" w:eastAsia="Calibri" w:hAnsi="Arial" w:cs="Arial"/>
          <w:bCs/>
        </w:rPr>
        <w:t xml:space="preserve">) que sean celebrados entre la Nación, por una parte, y las entidades territoriales, por otra, y </w:t>
      </w:r>
      <w:proofErr w:type="spellStart"/>
      <w:r w:rsidRPr="00CB7E8C">
        <w:rPr>
          <w:rFonts w:ascii="Arial" w:eastAsia="Calibri" w:hAnsi="Arial" w:cs="Arial"/>
          <w:bCs/>
        </w:rPr>
        <w:t>iii</w:t>
      </w:r>
      <w:proofErr w:type="spellEnd"/>
      <w:r w:rsidRPr="00CB7E8C">
        <w:rPr>
          <w:rFonts w:ascii="Arial" w:eastAsia="Calibri" w:hAnsi="Arial" w:cs="Arial"/>
          <w:bCs/>
        </w:rPr>
        <w:t xml:space="preserve">) que los </w:t>
      </w:r>
      <w:r w:rsidRPr="00CB7E8C">
        <w:rPr>
          <w:rFonts w:ascii="Arial" w:eastAsia="Calibri" w:hAnsi="Arial" w:cs="Arial"/>
          <w:bCs/>
        </w:rPr>
        <w:lastRenderedPageBreak/>
        <w:t>convenios sean celebrados con el fin de ejecutar programas o proyectos que correspondan al Presupuesto General de la Nación</w:t>
      </w:r>
      <w:r w:rsidRPr="00CB7E8C">
        <w:rPr>
          <w:rFonts w:ascii="Arial" w:eastAsia="Calibri" w:hAnsi="Arial" w:cs="Arial"/>
          <w:bCs/>
          <w:lang w:val="es-MX"/>
        </w:rPr>
        <w:t>. De acuerdo con esto, a los convenios interadministrativos no relacionados con la ejecución de recursos del Presupuesto General Nacional, les aplicaría la restricción del artículo 38, no estando cobijados por la habilitación transitoria dispuesta en el artículo 124 de la Ley 2159 de 2021, al no cumplirse los mencionados requisitos.</w:t>
      </w:r>
      <w:r w:rsidRPr="00CB7E8C">
        <w:rPr>
          <w:rFonts w:ascii="Arial" w:eastAsia="Calibri" w:hAnsi="Arial" w:cs="Arial"/>
          <w:bCs/>
        </w:rPr>
        <w:t> </w:t>
      </w:r>
    </w:p>
    <w:p w14:paraId="1A6789C7" w14:textId="77777777" w:rsidR="00CE4870" w:rsidRPr="00CB7E8C" w:rsidRDefault="00CE4870" w:rsidP="00CE4870">
      <w:pPr>
        <w:spacing w:after="120" w:line="276" w:lineRule="auto"/>
        <w:ind w:firstLine="709"/>
        <w:jc w:val="both"/>
        <w:rPr>
          <w:rFonts w:ascii="Arial" w:eastAsia="Calibri" w:hAnsi="Arial" w:cs="Arial"/>
          <w:color w:val="000000" w:themeColor="text1"/>
        </w:rPr>
      </w:pPr>
      <w:r w:rsidRPr="00CB7E8C">
        <w:rPr>
          <w:rFonts w:ascii="Arial" w:eastAsia="Calibri" w:hAnsi="Arial" w:cs="Arial"/>
          <w:color w:val="000000" w:themeColor="text1"/>
        </w:rPr>
        <w:t>Por último, es preciso advertir que los contratos del Decreto 092 de 2017</w:t>
      </w:r>
      <w:r w:rsidRPr="00CB7E8C">
        <w:rPr>
          <w:rFonts w:ascii="Arial" w:eastAsia="Calibri" w:hAnsi="Arial" w:cs="Arial"/>
          <w:i/>
          <w:iCs/>
          <w:color w:val="000000" w:themeColor="text1"/>
        </w:rPr>
        <w:t xml:space="preserve"> </w:t>
      </w:r>
      <w:r w:rsidRPr="00CB7E8C">
        <w:rPr>
          <w:rFonts w:ascii="Arial" w:eastAsia="Calibri" w:hAnsi="Arial" w:cs="Arial"/>
          <w:color w:val="000000" w:themeColor="text1"/>
        </w:rPr>
        <w:t>no entran dentro del ámbito de aplicación de la restricción del parágrafo del artículo 38 de la Ley 996 de 2021, pues esta norma se refiere exclusivamente a convenios interadministrativos. Esto dado que los convenios</w:t>
      </w:r>
      <w:r w:rsidRPr="00CB7E8C">
        <w:rPr>
          <w:rFonts w:ascii="Arial" w:eastAsia="Calibri" w:hAnsi="Arial" w:cs="Arial"/>
          <w:i/>
          <w:iCs/>
          <w:color w:val="000000" w:themeColor="text1"/>
        </w:rPr>
        <w:t xml:space="preserve"> </w:t>
      </w:r>
      <w:r w:rsidRPr="00CB7E8C">
        <w:rPr>
          <w:rFonts w:ascii="Arial" w:eastAsia="Calibri" w:hAnsi="Arial" w:cs="Arial"/>
          <w:color w:val="000000" w:themeColor="text1"/>
        </w:rPr>
        <w:t>son celebrados por Entidades Estatales con entidades privadas sin ánimo de lucro, correspondiendo a una naturaleza jurídica distinta de los convenios interadministrativos, los cuales son determinados por un criterio orgánico que exige que ambos extremos de la relación contractual sean entidades públicas.  </w:t>
      </w:r>
    </w:p>
    <w:p w14:paraId="2C3CE82C" w14:textId="77777777" w:rsidR="00F8124A" w:rsidRPr="00F8124A" w:rsidRDefault="00F8124A" w:rsidP="00F8124A">
      <w:pPr>
        <w:spacing w:after="0" w:line="276" w:lineRule="auto"/>
        <w:jc w:val="both"/>
        <w:rPr>
          <w:rFonts w:ascii="Arial" w:eastAsia="Calibri" w:hAnsi="Arial" w:cs="Arial"/>
          <w:lang w:val="es-ES_tradnl"/>
        </w:rPr>
      </w:pPr>
    </w:p>
    <w:p w14:paraId="37A3AFDC" w14:textId="77777777" w:rsidR="00F8124A" w:rsidRPr="00F8124A" w:rsidRDefault="00F8124A" w:rsidP="00F8124A">
      <w:pPr>
        <w:spacing w:after="0" w:line="276" w:lineRule="auto"/>
        <w:jc w:val="both"/>
        <w:rPr>
          <w:rFonts w:ascii="Arial" w:eastAsia="Calibri" w:hAnsi="Arial" w:cs="Arial"/>
          <w:lang w:val="es-ES_tradnl"/>
        </w:rPr>
      </w:pPr>
      <w:r w:rsidRPr="00F8124A">
        <w:rPr>
          <w:rFonts w:ascii="Arial" w:eastAsia="Calibri" w:hAnsi="Arial" w:cs="Arial"/>
          <w:lang w:val="es-ES_tradnl"/>
        </w:rPr>
        <w:t>Este concepto tiene el alcance previsto en el artículo 28 del Código de Procedimiento Administrativo y de lo Contencioso Administrativo.</w:t>
      </w:r>
    </w:p>
    <w:p w14:paraId="1D9E5687" w14:textId="77777777" w:rsidR="00F8124A" w:rsidRPr="00F8124A" w:rsidRDefault="00F8124A" w:rsidP="00F8124A">
      <w:pPr>
        <w:spacing w:after="0" w:line="276" w:lineRule="auto"/>
        <w:jc w:val="both"/>
        <w:rPr>
          <w:rFonts w:ascii="Calibri" w:eastAsia="Calibri" w:hAnsi="Calibri" w:cs="Times New Roman"/>
          <w:noProof/>
          <w:sz w:val="24"/>
          <w:lang w:val="es-ES_tradnl"/>
        </w:rPr>
      </w:pPr>
    </w:p>
    <w:p w14:paraId="5E6A3715" w14:textId="77777777" w:rsidR="00F8124A" w:rsidRPr="00F8124A" w:rsidRDefault="00F8124A" w:rsidP="00F8124A">
      <w:pPr>
        <w:spacing w:after="200" w:line="276" w:lineRule="auto"/>
        <w:jc w:val="both"/>
        <w:rPr>
          <w:rFonts w:ascii="Arial" w:eastAsia="Times New Roman" w:hAnsi="Arial" w:cs="Arial"/>
          <w:lang w:val="es-ES_tradnl" w:eastAsia="es-CO"/>
        </w:rPr>
      </w:pPr>
      <w:r w:rsidRPr="00F8124A">
        <w:rPr>
          <w:rFonts w:ascii="Arial" w:eastAsia="Times New Roman" w:hAnsi="Arial" w:cs="Arial"/>
          <w:lang w:val="es-ES_tradnl" w:eastAsia="es-CO"/>
        </w:rPr>
        <w:t>Atentamente,</w:t>
      </w:r>
    </w:p>
    <w:p w14:paraId="2BD009C1" w14:textId="39324339" w:rsidR="00F8124A" w:rsidRPr="00F8124A" w:rsidRDefault="00BD443F" w:rsidP="00F8124A">
      <w:pPr>
        <w:spacing w:after="200" w:line="276" w:lineRule="auto"/>
        <w:jc w:val="center"/>
        <w:rPr>
          <w:rFonts w:ascii="Arial" w:eastAsia="Times New Roman" w:hAnsi="Arial" w:cs="Arial"/>
          <w:sz w:val="18"/>
          <w:szCs w:val="20"/>
          <w:lang w:val="es-ES_tradnl" w:eastAsia="es-CO"/>
        </w:rPr>
      </w:pPr>
      <w:r>
        <w:rPr>
          <w:noProof/>
        </w:rPr>
        <w:drawing>
          <wp:inline distT="0" distB="0" distL="0" distR="0" wp14:anchorId="5849C37D" wp14:editId="20DD6DD3">
            <wp:extent cx="2518154" cy="1116000"/>
            <wp:effectExtent l="0" t="0" r="0" b="1905"/>
            <wp:docPr id="1881124724" name="Imagen 188112472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2518154" cy="1116000"/>
                    </a:xfrm>
                    <a:prstGeom prst="rect">
                      <a:avLst/>
                    </a:prstGeom>
                  </pic:spPr>
                </pic:pic>
              </a:graphicData>
            </a:graphic>
          </wp:inline>
        </w:drawing>
      </w:r>
    </w:p>
    <w:tbl>
      <w:tblPr>
        <w:tblStyle w:val="Tablaconcuadrcu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291"/>
      </w:tblGrid>
      <w:tr w:rsidR="00F8124A" w:rsidRPr="00F8124A" w14:paraId="2611B1F2" w14:textId="77777777" w:rsidTr="00AA7CBA">
        <w:trPr>
          <w:trHeight w:val="315"/>
        </w:trPr>
        <w:tc>
          <w:tcPr>
            <w:tcW w:w="812" w:type="dxa"/>
            <w:vAlign w:val="center"/>
            <w:hideMark/>
          </w:tcPr>
          <w:p w14:paraId="671304E2" w14:textId="77777777" w:rsidR="00F8124A" w:rsidRPr="00F8124A" w:rsidRDefault="00F8124A" w:rsidP="00F8124A">
            <w:pPr>
              <w:rPr>
                <w:rFonts w:ascii="Arial" w:eastAsia="Times New Roman" w:hAnsi="Arial" w:cs="Arial"/>
                <w:sz w:val="16"/>
                <w:szCs w:val="16"/>
                <w:lang w:val="es-ES_tradnl" w:eastAsia="es-ES"/>
              </w:rPr>
            </w:pPr>
            <w:r w:rsidRPr="00F8124A">
              <w:rPr>
                <w:rFonts w:ascii="Arial" w:eastAsia="Times New Roman" w:hAnsi="Arial" w:cs="Arial"/>
                <w:sz w:val="16"/>
                <w:szCs w:val="16"/>
                <w:lang w:val="es-ES_tradnl" w:eastAsia="es-ES"/>
              </w:rPr>
              <w:t>Elaboró:</w:t>
            </w:r>
          </w:p>
        </w:tc>
        <w:tc>
          <w:tcPr>
            <w:tcW w:w="4291" w:type="dxa"/>
            <w:tcBorders>
              <w:top w:val="nil"/>
              <w:left w:val="nil"/>
              <w:bottom w:val="dotted" w:sz="4" w:space="0" w:color="7F7F7F"/>
              <w:right w:val="nil"/>
            </w:tcBorders>
            <w:vAlign w:val="center"/>
            <w:hideMark/>
          </w:tcPr>
          <w:p w14:paraId="5FAF2EC9" w14:textId="4CC448AC" w:rsidR="00F8124A" w:rsidRPr="00F8124A" w:rsidRDefault="00237B05" w:rsidP="00F8124A">
            <w:pPr>
              <w:rPr>
                <w:rFonts w:ascii="Arial" w:eastAsia="Times New Roman" w:hAnsi="Arial" w:cs="Arial"/>
                <w:sz w:val="16"/>
                <w:szCs w:val="16"/>
                <w:lang w:val="es-ES_tradnl" w:eastAsia="es-ES"/>
              </w:rPr>
            </w:pPr>
            <w:r w:rsidRPr="00CB7E8C">
              <w:rPr>
                <w:rFonts w:ascii="Arial" w:eastAsia="Times New Roman" w:hAnsi="Arial" w:cs="Arial"/>
                <w:sz w:val="16"/>
                <w:szCs w:val="16"/>
                <w:lang w:val="es-ES_tradnl" w:eastAsia="es-ES"/>
              </w:rPr>
              <w:t xml:space="preserve">Diana Lucia Saavedra Castañeda </w:t>
            </w:r>
          </w:p>
          <w:p w14:paraId="5EA2C94F" w14:textId="3851FA2C" w:rsidR="00F8124A" w:rsidRPr="00F8124A" w:rsidRDefault="00237B05" w:rsidP="00F8124A">
            <w:pPr>
              <w:rPr>
                <w:rFonts w:ascii="Arial" w:eastAsia="Times New Roman" w:hAnsi="Arial" w:cs="Arial"/>
                <w:sz w:val="16"/>
                <w:szCs w:val="16"/>
                <w:lang w:val="es-ES_tradnl" w:eastAsia="es-ES"/>
              </w:rPr>
            </w:pPr>
            <w:r w:rsidRPr="00CB7E8C">
              <w:rPr>
                <w:rFonts w:ascii="Arial" w:eastAsia="Times New Roman" w:hAnsi="Arial" w:cs="Arial"/>
                <w:sz w:val="16"/>
                <w:szCs w:val="16"/>
                <w:lang w:val="es-ES_tradnl" w:eastAsia="es-ES"/>
              </w:rPr>
              <w:t>Contratista</w:t>
            </w:r>
            <w:r w:rsidR="00F8124A" w:rsidRPr="00F8124A">
              <w:rPr>
                <w:rFonts w:ascii="Arial" w:eastAsia="Times New Roman" w:hAnsi="Arial" w:cs="Arial"/>
                <w:sz w:val="16"/>
                <w:szCs w:val="16"/>
                <w:lang w:val="es-ES_tradnl" w:eastAsia="es-ES"/>
              </w:rPr>
              <w:t xml:space="preserve"> de la Subdirección de Gestión Contractual</w:t>
            </w:r>
          </w:p>
        </w:tc>
      </w:tr>
      <w:tr w:rsidR="00F8124A" w:rsidRPr="00F8124A" w14:paraId="7CEBA8A6" w14:textId="77777777" w:rsidTr="00AA7CBA">
        <w:trPr>
          <w:trHeight w:val="330"/>
        </w:trPr>
        <w:tc>
          <w:tcPr>
            <w:tcW w:w="812" w:type="dxa"/>
            <w:vAlign w:val="center"/>
            <w:hideMark/>
          </w:tcPr>
          <w:p w14:paraId="0FE44704" w14:textId="77777777" w:rsidR="00F8124A" w:rsidRPr="00F8124A" w:rsidRDefault="00F8124A" w:rsidP="00F8124A">
            <w:pPr>
              <w:rPr>
                <w:rFonts w:ascii="Arial" w:eastAsia="Times New Roman" w:hAnsi="Arial" w:cs="Arial"/>
                <w:sz w:val="16"/>
                <w:szCs w:val="16"/>
                <w:lang w:val="es-ES_tradnl" w:eastAsia="es-ES"/>
              </w:rPr>
            </w:pPr>
            <w:r w:rsidRPr="00F8124A">
              <w:rPr>
                <w:rFonts w:ascii="Arial" w:eastAsia="Times New Roman" w:hAnsi="Arial" w:cs="Arial"/>
                <w:sz w:val="16"/>
                <w:szCs w:val="16"/>
                <w:lang w:val="es-ES_tradnl" w:eastAsia="es-ES"/>
              </w:rPr>
              <w:t>Revisó:</w:t>
            </w:r>
          </w:p>
        </w:tc>
        <w:tc>
          <w:tcPr>
            <w:tcW w:w="4291" w:type="dxa"/>
            <w:tcBorders>
              <w:top w:val="dotted" w:sz="4" w:space="0" w:color="7F7F7F"/>
              <w:left w:val="nil"/>
              <w:bottom w:val="dotted" w:sz="4" w:space="0" w:color="7F7F7F"/>
              <w:right w:val="nil"/>
            </w:tcBorders>
            <w:vAlign w:val="center"/>
            <w:hideMark/>
          </w:tcPr>
          <w:p w14:paraId="43851D79" w14:textId="77777777" w:rsidR="00F8124A" w:rsidRPr="00F8124A" w:rsidRDefault="00F8124A" w:rsidP="00F8124A">
            <w:pPr>
              <w:rPr>
                <w:rFonts w:ascii="Arial" w:eastAsia="Times New Roman" w:hAnsi="Arial" w:cs="Arial"/>
                <w:sz w:val="16"/>
                <w:szCs w:val="16"/>
                <w:lang w:val="es-ES_tradnl" w:eastAsia="es-ES"/>
              </w:rPr>
            </w:pPr>
            <w:r w:rsidRPr="00F8124A">
              <w:rPr>
                <w:rFonts w:ascii="Arial" w:eastAsia="Times New Roman" w:hAnsi="Arial" w:cs="Arial"/>
                <w:sz w:val="16"/>
                <w:szCs w:val="16"/>
                <w:lang w:val="es-ES_tradnl" w:eastAsia="es-ES"/>
              </w:rPr>
              <w:t>Alejandro Sarmiento Cantillo</w:t>
            </w:r>
          </w:p>
          <w:p w14:paraId="64C88D90" w14:textId="77777777" w:rsidR="00F8124A" w:rsidRPr="00F8124A" w:rsidRDefault="00F8124A" w:rsidP="00F8124A">
            <w:pPr>
              <w:rPr>
                <w:rFonts w:ascii="Arial" w:eastAsia="Times New Roman" w:hAnsi="Arial" w:cs="Arial"/>
                <w:sz w:val="16"/>
                <w:szCs w:val="16"/>
                <w:lang w:val="es-ES_tradnl" w:eastAsia="es-ES"/>
              </w:rPr>
            </w:pPr>
            <w:r w:rsidRPr="00F8124A">
              <w:rPr>
                <w:rFonts w:ascii="Arial" w:eastAsia="Times New Roman" w:hAnsi="Arial" w:cs="Arial"/>
                <w:sz w:val="16"/>
                <w:szCs w:val="16"/>
                <w:lang w:val="es-ES_tradnl" w:eastAsia="es-ES"/>
              </w:rPr>
              <w:t>Gestor T1-11 de la Subdirección de Gestión Contractual</w:t>
            </w:r>
          </w:p>
        </w:tc>
      </w:tr>
      <w:tr w:rsidR="00F8124A" w:rsidRPr="00F8124A" w14:paraId="6E78FDA4" w14:textId="77777777" w:rsidTr="00AA7CBA">
        <w:trPr>
          <w:trHeight w:val="300"/>
        </w:trPr>
        <w:tc>
          <w:tcPr>
            <w:tcW w:w="812" w:type="dxa"/>
            <w:vAlign w:val="center"/>
            <w:hideMark/>
          </w:tcPr>
          <w:p w14:paraId="77B1D240" w14:textId="77777777" w:rsidR="00F8124A" w:rsidRPr="00F8124A" w:rsidRDefault="00F8124A" w:rsidP="00F8124A">
            <w:pPr>
              <w:rPr>
                <w:rFonts w:ascii="Arial" w:eastAsia="Times New Roman" w:hAnsi="Arial" w:cs="Arial"/>
                <w:sz w:val="16"/>
                <w:szCs w:val="16"/>
                <w:lang w:val="es-ES_tradnl" w:eastAsia="es-ES"/>
              </w:rPr>
            </w:pPr>
            <w:r w:rsidRPr="00F8124A">
              <w:rPr>
                <w:rFonts w:ascii="Arial" w:eastAsia="Times New Roman" w:hAnsi="Arial" w:cs="Arial"/>
                <w:sz w:val="16"/>
                <w:szCs w:val="16"/>
                <w:lang w:val="es-ES_tradnl" w:eastAsia="es-ES"/>
              </w:rPr>
              <w:t>Aprobó:</w:t>
            </w:r>
          </w:p>
        </w:tc>
        <w:tc>
          <w:tcPr>
            <w:tcW w:w="4291" w:type="dxa"/>
            <w:tcBorders>
              <w:top w:val="dotted" w:sz="4" w:space="0" w:color="7F7F7F"/>
              <w:left w:val="nil"/>
              <w:bottom w:val="dotted" w:sz="4" w:space="0" w:color="7F7F7F"/>
              <w:right w:val="nil"/>
            </w:tcBorders>
            <w:vAlign w:val="center"/>
            <w:hideMark/>
          </w:tcPr>
          <w:p w14:paraId="7BDBDB74" w14:textId="77777777" w:rsidR="00F8124A" w:rsidRPr="00F8124A" w:rsidRDefault="00F8124A" w:rsidP="00F8124A">
            <w:pPr>
              <w:rPr>
                <w:rFonts w:ascii="Arial" w:eastAsia="Times New Roman" w:hAnsi="Arial" w:cs="Arial"/>
                <w:sz w:val="16"/>
                <w:szCs w:val="16"/>
                <w:lang w:val="es-ES_tradnl" w:eastAsia="es-ES"/>
              </w:rPr>
            </w:pPr>
            <w:r w:rsidRPr="00F8124A">
              <w:rPr>
                <w:rFonts w:ascii="Arial" w:eastAsia="Times New Roman" w:hAnsi="Arial" w:cs="Arial"/>
                <w:sz w:val="16"/>
                <w:szCs w:val="16"/>
                <w:lang w:val="es-ES_tradnl" w:eastAsia="es-ES"/>
              </w:rPr>
              <w:t>Jorge Augusto Tirado Navarro</w:t>
            </w:r>
          </w:p>
          <w:p w14:paraId="3C7EFB3C" w14:textId="77777777" w:rsidR="00F8124A" w:rsidRPr="00F8124A" w:rsidRDefault="00F8124A" w:rsidP="00F8124A">
            <w:pPr>
              <w:rPr>
                <w:rFonts w:ascii="Arial" w:eastAsia="Times New Roman" w:hAnsi="Arial" w:cs="Arial"/>
                <w:sz w:val="16"/>
                <w:szCs w:val="16"/>
                <w:lang w:val="es-ES_tradnl" w:eastAsia="es-ES"/>
              </w:rPr>
            </w:pPr>
            <w:r w:rsidRPr="00F8124A">
              <w:rPr>
                <w:rFonts w:ascii="Arial" w:eastAsia="Times New Roman" w:hAnsi="Arial" w:cs="Arial"/>
                <w:sz w:val="16"/>
                <w:szCs w:val="16"/>
                <w:lang w:val="es-ES_tradnl" w:eastAsia="es-ES"/>
              </w:rPr>
              <w:t>Subdirector de Gestión Contractual ANCP – CCE</w:t>
            </w:r>
          </w:p>
        </w:tc>
      </w:tr>
      <w:bookmarkEnd w:id="4"/>
      <w:bookmarkEnd w:id="39"/>
    </w:tbl>
    <w:p w14:paraId="517221F2" w14:textId="77777777" w:rsidR="00F8124A" w:rsidRPr="00695447" w:rsidRDefault="00F8124A" w:rsidP="00883C23">
      <w:pPr>
        <w:tabs>
          <w:tab w:val="left" w:pos="426"/>
        </w:tabs>
        <w:spacing w:after="0" w:line="276" w:lineRule="auto"/>
        <w:ind w:firstLine="709"/>
        <w:contextualSpacing/>
        <w:jc w:val="both"/>
        <w:rPr>
          <w:rFonts w:ascii="Arial" w:eastAsia="Calibri" w:hAnsi="Arial" w:cs="Arial"/>
          <w:b/>
          <w:bCs/>
        </w:rPr>
      </w:pPr>
    </w:p>
    <w:sectPr w:rsidR="00F8124A" w:rsidRPr="00695447" w:rsidSect="0094721B">
      <w:headerReference w:type="default" r:id="rId11"/>
      <w:footerReference w:type="default" r:id="rId12"/>
      <w:pgSz w:w="12240" w:h="15840"/>
      <w:pgMar w:top="411" w:right="1608"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6239B2" w14:textId="77777777" w:rsidR="009657DB" w:rsidRDefault="009657DB" w:rsidP="00883C23">
      <w:pPr>
        <w:spacing w:after="0" w:line="240" w:lineRule="auto"/>
      </w:pPr>
      <w:r>
        <w:separator/>
      </w:r>
    </w:p>
  </w:endnote>
  <w:endnote w:type="continuationSeparator" w:id="0">
    <w:p w14:paraId="7DE38F88" w14:textId="77777777" w:rsidR="009657DB" w:rsidRDefault="009657DB" w:rsidP="00883C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DCDF35" w14:textId="77777777" w:rsidR="00301B6D" w:rsidRDefault="00301B6D" w:rsidP="00301B6D">
    <w:pPr>
      <w:pStyle w:val="Sinespaciado"/>
      <w:rPr>
        <w:rFonts w:ascii="Arial" w:hAnsi="Arial" w:cs="Arial"/>
        <w:sz w:val="18"/>
        <w:szCs w:val="18"/>
      </w:rPr>
    </w:pPr>
  </w:p>
  <w:p w14:paraId="0D6BD032" w14:textId="77777777" w:rsidR="00301B6D" w:rsidRDefault="00301B6D" w:rsidP="00301B6D">
    <w:pPr>
      <w:pStyle w:val="Sinespaciado"/>
      <w:rPr>
        <w:rFonts w:ascii="Arial" w:hAnsi="Arial" w:cs="Arial"/>
        <w:sz w:val="18"/>
        <w:szCs w:val="18"/>
      </w:rPr>
    </w:pPr>
  </w:p>
  <w:p w14:paraId="7C1EBCC4" w14:textId="77777777" w:rsidR="00301B6D" w:rsidRPr="00883C23" w:rsidRDefault="00DB1FBD" w:rsidP="00301B6D">
    <w:pPr>
      <w:pStyle w:val="Piedepgina"/>
      <w:jc w:val="right"/>
      <w:rPr>
        <w:rFonts w:ascii="Arial" w:hAnsi="Arial" w:cs="Arial"/>
        <w:color w:val="7F7F7F"/>
        <w:sz w:val="16"/>
        <w:szCs w:val="16"/>
      </w:rPr>
    </w:pPr>
    <w:r w:rsidRPr="00883C23">
      <w:rPr>
        <w:rFonts w:ascii="Arial" w:hAnsi="Arial" w:cs="Arial"/>
        <w:bCs/>
        <w:color w:val="7F7F7F"/>
        <w:sz w:val="16"/>
        <w:szCs w:val="16"/>
      </w:rPr>
      <w:t xml:space="preserve">Página </w:t>
    </w:r>
    <w:r w:rsidRPr="00883C23">
      <w:rPr>
        <w:rFonts w:ascii="Arial" w:hAnsi="Arial" w:cs="Arial"/>
        <w:b/>
        <w:bCs/>
        <w:color w:val="7F7F7F"/>
        <w:sz w:val="16"/>
        <w:szCs w:val="16"/>
      </w:rPr>
      <w:fldChar w:fldCharType="begin"/>
    </w:r>
    <w:r w:rsidRPr="00883C23">
      <w:rPr>
        <w:rFonts w:ascii="Arial" w:hAnsi="Arial" w:cs="Arial"/>
        <w:b/>
        <w:bCs/>
        <w:color w:val="7F7F7F"/>
        <w:sz w:val="16"/>
        <w:szCs w:val="16"/>
      </w:rPr>
      <w:instrText>PAGE  \* Arabic  \* MERGEFORMAT</w:instrText>
    </w:r>
    <w:r w:rsidRPr="00883C23">
      <w:rPr>
        <w:rFonts w:ascii="Arial" w:hAnsi="Arial" w:cs="Arial"/>
        <w:b/>
        <w:bCs/>
        <w:color w:val="7F7F7F"/>
        <w:sz w:val="16"/>
        <w:szCs w:val="16"/>
      </w:rPr>
      <w:fldChar w:fldCharType="separate"/>
    </w:r>
    <w:r w:rsidRPr="00883C23">
      <w:rPr>
        <w:rFonts w:ascii="Arial" w:hAnsi="Arial" w:cs="Arial"/>
        <w:b/>
        <w:bCs/>
        <w:noProof/>
        <w:color w:val="7F7F7F"/>
        <w:sz w:val="16"/>
        <w:szCs w:val="16"/>
      </w:rPr>
      <w:t>17</w:t>
    </w:r>
    <w:r w:rsidRPr="00883C23">
      <w:rPr>
        <w:rFonts w:ascii="Arial" w:hAnsi="Arial" w:cs="Arial"/>
        <w:b/>
        <w:bCs/>
        <w:color w:val="7F7F7F"/>
        <w:sz w:val="16"/>
        <w:szCs w:val="16"/>
      </w:rPr>
      <w:fldChar w:fldCharType="end"/>
    </w:r>
    <w:r w:rsidRPr="00883C23">
      <w:rPr>
        <w:rFonts w:ascii="Arial" w:hAnsi="Arial" w:cs="Arial"/>
        <w:color w:val="7F7F7F"/>
        <w:sz w:val="16"/>
        <w:szCs w:val="16"/>
      </w:rPr>
      <w:t xml:space="preserve"> de </w:t>
    </w:r>
    <w:r w:rsidRPr="00883C23">
      <w:rPr>
        <w:rFonts w:ascii="Arial" w:hAnsi="Arial" w:cs="Arial"/>
        <w:b/>
        <w:bCs/>
        <w:color w:val="7F7F7F"/>
        <w:sz w:val="16"/>
        <w:szCs w:val="16"/>
      </w:rPr>
      <w:fldChar w:fldCharType="begin"/>
    </w:r>
    <w:r w:rsidRPr="00883C23">
      <w:rPr>
        <w:rFonts w:ascii="Arial" w:hAnsi="Arial" w:cs="Arial"/>
        <w:b/>
        <w:bCs/>
        <w:color w:val="7F7F7F"/>
        <w:sz w:val="16"/>
        <w:szCs w:val="16"/>
      </w:rPr>
      <w:instrText>NUMPAGES  \* Arabic  \* MERGEFORMAT</w:instrText>
    </w:r>
    <w:r w:rsidRPr="00883C23">
      <w:rPr>
        <w:rFonts w:ascii="Arial" w:hAnsi="Arial" w:cs="Arial"/>
        <w:b/>
        <w:bCs/>
        <w:color w:val="7F7F7F"/>
        <w:sz w:val="16"/>
        <w:szCs w:val="16"/>
      </w:rPr>
      <w:fldChar w:fldCharType="separate"/>
    </w:r>
    <w:r w:rsidRPr="00883C23">
      <w:rPr>
        <w:rFonts w:ascii="Arial" w:hAnsi="Arial" w:cs="Arial"/>
        <w:b/>
        <w:bCs/>
        <w:noProof/>
        <w:color w:val="7F7F7F"/>
        <w:sz w:val="16"/>
        <w:szCs w:val="16"/>
      </w:rPr>
      <w:t>17</w:t>
    </w:r>
    <w:r w:rsidRPr="00883C23">
      <w:rPr>
        <w:rFonts w:ascii="Arial" w:hAnsi="Arial" w:cs="Arial"/>
        <w:b/>
        <w:bCs/>
        <w:color w:val="7F7F7F"/>
        <w:sz w:val="16"/>
        <w:szCs w:val="16"/>
      </w:rPr>
      <w:fldChar w:fldCharType="end"/>
    </w:r>
  </w:p>
  <w:p w14:paraId="423CAAA8" w14:textId="77777777" w:rsidR="00301B6D" w:rsidRDefault="00DB1FBD" w:rsidP="00301B6D">
    <w:pPr>
      <w:pStyle w:val="Piedepgina"/>
      <w:jc w:val="center"/>
      <w:rPr>
        <w:lang w:val="es-ES"/>
      </w:rPr>
    </w:pPr>
    <w:r>
      <w:rPr>
        <w:noProof/>
        <w:lang w:val="es-CO" w:eastAsia="es-CO"/>
      </w:rPr>
      <w:drawing>
        <wp:inline distT="0" distB="0" distL="0" distR="0" wp14:anchorId="55A8C681" wp14:editId="46D427A4">
          <wp:extent cx="4241994" cy="595165"/>
          <wp:effectExtent l="0" t="0" r="6350" b="0"/>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2C6BC7D3" w14:textId="77777777" w:rsidR="00301B6D" w:rsidRDefault="00301B6D" w:rsidP="00301B6D">
    <w:pPr>
      <w:pStyle w:val="Piedepgina"/>
      <w:jc w:val="center"/>
      <w:rPr>
        <w:lang w:val="es-ES"/>
      </w:rPr>
    </w:pPr>
  </w:p>
  <w:p w14:paraId="3DDDA67F" w14:textId="77777777" w:rsidR="00301B6D" w:rsidRPr="007B0854" w:rsidRDefault="00301B6D" w:rsidP="00301B6D">
    <w:pPr>
      <w:pStyle w:val="Piedepgina"/>
      <w:spacing w:line="120" w:lineRule="auto"/>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F4C5ED" w14:textId="77777777" w:rsidR="009657DB" w:rsidRDefault="009657DB" w:rsidP="00883C23">
      <w:pPr>
        <w:spacing w:after="0" w:line="240" w:lineRule="auto"/>
      </w:pPr>
      <w:r>
        <w:separator/>
      </w:r>
    </w:p>
  </w:footnote>
  <w:footnote w:type="continuationSeparator" w:id="0">
    <w:p w14:paraId="6E9AF117" w14:textId="77777777" w:rsidR="009657DB" w:rsidRDefault="009657DB" w:rsidP="00883C23">
      <w:pPr>
        <w:spacing w:after="0" w:line="240" w:lineRule="auto"/>
      </w:pPr>
      <w:r>
        <w:continuationSeparator/>
      </w:r>
    </w:p>
  </w:footnote>
  <w:footnote w:id="1">
    <w:p w14:paraId="1C52DC32" w14:textId="77777777" w:rsidR="00F8124A" w:rsidRPr="00CB7E8C" w:rsidRDefault="00F8124A" w:rsidP="00CB7E8C">
      <w:pPr>
        <w:pStyle w:val="Textonotapie"/>
        <w:spacing w:after="0" w:line="240" w:lineRule="auto"/>
        <w:ind w:firstLine="709"/>
        <w:contextualSpacing/>
        <w:rPr>
          <w:rFonts w:ascii="Arial" w:hAnsi="Arial" w:cs="Arial"/>
          <w:sz w:val="19"/>
          <w:szCs w:val="19"/>
        </w:rPr>
      </w:pPr>
      <w:r w:rsidRPr="00CB7E8C">
        <w:rPr>
          <w:rStyle w:val="Refdenotaalpie"/>
          <w:rFonts w:ascii="Arial" w:hAnsi="Arial" w:cs="Arial"/>
          <w:sz w:val="19"/>
          <w:szCs w:val="19"/>
        </w:rPr>
        <w:footnoteRef/>
      </w:r>
      <w:r w:rsidRPr="00CB7E8C">
        <w:rPr>
          <w:rFonts w:ascii="Arial" w:hAnsi="Arial" w:cs="Arial"/>
          <w:sz w:val="19"/>
          <w:szCs w:val="19"/>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31D62E46" w14:textId="77777777" w:rsidR="00F8124A" w:rsidRPr="00CB7E8C" w:rsidRDefault="00F8124A" w:rsidP="00CB7E8C">
      <w:pPr>
        <w:pStyle w:val="Textonotapie"/>
        <w:spacing w:after="0" w:line="240" w:lineRule="auto"/>
        <w:ind w:firstLine="709"/>
        <w:contextualSpacing/>
        <w:rPr>
          <w:rFonts w:ascii="Arial" w:hAnsi="Arial" w:cs="Arial"/>
          <w:sz w:val="19"/>
          <w:szCs w:val="19"/>
        </w:rPr>
      </w:pPr>
      <w:proofErr w:type="gramStart"/>
      <w:r w:rsidRPr="00CB7E8C">
        <w:rPr>
          <w:rFonts w:ascii="Arial" w:hAnsi="Arial" w:cs="Arial"/>
          <w:sz w:val="19"/>
          <w:szCs w:val="19"/>
        </w:rPr>
        <w:t>»A</w:t>
      </w:r>
      <w:proofErr w:type="gramEnd"/>
      <w:r w:rsidRPr="00CB7E8C">
        <w:rPr>
          <w:rFonts w:ascii="Arial" w:hAnsi="Arial" w:cs="Arial"/>
          <w:sz w:val="19"/>
          <w:szCs w:val="19"/>
        </w:rPr>
        <w:t xml:space="preserve">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p w14:paraId="00BA118B" w14:textId="77777777" w:rsidR="00F8124A" w:rsidRPr="00CB7E8C" w:rsidRDefault="00F8124A" w:rsidP="00CB7E8C">
      <w:pPr>
        <w:pStyle w:val="Textonotapie"/>
        <w:spacing w:after="0" w:line="240" w:lineRule="auto"/>
        <w:ind w:firstLine="709"/>
        <w:contextualSpacing/>
        <w:rPr>
          <w:rFonts w:ascii="Arial" w:hAnsi="Arial" w:cs="Arial"/>
          <w:sz w:val="19"/>
          <w:szCs w:val="19"/>
        </w:rPr>
      </w:pPr>
    </w:p>
  </w:footnote>
  <w:footnote w:id="2">
    <w:p w14:paraId="7D3FBA5D" w14:textId="71931990" w:rsidR="00F8124A" w:rsidRDefault="00F8124A" w:rsidP="00CB7E8C">
      <w:pPr>
        <w:pStyle w:val="Textonotapie"/>
        <w:spacing w:after="0" w:line="240" w:lineRule="auto"/>
        <w:ind w:firstLine="709"/>
        <w:contextualSpacing/>
        <w:rPr>
          <w:rFonts w:ascii="Arial" w:hAnsi="Arial" w:cs="Arial"/>
          <w:sz w:val="19"/>
          <w:szCs w:val="19"/>
        </w:rPr>
      </w:pPr>
      <w:r w:rsidRPr="00CB7E8C">
        <w:rPr>
          <w:rStyle w:val="Refdenotaalpie"/>
          <w:rFonts w:ascii="Arial" w:hAnsi="Arial" w:cs="Arial"/>
          <w:sz w:val="19"/>
          <w:szCs w:val="19"/>
        </w:rPr>
        <w:footnoteRef/>
      </w:r>
      <w:r w:rsidRPr="00CB7E8C">
        <w:rPr>
          <w:rFonts w:ascii="Arial" w:hAnsi="Arial" w:cs="Arial"/>
          <w:sz w:val="19"/>
          <w:szCs w:val="19"/>
        </w:rPr>
        <w:t xml:space="preserve"> Gaceta del Congreso de la República No. 71 del 2005.</w:t>
      </w:r>
    </w:p>
    <w:p w14:paraId="33489642" w14:textId="77777777" w:rsidR="00CB7E8C" w:rsidRPr="00CB7E8C" w:rsidRDefault="00CB7E8C" w:rsidP="00CB7E8C">
      <w:pPr>
        <w:pStyle w:val="Textonotapie"/>
        <w:spacing w:after="0" w:line="240" w:lineRule="auto"/>
        <w:ind w:firstLine="709"/>
        <w:contextualSpacing/>
        <w:rPr>
          <w:rFonts w:ascii="Arial" w:hAnsi="Arial" w:cs="Arial"/>
          <w:sz w:val="19"/>
          <w:szCs w:val="19"/>
        </w:rPr>
      </w:pPr>
    </w:p>
  </w:footnote>
  <w:footnote w:id="3">
    <w:p w14:paraId="10DD7CD2" w14:textId="0FC3FADB" w:rsidR="00F8124A" w:rsidRDefault="00F8124A" w:rsidP="00CB7E8C">
      <w:pPr>
        <w:pStyle w:val="Textonotapie"/>
        <w:spacing w:after="0" w:line="240" w:lineRule="auto"/>
        <w:ind w:firstLine="709"/>
        <w:contextualSpacing/>
        <w:rPr>
          <w:rFonts w:ascii="Arial" w:hAnsi="Arial" w:cs="Arial"/>
          <w:sz w:val="19"/>
          <w:szCs w:val="19"/>
        </w:rPr>
      </w:pPr>
      <w:r w:rsidRPr="00CB7E8C">
        <w:rPr>
          <w:rStyle w:val="Refdenotaalpie"/>
          <w:rFonts w:ascii="Arial" w:hAnsi="Arial" w:cs="Arial"/>
          <w:sz w:val="19"/>
          <w:szCs w:val="19"/>
        </w:rPr>
        <w:footnoteRef/>
      </w:r>
      <w:r w:rsidRPr="00CB7E8C">
        <w:rPr>
          <w:rFonts w:ascii="Arial" w:hAnsi="Arial" w:cs="Arial"/>
          <w:sz w:val="19"/>
          <w:szCs w:val="19"/>
        </w:rPr>
        <w:t xml:space="preserve"> Corte Constitucional, Sentencia C- 1153 de 2005, M.P. Marco Gerardo Monroy Cabra.</w:t>
      </w:r>
    </w:p>
    <w:p w14:paraId="6C7B510A" w14:textId="77777777" w:rsidR="00CB7E8C" w:rsidRPr="00CB7E8C" w:rsidRDefault="00CB7E8C" w:rsidP="00CB7E8C">
      <w:pPr>
        <w:pStyle w:val="Textonotapie"/>
        <w:spacing w:after="0" w:line="240" w:lineRule="auto"/>
        <w:ind w:firstLine="709"/>
        <w:contextualSpacing/>
        <w:rPr>
          <w:rFonts w:ascii="Arial" w:hAnsi="Arial" w:cs="Arial"/>
          <w:sz w:val="19"/>
          <w:szCs w:val="19"/>
        </w:rPr>
      </w:pPr>
    </w:p>
  </w:footnote>
  <w:footnote w:id="4">
    <w:p w14:paraId="1C0A4D0C" w14:textId="77777777" w:rsidR="00F8124A" w:rsidRPr="00CB7E8C" w:rsidRDefault="00F8124A" w:rsidP="00CB7E8C">
      <w:pPr>
        <w:pStyle w:val="Textonotapie"/>
        <w:spacing w:after="0" w:line="240" w:lineRule="auto"/>
        <w:ind w:firstLine="709"/>
        <w:contextualSpacing/>
        <w:rPr>
          <w:rFonts w:ascii="Arial" w:hAnsi="Arial" w:cs="Arial"/>
          <w:sz w:val="19"/>
          <w:szCs w:val="19"/>
        </w:rPr>
      </w:pPr>
      <w:r w:rsidRPr="00CB7E8C">
        <w:rPr>
          <w:rStyle w:val="Refdenotaalpie"/>
          <w:rFonts w:ascii="Arial" w:hAnsi="Arial" w:cs="Arial"/>
          <w:sz w:val="19"/>
          <w:szCs w:val="19"/>
        </w:rPr>
        <w:footnoteRef/>
      </w:r>
      <w:r w:rsidRPr="00CB7E8C">
        <w:rPr>
          <w:rFonts w:ascii="Arial" w:hAnsi="Arial" w:cs="Arial"/>
          <w:sz w:val="19"/>
          <w:szCs w:val="19"/>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p w14:paraId="523A8725" w14:textId="77777777" w:rsidR="00F8124A" w:rsidRPr="00CB7E8C" w:rsidRDefault="00F8124A" w:rsidP="00CB7E8C">
      <w:pPr>
        <w:pStyle w:val="Textonotapie"/>
        <w:spacing w:after="0" w:line="240" w:lineRule="auto"/>
        <w:ind w:firstLine="709"/>
        <w:contextualSpacing/>
        <w:rPr>
          <w:rFonts w:ascii="Arial" w:hAnsi="Arial" w:cs="Arial"/>
          <w:sz w:val="19"/>
          <w:szCs w:val="19"/>
        </w:rPr>
      </w:pPr>
    </w:p>
  </w:footnote>
  <w:footnote w:id="5">
    <w:p w14:paraId="2A5F82B7" w14:textId="77777777" w:rsidR="00F8124A" w:rsidRPr="00CB7E8C" w:rsidRDefault="00F8124A" w:rsidP="00CB7E8C">
      <w:pPr>
        <w:pStyle w:val="Textonotapie"/>
        <w:spacing w:after="0" w:line="240" w:lineRule="auto"/>
        <w:ind w:firstLine="709"/>
        <w:contextualSpacing/>
        <w:rPr>
          <w:rFonts w:ascii="Arial" w:hAnsi="Arial" w:cs="Arial"/>
          <w:sz w:val="19"/>
          <w:szCs w:val="19"/>
          <w:lang w:val="es-CO"/>
        </w:rPr>
      </w:pPr>
      <w:r w:rsidRPr="00CB7E8C">
        <w:rPr>
          <w:rStyle w:val="Refdenotaalpie"/>
          <w:rFonts w:ascii="Arial" w:hAnsi="Arial" w:cs="Arial"/>
          <w:sz w:val="19"/>
          <w:szCs w:val="19"/>
        </w:rPr>
        <w:footnoteRef/>
      </w:r>
      <w:r w:rsidRPr="00CB7E8C">
        <w:rPr>
          <w:rFonts w:ascii="Arial" w:hAnsi="Arial" w:cs="Arial"/>
          <w:sz w:val="19"/>
          <w:szCs w:val="19"/>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6">
    <w:p w14:paraId="2D266C04" w14:textId="77777777" w:rsidR="00F8124A" w:rsidRPr="00CB7E8C" w:rsidRDefault="00F8124A" w:rsidP="00CB7E8C">
      <w:pPr>
        <w:pStyle w:val="Textonotapie"/>
        <w:spacing w:after="0" w:line="240" w:lineRule="auto"/>
        <w:ind w:firstLine="709"/>
        <w:contextualSpacing/>
        <w:rPr>
          <w:rFonts w:ascii="Arial" w:hAnsi="Arial" w:cs="Arial"/>
          <w:sz w:val="19"/>
          <w:szCs w:val="19"/>
        </w:rPr>
      </w:pPr>
    </w:p>
    <w:p w14:paraId="17D98B5C" w14:textId="0C248498" w:rsidR="00CB7E8C" w:rsidRPr="00CB7E8C" w:rsidRDefault="00F8124A" w:rsidP="00CB7E8C">
      <w:pPr>
        <w:pStyle w:val="Textonotapie"/>
        <w:spacing w:after="0" w:line="240" w:lineRule="auto"/>
        <w:ind w:firstLine="709"/>
        <w:contextualSpacing/>
        <w:rPr>
          <w:rFonts w:ascii="Arial" w:hAnsi="Arial" w:cs="Arial"/>
          <w:sz w:val="19"/>
          <w:szCs w:val="19"/>
        </w:rPr>
      </w:pPr>
      <w:r w:rsidRPr="00CB7E8C">
        <w:rPr>
          <w:rStyle w:val="Refdenotaalpie"/>
          <w:rFonts w:ascii="Arial" w:hAnsi="Arial" w:cs="Arial"/>
          <w:sz w:val="19"/>
          <w:szCs w:val="19"/>
        </w:rPr>
        <w:footnoteRef/>
      </w:r>
      <w:r w:rsidRPr="00CB7E8C">
        <w:rPr>
          <w:rFonts w:ascii="Arial" w:hAnsi="Arial" w:cs="Arial"/>
          <w:sz w:val="19"/>
          <w:szCs w:val="19"/>
        </w:rPr>
        <w:t xml:space="preserve"> Consejo de Estado, Sala de Consulta y Servicio Civil de fecha 24 de julio de 2013, radicado 2166, </w:t>
      </w:r>
      <w:proofErr w:type="gramStart"/>
      <w:r w:rsidRPr="00CB7E8C">
        <w:rPr>
          <w:rFonts w:ascii="Arial" w:hAnsi="Arial" w:cs="Arial"/>
          <w:sz w:val="19"/>
          <w:szCs w:val="19"/>
        </w:rPr>
        <w:t>Consejero</w:t>
      </w:r>
      <w:proofErr w:type="gramEnd"/>
      <w:r w:rsidRPr="00CB7E8C">
        <w:rPr>
          <w:rFonts w:ascii="Arial" w:hAnsi="Arial" w:cs="Arial"/>
          <w:sz w:val="19"/>
          <w:szCs w:val="19"/>
        </w:rPr>
        <w:t xml:space="preserve"> Ponente: Álvaro </w:t>
      </w:r>
      <w:proofErr w:type="spellStart"/>
      <w:r w:rsidRPr="00CB7E8C">
        <w:rPr>
          <w:rFonts w:ascii="Arial" w:hAnsi="Arial" w:cs="Arial"/>
          <w:sz w:val="19"/>
          <w:szCs w:val="19"/>
        </w:rPr>
        <w:t>Namén</w:t>
      </w:r>
      <w:proofErr w:type="spellEnd"/>
      <w:r w:rsidRPr="00CB7E8C">
        <w:rPr>
          <w:rFonts w:ascii="Arial" w:hAnsi="Arial" w:cs="Arial"/>
          <w:sz w:val="19"/>
          <w:szCs w:val="19"/>
        </w:rPr>
        <w:t xml:space="preserve"> Vargas.  </w:t>
      </w:r>
    </w:p>
  </w:footnote>
  <w:footnote w:id="7">
    <w:p w14:paraId="506FBEE3" w14:textId="77777777" w:rsidR="00F8124A" w:rsidRPr="00CB7E8C" w:rsidRDefault="00F8124A" w:rsidP="00CB7E8C">
      <w:pPr>
        <w:spacing w:after="0" w:line="240" w:lineRule="auto"/>
        <w:ind w:firstLine="709"/>
        <w:contextualSpacing/>
        <w:jc w:val="both"/>
        <w:rPr>
          <w:rFonts w:ascii="Arial" w:eastAsia="Times New Roman" w:hAnsi="Arial" w:cs="Arial"/>
          <w:sz w:val="19"/>
          <w:szCs w:val="19"/>
        </w:rPr>
      </w:pPr>
      <w:r w:rsidRPr="00CB7E8C">
        <w:rPr>
          <w:rStyle w:val="Refdenotaalpie"/>
          <w:rFonts w:ascii="Arial" w:hAnsi="Arial" w:cs="Arial"/>
          <w:sz w:val="19"/>
          <w:szCs w:val="19"/>
        </w:rPr>
        <w:footnoteRef/>
      </w:r>
      <w:r w:rsidRPr="00CB7E8C">
        <w:rPr>
          <w:rFonts w:ascii="Arial" w:hAnsi="Arial" w:cs="Arial"/>
          <w:sz w:val="19"/>
          <w:szCs w:val="19"/>
        </w:rPr>
        <w:t xml:space="preserve"> </w:t>
      </w:r>
      <w:bookmarkStart w:id="14" w:name="33"/>
      <w:r w:rsidRPr="00CB7E8C">
        <w:rPr>
          <w:rFonts w:ascii="Arial" w:eastAsia="Calibri" w:hAnsi="Arial" w:cs="Arial"/>
          <w:bCs/>
          <w:color w:val="000000"/>
          <w:sz w:val="19"/>
          <w:szCs w:val="19"/>
        </w:rPr>
        <w:t>«</w:t>
      </w:r>
      <w:r w:rsidRPr="00CB7E8C">
        <w:rPr>
          <w:rFonts w:ascii="Arial" w:eastAsia="Times New Roman" w:hAnsi="Arial" w:cs="Arial"/>
          <w:sz w:val="19"/>
          <w:szCs w:val="19"/>
        </w:rPr>
        <w:t>Artículo 33. Restricciones a la contratación pública.</w:t>
      </w:r>
      <w:bookmarkEnd w:id="14"/>
      <w:r w:rsidRPr="00CB7E8C">
        <w:rPr>
          <w:rFonts w:ascii="Arial" w:eastAsia="Times New Roman" w:hAnsi="Arial" w:cs="Arial"/>
          <w:sz w:val="19"/>
          <w:szCs w:val="19"/>
        </w:rPr>
        <w:t> Durante los cuatro (4) meses anteriores a la elección presidencial y hasta la realización de la elección en la segunda vuelta, si fuere el caso, queda prohibida la contratación directa por parte de todos los entes del Estado.</w:t>
      </w:r>
    </w:p>
    <w:p w14:paraId="596012A5" w14:textId="6247BE81" w:rsidR="00F8124A" w:rsidRPr="00CB7E8C" w:rsidRDefault="00F8124A" w:rsidP="00973515">
      <w:pPr>
        <w:spacing w:after="0" w:line="240" w:lineRule="auto"/>
        <w:ind w:firstLine="709"/>
        <w:contextualSpacing/>
        <w:jc w:val="both"/>
        <w:rPr>
          <w:rFonts w:ascii="Arial" w:eastAsia="Times New Roman" w:hAnsi="Arial" w:cs="Arial"/>
          <w:sz w:val="19"/>
          <w:szCs w:val="19"/>
        </w:rPr>
      </w:pPr>
      <w:r w:rsidRPr="00CB7E8C">
        <w:rPr>
          <w:rFonts w:ascii="Arial" w:eastAsia="Calibri" w:hAnsi="Arial" w:cs="Arial"/>
          <w:bCs/>
          <w:color w:val="000000"/>
          <w:sz w:val="19"/>
          <w:szCs w:val="19"/>
        </w:rPr>
        <w:t>»</w:t>
      </w:r>
      <w:r w:rsidRPr="00CB7E8C">
        <w:rPr>
          <w:rFonts w:ascii="Arial" w:eastAsia="Times New Roman" w:hAnsi="Arial" w:cs="Arial"/>
          <w:sz w:val="19"/>
          <w:szCs w:val="19"/>
        </w:rPr>
        <w:t xml:space="preserve"> 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CB7E8C">
        <w:rPr>
          <w:rFonts w:ascii="Arial" w:eastAsia="Calibri" w:hAnsi="Arial" w:cs="Arial"/>
          <w:bCs/>
          <w:color w:val="000000"/>
          <w:sz w:val="19"/>
          <w:szCs w:val="19"/>
        </w:rPr>
        <w:t>»</w:t>
      </w:r>
      <w:r w:rsidRPr="00CB7E8C">
        <w:rPr>
          <w:rFonts w:ascii="Arial" w:eastAsia="Times New Roman" w:hAnsi="Arial" w:cs="Arial"/>
          <w:sz w:val="19"/>
          <w:szCs w:val="19"/>
        </w:rPr>
        <w:t>.</w:t>
      </w:r>
    </w:p>
  </w:footnote>
  <w:footnote w:id="8">
    <w:p w14:paraId="3CCC9815" w14:textId="77777777" w:rsidR="00E0769F" w:rsidRDefault="00E0769F" w:rsidP="00CB7E8C">
      <w:pPr>
        <w:pStyle w:val="NormalWeb"/>
        <w:spacing w:before="0" w:beforeAutospacing="0" w:after="0" w:afterAutospacing="0" w:line="240" w:lineRule="auto"/>
        <w:ind w:firstLine="709"/>
        <w:contextualSpacing/>
        <w:rPr>
          <w:rFonts w:ascii="Arial" w:hAnsi="Arial" w:cs="Arial"/>
          <w:sz w:val="19"/>
          <w:szCs w:val="19"/>
        </w:rPr>
      </w:pPr>
    </w:p>
    <w:p w14:paraId="55B82546" w14:textId="1026D52B" w:rsidR="00F8124A" w:rsidRPr="00CB7E8C" w:rsidRDefault="00F8124A" w:rsidP="00CB7E8C">
      <w:pPr>
        <w:pStyle w:val="NormalWeb"/>
        <w:spacing w:before="0" w:beforeAutospacing="0" w:after="0" w:afterAutospacing="0" w:line="240" w:lineRule="auto"/>
        <w:ind w:firstLine="709"/>
        <w:contextualSpacing/>
        <w:rPr>
          <w:rFonts w:ascii="Arial" w:hAnsi="Arial" w:cs="Arial"/>
          <w:sz w:val="19"/>
          <w:szCs w:val="19"/>
          <w:lang w:val="es-MX"/>
        </w:rPr>
      </w:pPr>
      <w:r w:rsidRPr="00CB7E8C">
        <w:rPr>
          <w:rStyle w:val="Refdenotaalpie"/>
          <w:rFonts w:ascii="Arial" w:hAnsi="Arial" w:cs="Arial"/>
          <w:sz w:val="19"/>
          <w:szCs w:val="19"/>
        </w:rPr>
        <w:footnoteRef/>
      </w:r>
      <w:r w:rsidRPr="00CB7E8C">
        <w:rPr>
          <w:rFonts w:ascii="Arial" w:hAnsi="Arial" w:cs="Arial"/>
          <w:sz w:val="19"/>
          <w:szCs w:val="19"/>
        </w:rPr>
        <w:t xml:space="preserve"> </w:t>
      </w:r>
      <w:bookmarkStart w:id="15" w:name="38"/>
      <w:r w:rsidRPr="00CB7E8C">
        <w:rPr>
          <w:rFonts w:ascii="Arial" w:eastAsia="Calibri" w:hAnsi="Arial" w:cs="Arial"/>
          <w:bCs/>
          <w:color w:val="000000"/>
          <w:sz w:val="19"/>
          <w:szCs w:val="19"/>
        </w:rPr>
        <w:t>«</w:t>
      </w:r>
      <w:r w:rsidRPr="00CB7E8C">
        <w:rPr>
          <w:rFonts w:ascii="Arial" w:hAnsi="Arial" w:cs="Arial"/>
          <w:sz w:val="19"/>
          <w:szCs w:val="19"/>
          <w:lang w:val="es-MX"/>
        </w:rPr>
        <w:t>Artículo 38. Prohibiciones para los servidores públicos. A los empleados del Estado les está prohibido:</w:t>
      </w:r>
      <w:bookmarkEnd w:id="15"/>
    </w:p>
    <w:p w14:paraId="147AC666" w14:textId="77777777" w:rsidR="00F8124A" w:rsidRPr="00CB7E8C" w:rsidRDefault="00F8124A" w:rsidP="00CB7E8C">
      <w:pPr>
        <w:pStyle w:val="NormalWeb"/>
        <w:spacing w:before="0" w:beforeAutospacing="0" w:after="0" w:afterAutospacing="0" w:line="240" w:lineRule="auto"/>
        <w:ind w:firstLine="709"/>
        <w:contextualSpacing/>
        <w:rPr>
          <w:rFonts w:ascii="Arial" w:hAnsi="Arial" w:cs="Arial"/>
          <w:sz w:val="19"/>
          <w:szCs w:val="19"/>
          <w:lang w:val="es-MX"/>
        </w:rPr>
      </w:pPr>
      <w:r w:rsidRPr="00CB7E8C">
        <w:rPr>
          <w:rFonts w:ascii="Arial" w:eastAsia="Calibri" w:hAnsi="Arial" w:cs="Arial"/>
          <w:bCs/>
          <w:color w:val="000000"/>
          <w:sz w:val="19"/>
          <w:szCs w:val="19"/>
        </w:rPr>
        <w:t>»</w:t>
      </w:r>
      <w:r w:rsidRPr="00CB7E8C">
        <w:rPr>
          <w:rFonts w:ascii="Arial" w:hAnsi="Arial" w:cs="Arial"/>
          <w:sz w:val="19"/>
          <w:szCs w:val="19"/>
          <w:lang w:val="es-MX"/>
        </w:rPr>
        <w:t xml:space="preserve"> […]</w:t>
      </w:r>
    </w:p>
    <w:p w14:paraId="4519F3F9" w14:textId="77777777" w:rsidR="00F8124A" w:rsidRPr="00CB7E8C" w:rsidRDefault="00F8124A" w:rsidP="00CB7E8C">
      <w:pPr>
        <w:pStyle w:val="NormalWeb"/>
        <w:spacing w:before="0" w:beforeAutospacing="0" w:after="0" w:afterAutospacing="0" w:line="240" w:lineRule="auto"/>
        <w:ind w:firstLine="709"/>
        <w:contextualSpacing/>
        <w:rPr>
          <w:rFonts w:ascii="Arial" w:hAnsi="Arial" w:cs="Arial"/>
          <w:sz w:val="19"/>
          <w:szCs w:val="19"/>
          <w:lang w:val="es-MX"/>
        </w:rPr>
      </w:pPr>
      <w:r w:rsidRPr="00CB7E8C">
        <w:rPr>
          <w:rFonts w:ascii="Arial" w:eastAsia="Calibri" w:hAnsi="Arial" w:cs="Arial"/>
          <w:bCs/>
          <w:color w:val="000000"/>
          <w:sz w:val="19"/>
          <w:szCs w:val="19"/>
        </w:rPr>
        <w:t>»</w:t>
      </w:r>
      <w:r w:rsidRPr="00CB7E8C">
        <w:rPr>
          <w:rStyle w:val="baj"/>
          <w:rFonts w:ascii="Arial" w:hAnsi="Arial" w:cs="Arial"/>
          <w:sz w:val="19"/>
          <w:szCs w:val="19"/>
          <w:lang w:val="es-MX"/>
        </w:rPr>
        <w:t xml:space="preserve"> Parágrafo.</w:t>
      </w:r>
      <w:r w:rsidRPr="00CB7E8C">
        <w:rPr>
          <w:rFonts w:ascii="Arial" w:hAnsi="Arial" w:cs="Arial"/>
          <w:sz w:val="19"/>
          <w:szCs w:val="19"/>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CB7E8C">
        <w:rPr>
          <w:rFonts w:ascii="Arial" w:eastAsia="Calibri" w:hAnsi="Arial" w:cs="Arial"/>
          <w:bCs/>
          <w:color w:val="000000"/>
          <w:sz w:val="19"/>
          <w:szCs w:val="19"/>
        </w:rPr>
        <w:t>»</w:t>
      </w:r>
      <w:r w:rsidRPr="00CB7E8C">
        <w:rPr>
          <w:rFonts w:ascii="Arial" w:hAnsi="Arial" w:cs="Arial"/>
          <w:sz w:val="19"/>
          <w:szCs w:val="19"/>
          <w:lang w:val="es-MX"/>
        </w:rPr>
        <w:t>.</w:t>
      </w:r>
    </w:p>
  </w:footnote>
  <w:footnote w:id="9">
    <w:p w14:paraId="0FB164C9" w14:textId="51E0D049" w:rsidR="00F8124A" w:rsidRDefault="00F8124A" w:rsidP="00CB7E8C">
      <w:pPr>
        <w:spacing w:after="0" w:line="240" w:lineRule="auto"/>
        <w:ind w:left="100" w:right="244" w:firstLine="709"/>
        <w:contextualSpacing/>
        <w:jc w:val="both"/>
        <w:rPr>
          <w:rFonts w:ascii="Arial" w:hAnsi="Arial" w:cs="Arial"/>
          <w:sz w:val="19"/>
          <w:szCs w:val="19"/>
        </w:rPr>
      </w:pPr>
      <w:r w:rsidRPr="00CB7E8C">
        <w:rPr>
          <w:rStyle w:val="Refdenotaalpie"/>
          <w:rFonts w:ascii="Arial" w:hAnsi="Arial" w:cs="Arial"/>
          <w:sz w:val="19"/>
          <w:szCs w:val="19"/>
        </w:rPr>
        <w:footnoteRef/>
      </w:r>
      <w:r w:rsidRPr="00CB7E8C">
        <w:rPr>
          <w:rFonts w:ascii="Arial" w:hAnsi="Arial" w:cs="Arial"/>
          <w:sz w:val="19"/>
          <w:szCs w:val="19"/>
        </w:rPr>
        <w:t xml:space="preserve"> Consejo de Estado. Sala de Consulta y Servicio Civil. Concepto del 17 de febrero de 2015. C.P. William Zambrano Cetina. Radicación No. 11001-03-06-000-2015-00164-00(2269).</w:t>
      </w:r>
    </w:p>
    <w:p w14:paraId="38A370D6" w14:textId="77777777" w:rsidR="00CB7E8C" w:rsidRPr="00CB7E8C" w:rsidRDefault="00CB7E8C" w:rsidP="00CB7E8C">
      <w:pPr>
        <w:spacing w:after="0" w:line="240" w:lineRule="auto"/>
        <w:ind w:left="100" w:right="244" w:firstLine="709"/>
        <w:contextualSpacing/>
        <w:jc w:val="both"/>
        <w:rPr>
          <w:rFonts w:ascii="Arial" w:hAnsi="Arial" w:cs="Arial"/>
          <w:sz w:val="19"/>
          <w:szCs w:val="19"/>
          <w:lang w:val="es-ES"/>
        </w:rPr>
      </w:pPr>
    </w:p>
  </w:footnote>
  <w:footnote w:id="10">
    <w:p w14:paraId="6299677E" w14:textId="77777777" w:rsidR="00AC3C47" w:rsidRPr="00CB7E8C" w:rsidRDefault="00AC3C47" w:rsidP="00CB7E8C">
      <w:pPr>
        <w:pStyle w:val="Textonotapie"/>
        <w:spacing w:after="0" w:line="240" w:lineRule="auto"/>
        <w:ind w:firstLine="709"/>
        <w:contextualSpacing/>
        <w:rPr>
          <w:rFonts w:ascii="Arial" w:hAnsi="Arial" w:cs="Arial"/>
          <w:sz w:val="19"/>
          <w:szCs w:val="19"/>
        </w:rPr>
      </w:pPr>
      <w:r w:rsidRPr="00CB7E8C">
        <w:rPr>
          <w:rStyle w:val="Refdenotaalpie"/>
          <w:rFonts w:ascii="Arial" w:hAnsi="Arial" w:cs="Arial"/>
          <w:sz w:val="19"/>
          <w:szCs w:val="19"/>
        </w:rPr>
        <w:footnoteRef/>
      </w:r>
      <w:r w:rsidRPr="00CB7E8C">
        <w:rPr>
          <w:rFonts w:ascii="Arial" w:hAnsi="Arial" w:cs="Arial"/>
          <w:sz w:val="19"/>
          <w:szCs w:val="19"/>
        </w:rPr>
        <w:t xml:space="preserve"> «</w:t>
      </w:r>
      <w:r w:rsidRPr="00CB7E8C">
        <w:rPr>
          <w:rFonts w:ascii="Arial" w:hAnsi="Arial" w:cs="Arial"/>
          <w:sz w:val="19"/>
          <w:szCs w:val="19"/>
          <w:lang w:val="es-ES"/>
        </w:rPr>
        <w:t xml:space="preserve">[25] </w:t>
      </w:r>
      <w:r w:rsidRPr="00CB7E8C">
        <w:rPr>
          <w:rFonts w:ascii="Arial" w:hAnsi="Arial" w:cs="Arial"/>
          <w:sz w:val="19"/>
          <w:szCs w:val="19"/>
        </w:rPr>
        <w:t>Cfr. Consejo de Estado. Sección Tercera. Sentencia de 3 de diciembre de 2007. Radicados: 24.715, 25.206, 25.409, 24.524, 27.834, 25.410, 26.105, 28.244, 31.447 -acumulados-».</w:t>
      </w:r>
    </w:p>
    <w:p w14:paraId="32243D64" w14:textId="77777777" w:rsidR="00AC3C47" w:rsidRPr="00CB7E8C" w:rsidRDefault="00AC3C47" w:rsidP="00CB7E8C">
      <w:pPr>
        <w:pStyle w:val="Textonotapie"/>
        <w:spacing w:after="0" w:line="240" w:lineRule="auto"/>
        <w:ind w:firstLine="709"/>
        <w:contextualSpacing/>
        <w:rPr>
          <w:rFonts w:ascii="Arial" w:hAnsi="Arial" w:cs="Arial"/>
          <w:sz w:val="19"/>
          <w:szCs w:val="19"/>
        </w:rPr>
      </w:pPr>
    </w:p>
  </w:footnote>
  <w:footnote w:id="11">
    <w:p w14:paraId="387985E8" w14:textId="712CA64B" w:rsidR="00AC3C47" w:rsidRDefault="00AC3C47" w:rsidP="00CB7E8C">
      <w:pPr>
        <w:pStyle w:val="Textonotapie"/>
        <w:spacing w:after="0" w:line="240" w:lineRule="auto"/>
        <w:ind w:firstLine="709"/>
        <w:contextualSpacing/>
        <w:rPr>
          <w:rFonts w:ascii="Arial" w:hAnsi="Arial" w:cs="Arial"/>
          <w:sz w:val="19"/>
          <w:szCs w:val="19"/>
        </w:rPr>
      </w:pPr>
      <w:r w:rsidRPr="00CB7E8C">
        <w:rPr>
          <w:rStyle w:val="Refdenotaalpie"/>
          <w:rFonts w:ascii="Arial" w:hAnsi="Arial" w:cs="Arial"/>
          <w:sz w:val="19"/>
          <w:szCs w:val="19"/>
        </w:rPr>
        <w:footnoteRef/>
      </w:r>
      <w:r w:rsidRPr="00CB7E8C">
        <w:rPr>
          <w:rFonts w:ascii="Arial" w:hAnsi="Arial" w:cs="Arial"/>
          <w:sz w:val="19"/>
          <w:szCs w:val="19"/>
        </w:rPr>
        <w:t xml:space="preserve"> «</w:t>
      </w:r>
      <w:r w:rsidRPr="00CB7E8C">
        <w:rPr>
          <w:rFonts w:ascii="Arial" w:hAnsi="Arial" w:cs="Arial"/>
          <w:sz w:val="19"/>
          <w:szCs w:val="19"/>
          <w:lang w:val="es-ES"/>
        </w:rPr>
        <w:t xml:space="preserve">[26] </w:t>
      </w:r>
      <w:r w:rsidRPr="00CB7E8C">
        <w:rPr>
          <w:rFonts w:ascii="Arial" w:hAnsi="Arial" w:cs="Arial"/>
          <w:sz w:val="19"/>
          <w:szCs w:val="19"/>
        </w:rPr>
        <w:t>Al respecto ver el concepto 1712 de 2 de febrero de 2006. Consejo de Estado Sala de Consulta y Servicio Civil».</w:t>
      </w:r>
    </w:p>
    <w:p w14:paraId="58F4824E" w14:textId="77777777" w:rsidR="00CB7E8C" w:rsidRPr="00CB7E8C" w:rsidRDefault="00CB7E8C" w:rsidP="00CB7E8C">
      <w:pPr>
        <w:pStyle w:val="Textonotapie"/>
        <w:spacing w:after="0" w:line="240" w:lineRule="auto"/>
        <w:ind w:firstLine="709"/>
        <w:contextualSpacing/>
        <w:rPr>
          <w:rFonts w:ascii="Arial" w:hAnsi="Arial" w:cs="Arial"/>
          <w:sz w:val="19"/>
          <w:szCs w:val="19"/>
        </w:rPr>
      </w:pPr>
    </w:p>
  </w:footnote>
  <w:footnote w:id="12">
    <w:p w14:paraId="750B5A60" w14:textId="6FFF7403" w:rsidR="00CB7E8C" w:rsidRPr="00CB7E8C" w:rsidRDefault="00AC3C47" w:rsidP="00CB7E8C">
      <w:pPr>
        <w:pStyle w:val="Textonotapie"/>
        <w:spacing w:after="0" w:line="240" w:lineRule="auto"/>
        <w:ind w:firstLine="709"/>
        <w:contextualSpacing/>
        <w:rPr>
          <w:rFonts w:ascii="Arial" w:hAnsi="Arial" w:cs="Arial"/>
          <w:sz w:val="19"/>
          <w:szCs w:val="19"/>
        </w:rPr>
      </w:pPr>
      <w:r w:rsidRPr="00CB7E8C">
        <w:rPr>
          <w:rStyle w:val="Refdenotaalpie"/>
          <w:rFonts w:ascii="Arial" w:hAnsi="Arial" w:cs="Arial"/>
          <w:sz w:val="19"/>
          <w:szCs w:val="19"/>
        </w:rPr>
        <w:footnoteRef/>
      </w:r>
      <w:r w:rsidRPr="00CB7E8C">
        <w:rPr>
          <w:rFonts w:ascii="Arial" w:hAnsi="Arial" w:cs="Arial"/>
          <w:sz w:val="19"/>
          <w:szCs w:val="19"/>
        </w:rPr>
        <w:t xml:space="preserve"> Consejo de Estado. Sala de Consulta y Servicio Civil. Concepto del 2 de septiembre de 2013. Radicación número: 11001-03-06-000-2013-00412-00 (2168). Consejero Ponente: Álvaro </w:t>
      </w:r>
      <w:proofErr w:type="spellStart"/>
      <w:r w:rsidRPr="00CB7E8C">
        <w:rPr>
          <w:rFonts w:ascii="Arial" w:hAnsi="Arial" w:cs="Arial"/>
          <w:sz w:val="19"/>
          <w:szCs w:val="19"/>
        </w:rPr>
        <w:t>Namén</w:t>
      </w:r>
      <w:proofErr w:type="spellEnd"/>
      <w:r w:rsidRPr="00CB7E8C">
        <w:rPr>
          <w:rFonts w:ascii="Arial" w:hAnsi="Arial" w:cs="Arial"/>
          <w:sz w:val="19"/>
          <w:szCs w:val="19"/>
        </w:rPr>
        <w:t xml:space="preserve"> Vargas.</w:t>
      </w:r>
    </w:p>
  </w:footnote>
  <w:footnote w:id="13">
    <w:p w14:paraId="44EF8C88" w14:textId="4F96FE00" w:rsidR="00AC3C47" w:rsidRDefault="00AC3C47" w:rsidP="00CB7E8C">
      <w:pPr>
        <w:pStyle w:val="Textonotapie"/>
        <w:spacing w:after="0" w:line="240" w:lineRule="auto"/>
        <w:ind w:firstLine="709"/>
        <w:contextualSpacing/>
        <w:rPr>
          <w:rFonts w:ascii="Arial" w:hAnsi="Arial" w:cs="Arial"/>
          <w:sz w:val="19"/>
          <w:szCs w:val="19"/>
          <w:lang w:val="es-ES"/>
        </w:rPr>
      </w:pPr>
      <w:r w:rsidRPr="00CB7E8C">
        <w:rPr>
          <w:rStyle w:val="Refdenotaalpie"/>
          <w:rFonts w:ascii="Arial" w:hAnsi="Arial" w:cs="Arial"/>
          <w:sz w:val="19"/>
          <w:szCs w:val="19"/>
        </w:rPr>
        <w:footnoteRef/>
      </w:r>
      <w:r w:rsidRPr="00CB7E8C">
        <w:rPr>
          <w:rFonts w:ascii="Arial" w:hAnsi="Arial" w:cs="Arial"/>
          <w:sz w:val="19"/>
          <w:szCs w:val="19"/>
        </w:rPr>
        <w:t xml:space="preserve"> </w:t>
      </w:r>
      <w:r w:rsidRPr="00CB7E8C">
        <w:rPr>
          <w:rFonts w:ascii="Arial" w:hAnsi="Arial" w:cs="Arial"/>
          <w:sz w:val="19"/>
          <w:szCs w:val="19"/>
          <w:lang w:val="es-ES"/>
        </w:rPr>
        <w:t xml:space="preserve">Artículo 2. </w:t>
      </w:r>
    </w:p>
    <w:p w14:paraId="6E9B19D8" w14:textId="77777777" w:rsidR="00CB7E8C" w:rsidRPr="00CB7E8C" w:rsidRDefault="00CB7E8C" w:rsidP="00CB7E8C">
      <w:pPr>
        <w:pStyle w:val="Textonotapie"/>
        <w:spacing w:after="0" w:line="240" w:lineRule="auto"/>
        <w:ind w:firstLine="709"/>
        <w:contextualSpacing/>
        <w:rPr>
          <w:rFonts w:ascii="Arial" w:hAnsi="Arial" w:cs="Arial"/>
          <w:sz w:val="19"/>
          <w:szCs w:val="19"/>
          <w:lang w:val="es-ES"/>
        </w:rPr>
      </w:pPr>
    </w:p>
  </w:footnote>
  <w:footnote w:id="14">
    <w:p w14:paraId="554167B4" w14:textId="4F3B571F" w:rsidR="00AC3C47" w:rsidRDefault="00AC3C47" w:rsidP="00CB7E8C">
      <w:pPr>
        <w:pStyle w:val="Textonotapie"/>
        <w:spacing w:after="0" w:line="240" w:lineRule="auto"/>
        <w:ind w:firstLine="709"/>
        <w:contextualSpacing/>
        <w:rPr>
          <w:rFonts w:ascii="Arial" w:hAnsi="Arial" w:cs="Arial"/>
          <w:sz w:val="19"/>
          <w:szCs w:val="19"/>
          <w:lang w:val="es-ES"/>
        </w:rPr>
      </w:pPr>
      <w:r w:rsidRPr="00CB7E8C">
        <w:rPr>
          <w:rStyle w:val="Refdenotaalpie"/>
          <w:rFonts w:ascii="Arial" w:hAnsi="Arial" w:cs="Arial"/>
          <w:sz w:val="19"/>
          <w:szCs w:val="19"/>
        </w:rPr>
        <w:footnoteRef/>
      </w:r>
      <w:r w:rsidRPr="00CB7E8C">
        <w:rPr>
          <w:rFonts w:ascii="Arial" w:hAnsi="Arial" w:cs="Arial"/>
          <w:sz w:val="19"/>
          <w:szCs w:val="19"/>
        </w:rPr>
        <w:t xml:space="preserve"> </w:t>
      </w:r>
      <w:r w:rsidRPr="00CB7E8C">
        <w:rPr>
          <w:rFonts w:ascii="Arial" w:hAnsi="Arial" w:cs="Arial"/>
          <w:i/>
          <w:sz w:val="19"/>
          <w:szCs w:val="19"/>
          <w:lang w:val="es-ES"/>
        </w:rPr>
        <w:t>Ídem</w:t>
      </w:r>
      <w:r w:rsidRPr="00CB7E8C">
        <w:rPr>
          <w:rFonts w:ascii="Arial" w:hAnsi="Arial" w:cs="Arial"/>
          <w:sz w:val="19"/>
          <w:szCs w:val="19"/>
          <w:lang w:val="es-ES"/>
        </w:rPr>
        <w:t>.</w:t>
      </w:r>
    </w:p>
    <w:p w14:paraId="328A3095" w14:textId="77777777" w:rsidR="00CB7E8C" w:rsidRPr="00CB7E8C" w:rsidRDefault="00CB7E8C" w:rsidP="00CB7E8C">
      <w:pPr>
        <w:pStyle w:val="Textonotapie"/>
        <w:spacing w:after="0" w:line="240" w:lineRule="auto"/>
        <w:ind w:firstLine="709"/>
        <w:contextualSpacing/>
        <w:rPr>
          <w:rFonts w:ascii="Arial" w:hAnsi="Arial" w:cs="Arial"/>
          <w:sz w:val="19"/>
          <w:szCs w:val="19"/>
          <w:lang w:val="es-ES"/>
        </w:rPr>
      </w:pPr>
    </w:p>
  </w:footnote>
  <w:footnote w:id="15">
    <w:p w14:paraId="734FDA18" w14:textId="7A768251" w:rsidR="00AC3C47" w:rsidRDefault="00AC3C47" w:rsidP="00CB7E8C">
      <w:pPr>
        <w:pStyle w:val="Textonotapie"/>
        <w:spacing w:after="0" w:line="240" w:lineRule="auto"/>
        <w:ind w:firstLine="709"/>
        <w:contextualSpacing/>
        <w:rPr>
          <w:rFonts w:ascii="Arial" w:hAnsi="Arial" w:cs="Arial"/>
          <w:sz w:val="19"/>
          <w:szCs w:val="19"/>
          <w:lang w:val="es-ES"/>
        </w:rPr>
      </w:pPr>
      <w:r w:rsidRPr="00CB7E8C">
        <w:rPr>
          <w:rStyle w:val="Refdenotaalpie"/>
          <w:rFonts w:ascii="Arial" w:hAnsi="Arial" w:cs="Arial"/>
          <w:sz w:val="19"/>
          <w:szCs w:val="19"/>
        </w:rPr>
        <w:footnoteRef/>
      </w:r>
      <w:r w:rsidRPr="00CB7E8C">
        <w:rPr>
          <w:rStyle w:val="Refdenotaalpie"/>
          <w:rFonts w:ascii="Arial" w:hAnsi="Arial" w:cs="Arial"/>
          <w:sz w:val="19"/>
          <w:szCs w:val="19"/>
        </w:rPr>
        <w:t xml:space="preserve"> </w:t>
      </w:r>
      <w:r w:rsidRPr="00CB7E8C">
        <w:rPr>
          <w:rFonts w:ascii="Arial" w:hAnsi="Arial" w:cs="Arial"/>
          <w:sz w:val="19"/>
          <w:szCs w:val="19"/>
          <w:lang w:val="es-ES"/>
        </w:rPr>
        <w:t xml:space="preserve">«[…] A este respecto, cabe recordar que el artículo 860 del Código de Comercio regula la licitación en el derecho privado». </w:t>
      </w:r>
    </w:p>
    <w:p w14:paraId="2F72547D" w14:textId="77777777" w:rsidR="00CB7E8C" w:rsidRPr="00CB7E8C" w:rsidRDefault="00CB7E8C" w:rsidP="00CB7E8C">
      <w:pPr>
        <w:pStyle w:val="Textonotapie"/>
        <w:spacing w:after="0" w:line="240" w:lineRule="auto"/>
        <w:ind w:firstLine="709"/>
        <w:contextualSpacing/>
        <w:rPr>
          <w:rFonts w:ascii="Arial" w:hAnsi="Arial" w:cs="Arial"/>
          <w:sz w:val="19"/>
          <w:szCs w:val="19"/>
          <w:lang w:val="es-ES"/>
        </w:rPr>
      </w:pPr>
    </w:p>
  </w:footnote>
  <w:footnote w:id="16">
    <w:p w14:paraId="596ECF7E" w14:textId="50200B03" w:rsidR="00AC3C47" w:rsidRDefault="00AC3C47" w:rsidP="00CB7E8C">
      <w:pPr>
        <w:shd w:val="clear" w:color="auto" w:fill="FFFFFF"/>
        <w:spacing w:after="0" w:line="240" w:lineRule="auto"/>
        <w:ind w:firstLine="709"/>
        <w:contextualSpacing/>
        <w:jc w:val="both"/>
        <w:rPr>
          <w:rFonts w:ascii="Arial" w:hAnsi="Arial" w:cs="Arial"/>
          <w:sz w:val="19"/>
          <w:szCs w:val="19"/>
          <w:lang w:val="es-ES"/>
        </w:rPr>
      </w:pPr>
      <w:r w:rsidRPr="00CB7E8C">
        <w:rPr>
          <w:rStyle w:val="Refdenotaalpie"/>
          <w:rFonts w:ascii="Arial" w:hAnsi="Arial" w:cs="Arial"/>
          <w:sz w:val="19"/>
          <w:szCs w:val="19"/>
        </w:rPr>
        <w:footnoteRef/>
      </w:r>
      <w:r w:rsidRPr="00CB7E8C">
        <w:rPr>
          <w:rStyle w:val="Refdenotaalpie"/>
          <w:rFonts w:ascii="Arial" w:hAnsi="Arial" w:cs="Arial"/>
          <w:sz w:val="19"/>
          <w:szCs w:val="19"/>
        </w:rPr>
        <w:t xml:space="preserve"> </w:t>
      </w:r>
      <w:r w:rsidRPr="00CB7E8C">
        <w:rPr>
          <w:rFonts w:ascii="Arial" w:hAnsi="Arial" w:cs="Arial"/>
          <w:sz w:val="19"/>
          <w:szCs w:val="19"/>
          <w:lang w:val="es-ES"/>
        </w:rPr>
        <w:t xml:space="preserve">Consejo de Estado. Sala de Consulta y Servicio Civil, Concepto de 8 de mayo de 2018. Radicación Número: 11001-03-06-000-2018-00095-00(2382). Consejero Ponente: Álvaro </w:t>
      </w:r>
      <w:proofErr w:type="spellStart"/>
      <w:r w:rsidRPr="00CB7E8C">
        <w:rPr>
          <w:rFonts w:ascii="Arial" w:hAnsi="Arial" w:cs="Arial"/>
          <w:sz w:val="19"/>
          <w:szCs w:val="19"/>
          <w:lang w:val="es-ES"/>
        </w:rPr>
        <w:t>Namén</w:t>
      </w:r>
      <w:proofErr w:type="spellEnd"/>
      <w:r w:rsidRPr="00CB7E8C">
        <w:rPr>
          <w:rFonts w:ascii="Arial" w:hAnsi="Arial" w:cs="Arial"/>
          <w:sz w:val="19"/>
          <w:szCs w:val="19"/>
          <w:lang w:val="es-ES"/>
        </w:rPr>
        <w:t xml:space="preserve"> Vargas.</w:t>
      </w:r>
    </w:p>
    <w:p w14:paraId="7853567E" w14:textId="77777777" w:rsidR="00CB7E8C" w:rsidRPr="00CB7E8C" w:rsidRDefault="00CB7E8C" w:rsidP="00CB7E8C">
      <w:pPr>
        <w:shd w:val="clear" w:color="auto" w:fill="FFFFFF"/>
        <w:spacing w:after="0" w:line="240" w:lineRule="auto"/>
        <w:ind w:firstLine="709"/>
        <w:contextualSpacing/>
        <w:jc w:val="both"/>
        <w:rPr>
          <w:rFonts w:ascii="Arial" w:hAnsi="Arial" w:cs="Arial"/>
          <w:sz w:val="19"/>
          <w:szCs w:val="19"/>
          <w:lang w:val="es-ES"/>
        </w:rPr>
      </w:pPr>
    </w:p>
  </w:footnote>
  <w:footnote w:id="17">
    <w:p w14:paraId="227D5781" w14:textId="302A08E6" w:rsidR="00AC3C47" w:rsidRDefault="00AC3C47" w:rsidP="00CB7E8C">
      <w:pPr>
        <w:pStyle w:val="Textonotapie"/>
        <w:spacing w:after="0" w:line="240" w:lineRule="auto"/>
        <w:ind w:firstLine="709"/>
        <w:contextualSpacing/>
        <w:rPr>
          <w:rFonts w:ascii="Arial" w:hAnsi="Arial" w:cs="Arial"/>
          <w:sz w:val="19"/>
          <w:szCs w:val="19"/>
        </w:rPr>
      </w:pPr>
      <w:r w:rsidRPr="00CB7E8C">
        <w:rPr>
          <w:rStyle w:val="Refdenotaalpie"/>
          <w:rFonts w:ascii="Arial" w:hAnsi="Arial" w:cs="Arial"/>
          <w:sz w:val="19"/>
          <w:szCs w:val="19"/>
        </w:rPr>
        <w:footnoteRef/>
      </w:r>
      <w:r w:rsidRPr="00CB7E8C">
        <w:rPr>
          <w:rFonts w:ascii="Arial" w:hAnsi="Arial" w:cs="Arial"/>
          <w:sz w:val="19"/>
          <w:szCs w:val="19"/>
        </w:rPr>
        <w:t xml:space="preserve"> Consejo de Estado. Sala de Consulta y Servicio Civil. Concepto del 08 de mayo de 2018. </w:t>
      </w:r>
      <w:proofErr w:type="spellStart"/>
      <w:r w:rsidRPr="00CB7E8C">
        <w:rPr>
          <w:rFonts w:ascii="Arial" w:hAnsi="Arial" w:cs="Arial"/>
          <w:sz w:val="19"/>
          <w:szCs w:val="19"/>
        </w:rPr>
        <w:t>Exp</w:t>
      </w:r>
      <w:proofErr w:type="spellEnd"/>
      <w:r w:rsidRPr="00CB7E8C">
        <w:rPr>
          <w:rFonts w:ascii="Arial" w:hAnsi="Arial" w:cs="Arial"/>
          <w:sz w:val="19"/>
          <w:szCs w:val="19"/>
        </w:rPr>
        <w:t xml:space="preserve">. 2.382. C.P. Álvaro </w:t>
      </w:r>
      <w:proofErr w:type="spellStart"/>
      <w:r w:rsidRPr="00CB7E8C">
        <w:rPr>
          <w:rFonts w:ascii="Arial" w:hAnsi="Arial" w:cs="Arial"/>
          <w:sz w:val="19"/>
          <w:szCs w:val="19"/>
        </w:rPr>
        <w:t>Namén</w:t>
      </w:r>
      <w:proofErr w:type="spellEnd"/>
      <w:r w:rsidRPr="00CB7E8C">
        <w:rPr>
          <w:rFonts w:ascii="Arial" w:hAnsi="Arial" w:cs="Arial"/>
          <w:sz w:val="19"/>
          <w:szCs w:val="19"/>
        </w:rPr>
        <w:t xml:space="preserve"> Vargas.</w:t>
      </w:r>
    </w:p>
    <w:p w14:paraId="57A43366" w14:textId="77777777" w:rsidR="00CB7E8C" w:rsidRPr="00CB7E8C" w:rsidRDefault="00CB7E8C" w:rsidP="00973515">
      <w:pPr>
        <w:pStyle w:val="Textonotapie"/>
        <w:spacing w:after="0" w:line="240" w:lineRule="auto"/>
        <w:contextualSpacing/>
        <w:rPr>
          <w:rFonts w:ascii="Arial" w:hAnsi="Arial" w:cs="Arial"/>
          <w:sz w:val="19"/>
          <w:szCs w:val="19"/>
        </w:rPr>
      </w:pPr>
    </w:p>
  </w:footnote>
  <w:footnote w:id="18">
    <w:p w14:paraId="3D92AE94" w14:textId="5154B3B5" w:rsidR="00AC3C47" w:rsidRDefault="00AC3C47" w:rsidP="00CB7E8C">
      <w:pPr>
        <w:pStyle w:val="Textonotapie"/>
        <w:spacing w:after="0" w:line="240" w:lineRule="auto"/>
        <w:ind w:firstLine="709"/>
        <w:contextualSpacing/>
        <w:rPr>
          <w:rFonts w:ascii="Arial" w:hAnsi="Arial" w:cs="Arial"/>
          <w:sz w:val="19"/>
          <w:szCs w:val="19"/>
        </w:rPr>
      </w:pPr>
      <w:r w:rsidRPr="00CB7E8C">
        <w:rPr>
          <w:rStyle w:val="Refdenotaalpie"/>
          <w:rFonts w:ascii="Arial" w:hAnsi="Arial" w:cs="Arial"/>
          <w:sz w:val="19"/>
          <w:szCs w:val="19"/>
        </w:rPr>
        <w:footnoteRef/>
      </w:r>
      <w:r w:rsidRPr="00CB7E8C">
        <w:rPr>
          <w:rFonts w:ascii="Arial" w:hAnsi="Arial" w:cs="Arial"/>
          <w:sz w:val="19"/>
          <w:szCs w:val="19"/>
        </w:rPr>
        <w:t xml:space="preserve"> Cfr. Concepto C-757 del 30 de diciembre de 2021.</w:t>
      </w:r>
    </w:p>
    <w:p w14:paraId="397F16EC" w14:textId="77777777" w:rsidR="00CB7E8C" w:rsidRPr="00CB7E8C" w:rsidRDefault="00CB7E8C" w:rsidP="00CB7E8C">
      <w:pPr>
        <w:pStyle w:val="Textonotapie"/>
        <w:spacing w:after="0" w:line="240" w:lineRule="auto"/>
        <w:ind w:firstLine="709"/>
        <w:contextualSpacing/>
        <w:rPr>
          <w:rFonts w:ascii="Arial" w:hAnsi="Arial" w:cs="Arial"/>
          <w:sz w:val="19"/>
          <w:szCs w:val="19"/>
        </w:rPr>
      </w:pPr>
    </w:p>
  </w:footnote>
  <w:footnote w:id="19">
    <w:p w14:paraId="1EB912C9" w14:textId="5B9F325A" w:rsidR="00AC3C47" w:rsidRDefault="00AC3C47" w:rsidP="00CB7E8C">
      <w:pPr>
        <w:pStyle w:val="Textonotapie"/>
        <w:spacing w:after="0" w:line="240" w:lineRule="auto"/>
        <w:ind w:firstLine="709"/>
        <w:contextualSpacing/>
        <w:rPr>
          <w:rFonts w:ascii="Arial" w:hAnsi="Arial" w:cs="Arial"/>
          <w:sz w:val="19"/>
          <w:szCs w:val="19"/>
        </w:rPr>
      </w:pPr>
      <w:r w:rsidRPr="00CB7E8C">
        <w:rPr>
          <w:rStyle w:val="Refdenotaalpie"/>
          <w:rFonts w:ascii="Arial" w:hAnsi="Arial" w:cs="Arial"/>
          <w:sz w:val="19"/>
          <w:szCs w:val="19"/>
        </w:rPr>
        <w:footnoteRef/>
      </w:r>
      <w:r w:rsidRPr="00CB7E8C">
        <w:rPr>
          <w:rFonts w:ascii="Arial" w:hAnsi="Arial" w:cs="Arial"/>
          <w:sz w:val="19"/>
          <w:szCs w:val="19"/>
        </w:rPr>
        <w:t xml:space="preserve"> La Corte Constitucional mediante Sentencia C-1153-05 de 11 de noviembre de 2005, Magistrado Ponente Marco Gerardo Monroy Cabra, efectuó el Control constitucional al Proyecto de Ley Estatutaria </w:t>
      </w:r>
      <w:proofErr w:type="spellStart"/>
      <w:r w:rsidRPr="00CB7E8C">
        <w:rPr>
          <w:rFonts w:ascii="Arial" w:hAnsi="Arial" w:cs="Arial"/>
          <w:sz w:val="19"/>
          <w:szCs w:val="19"/>
        </w:rPr>
        <w:t>N°</w:t>
      </w:r>
      <w:proofErr w:type="spellEnd"/>
      <w:r w:rsidRPr="00CB7E8C">
        <w:rPr>
          <w:rFonts w:ascii="Arial" w:hAnsi="Arial" w:cs="Arial"/>
          <w:sz w:val="19"/>
          <w:szCs w:val="19"/>
        </w:rPr>
        <w:t xml:space="preserve"> 216/05 Senado, </w:t>
      </w:r>
      <w:proofErr w:type="spellStart"/>
      <w:r w:rsidRPr="00CB7E8C">
        <w:rPr>
          <w:rFonts w:ascii="Arial" w:hAnsi="Arial" w:cs="Arial"/>
          <w:sz w:val="19"/>
          <w:szCs w:val="19"/>
        </w:rPr>
        <w:t>N°</w:t>
      </w:r>
      <w:proofErr w:type="spellEnd"/>
      <w:r w:rsidRPr="00CB7E8C">
        <w:rPr>
          <w:rFonts w:ascii="Arial" w:hAnsi="Arial" w:cs="Arial"/>
          <w:sz w:val="19"/>
          <w:szCs w:val="19"/>
        </w:rPr>
        <w:t xml:space="preserve"> 235-Cámara que dio lugar a la Ley de Garantías Electorales.</w:t>
      </w:r>
    </w:p>
    <w:p w14:paraId="055B7FA4" w14:textId="77777777" w:rsidR="00CB7E8C" w:rsidRPr="00CB7E8C" w:rsidRDefault="00CB7E8C" w:rsidP="00CB7E8C">
      <w:pPr>
        <w:pStyle w:val="Textonotapie"/>
        <w:spacing w:after="0" w:line="240" w:lineRule="auto"/>
        <w:ind w:firstLine="709"/>
        <w:contextualSpacing/>
        <w:rPr>
          <w:rFonts w:ascii="Arial" w:hAnsi="Arial" w:cs="Arial"/>
          <w:sz w:val="19"/>
          <w:szCs w:val="19"/>
        </w:rPr>
      </w:pPr>
    </w:p>
  </w:footnote>
  <w:footnote w:id="20">
    <w:p w14:paraId="0561DB14" w14:textId="223C5AFF" w:rsidR="00AC3C47" w:rsidRDefault="00AC3C47" w:rsidP="00CB7E8C">
      <w:pPr>
        <w:spacing w:after="0" w:line="240" w:lineRule="auto"/>
        <w:ind w:firstLine="709"/>
        <w:contextualSpacing/>
        <w:jc w:val="both"/>
        <w:rPr>
          <w:rFonts w:ascii="Arial" w:hAnsi="Arial" w:cs="Arial"/>
          <w:sz w:val="19"/>
          <w:szCs w:val="19"/>
        </w:rPr>
      </w:pPr>
      <w:r w:rsidRPr="00CB7E8C">
        <w:rPr>
          <w:rStyle w:val="Refdenotaalpie"/>
          <w:rFonts w:ascii="Arial" w:hAnsi="Arial" w:cs="Arial"/>
          <w:sz w:val="19"/>
          <w:szCs w:val="19"/>
        </w:rPr>
        <w:footnoteRef/>
      </w:r>
      <w:r w:rsidRPr="00CB7E8C">
        <w:rPr>
          <w:rFonts w:ascii="Arial" w:hAnsi="Arial" w:cs="Arial"/>
          <w:sz w:val="19"/>
          <w:szCs w:val="19"/>
        </w:rPr>
        <w:t xml:space="preserve"> Consejo de Estado. Sala de Consulta y Servicio Civil. Concepto de 20 de febrero de 2006. Radicación Número: 11001-03-06-000-2006-00026-00(1727). Consejero Ponente: Enrique José Arboleda Perdomo.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p w14:paraId="007BA6C2" w14:textId="77777777" w:rsidR="00CB7E8C" w:rsidRPr="00CB7E8C" w:rsidRDefault="00CB7E8C" w:rsidP="00CB7E8C">
      <w:pPr>
        <w:spacing w:after="0" w:line="240" w:lineRule="auto"/>
        <w:ind w:firstLine="709"/>
        <w:contextualSpacing/>
        <w:jc w:val="both"/>
        <w:rPr>
          <w:rFonts w:ascii="Arial" w:hAnsi="Arial" w:cs="Arial"/>
          <w:sz w:val="19"/>
          <w:szCs w:val="19"/>
        </w:rPr>
      </w:pPr>
    </w:p>
  </w:footnote>
  <w:footnote w:id="21">
    <w:p w14:paraId="0568A080" w14:textId="77777777" w:rsidR="00CC1950" w:rsidRPr="00CB7E8C" w:rsidRDefault="00CC1950" w:rsidP="00CB7E8C">
      <w:pPr>
        <w:pStyle w:val="Textonotapie"/>
        <w:spacing w:after="0" w:line="240" w:lineRule="auto"/>
        <w:ind w:firstLine="709"/>
        <w:contextualSpacing/>
        <w:rPr>
          <w:rFonts w:ascii="Arial" w:hAnsi="Arial" w:cs="Arial"/>
          <w:sz w:val="19"/>
          <w:szCs w:val="19"/>
        </w:rPr>
      </w:pPr>
      <w:r w:rsidRPr="00CB7E8C">
        <w:rPr>
          <w:rStyle w:val="Refdenotaalpie"/>
          <w:rFonts w:ascii="Arial" w:hAnsi="Arial" w:cs="Arial"/>
          <w:sz w:val="19"/>
          <w:szCs w:val="19"/>
        </w:rPr>
        <w:footnoteRef/>
      </w:r>
      <w:r w:rsidRPr="00CB7E8C">
        <w:rPr>
          <w:rFonts w:ascii="Arial" w:hAnsi="Arial" w:cs="Arial"/>
          <w:sz w:val="19"/>
          <w:szCs w:val="19"/>
        </w:rPr>
        <w:t xml:space="preserve"> Consejo de Estado. Sala de Consulta y Servicio Civil. Concepto de 20 de febrero de2006. Radicación 11001-03-06-000-2006-00023-00(1724). Consejero Ponente: Flavio Augusto Rodríguez Arce.</w:t>
      </w:r>
    </w:p>
    <w:p w14:paraId="19E20E57" w14:textId="77777777" w:rsidR="00CC1950" w:rsidRPr="00CB7E8C" w:rsidRDefault="00CC1950" w:rsidP="00CB7E8C">
      <w:pPr>
        <w:pStyle w:val="Textonotapie"/>
        <w:spacing w:after="0" w:line="240" w:lineRule="auto"/>
        <w:ind w:firstLine="709"/>
        <w:contextualSpacing/>
        <w:rPr>
          <w:rFonts w:ascii="Arial" w:hAnsi="Arial" w:cs="Arial"/>
          <w:sz w:val="19"/>
          <w:szCs w:val="19"/>
        </w:rPr>
      </w:pPr>
    </w:p>
  </w:footnote>
  <w:footnote w:id="22">
    <w:p w14:paraId="104CF028" w14:textId="77777777" w:rsidR="00CC1950" w:rsidRPr="00CB7E8C" w:rsidRDefault="00CC1950" w:rsidP="00CB7E8C">
      <w:pPr>
        <w:spacing w:after="0" w:line="240" w:lineRule="auto"/>
        <w:ind w:firstLine="709"/>
        <w:contextualSpacing/>
        <w:jc w:val="both"/>
        <w:rPr>
          <w:rFonts w:ascii="Arial" w:hAnsi="Arial" w:cs="Arial"/>
          <w:sz w:val="19"/>
          <w:szCs w:val="19"/>
        </w:rPr>
      </w:pPr>
      <w:r w:rsidRPr="00CB7E8C">
        <w:rPr>
          <w:rStyle w:val="Refdenotaalpie"/>
          <w:rFonts w:ascii="Arial" w:hAnsi="Arial" w:cs="Arial"/>
          <w:sz w:val="19"/>
          <w:szCs w:val="19"/>
        </w:rPr>
        <w:footnoteRef/>
      </w:r>
      <w:r w:rsidRPr="00CB7E8C">
        <w:rPr>
          <w:rFonts w:ascii="Arial" w:hAnsi="Arial" w:cs="Arial"/>
          <w:sz w:val="19"/>
          <w:szCs w:val="19"/>
        </w:rPr>
        <w:t xml:space="preserve"> Decreto 1082 de 2015: «Artículo 2.2.1.2.1.4.4. Convenios o contratos interadministrativos. La modalidad de selección para la contratación entre Entidades Estatales es la contratación directa; </w:t>
      </w:r>
      <w:proofErr w:type="gramStart"/>
      <w:r w:rsidRPr="00CB7E8C">
        <w:rPr>
          <w:rFonts w:ascii="Arial" w:hAnsi="Arial" w:cs="Arial"/>
          <w:sz w:val="19"/>
          <w:szCs w:val="19"/>
        </w:rPr>
        <w:t>y</w:t>
      </w:r>
      <w:proofErr w:type="gramEnd"/>
      <w:r w:rsidRPr="00CB7E8C">
        <w:rPr>
          <w:rFonts w:ascii="Arial" w:hAnsi="Arial" w:cs="Arial"/>
          <w:sz w:val="19"/>
          <w:szCs w:val="19"/>
        </w:rPr>
        <w:t xml:space="preserve"> en consecuencia, le es aplicable lo establecido en el artículo 2.2.1.2.1.4.1 del presente decreto.</w:t>
      </w:r>
    </w:p>
    <w:p w14:paraId="72A5EC1F" w14:textId="77777777" w:rsidR="00CC1950" w:rsidRPr="00CB7E8C" w:rsidRDefault="00CC1950" w:rsidP="00CB7E8C">
      <w:pPr>
        <w:spacing w:after="0" w:line="240" w:lineRule="auto"/>
        <w:ind w:firstLine="709"/>
        <w:contextualSpacing/>
        <w:jc w:val="both"/>
        <w:rPr>
          <w:rFonts w:ascii="Arial" w:hAnsi="Arial" w:cs="Arial"/>
          <w:sz w:val="19"/>
          <w:szCs w:val="19"/>
        </w:rPr>
      </w:pPr>
      <w:proofErr w:type="gramStart"/>
      <w:r w:rsidRPr="00CB7E8C">
        <w:rPr>
          <w:rFonts w:ascii="Arial" w:hAnsi="Arial" w:cs="Arial"/>
          <w:sz w:val="19"/>
          <w:szCs w:val="19"/>
        </w:rPr>
        <w:t>»Cuando</w:t>
      </w:r>
      <w:proofErr w:type="gramEnd"/>
      <w:r w:rsidRPr="00CB7E8C">
        <w:rPr>
          <w:rFonts w:ascii="Arial" w:hAnsi="Arial" w:cs="Arial"/>
          <w:sz w:val="19"/>
          <w:szCs w:val="19"/>
        </w:rPr>
        <w:t xml:space="preserve">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w:t>
      </w:r>
      <w:r w:rsidRPr="00CB7E8C">
        <w:rPr>
          <w:rFonts w:ascii="Arial" w:hAnsi="Arial" w:cs="Arial"/>
          <w:spacing w:val="-1"/>
          <w:sz w:val="19"/>
          <w:szCs w:val="19"/>
        </w:rPr>
        <w:t xml:space="preserve"> </w:t>
      </w:r>
      <w:r w:rsidRPr="00CB7E8C">
        <w:rPr>
          <w:rFonts w:ascii="Arial" w:hAnsi="Arial" w:cs="Arial"/>
          <w:sz w:val="19"/>
          <w:szCs w:val="19"/>
        </w:rPr>
        <w:t>Estatales».</w:t>
      </w:r>
    </w:p>
  </w:footnote>
  <w:footnote w:id="23">
    <w:p w14:paraId="626046F0" w14:textId="77777777" w:rsidR="00CC1950" w:rsidRPr="00CB7E8C" w:rsidRDefault="00CC1950" w:rsidP="00CB7E8C">
      <w:pPr>
        <w:spacing w:after="0" w:line="240" w:lineRule="auto"/>
        <w:ind w:firstLine="709"/>
        <w:contextualSpacing/>
        <w:jc w:val="both"/>
        <w:rPr>
          <w:rFonts w:ascii="Arial" w:hAnsi="Arial" w:cs="Arial"/>
          <w:sz w:val="19"/>
          <w:szCs w:val="19"/>
        </w:rPr>
      </w:pPr>
    </w:p>
    <w:p w14:paraId="228E51C3" w14:textId="77777777" w:rsidR="00CC1950" w:rsidRPr="00CB7E8C" w:rsidRDefault="00CC1950" w:rsidP="00CB7E8C">
      <w:pPr>
        <w:spacing w:after="0" w:line="240" w:lineRule="auto"/>
        <w:ind w:firstLine="709"/>
        <w:contextualSpacing/>
        <w:jc w:val="both"/>
        <w:rPr>
          <w:rFonts w:ascii="Arial" w:hAnsi="Arial" w:cs="Arial"/>
          <w:sz w:val="19"/>
          <w:szCs w:val="19"/>
        </w:rPr>
      </w:pPr>
      <w:r w:rsidRPr="00CB7E8C">
        <w:rPr>
          <w:rStyle w:val="Refdenotaalpie"/>
          <w:rFonts w:ascii="Arial" w:hAnsi="Arial" w:cs="Arial"/>
          <w:sz w:val="19"/>
          <w:szCs w:val="19"/>
        </w:rPr>
        <w:footnoteRef/>
      </w:r>
      <w:r w:rsidRPr="00CB7E8C">
        <w:rPr>
          <w:rFonts w:ascii="Arial" w:hAnsi="Arial" w:cs="Arial"/>
          <w:sz w:val="19"/>
          <w:szCs w:val="19"/>
        </w:rPr>
        <w:t xml:space="preserve"> 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w:t>
      </w:r>
      <w:r w:rsidRPr="00CB7E8C">
        <w:rPr>
          <w:rFonts w:ascii="Arial" w:hAnsi="Arial" w:cs="Arial"/>
          <w:spacing w:val="-6"/>
          <w:sz w:val="19"/>
          <w:szCs w:val="19"/>
        </w:rPr>
        <w:t xml:space="preserve"> </w:t>
      </w:r>
      <w:r w:rsidRPr="00CB7E8C">
        <w:rPr>
          <w:rFonts w:ascii="Arial" w:hAnsi="Arial" w:cs="Arial"/>
          <w:sz w:val="19"/>
          <w:szCs w:val="19"/>
        </w:rPr>
        <w:t>artículo».</w:t>
      </w:r>
    </w:p>
  </w:footnote>
  <w:footnote w:id="24">
    <w:p w14:paraId="48E360E2" w14:textId="77777777" w:rsidR="00CC1950" w:rsidRPr="00CB7E8C" w:rsidRDefault="00CC1950" w:rsidP="00CB7E8C">
      <w:pPr>
        <w:spacing w:after="0" w:line="240" w:lineRule="auto"/>
        <w:ind w:firstLine="709"/>
        <w:contextualSpacing/>
        <w:jc w:val="both"/>
        <w:rPr>
          <w:rFonts w:ascii="Arial" w:hAnsi="Arial" w:cs="Arial"/>
          <w:position w:val="7"/>
          <w:sz w:val="19"/>
          <w:szCs w:val="19"/>
        </w:rPr>
      </w:pPr>
    </w:p>
    <w:p w14:paraId="56089D09" w14:textId="100731F4" w:rsidR="00CC1950" w:rsidRDefault="00CC1950" w:rsidP="00CB7E8C">
      <w:pPr>
        <w:spacing w:after="0" w:line="240" w:lineRule="auto"/>
        <w:ind w:firstLine="709"/>
        <w:contextualSpacing/>
        <w:jc w:val="both"/>
        <w:rPr>
          <w:rFonts w:ascii="Arial" w:hAnsi="Arial" w:cs="Arial"/>
          <w:sz w:val="19"/>
          <w:szCs w:val="19"/>
        </w:rPr>
      </w:pPr>
      <w:r w:rsidRPr="00CB7E8C">
        <w:rPr>
          <w:rStyle w:val="Refdenotaalpie"/>
          <w:rFonts w:ascii="Arial" w:hAnsi="Arial" w:cs="Arial"/>
          <w:sz w:val="19"/>
          <w:szCs w:val="19"/>
        </w:rPr>
        <w:footnoteRef/>
      </w:r>
      <w:r w:rsidRPr="00CB7E8C">
        <w:rPr>
          <w:rFonts w:ascii="Arial" w:hAnsi="Arial" w:cs="Arial"/>
          <w:position w:val="7"/>
          <w:sz w:val="19"/>
          <w:szCs w:val="19"/>
        </w:rPr>
        <w:t xml:space="preserve"> </w:t>
      </w:r>
      <w:r w:rsidRPr="00CB7E8C">
        <w:rPr>
          <w:rFonts w:ascii="Arial" w:hAnsi="Arial" w:cs="Arial"/>
          <w:sz w:val="19"/>
          <w:szCs w:val="19"/>
        </w:rPr>
        <w:t>Consejo de Estado. Sección Tercera. Sentencia del 23 de junio de 2010. Radicación No. 66001-23-31-000-1998-00261-01(17.860). Consejero Ponente: Mauricio Fajardo Gómez.</w:t>
      </w:r>
    </w:p>
    <w:p w14:paraId="7F142831" w14:textId="77777777" w:rsidR="00175D93" w:rsidRPr="00CB7E8C" w:rsidRDefault="00175D93" w:rsidP="00CB7E8C">
      <w:pPr>
        <w:spacing w:after="0" w:line="240" w:lineRule="auto"/>
        <w:ind w:firstLine="709"/>
        <w:contextualSpacing/>
        <w:jc w:val="both"/>
        <w:rPr>
          <w:rFonts w:ascii="Arial" w:hAnsi="Arial" w:cs="Arial"/>
          <w:sz w:val="19"/>
          <w:szCs w:val="19"/>
        </w:rPr>
      </w:pPr>
    </w:p>
  </w:footnote>
  <w:footnote w:id="25">
    <w:p w14:paraId="237D416E" w14:textId="77777777" w:rsidR="00CC1950" w:rsidRPr="00CB7E8C" w:rsidRDefault="00CC1950" w:rsidP="00CB7E8C">
      <w:pPr>
        <w:spacing w:after="0" w:line="240" w:lineRule="auto"/>
        <w:ind w:firstLine="709"/>
        <w:contextualSpacing/>
        <w:jc w:val="both"/>
        <w:rPr>
          <w:rFonts w:ascii="Arial" w:hAnsi="Arial" w:cs="Arial"/>
          <w:sz w:val="19"/>
          <w:szCs w:val="19"/>
        </w:rPr>
      </w:pPr>
      <w:r w:rsidRPr="00CB7E8C">
        <w:rPr>
          <w:rStyle w:val="Refdenotaalpie"/>
          <w:rFonts w:ascii="Arial" w:hAnsi="Arial" w:cs="Arial"/>
          <w:sz w:val="19"/>
          <w:szCs w:val="19"/>
        </w:rPr>
        <w:footnoteRef/>
      </w:r>
      <w:r w:rsidRPr="00CB7E8C">
        <w:rPr>
          <w:rFonts w:ascii="Arial" w:hAnsi="Arial" w:cs="Arial"/>
          <w:sz w:val="19"/>
          <w:szCs w:val="19"/>
        </w:rPr>
        <w:t xml:space="preserve"> Consejo de Estado. Sección Tercera. Subsección C. Sentencia del 11 de diciembre de 2019. </w:t>
      </w:r>
      <w:proofErr w:type="spellStart"/>
      <w:r w:rsidRPr="00CB7E8C">
        <w:rPr>
          <w:rFonts w:ascii="Arial" w:hAnsi="Arial" w:cs="Arial"/>
          <w:sz w:val="19"/>
          <w:szCs w:val="19"/>
        </w:rPr>
        <w:t>Exp</w:t>
      </w:r>
      <w:proofErr w:type="spellEnd"/>
      <w:r w:rsidRPr="00CB7E8C">
        <w:rPr>
          <w:rFonts w:ascii="Arial" w:hAnsi="Arial" w:cs="Arial"/>
          <w:sz w:val="19"/>
          <w:szCs w:val="19"/>
        </w:rPr>
        <w:t>. 46.986. C.P. Jaime Enrique Rodríguez Navas.</w:t>
      </w:r>
    </w:p>
    <w:p w14:paraId="1743E6AA" w14:textId="77777777" w:rsidR="00CC1950" w:rsidRPr="00CB7E8C" w:rsidRDefault="00CC1950" w:rsidP="00CB7E8C">
      <w:pPr>
        <w:spacing w:after="0" w:line="240" w:lineRule="auto"/>
        <w:ind w:firstLine="709"/>
        <w:contextualSpacing/>
        <w:jc w:val="both"/>
        <w:rPr>
          <w:rFonts w:ascii="Arial" w:hAnsi="Arial" w:cs="Arial"/>
          <w:sz w:val="19"/>
          <w:szCs w:val="19"/>
        </w:rPr>
      </w:pPr>
    </w:p>
  </w:footnote>
  <w:footnote w:id="26">
    <w:p w14:paraId="22F4C919" w14:textId="77777777" w:rsidR="00CC1950" w:rsidRPr="00CB7E8C" w:rsidRDefault="00CC1950" w:rsidP="00CB7E8C">
      <w:pPr>
        <w:pStyle w:val="Textonotapie"/>
        <w:spacing w:after="0" w:line="240" w:lineRule="auto"/>
        <w:ind w:firstLine="708"/>
        <w:contextualSpacing/>
        <w:rPr>
          <w:rFonts w:ascii="Arial" w:hAnsi="Arial" w:cs="Arial"/>
          <w:sz w:val="19"/>
          <w:szCs w:val="19"/>
        </w:rPr>
      </w:pPr>
      <w:r w:rsidRPr="00CB7E8C">
        <w:rPr>
          <w:rStyle w:val="Refdenotaalpie"/>
          <w:rFonts w:ascii="Arial" w:hAnsi="Arial" w:cs="Arial"/>
          <w:sz w:val="19"/>
          <w:szCs w:val="19"/>
        </w:rPr>
        <w:footnoteRef/>
      </w:r>
      <w:r w:rsidRPr="00CB7E8C">
        <w:rPr>
          <w:rFonts w:ascii="Arial" w:hAnsi="Arial" w:cs="Arial"/>
          <w:sz w:val="19"/>
          <w:szCs w:val="19"/>
        </w:rPr>
        <w:t xml:space="preserve"> [Referencia propia de la cita] «CE. SCSC. Concepto de 1 de noviembre de 2016 [Rad. 11001-03-06-000-2016-00125-00(2305)]. MP. Germán Alberto Bula Escobar».</w:t>
      </w:r>
    </w:p>
    <w:p w14:paraId="23D3868C" w14:textId="77777777" w:rsidR="00CC1950" w:rsidRPr="00CB7E8C" w:rsidRDefault="00CC1950" w:rsidP="00CB7E8C">
      <w:pPr>
        <w:pStyle w:val="Textonotapie"/>
        <w:spacing w:after="0" w:line="240" w:lineRule="auto"/>
        <w:ind w:firstLine="708"/>
        <w:contextualSpacing/>
        <w:rPr>
          <w:rFonts w:ascii="Arial" w:hAnsi="Arial" w:cs="Arial"/>
          <w:sz w:val="19"/>
          <w:szCs w:val="19"/>
        </w:rPr>
      </w:pPr>
    </w:p>
  </w:footnote>
  <w:footnote w:id="27">
    <w:p w14:paraId="04DD60C3" w14:textId="77777777" w:rsidR="00CC1950" w:rsidRPr="00CB7E8C" w:rsidRDefault="00CC1950" w:rsidP="00CB7E8C">
      <w:pPr>
        <w:pStyle w:val="Textonotapie"/>
        <w:spacing w:after="0" w:line="240" w:lineRule="auto"/>
        <w:ind w:firstLine="708"/>
        <w:contextualSpacing/>
        <w:rPr>
          <w:rFonts w:ascii="Arial" w:hAnsi="Arial" w:cs="Arial"/>
          <w:sz w:val="19"/>
          <w:szCs w:val="19"/>
        </w:rPr>
      </w:pPr>
      <w:r w:rsidRPr="00CB7E8C">
        <w:rPr>
          <w:rStyle w:val="Refdenotaalpie"/>
          <w:rFonts w:ascii="Arial" w:hAnsi="Arial" w:cs="Arial"/>
          <w:sz w:val="19"/>
          <w:szCs w:val="19"/>
        </w:rPr>
        <w:footnoteRef/>
      </w:r>
      <w:r w:rsidRPr="00CB7E8C">
        <w:rPr>
          <w:rFonts w:ascii="Arial" w:hAnsi="Arial" w:cs="Arial"/>
          <w:sz w:val="19"/>
          <w:szCs w:val="19"/>
        </w:rPr>
        <w:t xml:space="preserve"> [Referencia propia de la cita] «CE. SCSC. Concepto de 30 de abril de 2008 [Rad. 11001-03-06-000-2008-00013-00(1881)]. MP. Enrique José Arboleda Perdomo. En esta oportunidad, la Sala indicó que el contenido </w:t>
      </w:r>
      <w:r w:rsidRPr="00CB7E8C">
        <w:rPr>
          <w:rFonts w:ascii="Arial" w:hAnsi="Arial" w:cs="Arial"/>
          <w:i/>
          <w:sz w:val="19"/>
          <w:szCs w:val="19"/>
        </w:rPr>
        <w:t>“obligacional”</w:t>
      </w:r>
      <w:r w:rsidRPr="00CB7E8C">
        <w:rPr>
          <w:rFonts w:ascii="Arial" w:hAnsi="Arial" w:cs="Arial"/>
          <w:sz w:val="19"/>
          <w:szCs w:val="19"/>
        </w:rPr>
        <w:t xml:space="preserve"> de los convenios se estructura definiendo el resultado querido por las partes y los medios que cada entidad despliega para la obtención del respectivo objeto».</w:t>
      </w:r>
    </w:p>
  </w:footnote>
  <w:footnote w:id="28">
    <w:p w14:paraId="3BD5B949" w14:textId="77777777" w:rsidR="00CC1950" w:rsidRPr="00CB7E8C" w:rsidRDefault="00CC1950" w:rsidP="00CB7E8C">
      <w:pPr>
        <w:pStyle w:val="Textonotapie"/>
        <w:spacing w:after="0" w:line="240" w:lineRule="auto"/>
        <w:ind w:firstLine="708"/>
        <w:contextualSpacing/>
        <w:rPr>
          <w:rFonts w:ascii="Arial" w:hAnsi="Arial" w:cs="Arial"/>
          <w:sz w:val="19"/>
          <w:szCs w:val="19"/>
        </w:rPr>
      </w:pPr>
    </w:p>
    <w:p w14:paraId="1131F1F3" w14:textId="77777777" w:rsidR="00CC1950" w:rsidRPr="00CB7E8C" w:rsidRDefault="00CC1950" w:rsidP="00CB7E8C">
      <w:pPr>
        <w:pStyle w:val="Textonotapie"/>
        <w:spacing w:after="0" w:line="240" w:lineRule="auto"/>
        <w:ind w:firstLine="708"/>
        <w:contextualSpacing/>
        <w:rPr>
          <w:rFonts w:ascii="Arial" w:hAnsi="Arial" w:cs="Arial"/>
          <w:sz w:val="19"/>
          <w:szCs w:val="19"/>
        </w:rPr>
      </w:pPr>
      <w:r w:rsidRPr="00CB7E8C">
        <w:rPr>
          <w:rStyle w:val="Refdenotaalpie"/>
          <w:rFonts w:ascii="Arial" w:hAnsi="Arial" w:cs="Arial"/>
          <w:sz w:val="19"/>
          <w:szCs w:val="19"/>
        </w:rPr>
        <w:footnoteRef/>
      </w:r>
      <w:r w:rsidRPr="00CB7E8C">
        <w:rPr>
          <w:rFonts w:ascii="Arial" w:hAnsi="Arial" w:cs="Arial"/>
          <w:sz w:val="19"/>
          <w:szCs w:val="19"/>
        </w:rPr>
        <w:t xml:space="preserve"> [Referencia propia de la cita] «La normativa vigente del EGCAP </w:t>
      </w:r>
      <w:r w:rsidRPr="00CB7E8C">
        <w:rPr>
          <w:rFonts w:ascii="Arial" w:hAnsi="Arial" w:cs="Arial"/>
          <w:i/>
          <w:sz w:val="19"/>
          <w:szCs w:val="19"/>
        </w:rPr>
        <w:t>[literal c) del numeral 4. del artículo 2 de la Ley 1150/07]</w:t>
      </w:r>
      <w:r w:rsidRPr="00CB7E8C">
        <w:rPr>
          <w:rFonts w:ascii="Arial" w:hAnsi="Arial" w:cs="Arial"/>
          <w:sz w:val="19"/>
          <w:szCs w:val="19"/>
        </w:rPr>
        <w:t xml:space="preserve"> se refiere a </w:t>
      </w:r>
      <w:r w:rsidRPr="00CB7E8C">
        <w:rPr>
          <w:rFonts w:ascii="Arial" w:hAnsi="Arial" w:cs="Arial"/>
          <w:i/>
          <w:sz w:val="19"/>
          <w:szCs w:val="19"/>
        </w:rPr>
        <w:t>“contratos interadministrativos”</w:t>
      </w:r>
      <w:r w:rsidRPr="00CB7E8C">
        <w:rPr>
          <w:rFonts w:ascii="Arial" w:hAnsi="Arial" w:cs="Arial"/>
          <w:sz w:val="19"/>
          <w:szCs w:val="19"/>
        </w:rPr>
        <w:t xml:space="preserve"> en los que sí existe dicha contraposición de intereses, lo cual obedece a que las relaciones obligatorias que estos plantean, a diferencia de los regulados por el artículo 95 de la Ley 489/98, carecen de la finalidad asociativa, en la medida en que persiguen preponderantemente la satisfacción de necesidades contractuales de las entidades estatales, sin perjuicio de los fines que motivan la contratación en los términos del artículo 3 de la Ley 80/93».</w:t>
      </w:r>
    </w:p>
    <w:p w14:paraId="441BB53E" w14:textId="77777777" w:rsidR="00CC1950" w:rsidRPr="00CB7E8C" w:rsidRDefault="00CC1950" w:rsidP="00CB7E8C">
      <w:pPr>
        <w:pStyle w:val="Textonotapie"/>
        <w:spacing w:after="0" w:line="240" w:lineRule="auto"/>
        <w:ind w:firstLine="708"/>
        <w:contextualSpacing/>
        <w:rPr>
          <w:rFonts w:ascii="Arial" w:hAnsi="Arial" w:cs="Arial"/>
          <w:sz w:val="19"/>
          <w:szCs w:val="19"/>
        </w:rPr>
      </w:pPr>
    </w:p>
  </w:footnote>
  <w:footnote w:id="29">
    <w:p w14:paraId="7604EDAD" w14:textId="77777777" w:rsidR="00CC1950" w:rsidRPr="00CB7E8C" w:rsidRDefault="00CC1950" w:rsidP="00CB7E8C">
      <w:pPr>
        <w:pStyle w:val="Textonotapie"/>
        <w:spacing w:after="0" w:line="240" w:lineRule="auto"/>
        <w:ind w:firstLine="708"/>
        <w:contextualSpacing/>
        <w:rPr>
          <w:rFonts w:ascii="Arial" w:hAnsi="Arial" w:cs="Arial"/>
          <w:sz w:val="19"/>
          <w:szCs w:val="19"/>
        </w:rPr>
      </w:pPr>
      <w:r w:rsidRPr="00CB7E8C">
        <w:rPr>
          <w:rStyle w:val="Refdenotaalpie"/>
          <w:rFonts w:ascii="Arial" w:hAnsi="Arial" w:cs="Arial"/>
          <w:sz w:val="19"/>
          <w:szCs w:val="19"/>
        </w:rPr>
        <w:footnoteRef/>
      </w:r>
      <w:r w:rsidRPr="00CB7E8C">
        <w:rPr>
          <w:rFonts w:ascii="Arial" w:hAnsi="Arial" w:cs="Arial"/>
          <w:sz w:val="19"/>
          <w:szCs w:val="19"/>
        </w:rPr>
        <w:t xml:space="preserve"> En línea con lo anterior, la Sala de Consulta y Servicio Civil del Consejo de Estado expresó lo siguiente: «La noción convenio interadministrativo es diferente a la de contrato interadministrativo. Los contratos interadministrativos se distinguen de los convenios interadministrativos en que en los primeros existe entre las entidades estatales partes intereses opuestos y se persigue una contraprestación o precio por la adquisición de bienes o la prestación de servicios o la realización de una obra, mientras que en los segundos las entidades partes se encuentran en pie de igualdad, tienen intereses comunes para lograr una finalidad estatal impuesta por la Constitución o la ley a las mismas, sin que tengan un interés puramente económico (es decir, destinados a obtener una ganancia)». (Consejo de Estado. Sala de Consulta y Servicio Civil. Concepto 26 de julio de 2016. </w:t>
      </w:r>
      <w:proofErr w:type="spellStart"/>
      <w:r w:rsidRPr="00CB7E8C">
        <w:rPr>
          <w:rFonts w:ascii="Arial" w:hAnsi="Arial" w:cs="Arial"/>
          <w:sz w:val="19"/>
          <w:szCs w:val="19"/>
        </w:rPr>
        <w:t>Exp</w:t>
      </w:r>
      <w:proofErr w:type="spellEnd"/>
      <w:r w:rsidRPr="00CB7E8C">
        <w:rPr>
          <w:rFonts w:ascii="Arial" w:hAnsi="Arial" w:cs="Arial"/>
          <w:sz w:val="19"/>
          <w:szCs w:val="19"/>
        </w:rPr>
        <w:t xml:space="preserve">. 2.257. M.P. Álvaro </w:t>
      </w:r>
      <w:proofErr w:type="spellStart"/>
      <w:r w:rsidRPr="00CB7E8C">
        <w:rPr>
          <w:rFonts w:ascii="Arial" w:hAnsi="Arial" w:cs="Arial"/>
          <w:sz w:val="19"/>
          <w:szCs w:val="19"/>
        </w:rPr>
        <w:t>Namén</w:t>
      </w:r>
      <w:proofErr w:type="spellEnd"/>
      <w:r w:rsidRPr="00CB7E8C">
        <w:rPr>
          <w:rFonts w:ascii="Arial" w:hAnsi="Arial" w:cs="Arial"/>
          <w:sz w:val="19"/>
          <w:szCs w:val="19"/>
        </w:rPr>
        <w:t xml:space="preserve"> Vargas).</w:t>
      </w:r>
    </w:p>
    <w:p w14:paraId="361F041A" w14:textId="77777777" w:rsidR="00CC1950" w:rsidRPr="00CB7E8C" w:rsidRDefault="00CC1950" w:rsidP="00CB7E8C">
      <w:pPr>
        <w:pStyle w:val="Textonotapie"/>
        <w:spacing w:after="0" w:line="240" w:lineRule="auto"/>
        <w:ind w:firstLine="708"/>
        <w:contextualSpacing/>
        <w:rPr>
          <w:rFonts w:ascii="Arial" w:hAnsi="Arial" w:cs="Arial"/>
          <w:sz w:val="19"/>
          <w:szCs w:val="19"/>
        </w:rPr>
      </w:pPr>
    </w:p>
  </w:footnote>
  <w:footnote w:id="30">
    <w:p w14:paraId="5EED35D5" w14:textId="77777777" w:rsidR="00CC1950" w:rsidRPr="00CB7E8C" w:rsidRDefault="00CC1950" w:rsidP="00CB7E8C">
      <w:pPr>
        <w:pStyle w:val="Textonotapie"/>
        <w:spacing w:after="0" w:line="240" w:lineRule="auto"/>
        <w:ind w:firstLine="708"/>
        <w:contextualSpacing/>
        <w:rPr>
          <w:rFonts w:ascii="Arial" w:hAnsi="Arial" w:cs="Arial"/>
          <w:sz w:val="19"/>
          <w:szCs w:val="19"/>
        </w:rPr>
      </w:pPr>
      <w:r w:rsidRPr="00CB7E8C">
        <w:rPr>
          <w:rStyle w:val="Refdenotaalpie"/>
          <w:rFonts w:ascii="Arial" w:hAnsi="Arial" w:cs="Arial"/>
          <w:sz w:val="19"/>
          <w:szCs w:val="19"/>
        </w:rPr>
        <w:footnoteRef/>
      </w:r>
      <w:r w:rsidRPr="00CB7E8C">
        <w:rPr>
          <w:rFonts w:ascii="Arial" w:hAnsi="Arial" w:cs="Arial"/>
          <w:sz w:val="19"/>
          <w:szCs w:val="19"/>
        </w:rPr>
        <w:t xml:space="preserve"> Es lo que sucede, por ejemplo, con el Decreto 092 de 2017, que en su desarrollo hace referencia tanto a los «contratos» como a los «convenios». </w:t>
      </w:r>
    </w:p>
    <w:p w14:paraId="4D3704CB" w14:textId="77777777" w:rsidR="00CC1950" w:rsidRPr="00CB7E8C" w:rsidRDefault="00CC1950" w:rsidP="00CB7E8C">
      <w:pPr>
        <w:pStyle w:val="Textonotapie"/>
        <w:spacing w:after="0" w:line="240" w:lineRule="auto"/>
        <w:ind w:firstLine="708"/>
        <w:contextualSpacing/>
        <w:rPr>
          <w:rFonts w:ascii="Arial" w:hAnsi="Arial" w:cs="Arial"/>
          <w:sz w:val="19"/>
          <w:szCs w:val="19"/>
          <w:lang w:val="es-CO"/>
        </w:rPr>
      </w:pPr>
    </w:p>
  </w:footnote>
  <w:footnote w:id="31">
    <w:p w14:paraId="755289E6" w14:textId="36128B28" w:rsidR="00175D93" w:rsidRPr="00CB7E8C" w:rsidRDefault="00CC1950" w:rsidP="00CB7E8C">
      <w:pPr>
        <w:pStyle w:val="Textonotapie"/>
        <w:spacing w:after="0" w:line="240" w:lineRule="auto"/>
        <w:ind w:firstLine="708"/>
        <w:contextualSpacing/>
        <w:rPr>
          <w:rFonts w:ascii="Arial" w:hAnsi="Arial" w:cs="Arial"/>
          <w:sz w:val="19"/>
          <w:szCs w:val="19"/>
          <w:lang w:val="es-CO"/>
        </w:rPr>
      </w:pPr>
      <w:r w:rsidRPr="00CB7E8C">
        <w:rPr>
          <w:rStyle w:val="Refdenotaalpie"/>
          <w:rFonts w:ascii="Arial" w:hAnsi="Arial" w:cs="Arial"/>
          <w:sz w:val="19"/>
          <w:szCs w:val="19"/>
        </w:rPr>
        <w:footnoteRef/>
      </w:r>
      <w:r w:rsidRPr="00CB7E8C">
        <w:rPr>
          <w:rFonts w:ascii="Arial" w:hAnsi="Arial" w:cs="Arial"/>
          <w:sz w:val="19"/>
          <w:szCs w:val="19"/>
        </w:rPr>
        <w:t xml:space="preserve"> A pesar de que la norma se refiere únicamente a los contratos interadministrativos, esto no implica que la excepción a la licitación pública sólo se aplique a éstos y no a los convenios interadministrativos, puesto que ello conduciría a una interpretación irrazonable según la cual esta modalidad contractual, cuyo objeto y finalidad sólo interesa a la administración, deba ser celebrado siguiendo el procedimiento de selección objetiva y en la cual únicamente será proponente aquélla. En tal sentido, la causal de contratación directa es aplicable a los convenios y a los contratos interadministrativos». (Corte Constitucional. Sentencia C-671 de 2015. M.P. Alberto Rojas Ríos).</w:t>
      </w:r>
    </w:p>
  </w:footnote>
  <w:footnote w:id="32">
    <w:p w14:paraId="714104C0" w14:textId="77777777" w:rsidR="00E1537C" w:rsidRPr="00CB7E8C" w:rsidRDefault="00E1537C" w:rsidP="00CB7E8C">
      <w:pPr>
        <w:spacing w:after="0" w:line="240" w:lineRule="auto"/>
        <w:ind w:firstLine="708"/>
        <w:contextualSpacing/>
        <w:jc w:val="both"/>
        <w:rPr>
          <w:rFonts w:ascii="Arial" w:eastAsia="Calibri" w:hAnsi="Arial" w:cs="Arial"/>
          <w:color w:val="000000" w:themeColor="text1"/>
          <w:sz w:val="19"/>
          <w:szCs w:val="19"/>
        </w:rPr>
      </w:pPr>
      <w:r w:rsidRPr="00CB7E8C">
        <w:rPr>
          <w:rStyle w:val="Refdenotaalpie"/>
          <w:rFonts w:ascii="Arial" w:hAnsi="Arial" w:cs="Arial"/>
          <w:color w:val="000000" w:themeColor="text1"/>
          <w:sz w:val="19"/>
          <w:szCs w:val="19"/>
        </w:rPr>
        <w:footnoteRef/>
      </w:r>
      <w:r w:rsidRPr="00CB7E8C">
        <w:rPr>
          <w:rFonts w:ascii="Arial" w:hAnsi="Arial" w:cs="Arial"/>
          <w:color w:val="000000" w:themeColor="text1"/>
          <w:sz w:val="19"/>
          <w:szCs w:val="19"/>
        </w:rPr>
        <w:t xml:space="preserve"> </w:t>
      </w:r>
      <w:r w:rsidRPr="00CB7E8C">
        <w:rPr>
          <w:rFonts w:ascii="Arial" w:eastAsia="Calibri" w:hAnsi="Arial" w:cs="Arial"/>
          <w:color w:val="000000" w:themeColor="text1"/>
          <w:sz w:val="19"/>
          <w:szCs w:val="19"/>
        </w:rPr>
        <w:t xml:space="preserve">«ARTÍCULO 124. Con el propósito de promover la reactivación económica y la generación de empleo en las regiones, a partir de la publicación de la presente ley y durante la vigencia fiscal 2022, </w:t>
      </w:r>
      <w:r w:rsidRPr="00CB7E8C">
        <w:rPr>
          <w:rFonts w:ascii="Arial" w:eastAsia="Calibri" w:hAnsi="Arial" w:cs="Arial"/>
          <w:i/>
          <w:color w:val="000000" w:themeColor="text1"/>
          <w:sz w:val="19"/>
          <w:szCs w:val="19"/>
        </w:rPr>
        <w:t>la Nación podrá celebrar convenios interadministrativos con las entidades territoriales para ejecutar programas y proyectos correspondientes al Presupuesto General de la Nación.</w:t>
      </w:r>
    </w:p>
    <w:p w14:paraId="66602831" w14:textId="77777777" w:rsidR="00E1537C" w:rsidRPr="00CB7E8C" w:rsidRDefault="00E1537C" w:rsidP="00CB7E8C">
      <w:pPr>
        <w:spacing w:after="0" w:line="240" w:lineRule="auto"/>
        <w:ind w:firstLine="708"/>
        <w:contextualSpacing/>
        <w:jc w:val="both"/>
        <w:rPr>
          <w:rFonts w:ascii="Arial" w:eastAsia="Calibri" w:hAnsi="Arial" w:cs="Arial"/>
          <w:color w:val="000000" w:themeColor="text1"/>
          <w:sz w:val="19"/>
          <w:szCs w:val="19"/>
        </w:rPr>
      </w:pPr>
      <w:proofErr w:type="gramStart"/>
      <w:r w:rsidRPr="00CB7E8C">
        <w:rPr>
          <w:rFonts w:ascii="Arial" w:eastAsia="Calibri" w:hAnsi="Arial" w:cs="Arial"/>
          <w:color w:val="000000" w:themeColor="text1"/>
          <w:sz w:val="19"/>
          <w:szCs w:val="19"/>
        </w:rPr>
        <w:t>»La</w:t>
      </w:r>
      <w:proofErr w:type="gramEnd"/>
      <w:r w:rsidRPr="00CB7E8C">
        <w:rPr>
          <w:rFonts w:ascii="Arial" w:eastAsia="Calibri" w:hAnsi="Arial" w:cs="Arial"/>
          <w:color w:val="000000" w:themeColor="text1"/>
          <w:sz w:val="19"/>
          <w:szCs w:val="19"/>
        </w:rPr>
        <w:t xml:space="preserve"> presente disposición modifica únicamente en la parte pertinente el inciso primero del parágrafo del artículo 38 de la Ley 996 de 2005.</w:t>
      </w:r>
    </w:p>
    <w:p w14:paraId="11F2D61E" w14:textId="7A813F60" w:rsidR="00E1537C" w:rsidRDefault="00E1537C" w:rsidP="00CB7E8C">
      <w:pPr>
        <w:pStyle w:val="Textonotapie"/>
        <w:spacing w:after="0" w:line="240" w:lineRule="auto"/>
        <w:ind w:firstLine="708"/>
        <w:contextualSpacing/>
        <w:rPr>
          <w:rFonts w:ascii="Arial" w:eastAsia="Calibri" w:hAnsi="Arial" w:cs="Arial"/>
          <w:color w:val="000000" w:themeColor="text1"/>
          <w:sz w:val="19"/>
          <w:szCs w:val="19"/>
        </w:rPr>
      </w:pPr>
      <w:proofErr w:type="gramStart"/>
      <w:r w:rsidRPr="00CB7E8C">
        <w:rPr>
          <w:rFonts w:ascii="Arial" w:eastAsia="Calibri" w:hAnsi="Arial" w:cs="Arial"/>
          <w:color w:val="000000" w:themeColor="text1"/>
          <w:sz w:val="19"/>
          <w:szCs w:val="19"/>
        </w:rPr>
        <w:t>»PARÁGRAFO</w:t>
      </w:r>
      <w:proofErr w:type="gramEnd"/>
      <w:r w:rsidRPr="00CB7E8C">
        <w:rPr>
          <w:rFonts w:ascii="Arial" w:eastAsia="Calibri" w:hAnsi="Arial" w:cs="Arial"/>
          <w:color w:val="000000" w:themeColor="text1"/>
          <w:sz w:val="19"/>
          <w:szCs w:val="19"/>
        </w:rPr>
        <w:t>. Todos los convenios que se suscriban bajo el amparo de la presente disposición serán objeto de control especial por parte de la Contraloría General de la República. El Contralor General de la República determinará, en el marco de sus competencias constitucionales y legales, la forma en que se ejercerá dicho control especial» (</w:t>
      </w:r>
      <w:r w:rsidRPr="00CB7E8C">
        <w:rPr>
          <w:rFonts w:ascii="Arial" w:eastAsia="Calibri" w:hAnsi="Arial" w:cs="Arial"/>
          <w:color w:val="000000" w:themeColor="text1"/>
          <w:sz w:val="19"/>
          <w:szCs w:val="19"/>
          <w:lang w:val="es-CO"/>
        </w:rPr>
        <w:t>Cursiva</w:t>
      </w:r>
      <w:r w:rsidRPr="00CB7E8C">
        <w:rPr>
          <w:rFonts w:ascii="Arial" w:eastAsia="Calibri" w:hAnsi="Arial" w:cs="Arial"/>
          <w:color w:val="000000" w:themeColor="text1"/>
          <w:sz w:val="19"/>
          <w:szCs w:val="19"/>
        </w:rPr>
        <w:t xml:space="preserve"> fuera de texto).</w:t>
      </w:r>
    </w:p>
    <w:p w14:paraId="4B694BC6" w14:textId="77777777" w:rsidR="00175D93" w:rsidRPr="00CB7E8C" w:rsidRDefault="00175D93" w:rsidP="00CB7E8C">
      <w:pPr>
        <w:pStyle w:val="Textonotapie"/>
        <w:spacing w:after="0" w:line="240" w:lineRule="auto"/>
        <w:ind w:firstLine="708"/>
        <w:contextualSpacing/>
        <w:rPr>
          <w:rFonts w:ascii="Arial" w:hAnsi="Arial" w:cs="Arial"/>
          <w:color w:val="000000" w:themeColor="text1"/>
          <w:sz w:val="19"/>
          <w:szCs w:val="19"/>
          <w:lang w:val="es-ES"/>
        </w:rPr>
      </w:pPr>
    </w:p>
  </w:footnote>
  <w:footnote w:id="33">
    <w:p w14:paraId="2C0CE91C" w14:textId="218CB530" w:rsidR="00E1537C" w:rsidRDefault="00E1537C" w:rsidP="00CB7E8C">
      <w:pPr>
        <w:pStyle w:val="Textonotapie"/>
        <w:spacing w:after="0" w:line="240" w:lineRule="auto"/>
        <w:ind w:firstLine="708"/>
        <w:contextualSpacing/>
        <w:rPr>
          <w:rFonts w:ascii="Arial" w:hAnsi="Arial" w:cs="Arial"/>
          <w:color w:val="000000" w:themeColor="text1"/>
          <w:sz w:val="19"/>
          <w:szCs w:val="19"/>
        </w:rPr>
      </w:pPr>
      <w:r w:rsidRPr="00CB7E8C">
        <w:rPr>
          <w:rStyle w:val="Refdenotaalpie"/>
          <w:rFonts w:ascii="Arial" w:hAnsi="Arial" w:cs="Arial"/>
          <w:color w:val="000000" w:themeColor="text1"/>
          <w:sz w:val="19"/>
          <w:szCs w:val="19"/>
        </w:rPr>
        <w:footnoteRef/>
      </w:r>
      <w:r w:rsidRPr="00CB7E8C">
        <w:rPr>
          <w:rFonts w:ascii="Arial" w:hAnsi="Arial" w:cs="Arial"/>
          <w:color w:val="000000" w:themeColor="text1"/>
          <w:sz w:val="19"/>
          <w:szCs w:val="19"/>
        </w:rPr>
        <w:t xml:space="preserve"> En relación con el alcance del artículo 124 de la Ley 2195 de 2022, se pueden consultar, entre otros, los conceptos C-736 del 31 de enero de 2022.</w:t>
      </w:r>
    </w:p>
    <w:p w14:paraId="2E0FA624" w14:textId="77777777" w:rsidR="00175D93" w:rsidRPr="00CB7E8C" w:rsidRDefault="00175D93" w:rsidP="00CB7E8C">
      <w:pPr>
        <w:pStyle w:val="Textonotapie"/>
        <w:spacing w:after="0" w:line="240" w:lineRule="auto"/>
        <w:ind w:firstLine="708"/>
        <w:contextualSpacing/>
        <w:rPr>
          <w:rFonts w:ascii="Arial" w:hAnsi="Arial" w:cs="Arial"/>
          <w:color w:val="000000" w:themeColor="text1"/>
          <w:sz w:val="19"/>
          <w:szCs w:val="19"/>
        </w:rPr>
      </w:pPr>
    </w:p>
  </w:footnote>
  <w:footnote w:id="34">
    <w:p w14:paraId="06579118" w14:textId="2965734B" w:rsidR="00E1537C" w:rsidRDefault="00E1537C" w:rsidP="00CB7E8C">
      <w:pPr>
        <w:pStyle w:val="Textonotapie"/>
        <w:spacing w:after="0" w:line="240" w:lineRule="auto"/>
        <w:ind w:firstLine="709"/>
        <w:contextualSpacing/>
        <w:rPr>
          <w:rFonts w:ascii="Arial" w:hAnsi="Arial" w:cs="Arial"/>
          <w:sz w:val="19"/>
          <w:szCs w:val="19"/>
        </w:rPr>
      </w:pPr>
      <w:r w:rsidRPr="00CB7E8C">
        <w:rPr>
          <w:rStyle w:val="Refdenotaalpie"/>
          <w:rFonts w:ascii="Arial" w:hAnsi="Arial" w:cs="Arial"/>
          <w:sz w:val="19"/>
          <w:szCs w:val="19"/>
        </w:rPr>
        <w:footnoteRef/>
      </w:r>
      <w:r w:rsidRPr="00CB7E8C">
        <w:rPr>
          <w:rFonts w:ascii="Arial" w:hAnsi="Arial" w:cs="Arial"/>
          <w:sz w:val="19"/>
          <w:szCs w:val="19"/>
        </w:rPr>
        <w:t xml:space="preserve"> Consejo de Estado. Sala de Consulta y Servicio Civil. Concepto del 15 de noviembre de 2007. Expediente número 1863. Consejero Ponente: Luis Fernando Álvarez Jaramillo.</w:t>
      </w:r>
    </w:p>
    <w:p w14:paraId="3404D146" w14:textId="77777777" w:rsidR="00175D93" w:rsidRPr="00CB7E8C" w:rsidRDefault="00175D93" w:rsidP="00CB7E8C">
      <w:pPr>
        <w:pStyle w:val="Textonotapie"/>
        <w:spacing w:after="0" w:line="240" w:lineRule="auto"/>
        <w:ind w:firstLine="709"/>
        <w:contextualSpacing/>
        <w:rPr>
          <w:rFonts w:ascii="Arial" w:hAnsi="Arial" w:cs="Arial"/>
          <w:sz w:val="19"/>
          <w:szCs w:val="19"/>
        </w:rPr>
      </w:pPr>
    </w:p>
  </w:footnote>
  <w:footnote w:id="35">
    <w:p w14:paraId="5E16CF8A" w14:textId="37DD39C8" w:rsidR="00415835" w:rsidRDefault="00415835" w:rsidP="00CB7E8C">
      <w:pPr>
        <w:pStyle w:val="Textonotapie"/>
        <w:spacing w:after="0" w:line="240" w:lineRule="auto"/>
        <w:ind w:firstLine="708"/>
        <w:contextualSpacing/>
        <w:rPr>
          <w:rFonts w:ascii="Arial" w:hAnsi="Arial" w:cs="Arial"/>
          <w:color w:val="000000" w:themeColor="text1"/>
          <w:sz w:val="19"/>
          <w:szCs w:val="19"/>
        </w:rPr>
      </w:pPr>
      <w:r w:rsidRPr="00CB7E8C">
        <w:rPr>
          <w:rStyle w:val="Refdenotaalpie"/>
          <w:rFonts w:ascii="Arial" w:hAnsi="Arial" w:cs="Arial"/>
          <w:color w:val="000000" w:themeColor="text1"/>
          <w:sz w:val="19"/>
          <w:szCs w:val="19"/>
        </w:rPr>
        <w:footnoteRef/>
      </w:r>
      <w:r w:rsidRPr="00CB7E8C">
        <w:rPr>
          <w:rFonts w:ascii="Arial" w:hAnsi="Arial" w:cs="Arial"/>
          <w:color w:val="000000" w:themeColor="text1"/>
          <w:sz w:val="19"/>
          <w:szCs w:val="19"/>
        </w:rPr>
        <w:t xml:space="preserve"> Sobre esta norma consultar los conceptos del 8 de octubre de 2019, con radicado 2201913000007532, y del 20 de diciembre de 2019, cuyo radicado es el No. 4201913000008240.</w:t>
      </w:r>
    </w:p>
    <w:p w14:paraId="3CFE6ED8" w14:textId="77777777" w:rsidR="00175D93" w:rsidRPr="00CB7E8C" w:rsidRDefault="00175D93" w:rsidP="00CB7E8C">
      <w:pPr>
        <w:pStyle w:val="Textonotapie"/>
        <w:spacing w:after="0" w:line="240" w:lineRule="auto"/>
        <w:ind w:firstLine="708"/>
        <w:contextualSpacing/>
        <w:rPr>
          <w:rFonts w:ascii="Arial" w:hAnsi="Arial" w:cs="Arial"/>
          <w:color w:val="000000" w:themeColor="text1"/>
          <w:sz w:val="19"/>
          <w:szCs w:val="19"/>
        </w:rPr>
      </w:pPr>
    </w:p>
  </w:footnote>
  <w:footnote w:id="36">
    <w:p w14:paraId="2C24C4B7" w14:textId="77777777" w:rsidR="00415835" w:rsidRPr="00CB7E8C" w:rsidRDefault="00415835" w:rsidP="00CB7E8C">
      <w:pPr>
        <w:pStyle w:val="Textonotapie"/>
        <w:spacing w:after="0" w:line="240" w:lineRule="auto"/>
        <w:ind w:firstLine="708"/>
        <w:contextualSpacing/>
        <w:rPr>
          <w:rFonts w:ascii="Arial" w:hAnsi="Arial" w:cs="Arial"/>
          <w:color w:val="000000" w:themeColor="text1"/>
          <w:sz w:val="19"/>
          <w:szCs w:val="19"/>
        </w:rPr>
      </w:pPr>
      <w:r w:rsidRPr="00CB7E8C">
        <w:rPr>
          <w:rStyle w:val="Refdenotaalpie"/>
          <w:rFonts w:ascii="Arial" w:hAnsi="Arial" w:cs="Arial"/>
          <w:color w:val="000000" w:themeColor="text1"/>
          <w:sz w:val="19"/>
          <w:szCs w:val="19"/>
        </w:rPr>
        <w:footnoteRef/>
      </w:r>
      <w:r w:rsidRPr="00CB7E8C">
        <w:rPr>
          <w:rFonts w:ascii="Arial" w:hAnsi="Arial" w:cs="Arial"/>
          <w:color w:val="000000" w:themeColor="text1"/>
          <w:sz w:val="19"/>
          <w:szCs w:val="19"/>
        </w:rPr>
        <w:t xml:space="preserve"> «Articulo 96. Constitución de asociaciones y fundaciones para el cumplimiento de las actividades propias de las entidades públicas con participación de particulares. Las entidades estatales, cualquiera sea su naturaleza y orden administrativo podrán, con la observancia de los principios señalados en el artículo 209 de la Constitución, asociarse con personas jurídicas particulares, mediante la celebración de convenios de asociación o la creación de personas jurídicas, para el desarrollo conjunto de actividades en relación con los cometidos y funciones que les asigna a aquéllas la ley.</w:t>
      </w:r>
    </w:p>
    <w:p w14:paraId="199B6352" w14:textId="07EF2F5C" w:rsidR="00415835" w:rsidRDefault="00415835" w:rsidP="00CB7E8C">
      <w:pPr>
        <w:pStyle w:val="Textonotapie"/>
        <w:spacing w:after="0" w:line="240" w:lineRule="auto"/>
        <w:ind w:firstLine="708"/>
        <w:contextualSpacing/>
        <w:rPr>
          <w:rFonts w:ascii="Arial" w:hAnsi="Arial" w:cs="Arial"/>
          <w:color w:val="000000" w:themeColor="text1"/>
          <w:sz w:val="19"/>
          <w:szCs w:val="19"/>
        </w:rPr>
      </w:pPr>
      <w:r w:rsidRPr="00CB7E8C">
        <w:rPr>
          <w:rFonts w:ascii="Arial" w:hAnsi="Arial" w:cs="Arial"/>
          <w:color w:val="000000" w:themeColor="text1"/>
          <w:sz w:val="19"/>
          <w:szCs w:val="19"/>
        </w:rPr>
        <w:t>» Los convenios de asociación a que se refiere el presente artículo se celebrarán de conformidad con lo dispuesto en el artículo 355 de la Constitución Política, en ellos se determinará con precisión su objeto, término, obligaciones de las partes, aportes, coordinación y todos aquellos aspectos que se consideren pertinentes».</w:t>
      </w:r>
    </w:p>
    <w:p w14:paraId="7DF89C8F" w14:textId="77777777" w:rsidR="00175D93" w:rsidRPr="00CB7E8C" w:rsidRDefault="00175D93" w:rsidP="00CB7E8C">
      <w:pPr>
        <w:pStyle w:val="Textonotapie"/>
        <w:spacing w:after="0" w:line="240" w:lineRule="auto"/>
        <w:ind w:firstLine="708"/>
        <w:contextualSpacing/>
        <w:rPr>
          <w:rFonts w:ascii="Arial" w:hAnsi="Arial" w:cs="Arial"/>
          <w:color w:val="000000" w:themeColor="text1"/>
          <w:sz w:val="19"/>
          <w:szCs w:val="19"/>
        </w:rPr>
      </w:pPr>
    </w:p>
  </w:footnote>
  <w:footnote w:id="37">
    <w:p w14:paraId="025FDA48" w14:textId="459B065F" w:rsidR="00F8124A" w:rsidRDefault="00F8124A" w:rsidP="00CB7E8C">
      <w:pPr>
        <w:pStyle w:val="Textonotapie"/>
        <w:spacing w:after="0" w:line="240" w:lineRule="auto"/>
        <w:ind w:firstLine="708"/>
        <w:contextualSpacing/>
        <w:rPr>
          <w:rFonts w:ascii="Arial" w:hAnsi="Arial" w:cs="Arial"/>
          <w:color w:val="000000" w:themeColor="text1"/>
          <w:sz w:val="19"/>
          <w:szCs w:val="19"/>
        </w:rPr>
      </w:pPr>
      <w:r w:rsidRPr="00CB7E8C">
        <w:rPr>
          <w:rStyle w:val="Refdenotaalpie"/>
          <w:rFonts w:ascii="Arial" w:hAnsi="Arial" w:cs="Arial"/>
          <w:color w:val="000000" w:themeColor="text1"/>
          <w:sz w:val="19"/>
          <w:szCs w:val="19"/>
        </w:rPr>
        <w:footnoteRef/>
      </w:r>
      <w:r w:rsidRPr="00CB7E8C">
        <w:rPr>
          <w:rFonts w:ascii="Arial" w:hAnsi="Arial" w:cs="Arial"/>
          <w:color w:val="000000" w:themeColor="text1"/>
          <w:sz w:val="19"/>
          <w:szCs w:val="19"/>
        </w:rPr>
        <w:t xml:space="preserve"> En el concepto emitido el 5 de febrero de 2019, dentro del radicado No. 2201913000000663, se dijo: «[l]os convenios de asociación del artículo 5 son distintos a los contratos de colaboración del artículo 2 del Decreto 092 de 2017».</w:t>
      </w:r>
    </w:p>
    <w:p w14:paraId="67503E0E" w14:textId="77777777" w:rsidR="00175D93" w:rsidRPr="00CB7E8C" w:rsidRDefault="00175D93" w:rsidP="00CB7E8C">
      <w:pPr>
        <w:pStyle w:val="Textonotapie"/>
        <w:spacing w:after="0" w:line="240" w:lineRule="auto"/>
        <w:ind w:firstLine="708"/>
        <w:contextualSpacing/>
        <w:rPr>
          <w:rFonts w:ascii="Arial" w:hAnsi="Arial" w:cs="Arial"/>
          <w:color w:val="000000" w:themeColor="text1"/>
          <w:sz w:val="19"/>
          <w:szCs w:val="19"/>
        </w:rPr>
      </w:pPr>
    </w:p>
  </w:footnote>
  <w:footnote w:id="38">
    <w:p w14:paraId="3245A49E" w14:textId="0C698D3C" w:rsidR="00F8124A" w:rsidRDefault="00F8124A" w:rsidP="00CB7E8C">
      <w:pPr>
        <w:pStyle w:val="Textonotapie"/>
        <w:spacing w:after="0" w:line="240" w:lineRule="auto"/>
        <w:ind w:firstLine="708"/>
        <w:contextualSpacing/>
        <w:rPr>
          <w:rFonts w:ascii="Arial" w:hAnsi="Arial" w:cs="Arial"/>
          <w:sz w:val="19"/>
          <w:szCs w:val="19"/>
        </w:rPr>
      </w:pPr>
      <w:r w:rsidRPr="00CB7E8C">
        <w:rPr>
          <w:rStyle w:val="Refdenotaalpie"/>
          <w:rFonts w:ascii="Arial" w:hAnsi="Arial" w:cs="Arial"/>
          <w:sz w:val="19"/>
          <w:szCs w:val="19"/>
        </w:rPr>
        <w:footnoteRef/>
      </w:r>
      <w:r w:rsidRPr="00CB7E8C">
        <w:rPr>
          <w:rFonts w:ascii="Arial" w:hAnsi="Arial" w:cs="Arial"/>
          <w:sz w:val="19"/>
          <w:szCs w:val="19"/>
        </w:rPr>
        <w:t xml:space="preserve"> Concepto del 12 de diciembre de 2019, radicado No. </w:t>
      </w:r>
      <w:r w:rsidRPr="00CB7E8C">
        <w:rPr>
          <w:rFonts w:ascii="Arial" w:eastAsia="Calibri" w:hAnsi="Arial" w:cs="Arial"/>
          <w:color w:val="000000" w:themeColor="text1"/>
          <w:sz w:val="19"/>
          <w:szCs w:val="19"/>
        </w:rPr>
        <w:t>2201913000009196</w:t>
      </w:r>
      <w:r w:rsidRPr="00CB7E8C">
        <w:rPr>
          <w:rFonts w:ascii="Arial" w:hAnsi="Arial" w:cs="Arial"/>
          <w:sz w:val="19"/>
          <w:szCs w:val="19"/>
        </w:rPr>
        <w:t>.</w:t>
      </w:r>
    </w:p>
    <w:p w14:paraId="485BEAB9" w14:textId="77777777" w:rsidR="00175D93" w:rsidRPr="00CB7E8C" w:rsidRDefault="00175D93" w:rsidP="00CB7E8C">
      <w:pPr>
        <w:pStyle w:val="Textonotapie"/>
        <w:spacing w:after="0" w:line="240" w:lineRule="auto"/>
        <w:ind w:firstLine="708"/>
        <w:contextualSpacing/>
        <w:rPr>
          <w:rFonts w:ascii="Arial" w:hAnsi="Arial" w:cs="Arial"/>
          <w:sz w:val="19"/>
          <w:szCs w:val="19"/>
        </w:rPr>
      </w:pPr>
    </w:p>
    <w:p w14:paraId="34C91E8A" w14:textId="77777777" w:rsidR="00F8124A" w:rsidRPr="00CB7E8C" w:rsidRDefault="00F8124A" w:rsidP="00CB7E8C">
      <w:pPr>
        <w:pStyle w:val="Textonotapie"/>
        <w:spacing w:after="0" w:line="240" w:lineRule="auto"/>
        <w:ind w:firstLine="708"/>
        <w:contextualSpacing/>
        <w:rPr>
          <w:rFonts w:ascii="Arial" w:hAnsi="Arial" w:cs="Arial"/>
          <w:sz w:val="19"/>
          <w:szCs w:val="19"/>
        </w:rPr>
      </w:pPr>
    </w:p>
  </w:footnote>
  <w:footnote w:id="39">
    <w:p w14:paraId="22A55626" w14:textId="09489054" w:rsidR="00F8124A" w:rsidRDefault="00F8124A" w:rsidP="00CB7E8C">
      <w:pPr>
        <w:pStyle w:val="Textonotapie"/>
        <w:spacing w:after="0" w:line="240" w:lineRule="auto"/>
        <w:ind w:firstLine="708"/>
        <w:contextualSpacing/>
        <w:rPr>
          <w:rFonts w:ascii="Arial" w:hAnsi="Arial" w:cs="Arial"/>
          <w:color w:val="000000" w:themeColor="text1"/>
          <w:sz w:val="19"/>
          <w:szCs w:val="19"/>
        </w:rPr>
      </w:pPr>
      <w:r w:rsidRPr="00CB7E8C">
        <w:rPr>
          <w:rStyle w:val="Refdenotaalpie"/>
          <w:rFonts w:ascii="Arial" w:hAnsi="Arial" w:cs="Arial"/>
          <w:color w:val="000000" w:themeColor="text1"/>
          <w:sz w:val="19"/>
          <w:szCs w:val="19"/>
        </w:rPr>
        <w:footnoteRef/>
      </w:r>
      <w:r w:rsidRPr="00CB7E8C">
        <w:rPr>
          <w:rFonts w:ascii="Arial" w:hAnsi="Arial" w:cs="Arial"/>
          <w:color w:val="000000" w:themeColor="text1"/>
          <w:sz w:val="19"/>
          <w:szCs w:val="19"/>
        </w:rPr>
        <w:t xml:space="preserve"> Concepto del 3 de septiembre de 2019, emitido en el radicado No. 2201913000006512.</w:t>
      </w:r>
    </w:p>
    <w:p w14:paraId="3FD5A72E" w14:textId="77777777" w:rsidR="00175D93" w:rsidRPr="00CB7E8C" w:rsidRDefault="00175D93" w:rsidP="00CB7E8C">
      <w:pPr>
        <w:pStyle w:val="Textonotapie"/>
        <w:spacing w:after="0" w:line="240" w:lineRule="auto"/>
        <w:ind w:firstLine="708"/>
        <w:contextualSpacing/>
        <w:rPr>
          <w:rFonts w:ascii="Arial" w:hAnsi="Arial" w:cs="Arial"/>
          <w:color w:val="000000" w:themeColor="text1"/>
          <w:sz w:val="19"/>
          <w:szCs w:val="19"/>
        </w:rPr>
      </w:pPr>
    </w:p>
  </w:footnote>
  <w:footnote w:id="40">
    <w:p w14:paraId="3BE6A441" w14:textId="77777777" w:rsidR="00F8124A" w:rsidRPr="00CB7E8C" w:rsidRDefault="00F8124A" w:rsidP="00CB7E8C">
      <w:pPr>
        <w:pStyle w:val="Textonotapie"/>
        <w:spacing w:after="0" w:line="240" w:lineRule="auto"/>
        <w:ind w:firstLine="708"/>
        <w:contextualSpacing/>
        <w:rPr>
          <w:rFonts w:ascii="Arial" w:hAnsi="Arial" w:cs="Arial"/>
          <w:color w:val="000000"/>
          <w:sz w:val="19"/>
          <w:szCs w:val="19"/>
        </w:rPr>
      </w:pPr>
      <w:r w:rsidRPr="00CB7E8C">
        <w:rPr>
          <w:rStyle w:val="Refdenotaalpie"/>
          <w:rFonts w:ascii="Arial" w:hAnsi="Arial" w:cs="Arial"/>
          <w:color w:val="000000"/>
          <w:sz w:val="19"/>
          <w:szCs w:val="19"/>
        </w:rPr>
        <w:footnoteRef/>
      </w:r>
      <w:r w:rsidRPr="00CB7E8C">
        <w:rPr>
          <w:rFonts w:ascii="Arial" w:hAnsi="Arial" w:cs="Arial"/>
          <w:color w:val="000000"/>
          <w:sz w:val="19"/>
          <w:szCs w:val="19"/>
        </w:rPr>
        <w:t xml:space="preserve"> El numeral 16.9 de la Circular Externa Única de Colombia Compra Eficiente determina:</w:t>
      </w:r>
    </w:p>
    <w:p w14:paraId="1A383126" w14:textId="77777777" w:rsidR="00F8124A" w:rsidRPr="00CB7E8C" w:rsidRDefault="00F8124A" w:rsidP="00CB7E8C">
      <w:pPr>
        <w:pStyle w:val="Textonotapie"/>
        <w:spacing w:after="0" w:line="240" w:lineRule="auto"/>
        <w:ind w:firstLine="709"/>
        <w:contextualSpacing/>
        <w:rPr>
          <w:rFonts w:ascii="Arial" w:hAnsi="Arial" w:cs="Arial"/>
          <w:color w:val="000000"/>
          <w:sz w:val="19"/>
          <w:szCs w:val="19"/>
        </w:rPr>
      </w:pPr>
      <w:r w:rsidRPr="00CB7E8C">
        <w:rPr>
          <w:rFonts w:ascii="Arial" w:hAnsi="Arial" w:cs="Arial"/>
          <w:color w:val="000000"/>
          <w:sz w:val="19"/>
          <w:szCs w:val="19"/>
        </w:rPr>
        <w:t>«16.9 Uniones temporales y consorcios conformados por entidades sin ánimo de lucro.</w:t>
      </w:r>
    </w:p>
    <w:p w14:paraId="78C248FB" w14:textId="027B6030" w:rsidR="00F8124A" w:rsidRDefault="00F8124A" w:rsidP="00CB7E8C">
      <w:pPr>
        <w:pStyle w:val="Textonotapie"/>
        <w:spacing w:after="0" w:line="240" w:lineRule="auto"/>
        <w:ind w:firstLine="708"/>
        <w:contextualSpacing/>
        <w:rPr>
          <w:rFonts w:ascii="Arial" w:hAnsi="Arial" w:cs="Arial"/>
          <w:color w:val="000000"/>
          <w:sz w:val="19"/>
          <w:szCs w:val="19"/>
        </w:rPr>
      </w:pPr>
      <w:proofErr w:type="gramStart"/>
      <w:r w:rsidRPr="00CB7E8C">
        <w:rPr>
          <w:rFonts w:ascii="Arial" w:hAnsi="Arial" w:cs="Arial"/>
          <w:color w:val="000000"/>
          <w:sz w:val="19"/>
          <w:szCs w:val="19"/>
        </w:rPr>
        <w:t>»El</w:t>
      </w:r>
      <w:proofErr w:type="gramEnd"/>
      <w:r w:rsidRPr="00CB7E8C">
        <w:rPr>
          <w:rFonts w:ascii="Arial" w:hAnsi="Arial" w:cs="Arial"/>
          <w:color w:val="000000"/>
          <w:sz w:val="19"/>
          <w:szCs w:val="19"/>
        </w:rPr>
        <w:t xml:space="preserve"> Decreto 092 de 2017 no restringe ninguna forma de asociación entre las entidades privadas sin ánimo de lucro, y prevé que los contratos y convenios que regula se sujetarán a las normas generales aplicables al Sistema de Compra Pública, es decir Ley 80 de 1993, salvo lo que de manera expresa esté regulado en dicho Decreto. La Ley 80 de 1993 establece las diferentes formas asociativas que pueden utilizar los proponentes para participar en los Procesos de Contratación. De esta forma, entidades privadas sin ánimo de lucro pueden constituirse como unión temporal o consorcio para efectos de la celebración de contratos de colaboración o convenios de asociación».</w:t>
      </w:r>
    </w:p>
    <w:p w14:paraId="5225C80F" w14:textId="77777777" w:rsidR="00175D93" w:rsidRPr="00CB7E8C" w:rsidRDefault="00175D93" w:rsidP="00CB7E8C">
      <w:pPr>
        <w:pStyle w:val="Textonotapie"/>
        <w:spacing w:after="0" w:line="240" w:lineRule="auto"/>
        <w:ind w:firstLine="708"/>
        <w:contextualSpacing/>
        <w:rPr>
          <w:rFonts w:ascii="Arial" w:hAnsi="Arial" w:cs="Arial"/>
          <w:color w:val="000000"/>
          <w:sz w:val="19"/>
          <w:szCs w:val="19"/>
        </w:rPr>
      </w:pPr>
    </w:p>
  </w:footnote>
  <w:footnote w:id="41">
    <w:p w14:paraId="5076BEA4" w14:textId="0E78D141" w:rsidR="00F8124A" w:rsidRDefault="00F8124A" w:rsidP="00CB7E8C">
      <w:pPr>
        <w:pStyle w:val="Textonotapie"/>
        <w:spacing w:after="0" w:line="240" w:lineRule="auto"/>
        <w:ind w:firstLine="708"/>
        <w:contextualSpacing/>
        <w:rPr>
          <w:rFonts w:ascii="Arial" w:hAnsi="Arial" w:cs="Arial"/>
          <w:color w:val="000000"/>
          <w:sz w:val="19"/>
          <w:szCs w:val="19"/>
        </w:rPr>
      </w:pPr>
      <w:r w:rsidRPr="00CB7E8C">
        <w:rPr>
          <w:rStyle w:val="Refdenotaalpie"/>
          <w:rFonts w:ascii="Arial" w:hAnsi="Arial" w:cs="Arial"/>
          <w:color w:val="000000"/>
          <w:sz w:val="19"/>
          <w:szCs w:val="19"/>
        </w:rPr>
        <w:footnoteRef/>
      </w:r>
      <w:r w:rsidRPr="00CB7E8C">
        <w:rPr>
          <w:rFonts w:ascii="Arial" w:hAnsi="Arial" w:cs="Arial"/>
          <w:color w:val="000000"/>
          <w:sz w:val="19"/>
          <w:szCs w:val="19"/>
        </w:rPr>
        <w:t xml:space="preserve"> Concepto del 19 de noviembre de 2019, emitido en el radicado No. 2201913000008611.</w:t>
      </w:r>
    </w:p>
    <w:p w14:paraId="4C006103" w14:textId="77777777" w:rsidR="00175D93" w:rsidRPr="00CB7E8C" w:rsidRDefault="00175D93" w:rsidP="00CB7E8C">
      <w:pPr>
        <w:pStyle w:val="Textonotapie"/>
        <w:spacing w:after="0" w:line="240" w:lineRule="auto"/>
        <w:ind w:firstLine="708"/>
        <w:contextualSpacing/>
        <w:rPr>
          <w:rFonts w:ascii="Arial" w:hAnsi="Arial" w:cs="Arial"/>
          <w:color w:val="000000"/>
          <w:sz w:val="19"/>
          <w:szCs w:val="19"/>
          <w:lang w:val="es-ES"/>
        </w:rPr>
      </w:pPr>
    </w:p>
  </w:footnote>
  <w:footnote w:id="42">
    <w:p w14:paraId="767C8459" w14:textId="77777777" w:rsidR="00F8124A" w:rsidRPr="00CB7E8C" w:rsidRDefault="00F8124A" w:rsidP="00CB7E8C">
      <w:pPr>
        <w:pStyle w:val="Textonotapie"/>
        <w:spacing w:after="0" w:line="240" w:lineRule="auto"/>
        <w:ind w:firstLine="708"/>
        <w:contextualSpacing/>
        <w:rPr>
          <w:rFonts w:ascii="Arial" w:hAnsi="Arial" w:cs="Arial"/>
          <w:color w:val="000000" w:themeColor="text1"/>
          <w:sz w:val="19"/>
          <w:szCs w:val="19"/>
        </w:rPr>
      </w:pPr>
      <w:r w:rsidRPr="00CB7E8C">
        <w:rPr>
          <w:rStyle w:val="Refdenotaalpie"/>
          <w:rFonts w:ascii="Arial" w:hAnsi="Arial" w:cs="Arial"/>
          <w:color w:val="000000" w:themeColor="text1"/>
          <w:sz w:val="19"/>
          <w:szCs w:val="19"/>
        </w:rPr>
        <w:footnoteRef/>
      </w:r>
      <w:r w:rsidRPr="00CB7E8C">
        <w:rPr>
          <w:rFonts w:ascii="Arial" w:hAnsi="Arial" w:cs="Arial"/>
          <w:color w:val="000000" w:themeColor="text1"/>
          <w:sz w:val="19"/>
          <w:szCs w:val="19"/>
        </w:rPr>
        <w:t xml:space="preserve"> Se precisa que la suspensión provisional, de acuerdo con el artículo 231 de la Ley 1437 de 2011, es una medida cautelar que busca proteger y garantizar, de forma provisional, que la norma demandada no genere actos contrarios al ordenamiento jurídico, razón por la cual, para decretarla es necesario que la transgresión de las normas superiores invocadas surja de la comparación entre estas y los actos acusados o del estudio de las pruebas aportadas con la solicitud.</w:t>
      </w:r>
    </w:p>
    <w:p w14:paraId="21EE4451" w14:textId="77777777" w:rsidR="00F8124A" w:rsidRPr="00CB7E8C" w:rsidRDefault="00F8124A" w:rsidP="00CB7E8C">
      <w:pPr>
        <w:pStyle w:val="Textonotapie"/>
        <w:spacing w:after="0" w:line="240" w:lineRule="auto"/>
        <w:ind w:firstLine="708"/>
        <w:contextualSpacing/>
        <w:rPr>
          <w:rFonts w:ascii="Arial" w:hAnsi="Arial" w:cs="Arial"/>
          <w:color w:val="000000" w:themeColor="text1"/>
          <w:sz w:val="19"/>
          <w:szCs w:val="19"/>
          <w:lang w:val="es-ES"/>
        </w:rPr>
      </w:pPr>
    </w:p>
  </w:footnote>
  <w:footnote w:id="43">
    <w:p w14:paraId="4CBFA62D" w14:textId="77777777" w:rsidR="00F8124A" w:rsidRPr="00CB7E8C" w:rsidRDefault="00F8124A" w:rsidP="00CB7E8C">
      <w:pPr>
        <w:pStyle w:val="Textonotapie"/>
        <w:spacing w:after="0" w:line="240" w:lineRule="auto"/>
        <w:ind w:firstLine="708"/>
        <w:contextualSpacing/>
        <w:rPr>
          <w:rFonts w:ascii="Arial" w:hAnsi="Arial" w:cs="Arial"/>
          <w:color w:val="000000" w:themeColor="text1"/>
          <w:sz w:val="19"/>
          <w:szCs w:val="19"/>
        </w:rPr>
      </w:pPr>
      <w:r w:rsidRPr="00CB7E8C">
        <w:rPr>
          <w:rStyle w:val="Refdenotaalpie"/>
          <w:rFonts w:ascii="Arial" w:hAnsi="Arial" w:cs="Arial"/>
          <w:color w:val="000000" w:themeColor="text1"/>
          <w:sz w:val="19"/>
          <w:szCs w:val="19"/>
        </w:rPr>
        <w:footnoteRef/>
      </w:r>
      <w:r w:rsidRPr="00CB7E8C">
        <w:rPr>
          <w:rFonts w:ascii="Arial" w:hAnsi="Arial" w:cs="Arial"/>
          <w:color w:val="000000" w:themeColor="text1"/>
          <w:sz w:val="19"/>
          <w:szCs w:val="19"/>
        </w:rPr>
        <w:t xml:space="preserve"> Decreto 1082, artículo 5: «[…] no estarán sujetos a competencia cuando la entidad sin ánimo de lucro comprometa recursos en dinero para la ejecución de esas actividades en una proporción no inferior al 30% del valor total del convenio. Los recursos que compromete la entidad sin ánimo de lucro pueden ser propios o de cooperación internacional».</w:t>
      </w:r>
    </w:p>
    <w:p w14:paraId="6F56E283" w14:textId="77777777" w:rsidR="00F8124A" w:rsidRPr="00CB7E8C" w:rsidRDefault="00F8124A" w:rsidP="00CB7E8C">
      <w:pPr>
        <w:pStyle w:val="Textonotapie"/>
        <w:spacing w:after="0" w:line="240" w:lineRule="auto"/>
        <w:contextualSpacing/>
        <w:rPr>
          <w:rFonts w:ascii="Arial" w:hAnsi="Arial" w:cs="Arial"/>
          <w:color w:val="000000" w:themeColor="text1"/>
          <w:sz w:val="19"/>
          <w:szCs w:val="19"/>
          <w:lang w:val="es-ES"/>
        </w:rPr>
      </w:pPr>
    </w:p>
  </w:footnote>
  <w:footnote w:id="44">
    <w:p w14:paraId="733CB772" w14:textId="459684FC" w:rsidR="00F8124A" w:rsidRDefault="00F8124A" w:rsidP="00CB7E8C">
      <w:pPr>
        <w:pStyle w:val="Textonotapie"/>
        <w:spacing w:after="0" w:line="240" w:lineRule="auto"/>
        <w:ind w:firstLine="708"/>
        <w:contextualSpacing/>
        <w:rPr>
          <w:rFonts w:ascii="Arial" w:hAnsi="Arial" w:cs="Arial"/>
          <w:sz w:val="19"/>
          <w:szCs w:val="19"/>
          <w:lang w:val="es-CO"/>
        </w:rPr>
      </w:pPr>
      <w:r w:rsidRPr="00CB7E8C">
        <w:rPr>
          <w:rStyle w:val="Refdenotaalpie"/>
          <w:rFonts w:ascii="Arial" w:hAnsi="Arial" w:cs="Arial"/>
          <w:sz w:val="19"/>
          <w:szCs w:val="19"/>
        </w:rPr>
        <w:footnoteRef/>
      </w:r>
      <w:r w:rsidRPr="00CB7E8C">
        <w:rPr>
          <w:rFonts w:ascii="Arial" w:hAnsi="Arial" w:cs="Arial"/>
          <w:sz w:val="19"/>
          <w:szCs w:val="19"/>
        </w:rPr>
        <w:t xml:space="preserve"> </w:t>
      </w:r>
      <w:r w:rsidRPr="00CB7E8C">
        <w:rPr>
          <w:rFonts w:ascii="Arial" w:hAnsi="Arial" w:cs="Arial"/>
          <w:sz w:val="19"/>
          <w:szCs w:val="19"/>
          <w:lang w:val="es-CO"/>
        </w:rPr>
        <w:t xml:space="preserve">CONSEJO DE ESTADO. Sala de Consulta y Servicio Civil. Concepto del 8 de mayo de 2018. Rad. 2382. C.P. Álvaro </w:t>
      </w:r>
      <w:proofErr w:type="spellStart"/>
      <w:r w:rsidRPr="00CB7E8C">
        <w:rPr>
          <w:rFonts w:ascii="Arial" w:hAnsi="Arial" w:cs="Arial"/>
          <w:sz w:val="19"/>
          <w:szCs w:val="19"/>
          <w:lang w:val="es-CO"/>
        </w:rPr>
        <w:t>Namén</w:t>
      </w:r>
      <w:proofErr w:type="spellEnd"/>
      <w:r w:rsidRPr="00CB7E8C">
        <w:rPr>
          <w:rFonts w:ascii="Arial" w:hAnsi="Arial" w:cs="Arial"/>
          <w:sz w:val="19"/>
          <w:szCs w:val="19"/>
          <w:lang w:val="es-CO"/>
        </w:rPr>
        <w:t xml:space="preserve"> Vargas.</w:t>
      </w:r>
    </w:p>
    <w:p w14:paraId="3A7889AB" w14:textId="77777777" w:rsidR="00175D93" w:rsidRPr="00CB7E8C" w:rsidRDefault="00175D93" w:rsidP="00CB7E8C">
      <w:pPr>
        <w:pStyle w:val="Textonotapie"/>
        <w:spacing w:after="0" w:line="240" w:lineRule="auto"/>
        <w:ind w:firstLine="708"/>
        <w:contextualSpacing/>
        <w:rPr>
          <w:rFonts w:ascii="Arial" w:hAnsi="Arial" w:cs="Arial"/>
          <w:sz w:val="19"/>
          <w:szCs w:val="19"/>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CE2A80" w14:textId="77777777" w:rsidR="00301B6D" w:rsidRDefault="00DB1FBD">
    <w:pPr>
      <w:pStyle w:val="Encabezado"/>
    </w:pPr>
    <w:r>
      <w:rPr>
        <w:noProof/>
        <w:lang w:val="es-CO" w:eastAsia="es-CO"/>
      </w:rPr>
      <w:drawing>
        <wp:anchor distT="0" distB="0" distL="114300" distR="114300" simplePos="0" relativeHeight="251659264" behindDoc="1" locked="0" layoutInCell="1" allowOverlap="1" wp14:anchorId="3ED6FD1E" wp14:editId="58B93EBD">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5"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2414D43" w14:textId="77777777" w:rsidR="00301B6D" w:rsidRDefault="00301B6D" w:rsidP="00301B6D">
    <w:pPr>
      <w:pStyle w:val="Encabezado"/>
      <w:spacing w:after="0"/>
    </w:pPr>
  </w:p>
  <w:p w14:paraId="0E3DD83D" w14:textId="77777777" w:rsidR="00301B6D" w:rsidRDefault="00301B6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923CB4E6"/>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EE161D"/>
    <w:multiLevelType w:val="hybridMultilevel"/>
    <w:tmpl w:val="5E9052F8"/>
    <w:lvl w:ilvl="0" w:tplc="864A5026">
      <w:start w:val="1"/>
      <w:numFmt w:val="lowerLetter"/>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8CE7502"/>
    <w:multiLevelType w:val="hybridMultilevel"/>
    <w:tmpl w:val="8A348CD6"/>
    <w:lvl w:ilvl="0" w:tplc="240A0011">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188E33FD"/>
    <w:multiLevelType w:val="hybridMultilevel"/>
    <w:tmpl w:val="8DB4960C"/>
    <w:lvl w:ilvl="0" w:tplc="35F8F35A">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4" w15:restartNumberingAfterBreak="0">
    <w:nsid w:val="25613221"/>
    <w:multiLevelType w:val="hybridMultilevel"/>
    <w:tmpl w:val="74E8714E"/>
    <w:lvl w:ilvl="0" w:tplc="67744F1C">
      <w:start w:val="1"/>
      <w:numFmt w:val="decimal"/>
      <w:lvlText w:val="%1)"/>
      <w:lvlJc w:val="left"/>
      <w:pPr>
        <w:ind w:left="644" w:hanging="360"/>
      </w:pPr>
      <w:rPr>
        <w:rFonts w:hint="default"/>
      </w:rPr>
    </w:lvl>
    <w:lvl w:ilvl="1" w:tplc="240A0019" w:tentative="1">
      <w:start w:val="1"/>
      <w:numFmt w:val="lowerLetter"/>
      <w:lvlText w:val="%2."/>
      <w:lvlJc w:val="left"/>
      <w:pPr>
        <w:ind w:left="1364" w:hanging="360"/>
      </w:pPr>
    </w:lvl>
    <w:lvl w:ilvl="2" w:tplc="240A001B" w:tentative="1">
      <w:start w:val="1"/>
      <w:numFmt w:val="lowerRoman"/>
      <w:lvlText w:val="%3."/>
      <w:lvlJc w:val="right"/>
      <w:pPr>
        <w:ind w:left="2084" w:hanging="180"/>
      </w:pPr>
    </w:lvl>
    <w:lvl w:ilvl="3" w:tplc="240A000F" w:tentative="1">
      <w:start w:val="1"/>
      <w:numFmt w:val="decimal"/>
      <w:lvlText w:val="%4."/>
      <w:lvlJc w:val="left"/>
      <w:pPr>
        <w:ind w:left="2804" w:hanging="360"/>
      </w:pPr>
    </w:lvl>
    <w:lvl w:ilvl="4" w:tplc="240A0019" w:tentative="1">
      <w:start w:val="1"/>
      <w:numFmt w:val="lowerLetter"/>
      <w:lvlText w:val="%5."/>
      <w:lvlJc w:val="left"/>
      <w:pPr>
        <w:ind w:left="3524" w:hanging="360"/>
      </w:pPr>
    </w:lvl>
    <w:lvl w:ilvl="5" w:tplc="240A001B" w:tentative="1">
      <w:start w:val="1"/>
      <w:numFmt w:val="lowerRoman"/>
      <w:lvlText w:val="%6."/>
      <w:lvlJc w:val="right"/>
      <w:pPr>
        <w:ind w:left="4244" w:hanging="180"/>
      </w:pPr>
    </w:lvl>
    <w:lvl w:ilvl="6" w:tplc="240A000F" w:tentative="1">
      <w:start w:val="1"/>
      <w:numFmt w:val="decimal"/>
      <w:lvlText w:val="%7."/>
      <w:lvlJc w:val="left"/>
      <w:pPr>
        <w:ind w:left="4964" w:hanging="360"/>
      </w:pPr>
    </w:lvl>
    <w:lvl w:ilvl="7" w:tplc="240A0019" w:tentative="1">
      <w:start w:val="1"/>
      <w:numFmt w:val="lowerLetter"/>
      <w:lvlText w:val="%8."/>
      <w:lvlJc w:val="left"/>
      <w:pPr>
        <w:ind w:left="5684" w:hanging="360"/>
      </w:pPr>
    </w:lvl>
    <w:lvl w:ilvl="8" w:tplc="240A001B" w:tentative="1">
      <w:start w:val="1"/>
      <w:numFmt w:val="lowerRoman"/>
      <w:lvlText w:val="%9."/>
      <w:lvlJc w:val="right"/>
      <w:pPr>
        <w:ind w:left="6404" w:hanging="180"/>
      </w:pPr>
    </w:lvl>
  </w:abstractNum>
  <w:abstractNum w:abstractNumId="5" w15:restartNumberingAfterBreak="0">
    <w:nsid w:val="283D5E85"/>
    <w:multiLevelType w:val="multilevel"/>
    <w:tmpl w:val="374260C8"/>
    <w:lvl w:ilvl="0">
      <w:start w:val="1"/>
      <w:numFmt w:val="decimal"/>
      <w:lvlText w:val="%1."/>
      <w:lvlJc w:val="left"/>
      <w:pPr>
        <w:ind w:left="720" w:hanging="360"/>
      </w:pPr>
      <w:rPr>
        <w:rFonts w:hint="default"/>
        <w:b/>
        <w:bCs/>
      </w:rPr>
    </w:lvl>
    <w:lvl w:ilvl="1">
      <w:start w:val="7"/>
      <w:numFmt w:val="decimal"/>
      <w:isLgl/>
      <w:lvlText w:val="%1.%2."/>
      <w:lvlJc w:val="left"/>
      <w:pPr>
        <w:ind w:left="1080" w:hanging="720"/>
      </w:pPr>
      <w:rPr>
        <w:rFonts w:eastAsia="Calibri" w:hint="default"/>
        <w:color w:val="000000" w:themeColor="text1"/>
      </w:rPr>
    </w:lvl>
    <w:lvl w:ilvl="2">
      <w:start w:val="1"/>
      <w:numFmt w:val="decimal"/>
      <w:isLgl/>
      <w:lvlText w:val="%1.%2.%3."/>
      <w:lvlJc w:val="left"/>
      <w:pPr>
        <w:ind w:left="1080" w:hanging="720"/>
      </w:pPr>
      <w:rPr>
        <w:rFonts w:eastAsia="Calibri" w:hint="default"/>
        <w:color w:val="000000" w:themeColor="text1"/>
      </w:rPr>
    </w:lvl>
    <w:lvl w:ilvl="3">
      <w:start w:val="1"/>
      <w:numFmt w:val="decimal"/>
      <w:isLgl/>
      <w:lvlText w:val="%1.%2.%3.%4."/>
      <w:lvlJc w:val="left"/>
      <w:pPr>
        <w:ind w:left="1440" w:hanging="1080"/>
      </w:pPr>
      <w:rPr>
        <w:rFonts w:eastAsia="Calibri" w:hint="default"/>
        <w:color w:val="000000" w:themeColor="text1"/>
      </w:rPr>
    </w:lvl>
    <w:lvl w:ilvl="4">
      <w:start w:val="1"/>
      <w:numFmt w:val="decimal"/>
      <w:isLgl/>
      <w:lvlText w:val="%1.%2.%3.%4.%5."/>
      <w:lvlJc w:val="left"/>
      <w:pPr>
        <w:ind w:left="1440" w:hanging="1080"/>
      </w:pPr>
      <w:rPr>
        <w:rFonts w:eastAsia="Calibri" w:hint="default"/>
        <w:color w:val="000000" w:themeColor="text1"/>
      </w:rPr>
    </w:lvl>
    <w:lvl w:ilvl="5">
      <w:start w:val="1"/>
      <w:numFmt w:val="decimal"/>
      <w:isLgl/>
      <w:lvlText w:val="%1.%2.%3.%4.%5.%6."/>
      <w:lvlJc w:val="left"/>
      <w:pPr>
        <w:ind w:left="1800" w:hanging="1440"/>
      </w:pPr>
      <w:rPr>
        <w:rFonts w:eastAsia="Calibri" w:hint="default"/>
        <w:color w:val="000000" w:themeColor="text1"/>
      </w:rPr>
    </w:lvl>
    <w:lvl w:ilvl="6">
      <w:start w:val="1"/>
      <w:numFmt w:val="decimal"/>
      <w:isLgl/>
      <w:lvlText w:val="%1.%2.%3.%4.%5.%6.%7."/>
      <w:lvlJc w:val="left"/>
      <w:pPr>
        <w:ind w:left="1800" w:hanging="1440"/>
      </w:pPr>
      <w:rPr>
        <w:rFonts w:eastAsia="Calibri" w:hint="default"/>
        <w:color w:val="000000" w:themeColor="text1"/>
      </w:rPr>
    </w:lvl>
    <w:lvl w:ilvl="7">
      <w:start w:val="1"/>
      <w:numFmt w:val="decimal"/>
      <w:isLgl/>
      <w:lvlText w:val="%1.%2.%3.%4.%5.%6.%7.%8."/>
      <w:lvlJc w:val="left"/>
      <w:pPr>
        <w:ind w:left="2160" w:hanging="1800"/>
      </w:pPr>
      <w:rPr>
        <w:rFonts w:eastAsia="Calibri" w:hint="default"/>
        <w:color w:val="000000" w:themeColor="text1"/>
      </w:rPr>
    </w:lvl>
    <w:lvl w:ilvl="8">
      <w:start w:val="1"/>
      <w:numFmt w:val="decimal"/>
      <w:isLgl/>
      <w:lvlText w:val="%1.%2.%3.%4.%5.%6.%7.%8.%9."/>
      <w:lvlJc w:val="left"/>
      <w:pPr>
        <w:ind w:left="2160" w:hanging="1800"/>
      </w:pPr>
      <w:rPr>
        <w:rFonts w:eastAsia="Calibri" w:hint="default"/>
        <w:color w:val="000000" w:themeColor="text1"/>
      </w:rPr>
    </w:lvl>
  </w:abstractNum>
  <w:abstractNum w:abstractNumId="6" w15:restartNumberingAfterBreak="0">
    <w:nsid w:val="2BAA45F7"/>
    <w:multiLevelType w:val="hybridMultilevel"/>
    <w:tmpl w:val="B8785494"/>
    <w:lvl w:ilvl="0" w:tplc="369A2F20">
      <w:start w:val="1"/>
      <w:numFmt w:val="decimal"/>
      <w:pStyle w:val="Capitulo3"/>
      <w:lvlText w:val="3.%1."/>
      <w:lvlJc w:val="left"/>
      <w:pPr>
        <w:ind w:left="786" w:hanging="360"/>
      </w:pPr>
      <w:rPr>
        <w:rFonts w:hint="default"/>
        <w:b/>
        <w:color w:val="262626" w:themeColor="text1" w:themeTint="D9"/>
      </w:rPr>
    </w:lvl>
    <w:lvl w:ilvl="1" w:tplc="240A0019" w:tentative="1">
      <w:start w:val="1"/>
      <w:numFmt w:val="lowerLetter"/>
      <w:lvlText w:val="%2."/>
      <w:lvlJc w:val="left"/>
      <w:pPr>
        <w:ind w:left="1724" w:hanging="360"/>
      </w:pPr>
    </w:lvl>
    <w:lvl w:ilvl="2" w:tplc="240A001B">
      <w:start w:val="1"/>
      <w:numFmt w:val="lowerRoman"/>
      <w:lvlText w:val="%3."/>
      <w:lvlJc w:val="right"/>
      <w:pPr>
        <w:ind w:left="2444" w:hanging="180"/>
      </w:pPr>
    </w:lvl>
    <w:lvl w:ilvl="3" w:tplc="240A000F" w:tentative="1">
      <w:start w:val="1"/>
      <w:numFmt w:val="decimal"/>
      <w:lvlText w:val="%4."/>
      <w:lvlJc w:val="left"/>
      <w:pPr>
        <w:ind w:left="3164" w:hanging="360"/>
      </w:pPr>
    </w:lvl>
    <w:lvl w:ilvl="4" w:tplc="240A0019" w:tentative="1">
      <w:start w:val="1"/>
      <w:numFmt w:val="lowerLetter"/>
      <w:lvlText w:val="%5."/>
      <w:lvlJc w:val="left"/>
      <w:pPr>
        <w:ind w:left="3884" w:hanging="360"/>
      </w:pPr>
    </w:lvl>
    <w:lvl w:ilvl="5" w:tplc="240A001B" w:tentative="1">
      <w:start w:val="1"/>
      <w:numFmt w:val="lowerRoman"/>
      <w:lvlText w:val="%6."/>
      <w:lvlJc w:val="right"/>
      <w:pPr>
        <w:ind w:left="4604" w:hanging="180"/>
      </w:pPr>
    </w:lvl>
    <w:lvl w:ilvl="6" w:tplc="240A000F" w:tentative="1">
      <w:start w:val="1"/>
      <w:numFmt w:val="decimal"/>
      <w:lvlText w:val="%7."/>
      <w:lvlJc w:val="left"/>
      <w:pPr>
        <w:ind w:left="5324" w:hanging="360"/>
      </w:pPr>
    </w:lvl>
    <w:lvl w:ilvl="7" w:tplc="240A0019" w:tentative="1">
      <w:start w:val="1"/>
      <w:numFmt w:val="lowerLetter"/>
      <w:lvlText w:val="%8."/>
      <w:lvlJc w:val="left"/>
      <w:pPr>
        <w:ind w:left="6044" w:hanging="360"/>
      </w:pPr>
    </w:lvl>
    <w:lvl w:ilvl="8" w:tplc="240A001B" w:tentative="1">
      <w:start w:val="1"/>
      <w:numFmt w:val="lowerRoman"/>
      <w:lvlText w:val="%9."/>
      <w:lvlJc w:val="right"/>
      <w:pPr>
        <w:ind w:left="6764" w:hanging="180"/>
      </w:pPr>
    </w:lvl>
  </w:abstractNum>
  <w:abstractNum w:abstractNumId="7" w15:restartNumberingAfterBreak="0">
    <w:nsid w:val="2E52434E"/>
    <w:multiLevelType w:val="multilevel"/>
    <w:tmpl w:val="451480FA"/>
    <w:lvl w:ilvl="0">
      <w:start w:val="3"/>
      <w:numFmt w:val="decimal"/>
      <w:lvlText w:val="%1."/>
      <w:lvlJc w:val="left"/>
      <w:pPr>
        <w:ind w:left="360" w:hanging="360"/>
      </w:pPr>
      <w:rPr>
        <w:rFonts w:hint="default"/>
        <w:color w:val="3B3838" w:themeColor="background2" w:themeShade="40"/>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3B3838" w:themeColor="background2" w:themeShade="40"/>
      </w:rPr>
    </w:lvl>
    <w:lvl w:ilvl="3">
      <w:start w:val="1"/>
      <w:numFmt w:val="decimal"/>
      <w:lvlText w:val="%1.%2.%3.%4."/>
      <w:lvlJc w:val="left"/>
      <w:pPr>
        <w:ind w:left="720" w:hanging="720"/>
      </w:pPr>
      <w:rPr>
        <w:rFonts w:hint="default"/>
        <w:color w:val="3B3838" w:themeColor="background2" w:themeShade="40"/>
      </w:rPr>
    </w:lvl>
    <w:lvl w:ilvl="4">
      <w:start w:val="1"/>
      <w:numFmt w:val="decimal"/>
      <w:lvlText w:val="%1.%2.%3.%4.%5."/>
      <w:lvlJc w:val="left"/>
      <w:pPr>
        <w:ind w:left="1080" w:hanging="1080"/>
      </w:pPr>
      <w:rPr>
        <w:rFonts w:hint="default"/>
        <w:color w:val="3B3838" w:themeColor="background2" w:themeShade="40"/>
      </w:rPr>
    </w:lvl>
    <w:lvl w:ilvl="5">
      <w:start w:val="1"/>
      <w:numFmt w:val="decimal"/>
      <w:lvlText w:val="%1.%2.%3.%4.%5.%6."/>
      <w:lvlJc w:val="left"/>
      <w:pPr>
        <w:ind w:left="1080" w:hanging="1080"/>
      </w:pPr>
      <w:rPr>
        <w:rFonts w:hint="default"/>
        <w:color w:val="3B3838" w:themeColor="background2" w:themeShade="40"/>
      </w:rPr>
    </w:lvl>
    <w:lvl w:ilvl="6">
      <w:start w:val="1"/>
      <w:numFmt w:val="decimal"/>
      <w:lvlText w:val="%1.%2.%3.%4.%5.%6.%7."/>
      <w:lvlJc w:val="left"/>
      <w:pPr>
        <w:ind w:left="1440" w:hanging="1440"/>
      </w:pPr>
      <w:rPr>
        <w:rFonts w:hint="default"/>
        <w:color w:val="3B3838" w:themeColor="background2" w:themeShade="40"/>
      </w:rPr>
    </w:lvl>
    <w:lvl w:ilvl="7">
      <w:start w:val="1"/>
      <w:numFmt w:val="decimal"/>
      <w:lvlText w:val="%1.%2.%3.%4.%5.%6.%7.%8."/>
      <w:lvlJc w:val="left"/>
      <w:pPr>
        <w:ind w:left="1440" w:hanging="1440"/>
      </w:pPr>
      <w:rPr>
        <w:rFonts w:hint="default"/>
        <w:color w:val="3B3838" w:themeColor="background2" w:themeShade="40"/>
      </w:rPr>
    </w:lvl>
    <w:lvl w:ilvl="8">
      <w:start w:val="1"/>
      <w:numFmt w:val="decimal"/>
      <w:lvlText w:val="%1.%2.%3.%4.%5.%6.%7.%8.%9."/>
      <w:lvlJc w:val="left"/>
      <w:pPr>
        <w:ind w:left="1800" w:hanging="1800"/>
      </w:pPr>
      <w:rPr>
        <w:rFonts w:hint="default"/>
        <w:color w:val="3B3838" w:themeColor="background2" w:themeShade="40"/>
      </w:rPr>
    </w:lvl>
  </w:abstractNum>
  <w:abstractNum w:abstractNumId="8" w15:restartNumberingAfterBreak="0">
    <w:nsid w:val="30BD7991"/>
    <w:multiLevelType w:val="hybridMultilevel"/>
    <w:tmpl w:val="195AF042"/>
    <w:lvl w:ilvl="0" w:tplc="864A5026">
      <w:start w:val="1"/>
      <w:numFmt w:val="lowerLetter"/>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318D3B73"/>
    <w:multiLevelType w:val="hybridMultilevel"/>
    <w:tmpl w:val="6F464806"/>
    <w:lvl w:ilvl="0" w:tplc="6388BED4">
      <w:start w:val="1"/>
      <w:numFmt w:val="lowerRoman"/>
      <w:lvlText w:val="(%1)"/>
      <w:lvlJc w:val="left"/>
      <w:pPr>
        <w:ind w:left="720" w:hanging="720"/>
      </w:pPr>
      <w:rPr>
        <w:rFonts w:hint="default"/>
        <w:b w:val="0"/>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337E1E1A"/>
    <w:multiLevelType w:val="hybridMultilevel"/>
    <w:tmpl w:val="E5D0DD6E"/>
    <w:lvl w:ilvl="0" w:tplc="199E3AAA">
      <w:start w:val="1"/>
      <w:numFmt w:val="lowerLetter"/>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35D020FD"/>
    <w:multiLevelType w:val="hybridMultilevel"/>
    <w:tmpl w:val="69487CE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3DAC2D17"/>
    <w:multiLevelType w:val="multilevel"/>
    <w:tmpl w:val="080A0027"/>
    <w:lvl w:ilvl="0">
      <w:start w:val="1"/>
      <w:numFmt w:val="upperRoman"/>
      <w:pStyle w:val="Ttulo1"/>
      <w:lvlText w:val="%1."/>
      <w:lvlJc w:val="left"/>
      <w:pPr>
        <w:tabs>
          <w:tab w:val="num" w:pos="360"/>
        </w:tabs>
        <w:ind w:left="0" w:firstLine="0"/>
      </w:pPr>
      <w:rPr>
        <w:rFonts w:hint="default"/>
        <w:b/>
        <w:i w:val="0"/>
        <w:sz w:val="28"/>
        <w:szCs w:val="28"/>
      </w:rPr>
    </w:lvl>
    <w:lvl w:ilvl="1">
      <w:start w:val="1"/>
      <w:numFmt w:val="upperLetter"/>
      <w:pStyle w:val="Ttulo2"/>
      <w:lvlText w:val="%2."/>
      <w:lvlJc w:val="left"/>
      <w:pPr>
        <w:tabs>
          <w:tab w:val="num" w:pos="1080"/>
        </w:tabs>
        <w:ind w:left="720" w:firstLine="0"/>
      </w:pPr>
      <w:rPr>
        <w:rFonts w:hint="default"/>
      </w:rPr>
    </w:lvl>
    <w:lvl w:ilvl="2">
      <w:start w:val="1"/>
      <w:numFmt w:val="decimal"/>
      <w:pStyle w:val="Ttulo3"/>
      <w:lvlText w:val="%3."/>
      <w:lvlJc w:val="left"/>
      <w:pPr>
        <w:tabs>
          <w:tab w:val="num" w:pos="1800"/>
        </w:tabs>
        <w:ind w:left="1440" w:firstLine="0"/>
      </w:pPr>
      <w:rPr>
        <w:rFonts w:hint="default"/>
      </w:rPr>
    </w:lvl>
    <w:lvl w:ilvl="3">
      <w:start w:val="1"/>
      <w:numFmt w:val="lowerLetter"/>
      <w:pStyle w:val="Ttulo4"/>
      <w:lvlText w:val="%4)"/>
      <w:lvlJc w:val="left"/>
      <w:pPr>
        <w:tabs>
          <w:tab w:val="num" w:pos="2520"/>
        </w:tabs>
        <w:ind w:left="2160" w:firstLine="0"/>
      </w:pPr>
      <w:rPr>
        <w:rFonts w:hint="default"/>
      </w:rPr>
    </w:lvl>
    <w:lvl w:ilvl="4">
      <w:start w:val="1"/>
      <w:numFmt w:val="decimal"/>
      <w:pStyle w:val="Ttulo5"/>
      <w:lvlText w:val="(%5)"/>
      <w:lvlJc w:val="left"/>
      <w:pPr>
        <w:tabs>
          <w:tab w:val="num" w:pos="3240"/>
        </w:tabs>
        <w:ind w:left="2880" w:firstLine="0"/>
      </w:pPr>
      <w:rPr>
        <w:rFonts w:hint="default"/>
      </w:rPr>
    </w:lvl>
    <w:lvl w:ilvl="5">
      <w:start w:val="1"/>
      <w:numFmt w:val="lowerLetter"/>
      <w:pStyle w:val="Ttulo6"/>
      <w:lvlText w:val="(%6)"/>
      <w:lvlJc w:val="left"/>
      <w:pPr>
        <w:tabs>
          <w:tab w:val="num" w:pos="3960"/>
        </w:tabs>
        <w:ind w:left="3600" w:firstLine="0"/>
      </w:pPr>
      <w:rPr>
        <w:rFonts w:hint="default"/>
      </w:rPr>
    </w:lvl>
    <w:lvl w:ilvl="6">
      <w:start w:val="1"/>
      <w:numFmt w:val="lowerRoman"/>
      <w:pStyle w:val="Ttulo7"/>
      <w:lvlText w:val="(%7)"/>
      <w:lvlJc w:val="left"/>
      <w:pPr>
        <w:tabs>
          <w:tab w:val="num" w:pos="4680"/>
        </w:tabs>
        <w:ind w:left="4320" w:firstLine="0"/>
      </w:pPr>
      <w:rPr>
        <w:rFonts w:hint="default"/>
      </w:rPr>
    </w:lvl>
    <w:lvl w:ilvl="7">
      <w:start w:val="1"/>
      <w:numFmt w:val="lowerLetter"/>
      <w:pStyle w:val="Ttulo8"/>
      <w:lvlText w:val="(%8)"/>
      <w:lvlJc w:val="left"/>
      <w:pPr>
        <w:tabs>
          <w:tab w:val="num" w:pos="5400"/>
        </w:tabs>
        <w:ind w:left="5040" w:firstLine="0"/>
      </w:pPr>
      <w:rPr>
        <w:rFonts w:hint="default"/>
      </w:rPr>
    </w:lvl>
    <w:lvl w:ilvl="8">
      <w:start w:val="1"/>
      <w:numFmt w:val="lowerRoman"/>
      <w:pStyle w:val="Ttulo9"/>
      <w:lvlText w:val="(%9)"/>
      <w:lvlJc w:val="left"/>
      <w:pPr>
        <w:tabs>
          <w:tab w:val="num" w:pos="6120"/>
        </w:tabs>
        <w:ind w:left="5760" w:firstLine="0"/>
      </w:pPr>
      <w:rPr>
        <w:rFonts w:hint="default"/>
      </w:rPr>
    </w:lvl>
  </w:abstractNum>
  <w:abstractNum w:abstractNumId="15"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50854227"/>
    <w:multiLevelType w:val="hybridMultilevel"/>
    <w:tmpl w:val="D4542102"/>
    <w:lvl w:ilvl="0" w:tplc="B0E60088">
      <w:start w:val="1"/>
      <w:numFmt w:val="lowerRoman"/>
      <w:lvlText w:val="%1)"/>
      <w:lvlJc w:val="left"/>
      <w:pPr>
        <w:tabs>
          <w:tab w:val="num" w:pos="1080"/>
        </w:tabs>
        <w:ind w:left="1080" w:hanging="720"/>
      </w:pPr>
      <w:rPr>
        <w:rFonts w:hint="default"/>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17" w15:restartNumberingAfterBreak="0">
    <w:nsid w:val="50A51052"/>
    <w:multiLevelType w:val="hybridMultilevel"/>
    <w:tmpl w:val="7FA0C0A8"/>
    <w:lvl w:ilvl="0" w:tplc="BA54D6B6">
      <w:start w:val="1"/>
      <w:numFmt w:val="lowerLetter"/>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8" w15:restartNumberingAfterBreak="0">
    <w:nsid w:val="52F41B34"/>
    <w:multiLevelType w:val="multilevel"/>
    <w:tmpl w:val="A3DE21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8143B48"/>
    <w:multiLevelType w:val="hybridMultilevel"/>
    <w:tmpl w:val="1888776A"/>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58155FF0"/>
    <w:multiLevelType w:val="hybridMultilevel"/>
    <w:tmpl w:val="0B66AD4A"/>
    <w:lvl w:ilvl="0" w:tplc="240A0011">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2" w15:restartNumberingAfterBreak="0">
    <w:nsid w:val="664E7E45"/>
    <w:multiLevelType w:val="hybridMultilevel"/>
    <w:tmpl w:val="EDE2AF5C"/>
    <w:lvl w:ilvl="0" w:tplc="E842EB00">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4" w15:restartNumberingAfterBreak="0">
    <w:nsid w:val="6C747154"/>
    <w:multiLevelType w:val="hybridMultilevel"/>
    <w:tmpl w:val="EFCAB862"/>
    <w:lvl w:ilvl="0" w:tplc="240A0013">
      <w:start w:val="1"/>
      <w:numFmt w:val="upperRoman"/>
      <w:lvlText w:val="%1."/>
      <w:lvlJc w:val="right"/>
      <w:pPr>
        <w:ind w:left="720" w:hanging="360"/>
      </w:pPr>
      <w:rPr>
        <w:rFonts w:hint="default"/>
      </w:rPr>
    </w:lvl>
    <w:lvl w:ilvl="1" w:tplc="0EE49D9C">
      <w:start w:val="1"/>
      <w:numFmt w:val="bullet"/>
      <w:lvlText w:val="o"/>
      <w:lvlJc w:val="left"/>
      <w:pPr>
        <w:ind w:left="1440" w:hanging="360"/>
      </w:pPr>
      <w:rPr>
        <w:rFonts w:ascii="Courier New" w:hAnsi="Courier New" w:cs="Times New Roman" w:hint="default"/>
      </w:rPr>
    </w:lvl>
    <w:lvl w:ilvl="2" w:tplc="F5DE03CA">
      <w:start w:val="1"/>
      <w:numFmt w:val="bullet"/>
      <w:lvlText w:val=""/>
      <w:lvlJc w:val="left"/>
      <w:pPr>
        <w:ind w:left="2160" w:hanging="360"/>
      </w:pPr>
      <w:rPr>
        <w:rFonts w:ascii="Wingdings" w:hAnsi="Wingdings" w:hint="default"/>
      </w:rPr>
    </w:lvl>
    <w:lvl w:ilvl="3" w:tplc="A288AAB6">
      <w:start w:val="1"/>
      <w:numFmt w:val="bullet"/>
      <w:lvlText w:val=""/>
      <w:lvlJc w:val="left"/>
      <w:pPr>
        <w:ind w:left="2880" w:hanging="360"/>
      </w:pPr>
      <w:rPr>
        <w:rFonts w:ascii="Symbol" w:hAnsi="Symbol" w:hint="default"/>
      </w:rPr>
    </w:lvl>
    <w:lvl w:ilvl="4" w:tplc="81DAFD16">
      <w:start w:val="1"/>
      <w:numFmt w:val="bullet"/>
      <w:lvlText w:val="o"/>
      <w:lvlJc w:val="left"/>
      <w:pPr>
        <w:ind w:left="3600" w:hanging="360"/>
      </w:pPr>
      <w:rPr>
        <w:rFonts w:ascii="Courier New" w:hAnsi="Courier New" w:cs="Times New Roman" w:hint="default"/>
      </w:rPr>
    </w:lvl>
    <w:lvl w:ilvl="5" w:tplc="D540ACF6">
      <w:start w:val="1"/>
      <w:numFmt w:val="bullet"/>
      <w:lvlText w:val=""/>
      <w:lvlJc w:val="left"/>
      <w:pPr>
        <w:ind w:left="4320" w:hanging="360"/>
      </w:pPr>
      <w:rPr>
        <w:rFonts w:ascii="Wingdings" w:hAnsi="Wingdings" w:hint="default"/>
      </w:rPr>
    </w:lvl>
    <w:lvl w:ilvl="6" w:tplc="CE02DD38">
      <w:start w:val="1"/>
      <w:numFmt w:val="bullet"/>
      <w:lvlText w:val=""/>
      <w:lvlJc w:val="left"/>
      <w:pPr>
        <w:ind w:left="5040" w:hanging="360"/>
      </w:pPr>
      <w:rPr>
        <w:rFonts w:ascii="Symbol" w:hAnsi="Symbol" w:hint="default"/>
      </w:rPr>
    </w:lvl>
    <w:lvl w:ilvl="7" w:tplc="63564B5A">
      <w:start w:val="1"/>
      <w:numFmt w:val="bullet"/>
      <w:lvlText w:val="o"/>
      <w:lvlJc w:val="left"/>
      <w:pPr>
        <w:ind w:left="5760" w:hanging="360"/>
      </w:pPr>
      <w:rPr>
        <w:rFonts w:ascii="Courier New" w:hAnsi="Courier New" w:cs="Times New Roman" w:hint="default"/>
      </w:rPr>
    </w:lvl>
    <w:lvl w:ilvl="8" w:tplc="477E1BD4">
      <w:start w:val="1"/>
      <w:numFmt w:val="bullet"/>
      <w:lvlText w:val=""/>
      <w:lvlJc w:val="left"/>
      <w:pPr>
        <w:ind w:left="6480" w:hanging="360"/>
      </w:pPr>
      <w:rPr>
        <w:rFonts w:ascii="Wingdings" w:hAnsi="Wingdings" w:hint="default"/>
      </w:rPr>
    </w:lvl>
  </w:abstractNum>
  <w:abstractNum w:abstractNumId="25" w15:restartNumberingAfterBreak="0">
    <w:nsid w:val="70053A3C"/>
    <w:multiLevelType w:val="hybridMultilevel"/>
    <w:tmpl w:val="B6AC8E9A"/>
    <w:lvl w:ilvl="0" w:tplc="240A0013">
      <w:start w:val="1"/>
      <w:numFmt w:val="upperRoman"/>
      <w:lvlText w:val="%1."/>
      <w:lvlJc w:val="right"/>
      <w:pPr>
        <w:ind w:left="720" w:hanging="360"/>
      </w:pPr>
      <w:rPr>
        <w:rFonts w:hint="default"/>
      </w:rPr>
    </w:lvl>
    <w:lvl w:ilvl="1" w:tplc="0EE49D9C">
      <w:start w:val="1"/>
      <w:numFmt w:val="bullet"/>
      <w:lvlText w:val="o"/>
      <w:lvlJc w:val="left"/>
      <w:pPr>
        <w:ind w:left="1440" w:hanging="360"/>
      </w:pPr>
      <w:rPr>
        <w:rFonts w:ascii="Courier New" w:hAnsi="Courier New" w:hint="default"/>
      </w:rPr>
    </w:lvl>
    <w:lvl w:ilvl="2" w:tplc="F5DE03CA">
      <w:start w:val="1"/>
      <w:numFmt w:val="bullet"/>
      <w:lvlText w:val=""/>
      <w:lvlJc w:val="left"/>
      <w:pPr>
        <w:ind w:left="2160" w:hanging="360"/>
      </w:pPr>
      <w:rPr>
        <w:rFonts w:ascii="Wingdings" w:hAnsi="Wingdings" w:hint="default"/>
      </w:rPr>
    </w:lvl>
    <w:lvl w:ilvl="3" w:tplc="A288AAB6">
      <w:start w:val="1"/>
      <w:numFmt w:val="bullet"/>
      <w:lvlText w:val=""/>
      <w:lvlJc w:val="left"/>
      <w:pPr>
        <w:ind w:left="2880" w:hanging="360"/>
      </w:pPr>
      <w:rPr>
        <w:rFonts w:ascii="Symbol" w:hAnsi="Symbol" w:hint="default"/>
      </w:rPr>
    </w:lvl>
    <w:lvl w:ilvl="4" w:tplc="81DAFD16">
      <w:start w:val="1"/>
      <w:numFmt w:val="bullet"/>
      <w:lvlText w:val="o"/>
      <w:lvlJc w:val="left"/>
      <w:pPr>
        <w:ind w:left="3600" w:hanging="360"/>
      </w:pPr>
      <w:rPr>
        <w:rFonts w:ascii="Courier New" w:hAnsi="Courier New" w:hint="default"/>
      </w:rPr>
    </w:lvl>
    <w:lvl w:ilvl="5" w:tplc="D540ACF6">
      <w:start w:val="1"/>
      <w:numFmt w:val="bullet"/>
      <w:lvlText w:val=""/>
      <w:lvlJc w:val="left"/>
      <w:pPr>
        <w:ind w:left="4320" w:hanging="360"/>
      </w:pPr>
      <w:rPr>
        <w:rFonts w:ascii="Wingdings" w:hAnsi="Wingdings" w:hint="default"/>
      </w:rPr>
    </w:lvl>
    <w:lvl w:ilvl="6" w:tplc="CE02DD38">
      <w:start w:val="1"/>
      <w:numFmt w:val="bullet"/>
      <w:lvlText w:val=""/>
      <w:lvlJc w:val="left"/>
      <w:pPr>
        <w:ind w:left="5040" w:hanging="360"/>
      </w:pPr>
      <w:rPr>
        <w:rFonts w:ascii="Symbol" w:hAnsi="Symbol" w:hint="default"/>
      </w:rPr>
    </w:lvl>
    <w:lvl w:ilvl="7" w:tplc="63564B5A">
      <w:start w:val="1"/>
      <w:numFmt w:val="bullet"/>
      <w:lvlText w:val="o"/>
      <w:lvlJc w:val="left"/>
      <w:pPr>
        <w:ind w:left="5760" w:hanging="360"/>
      </w:pPr>
      <w:rPr>
        <w:rFonts w:ascii="Courier New" w:hAnsi="Courier New" w:hint="default"/>
      </w:rPr>
    </w:lvl>
    <w:lvl w:ilvl="8" w:tplc="477E1BD4">
      <w:start w:val="1"/>
      <w:numFmt w:val="bullet"/>
      <w:lvlText w:val=""/>
      <w:lvlJc w:val="left"/>
      <w:pPr>
        <w:ind w:left="6480" w:hanging="360"/>
      </w:pPr>
      <w:rPr>
        <w:rFonts w:ascii="Wingdings" w:hAnsi="Wingdings" w:hint="default"/>
      </w:rPr>
    </w:lvl>
  </w:abstractNum>
  <w:abstractNum w:abstractNumId="26"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7" w15:restartNumberingAfterBreak="0">
    <w:nsid w:val="748E3ACF"/>
    <w:multiLevelType w:val="hybridMultilevel"/>
    <w:tmpl w:val="E1BEC994"/>
    <w:lvl w:ilvl="0" w:tplc="717067A0">
      <w:start w:val="1"/>
      <w:numFmt w:val="lowerLetter"/>
      <w:lvlText w:val="%1)"/>
      <w:lvlJc w:val="left"/>
      <w:pPr>
        <w:ind w:left="1080" w:hanging="360"/>
      </w:pPr>
      <w:rPr>
        <w:rFonts w:hint="default"/>
        <w:b/>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8" w15:restartNumberingAfterBreak="0">
    <w:nsid w:val="7DDB11D6"/>
    <w:multiLevelType w:val="hybridMultilevel"/>
    <w:tmpl w:val="35A8EA74"/>
    <w:lvl w:ilvl="0" w:tplc="27A090D2">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1"/>
  </w:num>
  <w:num w:numId="2">
    <w:abstractNumId w:val="9"/>
  </w:num>
  <w:num w:numId="3">
    <w:abstractNumId w:val="15"/>
  </w:num>
  <w:num w:numId="4">
    <w:abstractNumId w:val="21"/>
  </w:num>
  <w:num w:numId="5">
    <w:abstractNumId w:val="23"/>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24"/>
  </w:num>
  <w:num w:numId="9">
    <w:abstractNumId w:val="6"/>
    <w:lvlOverride w:ilvl="0">
      <w:startOverride w:val="1"/>
    </w:lvlOverride>
  </w:num>
  <w:num w:numId="10">
    <w:abstractNumId w:val="25"/>
  </w:num>
  <w:num w:numId="11">
    <w:abstractNumId w:val="7"/>
  </w:num>
  <w:num w:numId="12">
    <w:abstractNumId w:val="2"/>
  </w:num>
  <w:num w:numId="13">
    <w:abstractNumId w:val="4"/>
  </w:num>
  <w:num w:numId="14">
    <w:abstractNumId w:val="20"/>
  </w:num>
  <w:num w:numId="15">
    <w:abstractNumId w:val="13"/>
  </w:num>
  <w:num w:numId="16">
    <w:abstractNumId w:val="10"/>
  </w:num>
  <w:num w:numId="17">
    <w:abstractNumId w:val="14"/>
  </w:num>
  <w:num w:numId="18">
    <w:abstractNumId w:val="16"/>
  </w:num>
  <w:num w:numId="19">
    <w:abstractNumId w:val="5"/>
  </w:num>
  <w:num w:numId="20">
    <w:abstractNumId w:val="28"/>
  </w:num>
  <w:num w:numId="21">
    <w:abstractNumId w:val="22"/>
  </w:num>
  <w:num w:numId="22">
    <w:abstractNumId w:val="18"/>
  </w:num>
  <w:num w:numId="23">
    <w:abstractNumId w:val="17"/>
  </w:num>
  <w:num w:numId="24">
    <w:abstractNumId w:val="8"/>
  </w:num>
  <w:num w:numId="25">
    <w:abstractNumId w:val="19"/>
  </w:num>
  <w:num w:numId="26">
    <w:abstractNumId w:val="1"/>
  </w:num>
  <w:num w:numId="27">
    <w:abstractNumId w:val="12"/>
  </w:num>
  <w:num w:numId="28">
    <w:abstractNumId w:val="27"/>
  </w:num>
  <w:num w:numId="29">
    <w:abstractNumId w:val="3"/>
  </w:num>
  <w:num w:numId="3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C23"/>
    <w:rsid w:val="00004152"/>
    <w:rsid w:val="000073BE"/>
    <w:rsid w:val="00007534"/>
    <w:rsid w:val="00010333"/>
    <w:rsid w:val="000370B6"/>
    <w:rsid w:val="00061344"/>
    <w:rsid w:val="00080F8E"/>
    <w:rsid w:val="000B0FF6"/>
    <w:rsid w:val="000C04ED"/>
    <w:rsid w:val="000C1493"/>
    <w:rsid w:val="000D38A1"/>
    <w:rsid w:val="000F341C"/>
    <w:rsid w:val="00104E71"/>
    <w:rsid w:val="00112409"/>
    <w:rsid w:val="0016346E"/>
    <w:rsid w:val="00174706"/>
    <w:rsid w:val="00175D93"/>
    <w:rsid w:val="00176B7A"/>
    <w:rsid w:val="00183806"/>
    <w:rsid w:val="00185051"/>
    <w:rsid w:val="00186060"/>
    <w:rsid w:val="001A0BBF"/>
    <w:rsid w:val="001A4526"/>
    <w:rsid w:val="001B769B"/>
    <w:rsid w:val="001D21F3"/>
    <w:rsid w:val="001E4C5E"/>
    <w:rsid w:val="00201C55"/>
    <w:rsid w:val="00202154"/>
    <w:rsid w:val="00236548"/>
    <w:rsid w:val="00237B05"/>
    <w:rsid w:val="00237FAC"/>
    <w:rsid w:val="00244B1C"/>
    <w:rsid w:val="00252A70"/>
    <w:rsid w:val="00264194"/>
    <w:rsid w:val="00270618"/>
    <w:rsid w:val="00281B48"/>
    <w:rsid w:val="002B3B3A"/>
    <w:rsid w:val="002C0430"/>
    <w:rsid w:val="002D2ECE"/>
    <w:rsid w:val="002D4B8B"/>
    <w:rsid w:val="002E2D40"/>
    <w:rsid w:val="002E41DE"/>
    <w:rsid w:val="00300BA8"/>
    <w:rsid w:val="00301B6D"/>
    <w:rsid w:val="00333312"/>
    <w:rsid w:val="0034289F"/>
    <w:rsid w:val="003471FF"/>
    <w:rsid w:val="00385DE6"/>
    <w:rsid w:val="0039133E"/>
    <w:rsid w:val="003A273F"/>
    <w:rsid w:val="003B045C"/>
    <w:rsid w:val="003C2318"/>
    <w:rsid w:val="003C4862"/>
    <w:rsid w:val="00415835"/>
    <w:rsid w:val="00422F5C"/>
    <w:rsid w:val="00431104"/>
    <w:rsid w:val="00452837"/>
    <w:rsid w:val="00462FFD"/>
    <w:rsid w:val="004705F0"/>
    <w:rsid w:val="00486B76"/>
    <w:rsid w:val="00486D3B"/>
    <w:rsid w:val="004916F0"/>
    <w:rsid w:val="00497B71"/>
    <w:rsid w:val="004B2675"/>
    <w:rsid w:val="004B4CA2"/>
    <w:rsid w:val="004B789A"/>
    <w:rsid w:val="004D41B6"/>
    <w:rsid w:val="004E3692"/>
    <w:rsid w:val="004F2E72"/>
    <w:rsid w:val="004F432F"/>
    <w:rsid w:val="004F4B17"/>
    <w:rsid w:val="004F5C70"/>
    <w:rsid w:val="00515FAF"/>
    <w:rsid w:val="00563589"/>
    <w:rsid w:val="00580A57"/>
    <w:rsid w:val="00583B9F"/>
    <w:rsid w:val="005A66C6"/>
    <w:rsid w:val="005D1DC0"/>
    <w:rsid w:val="005D5767"/>
    <w:rsid w:val="005E415D"/>
    <w:rsid w:val="005F2B73"/>
    <w:rsid w:val="005F4339"/>
    <w:rsid w:val="006112E9"/>
    <w:rsid w:val="006117E7"/>
    <w:rsid w:val="00622CEC"/>
    <w:rsid w:val="00646CF5"/>
    <w:rsid w:val="00647E66"/>
    <w:rsid w:val="00667C06"/>
    <w:rsid w:val="00673D55"/>
    <w:rsid w:val="00674123"/>
    <w:rsid w:val="00676BB4"/>
    <w:rsid w:val="00693825"/>
    <w:rsid w:val="00695447"/>
    <w:rsid w:val="006B0314"/>
    <w:rsid w:val="006C1B75"/>
    <w:rsid w:val="006C314F"/>
    <w:rsid w:val="006C4CAF"/>
    <w:rsid w:val="006F0121"/>
    <w:rsid w:val="006F47F2"/>
    <w:rsid w:val="006F6F6E"/>
    <w:rsid w:val="0071069B"/>
    <w:rsid w:val="0078349B"/>
    <w:rsid w:val="007861C7"/>
    <w:rsid w:val="00787213"/>
    <w:rsid w:val="007A0699"/>
    <w:rsid w:val="007A6243"/>
    <w:rsid w:val="007B1ADA"/>
    <w:rsid w:val="007C6B2E"/>
    <w:rsid w:val="007D666E"/>
    <w:rsid w:val="007D6B81"/>
    <w:rsid w:val="007D7A6D"/>
    <w:rsid w:val="00820B42"/>
    <w:rsid w:val="008559F4"/>
    <w:rsid w:val="008648C0"/>
    <w:rsid w:val="00883C23"/>
    <w:rsid w:val="00886A33"/>
    <w:rsid w:val="008870AC"/>
    <w:rsid w:val="008B41AF"/>
    <w:rsid w:val="008E0383"/>
    <w:rsid w:val="008E1F21"/>
    <w:rsid w:val="008E3661"/>
    <w:rsid w:val="00906730"/>
    <w:rsid w:val="00911176"/>
    <w:rsid w:val="00920F1C"/>
    <w:rsid w:val="00924A75"/>
    <w:rsid w:val="0094721B"/>
    <w:rsid w:val="0095308E"/>
    <w:rsid w:val="009533DD"/>
    <w:rsid w:val="009657DB"/>
    <w:rsid w:val="00973515"/>
    <w:rsid w:val="00980622"/>
    <w:rsid w:val="009976C6"/>
    <w:rsid w:val="009B5870"/>
    <w:rsid w:val="009C0AE1"/>
    <w:rsid w:val="009C4C67"/>
    <w:rsid w:val="009E08A9"/>
    <w:rsid w:val="009F6248"/>
    <w:rsid w:val="00A116E0"/>
    <w:rsid w:val="00A300C6"/>
    <w:rsid w:val="00A351B9"/>
    <w:rsid w:val="00A564F4"/>
    <w:rsid w:val="00A74BE2"/>
    <w:rsid w:val="00AA1627"/>
    <w:rsid w:val="00AA7B58"/>
    <w:rsid w:val="00AB0C32"/>
    <w:rsid w:val="00AB2D55"/>
    <w:rsid w:val="00AC3C47"/>
    <w:rsid w:val="00AC7ED9"/>
    <w:rsid w:val="00AD3184"/>
    <w:rsid w:val="00B05B75"/>
    <w:rsid w:val="00B173FA"/>
    <w:rsid w:val="00B31385"/>
    <w:rsid w:val="00B52C9B"/>
    <w:rsid w:val="00B64ACB"/>
    <w:rsid w:val="00BA170A"/>
    <w:rsid w:val="00BB2660"/>
    <w:rsid w:val="00BB7896"/>
    <w:rsid w:val="00BD2FB0"/>
    <w:rsid w:val="00BD443F"/>
    <w:rsid w:val="00BE51F4"/>
    <w:rsid w:val="00BF32CB"/>
    <w:rsid w:val="00BF36EC"/>
    <w:rsid w:val="00C054F3"/>
    <w:rsid w:val="00C0768B"/>
    <w:rsid w:val="00C23407"/>
    <w:rsid w:val="00C5025B"/>
    <w:rsid w:val="00C51624"/>
    <w:rsid w:val="00C52368"/>
    <w:rsid w:val="00C53096"/>
    <w:rsid w:val="00C6686B"/>
    <w:rsid w:val="00C83CBC"/>
    <w:rsid w:val="00C91855"/>
    <w:rsid w:val="00C94147"/>
    <w:rsid w:val="00C97B5F"/>
    <w:rsid w:val="00CA4235"/>
    <w:rsid w:val="00CB034D"/>
    <w:rsid w:val="00CB375E"/>
    <w:rsid w:val="00CB7E8C"/>
    <w:rsid w:val="00CC1518"/>
    <w:rsid w:val="00CC1950"/>
    <w:rsid w:val="00CE4870"/>
    <w:rsid w:val="00D044F7"/>
    <w:rsid w:val="00D15AE1"/>
    <w:rsid w:val="00D406B8"/>
    <w:rsid w:val="00D477B7"/>
    <w:rsid w:val="00D77C56"/>
    <w:rsid w:val="00D80C84"/>
    <w:rsid w:val="00D90D8A"/>
    <w:rsid w:val="00DB1FBD"/>
    <w:rsid w:val="00DB497E"/>
    <w:rsid w:val="00DC10CE"/>
    <w:rsid w:val="00DC6C86"/>
    <w:rsid w:val="00DD003E"/>
    <w:rsid w:val="00DF5A9D"/>
    <w:rsid w:val="00E0484E"/>
    <w:rsid w:val="00E0769F"/>
    <w:rsid w:val="00E11379"/>
    <w:rsid w:val="00E1537C"/>
    <w:rsid w:val="00E32EEB"/>
    <w:rsid w:val="00E6401D"/>
    <w:rsid w:val="00E71F3C"/>
    <w:rsid w:val="00E75D23"/>
    <w:rsid w:val="00E81AA7"/>
    <w:rsid w:val="00E8294A"/>
    <w:rsid w:val="00E93A6A"/>
    <w:rsid w:val="00EE6DF5"/>
    <w:rsid w:val="00EF0791"/>
    <w:rsid w:val="00EF6644"/>
    <w:rsid w:val="00F04513"/>
    <w:rsid w:val="00F05D7E"/>
    <w:rsid w:val="00F2080B"/>
    <w:rsid w:val="00F3081E"/>
    <w:rsid w:val="00F464FE"/>
    <w:rsid w:val="00F51383"/>
    <w:rsid w:val="00F800DF"/>
    <w:rsid w:val="00F8124A"/>
    <w:rsid w:val="00F820CB"/>
    <w:rsid w:val="00F82416"/>
    <w:rsid w:val="00F833EF"/>
    <w:rsid w:val="00FB2766"/>
    <w:rsid w:val="00FC1379"/>
    <w:rsid w:val="00FE5DD8"/>
    <w:rsid w:val="00FF2BA2"/>
    <w:rsid w:val="00FF661D"/>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6E2FDA"/>
  <w15:docId w15:val="{62CC449F-4273-43BB-8634-C33D8BF2D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qFormat/>
    <w:rsid w:val="00883C23"/>
    <w:pPr>
      <w:keepNext/>
      <w:numPr>
        <w:numId w:val="17"/>
      </w:numPr>
      <w:spacing w:before="240" w:after="60" w:line="240" w:lineRule="auto"/>
      <w:outlineLvl w:val="0"/>
    </w:pPr>
    <w:rPr>
      <w:rFonts w:ascii="Arial" w:eastAsia="Times New Roman" w:hAnsi="Arial" w:cs="Arial"/>
      <w:b/>
      <w:bCs/>
      <w:kern w:val="32"/>
      <w:sz w:val="32"/>
      <w:szCs w:val="32"/>
      <w:lang w:val="es-ES" w:eastAsia="es-ES"/>
    </w:rPr>
  </w:style>
  <w:style w:type="paragraph" w:styleId="Ttulo2">
    <w:name w:val="heading 2"/>
    <w:basedOn w:val="Normal"/>
    <w:next w:val="Normal"/>
    <w:link w:val="Ttulo2Car"/>
    <w:qFormat/>
    <w:rsid w:val="00883C23"/>
    <w:pPr>
      <w:keepNext/>
      <w:numPr>
        <w:ilvl w:val="1"/>
        <w:numId w:val="17"/>
      </w:numPr>
      <w:spacing w:before="240" w:after="60" w:line="240" w:lineRule="auto"/>
      <w:outlineLvl w:val="1"/>
    </w:pPr>
    <w:rPr>
      <w:rFonts w:ascii="Arial" w:eastAsia="Times New Roman" w:hAnsi="Arial" w:cs="Arial"/>
      <w:b/>
      <w:bCs/>
      <w:i/>
      <w:iCs/>
      <w:sz w:val="28"/>
      <w:szCs w:val="28"/>
      <w:lang w:val="es-ES" w:eastAsia="es-ES"/>
    </w:rPr>
  </w:style>
  <w:style w:type="paragraph" w:styleId="Ttulo3">
    <w:name w:val="heading 3"/>
    <w:basedOn w:val="Normal"/>
    <w:next w:val="Normal"/>
    <w:link w:val="Ttulo3Car"/>
    <w:qFormat/>
    <w:rsid w:val="00883C23"/>
    <w:pPr>
      <w:keepNext/>
      <w:numPr>
        <w:ilvl w:val="2"/>
        <w:numId w:val="17"/>
      </w:numPr>
      <w:spacing w:before="240" w:after="60" w:line="240" w:lineRule="auto"/>
      <w:outlineLvl w:val="2"/>
    </w:pPr>
    <w:rPr>
      <w:rFonts w:ascii="Arial" w:eastAsia="Times New Roman" w:hAnsi="Arial" w:cs="Arial"/>
      <w:b/>
      <w:bCs/>
      <w:sz w:val="26"/>
      <w:szCs w:val="26"/>
      <w:lang w:val="es-ES" w:eastAsia="es-ES"/>
    </w:rPr>
  </w:style>
  <w:style w:type="paragraph" w:styleId="Ttulo4">
    <w:name w:val="heading 4"/>
    <w:basedOn w:val="Normal"/>
    <w:next w:val="Normal"/>
    <w:link w:val="Ttulo4Car"/>
    <w:qFormat/>
    <w:rsid w:val="00883C23"/>
    <w:pPr>
      <w:keepNext/>
      <w:numPr>
        <w:ilvl w:val="3"/>
        <w:numId w:val="17"/>
      </w:numPr>
      <w:spacing w:before="240" w:after="60" w:line="240" w:lineRule="auto"/>
      <w:outlineLvl w:val="3"/>
    </w:pPr>
    <w:rPr>
      <w:rFonts w:ascii="Times New Roman" w:eastAsia="Times New Roman" w:hAnsi="Times New Roman" w:cs="Times New Roman"/>
      <w:b/>
      <w:bCs/>
      <w:sz w:val="28"/>
      <w:szCs w:val="28"/>
      <w:lang w:val="es-ES" w:eastAsia="es-ES"/>
    </w:rPr>
  </w:style>
  <w:style w:type="paragraph" w:styleId="Ttulo5">
    <w:name w:val="heading 5"/>
    <w:basedOn w:val="Normal"/>
    <w:next w:val="Normal"/>
    <w:link w:val="Ttulo5Car"/>
    <w:qFormat/>
    <w:rsid w:val="00883C23"/>
    <w:pPr>
      <w:numPr>
        <w:ilvl w:val="4"/>
        <w:numId w:val="17"/>
      </w:numPr>
      <w:spacing w:before="240" w:after="60" w:line="240" w:lineRule="auto"/>
      <w:outlineLvl w:val="4"/>
    </w:pPr>
    <w:rPr>
      <w:rFonts w:ascii="Times New Roman" w:eastAsia="Times New Roman" w:hAnsi="Times New Roman" w:cs="Times New Roman"/>
      <w:b/>
      <w:bCs/>
      <w:i/>
      <w:iCs/>
      <w:sz w:val="26"/>
      <w:szCs w:val="26"/>
      <w:lang w:val="es-ES" w:eastAsia="es-ES"/>
    </w:rPr>
  </w:style>
  <w:style w:type="paragraph" w:styleId="Ttulo6">
    <w:name w:val="heading 6"/>
    <w:basedOn w:val="Normal"/>
    <w:next w:val="Normal"/>
    <w:link w:val="Ttulo6Car"/>
    <w:qFormat/>
    <w:rsid w:val="00883C23"/>
    <w:pPr>
      <w:numPr>
        <w:ilvl w:val="5"/>
        <w:numId w:val="17"/>
      </w:numPr>
      <w:spacing w:before="240" w:after="60" w:line="240" w:lineRule="auto"/>
      <w:outlineLvl w:val="5"/>
    </w:pPr>
    <w:rPr>
      <w:rFonts w:ascii="Times New Roman" w:eastAsia="Times New Roman" w:hAnsi="Times New Roman" w:cs="Times New Roman"/>
      <w:b/>
      <w:bCs/>
      <w:lang w:val="es-ES" w:eastAsia="es-ES"/>
    </w:rPr>
  </w:style>
  <w:style w:type="paragraph" w:styleId="Ttulo7">
    <w:name w:val="heading 7"/>
    <w:basedOn w:val="Normal"/>
    <w:next w:val="Normal"/>
    <w:link w:val="Ttulo7Car"/>
    <w:qFormat/>
    <w:rsid w:val="00883C23"/>
    <w:pPr>
      <w:numPr>
        <w:ilvl w:val="6"/>
        <w:numId w:val="17"/>
      </w:numPr>
      <w:spacing w:before="240" w:after="60" w:line="240" w:lineRule="auto"/>
      <w:outlineLvl w:val="6"/>
    </w:pPr>
    <w:rPr>
      <w:rFonts w:ascii="Times New Roman" w:eastAsia="Times New Roman" w:hAnsi="Times New Roman" w:cs="Times New Roman"/>
      <w:sz w:val="24"/>
      <w:szCs w:val="24"/>
      <w:lang w:val="es-ES" w:eastAsia="es-ES"/>
    </w:rPr>
  </w:style>
  <w:style w:type="paragraph" w:styleId="Ttulo8">
    <w:name w:val="heading 8"/>
    <w:basedOn w:val="Normal"/>
    <w:next w:val="Normal"/>
    <w:link w:val="Ttulo8Car"/>
    <w:qFormat/>
    <w:rsid w:val="00883C23"/>
    <w:pPr>
      <w:numPr>
        <w:ilvl w:val="7"/>
        <w:numId w:val="17"/>
      </w:numPr>
      <w:spacing w:before="240" w:after="60" w:line="240" w:lineRule="auto"/>
      <w:outlineLvl w:val="7"/>
    </w:pPr>
    <w:rPr>
      <w:rFonts w:ascii="Times New Roman" w:eastAsia="Times New Roman" w:hAnsi="Times New Roman" w:cs="Times New Roman"/>
      <w:i/>
      <w:iCs/>
      <w:sz w:val="24"/>
      <w:szCs w:val="24"/>
      <w:lang w:val="es-ES" w:eastAsia="es-ES"/>
    </w:rPr>
  </w:style>
  <w:style w:type="paragraph" w:styleId="Ttulo9">
    <w:name w:val="heading 9"/>
    <w:basedOn w:val="Normal"/>
    <w:next w:val="Normal"/>
    <w:link w:val="Ttulo9Car"/>
    <w:qFormat/>
    <w:rsid w:val="00883C23"/>
    <w:pPr>
      <w:numPr>
        <w:ilvl w:val="8"/>
        <w:numId w:val="17"/>
      </w:numPr>
      <w:spacing w:before="240" w:after="60" w:line="240" w:lineRule="auto"/>
      <w:outlineLvl w:val="8"/>
    </w:pPr>
    <w:rPr>
      <w:rFonts w:ascii="Arial" w:eastAsia="Times New Roman" w:hAnsi="Arial" w:cs="Arial"/>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883C23"/>
    <w:rPr>
      <w:rFonts w:ascii="Arial" w:eastAsia="Times New Roman" w:hAnsi="Arial" w:cs="Arial"/>
      <w:b/>
      <w:bCs/>
      <w:kern w:val="32"/>
      <w:sz w:val="32"/>
      <w:szCs w:val="32"/>
      <w:lang w:val="es-ES" w:eastAsia="es-ES"/>
    </w:rPr>
  </w:style>
  <w:style w:type="character" w:customStyle="1" w:styleId="Ttulo2Car">
    <w:name w:val="Título 2 Car"/>
    <w:basedOn w:val="Fuentedeprrafopredeter"/>
    <w:link w:val="Ttulo2"/>
    <w:rsid w:val="00883C23"/>
    <w:rPr>
      <w:rFonts w:ascii="Arial" w:eastAsia="Times New Roman" w:hAnsi="Arial" w:cs="Arial"/>
      <w:b/>
      <w:bCs/>
      <w:i/>
      <w:iCs/>
      <w:sz w:val="28"/>
      <w:szCs w:val="28"/>
      <w:lang w:val="es-ES" w:eastAsia="es-ES"/>
    </w:rPr>
  </w:style>
  <w:style w:type="character" w:customStyle="1" w:styleId="Ttulo3Car">
    <w:name w:val="Título 3 Car"/>
    <w:basedOn w:val="Fuentedeprrafopredeter"/>
    <w:link w:val="Ttulo3"/>
    <w:rsid w:val="00883C23"/>
    <w:rPr>
      <w:rFonts w:ascii="Arial" w:eastAsia="Times New Roman" w:hAnsi="Arial" w:cs="Arial"/>
      <w:b/>
      <w:bCs/>
      <w:sz w:val="26"/>
      <w:szCs w:val="26"/>
      <w:lang w:val="es-ES" w:eastAsia="es-ES"/>
    </w:rPr>
  </w:style>
  <w:style w:type="character" w:customStyle="1" w:styleId="Ttulo4Car">
    <w:name w:val="Título 4 Car"/>
    <w:basedOn w:val="Fuentedeprrafopredeter"/>
    <w:link w:val="Ttulo4"/>
    <w:rsid w:val="00883C23"/>
    <w:rPr>
      <w:rFonts w:ascii="Times New Roman" w:eastAsia="Times New Roman" w:hAnsi="Times New Roman" w:cs="Times New Roman"/>
      <w:b/>
      <w:bCs/>
      <w:sz w:val="28"/>
      <w:szCs w:val="28"/>
      <w:lang w:val="es-ES" w:eastAsia="es-ES"/>
    </w:rPr>
  </w:style>
  <w:style w:type="character" w:customStyle="1" w:styleId="Ttulo5Car">
    <w:name w:val="Título 5 Car"/>
    <w:basedOn w:val="Fuentedeprrafopredeter"/>
    <w:link w:val="Ttulo5"/>
    <w:rsid w:val="00883C23"/>
    <w:rPr>
      <w:rFonts w:ascii="Times New Roman" w:eastAsia="Times New Roman" w:hAnsi="Times New Roman" w:cs="Times New Roman"/>
      <w:b/>
      <w:bCs/>
      <w:i/>
      <w:iCs/>
      <w:sz w:val="26"/>
      <w:szCs w:val="26"/>
      <w:lang w:val="es-ES" w:eastAsia="es-ES"/>
    </w:rPr>
  </w:style>
  <w:style w:type="character" w:customStyle="1" w:styleId="Ttulo6Car">
    <w:name w:val="Título 6 Car"/>
    <w:basedOn w:val="Fuentedeprrafopredeter"/>
    <w:link w:val="Ttulo6"/>
    <w:rsid w:val="00883C23"/>
    <w:rPr>
      <w:rFonts w:ascii="Times New Roman" w:eastAsia="Times New Roman" w:hAnsi="Times New Roman" w:cs="Times New Roman"/>
      <w:b/>
      <w:bCs/>
      <w:lang w:val="es-ES" w:eastAsia="es-ES"/>
    </w:rPr>
  </w:style>
  <w:style w:type="character" w:customStyle="1" w:styleId="Ttulo7Car">
    <w:name w:val="Título 7 Car"/>
    <w:basedOn w:val="Fuentedeprrafopredeter"/>
    <w:link w:val="Ttulo7"/>
    <w:rsid w:val="00883C23"/>
    <w:rPr>
      <w:rFonts w:ascii="Times New Roman" w:eastAsia="Times New Roman" w:hAnsi="Times New Roman" w:cs="Times New Roman"/>
      <w:sz w:val="24"/>
      <w:szCs w:val="24"/>
      <w:lang w:val="es-ES" w:eastAsia="es-ES"/>
    </w:rPr>
  </w:style>
  <w:style w:type="character" w:customStyle="1" w:styleId="Ttulo8Car">
    <w:name w:val="Título 8 Car"/>
    <w:basedOn w:val="Fuentedeprrafopredeter"/>
    <w:link w:val="Ttulo8"/>
    <w:rsid w:val="00883C23"/>
    <w:rPr>
      <w:rFonts w:ascii="Times New Roman" w:eastAsia="Times New Roman" w:hAnsi="Times New Roman" w:cs="Times New Roman"/>
      <w:i/>
      <w:iCs/>
      <w:sz w:val="24"/>
      <w:szCs w:val="24"/>
      <w:lang w:val="es-ES" w:eastAsia="es-ES"/>
    </w:rPr>
  </w:style>
  <w:style w:type="character" w:customStyle="1" w:styleId="Ttulo9Car">
    <w:name w:val="Título 9 Car"/>
    <w:basedOn w:val="Fuentedeprrafopredeter"/>
    <w:link w:val="Ttulo9"/>
    <w:rsid w:val="00883C23"/>
    <w:rPr>
      <w:rFonts w:ascii="Arial" w:eastAsia="Times New Roman" w:hAnsi="Arial" w:cs="Arial"/>
      <w:lang w:val="es-ES" w:eastAsia="es-ES"/>
    </w:rPr>
  </w:style>
  <w:style w:type="numbering" w:customStyle="1" w:styleId="Sinlista1">
    <w:name w:val="Sin lista1"/>
    <w:next w:val="Sinlista"/>
    <w:uiPriority w:val="99"/>
    <w:semiHidden/>
    <w:unhideWhenUsed/>
    <w:rsid w:val="00883C23"/>
  </w:style>
  <w:style w:type="paragraph" w:styleId="Piedepgina">
    <w:name w:val="footer"/>
    <w:basedOn w:val="Normal"/>
    <w:link w:val="PiedepginaCar"/>
    <w:uiPriority w:val="99"/>
    <w:unhideWhenUsed/>
    <w:rsid w:val="00883C23"/>
    <w:pPr>
      <w:tabs>
        <w:tab w:val="center" w:pos="4419"/>
        <w:tab w:val="right" w:pos="8838"/>
      </w:tabs>
      <w:spacing w:after="200" w:line="276" w:lineRule="auto"/>
      <w:jc w:val="both"/>
    </w:pPr>
    <w:rPr>
      <w:sz w:val="24"/>
      <w:lang w:val="es-MX"/>
    </w:rPr>
  </w:style>
  <w:style w:type="character" w:customStyle="1" w:styleId="PiedepginaCar">
    <w:name w:val="Pie de página Car"/>
    <w:basedOn w:val="Fuentedeprrafopredeter"/>
    <w:link w:val="Piedepgina"/>
    <w:uiPriority w:val="99"/>
    <w:rsid w:val="00883C23"/>
    <w:rPr>
      <w:sz w:val="24"/>
      <w:lang w:val="es-MX"/>
    </w:rPr>
  </w:style>
  <w:style w:type="paragraph" w:styleId="Textodeglobo">
    <w:name w:val="Balloon Text"/>
    <w:basedOn w:val="Normal"/>
    <w:link w:val="TextodegloboCar"/>
    <w:uiPriority w:val="99"/>
    <w:semiHidden/>
    <w:unhideWhenUsed/>
    <w:rsid w:val="00883C23"/>
    <w:pPr>
      <w:spacing w:after="200" w:line="276" w:lineRule="auto"/>
      <w:jc w:val="both"/>
    </w:pPr>
    <w:rPr>
      <w:rFonts w:ascii="Tahoma" w:hAnsi="Tahoma" w:cs="Tahoma"/>
      <w:sz w:val="16"/>
      <w:szCs w:val="16"/>
      <w:lang w:val="es-MX"/>
    </w:rPr>
  </w:style>
  <w:style w:type="character" w:customStyle="1" w:styleId="TextodegloboCar">
    <w:name w:val="Texto de globo Car"/>
    <w:basedOn w:val="Fuentedeprrafopredeter"/>
    <w:link w:val="Textodeglobo"/>
    <w:uiPriority w:val="99"/>
    <w:semiHidden/>
    <w:rsid w:val="00883C23"/>
    <w:rPr>
      <w:rFonts w:ascii="Tahoma" w:hAnsi="Tahoma" w:cs="Tahoma"/>
      <w:sz w:val="16"/>
      <w:szCs w:val="16"/>
      <w:lang w:val="es-MX"/>
    </w:rPr>
  </w:style>
  <w:style w:type="paragraph" w:styleId="Encabezado">
    <w:name w:val="header"/>
    <w:basedOn w:val="Normal"/>
    <w:link w:val="EncabezadoCar"/>
    <w:uiPriority w:val="99"/>
    <w:unhideWhenUsed/>
    <w:rsid w:val="00883C23"/>
    <w:pPr>
      <w:tabs>
        <w:tab w:val="center" w:pos="4252"/>
        <w:tab w:val="right" w:pos="8504"/>
      </w:tabs>
      <w:spacing w:after="200" w:line="276" w:lineRule="auto"/>
      <w:jc w:val="both"/>
    </w:pPr>
    <w:rPr>
      <w:sz w:val="24"/>
      <w:lang w:val="es-MX"/>
    </w:rPr>
  </w:style>
  <w:style w:type="character" w:customStyle="1" w:styleId="EncabezadoCar">
    <w:name w:val="Encabezado Car"/>
    <w:basedOn w:val="Fuentedeprrafopredeter"/>
    <w:link w:val="Encabezado"/>
    <w:uiPriority w:val="99"/>
    <w:rsid w:val="00883C23"/>
    <w:rPr>
      <w:sz w:val="24"/>
      <w:lang w:val="es-MX"/>
    </w:rPr>
  </w:style>
  <w:style w:type="table" w:styleId="Tablaconcuadrcula">
    <w:name w:val="Table Grid"/>
    <w:basedOn w:val="Tablanormal"/>
    <w:uiPriority w:val="39"/>
    <w:rsid w:val="00883C23"/>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883C23"/>
    <w:pPr>
      <w:spacing w:after="200" w:line="276" w:lineRule="auto"/>
      <w:ind w:left="720"/>
      <w:contextualSpacing/>
      <w:jc w:val="both"/>
    </w:pPr>
    <w:rPr>
      <w:sz w:val="24"/>
      <w:lang w:val="es-MX"/>
    </w:rPr>
  </w:style>
  <w:style w:type="character" w:styleId="Refdecomentario">
    <w:name w:val="annotation reference"/>
    <w:basedOn w:val="Fuentedeprrafopredeter"/>
    <w:uiPriority w:val="99"/>
    <w:semiHidden/>
    <w:unhideWhenUsed/>
    <w:rsid w:val="00883C23"/>
    <w:rPr>
      <w:sz w:val="16"/>
      <w:szCs w:val="16"/>
    </w:rPr>
  </w:style>
  <w:style w:type="paragraph" w:styleId="Textocomentario">
    <w:name w:val="annotation text"/>
    <w:basedOn w:val="Normal"/>
    <w:link w:val="TextocomentarioCar"/>
    <w:uiPriority w:val="99"/>
    <w:unhideWhenUsed/>
    <w:rsid w:val="00883C23"/>
    <w:pPr>
      <w:spacing w:after="200" w:line="276" w:lineRule="auto"/>
      <w:jc w:val="both"/>
    </w:pPr>
    <w:rPr>
      <w:sz w:val="20"/>
      <w:szCs w:val="20"/>
      <w:lang w:val="es-MX"/>
    </w:rPr>
  </w:style>
  <w:style w:type="character" w:customStyle="1" w:styleId="TextocomentarioCar">
    <w:name w:val="Texto comentario Car"/>
    <w:basedOn w:val="Fuentedeprrafopredeter"/>
    <w:link w:val="Textocomentario"/>
    <w:uiPriority w:val="99"/>
    <w:rsid w:val="00883C23"/>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883C23"/>
    <w:rPr>
      <w:b/>
      <w:bCs/>
    </w:rPr>
  </w:style>
  <w:style w:type="character" w:customStyle="1" w:styleId="AsuntodelcomentarioCar">
    <w:name w:val="Asunto del comentario Car"/>
    <w:basedOn w:val="TextocomentarioCar"/>
    <w:link w:val="Asuntodelcomentario"/>
    <w:uiPriority w:val="99"/>
    <w:semiHidden/>
    <w:rsid w:val="00883C23"/>
    <w:rPr>
      <w:b/>
      <w:bCs/>
      <w:sz w:val="20"/>
      <w:szCs w:val="20"/>
      <w:lang w:val="es-MX"/>
    </w:rPr>
  </w:style>
  <w:style w:type="character" w:customStyle="1" w:styleId="Hipervnculo1">
    <w:name w:val="Hipervínculo1"/>
    <w:basedOn w:val="Fuentedeprrafopredeter"/>
    <w:uiPriority w:val="99"/>
    <w:unhideWhenUsed/>
    <w:rsid w:val="00883C23"/>
    <w:rPr>
      <w:color w:val="F2F2F2"/>
      <w:u w:val="single"/>
    </w:rPr>
  </w:style>
  <w:style w:type="paragraph" w:styleId="NormalWeb">
    <w:name w:val="Normal (Web)"/>
    <w:basedOn w:val="Normal"/>
    <w:link w:val="NormalWebCar"/>
    <w:uiPriority w:val="99"/>
    <w:unhideWhenUsed/>
    <w:rsid w:val="00883C23"/>
    <w:pPr>
      <w:spacing w:before="100" w:beforeAutospacing="1" w:after="100" w:afterAutospacing="1" w:line="276" w:lineRule="auto"/>
      <w:jc w:val="both"/>
    </w:pPr>
    <w:rPr>
      <w:rFonts w:ascii="Times New Roman" w:eastAsia="Times New Roman" w:hAnsi="Times New Roman" w:cs="Times New Roman"/>
      <w:sz w:val="24"/>
      <w:szCs w:val="24"/>
      <w:lang w:eastAsia="es-CO"/>
    </w:rPr>
  </w:style>
  <w:style w:type="paragraph" w:styleId="Sinespaciado">
    <w:name w:val="No Spacing"/>
    <w:aliases w:val="No Indent"/>
    <w:uiPriority w:val="3"/>
    <w:qFormat/>
    <w:rsid w:val="00883C23"/>
    <w:pPr>
      <w:spacing w:after="0" w:line="240" w:lineRule="auto"/>
      <w:jc w:val="both"/>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883C23"/>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R"/>
    <w:basedOn w:val="Normal"/>
    <w:link w:val="TextonotapieCar"/>
    <w:uiPriority w:val="99"/>
    <w:unhideWhenUsed/>
    <w:qFormat/>
    <w:rsid w:val="00883C23"/>
    <w:pPr>
      <w:spacing w:after="200" w:line="276" w:lineRule="auto"/>
      <w:jc w:val="both"/>
    </w:pPr>
    <w:rPr>
      <w:sz w:val="20"/>
      <w:szCs w:val="20"/>
      <w:lang w:val="es-MX"/>
    </w:rPr>
  </w:style>
  <w:style w:type="character" w:customStyle="1" w:styleId="TextonotapieCar1">
    <w:name w:val="Texto nota pie Car1"/>
    <w:basedOn w:val="Fuentedeprrafopredeter"/>
    <w:uiPriority w:val="99"/>
    <w:semiHidden/>
    <w:rsid w:val="00883C23"/>
    <w:rPr>
      <w:sz w:val="20"/>
      <w:szCs w:val="20"/>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83C23"/>
    <w:rPr>
      <w:sz w:val="24"/>
      <w:lang w:val="es-MX"/>
    </w:rPr>
  </w:style>
  <w:style w:type="paragraph" w:customStyle="1" w:styleId="Capitulo1">
    <w:name w:val="Capitulo 1"/>
    <w:basedOn w:val="Normal"/>
    <w:uiPriority w:val="99"/>
    <w:qFormat/>
    <w:rsid w:val="00883C23"/>
    <w:pPr>
      <w:keepNext/>
      <w:spacing w:before="120" w:after="200" w:line="276" w:lineRule="auto"/>
      <w:ind w:left="720" w:hanging="360"/>
      <w:jc w:val="both"/>
      <w:outlineLvl w:val="1"/>
    </w:pPr>
    <w:rPr>
      <w:rFonts w:ascii="Arial" w:eastAsia="Times New Roman"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Re"/>
    <w:basedOn w:val="Fuentedeprrafopredeter"/>
    <w:link w:val="Appelnotedebasde"/>
    <w:uiPriority w:val="99"/>
    <w:unhideWhenUsed/>
    <w:qFormat/>
    <w:rsid w:val="00883C23"/>
    <w:rPr>
      <w:vertAlign w:val="superscript"/>
    </w:rPr>
  </w:style>
  <w:style w:type="paragraph" w:customStyle="1" w:styleId="pa22">
    <w:name w:val="pa22"/>
    <w:basedOn w:val="Normal"/>
    <w:rsid w:val="00883C23"/>
    <w:pPr>
      <w:spacing w:before="100" w:beforeAutospacing="1" w:after="100" w:afterAutospacing="1" w:line="276" w:lineRule="auto"/>
      <w:jc w:val="both"/>
    </w:pPr>
    <w:rPr>
      <w:rFonts w:ascii="Times New Roman" w:eastAsia="Times New Roman" w:hAnsi="Times New Roman" w:cs="Times New Roman"/>
      <w:sz w:val="24"/>
      <w:szCs w:val="24"/>
      <w:lang w:val="es-ES" w:eastAsia="es-ES"/>
    </w:rPr>
  </w:style>
  <w:style w:type="character" w:styleId="Textoennegrita">
    <w:name w:val="Strong"/>
    <w:basedOn w:val="Fuentedeprrafopredeter"/>
    <w:uiPriority w:val="22"/>
    <w:qFormat/>
    <w:rsid w:val="00883C23"/>
    <w:rPr>
      <w:b/>
      <w:bCs/>
    </w:rPr>
  </w:style>
  <w:style w:type="character" w:styleId="nfasis">
    <w:name w:val="Emphasis"/>
    <w:basedOn w:val="Fuentedeprrafopredeter"/>
    <w:uiPriority w:val="20"/>
    <w:qFormat/>
    <w:rsid w:val="00883C23"/>
    <w:rPr>
      <w:i/>
      <w:iCs/>
    </w:rPr>
  </w:style>
  <w:style w:type="character" w:customStyle="1" w:styleId="Mencinsinresolver1">
    <w:name w:val="Mención sin resolver1"/>
    <w:basedOn w:val="Fuentedeprrafopredeter"/>
    <w:uiPriority w:val="99"/>
    <w:semiHidden/>
    <w:unhideWhenUsed/>
    <w:rsid w:val="00883C23"/>
    <w:rPr>
      <w:color w:val="605E5C"/>
      <w:shd w:val="clear" w:color="auto" w:fill="E1DFDD"/>
    </w:rPr>
  </w:style>
  <w:style w:type="paragraph" w:customStyle="1" w:styleId="Capitulo3">
    <w:name w:val="Capitulo 3"/>
    <w:basedOn w:val="Normal"/>
    <w:qFormat/>
    <w:rsid w:val="00883C23"/>
    <w:pPr>
      <w:keepNext/>
      <w:numPr>
        <w:numId w:val="7"/>
      </w:numPr>
      <w:spacing w:before="120" w:after="200" w:line="276" w:lineRule="auto"/>
      <w:jc w:val="both"/>
      <w:outlineLvl w:val="1"/>
    </w:pPr>
    <w:rPr>
      <w:rFonts w:ascii="Arial" w:eastAsia="Times New Roman" w:hAnsi="Arial" w:cs="Arial"/>
      <w:b/>
      <w:color w:val="000000"/>
      <w:sz w:val="20"/>
      <w:szCs w:val="20"/>
      <w:lang w:eastAsia="es-CO"/>
    </w:rPr>
  </w:style>
  <w:style w:type="paragraph" w:customStyle="1" w:styleId="InviasNormal">
    <w:name w:val="Invias Normal"/>
    <w:basedOn w:val="Normal"/>
    <w:link w:val="InviasNormalCar"/>
    <w:qFormat/>
    <w:rsid w:val="00883C23"/>
    <w:pPr>
      <w:tabs>
        <w:tab w:val="left" w:pos="-142"/>
      </w:tabs>
      <w:autoSpaceDE w:val="0"/>
      <w:autoSpaceDN w:val="0"/>
      <w:adjustRightInd w:val="0"/>
      <w:spacing w:before="120" w:after="240" w:line="276" w:lineRule="auto"/>
      <w:jc w:val="both"/>
    </w:pPr>
    <w:rPr>
      <w:rFonts w:ascii="Arial Narrow" w:eastAsia="Times New Roman" w:hAnsi="Arial Narrow" w:cs="Times New Roman"/>
      <w:color w:val="3C3C3C"/>
      <w:sz w:val="24"/>
      <w:szCs w:val="24"/>
      <w:lang w:val="x-none" w:eastAsia="es-ES"/>
    </w:rPr>
  </w:style>
  <w:style w:type="character" w:customStyle="1" w:styleId="InviasNormalCar">
    <w:name w:val="Invias Normal Car"/>
    <w:link w:val="InviasNormal"/>
    <w:locked/>
    <w:rsid w:val="00883C23"/>
    <w:rPr>
      <w:rFonts w:ascii="Arial Narrow" w:eastAsia="Times New Roman" w:hAnsi="Arial Narrow" w:cs="Times New Roman"/>
      <w:color w:val="3C3C3C"/>
      <w:sz w:val="24"/>
      <w:szCs w:val="24"/>
      <w:lang w:val="x-none" w:eastAsia="es-ES"/>
    </w:rPr>
  </w:style>
  <w:style w:type="paragraph" w:customStyle="1" w:styleId="Entidad-Capitulo">
    <w:name w:val="Entidad-Capitulo"/>
    <w:next w:val="Normal"/>
    <w:autoRedefine/>
    <w:uiPriority w:val="99"/>
    <w:qFormat/>
    <w:rsid w:val="00883C23"/>
    <w:pPr>
      <w:keepNext/>
      <w:spacing w:before="240" w:after="0" w:line="240" w:lineRule="auto"/>
      <w:jc w:val="center"/>
      <w:outlineLvl w:val="0"/>
    </w:pPr>
    <w:rPr>
      <w:rFonts w:ascii="Arial" w:eastAsia="Times New Roman" w:hAnsi="Arial" w:cs="Arial"/>
      <w:b/>
      <w:smallCaps/>
      <w:sz w:val="20"/>
      <w:szCs w:val="20"/>
      <w:lang w:eastAsia="es-ES"/>
    </w:rPr>
  </w:style>
  <w:style w:type="paragraph" w:styleId="Revisin">
    <w:name w:val="Revision"/>
    <w:hidden/>
    <w:uiPriority w:val="99"/>
    <w:semiHidden/>
    <w:rsid w:val="00883C23"/>
    <w:pPr>
      <w:spacing w:after="0" w:line="240" w:lineRule="auto"/>
      <w:jc w:val="both"/>
    </w:pPr>
    <w:rPr>
      <w:sz w:val="24"/>
      <w:lang w:val="es-MX"/>
    </w:rPr>
  </w:style>
  <w:style w:type="paragraph" w:customStyle="1" w:styleId="Appelnotedebasde">
    <w:name w:val="Appel note de bas de..."/>
    <w:basedOn w:val="Normal"/>
    <w:link w:val="Refdenotaalpie"/>
    <w:uiPriority w:val="99"/>
    <w:rsid w:val="00883C23"/>
    <w:pPr>
      <w:spacing w:line="240" w:lineRule="exact"/>
      <w:jc w:val="both"/>
    </w:pPr>
    <w:rPr>
      <w:vertAlign w:val="superscript"/>
    </w:rPr>
  </w:style>
  <w:style w:type="character" w:customStyle="1" w:styleId="NormalWebCar">
    <w:name w:val="Normal (Web) Car"/>
    <w:link w:val="NormalWeb"/>
    <w:uiPriority w:val="99"/>
    <w:locked/>
    <w:rsid w:val="00883C23"/>
    <w:rPr>
      <w:rFonts w:ascii="Times New Roman" w:eastAsia="Times New Roman" w:hAnsi="Times New Roman" w:cs="Times New Roman"/>
      <w:sz w:val="24"/>
      <w:szCs w:val="24"/>
      <w:lang w:eastAsia="es-CO"/>
    </w:rPr>
  </w:style>
  <w:style w:type="character" w:customStyle="1" w:styleId="normaltextrun">
    <w:name w:val="normaltextrun"/>
    <w:basedOn w:val="Fuentedeprrafopredeter"/>
    <w:rsid w:val="00883C23"/>
  </w:style>
  <w:style w:type="paragraph" w:styleId="Textoindependiente">
    <w:name w:val="Body Text"/>
    <w:basedOn w:val="Normal"/>
    <w:link w:val="TextoindependienteCar"/>
    <w:uiPriority w:val="1"/>
    <w:qFormat/>
    <w:rsid w:val="00883C23"/>
    <w:pPr>
      <w:widowControl w:val="0"/>
      <w:autoSpaceDE w:val="0"/>
      <w:autoSpaceDN w:val="0"/>
      <w:spacing w:after="200" w:line="276" w:lineRule="auto"/>
      <w:jc w:val="both"/>
    </w:pPr>
    <w:rPr>
      <w:rFonts w:ascii="Arial" w:eastAsia="Arial" w:hAnsi="Arial" w:cs="Arial"/>
      <w:lang w:val="es-ES" w:eastAsia="es-ES" w:bidi="es-ES"/>
    </w:rPr>
  </w:style>
  <w:style w:type="character" w:customStyle="1" w:styleId="TextoindependienteCar">
    <w:name w:val="Texto independiente Car"/>
    <w:basedOn w:val="Fuentedeprrafopredeter"/>
    <w:link w:val="Textoindependiente"/>
    <w:uiPriority w:val="1"/>
    <w:rsid w:val="00883C23"/>
    <w:rPr>
      <w:rFonts w:ascii="Arial" w:eastAsia="Arial" w:hAnsi="Arial" w:cs="Arial"/>
      <w:lang w:val="es-ES" w:eastAsia="es-ES" w:bidi="es-ES"/>
    </w:rPr>
  </w:style>
  <w:style w:type="paragraph" w:styleId="Textonotaalfinal">
    <w:name w:val="endnote text"/>
    <w:basedOn w:val="Normal"/>
    <w:link w:val="TextonotaalfinalCar"/>
    <w:uiPriority w:val="99"/>
    <w:semiHidden/>
    <w:unhideWhenUsed/>
    <w:rsid w:val="00883C23"/>
    <w:pPr>
      <w:spacing w:after="200" w:line="276" w:lineRule="auto"/>
      <w:jc w:val="both"/>
    </w:pPr>
    <w:rPr>
      <w:sz w:val="20"/>
      <w:szCs w:val="20"/>
      <w:lang w:val="es-MX"/>
    </w:rPr>
  </w:style>
  <w:style w:type="character" w:customStyle="1" w:styleId="TextonotaalfinalCar">
    <w:name w:val="Texto nota al final Car"/>
    <w:basedOn w:val="Fuentedeprrafopredeter"/>
    <w:link w:val="Textonotaalfinal"/>
    <w:uiPriority w:val="99"/>
    <w:semiHidden/>
    <w:rsid w:val="00883C23"/>
    <w:rPr>
      <w:sz w:val="20"/>
      <w:szCs w:val="20"/>
      <w:lang w:val="es-MX"/>
    </w:rPr>
  </w:style>
  <w:style w:type="character" w:styleId="Refdenotaalfinal">
    <w:name w:val="endnote reference"/>
    <w:basedOn w:val="Fuentedeprrafopredeter"/>
    <w:uiPriority w:val="99"/>
    <w:semiHidden/>
    <w:unhideWhenUsed/>
    <w:rsid w:val="00883C23"/>
    <w:rPr>
      <w:vertAlign w:val="superscript"/>
    </w:rPr>
  </w:style>
  <w:style w:type="table" w:customStyle="1" w:styleId="Tablaconcuadrcula1">
    <w:name w:val="Tabla con cuadrícula1"/>
    <w:basedOn w:val="Tablanormal"/>
    <w:next w:val="Tablaconcuadrcula"/>
    <w:uiPriority w:val="39"/>
    <w:rsid w:val="00883C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j">
    <w:name w:val="b_aj"/>
    <w:basedOn w:val="Fuentedeprrafopredeter"/>
    <w:rsid w:val="00883C23"/>
  </w:style>
  <w:style w:type="table" w:customStyle="1" w:styleId="Tablaconcuadrcula2">
    <w:name w:val="Tabla con cuadrícula2"/>
    <w:basedOn w:val="Tablanormal"/>
    <w:next w:val="Tablaconcuadrcula"/>
    <w:uiPriority w:val="39"/>
    <w:rsid w:val="00883C23"/>
    <w:pPr>
      <w:spacing w:before="120"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39"/>
    <w:rsid w:val="00883C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scripcin">
    <w:name w:val="caption"/>
    <w:basedOn w:val="Normal"/>
    <w:next w:val="Normal"/>
    <w:qFormat/>
    <w:rsid w:val="00883C23"/>
    <w:pPr>
      <w:overflowPunct w:val="0"/>
      <w:autoSpaceDE w:val="0"/>
      <w:autoSpaceDN w:val="0"/>
      <w:adjustRightInd w:val="0"/>
      <w:spacing w:after="0" w:line="240" w:lineRule="auto"/>
      <w:jc w:val="right"/>
      <w:textAlignment w:val="baseline"/>
    </w:pPr>
    <w:rPr>
      <w:rFonts w:ascii="Verdana" w:eastAsia="Times New Roman" w:hAnsi="Verdana" w:cs="Times New Roman"/>
      <w:b/>
      <w:sz w:val="28"/>
      <w:szCs w:val="20"/>
      <w:lang w:val="es-ES_tradnl" w:eastAsia="es-ES"/>
    </w:rPr>
  </w:style>
  <w:style w:type="paragraph" w:customStyle="1" w:styleId="Default">
    <w:name w:val="Default"/>
    <w:rsid w:val="00883C23"/>
    <w:pPr>
      <w:autoSpaceDE w:val="0"/>
      <w:autoSpaceDN w:val="0"/>
      <w:adjustRightInd w:val="0"/>
      <w:spacing w:after="0" w:line="240" w:lineRule="auto"/>
    </w:pPr>
    <w:rPr>
      <w:rFonts w:ascii="Arial" w:hAnsi="Arial" w:cs="Arial"/>
      <w:color w:val="000000"/>
      <w:sz w:val="24"/>
      <w:szCs w:val="24"/>
      <w:lang w:val="es-ES"/>
    </w:rPr>
  </w:style>
  <w:style w:type="paragraph" w:customStyle="1" w:styleId="CM203">
    <w:name w:val="CM203"/>
    <w:basedOn w:val="Normal"/>
    <w:next w:val="Normal"/>
    <w:uiPriority w:val="99"/>
    <w:rsid w:val="00883C23"/>
    <w:pPr>
      <w:widowControl w:val="0"/>
      <w:autoSpaceDE w:val="0"/>
      <w:autoSpaceDN w:val="0"/>
      <w:adjustRightInd w:val="0"/>
      <w:spacing w:after="0" w:line="240" w:lineRule="auto"/>
    </w:pPr>
    <w:rPr>
      <w:rFonts w:ascii="Times New Roman" w:eastAsia="Times New Roman" w:hAnsi="Times New Roman" w:cs="Times New Roman"/>
      <w:sz w:val="24"/>
      <w:szCs w:val="24"/>
      <w:lang w:val="es-ES" w:eastAsia="es-ES"/>
    </w:rPr>
  </w:style>
  <w:style w:type="paragraph" w:styleId="Textoindependiente2">
    <w:name w:val="Body Text 2"/>
    <w:basedOn w:val="Normal"/>
    <w:link w:val="Textoindependiente2Car"/>
    <w:uiPriority w:val="99"/>
    <w:semiHidden/>
    <w:unhideWhenUsed/>
    <w:rsid w:val="00883C23"/>
    <w:pPr>
      <w:spacing w:after="120" w:line="480" w:lineRule="auto"/>
      <w:jc w:val="both"/>
    </w:pPr>
    <w:rPr>
      <w:sz w:val="24"/>
      <w:lang w:val="es-MX"/>
    </w:rPr>
  </w:style>
  <w:style w:type="character" w:customStyle="1" w:styleId="Textoindependiente2Car">
    <w:name w:val="Texto independiente 2 Car"/>
    <w:basedOn w:val="Fuentedeprrafopredeter"/>
    <w:link w:val="Textoindependiente2"/>
    <w:uiPriority w:val="99"/>
    <w:semiHidden/>
    <w:rsid w:val="00883C23"/>
    <w:rPr>
      <w:sz w:val="24"/>
      <w:lang w:val="es-MX"/>
    </w:rPr>
  </w:style>
  <w:style w:type="character" w:customStyle="1" w:styleId="apple-converted-space">
    <w:name w:val="apple-converted-space"/>
    <w:basedOn w:val="Fuentedeprrafopredeter"/>
    <w:rsid w:val="00883C23"/>
  </w:style>
  <w:style w:type="character" w:styleId="Hipervnculo">
    <w:name w:val="Hyperlink"/>
    <w:basedOn w:val="Fuentedeprrafopredeter"/>
    <w:uiPriority w:val="99"/>
    <w:unhideWhenUsed/>
    <w:rsid w:val="00883C23"/>
    <w:rPr>
      <w:color w:val="0563C1" w:themeColor="hyperlink"/>
      <w:u w:val="single"/>
    </w:rPr>
  </w:style>
  <w:style w:type="paragraph" w:customStyle="1" w:styleId="xgmail-cuerpodeltexto0">
    <w:name w:val="x_gmail-cuerpodeltexto0"/>
    <w:basedOn w:val="Normal"/>
    <w:rsid w:val="001E4C5E"/>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xgmail-cuerpodeltextocursiva">
    <w:name w:val="x_gmail-cuerpodeltextocursiva"/>
    <w:basedOn w:val="Fuentedeprrafopredeter"/>
    <w:rsid w:val="001E4C5E"/>
  </w:style>
  <w:style w:type="table" w:customStyle="1" w:styleId="Tablaconcuadrcula4">
    <w:name w:val="Tabla con cuadrícula4"/>
    <w:basedOn w:val="Tablanormal"/>
    <w:next w:val="Tablaconcuadrcula"/>
    <w:uiPriority w:val="39"/>
    <w:rsid w:val="00F8124A"/>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109810">
      <w:bodyDiv w:val="1"/>
      <w:marLeft w:val="0"/>
      <w:marRight w:val="0"/>
      <w:marTop w:val="0"/>
      <w:marBottom w:val="0"/>
      <w:divBdr>
        <w:top w:val="none" w:sz="0" w:space="0" w:color="auto"/>
        <w:left w:val="none" w:sz="0" w:space="0" w:color="auto"/>
        <w:bottom w:val="none" w:sz="0" w:space="0" w:color="auto"/>
        <w:right w:val="none" w:sz="0" w:space="0" w:color="auto"/>
      </w:divBdr>
    </w:div>
    <w:div w:id="1238829629">
      <w:bodyDiv w:val="1"/>
      <w:marLeft w:val="0"/>
      <w:marRight w:val="0"/>
      <w:marTop w:val="0"/>
      <w:marBottom w:val="0"/>
      <w:divBdr>
        <w:top w:val="none" w:sz="0" w:space="0" w:color="auto"/>
        <w:left w:val="none" w:sz="0" w:space="0" w:color="auto"/>
        <w:bottom w:val="none" w:sz="0" w:space="0" w:color="auto"/>
        <w:right w:val="none" w:sz="0" w:space="0" w:color="auto"/>
      </w:divBdr>
    </w:div>
    <w:div w:id="1898128806">
      <w:bodyDiv w:val="1"/>
      <w:marLeft w:val="0"/>
      <w:marRight w:val="0"/>
      <w:marTop w:val="0"/>
      <w:marBottom w:val="0"/>
      <w:divBdr>
        <w:top w:val="none" w:sz="0" w:space="0" w:color="auto"/>
        <w:left w:val="none" w:sz="0" w:space="0" w:color="auto"/>
        <w:bottom w:val="none" w:sz="0" w:space="0" w:color="auto"/>
        <w:right w:val="none" w:sz="0" w:space="0" w:color="auto"/>
      </w:divBdr>
    </w:div>
    <w:div w:id="20596682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0E16C6F4-DB0B-4FD0-9C3D-3041E73D90A1}">
  <ds:schemaRefs>
    <ds:schemaRef ds:uri="http://schemas.openxmlformats.org/officeDocument/2006/bibliography"/>
  </ds:schemaRefs>
</ds:datastoreItem>
</file>

<file path=customXml/itemProps2.xml><?xml version="1.0" encoding="utf-8"?>
<ds:datastoreItem xmlns:ds="http://schemas.openxmlformats.org/officeDocument/2006/customXml" ds:itemID="{D9DD3E81-5FFA-45B9-9A3E-D7AF024C6AC2}"/>
</file>

<file path=customXml/itemProps3.xml><?xml version="1.0" encoding="utf-8"?>
<ds:datastoreItem xmlns:ds="http://schemas.openxmlformats.org/officeDocument/2006/customXml" ds:itemID="{D247289A-014D-426F-A359-76B2D81F5D37}"/>
</file>

<file path=customXml/itemProps4.xml><?xml version="1.0" encoding="utf-8"?>
<ds:datastoreItem xmlns:ds="http://schemas.openxmlformats.org/officeDocument/2006/customXml" ds:itemID="{075536E5-FA83-4A09-B96D-0DA815BBF0CB}"/>
</file>

<file path=docProps/app.xml><?xml version="1.0" encoding="utf-8"?>
<Properties xmlns="http://schemas.openxmlformats.org/officeDocument/2006/extended-properties" xmlns:vt="http://schemas.openxmlformats.org/officeDocument/2006/docPropsVTypes">
  <Template>Normal</Template>
  <TotalTime>4</TotalTime>
  <Pages>30</Pages>
  <Words>10766</Words>
  <Characters>59218</Characters>
  <Application>Microsoft Office Word</Application>
  <DocSecurity>0</DocSecurity>
  <Lines>493</Lines>
  <Paragraphs>139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69845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Lucia Saavedra</dc:creator>
  <cp:keywords/>
  <dc:description/>
  <cp:lastModifiedBy>Diana Lucia Saavedra</cp:lastModifiedBy>
  <cp:revision>7</cp:revision>
  <dcterms:created xsi:type="dcterms:W3CDTF">2022-04-25T20:17:00Z</dcterms:created>
  <dcterms:modified xsi:type="dcterms:W3CDTF">2022-04-26T14:35:00Z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