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041AFD" w:rsidR="00B747AE" w:rsidP="00B747AE" w:rsidRDefault="00B747AE" w14:paraId="0C8CD53E" w14:textId="77777777">
      <w:pPr>
        <w:spacing w:line="276" w:lineRule="auto"/>
        <w:jc w:val="right"/>
        <w:rPr>
          <w:rFonts w:ascii="Arial" w:hAnsi="Arial" w:eastAsia="Calibri" w:cs="Arial"/>
          <w:b/>
          <w:bCs/>
          <w:color w:val="000000" w:themeColor="text1"/>
          <w:sz w:val="22"/>
        </w:rPr>
      </w:pPr>
      <w:bookmarkStart w:name="_Hlk38401078" w:id="0"/>
      <w:bookmarkStart w:name="_Hlk29890381" w:id="1"/>
      <w:r w:rsidRPr="00041AFD">
        <w:rPr>
          <w:rFonts w:ascii="Arial" w:hAnsi="Arial" w:eastAsia="Times New Roman" w:cs="Arial"/>
          <w:b/>
          <w:bCs/>
          <w:color w:val="000000" w:themeColor="text1"/>
          <w:sz w:val="16"/>
          <w:szCs w:val="16"/>
          <w:lang w:eastAsia="es-ES"/>
        </w:rPr>
        <w:t>CCE-DES-FM-17</w:t>
      </w:r>
    </w:p>
    <w:p w:rsidRPr="00041AFD" w:rsidR="00B747AE" w:rsidP="00B747AE" w:rsidRDefault="00B747AE" w14:paraId="11DD6885" w14:textId="77777777">
      <w:pPr>
        <w:spacing w:line="276" w:lineRule="auto"/>
        <w:jc w:val="both"/>
        <w:rPr>
          <w:rFonts w:ascii="Arial" w:hAnsi="Arial" w:eastAsia="Calibri" w:cs="Arial"/>
          <w:b/>
          <w:color w:val="000000" w:themeColor="text1"/>
          <w:sz w:val="16"/>
          <w:szCs w:val="16"/>
        </w:rPr>
      </w:pPr>
    </w:p>
    <w:p w:rsidRPr="00041AFD" w:rsidR="00B747AE" w:rsidP="6EF085C0" w:rsidRDefault="00B747AE" w14:paraId="75FF643F" w14:textId="43EA8A17">
      <w:pPr>
        <w:pStyle w:val="Normal"/>
        <w:jc w:val="both"/>
        <w:rPr>
          <w:rFonts w:ascii="Arial" w:hAnsi="Arial" w:eastAsia="Calibri" w:cs="Arial"/>
          <w:b w:val="1"/>
          <w:bCs w:val="1"/>
          <w:color w:val="000000" w:themeColor="text1"/>
          <w:sz w:val="22"/>
          <w:szCs w:val="22"/>
        </w:rPr>
      </w:pPr>
      <w:r w:rsidRPr="6EF085C0" w:rsidR="00B747AE">
        <w:rPr>
          <w:rFonts w:ascii="Arial" w:hAnsi="Arial" w:eastAsia="Calibri" w:cs="Arial"/>
          <w:b w:val="1"/>
          <w:bCs w:val="1"/>
          <w:color w:val="000000" w:themeColor="text1" w:themeTint="FF" w:themeShade="FF"/>
          <w:sz w:val="22"/>
          <w:szCs w:val="22"/>
        </w:rPr>
        <w:t xml:space="preserve">DOCUMENTOS TIPO </w:t>
      </w:r>
      <w:bookmarkStart w:name="_Hlk39744129" w:id="2"/>
      <w:r w:rsidRPr="6EF085C0" w:rsidR="005B3D7A">
        <w:rPr>
          <w:rFonts w:ascii="Arial" w:hAnsi="Arial" w:eastAsia="Calibri" w:cs="Arial"/>
          <w:b w:val="1"/>
          <w:bCs w:val="1"/>
          <w:color w:val="000000" w:themeColor="text1" w:themeTint="FF" w:themeShade="FF"/>
          <w:sz w:val="22"/>
          <w:szCs w:val="22"/>
        </w:rPr>
        <w:t>–</w:t>
      </w:r>
      <w:r w:rsidRPr="6EF085C0" w:rsidR="4A9C3136">
        <w:rPr>
          <w:rFonts w:ascii="Arial" w:hAnsi="Arial" w:eastAsia="Calibri" w:cs="Arial"/>
          <w:b w:val="1"/>
          <w:bCs w:val="1"/>
          <w:color w:val="000000" w:themeColor="text1" w:themeTint="FF" w:themeShade="FF"/>
          <w:sz w:val="22"/>
          <w:szCs w:val="22"/>
        </w:rPr>
        <w:t xml:space="preserve"> Propuesta económica </w:t>
      </w:r>
      <w:bookmarkEnd w:id="2"/>
      <w:r w:rsidRPr="6EF085C0" w:rsidR="4A9C3136">
        <w:rPr>
          <w:rFonts w:ascii="Arial" w:hAnsi="Arial" w:eastAsia="Calibri" w:cs="Arial"/>
          <w:b w:val="1"/>
          <w:bCs w:val="1"/>
          <w:color w:val="000000" w:themeColor="text1" w:themeTint="FF" w:themeShade="FF"/>
          <w:sz w:val="22"/>
          <w:szCs w:val="22"/>
        </w:rPr>
        <w:t>–</w:t>
      </w:r>
      <w:r w:rsidRPr="6EF085C0" w:rsidR="00B747AE">
        <w:rPr>
          <w:rFonts w:ascii="Arial" w:hAnsi="Arial" w:eastAsia="Calibri" w:cs="Arial"/>
          <w:b w:val="1"/>
          <w:bCs w:val="1"/>
          <w:color w:val="000000" w:themeColor="text1" w:themeTint="FF" w:themeShade="FF"/>
          <w:sz w:val="22"/>
          <w:szCs w:val="22"/>
        </w:rPr>
        <w:t xml:space="preserve"> Métodos </w:t>
      </w:r>
      <w:r w:rsidRPr="6EF085C0" w:rsidR="4B332AF5">
        <w:rPr>
          <w:rFonts w:ascii="Arial" w:hAnsi="Arial" w:eastAsia="Calibri" w:cs="Arial"/>
          <w:b w:val="1"/>
          <w:bCs w:val="1"/>
          <w:color w:val="000000" w:themeColor="text1" w:themeTint="FF" w:themeShade="FF"/>
          <w:sz w:val="22"/>
          <w:szCs w:val="22"/>
        </w:rPr>
        <w:t xml:space="preserve">de </w:t>
      </w:r>
      <w:r w:rsidRPr="6EF085C0" w:rsidR="00B747AE">
        <w:rPr>
          <w:rFonts w:ascii="Arial" w:hAnsi="Arial" w:eastAsia="Calibri" w:cs="Arial"/>
          <w:b w:val="1"/>
          <w:bCs w:val="1"/>
          <w:color w:val="000000" w:themeColor="text1" w:themeTint="FF" w:themeShade="FF"/>
          <w:sz w:val="22"/>
          <w:szCs w:val="22"/>
        </w:rPr>
        <w:t xml:space="preserve">ponderación </w:t>
      </w:r>
      <w:r w:rsidRPr="6EF085C0" w:rsidR="005B3D7A">
        <w:rPr>
          <w:rFonts w:ascii="Arial" w:hAnsi="Arial" w:eastAsia="Calibri" w:cs="Arial"/>
          <w:b w:val="1"/>
          <w:bCs w:val="1"/>
          <w:color w:val="000000" w:themeColor="text1" w:themeTint="FF" w:themeShade="FF"/>
          <w:sz w:val="22"/>
          <w:szCs w:val="22"/>
        </w:rPr>
        <w:t>–</w:t>
      </w:r>
      <w:r w:rsidRPr="6EF085C0" w:rsidR="00B747AE">
        <w:rPr>
          <w:rFonts w:ascii="Arial" w:hAnsi="Arial" w:eastAsia="Calibri" w:cs="Arial"/>
          <w:b w:val="1"/>
          <w:bCs w:val="1"/>
          <w:color w:val="000000" w:themeColor="text1" w:themeTint="FF" w:themeShade="FF"/>
          <w:sz w:val="22"/>
          <w:szCs w:val="22"/>
        </w:rPr>
        <w:t xml:space="preserve"> Media geométrica</w:t>
      </w:r>
    </w:p>
    <w:p w:rsidRPr="00041AFD" w:rsidR="00B747AE" w:rsidP="00B747AE" w:rsidRDefault="00B747AE" w14:paraId="61B5ABFC" w14:textId="77777777">
      <w:pPr>
        <w:jc w:val="both"/>
        <w:rPr>
          <w:rFonts w:ascii="Arial" w:hAnsi="Arial" w:cs="Arial"/>
          <w:color w:val="000000" w:themeColor="text1"/>
          <w:sz w:val="20"/>
          <w:szCs w:val="20"/>
        </w:rPr>
      </w:pPr>
    </w:p>
    <w:p w:rsidRPr="00041AFD" w:rsidR="00B747AE" w:rsidP="00B747AE" w:rsidRDefault="00B747AE" w14:paraId="1193E05B" w14:textId="77777777">
      <w:pPr>
        <w:jc w:val="both"/>
        <w:rPr>
          <w:rFonts w:ascii="Arial" w:hAnsi="Arial" w:eastAsia="Calibri" w:cs="Arial"/>
          <w:color w:val="000000" w:themeColor="text1"/>
          <w:sz w:val="20"/>
          <w:szCs w:val="20"/>
        </w:rPr>
      </w:pPr>
      <w:r w:rsidRPr="00041AFD">
        <w:rPr>
          <w:rFonts w:ascii="Arial" w:hAnsi="Arial" w:eastAsia="Calibri" w:cs="Arial"/>
          <w:color w:val="000000" w:themeColor="text1"/>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041AFD">
        <w:rPr>
          <w:rFonts w:ascii="Arial" w:hAnsi="Arial" w:eastAsia="Calibri" w:cs="Arial"/>
          <w:color w:val="000000" w:themeColor="text1"/>
          <w:sz w:val="20"/>
          <w:szCs w:val="20"/>
        </w:rPr>
        <w:t>Vn</w:t>
      </w:r>
      <w:proofErr w:type="spellEnd"/>
      <w:r w:rsidRPr="00041AFD">
        <w:rPr>
          <w:rFonts w:ascii="Arial" w:hAnsi="Arial" w:eastAsia="Calibri" w:cs="Arial"/>
          <w:color w:val="000000" w:themeColor="text1"/>
          <w:sz w:val="20"/>
          <w:szCs w:val="20"/>
        </w:rPr>
        <w:t>», «n» y puntos suspensivos que indican que se deben agregar todas las ofertas que estén habilitadas.</w:t>
      </w:r>
    </w:p>
    <w:p w:rsidRPr="005B3D7A" w:rsidR="00B747AE" w:rsidP="00B747AE" w:rsidRDefault="00B747AE" w14:paraId="75CC191F" w14:textId="77777777">
      <w:pPr>
        <w:rPr>
          <w:rFonts w:ascii="Arial" w:hAnsi="Arial" w:cs="Arial"/>
          <w:color w:val="000000" w:themeColor="text1"/>
          <w:sz w:val="20"/>
          <w:szCs w:val="20"/>
        </w:rPr>
      </w:pPr>
    </w:p>
    <w:p w:rsidRPr="006E1061" w:rsidR="006E1061" w:rsidP="006E1061" w:rsidRDefault="006E1061" w14:paraId="325997FD" w14:textId="77777777">
      <w:pPr>
        <w:pStyle w:val="Default"/>
        <w:rPr>
          <w:sz w:val="20"/>
          <w:szCs w:val="20"/>
        </w:rPr>
      </w:pPr>
    </w:p>
    <w:p w:rsidRPr="006E1061" w:rsidR="006E1061" w:rsidP="006E1061" w:rsidRDefault="006E1061" w14:paraId="32289A7B" w14:textId="30673CB6">
      <w:pPr>
        <w:pStyle w:val="Default"/>
        <w:rPr>
          <w:sz w:val="22"/>
          <w:szCs w:val="22"/>
        </w:rPr>
      </w:pPr>
      <w:r w:rsidRPr="006E1061">
        <w:rPr>
          <w:sz w:val="22"/>
          <w:szCs w:val="22"/>
        </w:rPr>
        <w:t xml:space="preserve">Bogotá D.C., </w:t>
      </w:r>
      <w:r w:rsidRPr="006E1061">
        <w:rPr>
          <w:b/>
          <w:bCs/>
          <w:sz w:val="22"/>
          <w:szCs w:val="22"/>
        </w:rPr>
        <w:t xml:space="preserve">21/04/2020 Hora 23:11:28s </w:t>
      </w:r>
    </w:p>
    <w:p w:rsidRPr="006E1061" w:rsidR="00B747AE" w:rsidP="006E1061" w:rsidRDefault="006E1061" w14:paraId="7DCACD82" w14:textId="5ABB24CB">
      <w:pPr>
        <w:tabs>
          <w:tab w:val="left" w:pos="3374"/>
        </w:tabs>
        <w:jc w:val="right"/>
        <w:rPr>
          <w:rFonts w:ascii="Arial" w:hAnsi="Arial" w:eastAsia="Calibri" w:cs="Arial"/>
          <w:color w:val="000000" w:themeColor="text1"/>
          <w:sz w:val="22"/>
        </w:rPr>
      </w:pPr>
      <w:proofErr w:type="spellStart"/>
      <w:r w:rsidRPr="006E1061">
        <w:rPr>
          <w:rFonts w:ascii="Arial" w:hAnsi="Arial" w:cs="Arial"/>
          <w:b/>
          <w:bCs/>
          <w:sz w:val="22"/>
        </w:rPr>
        <w:t>N°</w:t>
      </w:r>
      <w:proofErr w:type="spellEnd"/>
      <w:r w:rsidRPr="006E1061">
        <w:rPr>
          <w:rFonts w:ascii="Arial" w:hAnsi="Arial" w:cs="Arial"/>
          <w:b/>
          <w:bCs/>
          <w:sz w:val="22"/>
        </w:rPr>
        <w:t xml:space="preserve"> Radicado: 2202013000002922</w:t>
      </w:r>
      <w:r w:rsidRPr="006E1061" w:rsidR="00B747AE">
        <w:rPr>
          <w:rFonts w:ascii="Arial" w:hAnsi="Arial" w:eastAsia="Calibri" w:cs="Arial"/>
          <w:color w:val="000000" w:themeColor="text1"/>
          <w:sz w:val="22"/>
        </w:rPr>
        <w:tab/>
      </w:r>
    </w:p>
    <w:p w:rsidR="006E1061" w:rsidP="00B747AE" w:rsidRDefault="006E1061" w14:paraId="1209C86D" w14:textId="77777777">
      <w:pPr>
        <w:rPr>
          <w:rFonts w:ascii="Arial" w:hAnsi="Arial" w:eastAsia="Calibri" w:cs="Arial"/>
          <w:color w:val="000000" w:themeColor="text1"/>
          <w:sz w:val="22"/>
        </w:rPr>
      </w:pPr>
    </w:p>
    <w:p w:rsidRPr="00041AFD" w:rsidR="00B747AE" w:rsidP="00B747AE" w:rsidRDefault="00B747AE" w14:paraId="683AE225" w14:textId="51931141">
      <w:pPr>
        <w:rPr>
          <w:rFonts w:ascii="Arial" w:hAnsi="Arial" w:eastAsia="Calibri" w:cs="Arial"/>
          <w:color w:val="000000" w:themeColor="text1"/>
          <w:sz w:val="22"/>
        </w:rPr>
      </w:pPr>
      <w:r w:rsidRPr="00041AFD">
        <w:rPr>
          <w:rFonts w:ascii="Arial" w:hAnsi="Arial" w:eastAsia="Calibri" w:cs="Arial"/>
          <w:color w:val="000000" w:themeColor="text1"/>
          <w:sz w:val="22"/>
        </w:rPr>
        <w:t>Señora</w:t>
      </w:r>
    </w:p>
    <w:p w:rsidRPr="00041AFD" w:rsidR="00B747AE" w:rsidP="00B747AE" w:rsidRDefault="00B747AE" w14:paraId="36029144" w14:textId="77777777">
      <w:pPr>
        <w:rPr>
          <w:rFonts w:ascii="Arial" w:hAnsi="Arial" w:eastAsia="Calibri" w:cs="Arial"/>
          <w:b/>
          <w:color w:val="000000" w:themeColor="text1"/>
          <w:sz w:val="22"/>
        </w:rPr>
      </w:pPr>
      <w:r w:rsidRPr="00041AFD">
        <w:rPr>
          <w:rFonts w:ascii="Arial" w:hAnsi="Arial" w:eastAsia="Calibri" w:cs="Arial"/>
          <w:b/>
          <w:color w:val="000000" w:themeColor="text1"/>
          <w:sz w:val="22"/>
        </w:rPr>
        <w:t>Cynthia Albornoz</w:t>
      </w:r>
    </w:p>
    <w:p w:rsidRPr="00041AFD" w:rsidR="00B747AE" w:rsidP="00B747AE" w:rsidRDefault="00B747AE" w14:paraId="1B8B9FCB" w14:textId="77777777">
      <w:pPr>
        <w:rPr>
          <w:rFonts w:ascii="Arial" w:hAnsi="Arial" w:eastAsia="Calibri" w:cs="Arial"/>
          <w:color w:val="000000" w:themeColor="text1"/>
          <w:sz w:val="22"/>
        </w:rPr>
      </w:pPr>
      <w:r w:rsidRPr="00041AFD">
        <w:rPr>
          <w:rFonts w:ascii="Arial" w:hAnsi="Arial" w:eastAsia="Calibri" w:cs="Arial"/>
          <w:color w:val="000000" w:themeColor="text1"/>
          <w:sz w:val="22"/>
        </w:rPr>
        <w:t>Villavicencio, Meta</w:t>
      </w:r>
    </w:p>
    <w:p w:rsidRPr="00041AFD" w:rsidR="00B747AE" w:rsidP="00B747AE" w:rsidRDefault="00B747AE" w14:paraId="567DEA2A" w14:textId="77777777">
      <w:pPr>
        <w:jc w:val="center"/>
        <w:rPr>
          <w:rFonts w:ascii="Arial" w:hAnsi="Arial" w:eastAsia="Calibri" w:cs="Arial"/>
          <w:b/>
          <w:color w:val="000000" w:themeColor="text1"/>
          <w:sz w:val="22"/>
        </w:rPr>
      </w:pPr>
      <w:r w:rsidRPr="00041AFD">
        <w:rPr>
          <w:rFonts w:ascii="Arial" w:hAnsi="Arial" w:eastAsia="Calibri" w:cs="Arial"/>
          <w:b/>
          <w:color w:val="000000" w:themeColor="text1"/>
          <w:sz w:val="22"/>
        </w:rPr>
        <w:t>Concepto C ─ 224 de 2020</w:t>
      </w:r>
    </w:p>
    <w:p w:rsidRPr="00041AFD" w:rsidR="00B747AE" w:rsidP="00B747AE" w:rsidRDefault="00B747AE" w14:paraId="378D28AC"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041AFD" w:rsidR="00041AFD" w:rsidTr="00B747AE" w14:paraId="181DF3DC" w14:textId="77777777">
        <w:tc>
          <w:tcPr>
            <w:tcW w:w="2689" w:type="dxa"/>
            <w:hideMark/>
          </w:tcPr>
          <w:p w:rsidRPr="00041AFD" w:rsidR="00B747AE" w:rsidRDefault="00B747AE" w14:paraId="3D5E190A" w14:textId="77777777">
            <w:pPr>
              <w:rPr>
                <w:rFonts w:ascii="Arial" w:hAnsi="Arial" w:eastAsia="Calibri" w:cs="Arial"/>
                <w:color w:val="000000" w:themeColor="text1"/>
                <w:sz w:val="22"/>
              </w:rPr>
            </w:pPr>
            <w:r w:rsidRPr="00041AFD">
              <w:rPr>
                <w:rFonts w:ascii="Arial" w:hAnsi="Arial" w:eastAsia="Calibri" w:cs="Arial"/>
                <w:b/>
                <w:color w:val="000000" w:themeColor="text1"/>
                <w:sz w:val="22"/>
              </w:rPr>
              <w:t>Temas:</w:t>
            </w:r>
            <w:r w:rsidRPr="00041AFD">
              <w:rPr>
                <w:rFonts w:ascii="Arial" w:hAnsi="Arial" w:eastAsia="Calibri" w:cs="Arial"/>
                <w:color w:val="000000" w:themeColor="text1"/>
                <w:sz w:val="22"/>
              </w:rPr>
              <w:t xml:space="preserve">           </w:t>
            </w:r>
          </w:p>
          <w:p w:rsidRPr="00041AFD" w:rsidR="00B747AE" w:rsidRDefault="00B747AE" w14:paraId="5DF36435" w14:textId="77777777">
            <w:pPr>
              <w:rPr>
                <w:rFonts w:ascii="Arial" w:hAnsi="Arial" w:eastAsia="Calibri" w:cs="Arial"/>
                <w:color w:val="000000" w:themeColor="text1"/>
                <w:sz w:val="22"/>
              </w:rPr>
            </w:pPr>
            <w:r w:rsidRPr="00041AFD">
              <w:rPr>
                <w:rFonts w:ascii="Arial" w:hAnsi="Arial" w:eastAsia="Calibri" w:cs="Arial"/>
                <w:color w:val="000000" w:themeColor="text1"/>
                <w:sz w:val="22"/>
              </w:rPr>
              <w:t xml:space="preserve">                           </w:t>
            </w:r>
          </w:p>
        </w:tc>
        <w:tc>
          <w:tcPr>
            <w:tcW w:w="6237" w:type="dxa"/>
            <w:hideMark/>
          </w:tcPr>
          <w:p w:rsidRPr="00041AFD" w:rsidR="00B747AE" w:rsidRDefault="00B747AE" w14:paraId="5D581B58" w14:textId="77777777">
            <w:pPr>
              <w:jc w:val="both"/>
              <w:rPr>
                <w:rFonts w:ascii="Arial" w:hAnsi="Arial" w:eastAsia="Calibri" w:cs="Arial"/>
                <w:color w:val="000000" w:themeColor="text1"/>
                <w:sz w:val="22"/>
              </w:rPr>
            </w:pPr>
            <w:r w:rsidRPr="00041AFD">
              <w:rPr>
                <w:rFonts w:ascii="Arial" w:hAnsi="Arial" w:eastAsia="Calibri" w:cs="Arial"/>
                <w:color w:val="000000" w:themeColor="text1"/>
                <w:sz w:val="22"/>
              </w:rPr>
              <w:t>DOCUMENTOS TIPO – Métodos para la ponderación de la propuesta económica – Media geométrica</w:t>
            </w:r>
          </w:p>
        </w:tc>
      </w:tr>
      <w:tr w:rsidRPr="00041AFD" w:rsidR="00B747AE" w:rsidTr="00B747AE" w14:paraId="2D5E48D8" w14:textId="77777777">
        <w:tc>
          <w:tcPr>
            <w:tcW w:w="2689" w:type="dxa"/>
            <w:hideMark/>
          </w:tcPr>
          <w:p w:rsidRPr="00041AFD" w:rsidR="00B747AE" w:rsidRDefault="00B747AE" w14:paraId="5021002F" w14:textId="77777777">
            <w:pPr>
              <w:rPr>
                <w:rFonts w:ascii="Arial" w:hAnsi="Arial" w:eastAsia="Calibri" w:cs="Arial"/>
                <w:b/>
                <w:color w:val="000000" w:themeColor="text1"/>
                <w:sz w:val="22"/>
              </w:rPr>
            </w:pPr>
            <w:r w:rsidRPr="00041AFD">
              <w:rPr>
                <w:rFonts w:ascii="Arial" w:hAnsi="Arial" w:eastAsia="Calibri" w:cs="Arial"/>
                <w:b/>
                <w:color w:val="000000" w:themeColor="text1"/>
                <w:sz w:val="22"/>
              </w:rPr>
              <w:t>Radicación:</w:t>
            </w:r>
            <w:r w:rsidRPr="00041AFD">
              <w:rPr>
                <w:rFonts w:ascii="Arial" w:hAnsi="Arial" w:eastAsia="Calibri" w:cs="Arial"/>
                <w:color w:val="000000" w:themeColor="text1"/>
                <w:sz w:val="22"/>
              </w:rPr>
              <w:t xml:space="preserve">                              </w:t>
            </w:r>
          </w:p>
        </w:tc>
        <w:tc>
          <w:tcPr>
            <w:tcW w:w="6237" w:type="dxa"/>
            <w:hideMark/>
          </w:tcPr>
          <w:p w:rsidRPr="00041AFD" w:rsidR="00B747AE" w:rsidRDefault="00B747AE" w14:paraId="1D10ECEF" w14:textId="77777777">
            <w:pPr>
              <w:jc w:val="both"/>
              <w:rPr>
                <w:rFonts w:ascii="Arial" w:hAnsi="Arial" w:eastAsia="Calibri" w:cs="Arial"/>
                <w:color w:val="000000" w:themeColor="text1"/>
                <w:sz w:val="22"/>
              </w:rPr>
            </w:pPr>
            <w:r w:rsidRPr="00041AFD">
              <w:rPr>
                <w:rFonts w:ascii="Arial" w:hAnsi="Arial" w:eastAsia="Calibri" w:cs="Arial"/>
                <w:color w:val="000000" w:themeColor="text1"/>
                <w:sz w:val="22"/>
              </w:rPr>
              <w:t>Respuesta a consulta # 4202013000001799</w:t>
            </w:r>
          </w:p>
        </w:tc>
      </w:tr>
    </w:tbl>
    <w:p w:rsidRPr="00041AFD" w:rsidR="00B747AE" w:rsidP="00B747AE" w:rsidRDefault="00B747AE" w14:paraId="151D4CE7" w14:textId="77777777">
      <w:pPr>
        <w:jc w:val="both"/>
        <w:rPr>
          <w:rFonts w:ascii="Arial" w:hAnsi="Arial" w:eastAsia="Calibri" w:cs="Arial"/>
          <w:color w:val="000000" w:themeColor="text1"/>
          <w:sz w:val="22"/>
        </w:rPr>
      </w:pPr>
    </w:p>
    <w:p w:rsidRPr="00041AFD" w:rsidR="00B747AE" w:rsidP="00B747AE" w:rsidRDefault="00B747AE" w14:paraId="201C09DE" w14:textId="77777777">
      <w:pPr>
        <w:rPr>
          <w:rFonts w:ascii="Arial" w:hAnsi="Arial" w:eastAsia="Calibri" w:cs="Arial"/>
          <w:color w:val="000000" w:themeColor="text1"/>
          <w:sz w:val="22"/>
        </w:rPr>
      </w:pPr>
    </w:p>
    <w:p w:rsidRPr="00041AFD" w:rsidR="00B747AE" w:rsidP="00B747AE" w:rsidRDefault="00B747AE" w14:paraId="6EB35C38" w14:textId="77777777">
      <w:pPr>
        <w:rPr>
          <w:rFonts w:ascii="Arial" w:hAnsi="Arial" w:eastAsia="Calibri" w:cs="Arial"/>
          <w:color w:val="000000" w:themeColor="text1"/>
          <w:sz w:val="22"/>
        </w:rPr>
      </w:pPr>
      <w:r w:rsidRPr="00041AFD">
        <w:rPr>
          <w:rFonts w:ascii="Arial" w:hAnsi="Arial" w:eastAsia="Calibri" w:cs="Arial"/>
          <w:color w:val="000000" w:themeColor="text1"/>
          <w:sz w:val="22"/>
        </w:rPr>
        <w:t>Estimada señora Albornoz,</w:t>
      </w:r>
    </w:p>
    <w:p w:rsidRPr="00041AFD" w:rsidR="00B747AE" w:rsidP="00B747AE" w:rsidRDefault="00B747AE" w14:paraId="71E5B0A0" w14:textId="77777777">
      <w:pPr>
        <w:rPr>
          <w:rFonts w:ascii="Arial" w:hAnsi="Arial" w:eastAsia="Calibri" w:cs="Arial"/>
          <w:color w:val="000000" w:themeColor="text1"/>
          <w:sz w:val="22"/>
        </w:rPr>
      </w:pPr>
    </w:p>
    <w:p w:rsidRPr="00041AFD" w:rsidR="00B747AE" w:rsidP="00B747AE" w:rsidRDefault="00B747AE" w14:paraId="13B5D3B4" w14:textId="77777777">
      <w:pPr>
        <w:spacing w:line="276" w:lineRule="auto"/>
        <w:ind w:right="49"/>
        <w:jc w:val="both"/>
        <w:rPr>
          <w:rFonts w:ascii="Arial" w:hAnsi="Arial" w:eastAsia="Calibri" w:cs="Arial"/>
          <w:color w:val="000000" w:themeColor="text1"/>
          <w:sz w:val="22"/>
        </w:rPr>
      </w:pPr>
      <w:r w:rsidRPr="00041AFD">
        <w:rPr>
          <w:rFonts w:ascii="Arial" w:hAnsi="Arial" w:eastAsia="Calibri" w:cs="Arial"/>
          <w:color w:val="000000" w:themeColor="text1"/>
          <w:sz w:val="22"/>
        </w:rPr>
        <w:t xml:space="preserve">La Agencia Nacional de Contratación Pública - Colombia Compra Eficiente responde su consulta del 10 de marzo de 2020, en ejercicio de la competencia otorgada por el numeral 8 del artículo 11 y el numeral 5 del artículo 3 del Decreto Ley 4170 de 2011. </w:t>
      </w:r>
    </w:p>
    <w:p w:rsidRPr="00041AFD" w:rsidR="00B747AE" w:rsidP="00B747AE" w:rsidRDefault="00B747AE" w14:paraId="41875152" w14:textId="77777777">
      <w:pPr>
        <w:spacing w:line="276" w:lineRule="auto"/>
        <w:jc w:val="both"/>
        <w:rPr>
          <w:rFonts w:ascii="Arial" w:hAnsi="Arial" w:eastAsia="Calibri" w:cs="Arial"/>
          <w:color w:val="000000" w:themeColor="text1"/>
          <w:sz w:val="22"/>
        </w:rPr>
      </w:pPr>
    </w:p>
    <w:p w:rsidRPr="00041AFD" w:rsidR="00B747AE" w:rsidP="00B747AE" w:rsidRDefault="00B747AE" w14:paraId="7F4781B7" w14:textId="77777777">
      <w:pPr>
        <w:pStyle w:val="Prrafodelista"/>
        <w:tabs>
          <w:tab w:val="left" w:pos="284"/>
        </w:tabs>
        <w:spacing w:line="276" w:lineRule="auto"/>
        <w:ind w:left="0"/>
        <w:jc w:val="both"/>
        <w:rPr>
          <w:rFonts w:ascii="Arial" w:hAnsi="Arial" w:eastAsia="Calibri" w:cs="Arial"/>
          <w:b/>
          <w:color w:val="000000" w:themeColor="text1"/>
          <w:sz w:val="22"/>
        </w:rPr>
      </w:pPr>
      <w:r w:rsidRPr="00041AFD">
        <w:rPr>
          <w:rFonts w:ascii="Arial" w:hAnsi="Arial" w:eastAsia="Calibri" w:cs="Arial"/>
          <w:b/>
          <w:color w:val="000000" w:themeColor="text1"/>
          <w:sz w:val="22"/>
        </w:rPr>
        <w:t>1. Problema planteado</w:t>
      </w:r>
    </w:p>
    <w:p w:rsidRPr="00041AFD" w:rsidR="00B747AE" w:rsidP="00B747AE" w:rsidRDefault="00B747AE" w14:paraId="75483BE5" w14:textId="77777777">
      <w:pPr>
        <w:tabs>
          <w:tab w:val="left" w:pos="426"/>
        </w:tabs>
        <w:spacing w:line="276" w:lineRule="auto"/>
        <w:jc w:val="both"/>
        <w:rPr>
          <w:rFonts w:ascii="Arial" w:hAnsi="Arial" w:eastAsia="Calibri" w:cs="Arial"/>
          <w:b/>
          <w:color w:val="000000" w:themeColor="text1"/>
          <w:sz w:val="22"/>
        </w:rPr>
      </w:pPr>
    </w:p>
    <w:p w:rsidRPr="00041AFD" w:rsidR="00B747AE" w:rsidP="00B747AE" w:rsidRDefault="00B747AE" w14:paraId="6F2EA81D" w14:textId="77777777">
      <w:pPr>
        <w:tabs>
          <w:tab w:val="left" w:pos="426"/>
        </w:tabs>
        <w:spacing w:line="276" w:lineRule="auto"/>
        <w:jc w:val="both"/>
        <w:rPr>
          <w:rFonts w:ascii="Arial" w:hAnsi="Arial" w:eastAsia="Calibri" w:cs="Arial"/>
          <w:color w:val="000000" w:themeColor="text1"/>
          <w:sz w:val="22"/>
        </w:rPr>
      </w:pPr>
      <w:r w:rsidRPr="00041AFD">
        <w:rPr>
          <w:rFonts w:ascii="Arial" w:hAnsi="Arial" w:eastAsia="Calibri" w:cs="Arial"/>
          <w:color w:val="000000" w:themeColor="text1"/>
          <w:sz w:val="22"/>
        </w:rPr>
        <w:t>Usted realiza la siguiente pregunta: ¿para calcular la media geométrica en los Documentos Tipo versión 2, la entidad solo tiene en cuenta los 3 menores valores habilitados, o debe tener en cuenta todas las propuestas habilitadas?</w:t>
      </w:r>
    </w:p>
    <w:p w:rsidRPr="00041AFD" w:rsidR="00B747AE" w:rsidP="00B747AE" w:rsidRDefault="00B747AE" w14:paraId="6BF45E56" w14:textId="77777777">
      <w:pPr>
        <w:tabs>
          <w:tab w:val="left" w:pos="426"/>
        </w:tabs>
        <w:spacing w:line="276" w:lineRule="auto"/>
        <w:jc w:val="both"/>
        <w:rPr>
          <w:rFonts w:ascii="Arial" w:hAnsi="Arial" w:eastAsia="Calibri" w:cs="Arial"/>
          <w:color w:val="000000" w:themeColor="text1"/>
          <w:sz w:val="22"/>
        </w:rPr>
      </w:pPr>
    </w:p>
    <w:p w:rsidRPr="00041AFD" w:rsidR="00B747AE" w:rsidP="00B747AE" w:rsidRDefault="00B747AE" w14:paraId="18D4088C" w14:textId="77777777">
      <w:pPr>
        <w:tabs>
          <w:tab w:val="left" w:pos="426"/>
        </w:tabs>
        <w:spacing w:line="276" w:lineRule="auto"/>
        <w:jc w:val="both"/>
        <w:rPr>
          <w:rFonts w:ascii="Arial" w:hAnsi="Arial" w:eastAsia="Calibri" w:cs="Arial"/>
          <w:b/>
          <w:color w:val="000000" w:themeColor="text1"/>
          <w:sz w:val="22"/>
        </w:rPr>
      </w:pPr>
      <w:r w:rsidRPr="00041AFD">
        <w:rPr>
          <w:rFonts w:ascii="Arial" w:hAnsi="Arial" w:eastAsia="Calibri" w:cs="Arial"/>
          <w:b/>
          <w:color w:val="000000" w:themeColor="text1"/>
          <w:sz w:val="22"/>
        </w:rPr>
        <w:t>2. Consideraciones</w:t>
      </w:r>
    </w:p>
    <w:p w:rsidRPr="00041AFD" w:rsidR="00B747AE" w:rsidP="00B747AE" w:rsidRDefault="00B747AE" w14:paraId="1958ADB7" w14:textId="77777777">
      <w:pPr>
        <w:tabs>
          <w:tab w:val="left" w:pos="426"/>
        </w:tabs>
        <w:spacing w:line="276" w:lineRule="auto"/>
        <w:jc w:val="both"/>
        <w:rPr>
          <w:rFonts w:ascii="Arial" w:hAnsi="Arial" w:eastAsia="Calibri" w:cs="Arial"/>
          <w:b/>
          <w:color w:val="000000" w:themeColor="text1"/>
          <w:sz w:val="22"/>
        </w:rPr>
      </w:pPr>
    </w:p>
    <w:p w:rsidRPr="00041AFD" w:rsidR="00B747AE" w:rsidP="00B747AE" w:rsidRDefault="00B747AE" w14:paraId="7A0D0A90" w14:textId="77777777">
      <w:pPr>
        <w:tabs>
          <w:tab w:val="left" w:pos="426"/>
        </w:tabs>
        <w:spacing w:after="120" w:line="276" w:lineRule="auto"/>
        <w:jc w:val="both"/>
        <w:rPr>
          <w:rFonts w:ascii="Arial" w:hAnsi="Arial" w:eastAsia="Calibri" w:cs="Arial"/>
          <w:bCs/>
          <w:color w:val="000000" w:themeColor="text1"/>
          <w:sz w:val="22"/>
          <w:lang w:val="es-ES_tradnl"/>
        </w:rPr>
      </w:pPr>
      <w:r w:rsidRPr="00041AFD">
        <w:rPr>
          <w:rFonts w:ascii="Arial" w:hAnsi="Arial" w:eastAsia="Calibri" w:cs="Arial"/>
          <w:bCs/>
          <w:color w:val="000000" w:themeColor="text1"/>
          <w:sz w:val="22"/>
          <w:lang w:val="es-ES_tradnl"/>
        </w:rPr>
        <w:t>Teniendo en cuenta que la consulta se realiza sobre la versión 2 de los Documentos Tipo para licitación de obra pública de infraestructura de transporte, las consideraciones que se presentan a continuación están relacionadas con el Documento Base de estos documentos.</w:t>
      </w:r>
    </w:p>
    <w:p w:rsidRPr="00041AFD" w:rsidR="00B747AE" w:rsidP="00B747AE" w:rsidRDefault="00B747AE" w14:paraId="615B2248" w14:textId="77777777">
      <w:pPr>
        <w:spacing w:after="120" w:line="276" w:lineRule="auto"/>
        <w:ind w:firstLine="708"/>
        <w:jc w:val="both"/>
        <w:rPr>
          <w:rFonts w:ascii="Arial" w:hAnsi="Arial" w:eastAsia="Calibri" w:cs="Arial"/>
          <w:color w:val="000000" w:themeColor="text1"/>
          <w:sz w:val="22"/>
        </w:rPr>
      </w:pPr>
      <w:r w:rsidRPr="00041AFD">
        <w:rPr>
          <w:rFonts w:ascii="Arial" w:hAnsi="Arial" w:cs="Arial"/>
          <w:color w:val="000000" w:themeColor="text1"/>
          <w:sz w:val="22"/>
        </w:rPr>
        <w:lastRenderedPageBreak/>
        <w:t xml:space="preserve">La Agencia Nacional de Contratación Pública - Colombia Compra Eficiente, </w:t>
      </w:r>
      <w:r w:rsidRPr="00041AFD">
        <w:rPr>
          <w:rFonts w:ascii="Arial" w:hAnsi="Arial" w:eastAsia="Calibri" w:cs="Arial"/>
          <w:color w:val="000000" w:themeColor="text1"/>
          <w:sz w:val="22"/>
        </w:rPr>
        <w:t xml:space="preserve">en el concepto con radicado No. 4202015000001211 del 3 de marzo de 2020, reiterado en el concepto No. 4202013000001564 del 18 de marzo de 2020 estudió los métodos de ponderación de la propuesta económica de los Documentos Tipo versión 2. La tesis desarrollada se expone a continuación. </w:t>
      </w:r>
    </w:p>
    <w:p w:rsidRPr="00041AFD" w:rsidR="00B747AE" w:rsidP="00B747AE" w:rsidRDefault="00B747AE" w14:paraId="003F1A9F" w14:textId="77777777">
      <w:pPr>
        <w:spacing w:after="120" w:line="276" w:lineRule="auto"/>
        <w:ind w:firstLine="709"/>
        <w:jc w:val="both"/>
        <w:rPr>
          <w:rFonts w:ascii="Arial" w:hAnsi="Arial" w:eastAsia="Calibri" w:cs="Arial"/>
          <w:color w:val="000000" w:themeColor="text1"/>
          <w:sz w:val="22"/>
        </w:rPr>
      </w:pPr>
      <w:r w:rsidRPr="00041AFD">
        <w:rPr>
          <w:rFonts w:ascii="Arial" w:hAnsi="Arial" w:eastAsia="Calibri" w:cs="Arial"/>
          <w:color w:val="000000" w:themeColor="text1"/>
          <w:sz w:val="22"/>
        </w:rPr>
        <w:t xml:space="preserve">El Documento Base, en el numeral 4.1.4., señala los métodos de ponderación de la propuesta económica presentando 4 alternativas: i) mediana con valor absoluto, </w:t>
      </w:r>
      <w:proofErr w:type="spellStart"/>
      <w:r w:rsidRPr="00041AFD">
        <w:rPr>
          <w:rFonts w:ascii="Arial" w:hAnsi="Arial" w:eastAsia="Calibri" w:cs="Arial"/>
          <w:color w:val="000000" w:themeColor="text1"/>
          <w:sz w:val="22"/>
        </w:rPr>
        <w:t>ii</w:t>
      </w:r>
      <w:proofErr w:type="spellEnd"/>
      <w:r w:rsidRPr="00041AFD">
        <w:rPr>
          <w:rFonts w:ascii="Arial" w:hAnsi="Arial" w:eastAsia="Calibri" w:cs="Arial"/>
          <w:color w:val="000000" w:themeColor="text1"/>
          <w:sz w:val="22"/>
        </w:rPr>
        <w:t xml:space="preserve">) media geométrica, </w:t>
      </w:r>
      <w:proofErr w:type="spellStart"/>
      <w:r w:rsidRPr="00041AFD">
        <w:rPr>
          <w:rFonts w:ascii="Arial" w:hAnsi="Arial" w:eastAsia="Calibri" w:cs="Arial"/>
          <w:color w:val="000000" w:themeColor="text1"/>
          <w:sz w:val="22"/>
        </w:rPr>
        <w:t>iii</w:t>
      </w:r>
      <w:proofErr w:type="spellEnd"/>
      <w:r w:rsidRPr="00041AFD">
        <w:rPr>
          <w:rFonts w:ascii="Arial" w:hAnsi="Arial" w:eastAsia="Calibri" w:cs="Arial"/>
          <w:color w:val="000000" w:themeColor="text1"/>
          <w:sz w:val="22"/>
        </w:rPr>
        <w:t xml:space="preserve">) media aritmética baja y </w:t>
      </w:r>
      <w:proofErr w:type="spellStart"/>
      <w:r w:rsidRPr="00041AFD">
        <w:rPr>
          <w:rFonts w:ascii="Arial" w:hAnsi="Arial" w:eastAsia="Calibri" w:cs="Arial"/>
          <w:color w:val="000000" w:themeColor="text1"/>
          <w:sz w:val="22"/>
        </w:rPr>
        <w:t>iv</w:t>
      </w:r>
      <w:proofErr w:type="spellEnd"/>
      <w:r w:rsidRPr="00041AFD">
        <w:rPr>
          <w:rFonts w:ascii="Arial" w:hAnsi="Arial" w:eastAsia="Calibri" w:cs="Arial"/>
          <w:color w:val="000000" w:themeColor="text1"/>
          <w:sz w:val="22"/>
        </w:rPr>
        <w:t>) menor valor</w:t>
      </w:r>
      <w:r w:rsidRPr="00041AFD">
        <w:rPr>
          <w:rStyle w:val="Refdenotaalpie"/>
          <w:rFonts w:ascii="Arial" w:hAnsi="Arial" w:eastAsia="Calibri" w:cs="Arial"/>
          <w:color w:val="000000" w:themeColor="text1"/>
          <w:sz w:val="22"/>
        </w:rPr>
        <w:footnoteReference w:id="1"/>
      </w:r>
      <w:r w:rsidRPr="00041AFD">
        <w:rPr>
          <w:rFonts w:ascii="Arial" w:hAnsi="Arial" w:eastAsia="Calibri" w:cs="Arial"/>
          <w:color w:val="000000" w:themeColor="text1"/>
          <w:sz w:val="22"/>
        </w:rPr>
        <w:t xml:space="preserve">. Respecto de estas fórmulas para asignar puntaje a la propuesta económica, a continuación se presentan las razones que las soportan. </w:t>
      </w:r>
    </w:p>
    <w:p w:rsidRPr="00041AFD" w:rsidR="00B747AE" w:rsidP="00B747AE" w:rsidRDefault="00B747AE" w14:paraId="0FECFFE9" w14:textId="77777777">
      <w:pPr>
        <w:spacing w:after="120" w:line="276" w:lineRule="auto"/>
        <w:ind w:firstLine="709"/>
        <w:jc w:val="both"/>
        <w:rPr>
          <w:rFonts w:ascii="Arial" w:hAnsi="Arial" w:eastAsia="Calibri" w:cs="Arial"/>
          <w:color w:val="000000" w:themeColor="text1"/>
          <w:sz w:val="22"/>
        </w:rPr>
      </w:pPr>
      <w:r w:rsidRPr="00041AFD">
        <w:rPr>
          <w:rFonts w:ascii="Arial" w:hAnsi="Arial" w:eastAsia="Calibri" w:cs="Arial"/>
          <w:color w:val="000000" w:themeColor="text1"/>
          <w:sz w:val="22"/>
        </w:rPr>
        <w:t>Con el fin de incrementar la participación en los procedimientos de contratación a nivel nacional, y alcanzar los demás beneficios que trae la adopción de los Documentos Tipo, esta Agencia lideró mesas técnicas para estructurar los Documentos Tipo de licitación de obra pública de infraestructura de transporte, que contaron con la presencia del Departamento Nacional de Planeación  ̶ DNP ̶ , el Ministerio de Transporte, la Cámara Colombiana de Infraestructura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Documentos Tipo, desarrollados por esta entidad a través de la Resolución No. 1798 de 2019.</w:t>
      </w:r>
    </w:p>
    <w:p w:rsidRPr="00041AFD" w:rsidR="00B747AE" w:rsidP="00B747AE" w:rsidRDefault="00B747AE" w14:paraId="12223F54" w14:textId="77777777">
      <w:pPr>
        <w:spacing w:line="276" w:lineRule="auto"/>
        <w:ind w:firstLine="709"/>
        <w:jc w:val="both"/>
        <w:rPr>
          <w:rFonts w:ascii="Arial" w:hAnsi="Arial" w:eastAsia="Calibri" w:cs="Arial"/>
          <w:color w:val="000000" w:themeColor="text1"/>
          <w:sz w:val="22"/>
        </w:rPr>
      </w:pPr>
      <w:r w:rsidRPr="00041AFD">
        <w:rPr>
          <w:rFonts w:ascii="Arial" w:hAnsi="Arial" w:eastAsia="Calibri" w:cs="Arial"/>
          <w:color w:val="000000" w:themeColor="text1"/>
          <w:sz w:val="22"/>
        </w:rPr>
        <w:t>Frente a la estandarización de los criterios de evaluación, el artículo 1º de la Ley 1882 de 2018 dispuso que:</w:t>
      </w:r>
    </w:p>
    <w:p w:rsidRPr="00041AFD" w:rsidR="00B747AE" w:rsidP="00B747AE" w:rsidRDefault="00B747AE" w14:paraId="46E42568" w14:textId="77777777">
      <w:pPr>
        <w:spacing w:line="276" w:lineRule="auto"/>
        <w:jc w:val="both"/>
        <w:rPr>
          <w:rFonts w:ascii="Arial" w:hAnsi="Arial" w:eastAsia="Calibri" w:cs="Arial"/>
          <w:color w:val="000000" w:themeColor="text1"/>
          <w:sz w:val="22"/>
        </w:rPr>
      </w:pPr>
    </w:p>
    <w:p w:rsidRPr="00041AFD" w:rsidR="00B747AE" w:rsidP="00B747AE" w:rsidRDefault="00B747AE" w14:paraId="397BD30A" w14:textId="77777777">
      <w:pPr>
        <w:ind w:left="709" w:right="709"/>
        <w:jc w:val="both"/>
        <w:rPr>
          <w:rFonts w:ascii="Arial" w:hAnsi="Arial" w:eastAsia="Calibri" w:cs="Arial"/>
          <w:color w:val="000000" w:themeColor="text1"/>
          <w:sz w:val="21"/>
          <w:szCs w:val="21"/>
        </w:rPr>
      </w:pPr>
      <w:r w:rsidRPr="00041AFD">
        <w:rPr>
          <w:rFonts w:ascii="Arial" w:hAnsi="Arial" w:eastAsia="Calibri" w:cs="Arial"/>
          <w:color w:val="000000" w:themeColor="text1"/>
          <w:sz w:val="21"/>
          <w:szCs w:val="21"/>
        </w:rPr>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w:t>
      </w:r>
      <w:r w:rsidRPr="00041AFD">
        <w:rPr>
          <w:rFonts w:ascii="Arial" w:hAnsi="Arial" w:eastAsia="Calibri" w:cs="Arial"/>
          <w:color w:val="000000" w:themeColor="text1"/>
          <w:sz w:val="21"/>
          <w:szCs w:val="21"/>
        </w:rPr>
        <w:lastRenderedPageBreak/>
        <w:t xml:space="preserve">evaluará la oferta económica </w:t>
      </w:r>
      <w:r w:rsidRPr="00041AFD">
        <w:rPr>
          <w:rFonts w:ascii="Arial" w:hAnsi="Arial" w:eastAsia="Calibri" w:cs="Arial"/>
          <w:i/>
          <w:iCs/>
          <w:color w:val="000000" w:themeColor="text1"/>
          <w:sz w:val="21"/>
          <w:szCs w:val="21"/>
        </w:rPr>
        <w:t>a través del mecanismo escogido mediante el método aleatorio que se establezca en los pliegos de condiciones</w:t>
      </w:r>
      <w:r w:rsidRPr="00041AFD">
        <w:rPr>
          <w:rFonts w:ascii="Arial" w:hAnsi="Arial" w:eastAsia="Calibri" w:cs="Arial"/>
          <w:color w:val="000000" w:themeColor="text1"/>
          <w:sz w:val="21"/>
          <w:szCs w:val="21"/>
        </w:rPr>
        <w:t>, corriendo traslado a los proponentes habilitados en la misma diligencia solo para la revisión del aspecto económico y se establecerá el orden de elegibilidad. (Cursiva fuera del texto original)</w:t>
      </w:r>
    </w:p>
    <w:p w:rsidRPr="00041AFD" w:rsidR="00B747AE" w:rsidP="00B747AE" w:rsidRDefault="00B747AE" w14:paraId="5E5C04E4" w14:textId="77777777">
      <w:pPr>
        <w:spacing w:line="276" w:lineRule="auto"/>
        <w:jc w:val="both"/>
        <w:rPr>
          <w:rFonts w:ascii="Arial" w:hAnsi="Arial" w:eastAsia="Calibri" w:cs="Arial"/>
          <w:color w:val="000000" w:themeColor="text1"/>
          <w:sz w:val="22"/>
        </w:rPr>
      </w:pPr>
    </w:p>
    <w:p w:rsidRPr="00041AFD" w:rsidR="00B747AE" w:rsidP="00B747AE" w:rsidRDefault="00B747AE" w14:paraId="0B348C01" w14:textId="77777777">
      <w:pPr>
        <w:spacing w:after="120" w:line="276" w:lineRule="auto"/>
        <w:ind w:firstLine="709"/>
        <w:jc w:val="both"/>
        <w:rPr>
          <w:rFonts w:ascii="Arial" w:hAnsi="Arial" w:eastAsia="Calibri" w:cs="Arial"/>
          <w:color w:val="000000" w:themeColor="text1"/>
          <w:sz w:val="22"/>
        </w:rPr>
      </w:pPr>
      <w:r w:rsidRPr="00041AFD">
        <w:rPr>
          <w:rFonts w:ascii="Arial" w:hAnsi="Arial" w:eastAsia="Calibri" w:cs="Arial"/>
          <w:color w:val="000000" w:themeColor="text1"/>
          <w:sz w:val="22"/>
        </w:rPr>
        <w:t>Los Documentos Tipo de licitación de obra pública de infraestructura de transporte determinan cuál es el método aleatorio para evaluar la oferta económica con base en los resultados arrojados por las mesas técnicas. La determinación del método obedece a la realización de un estudio y simulación que tuvo en cuenta todas las fórmulas utilizadas y propuestas por la ANI, el INVIAS, el IDU y CCE</w:t>
      </w:r>
      <w:r w:rsidRPr="00041AFD">
        <w:rPr>
          <w:rStyle w:val="Refdenotaalpie"/>
          <w:rFonts w:ascii="Arial" w:hAnsi="Arial" w:eastAsia="Calibri" w:cs="Arial"/>
          <w:color w:val="000000" w:themeColor="text1"/>
          <w:sz w:val="22"/>
        </w:rPr>
        <w:footnoteReference w:id="2"/>
      </w:r>
      <w:r w:rsidRPr="00041AFD">
        <w:rPr>
          <w:rFonts w:ascii="Arial" w:hAnsi="Arial" w:eastAsia="Calibri" w:cs="Arial"/>
          <w:color w:val="000000" w:themeColor="text1"/>
          <w:sz w:val="22"/>
        </w:rPr>
        <w:t xml:space="preserve">, que consistió en: i) estandarización de los nombres y notación de las variables y </w:t>
      </w:r>
      <w:proofErr w:type="spellStart"/>
      <w:r w:rsidRPr="00041AFD">
        <w:rPr>
          <w:rFonts w:ascii="Arial" w:hAnsi="Arial" w:eastAsia="Calibri" w:cs="Arial"/>
          <w:color w:val="000000" w:themeColor="text1"/>
          <w:sz w:val="22"/>
        </w:rPr>
        <w:t>ii</w:t>
      </w:r>
      <w:proofErr w:type="spellEnd"/>
      <w:r w:rsidRPr="00041AFD">
        <w:rPr>
          <w:rFonts w:ascii="Arial" w:hAnsi="Arial" w:eastAsia="Calibri" w:cs="Arial"/>
          <w:color w:val="000000" w:themeColor="text1"/>
          <w:sz w:val="22"/>
        </w:rPr>
        <w:t>)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Discontinuidades, Valores indeterminados o Valores negativos.</w:t>
      </w:r>
    </w:p>
    <w:p w:rsidRPr="00041AFD" w:rsidR="00B747AE" w:rsidP="00B747AE" w:rsidRDefault="00B747AE" w14:paraId="79EBA86C" w14:textId="77777777">
      <w:pPr>
        <w:spacing w:after="120" w:line="276" w:lineRule="auto"/>
        <w:ind w:firstLine="709"/>
        <w:jc w:val="both"/>
        <w:rPr>
          <w:rFonts w:ascii="Arial" w:hAnsi="Arial" w:eastAsia="Calibri" w:cs="Arial"/>
          <w:color w:val="000000" w:themeColor="text1"/>
          <w:sz w:val="22"/>
        </w:rPr>
      </w:pPr>
      <w:r w:rsidRPr="00041AFD">
        <w:rPr>
          <w:rFonts w:ascii="Arial" w:hAnsi="Arial" w:eastAsia="Calibri" w:cs="Arial"/>
          <w:color w:val="000000" w:themeColor="text1"/>
          <w:sz w:val="22"/>
        </w:rPr>
        <w:t>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establecido en los Documentos Tipo para la evaluación responden a la necesidad de reducir el riesgo de colusión y promover la efectiva competencia en los procedimientos de obra pública, en atención a los criterios establecidos por la Superintendencia de Industria y Comercio</w:t>
      </w:r>
      <w:r w:rsidRPr="00041AFD">
        <w:rPr>
          <w:rStyle w:val="Refdenotaalpie"/>
          <w:rFonts w:ascii="Arial" w:hAnsi="Arial" w:eastAsia="Calibri" w:cs="Arial"/>
          <w:color w:val="000000" w:themeColor="text1"/>
          <w:sz w:val="22"/>
        </w:rPr>
        <w:footnoteReference w:id="3"/>
      </w:r>
      <w:r w:rsidRPr="00041AFD">
        <w:rPr>
          <w:rFonts w:ascii="Arial" w:hAnsi="Arial" w:eastAsia="Calibri" w:cs="Arial"/>
          <w:color w:val="000000" w:themeColor="text1"/>
          <w:sz w:val="22"/>
        </w:rPr>
        <w:t xml:space="preserve"> y Colombia Compra Eficiente</w:t>
      </w:r>
      <w:r w:rsidRPr="00041AFD">
        <w:rPr>
          <w:rStyle w:val="Refdenotaalpie"/>
          <w:rFonts w:ascii="Arial" w:hAnsi="Arial" w:eastAsia="Calibri" w:cs="Arial"/>
          <w:color w:val="000000" w:themeColor="text1"/>
          <w:sz w:val="22"/>
        </w:rPr>
        <w:footnoteReference w:id="4"/>
      </w:r>
      <w:r w:rsidRPr="00041AFD">
        <w:rPr>
          <w:rFonts w:ascii="Arial" w:hAnsi="Arial" w:eastAsia="Calibri" w:cs="Arial"/>
          <w:color w:val="000000" w:themeColor="text1"/>
          <w:sz w:val="22"/>
        </w:rPr>
        <w:t>.</w:t>
      </w:r>
    </w:p>
    <w:p w:rsidRPr="00041AFD" w:rsidR="00B747AE" w:rsidP="00B747AE" w:rsidRDefault="00B747AE" w14:paraId="60A941ED" w14:textId="77777777">
      <w:pPr>
        <w:spacing w:line="276" w:lineRule="auto"/>
        <w:ind w:firstLine="708"/>
        <w:jc w:val="both"/>
        <w:rPr>
          <w:rFonts w:ascii="Arial" w:hAnsi="Arial" w:eastAsia="Calibri" w:cs="Arial"/>
          <w:color w:val="000000" w:themeColor="text1"/>
          <w:sz w:val="22"/>
        </w:rPr>
      </w:pPr>
      <w:r w:rsidRPr="00041AFD">
        <w:rPr>
          <w:rFonts w:ascii="Arial" w:hAnsi="Arial" w:eastAsia="Calibri" w:cs="Arial"/>
          <w:color w:val="000000" w:themeColor="text1"/>
          <w:sz w:val="22"/>
        </w:rPr>
        <w:t>Así, la entidad escogerá uno u otro método de ponderación, de acuerdo con la Tasa de Cambio Representativa del Mercado –TRM– del día hábil siguiente al día en que efectivamente sea la apertura del segundo sobre de la oferta, que contiene la oferta económica. La entidad debe tener en cuenta los centavos de la TRM para definir el método de ponderación de acuerdo con los rangos del siguiente cuadro:</w:t>
      </w:r>
    </w:p>
    <w:p w:rsidRPr="00041AFD" w:rsidR="00B747AE" w:rsidP="00B747AE" w:rsidRDefault="00B747AE" w14:paraId="58530354" w14:textId="77777777">
      <w:pPr>
        <w:spacing w:line="276" w:lineRule="auto"/>
        <w:jc w:val="both"/>
        <w:rPr>
          <w:rFonts w:ascii="Arial" w:hAnsi="Arial" w:eastAsia="Calibri" w:cs="Arial"/>
          <w:color w:val="000000" w:themeColor="text1"/>
          <w:sz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413"/>
        <w:gridCol w:w="899"/>
        <w:gridCol w:w="2503"/>
      </w:tblGrid>
      <w:tr w:rsidRPr="00041AFD" w:rsidR="00041AFD" w:rsidTr="00B747AE" w14:paraId="5B67F5F6" w14:textId="77777777">
        <w:trPr>
          <w:trHeight w:val="20"/>
          <w:jc w:val="center"/>
        </w:trPr>
        <w:tc>
          <w:tcPr>
            <w:tcW w:w="1413" w:type="dxa"/>
            <w:tcBorders>
              <w:top w:val="double" w:color="auto" w:sz="4" w:space="0"/>
              <w:left w:val="double" w:color="auto" w:sz="4" w:space="0"/>
              <w:bottom w:val="single" w:color="auto" w:sz="4" w:space="0"/>
              <w:right w:val="single" w:color="auto" w:sz="4" w:space="0"/>
            </w:tcBorders>
            <w:shd w:val="clear" w:color="auto" w:fill="262626" w:themeFill="text1" w:themeFillTint="D9"/>
            <w:vAlign w:val="center"/>
            <w:hideMark/>
          </w:tcPr>
          <w:p w:rsidRPr="00041AFD" w:rsidR="00B747AE" w:rsidRDefault="00B747AE" w14:paraId="03B38C61" w14:textId="77777777">
            <w:pPr>
              <w:spacing w:line="276" w:lineRule="auto"/>
              <w:jc w:val="center"/>
              <w:rPr>
                <w:rFonts w:eastAsia="Arial,Calibri" w:cs="Arial"/>
                <w:b/>
                <w:bCs/>
                <w:color w:val="000000" w:themeColor="text1"/>
                <w:sz w:val="16"/>
                <w:szCs w:val="16"/>
                <w:lang w:val="es-CO"/>
              </w:rPr>
            </w:pPr>
            <w:r w:rsidRPr="00041AFD">
              <w:rPr>
                <w:rFonts w:cs="Arial"/>
                <w:b/>
                <w:bCs/>
                <w:color w:val="000000" w:themeColor="text1"/>
                <w:sz w:val="16"/>
                <w:szCs w:val="16"/>
              </w:rPr>
              <w:lastRenderedPageBreak/>
              <w:t>Rango</w:t>
            </w:r>
            <w:r w:rsidRPr="00041AFD">
              <w:rPr>
                <w:rFonts w:eastAsia="Arial,Calibri" w:cs="Arial"/>
                <w:b/>
                <w:bCs/>
                <w:color w:val="000000" w:themeColor="text1"/>
                <w:sz w:val="16"/>
                <w:szCs w:val="16"/>
              </w:rPr>
              <w:t xml:space="preserve"> </w:t>
            </w:r>
            <w:r w:rsidRPr="00041AFD">
              <w:rPr>
                <w:rFonts w:cs="Arial"/>
                <w:b/>
                <w:bCs/>
                <w:color w:val="000000" w:themeColor="text1"/>
                <w:sz w:val="16"/>
                <w:szCs w:val="16"/>
              </w:rPr>
              <w:t>(inclusive)</w:t>
            </w:r>
          </w:p>
        </w:tc>
        <w:tc>
          <w:tcPr>
            <w:tcW w:w="899" w:type="dxa"/>
            <w:tcBorders>
              <w:top w:val="double" w:color="auto" w:sz="4" w:space="0"/>
              <w:left w:val="single" w:color="auto" w:sz="4" w:space="0"/>
              <w:bottom w:val="single" w:color="auto" w:sz="4" w:space="0"/>
              <w:right w:val="single" w:color="auto" w:sz="4" w:space="0"/>
            </w:tcBorders>
            <w:shd w:val="clear" w:color="auto" w:fill="262626" w:themeFill="text1" w:themeFillTint="D9"/>
            <w:vAlign w:val="center"/>
            <w:hideMark/>
          </w:tcPr>
          <w:p w:rsidRPr="00041AFD" w:rsidR="00B747AE" w:rsidRDefault="00B747AE" w14:paraId="1A1D1711" w14:textId="77777777">
            <w:pPr>
              <w:spacing w:line="276" w:lineRule="auto"/>
              <w:jc w:val="center"/>
              <w:rPr>
                <w:rFonts w:eastAsia="Arial,Calibri" w:cs="Arial"/>
                <w:b/>
                <w:bCs/>
                <w:color w:val="000000" w:themeColor="text1"/>
                <w:sz w:val="16"/>
                <w:szCs w:val="16"/>
              </w:rPr>
            </w:pPr>
            <w:r w:rsidRPr="00041AFD">
              <w:rPr>
                <w:rFonts w:cs="Arial"/>
                <w:b/>
                <w:bCs/>
                <w:color w:val="000000" w:themeColor="text1"/>
                <w:sz w:val="16"/>
                <w:szCs w:val="16"/>
              </w:rPr>
              <w:t>Número</w:t>
            </w:r>
          </w:p>
        </w:tc>
        <w:tc>
          <w:tcPr>
            <w:tcW w:w="2503" w:type="dxa"/>
            <w:tcBorders>
              <w:top w:val="double" w:color="auto" w:sz="4" w:space="0"/>
              <w:left w:val="single" w:color="auto" w:sz="4" w:space="0"/>
              <w:bottom w:val="single" w:color="auto" w:sz="4" w:space="0"/>
              <w:right w:val="double" w:color="auto" w:sz="4" w:space="0"/>
            </w:tcBorders>
            <w:shd w:val="clear" w:color="auto" w:fill="262626" w:themeFill="text1" w:themeFillTint="D9"/>
            <w:vAlign w:val="center"/>
            <w:hideMark/>
          </w:tcPr>
          <w:p w:rsidRPr="00041AFD" w:rsidR="00B747AE" w:rsidRDefault="00B747AE" w14:paraId="690AB8FF" w14:textId="77777777">
            <w:pPr>
              <w:spacing w:line="276" w:lineRule="auto"/>
              <w:jc w:val="center"/>
              <w:rPr>
                <w:rFonts w:eastAsia="Arial,Calibri" w:cs="Arial"/>
                <w:b/>
                <w:bCs/>
                <w:color w:val="000000" w:themeColor="text1"/>
                <w:sz w:val="16"/>
                <w:szCs w:val="16"/>
              </w:rPr>
            </w:pPr>
            <w:r w:rsidRPr="00041AFD">
              <w:rPr>
                <w:rFonts w:cs="Arial"/>
                <w:b/>
                <w:bCs/>
                <w:color w:val="000000" w:themeColor="text1"/>
                <w:sz w:val="16"/>
                <w:szCs w:val="16"/>
              </w:rPr>
              <w:t>Método</w:t>
            </w:r>
          </w:p>
        </w:tc>
      </w:tr>
      <w:tr w:rsidRPr="00041AFD" w:rsidR="00041AFD" w:rsidTr="00B747AE" w14:paraId="74099EB7" w14:textId="77777777">
        <w:trPr>
          <w:trHeight w:val="20"/>
          <w:jc w:val="center"/>
        </w:trPr>
        <w:tc>
          <w:tcPr>
            <w:tcW w:w="1413" w:type="dxa"/>
            <w:tcBorders>
              <w:top w:val="single" w:color="auto" w:sz="4" w:space="0"/>
              <w:left w:val="double" w:color="auto" w:sz="4" w:space="0"/>
              <w:bottom w:val="single" w:color="auto" w:sz="4" w:space="0"/>
              <w:right w:val="single" w:color="auto" w:sz="4" w:space="0"/>
            </w:tcBorders>
            <w:vAlign w:val="center"/>
            <w:hideMark/>
          </w:tcPr>
          <w:p w:rsidRPr="00041AFD" w:rsidR="00B747AE" w:rsidRDefault="00B747AE" w14:paraId="3E53CAB7"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De 0.00 a 0.24</w:t>
            </w:r>
          </w:p>
        </w:tc>
        <w:tc>
          <w:tcPr>
            <w:tcW w:w="899" w:type="dxa"/>
            <w:tcBorders>
              <w:top w:val="single" w:color="auto" w:sz="4" w:space="0"/>
              <w:left w:val="single" w:color="auto" w:sz="4" w:space="0"/>
              <w:bottom w:val="single" w:color="auto" w:sz="4" w:space="0"/>
              <w:right w:val="single" w:color="auto" w:sz="4" w:space="0"/>
            </w:tcBorders>
            <w:vAlign w:val="center"/>
            <w:hideMark/>
          </w:tcPr>
          <w:p w:rsidRPr="00041AFD" w:rsidR="00B747AE" w:rsidRDefault="00B747AE" w14:paraId="2F949AFC" w14:textId="77777777">
            <w:pPr>
              <w:spacing w:line="276" w:lineRule="auto"/>
              <w:jc w:val="center"/>
              <w:rPr>
                <w:rFonts w:eastAsia="Arial,Times New Roman" w:cs="Arial"/>
                <w:color w:val="000000" w:themeColor="text1"/>
                <w:sz w:val="16"/>
                <w:szCs w:val="16"/>
                <w:lang w:val="es-ES" w:eastAsia="es-CO"/>
              </w:rPr>
            </w:pPr>
            <w:r w:rsidRPr="00041AFD">
              <w:rPr>
                <w:rFonts w:cs="Arial"/>
                <w:color w:val="000000" w:themeColor="text1"/>
                <w:sz w:val="16"/>
                <w:szCs w:val="16"/>
                <w:lang w:val="es-ES" w:eastAsia="es-CO"/>
              </w:rPr>
              <w:t>1</w:t>
            </w:r>
          </w:p>
        </w:tc>
        <w:tc>
          <w:tcPr>
            <w:tcW w:w="2503" w:type="dxa"/>
            <w:tcBorders>
              <w:top w:val="single" w:color="auto" w:sz="4" w:space="0"/>
              <w:left w:val="single" w:color="auto" w:sz="4" w:space="0"/>
              <w:bottom w:val="single" w:color="auto" w:sz="4" w:space="0"/>
              <w:right w:val="double" w:color="auto" w:sz="4" w:space="0"/>
            </w:tcBorders>
            <w:vAlign w:val="center"/>
            <w:hideMark/>
          </w:tcPr>
          <w:p w:rsidRPr="00041AFD" w:rsidR="00B747AE" w:rsidRDefault="00B747AE" w14:paraId="730A7A7A" w14:textId="77777777">
            <w:pPr>
              <w:spacing w:line="276" w:lineRule="auto"/>
              <w:jc w:val="center"/>
              <w:rPr>
                <w:rFonts w:eastAsia="Arial,Times New Roman" w:cs="Arial"/>
                <w:color w:val="000000" w:themeColor="text1"/>
                <w:sz w:val="16"/>
                <w:szCs w:val="16"/>
                <w:lang w:val="es-ES" w:eastAsia="es-CO"/>
              </w:rPr>
            </w:pPr>
            <w:r w:rsidRPr="00041AFD">
              <w:rPr>
                <w:rFonts w:cs="Arial"/>
                <w:color w:val="000000" w:themeColor="text1"/>
                <w:sz w:val="16"/>
                <w:szCs w:val="16"/>
                <w:lang w:val="es-ES" w:eastAsia="es-CO"/>
              </w:rPr>
              <w:t>Mediana con valor absoluto</w:t>
            </w:r>
          </w:p>
        </w:tc>
      </w:tr>
      <w:tr w:rsidRPr="00041AFD" w:rsidR="00041AFD" w:rsidTr="00B747AE" w14:paraId="41D936DB" w14:textId="77777777">
        <w:trPr>
          <w:trHeight w:val="41"/>
          <w:jc w:val="center"/>
        </w:trPr>
        <w:tc>
          <w:tcPr>
            <w:tcW w:w="1413" w:type="dxa"/>
            <w:tcBorders>
              <w:top w:val="single" w:color="auto" w:sz="4" w:space="0"/>
              <w:left w:val="double" w:color="auto" w:sz="4" w:space="0"/>
              <w:bottom w:val="single" w:color="auto" w:sz="4" w:space="0"/>
              <w:right w:val="single" w:color="auto" w:sz="4" w:space="0"/>
            </w:tcBorders>
            <w:vAlign w:val="center"/>
            <w:hideMark/>
          </w:tcPr>
          <w:p w:rsidRPr="00041AFD" w:rsidR="00B747AE" w:rsidRDefault="00B747AE" w14:paraId="301AD12F"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De 0.25 a 0.49</w:t>
            </w:r>
          </w:p>
        </w:tc>
        <w:tc>
          <w:tcPr>
            <w:tcW w:w="899" w:type="dxa"/>
            <w:tcBorders>
              <w:top w:val="single" w:color="auto" w:sz="4" w:space="0"/>
              <w:left w:val="single" w:color="auto" w:sz="4" w:space="0"/>
              <w:bottom w:val="single" w:color="auto" w:sz="4" w:space="0"/>
              <w:right w:val="single" w:color="auto" w:sz="4" w:space="0"/>
            </w:tcBorders>
            <w:vAlign w:val="center"/>
            <w:hideMark/>
          </w:tcPr>
          <w:p w:rsidRPr="00041AFD" w:rsidR="00B747AE" w:rsidRDefault="00B747AE" w14:paraId="0FD7D7E9" w14:textId="77777777">
            <w:pPr>
              <w:spacing w:line="276" w:lineRule="auto"/>
              <w:jc w:val="center"/>
              <w:rPr>
                <w:rFonts w:eastAsia="Arial,Times New Roman" w:cs="Arial"/>
                <w:color w:val="000000" w:themeColor="text1"/>
                <w:sz w:val="16"/>
                <w:szCs w:val="16"/>
                <w:lang w:val="es-ES" w:eastAsia="es-CO"/>
              </w:rPr>
            </w:pPr>
            <w:r w:rsidRPr="00041AFD">
              <w:rPr>
                <w:rFonts w:eastAsia="Arial,Times New Roman" w:cs="Arial"/>
                <w:color w:val="000000" w:themeColor="text1"/>
                <w:sz w:val="16"/>
                <w:szCs w:val="16"/>
                <w:lang w:val="es-ES" w:eastAsia="es-CO"/>
              </w:rPr>
              <w:t>2</w:t>
            </w:r>
          </w:p>
        </w:tc>
        <w:tc>
          <w:tcPr>
            <w:tcW w:w="2503" w:type="dxa"/>
            <w:tcBorders>
              <w:top w:val="single" w:color="auto" w:sz="4" w:space="0"/>
              <w:left w:val="single" w:color="auto" w:sz="4" w:space="0"/>
              <w:bottom w:val="single" w:color="auto" w:sz="4" w:space="0"/>
              <w:right w:val="double" w:color="auto" w:sz="4" w:space="0"/>
            </w:tcBorders>
            <w:vAlign w:val="center"/>
            <w:hideMark/>
          </w:tcPr>
          <w:p w:rsidRPr="00041AFD" w:rsidR="00B747AE" w:rsidRDefault="00B747AE" w14:paraId="6682C555" w14:textId="77777777">
            <w:pPr>
              <w:spacing w:line="276" w:lineRule="auto"/>
              <w:jc w:val="center"/>
              <w:rPr>
                <w:rFonts w:eastAsia="Arial,Times New Roman" w:cs="Arial"/>
                <w:color w:val="000000" w:themeColor="text1"/>
                <w:sz w:val="16"/>
                <w:szCs w:val="16"/>
                <w:lang w:val="es-ES" w:eastAsia="es-CO"/>
              </w:rPr>
            </w:pPr>
            <w:r w:rsidRPr="00041AFD">
              <w:rPr>
                <w:rFonts w:cs="Arial"/>
                <w:color w:val="000000" w:themeColor="text1"/>
                <w:sz w:val="16"/>
                <w:szCs w:val="16"/>
                <w:lang w:val="es-ES" w:eastAsia="es-CO"/>
              </w:rPr>
              <w:t>Media geométrica</w:t>
            </w:r>
          </w:p>
        </w:tc>
      </w:tr>
      <w:tr w:rsidRPr="00041AFD" w:rsidR="00041AFD" w:rsidTr="00B747AE" w14:paraId="0F82B475" w14:textId="77777777">
        <w:trPr>
          <w:trHeight w:val="20"/>
          <w:jc w:val="center"/>
        </w:trPr>
        <w:tc>
          <w:tcPr>
            <w:tcW w:w="1413" w:type="dxa"/>
            <w:tcBorders>
              <w:top w:val="single" w:color="auto" w:sz="4" w:space="0"/>
              <w:left w:val="double" w:color="auto" w:sz="4" w:space="0"/>
              <w:bottom w:val="single" w:color="auto" w:sz="4" w:space="0"/>
              <w:right w:val="single" w:color="auto" w:sz="4" w:space="0"/>
            </w:tcBorders>
            <w:vAlign w:val="center"/>
            <w:hideMark/>
          </w:tcPr>
          <w:p w:rsidRPr="00041AFD" w:rsidR="00B747AE" w:rsidRDefault="00B747AE" w14:paraId="451A3564"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De 0.50 a 0.74</w:t>
            </w:r>
          </w:p>
        </w:tc>
        <w:tc>
          <w:tcPr>
            <w:tcW w:w="899" w:type="dxa"/>
            <w:tcBorders>
              <w:top w:val="single" w:color="auto" w:sz="4" w:space="0"/>
              <w:left w:val="single" w:color="auto" w:sz="4" w:space="0"/>
              <w:bottom w:val="single" w:color="auto" w:sz="4" w:space="0"/>
              <w:right w:val="single" w:color="auto" w:sz="4" w:space="0"/>
            </w:tcBorders>
            <w:vAlign w:val="center"/>
            <w:hideMark/>
          </w:tcPr>
          <w:p w:rsidRPr="00041AFD" w:rsidR="00B747AE" w:rsidRDefault="00B747AE" w14:paraId="197F2242"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3</w:t>
            </w:r>
          </w:p>
        </w:tc>
        <w:tc>
          <w:tcPr>
            <w:tcW w:w="2503" w:type="dxa"/>
            <w:tcBorders>
              <w:top w:val="single" w:color="auto" w:sz="4" w:space="0"/>
              <w:left w:val="single" w:color="auto" w:sz="4" w:space="0"/>
              <w:bottom w:val="single" w:color="auto" w:sz="4" w:space="0"/>
              <w:right w:val="double" w:color="auto" w:sz="4" w:space="0"/>
            </w:tcBorders>
            <w:vAlign w:val="center"/>
            <w:hideMark/>
          </w:tcPr>
          <w:p w:rsidRPr="00041AFD" w:rsidR="00B747AE" w:rsidRDefault="00B747AE" w14:paraId="3D520B27"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Media aritmética baja</w:t>
            </w:r>
          </w:p>
        </w:tc>
      </w:tr>
      <w:tr w:rsidRPr="00041AFD" w:rsidR="00B747AE" w:rsidTr="00B747AE" w14:paraId="61655274" w14:textId="77777777">
        <w:trPr>
          <w:trHeight w:val="20"/>
          <w:jc w:val="center"/>
        </w:trPr>
        <w:tc>
          <w:tcPr>
            <w:tcW w:w="1413" w:type="dxa"/>
            <w:tcBorders>
              <w:top w:val="single" w:color="auto" w:sz="4" w:space="0"/>
              <w:left w:val="double" w:color="auto" w:sz="4" w:space="0"/>
              <w:bottom w:val="double" w:color="auto" w:sz="4" w:space="0"/>
              <w:right w:val="single" w:color="auto" w:sz="4" w:space="0"/>
            </w:tcBorders>
            <w:vAlign w:val="center"/>
            <w:hideMark/>
          </w:tcPr>
          <w:p w:rsidRPr="00041AFD" w:rsidR="00B747AE" w:rsidRDefault="00B747AE" w14:paraId="2451A574"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De 0.75 a 0.99</w:t>
            </w:r>
          </w:p>
        </w:tc>
        <w:tc>
          <w:tcPr>
            <w:tcW w:w="899" w:type="dxa"/>
            <w:tcBorders>
              <w:top w:val="single" w:color="auto" w:sz="4" w:space="0"/>
              <w:left w:val="single" w:color="auto" w:sz="4" w:space="0"/>
              <w:bottom w:val="double" w:color="auto" w:sz="4" w:space="0"/>
              <w:right w:val="single" w:color="auto" w:sz="4" w:space="0"/>
            </w:tcBorders>
            <w:vAlign w:val="center"/>
            <w:hideMark/>
          </w:tcPr>
          <w:p w:rsidRPr="00041AFD" w:rsidR="00B747AE" w:rsidRDefault="00B747AE" w14:paraId="6B45086A"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4</w:t>
            </w:r>
          </w:p>
        </w:tc>
        <w:tc>
          <w:tcPr>
            <w:tcW w:w="2503" w:type="dxa"/>
            <w:tcBorders>
              <w:top w:val="single" w:color="auto" w:sz="4" w:space="0"/>
              <w:left w:val="single" w:color="auto" w:sz="4" w:space="0"/>
              <w:bottom w:val="double" w:color="auto" w:sz="4" w:space="0"/>
              <w:right w:val="double" w:color="auto" w:sz="4" w:space="0"/>
            </w:tcBorders>
            <w:vAlign w:val="center"/>
            <w:hideMark/>
          </w:tcPr>
          <w:p w:rsidRPr="00041AFD" w:rsidR="00B747AE" w:rsidRDefault="00B747AE" w14:paraId="5260A9F7" w14:textId="77777777">
            <w:pPr>
              <w:spacing w:line="276" w:lineRule="auto"/>
              <w:jc w:val="center"/>
              <w:rPr>
                <w:rFonts w:cs="Arial"/>
                <w:color w:val="000000" w:themeColor="text1"/>
                <w:sz w:val="16"/>
                <w:szCs w:val="16"/>
                <w:lang w:val="es-ES" w:eastAsia="es-CO"/>
              </w:rPr>
            </w:pPr>
            <w:r w:rsidRPr="00041AFD">
              <w:rPr>
                <w:rFonts w:cs="Arial"/>
                <w:color w:val="000000" w:themeColor="text1"/>
                <w:sz w:val="16"/>
                <w:szCs w:val="16"/>
                <w:lang w:val="es-ES" w:eastAsia="es-CO"/>
              </w:rPr>
              <w:t>Menor valor</w:t>
            </w:r>
          </w:p>
        </w:tc>
      </w:tr>
    </w:tbl>
    <w:p w:rsidRPr="00041AFD" w:rsidR="00B747AE" w:rsidP="00B747AE" w:rsidRDefault="00B747AE" w14:paraId="0719114C" w14:textId="77777777">
      <w:pPr>
        <w:spacing w:line="276" w:lineRule="auto"/>
        <w:ind w:firstLine="708"/>
        <w:jc w:val="both"/>
        <w:rPr>
          <w:rFonts w:ascii="Arial" w:hAnsi="Arial" w:eastAsia="Calibri" w:cs="Arial"/>
          <w:color w:val="000000" w:themeColor="text1"/>
          <w:sz w:val="22"/>
        </w:rPr>
      </w:pPr>
    </w:p>
    <w:p w:rsidRPr="00041AFD" w:rsidR="00B747AE" w:rsidP="00B747AE" w:rsidRDefault="00B747AE" w14:paraId="67B94C53" w14:textId="77777777">
      <w:pPr>
        <w:spacing w:after="120" w:line="276" w:lineRule="auto"/>
        <w:ind w:firstLine="709"/>
        <w:jc w:val="both"/>
        <w:rPr>
          <w:rFonts w:ascii="Arial" w:hAnsi="Arial" w:eastAsia="Calibri" w:cs="Arial"/>
          <w:color w:val="000000" w:themeColor="text1"/>
          <w:sz w:val="22"/>
        </w:rPr>
      </w:pPr>
      <w:r w:rsidRPr="00041AFD">
        <w:rPr>
          <w:rFonts w:ascii="Arial" w:hAnsi="Arial" w:eastAsia="Calibri" w:cs="Arial"/>
          <w:color w:val="000000" w:themeColor="text1"/>
          <w:sz w:val="22"/>
        </w:rPr>
        <w:t>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sobre su pregunta, el numeral 4.1.4. del Documento Base señala como una de las alternativas para escoger el método de ponderación de la propuesta económica, la media geométrica cuya fórmula es:</w:t>
      </w:r>
    </w:p>
    <w:p w:rsidRPr="00041AFD" w:rsidR="00B747AE" w:rsidP="00B747AE" w:rsidRDefault="00B747AE" w14:paraId="4AB20370" w14:textId="77777777">
      <w:pPr>
        <w:spacing w:after="200"/>
        <w:ind w:left="709" w:right="709"/>
        <w:jc w:val="both"/>
        <w:rPr>
          <w:rFonts w:ascii="Arial" w:hAnsi="Arial" w:cs="Arial"/>
          <w:color w:val="000000" w:themeColor="text1"/>
          <w:sz w:val="21"/>
          <w:szCs w:val="21"/>
        </w:rPr>
      </w:pPr>
      <m:oMathPara>
        <m:oMath>
          <m:r>
            <m:rPr>
              <m:sty m:val="p"/>
            </m:rPr>
            <w:rPr>
              <w:rFonts w:ascii="Cambria Math" w:hAnsi="Cambria Math" w:cs="Arial"/>
              <w:color w:val="000000" w:themeColor="text1"/>
            </w:rPr>
            <w:br/>
          </m:r>
        </m:oMath>
        <m:oMath>
          <m:r>
            <w:rPr>
              <w:rFonts w:ascii="Cambria Math" w:hAnsi="Cambria Math" w:cs="Arial"/>
              <w:color w:val="000000" w:themeColor="text1"/>
              <w:sz w:val="21"/>
              <w:szCs w:val="21"/>
            </w:rPr>
            <m:t>MG=</m:t>
          </m:r>
          <m:rad>
            <m:radPr>
              <m:ctrlPr>
                <w:rPr>
                  <w:rFonts w:ascii="Cambria Math" w:hAnsi="Cambria Math" w:cs="Arial"/>
                  <w:i/>
                  <w:color w:val="000000" w:themeColor="text1"/>
                  <w:sz w:val="21"/>
                  <w:szCs w:val="21"/>
                </w:rPr>
              </m:ctrlPr>
            </m:radPr>
            <m:deg>
              <m:r>
                <w:rPr>
                  <w:rFonts w:ascii="Cambria Math" w:hAnsi="Cambria Math" w:cs="Arial"/>
                  <w:color w:val="000000" w:themeColor="text1"/>
                  <w:sz w:val="21"/>
                  <w:szCs w:val="21"/>
                </w:rPr>
                <m:t>n</m:t>
              </m:r>
            </m:deg>
            <m:e>
              <m:sSub>
                <m:sSubPr>
                  <m:ctrlPr>
                    <w:rPr>
                      <w:rFonts w:ascii="Cambria Math" w:hAnsi="Cambria Math" w:cs="Arial"/>
                      <w:i/>
                      <w:color w:val="000000" w:themeColor="text1"/>
                      <w:sz w:val="21"/>
                      <w:szCs w:val="21"/>
                    </w:rPr>
                  </m:ctrlPr>
                </m:sSubPr>
                <m:e>
                  <m:r>
                    <w:rPr>
                      <w:rFonts w:ascii="Cambria Math" w:hAnsi="Cambria Math" w:cs="Arial"/>
                      <w:color w:val="000000" w:themeColor="text1"/>
                      <w:sz w:val="21"/>
                      <w:szCs w:val="21"/>
                    </w:rPr>
                    <m:t>V</m:t>
                  </m:r>
                </m:e>
                <m:sub>
                  <m:r>
                    <w:rPr>
                      <w:rFonts w:ascii="Cambria Math" w:hAnsi="Cambria Math" w:cs="Arial"/>
                      <w:color w:val="000000" w:themeColor="text1"/>
                      <w:sz w:val="21"/>
                      <w:szCs w:val="21"/>
                    </w:rPr>
                    <m:t>1</m:t>
                  </m:r>
                </m:sub>
              </m:sSub>
              <m:r>
                <w:rPr>
                  <w:rFonts w:ascii="Cambria Math" w:hAnsi="Cambria Math" w:cs="Arial"/>
                  <w:color w:val="000000" w:themeColor="text1"/>
                  <w:sz w:val="21"/>
                  <w:szCs w:val="21"/>
                </w:rPr>
                <m:t>*</m:t>
              </m:r>
              <m:sSub>
                <m:sSubPr>
                  <m:ctrlPr>
                    <w:rPr>
                      <w:rFonts w:ascii="Cambria Math" w:hAnsi="Cambria Math" w:cs="Arial"/>
                      <w:i/>
                      <w:color w:val="000000" w:themeColor="text1"/>
                      <w:sz w:val="21"/>
                      <w:szCs w:val="21"/>
                    </w:rPr>
                  </m:ctrlPr>
                </m:sSubPr>
                <m:e>
                  <m:r>
                    <w:rPr>
                      <w:rFonts w:ascii="Cambria Math" w:hAnsi="Cambria Math" w:cs="Arial"/>
                      <w:color w:val="000000" w:themeColor="text1"/>
                      <w:sz w:val="21"/>
                      <w:szCs w:val="21"/>
                    </w:rPr>
                    <m:t>V</m:t>
                  </m:r>
                </m:e>
                <m:sub>
                  <m:r>
                    <w:rPr>
                      <w:rFonts w:ascii="Cambria Math" w:hAnsi="Cambria Math" w:cs="Arial"/>
                      <w:color w:val="000000" w:themeColor="text1"/>
                      <w:sz w:val="21"/>
                      <w:szCs w:val="21"/>
                    </w:rPr>
                    <m:t>2</m:t>
                  </m:r>
                </m:sub>
              </m:sSub>
              <m:r>
                <w:rPr>
                  <w:rFonts w:ascii="Cambria Math" w:hAnsi="Cambria Math" w:cs="Arial"/>
                  <w:color w:val="000000" w:themeColor="text1"/>
                  <w:sz w:val="21"/>
                  <w:szCs w:val="21"/>
                </w:rPr>
                <m:t>*</m:t>
              </m:r>
              <m:sSub>
                <m:sSubPr>
                  <m:ctrlPr>
                    <w:rPr>
                      <w:rFonts w:ascii="Cambria Math" w:hAnsi="Cambria Math" w:cs="Arial"/>
                      <w:i/>
                      <w:color w:val="000000" w:themeColor="text1"/>
                      <w:sz w:val="21"/>
                      <w:szCs w:val="21"/>
                    </w:rPr>
                  </m:ctrlPr>
                </m:sSubPr>
                <m:e>
                  <m:r>
                    <w:rPr>
                      <w:rFonts w:ascii="Cambria Math" w:hAnsi="Cambria Math" w:cs="Arial"/>
                      <w:color w:val="000000" w:themeColor="text1"/>
                      <w:sz w:val="21"/>
                      <w:szCs w:val="21"/>
                    </w:rPr>
                    <m:t>V</m:t>
                  </m:r>
                </m:e>
                <m:sub>
                  <m:r>
                    <w:rPr>
                      <w:rFonts w:ascii="Cambria Math" w:hAnsi="Cambria Math" w:cs="Arial"/>
                      <w:color w:val="000000" w:themeColor="text1"/>
                      <w:sz w:val="21"/>
                      <w:szCs w:val="21"/>
                    </w:rPr>
                    <m:t>3</m:t>
                  </m:r>
                </m:sub>
              </m:sSub>
              <m:r>
                <w:rPr>
                  <w:rFonts w:ascii="Cambria Math" w:hAnsi="Cambria Math" w:cs="Arial"/>
                  <w:color w:val="000000" w:themeColor="text1"/>
                  <w:sz w:val="21"/>
                  <w:szCs w:val="21"/>
                </w:rPr>
                <m:t>*…*</m:t>
              </m:r>
              <m:sSub>
                <m:sSubPr>
                  <m:ctrlPr>
                    <w:rPr>
                      <w:rFonts w:ascii="Cambria Math" w:hAnsi="Cambria Math" w:cs="Arial"/>
                      <w:i/>
                      <w:color w:val="000000" w:themeColor="text1"/>
                      <w:sz w:val="21"/>
                      <w:szCs w:val="21"/>
                    </w:rPr>
                  </m:ctrlPr>
                </m:sSubPr>
                <m:e>
                  <m:r>
                    <w:rPr>
                      <w:rFonts w:ascii="Cambria Math" w:hAnsi="Cambria Math" w:cs="Arial"/>
                      <w:color w:val="000000" w:themeColor="text1"/>
                      <w:sz w:val="21"/>
                      <w:szCs w:val="21"/>
                    </w:rPr>
                    <m:t>V</m:t>
                  </m:r>
                </m:e>
                <m:sub>
                  <m:r>
                    <w:rPr>
                      <w:rFonts w:ascii="Cambria Math" w:hAnsi="Cambria Math" w:cs="Arial"/>
                      <w:color w:val="000000" w:themeColor="text1"/>
                      <w:sz w:val="21"/>
                      <w:szCs w:val="21"/>
                    </w:rPr>
                    <m:t>n</m:t>
                  </m:r>
                </m:sub>
              </m:sSub>
            </m:e>
          </m:rad>
        </m:oMath>
      </m:oMathPara>
    </w:p>
    <w:p w:rsidRPr="00041AFD" w:rsidR="00B747AE" w:rsidP="00B747AE" w:rsidRDefault="00B747AE" w14:paraId="2A3AC01F" w14:textId="77777777">
      <w:pPr>
        <w:spacing w:after="200"/>
        <w:ind w:left="709" w:right="709"/>
        <w:jc w:val="both"/>
        <w:rPr>
          <w:rFonts w:ascii="Arial" w:hAnsi="Arial" w:cs="Arial"/>
          <w:color w:val="000000" w:themeColor="text1"/>
          <w:sz w:val="21"/>
          <w:szCs w:val="21"/>
        </w:rPr>
      </w:pPr>
      <w:r w:rsidRPr="00041AFD">
        <w:rPr>
          <w:rFonts w:ascii="Arial" w:hAnsi="Arial" w:eastAsia="Arial" w:cs="Arial"/>
          <w:color w:val="000000" w:themeColor="text1"/>
          <w:sz w:val="21"/>
          <w:szCs w:val="21"/>
        </w:rPr>
        <w:t xml:space="preserve">Donde: </w:t>
      </w:r>
    </w:p>
    <w:p w:rsidRPr="00041AFD" w:rsidR="00B747AE" w:rsidP="00B747AE" w:rsidRDefault="00B747AE" w14:paraId="2AE93656" w14:textId="77777777">
      <w:pPr>
        <w:pStyle w:val="Prrafodelista"/>
        <w:numPr>
          <w:ilvl w:val="0"/>
          <w:numId w:val="8"/>
        </w:numPr>
        <w:spacing w:after="200"/>
        <w:ind w:left="709" w:right="709"/>
        <w:jc w:val="both"/>
        <w:rPr>
          <w:rFonts w:ascii="Arial" w:hAnsi="Arial" w:cs="Arial"/>
          <w:color w:val="000000" w:themeColor="text1"/>
          <w:sz w:val="21"/>
          <w:szCs w:val="21"/>
        </w:rPr>
      </w:pPr>
      <w:r w:rsidRPr="00041AFD">
        <w:rPr>
          <w:rFonts w:ascii="Arial" w:hAnsi="Arial" w:cs="Arial" w:eastAsiaTheme="minorEastAsia"/>
          <w:color w:val="000000" w:themeColor="text1"/>
          <w:sz w:val="21"/>
          <w:szCs w:val="21"/>
        </w:rPr>
        <w:t xml:space="preserve">MG: Es la media geométrica de los tres menores valores. </w:t>
      </w:r>
    </w:p>
    <w:p w:rsidRPr="00041AFD" w:rsidR="00B747AE" w:rsidP="00B747AE" w:rsidRDefault="00B747AE" w14:paraId="4FD6493F" w14:textId="77777777">
      <w:pPr>
        <w:pStyle w:val="Prrafodelista"/>
        <w:numPr>
          <w:ilvl w:val="0"/>
          <w:numId w:val="8"/>
        </w:numPr>
        <w:spacing w:after="200"/>
        <w:ind w:left="709" w:right="709"/>
        <w:jc w:val="both"/>
        <w:rPr>
          <w:rFonts w:ascii="Arial" w:hAnsi="Arial" w:cs="Arial"/>
          <w:color w:val="000000" w:themeColor="text1"/>
          <w:sz w:val="21"/>
          <w:szCs w:val="21"/>
        </w:rPr>
      </w:pPr>
      <w:r w:rsidRPr="00041AFD">
        <w:rPr>
          <w:rFonts w:ascii="Arial" w:hAnsi="Arial" w:cs="Arial" w:eastAsiaTheme="minorEastAsia"/>
          <w:color w:val="000000" w:themeColor="text1"/>
          <w:sz w:val="21"/>
          <w:szCs w:val="21"/>
        </w:rPr>
        <w:t>V1: Es el valor de una propuesta habilitada.</w:t>
      </w:r>
    </w:p>
    <w:p w:rsidRPr="00041AFD" w:rsidR="00B747AE" w:rsidP="00B747AE" w:rsidRDefault="00B747AE" w14:paraId="6AC4E514" w14:textId="77777777">
      <w:pPr>
        <w:pStyle w:val="Prrafodelista"/>
        <w:numPr>
          <w:ilvl w:val="0"/>
          <w:numId w:val="8"/>
        </w:numPr>
        <w:spacing w:after="200"/>
        <w:ind w:left="709" w:right="709"/>
        <w:jc w:val="both"/>
        <w:rPr>
          <w:rFonts w:ascii="Arial" w:hAnsi="Arial" w:cs="Arial"/>
          <w:color w:val="000000" w:themeColor="text1"/>
          <w:sz w:val="21"/>
          <w:szCs w:val="21"/>
        </w:rPr>
      </w:pPr>
      <w:proofErr w:type="spellStart"/>
      <w:r w:rsidRPr="00041AFD">
        <w:rPr>
          <w:rFonts w:ascii="Arial" w:hAnsi="Arial" w:cs="Arial" w:eastAsiaTheme="minorEastAsia"/>
          <w:color w:val="000000" w:themeColor="text1"/>
          <w:sz w:val="21"/>
          <w:szCs w:val="21"/>
        </w:rPr>
        <w:t>Vn</w:t>
      </w:r>
      <w:proofErr w:type="spellEnd"/>
      <w:r w:rsidRPr="00041AFD">
        <w:rPr>
          <w:rFonts w:ascii="Arial" w:hAnsi="Arial" w:cs="Arial" w:eastAsiaTheme="minorEastAsia"/>
          <w:color w:val="000000" w:themeColor="text1"/>
          <w:sz w:val="21"/>
          <w:szCs w:val="21"/>
        </w:rPr>
        <w:t xml:space="preserve">: Es el valor de la propuesta n habilitada. </w:t>
      </w:r>
    </w:p>
    <w:p w:rsidRPr="00041AFD" w:rsidR="00B747AE" w:rsidP="00B747AE" w:rsidRDefault="00B747AE" w14:paraId="1E951F63" w14:textId="77777777">
      <w:pPr>
        <w:pStyle w:val="Prrafodelista"/>
        <w:numPr>
          <w:ilvl w:val="0"/>
          <w:numId w:val="8"/>
        </w:numPr>
        <w:ind w:left="709" w:right="709"/>
        <w:jc w:val="both"/>
        <w:rPr>
          <w:rFonts w:ascii="Arial" w:hAnsi="Arial" w:cs="Arial"/>
          <w:color w:val="000000" w:themeColor="text1"/>
          <w:sz w:val="21"/>
          <w:szCs w:val="21"/>
        </w:rPr>
      </w:pPr>
      <w:r w:rsidRPr="00041AFD">
        <w:rPr>
          <w:rFonts w:ascii="Arial" w:hAnsi="Arial" w:cs="Arial" w:eastAsiaTheme="minorEastAsia"/>
          <w:color w:val="000000" w:themeColor="text1"/>
          <w:sz w:val="21"/>
          <w:szCs w:val="21"/>
        </w:rPr>
        <w:t xml:space="preserve">n: La cantidad total de propuestas habilitadas. </w:t>
      </w:r>
    </w:p>
    <w:p w:rsidRPr="00041AFD" w:rsidR="00B747AE" w:rsidP="00B747AE" w:rsidRDefault="00B747AE" w14:paraId="59E1DAD3" w14:textId="77777777">
      <w:pPr>
        <w:spacing w:after="120" w:line="276" w:lineRule="auto"/>
        <w:ind w:left="349"/>
        <w:jc w:val="both"/>
        <w:rPr>
          <w:rFonts w:ascii="Arial" w:hAnsi="Arial" w:eastAsia="Calibri" w:cs="Arial"/>
          <w:color w:val="000000" w:themeColor="text1"/>
          <w:sz w:val="22"/>
        </w:rPr>
      </w:pPr>
    </w:p>
    <w:p w:rsidRPr="00041AFD" w:rsidR="00B747AE" w:rsidP="00B747AE" w:rsidRDefault="00B747AE" w14:paraId="4894C3E4" w14:textId="77777777">
      <w:pPr>
        <w:spacing w:line="276" w:lineRule="auto"/>
        <w:ind w:firstLine="708"/>
        <w:jc w:val="both"/>
        <w:rPr>
          <w:rFonts w:ascii="Arial" w:hAnsi="Arial" w:eastAsia="Calibri" w:cs="Arial"/>
          <w:color w:val="000000" w:themeColor="text1"/>
          <w:sz w:val="22"/>
        </w:rPr>
      </w:pPr>
      <w:r w:rsidRPr="00041AFD">
        <w:rPr>
          <w:rFonts w:ascii="Arial" w:hAnsi="Arial" w:eastAsia="Calibri" w:cs="Arial"/>
          <w:color w:val="000000" w:themeColor="text1"/>
          <w:sz w:val="22"/>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041AFD">
        <w:rPr>
          <w:rFonts w:ascii="Arial" w:hAnsi="Arial" w:eastAsia="Calibri" w:cs="Arial"/>
          <w:color w:val="000000" w:themeColor="text1"/>
          <w:sz w:val="22"/>
        </w:rPr>
        <w:t>Vn</w:t>
      </w:r>
      <w:proofErr w:type="spellEnd"/>
      <w:r w:rsidRPr="00041AFD">
        <w:rPr>
          <w:rFonts w:ascii="Arial" w:hAnsi="Arial" w:eastAsia="Calibri" w:cs="Arial"/>
          <w:color w:val="000000" w:themeColor="text1"/>
          <w:sz w:val="22"/>
        </w:rPr>
        <w:t>», «n» y puntos suspensivos que indican que se deben agregar todas las ofertas que estén habilitadas.</w:t>
      </w:r>
    </w:p>
    <w:p w:rsidRPr="00041AFD" w:rsidR="00B747AE" w:rsidP="00B747AE" w:rsidRDefault="00B747AE" w14:paraId="0E2BE99B" w14:textId="77777777">
      <w:pPr>
        <w:pStyle w:val="Prrafodelista"/>
        <w:tabs>
          <w:tab w:val="left" w:pos="284"/>
        </w:tabs>
        <w:spacing w:line="276" w:lineRule="auto"/>
        <w:ind w:left="0"/>
        <w:jc w:val="both"/>
        <w:rPr>
          <w:rFonts w:ascii="Arial" w:hAnsi="Arial" w:eastAsia="Calibri" w:cs="Arial"/>
          <w:b/>
          <w:color w:val="000000" w:themeColor="text1"/>
          <w:sz w:val="22"/>
        </w:rPr>
      </w:pPr>
    </w:p>
    <w:p w:rsidRPr="00041AFD" w:rsidR="00B747AE" w:rsidP="00B747AE" w:rsidRDefault="00B747AE" w14:paraId="45ADA8BD" w14:textId="77777777">
      <w:pPr>
        <w:pStyle w:val="Prrafodelista"/>
        <w:tabs>
          <w:tab w:val="left" w:pos="284"/>
        </w:tabs>
        <w:spacing w:line="276" w:lineRule="auto"/>
        <w:ind w:left="0"/>
        <w:jc w:val="both"/>
        <w:rPr>
          <w:rFonts w:ascii="Arial" w:hAnsi="Arial" w:eastAsia="Calibri" w:cs="Arial"/>
          <w:color w:val="000000" w:themeColor="text1"/>
          <w:sz w:val="22"/>
        </w:rPr>
      </w:pPr>
      <w:r w:rsidRPr="00041AFD">
        <w:rPr>
          <w:rFonts w:ascii="Arial" w:hAnsi="Arial" w:eastAsia="Calibri" w:cs="Arial"/>
          <w:b/>
          <w:color w:val="000000" w:themeColor="text1"/>
          <w:sz w:val="22"/>
        </w:rPr>
        <w:t>3. Respuesta</w:t>
      </w:r>
    </w:p>
    <w:p w:rsidRPr="00041AFD" w:rsidR="00B747AE" w:rsidP="00B747AE" w:rsidRDefault="00B747AE" w14:paraId="322F34CD" w14:textId="77777777">
      <w:pPr>
        <w:spacing w:line="276" w:lineRule="auto"/>
        <w:ind w:left="709" w:right="709"/>
        <w:jc w:val="both"/>
        <w:rPr>
          <w:rFonts w:ascii="Arial" w:hAnsi="Arial" w:eastAsia="Calibri" w:cs="Arial"/>
          <w:i/>
          <w:color w:val="000000" w:themeColor="text1"/>
          <w:sz w:val="22"/>
        </w:rPr>
      </w:pPr>
    </w:p>
    <w:p w:rsidRPr="00041AFD" w:rsidR="00B747AE" w:rsidP="00B747AE" w:rsidRDefault="00B747AE" w14:paraId="580963A7" w14:textId="77777777">
      <w:pPr>
        <w:spacing w:line="276" w:lineRule="auto"/>
        <w:ind w:left="709" w:right="709"/>
        <w:jc w:val="both"/>
        <w:rPr>
          <w:rFonts w:ascii="Arial" w:hAnsi="Arial" w:eastAsia="Calibri" w:cs="Arial"/>
          <w:color w:val="000000" w:themeColor="text1"/>
          <w:sz w:val="22"/>
        </w:rPr>
      </w:pPr>
      <w:r w:rsidRPr="00041AFD">
        <w:rPr>
          <w:rFonts w:ascii="Arial" w:hAnsi="Arial" w:eastAsia="Calibri" w:cs="Arial"/>
          <w:color w:val="000000" w:themeColor="text1"/>
          <w:sz w:val="22"/>
        </w:rPr>
        <w:t>¿Para calcular la media geométrica en los Documentos Tipo versión 2, la entidad solo tiene en cuenta los 3 menores valores habilitados, o debe tener en cuenta todas las propuestas habilitadas?</w:t>
      </w:r>
    </w:p>
    <w:p w:rsidRPr="00041AFD" w:rsidR="00B747AE" w:rsidP="00B747AE" w:rsidRDefault="00B747AE" w14:paraId="7B40ECEF" w14:textId="77777777">
      <w:pPr>
        <w:spacing w:line="276" w:lineRule="auto"/>
        <w:ind w:left="708" w:right="709"/>
        <w:jc w:val="both"/>
        <w:rPr>
          <w:rFonts w:ascii="Arial" w:hAnsi="Arial" w:eastAsia="Calibri" w:cs="Arial"/>
          <w:color w:val="000000" w:themeColor="text1"/>
          <w:sz w:val="22"/>
          <w:highlight w:val="yellow"/>
        </w:rPr>
      </w:pPr>
    </w:p>
    <w:p w:rsidRPr="00041AFD" w:rsidR="00B747AE" w:rsidP="00B747AE" w:rsidRDefault="00B747AE" w14:paraId="04CE82EA" w14:textId="77777777">
      <w:pPr>
        <w:spacing w:line="276" w:lineRule="auto"/>
        <w:jc w:val="both"/>
        <w:rPr>
          <w:rFonts w:ascii="Arial" w:hAnsi="Arial" w:eastAsia="Calibri" w:cs="Arial"/>
          <w:color w:val="000000" w:themeColor="text1"/>
          <w:sz w:val="22"/>
        </w:rPr>
      </w:pPr>
      <w:r w:rsidRPr="00041AFD">
        <w:rPr>
          <w:rFonts w:ascii="Arial" w:hAnsi="Arial" w:eastAsia="Calibri" w:cs="Arial"/>
          <w:color w:val="000000" w:themeColor="text1"/>
          <w:sz w:val="22"/>
        </w:rPr>
        <w:t xml:space="preserve">El numeral 4.1.4. del Documento Base señala los métodos de ponderación de la propuesta económica presentando 4 alternativas, una de las cuales es la media geométrica, la cual será seleccionada de acuerdo con la Tasa de Cambio Representativa del Mercado –TRM–. La fórmula para calcular la media geométrica define el factor «MG» </w:t>
      </w:r>
      <w:r w:rsidRPr="00041AFD">
        <w:rPr>
          <w:rFonts w:ascii="Arial" w:hAnsi="Arial" w:eastAsia="Calibri" w:cs="Arial"/>
          <w:color w:val="000000" w:themeColor="text1"/>
          <w:sz w:val="22"/>
        </w:rPr>
        <w:lastRenderedPageBreak/>
        <w:t>señalando que hace referencia a los tres menores valores de las ofertas, pero esto no quiere decir que solo se tienen en cuenta esas ofertas, ya que los demás factores de la fórmula y la definición del método de media geométrica establecida en el Documento Base, indican que se tienen en cuenta los valores de todas las ofertas habilitadas y no solo las ofertas con los 3 menores valores habilitados.</w:t>
      </w:r>
    </w:p>
    <w:p w:rsidRPr="00041AFD" w:rsidR="00B747AE" w:rsidP="00B747AE" w:rsidRDefault="00B747AE" w14:paraId="018108AE" w14:textId="77777777">
      <w:pPr>
        <w:spacing w:line="276" w:lineRule="auto"/>
        <w:jc w:val="both"/>
        <w:rPr>
          <w:rFonts w:ascii="Arial" w:hAnsi="Arial" w:eastAsia="Calibri" w:cs="Arial"/>
          <w:color w:val="000000" w:themeColor="text1"/>
          <w:sz w:val="22"/>
        </w:rPr>
      </w:pPr>
    </w:p>
    <w:p w:rsidRPr="00041AFD" w:rsidR="00B747AE" w:rsidP="00B747AE" w:rsidRDefault="00B747AE" w14:paraId="4E369B21" w14:textId="77777777">
      <w:pPr>
        <w:spacing w:line="276" w:lineRule="auto"/>
        <w:jc w:val="both"/>
        <w:rPr>
          <w:rFonts w:ascii="Arial" w:hAnsi="Arial" w:eastAsia="Calibri" w:cs="Arial"/>
          <w:color w:val="000000" w:themeColor="text1"/>
          <w:sz w:val="22"/>
        </w:rPr>
      </w:pPr>
    </w:p>
    <w:p w:rsidRPr="00041AFD" w:rsidR="00B747AE" w:rsidP="00B747AE" w:rsidRDefault="00B747AE" w14:paraId="1FEA295E" w14:textId="77777777">
      <w:pPr>
        <w:spacing w:line="276" w:lineRule="auto"/>
        <w:jc w:val="both"/>
        <w:rPr>
          <w:rFonts w:ascii="Arial" w:hAnsi="Arial" w:eastAsia="Calibri" w:cs="Arial"/>
          <w:color w:val="000000" w:themeColor="text1"/>
          <w:sz w:val="22"/>
        </w:rPr>
      </w:pPr>
      <w:r w:rsidRPr="00041AFD">
        <w:rPr>
          <w:rFonts w:ascii="Arial" w:hAnsi="Arial" w:eastAsia="Calibri" w:cs="Arial"/>
          <w:color w:val="000000" w:themeColor="text1"/>
          <w:sz w:val="22"/>
        </w:rPr>
        <w:t>Este concepto tiene el alcance previsto en el artículo 28 del Código de Procedimiento Administrativo y de lo Contencioso Administrativo.</w:t>
      </w:r>
    </w:p>
    <w:p w:rsidRPr="00041AFD" w:rsidR="00B747AE" w:rsidP="00B747AE" w:rsidRDefault="00B747AE" w14:paraId="7541BB0F" w14:textId="77777777">
      <w:pPr>
        <w:spacing w:line="276" w:lineRule="auto"/>
        <w:jc w:val="both"/>
        <w:rPr>
          <w:rFonts w:ascii="Arial" w:hAnsi="Arial" w:eastAsia="Calibri" w:cs="Arial"/>
          <w:color w:val="000000" w:themeColor="text1"/>
          <w:sz w:val="22"/>
        </w:rPr>
      </w:pPr>
    </w:p>
    <w:p w:rsidRPr="00041AFD" w:rsidR="00B747AE" w:rsidP="00B747AE" w:rsidRDefault="00B747AE" w14:paraId="75B22C53" w14:textId="1F3E721D">
      <w:pPr>
        <w:jc w:val="both"/>
        <w:rPr>
          <w:rFonts w:ascii="Arial" w:hAnsi="Arial" w:eastAsia="Calibri" w:cs="Arial"/>
          <w:color w:val="000000" w:themeColor="text1"/>
          <w:sz w:val="22"/>
        </w:rPr>
      </w:pPr>
      <w:r w:rsidRPr="00041AFD">
        <w:rPr>
          <w:noProof/>
          <w:color w:val="000000" w:themeColor="text1"/>
        </w:rPr>
        <mc:AlternateContent>
          <mc:Choice Requires="wps">
            <w:drawing>
              <wp:anchor distT="0" distB="0" distL="114300" distR="114300" simplePos="0" relativeHeight="251659264" behindDoc="0" locked="0" layoutInCell="1" allowOverlap="1" wp14:anchorId="7B97E255" wp14:editId="4678B181">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4668E6EB">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A5E9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p>
    <w:p w:rsidRPr="00041AFD" w:rsidR="00B747AE" w:rsidP="00B747AE" w:rsidRDefault="00B747AE" w14:paraId="4F5B7259" w14:textId="77777777">
      <w:pPr>
        <w:rPr>
          <w:rFonts w:ascii="Arial" w:hAnsi="Arial" w:eastAsia="Times New Roman" w:cs="Arial"/>
          <w:color w:val="000000" w:themeColor="text1"/>
          <w:sz w:val="22"/>
          <w:lang w:eastAsia="es-CO"/>
        </w:rPr>
      </w:pPr>
      <w:r w:rsidRPr="00041AFD">
        <w:rPr>
          <w:rFonts w:ascii="Arial" w:hAnsi="Arial" w:eastAsia="Times New Roman" w:cs="Arial"/>
          <w:color w:val="000000" w:themeColor="text1"/>
          <w:sz w:val="22"/>
          <w:lang w:eastAsia="es-CO"/>
        </w:rPr>
        <w:t>Atentamente,</w:t>
      </w:r>
    </w:p>
    <w:p w:rsidRPr="00041AFD" w:rsidR="00B747AE" w:rsidP="00B747AE" w:rsidRDefault="00B747AE" w14:paraId="023EA677" w14:textId="77777777">
      <w:pPr>
        <w:rPr>
          <w:rFonts w:ascii="Arial" w:hAnsi="Arial" w:eastAsia="Times New Roman" w:cs="Arial"/>
          <w:color w:val="000000" w:themeColor="text1"/>
          <w:sz w:val="22"/>
          <w:lang w:eastAsia="es-CO"/>
        </w:rPr>
      </w:pPr>
    </w:p>
    <w:p w:rsidRPr="00041AFD" w:rsidR="00B747AE" w:rsidP="00B747AE" w:rsidRDefault="001E7CB7" w14:paraId="3884C673" w14:textId="333AE742">
      <w:pPr>
        <w:jc w:val="center"/>
        <w:rPr>
          <w:rFonts w:ascii="Arial" w:hAnsi="Arial" w:eastAsia="Times New Roman" w:cs="Arial"/>
          <w:color w:val="000000" w:themeColor="text1"/>
          <w:sz w:val="22"/>
          <w:lang w:eastAsia="es-CO"/>
        </w:rPr>
      </w:pPr>
      <w:r w:rsidR="001E7CB7">
        <w:drawing>
          <wp:inline wp14:editId="29752185" wp14:anchorId="75C68BD1">
            <wp:extent cx="2773045" cy="988695"/>
            <wp:effectExtent l="0" t="0" r="0" b="0"/>
            <wp:docPr id="1090728712" name="Imagen 2" title=""/>
            <wp:cNvGraphicFramePr>
              <a:graphicFrameLocks/>
            </wp:cNvGraphicFramePr>
            <a:graphic>
              <a:graphicData uri="http://schemas.openxmlformats.org/drawingml/2006/picture">
                <pic:pic>
                  <pic:nvPicPr>
                    <pic:cNvPr id="0" name="Imagen 2"/>
                    <pic:cNvPicPr/>
                  </pic:nvPicPr>
                  <pic:blipFill>
                    <a:blip r:embed="R80e64b2641e1475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041AFD" w:rsidR="00B747AE" w:rsidP="00B747AE" w:rsidRDefault="00B747AE" w14:paraId="58BDEB7E"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041AFD" w:rsidR="00041AFD" w:rsidTr="00B747AE" w14:paraId="37DF1E20" w14:textId="77777777">
        <w:trPr>
          <w:trHeight w:val="315"/>
        </w:trPr>
        <w:tc>
          <w:tcPr>
            <w:tcW w:w="488" w:type="dxa"/>
            <w:vAlign w:val="center"/>
            <w:hideMark/>
          </w:tcPr>
          <w:p w:rsidRPr="00041AFD" w:rsidR="00B747AE" w:rsidRDefault="00B747AE" w14:paraId="090016B8"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041AFD" w:rsidR="00B747AE" w:rsidRDefault="00B747AE" w14:paraId="6374516E"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Ximena Ríos López</w:t>
            </w:r>
          </w:p>
          <w:p w:rsidRPr="00041AFD" w:rsidR="00B747AE" w:rsidRDefault="00B747AE" w14:paraId="0064D8D5"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Gestor T1-11</w:t>
            </w:r>
          </w:p>
        </w:tc>
      </w:tr>
      <w:tr w:rsidRPr="00041AFD" w:rsidR="00041AFD" w:rsidTr="00B747AE" w14:paraId="08491A4B" w14:textId="77777777">
        <w:trPr>
          <w:trHeight w:val="330"/>
        </w:trPr>
        <w:tc>
          <w:tcPr>
            <w:tcW w:w="488" w:type="dxa"/>
            <w:vAlign w:val="center"/>
            <w:hideMark/>
          </w:tcPr>
          <w:p w:rsidRPr="00041AFD" w:rsidR="00B747AE" w:rsidRDefault="00B747AE" w14:paraId="059374B1"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41AFD" w:rsidR="00B747AE" w:rsidRDefault="00B747AE" w14:paraId="04F05B9C"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Cristian Andrés Díaz Díez</w:t>
            </w:r>
          </w:p>
          <w:p w:rsidRPr="00041AFD" w:rsidR="00B747AE" w:rsidRDefault="00B747AE" w14:paraId="13F710B8"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Subdirector de Gestión Contractual</w:t>
            </w:r>
          </w:p>
        </w:tc>
      </w:tr>
      <w:tr w:rsidRPr="00041AFD" w:rsidR="00041AFD" w:rsidTr="00B747AE" w14:paraId="4E8CDBF1" w14:textId="77777777">
        <w:trPr>
          <w:trHeight w:val="300"/>
        </w:trPr>
        <w:tc>
          <w:tcPr>
            <w:tcW w:w="488" w:type="dxa"/>
            <w:vAlign w:val="center"/>
            <w:hideMark/>
          </w:tcPr>
          <w:p w:rsidRPr="00041AFD" w:rsidR="00B747AE" w:rsidRDefault="00B747AE" w14:paraId="7782729B"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41AFD" w:rsidR="00B747AE" w:rsidRDefault="00B747AE" w14:paraId="62738976"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Fabián Gonzalo Marín Cortés</w:t>
            </w:r>
          </w:p>
          <w:p w:rsidRPr="00041AFD" w:rsidR="00B747AE" w:rsidRDefault="00B747AE" w14:paraId="056D561A"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Subdirector de Gestión Contractual</w:t>
            </w:r>
          </w:p>
        </w:tc>
      </w:tr>
      <w:tr w:rsidRPr="00041AFD" w:rsidR="00B747AE" w:rsidTr="00B747AE" w14:paraId="7852CBCB" w14:textId="77777777">
        <w:trPr>
          <w:trHeight w:val="300"/>
        </w:trPr>
        <w:tc>
          <w:tcPr>
            <w:tcW w:w="488" w:type="dxa"/>
            <w:vAlign w:val="center"/>
            <w:hideMark/>
          </w:tcPr>
          <w:p w:rsidRPr="00041AFD" w:rsidR="00B747AE" w:rsidRDefault="00B747AE" w14:paraId="0CDE84BF"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41AFD" w:rsidR="00B747AE" w:rsidRDefault="00B747AE" w14:paraId="4F973ED8" w14:textId="77777777">
            <w:pPr>
              <w:rPr>
                <w:rFonts w:ascii="Arial" w:hAnsi="Arial" w:eastAsia="Times New Roman" w:cs="Arial"/>
                <w:color w:val="000000" w:themeColor="text1"/>
                <w:sz w:val="16"/>
                <w:szCs w:val="16"/>
                <w:lang w:eastAsia="es-ES"/>
              </w:rPr>
            </w:pPr>
            <w:r w:rsidRPr="00041AFD">
              <w:rPr>
                <w:rFonts w:ascii="Arial" w:hAnsi="Arial" w:eastAsia="Times New Roman" w:cs="Arial"/>
                <w:color w:val="000000" w:themeColor="text1"/>
                <w:sz w:val="16"/>
                <w:szCs w:val="16"/>
                <w:lang w:eastAsia="es-ES"/>
              </w:rPr>
              <w:t>0</w:t>
            </w:r>
          </w:p>
        </w:tc>
      </w:tr>
    </w:tbl>
    <w:p w:rsidRPr="00041AFD" w:rsidR="00B747AE" w:rsidP="00B747AE" w:rsidRDefault="00B747AE" w14:paraId="1B611718" w14:textId="77777777">
      <w:pPr>
        <w:jc w:val="both"/>
        <w:rPr>
          <w:rFonts w:ascii="Arial" w:hAnsi="Arial" w:eastAsia="Calibri" w:cs="Arial"/>
          <w:color w:val="000000" w:themeColor="text1"/>
          <w:sz w:val="22"/>
        </w:rPr>
      </w:pPr>
    </w:p>
    <w:bookmarkEnd w:id="0"/>
    <w:p w:rsidRPr="00041AFD" w:rsidR="00B747AE" w:rsidP="00B747AE" w:rsidRDefault="00B747AE" w14:paraId="76BFC05E" w14:textId="77777777">
      <w:pPr>
        <w:spacing w:before="120" w:after="120" w:line="276" w:lineRule="auto"/>
        <w:jc w:val="both"/>
        <w:rPr>
          <w:rFonts w:ascii="Arial" w:hAnsi="Arial" w:eastAsia="Calibri" w:cs="Arial"/>
          <w:color w:val="000000" w:themeColor="text1"/>
          <w:sz w:val="22"/>
        </w:rPr>
      </w:pPr>
    </w:p>
    <w:p w:rsidRPr="00041AFD" w:rsidR="007B0854" w:rsidP="00B747AE" w:rsidRDefault="007B0854" w14:paraId="7EBF297E" w14:textId="77777777">
      <w:pPr>
        <w:rPr>
          <w:color w:val="000000" w:themeColor="text1"/>
        </w:rPr>
      </w:pPr>
    </w:p>
    <w:bookmarkEnd w:id="1"/>
    <w:sectPr w:rsidRPr="00041AFD" w:rsidR="007B0854" w:rsidSect="005A79FE">
      <w:headerReference w:type="even" r:id="rId12"/>
      <w:headerReference w:type="default" r:id="rId13"/>
      <w:footerReference w:type="even" r:id="rId14"/>
      <w:footerReference w:type="default" r:id="rId15"/>
      <w:headerReference w:type="first" r:id="rId16"/>
      <w:footerReference w:type="first" r:id="rId17"/>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B103F" w:rsidRDefault="000B103F" w14:paraId="48FC69F9" w14:textId="77777777">
      <w:r>
        <w:separator/>
      </w:r>
    </w:p>
  </w:endnote>
  <w:endnote w:type="continuationSeparator" w:id="0">
    <w:p w:rsidR="000B103F" w:rsidRDefault="000B103F" w14:paraId="48FC69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Calibri">
    <w:altName w:val="Times New Roman"/>
    <w:charset w:val="00"/>
    <w:family w:val="roman"/>
    <w:pitch w:val="default"/>
  </w:font>
  <w:font w:name="Arial,Times New Roman">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D7A" w:rsidRDefault="005B3D7A" w14:paraId="7E584B88"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6EF085C0">
      <w:drawing>
        <wp:inline wp14:editId="5D976353" wp14:anchorId="608B196D">
          <wp:extent cx="4241994" cy="595165"/>
          <wp:effectExtent l="0" t="0" r="6350" b="0"/>
          <wp:docPr id="403223115" name="Imagen 12" title=""/>
          <wp:cNvGraphicFramePr>
            <a:graphicFrameLocks noChangeAspect="1"/>
          </wp:cNvGraphicFramePr>
          <a:graphic>
            <a:graphicData uri="http://schemas.openxmlformats.org/drawingml/2006/picture">
              <pic:pic>
                <pic:nvPicPr>
                  <pic:cNvPr id="0" name="Imagen 12"/>
                  <pic:cNvPicPr/>
                </pic:nvPicPr>
                <pic:blipFill>
                  <a:blip r:embed="R95fbb10257814e4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D7A" w:rsidRDefault="005B3D7A" w14:paraId="1B28578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B103F" w:rsidRDefault="000B103F" w14:paraId="48FC69F7" w14:textId="77777777">
      <w:r>
        <w:separator/>
      </w:r>
    </w:p>
  </w:footnote>
  <w:footnote w:type="continuationSeparator" w:id="0">
    <w:p w:rsidR="000B103F" w:rsidRDefault="000B103F" w14:paraId="48FC69F8" w14:textId="77777777">
      <w:r>
        <w:continuationSeparator/>
      </w:r>
    </w:p>
  </w:footnote>
  <w:footnote w:id="1">
    <w:p w:rsidR="00B747AE" w:rsidP="00B747AE" w:rsidRDefault="00B747AE" w14:paraId="3543CF62"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rsidR="00B747AE" w:rsidP="00B747AE" w:rsidRDefault="00B747AE" w14:paraId="0577B88C" w14:textId="77777777">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B747AE" w14:paraId="6E5EE743" w14:textId="77777777">
        <w:trPr>
          <w:trHeight w:val="20"/>
          <w:jc w:val="center"/>
        </w:trPr>
        <w:tc>
          <w:tcPr>
            <w:tcW w:w="1560" w:type="dxa"/>
            <w:tcBorders>
              <w:top w:val="double" w:color="auto" w:sz="4" w:space="0"/>
              <w:left w:val="double" w:color="auto" w:sz="4" w:space="0"/>
              <w:bottom w:val="single" w:color="auto" w:sz="4" w:space="0"/>
              <w:right w:val="single" w:color="auto" w:sz="4" w:space="0"/>
            </w:tcBorders>
            <w:shd w:val="clear" w:color="auto" w:fill="404040" w:themeFill="text1" w:themeFillTint="BF"/>
            <w:vAlign w:val="center"/>
            <w:hideMark/>
          </w:tcPr>
          <w:p w:rsidR="00B747AE" w:rsidRDefault="00B747AE" w14:paraId="5CEF9372" w14:textId="77777777">
            <w:pPr>
              <w:spacing w:line="276" w:lineRule="auto"/>
              <w:jc w:val="center"/>
              <w:rPr>
                <w:rFonts w:cs="Arial"/>
                <w:b/>
                <w:bCs/>
                <w:color w:val="DBDBDB" w:themeColor="background1"/>
                <w:sz w:val="16"/>
                <w:szCs w:val="16"/>
                <w:lang w:val="es-CO"/>
              </w:rPr>
            </w:pPr>
            <w:bookmarkStart w:name="_Hlk511666058" w:id="3"/>
            <w:r>
              <w:rPr>
                <w:rFonts w:cs="Arial"/>
                <w:b/>
                <w:bCs/>
                <w:color w:val="DBDBDB" w:themeColor="background1"/>
                <w:sz w:val="16"/>
                <w:szCs w:val="16"/>
              </w:rPr>
              <w:t>Concepto</w:t>
            </w:r>
          </w:p>
        </w:tc>
        <w:tc>
          <w:tcPr>
            <w:tcW w:w="1984" w:type="dxa"/>
            <w:tcBorders>
              <w:top w:val="double" w:color="auto" w:sz="4" w:space="0"/>
              <w:left w:val="single" w:color="auto" w:sz="4" w:space="0"/>
              <w:bottom w:val="single" w:color="auto" w:sz="4" w:space="0"/>
              <w:right w:val="double" w:color="auto" w:sz="4" w:space="0"/>
            </w:tcBorders>
            <w:shd w:val="clear" w:color="auto" w:fill="404040" w:themeFill="text1" w:themeFillTint="BF"/>
            <w:vAlign w:val="center"/>
            <w:hideMark/>
          </w:tcPr>
          <w:p w:rsidR="00B747AE" w:rsidRDefault="00B747AE" w14:paraId="6DF86C48" w14:textId="77777777">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B747AE" w14:paraId="7021171E"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00B747AE" w:rsidRDefault="00B747AE" w14:paraId="49DADEC4" w14:textId="77777777">
            <w:pPr>
              <w:spacing w:line="276" w:lineRule="auto"/>
              <w:jc w:val="center"/>
              <w:rPr>
                <w:rFonts w:cs="Arial"/>
                <w:color w:val="3C3C3C" w:themeColor="background2" w:themeShade="40"/>
                <w:sz w:val="16"/>
                <w:szCs w:val="16"/>
                <w:lang w:val="es-ES"/>
              </w:rPr>
            </w:pPr>
            <w:r>
              <w:rPr>
                <w:rFonts w:cs="Arial"/>
                <w:sz w:val="16"/>
                <w:szCs w:val="16"/>
                <w:lang w:val="es-ES"/>
              </w:rPr>
              <w:t>1</w:t>
            </w:r>
          </w:p>
        </w:tc>
        <w:tc>
          <w:tcPr>
            <w:tcW w:w="1984" w:type="dxa"/>
            <w:tcBorders>
              <w:top w:val="single" w:color="auto" w:sz="4" w:space="0"/>
              <w:left w:val="single" w:color="auto" w:sz="4" w:space="0"/>
              <w:bottom w:val="single" w:color="auto" w:sz="4" w:space="0"/>
              <w:right w:val="double" w:color="auto" w:sz="4" w:space="0"/>
            </w:tcBorders>
            <w:vAlign w:val="center"/>
            <w:hideMark/>
          </w:tcPr>
          <w:p w:rsidR="00B747AE" w:rsidRDefault="00B747AE" w14:paraId="6CA0CE8E" w14:textId="77777777">
            <w:pPr>
              <w:spacing w:line="276" w:lineRule="auto"/>
              <w:jc w:val="center"/>
              <w:rPr>
                <w:rFonts w:cs="Arial"/>
                <w:sz w:val="16"/>
                <w:szCs w:val="16"/>
                <w:lang w:val="es-ES"/>
              </w:rPr>
            </w:pPr>
            <w:r>
              <w:rPr>
                <w:rFonts w:cs="Arial"/>
                <w:sz w:val="16"/>
                <w:szCs w:val="16"/>
                <w:lang w:val="es-ES"/>
              </w:rPr>
              <w:t>Mediana con valor absoluto</w:t>
            </w:r>
          </w:p>
        </w:tc>
      </w:tr>
      <w:tr w:rsidR="00B747AE" w14:paraId="229E7227"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00B747AE" w:rsidRDefault="00B747AE" w14:paraId="4080CBB7" w14:textId="77777777">
            <w:pPr>
              <w:spacing w:line="276" w:lineRule="auto"/>
              <w:jc w:val="center"/>
              <w:rPr>
                <w:rFonts w:cs="Arial"/>
                <w:sz w:val="16"/>
                <w:szCs w:val="16"/>
                <w:lang w:val="es-ES"/>
              </w:rPr>
            </w:pPr>
            <w:r>
              <w:rPr>
                <w:rFonts w:cs="Arial"/>
                <w:sz w:val="16"/>
                <w:szCs w:val="16"/>
                <w:lang w:val="es-ES"/>
              </w:rPr>
              <w:t>2</w:t>
            </w:r>
          </w:p>
        </w:tc>
        <w:tc>
          <w:tcPr>
            <w:tcW w:w="1984" w:type="dxa"/>
            <w:tcBorders>
              <w:top w:val="single" w:color="auto" w:sz="4" w:space="0"/>
              <w:left w:val="single" w:color="auto" w:sz="4" w:space="0"/>
              <w:bottom w:val="single" w:color="auto" w:sz="4" w:space="0"/>
              <w:right w:val="double" w:color="auto" w:sz="4" w:space="0"/>
            </w:tcBorders>
            <w:vAlign w:val="center"/>
            <w:hideMark/>
          </w:tcPr>
          <w:p w:rsidR="00B747AE" w:rsidRDefault="00B747AE" w14:paraId="28140206" w14:textId="77777777">
            <w:pPr>
              <w:spacing w:line="276" w:lineRule="auto"/>
              <w:jc w:val="center"/>
              <w:rPr>
                <w:rFonts w:cs="Arial"/>
                <w:sz w:val="16"/>
                <w:szCs w:val="16"/>
                <w:lang w:val="es-ES"/>
              </w:rPr>
            </w:pPr>
            <w:r>
              <w:rPr>
                <w:rFonts w:cs="Arial"/>
                <w:sz w:val="16"/>
                <w:szCs w:val="16"/>
                <w:lang w:val="es-ES"/>
              </w:rPr>
              <w:t>Media geométrica</w:t>
            </w:r>
          </w:p>
        </w:tc>
      </w:tr>
      <w:tr w:rsidR="00B747AE" w14:paraId="466BA068"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00B747AE" w:rsidRDefault="00B747AE" w14:paraId="338E1112" w14:textId="77777777">
            <w:pPr>
              <w:spacing w:line="276" w:lineRule="auto"/>
              <w:jc w:val="center"/>
              <w:rPr>
                <w:rFonts w:cs="Arial"/>
                <w:sz w:val="16"/>
                <w:szCs w:val="16"/>
                <w:lang w:val="es-ES"/>
              </w:rPr>
            </w:pPr>
            <w:r>
              <w:rPr>
                <w:rFonts w:cs="Arial"/>
                <w:sz w:val="16"/>
                <w:szCs w:val="16"/>
                <w:lang w:val="es-ES"/>
              </w:rPr>
              <w:t>3</w:t>
            </w:r>
          </w:p>
        </w:tc>
        <w:tc>
          <w:tcPr>
            <w:tcW w:w="1984" w:type="dxa"/>
            <w:tcBorders>
              <w:top w:val="single" w:color="auto" w:sz="4" w:space="0"/>
              <w:left w:val="single" w:color="auto" w:sz="4" w:space="0"/>
              <w:bottom w:val="single" w:color="auto" w:sz="4" w:space="0"/>
              <w:right w:val="double" w:color="auto" w:sz="4" w:space="0"/>
            </w:tcBorders>
            <w:vAlign w:val="center"/>
            <w:hideMark/>
          </w:tcPr>
          <w:p w:rsidR="00B747AE" w:rsidRDefault="00B747AE" w14:paraId="6C319D47" w14:textId="77777777">
            <w:pPr>
              <w:spacing w:line="276" w:lineRule="auto"/>
              <w:jc w:val="center"/>
              <w:rPr>
                <w:rFonts w:cs="Arial"/>
                <w:sz w:val="16"/>
                <w:szCs w:val="16"/>
                <w:lang w:val="es-ES"/>
              </w:rPr>
            </w:pPr>
            <w:r>
              <w:rPr>
                <w:rFonts w:cs="Arial"/>
                <w:sz w:val="16"/>
                <w:szCs w:val="16"/>
                <w:lang w:val="es-ES"/>
              </w:rPr>
              <w:t>Media aritmética baja</w:t>
            </w:r>
          </w:p>
        </w:tc>
      </w:tr>
      <w:tr w:rsidR="00B747AE" w14:paraId="23CD9C69" w14:textId="77777777">
        <w:trPr>
          <w:trHeight w:val="20"/>
          <w:jc w:val="center"/>
        </w:trPr>
        <w:tc>
          <w:tcPr>
            <w:tcW w:w="1560" w:type="dxa"/>
            <w:tcBorders>
              <w:top w:val="single" w:color="auto" w:sz="4" w:space="0"/>
              <w:left w:val="double" w:color="auto" w:sz="4" w:space="0"/>
              <w:bottom w:val="double" w:color="auto" w:sz="4" w:space="0"/>
              <w:right w:val="single" w:color="auto" w:sz="4" w:space="0"/>
            </w:tcBorders>
            <w:vAlign w:val="center"/>
            <w:hideMark/>
          </w:tcPr>
          <w:p w:rsidR="00B747AE" w:rsidRDefault="00B747AE" w14:paraId="29F59A1D" w14:textId="77777777">
            <w:pPr>
              <w:spacing w:line="276" w:lineRule="auto"/>
              <w:jc w:val="center"/>
              <w:rPr>
                <w:rFonts w:cs="Arial"/>
                <w:sz w:val="16"/>
                <w:szCs w:val="16"/>
                <w:lang w:val="es-ES"/>
              </w:rPr>
            </w:pPr>
            <w:r>
              <w:rPr>
                <w:rFonts w:cs="Arial"/>
                <w:sz w:val="16"/>
                <w:szCs w:val="16"/>
                <w:lang w:val="es-ES"/>
              </w:rPr>
              <w:t>4</w:t>
            </w:r>
          </w:p>
        </w:tc>
        <w:tc>
          <w:tcPr>
            <w:tcW w:w="1984" w:type="dxa"/>
            <w:tcBorders>
              <w:top w:val="single" w:color="auto" w:sz="4" w:space="0"/>
              <w:left w:val="single" w:color="auto" w:sz="4" w:space="0"/>
              <w:bottom w:val="double" w:color="auto" w:sz="4" w:space="0"/>
              <w:right w:val="double" w:color="auto" w:sz="4" w:space="0"/>
            </w:tcBorders>
            <w:vAlign w:val="center"/>
            <w:hideMark/>
          </w:tcPr>
          <w:p w:rsidR="00B747AE" w:rsidRDefault="00B747AE" w14:paraId="4E260654" w14:textId="77777777">
            <w:pPr>
              <w:spacing w:line="276" w:lineRule="auto"/>
              <w:jc w:val="center"/>
              <w:rPr>
                <w:rFonts w:cs="Arial"/>
                <w:sz w:val="16"/>
                <w:szCs w:val="16"/>
                <w:lang w:val="es-ES"/>
              </w:rPr>
            </w:pPr>
            <w:r>
              <w:rPr>
                <w:rFonts w:cs="Arial"/>
                <w:sz w:val="16"/>
                <w:szCs w:val="16"/>
                <w:lang w:val="es-ES"/>
              </w:rPr>
              <w:t>Menor Valor</w:t>
            </w:r>
          </w:p>
        </w:tc>
        <w:bookmarkEnd w:id="3"/>
      </w:tr>
    </w:tbl>
    <w:p w:rsidR="00B747AE" w:rsidP="00B747AE" w:rsidRDefault="00B747AE" w14:paraId="21F61E18" w14:textId="77777777">
      <w:pPr>
        <w:pStyle w:val="Textonotapie"/>
        <w:jc w:val="both"/>
        <w:rPr>
          <w:rFonts w:ascii="Arial" w:hAnsi="Arial" w:cs="Arial"/>
          <w:sz w:val="19"/>
          <w:szCs w:val="19"/>
        </w:rPr>
      </w:pPr>
    </w:p>
    <w:p w:rsidR="00B747AE" w:rsidP="00B747AE" w:rsidRDefault="00B747AE" w14:paraId="79ED502A" w14:textId="77777777">
      <w:pPr>
        <w:pStyle w:val="Textonotapie"/>
        <w:jc w:val="both"/>
        <w:rPr>
          <w:rFonts w:ascii="Arial" w:hAnsi="Arial" w:cs="Arial"/>
          <w:sz w:val="19"/>
          <w:szCs w:val="19"/>
        </w:rPr>
      </w:pPr>
      <w:r>
        <w:rPr>
          <w:rFonts w:ascii="Arial" w:hAnsi="Arial" w:cs="Arial"/>
          <w:sz w:val="19"/>
          <w:szCs w:val="19"/>
        </w:rPr>
        <w:t xml:space="preserve"> </w:t>
      </w:r>
      <w:r>
        <w:rPr>
          <w:rFonts w:ascii="Arial" w:hAnsi="Arial" w:cs="Arial"/>
          <w:sz w:val="19"/>
          <w:szCs w:val="19"/>
        </w:rPr>
        <w:tab/>
      </w:r>
      <w:r>
        <w:rPr>
          <w:rFonts w:ascii="Arial" w:hAnsi="Arial" w:cs="Arial"/>
          <w:sz w:val="19"/>
          <w:szCs w:val="19"/>
        </w:rPr>
        <w:t>»Para determinar el método de ponderación, la Entidad tomará los centavos de la Tasa de Cambio Representativa del Mercado (TRM), certificada por la Superintendencia Financiera de Colombia (en su sitio web: https://www.superfinanciera.gov.co/publicacion/60819)».</w:t>
      </w:r>
    </w:p>
    <w:p w:rsidR="00B747AE" w:rsidP="00B747AE" w:rsidRDefault="00B747AE" w14:paraId="2029461C" w14:textId="77777777">
      <w:pPr>
        <w:pStyle w:val="Textonotapie"/>
        <w:jc w:val="both"/>
        <w:rPr>
          <w:rFonts w:ascii="Arial" w:hAnsi="Arial" w:cs="Arial"/>
          <w:sz w:val="19"/>
          <w:szCs w:val="19"/>
        </w:rPr>
      </w:pPr>
    </w:p>
  </w:footnote>
  <w:footnote w:id="2">
    <w:p w:rsidR="00B747AE" w:rsidP="00B747AE" w:rsidRDefault="00B747AE" w14:paraId="6A73548B"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estudio incluyó 6 fórmulas: Media aritmética alta, Media Aritmética Baja, Media Geométrica con Presupuesto Oficial, Mediana con Valor Absoluto, Mediana y Menor Valor.</w:t>
      </w:r>
    </w:p>
    <w:p w:rsidR="00B747AE" w:rsidP="00B747AE" w:rsidRDefault="00B747AE" w14:paraId="657F576C" w14:textId="77777777">
      <w:pPr>
        <w:pStyle w:val="Textonotapie"/>
        <w:ind w:firstLine="708"/>
        <w:jc w:val="both"/>
        <w:rPr>
          <w:rFonts w:ascii="Arial" w:hAnsi="Arial" w:cs="Arial"/>
          <w:sz w:val="19"/>
          <w:szCs w:val="19"/>
          <w:lang w:val="es-ES"/>
        </w:rPr>
      </w:pPr>
    </w:p>
  </w:footnote>
  <w:footnote w:id="3">
    <w:p w:rsidR="00B747AE" w:rsidP="00B747AE" w:rsidRDefault="00B747AE" w14:paraId="6149BEE5"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SIC, Guía Práctica para combatir acuerdos colusorios en procesos de contratación estatal. Disponible en: http://www.sic.gov.co/sites/default/files/files/Nuestra_Entidad/Publicaciones/Guia_practica_acuerdos_colusorios_25_01_2016.pdf</w:t>
      </w:r>
    </w:p>
    <w:p w:rsidR="00B747AE" w:rsidP="00B747AE" w:rsidRDefault="00B747AE" w14:paraId="652D5046" w14:textId="77777777">
      <w:pPr>
        <w:pStyle w:val="Textonotapie"/>
        <w:ind w:firstLine="708"/>
        <w:jc w:val="both"/>
        <w:rPr>
          <w:rFonts w:ascii="Arial" w:hAnsi="Arial" w:cs="Arial"/>
          <w:sz w:val="19"/>
          <w:szCs w:val="19"/>
        </w:rPr>
      </w:pPr>
    </w:p>
  </w:footnote>
  <w:footnote w:id="4">
    <w:p w:rsidR="00B747AE" w:rsidP="00B747AE" w:rsidRDefault="00B747AE" w14:paraId="166D7BA7"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CCE, Guía de competencia en las compras públicas. Disponible en: https://www.colombiacompra.gov.co/sites/cce_public/files/cce_documents/cce_guia_competencia.pdf</w:t>
      </w:r>
    </w:p>
    <w:p w:rsidR="00B747AE" w:rsidP="00B747AE" w:rsidRDefault="00B747AE" w14:paraId="012D7091" w14:textId="77777777">
      <w:pPr>
        <w:pStyle w:val="Textonotapie"/>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D7A" w:rsidRDefault="005B3D7A" w14:paraId="69080ABF"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EF085C0">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B3D7A" w:rsidRDefault="005B3D7A" w14:paraId="416ADD48"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9C6709D"/>
    <w:multiLevelType w:val="hybridMultilevel"/>
    <w:tmpl w:val="1FDA541E"/>
    <w:lvl w:ilvl="0" w:tplc="5A0C052C">
      <w:start w:val="1"/>
      <w:numFmt w:val="bullet"/>
      <w:lvlText w:val=""/>
      <w:lvlJc w:val="left"/>
      <w:pPr>
        <w:ind w:left="720" w:hanging="360"/>
      </w:pPr>
      <w:rPr>
        <w:rFonts w:hint="default" w:ascii="Symbol" w:hAnsi="Symbol"/>
      </w:rPr>
    </w:lvl>
    <w:lvl w:ilvl="1" w:tplc="C2862920">
      <w:start w:val="1"/>
      <w:numFmt w:val="bullet"/>
      <w:lvlText w:val="o"/>
      <w:lvlJc w:val="left"/>
      <w:pPr>
        <w:ind w:left="1440" w:hanging="360"/>
      </w:pPr>
      <w:rPr>
        <w:rFonts w:hint="default" w:ascii="Courier New" w:hAnsi="Courier New"/>
      </w:rPr>
    </w:lvl>
    <w:lvl w:ilvl="2" w:tplc="15F82430">
      <w:start w:val="1"/>
      <w:numFmt w:val="bullet"/>
      <w:lvlText w:val=""/>
      <w:lvlJc w:val="left"/>
      <w:pPr>
        <w:ind w:left="2160" w:hanging="360"/>
      </w:pPr>
      <w:rPr>
        <w:rFonts w:hint="default" w:ascii="Wingdings" w:hAnsi="Wingdings"/>
      </w:rPr>
    </w:lvl>
    <w:lvl w:ilvl="3" w:tplc="A0823E82">
      <w:start w:val="1"/>
      <w:numFmt w:val="bullet"/>
      <w:lvlText w:val=""/>
      <w:lvlJc w:val="left"/>
      <w:pPr>
        <w:ind w:left="2880" w:hanging="360"/>
      </w:pPr>
      <w:rPr>
        <w:rFonts w:hint="default" w:ascii="Symbol" w:hAnsi="Symbol"/>
      </w:rPr>
    </w:lvl>
    <w:lvl w:ilvl="4" w:tplc="4A46BDF6">
      <w:start w:val="1"/>
      <w:numFmt w:val="bullet"/>
      <w:lvlText w:val="o"/>
      <w:lvlJc w:val="left"/>
      <w:pPr>
        <w:ind w:left="3600" w:hanging="360"/>
      </w:pPr>
      <w:rPr>
        <w:rFonts w:hint="default" w:ascii="Courier New" w:hAnsi="Courier New"/>
      </w:rPr>
    </w:lvl>
    <w:lvl w:ilvl="5" w:tplc="28FE1CAE">
      <w:start w:val="1"/>
      <w:numFmt w:val="bullet"/>
      <w:lvlText w:val=""/>
      <w:lvlJc w:val="left"/>
      <w:pPr>
        <w:ind w:left="4320" w:hanging="360"/>
      </w:pPr>
      <w:rPr>
        <w:rFonts w:hint="default" w:ascii="Wingdings" w:hAnsi="Wingdings"/>
      </w:rPr>
    </w:lvl>
    <w:lvl w:ilvl="6" w:tplc="C5E42D50">
      <w:start w:val="1"/>
      <w:numFmt w:val="bullet"/>
      <w:lvlText w:val=""/>
      <w:lvlJc w:val="left"/>
      <w:pPr>
        <w:ind w:left="5040" w:hanging="360"/>
      </w:pPr>
      <w:rPr>
        <w:rFonts w:hint="default" w:ascii="Symbol" w:hAnsi="Symbol"/>
      </w:rPr>
    </w:lvl>
    <w:lvl w:ilvl="7" w:tplc="E168116C">
      <w:start w:val="1"/>
      <w:numFmt w:val="bullet"/>
      <w:lvlText w:val="o"/>
      <w:lvlJc w:val="left"/>
      <w:pPr>
        <w:ind w:left="5760" w:hanging="360"/>
      </w:pPr>
      <w:rPr>
        <w:rFonts w:hint="default" w:ascii="Courier New" w:hAnsi="Courier New"/>
      </w:rPr>
    </w:lvl>
    <w:lvl w:ilvl="8" w:tplc="C8865674">
      <w:start w:val="1"/>
      <w:numFmt w:val="bullet"/>
      <w:lvlText w:val=""/>
      <w:lvlJc w:val="left"/>
      <w:pPr>
        <w:ind w:left="6480" w:hanging="360"/>
      </w:pPr>
      <w:rPr>
        <w:rFonts w:hint="default" w:ascii="Wingdings" w:hAnsi="Wingdings"/>
      </w:r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41AFD"/>
    <w:rsid w:val="00042A0C"/>
    <w:rsid w:val="000942EB"/>
    <w:rsid w:val="000A41AD"/>
    <w:rsid w:val="000B103F"/>
    <w:rsid w:val="000C75F9"/>
    <w:rsid w:val="000F14E8"/>
    <w:rsid w:val="00103915"/>
    <w:rsid w:val="00116948"/>
    <w:rsid w:val="00122B23"/>
    <w:rsid w:val="00137FFA"/>
    <w:rsid w:val="0014334D"/>
    <w:rsid w:val="00164B3C"/>
    <w:rsid w:val="001A0C50"/>
    <w:rsid w:val="001E7CB7"/>
    <w:rsid w:val="00234B84"/>
    <w:rsid w:val="00297282"/>
    <w:rsid w:val="002A7810"/>
    <w:rsid w:val="003033BA"/>
    <w:rsid w:val="003156ED"/>
    <w:rsid w:val="0034680A"/>
    <w:rsid w:val="00386456"/>
    <w:rsid w:val="003954B8"/>
    <w:rsid w:val="003A581E"/>
    <w:rsid w:val="004422D6"/>
    <w:rsid w:val="004A34D2"/>
    <w:rsid w:val="004B4530"/>
    <w:rsid w:val="0051074C"/>
    <w:rsid w:val="00513AF2"/>
    <w:rsid w:val="0054413A"/>
    <w:rsid w:val="005564CA"/>
    <w:rsid w:val="00560929"/>
    <w:rsid w:val="005A79FE"/>
    <w:rsid w:val="005B3D7A"/>
    <w:rsid w:val="00604392"/>
    <w:rsid w:val="006150D8"/>
    <w:rsid w:val="0061612F"/>
    <w:rsid w:val="006429C5"/>
    <w:rsid w:val="00655371"/>
    <w:rsid w:val="00661373"/>
    <w:rsid w:val="006846FB"/>
    <w:rsid w:val="00697665"/>
    <w:rsid w:val="006A7FD0"/>
    <w:rsid w:val="006D7687"/>
    <w:rsid w:val="006E0572"/>
    <w:rsid w:val="006E1061"/>
    <w:rsid w:val="00705631"/>
    <w:rsid w:val="00736F27"/>
    <w:rsid w:val="00742DD2"/>
    <w:rsid w:val="00743256"/>
    <w:rsid w:val="0075647A"/>
    <w:rsid w:val="007634AD"/>
    <w:rsid w:val="00770CF5"/>
    <w:rsid w:val="0078122E"/>
    <w:rsid w:val="007B0854"/>
    <w:rsid w:val="007F72CB"/>
    <w:rsid w:val="0083119B"/>
    <w:rsid w:val="00836EAB"/>
    <w:rsid w:val="0085092D"/>
    <w:rsid w:val="008E1C15"/>
    <w:rsid w:val="00901D1F"/>
    <w:rsid w:val="009047C5"/>
    <w:rsid w:val="009509E2"/>
    <w:rsid w:val="0095385A"/>
    <w:rsid w:val="00991FC9"/>
    <w:rsid w:val="009B389F"/>
    <w:rsid w:val="009E7FE0"/>
    <w:rsid w:val="009F2C95"/>
    <w:rsid w:val="00A07AC4"/>
    <w:rsid w:val="00A24560"/>
    <w:rsid w:val="00A34538"/>
    <w:rsid w:val="00AA442B"/>
    <w:rsid w:val="00AD1AEB"/>
    <w:rsid w:val="00AD7B91"/>
    <w:rsid w:val="00AF20DD"/>
    <w:rsid w:val="00B22E22"/>
    <w:rsid w:val="00B525CB"/>
    <w:rsid w:val="00B63CB2"/>
    <w:rsid w:val="00B747AE"/>
    <w:rsid w:val="00BD78FE"/>
    <w:rsid w:val="00C3123A"/>
    <w:rsid w:val="00C74AA1"/>
    <w:rsid w:val="00C971F3"/>
    <w:rsid w:val="00CA287E"/>
    <w:rsid w:val="00CC00CD"/>
    <w:rsid w:val="00CE343A"/>
    <w:rsid w:val="00D16E39"/>
    <w:rsid w:val="00D72E9D"/>
    <w:rsid w:val="00D82CE5"/>
    <w:rsid w:val="00D91B81"/>
    <w:rsid w:val="00DA5AB1"/>
    <w:rsid w:val="00DC62E5"/>
    <w:rsid w:val="00DD6EA8"/>
    <w:rsid w:val="00DD735D"/>
    <w:rsid w:val="00DE3119"/>
    <w:rsid w:val="00DF236B"/>
    <w:rsid w:val="00E13AB8"/>
    <w:rsid w:val="00E33B62"/>
    <w:rsid w:val="00EF1499"/>
    <w:rsid w:val="00F37A17"/>
    <w:rsid w:val="00F64E97"/>
    <w:rsid w:val="00F84899"/>
    <w:rsid w:val="00F859F0"/>
    <w:rsid w:val="00FC43D5"/>
    <w:rsid w:val="00FE1261"/>
    <w:rsid w:val="00FE141E"/>
    <w:rsid w:val="18980AAB"/>
    <w:rsid w:val="4A9C3136"/>
    <w:rsid w:val="4B332AF5"/>
    <w:rsid w:val="6EF085C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Mencinsinresolver">
    <w:name w:val="Unresolved Mention"/>
    <w:basedOn w:val="Fuentedeprrafopredeter"/>
    <w:uiPriority w:val="99"/>
    <w:semiHidden/>
    <w:unhideWhenUsed/>
    <w:rsid w:val="00743256"/>
    <w:rPr>
      <w:color w:val="605E5C"/>
      <w:shd w:val="clear" w:color="auto" w:fill="E1DFDD"/>
    </w:rPr>
  </w:style>
  <w:style w:type="paragraph" w:styleId="Default" w:customStyle="1">
    <w:name w:val="Default"/>
    <w:rsid w:val="006E106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76424521">
      <w:bodyDiv w:val="1"/>
      <w:marLeft w:val="0"/>
      <w:marRight w:val="0"/>
      <w:marTop w:val="0"/>
      <w:marBottom w:val="0"/>
      <w:divBdr>
        <w:top w:val="none" w:sz="0" w:space="0" w:color="auto"/>
        <w:left w:val="none" w:sz="0" w:space="0" w:color="auto"/>
        <w:bottom w:val="none" w:sz="0" w:space="0" w:color="auto"/>
        <w:right w:val="none" w:sz="0" w:space="0" w:color="auto"/>
      </w:divBdr>
    </w:div>
    <w:div w:id="974330429">
      <w:bodyDiv w:val="1"/>
      <w:marLeft w:val="0"/>
      <w:marRight w:val="0"/>
      <w:marTop w:val="0"/>
      <w:marBottom w:val="0"/>
      <w:divBdr>
        <w:top w:val="none" w:sz="0" w:space="0" w:color="auto"/>
        <w:left w:val="none" w:sz="0" w:space="0" w:color="auto"/>
        <w:bottom w:val="none" w:sz="0" w:space="0" w:color="auto"/>
        <w:right w:val="none" w:sz="0" w:space="0" w:color="auto"/>
      </w:divBdr>
    </w:div>
    <w:div w:id="197128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80e64b2641e14750" /></Relationships>
</file>

<file path=word/_rels/footer2.xml.rels>&#65279;<?xml version="1.0" encoding="utf-8"?><Relationships xmlns="http://schemas.openxmlformats.org/package/2006/relationships"><Relationship Type="http://schemas.openxmlformats.org/officeDocument/2006/relationships/image" Target="/media/image5.png" Id="R95fbb10257814e4c"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DCD02-28AF-4D4E-8312-34AF2BB5009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AD4EE190-27B8-4045-A69F-9803AC592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D3201E5-89E7-420C-9CA5-729C1AAC798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2020-04-22T03:53:00.0000000Z</dcterms:created>
  <dcterms:modified xsi:type="dcterms:W3CDTF">2020-07-23T22:09:15.8952943Z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