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DA04B" w14:textId="760D339E" w:rsidR="00462864" w:rsidRPr="005B27CC" w:rsidRDefault="00462864" w:rsidP="00462864">
      <w:pPr>
        <w:spacing w:after="0" w:line="240" w:lineRule="auto"/>
        <w:jc w:val="right"/>
        <w:rPr>
          <w:rFonts w:ascii="Arial" w:eastAsia="Calibri" w:hAnsi="Arial" w:cs="Arial"/>
          <w:b/>
          <w:szCs w:val="24"/>
          <w:lang w:val="es-ES_tradnl" w:eastAsia="es-ES_tradnl"/>
        </w:rPr>
      </w:pPr>
      <w:r w:rsidRPr="005B27CC">
        <w:rPr>
          <w:rFonts w:ascii="Arial" w:hAnsi="Arial" w:cs="Arial"/>
          <w:b/>
          <w:sz w:val="16"/>
          <w:szCs w:val="16"/>
          <w:lang w:eastAsia="es-ES"/>
        </w:rPr>
        <w:t>CCE-DES-FM-17</w:t>
      </w:r>
    </w:p>
    <w:p w14:paraId="019FE7B1" w14:textId="77777777" w:rsidR="00462864" w:rsidRPr="005B27CC" w:rsidRDefault="00462864" w:rsidP="003C4C74">
      <w:pPr>
        <w:spacing w:after="0" w:line="240" w:lineRule="auto"/>
        <w:jc w:val="both"/>
        <w:rPr>
          <w:rFonts w:ascii="Arial" w:eastAsia="Calibri" w:hAnsi="Arial" w:cs="Arial"/>
          <w:b/>
          <w:szCs w:val="24"/>
          <w:lang w:val="es-ES_tradnl" w:eastAsia="es-ES_tradnl"/>
        </w:rPr>
      </w:pPr>
    </w:p>
    <w:p w14:paraId="7FE8F267" w14:textId="78C03AE2" w:rsidR="004F74AA" w:rsidRPr="005B27CC" w:rsidRDefault="004F74AA" w:rsidP="005B27CC">
      <w:pPr>
        <w:spacing w:after="0" w:line="240" w:lineRule="auto"/>
        <w:jc w:val="both"/>
        <w:rPr>
          <w:rFonts w:ascii="Arial" w:eastAsia="Calibri" w:hAnsi="Arial" w:cs="Arial"/>
          <w:b/>
          <w:szCs w:val="24"/>
          <w:lang w:val="es-ES_tradnl" w:eastAsia="es-ES_tradnl"/>
        </w:rPr>
      </w:pPr>
      <w:r w:rsidRPr="005B27CC">
        <w:rPr>
          <w:rFonts w:ascii="Arial" w:eastAsia="Calibri" w:hAnsi="Arial" w:cs="Arial"/>
          <w:b/>
          <w:szCs w:val="24"/>
          <w:lang w:val="es-ES_tradnl" w:eastAsia="es-ES_tradnl"/>
        </w:rPr>
        <w:t xml:space="preserve">DOCUMENTOS TIPO </w:t>
      </w:r>
      <w:r w:rsidRPr="005B27CC">
        <w:rPr>
          <w:rFonts w:ascii="Arial" w:eastAsia="Calibri" w:hAnsi="Arial" w:cs="Arial"/>
          <w:b/>
          <w:color w:val="000000"/>
          <w:szCs w:val="24"/>
          <w:lang w:val="es-ES_tradnl" w:eastAsia="es-ES_tradnl"/>
        </w:rPr>
        <w:t>–</w:t>
      </w:r>
      <w:r w:rsidRPr="005B27CC">
        <w:rPr>
          <w:rFonts w:ascii="Arial" w:eastAsia="Calibri" w:hAnsi="Arial" w:cs="Arial"/>
          <w:b/>
          <w:szCs w:val="24"/>
          <w:lang w:val="es-ES_tradnl" w:eastAsia="es-ES_tradnl"/>
        </w:rPr>
        <w:t xml:space="preserve"> Fundamento normativo </w:t>
      </w:r>
      <w:r w:rsidRPr="005B27CC">
        <w:rPr>
          <w:rFonts w:ascii="Arial" w:eastAsia="Calibri" w:hAnsi="Arial" w:cs="Arial"/>
          <w:b/>
          <w:color w:val="000000"/>
          <w:szCs w:val="24"/>
          <w:lang w:val="es-ES_tradnl" w:eastAsia="es-ES_tradnl"/>
        </w:rPr>
        <w:t xml:space="preserve">– </w:t>
      </w:r>
      <w:r w:rsidRPr="005B27CC">
        <w:rPr>
          <w:rFonts w:ascii="Arial" w:eastAsia="Calibri" w:hAnsi="Arial" w:cs="Arial"/>
          <w:b/>
          <w:szCs w:val="24"/>
          <w:lang w:val="es-ES_tradnl" w:eastAsia="es-ES_tradnl"/>
        </w:rPr>
        <w:t>Ley 2022 de 2020</w:t>
      </w:r>
    </w:p>
    <w:p w14:paraId="26A84A09" w14:textId="77777777" w:rsidR="004F74AA" w:rsidRPr="005B27CC" w:rsidRDefault="004F74AA" w:rsidP="005B27CC">
      <w:pPr>
        <w:spacing w:after="0" w:line="240" w:lineRule="auto"/>
        <w:jc w:val="both"/>
        <w:rPr>
          <w:rFonts w:ascii="Arial" w:eastAsia="Calibri" w:hAnsi="Arial" w:cs="Arial"/>
          <w:b/>
          <w:szCs w:val="24"/>
          <w:lang w:val="es-ES_tradnl" w:eastAsia="es-ES_tradnl"/>
        </w:rPr>
      </w:pPr>
    </w:p>
    <w:p w14:paraId="212D1569" w14:textId="1713B4D8" w:rsidR="004F74AA" w:rsidRPr="005B27CC" w:rsidRDefault="004F74AA" w:rsidP="005B27CC">
      <w:pPr>
        <w:spacing w:after="0" w:line="240" w:lineRule="auto"/>
        <w:jc w:val="both"/>
        <w:rPr>
          <w:rFonts w:ascii="Arial" w:eastAsia="Calibri" w:hAnsi="Arial" w:cs="Arial"/>
          <w:color w:val="000000"/>
          <w:sz w:val="20"/>
          <w:szCs w:val="20"/>
          <w:lang w:val="es-ES" w:eastAsia="es-ES"/>
        </w:rPr>
      </w:pPr>
      <w:r w:rsidRPr="005B27CC">
        <w:rPr>
          <w:rFonts w:ascii="Arial" w:eastAsia="Calibri" w:hAnsi="Arial" w:cs="Arial"/>
          <w:color w:val="000000"/>
          <w:sz w:val="20"/>
          <w:szCs w:val="20"/>
          <w:lang w:val="es-ES" w:eastAsia="es-ES"/>
        </w:rPr>
        <w:t xml:space="preserve">[…] </w:t>
      </w:r>
      <w:r w:rsidR="007813EE" w:rsidRPr="007813EE">
        <w:rPr>
          <w:rFonts w:ascii="Arial" w:eastAsia="Calibri" w:hAnsi="Arial" w:cs="Arial"/>
          <w:color w:val="000000"/>
          <w:sz w:val="20"/>
          <w:szCs w:val="20"/>
          <w:lang w:val="es-ES" w:eastAsia="es-ES"/>
        </w:rPr>
        <w:t xml:space="preserve">Sin embargo, 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pues antes se señalaba al Gobierno Nacional y ahora la entidad encargada directamente por la Ley es la Agencia Nacional de Contratación Pública – Colombia Compra Eficiente– o quien haga sus veces; </w:t>
      </w:r>
      <w:proofErr w:type="spellStart"/>
      <w:r w:rsidR="007813EE" w:rsidRPr="007813EE">
        <w:rPr>
          <w:rFonts w:ascii="Arial" w:eastAsia="Calibri" w:hAnsi="Arial" w:cs="Arial"/>
          <w:color w:val="000000"/>
          <w:sz w:val="20"/>
          <w:szCs w:val="20"/>
          <w:lang w:val="es-ES" w:eastAsia="es-ES"/>
        </w:rPr>
        <w:t>ii</w:t>
      </w:r>
      <w:proofErr w:type="spellEnd"/>
      <w:r w:rsidR="007813EE" w:rsidRPr="007813EE">
        <w:rPr>
          <w:rFonts w:ascii="Arial" w:eastAsia="Calibri" w:hAnsi="Arial" w:cs="Arial"/>
          <w:color w:val="000000"/>
          <w:sz w:val="20"/>
          <w:szCs w:val="20"/>
          <w:lang w:val="es-ES" w:eastAsia="es-ES"/>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007813EE" w:rsidRPr="007813EE">
        <w:rPr>
          <w:rFonts w:ascii="Arial" w:eastAsia="Calibri" w:hAnsi="Arial" w:cs="Arial"/>
          <w:color w:val="000000"/>
          <w:sz w:val="20"/>
          <w:szCs w:val="20"/>
          <w:lang w:val="es-ES" w:eastAsia="es-ES"/>
        </w:rPr>
        <w:t>iii</w:t>
      </w:r>
      <w:proofErr w:type="spellEnd"/>
      <w:r w:rsidR="007813EE" w:rsidRPr="007813EE">
        <w:rPr>
          <w:rFonts w:ascii="Arial" w:eastAsia="Calibri" w:hAnsi="Arial" w:cs="Arial"/>
          <w:color w:val="000000"/>
          <w:sz w:val="20"/>
          <w:szCs w:val="20"/>
          <w:lang w:val="es-ES" w:eastAsia="es-ES"/>
        </w:rPr>
        <w:t xml:space="preserve">) la implementación de procesos de capacitación en los municipios para la utilización de los documentos tipo buscando el desarrollo de la economía local; y </w:t>
      </w:r>
      <w:proofErr w:type="spellStart"/>
      <w:r w:rsidR="007813EE" w:rsidRPr="007813EE">
        <w:rPr>
          <w:rFonts w:ascii="Arial" w:eastAsia="Calibri" w:hAnsi="Arial" w:cs="Arial"/>
          <w:color w:val="000000"/>
          <w:sz w:val="20"/>
          <w:szCs w:val="20"/>
          <w:lang w:val="es-ES" w:eastAsia="es-ES"/>
        </w:rPr>
        <w:t>iv</w:t>
      </w:r>
      <w:proofErr w:type="spellEnd"/>
      <w:r w:rsidR="007813EE" w:rsidRPr="007813EE">
        <w:rPr>
          <w:rFonts w:ascii="Arial" w:eastAsia="Calibri" w:hAnsi="Arial" w:cs="Arial"/>
          <w:color w:val="000000"/>
          <w:sz w:val="20"/>
          <w:szCs w:val="20"/>
          <w:lang w:val="es-ES" w:eastAsia="es-ES"/>
        </w:rPr>
        <w:t>)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5B27CC">
        <w:rPr>
          <w:rFonts w:ascii="Arial" w:eastAsia="Calibri" w:hAnsi="Arial" w:cs="Arial"/>
          <w:color w:val="000000"/>
          <w:sz w:val="20"/>
          <w:szCs w:val="20"/>
          <w:lang w:val="es-ES" w:eastAsia="es-ES"/>
        </w:rPr>
        <w:t>».</w:t>
      </w:r>
    </w:p>
    <w:p w14:paraId="3D37308E" w14:textId="77777777" w:rsidR="004F74AA" w:rsidRPr="005B27CC" w:rsidRDefault="004F74AA" w:rsidP="005B27CC">
      <w:pPr>
        <w:spacing w:after="0" w:line="240" w:lineRule="auto"/>
        <w:jc w:val="both"/>
        <w:rPr>
          <w:rFonts w:ascii="Arial" w:eastAsia="Arial" w:hAnsi="Arial" w:cs="Arial"/>
          <w:b/>
          <w:bCs/>
          <w:color w:val="000000"/>
          <w:lang w:val="es-ES_tradnl"/>
        </w:rPr>
      </w:pPr>
    </w:p>
    <w:p w14:paraId="695F5B21" w14:textId="0672B03D" w:rsidR="003C4C74" w:rsidRPr="005B27CC" w:rsidRDefault="003C4C74" w:rsidP="005B27CC">
      <w:pPr>
        <w:shd w:val="clear" w:color="auto" w:fill="FFFFFF"/>
        <w:spacing w:after="0" w:line="276" w:lineRule="auto"/>
        <w:jc w:val="both"/>
        <w:rPr>
          <w:rFonts w:ascii="Arial" w:eastAsia="Calibri" w:hAnsi="Arial" w:cs="Arial"/>
          <w:b/>
          <w:color w:val="000000"/>
          <w:lang w:eastAsia="es-ES_tradnl"/>
        </w:rPr>
      </w:pPr>
      <w:r w:rsidRPr="005B27CC">
        <w:rPr>
          <w:rFonts w:ascii="Arial" w:eastAsia="Calibri" w:hAnsi="Arial" w:cs="Arial"/>
          <w:b/>
          <w:color w:val="000000"/>
          <w:lang w:eastAsia="es-ES_tradnl"/>
        </w:rPr>
        <w:t xml:space="preserve">DOCUMENTOS TIPO − </w:t>
      </w:r>
      <w:r w:rsidR="00D71F24" w:rsidRPr="005B27CC">
        <w:rPr>
          <w:rFonts w:ascii="Arial" w:eastAsia="Calibri" w:hAnsi="Arial" w:cs="Arial"/>
          <w:b/>
          <w:color w:val="000000"/>
          <w:lang w:eastAsia="es-ES_tradnl"/>
        </w:rPr>
        <w:t xml:space="preserve">Ámbito de aplicación − </w:t>
      </w:r>
      <w:r w:rsidR="00F34691" w:rsidRPr="005B27CC">
        <w:rPr>
          <w:rFonts w:ascii="Arial" w:eastAsia="Calibri" w:hAnsi="Arial" w:cs="Arial"/>
          <w:b/>
          <w:color w:val="000000"/>
          <w:lang w:eastAsia="es-ES_tradnl"/>
        </w:rPr>
        <w:t>«</w:t>
      </w:r>
      <w:r w:rsidRPr="005B27CC">
        <w:rPr>
          <w:rFonts w:ascii="Arial" w:eastAsia="Calibri" w:hAnsi="Arial" w:cs="Arial"/>
          <w:b/>
          <w:color w:val="000000"/>
          <w:lang w:eastAsia="es-ES_tradnl"/>
        </w:rPr>
        <w:t>Matriz 1 – Experiencia</w:t>
      </w:r>
      <w:r w:rsidR="00F34691" w:rsidRPr="005B27CC">
        <w:rPr>
          <w:rFonts w:ascii="Arial" w:eastAsia="Calibri" w:hAnsi="Arial" w:cs="Arial"/>
          <w:b/>
          <w:color w:val="000000"/>
          <w:lang w:eastAsia="es-ES_tradnl"/>
        </w:rPr>
        <w:t>»</w:t>
      </w:r>
      <w:r w:rsidRPr="005B27CC">
        <w:rPr>
          <w:rFonts w:ascii="Arial" w:eastAsia="Calibri" w:hAnsi="Arial" w:cs="Arial"/>
          <w:b/>
          <w:color w:val="000000"/>
          <w:lang w:eastAsia="es-ES_tradnl"/>
        </w:rPr>
        <w:t xml:space="preserve"> </w:t>
      </w:r>
    </w:p>
    <w:p w14:paraId="39FFDED1" w14:textId="77777777" w:rsidR="00D71F24" w:rsidRPr="005B27CC" w:rsidRDefault="00D71F24" w:rsidP="005B27CC">
      <w:pPr>
        <w:shd w:val="clear" w:color="auto" w:fill="FFFFFF"/>
        <w:spacing w:after="0" w:line="276" w:lineRule="auto"/>
        <w:jc w:val="both"/>
        <w:rPr>
          <w:rFonts w:ascii="Arial" w:eastAsia="Calibri" w:hAnsi="Arial" w:cs="Arial"/>
          <w:lang w:val="es-MX"/>
        </w:rPr>
      </w:pPr>
    </w:p>
    <w:p w14:paraId="054F7DFA" w14:textId="77777777" w:rsidR="00831D53" w:rsidRPr="00831D53" w:rsidRDefault="00831D53" w:rsidP="00831D53">
      <w:pPr>
        <w:spacing w:after="0" w:line="240" w:lineRule="auto"/>
        <w:jc w:val="both"/>
        <w:rPr>
          <w:rFonts w:ascii="Arial" w:eastAsia="Calibri" w:hAnsi="Arial" w:cs="Arial"/>
          <w:color w:val="0D0D0D"/>
          <w:sz w:val="20"/>
          <w:szCs w:val="20"/>
          <w:lang w:val="es-MX"/>
        </w:rPr>
      </w:pPr>
      <w:r>
        <w:rPr>
          <w:rFonts w:ascii="Arial" w:eastAsia="Calibri" w:hAnsi="Arial" w:cs="Arial"/>
          <w:color w:val="0D0D0D"/>
          <w:sz w:val="20"/>
          <w:szCs w:val="20"/>
          <w:lang w:val="es-MX"/>
        </w:rPr>
        <w:t xml:space="preserve">[…] </w:t>
      </w:r>
      <w:r w:rsidRPr="00831D53">
        <w:rPr>
          <w:rFonts w:ascii="Arial" w:eastAsia="Calibri" w:hAnsi="Arial" w:cs="Arial"/>
          <w:color w:val="0D0D0D"/>
          <w:sz w:val="20"/>
          <w:szCs w:val="20"/>
          <w:lang w:val="es-MX"/>
        </w:rPr>
        <w:t>uno de los elementos comunes a los diferentes documentos tipo es la «Matriz 1 – Experiencia». Esta consta de unas celdas en las que se describe la experiencia requerida en relación con el objeto a contratar, definiendo además qué tipo de actividades relacionadas con cada sector deben acogerse a los pliegos tipo. Por otro lado, encontramos el «Anexo 3 – Glosario», el cual contiene las definiciones de los términos usados en los documentos del proceso. Utilizando estos dos documentos, la entidad estatal puede definir si el objeto a contratarse debe emplear los documentos tipo adoptados por esta Agencia.</w:t>
      </w:r>
    </w:p>
    <w:p w14:paraId="73C55F31" w14:textId="77777777" w:rsidR="00831D53" w:rsidRDefault="00831D53" w:rsidP="00831D53">
      <w:pPr>
        <w:spacing w:after="0" w:line="240" w:lineRule="auto"/>
        <w:jc w:val="both"/>
        <w:rPr>
          <w:rFonts w:ascii="Arial" w:eastAsia="Calibri" w:hAnsi="Arial" w:cs="Arial"/>
          <w:color w:val="0D0D0D"/>
          <w:sz w:val="20"/>
          <w:szCs w:val="20"/>
          <w:lang w:val="es-MX"/>
        </w:rPr>
      </w:pPr>
    </w:p>
    <w:p w14:paraId="55A0819D" w14:textId="43A388D6" w:rsidR="00831D53" w:rsidRPr="00831D53" w:rsidRDefault="00831D53" w:rsidP="00831D53">
      <w:pPr>
        <w:spacing w:after="0" w:line="240" w:lineRule="auto"/>
        <w:jc w:val="both"/>
        <w:rPr>
          <w:rFonts w:ascii="Arial" w:eastAsia="Calibri" w:hAnsi="Arial" w:cs="Arial"/>
          <w:color w:val="0D0D0D"/>
          <w:sz w:val="20"/>
          <w:szCs w:val="20"/>
          <w:lang w:val="es-MX"/>
        </w:rPr>
      </w:pPr>
      <w:r w:rsidRPr="00831D53">
        <w:rPr>
          <w:rFonts w:ascii="Arial" w:eastAsia="Calibri" w:hAnsi="Arial" w:cs="Arial"/>
          <w:color w:val="0D0D0D"/>
          <w:sz w:val="20"/>
          <w:szCs w:val="20"/>
          <w:lang w:val="es-MX"/>
        </w:rPr>
        <w:t>Conforme a lo anterior, la Matriz 1,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74454AFD" w14:textId="77777777" w:rsidR="00831D53" w:rsidRDefault="00831D53" w:rsidP="00831D53">
      <w:pPr>
        <w:spacing w:after="0" w:line="240" w:lineRule="auto"/>
        <w:jc w:val="both"/>
        <w:rPr>
          <w:rFonts w:ascii="Arial" w:eastAsia="Calibri" w:hAnsi="Arial" w:cs="Arial"/>
          <w:color w:val="0D0D0D"/>
          <w:sz w:val="20"/>
          <w:szCs w:val="20"/>
          <w:lang w:val="es-MX"/>
        </w:rPr>
      </w:pPr>
    </w:p>
    <w:p w14:paraId="089F1150" w14:textId="75E1D8C1" w:rsidR="00F41B7F" w:rsidRPr="005B27CC" w:rsidRDefault="00831D53" w:rsidP="00831D53">
      <w:pPr>
        <w:spacing w:after="0" w:line="240" w:lineRule="auto"/>
        <w:jc w:val="both"/>
        <w:rPr>
          <w:rFonts w:ascii="Arial" w:eastAsia="Calibri" w:hAnsi="Arial" w:cs="Arial"/>
          <w:color w:val="0D0D0D"/>
          <w:sz w:val="20"/>
          <w:szCs w:val="20"/>
          <w:lang w:val="es-MX"/>
        </w:rPr>
      </w:pPr>
      <w:r w:rsidRPr="00831D53">
        <w:rPr>
          <w:rFonts w:ascii="Arial" w:eastAsia="Calibri" w:hAnsi="Arial" w:cs="Arial"/>
          <w:color w:val="0D0D0D"/>
          <w:sz w:val="20"/>
          <w:szCs w:val="20"/>
          <w:lang w:val="es-MX"/>
        </w:rPr>
        <w:t>De esta manera, para saber a qué actividades se deben aplicar los documentos tipo expedidos por esta Agencia, la entidad debe verificar los que se hayan expedido para la modalidad de selección en la que debe celebrarse el proceso, subsumiendo el objeto a contratar en los tipos de proyectos de infraestructura a contratarse. De esta manera, si el objeto contractual a ejecutar se encuadra materialmente dentro de alguno de los tipos actividades concretas señaladas en cada una de las matrices de experiencia, se tendrán que aplicar los documentos tipo, mientras que en el caso contrario no será forzosa su aplicación. En este sentido, en los documentos base de los documentos tipo, se indica que la entidad establecerá las condiciones de experiencia, tanto general como específica en las actividades que van a contratar. En este contexto, la entidad no podrá incluir condiciones distintas a las previstas en la matriz de experiencia y, por tanto, deberá transcribir textualmente lo indicado en ésta</w:t>
      </w:r>
      <w:r w:rsidR="00F41B7F" w:rsidRPr="005B27CC">
        <w:rPr>
          <w:rFonts w:ascii="Arial" w:eastAsia="Calibri" w:hAnsi="Arial" w:cs="Arial"/>
          <w:sz w:val="20"/>
          <w:szCs w:val="20"/>
          <w:lang w:val="es-MX"/>
        </w:rPr>
        <w:t>.</w:t>
      </w:r>
    </w:p>
    <w:p w14:paraId="493C6BFB" w14:textId="10CDD57A" w:rsidR="003C4C74" w:rsidRPr="005B27CC" w:rsidRDefault="003C4C74" w:rsidP="003C4C74">
      <w:pPr>
        <w:spacing w:after="0" w:line="276" w:lineRule="auto"/>
        <w:jc w:val="both"/>
        <w:rPr>
          <w:rFonts w:ascii="Arial" w:eastAsia="Calibri" w:hAnsi="Arial" w:cs="Arial"/>
          <w:color w:val="000000"/>
          <w:lang w:eastAsia="es-ES_tradnl"/>
        </w:rPr>
      </w:pPr>
      <w:r w:rsidRPr="005B27CC">
        <w:rPr>
          <w:rFonts w:ascii="Arial" w:eastAsia="Calibri" w:hAnsi="Arial" w:cs="Arial"/>
          <w:lang w:val="es-MX"/>
        </w:rPr>
        <w:tab/>
      </w:r>
    </w:p>
    <w:p w14:paraId="24CA8A68" w14:textId="77777777" w:rsidR="000138DD" w:rsidRDefault="000138DD">
      <w:pPr>
        <w:rPr>
          <w:rFonts w:ascii="Arial" w:hAnsi="Arial" w:cs="Arial"/>
        </w:rPr>
      </w:pPr>
      <w:r>
        <w:rPr>
          <w:rFonts w:ascii="Arial" w:hAnsi="Arial" w:cs="Arial"/>
        </w:rPr>
        <w:br w:type="page"/>
      </w:r>
    </w:p>
    <w:p w14:paraId="2EB846FA" w14:textId="30D0E30B" w:rsidR="00872198" w:rsidRDefault="00920995" w:rsidP="00641C7A">
      <w:pPr>
        <w:widowControl w:val="0"/>
        <w:spacing w:after="0"/>
        <w:rPr>
          <w:rFonts w:ascii="Arial" w:hAnsi="Arial" w:cs="Arial"/>
        </w:rPr>
      </w:pPr>
      <w:r w:rsidRPr="00920995">
        <w:rPr>
          <w:rFonts w:ascii="Arial" w:hAnsi="Arial" w:cs="Arial"/>
          <w:noProof/>
        </w:rPr>
        <w:lastRenderedPageBreak/>
        <w:drawing>
          <wp:anchor distT="0" distB="0" distL="114300" distR="114300" simplePos="0" relativeHeight="251660288" behindDoc="1" locked="0" layoutInCell="1" allowOverlap="1" wp14:anchorId="5A890189" wp14:editId="13B85B5D">
            <wp:simplePos x="0" y="0"/>
            <wp:positionH relativeFrom="margin">
              <wp:posOffset>3583172</wp:posOffset>
            </wp:positionH>
            <wp:positionV relativeFrom="paragraph">
              <wp:posOffset>-542453</wp:posOffset>
            </wp:positionV>
            <wp:extent cx="2222205" cy="552157"/>
            <wp:effectExtent l="0" t="0" r="6985" b="63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22205" cy="55215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03C996" w14:textId="77777777" w:rsidR="00872198" w:rsidRDefault="00872198" w:rsidP="00641C7A">
      <w:pPr>
        <w:widowControl w:val="0"/>
        <w:spacing w:after="0"/>
        <w:rPr>
          <w:rFonts w:ascii="Arial" w:hAnsi="Arial" w:cs="Arial"/>
        </w:rPr>
      </w:pPr>
    </w:p>
    <w:p w14:paraId="21AEB9DC" w14:textId="77777777" w:rsidR="00920995" w:rsidRDefault="00920995" w:rsidP="00641C7A">
      <w:pPr>
        <w:spacing w:after="0"/>
        <w:rPr>
          <w:rFonts w:ascii="ArialMT" w:eastAsia="ArialMT" w:cs="ArialMT"/>
          <w:color w:val="4E4D4D"/>
        </w:rPr>
      </w:pPr>
    </w:p>
    <w:p w14:paraId="5A4CE613" w14:textId="7A581F1E" w:rsidR="00F34691" w:rsidRPr="005B27CC" w:rsidRDefault="00920995" w:rsidP="00641C7A">
      <w:pPr>
        <w:spacing w:after="0"/>
        <w:rPr>
          <w:rFonts w:ascii="Arial" w:hAnsi="Arial" w:cs="Arial"/>
          <w:b/>
        </w:rPr>
      </w:pPr>
      <w:r>
        <w:rPr>
          <w:rFonts w:ascii="ArialMT" w:eastAsia="ArialMT" w:cs="ArialMT"/>
          <w:color w:val="4E4D4D"/>
        </w:rPr>
        <w:t>Bogot</w:t>
      </w:r>
      <w:r>
        <w:rPr>
          <w:rFonts w:ascii="ArialMT" w:eastAsia="ArialMT" w:cs="ArialMT" w:hint="eastAsia"/>
          <w:color w:val="4E4D4D"/>
        </w:rPr>
        <w:t>á</w:t>
      </w:r>
      <w:r>
        <w:rPr>
          <w:rFonts w:ascii="ArialMT" w:eastAsia="ArialMT" w:cs="ArialMT"/>
          <w:color w:val="4E4D4D"/>
        </w:rPr>
        <w:t>, 29 Abril 2022</w:t>
      </w:r>
    </w:p>
    <w:p w14:paraId="234CFEDB" w14:textId="77777777" w:rsidR="00872198" w:rsidRPr="005B27CC" w:rsidRDefault="00872198">
      <w:pPr>
        <w:spacing w:after="0" w:line="240" w:lineRule="auto"/>
        <w:jc w:val="right"/>
        <w:rPr>
          <w:rFonts w:ascii="Arial" w:eastAsia="Calibri" w:hAnsi="Arial" w:cs="Arial"/>
          <w:lang w:val="es-MX"/>
        </w:rPr>
      </w:pPr>
    </w:p>
    <w:p w14:paraId="5D13E289" w14:textId="20371A52" w:rsidR="00932CDB" w:rsidRPr="00930DA0" w:rsidRDefault="00B749D1" w:rsidP="00932CDB">
      <w:pPr>
        <w:spacing w:after="0" w:line="240" w:lineRule="auto"/>
        <w:rPr>
          <w:rFonts w:ascii="Arial" w:eastAsia="Calibri" w:hAnsi="Arial" w:cs="Arial"/>
          <w:bCs/>
          <w:lang w:val="es-ES"/>
        </w:rPr>
      </w:pPr>
      <w:r w:rsidRPr="00930DA0">
        <w:rPr>
          <w:rFonts w:ascii="Arial" w:eastAsia="Calibri" w:hAnsi="Arial" w:cs="Arial"/>
          <w:lang w:val="es-MX"/>
        </w:rPr>
        <w:t>Señor</w:t>
      </w:r>
    </w:p>
    <w:p w14:paraId="5432362D" w14:textId="10B5E8D4" w:rsidR="00B749D1" w:rsidRPr="00930DA0" w:rsidRDefault="00F34691" w:rsidP="00932CDB">
      <w:pPr>
        <w:spacing w:after="0" w:line="240" w:lineRule="auto"/>
        <w:rPr>
          <w:rFonts w:ascii="Arial" w:eastAsia="Calibri" w:hAnsi="Arial" w:cs="Arial"/>
          <w:b/>
          <w:bCs/>
          <w:lang w:val="es-ES"/>
        </w:rPr>
      </w:pPr>
      <w:r w:rsidRPr="00930DA0">
        <w:rPr>
          <w:rFonts w:ascii="Arial" w:eastAsia="Calibri" w:hAnsi="Arial" w:cs="Arial"/>
          <w:b/>
          <w:bCs/>
          <w:lang w:val="es-ES"/>
        </w:rPr>
        <w:t>Oscar Ricardo Ramos Pardo</w:t>
      </w:r>
      <w:r w:rsidR="00932CDB" w:rsidRPr="00930DA0">
        <w:rPr>
          <w:rFonts w:ascii="Arial" w:eastAsia="Calibri" w:hAnsi="Arial" w:cs="Arial"/>
          <w:b/>
          <w:bCs/>
          <w:lang w:val="es-ES"/>
        </w:rPr>
        <w:t xml:space="preserve"> </w:t>
      </w:r>
    </w:p>
    <w:p w14:paraId="1ECF665A" w14:textId="3D652002" w:rsidR="00872198" w:rsidRPr="00930DA0" w:rsidRDefault="00872198" w:rsidP="00F34691">
      <w:pPr>
        <w:spacing w:after="0" w:line="240" w:lineRule="auto"/>
        <w:rPr>
          <w:rFonts w:ascii="Arial" w:eastAsia="Calibri" w:hAnsi="Arial" w:cs="Arial"/>
          <w:bCs/>
          <w:lang w:val="es-ES"/>
        </w:rPr>
      </w:pPr>
      <w:r w:rsidRPr="00930DA0">
        <w:rPr>
          <w:rFonts w:ascii="Arial" w:hAnsi="Arial" w:cs="Arial"/>
        </w:rPr>
        <w:t>Bogotá D.C.</w:t>
      </w:r>
    </w:p>
    <w:p w14:paraId="104405ED" w14:textId="77777777" w:rsidR="00872198" w:rsidRPr="00930DA0" w:rsidRDefault="00872198" w:rsidP="00F34691">
      <w:pPr>
        <w:spacing w:after="0" w:line="240" w:lineRule="auto"/>
        <w:rPr>
          <w:rFonts w:ascii="Arial" w:eastAsia="Calibri" w:hAnsi="Arial" w:cs="Arial"/>
          <w:b/>
          <w:lang w:val="es-ES"/>
        </w:rPr>
      </w:pPr>
    </w:p>
    <w:p w14:paraId="05363F2F" w14:textId="646A062F" w:rsidR="00B749D1" w:rsidRPr="00930DA0" w:rsidRDefault="00872198" w:rsidP="00641C7A">
      <w:pPr>
        <w:spacing w:after="0" w:line="240" w:lineRule="auto"/>
        <w:rPr>
          <w:rFonts w:ascii="Arial" w:eastAsia="Calibri" w:hAnsi="Arial" w:cs="Arial"/>
          <w:b/>
          <w:lang w:val="es-MX"/>
        </w:rPr>
      </w:pPr>
      <w:r w:rsidRPr="00930DA0">
        <w:rPr>
          <w:rFonts w:ascii="Arial" w:eastAsia="Calibri" w:hAnsi="Arial" w:cs="Arial"/>
          <w:lang w:val="es-MX"/>
        </w:rPr>
        <w:t xml:space="preserve">                                            </w:t>
      </w:r>
      <w:r w:rsidR="00B749D1" w:rsidRPr="00930DA0">
        <w:rPr>
          <w:rFonts w:ascii="Arial" w:eastAsia="Calibri" w:hAnsi="Arial" w:cs="Arial"/>
          <w:b/>
          <w:lang w:val="es-MX"/>
        </w:rPr>
        <w:t>Concepto C</w:t>
      </w:r>
      <w:r w:rsidR="005E0AA3" w:rsidRPr="00930DA0">
        <w:rPr>
          <w:rFonts w:ascii="Arial" w:eastAsia="Calibri" w:hAnsi="Arial" w:cs="Arial"/>
          <w:b/>
          <w:lang w:val="es-MX"/>
        </w:rPr>
        <w:t xml:space="preserve"> </w:t>
      </w:r>
      <w:r w:rsidR="00B749D1" w:rsidRPr="00930DA0">
        <w:rPr>
          <w:rFonts w:ascii="Arial" w:eastAsia="Calibri" w:hAnsi="Arial" w:cs="Arial"/>
          <w:b/>
          <w:lang w:val="es-MX"/>
        </w:rPr>
        <w:t>–</w:t>
      </w:r>
      <w:r w:rsidR="005E0AA3" w:rsidRPr="00930DA0">
        <w:rPr>
          <w:rFonts w:ascii="Arial" w:eastAsia="Calibri" w:hAnsi="Arial" w:cs="Arial"/>
          <w:b/>
          <w:lang w:val="es-MX"/>
        </w:rPr>
        <w:t xml:space="preserve"> </w:t>
      </w:r>
      <w:r w:rsidR="005B27CC" w:rsidRPr="00930DA0">
        <w:rPr>
          <w:rFonts w:ascii="Arial" w:eastAsia="Calibri" w:hAnsi="Arial" w:cs="Arial"/>
          <w:b/>
          <w:lang w:val="es-MX"/>
        </w:rPr>
        <w:t xml:space="preserve">224 </w:t>
      </w:r>
      <w:r w:rsidR="00B749D1" w:rsidRPr="00930DA0">
        <w:rPr>
          <w:rFonts w:ascii="Arial" w:eastAsia="Calibri" w:hAnsi="Arial" w:cs="Arial"/>
          <w:b/>
          <w:lang w:val="es-MX"/>
        </w:rPr>
        <w:t>de 202</w:t>
      </w:r>
      <w:r w:rsidR="0046135C" w:rsidRPr="00930DA0">
        <w:rPr>
          <w:rFonts w:ascii="Arial" w:eastAsia="Calibri" w:hAnsi="Arial" w:cs="Arial"/>
          <w:b/>
          <w:lang w:val="es-MX"/>
        </w:rPr>
        <w:t>2</w:t>
      </w:r>
    </w:p>
    <w:p w14:paraId="04B64EBC" w14:textId="77777777" w:rsidR="00B749D1" w:rsidRPr="00930DA0" w:rsidRDefault="00B749D1" w:rsidP="00B749D1">
      <w:pPr>
        <w:spacing w:after="0" w:line="240" w:lineRule="auto"/>
        <w:rPr>
          <w:rFonts w:ascii="Arial" w:eastAsia="Calibri" w:hAnsi="Arial" w:cs="Arial"/>
          <w:lang w:val="es-MX"/>
        </w:rPr>
      </w:pPr>
    </w:p>
    <w:tbl>
      <w:tblPr>
        <w:tblStyle w:val="Tablaconcuadrcula2"/>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B749D1" w:rsidRPr="00930DA0" w14:paraId="1CAF0548" w14:textId="77777777" w:rsidTr="00932CDB">
        <w:trPr>
          <w:trHeight w:val="866"/>
        </w:trPr>
        <w:tc>
          <w:tcPr>
            <w:tcW w:w="2689" w:type="dxa"/>
            <w:hideMark/>
          </w:tcPr>
          <w:p w14:paraId="60F73698" w14:textId="77777777" w:rsidR="00B749D1" w:rsidRPr="00930DA0" w:rsidRDefault="00B749D1" w:rsidP="00B749D1">
            <w:pPr>
              <w:rPr>
                <w:rFonts w:ascii="Arial" w:eastAsia="Calibri" w:hAnsi="Arial" w:cs="Arial"/>
                <w:lang w:val="es-MX"/>
              </w:rPr>
            </w:pPr>
            <w:r w:rsidRPr="00930DA0">
              <w:rPr>
                <w:rFonts w:ascii="Arial" w:eastAsia="Calibri" w:hAnsi="Arial" w:cs="Arial"/>
                <w:b/>
                <w:lang w:val="es-MX"/>
              </w:rPr>
              <w:t>Temas:</w:t>
            </w:r>
            <w:r w:rsidRPr="00930DA0">
              <w:rPr>
                <w:rFonts w:ascii="Arial" w:eastAsia="Calibri" w:hAnsi="Arial" w:cs="Arial"/>
                <w:lang w:val="es-MX"/>
              </w:rPr>
              <w:t xml:space="preserve">  </w:t>
            </w:r>
          </w:p>
          <w:p w14:paraId="06F65D2F" w14:textId="77777777" w:rsidR="00B749D1" w:rsidRPr="00930DA0" w:rsidRDefault="00B749D1" w:rsidP="00B749D1">
            <w:pPr>
              <w:rPr>
                <w:rFonts w:ascii="Arial" w:eastAsia="Calibri" w:hAnsi="Arial" w:cs="Arial"/>
                <w:lang w:val="es-MX"/>
              </w:rPr>
            </w:pPr>
            <w:r w:rsidRPr="00930DA0">
              <w:rPr>
                <w:rFonts w:ascii="Arial" w:eastAsia="Calibri" w:hAnsi="Arial" w:cs="Arial"/>
                <w:lang w:val="es-MX"/>
              </w:rPr>
              <w:t xml:space="preserve"> </w:t>
            </w:r>
          </w:p>
        </w:tc>
        <w:tc>
          <w:tcPr>
            <w:tcW w:w="6237" w:type="dxa"/>
            <w:hideMark/>
          </w:tcPr>
          <w:p w14:paraId="6BE3AE10" w14:textId="2F317234" w:rsidR="003C4C74" w:rsidRPr="00930DA0" w:rsidRDefault="003C4C74" w:rsidP="00E005C9">
            <w:pPr>
              <w:widowControl w:val="0"/>
              <w:autoSpaceDE w:val="0"/>
              <w:autoSpaceDN w:val="0"/>
              <w:adjustRightInd w:val="0"/>
              <w:spacing w:after="120" w:line="300" w:lineRule="atLeast"/>
              <w:jc w:val="both"/>
              <w:rPr>
                <w:rFonts w:ascii="Arial" w:hAnsi="Arial" w:cs="Arial"/>
                <w:color w:val="000000" w:themeColor="text1"/>
                <w:lang w:val="es-ES_tradnl"/>
              </w:rPr>
            </w:pPr>
            <w:r w:rsidRPr="00930DA0">
              <w:rPr>
                <w:rFonts w:ascii="Arial" w:hAnsi="Arial" w:cs="Arial"/>
                <w:color w:val="000000" w:themeColor="text1"/>
                <w:lang w:val="es-ES_tradnl"/>
              </w:rPr>
              <w:t xml:space="preserve">DOCUMENTOS TIPO – </w:t>
            </w:r>
            <w:r w:rsidR="00E005C9" w:rsidRPr="00930DA0">
              <w:rPr>
                <w:rFonts w:ascii="Arial" w:hAnsi="Arial" w:cs="Arial"/>
                <w:color w:val="000000" w:themeColor="text1"/>
                <w:lang w:val="es-ES_tradnl"/>
              </w:rPr>
              <w:t xml:space="preserve">Obra de Infraestructura de transporte - </w:t>
            </w:r>
            <w:r w:rsidRPr="00930DA0">
              <w:rPr>
                <w:rFonts w:ascii="Arial" w:hAnsi="Arial" w:cs="Arial"/>
                <w:color w:val="000000" w:themeColor="text1"/>
                <w:lang w:val="es-ES_tradnl"/>
              </w:rPr>
              <w:t xml:space="preserve">Fundamento normativo – Ley 2022 de 2020 / DOCUMENTOS TIPO − </w:t>
            </w:r>
            <w:r w:rsidR="00E005C9" w:rsidRPr="00930DA0">
              <w:rPr>
                <w:rFonts w:ascii="Arial" w:hAnsi="Arial" w:cs="Arial"/>
                <w:color w:val="000000" w:themeColor="text1"/>
                <w:lang w:val="es-ES_tradnl"/>
              </w:rPr>
              <w:t xml:space="preserve">Obra de Infraestructura de transporte – </w:t>
            </w:r>
            <w:r w:rsidR="00F34691" w:rsidRPr="00930DA0">
              <w:rPr>
                <w:rFonts w:ascii="Arial" w:hAnsi="Arial" w:cs="Arial"/>
                <w:color w:val="000000" w:themeColor="text1"/>
                <w:lang w:val="es-ES_tradnl"/>
              </w:rPr>
              <w:t>Ámbito de aplicación − «Matriz 1 – Experiencia»</w:t>
            </w:r>
          </w:p>
          <w:p w14:paraId="1B7D6AB3" w14:textId="77777777" w:rsidR="00B749D1" w:rsidRPr="00930DA0" w:rsidRDefault="00B749D1" w:rsidP="00021627">
            <w:pPr>
              <w:widowControl w:val="0"/>
              <w:autoSpaceDE w:val="0"/>
              <w:autoSpaceDN w:val="0"/>
              <w:adjustRightInd w:val="0"/>
              <w:spacing w:line="300" w:lineRule="atLeast"/>
              <w:rPr>
                <w:rFonts w:ascii="Arial" w:hAnsi="Arial" w:cs="Arial"/>
                <w:color w:val="000000" w:themeColor="text1"/>
                <w:lang w:val="es-ES_tradnl"/>
              </w:rPr>
            </w:pPr>
          </w:p>
        </w:tc>
        <w:tc>
          <w:tcPr>
            <w:tcW w:w="6237" w:type="dxa"/>
          </w:tcPr>
          <w:p w14:paraId="35732068" w14:textId="77777777" w:rsidR="00B749D1" w:rsidRPr="00930DA0" w:rsidRDefault="00B749D1" w:rsidP="00B749D1">
            <w:pPr>
              <w:spacing w:after="120" w:line="276" w:lineRule="auto"/>
              <w:jc w:val="both"/>
              <w:rPr>
                <w:rFonts w:ascii="Arial" w:eastAsia="Calibri" w:hAnsi="Arial" w:cs="Arial"/>
                <w:lang w:val="es-MX" w:eastAsia="es-ES"/>
              </w:rPr>
            </w:pPr>
          </w:p>
        </w:tc>
      </w:tr>
      <w:tr w:rsidR="00B749D1" w:rsidRPr="00930DA0" w14:paraId="161D72BB" w14:textId="77777777" w:rsidTr="00274E27">
        <w:tc>
          <w:tcPr>
            <w:tcW w:w="2689" w:type="dxa"/>
          </w:tcPr>
          <w:p w14:paraId="6A7C1ECD" w14:textId="77777777" w:rsidR="00B749D1" w:rsidRPr="00930DA0" w:rsidRDefault="00B749D1" w:rsidP="00B749D1">
            <w:pPr>
              <w:rPr>
                <w:rFonts w:ascii="Arial" w:eastAsia="Calibri" w:hAnsi="Arial" w:cs="Arial"/>
                <w:b/>
                <w:lang w:val="es-MX"/>
              </w:rPr>
            </w:pPr>
            <w:r w:rsidRPr="00930DA0">
              <w:rPr>
                <w:rFonts w:ascii="Arial" w:eastAsia="Calibri" w:hAnsi="Arial" w:cs="Arial"/>
                <w:b/>
                <w:lang w:val="es-MX"/>
              </w:rPr>
              <w:t>Radicación:</w:t>
            </w:r>
            <w:r w:rsidRPr="00930DA0">
              <w:rPr>
                <w:rFonts w:ascii="Arial" w:eastAsia="Calibri" w:hAnsi="Arial" w:cs="Arial"/>
                <w:lang w:val="es-MX"/>
              </w:rPr>
              <w:t xml:space="preserve"> </w:t>
            </w:r>
          </w:p>
        </w:tc>
        <w:tc>
          <w:tcPr>
            <w:tcW w:w="6237" w:type="dxa"/>
          </w:tcPr>
          <w:p w14:paraId="1334FB0D" w14:textId="6AC4EBC3" w:rsidR="00B749D1" w:rsidRPr="00930DA0" w:rsidRDefault="00B749D1" w:rsidP="00021627">
            <w:pPr>
              <w:widowControl w:val="0"/>
              <w:autoSpaceDE w:val="0"/>
              <w:autoSpaceDN w:val="0"/>
              <w:adjustRightInd w:val="0"/>
              <w:spacing w:line="300" w:lineRule="atLeast"/>
              <w:rPr>
                <w:rFonts w:ascii="Arial" w:hAnsi="Arial" w:cs="Arial"/>
                <w:color w:val="000000" w:themeColor="text1"/>
                <w:lang w:val="es-ES_tradnl"/>
              </w:rPr>
            </w:pPr>
            <w:r w:rsidRPr="00930DA0">
              <w:rPr>
                <w:rFonts w:ascii="Arial" w:hAnsi="Arial" w:cs="Arial"/>
                <w:color w:val="000000" w:themeColor="text1"/>
                <w:lang w:val="es-ES_tradnl"/>
              </w:rPr>
              <w:t xml:space="preserve">Respuesta a la consulta </w:t>
            </w:r>
            <w:r w:rsidR="00F34691" w:rsidRPr="00930DA0">
              <w:rPr>
                <w:rFonts w:ascii="Arial" w:hAnsi="Arial" w:cs="Arial"/>
                <w:color w:val="000000" w:themeColor="text1"/>
                <w:lang w:val="es-ES_tradnl"/>
              </w:rPr>
              <w:t>P20220314002507</w:t>
            </w:r>
          </w:p>
        </w:tc>
        <w:tc>
          <w:tcPr>
            <w:tcW w:w="6237" w:type="dxa"/>
          </w:tcPr>
          <w:p w14:paraId="728FEA53" w14:textId="77777777" w:rsidR="00B749D1" w:rsidRPr="00930DA0" w:rsidRDefault="00B749D1" w:rsidP="00B749D1">
            <w:pPr>
              <w:jc w:val="both"/>
              <w:rPr>
                <w:rFonts w:ascii="Arial" w:eastAsia="Calibri" w:hAnsi="Arial" w:cs="Arial"/>
                <w:lang w:val="es-MX"/>
              </w:rPr>
            </w:pPr>
          </w:p>
        </w:tc>
      </w:tr>
    </w:tbl>
    <w:p w14:paraId="5B962064" w14:textId="33BA4D75" w:rsidR="00B749D1" w:rsidRPr="00930DA0" w:rsidRDefault="00B749D1" w:rsidP="00B749D1">
      <w:pPr>
        <w:spacing w:after="0" w:line="276" w:lineRule="auto"/>
        <w:rPr>
          <w:rFonts w:ascii="Arial" w:eastAsia="Calibri" w:hAnsi="Arial" w:cs="Arial"/>
          <w:lang w:val="es-MX"/>
        </w:rPr>
      </w:pPr>
    </w:p>
    <w:p w14:paraId="0D3A51FB" w14:textId="77777777" w:rsidR="0046135C" w:rsidRPr="00930DA0" w:rsidRDefault="0046135C" w:rsidP="00B749D1">
      <w:pPr>
        <w:spacing w:after="0" w:line="276" w:lineRule="auto"/>
        <w:rPr>
          <w:rFonts w:ascii="Arial" w:eastAsia="Calibri" w:hAnsi="Arial" w:cs="Arial"/>
          <w:lang w:val="es-MX"/>
        </w:rPr>
      </w:pPr>
    </w:p>
    <w:p w14:paraId="296593D7" w14:textId="44FE11D1" w:rsidR="00B749D1" w:rsidRPr="00930DA0" w:rsidRDefault="00B749D1" w:rsidP="00B749D1">
      <w:pPr>
        <w:spacing w:after="0" w:line="276" w:lineRule="auto"/>
        <w:rPr>
          <w:rFonts w:ascii="Arial" w:eastAsia="Calibri" w:hAnsi="Arial" w:cs="Arial"/>
          <w:lang w:val="es-MX"/>
        </w:rPr>
      </w:pPr>
      <w:r w:rsidRPr="00930DA0">
        <w:rPr>
          <w:rFonts w:ascii="Arial" w:eastAsia="Calibri" w:hAnsi="Arial" w:cs="Arial"/>
          <w:lang w:val="es-MX"/>
        </w:rPr>
        <w:t>Estimad</w:t>
      </w:r>
      <w:r w:rsidR="00F34691" w:rsidRPr="00930DA0">
        <w:rPr>
          <w:rFonts w:ascii="Arial" w:eastAsia="Calibri" w:hAnsi="Arial" w:cs="Arial"/>
          <w:lang w:val="es-MX"/>
        </w:rPr>
        <w:t>o</w:t>
      </w:r>
      <w:r w:rsidRPr="00930DA0">
        <w:rPr>
          <w:rFonts w:ascii="Arial" w:eastAsia="Calibri" w:hAnsi="Arial" w:cs="Arial"/>
          <w:lang w:val="es-MX"/>
        </w:rPr>
        <w:t xml:space="preserve"> señor</w:t>
      </w:r>
      <w:r w:rsidR="00932CDB" w:rsidRPr="00930DA0">
        <w:rPr>
          <w:rFonts w:ascii="Arial" w:eastAsia="Calibri" w:hAnsi="Arial" w:cs="Arial"/>
          <w:lang w:val="es-MX"/>
        </w:rPr>
        <w:t xml:space="preserve"> </w:t>
      </w:r>
      <w:r w:rsidR="00F34691" w:rsidRPr="00930DA0">
        <w:rPr>
          <w:rFonts w:ascii="Arial" w:eastAsia="Calibri" w:hAnsi="Arial" w:cs="Arial"/>
          <w:lang w:val="es-MX"/>
        </w:rPr>
        <w:t>Ramos</w:t>
      </w:r>
      <w:r w:rsidR="00932CDB" w:rsidRPr="00930DA0">
        <w:rPr>
          <w:rFonts w:ascii="Arial" w:eastAsia="Calibri" w:hAnsi="Arial" w:cs="Arial"/>
          <w:lang w:val="es-ES"/>
        </w:rPr>
        <w:t>:</w:t>
      </w:r>
    </w:p>
    <w:p w14:paraId="38E56E15" w14:textId="77777777" w:rsidR="00B749D1" w:rsidRPr="00930DA0" w:rsidRDefault="00B749D1" w:rsidP="00B749D1">
      <w:pPr>
        <w:spacing w:after="0" w:line="276" w:lineRule="auto"/>
        <w:rPr>
          <w:rFonts w:ascii="Arial" w:eastAsia="Calibri" w:hAnsi="Arial" w:cs="Arial"/>
          <w:lang w:val="es-MX"/>
        </w:rPr>
      </w:pPr>
    </w:p>
    <w:p w14:paraId="54BCE056" w14:textId="33F76E0B" w:rsidR="00B749D1" w:rsidRPr="00930DA0" w:rsidRDefault="00B749D1" w:rsidP="00932CDB">
      <w:pPr>
        <w:spacing w:after="0" w:line="276" w:lineRule="auto"/>
        <w:jc w:val="both"/>
        <w:rPr>
          <w:rFonts w:ascii="Arial" w:eastAsia="Calibri" w:hAnsi="Arial" w:cs="Arial"/>
          <w:lang w:val="es-MX"/>
        </w:rPr>
      </w:pPr>
      <w:r w:rsidRPr="00930DA0">
        <w:rPr>
          <w:rFonts w:ascii="Arial" w:eastAsia="Calibri" w:hAnsi="Arial" w:cs="Arial"/>
          <w:lang w:val="es-MX"/>
        </w:rPr>
        <w:t xml:space="preserve">En ejercicio de la competencia otorgada por el numeral 8 del artículo 11 y el numeral 5 del artículo 3 del Decreto Ley 4170 de 2011, la Agencia Nacional de Contratación Pública – Colombia Compra Eficiente responde </w:t>
      </w:r>
      <w:r w:rsidR="00FD50F1" w:rsidRPr="00930DA0">
        <w:rPr>
          <w:rFonts w:ascii="Arial" w:eastAsia="Calibri" w:hAnsi="Arial" w:cs="Arial"/>
          <w:lang w:val="es-MX"/>
        </w:rPr>
        <w:t>su</w:t>
      </w:r>
      <w:r w:rsidRPr="00930DA0">
        <w:rPr>
          <w:rFonts w:ascii="Arial" w:eastAsia="Calibri" w:hAnsi="Arial" w:cs="Arial"/>
          <w:lang w:val="es-MX"/>
        </w:rPr>
        <w:t xml:space="preserve"> consulta del </w:t>
      </w:r>
      <w:r w:rsidR="00F34691" w:rsidRPr="00930DA0">
        <w:rPr>
          <w:rFonts w:ascii="Arial" w:eastAsia="Calibri" w:hAnsi="Arial" w:cs="Arial"/>
          <w:lang w:val="es-MX"/>
        </w:rPr>
        <w:t>14</w:t>
      </w:r>
      <w:r w:rsidRPr="00930DA0">
        <w:rPr>
          <w:rFonts w:ascii="Arial" w:eastAsia="Calibri" w:hAnsi="Arial" w:cs="Arial"/>
          <w:lang w:val="es-MX"/>
        </w:rPr>
        <w:t xml:space="preserve"> de </w:t>
      </w:r>
      <w:r w:rsidR="00F34691" w:rsidRPr="00930DA0">
        <w:rPr>
          <w:rFonts w:ascii="Arial" w:eastAsia="Calibri" w:hAnsi="Arial" w:cs="Arial"/>
          <w:lang w:val="es-MX"/>
        </w:rPr>
        <w:t>marzo</w:t>
      </w:r>
      <w:r w:rsidRPr="00930DA0">
        <w:rPr>
          <w:rFonts w:ascii="Arial" w:eastAsia="Calibri" w:hAnsi="Arial" w:cs="Arial"/>
          <w:lang w:val="es-MX"/>
        </w:rPr>
        <w:t xml:space="preserve"> de 202</w:t>
      </w:r>
      <w:r w:rsidR="00F34691" w:rsidRPr="00930DA0">
        <w:rPr>
          <w:rFonts w:ascii="Arial" w:eastAsia="Calibri" w:hAnsi="Arial" w:cs="Arial"/>
          <w:lang w:val="es-MX"/>
        </w:rPr>
        <w:t>2</w:t>
      </w:r>
      <w:r w:rsidRPr="00930DA0">
        <w:rPr>
          <w:rFonts w:ascii="Arial" w:eastAsia="Calibri" w:hAnsi="Arial" w:cs="Arial"/>
          <w:lang w:val="es-MX"/>
        </w:rPr>
        <w:t>.</w:t>
      </w:r>
    </w:p>
    <w:p w14:paraId="6CF732BC" w14:textId="77777777" w:rsidR="00B749D1" w:rsidRPr="00930DA0" w:rsidRDefault="00B749D1" w:rsidP="00932CDB">
      <w:pPr>
        <w:spacing w:after="0" w:line="276" w:lineRule="auto"/>
        <w:jc w:val="both"/>
        <w:rPr>
          <w:rFonts w:ascii="Arial" w:eastAsia="Calibri" w:hAnsi="Arial" w:cs="Arial"/>
          <w:lang w:val="es-MX"/>
        </w:rPr>
      </w:pPr>
    </w:p>
    <w:p w14:paraId="62623AEC" w14:textId="77777777" w:rsidR="00B749D1" w:rsidRPr="00930DA0" w:rsidRDefault="00B749D1" w:rsidP="00932CDB">
      <w:pPr>
        <w:tabs>
          <w:tab w:val="left" w:pos="284"/>
        </w:tabs>
        <w:spacing w:after="0" w:line="276" w:lineRule="auto"/>
        <w:contextualSpacing/>
        <w:jc w:val="both"/>
        <w:rPr>
          <w:rFonts w:ascii="Arial" w:eastAsia="Calibri" w:hAnsi="Arial" w:cs="Arial"/>
          <w:b/>
          <w:lang w:val="es-MX"/>
        </w:rPr>
      </w:pPr>
      <w:r w:rsidRPr="00930DA0">
        <w:rPr>
          <w:rFonts w:ascii="Arial" w:eastAsia="Calibri" w:hAnsi="Arial" w:cs="Arial"/>
          <w:b/>
          <w:lang w:val="es-MX"/>
        </w:rPr>
        <w:t>1. Problema planteado</w:t>
      </w:r>
    </w:p>
    <w:p w14:paraId="0B5E2F18" w14:textId="77777777" w:rsidR="00932CDB" w:rsidRPr="00930DA0" w:rsidRDefault="00932CDB" w:rsidP="00932CDB">
      <w:pPr>
        <w:spacing w:after="0" w:line="276" w:lineRule="auto"/>
        <w:ind w:right="709"/>
        <w:rPr>
          <w:rFonts w:ascii="Arial" w:hAnsi="Arial" w:cs="Arial"/>
        </w:rPr>
      </w:pPr>
    </w:p>
    <w:p w14:paraId="04669327" w14:textId="451C3956" w:rsidR="00932CDB" w:rsidRPr="00930DA0" w:rsidRDefault="009E77C3" w:rsidP="00641C7A">
      <w:pPr>
        <w:spacing w:after="0" w:line="276" w:lineRule="auto"/>
        <w:jc w:val="both"/>
        <w:rPr>
          <w:rFonts w:ascii="Arial" w:eastAsia="Calibri" w:hAnsi="Arial" w:cs="Arial"/>
          <w:b/>
          <w:sz w:val="21"/>
          <w:szCs w:val="21"/>
        </w:rPr>
      </w:pPr>
      <w:r w:rsidRPr="00930DA0">
        <w:rPr>
          <w:rFonts w:ascii="Arial" w:hAnsi="Arial" w:cs="Arial"/>
        </w:rPr>
        <w:t xml:space="preserve">Respecto de los </w:t>
      </w:r>
      <w:r w:rsidR="00872198" w:rsidRPr="00930DA0">
        <w:rPr>
          <w:rFonts w:ascii="Arial" w:hAnsi="Arial" w:cs="Arial"/>
        </w:rPr>
        <w:t>d</w:t>
      </w:r>
      <w:r w:rsidRPr="00930DA0">
        <w:rPr>
          <w:rFonts w:ascii="Arial" w:hAnsi="Arial" w:cs="Arial"/>
        </w:rPr>
        <w:t>ocumentos tipo</w:t>
      </w:r>
      <w:r w:rsidR="00872198" w:rsidRPr="00930DA0">
        <w:rPr>
          <w:rFonts w:ascii="Arial" w:hAnsi="Arial" w:cs="Arial"/>
        </w:rPr>
        <w:t xml:space="preserve"> de infraestructura de transporte</w:t>
      </w:r>
      <w:r w:rsidRPr="00930DA0">
        <w:rPr>
          <w:rFonts w:ascii="Arial" w:hAnsi="Arial" w:cs="Arial"/>
        </w:rPr>
        <w:t>, u</w:t>
      </w:r>
      <w:r w:rsidR="00932CDB" w:rsidRPr="00930DA0">
        <w:rPr>
          <w:rFonts w:ascii="Arial" w:hAnsi="Arial" w:cs="Arial"/>
        </w:rPr>
        <w:t xml:space="preserve">sted realiza la siguiente pregunta: </w:t>
      </w:r>
      <w:r w:rsidRPr="00930DA0">
        <w:rPr>
          <w:rFonts w:ascii="Arial" w:hAnsi="Arial" w:cs="Arial"/>
        </w:rPr>
        <w:t>«Si una entidad realiza la compra de señales de tr</w:t>
      </w:r>
      <w:r w:rsidR="00872198" w:rsidRPr="00930DA0">
        <w:rPr>
          <w:rFonts w:ascii="Arial" w:hAnsi="Arial" w:cs="Arial"/>
        </w:rPr>
        <w:t>á</w:t>
      </w:r>
      <w:r w:rsidRPr="00930DA0">
        <w:rPr>
          <w:rFonts w:ascii="Arial" w:hAnsi="Arial" w:cs="Arial"/>
        </w:rPr>
        <w:t xml:space="preserve">nsito debe utilizar pliegos tipo, solo requiere las señales y su personal realiza las instalaciones, esta compra se reconocería Como obra </w:t>
      </w:r>
      <w:proofErr w:type="spellStart"/>
      <w:r w:rsidRPr="00930DA0">
        <w:rPr>
          <w:rFonts w:ascii="Arial" w:hAnsi="Arial" w:cs="Arial"/>
        </w:rPr>
        <w:t>publica</w:t>
      </w:r>
      <w:proofErr w:type="spellEnd"/>
      <w:r w:rsidRPr="00930DA0">
        <w:rPr>
          <w:rFonts w:ascii="Arial" w:hAnsi="Arial" w:cs="Arial"/>
        </w:rPr>
        <w:t xml:space="preserve"> de infraestructura del transporte»</w:t>
      </w:r>
      <w:r w:rsidR="00872198" w:rsidRPr="00930DA0">
        <w:rPr>
          <w:rFonts w:ascii="Arial" w:hAnsi="Arial" w:cs="Arial"/>
          <w:sz w:val="21"/>
          <w:szCs w:val="21"/>
        </w:rPr>
        <w:t>.</w:t>
      </w:r>
    </w:p>
    <w:p w14:paraId="45198716" w14:textId="77777777" w:rsidR="00B749D1" w:rsidRPr="00930DA0" w:rsidRDefault="00B749D1" w:rsidP="00932CDB">
      <w:pPr>
        <w:tabs>
          <w:tab w:val="left" w:pos="426"/>
        </w:tabs>
        <w:spacing w:after="0" w:line="276" w:lineRule="auto"/>
        <w:ind w:left="1069" w:right="709"/>
        <w:contextualSpacing/>
        <w:rPr>
          <w:rFonts w:ascii="Arial" w:eastAsia="Calibri" w:hAnsi="Arial" w:cs="Arial"/>
          <w:sz w:val="21"/>
          <w:szCs w:val="21"/>
          <w:lang w:val="es-MX"/>
        </w:rPr>
      </w:pPr>
    </w:p>
    <w:p w14:paraId="7F602537" w14:textId="25C8DFE5" w:rsidR="00B749D1" w:rsidRPr="00930DA0" w:rsidRDefault="00B749D1" w:rsidP="00FC5423">
      <w:pPr>
        <w:tabs>
          <w:tab w:val="left" w:pos="426"/>
        </w:tabs>
        <w:spacing w:after="0" w:line="276" w:lineRule="auto"/>
        <w:jc w:val="both"/>
        <w:rPr>
          <w:rFonts w:ascii="Arial" w:eastAsia="Calibri" w:hAnsi="Arial" w:cs="Arial"/>
          <w:b/>
          <w:lang w:val="es-MX"/>
        </w:rPr>
      </w:pPr>
      <w:r w:rsidRPr="00930DA0">
        <w:rPr>
          <w:rFonts w:ascii="Arial" w:eastAsia="Calibri" w:hAnsi="Arial" w:cs="Arial"/>
          <w:b/>
          <w:lang w:val="es-MX"/>
        </w:rPr>
        <w:t xml:space="preserve">2. Consideraciones </w:t>
      </w:r>
    </w:p>
    <w:p w14:paraId="264222B8" w14:textId="77777777" w:rsidR="00932CDB" w:rsidRPr="00930DA0" w:rsidRDefault="00932CDB" w:rsidP="00FC5423">
      <w:pPr>
        <w:tabs>
          <w:tab w:val="left" w:pos="426"/>
        </w:tabs>
        <w:spacing w:after="0" w:line="276" w:lineRule="auto"/>
        <w:jc w:val="both"/>
        <w:rPr>
          <w:rFonts w:ascii="Arial" w:eastAsia="Calibri" w:hAnsi="Arial" w:cs="Arial"/>
          <w:b/>
          <w:lang w:val="es-MX"/>
        </w:rPr>
      </w:pPr>
    </w:p>
    <w:p w14:paraId="4B4F5E25" w14:textId="71AC5C08" w:rsidR="004835FA" w:rsidRPr="00930DA0" w:rsidRDefault="004835FA" w:rsidP="00641C7A">
      <w:pPr>
        <w:spacing w:after="120" w:line="276" w:lineRule="auto"/>
        <w:jc w:val="both"/>
        <w:rPr>
          <w:rFonts w:ascii="Arial" w:hAnsi="Arial" w:cs="Arial"/>
          <w:lang w:val="es-ES"/>
        </w:rPr>
      </w:pPr>
      <w:r w:rsidRPr="00930DA0">
        <w:rPr>
          <w:rFonts w:ascii="Arial" w:hAnsi="Arial" w:cs="Arial"/>
          <w:bCs/>
        </w:rPr>
        <w:t>En ejercicio de las competencias establecidas en los artículos 3.5 y 11.8 del Decreto 4170 de 2011, la Agencia Nacional de Contratación Pública – Colombia Compra Eficiente resuelve consultas</w:t>
      </w:r>
      <w:r w:rsidR="00F0418C" w:rsidRPr="00930DA0">
        <w:rPr>
          <w:rFonts w:ascii="Arial" w:hAnsi="Arial" w:cs="Arial"/>
          <w:bCs/>
        </w:rPr>
        <w:t xml:space="preserve"> generales</w:t>
      </w:r>
      <w:r w:rsidRPr="00930DA0">
        <w:rPr>
          <w:rFonts w:ascii="Arial" w:hAnsi="Arial" w:cs="Arial"/>
          <w:bCs/>
        </w:rPr>
        <w:t xml:space="preserve"> sobre sobre las temáticas de la contratación estatal y compras públicas relacionadas en los artículos citados.</w:t>
      </w:r>
      <w:bookmarkStart w:id="0" w:name="_Hlk61701014"/>
      <w:bookmarkStart w:id="1" w:name="_Hlk62136649"/>
      <w:r w:rsidRPr="00930DA0">
        <w:rPr>
          <w:rFonts w:ascii="Arial" w:hAnsi="Arial" w:cs="Arial"/>
          <w:bCs/>
        </w:rPr>
        <w:t xml:space="preserve"> </w:t>
      </w:r>
      <w:r w:rsidRPr="00930DA0">
        <w:rPr>
          <w:rFonts w:ascii="Arial" w:hAnsi="Arial" w:cs="Arial"/>
          <w:lang w:val="es-ES"/>
        </w:rPr>
        <w:t xml:space="preserve">Es necesario tener en cuenta que </w:t>
      </w:r>
      <w:bookmarkStart w:id="2" w:name="_Hlk61026958"/>
      <w:r w:rsidRPr="00930DA0">
        <w:rPr>
          <w:rFonts w:ascii="Arial" w:hAnsi="Arial" w:cs="Arial"/>
          <w:lang w:val="es-ES"/>
        </w:rPr>
        <w:t xml:space="preserve">esta entidad solo tiene </w:t>
      </w:r>
      <w:r w:rsidR="00F0418C" w:rsidRPr="00930DA0">
        <w:rPr>
          <w:rFonts w:ascii="Arial" w:hAnsi="Arial" w:cs="Arial"/>
          <w:lang w:val="es-ES"/>
        </w:rPr>
        <w:t>atribuciones</w:t>
      </w:r>
      <w:r w:rsidRPr="00930DA0">
        <w:rPr>
          <w:rFonts w:ascii="Arial" w:hAnsi="Arial" w:cs="Arial"/>
          <w:lang w:val="es-ES"/>
        </w:rPr>
        <w:t xml:space="preserve">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930DA0">
        <w:rPr>
          <w:rFonts w:ascii="Arial" w:hAnsi="Arial" w:cs="Arial"/>
          <w:bCs/>
        </w:rPr>
        <w:t xml:space="preserve"> de todos los partícipes de la contratación estatal.</w:t>
      </w:r>
    </w:p>
    <w:p w14:paraId="5C12F788" w14:textId="77777777" w:rsidR="00F0418C" w:rsidRPr="00930DA0" w:rsidRDefault="004835FA" w:rsidP="004835FA">
      <w:pPr>
        <w:spacing w:after="120" w:line="276" w:lineRule="auto"/>
        <w:ind w:firstLine="708"/>
        <w:jc w:val="both"/>
        <w:rPr>
          <w:rFonts w:ascii="Arial" w:hAnsi="Arial" w:cs="Arial"/>
          <w:lang w:val="es-ES"/>
        </w:rPr>
      </w:pPr>
      <w:r w:rsidRPr="00930DA0">
        <w:rPr>
          <w:rFonts w:ascii="Arial" w:hAnsi="Arial" w:cs="Arial"/>
          <w:lang w:val="es-ES"/>
        </w:rPr>
        <w:lastRenderedPageBreak/>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930DA0">
        <w:rPr>
          <w:rFonts w:ascii="Arial" w:hAnsi="Arial" w:cs="Arial"/>
          <w:vertAlign w:val="superscript"/>
        </w:rPr>
        <w:footnoteReference w:id="1"/>
      </w:r>
      <w:r w:rsidRPr="00930DA0">
        <w:rPr>
          <w:rFonts w:ascii="Arial" w:hAnsi="Arial" w:cs="Arial"/>
          <w:lang w:val="es-ES"/>
        </w:rPr>
        <w:t xml:space="preserve">. Esta competencia de interpretación de normas generales, por definición, no puede extenderse a la resolución de controversias, ni a brindar asesorías sobre casos puntuales. Esto en la medida en </w:t>
      </w:r>
      <w:proofErr w:type="gramStart"/>
      <w:r w:rsidRPr="00930DA0">
        <w:rPr>
          <w:rFonts w:ascii="Arial" w:hAnsi="Arial" w:cs="Arial"/>
          <w:lang w:val="es-ES"/>
        </w:rPr>
        <w:t>que</w:t>
      </w:r>
      <w:proofErr w:type="gramEnd"/>
      <w:r w:rsidRPr="00930DA0">
        <w:rPr>
          <w:rFonts w:ascii="Arial" w:hAnsi="Arial" w:cs="Arial"/>
          <w:lang w:val="es-ES"/>
        </w:rPr>
        <w:t xml:space="preserve"> para resolver una consulta de carácter particular, además de conocer un sinnúmero de detalles de la actuación administrativa, es necesario acceder al expediente y a los documentos del procedimiento contractual donde surge la inquietud</w:t>
      </w:r>
      <w:bookmarkEnd w:id="2"/>
      <w:r w:rsidRPr="00930DA0">
        <w:rPr>
          <w:rFonts w:ascii="Arial" w:hAnsi="Arial" w:cs="Arial"/>
          <w:lang w:val="es-ES"/>
        </w:rPr>
        <w:t xml:space="preserve">. </w:t>
      </w:r>
    </w:p>
    <w:p w14:paraId="1EF82776" w14:textId="0EE36E6F" w:rsidR="002660AE" w:rsidRPr="00930DA0" w:rsidRDefault="004835FA" w:rsidP="00641C7A">
      <w:pPr>
        <w:spacing w:after="120" w:line="276" w:lineRule="auto"/>
        <w:ind w:firstLine="708"/>
        <w:jc w:val="both"/>
        <w:rPr>
          <w:rFonts w:ascii="Arial" w:hAnsi="Arial" w:cs="Arial"/>
          <w:lang w:val="es-ES"/>
        </w:rPr>
      </w:pPr>
      <w:r w:rsidRPr="00930DA0">
        <w:rPr>
          <w:rFonts w:ascii="Arial" w:hAnsi="Arial" w:cs="Arial"/>
          <w:lang w:val="es-ES"/>
        </w:rPr>
        <w:t>Por lo anterior, previo concepto de sus órganos asesores, la solución de estos temas corresponde a la entidad que adelanta el procedimiento de selección y, en caso de conflicto, a las autoridades judiciales, fiscales y disciplinarias.</w:t>
      </w:r>
      <w:r w:rsidR="00F0418C" w:rsidRPr="00930DA0">
        <w:rPr>
          <w:rFonts w:ascii="Arial" w:hAnsi="Arial" w:cs="Arial"/>
          <w:lang w:val="es-ES"/>
        </w:rPr>
        <w:t xml:space="preserve"> </w:t>
      </w:r>
      <w:r w:rsidR="00F0418C" w:rsidRPr="00930DA0">
        <w:rPr>
          <w:rFonts w:ascii="Arial" w:eastAsia="Calibri" w:hAnsi="Arial" w:cs="Arial"/>
          <w:color w:val="000000" w:themeColor="text1"/>
        </w:rPr>
        <w:t xml:space="preserve">En todo caso, </w:t>
      </w:r>
      <w:r w:rsidR="00F0418C" w:rsidRPr="00930DA0">
        <w:rPr>
          <w:rFonts w:ascii="Arial" w:eastAsia="Calibri" w:hAnsi="Arial" w:cs="Arial"/>
          <w:color w:val="000000" w:themeColor="text1"/>
          <w:lang w:val="es-ES"/>
        </w:rPr>
        <w:t xml:space="preserve">la Subdirección –dentro de los límites de sus atribuciones, esto es, </w:t>
      </w:r>
      <w:bookmarkStart w:id="3" w:name="_Hlk61025408"/>
      <w:r w:rsidR="00F0418C" w:rsidRPr="00930DA0">
        <w:rPr>
          <w:rFonts w:ascii="Arial" w:eastAsia="Calibri" w:hAnsi="Arial" w:cs="Arial"/>
          <w:color w:val="000000" w:themeColor="text1"/>
          <w:lang w:val="es-ES"/>
        </w:rPr>
        <w:t>haciendo abstracción del caso particular expuesto por el peticionario</w:t>
      </w:r>
      <w:bookmarkEnd w:id="3"/>
      <w:r w:rsidR="00F0418C" w:rsidRPr="00930DA0">
        <w:rPr>
          <w:rFonts w:ascii="Arial" w:eastAsia="Calibri" w:hAnsi="Arial" w:cs="Arial"/>
          <w:color w:val="000000" w:themeColor="text1"/>
          <w:lang w:val="es-ES"/>
        </w:rPr>
        <w:t>– resolverá la consulta conforme a las normas generales en materia de contratación estatal.</w:t>
      </w:r>
      <w:r w:rsidRPr="00930DA0">
        <w:rPr>
          <w:rFonts w:ascii="Arial" w:hAnsi="Arial" w:cs="Arial"/>
          <w:lang w:val="es-ES"/>
        </w:rPr>
        <w:t xml:space="preserve"> </w:t>
      </w:r>
      <w:bookmarkEnd w:id="0"/>
      <w:bookmarkEnd w:id="1"/>
    </w:p>
    <w:p w14:paraId="2680A119" w14:textId="54B37D50" w:rsidR="00B749D1" w:rsidRPr="00930DA0" w:rsidRDefault="00F0418C" w:rsidP="00641C7A">
      <w:pPr>
        <w:spacing w:after="0" w:line="276" w:lineRule="auto"/>
        <w:ind w:firstLine="708"/>
        <w:jc w:val="both"/>
        <w:rPr>
          <w:rFonts w:ascii="Arial" w:eastAsia="Calibri" w:hAnsi="Arial" w:cs="Arial"/>
          <w:color w:val="000000"/>
          <w:lang w:val="es-ES_tradnl"/>
        </w:rPr>
      </w:pPr>
      <w:r w:rsidRPr="00930DA0">
        <w:rPr>
          <w:rFonts w:ascii="Arial" w:eastAsia="Calibri" w:hAnsi="Arial" w:cs="Arial"/>
          <w:color w:val="000000"/>
          <w:lang w:val="es-ES_tradnl"/>
        </w:rPr>
        <w:t>Al respecto, l</w:t>
      </w:r>
      <w:r w:rsidR="00B749D1" w:rsidRPr="00930DA0">
        <w:rPr>
          <w:rFonts w:ascii="Arial" w:eastAsia="Calibri" w:hAnsi="Arial" w:cs="Arial"/>
          <w:color w:val="000000"/>
          <w:lang w:val="es-ES_tradnl"/>
        </w:rPr>
        <w:t>a Agencia Nacional de Contratación Pública – Colombia Compra Eficiente ha estudiado el ámbito de aplicación de los documentos tipo en los conceptos C-645 del 6 de noviembre de 2020, C-673 del 11 de noviembre de 2020, C-692 del 27 de noviembre de 2020, C-778 del 18 de enero de 2021, C-021 del 22 de febrero de 2021, C-091 del 23 de marzo de 2021, C-200 del 14 de mayo de 2021, C-231 del 24 de mayo de 2021, C-267 de 2 de junio de 2021, C-370 del 28 de julio de 2021</w:t>
      </w:r>
      <w:r w:rsidR="00932CDB" w:rsidRPr="00930DA0">
        <w:rPr>
          <w:rFonts w:ascii="Arial" w:eastAsia="Calibri" w:hAnsi="Arial" w:cs="Arial"/>
          <w:color w:val="000000"/>
          <w:lang w:val="es-ES_tradnl"/>
        </w:rPr>
        <w:t xml:space="preserve">, </w:t>
      </w:r>
      <w:r w:rsidR="00B749D1" w:rsidRPr="00930DA0">
        <w:rPr>
          <w:rFonts w:ascii="Arial" w:eastAsia="Calibri" w:hAnsi="Arial" w:cs="Arial"/>
          <w:color w:val="000000"/>
          <w:lang w:val="es-ES_tradnl"/>
        </w:rPr>
        <w:t>C-380 del 29 de julio de 2021</w:t>
      </w:r>
      <w:r w:rsidR="009E77C3" w:rsidRPr="00930DA0">
        <w:rPr>
          <w:rFonts w:ascii="Arial" w:eastAsia="Calibri" w:hAnsi="Arial" w:cs="Arial"/>
          <w:color w:val="000000"/>
          <w:lang w:val="es-ES_tradnl"/>
        </w:rPr>
        <w:t xml:space="preserve">, </w:t>
      </w:r>
      <w:r w:rsidR="00932CDB" w:rsidRPr="00930DA0">
        <w:rPr>
          <w:rFonts w:ascii="Arial" w:eastAsia="Calibri" w:hAnsi="Arial" w:cs="Arial"/>
          <w:color w:val="000000"/>
          <w:lang w:val="es-ES_tradnl"/>
        </w:rPr>
        <w:t>C-643 del 17 de noviembre de 2021</w:t>
      </w:r>
      <w:r w:rsidR="009E77C3" w:rsidRPr="00930DA0">
        <w:rPr>
          <w:rFonts w:ascii="Arial" w:eastAsia="Calibri" w:hAnsi="Arial" w:cs="Arial"/>
          <w:color w:val="000000"/>
          <w:lang w:val="es-ES_tradnl"/>
        </w:rPr>
        <w:t xml:space="preserve"> y C-705 del 05 de enero de 2022</w:t>
      </w:r>
      <w:r w:rsidR="00932CDB" w:rsidRPr="00930DA0">
        <w:rPr>
          <w:rFonts w:ascii="Arial" w:eastAsia="Calibri" w:hAnsi="Arial" w:cs="Arial"/>
          <w:color w:val="000000"/>
          <w:lang w:val="es-ES_tradnl"/>
        </w:rPr>
        <w:t>,</w:t>
      </w:r>
      <w:r w:rsidR="00B749D1" w:rsidRPr="00930DA0">
        <w:rPr>
          <w:rFonts w:ascii="Arial" w:eastAsia="Calibri" w:hAnsi="Arial" w:cs="Arial"/>
          <w:color w:val="000000"/>
          <w:lang w:val="es-ES_tradnl"/>
        </w:rPr>
        <w:t xml:space="preserve"> entre otros. </w:t>
      </w:r>
      <w:r w:rsidR="009E77C3" w:rsidRPr="00930DA0">
        <w:rPr>
          <w:rFonts w:ascii="Arial" w:eastAsia="Calibri" w:hAnsi="Arial" w:cs="Arial"/>
          <w:color w:val="000000"/>
          <w:lang w:val="es-ES_tradnl"/>
        </w:rPr>
        <w:t xml:space="preserve"> L</w:t>
      </w:r>
      <w:r w:rsidR="00B749D1" w:rsidRPr="00930DA0">
        <w:rPr>
          <w:rFonts w:ascii="Arial" w:eastAsia="Calibri" w:hAnsi="Arial" w:cs="Arial"/>
          <w:color w:val="000000"/>
          <w:lang w:val="es-ES_tradnl"/>
        </w:rPr>
        <w:t>as tesis expuestas en</w:t>
      </w:r>
      <w:r w:rsidR="00F34691" w:rsidRPr="00930DA0">
        <w:rPr>
          <w:rFonts w:ascii="Arial" w:eastAsia="Calibri" w:hAnsi="Arial" w:cs="Arial"/>
          <w:color w:val="000000"/>
          <w:lang w:val="es-ES_tradnl"/>
        </w:rPr>
        <w:t xml:space="preserve"> estos conceptos </w:t>
      </w:r>
      <w:r w:rsidR="00B749D1" w:rsidRPr="00930DA0">
        <w:rPr>
          <w:rFonts w:ascii="Arial" w:eastAsia="Calibri" w:hAnsi="Arial" w:cs="Arial"/>
          <w:color w:val="000000"/>
          <w:lang w:val="es-ES_tradnl"/>
        </w:rPr>
        <w:t>se reiteran</w:t>
      </w:r>
      <w:r w:rsidR="009E77C3" w:rsidRPr="00930DA0">
        <w:rPr>
          <w:rFonts w:ascii="Arial" w:eastAsia="Calibri" w:hAnsi="Arial" w:cs="Arial"/>
          <w:color w:val="000000"/>
          <w:lang w:val="es-ES_tradnl"/>
        </w:rPr>
        <w:t xml:space="preserve"> y se complementan en lo pertinente a continuación</w:t>
      </w:r>
      <w:r w:rsidRPr="00930DA0">
        <w:rPr>
          <w:rFonts w:ascii="Arial" w:eastAsia="Calibri" w:hAnsi="Arial" w:cs="Arial"/>
          <w:color w:val="000000"/>
          <w:lang w:val="es-ES_tradnl"/>
        </w:rPr>
        <w:t>:</w:t>
      </w:r>
    </w:p>
    <w:p w14:paraId="7606953B" w14:textId="77777777" w:rsidR="00FC5423" w:rsidRPr="00930DA0" w:rsidRDefault="00FC5423" w:rsidP="00FC5423">
      <w:pPr>
        <w:spacing w:after="0" w:line="276" w:lineRule="auto"/>
        <w:jc w:val="both"/>
        <w:rPr>
          <w:rFonts w:ascii="Arial" w:eastAsia="Calibri" w:hAnsi="Arial" w:cs="Arial"/>
          <w:color w:val="000000"/>
          <w:lang w:val="es-ES_tradnl"/>
        </w:rPr>
      </w:pPr>
    </w:p>
    <w:p w14:paraId="24945848" w14:textId="0F3EB696" w:rsidR="00951D2A" w:rsidRPr="00930DA0" w:rsidRDefault="00951D2A" w:rsidP="00FC5423">
      <w:pPr>
        <w:spacing w:after="0" w:line="276" w:lineRule="auto"/>
        <w:jc w:val="both"/>
        <w:rPr>
          <w:rFonts w:ascii="Arial" w:eastAsia="Arial" w:hAnsi="Arial" w:cs="Arial"/>
          <w:b/>
          <w:bCs/>
          <w:color w:val="000000"/>
          <w:lang w:val="es-ES_tradnl"/>
        </w:rPr>
      </w:pPr>
      <w:r w:rsidRPr="00930DA0">
        <w:rPr>
          <w:rFonts w:ascii="Arial" w:eastAsia="Arial" w:hAnsi="Arial" w:cs="Arial"/>
          <w:b/>
          <w:bCs/>
          <w:color w:val="000000"/>
          <w:lang w:val="es-ES_tradnl"/>
        </w:rPr>
        <w:t>2.1. Fundamento normativo de los documentos tipo</w:t>
      </w:r>
      <w:r w:rsidR="00872198" w:rsidRPr="00930DA0">
        <w:rPr>
          <w:rFonts w:ascii="Arial" w:eastAsia="Arial" w:hAnsi="Arial" w:cs="Arial"/>
          <w:b/>
          <w:bCs/>
          <w:color w:val="000000"/>
          <w:lang w:val="es-ES_tradnl"/>
        </w:rPr>
        <w:t xml:space="preserve"> de infraestructura de transporte</w:t>
      </w:r>
      <w:r w:rsidRPr="00930DA0">
        <w:rPr>
          <w:rFonts w:ascii="Arial" w:eastAsia="Arial" w:hAnsi="Arial" w:cs="Arial"/>
          <w:b/>
          <w:bCs/>
          <w:color w:val="000000"/>
          <w:lang w:val="es-ES_tradnl"/>
        </w:rPr>
        <w:t xml:space="preserve"> </w:t>
      </w:r>
    </w:p>
    <w:p w14:paraId="6A0B8836" w14:textId="77777777" w:rsidR="00951D2A" w:rsidRPr="00930DA0" w:rsidRDefault="00951D2A" w:rsidP="00FC5423">
      <w:pPr>
        <w:spacing w:after="0" w:line="240" w:lineRule="auto"/>
        <w:jc w:val="both"/>
        <w:rPr>
          <w:rFonts w:ascii="Arial" w:eastAsia="Calibri" w:hAnsi="Arial" w:cs="Arial"/>
          <w:color w:val="000000"/>
          <w:lang w:val="es-ES_tradnl"/>
        </w:rPr>
      </w:pPr>
    </w:p>
    <w:p w14:paraId="2C595DFA" w14:textId="77777777" w:rsidR="000B16EA" w:rsidRPr="00930DA0" w:rsidRDefault="000B16EA" w:rsidP="00641C7A">
      <w:pPr>
        <w:shd w:val="clear" w:color="auto" w:fill="FFFFFF"/>
        <w:spacing w:line="276" w:lineRule="auto"/>
        <w:jc w:val="both"/>
        <w:rPr>
          <w:rFonts w:ascii="Arial" w:hAnsi="Arial" w:cs="Arial"/>
          <w:color w:val="0D0D0D"/>
          <w:bdr w:val="none" w:sz="0" w:space="0" w:color="auto" w:frame="1"/>
          <w:lang w:eastAsia="es-CO"/>
        </w:rPr>
      </w:pPr>
      <w:r w:rsidRPr="00930DA0">
        <w:rPr>
          <w:rFonts w:ascii="Arial" w:hAnsi="Arial" w:cs="Arial"/>
          <w:color w:val="0D0D0D"/>
          <w:bdr w:val="none" w:sz="0" w:space="0" w:color="auto" w:frame="1"/>
          <w:lang w:eastAsia="es-CO"/>
        </w:rPr>
        <w:t>Los pliegos tipo surgen en el 2007 cuando el legislador facultó al Gobierno Nacional para adoptarlos en la compra o suministro de bienes de características técnicas uniformes</w:t>
      </w:r>
      <w:r w:rsidRPr="00930DA0">
        <w:rPr>
          <w:rStyle w:val="Refdenotaalpie"/>
          <w:rFonts w:ascii="Arial" w:hAnsi="Arial" w:cs="Arial"/>
          <w:color w:val="0D0D0D"/>
          <w:bdr w:val="none" w:sz="0" w:space="0" w:color="auto" w:frame="1"/>
          <w:lang w:eastAsia="es-CO"/>
        </w:rPr>
        <w:footnoteReference w:id="2"/>
      </w:r>
      <w:r w:rsidRPr="00930DA0">
        <w:rPr>
          <w:rFonts w:ascii="Arial" w:hAnsi="Arial" w:cs="Arial"/>
          <w:color w:val="0D0D0D"/>
          <w:bdr w:val="none" w:sz="0" w:space="0" w:color="auto" w:frame="1"/>
          <w:lang w:eastAsia="es-CO"/>
        </w:rPr>
        <w:t xml:space="preserve">. La orientación inicial del proyecto que se convirtió en la Ley 1150 de 2007 era facultar al </w:t>
      </w:r>
      <w:r w:rsidRPr="00930DA0">
        <w:rPr>
          <w:rFonts w:ascii="Arial" w:hAnsi="Arial" w:cs="Arial"/>
          <w:color w:val="0D0D0D"/>
          <w:bdr w:val="none" w:sz="0" w:space="0" w:color="auto" w:frame="1"/>
          <w:lang w:eastAsia="es-CO"/>
        </w:rPr>
        <w:lastRenderedPageBreak/>
        <w:t>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930DA0">
        <w:rPr>
          <w:rStyle w:val="Refdenotaalpie"/>
          <w:rFonts w:ascii="Arial" w:hAnsi="Arial" w:cs="Arial"/>
          <w:color w:val="0D0D0D"/>
          <w:bdr w:val="none" w:sz="0" w:space="0" w:color="auto" w:frame="1"/>
          <w:lang w:eastAsia="es-CO"/>
        </w:rPr>
        <w:footnoteReference w:id="3"/>
      </w:r>
      <w:r w:rsidRPr="00930DA0">
        <w:rPr>
          <w:rFonts w:ascii="Arial" w:hAnsi="Arial" w:cs="Arial"/>
          <w:color w:val="0D0D0D"/>
          <w:bdr w:val="none" w:sz="0" w:space="0" w:color="auto" w:frame="1"/>
          <w:lang w:eastAsia="es-CO"/>
        </w:rPr>
        <w:t>. </w:t>
      </w:r>
    </w:p>
    <w:p w14:paraId="7B771755" w14:textId="77777777" w:rsidR="000B16EA" w:rsidRPr="00930DA0" w:rsidRDefault="000B16EA" w:rsidP="000B16EA">
      <w:pPr>
        <w:shd w:val="clear" w:color="auto" w:fill="FFFFFF"/>
        <w:spacing w:before="120" w:line="276" w:lineRule="auto"/>
        <w:ind w:firstLine="708"/>
        <w:jc w:val="both"/>
        <w:rPr>
          <w:rFonts w:ascii="Arial" w:hAnsi="Arial" w:cs="Arial"/>
          <w:color w:val="0D0D0D"/>
          <w:bdr w:val="none" w:sz="0" w:space="0" w:color="auto" w:frame="1"/>
          <w:lang w:eastAsia="es-CO"/>
        </w:rPr>
      </w:pPr>
      <w:r w:rsidRPr="00930DA0">
        <w:rPr>
          <w:rFonts w:ascii="Arial" w:hAnsi="Arial" w:cs="Arial"/>
          <w:color w:val="0D0D0D"/>
          <w:bdr w:val="none" w:sz="0" w:space="0" w:color="auto" w:frame="1"/>
          <w:lang w:eastAsia="es-CO"/>
        </w:rPr>
        <w:t>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sidRPr="00930DA0">
        <w:rPr>
          <w:rStyle w:val="Refdenotaalpie"/>
          <w:rFonts w:ascii="Arial" w:hAnsi="Arial" w:cs="Arial"/>
          <w:color w:val="0D0D0D"/>
          <w:bdr w:val="none" w:sz="0" w:space="0" w:color="auto" w:frame="1"/>
          <w:lang w:eastAsia="es-CO"/>
        </w:rPr>
        <w:footnoteReference w:id="4"/>
      </w:r>
      <w:r w:rsidRPr="00930DA0">
        <w:rPr>
          <w:rFonts w:ascii="Arial" w:hAnsi="Arial" w:cs="Arial"/>
          <w:color w:val="0D0D0D"/>
          <w:bdr w:val="none" w:sz="0" w:space="0" w:color="auto" w:frame="1"/>
          <w:lang w:eastAsia="es-CO"/>
        </w:rPr>
        <w:t>. Sin embargo, en el texto aprobado, los pliegos tipo se limitaron a la adquisición o suministro de bienes de características técnicas uniformes</w:t>
      </w:r>
      <w:r w:rsidRPr="00930DA0">
        <w:rPr>
          <w:rStyle w:val="Refdenotaalpie"/>
          <w:rFonts w:ascii="Arial" w:hAnsi="Arial" w:cs="Arial"/>
          <w:color w:val="0D0D0D"/>
          <w:bdr w:val="none" w:sz="0" w:space="0" w:color="auto" w:frame="1"/>
          <w:lang w:eastAsia="es-CO"/>
        </w:rPr>
        <w:footnoteReference w:id="5"/>
      </w:r>
      <w:r w:rsidRPr="00930DA0">
        <w:rPr>
          <w:rFonts w:ascii="Arial" w:hAnsi="Arial" w:cs="Arial"/>
          <w:color w:val="0D0D0D"/>
          <w:bdr w:val="none" w:sz="0" w:space="0" w:color="auto" w:frame="1"/>
          <w:lang w:eastAsia="es-CO"/>
        </w:rPr>
        <w:t>. </w:t>
      </w:r>
    </w:p>
    <w:p w14:paraId="22C71E14" w14:textId="77777777" w:rsidR="000B16EA" w:rsidRPr="00930DA0" w:rsidRDefault="000B16EA" w:rsidP="00641C7A">
      <w:pPr>
        <w:shd w:val="clear" w:color="auto" w:fill="FFFFFF"/>
        <w:spacing w:after="0" w:line="276" w:lineRule="auto"/>
        <w:ind w:firstLine="709"/>
        <w:jc w:val="both"/>
        <w:rPr>
          <w:rFonts w:ascii="Arial" w:hAnsi="Arial" w:cs="Arial"/>
          <w:color w:val="0D0D0D"/>
          <w:bdr w:val="none" w:sz="0" w:space="0" w:color="auto" w:frame="1"/>
          <w:lang w:eastAsia="es-CO"/>
        </w:rPr>
      </w:pPr>
      <w:r w:rsidRPr="00930DA0">
        <w:rPr>
          <w:rFonts w:ascii="Arial" w:hAnsi="Arial" w:cs="Arial"/>
          <w:color w:val="0D0D0D"/>
          <w:bdr w:val="none" w:sz="0" w:space="0" w:color="auto" w:frame="1"/>
          <w:lang w:eastAsia="es-CO"/>
        </w:rPr>
        <w:t>Posteriormente, el artículo 2, parágrafo 7º, de la Ley 1150 de 2007, adicionado por el artículo 4 de la Ley 1882 de 2018, establece la obligatoriedad de la adopción de documentos tipo para algunos contratos, en los siguientes términos: </w:t>
      </w:r>
    </w:p>
    <w:p w14:paraId="4BD9A507" w14:textId="77777777" w:rsidR="000B16EA" w:rsidRPr="00930DA0" w:rsidRDefault="000B16EA" w:rsidP="00641C7A">
      <w:pPr>
        <w:shd w:val="clear" w:color="auto" w:fill="FFFFFF"/>
        <w:spacing w:after="0" w:line="276" w:lineRule="auto"/>
        <w:ind w:firstLine="709"/>
        <w:jc w:val="both"/>
        <w:rPr>
          <w:rFonts w:ascii="Arial" w:hAnsi="Arial" w:cs="Arial"/>
          <w:color w:val="000000"/>
          <w:lang w:eastAsia="es-CO"/>
        </w:rPr>
      </w:pPr>
    </w:p>
    <w:p w14:paraId="779CED7C" w14:textId="77777777" w:rsidR="000B16EA" w:rsidRPr="00930DA0" w:rsidRDefault="000B16EA" w:rsidP="00641C7A">
      <w:pPr>
        <w:shd w:val="clear" w:color="auto" w:fill="FFFFFF"/>
        <w:spacing w:after="0"/>
        <w:ind w:left="709" w:right="709"/>
        <w:jc w:val="both"/>
        <w:rPr>
          <w:rFonts w:ascii="Arial" w:hAnsi="Arial" w:cs="Arial"/>
          <w:color w:val="0D0D0D"/>
          <w:sz w:val="21"/>
          <w:szCs w:val="21"/>
          <w:bdr w:val="none" w:sz="0" w:space="0" w:color="auto" w:frame="1"/>
          <w:lang w:eastAsia="es-CO"/>
        </w:rPr>
      </w:pPr>
      <w:r w:rsidRPr="00930DA0">
        <w:rPr>
          <w:rFonts w:ascii="Arial" w:hAnsi="Arial" w:cs="Arial"/>
          <w:color w:val="0D0D0D"/>
          <w:sz w:val="21"/>
          <w:szCs w:val="21"/>
          <w:bdr w:val="none" w:sz="0" w:space="0" w:color="auto" w:frame="1"/>
          <w:lang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930DA0">
        <w:rPr>
          <w:rFonts w:ascii="Arial" w:hAnsi="Arial" w:cs="Arial"/>
          <w:i/>
          <w:iCs/>
          <w:color w:val="0D0D0D"/>
          <w:sz w:val="21"/>
          <w:szCs w:val="21"/>
          <w:bdr w:val="none" w:sz="0" w:space="0" w:color="auto" w:frame="1"/>
          <w:lang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930DA0">
        <w:rPr>
          <w:rFonts w:ascii="Arial" w:hAnsi="Arial" w:cs="Arial"/>
          <w:color w:val="0D0D0D"/>
          <w:sz w:val="21"/>
          <w:szCs w:val="21"/>
          <w:bdr w:val="none" w:sz="0" w:space="0" w:color="auto" w:frame="1"/>
          <w:lang w:eastAsia="es-CO"/>
        </w:rPr>
        <w:t> […] </w:t>
      </w:r>
      <w:r w:rsidRPr="00930DA0">
        <w:rPr>
          <w:rFonts w:ascii="Arial" w:hAnsi="Arial" w:cs="Arial"/>
          <w:i/>
          <w:iCs/>
          <w:color w:val="0D0D0D"/>
          <w:sz w:val="21"/>
          <w:szCs w:val="21"/>
          <w:bdr w:val="none" w:sz="0" w:space="0" w:color="auto" w:frame="1"/>
          <w:lang w:eastAsia="es-CO"/>
        </w:rPr>
        <w:t>teniendo en cuenta la naturaleza y cuantía de los contratos</w:t>
      </w:r>
      <w:r w:rsidRPr="00930DA0">
        <w:rPr>
          <w:rFonts w:ascii="Arial" w:hAnsi="Arial" w:cs="Arial"/>
          <w:color w:val="0D0D0D"/>
          <w:sz w:val="21"/>
          <w:szCs w:val="21"/>
          <w:bdr w:val="none" w:sz="0" w:space="0" w:color="auto" w:frame="1"/>
          <w:lang w:eastAsia="es-CO"/>
        </w:rPr>
        <w:t> […]. (Énfasis fuera de texto) </w:t>
      </w:r>
    </w:p>
    <w:p w14:paraId="5A4F961F" w14:textId="77777777" w:rsidR="000B16EA" w:rsidRPr="00930DA0" w:rsidRDefault="000B16EA" w:rsidP="00641C7A">
      <w:pPr>
        <w:shd w:val="clear" w:color="auto" w:fill="FFFFFF"/>
        <w:spacing w:after="0" w:line="276" w:lineRule="auto"/>
        <w:ind w:left="709" w:right="709"/>
        <w:jc w:val="both"/>
        <w:rPr>
          <w:rFonts w:ascii="Arial" w:hAnsi="Arial" w:cs="Arial"/>
          <w:color w:val="000000"/>
          <w:lang w:eastAsia="es-CO"/>
        </w:rPr>
      </w:pPr>
    </w:p>
    <w:p w14:paraId="3A3F08A4" w14:textId="77777777" w:rsidR="000B16EA" w:rsidRPr="00930DA0" w:rsidRDefault="000B16EA" w:rsidP="000B16EA">
      <w:pPr>
        <w:shd w:val="clear" w:color="auto" w:fill="FFFFFF"/>
        <w:spacing w:line="276" w:lineRule="auto"/>
        <w:ind w:firstLine="708"/>
        <w:jc w:val="both"/>
        <w:rPr>
          <w:rFonts w:ascii="Arial" w:hAnsi="Arial" w:cs="Arial"/>
          <w:color w:val="0D0D0D"/>
          <w:bdr w:val="none" w:sz="0" w:space="0" w:color="auto" w:frame="1"/>
          <w:lang w:eastAsia="es-CO"/>
        </w:rPr>
      </w:pPr>
      <w:r w:rsidRPr="00930DA0">
        <w:rPr>
          <w:rFonts w:ascii="Arial" w:hAnsi="Arial" w:cs="Arial"/>
          <w:color w:val="0D0D0D"/>
          <w:bdr w:val="none" w:sz="0" w:space="0" w:color="auto" w:frame="1"/>
          <w:lang w:eastAsia="es-CO"/>
        </w:rPr>
        <w:t xml:space="preserve">Sin embargo, 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pues antes se señalaba al Gobierno Nacional y ahora la entidad encargada directamente por la Ley es la Agencia Nacional de Contratación Pública – Colombia Compra Eficiente– o quien haga sus veces; </w:t>
      </w:r>
      <w:proofErr w:type="spellStart"/>
      <w:r w:rsidRPr="00930DA0">
        <w:rPr>
          <w:rFonts w:ascii="Arial" w:hAnsi="Arial" w:cs="Arial"/>
          <w:color w:val="0D0D0D"/>
          <w:bdr w:val="none" w:sz="0" w:space="0" w:color="auto" w:frame="1"/>
          <w:lang w:eastAsia="es-CO"/>
        </w:rPr>
        <w:t>ii</w:t>
      </w:r>
      <w:proofErr w:type="spellEnd"/>
      <w:r w:rsidRPr="00930DA0">
        <w:rPr>
          <w:rFonts w:ascii="Arial" w:hAnsi="Arial" w:cs="Arial"/>
          <w:color w:val="0D0D0D"/>
          <w:bdr w:val="none" w:sz="0" w:space="0" w:color="auto" w:frame="1"/>
          <w:lang w:eastAsia="es-CO"/>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930DA0">
        <w:rPr>
          <w:rFonts w:ascii="Arial" w:hAnsi="Arial" w:cs="Arial"/>
          <w:color w:val="0D0D0D"/>
          <w:bdr w:val="none" w:sz="0" w:space="0" w:color="auto" w:frame="1"/>
          <w:lang w:eastAsia="es-CO"/>
        </w:rPr>
        <w:t>iii</w:t>
      </w:r>
      <w:proofErr w:type="spellEnd"/>
      <w:r w:rsidRPr="00930DA0">
        <w:rPr>
          <w:rFonts w:ascii="Arial" w:hAnsi="Arial" w:cs="Arial"/>
          <w:color w:val="0D0D0D"/>
          <w:bdr w:val="none" w:sz="0" w:space="0" w:color="auto" w:frame="1"/>
          <w:lang w:eastAsia="es-CO"/>
        </w:rPr>
        <w:t xml:space="preserve">) la implementación de procesos de capacitación en los municipios para la utilización de los documentos tipo buscando el desarrollo de la economía local; y </w:t>
      </w:r>
      <w:proofErr w:type="spellStart"/>
      <w:r w:rsidRPr="00930DA0">
        <w:rPr>
          <w:rFonts w:ascii="Arial" w:hAnsi="Arial" w:cs="Arial"/>
          <w:color w:val="0D0D0D"/>
          <w:bdr w:val="none" w:sz="0" w:space="0" w:color="auto" w:frame="1"/>
          <w:lang w:eastAsia="es-CO"/>
        </w:rPr>
        <w:t>iv</w:t>
      </w:r>
      <w:proofErr w:type="spellEnd"/>
      <w:r w:rsidRPr="00930DA0">
        <w:rPr>
          <w:rFonts w:ascii="Arial" w:hAnsi="Arial" w:cs="Arial"/>
          <w:color w:val="0D0D0D"/>
          <w:bdr w:val="none" w:sz="0" w:space="0" w:color="auto" w:frame="1"/>
          <w:lang w:eastAsia="es-CO"/>
        </w:rPr>
        <w:t xml:space="preserve">) las responsabilidades para Colombia Compra Eficiente en la definición del desarrollo e </w:t>
      </w:r>
      <w:r w:rsidRPr="00930DA0">
        <w:rPr>
          <w:rFonts w:ascii="Arial" w:hAnsi="Arial" w:cs="Arial"/>
          <w:color w:val="0D0D0D"/>
          <w:bdr w:val="none" w:sz="0" w:space="0" w:color="auto" w:frame="1"/>
          <w:lang w:eastAsia="es-CO"/>
        </w:rPr>
        <w:lastRenderedPageBreak/>
        <w:t>implementación de los documentos tipo mediante cronogramas, coordinación con otras entidades especializadas, recepción de comentarios de los interesados y revisión de los documentos tipo expedidos</w:t>
      </w:r>
      <w:r w:rsidRPr="00930DA0">
        <w:rPr>
          <w:rStyle w:val="Refdenotaalpie"/>
          <w:rFonts w:ascii="Arial" w:hAnsi="Arial" w:cs="Arial"/>
          <w:color w:val="0D0D0D"/>
          <w:bdr w:val="none" w:sz="0" w:space="0" w:color="auto" w:frame="1"/>
          <w:lang w:eastAsia="es-CO"/>
        </w:rPr>
        <w:footnoteReference w:id="6"/>
      </w:r>
      <w:r w:rsidRPr="00930DA0">
        <w:rPr>
          <w:rFonts w:ascii="Arial" w:hAnsi="Arial" w:cs="Arial"/>
          <w:color w:val="0D0D0D"/>
          <w:bdr w:val="none" w:sz="0" w:space="0" w:color="auto" w:frame="1"/>
          <w:lang w:eastAsia="es-CO"/>
        </w:rPr>
        <w:t>.  </w:t>
      </w:r>
    </w:p>
    <w:p w14:paraId="1F3B4C34" w14:textId="77777777" w:rsidR="000B16EA" w:rsidRPr="00930DA0" w:rsidRDefault="000B16EA" w:rsidP="000B16EA">
      <w:pPr>
        <w:shd w:val="clear" w:color="auto" w:fill="FFFFFF"/>
        <w:spacing w:before="120" w:line="276" w:lineRule="auto"/>
        <w:ind w:firstLine="703"/>
        <w:jc w:val="both"/>
        <w:rPr>
          <w:rFonts w:ascii="Arial" w:hAnsi="Arial" w:cs="Arial"/>
          <w:color w:val="0D0D0D"/>
          <w:bdr w:val="none" w:sz="0" w:space="0" w:color="auto" w:frame="1"/>
          <w:lang w:eastAsia="es-CO"/>
        </w:rPr>
      </w:pPr>
      <w:r w:rsidRPr="00930DA0">
        <w:rPr>
          <w:rFonts w:ascii="Arial" w:hAnsi="Arial" w:cs="Arial"/>
          <w:color w:val="0D0D0D"/>
          <w:bdr w:val="none" w:sz="0" w:space="0" w:color="auto" w:frame="1"/>
          <w:lang w:eastAsia="es-CO"/>
        </w:rPr>
        <w:t>Sin perjuicio de lo anterior, la exposición de motivos del proyecto que se convirtió en la Ley 1882 de 2018 se refirió a la necesidad de utilizar documentos tipo, pues reducen el 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 </w:t>
      </w:r>
    </w:p>
    <w:p w14:paraId="40E72B73" w14:textId="77777777" w:rsidR="000B16EA" w:rsidRPr="00930DA0" w:rsidRDefault="000B16EA" w:rsidP="000B16EA">
      <w:pPr>
        <w:shd w:val="clear" w:color="auto" w:fill="FFFFFF"/>
        <w:spacing w:before="120" w:line="276" w:lineRule="auto"/>
        <w:ind w:firstLine="705"/>
        <w:jc w:val="both"/>
        <w:rPr>
          <w:rFonts w:ascii="Arial" w:hAnsi="Arial" w:cs="Arial"/>
          <w:color w:val="0D0D0D"/>
          <w:bdr w:val="none" w:sz="0" w:space="0" w:color="auto" w:frame="1"/>
          <w:lang w:eastAsia="es-CO"/>
        </w:rPr>
      </w:pPr>
      <w:r w:rsidRPr="00930DA0">
        <w:rPr>
          <w:rFonts w:ascii="Arial" w:hAnsi="Arial" w:cs="Arial"/>
          <w:color w:val="0D0D0D"/>
          <w:bdr w:val="none" w:sz="0" w:space="0" w:color="auto" w:frame="1"/>
          <w:lang w:eastAsia="es-CO"/>
        </w:rPr>
        <w:t>En ejercicio de la competencia conferida por el citado parágrafo, el Gobierno Nacional expidió el Decreto 342 de 2019, por medio del cual se adoptaron los documentos tipo de licitaciones públicas para la selección de contratistas de obra de infraestructura de transporte. En esta medida, el reglamento adicionó la Sección 6 y la Subsección 1 al Capítulo 2 del Título 1 de la Parte 2 del Libro 2 del Decreto 1082 de 2015, Decreto Único Reglamentario del Sector Administrativo de Planeación Nacional.  </w:t>
      </w:r>
    </w:p>
    <w:p w14:paraId="7F7ABC55" w14:textId="77777777" w:rsidR="000B16EA" w:rsidRPr="00930DA0" w:rsidRDefault="000B16EA" w:rsidP="000B16EA">
      <w:pPr>
        <w:shd w:val="clear" w:color="auto" w:fill="FFFFFF"/>
        <w:spacing w:before="120" w:line="276" w:lineRule="auto"/>
        <w:ind w:firstLine="705"/>
        <w:jc w:val="both"/>
        <w:rPr>
          <w:rFonts w:ascii="Arial" w:hAnsi="Arial" w:cs="Arial"/>
          <w:color w:val="0D0D0D"/>
          <w:bdr w:val="none" w:sz="0" w:space="0" w:color="auto" w:frame="1"/>
          <w:lang w:eastAsia="es-CO"/>
        </w:rPr>
      </w:pPr>
      <w:r w:rsidRPr="00930DA0">
        <w:rPr>
          <w:rFonts w:ascii="Arial" w:hAnsi="Arial" w:cs="Arial"/>
          <w:color w:val="0D0D0D"/>
          <w:bdr w:val="none" w:sz="0" w:space="0" w:color="auto" w:frame="1"/>
          <w:lang w:eastAsia="es-CO"/>
        </w:rPr>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 Además, el artículo 2.2.1.2.6.1.2 del Decreto –referido al alcance de los documentos tipo–</w:t>
      </w:r>
      <w:r w:rsidRPr="00930DA0">
        <w:rPr>
          <w:rFonts w:ascii="Arial" w:hAnsi="Arial" w:cs="Arial"/>
          <w:color w:val="0D0D0D"/>
          <w:bdr w:val="none" w:sz="0" w:space="0" w:color="auto" w:frame="1"/>
          <w:lang w:eastAsia="es-CO"/>
        </w:rPr>
        <w:lastRenderedPageBreak/>
        <w:t>dispone que «contienen parámetros obligatorios para las entidades estatales sometidas al Estatuto General de la Contratación Pública que adelanten procesos de selección de licitación de obra pública de infraestructura de transporte».  </w:t>
      </w:r>
    </w:p>
    <w:p w14:paraId="2297F5C0" w14:textId="77777777" w:rsidR="000B16EA" w:rsidRPr="00930DA0" w:rsidRDefault="000B16EA" w:rsidP="000B16EA">
      <w:pPr>
        <w:shd w:val="clear" w:color="auto" w:fill="FFFFFF"/>
        <w:spacing w:before="120" w:line="276" w:lineRule="auto"/>
        <w:ind w:firstLine="705"/>
        <w:jc w:val="both"/>
        <w:rPr>
          <w:rFonts w:ascii="Arial" w:hAnsi="Arial" w:cs="Arial"/>
          <w:color w:val="0D0D0D"/>
          <w:bdr w:val="none" w:sz="0" w:space="0" w:color="auto" w:frame="1"/>
          <w:lang w:eastAsia="es-CO"/>
        </w:rPr>
      </w:pPr>
      <w:r w:rsidRPr="00930DA0">
        <w:rPr>
          <w:rFonts w:ascii="Arial" w:hAnsi="Arial" w:cs="Arial"/>
          <w:color w:val="0D0D0D"/>
          <w:bdr w:val="none" w:sz="0" w:space="0" w:color="auto" w:frame="1"/>
          <w:lang w:eastAsia="es-CO"/>
        </w:rPr>
        <w:t>El Gobierno Nacional mediante el artículo 2.2.1.2.6.1.3 del Decreto 1082 de 2015, adicionado por el Decreto 342 de 2019, facultó a la Agencia Nacional de Contratación Pública – Colombia Compra Eficiente, para que, en coordinación con el Departamento Nacional de Planeación –</w:t>
      </w:r>
      <w:proofErr w:type="spellStart"/>
      <w:r w:rsidRPr="00930DA0">
        <w:rPr>
          <w:rFonts w:ascii="Arial" w:hAnsi="Arial" w:cs="Arial"/>
          <w:color w:val="0D0D0D"/>
          <w:bdr w:val="none" w:sz="0" w:space="0" w:color="auto" w:frame="1"/>
          <w:lang w:eastAsia="es-CO"/>
        </w:rPr>
        <w:t>DNP</w:t>
      </w:r>
      <w:proofErr w:type="spellEnd"/>
      <w:r w:rsidRPr="00930DA0">
        <w:rPr>
          <w:rFonts w:ascii="Arial" w:hAnsi="Arial" w:cs="Arial"/>
          <w:color w:val="0D0D0D"/>
          <w:bdr w:val="none" w:sz="0" w:space="0" w:color="auto" w:frame="1"/>
          <w:lang w:eastAsia="es-CO"/>
        </w:rPr>
        <w:t>– y el Ministerio de Transporte, desarrollara e implementara los Documentos Tipo. Lo anterior se materializó con la expedición de la Resolución No. 1798 del 1º de abril de 2019 que implementó la Versión 1 de los documentos tipo para procesos de licitación de obra pública de infraestructura de transporte. </w:t>
      </w:r>
    </w:p>
    <w:p w14:paraId="3ABB9DBE" w14:textId="77777777" w:rsidR="000B16EA" w:rsidRPr="00930DA0" w:rsidRDefault="000B16EA" w:rsidP="000B16EA">
      <w:pPr>
        <w:shd w:val="clear" w:color="auto" w:fill="FFFFFF"/>
        <w:spacing w:before="120" w:line="276" w:lineRule="auto"/>
        <w:ind w:firstLine="705"/>
        <w:jc w:val="both"/>
        <w:rPr>
          <w:rFonts w:ascii="Arial" w:hAnsi="Arial" w:cs="Arial"/>
          <w:color w:val="0D0D0D"/>
          <w:bdr w:val="none" w:sz="0" w:space="0" w:color="auto" w:frame="1"/>
          <w:lang w:eastAsia="es-CO"/>
        </w:rPr>
      </w:pPr>
      <w:r w:rsidRPr="00930DA0">
        <w:rPr>
          <w:rFonts w:ascii="Arial" w:hAnsi="Arial" w:cs="Arial"/>
          <w:color w:val="0D0D0D"/>
          <w:bdr w:val="none" w:sz="0" w:space="0" w:color="auto" w:frame="1"/>
          <w:lang w:eastAsia="es-CO"/>
        </w:rPr>
        <w:t>La Agencia Nacional de Contratación Pública – Colombia Compra Eficiente, luego de identificar, junto con el Departamento Nacional de Planeación y el Ministerio de Transporte, la necesidad de actualizar los documentos tipo para los procesos de licitación pública con la finalidad de fortalecerlos y adaptarlos a la realidad de la contratación del país, implementó la versión 2. De esta manera expidió la Resolución No. 045 del 14 de febrero de 2020, «Por la cual se actualizan los Documentos Tipo para los procesos de selección de licitación de obra pública de infraestructura de transporte y se deroga la Resolución 1798 de 2019».  </w:t>
      </w:r>
    </w:p>
    <w:p w14:paraId="4A9F5771" w14:textId="77777777" w:rsidR="000B16EA" w:rsidRPr="00930DA0" w:rsidRDefault="000B16EA" w:rsidP="000B16EA">
      <w:pPr>
        <w:shd w:val="clear" w:color="auto" w:fill="FFFFFF"/>
        <w:spacing w:before="120" w:line="276" w:lineRule="auto"/>
        <w:ind w:firstLine="708"/>
        <w:jc w:val="both"/>
        <w:rPr>
          <w:rFonts w:ascii="Arial" w:hAnsi="Arial" w:cs="Arial"/>
          <w:color w:val="0D0D0D"/>
          <w:bdr w:val="none" w:sz="0" w:space="0" w:color="auto" w:frame="1"/>
          <w:lang w:eastAsia="es-CO"/>
        </w:rPr>
      </w:pPr>
      <w:r w:rsidRPr="00930DA0">
        <w:rPr>
          <w:rFonts w:ascii="Arial" w:hAnsi="Arial" w:cs="Arial"/>
          <w:color w:val="0D0D0D"/>
          <w:bdr w:val="none" w:sz="0" w:space="0" w:color="auto" w:frame="1"/>
          <w:lang w:eastAsia="es-CO"/>
        </w:rPr>
        <w:t>El Gobierno Nacional ejerció nuevamente la competencia prevista en el citado artículo 4 de la Ley 1882 de 2018, expidiendo el Decreto 2096 de 2019. En este Decreto se autorizó la elaboración de los documentos tipo para procesos de contratación de obra pública de infraestructura de transporte adelantados bajo la modalidad de selección abreviada de menor cuantía. Este reglamento adicionó la Subsección 2 a la Sección 6 del Capítulo 2 del Título 1 de la parte 2 del Libro 2 del Decreto 1082 de 2015. </w:t>
      </w:r>
    </w:p>
    <w:p w14:paraId="5DEA6696" w14:textId="77777777" w:rsidR="000B16EA" w:rsidRPr="00930DA0" w:rsidRDefault="000B16EA" w:rsidP="000B16EA">
      <w:pPr>
        <w:shd w:val="clear" w:color="auto" w:fill="FFFFFF"/>
        <w:spacing w:before="120" w:line="276" w:lineRule="auto"/>
        <w:ind w:firstLine="708"/>
        <w:jc w:val="both"/>
        <w:rPr>
          <w:rFonts w:ascii="Arial" w:hAnsi="Arial" w:cs="Arial"/>
          <w:color w:val="0D0D0D"/>
          <w:bdr w:val="none" w:sz="0" w:space="0" w:color="auto" w:frame="1"/>
          <w:lang w:eastAsia="es-CO"/>
        </w:rPr>
      </w:pPr>
      <w:r w:rsidRPr="00930DA0">
        <w:rPr>
          <w:rFonts w:ascii="Arial" w:hAnsi="Arial" w:cs="Arial"/>
          <w:color w:val="0D0D0D"/>
          <w:bdr w:val="none" w:sz="0" w:space="0" w:color="auto" w:frame="1"/>
          <w:lang w:eastAsia="es-CO"/>
        </w:rPr>
        <w:t>El artículo 2.2.1.2.6.2.2 del Decreto 1082 de 2015 contiene el listado de los documentos tipo aplicables a los procesos de selección abreviada de menor cuantía para la contratación de obra pública de infraestructura de transporte. Además, el 2.2.1.2.6.2.3 </w:t>
      </w:r>
      <w:r w:rsidRPr="00930DA0">
        <w:rPr>
          <w:rFonts w:ascii="Arial" w:hAnsi="Arial" w:cs="Arial"/>
          <w:i/>
          <w:iCs/>
          <w:color w:val="0D0D0D"/>
          <w:bdr w:val="none" w:sz="0" w:space="0" w:color="auto" w:frame="1"/>
          <w:lang w:eastAsia="es-CO"/>
        </w:rPr>
        <w:t>ibidem</w:t>
      </w:r>
      <w:r w:rsidRPr="00930DA0">
        <w:rPr>
          <w:rFonts w:ascii="Arial" w:hAnsi="Arial" w:cs="Arial"/>
          <w:color w:val="0D0D0D"/>
          <w:bdr w:val="none" w:sz="0" w:space="0" w:color="auto" w:frame="1"/>
          <w:lang w:eastAsia="es-CO"/>
        </w:rPr>
        <w:t> facultó a la Agencia Nacional de Contratación Pública – Colombia Compra Eficiente, para que, en coordinación con el Departamento Nacional de Planeación –</w:t>
      </w:r>
      <w:proofErr w:type="spellStart"/>
      <w:r w:rsidRPr="00930DA0">
        <w:rPr>
          <w:rFonts w:ascii="Arial" w:hAnsi="Arial" w:cs="Arial"/>
          <w:color w:val="0D0D0D"/>
          <w:bdr w:val="none" w:sz="0" w:space="0" w:color="auto" w:frame="1"/>
          <w:lang w:eastAsia="es-CO"/>
        </w:rPr>
        <w:t>DNP</w:t>
      </w:r>
      <w:proofErr w:type="spellEnd"/>
      <w:r w:rsidRPr="00930DA0">
        <w:rPr>
          <w:rFonts w:ascii="Arial" w:hAnsi="Arial" w:cs="Arial"/>
          <w:color w:val="0D0D0D"/>
          <w:bdr w:val="none" w:sz="0" w:space="0" w:color="auto" w:frame="1"/>
          <w:lang w:eastAsia="es-CO"/>
        </w:rPr>
        <w:t>– y el Ministerio de Transporte, desarrollara e implementara los documentos tipo. La entidad ejerció esta competencia mediante la expedición de la Resolución No. 044 del 14 de febrero de 2020, que implementó los documentos tipo para esta modalidad de selección. </w:t>
      </w:r>
    </w:p>
    <w:p w14:paraId="046E6ED9" w14:textId="77777777" w:rsidR="000B16EA" w:rsidRPr="00930DA0" w:rsidRDefault="000B16EA" w:rsidP="000B16EA">
      <w:pPr>
        <w:shd w:val="clear" w:color="auto" w:fill="FFFFFF"/>
        <w:spacing w:before="120" w:line="276" w:lineRule="auto"/>
        <w:ind w:firstLine="708"/>
        <w:jc w:val="both"/>
        <w:rPr>
          <w:rFonts w:ascii="Arial" w:hAnsi="Arial" w:cs="Arial"/>
          <w:color w:val="0D0D0D"/>
          <w:bdr w:val="none" w:sz="0" w:space="0" w:color="auto" w:frame="1"/>
          <w:lang w:eastAsia="es-CO"/>
        </w:rPr>
      </w:pPr>
      <w:r w:rsidRPr="00930DA0">
        <w:rPr>
          <w:rFonts w:ascii="Arial" w:hAnsi="Arial" w:cs="Arial"/>
          <w:color w:val="0D0D0D"/>
          <w:bdr w:val="none" w:sz="0" w:space="0" w:color="auto" w:frame="1"/>
          <w:lang w:eastAsia="es-CO"/>
        </w:rPr>
        <w:t>Finalmente, el Gobierno Nacional ejerció la competencia prevista en el citado artículo 4 de la Ley 1882 de 2018, expidiendo el Decreto 594 de 2020, el cual adoptó los documentos tipo para procesos de contratación de obra pública de infraestructura de transporte adelantados en la modalidad de mínima cuantía. Este reglamento adicionó la Subsección 3 a la Sección 6 del Capítulo 2 del Título 1 de la parte 2 del Libro 2 del Decreto 1082 de 2015. </w:t>
      </w:r>
    </w:p>
    <w:p w14:paraId="1B9F32F5" w14:textId="77777777" w:rsidR="000B16EA" w:rsidRPr="00930DA0" w:rsidRDefault="000B16EA" w:rsidP="000B16EA">
      <w:pPr>
        <w:shd w:val="clear" w:color="auto" w:fill="FFFFFF"/>
        <w:spacing w:before="120" w:line="276" w:lineRule="auto"/>
        <w:ind w:firstLine="708"/>
        <w:jc w:val="both"/>
        <w:rPr>
          <w:rFonts w:ascii="Arial" w:hAnsi="Arial" w:cs="Arial"/>
          <w:color w:val="0D0D0D"/>
          <w:bdr w:val="none" w:sz="0" w:space="0" w:color="auto" w:frame="1"/>
          <w:lang w:eastAsia="es-CO"/>
        </w:rPr>
      </w:pPr>
      <w:r w:rsidRPr="00930DA0">
        <w:rPr>
          <w:rFonts w:ascii="Arial" w:hAnsi="Arial" w:cs="Arial"/>
          <w:color w:val="0D0D0D"/>
          <w:bdr w:val="none" w:sz="0" w:space="0" w:color="auto" w:frame="1"/>
          <w:lang w:eastAsia="es-CO"/>
        </w:rPr>
        <w:lastRenderedPageBreak/>
        <w:t>El artículo 2.2.1.2.6.3.2 del Decreto 1082 de 2015 contiene el listado de los documentos tipo aplicables a los procesos de mínima cuantía para la contratación de obra pública de infraestructura de transporte, mientras que el 2.2.1.2.6.3.3 facultó a la Agencia Nacional de Contratación Pública – Colombia Compra Eficiente, para que, en coordinación con el Departamento Nacional de Planeación –</w:t>
      </w:r>
      <w:proofErr w:type="spellStart"/>
      <w:r w:rsidRPr="00930DA0">
        <w:rPr>
          <w:rFonts w:ascii="Arial" w:hAnsi="Arial" w:cs="Arial"/>
          <w:color w:val="0D0D0D"/>
          <w:bdr w:val="none" w:sz="0" w:space="0" w:color="auto" w:frame="1"/>
          <w:lang w:eastAsia="es-CO"/>
        </w:rPr>
        <w:t>DNP</w:t>
      </w:r>
      <w:proofErr w:type="spellEnd"/>
      <w:r w:rsidRPr="00930DA0">
        <w:rPr>
          <w:rFonts w:ascii="Arial" w:hAnsi="Arial" w:cs="Arial"/>
          <w:color w:val="0D0D0D"/>
          <w:bdr w:val="none" w:sz="0" w:space="0" w:color="auto" w:frame="1"/>
          <w:lang w:eastAsia="es-CO"/>
        </w:rPr>
        <w:t>– y el Ministerio de Transporte, desarrollara e implementara los documentos tipo. Esta competencia fue ejercida mediante la expedición de la Resolución No. 094 del 21 de mayo de 2020 que implementó los documentos tipo para esta modalidad de selección. </w:t>
      </w:r>
    </w:p>
    <w:p w14:paraId="4572965A" w14:textId="77777777" w:rsidR="000B16EA" w:rsidRPr="00930DA0" w:rsidRDefault="000B16EA" w:rsidP="000B16EA">
      <w:pPr>
        <w:pStyle w:val="Normal11pt"/>
        <w:spacing w:before="120" w:after="120" w:line="276" w:lineRule="auto"/>
        <w:ind w:left="0" w:firstLine="709"/>
        <w:rPr>
          <w:color w:val="0D0D0D"/>
          <w:bdr w:val="none" w:sz="0" w:space="0" w:color="auto" w:frame="1"/>
          <w:lang w:eastAsia="es-CO"/>
        </w:rPr>
      </w:pPr>
      <w:r w:rsidRPr="00930DA0">
        <w:rPr>
          <w:color w:val="0D0D0D"/>
          <w:bdr w:val="none" w:sz="0" w:space="0" w:color="auto" w:frame="1"/>
          <w:lang w:eastAsia="es-CO"/>
        </w:rPr>
        <w:t xml:space="preserve">Esta Agencia, analizando la afectación económica que causaron las medidas adoptadas para contener la pandemia COVID – 19 en el país, decidió actualizar los documentos tipo para los procesos de licitación de obra pública y selección abreviada de menor cuantía de infraestructura de transporte y, en consecuencia, adoptó medidas en apoyo a la industria nacional. Por tanto, bajo la competencia prevista en la Ley 2022 de 2020, Colombia Compra Eficiente expidió las Resoluciones No. 240 y 241 del 27 de noviembre 2020 mediante las cuales se adoptan los documentos tipo de licitación de obra pública – versión 3 y de selección abreviada de menor cuantía – versión 2 de infraestructura de transporte, los cuales son obligatorios a partir del 1º de enero de 2021. Incluso, estos se ajustaron mediante la Resolución No. 161 del 17 de junio de 2021, «Por la cual se modifican los documentos tipo adoptados por la Agencia Nacional de Contratación Pública – Colombia Compra Eficiente», para adaptar los documentos tipo a los factores de desempate del artículo 35 de la Ley 2069 de 2020. </w:t>
      </w:r>
    </w:p>
    <w:p w14:paraId="57FEE11F" w14:textId="77777777" w:rsidR="000B16EA" w:rsidRPr="00930DA0" w:rsidRDefault="000B16EA" w:rsidP="00641C7A">
      <w:pPr>
        <w:spacing w:after="0" w:line="276" w:lineRule="auto"/>
        <w:jc w:val="both"/>
        <w:rPr>
          <w:rFonts w:ascii="Arial" w:hAnsi="Arial" w:cs="Arial"/>
          <w:spacing w:val="2"/>
          <w:lang w:eastAsia="es-CO"/>
        </w:rPr>
      </w:pPr>
      <w:r w:rsidRPr="00930DA0">
        <w:rPr>
          <w:rFonts w:ascii="Arial" w:hAnsi="Arial" w:cs="Arial"/>
          <w:spacing w:val="2"/>
          <w:lang w:eastAsia="es-CO"/>
        </w:rPr>
        <w:tab/>
        <w:t>Posteriormente, el Decreto 680 del 22 de junio de 2021 modificó la regla de origen aplicable a los Servicios Nacionales, con el fin de acercar el mercado de compras públicas a las empresas colombianas de manera directa o indirecta, promoviendo el empleo en el país y generando emparejamientos y encadenamientos productivos. En este sentido, el parágrafo 2 del artículo 3 del Decreto 680 del 22 de junio de 2021 otorgó un plazo de tres (3) meses contados a partir de su expedición, para que la Agencia Nacional de Contratación Pública – Colombia Compra Eficiente adecúe los Documentos Tipo a las disposiciones previstas en dicho decreto. Ante este cambio normativo, se expidió la Resolución 304 del 13 de octubre de 2021, la cual modificó los documentos tipo a las nuevas reglas de origen aplicables a los servicios nacionales.</w:t>
      </w:r>
    </w:p>
    <w:p w14:paraId="723CD124" w14:textId="22304B8A" w:rsidR="008A5692" w:rsidRPr="00930DA0" w:rsidRDefault="008A5692" w:rsidP="00FC5423">
      <w:pPr>
        <w:shd w:val="clear" w:color="auto" w:fill="FFFFFF"/>
        <w:spacing w:after="0" w:line="276" w:lineRule="auto"/>
        <w:ind w:firstLine="709"/>
        <w:jc w:val="both"/>
        <w:textAlignment w:val="baseline"/>
        <w:rPr>
          <w:rFonts w:ascii="Arial" w:eastAsia="Calibri" w:hAnsi="Arial" w:cs="Arial"/>
          <w:color w:val="000000"/>
          <w:bdr w:val="none" w:sz="0" w:space="0" w:color="auto" w:frame="1"/>
        </w:rPr>
      </w:pPr>
    </w:p>
    <w:p w14:paraId="7AD39ADC" w14:textId="0CF413EF" w:rsidR="00300E95" w:rsidRPr="00930DA0" w:rsidRDefault="00882484" w:rsidP="00DB5B80">
      <w:pPr>
        <w:spacing w:after="0" w:line="276" w:lineRule="auto"/>
        <w:jc w:val="both"/>
        <w:rPr>
          <w:rFonts w:ascii="Arial" w:eastAsia="Calibri" w:hAnsi="Arial" w:cs="Arial"/>
          <w:b/>
          <w:color w:val="000000"/>
          <w:u w:val="single"/>
          <w:lang w:eastAsia="es-ES_tradnl"/>
        </w:rPr>
      </w:pPr>
      <w:r w:rsidRPr="00930DA0">
        <w:rPr>
          <w:rFonts w:ascii="Arial" w:eastAsia="Calibri" w:hAnsi="Arial" w:cs="Arial"/>
          <w:b/>
          <w:bCs/>
          <w:color w:val="000000"/>
          <w:szCs w:val="24"/>
          <w:lang w:eastAsia="en-GB"/>
        </w:rPr>
        <w:t>2.</w:t>
      </w:r>
      <w:r w:rsidR="00300E95" w:rsidRPr="00930DA0">
        <w:rPr>
          <w:rFonts w:ascii="Arial" w:eastAsia="Calibri" w:hAnsi="Arial" w:cs="Arial"/>
          <w:b/>
          <w:bCs/>
          <w:color w:val="000000"/>
          <w:szCs w:val="24"/>
          <w:lang w:eastAsia="en-GB"/>
        </w:rPr>
        <w:t>2</w:t>
      </w:r>
      <w:r w:rsidRPr="00930DA0">
        <w:rPr>
          <w:rFonts w:ascii="Arial" w:eastAsia="Calibri" w:hAnsi="Arial" w:cs="Arial"/>
          <w:b/>
          <w:bCs/>
          <w:color w:val="000000"/>
          <w:szCs w:val="24"/>
          <w:lang w:eastAsia="en-GB"/>
        </w:rPr>
        <w:t xml:space="preserve">. </w:t>
      </w:r>
      <w:r w:rsidR="000E45FA" w:rsidRPr="00930DA0">
        <w:rPr>
          <w:rFonts w:ascii="Arial" w:eastAsia="Calibri" w:hAnsi="Arial" w:cs="Arial"/>
          <w:b/>
          <w:color w:val="000000"/>
          <w:lang w:eastAsia="es-ES_tradnl"/>
        </w:rPr>
        <w:t>Ámbito de a</w:t>
      </w:r>
      <w:r w:rsidR="00300E95" w:rsidRPr="00930DA0">
        <w:rPr>
          <w:rFonts w:ascii="Arial" w:eastAsia="Calibri" w:hAnsi="Arial" w:cs="Arial"/>
          <w:b/>
          <w:color w:val="000000"/>
          <w:lang w:eastAsia="es-ES_tradnl"/>
        </w:rPr>
        <w:t>plicación de</w:t>
      </w:r>
      <w:r w:rsidR="00C638FC" w:rsidRPr="00930DA0">
        <w:rPr>
          <w:rFonts w:ascii="Arial" w:eastAsia="Calibri" w:hAnsi="Arial" w:cs="Arial"/>
          <w:b/>
          <w:color w:val="000000"/>
          <w:lang w:eastAsia="es-ES_tradnl"/>
        </w:rPr>
        <w:t xml:space="preserve"> los documentos tipo</w:t>
      </w:r>
      <w:r w:rsidR="00173362" w:rsidRPr="00930DA0">
        <w:rPr>
          <w:rFonts w:ascii="Arial" w:eastAsia="Calibri" w:hAnsi="Arial" w:cs="Arial"/>
          <w:b/>
          <w:color w:val="000000"/>
          <w:lang w:eastAsia="es-ES_tradnl"/>
        </w:rPr>
        <w:t xml:space="preserve"> de infraestructura de transporte</w:t>
      </w:r>
      <w:r w:rsidR="000E45FA" w:rsidRPr="00930DA0">
        <w:rPr>
          <w:rFonts w:ascii="Arial" w:eastAsia="Calibri" w:hAnsi="Arial" w:cs="Arial"/>
          <w:b/>
          <w:color w:val="000000"/>
          <w:lang w:eastAsia="es-ES_tradnl"/>
        </w:rPr>
        <w:t xml:space="preserve"> </w:t>
      </w:r>
    </w:p>
    <w:p w14:paraId="22E8E3E8" w14:textId="77777777" w:rsidR="00300E95" w:rsidRPr="00930DA0" w:rsidRDefault="00300E95" w:rsidP="00300E95">
      <w:pPr>
        <w:spacing w:after="0" w:line="276" w:lineRule="auto"/>
        <w:ind w:right="51"/>
        <w:jc w:val="both"/>
        <w:rPr>
          <w:rFonts w:ascii="Arial" w:eastAsia="Calibri" w:hAnsi="Arial" w:cs="Arial"/>
        </w:rPr>
      </w:pPr>
    </w:p>
    <w:p w14:paraId="4E3A11B6" w14:textId="1B653BE9" w:rsidR="00C77D5A" w:rsidRPr="00930DA0" w:rsidRDefault="00C77D5A" w:rsidP="00641C7A">
      <w:pPr>
        <w:spacing w:line="276" w:lineRule="auto"/>
        <w:jc w:val="both"/>
        <w:rPr>
          <w:rFonts w:ascii="Arial" w:hAnsi="Arial" w:cs="Arial"/>
        </w:rPr>
      </w:pPr>
      <w:r w:rsidRPr="00930DA0">
        <w:rPr>
          <w:rFonts w:ascii="Arial" w:hAnsi="Arial" w:cs="Arial"/>
        </w:rPr>
        <w:t xml:space="preserve">El Documento Base de cada proceso de selección hace referencia al ámbito de aplicación </w:t>
      </w:r>
      <w:r w:rsidR="005748ED" w:rsidRPr="00930DA0">
        <w:rPr>
          <w:rFonts w:ascii="Arial" w:hAnsi="Arial" w:cs="Arial"/>
        </w:rPr>
        <w:t>del</w:t>
      </w:r>
      <w:r w:rsidRPr="00930DA0">
        <w:rPr>
          <w:rFonts w:ascii="Arial" w:hAnsi="Arial" w:cs="Arial"/>
        </w:rPr>
        <w:t xml:space="preserve"> documento tipo</w:t>
      </w:r>
      <w:r w:rsidR="005748ED" w:rsidRPr="00930DA0">
        <w:rPr>
          <w:rFonts w:ascii="Arial" w:hAnsi="Arial" w:cs="Arial"/>
        </w:rPr>
        <w:t xml:space="preserve"> correspondiente</w:t>
      </w:r>
      <w:r w:rsidRPr="00930DA0">
        <w:rPr>
          <w:rFonts w:ascii="Arial" w:hAnsi="Arial" w:cs="Arial"/>
        </w:rPr>
        <w:t>. Por ejemplo, tratándose de la modalidad prevista en el artículo 2.1 de la Ley 1150 de 2007, el pliego de condiciones dispone que «</w:t>
      </w:r>
      <w:r w:rsidRPr="00930DA0">
        <w:rPr>
          <w:rFonts w:ascii="Arial" w:hAnsi="Arial" w:cs="Arial"/>
          <w:lang w:val="es-MX"/>
        </w:rPr>
        <w:t>Los Documentos Tipo aplica a los procesos de licitación de obra pública de infraestructura de transporte (versión 3), que correspondan a las actividades definidas en la Matriz 1 – Experiencia</w:t>
      </w:r>
      <w:r w:rsidRPr="00930DA0">
        <w:rPr>
          <w:rFonts w:ascii="Arial" w:hAnsi="Arial" w:cs="Arial"/>
        </w:rPr>
        <w:t>», manifestando además que «las actividades de infraestructura de transporte no contempladas en la Matriz 1 – Experiencia no tienen que aplicar los Documentos Tipo».</w:t>
      </w:r>
    </w:p>
    <w:p w14:paraId="24C66490" w14:textId="77777777" w:rsidR="00C77D5A" w:rsidRPr="00930DA0" w:rsidRDefault="00C77D5A" w:rsidP="00C77D5A">
      <w:pPr>
        <w:spacing w:before="120" w:line="276" w:lineRule="auto"/>
        <w:ind w:firstLine="709"/>
        <w:jc w:val="both"/>
        <w:rPr>
          <w:rFonts w:ascii="Arial" w:hAnsi="Arial" w:cs="Arial"/>
        </w:rPr>
      </w:pPr>
      <w:r w:rsidRPr="00930DA0">
        <w:rPr>
          <w:rFonts w:ascii="Arial" w:hAnsi="Arial" w:cs="Arial"/>
        </w:rPr>
        <w:lastRenderedPageBreak/>
        <w:t>Para determinar el ámbito de aplicación de los Documentos Tipo, entonces, debe acudirse a la «Matriz 1 ─ Experiencia». Dicha matriz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prevención o mitigación de emergencias diferentes a contratación directa, 5) obras férreas, 6) obras de infraestructura vial urbana, 7) obras en puentes y 8) obras aeroportuarias. Estas obras de infraestructura de transporte, a su vez, se encuentran subdivididas en la Matriz 1 como «actividades a contratar».</w:t>
      </w:r>
    </w:p>
    <w:p w14:paraId="6A0C9BF0" w14:textId="77777777" w:rsidR="00C77D5A" w:rsidRPr="00930DA0" w:rsidRDefault="00C77D5A" w:rsidP="00641C7A">
      <w:pPr>
        <w:spacing w:before="120" w:after="0" w:line="276" w:lineRule="auto"/>
        <w:ind w:firstLine="708"/>
        <w:jc w:val="both"/>
        <w:rPr>
          <w:rFonts w:ascii="Arial" w:hAnsi="Arial" w:cs="Arial"/>
        </w:rPr>
      </w:pPr>
      <w:r w:rsidRPr="00930DA0">
        <w:rPr>
          <w:rFonts w:ascii="Arial" w:hAnsi="Arial" w:cs="Arial"/>
        </w:rPr>
        <w:t>Con respecto a las «actividades a contratar», la Matriz 1 establece cuáles son las que corresponden a cada uno de los tipos de infraestructura mencionados, con el fin de que la entidad pueda identificar aquellas en las cuales puede encuadrarse de mejor forma el objeto que pretende ejecutar y determinar los requisitos de experiencia exigibles. Por ejemplo, las «obras en vías terciarias» están subdivididas en tres actividades a contratar, a saber: «2.1 PROYECTOS DE CONSTRUCCIÓN DE VÍAS TERCIARIAS», «2.2 MEJORAMIENTO EN VÍAS TERCIARIAS», «2.3 MANTENIMIENTO O REHABILITACIÓN EN VÍAS TERCIARIAS» y «2.4. PROYECTOS DE SEÑALIZACIÓN Y/O DEMARCACIÓN DE VÍAS TERCIARIAS». Esta división es la misma en los Documentos Tipo de licitación pública y en los de selección abreviada de menor cuantía. De esta forma, si la entidad pretende contratar alguna de tales actividades debe aplicar los Documentos Tipo para el desarrollo del proceso de contratación. Esto sin perjuicio de la aplicación de lo establecido en el artículo 4 de la Resolución 240 de 2020, el cual prescribe lo siguiente:</w:t>
      </w:r>
    </w:p>
    <w:p w14:paraId="00C725CD" w14:textId="77777777" w:rsidR="00C77D5A" w:rsidRPr="00930DA0" w:rsidRDefault="00C77D5A" w:rsidP="00641C7A">
      <w:pPr>
        <w:spacing w:after="0"/>
        <w:jc w:val="both"/>
        <w:rPr>
          <w:rFonts w:ascii="Arial" w:hAnsi="Arial" w:cs="Arial"/>
        </w:rPr>
      </w:pPr>
    </w:p>
    <w:p w14:paraId="7301D441" w14:textId="77777777" w:rsidR="00C77D5A" w:rsidRPr="00930DA0" w:rsidRDefault="00C77D5A" w:rsidP="00641C7A">
      <w:pPr>
        <w:spacing w:after="0" w:line="240" w:lineRule="auto"/>
        <w:ind w:left="709" w:right="709"/>
        <w:jc w:val="both"/>
        <w:rPr>
          <w:rFonts w:ascii="Arial" w:hAnsi="Arial" w:cs="Arial"/>
          <w:sz w:val="21"/>
          <w:szCs w:val="21"/>
        </w:rPr>
      </w:pPr>
      <w:r w:rsidRPr="00930DA0">
        <w:rPr>
          <w:rFonts w:ascii="Arial" w:hAnsi="Arial" w:cs="Arial"/>
          <w:sz w:val="21"/>
          <w:szCs w:val="21"/>
        </w:rPr>
        <w:t>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14:paraId="2838B6F4" w14:textId="77777777" w:rsidR="00C77D5A" w:rsidRPr="00930DA0" w:rsidRDefault="00C77D5A" w:rsidP="00641C7A">
      <w:pPr>
        <w:spacing w:after="120" w:line="240" w:lineRule="auto"/>
        <w:ind w:left="709" w:right="709"/>
        <w:jc w:val="both"/>
        <w:rPr>
          <w:rFonts w:ascii="Arial" w:hAnsi="Arial" w:cs="Arial"/>
          <w:sz w:val="21"/>
          <w:szCs w:val="21"/>
        </w:rPr>
      </w:pPr>
      <w:r w:rsidRPr="00930DA0">
        <w:rPr>
          <w:rFonts w:ascii="Arial" w:hAnsi="Arial" w:cs="Arial"/>
          <w:sz w:val="21"/>
          <w:szCs w:val="21"/>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22CF7EE4" w14:textId="77777777" w:rsidR="00C77D5A" w:rsidRPr="00930DA0" w:rsidRDefault="00C77D5A" w:rsidP="00641C7A">
      <w:pPr>
        <w:spacing w:after="120" w:line="240" w:lineRule="auto"/>
        <w:ind w:left="709" w:right="709"/>
        <w:jc w:val="both"/>
        <w:rPr>
          <w:rFonts w:ascii="Arial" w:hAnsi="Arial" w:cs="Arial"/>
          <w:sz w:val="21"/>
          <w:szCs w:val="21"/>
        </w:rPr>
      </w:pPr>
      <w:r w:rsidRPr="00930DA0">
        <w:rPr>
          <w:rFonts w:ascii="Arial" w:hAnsi="Arial" w:cs="Arial"/>
          <w:sz w:val="21"/>
          <w:szCs w:val="21"/>
        </w:rPr>
        <w:t>2. Conservar los requisitos exigidos en los Documentos Tipo.</w:t>
      </w:r>
    </w:p>
    <w:p w14:paraId="0D43B8EA" w14:textId="77777777" w:rsidR="00C77D5A" w:rsidRPr="00930DA0" w:rsidRDefault="00C77D5A" w:rsidP="00641C7A">
      <w:pPr>
        <w:spacing w:after="120" w:line="240" w:lineRule="auto"/>
        <w:ind w:left="709" w:right="709"/>
        <w:jc w:val="both"/>
        <w:rPr>
          <w:rFonts w:ascii="Arial" w:hAnsi="Arial" w:cs="Arial"/>
          <w:sz w:val="21"/>
          <w:szCs w:val="21"/>
        </w:rPr>
      </w:pPr>
      <w:r w:rsidRPr="00930DA0">
        <w:rPr>
          <w:rFonts w:ascii="Arial" w:hAnsi="Arial" w:cs="Arial"/>
          <w:sz w:val="21"/>
          <w:szCs w:val="21"/>
        </w:rPr>
        <w:t>3. Abstenerse de pedir experiencia exclusiva con entidades estatales, experiencia previa en un territorio específico, limitada en el tiempo o que incluya volúmenes o cantidades de obra específica.</w:t>
      </w:r>
    </w:p>
    <w:p w14:paraId="7A199271" w14:textId="77777777" w:rsidR="00C77D5A" w:rsidRPr="00930DA0" w:rsidRDefault="00C77D5A" w:rsidP="00641C7A">
      <w:pPr>
        <w:spacing w:after="0" w:line="240" w:lineRule="auto"/>
        <w:ind w:left="709" w:right="709"/>
        <w:jc w:val="both"/>
        <w:rPr>
          <w:rFonts w:ascii="Arial" w:hAnsi="Arial" w:cs="Arial"/>
          <w:sz w:val="21"/>
          <w:szCs w:val="21"/>
        </w:rPr>
      </w:pPr>
      <w:r w:rsidRPr="00930DA0">
        <w:rPr>
          <w:rFonts w:ascii="Arial" w:hAnsi="Arial" w:cs="Arial"/>
          <w:sz w:val="21"/>
          <w:szCs w:val="21"/>
        </w:rPr>
        <w:t>4. Clasificar la experiencia requerida solo hasta el tercer nivel del Clasificador de Bienes y Servicios e incluir exclusivamente los códigos que estén relacionados directamente con el objeto a contratar.</w:t>
      </w:r>
    </w:p>
    <w:p w14:paraId="4213E40C" w14:textId="77777777" w:rsidR="00C77D5A" w:rsidRPr="00930DA0" w:rsidRDefault="00C77D5A">
      <w:pPr>
        <w:pStyle w:val="Default"/>
        <w:spacing w:line="276" w:lineRule="auto"/>
        <w:rPr>
          <w:color w:val="auto"/>
          <w:sz w:val="22"/>
          <w:szCs w:val="22"/>
        </w:rPr>
      </w:pPr>
    </w:p>
    <w:p w14:paraId="102088E3" w14:textId="54617A22" w:rsidR="00C77D5A" w:rsidRPr="00930DA0" w:rsidRDefault="00C77D5A" w:rsidP="00641C7A">
      <w:pPr>
        <w:spacing w:after="0" w:line="276" w:lineRule="auto"/>
        <w:jc w:val="both"/>
        <w:rPr>
          <w:rFonts w:ascii="Arial" w:hAnsi="Arial" w:cs="Arial"/>
        </w:rPr>
      </w:pPr>
      <w:r w:rsidRPr="00930DA0">
        <w:rPr>
          <w:rFonts w:ascii="Arial" w:hAnsi="Arial" w:cs="Arial"/>
        </w:rPr>
        <w:tab/>
      </w:r>
      <w:bookmarkStart w:id="4" w:name="_Hlk40275772"/>
      <w:r w:rsidRPr="00930DA0">
        <w:rPr>
          <w:rFonts w:ascii="Arial" w:hAnsi="Arial" w:cs="Arial"/>
        </w:rPr>
        <w:t xml:space="preserve">El artículo citado establece de manera clara que en los casos en los que el objeto contractual, además de la intervención de infraestructura vial, involucre bienes o servicios adicionales a la obra pública de infraestructura de transporte, deberán aplicarse los </w:t>
      </w:r>
      <w:r w:rsidRPr="00930DA0">
        <w:rPr>
          <w:rFonts w:ascii="Arial" w:hAnsi="Arial" w:cs="Arial"/>
        </w:rPr>
        <w:lastRenderedPageBreak/>
        <w:t>Documentos Tipo, estableciendo además unos parámetros para la configuración de</w:t>
      </w:r>
      <w:r w:rsidR="005512DA" w:rsidRPr="00930DA0">
        <w:rPr>
          <w:rFonts w:ascii="Arial" w:hAnsi="Arial" w:cs="Arial"/>
        </w:rPr>
        <w:t xml:space="preserve"> los</w:t>
      </w:r>
      <w:r w:rsidRPr="00930DA0">
        <w:rPr>
          <w:rFonts w:ascii="Arial" w:hAnsi="Arial" w:cs="Arial"/>
        </w:rPr>
        <w:t xml:space="preserve"> requisitos de experiencia adicionales a los establecidos en la Matriz 1. Dichos </w:t>
      </w:r>
      <w:r w:rsidRPr="00930DA0">
        <w:rPr>
          <w:rFonts w:ascii="Arial" w:hAnsi="Arial" w:cs="Arial"/>
          <w:lang w:val="es-ES_tradnl"/>
        </w:rPr>
        <w:t>parámetros serían</w:t>
      </w:r>
      <w:r w:rsidRPr="00930DA0">
        <w:rPr>
          <w:rFonts w:ascii="Arial" w:hAnsi="Arial" w:cs="Arial"/>
        </w:rPr>
        <w:t xml:space="preserve"> aplicables cuando sean requeridos para evaluar la idoneidad de los proponentes en el desarrollo de los bienes o servicios adicionales a la obra pública de infraestructura de transporte que se pretenden contratar. Conforme a esto, el hecho que el objeto contractual abarque bienes o servicios adicionales a la obra pública de infraestructura de transporte, no es contraria a la aplicación obligatoria de los Documentos Tipo. </w:t>
      </w:r>
      <w:bookmarkEnd w:id="4"/>
    </w:p>
    <w:p w14:paraId="21B5539B" w14:textId="1FE9DD1A" w:rsidR="00C77D5A" w:rsidRPr="00930DA0" w:rsidRDefault="0031079C" w:rsidP="00641C7A">
      <w:pPr>
        <w:spacing w:before="120" w:line="276" w:lineRule="auto"/>
        <w:ind w:firstLine="708"/>
        <w:jc w:val="both"/>
        <w:rPr>
          <w:rFonts w:ascii="Arial" w:hAnsi="Arial" w:cs="Arial"/>
        </w:rPr>
      </w:pPr>
      <w:r w:rsidRPr="00930DA0">
        <w:rPr>
          <w:rFonts w:ascii="Arial" w:hAnsi="Arial" w:cs="Arial"/>
        </w:rPr>
        <w:t>Por ello</w:t>
      </w:r>
      <w:r w:rsidR="00C77D5A" w:rsidRPr="00930DA0">
        <w:rPr>
          <w:rFonts w:ascii="Arial" w:hAnsi="Arial" w:cs="Arial"/>
        </w:rPr>
        <w:t>, los Documentos Tipo son vinculantes para las entidades públicas sometidas al Estatuto General de Contratación de la Administración Pública. Así mismo el ámbito de aplicación de dichos documentos está determinado por las actividades a contratar establecidas en la Matriz 1, sin perjuicio de aplicar el artículo 4 de la Resolución 240 de 2020, en relación con la adquisición de bienes o servicios adicionales a la obra pública en procesos de licitación.</w:t>
      </w:r>
    </w:p>
    <w:p w14:paraId="138C924E" w14:textId="77777777" w:rsidR="00A07274" w:rsidRPr="00930DA0" w:rsidRDefault="00A07274" w:rsidP="00641C7A">
      <w:pPr>
        <w:spacing w:after="0" w:line="276" w:lineRule="auto"/>
        <w:ind w:firstLine="708"/>
        <w:jc w:val="both"/>
        <w:rPr>
          <w:rFonts w:ascii="Arial" w:eastAsia="Calibri" w:hAnsi="Arial" w:cs="Arial"/>
          <w:color w:val="0D0D0D"/>
          <w:lang w:val="es-MX"/>
        </w:rPr>
      </w:pPr>
      <w:r w:rsidRPr="00930DA0">
        <w:rPr>
          <w:rFonts w:ascii="Arial" w:eastAsia="Calibri" w:hAnsi="Arial" w:cs="Arial"/>
          <w:color w:val="0D0D0D"/>
          <w:lang w:val="es-MX"/>
        </w:rPr>
        <w:t>De acuerdo con lo expuesto, los documentos tipo establecen las condiciones habilitantes, los factores técnicos y económicos de escogencia y los sistemas de ponderación de carácter obligatorio para las entidades estatales sometidas al Estatuto General de la Contratación Pública que</w:t>
      </w:r>
      <w:r w:rsidRPr="00930DA0">
        <w:rPr>
          <w:rFonts w:ascii="Arial" w:eastAsia="Calibri" w:hAnsi="Arial" w:cs="Arial"/>
          <w:color w:val="000000"/>
          <w:bdr w:val="none" w:sz="0" w:space="0" w:color="auto" w:frame="1"/>
        </w:rPr>
        <w:t xml:space="preserve"> adelanten procesos de contratación mediante la modalidad que establecen los documentos tipo para cada sector</w:t>
      </w:r>
      <w:r w:rsidRPr="00930DA0">
        <w:rPr>
          <w:rFonts w:ascii="Arial" w:eastAsia="Calibri" w:hAnsi="Arial" w:cs="Arial"/>
          <w:color w:val="0D0D0D"/>
          <w:lang w:val="es-MX"/>
        </w:rPr>
        <w:t>. Estos consisten en un grupo de documentos, conformados por un documento base, anexos, matrices, formatos y formularios, que sirven tanto a las entidades para elaborar los documentos del proceso, como a los proponentes para conformar y presentar sus ofertas.</w:t>
      </w:r>
    </w:p>
    <w:p w14:paraId="12D56EB7" w14:textId="01976083" w:rsidR="00A07274" w:rsidRPr="00930DA0" w:rsidRDefault="00F0418C" w:rsidP="00A07274">
      <w:pPr>
        <w:spacing w:before="120" w:after="0" w:line="276" w:lineRule="auto"/>
        <w:ind w:firstLine="709"/>
        <w:jc w:val="both"/>
        <w:rPr>
          <w:rFonts w:ascii="Arial" w:eastAsia="Calibri" w:hAnsi="Arial" w:cs="Arial"/>
          <w:color w:val="0D0D0D"/>
          <w:lang w:val="es-MX"/>
        </w:rPr>
      </w:pPr>
      <w:r w:rsidRPr="00930DA0">
        <w:rPr>
          <w:rFonts w:ascii="Arial" w:eastAsia="Calibri" w:hAnsi="Arial" w:cs="Arial"/>
          <w:color w:val="0D0D0D"/>
          <w:lang w:val="es-MX"/>
        </w:rPr>
        <w:t>Como se indicó</w:t>
      </w:r>
      <w:r w:rsidR="00A07274" w:rsidRPr="00930DA0">
        <w:rPr>
          <w:rFonts w:ascii="Arial" w:eastAsia="Calibri" w:hAnsi="Arial" w:cs="Arial"/>
          <w:color w:val="0D0D0D"/>
          <w:lang w:val="es-MX"/>
        </w:rPr>
        <w:t>, uno de los elementos comunes a los diferentes documentos tipo es la «Matriz 1 – Experiencia». Esta consta de unas celdas en las que se describe la experiencia requerida en relación con el objeto a contratar, definiendo además qué tipo de actividades relacionadas con cada sector deben acogerse a los pliegos tipo. Por otro lado, encontramos el «Anexo 3 – Glosario», el cual contiene las definiciones de los términos usados en los documentos del proceso. Utilizando estos dos documentos, la entidad estatal puede definir si el objeto a contratarse debe emplear los documentos tipo adoptados por esta Agencia.</w:t>
      </w:r>
    </w:p>
    <w:p w14:paraId="210514AF" w14:textId="275E391D" w:rsidR="00A07274" w:rsidRPr="00930DA0" w:rsidRDefault="00A07274" w:rsidP="00A07274">
      <w:pPr>
        <w:spacing w:before="120" w:after="120" w:line="276" w:lineRule="auto"/>
        <w:ind w:firstLine="709"/>
        <w:jc w:val="both"/>
        <w:rPr>
          <w:rFonts w:ascii="Arial" w:eastAsia="Calibri" w:hAnsi="Arial" w:cs="Arial"/>
          <w:color w:val="0D0D0D"/>
          <w:lang w:val="es-MX"/>
        </w:rPr>
      </w:pPr>
      <w:r w:rsidRPr="00930DA0">
        <w:rPr>
          <w:rFonts w:ascii="Arial" w:eastAsia="Calibri" w:hAnsi="Arial" w:cs="Arial"/>
          <w:color w:val="0D0D0D"/>
          <w:lang w:val="es-MX"/>
        </w:rPr>
        <w:t xml:space="preserve">Conforme a lo anterior, la Matriz 1, cumple una doble función: </w:t>
      </w:r>
      <w:r w:rsidR="002D71A1" w:rsidRPr="00930DA0">
        <w:rPr>
          <w:rFonts w:ascii="Arial" w:eastAsia="Calibri" w:hAnsi="Arial" w:cs="Arial"/>
          <w:color w:val="0D0D0D"/>
          <w:lang w:val="es-MX"/>
        </w:rPr>
        <w:t>p</w:t>
      </w:r>
      <w:r w:rsidRPr="00930DA0">
        <w:rPr>
          <w:rFonts w:ascii="Arial" w:eastAsia="Calibri" w:hAnsi="Arial" w:cs="Arial"/>
          <w:color w:val="0D0D0D"/>
          <w:lang w:val="es-MX"/>
        </w:rPr>
        <w:t>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5AF74BDF" w14:textId="77777777" w:rsidR="00A07274" w:rsidRPr="00930DA0" w:rsidRDefault="00A07274" w:rsidP="00A07274">
      <w:pPr>
        <w:spacing w:before="120" w:after="120" w:line="276" w:lineRule="auto"/>
        <w:ind w:firstLine="709"/>
        <w:jc w:val="both"/>
        <w:rPr>
          <w:rFonts w:ascii="Arial" w:eastAsia="Calibri" w:hAnsi="Arial" w:cs="Arial"/>
          <w:color w:val="0D0D0D"/>
          <w:lang w:val="es-MX"/>
        </w:rPr>
      </w:pPr>
      <w:r w:rsidRPr="00930DA0">
        <w:rPr>
          <w:rFonts w:ascii="Arial" w:eastAsia="Calibri" w:hAnsi="Arial" w:cs="Arial"/>
          <w:color w:val="0D0D0D"/>
          <w:lang w:val="es-MX"/>
        </w:rPr>
        <w:t xml:space="preserve">De esta manera, para saber a qué actividades se deben aplicar los documentos tipo expedidos por esta Agencia, la entidad debe verificar los que se hayan expedido para la modalidad de selección en la que debe celebrarse el proceso, subsumiendo el objeto a contratar en los tipos de proyectos de infraestructura a contratarse. De esta manera, si el objeto contractual a ejecutar se encuadra materialmente dentro de alguno de los tipos </w:t>
      </w:r>
      <w:r w:rsidRPr="00930DA0">
        <w:rPr>
          <w:rFonts w:ascii="Arial" w:eastAsia="Calibri" w:hAnsi="Arial" w:cs="Arial"/>
          <w:color w:val="0D0D0D"/>
          <w:lang w:val="es-MX"/>
        </w:rPr>
        <w:lastRenderedPageBreak/>
        <w:t>actividades concretas señaladas en cada una de las matrices de experiencia, se tendrán que aplicar los documentos tipo, mientras que en el caso contrario no será forzosa su aplicación. En este sentido, en los documentos base de los documentos tipo</w:t>
      </w:r>
      <w:r w:rsidRPr="00930DA0">
        <w:rPr>
          <w:rFonts w:ascii="Arial" w:eastAsia="Calibri" w:hAnsi="Arial" w:cs="Arial"/>
          <w:lang w:val="es-MX"/>
        </w:rPr>
        <w:t>, se indica que la entidad establecerá las condiciones de experiencia, tanto general como específica en las actividades que van a contratar. En este contexto, la entidad no podrá incluir condiciones distintas a las previstas en la matriz de experiencia y, por tanto, deberá transcribir textualmente lo indicado en ésta.</w:t>
      </w:r>
    </w:p>
    <w:p w14:paraId="5C26A318" w14:textId="714EB411" w:rsidR="00A07274" w:rsidRPr="00930DA0" w:rsidRDefault="00A07274" w:rsidP="00A07274">
      <w:pPr>
        <w:spacing w:after="0" w:line="276" w:lineRule="auto"/>
        <w:ind w:firstLine="708"/>
        <w:jc w:val="both"/>
        <w:rPr>
          <w:rFonts w:ascii="Arial" w:eastAsia="Times New Roman" w:hAnsi="Arial" w:cs="Arial"/>
          <w:color w:val="0D0D0D"/>
          <w:szCs w:val="24"/>
          <w:bdr w:val="none" w:sz="0" w:space="0" w:color="auto" w:frame="1"/>
          <w:lang w:eastAsia="es-CO"/>
        </w:rPr>
      </w:pPr>
      <w:r w:rsidRPr="00930DA0">
        <w:rPr>
          <w:rFonts w:ascii="Arial" w:eastAsia="Calibri" w:hAnsi="Arial" w:cs="Arial"/>
          <w:color w:val="000000"/>
          <w:lang w:eastAsia="es-ES_tradnl"/>
        </w:rPr>
        <w:t>Sin perjuicio de las aclaraciones anteriores</w:t>
      </w:r>
      <w:r w:rsidRPr="00930DA0">
        <w:rPr>
          <w:rFonts w:ascii="Arial" w:eastAsia="Times New Roman" w:hAnsi="Arial" w:cs="Arial"/>
          <w:szCs w:val="24"/>
          <w:lang w:eastAsia="es-ES_tradnl"/>
        </w:rPr>
        <w:t xml:space="preserve">, debe advertirse que es la entidad contratante, al momento de adelantar sus actividades de planeación de cada proceso contractual, quien debe determinar si de acuerdo con las particularidades del contrato a ejecutar, este </w:t>
      </w:r>
      <w:r w:rsidR="00C937F0" w:rsidRPr="00930DA0">
        <w:rPr>
          <w:rFonts w:ascii="Arial" w:eastAsia="Times New Roman" w:hAnsi="Arial" w:cs="Arial"/>
          <w:szCs w:val="24"/>
          <w:lang w:eastAsia="es-ES_tradnl"/>
        </w:rPr>
        <w:t>se encuadra</w:t>
      </w:r>
      <w:r w:rsidRPr="00930DA0">
        <w:rPr>
          <w:rFonts w:ascii="Arial" w:eastAsia="Times New Roman" w:hAnsi="Arial" w:cs="Arial"/>
          <w:szCs w:val="24"/>
          <w:lang w:eastAsia="es-ES_tradnl"/>
        </w:rPr>
        <w:t xml:space="preserve">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contemplada en dicha matriz</w:t>
      </w:r>
      <w:r w:rsidR="00F163E4" w:rsidRPr="00930DA0">
        <w:rPr>
          <w:rFonts w:ascii="Arial" w:eastAsia="Times New Roman" w:hAnsi="Arial" w:cs="Arial"/>
          <w:szCs w:val="24"/>
          <w:lang w:eastAsia="es-ES_tradnl"/>
        </w:rPr>
        <w:t>, y considerando que –sin perjuicio de lo dispuesto en cada resolución respecto a los bienes y servicios adicionales– l</w:t>
      </w:r>
      <w:r w:rsidR="00F163E4" w:rsidRPr="00930DA0">
        <w:rPr>
          <w:rFonts w:ascii="Arial" w:eastAsia="Calibri" w:hAnsi="Arial" w:cs="Arial"/>
          <w:color w:val="000000"/>
          <w:shd w:val="clear" w:color="auto" w:fill="FFFFFF"/>
          <w:lang w:val="es-MX"/>
        </w:rPr>
        <w:t xml:space="preserve">os documentos tipo de infraestructura de transporte están estructurados para contratos de </w:t>
      </w:r>
      <w:r w:rsidR="00F163E4" w:rsidRPr="00930DA0">
        <w:rPr>
          <w:rFonts w:ascii="Arial" w:eastAsia="Calibri" w:hAnsi="Arial" w:cs="Arial"/>
          <w:i/>
          <w:color w:val="000000"/>
          <w:shd w:val="clear" w:color="auto" w:fill="FFFFFF"/>
          <w:lang w:val="es-MX"/>
        </w:rPr>
        <w:t>obras públicas</w:t>
      </w:r>
      <w:r w:rsidRPr="00930DA0">
        <w:rPr>
          <w:rFonts w:ascii="Arial" w:eastAsia="Times New Roman" w:hAnsi="Arial" w:cs="Arial"/>
          <w:szCs w:val="24"/>
          <w:lang w:eastAsia="es-ES_tradnl"/>
        </w:rPr>
        <w:t xml:space="preserve">. </w:t>
      </w:r>
    </w:p>
    <w:p w14:paraId="51A941CD" w14:textId="77777777" w:rsidR="00300E95" w:rsidRPr="00930DA0" w:rsidRDefault="00300E95" w:rsidP="00FC5423">
      <w:pPr>
        <w:spacing w:after="0" w:line="276" w:lineRule="auto"/>
        <w:jc w:val="both"/>
        <w:rPr>
          <w:rFonts w:ascii="Arial" w:eastAsia="Times New Roman" w:hAnsi="Arial" w:cs="Arial"/>
          <w:color w:val="000000"/>
          <w:szCs w:val="24"/>
          <w:lang w:eastAsia="es-ES_tradnl"/>
        </w:rPr>
      </w:pPr>
    </w:p>
    <w:p w14:paraId="1AFFF24B" w14:textId="74C8F312" w:rsidR="00B749D1" w:rsidRPr="00930DA0" w:rsidRDefault="00B749D1" w:rsidP="00FC5423">
      <w:pPr>
        <w:spacing w:after="0" w:line="276" w:lineRule="auto"/>
        <w:jc w:val="both"/>
        <w:rPr>
          <w:rFonts w:ascii="Arial" w:eastAsia="Calibri" w:hAnsi="Arial" w:cs="Arial"/>
          <w:b/>
        </w:rPr>
      </w:pPr>
      <w:r w:rsidRPr="00930DA0">
        <w:rPr>
          <w:rFonts w:ascii="Arial" w:eastAsia="Calibri" w:hAnsi="Arial" w:cs="Arial"/>
          <w:b/>
        </w:rPr>
        <w:t xml:space="preserve">3. Respuesta </w:t>
      </w:r>
    </w:p>
    <w:p w14:paraId="388C9EB0" w14:textId="77777777" w:rsidR="00FA7C56" w:rsidRPr="00930DA0" w:rsidRDefault="00FA7C56" w:rsidP="00FC5423">
      <w:pPr>
        <w:spacing w:after="0" w:line="276" w:lineRule="auto"/>
        <w:ind w:left="709" w:right="709"/>
        <w:jc w:val="center"/>
        <w:rPr>
          <w:rFonts w:ascii="Arial" w:hAnsi="Arial" w:cs="Arial"/>
          <w:sz w:val="21"/>
          <w:szCs w:val="21"/>
        </w:rPr>
      </w:pPr>
    </w:p>
    <w:p w14:paraId="2755FDA2" w14:textId="77777777" w:rsidR="00F21239" w:rsidRPr="00930DA0" w:rsidRDefault="00F21239" w:rsidP="00FC5423">
      <w:pPr>
        <w:spacing w:after="0" w:line="276" w:lineRule="auto"/>
        <w:ind w:left="709" w:right="709"/>
        <w:jc w:val="both"/>
        <w:rPr>
          <w:rFonts w:ascii="Arial" w:hAnsi="Arial" w:cs="Arial"/>
          <w:sz w:val="21"/>
          <w:szCs w:val="21"/>
        </w:rPr>
      </w:pPr>
      <w:r w:rsidRPr="00930DA0">
        <w:rPr>
          <w:rFonts w:ascii="Arial" w:hAnsi="Arial" w:cs="Arial"/>
          <w:sz w:val="21"/>
          <w:szCs w:val="21"/>
        </w:rPr>
        <w:t xml:space="preserve">«Si una entidad realiza la compra de señales de </w:t>
      </w:r>
      <w:proofErr w:type="spellStart"/>
      <w:r w:rsidRPr="00930DA0">
        <w:rPr>
          <w:rFonts w:ascii="Arial" w:hAnsi="Arial" w:cs="Arial"/>
          <w:sz w:val="21"/>
          <w:szCs w:val="21"/>
        </w:rPr>
        <w:t>transito</w:t>
      </w:r>
      <w:proofErr w:type="spellEnd"/>
      <w:r w:rsidRPr="00930DA0">
        <w:rPr>
          <w:rFonts w:ascii="Arial" w:hAnsi="Arial" w:cs="Arial"/>
          <w:sz w:val="21"/>
          <w:szCs w:val="21"/>
        </w:rPr>
        <w:t xml:space="preserve"> debe utilizar pliegos tipo, solo requiere las señales y su personal realiza las instalaciones, esta compra se reconocería Como obra </w:t>
      </w:r>
      <w:proofErr w:type="spellStart"/>
      <w:r w:rsidRPr="00930DA0">
        <w:rPr>
          <w:rFonts w:ascii="Arial" w:hAnsi="Arial" w:cs="Arial"/>
          <w:sz w:val="21"/>
          <w:szCs w:val="21"/>
        </w:rPr>
        <w:t>publica</w:t>
      </w:r>
      <w:proofErr w:type="spellEnd"/>
      <w:r w:rsidRPr="00930DA0">
        <w:rPr>
          <w:rFonts w:ascii="Arial" w:hAnsi="Arial" w:cs="Arial"/>
          <w:sz w:val="21"/>
          <w:szCs w:val="21"/>
        </w:rPr>
        <w:t xml:space="preserve"> de infraestructura del transporte»</w:t>
      </w:r>
    </w:p>
    <w:p w14:paraId="2426AFEE" w14:textId="77777777" w:rsidR="003D7890" w:rsidRPr="00930DA0" w:rsidRDefault="003D7890" w:rsidP="00FC5423">
      <w:pPr>
        <w:spacing w:after="0" w:line="276" w:lineRule="auto"/>
        <w:ind w:left="709" w:right="709"/>
        <w:jc w:val="both"/>
        <w:rPr>
          <w:rFonts w:ascii="Arial" w:eastAsia="Calibri" w:hAnsi="Arial" w:cs="Arial"/>
          <w:b/>
          <w:sz w:val="21"/>
          <w:szCs w:val="21"/>
        </w:rPr>
      </w:pPr>
    </w:p>
    <w:p w14:paraId="730D3B7B" w14:textId="3BA2CE69" w:rsidR="005748ED" w:rsidRPr="00930DA0" w:rsidRDefault="00EC0249" w:rsidP="005748ED">
      <w:pPr>
        <w:spacing w:line="276" w:lineRule="auto"/>
        <w:jc w:val="both"/>
        <w:rPr>
          <w:rFonts w:ascii="Arial" w:hAnsi="Arial" w:cs="Arial"/>
        </w:rPr>
      </w:pPr>
      <w:r w:rsidRPr="00930DA0">
        <w:rPr>
          <w:rFonts w:ascii="Arial" w:hAnsi="Arial" w:cs="Arial"/>
        </w:rPr>
        <w:t>Conforme a la interpretación de las norma</w:t>
      </w:r>
      <w:r w:rsidR="005E0CE1" w:rsidRPr="00930DA0">
        <w:rPr>
          <w:rFonts w:ascii="Arial" w:hAnsi="Arial" w:cs="Arial"/>
        </w:rPr>
        <w:t>s</w:t>
      </w:r>
      <w:r w:rsidRPr="00930DA0">
        <w:rPr>
          <w:rFonts w:ascii="Arial" w:hAnsi="Arial" w:cs="Arial"/>
        </w:rPr>
        <w:t xml:space="preserve"> generales del sistema de compras públicas, e</w:t>
      </w:r>
      <w:r w:rsidR="005748ED" w:rsidRPr="00930DA0">
        <w:rPr>
          <w:rFonts w:ascii="Arial" w:hAnsi="Arial" w:cs="Arial"/>
        </w:rPr>
        <w:t>l Documento Base de cada proceso de selección hace referencia al ámbito de aplicación del documento tipo correspondiente. Por ejemplo, tratándose de la modalidad prevista en el artículo 2.1 de la Ley 1150 de 2007, el pliego de condiciones dispone que «</w:t>
      </w:r>
      <w:r w:rsidR="005748ED" w:rsidRPr="00930DA0">
        <w:rPr>
          <w:rFonts w:ascii="Arial" w:hAnsi="Arial" w:cs="Arial"/>
          <w:lang w:val="es-MX"/>
        </w:rPr>
        <w:t>Los Documentos Tipo aplica a los procesos de licitación de obra pública de infraestructura de transporte (versión 3), que correspondan a las actividades definidas en la Matriz 1 – Experiencia</w:t>
      </w:r>
      <w:r w:rsidR="005748ED" w:rsidRPr="00930DA0">
        <w:rPr>
          <w:rFonts w:ascii="Arial" w:hAnsi="Arial" w:cs="Arial"/>
        </w:rPr>
        <w:t>», manifestando además que «las actividades de infraestructura de transporte no contempladas en la Matriz 1 – Experiencia no tienen que aplicar los Documentos Tipo».</w:t>
      </w:r>
    </w:p>
    <w:p w14:paraId="5DAFE155" w14:textId="77777777" w:rsidR="005748ED" w:rsidRPr="00930DA0" w:rsidRDefault="005748ED" w:rsidP="005748ED">
      <w:pPr>
        <w:spacing w:before="120" w:line="276" w:lineRule="auto"/>
        <w:ind w:firstLine="709"/>
        <w:jc w:val="both"/>
        <w:rPr>
          <w:rFonts w:ascii="Arial" w:hAnsi="Arial" w:cs="Arial"/>
        </w:rPr>
      </w:pPr>
      <w:r w:rsidRPr="00930DA0">
        <w:rPr>
          <w:rFonts w:ascii="Arial" w:hAnsi="Arial" w:cs="Arial"/>
        </w:rPr>
        <w:t>Para determinar el ámbito de aplicación de los Documentos Tipo, entonces, debe acudirse a la «Matriz 1 ─ Experiencia». Dicha matriz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prevención o mitigación de emergencias diferentes a contratación directa, 5) obras férreas, 6) obras de infraestructura vial urbana, 7) obras en puentes y 8) obras aeroportuarias. Estas obras de infraestructura de transporte, a su vez, se encuentran subdivididas en la Matriz 1 como «actividades a contratar».</w:t>
      </w:r>
    </w:p>
    <w:p w14:paraId="2812C49B" w14:textId="223F547C" w:rsidR="005748ED" w:rsidRPr="00930DA0" w:rsidRDefault="005748ED" w:rsidP="00641C7A">
      <w:pPr>
        <w:spacing w:after="120" w:line="276" w:lineRule="auto"/>
        <w:ind w:firstLine="708"/>
        <w:jc w:val="both"/>
        <w:rPr>
          <w:rFonts w:ascii="Arial" w:eastAsia="Calibri" w:hAnsi="Arial" w:cs="Arial"/>
          <w:lang w:val="es-ES" w:eastAsia="es-ES" w:bidi="es-ES"/>
        </w:rPr>
      </w:pPr>
      <w:r w:rsidRPr="00930DA0">
        <w:rPr>
          <w:rFonts w:ascii="Arial" w:hAnsi="Arial" w:cs="Arial"/>
        </w:rPr>
        <w:lastRenderedPageBreak/>
        <w:t>Con respecto a las «actividades a contratar», la Matriz 1 establece cuáles son las que corresponden a cada uno de los tipos de infraestructura mencionados, con el fin de que la entidad pueda identificar aquellas en las cuales puede encuadrarse de mejor forma el objeto que pretende ejecutar y determinar los requisitos de experiencia exigibles. Esta división es la misma en los Documentos Tipo de licitación pública y en los de selección abreviada de menor cuantía. De esta forma, si la entidad pretende contratar alguna de tales actividades debe aplicar los Documentos Tipo para el desarrollo del proceso de contratación. Esto sin perjuicio de la aplicación de lo establecido en el artículo 4 de la Resolución 240 de 2020</w:t>
      </w:r>
      <w:r w:rsidR="00EC0249" w:rsidRPr="00930DA0">
        <w:rPr>
          <w:rFonts w:ascii="Arial" w:hAnsi="Arial" w:cs="Arial"/>
        </w:rPr>
        <w:t xml:space="preserve"> para los bienes y servicios adicionales a la obra pública de infraestructura de transporte.</w:t>
      </w:r>
    </w:p>
    <w:p w14:paraId="2605E7B7" w14:textId="77777777" w:rsidR="005E0CE1" w:rsidRPr="00930DA0" w:rsidRDefault="005E0CE1" w:rsidP="005E0CE1">
      <w:pPr>
        <w:spacing w:before="120" w:after="120" w:line="276" w:lineRule="auto"/>
        <w:ind w:firstLine="709"/>
        <w:jc w:val="both"/>
        <w:rPr>
          <w:rFonts w:ascii="Arial" w:eastAsia="Calibri" w:hAnsi="Arial" w:cs="Arial"/>
          <w:color w:val="0D0D0D"/>
          <w:lang w:val="es-MX"/>
        </w:rPr>
      </w:pPr>
      <w:r w:rsidRPr="00930DA0">
        <w:rPr>
          <w:rFonts w:ascii="Arial" w:eastAsia="Calibri" w:hAnsi="Arial" w:cs="Arial"/>
          <w:color w:val="0D0D0D"/>
          <w:lang w:val="es-MX"/>
        </w:rPr>
        <w:t>De esta manera, para saber a qué actividades se deben aplicar los documentos tipo expedidos por esta Agencia, la entidad debe verificar los que se hayan expedido para la modalidad de selección en la que debe celebrarse el proceso, subsumiendo el objeto a contratar en los tipos de proyectos de infraestructura a contratarse. De esta manera, si el objeto contractual a ejecutar se encuadra materialmente dentro de alguno de los tipos actividades concretas señaladas en cada una de las matrices de experiencia, se tendrán que aplicar los documentos tipo, mientras que en el caso contrario no será forzosa su aplicación. En este sentido, en los documentos base de los documentos tipo</w:t>
      </w:r>
      <w:r w:rsidRPr="00930DA0">
        <w:rPr>
          <w:rFonts w:ascii="Arial" w:eastAsia="Calibri" w:hAnsi="Arial" w:cs="Arial"/>
          <w:lang w:val="es-MX"/>
        </w:rPr>
        <w:t>, se indica que la entidad establecerá las condiciones de experiencia, tanto general como específica en las actividades que van a contratar. En este contexto, la entidad no podrá incluir condiciones distintas a las previstas en la matriz de experiencia y, por tanto, deberá transcribir textualmente lo indicado en ésta.</w:t>
      </w:r>
    </w:p>
    <w:p w14:paraId="2B34A434" w14:textId="4F4F37A4" w:rsidR="002C05D5" w:rsidRPr="00930DA0" w:rsidRDefault="005E0CE1">
      <w:pPr>
        <w:spacing w:after="0" w:line="276" w:lineRule="auto"/>
        <w:ind w:firstLine="708"/>
        <w:jc w:val="both"/>
        <w:rPr>
          <w:rFonts w:ascii="Arial" w:eastAsia="Calibri" w:hAnsi="Arial" w:cs="Arial"/>
          <w:color w:val="0D0D0D"/>
          <w:lang w:val="es-MX"/>
        </w:rPr>
      </w:pPr>
      <w:r w:rsidRPr="00930DA0">
        <w:rPr>
          <w:rFonts w:ascii="Arial" w:eastAsia="Calibri" w:hAnsi="Arial" w:cs="Arial"/>
          <w:color w:val="000000"/>
          <w:lang w:eastAsia="es-ES_tradnl"/>
        </w:rPr>
        <w:t>Sin perjuicio de las aclaraciones anteriores</w:t>
      </w:r>
      <w:r w:rsidRPr="00930DA0">
        <w:rPr>
          <w:rFonts w:ascii="Arial" w:eastAsia="Times New Roman" w:hAnsi="Arial" w:cs="Arial"/>
          <w:szCs w:val="24"/>
          <w:lang w:eastAsia="es-ES_tradnl"/>
        </w:rPr>
        <w:t xml:space="preserve">, debe advertirse que es la entidad contratante, al momento de adelantar sus actividades de planeación de cada proceso contractual, quien debe determinar si de acuerdo con las particularidades del contrato a ejecutar, este </w:t>
      </w:r>
      <w:r w:rsidR="00074095" w:rsidRPr="00930DA0">
        <w:rPr>
          <w:rFonts w:ascii="Arial" w:eastAsia="Times New Roman" w:hAnsi="Arial" w:cs="Arial"/>
          <w:szCs w:val="24"/>
          <w:lang w:eastAsia="es-ES_tradnl"/>
        </w:rPr>
        <w:t>se encuadra</w:t>
      </w:r>
      <w:r w:rsidRPr="00930DA0">
        <w:rPr>
          <w:rFonts w:ascii="Arial" w:eastAsia="Times New Roman" w:hAnsi="Arial" w:cs="Arial"/>
          <w:szCs w:val="24"/>
          <w:lang w:eastAsia="es-ES_tradnl"/>
        </w:rPr>
        <w:t xml:space="preserve">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w:t>
      </w:r>
      <w:r w:rsidR="009E23EC" w:rsidRPr="00930DA0">
        <w:rPr>
          <w:rFonts w:ascii="Arial" w:eastAsia="Times New Roman" w:hAnsi="Arial" w:cs="Arial"/>
          <w:szCs w:val="24"/>
          <w:lang w:eastAsia="es-ES_tradnl"/>
        </w:rPr>
        <w:t>, y considerando que –sin perjuicio de lo dispuesto en cada resolución respecto a los bienes y servicios adicionales– l</w:t>
      </w:r>
      <w:r w:rsidR="002C05D5" w:rsidRPr="00930DA0">
        <w:rPr>
          <w:rFonts w:ascii="Arial" w:eastAsia="Calibri" w:hAnsi="Arial" w:cs="Arial"/>
          <w:color w:val="000000"/>
          <w:shd w:val="clear" w:color="auto" w:fill="FFFFFF"/>
          <w:lang w:val="es-MX"/>
        </w:rPr>
        <w:t xml:space="preserve">os documentos tipo </w:t>
      </w:r>
      <w:r w:rsidR="007A085E" w:rsidRPr="00930DA0">
        <w:rPr>
          <w:rFonts w:ascii="Arial" w:eastAsia="Calibri" w:hAnsi="Arial" w:cs="Arial"/>
          <w:color w:val="000000"/>
          <w:shd w:val="clear" w:color="auto" w:fill="FFFFFF"/>
          <w:lang w:val="es-MX"/>
        </w:rPr>
        <w:t>d</w:t>
      </w:r>
      <w:r w:rsidR="002C05D5" w:rsidRPr="00930DA0">
        <w:rPr>
          <w:rFonts w:ascii="Arial" w:eastAsia="Calibri" w:hAnsi="Arial" w:cs="Arial"/>
          <w:color w:val="000000"/>
          <w:shd w:val="clear" w:color="auto" w:fill="FFFFFF"/>
          <w:lang w:val="es-MX"/>
        </w:rPr>
        <w:t>e infraestructura de transporte están estructurados para</w:t>
      </w:r>
      <w:r w:rsidR="009E23EC" w:rsidRPr="00930DA0">
        <w:rPr>
          <w:rFonts w:ascii="Arial" w:eastAsia="Calibri" w:hAnsi="Arial" w:cs="Arial"/>
          <w:color w:val="000000"/>
          <w:shd w:val="clear" w:color="auto" w:fill="FFFFFF"/>
          <w:lang w:val="es-MX"/>
        </w:rPr>
        <w:t xml:space="preserve"> contratos de</w:t>
      </w:r>
      <w:r w:rsidR="002C05D5" w:rsidRPr="00930DA0">
        <w:rPr>
          <w:rFonts w:ascii="Arial" w:eastAsia="Calibri" w:hAnsi="Arial" w:cs="Arial"/>
          <w:color w:val="000000"/>
          <w:shd w:val="clear" w:color="auto" w:fill="FFFFFF"/>
          <w:lang w:val="es-MX"/>
        </w:rPr>
        <w:t xml:space="preserve"> </w:t>
      </w:r>
      <w:r w:rsidR="002C05D5" w:rsidRPr="00930DA0">
        <w:rPr>
          <w:rFonts w:ascii="Arial" w:eastAsia="Calibri" w:hAnsi="Arial" w:cs="Arial"/>
          <w:i/>
          <w:color w:val="000000"/>
          <w:shd w:val="clear" w:color="auto" w:fill="FFFFFF"/>
          <w:lang w:val="es-MX"/>
        </w:rPr>
        <w:t>obras públicas</w:t>
      </w:r>
      <w:r w:rsidR="00FE398B" w:rsidRPr="00930DA0">
        <w:rPr>
          <w:rFonts w:ascii="Arial" w:eastAsia="Calibri" w:hAnsi="Arial" w:cs="Arial"/>
          <w:color w:val="0D0D0D"/>
          <w:lang w:val="es-MX"/>
        </w:rPr>
        <w:t>.</w:t>
      </w:r>
    </w:p>
    <w:p w14:paraId="366A16AB" w14:textId="77777777" w:rsidR="003D7890" w:rsidRPr="00930DA0" w:rsidRDefault="003D7890" w:rsidP="00641C7A">
      <w:pPr>
        <w:spacing w:after="120"/>
      </w:pPr>
    </w:p>
    <w:p w14:paraId="79D99817" w14:textId="77777777" w:rsidR="00B749D1" w:rsidRPr="00930DA0" w:rsidRDefault="00B749D1" w:rsidP="003D7890">
      <w:pPr>
        <w:spacing w:after="0" w:line="276" w:lineRule="auto"/>
        <w:jc w:val="both"/>
        <w:rPr>
          <w:rFonts w:ascii="Arial" w:eastAsia="Calibri" w:hAnsi="Arial" w:cs="Arial"/>
          <w:color w:val="000000"/>
          <w:lang w:val="es-ES_tradnl"/>
        </w:rPr>
      </w:pPr>
      <w:r w:rsidRPr="00930DA0">
        <w:rPr>
          <w:rFonts w:ascii="Arial" w:eastAsia="Calibri" w:hAnsi="Arial" w:cs="Arial"/>
          <w:color w:val="000000"/>
          <w:lang w:val="es-ES_tradnl"/>
        </w:rPr>
        <w:t>Este concepto tiene el alcance previsto en el artículo 28 del Código de Procedimiento Administrativo y de lo Contencioso Administrativo.</w:t>
      </w:r>
    </w:p>
    <w:p w14:paraId="2BACA7DD" w14:textId="77777777" w:rsidR="00B749D1" w:rsidRPr="00930DA0" w:rsidRDefault="00B749D1" w:rsidP="00B749D1">
      <w:pPr>
        <w:spacing w:after="0" w:line="276" w:lineRule="auto"/>
        <w:jc w:val="both"/>
        <w:rPr>
          <w:rFonts w:ascii="Arial" w:eastAsia="Times New Roman" w:hAnsi="Arial" w:cs="Arial"/>
          <w:color w:val="000000"/>
          <w:lang w:val="es-ES_tradnl" w:eastAsia="es-CO"/>
        </w:rPr>
      </w:pPr>
    </w:p>
    <w:p w14:paraId="19B0865B" w14:textId="77777777" w:rsidR="00B749D1" w:rsidRPr="00930DA0" w:rsidRDefault="00B749D1" w:rsidP="00B749D1">
      <w:pPr>
        <w:spacing w:after="0" w:line="276" w:lineRule="auto"/>
        <w:jc w:val="both"/>
        <w:rPr>
          <w:rFonts w:ascii="Arial" w:eastAsia="Times New Roman" w:hAnsi="Arial" w:cs="Arial"/>
          <w:color w:val="000000"/>
          <w:lang w:val="es-ES_tradnl" w:eastAsia="es-CO"/>
        </w:rPr>
      </w:pPr>
    </w:p>
    <w:p w14:paraId="241F05F6" w14:textId="77777777" w:rsidR="00B749D1" w:rsidRPr="00930DA0" w:rsidRDefault="00B749D1" w:rsidP="00B749D1">
      <w:pPr>
        <w:spacing w:after="0" w:line="276" w:lineRule="auto"/>
        <w:jc w:val="both"/>
        <w:rPr>
          <w:rFonts w:ascii="Arial" w:eastAsia="Times New Roman" w:hAnsi="Arial" w:cs="Arial"/>
          <w:color w:val="000000"/>
          <w:lang w:val="es-ES_tradnl" w:eastAsia="es-CO"/>
        </w:rPr>
      </w:pPr>
      <w:r w:rsidRPr="00930DA0">
        <w:rPr>
          <w:rFonts w:ascii="Arial" w:eastAsia="Times New Roman" w:hAnsi="Arial" w:cs="Arial"/>
          <w:color w:val="000000"/>
          <w:lang w:val="es-ES_tradnl" w:eastAsia="es-CO"/>
        </w:rPr>
        <w:t>Atentamente,</w:t>
      </w:r>
    </w:p>
    <w:p w14:paraId="55346AFC" w14:textId="4C8997B0" w:rsidR="00B749D1" w:rsidRPr="00930DA0" w:rsidRDefault="00264694" w:rsidP="00B749D1">
      <w:pPr>
        <w:spacing w:after="0" w:line="276" w:lineRule="auto"/>
        <w:jc w:val="center"/>
        <w:rPr>
          <w:rFonts w:ascii="Arial" w:eastAsia="Times New Roman" w:hAnsi="Arial" w:cs="Arial"/>
          <w:color w:val="000000"/>
          <w:lang w:val="es-ES_tradnl" w:eastAsia="es-CO"/>
        </w:rPr>
      </w:pPr>
      <w:r w:rsidRPr="00930DA0">
        <w:rPr>
          <w:noProof/>
          <w:color w:val="000000" w:themeColor="text1"/>
          <w:lang w:val="en-US"/>
        </w:rPr>
        <w:lastRenderedPageBreak/>
        <w:drawing>
          <wp:anchor distT="0" distB="0" distL="0" distR="0" simplePos="0" relativeHeight="251659264" behindDoc="0" locked="0" layoutInCell="1" allowOverlap="1" wp14:anchorId="118C5590" wp14:editId="42F3C06E">
            <wp:simplePos x="0" y="0"/>
            <wp:positionH relativeFrom="page">
              <wp:posOffset>2860040</wp:posOffset>
            </wp:positionH>
            <wp:positionV relativeFrom="paragraph">
              <wp:posOffset>99695</wp:posOffset>
            </wp:positionV>
            <wp:extent cx="2453005" cy="1080135"/>
            <wp:effectExtent l="0" t="0" r="4445" b="5715"/>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pic:cNvPicPr/>
                  </pic:nvPicPr>
                  <pic:blipFill>
                    <a:blip r:embed="rId12">
                      <a:extLst>
                        <a:ext uri="{28A0092B-C50C-407E-A947-70E740481C1C}">
                          <a14:useLocalDpi xmlns:a14="http://schemas.microsoft.com/office/drawing/2010/main" val="0"/>
                        </a:ext>
                      </a:extLst>
                    </a:blip>
                    <a:stretch>
                      <a:fillRect/>
                    </a:stretch>
                  </pic:blipFill>
                  <pic:spPr>
                    <a:xfrm>
                      <a:off x="0" y="0"/>
                      <a:ext cx="2453005" cy="1080135"/>
                    </a:xfrm>
                    <a:prstGeom prst="rect">
                      <a:avLst/>
                    </a:prstGeom>
                  </pic:spPr>
                </pic:pic>
              </a:graphicData>
            </a:graphic>
            <wp14:sizeRelV relativeFrom="margin">
              <wp14:pctHeight>0</wp14:pctHeight>
            </wp14:sizeRelV>
          </wp:anchor>
        </w:drawing>
      </w:r>
    </w:p>
    <w:p w14:paraId="56F91D5D" w14:textId="77777777" w:rsidR="00B749D1" w:rsidRPr="00930DA0" w:rsidRDefault="00B749D1" w:rsidP="00B749D1">
      <w:pPr>
        <w:spacing w:after="0" w:line="240" w:lineRule="auto"/>
        <w:rPr>
          <w:rFonts w:ascii="Arial" w:eastAsia="Calibri" w:hAnsi="Arial" w:cs="Arial"/>
          <w:color w:val="000000"/>
          <w:sz w:val="18"/>
          <w:szCs w:val="20"/>
          <w:lang w:val="es-ES_tradnl" w:eastAsia="es-CO"/>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749D1" w:rsidRPr="00930DA0" w14:paraId="10410C90" w14:textId="77777777" w:rsidTr="00274E27">
        <w:trPr>
          <w:trHeight w:val="315"/>
        </w:trPr>
        <w:tc>
          <w:tcPr>
            <w:tcW w:w="812" w:type="dxa"/>
            <w:vAlign w:val="center"/>
            <w:hideMark/>
          </w:tcPr>
          <w:p w14:paraId="2DE84E21" w14:textId="77777777" w:rsidR="00B749D1" w:rsidRPr="00930DA0" w:rsidRDefault="00B749D1" w:rsidP="00B749D1">
            <w:pPr>
              <w:rPr>
                <w:rFonts w:ascii="Arial" w:eastAsia="Calibri" w:hAnsi="Arial" w:cs="Arial"/>
                <w:sz w:val="16"/>
                <w:szCs w:val="16"/>
                <w:lang w:val="es-ES_tradnl" w:eastAsia="es-ES"/>
              </w:rPr>
            </w:pPr>
            <w:r w:rsidRPr="00930DA0">
              <w:rPr>
                <w:rFonts w:ascii="Arial" w:eastAsia="Calibri" w:hAnsi="Arial" w:cs="Arial"/>
                <w:sz w:val="16"/>
                <w:szCs w:val="16"/>
                <w:lang w:val="es-ES_tradnl" w:eastAsia="es-ES"/>
              </w:rPr>
              <w:t>Elaboró:</w:t>
            </w:r>
          </w:p>
        </w:tc>
        <w:tc>
          <w:tcPr>
            <w:tcW w:w="4413" w:type="dxa"/>
            <w:tcBorders>
              <w:top w:val="nil"/>
              <w:left w:val="nil"/>
              <w:bottom w:val="dotted" w:sz="4" w:space="0" w:color="7F7F7F"/>
              <w:right w:val="nil"/>
            </w:tcBorders>
            <w:vAlign w:val="center"/>
            <w:hideMark/>
          </w:tcPr>
          <w:p w14:paraId="440A1D8E" w14:textId="0546DBD0" w:rsidR="00B749D1" w:rsidRPr="00930DA0" w:rsidRDefault="00DB5B80" w:rsidP="00B749D1">
            <w:pPr>
              <w:rPr>
                <w:rFonts w:ascii="Arial" w:eastAsia="Calibri" w:hAnsi="Arial" w:cs="Arial"/>
                <w:sz w:val="16"/>
                <w:szCs w:val="16"/>
                <w:lang w:val="es-ES_tradnl" w:eastAsia="es-ES"/>
              </w:rPr>
            </w:pPr>
            <w:r w:rsidRPr="00930DA0">
              <w:rPr>
                <w:rFonts w:ascii="Arial" w:eastAsia="Calibri" w:hAnsi="Arial" w:cs="Arial"/>
                <w:sz w:val="16"/>
                <w:szCs w:val="16"/>
                <w:lang w:val="es-ES_tradnl" w:eastAsia="es-ES"/>
              </w:rPr>
              <w:t>Guillermo Escolar Flórez</w:t>
            </w:r>
          </w:p>
          <w:p w14:paraId="531CBB0F" w14:textId="77777777" w:rsidR="00B749D1" w:rsidRPr="00930DA0" w:rsidRDefault="00B749D1" w:rsidP="00B749D1">
            <w:pPr>
              <w:rPr>
                <w:rFonts w:ascii="Arial" w:eastAsia="Calibri" w:hAnsi="Arial" w:cs="Arial"/>
                <w:sz w:val="16"/>
                <w:szCs w:val="16"/>
                <w:lang w:val="es-ES_tradnl" w:eastAsia="es-ES"/>
              </w:rPr>
            </w:pPr>
            <w:r w:rsidRPr="00930DA0">
              <w:rPr>
                <w:rFonts w:ascii="Arial" w:eastAsia="Calibri" w:hAnsi="Arial" w:cs="Arial"/>
                <w:sz w:val="16"/>
                <w:szCs w:val="16"/>
                <w:lang w:val="es-ES_tradnl" w:eastAsia="es-ES"/>
              </w:rPr>
              <w:t>Contratista de la Subdirección de Gestión Contractual</w:t>
            </w:r>
          </w:p>
        </w:tc>
      </w:tr>
      <w:tr w:rsidR="00B749D1" w:rsidRPr="00930DA0" w14:paraId="27D1CD25" w14:textId="77777777" w:rsidTr="00274E27">
        <w:trPr>
          <w:trHeight w:val="330"/>
        </w:trPr>
        <w:tc>
          <w:tcPr>
            <w:tcW w:w="812" w:type="dxa"/>
            <w:vAlign w:val="center"/>
            <w:hideMark/>
          </w:tcPr>
          <w:p w14:paraId="2A8BA92F" w14:textId="77777777" w:rsidR="00B749D1" w:rsidRPr="00930DA0" w:rsidRDefault="00B749D1" w:rsidP="00B749D1">
            <w:pPr>
              <w:rPr>
                <w:rFonts w:ascii="Arial" w:eastAsia="Calibri" w:hAnsi="Arial" w:cs="Arial"/>
                <w:sz w:val="16"/>
                <w:szCs w:val="16"/>
                <w:lang w:val="es-ES_tradnl" w:eastAsia="es-ES"/>
              </w:rPr>
            </w:pPr>
            <w:r w:rsidRPr="00930DA0">
              <w:rPr>
                <w:rFonts w:ascii="Arial" w:eastAsia="Calibri" w:hAnsi="Arial"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024F8FCA" w14:textId="77777777" w:rsidR="00710868" w:rsidRPr="00930DA0" w:rsidRDefault="00710868" w:rsidP="00710868">
            <w:pPr>
              <w:rPr>
                <w:rFonts w:ascii="Arial" w:eastAsia="Calibri" w:hAnsi="Arial" w:cs="Arial"/>
                <w:sz w:val="16"/>
                <w:szCs w:val="16"/>
                <w:lang w:val="es-ES_tradnl" w:eastAsia="es-ES"/>
              </w:rPr>
            </w:pPr>
            <w:r w:rsidRPr="00930DA0">
              <w:rPr>
                <w:rFonts w:ascii="Arial" w:eastAsia="Calibri" w:hAnsi="Arial" w:cs="Arial"/>
                <w:sz w:val="16"/>
                <w:szCs w:val="16"/>
                <w:lang w:val="es-ES_tradnl" w:eastAsia="es-ES"/>
              </w:rPr>
              <w:t>Juan David Montoya Penagos</w:t>
            </w:r>
          </w:p>
          <w:p w14:paraId="7EE8109A" w14:textId="414BF680" w:rsidR="00B749D1" w:rsidRPr="00930DA0" w:rsidRDefault="00710868" w:rsidP="00710868">
            <w:pPr>
              <w:rPr>
                <w:rFonts w:ascii="Arial" w:eastAsia="Calibri" w:hAnsi="Arial" w:cs="Arial"/>
                <w:sz w:val="16"/>
                <w:szCs w:val="16"/>
                <w:lang w:val="es-ES_tradnl" w:eastAsia="es-ES"/>
              </w:rPr>
            </w:pPr>
            <w:r w:rsidRPr="00930DA0">
              <w:rPr>
                <w:rFonts w:ascii="Arial" w:eastAsia="Calibri" w:hAnsi="Arial" w:cs="Arial"/>
                <w:sz w:val="16"/>
                <w:szCs w:val="16"/>
                <w:lang w:val="es-ES_tradnl" w:eastAsia="es-ES"/>
              </w:rPr>
              <w:t>Gestor T1-15 de la Subdirección de Gestión Contractual</w:t>
            </w:r>
          </w:p>
        </w:tc>
      </w:tr>
      <w:tr w:rsidR="00B749D1" w:rsidRPr="00B749D1" w14:paraId="4A589570" w14:textId="77777777" w:rsidTr="00274E27">
        <w:trPr>
          <w:trHeight w:val="300"/>
        </w:trPr>
        <w:tc>
          <w:tcPr>
            <w:tcW w:w="812" w:type="dxa"/>
            <w:vAlign w:val="center"/>
            <w:hideMark/>
          </w:tcPr>
          <w:p w14:paraId="36B7DF2E" w14:textId="77777777" w:rsidR="00B749D1" w:rsidRPr="00930DA0" w:rsidRDefault="00B749D1" w:rsidP="00B749D1">
            <w:pPr>
              <w:rPr>
                <w:rFonts w:ascii="Arial" w:eastAsia="Calibri" w:hAnsi="Arial" w:cs="Arial"/>
                <w:sz w:val="16"/>
                <w:szCs w:val="16"/>
                <w:lang w:val="es-ES_tradnl" w:eastAsia="es-ES"/>
              </w:rPr>
            </w:pPr>
            <w:r w:rsidRPr="00930DA0">
              <w:rPr>
                <w:rFonts w:ascii="Arial" w:eastAsia="Calibri" w:hAnsi="Arial" w:cs="Arial"/>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46F9C047" w14:textId="77777777" w:rsidR="00B749D1" w:rsidRPr="00930DA0" w:rsidRDefault="00B749D1" w:rsidP="00B749D1">
            <w:pPr>
              <w:rPr>
                <w:rFonts w:ascii="Arial" w:eastAsia="Calibri" w:hAnsi="Arial" w:cs="Arial"/>
                <w:sz w:val="16"/>
                <w:szCs w:val="16"/>
                <w:lang w:val="pt-BR" w:eastAsia="es-ES"/>
              </w:rPr>
            </w:pPr>
            <w:r w:rsidRPr="00930DA0">
              <w:rPr>
                <w:rFonts w:ascii="Arial" w:eastAsia="Calibri" w:hAnsi="Arial" w:cs="Arial"/>
                <w:sz w:val="16"/>
                <w:szCs w:val="16"/>
                <w:lang w:val="pt-BR" w:eastAsia="es-ES"/>
              </w:rPr>
              <w:t>Jorge Augusto Tirado Navarro</w:t>
            </w:r>
          </w:p>
          <w:p w14:paraId="76523217" w14:textId="7D195C1C" w:rsidR="00B749D1" w:rsidRPr="00B749D1" w:rsidRDefault="00B749D1" w:rsidP="00B749D1">
            <w:pPr>
              <w:rPr>
                <w:rFonts w:ascii="Arial" w:eastAsia="Calibri" w:hAnsi="Arial" w:cs="Arial"/>
                <w:sz w:val="16"/>
                <w:szCs w:val="16"/>
                <w:lang w:val="pt-BR" w:eastAsia="es-ES"/>
              </w:rPr>
            </w:pPr>
            <w:proofErr w:type="spellStart"/>
            <w:r w:rsidRPr="00930DA0">
              <w:rPr>
                <w:rFonts w:ascii="Arial" w:eastAsia="Calibri" w:hAnsi="Arial" w:cs="Arial"/>
                <w:sz w:val="16"/>
                <w:szCs w:val="16"/>
                <w:lang w:val="pt-BR" w:eastAsia="es-ES"/>
              </w:rPr>
              <w:t>Subdirector</w:t>
            </w:r>
            <w:proofErr w:type="spellEnd"/>
            <w:r w:rsidRPr="00930DA0">
              <w:rPr>
                <w:rFonts w:ascii="Arial" w:eastAsia="Calibri" w:hAnsi="Arial" w:cs="Arial"/>
                <w:sz w:val="16"/>
                <w:szCs w:val="16"/>
                <w:lang w:val="pt-BR" w:eastAsia="es-ES"/>
              </w:rPr>
              <w:t xml:space="preserve"> de Gestión </w:t>
            </w:r>
            <w:proofErr w:type="spellStart"/>
            <w:r w:rsidRPr="00930DA0">
              <w:rPr>
                <w:rFonts w:ascii="Arial" w:eastAsia="Calibri" w:hAnsi="Arial" w:cs="Arial"/>
                <w:sz w:val="16"/>
                <w:szCs w:val="16"/>
                <w:lang w:val="pt-BR" w:eastAsia="es-ES"/>
              </w:rPr>
              <w:t>Contractual</w:t>
            </w:r>
            <w:proofErr w:type="spellEnd"/>
            <w:r w:rsidR="00E113DB" w:rsidRPr="00930DA0">
              <w:rPr>
                <w:rFonts w:ascii="Arial" w:eastAsia="Calibri" w:hAnsi="Arial" w:cs="Arial"/>
                <w:sz w:val="16"/>
                <w:szCs w:val="16"/>
                <w:lang w:val="pt-BR" w:eastAsia="es-ES"/>
              </w:rPr>
              <w:t xml:space="preserve"> ANCP – CCE</w:t>
            </w:r>
          </w:p>
        </w:tc>
      </w:tr>
    </w:tbl>
    <w:p w14:paraId="4369D7E8" w14:textId="77777777" w:rsidR="00B749D1" w:rsidRPr="00B749D1" w:rsidRDefault="00B749D1" w:rsidP="00B749D1">
      <w:pPr>
        <w:spacing w:after="0" w:line="240" w:lineRule="auto"/>
        <w:rPr>
          <w:rFonts w:ascii="Arial" w:eastAsia="Calibri" w:hAnsi="Arial" w:cs="Arial"/>
          <w:sz w:val="16"/>
          <w:szCs w:val="16"/>
          <w:lang w:val="pt-BR" w:eastAsia="es-ES"/>
        </w:rPr>
      </w:pPr>
    </w:p>
    <w:p w14:paraId="4B46E55A" w14:textId="77777777" w:rsidR="00B749D1" w:rsidRDefault="00B749D1"/>
    <w:sectPr w:rsidR="00B749D1">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EE498" w14:textId="77777777" w:rsidR="0072494B" w:rsidRDefault="0072494B" w:rsidP="00951D2A">
      <w:pPr>
        <w:spacing w:after="0" w:line="240" w:lineRule="auto"/>
      </w:pPr>
      <w:r>
        <w:separator/>
      </w:r>
    </w:p>
  </w:endnote>
  <w:endnote w:type="continuationSeparator" w:id="0">
    <w:p w14:paraId="300D2E84" w14:textId="77777777" w:rsidR="0072494B" w:rsidRDefault="0072494B" w:rsidP="00951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Klee One"/>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0242A" w14:textId="3629A256" w:rsidR="00951D2A" w:rsidRPr="008217B7" w:rsidRDefault="00951D2A" w:rsidP="00951D2A">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42DBE">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42DBE">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3A883BB8" w14:textId="77777777" w:rsidR="00951D2A" w:rsidRDefault="00951D2A" w:rsidP="00951D2A">
    <w:pPr>
      <w:pStyle w:val="Piedepgina"/>
      <w:jc w:val="center"/>
      <w:rPr>
        <w:lang w:val="es-ES"/>
      </w:rPr>
    </w:pPr>
    <w:r>
      <w:rPr>
        <w:noProof/>
        <w:lang w:val="en-US"/>
      </w:rPr>
      <w:drawing>
        <wp:inline distT="0" distB="0" distL="0" distR="0" wp14:anchorId="1767E13B" wp14:editId="073850AE">
          <wp:extent cx="3700130" cy="519139"/>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8CADCF0" w14:textId="77777777" w:rsidR="00EA0A2C" w:rsidRDefault="00EA0A2C" w:rsidP="00951D2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4521E" w14:textId="77777777" w:rsidR="0072494B" w:rsidRDefault="0072494B" w:rsidP="00951D2A">
      <w:pPr>
        <w:spacing w:after="0" w:line="240" w:lineRule="auto"/>
      </w:pPr>
      <w:r>
        <w:separator/>
      </w:r>
    </w:p>
  </w:footnote>
  <w:footnote w:type="continuationSeparator" w:id="0">
    <w:p w14:paraId="562CADDE" w14:textId="77777777" w:rsidR="0072494B" w:rsidRDefault="0072494B" w:rsidP="00951D2A">
      <w:pPr>
        <w:spacing w:after="0" w:line="240" w:lineRule="auto"/>
      </w:pPr>
      <w:r>
        <w:continuationSeparator/>
      </w:r>
    </w:p>
  </w:footnote>
  <w:footnote w:id="1">
    <w:p w14:paraId="0558F367" w14:textId="77777777" w:rsidR="004835FA" w:rsidRDefault="004835FA" w:rsidP="004835FA">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680F47B6" w14:textId="77777777" w:rsidR="000B16EA" w:rsidRPr="005A5BF9" w:rsidRDefault="000B16EA" w:rsidP="009706D8">
      <w:pPr>
        <w:pStyle w:val="Textonotapie"/>
        <w:ind w:firstLine="709"/>
        <w:jc w:val="both"/>
        <w:rPr>
          <w:rFonts w:ascii="Arial" w:eastAsia="Times New Roman" w:hAnsi="Arial" w:cs="Arial"/>
          <w:color w:val="000000"/>
          <w:sz w:val="19"/>
          <w:szCs w:val="19"/>
          <w:bdr w:val="none" w:sz="0" w:space="0" w:color="auto" w:frame="1"/>
          <w:lang w:eastAsia="es-CO"/>
        </w:rPr>
      </w:pPr>
      <w:r w:rsidRPr="003567B6">
        <w:rPr>
          <w:rStyle w:val="Refdenotaalpie"/>
          <w:rFonts w:ascii="Arial" w:hAnsi="Arial" w:cs="Arial"/>
          <w:sz w:val="19"/>
          <w:szCs w:val="19"/>
        </w:rPr>
        <w:footnoteRef/>
      </w:r>
      <w:r w:rsidRPr="003567B6">
        <w:rPr>
          <w:rFonts w:ascii="Arial" w:hAnsi="Arial" w:cs="Arial"/>
          <w:sz w:val="19"/>
          <w:szCs w:val="19"/>
        </w:rPr>
        <w:t xml:space="preserve"> </w:t>
      </w:r>
      <w:r w:rsidRPr="005A5BF9">
        <w:rPr>
          <w:rFonts w:ascii="Arial" w:eastAsia="Times New Roman" w:hAnsi="Arial" w:cs="Arial"/>
          <w:color w:val="000000"/>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footnote>
  <w:footnote w:id="3">
    <w:p w14:paraId="2D3F0F13" w14:textId="77777777" w:rsidR="000B16EA" w:rsidRPr="005A5BF9" w:rsidRDefault="000B16EA">
      <w:pPr>
        <w:pStyle w:val="Textonotapie"/>
        <w:ind w:firstLine="709"/>
        <w:rPr>
          <w:rFonts w:ascii="Arial" w:eastAsia="Times New Roman" w:hAnsi="Arial" w:cs="Arial"/>
          <w:color w:val="000000"/>
          <w:sz w:val="19"/>
          <w:szCs w:val="19"/>
          <w:bdr w:val="none" w:sz="0" w:space="0" w:color="auto" w:frame="1"/>
          <w:lang w:eastAsia="es-CO"/>
        </w:rPr>
      </w:pPr>
      <w:r w:rsidRPr="003567B6">
        <w:rPr>
          <w:rStyle w:val="Refdenotaalpie"/>
          <w:rFonts w:ascii="Arial" w:hAnsi="Arial" w:cs="Arial"/>
          <w:sz w:val="19"/>
          <w:szCs w:val="19"/>
        </w:rPr>
        <w:footnoteRef/>
      </w:r>
      <w:r w:rsidRPr="003567B6">
        <w:rPr>
          <w:rFonts w:ascii="Arial" w:hAnsi="Arial" w:cs="Arial"/>
          <w:sz w:val="19"/>
          <w:szCs w:val="19"/>
        </w:rPr>
        <w:t xml:space="preserve"> </w:t>
      </w:r>
      <w:r w:rsidRPr="005A5BF9">
        <w:rPr>
          <w:rFonts w:ascii="Arial" w:eastAsia="Times New Roman" w:hAnsi="Arial" w:cs="Arial"/>
          <w:color w:val="000000"/>
          <w:sz w:val="19"/>
          <w:szCs w:val="19"/>
          <w:bdr w:val="none" w:sz="0" w:space="0" w:color="auto" w:frame="1"/>
          <w:lang w:eastAsia="es-CO"/>
        </w:rPr>
        <w:t>Diario Oficial. Gaceta del Congreso 458 de 2005.  </w:t>
      </w:r>
    </w:p>
  </w:footnote>
  <w:footnote w:id="4">
    <w:p w14:paraId="67320C57" w14:textId="77777777" w:rsidR="000B16EA" w:rsidRPr="003567B6" w:rsidRDefault="000B16EA">
      <w:pPr>
        <w:pStyle w:val="Textonotapie"/>
        <w:ind w:firstLine="709"/>
        <w:rPr>
          <w:rFonts w:ascii="Arial" w:hAnsi="Arial" w:cs="Arial"/>
          <w:sz w:val="19"/>
          <w:szCs w:val="19"/>
        </w:rPr>
      </w:pPr>
      <w:r w:rsidRPr="003567B6">
        <w:rPr>
          <w:rStyle w:val="Refdenotaalpie"/>
          <w:rFonts w:ascii="Arial" w:hAnsi="Arial" w:cs="Arial"/>
          <w:sz w:val="19"/>
          <w:szCs w:val="19"/>
        </w:rPr>
        <w:footnoteRef/>
      </w:r>
      <w:r w:rsidRPr="003567B6">
        <w:rPr>
          <w:rFonts w:ascii="Arial" w:hAnsi="Arial" w:cs="Arial"/>
          <w:sz w:val="19"/>
          <w:szCs w:val="19"/>
        </w:rPr>
        <w:t xml:space="preserve"> </w:t>
      </w:r>
      <w:r w:rsidRPr="005A5BF9">
        <w:rPr>
          <w:rFonts w:ascii="Arial" w:hAnsi="Arial" w:cs="Arial"/>
          <w:sz w:val="19"/>
          <w:szCs w:val="19"/>
        </w:rPr>
        <w:t>Ibídem.</w:t>
      </w:r>
      <w:r w:rsidRPr="003567B6">
        <w:rPr>
          <w:rFonts w:ascii="Arial" w:hAnsi="Arial" w:cs="Arial"/>
          <w:sz w:val="19"/>
          <w:szCs w:val="19"/>
        </w:rPr>
        <w:t xml:space="preserve">  </w:t>
      </w:r>
    </w:p>
  </w:footnote>
  <w:footnote w:id="5">
    <w:p w14:paraId="0610478A" w14:textId="77777777" w:rsidR="000B16EA" w:rsidRPr="00C261F0" w:rsidRDefault="000B16EA" w:rsidP="00641C7A">
      <w:pPr>
        <w:shd w:val="clear" w:color="auto" w:fill="FFFFFF"/>
        <w:spacing w:after="0"/>
        <w:ind w:firstLine="709"/>
        <w:jc w:val="both"/>
        <w:textAlignment w:val="baseline"/>
        <w:rPr>
          <w:rFonts w:ascii="Arial" w:hAnsi="Arial" w:cs="Arial"/>
          <w:color w:val="000000"/>
          <w:sz w:val="19"/>
          <w:szCs w:val="19"/>
          <w:bdr w:val="none" w:sz="0" w:space="0" w:color="auto" w:frame="1"/>
          <w:lang w:eastAsia="es-CO"/>
        </w:rPr>
      </w:pPr>
      <w:r w:rsidRPr="003567B6">
        <w:rPr>
          <w:rStyle w:val="Refdenotaalpie"/>
          <w:rFonts w:ascii="Arial" w:hAnsi="Arial" w:cs="Arial"/>
          <w:sz w:val="19"/>
          <w:szCs w:val="19"/>
        </w:rPr>
        <w:footnoteRef/>
      </w:r>
      <w:r w:rsidRPr="003567B6">
        <w:rPr>
          <w:rFonts w:ascii="Arial" w:hAnsi="Arial" w:cs="Arial"/>
          <w:sz w:val="19"/>
          <w:szCs w:val="19"/>
        </w:rPr>
        <w:t xml:space="preserve"> </w:t>
      </w:r>
      <w:r w:rsidRPr="005A5BF9">
        <w:rPr>
          <w:rFonts w:ascii="Arial" w:hAnsi="Arial" w:cs="Arial"/>
          <w:color w:val="000000"/>
          <w:sz w:val="19"/>
          <w:szCs w:val="19"/>
          <w:bdr w:val="none" w:sz="0" w:space="0" w:color="auto" w:frame="1"/>
          <w:lang w:eastAsia="es-CO"/>
        </w:rPr>
        <w:t>Diario Oficial. Gaceta del Congreso 416 de 2007, Informe de Conciliación Senado. </w:t>
      </w:r>
    </w:p>
  </w:footnote>
  <w:footnote w:id="6">
    <w:p w14:paraId="39953C1F" w14:textId="77777777" w:rsidR="000B16EA" w:rsidRPr="003567B6" w:rsidRDefault="000B16EA" w:rsidP="00641C7A">
      <w:pPr>
        <w:shd w:val="clear" w:color="auto" w:fill="FFFFFF"/>
        <w:spacing w:after="0"/>
        <w:ind w:firstLine="709"/>
        <w:jc w:val="both"/>
        <w:textAlignment w:val="baseline"/>
        <w:rPr>
          <w:rFonts w:ascii="Arial" w:hAnsi="Arial" w:cs="Arial"/>
          <w:color w:val="000000"/>
          <w:sz w:val="19"/>
          <w:szCs w:val="19"/>
          <w:lang w:eastAsia="es-CO"/>
        </w:rPr>
      </w:pPr>
      <w:r w:rsidRPr="003567B6">
        <w:rPr>
          <w:rStyle w:val="Refdenotaalpie"/>
          <w:rFonts w:ascii="Arial" w:hAnsi="Arial" w:cs="Arial"/>
          <w:sz w:val="19"/>
          <w:szCs w:val="19"/>
        </w:rPr>
        <w:footnoteRef/>
      </w:r>
      <w:r w:rsidRPr="003567B6">
        <w:rPr>
          <w:rFonts w:ascii="Arial" w:hAnsi="Arial" w:cs="Arial"/>
          <w:sz w:val="19"/>
          <w:szCs w:val="19"/>
        </w:rPr>
        <w:t xml:space="preserve"> </w:t>
      </w:r>
      <w:r w:rsidRPr="005A5BF9">
        <w:rPr>
          <w:rFonts w:ascii="Arial" w:hAnsi="Arial" w:cs="Arial"/>
          <w:color w:val="000000"/>
          <w:sz w:val="19"/>
          <w:szCs w:val="19"/>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2D303393" w14:textId="77777777" w:rsidR="000B16EA" w:rsidRPr="003567B6" w:rsidRDefault="000B16EA" w:rsidP="00641C7A">
      <w:pPr>
        <w:shd w:val="clear" w:color="auto" w:fill="FFFFFF"/>
        <w:spacing w:after="0"/>
        <w:ind w:firstLine="709"/>
        <w:jc w:val="both"/>
        <w:textAlignment w:val="baseline"/>
        <w:rPr>
          <w:rFonts w:ascii="Arial" w:hAnsi="Arial" w:cs="Arial"/>
          <w:color w:val="000000"/>
          <w:sz w:val="19"/>
          <w:szCs w:val="19"/>
          <w:lang w:eastAsia="es-CO"/>
        </w:rPr>
      </w:pPr>
      <w:proofErr w:type="gramStart"/>
      <w:r w:rsidRPr="005A5BF9">
        <w:rPr>
          <w:rFonts w:ascii="Arial" w:hAnsi="Arial" w:cs="Arial"/>
          <w:color w:val="000000"/>
          <w:sz w:val="19"/>
          <w:szCs w:val="19"/>
          <w:bdr w:val="none" w:sz="0" w:space="0" w:color="auto" w:frame="1"/>
          <w:lang w:eastAsia="es-CO"/>
        </w:rPr>
        <w:t>»Dentro</w:t>
      </w:r>
      <w:proofErr w:type="gramEnd"/>
      <w:r w:rsidRPr="005A5BF9">
        <w:rPr>
          <w:rFonts w:ascii="Arial" w:hAnsi="Arial" w:cs="Arial"/>
          <w:color w:val="000000"/>
          <w:sz w:val="19"/>
          <w:szCs w:val="19"/>
          <w:bdr w:val="none" w:sz="0" w:space="0" w:color="auto" w:frame="1"/>
          <w:lang w:eastAsia="es-CO"/>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2D375EBA" w14:textId="77777777" w:rsidR="000B16EA" w:rsidRPr="003567B6" w:rsidRDefault="000B16EA" w:rsidP="00641C7A">
      <w:pPr>
        <w:shd w:val="clear" w:color="auto" w:fill="FFFFFF"/>
        <w:spacing w:after="0"/>
        <w:ind w:firstLine="709"/>
        <w:jc w:val="both"/>
        <w:textAlignment w:val="baseline"/>
        <w:rPr>
          <w:rFonts w:ascii="Arial" w:hAnsi="Arial" w:cs="Arial"/>
          <w:color w:val="000000"/>
          <w:sz w:val="19"/>
          <w:szCs w:val="19"/>
          <w:lang w:eastAsia="es-CO"/>
        </w:rPr>
      </w:pPr>
      <w:proofErr w:type="gramStart"/>
      <w:r w:rsidRPr="005A5BF9">
        <w:rPr>
          <w:rFonts w:ascii="Arial" w:hAnsi="Arial" w:cs="Arial"/>
          <w:color w:val="000000"/>
          <w:sz w:val="19"/>
          <w:szCs w:val="19"/>
          <w:bdr w:val="none" w:sz="0" w:space="0" w:color="auto" w:frame="1"/>
          <w:lang w:eastAsia="es-CO"/>
        </w:rPr>
        <w:t>»Con</w:t>
      </w:r>
      <w:proofErr w:type="gramEnd"/>
      <w:r w:rsidRPr="005A5BF9">
        <w:rPr>
          <w:rFonts w:ascii="Arial" w:hAnsi="Arial" w:cs="Arial"/>
          <w:color w:val="000000"/>
          <w:sz w:val="19"/>
          <w:szCs w:val="19"/>
          <w:bdr w:val="none" w:sz="0" w:space="0" w:color="auto" w:frame="1"/>
          <w:lang w:eastAsia="es-CO"/>
        </w:rPr>
        <w:t xml:space="preserve"> el ánimo de promover la descentralización, el empleo local, el desarrollo, los </w:t>
      </w:r>
      <w:r w:rsidRPr="00BE6711">
        <w:rPr>
          <w:rFonts w:ascii="Arial" w:hAnsi="Arial" w:cs="Arial"/>
          <w:color w:val="000000"/>
          <w:sz w:val="19"/>
          <w:szCs w:val="19"/>
          <w:bdr w:val="none" w:sz="0" w:space="0" w:color="auto" w:frame="1"/>
          <w:lang w:eastAsia="es-CO"/>
        </w:rPr>
        <w:t>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4039D49F" w14:textId="77777777" w:rsidR="000B16EA" w:rsidRPr="003567B6" w:rsidRDefault="000B16EA" w:rsidP="00641C7A">
      <w:pPr>
        <w:shd w:val="clear" w:color="auto" w:fill="FFFFFF"/>
        <w:spacing w:after="0"/>
        <w:ind w:firstLine="709"/>
        <w:jc w:val="both"/>
        <w:textAlignment w:val="baseline"/>
        <w:rPr>
          <w:rFonts w:ascii="Arial" w:hAnsi="Arial" w:cs="Arial"/>
          <w:color w:val="000000"/>
          <w:sz w:val="19"/>
          <w:szCs w:val="19"/>
          <w:lang w:eastAsia="es-CO"/>
        </w:rPr>
      </w:pPr>
      <w:r w:rsidRPr="005A5BF9">
        <w:rPr>
          <w:rFonts w:ascii="Arial" w:hAnsi="Arial" w:cs="Arial"/>
          <w:color w:val="000000"/>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059EA371" w14:textId="77777777" w:rsidR="000B16EA" w:rsidRPr="00C261F0" w:rsidRDefault="000B16EA" w:rsidP="00641C7A">
      <w:pPr>
        <w:shd w:val="clear" w:color="auto" w:fill="FFFFFF"/>
        <w:spacing w:after="0"/>
        <w:ind w:firstLine="708"/>
        <w:jc w:val="both"/>
        <w:textAlignment w:val="baseline"/>
        <w:rPr>
          <w:rFonts w:ascii="Arial" w:hAnsi="Arial" w:cs="Arial"/>
          <w:color w:val="000000"/>
          <w:sz w:val="19"/>
          <w:szCs w:val="19"/>
          <w:lang w:eastAsia="es-CO"/>
        </w:rPr>
      </w:pPr>
      <w:proofErr w:type="gramStart"/>
      <w:r w:rsidRPr="005A5BF9">
        <w:rPr>
          <w:rFonts w:ascii="Arial" w:hAnsi="Arial" w:cs="Arial"/>
          <w:color w:val="000000"/>
          <w:sz w:val="19"/>
          <w:szCs w:val="19"/>
          <w:bdr w:val="none" w:sz="0" w:space="0" w:color="auto" w:frame="1"/>
          <w:lang w:eastAsia="es-CO"/>
        </w:rPr>
        <w:t>»En</w:t>
      </w:r>
      <w:proofErr w:type="gramEnd"/>
      <w:r w:rsidRPr="005A5BF9">
        <w:rPr>
          <w:rFonts w:ascii="Arial" w:hAnsi="Arial" w:cs="Arial"/>
          <w:color w:val="000000"/>
          <w:sz w:val="19"/>
          <w:szCs w:val="19"/>
          <w:bdr w:val="none" w:sz="0" w:space="0" w:color="auto" w:frame="1"/>
          <w:lang w:eastAsia="es-CO"/>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8C64A" w14:textId="63483025" w:rsidR="00951D2A" w:rsidRDefault="00951D2A">
    <w:pPr>
      <w:pStyle w:val="Encabezado"/>
    </w:pPr>
    <w:r>
      <w:rPr>
        <w:noProof/>
        <w:lang w:val="en-US"/>
      </w:rPr>
      <w:drawing>
        <wp:anchor distT="0" distB="0" distL="114300" distR="114300" simplePos="0" relativeHeight="251659264" behindDoc="1" locked="0" layoutInCell="1" allowOverlap="1" wp14:anchorId="636BE264" wp14:editId="3AF9D8B7">
          <wp:simplePos x="0" y="0"/>
          <wp:positionH relativeFrom="column">
            <wp:posOffset>4606180</wp:posOffset>
          </wp:positionH>
          <wp:positionV relativeFrom="paragraph">
            <wp:posOffset>-105686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descr="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 Imagen" descr="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478584F" w14:textId="77777777" w:rsidR="00EA0A2C" w:rsidRDefault="00EA0A2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num w:numId="1" w16cid:durableId="1186524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D2A"/>
    <w:rsid w:val="00003FFE"/>
    <w:rsid w:val="00005A38"/>
    <w:rsid w:val="000138DD"/>
    <w:rsid w:val="00021627"/>
    <w:rsid w:val="0002675F"/>
    <w:rsid w:val="00074095"/>
    <w:rsid w:val="00090411"/>
    <w:rsid w:val="000A79D9"/>
    <w:rsid w:val="000B16EA"/>
    <w:rsid w:val="000E1588"/>
    <w:rsid w:val="000E45FA"/>
    <w:rsid w:val="0010277F"/>
    <w:rsid w:val="001425C6"/>
    <w:rsid w:val="00173362"/>
    <w:rsid w:val="00181A0F"/>
    <w:rsid w:val="001A5C14"/>
    <w:rsid w:val="001B3B73"/>
    <w:rsid w:val="00247C0B"/>
    <w:rsid w:val="00264694"/>
    <w:rsid w:val="002660AE"/>
    <w:rsid w:val="002C05D5"/>
    <w:rsid w:val="002D71A1"/>
    <w:rsid w:val="002F7AD4"/>
    <w:rsid w:val="00300E95"/>
    <w:rsid w:val="003011AF"/>
    <w:rsid w:val="0031079C"/>
    <w:rsid w:val="0034715B"/>
    <w:rsid w:val="003C4C74"/>
    <w:rsid w:val="003D7890"/>
    <w:rsid w:val="003E26D8"/>
    <w:rsid w:val="004335CD"/>
    <w:rsid w:val="0046135C"/>
    <w:rsid w:val="00462864"/>
    <w:rsid w:val="004835FA"/>
    <w:rsid w:val="00497541"/>
    <w:rsid w:val="004A096E"/>
    <w:rsid w:val="004A1DA1"/>
    <w:rsid w:val="004A21DA"/>
    <w:rsid w:val="004E14F8"/>
    <w:rsid w:val="004F74AA"/>
    <w:rsid w:val="005159BF"/>
    <w:rsid w:val="00540FB8"/>
    <w:rsid w:val="005512DA"/>
    <w:rsid w:val="005748ED"/>
    <w:rsid w:val="0058102C"/>
    <w:rsid w:val="00593013"/>
    <w:rsid w:val="005A3892"/>
    <w:rsid w:val="005B27CC"/>
    <w:rsid w:val="005B6262"/>
    <w:rsid w:val="005E0AA3"/>
    <w:rsid w:val="005E0CE1"/>
    <w:rsid w:val="00611396"/>
    <w:rsid w:val="00641C7A"/>
    <w:rsid w:val="006B4EF8"/>
    <w:rsid w:val="006B64DA"/>
    <w:rsid w:val="006D434B"/>
    <w:rsid w:val="00710868"/>
    <w:rsid w:val="0072494B"/>
    <w:rsid w:val="007813EE"/>
    <w:rsid w:val="007A085E"/>
    <w:rsid w:val="007D10CC"/>
    <w:rsid w:val="007F565A"/>
    <w:rsid w:val="008111E3"/>
    <w:rsid w:val="00831D53"/>
    <w:rsid w:val="00872198"/>
    <w:rsid w:val="00882484"/>
    <w:rsid w:val="00885329"/>
    <w:rsid w:val="00896973"/>
    <w:rsid w:val="008A5692"/>
    <w:rsid w:val="008C350A"/>
    <w:rsid w:val="008D512A"/>
    <w:rsid w:val="008D7D11"/>
    <w:rsid w:val="00920995"/>
    <w:rsid w:val="00930CA9"/>
    <w:rsid w:val="00930DA0"/>
    <w:rsid w:val="00932CDB"/>
    <w:rsid w:val="00943A00"/>
    <w:rsid w:val="0095024F"/>
    <w:rsid w:val="00951D2A"/>
    <w:rsid w:val="00963B1B"/>
    <w:rsid w:val="009706D8"/>
    <w:rsid w:val="00971D53"/>
    <w:rsid w:val="009B617E"/>
    <w:rsid w:val="009E23EC"/>
    <w:rsid w:val="009E77C3"/>
    <w:rsid w:val="00A05913"/>
    <w:rsid w:val="00A07274"/>
    <w:rsid w:val="00A81FD1"/>
    <w:rsid w:val="00A82B2B"/>
    <w:rsid w:val="00A977E4"/>
    <w:rsid w:val="00B50931"/>
    <w:rsid w:val="00B57024"/>
    <w:rsid w:val="00B749D1"/>
    <w:rsid w:val="00B9221E"/>
    <w:rsid w:val="00BA3A1E"/>
    <w:rsid w:val="00BC3CF6"/>
    <w:rsid w:val="00BD7664"/>
    <w:rsid w:val="00BE2F2B"/>
    <w:rsid w:val="00C57784"/>
    <w:rsid w:val="00C61F1D"/>
    <w:rsid w:val="00C638FC"/>
    <w:rsid w:val="00C745A6"/>
    <w:rsid w:val="00C77D5A"/>
    <w:rsid w:val="00C937F0"/>
    <w:rsid w:val="00CC1570"/>
    <w:rsid w:val="00CE6258"/>
    <w:rsid w:val="00D22557"/>
    <w:rsid w:val="00D442F0"/>
    <w:rsid w:val="00D71F24"/>
    <w:rsid w:val="00DB5B80"/>
    <w:rsid w:val="00DF78AC"/>
    <w:rsid w:val="00E005C9"/>
    <w:rsid w:val="00E113DB"/>
    <w:rsid w:val="00E1296B"/>
    <w:rsid w:val="00E25C8D"/>
    <w:rsid w:val="00E74C39"/>
    <w:rsid w:val="00E76696"/>
    <w:rsid w:val="00EA0A2C"/>
    <w:rsid w:val="00EC0249"/>
    <w:rsid w:val="00EE426E"/>
    <w:rsid w:val="00F0418C"/>
    <w:rsid w:val="00F0533E"/>
    <w:rsid w:val="00F163E4"/>
    <w:rsid w:val="00F21239"/>
    <w:rsid w:val="00F34691"/>
    <w:rsid w:val="00F41B7F"/>
    <w:rsid w:val="00F42DBE"/>
    <w:rsid w:val="00FA7C56"/>
    <w:rsid w:val="00FB347B"/>
    <w:rsid w:val="00FC5423"/>
    <w:rsid w:val="00FD50F1"/>
    <w:rsid w:val="00FE398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DEB38"/>
  <w15:chartTrackingRefBased/>
  <w15:docId w15:val="{BFEA2C65-A057-44CC-AC7F-D911EF62E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D2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51D2A"/>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951D2A"/>
    <w:rPr>
      <w:vertAlign w:val="superscript"/>
    </w:rPr>
  </w:style>
  <w:style w:type="paragraph" w:customStyle="1" w:styleId="Appelnotedebasde">
    <w:name w:val="Appel note de bas de..."/>
    <w:basedOn w:val="Normal"/>
    <w:link w:val="Refdenotaalpie"/>
    <w:uiPriority w:val="99"/>
    <w:rsid w:val="00951D2A"/>
    <w:pPr>
      <w:spacing w:line="240" w:lineRule="exact"/>
    </w:pPr>
    <w:rPr>
      <w:vertAlign w:val="superscript"/>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951D2A"/>
    <w:pPr>
      <w:spacing w:after="0" w:line="240" w:lineRule="auto"/>
    </w:pPr>
    <w:rPr>
      <w:sz w:val="20"/>
      <w:szCs w:val="20"/>
      <w:lang w:val="es-MX"/>
    </w:rPr>
  </w:style>
  <w:style w:type="character" w:customStyle="1" w:styleId="TextonotapieCar1">
    <w:name w:val="Texto nota pie Car1"/>
    <w:basedOn w:val="Fuentedeprrafopredeter"/>
    <w:uiPriority w:val="99"/>
    <w:semiHidden/>
    <w:rsid w:val="00951D2A"/>
    <w:rPr>
      <w:sz w:val="20"/>
      <w:szCs w:val="20"/>
    </w:rPr>
  </w:style>
  <w:style w:type="paragraph" w:styleId="Encabezado">
    <w:name w:val="header"/>
    <w:basedOn w:val="Normal"/>
    <w:link w:val="EncabezadoCar"/>
    <w:uiPriority w:val="99"/>
    <w:unhideWhenUsed/>
    <w:rsid w:val="00951D2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51D2A"/>
  </w:style>
  <w:style w:type="paragraph" w:styleId="Piedepgina">
    <w:name w:val="footer"/>
    <w:basedOn w:val="Normal"/>
    <w:link w:val="PiedepginaCar"/>
    <w:uiPriority w:val="99"/>
    <w:unhideWhenUsed/>
    <w:rsid w:val="00951D2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51D2A"/>
  </w:style>
  <w:style w:type="paragraph" w:customStyle="1" w:styleId="Default">
    <w:name w:val="Default"/>
    <w:rsid w:val="00A81FD1"/>
    <w:pPr>
      <w:autoSpaceDE w:val="0"/>
      <w:autoSpaceDN w:val="0"/>
      <w:adjustRightInd w:val="0"/>
      <w:spacing w:after="0" w:line="240" w:lineRule="auto"/>
    </w:pPr>
    <w:rPr>
      <w:rFonts w:ascii="Arial" w:hAnsi="Arial" w:cs="Arial"/>
      <w:color w:val="000000"/>
      <w:sz w:val="24"/>
      <w:szCs w:val="24"/>
    </w:rPr>
  </w:style>
  <w:style w:type="character" w:styleId="Refdecomentario">
    <w:name w:val="annotation reference"/>
    <w:basedOn w:val="Fuentedeprrafopredeter"/>
    <w:uiPriority w:val="99"/>
    <w:semiHidden/>
    <w:unhideWhenUsed/>
    <w:rsid w:val="008A5692"/>
    <w:rPr>
      <w:sz w:val="16"/>
      <w:szCs w:val="16"/>
    </w:rPr>
  </w:style>
  <w:style w:type="paragraph" w:styleId="Textocomentario">
    <w:name w:val="annotation text"/>
    <w:basedOn w:val="Normal"/>
    <w:link w:val="TextocomentarioCar"/>
    <w:uiPriority w:val="99"/>
    <w:unhideWhenUsed/>
    <w:rsid w:val="008A5692"/>
    <w:pPr>
      <w:spacing w:line="240" w:lineRule="auto"/>
    </w:pPr>
    <w:rPr>
      <w:sz w:val="20"/>
      <w:szCs w:val="20"/>
    </w:rPr>
  </w:style>
  <w:style w:type="character" w:customStyle="1" w:styleId="TextocomentarioCar">
    <w:name w:val="Texto comentario Car"/>
    <w:basedOn w:val="Fuentedeprrafopredeter"/>
    <w:link w:val="Textocomentario"/>
    <w:uiPriority w:val="99"/>
    <w:rsid w:val="008A5692"/>
    <w:rPr>
      <w:sz w:val="20"/>
      <w:szCs w:val="20"/>
    </w:rPr>
  </w:style>
  <w:style w:type="paragraph" w:styleId="Asuntodelcomentario">
    <w:name w:val="annotation subject"/>
    <w:basedOn w:val="Textocomentario"/>
    <w:next w:val="Textocomentario"/>
    <w:link w:val="AsuntodelcomentarioCar"/>
    <w:uiPriority w:val="99"/>
    <w:semiHidden/>
    <w:unhideWhenUsed/>
    <w:rsid w:val="008A5692"/>
    <w:rPr>
      <w:b/>
      <w:bCs/>
    </w:rPr>
  </w:style>
  <w:style w:type="character" w:customStyle="1" w:styleId="AsuntodelcomentarioCar">
    <w:name w:val="Asunto del comentario Car"/>
    <w:basedOn w:val="TextocomentarioCar"/>
    <w:link w:val="Asuntodelcomentario"/>
    <w:uiPriority w:val="99"/>
    <w:semiHidden/>
    <w:rsid w:val="008A5692"/>
    <w:rPr>
      <w:b/>
      <w:bCs/>
      <w:sz w:val="20"/>
      <w:szCs w:val="20"/>
    </w:rPr>
  </w:style>
  <w:style w:type="paragraph" w:customStyle="1" w:styleId="xmsonospacing">
    <w:name w:val="x_msonospacing"/>
    <w:basedOn w:val="Normal"/>
    <w:rsid w:val="004F74AA"/>
    <w:pPr>
      <w:spacing w:before="100" w:beforeAutospacing="1" w:after="100" w:afterAutospacing="1" w:line="240" w:lineRule="auto"/>
    </w:pPr>
    <w:rPr>
      <w:rFonts w:ascii="Times New Roman" w:eastAsia="Times New Roman" w:hAnsi="Times New Roman" w:cs="Times New Roman"/>
      <w:sz w:val="24"/>
      <w:szCs w:val="24"/>
      <w:lang w:eastAsia="es-MX"/>
    </w:rPr>
  </w:style>
  <w:style w:type="table" w:customStyle="1" w:styleId="Tablaconcuadrcula1">
    <w:name w:val="Tabla con cuadrícula1"/>
    <w:basedOn w:val="Tablanormal"/>
    <w:next w:val="Tablaconcuadrcula"/>
    <w:uiPriority w:val="39"/>
    <w:rsid w:val="00B749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B749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B749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46135C"/>
    <w:pPr>
      <w:spacing w:after="0" w:line="240" w:lineRule="auto"/>
    </w:pPr>
  </w:style>
  <w:style w:type="character" w:styleId="Hipervnculo">
    <w:name w:val="Hyperlink"/>
    <w:basedOn w:val="Fuentedeprrafopredeter"/>
    <w:uiPriority w:val="99"/>
    <w:unhideWhenUsed/>
    <w:rsid w:val="00872198"/>
    <w:rPr>
      <w:color w:val="0563C1" w:themeColor="hyperlink"/>
      <w:u w:val="single"/>
    </w:rPr>
  </w:style>
  <w:style w:type="character" w:styleId="Mencinsinresolver">
    <w:name w:val="Unresolved Mention"/>
    <w:basedOn w:val="Fuentedeprrafopredeter"/>
    <w:uiPriority w:val="99"/>
    <w:semiHidden/>
    <w:unhideWhenUsed/>
    <w:rsid w:val="00872198"/>
    <w:rPr>
      <w:color w:val="605E5C"/>
      <w:shd w:val="clear" w:color="auto" w:fill="E1DFDD"/>
    </w:rPr>
  </w:style>
  <w:style w:type="paragraph" w:customStyle="1" w:styleId="Normal11pt">
    <w:name w:val="Normal + 11 pt"/>
    <w:aliases w:val="Negro,Justificado,Izquierda:  -0,95 cm,Derecha:  0,04 cm"/>
    <w:basedOn w:val="Normal"/>
    <w:uiPriority w:val="99"/>
    <w:rsid w:val="000B16EA"/>
    <w:pPr>
      <w:spacing w:after="0" w:line="240" w:lineRule="auto"/>
      <w:ind w:left="-540"/>
      <w:jc w:val="both"/>
    </w:pPr>
    <w:rPr>
      <w:rFonts w:ascii="Arial" w:eastAsia="Times New Roman" w:hAnsi="Arial" w:cs="Arial"/>
      <w:color w:val="00000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047064">
      <w:bodyDiv w:val="1"/>
      <w:marLeft w:val="0"/>
      <w:marRight w:val="0"/>
      <w:marTop w:val="0"/>
      <w:marBottom w:val="0"/>
      <w:divBdr>
        <w:top w:val="none" w:sz="0" w:space="0" w:color="auto"/>
        <w:left w:val="none" w:sz="0" w:space="0" w:color="auto"/>
        <w:bottom w:val="none" w:sz="0" w:space="0" w:color="auto"/>
        <w:right w:val="none" w:sz="0" w:space="0" w:color="auto"/>
      </w:divBdr>
    </w:div>
    <w:div w:id="243493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A044B7-FCC1-4CDD-A40C-39C0CE312A9B}">
  <ds:schemaRefs>
    <ds:schemaRef ds:uri="http://schemas.microsoft.com/sharepoint/v3/contenttype/forms"/>
  </ds:schemaRefs>
</ds:datastoreItem>
</file>

<file path=customXml/itemProps2.xml><?xml version="1.0" encoding="utf-8"?>
<ds:datastoreItem xmlns:ds="http://schemas.openxmlformats.org/officeDocument/2006/customXml" ds:itemID="{AAF3B328-A9C3-47F6-B5BD-EFB6BAADA68C}">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84D5F74C-0C7F-4C8A-A919-4163C5A9B6BE}">
  <ds:schemaRefs>
    <ds:schemaRef ds:uri="http://schemas.openxmlformats.org/officeDocument/2006/bibliography"/>
  </ds:schemaRefs>
</ds:datastoreItem>
</file>

<file path=customXml/itemProps4.xml><?xml version="1.0" encoding="utf-8"?>
<ds:datastoreItem xmlns:ds="http://schemas.openxmlformats.org/officeDocument/2006/customXml" ds:itemID="{C180791A-9530-4A67-8B06-029A223E08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12</Pages>
  <Words>4801</Words>
  <Characters>26407</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Castrillon Endo</dc:creator>
  <cp:keywords/>
  <dc:description/>
  <cp:lastModifiedBy>Andrea Ramírez Castañeda</cp:lastModifiedBy>
  <cp:revision>16</cp:revision>
  <dcterms:created xsi:type="dcterms:W3CDTF">2022-04-29T00:25:00Z</dcterms:created>
  <dcterms:modified xsi:type="dcterms:W3CDTF">2022-04-29T21:08:00Z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