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8EDC8" w14:textId="77777777" w:rsidR="009B235F" w:rsidRPr="00D95654" w:rsidRDefault="009B235F" w:rsidP="009B235F">
      <w:pPr>
        <w:spacing w:line="276" w:lineRule="auto"/>
        <w:jc w:val="both"/>
        <w:rPr>
          <w:rFonts w:ascii="Verdana" w:eastAsia="Century Gothic" w:hAnsi="Verdana" w:cs="Century Gothic"/>
          <w:b/>
        </w:rPr>
      </w:pPr>
      <w:bookmarkStart w:id="0" w:name="_Hlk143780582"/>
      <w:r w:rsidRPr="00D95654">
        <w:rPr>
          <w:rFonts w:ascii="Verdana" w:eastAsia="Century Gothic" w:hAnsi="Verdana" w:cs="Century Gothic"/>
          <w:b/>
        </w:rPr>
        <w:t xml:space="preserve">ADICIÓN – Concepto – Distintos supuestos – Prohibición – Adición en más del 50% </w:t>
      </w:r>
    </w:p>
    <w:p w14:paraId="76D77C17" w14:textId="77777777" w:rsidR="00D50817" w:rsidRPr="00D95654" w:rsidRDefault="00D50817" w:rsidP="00D50817">
      <w:pPr>
        <w:spacing w:after="0" w:line="240" w:lineRule="auto"/>
        <w:jc w:val="both"/>
        <w:rPr>
          <w:rFonts w:ascii="Verdana" w:hAnsi="Verdana" w:cs="Arial"/>
          <w:sz w:val="20"/>
          <w:szCs w:val="20"/>
          <w:lang w:eastAsia="es-ES"/>
        </w:rPr>
      </w:pPr>
      <w:r w:rsidRPr="00D95654">
        <w:rPr>
          <w:rFonts w:ascii="Verdana" w:hAnsi="Verdana"/>
          <w:sz w:val="20"/>
          <w:szCs w:val="20"/>
          <w:lang w:val="es-ES"/>
        </w:rPr>
        <w:t xml:space="preserve">[…] </w:t>
      </w:r>
      <w:r w:rsidRPr="00D95654">
        <w:rPr>
          <w:rFonts w:ascii="Verdana" w:hAnsi="Verdana" w:cs="Arial"/>
          <w:sz w:val="20"/>
          <w:szCs w:val="20"/>
          <w:lang w:eastAsia="es-ES"/>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pueden identificar alguna de las siguientes situaciones: i) la necesidad de mayores cantidades de bienes o actividades a las inicialmente previstas, a lo que se le conoce como “mayores cantidades de obra”, “obras adicionales” o adición de “ítems contractuales”; y </w:t>
      </w:r>
      <w:proofErr w:type="spellStart"/>
      <w:r w:rsidRPr="00D95654">
        <w:rPr>
          <w:rFonts w:ascii="Verdana" w:hAnsi="Verdana" w:cs="Arial"/>
          <w:sz w:val="20"/>
          <w:szCs w:val="20"/>
          <w:lang w:eastAsia="es-ES"/>
        </w:rPr>
        <w:t>ii</w:t>
      </w:r>
      <w:proofErr w:type="spellEnd"/>
      <w:r w:rsidRPr="00D95654">
        <w:rPr>
          <w:rFonts w:ascii="Verdana" w:hAnsi="Verdana" w:cs="Arial"/>
          <w:sz w:val="20"/>
          <w:szCs w:val="20"/>
          <w:lang w:eastAsia="es-ES"/>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43C06CBA" w14:textId="77777777" w:rsidR="00D50817" w:rsidRPr="00D95654" w:rsidRDefault="00D50817" w:rsidP="00D50817">
      <w:pPr>
        <w:spacing w:after="0" w:line="240" w:lineRule="auto"/>
        <w:jc w:val="both"/>
        <w:rPr>
          <w:rFonts w:ascii="Verdana" w:hAnsi="Verdana"/>
          <w:sz w:val="20"/>
          <w:szCs w:val="20"/>
          <w:lang w:val="es-ES"/>
        </w:rPr>
      </w:pPr>
    </w:p>
    <w:p w14:paraId="4817E47A" w14:textId="77777777" w:rsidR="00D50817" w:rsidRPr="00D95654" w:rsidRDefault="00D50817" w:rsidP="00D50817">
      <w:pPr>
        <w:spacing w:after="0" w:line="240" w:lineRule="auto"/>
        <w:jc w:val="both"/>
        <w:rPr>
          <w:rFonts w:ascii="Verdana" w:hAnsi="Verdana"/>
          <w:sz w:val="20"/>
          <w:szCs w:val="20"/>
          <w:lang w:val="es-ES"/>
        </w:rPr>
      </w:pPr>
      <w:r w:rsidRPr="00D95654">
        <w:rPr>
          <w:rFonts w:ascii="Verdana" w:hAnsi="Verdana"/>
          <w:sz w:val="20"/>
          <w:szCs w:val="20"/>
          <w:lang w:val="es-ES"/>
        </w:rPr>
        <w:t>[…]</w:t>
      </w:r>
    </w:p>
    <w:p w14:paraId="57A4EC0B" w14:textId="77777777" w:rsidR="00D50817" w:rsidRPr="00D95654" w:rsidRDefault="00D50817" w:rsidP="00D50817">
      <w:pPr>
        <w:spacing w:after="0" w:line="240" w:lineRule="auto"/>
        <w:jc w:val="both"/>
        <w:rPr>
          <w:rFonts w:ascii="Verdana" w:hAnsi="Verdana"/>
          <w:bCs/>
          <w:sz w:val="20"/>
          <w:szCs w:val="20"/>
          <w:lang w:val="es-ES_tradnl"/>
        </w:rPr>
      </w:pPr>
    </w:p>
    <w:p w14:paraId="6D004606" w14:textId="77777777" w:rsidR="00D50817" w:rsidRPr="00D95654" w:rsidRDefault="00D50817" w:rsidP="00D50817">
      <w:pPr>
        <w:spacing w:after="0" w:line="240" w:lineRule="auto"/>
        <w:jc w:val="both"/>
        <w:rPr>
          <w:rFonts w:ascii="Verdana" w:hAnsi="Verdana" w:cs="Arial"/>
          <w:sz w:val="20"/>
          <w:szCs w:val="20"/>
          <w:lang w:eastAsia="es-ES"/>
        </w:rPr>
      </w:pPr>
      <w:r w:rsidRPr="00D95654">
        <w:rPr>
          <w:rFonts w:ascii="Verdana" w:hAnsi="Verdana" w:cs="Arial"/>
          <w:sz w:val="20"/>
          <w:szCs w:val="20"/>
          <w:lang w:eastAsia="es-ES_tradnl"/>
        </w:rPr>
        <w:t>No obstante, la expresión “contrato adicional” al igual que las otras nociones doctrinarias y jurisprudenciales arriba señaladas entre comillas son de uso común en la práctica contractual por las Entidades Estatales.</w:t>
      </w:r>
      <w:r w:rsidRPr="00D95654">
        <w:rPr>
          <w:rFonts w:ascii="Verdana" w:hAnsi="Verdana" w:cs="Arial"/>
          <w:sz w:val="20"/>
          <w:szCs w:val="20"/>
          <w:lang w:eastAsia="es-ES"/>
        </w:rPr>
        <w:t xml:space="preserve"> </w:t>
      </w:r>
      <w:r w:rsidRPr="00D95654">
        <w:rPr>
          <w:rFonts w:ascii="Verdana" w:hAnsi="Verdana" w:cs="Arial"/>
          <w:sz w:val="20"/>
          <w:szCs w:val="20"/>
          <w:lang w:eastAsia="es-ES_tradnl"/>
        </w:rPr>
        <w:t xml:space="preserve">En ese sentido, </w:t>
      </w:r>
      <w:r w:rsidRPr="00D95654">
        <w:rPr>
          <w:rFonts w:ascii="Verdana" w:hAnsi="Verdana"/>
          <w:sz w:val="20"/>
          <w:szCs w:val="20"/>
        </w:rPr>
        <w:t xml:space="preserve">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corresponden a la misma figura </w:t>
      </w:r>
      <w:proofErr w:type="spellStart"/>
      <w:r w:rsidRPr="00D95654">
        <w:rPr>
          <w:rFonts w:ascii="Verdana" w:hAnsi="Verdana"/>
          <w:sz w:val="20"/>
          <w:szCs w:val="20"/>
        </w:rPr>
        <w:t>juridica</w:t>
      </w:r>
      <w:proofErr w:type="spellEnd"/>
      <w:r w:rsidRPr="00D95654">
        <w:rPr>
          <w:rFonts w:ascii="Verdana" w:hAnsi="Verdana"/>
          <w:sz w:val="20"/>
          <w:szCs w:val="20"/>
        </w:rPr>
        <w:t>, tal y como se procede a explicar. Mientras que las “mayores cantidades de obra” implica aumentar las cantidades de los ítems pactados desde el comienzo, la noción de “obras extras o adicionales” exige incluir obras o actividades que no habían sido convenidas, pero que, de todos modos, son indispensables para el cumplimiento del objeto.</w:t>
      </w:r>
    </w:p>
    <w:p w14:paraId="3CFDFCC9" w14:textId="77777777" w:rsidR="00D50817" w:rsidRPr="00D95654" w:rsidRDefault="00D50817" w:rsidP="009B235F">
      <w:pPr>
        <w:spacing w:line="276" w:lineRule="auto"/>
        <w:jc w:val="both"/>
        <w:rPr>
          <w:rFonts w:ascii="Verdana" w:eastAsia="Century Gothic" w:hAnsi="Verdana" w:cs="Century Gothic"/>
          <w:b/>
        </w:rPr>
      </w:pPr>
    </w:p>
    <w:p w14:paraId="4736AD62" w14:textId="77777777" w:rsidR="009B235F" w:rsidRPr="00D95654" w:rsidRDefault="009B235F" w:rsidP="009B235F">
      <w:pPr>
        <w:spacing w:line="276" w:lineRule="auto"/>
        <w:jc w:val="both"/>
        <w:rPr>
          <w:rFonts w:ascii="Verdana" w:eastAsia="Century Gothic" w:hAnsi="Verdana" w:cs="Century Gothic"/>
          <w:b/>
        </w:rPr>
      </w:pPr>
      <w:r w:rsidRPr="00D95654">
        <w:rPr>
          <w:rFonts w:ascii="Verdana" w:eastAsia="Century Gothic" w:hAnsi="Verdana" w:cs="Century Gothic"/>
          <w:b/>
        </w:rPr>
        <w:t>ADICIÓN – Prohibición – Monto – Cálculo – Parágrafo artículo 40 – Ley 80 de 1993</w:t>
      </w:r>
    </w:p>
    <w:p w14:paraId="6378C4E9" w14:textId="77777777" w:rsidR="00E621D9" w:rsidRPr="00D95654" w:rsidRDefault="00E621D9" w:rsidP="00E621D9">
      <w:pPr>
        <w:spacing w:after="0" w:line="240" w:lineRule="auto"/>
        <w:jc w:val="both"/>
        <w:rPr>
          <w:rFonts w:ascii="Verdana" w:hAnsi="Verdana" w:cs="Arial"/>
          <w:sz w:val="20"/>
          <w:szCs w:val="20"/>
          <w:lang w:eastAsia="es-ES_tradnl"/>
        </w:rPr>
      </w:pPr>
      <w:r w:rsidRPr="00D95654">
        <w:rPr>
          <w:rFonts w:ascii="Verdana" w:hAnsi="Verdana" w:cs="Arial"/>
          <w:sz w:val="20"/>
          <w:szCs w:val="20"/>
          <w:lang w:eastAsia="es-ES_tradnl"/>
        </w:rPr>
        <w:t>En la doctrina expuesta en dichos conceptos esta Agencia ha sostenido respecto del artículo 40 de la Ley 50 de 1993 lo siguiente: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14:paraId="2B26F93C" w14:textId="77777777" w:rsidR="00E621D9" w:rsidRPr="00D95654" w:rsidRDefault="00E621D9" w:rsidP="00E621D9">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 </w:t>
      </w:r>
    </w:p>
    <w:p w14:paraId="33618278" w14:textId="77777777" w:rsidR="00E621D9" w:rsidRPr="00D95654" w:rsidRDefault="00E621D9" w:rsidP="00E621D9">
      <w:pPr>
        <w:spacing w:after="0" w:line="240" w:lineRule="auto"/>
        <w:jc w:val="both"/>
        <w:rPr>
          <w:rFonts w:ascii="Verdana" w:hAnsi="Verdana" w:cs="Arial"/>
          <w:sz w:val="20"/>
          <w:szCs w:val="20"/>
          <w:lang w:eastAsia="es-ES_tradnl"/>
        </w:rPr>
      </w:pPr>
      <w:r w:rsidRPr="00D95654">
        <w:rPr>
          <w:rFonts w:ascii="Verdana" w:hAnsi="Verdana" w:cs="Arial"/>
          <w:sz w:val="20"/>
          <w:szCs w:val="20"/>
          <w:lang w:eastAsia="es-ES_tradnl"/>
        </w:rPr>
        <w:t xml:space="preserve">La postura expuesta previamente por la Subdirección de Gestión Contractual, en torno al tope de la adición de los contratos, no ha sido pacifica, por el contrario, ni la doctrina ni la jurisprudencia del Consejo de Estado han sido uniformes en la caracterización de las figuras. En razón a ello, resulta relevante, a efectos de atender la consulta planteada exponer las diferentes posturas en relación con el tope establecido para adicionar los contratos, especialmente, frente a aquellos en los que el precio se ha pactado bajo la </w:t>
      </w:r>
      <w:r w:rsidRPr="00D95654">
        <w:rPr>
          <w:rFonts w:ascii="Verdana" w:hAnsi="Verdana" w:cs="Arial"/>
          <w:sz w:val="20"/>
          <w:szCs w:val="20"/>
          <w:lang w:eastAsia="es-ES_tradnl"/>
        </w:rPr>
        <w:lastRenderedPageBreak/>
        <w:t xml:space="preserve">modalidad de precios unitarios. Dicha exposición se realiza con el fin de explicar las razones por las cuales esta Agencia considera necesario hacer un cambio en su línea doctrinal sobre el tema analizado en los contratos cuya estructuración y pago se realiza por precios unitarios. </w:t>
      </w:r>
    </w:p>
    <w:p w14:paraId="59BBCAFA" w14:textId="77777777" w:rsidR="00E621D9" w:rsidRPr="00D95654" w:rsidRDefault="00E621D9" w:rsidP="00E621D9">
      <w:pPr>
        <w:spacing w:after="0" w:line="240" w:lineRule="auto"/>
        <w:jc w:val="both"/>
        <w:rPr>
          <w:rFonts w:ascii="Verdana" w:hAnsi="Verdana" w:cs="Arial"/>
          <w:sz w:val="20"/>
          <w:szCs w:val="20"/>
          <w:lang w:eastAsia="es-ES_tradnl"/>
        </w:rPr>
      </w:pPr>
    </w:p>
    <w:p w14:paraId="0247C417" w14:textId="3ED703DB" w:rsidR="009B235F" w:rsidRPr="00D95654" w:rsidRDefault="009B235F" w:rsidP="00E621D9">
      <w:pPr>
        <w:spacing w:after="0" w:line="240" w:lineRule="auto"/>
        <w:jc w:val="both"/>
        <w:rPr>
          <w:rFonts w:ascii="Verdana" w:eastAsia="Century Gothic" w:hAnsi="Verdana" w:cs="Century Gothic"/>
          <w:b/>
        </w:rPr>
      </w:pPr>
      <w:r w:rsidRPr="00D95654">
        <w:rPr>
          <w:rFonts w:ascii="Verdana" w:eastAsia="Century Gothic" w:hAnsi="Verdana" w:cs="Century Gothic"/>
          <w:b/>
        </w:rPr>
        <w:t xml:space="preserve">MODIFICACION DE LOS CONTRATOS ESTATALES – Procedencia – Límites </w:t>
      </w:r>
    </w:p>
    <w:p w14:paraId="435C6981" w14:textId="77777777" w:rsidR="00E621D9" w:rsidRPr="00D95654" w:rsidRDefault="00E621D9" w:rsidP="00E621D9">
      <w:pPr>
        <w:spacing w:after="0" w:line="240" w:lineRule="auto"/>
        <w:jc w:val="both"/>
        <w:rPr>
          <w:rFonts w:ascii="Verdana" w:eastAsia="Century Gothic" w:hAnsi="Verdana" w:cs="Century Gothic"/>
          <w:b/>
        </w:rPr>
      </w:pPr>
    </w:p>
    <w:p w14:paraId="7BAA872B" w14:textId="77777777" w:rsidR="00452F50" w:rsidRPr="00D95654" w:rsidRDefault="00452F50" w:rsidP="00452F50">
      <w:pPr>
        <w:spacing w:after="0" w:line="240" w:lineRule="auto"/>
        <w:jc w:val="both"/>
        <w:rPr>
          <w:rFonts w:ascii="Verdana" w:hAnsi="Verdana" w:cs="Arial"/>
          <w:sz w:val="20"/>
          <w:szCs w:val="20"/>
          <w:lang w:eastAsia="es-ES_tradnl"/>
        </w:rPr>
      </w:pPr>
      <w:r w:rsidRPr="00D95654">
        <w:rPr>
          <w:rFonts w:ascii="Verdana" w:hAnsi="Verdana" w:cs="Arial"/>
          <w:sz w:val="20"/>
          <w:szCs w:val="20"/>
          <w:lang w:eastAsia="es-ES_tradnl"/>
        </w:rPr>
        <w:t>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w:t>
      </w:r>
    </w:p>
    <w:p w14:paraId="581088BC" w14:textId="77777777" w:rsidR="00452F50" w:rsidRPr="00D95654" w:rsidRDefault="00452F50" w:rsidP="00452F50">
      <w:pPr>
        <w:spacing w:after="0" w:line="240" w:lineRule="auto"/>
        <w:jc w:val="both"/>
        <w:rPr>
          <w:rFonts w:ascii="Verdana" w:hAnsi="Verdana"/>
          <w:bCs/>
          <w:sz w:val="20"/>
          <w:szCs w:val="20"/>
          <w:lang w:val="es-MX"/>
        </w:rPr>
      </w:pPr>
    </w:p>
    <w:p w14:paraId="0D5A87EA" w14:textId="77777777" w:rsidR="00452F50" w:rsidRPr="00D95654" w:rsidRDefault="00452F50" w:rsidP="00452F50">
      <w:pPr>
        <w:spacing w:after="0" w:line="240" w:lineRule="auto"/>
        <w:jc w:val="both"/>
        <w:rPr>
          <w:rFonts w:ascii="Verdana" w:hAnsi="Verdana"/>
          <w:bCs/>
          <w:sz w:val="20"/>
          <w:szCs w:val="20"/>
          <w:lang w:val="es-MX"/>
        </w:rPr>
      </w:pPr>
      <w:r w:rsidRPr="00D95654">
        <w:rPr>
          <w:rFonts w:ascii="Verdana" w:hAnsi="Verdana"/>
          <w:bCs/>
          <w:sz w:val="20"/>
          <w:szCs w:val="20"/>
          <w:lang w:val="es-MX"/>
        </w:rPr>
        <w:t>[…]</w:t>
      </w:r>
    </w:p>
    <w:p w14:paraId="651CD9E6" w14:textId="77777777" w:rsidR="00452F50" w:rsidRPr="00D95654" w:rsidRDefault="00452F50" w:rsidP="00452F50">
      <w:pPr>
        <w:spacing w:after="0" w:line="240" w:lineRule="auto"/>
        <w:jc w:val="both"/>
        <w:rPr>
          <w:rFonts w:ascii="Verdana" w:hAnsi="Verdana"/>
          <w:b/>
          <w:sz w:val="20"/>
          <w:szCs w:val="20"/>
          <w:lang w:val="es-ES_tradnl"/>
        </w:rPr>
      </w:pPr>
    </w:p>
    <w:p w14:paraId="1EE027BF" w14:textId="77777777" w:rsidR="00452F50" w:rsidRPr="00D95654" w:rsidRDefault="00452F50" w:rsidP="00452F50">
      <w:pPr>
        <w:spacing w:after="0" w:line="240" w:lineRule="auto"/>
        <w:jc w:val="both"/>
        <w:rPr>
          <w:rFonts w:ascii="Verdana" w:eastAsia="Calibri" w:hAnsi="Verdana" w:cs="Arial"/>
          <w:sz w:val="20"/>
          <w:szCs w:val="20"/>
        </w:rPr>
      </w:pPr>
      <w:r w:rsidRPr="00D95654">
        <w:rPr>
          <w:rFonts w:ascii="Verdana" w:eastAsia="Calibri" w:hAnsi="Verdana" w:cs="Arial"/>
          <w:sz w:val="20"/>
          <w:szCs w:val="20"/>
        </w:rPr>
        <w:t>Visto el desarrollo jurisprudencial del tema, si bien, no se evidencia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w:t>
      </w:r>
    </w:p>
    <w:p w14:paraId="2CAEB471" w14:textId="77777777" w:rsidR="00E621D9" w:rsidRPr="00D95654" w:rsidRDefault="00E621D9" w:rsidP="00E621D9">
      <w:pPr>
        <w:spacing w:after="0" w:line="240" w:lineRule="auto"/>
        <w:jc w:val="both"/>
        <w:rPr>
          <w:rFonts w:ascii="Verdana" w:hAnsi="Verdana" w:cs="Arial"/>
          <w:sz w:val="20"/>
          <w:szCs w:val="20"/>
          <w:lang w:eastAsia="es-ES_tradnl"/>
        </w:rPr>
      </w:pPr>
    </w:p>
    <w:p w14:paraId="480B474E" w14:textId="78F5A1A9" w:rsidR="009B235F" w:rsidRPr="00D95654" w:rsidRDefault="009B235F" w:rsidP="009B235F">
      <w:pPr>
        <w:spacing w:line="276" w:lineRule="auto"/>
        <w:jc w:val="both"/>
        <w:rPr>
          <w:rFonts w:ascii="Verdana" w:eastAsia="Century Gothic" w:hAnsi="Verdana" w:cs="Century Gothic"/>
          <w:b/>
        </w:rPr>
      </w:pPr>
      <w:r w:rsidRPr="00D95654">
        <w:rPr>
          <w:rFonts w:ascii="Verdana" w:eastAsia="Century Gothic" w:hAnsi="Verdana" w:cs="Century Gothic"/>
          <w:b/>
        </w:rPr>
        <w:t>MODIFICACION DE LOS CONTRATOS ESTATALES – Procedencia – Límites – Principio de planeación</w:t>
      </w:r>
    </w:p>
    <w:p w14:paraId="76184E9A" w14:textId="77777777" w:rsidR="00552C55" w:rsidRPr="00D95654" w:rsidRDefault="00552C55" w:rsidP="00552C55">
      <w:pPr>
        <w:spacing w:after="0" w:line="240" w:lineRule="auto"/>
        <w:jc w:val="both"/>
        <w:rPr>
          <w:rFonts w:ascii="Verdana" w:hAnsi="Verdana"/>
          <w:sz w:val="20"/>
          <w:szCs w:val="20"/>
        </w:rPr>
      </w:pPr>
      <w:r w:rsidRPr="00D95654">
        <w:rPr>
          <w:rFonts w:ascii="Verdana" w:eastAsia="Calibri" w:hAnsi="Verdana" w:cs="Arial"/>
          <w:sz w:val="20"/>
          <w:szCs w:val="20"/>
        </w:rPr>
        <w:t xml:space="preserve">Sin perjuicio de lo expuesto, </w:t>
      </w:r>
      <w:r w:rsidRPr="00D95654">
        <w:rPr>
          <w:rFonts w:ascii="Verdana" w:hAnsi="Verdana"/>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1D8C6727" w14:textId="77777777" w:rsidR="00552C55" w:rsidRPr="00D95654" w:rsidRDefault="00552C55" w:rsidP="00552C55">
      <w:pPr>
        <w:spacing w:after="0" w:line="240" w:lineRule="auto"/>
        <w:jc w:val="both"/>
        <w:rPr>
          <w:rFonts w:ascii="Verdana" w:hAnsi="Verdana"/>
          <w:sz w:val="20"/>
          <w:szCs w:val="20"/>
        </w:rPr>
      </w:pPr>
    </w:p>
    <w:p w14:paraId="2E5E0ABA" w14:textId="77777777" w:rsidR="00552C55" w:rsidRPr="00D95654" w:rsidRDefault="00552C55" w:rsidP="00552C55">
      <w:pPr>
        <w:spacing w:after="0" w:line="240" w:lineRule="auto"/>
        <w:jc w:val="both"/>
        <w:rPr>
          <w:rFonts w:ascii="Verdana" w:hAnsi="Verdana"/>
          <w:sz w:val="20"/>
          <w:szCs w:val="20"/>
        </w:rPr>
      </w:pPr>
      <w:r w:rsidRPr="00D95654">
        <w:rPr>
          <w:rFonts w:ascii="Verdana" w:hAnsi="Verdana"/>
          <w:sz w:val="20"/>
          <w:szCs w:val="20"/>
        </w:rPr>
        <w:t>[…]</w:t>
      </w:r>
    </w:p>
    <w:p w14:paraId="68CE46F4" w14:textId="77777777" w:rsidR="00552C55" w:rsidRPr="00D95654" w:rsidRDefault="00552C55" w:rsidP="00552C55">
      <w:pPr>
        <w:widowControl w:val="0"/>
        <w:autoSpaceDE w:val="0"/>
        <w:autoSpaceDN w:val="0"/>
        <w:spacing w:after="0" w:line="240" w:lineRule="auto"/>
        <w:jc w:val="both"/>
        <w:rPr>
          <w:rFonts w:ascii="Verdana" w:eastAsia="Calibri" w:hAnsi="Verdana" w:cs="Arial"/>
          <w:sz w:val="20"/>
          <w:szCs w:val="20"/>
        </w:rPr>
      </w:pPr>
    </w:p>
    <w:p w14:paraId="11C040F0" w14:textId="77777777" w:rsidR="00552C55" w:rsidRPr="00D95654" w:rsidRDefault="00552C55" w:rsidP="00552C55">
      <w:pPr>
        <w:widowControl w:val="0"/>
        <w:autoSpaceDE w:val="0"/>
        <w:autoSpaceDN w:val="0"/>
        <w:spacing w:after="0" w:line="240" w:lineRule="auto"/>
        <w:jc w:val="both"/>
        <w:rPr>
          <w:rFonts w:ascii="Verdana" w:hAnsi="Verdana"/>
          <w:sz w:val="20"/>
          <w:szCs w:val="20"/>
        </w:rPr>
      </w:pPr>
      <w:r w:rsidRPr="00D95654">
        <w:rPr>
          <w:rFonts w:ascii="Verdana" w:eastAsia="Calibri" w:hAnsi="Verdana" w:cs="Arial"/>
          <w:sz w:val="20"/>
          <w:szCs w:val="20"/>
        </w:rPr>
        <w:t xml:space="preserve">Por consiguiente, pese a la posibilidad de que se varíen de las cantidades de obra, los contratos a precios unitarios tienen un valor inicial que obedece a la estructuración y </w:t>
      </w:r>
      <w:r w:rsidRPr="00D95654">
        <w:rPr>
          <w:rFonts w:ascii="Verdana" w:eastAsia="Calibri" w:hAnsi="Verdana" w:cs="Arial"/>
          <w:sz w:val="20"/>
          <w:szCs w:val="20"/>
        </w:rPr>
        <w:lastRenderedPageBreak/>
        <w:t>planificación que los procede. En ese sentido, aun cuando el Consejo de Estado ha considerado la posibilidad de ejecutar incluso en valores mayores al cincuenta por ciento (50%) en el sistema de precios unitarios, lo cierto es que, situaciones en las que se ejecuta de manera desproporcionada el valor inicial de un contrato estatal, pueden ser sintomáticas de falencias en la planeación del contrato.</w:t>
      </w:r>
    </w:p>
    <w:p w14:paraId="53FD5088" w14:textId="77777777" w:rsidR="00552C55" w:rsidRPr="00D95654" w:rsidRDefault="00552C55" w:rsidP="00552C55">
      <w:pPr>
        <w:widowControl w:val="0"/>
        <w:autoSpaceDE w:val="0"/>
        <w:autoSpaceDN w:val="0"/>
        <w:spacing w:after="0" w:line="240" w:lineRule="auto"/>
        <w:jc w:val="both"/>
        <w:rPr>
          <w:rFonts w:ascii="Verdana" w:hAnsi="Verdana"/>
          <w:sz w:val="20"/>
          <w:szCs w:val="20"/>
        </w:rPr>
      </w:pPr>
    </w:p>
    <w:p w14:paraId="0E201C0F" w14:textId="77777777" w:rsidR="00552C55" w:rsidRPr="00D95654" w:rsidRDefault="00552C55" w:rsidP="00552C55">
      <w:pPr>
        <w:widowControl w:val="0"/>
        <w:autoSpaceDE w:val="0"/>
        <w:autoSpaceDN w:val="0"/>
        <w:spacing w:after="0" w:line="240" w:lineRule="auto"/>
        <w:jc w:val="both"/>
        <w:rPr>
          <w:rFonts w:ascii="Verdana" w:hAnsi="Verdana"/>
          <w:sz w:val="20"/>
          <w:szCs w:val="20"/>
        </w:rPr>
      </w:pPr>
    </w:p>
    <w:p w14:paraId="567AC6A2" w14:textId="77777777" w:rsidR="00552C55" w:rsidRPr="00D95654" w:rsidRDefault="00552C55" w:rsidP="00552C55">
      <w:pPr>
        <w:widowControl w:val="0"/>
        <w:autoSpaceDE w:val="0"/>
        <w:autoSpaceDN w:val="0"/>
        <w:spacing w:after="0" w:line="240" w:lineRule="auto"/>
        <w:jc w:val="both"/>
        <w:rPr>
          <w:rFonts w:ascii="Verdana" w:hAnsi="Verdana"/>
          <w:sz w:val="20"/>
          <w:szCs w:val="20"/>
        </w:rPr>
      </w:pPr>
    </w:p>
    <w:p w14:paraId="3F08B8A9" w14:textId="77777777" w:rsidR="00552C55" w:rsidRPr="00D95654" w:rsidRDefault="00552C55" w:rsidP="00552C55">
      <w:pPr>
        <w:widowControl w:val="0"/>
        <w:autoSpaceDE w:val="0"/>
        <w:autoSpaceDN w:val="0"/>
        <w:spacing w:after="0" w:line="240" w:lineRule="auto"/>
        <w:jc w:val="both"/>
        <w:rPr>
          <w:rFonts w:ascii="Verdana" w:hAnsi="Verdana"/>
          <w:sz w:val="20"/>
          <w:szCs w:val="20"/>
        </w:rPr>
      </w:pPr>
    </w:p>
    <w:p w14:paraId="5918F78B" w14:textId="77777777" w:rsidR="00552C55" w:rsidRPr="00D95654" w:rsidRDefault="00552C55" w:rsidP="00552C55">
      <w:pPr>
        <w:widowControl w:val="0"/>
        <w:autoSpaceDE w:val="0"/>
        <w:autoSpaceDN w:val="0"/>
        <w:spacing w:after="0" w:line="240" w:lineRule="auto"/>
        <w:jc w:val="both"/>
        <w:rPr>
          <w:rFonts w:ascii="Verdana" w:hAnsi="Verdana"/>
          <w:sz w:val="20"/>
          <w:szCs w:val="20"/>
        </w:rPr>
      </w:pPr>
    </w:p>
    <w:p w14:paraId="3F428E7C"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DB694AD"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051CD52A"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7C3FAE9A"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34147724"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6DAC2CA7"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A47CE47"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6BAEAA3"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DEDDC8E"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25E10E5"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0B6ADA7E"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65F2A18"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18BEEF43"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0B9F4826"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1B665B8E"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7E88B333"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595AA01"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6783CC03"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341BB954"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1F0CEB5E"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EC66360"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090CD07B"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4E8423F"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489ABC4"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5347B0D"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897F9F8"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760B8B6B"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CFA5A27"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7ED3FA19"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0657918B"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413D9A5C"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033F4EEB"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153983E3"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47E19D55"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66462AAD"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29EAF76A"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E783A7C"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558FB15A" w14:textId="77777777" w:rsidR="00710709" w:rsidRPr="00D95654" w:rsidRDefault="00710709" w:rsidP="00552C55">
      <w:pPr>
        <w:widowControl w:val="0"/>
        <w:autoSpaceDE w:val="0"/>
        <w:autoSpaceDN w:val="0"/>
        <w:spacing w:after="0" w:line="240" w:lineRule="auto"/>
        <w:jc w:val="both"/>
        <w:rPr>
          <w:rFonts w:ascii="Verdana" w:hAnsi="Verdana"/>
          <w:sz w:val="20"/>
          <w:szCs w:val="20"/>
        </w:rPr>
      </w:pPr>
    </w:p>
    <w:p w14:paraId="3FE2184B" w14:textId="456883A9" w:rsidR="00E245AB" w:rsidRPr="00D95654" w:rsidRDefault="00E245AB" w:rsidP="00552C55">
      <w:pPr>
        <w:widowControl w:val="0"/>
        <w:autoSpaceDE w:val="0"/>
        <w:autoSpaceDN w:val="0"/>
        <w:spacing w:after="0" w:line="240" w:lineRule="auto"/>
        <w:jc w:val="both"/>
        <w:rPr>
          <w:rFonts w:ascii="Verdana" w:hAnsi="Verdana"/>
          <w:sz w:val="20"/>
          <w:szCs w:val="20"/>
        </w:rPr>
      </w:pPr>
      <w:r w:rsidRPr="00D95654">
        <w:rPr>
          <w:rFonts w:ascii="Verdana" w:hAnsi="Verdana"/>
        </w:rPr>
        <w:lastRenderedPageBreak/>
        <w:t xml:space="preserve">Bogotá D.C., </w:t>
      </w:r>
      <w:r w:rsidR="007672D2" w:rsidRPr="00D95654">
        <w:rPr>
          <w:rFonts w:ascii="Verdana" w:hAnsi="Verdana"/>
        </w:rPr>
        <w:t>25 de noviembre del 2024</w:t>
      </w:r>
      <w:r w:rsidR="00891928" w:rsidRPr="00D95654">
        <w:rPr>
          <w:rFonts w:ascii="Verdana" w:hAnsi="Verdana"/>
        </w:rPr>
        <w:tab/>
      </w:r>
    </w:p>
    <w:p w14:paraId="5FCADBF9" w14:textId="77777777" w:rsidR="00E245AB" w:rsidRPr="00D95654" w:rsidRDefault="00E245AB" w:rsidP="00E245AB">
      <w:pPr>
        <w:spacing w:after="0"/>
        <w:rPr>
          <w:rFonts w:ascii="Verdana" w:hAnsi="Verdana"/>
        </w:rPr>
      </w:pPr>
    </w:p>
    <w:p w14:paraId="1DCD8357" w14:textId="60961DAA" w:rsidR="007D4D70" w:rsidRPr="00D95654" w:rsidRDefault="007D4D70" w:rsidP="007D4D70">
      <w:pPr>
        <w:spacing w:after="0"/>
        <w:jc w:val="right"/>
        <w:rPr>
          <w:rFonts w:ascii="Verdana" w:hAnsi="Verdana"/>
        </w:rPr>
      </w:pPr>
      <w:r w:rsidRPr="00D95654">
        <w:rPr>
          <w:rFonts w:ascii="Verdana" w:hAnsi="Verdana"/>
        </w:rPr>
        <w:drawing>
          <wp:inline distT="0" distB="0" distL="0" distR="0" wp14:anchorId="79FCDDF2" wp14:editId="5277840A">
            <wp:extent cx="3023235" cy="894945"/>
            <wp:effectExtent l="0" t="0" r="5715" b="635"/>
            <wp:docPr id="251639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9410" name=""/>
                    <pic:cNvPicPr/>
                  </pic:nvPicPr>
                  <pic:blipFill>
                    <a:blip r:embed="rId10"/>
                    <a:stretch>
                      <a:fillRect/>
                    </a:stretch>
                  </pic:blipFill>
                  <pic:spPr>
                    <a:xfrm>
                      <a:off x="0" y="0"/>
                      <a:ext cx="3025810" cy="895707"/>
                    </a:xfrm>
                    <a:prstGeom prst="rect">
                      <a:avLst/>
                    </a:prstGeom>
                  </pic:spPr>
                </pic:pic>
              </a:graphicData>
            </a:graphic>
          </wp:inline>
        </w:drawing>
      </w:r>
    </w:p>
    <w:bookmarkEnd w:id="0"/>
    <w:p w14:paraId="4FD3558C" w14:textId="088B99F2" w:rsidR="00F46095" w:rsidRPr="00D95654" w:rsidRDefault="00F46095" w:rsidP="00F46095">
      <w:pPr>
        <w:spacing w:after="0" w:line="240" w:lineRule="auto"/>
        <w:jc w:val="both"/>
        <w:rPr>
          <w:rFonts w:ascii="Verdana" w:eastAsia="Calibri" w:hAnsi="Verdana" w:cs="Arial"/>
          <w:lang w:val="es-ES" w:eastAsia="es-ES"/>
        </w:rPr>
      </w:pPr>
      <w:r w:rsidRPr="00D95654">
        <w:rPr>
          <w:rFonts w:ascii="Verdana" w:eastAsia="Calibri" w:hAnsi="Verdana" w:cs="Arial"/>
          <w:lang w:val="es-ES" w:eastAsia="es-ES"/>
        </w:rPr>
        <w:t>Señor:</w:t>
      </w:r>
    </w:p>
    <w:p w14:paraId="7985BF49" w14:textId="2CFE73D6" w:rsidR="00F46095" w:rsidRPr="00D95654" w:rsidRDefault="00743748" w:rsidP="00F46095">
      <w:pPr>
        <w:spacing w:after="0" w:line="240" w:lineRule="auto"/>
        <w:rPr>
          <w:rFonts w:ascii="Verdana" w:eastAsia="Calibri" w:hAnsi="Verdana" w:cs="Arial"/>
          <w:b/>
          <w:lang w:val="es-ES" w:eastAsia="es-ES"/>
        </w:rPr>
      </w:pPr>
      <w:r w:rsidRPr="00D95654">
        <w:rPr>
          <w:rFonts w:ascii="Verdana" w:eastAsia="Calibri" w:hAnsi="Verdana" w:cs="Arial"/>
          <w:b/>
          <w:lang w:val="es-ES" w:eastAsia="es-ES"/>
        </w:rPr>
        <w:t>Amadeo Enrique Tamayo Trillos</w:t>
      </w:r>
    </w:p>
    <w:p w14:paraId="79F9F353" w14:textId="104917F8" w:rsidR="00AA4650" w:rsidRPr="00D95654" w:rsidRDefault="00AA4650" w:rsidP="00F46095">
      <w:pPr>
        <w:spacing w:after="0" w:line="240" w:lineRule="auto"/>
        <w:rPr>
          <w:rFonts w:ascii="Verdana" w:hAnsi="Verdana"/>
        </w:rPr>
      </w:pPr>
      <w:hyperlink r:id="rId11" w:history="1">
        <w:r w:rsidRPr="00D95654">
          <w:rPr>
            <w:rStyle w:val="Hipervnculo"/>
            <w:rFonts w:ascii="Verdana" w:hAnsi="Verdana"/>
          </w:rPr>
          <w:t>amadeo.tamayo94@gmail.com</w:t>
        </w:r>
      </w:hyperlink>
    </w:p>
    <w:p w14:paraId="786EBA0C" w14:textId="1756318F" w:rsidR="00F46095" w:rsidRPr="00D95654" w:rsidRDefault="007A4783" w:rsidP="00F46095">
      <w:pPr>
        <w:spacing w:after="0" w:line="240" w:lineRule="auto"/>
        <w:rPr>
          <w:rFonts w:ascii="Verdana" w:hAnsi="Verdana"/>
        </w:rPr>
      </w:pPr>
      <w:r w:rsidRPr="00D95654">
        <w:rPr>
          <w:rFonts w:ascii="Verdana" w:eastAsia="Calibri" w:hAnsi="Verdana" w:cs="Arial"/>
          <w:bCs/>
          <w:lang w:val="es-ES" w:eastAsia="es-ES"/>
        </w:rPr>
        <w:t>Bogotá D.C.</w:t>
      </w:r>
    </w:p>
    <w:p w14:paraId="4AE45A11" w14:textId="77777777" w:rsidR="00F46095" w:rsidRPr="00D95654" w:rsidRDefault="00F46095" w:rsidP="00F46095">
      <w:pPr>
        <w:spacing w:after="0" w:line="240" w:lineRule="auto"/>
        <w:rPr>
          <w:rFonts w:ascii="Verdana" w:eastAsia="Calibri" w:hAnsi="Verdana" w:cs="Arial"/>
          <w:b/>
          <w:bCs/>
          <w:highlight w:val="cyan"/>
          <w:lang w:val="es-ES_tradnl" w:eastAsia="es-ES_tradnl"/>
        </w:rPr>
      </w:pPr>
    </w:p>
    <w:p w14:paraId="356013D2" w14:textId="77777777" w:rsidR="00F46095" w:rsidRPr="00D95654" w:rsidRDefault="00F46095" w:rsidP="00F46095">
      <w:pPr>
        <w:spacing w:after="0" w:line="240" w:lineRule="auto"/>
        <w:rPr>
          <w:rFonts w:ascii="Verdana" w:eastAsia="Calibri" w:hAnsi="Verdana" w:cs="Arial"/>
          <w:b/>
          <w:bCs/>
          <w:highlight w:val="cyan"/>
          <w:lang w:val="es-ES_tradnl" w:eastAsia="es-ES_tradnl"/>
        </w:rPr>
      </w:pPr>
    </w:p>
    <w:p w14:paraId="41E52A5E" w14:textId="77777777" w:rsidR="00F46095" w:rsidRPr="00D95654" w:rsidRDefault="00F46095" w:rsidP="00F46095">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46095" w:rsidRPr="00D95654" w14:paraId="4CC2694D" w14:textId="77777777" w:rsidTr="00BC3F26">
        <w:trPr>
          <w:trHeight w:val="884"/>
        </w:trPr>
        <w:tc>
          <w:tcPr>
            <w:tcW w:w="2689" w:type="dxa"/>
          </w:tcPr>
          <w:p w14:paraId="0F973224" w14:textId="77777777" w:rsidR="00F46095" w:rsidRPr="00D95654" w:rsidRDefault="00F46095" w:rsidP="00BC3F26">
            <w:pPr>
              <w:jc w:val="both"/>
              <w:rPr>
                <w:rFonts w:ascii="Verdana" w:eastAsia="Calibri" w:hAnsi="Verdana" w:cs="Arial"/>
                <w:b/>
                <w:bCs/>
                <w:highlight w:val="cyan"/>
                <w:lang w:val="es-ES_tradnl" w:eastAsia="es-ES_tradnl"/>
              </w:rPr>
            </w:pPr>
          </w:p>
        </w:tc>
        <w:tc>
          <w:tcPr>
            <w:tcW w:w="6100" w:type="dxa"/>
          </w:tcPr>
          <w:p w14:paraId="366B4853" w14:textId="5636167F" w:rsidR="00F46095" w:rsidRPr="00D95654" w:rsidRDefault="00F46095" w:rsidP="00BC3F26">
            <w:pPr>
              <w:jc w:val="both"/>
              <w:rPr>
                <w:rFonts w:ascii="Verdana" w:eastAsia="Calibri" w:hAnsi="Verdana" w:cs="Arial"/>
                <w:b/>
                <w:bCs/>
                <w:lang w:val="es-ES" w:eastAsia="es-ES"/>
              </w:rPr>
            </w:pPr>
            <w:r w:rsidRPr="00D95654">
              <w:rPr>
                <w:rFonts w:ascii="Verdana" w:eastAsia="Calibri" w:hAnsi="Verdana" w:cs="Arial"/>
                <w:b/>
                <w:bCs/>
                <w:lang w:val="es-ES" w:eastAsia="es-ES"/>
              </w:rPr>
              <w:t xml:space="preserve">Concepto </w:t>
            </w:r>
            <w:r w:rsidR="007F5016" w:rsidRPr="00D95654">
              <w:rPr>
                <w:rFonts w:ascii="Verdana" w:eastAsia="Calibri" w:hAnsi="Verdana" w:cs="Arial"/>
                <w:b/>
                <w:bCs/>
                <w:lang w:eastAsia="es-ES"/>
              </w:rPr>
              <w:t>C-226</w:t>
            </w:r>
            <w:r w:rsidRPr="00D95654">
              <w:rPr>
                <w:rFonts w:ascii="Verdana" w:eastAsia="Calibri" w:hAnsi="Verdana" w:cs="Arial"/>
                <w:b/>
                <w:bCs/>
                <w:lang w:eastAsia="es-ES"/>
              </w:rPr>
              <w:t xml:space="preserve"> </w:t>
            </w:r>
            <w:r w:rsidRPr="00D95654">
              <w:rPr>
                <w:rFonts w:ascii="Verdana" w:eastAsia="Calibri" w:hAnsi="Verdana" w:cs="Arial"/>
                <w:b/>
                <w:bCs/>
                <w:lang w:val="es-ES" w:eastAsia="es-ES"/>
              </w:rPr>
              <w:t>de 2024</w:t>
            </w:r>
          </w:p>
        </w:tc>
      </w:tr>
      <w:tr w:rsidR="00F46095" w:rsidRPr="00D95654" w14:paraId="14CEFA44" w14:textId="77777777" w:rsidTr="00BC3F26">
        <w:trPr>
          <w:trHeight w:val="884"/>
        </w:trPr>
        <w:tc>
          <w:tcPr>
            <w:tcW w:w="2689" w:type="dxa"/>
            <w:shd w:val="clear" w:color="auto" w:fill="auto"/>
          </w:tcPr>
          <w:p w14:paraId="594E7DF2" w14:textId="77777777" w:rsidR="00F46095" w:rsidRPr="00D95654" w:rsidRDefault="00F46095" w:rsidP="00BC3F26">
            <w:pPr>
              <w:jc w:val="both"/>
              <w:rPr>
                <w:rFonts w:ascii="Verdana" w:eastAsia="Calibri" w:hAnsi="Verdana" w:cs="Arial"/>
                <w:b/>
                <w:highlight w:val="cyan"/>
                <w:lang w:val="es-ES_tradnl" w:eastAsia="es-ES_tradnl"/>
              </w:rPr>
            </w:pPr>
            <w:r w:rsidRPr="00D95654">
              <w:rPr>
                <w:rFonts w:ascii="Verdana" w:eastAsia="Calibri" w:hAnsi="Verdana" w:cs="Arial"/>
                <w:b/>
                <w:lang w:val="es-ES_tradnl" w:eastAsia="es-ES_tradnl"/>
              </w:rPr>
              <w:t xml:space="preserve">Temas:                   </w:t>
            </w:r>
          </w:p>
        </w:tc>
        <w:tc>
          <w:tcPr>
            <w:tcW w:w="6100" w:type="dxa"/>
          </w:tcPr>
          <w:p w14:paraId="7759BD2F" w14:textId="641C40AA" w:rsidR="002946F5" w:rsidRPr="00D95654" w:rsidRDefault="002946F5" w:rsidP="00B527CB">
            <w:pPr>
              <w:jc w:val="both"/>
              <w:rPr>
                <w:rFonts w:ascii="Verdana" w:eastAsia="Century Gothic" w:hAnsi="Verdana" w:cs="Century Gothic"/>
                <w:bCs/>
              </w:rPr>
            </w:pPr>
            <w:r w:rsidRPr="00D95654">
              <w:rPr>
                <w:rFonts w:ascii="Verdana" w:eastAsia="Century Gothic" w:hAnsi="Verdana" w:cs="Century Gothic"/>
                <w:bCs/>
              </w:rPr>
              <w:t>ADICIÓN – Concepto – Distintos supuestos – Prohibición – Adición en más del 50% / ADICIÓN – Prohibición – Monto – Cálculo – Parágrafo artículo 40 – Ley 80 de 1993 / MODIFICACION DE LOS CONTRATOS ESTATALES – Procedencia – Límites / MODIFICACION DE LOS CONTRATOS ESTATALES – Procedencia – Límites – Principio de planeación</w:t>
            </w:r>
          </w:p>
          <w:p w14:paraId="1CCD8E0B" w14:textId="643598E3" w:rsidR="005877F8" w:rsidRPr="00D95654" w:rsidRDefault="005877F8" w:rsidP="00BC3F26">
            <w:pPr>
              <w:spacing w:line="276" w:lineRule="auto"/>
              <w:jc w:val="both"/>
              <w:rPr>
                <w:rFonts w:ascii="Verdana" w:eastAsia="Calibri" w:hAnsi="Verdana" w:cs="Arial"/>
                <w:highlight w:val="cyan"/>
                <w:lang w:eastAsia="es-ES"/>
              </w:rPr>
            </w:pPr>
          </w:p>
        </w:tc>
      </w:tr>
      <w:tr w:rsidR="00F46095" w:rsidRPr="00D95654" w14:paraId="50F68E29" w14:textId="77777777" w:rsidTr="00BC3F26">
        <w:trPr>
          <w:trHeight w:val="388"/>
        </w:trPr>
        <w:tc>
          <w:tcPr>
            <w:tcW w:w="2689" w:type="dxa"/>
          </w:tcPr>
          <w:p w14:paraId="6363B401" w14:textId="77777777" w:rsidR="00F46095" w:rsidRPr="00D95654" w:rsidRDefault="00F46095" w:rsidP="00BC3F26">
            <w:pPr>
              <w:jc w:val="both"/>
              <w:rPr>
                <w:rFonts w:ascii="Verdana" w:eastAsia="Calibri" w:hAnsi="Verdana" w:cs="Arial"/>
                <w:b/>
                <w:lang w:val="es-ES_tradnl" w:eastAsia="es-ES_tradnl"/>
              </w:rPr>
            </w:pPr>
            <w:r w:rsidRPr="00D95654">
              <w:rPr>
                <w:rFonts w:ascii="Verdana" w:eastAsia="Calibri" w:hAnsi="Verdana" w:cs="Arial"/>
                <w:b/>
                <w:lang w:val="es-ES_tradnl" w:eastAsia="es-ES_tradnl"/>
              </w:rPr>
              <w:t>Radicación:</w:t>
            </w:r>
            <w:r w:rsidRPr="00D95654">
              <w:rPr>
                <w:rFonts w:ascii="Verdana" w:eastAsia="Calibri" w:hAnsi="Verdana" w:cs="Arial"/>
                <w:lang w:val="es-ES_tradnl" w:eastAsia="es-ES_tradnl"/>
              </w:rPr>
              <w:t xml:space="preserve">               </w:t>
            </w:r>
          </w:p>
        </w:tc>
        <w:tc>
          <w:tcPr>
            <w:tcW w:w="6100" w:type="dxa"/>
          </w:tcPr>
          <w:p w14:paraId="02FD7823" w14:textId="3BD596C1" w:rsidR="00F46095" w:rsidRPr="00D95654" w:rsidRDefault="00F46095" w:rsidP="00BC3F26">
            <w:pPr>
              <w:jc w:val="both"/>
              <w:rPr>
                <w:rFonts w:ascii="Verdana" w:eastAsia="Calibri" w:hAnsi="Verdana" w:cs="Arial"/>
                <w:lang w:eastAsia="es-ES_tradnl"/>
              </w:rPr>
            </w:pPr>
            <w:r w:rsidRPr="00D95654">
              <w:rPr>
                <w:rFonts w:ascii="Verdana" w:eastAsia="Calibri" w:hAnsi="Verdana" w:cs="Arial"/>
                <w:lang w:val="es-ES_tradnl" w:eastAsia="es-ES_tradnl"/>
              </w:rPr>
              <w:t xml:space="preserve">Respuesta a consulta con radicado No. </w:t>
            </w:r>
            <w:r w:rsidR="00051D47" w:rsidRPr="00D95654">
              <w:rPr>
                <w:rFonts w:ascii="Verdana" w:eastAsia="Calibri" w:hAnsi="Verdana" w:cs="Arial"/>
                <w:lang w:eastAsia="es-ES_tradnl"/>
              </w:rPr>
              <w:t>P20241017010563</w:t>
            </w:r>
          </w:p>
        </w:tc>
      </w:tr>
    </w:tbl>
    <w:p w14:paraId="1DB8A4A0" w14:textId="77777777" w:rsidR="00F46095" w:rsidRPr="00D95654" w:rsidRDefault="00F46095" w:rsidP="00F46095">
      <w:pPr>
        <w:spacing w:after="0" w:line="240" w:lineRule="auto"/>
        <w:jc w:val="both"/>
        <w:rPr>
          <w:rFonts w:ascii="Verdana" w:eastAsia="Calibri" w:hAnsi="Verdana" w:cs="Arial"/>
          <w:highlight w:val="cyan"/>
          <w:lang w:val="es-ES_tradnl" w:eastAsia="es-ES_tradnl"/>
        </w:rPr>
      </w:pPr>
    </w:p>
    <w:p w14:paraId="4F903D8E" w14:textId="77777777" w:rsidR="00F46095" w:rsidRPr="00D95654" w:rsidRDefault="00F46095" w:rsidP="00F46095">
      <w:pPr>
        <w:spacing w:after="0" w:line="240" w:lineRule="auto"/>
        <w:jc w:val="both"/>
        <w:rPr>
          <w:rFonts w:ascii="Verdana" w:eastAsia="Calibri" w:hAnsi="Verdana" w:cs="Arial"/>
          <w:highlight w:val="cyan"/>
          <w:lang w:val="es-ES_tradnl" w:eastAsia="es-ES_tradnl"/>
        </w:rPr>
      </w:pPr>
    </w:p>
    <w:p w14:paraId="6B964999" w14:textId="4A5A1B38" w:rsidR="00F46095" w:rsidRPr="00D95654" w:rsidRDefault="00F46095" w:rsidP="00F46095">
      <w:pPr>
        <w:spacing w:after="0" w:line="276" w:lineRule="auto"/>
        <w:jc w:val="both"/>
        <w:rPr>
          <w:rFonts w:ascii="Verdana" w:eastAsia="Calibri" w:hAnsi="Verdana" w:cs="Arial"/>
          <w:lang w:val="es-ES" w:eastAsia="es-ES"/>
        </w:rPr>
      </w:pPr>
      <w:r w:rsidRPr="00D95654">
        <w:rPr>
          <w:rFonts w:ascii="Verdana" w:eastAsia="Calibri" w:hAnsi="Verdana" w:cs="Arial"/>
          <w:lang w:val="es-ES" w:eastAsia="es-ES"/>
        </w:rPr>
        <w:t>Estimad</w:t>
      </w:r>
      <w:r w:rsidR="00743748" w:rsidRPr="00D95654">
        <w:rPr>
          <w:rFonts w:ascii="Verdana" w:eastAsia="Calibri" w:hAnsi="Verdana" w:cs="Arial"/>
          <w:lang w:val="es-ES" w:eastAsia="es-ES"/>
        </w:rPr>
        <w:t>o</w:t>
      </w:r>
      <w:r w:rsidRPr="00D95654">
        <w:rPr>
          <w:rFonts w:ascii="Verdana" w:eastAsia="Calibri" w:hAnsi="Verdana" w:cs="Arial"/>
          <w:lang w:val="es-ES" w:eastAsia="es-ES"/>
        </w:rPr>
        <w:t xml:space="preserve"> señor </w:t>
      </w:r>
      <w:r w:rsidR="00743748" w:rsidRPr="00D95654">
        <w:rPr>
          <w:rFonts w:ascii="Verdana" w:eastAsia="Calibri" w:hAnsi="Verdana" w:cs="Arial"/>
          <w:lang w:val="es-ES" w:eastAsia="es-ES"/>
        </w:rPr>
        <w:t>Tamayo</w:t>
      </w:r>
      <w:r w:rsidRPr="00D95654">
        <w:rPr>
          <w:rFonts w:ascii="Verdana" w:eastAsia="Calibri" w:hAnsi="Verdana" w:cs="Arial"/>
          <w:lang w:val="es-ES" w:eastAsia="es-ES"/>
        </w:rPr>
        <w:t>;</w:t>
      </w:r>
    </w:p>
    <w:p w14:paraId="7F926AB0" w14:textId="77777777" w:rsidR="00F46095" w:rsidRPr="00D95654" w:rsidRDefault="00F46095" w:rsidP="00F46095">
      <w:pPr>
        <w:tabs>
          <w:tab w:val="left" w:pos="3768"/>
        </w:tabs>
        <w:spacing w:after="0" w:line="276" w:lineRule="auto"/>
        <w:jc w:val="both"/>
        <w:rPr>
          <w:rFonts w:ascii="Verdana" w:eastAsia="Calibri" w:hAnsi="Verdana" w:cs="Arial"/>
          <w:highlight w:val="cyan"/>
          <w:lang w:val="es-ES" w:eastAsia="es-ES"/>
        </w:rPr>
      </w:pPr>
    </w:p>
    <w:p w14:paraId="2F13E8BC" w14:textId="1A24BE3A" w:rsidR="00F46095" w:rsidRPr="00D95654" w:rsidRDefault="00F46095" w:rsidP="00F46095">
      <w:pPr>
        <w:spacing w:after="0" w:line="276" w:lineRule="auto"/>
        <w:jc w:val="both"/>
        <w:rPr>
          <w:rFonts w:ascii="Verdana" w:eastAsia="Calibri" w:hAnsi="Verdana" w:cs="Arial"/>
          <w:lang w:val="es-ES" w:eastAsia="es-ES"/>
        </w:rPr>
      </w:pPr>
      <w:r w:rsidRPr="00D95654">
        <w:rPr>
          <w:rFonts w:ascii="Verdana" w:eastAsia="Calibri" w:hAnsi="Verdana" w:cs="Arial"/>
          <w:lang w:val="es-ES" w:eastAsia="es-ES"/>
        </w:rPr>
        <w:t>En ejercicio de la competencia otorgada por los artículos 3, numeral 5º, y 11, numeral 8º, del Decreto Ley 4170 de 2011,</w:t>
      </w:r>
      <w:r w:rsidRPr="00D95654">
        <w:rPr>
          <w:rFonts w:ascii="Verdana" w:eastAsia="Arial MT" w:hAnsi="Verdana" w:cs="Arial MT"/>
          <w:lang w:val="es-ES" w:eastAsia="es-ES"/>
        </w:rPr>
        <w:t xml:space="preserve"> </w:t>
      </w:r>
      <w:r w:rsidRPr="00D95654">
        <w:rPr>
          <w:rFonts w:ascii="Verdana" w:hAnsi="Verdana" w:cs="Arial"/>
        </w:rPr>
        <w:t xml:space="preserve">así como lo establecido en el artículo 4 de la Resolución 1707 de 2018 expedida por esta Entidad, </w:t>
      </w:r>
      <w:r w:rsidRPr="00D95654">
        <w:rPr>
          <w:rFonts w:ascii="Verdana" w:eastAsia="Calibri" w:hAnsi="Verdana" w:cs="Arial"/>
          <w:lang w:val="es-ES" w:eastAsia="es-ES"/>
        </w:rPr>
        <w:t xml:space="preserve">la Agencia Nacional de Contratación Pública – Colombia Compra Eficiente– responde su solicitud de consulta de fecha </w:t>
      </w:r>
      <w:r w:rsidR="008C6D7F" w:rsidRPr="00D95654">
        <w:rPr>
          <w:rFonts w:ascii="Verdana" w:eastAsia="Calibri" w:hAnsi="Verdana" w:cs="Arial"/>
          <w:lang w:val="es-ES" w:eastAsia="es-ES"/>
        </w:rPr>
        <w:t>17 de octubre del 2024</w:t>
      </w:r>
      <w:r w:rsidRPr="00D95654">
        <w:rPr>
          <w:rFonts w:ascii="Verdana" w:eastAsia="Calibri" w:hAnsi="Verdana" w:cs="Arial"/>
          <w:lang w:val="es-ES" w:eastAsia="es-ES"/>
        </w:rPr>
        <w:t xml:space="preserve">, en la cual manifiesta lo siguiente: </w:t>
      </w:r>
    </w:p>
    <w:p w14:paraId="29D44572" w14:textId="77777777" w:rsidR="00F46095" w:rsidRPr="00D95654" w:rsidRDefault="00F46095" w:rsidP="00F46095">
      <w:pPr>
        <w:spacing w:after="0"/>
        <w:jc w:val="both"/>
        <w:rPr>
          <w:rFonts w:ascii="Verdana" w:hAnsi="Verdana"/>
          <w:highlight w:val="cyan"/>
          <w:lang w:val="es-ES"/>
        </w:rPr>
      </w:pPr>
    </w:p>
    <w:p w14:paraId="42F4B30B" w14:textId="77777777" w:rsidR="005C5421" w:rsidRPr="00D95654" w:rsidRDefault="00F46095" w:rsidP="00F46095">
      <w:pPr>
        <w:spacing w:after="0" w:line="240" w:lineRule="auto"/>
        <w:ind w:left="709" w:right="709"/>
        <w:jc w:val="both"/>
        <w:rPr>
          <w:rFonts w:ascii="Verdana" w:eastAsia="Century Gothic" w:hAnsi="Verdana" w:cs="Century Gothic"/>
          <w:sz w:val="20"/>
          <w:szCs w:val="20"/>
          <w:lang w:val="es-ES"/>
        </w:rPr>
      </w:pPr>
      <w:r w:rsidRPr="00D95654">
        <w:rPr>
          <w:rFonts w:ascii="Verdana" w:eastAsia="Century Gothic" w:hAnsi="Verdana" w:cs="Century Gothic"/>
          <w:sz w:val="20"/>
          <w:szCs w:val="20"/>
          <w:lang w:val="es-ES"/>
        </w:rPr>
        <w:t xml:space="preserve">“[…] </w:t>
      </w:r>
      <w:r w:rsidR="00C27637" w:rsidRPr="00D95654">
        <w:rPr>
          <w:rFonts w:ascii="Verdana" w:eastAsia="Century Gothic" w:hAnsi="Verdana" w:cs="Century Gothic"/>
          <w:sz w:val="20"/>
          <w:szCs w:val="20"/>
          <w:lang w:val="es-ES"/>
        </w:rPr>
        <w:t>1. ¿Es jurídicamente viable realizar adiciones a contratos adjudicados bajo las modalidades de M</w:t>
      </w:r>
      <w:r w:rsidR="00A123DA" w:rsidRPr="00D95654">
        <w:rPr>
          <w:rFonts w:ascii="Verdana" w:eastAsia="Century Gothic" w:hAnsi="Verdana" w:cs="Century Gothic"/>
          <w:sz w:val="20"/>
          <w:szCs w:val="20"/>
          <w:lang w:val="es-ES"/>
        </w:rPr>
        <w:t>ínima Cuantía, Menor Cuantía y Licitación Pública, cuando el valor total resultante del contrato más</w:t>
      </w:r>
      <w:r w:rsidR="00875C39" w:rsidRPr="00D95654">
        <w:rPr>
          <w:rFonts w:ascii="Verdana" w:eastAsia="Century Gothic" w:hAnsi="Verdana" w:cs="Century Gothic"/>
          <w:sz w:val="20"/>
          <w:szCs w:val="20"/>
          <w:lang w:val="es-ES"/>
        </w:rPr>
        <w:t xml:space="preserve"> la adición supera el tope máximo permitido en cada modalidad de </w:t>
      </w:r>
      <w:r w:rsidR="007257CC" w:rsidRPr="00D95654">
        <w:rPr>
          <w:rFonts w:ascii="Verdana" w:eastAsia="Century Gothic" w:hAnsi="Verdana" w:cs="Century Gothic"/>
          <w:sz w:val="20"/>
          <w:szCs w:val="20"/>
          <w:lang w:val="es-ES"/>
        </w:rPr>
        <w:t>selección?</w:t>
      </w:r>
      <w:r w:rsidR="00875C39" w:rsidRPr="00D95654">
        <w:rPr>
          <w:rFonts w:ascii="Verdana" w:eastAsia="Century Gothic" w:hAnsi="Verdana" w:cs="Century Gothic"/>
          <w:sz w:val="20"/>
          <w:szCs w:val="20"/>
          <w:lang w:val="es-ES"/>
        </w:rPr>
        <w:t xml:space="preserve"> Esto teniendo </w:t>
      </w:r>
      <w:r w:rsidR="00875C39" w:rsidRPr="00D95654">
        <w:rPr>
          <w:rFonts w:ascii="Verdana" w:eastAsia="Century Gothic" w:hAnsi="Verdana" w:cs="Century Gothic"/>
          <w:sz w:val="20"/>
          <w:szCs w:val="20"/>
          <w:lang w:val="es-ES"/>
        </w:rPr>
        <w:lastRenderedPageBreak/>
        <w:t>en cuenta que el contrato inicial</w:t>
      </w:r>
      <w:r w:rsidR="005C5421" w:rsidRPr="00D95654">
        <w:rPr>
          <w:rFonts w:ascii="Verdana" w:eastAsia="Century Gothic" w:hAnsi="Verdana" w:cs="Century Gothic"/>
          <w:sz w:val="20"/>
          <w:szCs w:val="20"/>
          <w:lang w:val="es-ES"/>
        </w:rPr>
        <w:t xml:space="preserve"> se realizó dentro de los límites establecidos para el proceso de selección correspondiente. </w:t>
      </w:r>
    </w:p>
    <w:p w14:paraId="5F8F5A86" w14:textId="77777777" w:rsidR="005C5421" w:rsidRPr="00D95654" w:rsidRDefault="005C5421" w:rsidP="00F46095">
      <w:pPr>
        <w:spacing w:after="0" w:line="240" w:lineRule="auto"/>
        <w:ind w:left="709" w:right="709"/>
        <w:jc w:val="both"/>
        <w:rPr>
          <w:rFonts w:ascii="Verdana" w:eastAsia="Century Gothic" w:hAnsi="Verdana" w:cs="Century Gothic"/>
          <w:sz w:val="20"/>
          <w:szCs w:val="20"/>
          <w:lang w:val="es-ES"/>
        </w:rPr>
      </w:pPr>
    </w:p>
    <w:p w14:paraId="4F78F563" w14:textId="53D20E69" w:rsidR="00F46095" w:rsidRPr="00D95654" w:rsidRDefault="005C5421" w:rsidP="00F46095">
      <w:pPr>
        <w:spacing w:after="0" w:line="240" w:lineRule="auto"/>
        <w:ind w:left="709" w:right="709"/>
        <w:jc w:val="both"/>
        <w:rPr>
          <w:rFonts w:ascii="Verdana" w:eastAsia="Century Gothic" w:hAnsi="Verdana" w:cs="Century Gothic"/>
          <w:sz w:val="20"/>
          <w:szCs w:val="20"/>
          <w:lang w:val="es-ES"/>
        </w:rPr>
      </w:pPr>
      <w:r w:rsidRPr="00D95654">
        <w:rPr>
          <w:rFonts w:ascii="Verdana" w:eastAsia="Century Gothic" w:hAnsi="Verdana" w:cs="Century Gothic"/>
          <w:sz w:val="20"/>
          <w:szCs w:val="20"/>
          <w:lang w:val="es-ES"/>
        </w:rPr>
        <w:t xml:space="preserve">2. En caso de que no sea posible realizar dichas adiciones cuando se excede el tope máximo del proceso de selección </w:t>
      </w:r>
      <w:r w:rsidR="00FC7F4C" w:rsidRPr="00D95654">
        <w:rPr>
          <w:rFonts w:ascii="Verdana" w:eastAsia="Century Gothic" w:hAnsi="Verdana" w:cs="Century Gothic"/>
          <w:sz w:val="20"/>
          <w:szCs w:val="20"/>
          <w:lang w:val="es-ES"/>
        </w:rPr>
        <w:t xml:space="preserve">¿Qué alternativas </w:t>
      </w:r>
      <w:r w:rsidR="009F45A4" w:rsidRPr="00D95654">
        <w:rPr>
          <w:rFonts w:ascii="Verdana" w:eastAsia="Century Gothic" w:hAnsi="Verdana" w:cs="Century Gothic"/>
          <w:sz w:val="20"/>
          <w:szCs w:val="20"/>
          <w:lang w:val="es-ES"/>
        </w:rPr>
        <w:t>podrían</w:t>
      </w:r>
      <w:r w:rsidR="00FC7F4C" w:rsidRPr="00D95654">
        <w:rPr>
          <w:rFonts w:ascii="Verdana" w:eastAsia="Century Gothic" w:hAnsi="Verdana" w:cs="Century Gothic"/>
          <w:sz w:val="20"/>
          <w:szCs w:val="20"/>
          <w:lang w:val="es-ES"/>
        </w:rPr>
        <w:t xml:space="preserve"> considerarse para atender las necesidades adicionales, respetando el marco normativo vigente en materia de contratación pública? </w:t>
      </w:r>
      <w:r w:rsidR="00F46095" w:rsidRPr="00D95654">
        <w:rPr>
          <w:rFonts w:ascii="Verdana" w:eastAsia="Century Gothic" w:hAnsi="Verdana" w:cs="Century Gothic"/>
          <w:sz w:val="20"/>
          <w:szCs w:val="20"/>
          <w:lang w:val="es-ES"/>
        </w:rPr>
        <w:t>[…]”</w:t>
      </w:r>
    </w:p>
    <w:p w14:paraId="0F293BF4" w14:textId="7BBFAB11" w:rsidR="00127233" w:rsidRPr="00D95654" w:rsidRDefault="00127233" w:rsidP="00665D70">
      <w:pPr>
        <w:spacing w:after="0"/>
        <w:jc w:val="both"/>
        <w:rPr>
          <w:rFonts w:ascii="Verdana" w:hAnsi="Verdana"/>
          <w:lang w:val="es-ES"/>
        </w:rPr>
      </w:pPr>
    </w:p>
    <w:p w14:paraId="7D617ADF" w14:textId="77777777" w:rsidR="00AE766A" w:rsidRPr="00D95654" w:rsidRDefault="00AE766A" w:rsidP="00AE766A">
      <w:pPr>
        <w:spacing w:after="120" w:line="276" w:lineRule="auto"/>
        <w:ind w:firstLine="709"/>
        <w:jc w:val="both"/>
        <w:rPr>
          <w:rFonts w:ascii="Verdana" w:eastAsia="Calibri" w:hAnsi="Verdana" w:cs="Arial"/>
          <w:color w:val="000000"/>
          <w:lang w:val="es-ES_tradnl" w:eastAsia="es-ES_tradnl"/>
        </w:rPr>
      </w:pPr>
      <w:r w:rsidRPr="00D95654">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FB3B8B8" w14:textId="35418C0A" w:rsidR="00AE766A" w:rsidRPr="00D95654" w:rsidRDefault="00AE766A" w:rsidP="00AE766A">
      <w:pPr>
        <w:spacing w:after="0" w:line="276" w:lineRule="auto"/>
        <w:ind w:firstLine="709"/>
        <w:jc w:val="both"/>
        <w:rPr>
          <w:rFonts w:ascii="Verdana" w:eastAsia="Calibri" w:hAnsi="Verdana" w:cs="Arial"/>
          <w:color w:val="000000"/>
          <w:lang w:val="es-ES" w:eastAsia="es-ES"/>
        </w:rPr>
      </w:pPr>
      <w:r w:rsidRPr="00D95654">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E8502C" w:rsidRPr="00D95654">
        <w:rPr>
          <w:rFonts w:ascii="Verdana" w:eastAsia="Calibri" w:hAnsi="Verdana" w:cs="Arial"/>
          <w:color w:val="000000"/>
          <w:lang w:val="es-ES" w:eastAsia="es-ES"/>
        </w:rPr>
        <w:t>el</w:t>
      </w:r>
      <w:r w:rsidRPr="00D95654">
        <w:rPr>
          <w:rFonts w:ascii="Verdana" w:eastAsia="Calibri" w:hAnsi="Verdana" w:cs="Arial"/>
          <w:color w:val="000000"/>
          <w:lang w:val="es-ES" w:eastAsia="es-ES"/>
        </w:rPr>
        <w:t xml:space="preserve"> problema jurídico de su consulta.  </w:t>
      </w:r>
    </w:p>
    <w:p w14:paraId="4CC2407D" w14:textId="77777777" w:rsidR="00AE766A" w:rsidRPr="00D95654" w:rsidRDefault="00AE766A" w:rsidP="00AE766A">
      <w:pPr>
        <w:spacing w:after="0"/>
        <w:jc w:val="both"/>
        <w:rPr>
          <w:rFonts w:ascii="Verdana" w:hAnsi="Verdana"/>
          <w:highlight w:val="cyan"/>
          <w:lang w:val="es-ES"/>
        </w:rPr>
      </w:pPr>
    </w:p>
    <w:p w14:paraId="5330C67D" w14:textId="77777777" w:rsidR="00AE766A" w:rsidRPr="00D95654" w:rsidRDefault="00AE766A" w:rsidP="00AE766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95654">
        <w:rPr>
          <w:rFonts w:ascii="Verdana" w:eastAsia="Century Gothic" w:hAnsi="Verdana" w:cs="Century Gothic"/>
          <w:b/>
          <w:bCs/>
        </w:rPr>
        <w:t>Problema planteado:</w:t>
      </w:r>
    </w:p>
    <w:p w14:paraId="113B8367" w14:textId="77777777" w:rsidR="00AE766A" w:rsidRPr="00D95654" w:rsidRDefault="00AE766A" w:rsidP="00AE766A">
      <w:pPr>
        <w:tabs>
          <w:tab w:val="left" w:pos="426"/>
        </w:tabs>
        <w:spacing w:after="0" w:line="276" w:lineRule="auto"/>
        <w:jc w:val="both"/>
        <w:rPr>
          <w:rFonts w:ascii="Verdana" w:eastAsia="Century Gothic" w:hAnsi="Verdana" w:cs="Century Gothic"/>
          <w:highlight w:val="cyan"/>
          <w:lang w:val="es-ES"/>
        </w:rPr>
      </w:pPr>
    </w:p>
    <w:p w14:paraId="332CBFAA" w14:textId="59E2EE68" w:rsidR="00AE766A" w:rsidRPr="00D95654" w:rsidRDefault="00AE766A" w:rsidP="00AE766A">
      <w:pPr>
        <w:spacing w:after="0" w:line="276" w:lineRule="auto"/>
        <w:jc w:val="both"/>
        <w:rPr>
          <w:rFonts w:ascii="Verdana" w:eastAsia="Century Gothic" w:hAnsi="Verdana" w:cs="Century Gothic"/>
        </w:rPr>
      </w:pPr>
      <w:r w:rsidRPr="00D95654">
        <w:rPr>
          <w:rFonts w:ascii="Verdana" w:eastAsia="Century Gothic" w:hAnsi="Verdana" w:cs="Century Gothic"/>
        </w:rPr>
        <w:t xml:space="preserve">De acuerdo con el contenido de su solicitud, esta Agencia resolverá </w:t>
      </w:r>
      <w:r w:rsidR="00E8502C" w:rsidRPr="00D95654">
        <w:rPr>
          <w:rFonts w:ascii="Verdana" w:eastAsia="Century Gothic" w:hAnsi="Verdana" w:cs="Century Gothic"/>
        </w:rPr>
        <w:t>el siguiente problema jurídico</w:t>
      </w:r>
      <w:r w:rsidRPr="00D95654">
        <w:rPr>
          <w:rFonts w:ascii="Verdana" w:eastAsia="Century Gothic" w:hAnsi="Verdana" w:cs="Century Gothic"/>
        </w:rPr>
        <w:t xml:space="preserve">: </w:t>
      </w:r>
      <w:r w:rsidR="00CD5461" w:rsidRPr="00D95654">
        <w:rPr>
          <w:rFonts w:ascii="Verdana" w:eastAsia="Century Gothic" w:hAnsi="Verdana" w:cs="Century Gothic"/>
        </w:rPr>
        <w:t>¿</w:t>
      </w:r>
      <w:r w:rsidR="009F45A4" w:rsidRPr="00D95654">
        <w:rPr>
          <w:rFonts w:ascii="Verdana" w:eastAsia="Century Gothic" w:hAnsi="Verdana" w:cs="Century Gothic"/>
        </w:rPr>
        <w:t>Es jurídicamente viable adicionar contratos adjudicados bajo las modalidades de Mínima Cuantía, Menor Cuantía y Licitación Pública, cuando el valor total resultante del contrato más la adición supera el tope máximo permitido en cada modalidad de selección?</w:t>
      </w:r>
    </w:p>
    <w:p w14:paraId="56C1ADE7" w14:textId="77777777" w:rsidR="00AE766A" w:rsidRPr="00D95654" w:rsidRDefault="00AE766A" w:rsidP="00AE766A">
      <w:pPr>
        <w:spacing w:after="0"/>
        <w:jc w:val="both"/>
        <w:rPr>
          <w:rFonts w:ascii="Verdana" w:hAnsi="Verdana"/>
          <w:highlight w:val="cyan"/>
        </w:rPr>
      </w:pPr>
    </w:p>
    <w:p w14:paraId="5F396C41" w14:textId="77777777" w:rsidR="00AE766A" w:rsidRPr="00D95654" w:rsidRDefault="00AE766A" w:rsidP="00AE76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95654">
        <w:rPr>
          <w:rFonts w:ascii="Verdana" w:eastAsia="Century Gothic" w:hAnsi="Verdana" w:cs="Century Gothic"/>
          <w:b/>
          <w:bCs/>
        </w:rPr>
        <w:t>Respuesta:</w:t>
      </w:r>
    </w:p>
    <w:p w14:paraId="6D0CD979" w14:textId="77777777" w:rsidR="00707AF5" w:rsidRPr="00D95654" w:rsidRDefault="00707AF5" w:rsidP="00AE766A">
      <w:pPr>
        <w:spacing w:after="0"/>
        <w:jc w:val="both"/>
        <w:rPr>
          <w:rFonts w:ascii="Verdana" w:hAnsi="Verdana"/>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E766A" w:rsidRPr="00D95654" w14:paraId="099303E1" w14:textId="77777777" w:rsidTr="00BC3F26">
        <w:trPr>
          <w:trHeight w:val="799"/>
        </w:trPr>
        <w:tc>
          <w:tcPr>
            <w:tcW w:w="8828" w:type="dxa"/>
            <w:shd w:val="clear" w:color="auto" w:fill="auto"/>
          </w:tcPr>
          <w:p w14:paraId="0C23FD12" w14:textId="77777777" w:rsidR="00AE766A" w:rsidRPr="00D95654" w:rsidRDefault="00AE766A" w:rsidP="00BC3F26">
            <w:pPr>
              <w:spacing w:after="120" w:line="276" w:lineRule="auto"/>
              <w:jc w:val="both"/>
              <w:rPr>
                <w:rFonts w:ascii="Verdana" w:eastAsia="Calibri" w:hAnsi="Verdana" w:cs="Arial"/>
                <w:lang w:val="es-ES"/>
              </w:rPr>
            </w:pPr>
            <w:r w:rsidRPr="00D95654">
              <w:rPr>
                <w:rFonts w:ascii="Verdana" w:eastAsia="Calibri" w:hAnsi="Verdana" w:cs="Arial"/>
                <w:lang w:val="es-ES"/>
              </w:rPr>
              <w:t>En respuesta a los problemas planteados esta Subdirección manifiesta:</w:t>
            </w:r>
          </w:p>
          <w:p w14:paraId="11C60AC1" w14:textId="53355D88" w:rsidR="00707AF5" w:rsidRPr="00D95654" w:rsidRDefault="00F90FD6" w:rsidP="00F46328">
            <w:pPr>
              <w:spacing w:before="120" w:line="276" w:lineRule="auto"/>
              <w:jc w:val="both"/>
              <w:rPr>
                <w:rFonts w:ascii="Verdana" w:hAnsi="Verdana" w:cs="Arial"/>
                <w:lang w:val="es-MX"/>
              </w:rPr>
            </w:pPr>
            <w:r w:rsidRPr="00D95654">
              <w:rPr>
                <w:rFonts w:ascii="Verdana" w:hAnsi="Verdana" w:cs="Arial"/>
                <w:lang w:val="es-MX"/>
              </w:rPr>
              <w:t xml:space="preserve">Si bien, </w:t>
            </w:r>
            <w:r w:rsidR="00FB1AF2" w:rsidRPr="00D95654">
              <w:rPr>
                <w:rFonts w:ascii="Verdana" w:hAnsi="Verdana" w:cs="Arial"/>
                <w:lang w:val="es-MX"/>
              </w:rPr>
              <w:t xml:space="preserve">las leyes </w:t>
            </w:r>
            <w:r w:rsidR="005A49BB" w:rsidRPr="00D95654">
              <w:rPr>
                <w:rFonts w:ascii="Verdana" w:hAnsi="Verdana" w:cs="Arial"/>
              </w:rPr>
              <w:t xml:space="preserve">80 de 1993, 1150 de 2007 y 1474 de 2011, así como en las normas que las han modificado y las reglamentan, no consagran una </w:t>
            </w:r>
            <w:r w:rsidR="005A49BB" w:rsidRPr="00D95654">
              <w:rPr>
                <w:rFonts w:ascii="Verdana" w:hAnsi="Verdana" w:cs="Arial"/>
              </w:rPr>
              <w:lastRenderedPageBreak/>
              <w:t>regulación expresa sobre la posibilidad de modificar los contratos celebrados por las Entidades Estatales</w:t>
            </w:r>
            <w:r w:rsidR="006562F8" w:rsidRPr="00D95654">
              <w:rPr>
                <w:rFonts w:ascii="Verdana" w:hAnsi="Verdana" w:cs="Arial"/>
              </w:rPr>
              <w:t>, l</w:t>
            </w:r>
            <w:r w:rsidR="00071545" w:rsidRPr="00D95654">
              <w:rPr>
                <w:rFonts w:ascii="Verdana" w:hAnsi="Verdana" w:cs="Arial"/>
              </w:rPr>
              <w:t xml:space="preserve">o cierto es que, </w:t>
            </w:r>
            <w:r w:rsidR="00F966A5" w:rsidRPr="00D95654">
              <w:rPr>
                <w:rFonts w:ascii="Verdana" w:hAnsi="Verdana" w:cs="Arial"/>
              </w:rPr>
              <w:t xml:space="preserve">es viable modificar los contratos estatales, pero </w:t>
            </w:r>
            <w:r w:rsidR="00E32D27" w:rsidRPr="00D95654">
              <w:rPr>
                <w:rFonts w:ascii="Verdana" w:hAnsi="Verdana" w:cs="Arial"/>
              </w:rPr>
              <w:t>esta</w:t>
            </w:r>
            <w:r w:rsidR="00F966A5" w:rsidRPr="00D95654">
              <w:rPr>
                <w:rFonts w:ascii="Verdana" w:hAnsi="Verdana" w:cs="Arial"/>
              </w:rPr>
              <w:t xml:space="preserve"> medida tiene un carácter excepcional y sólo procede cuando con ella se pretende garantizar el interés público, cuando la entidad haya verificado y así pueda 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w:t>
            </w:r>
            <w:r w:rsidR="009349D6" w:rsidRPr="00D95654">
              <w:rPr>
                <w:rFonts w:ascii="Verdana" w:hAnsi="Verdana" w:cs="Arial"/>
              </w:rPr>
              <w:t>.</w:t>
            </w:r>
          </w:p>
          <w:p w14:paraId="0D301B46" w14:textId="5B51D0DB" w:rsidR="00AE766A" w:rsidRPr="00D95654" w:rsidRDefault="00D32BEE" w:rsidP="00F46328">
            <w:pPr>
              <w:spacing w:before="120" w:line="276" w:lineRule="auto"/>
              <w:jc w:val="both"/>
              <w:rPr>
                <w:rFonts w:ascii="Verdana" w:hAnsi="Verdana" w:cs="Arial"/>
              </w:rPr>
            </w:pPr>
            <w:r w:rsidRPr="00D95654">
              <w:rPr>
                <w:rFonts w:ascii="Verdana" w:hAnsi="Verdana" w:cs="Arial"/>
              </w:rPr>
              <w:t xml:space="preserve">En </w:t>
            </w:r>
            <w:r w:rsidR="00652E6A" w:rsidRPr="00D95654">
              <w:rPr>
                <w:rFonts w:ascii="Verdana" w:hAnsi="Verdana" w:cs="Arial"/>
              </w:rPr>
              <w:t>este</w:t>
            </w:r>
            <w:r w:rsidRPr="00D95654">
              <w:rPr>
                <w:rFonts w:ascii="Verdana" w:hAnsi="Verdana" w:cs="Arial"/>
              </w:rPr>
              <w:t xml:space="preserve"> contexto, las modificaciones no podrán suponer la variación del objeto de</w:t>
            </w:r>
            <w:r w:rsidR="00603A42" w:rsidRPr="00D95654">
              <w:rPr>
                <w:rFonts w:ascii="Verdana" w:hAnsi="Verdana" w:cs="Arial"/>
              </w:rPr>
              <w:t xml:space="preserve">l </w:t>
            </w:r>
            <w:r w:rsidRPr="00D95654">
              <w:rPr>
                <w:rFonts w:ascii="Verdana" w:hAnsi="Verdana" w:cs="Arial"/>
              </w:rPr>
              <w:t xml:space="preserve">contrato, pues ello supondría la alteración de su esencia y lo convertiría en otro tipo de negocio jurídico. </w:t>
            </w:r>
            <w:r w:rsidR="00CA05FF" w:rsidRPr="00D95654">
              <w:rPr>
                <w:rFonts w:ascii="Verdana" w:hAnsi="Verdana" w:cs="Arial"/>
              </w:rPr>
              <w:t>Realizada esta aclaración</w:t>
            </w:r>
            <w:r w:rsidR="00EF5A16" w:rsidRPr="00D95654">
              <w:rPr>
                <w:rFonts w:ascii="Verdana" w:hAnsi="Verdana" w:cs="Arial"/>
              </w:rPr>
              <w:t xml:space="preserve">, </w:t>
            </w:r>
            <w:r w:rsidR="0050496D" w:rsidRPr="00D95654">
              <w:rPr>
                <w:rFonts w:ascii="Verdana" w:hAnsi="Verdana" w:cs="Arial"/>
              </w:rPr>
              <w:t>y para proporcionar</w:t>
            </w:r>
            <w:r w:rsidR="00286F77" w:rsidRPr="00D95654">
              <w:rPr>
                <w:rFonts w:ascii="Verdana" w:hAnsi="Verdana" w:cs="Arial"/>
              </w:rPr>
              <w:t xml:space="preserve"> respuesta </w:t>
            </w:r>
            <w:r w:rsidR="0050496D" w:rsidRPr="00D95654">
              <w:rPr>
                <w:rFonts w:ascii="Verdana" w:hAnsi="Verdana" w:cs="Arial"/>
              </w:rPr>
              <w:t xml:space="preserve">al problema jurídico </w:t>
            </w:r>
            <w:r w:rsidR="002458D6" w:rsidRPr="00D95654">
              <w:rPr>
                <w:rFonts w:ascii="Verdana" w:hAnsi="Verdana" w:cs="Arial"/>
              </w:rPr>
              <w:t>planteado</w:t>
            </w:r>
            <w:r w:rsidR="0050496D" w:rsidRPr="00D95654">
              <w:rPr>
                <w:rFonts w:ascii="Verdana" w:hAnsi="Verdana" w:cs="Arial"/>
              </w:rPr>
              <w:t xml:space="preserve"> se concluye que</w:t>
            </w:r>
            <w:r w:rsidR="002458D6" w:rsidRPr="00D95654">
              <w:rPr>
                <w:rFonts w:ascii="Verdana" w:hAnsi="Verdana" w:cs="Arial"/>
              </w:rPr>
              <w:t xml:space="preserve"> es</w:t>
            </w:r>
            <w:r w:rsidR="0050496D" w:rsidRPr="00D95654">
              <w:rPr>
                <w:rFonts w:ascii="Verdana" w:hAnsi="Verdana" w:cs="Arial"/>
              </w:rPr>
              <w:t xml:space="preserve"> jurídicamente viable </w:t>
            </w:r>
            <w:r w:rsidR="00B77187" w:rsidRPr="00D95654">
              <w:rPr>
                <w:rFonts w:ascii="Verdana" w:hAnsi="Verdana" w:cs="Arial"/>
              </w:rPr>
              <w:t>adicionar</w:t>
            </w:r>
            <w:r w:rsidR="00DF67A9" w:rsidRPr="00D95654">
              <w:rPr>
                <w:rFonts w:ascii="Verdana" w:hAnsi="Verdana" w:cs="Arial"/>
              </w:rPr>
              <w:t xml:space="preserve">, </w:t>
            </w:r>
            <w:r w:rsidR="00CF55E0" w:rsidRPr="00D95654">
              <w:rPr>
                <w:rFonts w:ascii="Verdana" w:hAnsi="Verdana" w:cs="Arial"/>
              </w:rPr>
              <w:t xml:space="preserve">conforme a lo dispuesto en el </w:t>
            </w:r>
            <w:r w:rsidR="00CF55E0" w:rsidRPr="00D95654">
              <w:rPr>
                <w:rFonts w:ascii="Verdana" w:hAnsi="Verdana" w:cs="Arial"/>
                <w:lang w:val="es-MX"/>
              </w:rPr>
              <w:t>parágrafo del artículo 40 de la Ley 80 de 1993</w:t>
            </w:r>
            <w:r w:rsidR="00DF67A9" w:rsidRPr="00D95654">
              <w:rPr>
                <w:rFonts w:ascii="Verdana" w:hAnsi="Verdana" w:cs="Arial"/>
                <w:lang w:val="es-MX"/>
              </w:rPr>
              <w:t xml:space="preserve">, </w:t>
            </w:r>
            <w:r w:rsidR="00CF55E0" w:rsidRPr="00D95654">
              <w:rPr>
                <w:rFonts w:ascii="Verdana" w:hAnsi="Verdana" w:cs="Arial"/>
                <w:i/>
                <w:iCs/>
                <w:lang w:val="es-MX"/>
              </w:rPr>
              <w:t xml:space="preserve">hasta el cincuenta por ciento (50%) del valor inicial </w:t>
            </w:r>
            <w:r w:rsidR="00B77187" w:rsidRPr="00D95654">
              <w:rPr>
                <w:rFonts w:ascii="Verdana" w:hAnsi="Verdana" w:cs="Arial"/>
              </w:rPr>
              <w:t xml:space="preserve">los contratos </w:t>
            </w:r>
            <w:r w:rsidR="00CA05FF" w:rsidRPr="00D95654">
              <w:rPr>
                <w:rFonts w:ascii="Verdana" w:hAnsi="Verdana" w:cs="Arial"/>
              </w:rPr>
              <w:t xml:space="preserve">estatales </w:t>
            </w:r>
            <w:r w:rsidR="00CA05FF" w:rsidRPr="00D95654">
              <w:rPr>
                <w:rFonts w:ascii="Verdana" w:hAnsi="Verdana" w:cs="Arial"/>
                <w:i/>
                <w:iCs/>
              </w:rPr>
              <w:t>independientemente</w:t>
            </w:r>
            <w:r w:rsidR="00E32D27" w:rsidRPr="00D95654">
              <w:rPr>
                <w:rFonts w:ascii="Verdana" w:hAnsi="Verdana" w:cs="Arial"/>
                <w:i/>
                <w:iCs/>
              </w:rPr>
              <w:t xml:space="preserve"> de la modalidad de selección</w:t>
            </w:r>
            <w:r w:rsidR="00EB11B0" w:rsidRPr="00D95654">
              <w:rPr>
                <w:rFonts w:ascii="Verdana" w:hAnsi="Verdana" w:cs="Arial"/>
              </w:rPr>
              <w:t xml:space="preserve"> o </w:t>
            </w:r>
            <w:r w:rsidR="00E32D27" w:rsidRPr="00D95654">
              <w:rPr>
                <w:rFonts w:ascii="Verdana" w:hAnsi="Verdana" w:cs="Arial"/>
              </w:rPr>
              <w:t>la tipología contractual del negocio jurídico</w:t>
            </w:r>
            <w:r w:rsidR="000E0336" w:rsidRPr="00D95654">
              <w:rPr>
                <w:rFonts w:ascii="Verdana" w:hAnsi="Verdana" w:cs="Arial"/>
              </w:rPr>
              <w:t>.</w:t>
            </w:r>
            <w:r w:rsidR="00CF55E0" w:rsidRPr="00D95654">
              <w:rPr>
                <w:rFonts w:ascii="Verdana" w:hAnsi="Verdana" w:cs="Arial"/>
              </w:rPr>
              <w:t xml:space="preserve"> </w:t>
            </w:r>
            <w:r w:rsidR="00CF55E0" w:rsidRPr="00D95654">
              <w:rPr>
                <w:rFonts w:ascii="Verdana" w:hAnsi="Verdana" w:cs="Arial"/>
                <w:lang w:val="es-MX"/>
              </w:rPr>
              <w:t xml:space="preserve">El límite dispuesto en la norma en </w:t>
            </w:r>
            <w:r w:rsidR="00DF67A9" w:rsidRPr="00D95654">
              <w:rPr>
                <w:rFonts w:ascii="Verdana" w:hAnsi="Verdana" w:cs="Arial"/>
                <w:lang w:val="es-MX"/>
              </w:rPr>
              <w:t>precedencia</w:t>
            </w:r>
            <w:r w:rsidR="00CF55E0" w:rsidRPr="00D95654">
              <w:rPr>
                <w:rFonts w:ascii="Verdana" w:hAnsi="Verdana" w:cs="Arial"/>
                <w:lang w:val="es-MX"/>
              </w:rPr>
              <w:t>, est</w:t>
            </w:r>
            <w:r w:rsidR="00967A1B" w:rsidRPr="00D95654">
              <w:rPr>
                <w:rFonts w:ascii="Verdana" w:hAnsi="Verdana" w:cs="Arial"/>
                <w:lang w:val="es-MX"/>
              </w:rPr>
              <w:t>e</w:t>
            </w:r>
            <w:r w:rsidR="00CF55E0" w:rsidRPr="00D95654">
              <w:rPr>
                <w:rFonts w:ascii="Verdana" w:hAnsi="Verdana" w:cs="Arial"/>
                <w:lang w:val="es-MX"/>
              </w:rPr>
              <w:t xml:space="preserve"> es el del 50%</w:t>
            </w:r>
            <w:r w:rsidR="00DF67A9" w:rsidRPr="00D95654">
              <w:rPr>
                <w:rFonts w:ascii="Verdana" w:hAnsi="Verdana" w:cs="Arial"/>
                <w:lang w:val="es-MX"/>
              </w:rPr>
              <w:t xml:space="preserve">, </w:t>
            </w:r>
            <w:r w:rsidR="00BF52A1" w:rsidRPr="00D95654">
              <w:rPr>
                <w:rFonts w:ascii="Verdana" w:hAnsi="Verdana" w:cs="Arial"/>
                <w:lang w:val="es-MX"/>
              </w:rPr>
              <w:t xml:space="preserve">resulta a bien precisar no </w:t>
            </w:r>
            <w:r w:rsidR="001D7418" w:rsidRPr="00D95654">
              <w:rPr>
                <w:rFonts w:ascii="Verdana" w:hAnsi="Verdana" w:cs="Arial"/>
                <w:lang w:eastAsia="es-ES_tradnl"/>
              </w:rPr>
              <w:t>aplica respecto de las mayores cantidades de obra que deban ejecutarse en el marco de contratos cuya contraprestación se haya pactado bajo la modalidad de precios unitarios.</w:t>
            </w:r>
          </w:p>
        </w:tc>
      </w:tr>
    </w:tbl>
    <w:p w14:paraId="68089219" w14:textId="77777777" w:rsidR="00AE766A" w:rsidRPr="00D95654" w:rsidRDefault="00AE766A" w:rsidP="00AE766A">
      <w:pPr>
        <w:spacing w:after="0"/>
        <w:jc w:val="both"/>
        <w:rPr>
          <w:rFonts w:ascii="Verdana" w:hAnsi="Verdana"/>
          <w:highlight w:val="cyan"/>
        </w:rPr>
      </w:pPr>
    </w:p>
    <w:p w14:paraId="2BD9AE3D" w14:textId="77777777" w:rsidR="00AE766A" w:rsidRPr="00D95654" w:rsidRDefault="00AE766A" w:rsidP="00AE76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95654">
        <w:rPr>
          <w:rFonts w:ascii="Verdana" w:eastAsia="Century Gothic" w:hAnsi="Verdana" w:cs="Century Gothic"/>
          <w:b/>
          <w:bCs/>
        </w:rPr>
        <w:t>Razones de la respuesta:</w:t>
      </w:r>
    </w:p>
    <w:p w14:paraId="58FE15E0" w14:textId="77777777" w:rsidR="00AE766A" w:rsidRPr="00D95654" w:rsidRDefault="00AE766A" w:rsidP="00AE766A">
      <w:pPr>
        <w:spacing w:after="0" w:line="276" w:lineRule="auto"/>
        <w:jc w:val="both"/>
        <w:rPr>
          <w:rFonts w:ascii="Verdana" w:eastAsia="Calibri" w:hAnsi="Verdana" w:cs="Arial"/>
          <w:color w:val="7030A0"/>
          <w:lang w:val="es-ES"/>
        </w:rPr>
      </w:pPr>
    </w:p>
    <w:p w14:paraId="269A29AA" w14:textId="77777777" w:rsidR="00AE766A" w:rsidRPr="00D95654" w:rsidRDefault="00AE766A" w:rsidP="00AE766A">
      <w:pPr>
        <w:spacing w:after="0"/>
        <w:jc w:val="both"/>
        <w:rPr>
          <w:rFonts w:ascii="Verdana" w:eastAsia="Calibri" w:hAnsi="Verdana" w:cs="Arial"/>
          <w:lang w:val="es-ES"/>
        </w:rPr>
      </w:pPr>
      <w:r w:rsidRPr="00D95654">
        <w:rPr>
          <w:rFonts w:ascii="Verdana" w:eastAsia="Calibri" w:hAnsi="Verdana" w:cs="Arial"/>
          <w:lang w:val="es-ES"/>
        </w:rPr>
        <w:t>Lo anterior se sustenta en las siguientes consideraciones:</w:t>
      </w:r>
    </w:p>
    <w:p w14:paraId="6D96DBDB" w14:textId="77777777" w:rsidR="00E952BB" w:rsidRPr="00D95654" w:rsidRDefault="00E952BB" w:rsidP="00AE766A">
      <w:pPr>
        <w:spacing w:after="0"/>
        <w:jc w:val="both"/>
        <w:rPr>
          <w:rFonts w:ascii="Verdana" w:eastAsia="Calibri" w:hAnsi="Verdana" w:cs="Arial"/>
          <w:lang w:val="es-ES"/>
        </w:rPr>
      </w:pPr>
    </w:p>
    <w:p w14:paraId="350B4A70" w14:textId="77777777" w:rsidR="00634E5A" w:rsidRPr="00D95654" w:rsidRDefault="001A596C" w:rsidP="00634E5A">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bCs/>
          <w:szCs w:val="24"/>
          <w:lang w:eastAsia="es-ES_tradnl"/>
        </w:rPr>
        <w:t xml:space="preserve">Como es sabido, uno de los elementos más relevantes en los contratos estatales es el </w:t>
      </w:r>
      <w:r w:rsidRPr="00D95654">
        <w:rPr>
          <w:rFonts w:ascii="Verdana" w:hAnsi="Verdana" w:cs="Arial"/>
          <w:bCs/>
          <w:i/>
          <w:iCs/>
          <w:szCs w:val="24"/>
          <w:lang w:eastAsia="es-ES_tradnl"/>
        </w:rPr>
        <w:t>precio</w:t>
      </w:r>
      <w:r w:rsidRPr="00D95654">
        <w:rPr>
          <w:rFonts w:ascii="Verdana" w:hAnsi="Verdana" w:cs="Arial"/>
          <w:bCs/>
          <w:szCs w:val="24"/>
          <w:lang w:eastAsia="es-ES_tradnl"/>
        </w:rPr>
        <w:t>, también conocido como valor. Adicionalmente, el precio suele ser el elemento más importante para el contratista, porque equivale a la remuneración que la entidad contratante le pagará por la ejecución del objeto contractual</w:t>
      </w:r>
      <w:r w:rsidR="00634E5A" w:rsidRPr="00D95654">
        <w:rPr>
          <w:rFonts w:ascii="Verdana" w:hAnsi="Verdana" w:cs="Arial"/>
          <w:bCs/>
          <w:szCs w:val="24"/>
          <w:lang w:eastAsia="es-ES_tradnl"/>
        </w:rPr>
        <w:t>.</w:t>
      </w:r>
    </w:p>
    <w:p w14:paraId="0CF15AE6" w14:textId="77777777" w:rsidR="00634E5A" w:rsidRPr="00D95654" w:rsidRDefault="00634E5A" w:rsidP="00634E5A">
      <w:pPr>
        <w:pStyle w:val="Prrafodelista"/>
        <w:spacing w:after="120" w:line="276" w:lineRule="auto"/>
        <w:ind w:left="360"/>
        <w:jc w:val="both"/>
        <w:rPr>
          <w:rFonts w:ascii="Verdana" w:hAnsi="Verdana" w:cs="Arial"/>
          <w:bCs/>
          <w:szCs w:val="24"/>
          <w:lang w:eastAsia="es-ES_tradnl"/>
        </w:rPr>
      </w:pPr>
    </w:p>
    <w:p w14:paraId="305772E3" w14:textId="77777777" w:rsidR="00E952BB" w:rsidRPr="00D95654" w:rsidRDefault="00634E5A" w:rsidP="00E952BB">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bCs/>
          <w:szCs w:val="24"/>
          <w:lang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del contrato. Tal metodología </w:t>
      </w:r>
      <w:r w:rsidRPr="00D95654">
        <w:rPr>
          <w:rFonts w:ascii="Verdana" w:hAnsi="Verdana" w:cs="Arial"/>
          <w:bCs/>
          <w:szCs w:val="24"/>
          <w:lang w:eastAsia="es-ES_tradnl"/>
        </w:rPr>
        <w:lastRenderedPageBreak/>
        <w:t>generalmente depende del tipo de contrato, pues hay algunas modalidades más comunes en los de obra pública; otras más utilizadas en los de prestación de servicios y; otras más indicadas para los de concesión, por mencionar algunos ejemplos</w:t>
      </w:r>
      <w:r w:rsidRPr="00D95654">
        <w:rPr>
          <w:rFonts w:ascii="Verdana" w:hAnsi="Verdana"/>
          <w:vertAlign w:val="superscript"/>
          <w:lang w:eastAsia="es-ES_tradnl"/>
        </w:rPr>
        <w:footnoteReference w:id="2"/>
      </w:r>
      <w:r w:rsidRPr="00D95654">
        <w:rPr>
          <w:rFonts w:ascii="Verdana" w:hAnsi="Verdana" w:cs="Arial"/>
          <w:bCs/>
          <w:szCs w:val="24"/>
          <w:lang w:eastAsia="es-ES_tradnl"/>
        </w:rPr>
        <w:t>.</w:t>
      </w:r>
    </w:p>
    <w:p w14:paraId="25DF4D2D" w14:textId="77777777" w:rsidR="00E952BB" w:rsidRPr="00D95654" w:rsidRDefault="00E952BB" w:rsidP="00E952BB">
      <w:pPr>
        <w:pStyle w:val="Prrafodelista"/>
        <w:rPr>
          <w:rFonts w:ascii="Verdana" w:hAnsi="Verdana" w:cs="Arial"/>
          <w:lang w:eastAsia="es-ES"/>
        </w:rPr>
      </w:pPr>
    </w:p>
    <w:p w14:paraId="222E62C9" w14:textId="77777777" w:rsidR="00804130" w:rsidRPr="00D95654" w:rsidRDefault="00E952BB" w:rsidP="00804130">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lang w:eastAsia="es-ES"/>
        </w:rPr>
        <w:t xml:space="preserve">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D95654">
        <w:rPr>
          <w:rFonts w:ascii="Verdana" w:hAnsi="Verdana" w:cs="Arial"/>
          <w:lang w:eastAsia="es-ES"/>
        </w:rPr>
        <w:t>ii</w:t>
      </w:r>
      <w:proofErr w:type="spellEnd"/>
      <w:r w:rsidRPr="00D95654">
        <w:rPr>
          <w:rFonts w:ascii="Verdana" w:hAnsi="Verdana" w:cs="Arial"/>
          <w:lang w:eastAsia="es-ES"/>
        </w:rPr>
        <w:t xml:space="preserve">) el precio global –que equivale al monto total, sin discriminar unidades–; y </w:t>
      </w:r>
      <w:proofErr w:type="spellStart"/>
      <w:r w:rsidRPr="00D95654">
        <w:rPr>
          <w:rFonts w:ascii="Verdana" w:hAnsi="Verdana" w:cs="Arial"/>
          <w:lang w:eastAsia="es-ES"/>
        </w:rPr>
        <w:t>iii</w:t>
      </w:r>
      <w:proofErr w:type="spellEnd"/>
      <w:r w:rsidRPr="00D95654">
        <w:rPr>
          <w:rFonts w:ascii="Verdana" w:hAnsi="Verdana" w:cs="Arial"/>
          <w:lang w:eastAsia="es-ES"/>
        </w:rPr>
        <w:t>) la administración delegada de recursos –en la que se distinguen los costos de inversión de los honorarios del administrador–.</w:t>
      </w:r>
    </w:p>
    <w:p w14:paraId="689076C2" w14:textId="77777777" w:rsidR="00804130" w:rsidRPr="00D95654" w:rsidRDefault="00804130" w:rsidP="00804130">
      <w:pPr>
        <w:pStyle w:val="Prrafodelista"/>
        <w:rPr>
          <w:rFonts w:ascii="Verdana" w:hAnsi="Verdana" w:cs="Arial"/>
          <w:bCs/>
          <w:szCs w:val="24"/>
          <w:lang w:val="es-ES_tradnl" w:eastAsia="es-ES_tradnl"/>
        </w:rPr>
      </w:pPr>
    </w:p>
    <w:p w14:paraId="6292F025" w14:textId="77777777" w:rsidR="00B025A8" w:rsidRPr="00D95654" w:rsidRDefault="00804130" w:rsidP="00B025A8">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bCs/>
          <w:szCs w:val="24"/>
          <w:lang w:val="es-ES_tradnl" w:eastAsia="es-ES_tradnl"/>
        </w:rPr>
        <w:t xml:space="preserve">En este orden de ideas, tanto las entidades sometidas al Estatuto General de Contratación de la Administración Pública – EGCAP –, como las excluidas de este –es decir, las que tienen un régimen especial– gozan de autonomía para configurar el precio y para establecer el sistema de pago más apropiado para satisfacer los fines de la contratación, respetando los límites previstos en el </w:t>
      </w:r>
      <w:r w:rsidRPr="00D95654">
        <w:rPr>
          <w:rFonts w:ascii="Verdana" w:hAnsi="Verdana" w:cs="Arial"/>
          <w:bCs/>
          <w:szCs w:val="24"/>
          <w:lang w:val="es-ES_tradnl" w:eastAsia="es-ES_tradnl"/>
        </w:rPr>
        <w:lastRenderedPageBreak/>
        <w:t>ordenamiento. Para las entidades que se rigen por el EGCAP, tal autonomía está reconocida en los artículos 13, 32 y 40 de la Ley 80 de 1993.</w:t>
      </w:r>
    </w:p>
    <w:p w14:paraId="3A13A6E4" w14:textId="77777777" w:rsidR="00B025A8" w:rsidRPr="00D95654" w:rsidRDefault="00B025A8" w:rsidP="00B025A8">
      <w:pPr>
        <w:pStyle w:val="Prrafodelista"/>
        <w:rPr>
          <w:rFonts w:ascii="Verdana" w:hAnsi="Verdana" w:cs="Arial"/>
          <w:lang w:val="es-ES_tradnl" w:eastAsia="es-ES_tradnl"/>
        </w:rPr>
      </w:pPr>
    </w:p>
    <w:p w14:paraId="62CA66F4" w14:textId="77777777" w:rsidR="0075238E" w:rsidRPr="00D95654" w:rsidRDefault="00B025A8" w:rsidP="0075238E">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lang w:val="es-ES_tradnl" w:eastAsia="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w:t>
      </w:r>
      <w:r w:rsidR="00C506B5" w:rsidRPr="00D95654">
        <w:rPr>
          <w:rFonts w:ascii="Verdana" w:hAnsi="Verdana" w:cs="Arial"/>
          <w:lang w:val="es-ES_tradnl" w:eastAsia="es-ES_tradnl"/>
        </w:rPr>
        <w:t>“</w:t>
      </w:r>
      <w:r w:rsidRPr="00D95654">
        <w:rPr>
          <w:rFonts w:ascii="Verdana" w:hAnsi="Verdana" w:cs="Arial"/>
          <w:lang w:val="es-ES_tradnl" w:eastAsia="es-ES_tradnl"/>
        </w:rPr>
        <w:t>mayores cantidades de obra</w:t>
      </w:r>
      <w:r w:rsidR="00C506B5" w:rsidRPr="00D95654">
        <w:rPr>
          <w:rFonts w:ascii="Verdana" w:hAnsi="Verdana" w:cs="Arial"/>
          <w:lang w:val="es-ES_tradnl" w:eastAsia="es-ES_tradnl"/>
        </w:rPr>
        <w:t>”</w:t>
      </w:r>
      <w:r w:rsidRPr="00D95654">
        <w:rPr>
          <w:rFonts w:ascii="Verdana" w:hAnsi="Verdana" w:cs="Arial"/>
          <w:lang w:val="es-ES_tradnl" w:eastAsia="es-ES_tradnl"/>
        </w:rPr>
        <w:t xml:space="preserve">, </w:t>
      </w:r>
      <w:r w:rsidR="00C506B5" w:rsidRPr="00D95654">
        <w:rPr>
          <w:rFonts w:ascii="Verdana" w:hAnsi="Verdana" w:cs="Arial"/>
          <w:lang w:val="es-ES_tradnl" w:eastAsia="es-ES_tradnl"/>
        </w:rPr>
        <w:t>“</w:t>
      </w:r>
      <w:r w:rsidRPr="00D95654">
        <w:rPr>
          <w:rFonts w:ascii="Verdana" w:hAnsi="Verdana" w:cs="Arial"/>
          <w:lang w:val="es-ES_tradnl" w:eastAsia="es-ES_tradnl"/>
        </w:rPr>
        <w:t>obras adicionales</w:t>
      </w:r>
      <w:r w:rsidR="00C506B5" w:rsidRPr="00D95654">
        <w:rPr>
          <w:rFonts w:ascii="Verdana" w:hAnsi="Verdana" w:cs="Arial"/>
          <w:lang w:val="es-ES_tradnl" w:eastAsia="es-ES_tradnl"/>
        </w:rPr>
        <w:t>”</w:t>
      </w:r>
      <w:r w:rsidRPr="00D95654">
        <w:rPr>
          <w:rFonts w:ascii="Verdana" w:hAnsi="Verdana" w:cs="Arial"/>
          <w:lang w:val="es-ES_tradnl" w:eastAsia="es-ES_tradnl"/>
        </w:rPr>
        <w:t xml:space="preserve"> o adición de </w:t>
      </w:r>
      <w:r w:rsidR="00C506B5" w:rsidRPr="00D95654">
        <w:rPr>
          <w:rFonts w:ascii="Verdana" w:hAnsi="Verdana" w:cs="Arial"/>
          <w:lang w:val="es-ES_tradnl" w:eastAsia="es-ES_tradnl"/>
        </w:rPr>
        <w:t>“</w:t>
      </w:r>
      <w:r w:rsidRPr="00D95654">
        <w:rPr>
          <w:rFonts w:ascii="Verdana" w:hAnsi="Verdana" w:cs="Arial"/>
          <w:lang w:val="es-ES_tradnl" w:eastAsia="es-ES_tradnl"/>
        </w:rPr>
        <w:t>ítems contractuales</w:t>
      </w:r>
      <w:r w:rsidR="00C506B5" w:rsidRPr="00D95654">
        <w:rPr>
          <w:rFonts w:ascii="Verdana" w:hAnsi="Verdana" w:cs="Arial"/>
          <w:lang w:val="es-ES_tradnl" w:eastAsia="es-ES_tradnl"/>
        </w:rPr>
        <w:t>”</w:t>
      </w:r>
      <w:r w:rsidRPr="00D95654">
        <w:rPr>
          <w:rFonts w:ascii="Verdana" w:hAnsi="Verdana" w:cs="Arial"/>
          <w:lang w:val="es-ES_tradnl" w:eastAsia="es-ES_tradnl"/>
        </w:rPr>
        <w:t xml:space="preserve">; y ii) la necesidad de ampliar las prestaciones contractuales, mediante la ejecución de nuevos ítems o actividades, no incluidos en el contrato inicial, para lo que en la práctica las entidades ejecutan </w:t>
      </w:r>
      <w:r w:rsidR="00C506B5" w:rsidRPr="00D95654">
        <w:rPr>
          <w:rFonts w:ascii="Verdana" w:hAnsi="Verdana" w:cs="Arial"/>
          <w:lang w:val="es-ES_tradnl" w:eastAsia="es-ES_tradnl"/>
        </w:rPr>
        <w:t>“</w:t>
      </w:r>
      <w:r w:rsidRPr="00D95654">
        <w:rPr>
          <w:rFonts w:ascii="Verdana" w:hAnsi="Verdana" w:cs="Arial"/>
          <w:lang w:val="es-ES_tradnl" w:eastAsia="es-ES_tradnl"/>
        </w:rPr>
        <w:t>obras extra</w:t>
      </w:r>
      <w:r w:rsidR="00C506B5" w:rsidRPr="00D95654">
        <w:rPr>
          <w:rFonts w:ascii="Verdana" w:hAnsi="Verdana" w:cs="Arial"/>
          <w:lang w:val="es-ES_tradnl" w:eastAsia="es-ES_tradnl"/>
        </w:rPr>
        <w:t>”</w:t>
      </w:r>
      <w:r w:rsidRPr="00D95654">
        <w:rPr>
          <w:rFonts w:ascii="Verdana" w:hAnsi="Verdana" w:cs="Arial"/>
          <w:lang w:val="es-ES_tradnl" w:eastAsia="es-ES_tradnl"/>
        </w:rPr>
        <w:t xml:space="preserve"> o </w:t>
      </w:r>
      <w:r w:rsidR="00C506B5" w:rsidRPr="00D95654">
        <w:rPr>
          <w:rFonts w:ascii="Verdana" w:hAnsi="Verdana" w:cs="Arial"/>
          <w:lang w:val="es-ES_tradnl" w:eastAsia="es-ES_tradnl"/>
        </w:rPr>
        <w:t>“</w:t>
      </w:r>
      <w:r w:rsidRPr="00D95654">
        <w:rPr>
          <w:rFonts w:ascii="Verdana" w:hAnsi="Verdana" w:cs="Arial"/>
          <w:lang w:val="es-ES_tradnl" w:eastAsia="es-ES_tradnl"/>
        </w:rPr>
        <w:t>amplían el alcance</w:t>
      </w:r>
      <w:r w:rsidR="00C506B5" w:rsidRPr="00D95654">
        <w:rPr>
          <w:rFonts w:ascii="Verdana" w:hAnsi="Verdana" w:cs="Arial"/>
          <w:lang w:val="es-ES_tradnl" w:eastAsia="es-ES_tradnl"/>
        </w:rPr>
        <w:t>”</w:t>
      </w:r>
      <w:r w:rsidRPr="00D95654">
        <w:rPr>
          <w:rFonts w:ascii="Verdana" w:hAnsi="Verdana" w:cs="Arial"/>
          <w:lang w:val="es-ES_tradnl" w:eastAsia="es-ES_tradnl"/>
        </w:rPr>
        <w:t xml:space="preserve"> del contrato mediante la celebración de un </w:t>
      </w:r>
      <w:r w:rsidR="00C506B5" w:rsidRPr="00D95654">
        <w:rPr>
          <w:rFonts w:ascii="Verdana" w:hAnsi="Verdana" w:cs="Arial"/>
          <w:lang w:val="es-ES_tradnl" w:eastAsia="es-ES_tradnl"/>
        </w:rPr>
        <w:t>“</w:t>
      </w:r>
      <w:r w:rsidRPr="00D95654">
        <w:rPr>
          <w:rFonts w:ascii="Verdana" w:hAnsi="Verdana" w:cs="Arial"/>
          <w:lang w:val="es-ES_tradnl" w:eastAsia="es-ES_tradnl"/>
        </w:rPr>
        <w:t>contrato adicional</w:t>
      </w:r>
      <w:r w:rsidR="00C506B5" w:rsidRPr="00D95654">
        <w:rPr>
          <w:rFonts w:ascii="Verdana" w:hAnsi="Verdana" w:cs="Arial"/>
          <w:lang w:val="es-ES_tradnl" w:eastAsia="es-ES_tradnl"/>
        </w:rPr>
        <w:t>”</w:t>
      </w:r>
      <w:r w:rsidRPr="00D95654">
        <w:rPr>
          <w:rFonts w:ascii="Verdana" w:hAnsi="Verdana" w:cs="Arial"/>
          <w:lang w:val="es-ES_tradnl" w:eastAsia="es-ES_tradnl"/>
        </w:rPr>
        <w:t xml:space="preserve">. </w:t>
      </w:r>
    </w:p>
    <w:p w14:paraId="09DC7C01" w14:textId="77777777" w:rsidR="0075238E" w:rsidRPr="00D95654" w:rsidRDefault="0075238E" w:rsidP="0075238E">
      <w:pPr>
        <w:pStyle w:val="Prrafodelista"/>
        <w:rPr>
          <w:rFonts w:ascii="Verdana" w:hAnsi="Verdana" w:cs="Arial"/>
          <w:lang w:eastAsia="es-ES_tradnl"/>
        </w:rPr>
      </w:pPr>
    </w:p>
    <w:p w14:paraId="78A571A7" w14:textId="77777777" w:rsidR="00DC1B1D" w:rsidRPr="00D95654" w:rsidRDefault="0075238E" w:rsidP="00DC1B1D">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lang w:eastAsia="es-ES_tradnl"/>
        </w:rPr>
        <w:t>Este último término tiene origen en el artículo 58 del Decreto-Ley 222 de 1983</w:t>
      </w:r>
      <w:r w:rsidRPr="00D95654">
        <w:rPr>
          <w:rStyle w:val="Refdenotaalpie"/>
          <w:rFonts w:ascii="Verdana" w:hAnsi="Verdana" w:cs="Arial"/>
          <w:lang w:eastAsia="es-ES_tradnl"/>
        </w:rPr>
        <w:footnoteReference w:id="3"/>
      </w:r>
      <w:r w:rsidRPr="00D95654">
        <w:rPr>
          <w:rFonts w:ascii="Verdana" w:hAnsi="Verdana" w:cs="Arial"/>
          <w:lang w:eastAsia="es-ES_tradnl"/>
        </w:rPr>
        <w:t xml:space="preserve">, el cual establecía el “contrato adicional” como el mecanismo a utilizar 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w:t>
      </w:r>
      <w:bookmarkStart w:id="1" w:name="_Hlk176963734"/>
      <w:r w:rsidRPr="00D95654">
        <w:rPr>
          <w:rFonts w:ascii="Verdana" w:hAnsi="Verdana" w:cs="Arial"/>
          <w:lang w:eastAsia="es-ES_tradnl"/>
        </w:rPr>
        <w:t xml:space="preserve">la posibilidad de adicionar valor de los contratos estatales dentro </w:t>
      </w:r>
      <w:r w:rsidRPr="00D95654">
        <w:rPr>
          <w:rFonts w:ascii="Verdana" w:hAnsi="Verdana" w:cs="Arial"/>
          <w:lang w:eastAsia="es-ES_tradnl"/>
        </w:rPr>
        <w:lastRenderedPageBreak/>
        <w:t>de un límite dado por el cincuenta por ciento (50%) de su valor inicial expresado</w:t>
      </w:r>
      <w:bookmarkEnd w:id="1"/>
      <w:r w:rsidRPr="00D95654">
        <w:rPr>
          <w:rFonts w:ascii="Verdana" w:hAnsi="Verdana" w:cs="Arial"/>
          <w:lang w:eastAsia="es-ES_tradnl"/>
        </w:rPr>
        <w:t>, pero sin establecer una limitación expresa sobre otros elementos sobre los que recae la adición</w:t>
      </w:r>
      <w:r w:rsidRPr="00D95654">
        <w:rPr>
          <w:rStyle w:val="Refdenotaalpie"/>
          <w:rFonts w:ascii="Verdana" w:hAnsi="Verdana" w:cs="Arial"/>
          <w:lang w:eastAsia="es-ES_tradnl"/>
        </w:rPr>
        <w:footnoteReference w:id="4"/>
      </w:r>
      <w:r w:rsidRPr="00D95654">
        <w:rPr>
          <w:rFonts w:ascii="Verdana" w:hAnsi="Verdana" w:cs="Arial"/>
          <w:lang w:eastAsia="es-ES_tradnl"/>
        </w:rPr>
        <w:t>.</w:t>
      </w:r>
    </w:p>
    <w:p w14:paraId="7E0614D7" w14:textId="77777777" w:rsidR="00DC1B1D" w:rsidRPr="00D95654" w:rsidRDefault="00DC1B1D" w:rsidP="00DC1B1D">
      <w:pPr>
        <w:pStyle w:val="Prrafodelista"/>
        <w:rPr>
          <w:rFonts w:ascii="Verdana" w:hAnsi="Verdana"/>
        </w:rPr>
      </w:pPr>
    </w:p>
    <w:p w14:paraId="49C086C9" w14:textId="77777777" w:rsidR="000C210E" w:rsidRPr="00D95654" w:rsidRDefault="00DC1B1D" w:rsidP="000C210E">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rPr>
        <w:t>Así, e</w:t>
      </w:r>
      <w:r w:rsidRPr="00D95654">
        <w:rPr>
          <w:rFonts w:ascii="Verdana" w:eastAsia="Arial" w:hAnsi="Verdana" w:cs="Arial"/>
          <w:lang w:eastAsia="es-ES" w:bidi="es-ES"/>
        </w:rPr>
        <w:t>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No obstante, es posible que, durante la ejecución del contrato, se evidencie la necesidad de suscribir documentos de modificación en los cuales se cambie parte de las estipulaciones pactadas en un comienzo, para lograr su finalidad y en aras de la realización de los fines del Estado, a los cuales sirve el contrato.</w:t>
      </w:r>
    </w:p>
    <w:p w14:paraId="79FFBB76" w14:textId="77777777" w:rsidR="000C210E" w:rsidRPr="00D95654" w:rsidRDefault="000C210E" w:rsidP="000C210E">
      <w:pPr>
        <w:pStyle w:val="Prrafodelista"/>
        <w:rPr>
          <w:rFonts w:ascii="Verdana" w:eastAsia="Arial" w:hAnsi="Verdana" w:cs="Arial"/>
          <w:lang w:eastAsia="es-ES" w:bidi="es-ES"/>
        </w:rPr>
      </w:pPr>
    </w:p>
    <w:p w14:paraId="7D9EA4F9" w14:textId="77777777" w:rsidR="00A240DB" w:rsidRPr="00D95654" w:rsidRDefault="000C210E" w:rsidP="00A240DB">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eastAsia="Arial" w:hAnsi="Verdana" w:cs="Arial"/>
          <w:lang w:eastAsia="es-ES" w:bidi="es-ES"/>
        </w:rPr>
        <w:t xml:space="preserve">El Estatuto General de Contratación de la Administración Pública – en adelante EGCAP –, contenido en las Leyes 80 de 1993, 1150 de 2007 y 1474 de 2011, así como en las normas que las han modificado y las reglamentan, no consagra una regulación expresa sobre la posibilidad de modificar los contratos celebrados por las Entidades Estatales. De igual forma, tampoco existe ninguna restricción expresa para modificar los contratos estatales. La regulación expresa contenida en el ordenamiento jurídico se limita a fijar los porcentajes límite para adicionar los valores inicialmente pactados, como lo hace el artículo 40 de la Ley 80 de 1993, el cual dispone que, </w:t>
      </w:r>
      <w:r w:rsidRPr="00D95654">
        <w:rPr>
          <w:rFonts w:ascii="Verdana" w:hAnsi="Verdana" w:cs="Arial"/>
        </w:rPr>
        <w:t>los contratos no podrán adicionarse en más del cincuenta por ciento (50%) de su valor inicial, expresado en SMLMV.</w:t>
      </w:r>
    </w:p>
    <w:p w14:paraId="4A2BE329" w14:textId="77777777" w:rsidR="00A240DB" w:rsidRPr="00D95654" w:rsidRDefault="00A240DB" w:rsidP="00A240DB">
      <w:pPr>
        <w:pStyle w:val="Prrafodelista"/>
        <w:rPr>
          <w:rFonts w:ascii="Verdana" w:hAnsi="Verdana" w:cs="Arial"/>
          <w:szCs w:val="24"/>
          <w:lang w:eastAsia="es-ES_tradnl"/>
        </w:rPr>
      </w:pPr>
    </w:p>
    <w:p w14:paraId="5C9784AC" w14:textId="137C2C00" w:rsidR="00CF17BA" w:rsidRPr="00D95654" w:rsidRDefault="00A240DB" w:rsidP="00CF17BA">
      <w:pPr>
        <w:pStyle w:val="Prrafodelista"/>
        <w:numPr>
          <w:ilvl w:val="0"/>
          <w:numId w:val="21"/>
        </w:numPr>
        <w:spacing w:after="120" w:line="276" w:lineRule="auto"/>
        <w:jc w:val="both"/>
        <w:rPr>
          <w:rFonts w:ascii="Verdana" w:hAnsi="Verdana" w:cs="Arial"/>
          <w:bCs/>
          <w:szCs w:val="24"/>
          <w:lang w:eastAsia="es-ES_tradnl"/>
        </w:rPr>
      </w:pPr>
      <w:r w:rsidRPr="00D95654">
        <w:rPr>
          <w:rFonts w:ascii="Verdana" w:hAnsi="Verdana" w:cs="Arial"/>
          <w:szCs w:val="24"/>
          <w:lang w:eastAsia="es-ES_tradnl"/>
        </w:rPr>
        <w:t>La Agencia Nacional de Contratación Pública – Colombia Compra Eficiente, en conceptos como el C-062 del 25 de marzo de 2020, C-100 del 27 de marzo de 2020, C-318 del 28 de mayo de 2020, C–452 del 28 de julio de 2020,</w:t>
      </w:r>
      <w:r w:rsidRPr="00D95654">
        <w:rPr>
          <w:rFonts w:ascii="Verdana" w:hAnsi="Verdana" w:cs="Arial"/>
          <w:bCs/>
          <w:szCs w:val="24"/>
          <w:lang w:eastAsia="es-ES_tradnl"/>
        </w:rPr>
        <w:t xml:space="preserve"> C-560 del 24 de agosto de 2020, C-628 del 23 de septiembre del 2020,</w:t>
      </w:r>
      <w:r w:rsidRPr="00D95654">
        <w:rPr>
          <w:rFonts w:ascii="Verdana" w:hAnsi="Verdana" w:cs="Arial"/>
          <w:szCs w:val="24"/>
          <w:lang w:eastAsia="es-ES_tradnl"/>
        </w:rPr>
        <w:t xml:space="preserve"> C-750 del 21 de diciembre de 2020,</w:t>
      </w:r>
      <w:r w:rsidRPr="00D95654">
        <w:rPr>
          <w:rFonts w:ascii="Verdana" w:hAnsi="Verdana" w:cs="Arial"/>
          <w:bCs/>
          <w:szCs w:val="24"/>
          <w:lang w:eastAsia="es-ES_tradnl"/>
        </w:rPr>
        <w:t xml:space="preserve"> C-073 de 16 de marzo de 2021, C-277 de 21 de junio de 2021, C-644 de 18 de noviembre de 2021, C-755 de 21 de enero </w:t>
      </w:r>
      <w:r w:rsidRPr="00D95654">
        <w:rPr>
          <w:rFonts w:ascii="Verdana" w:hAnsi="Verdana" w:cs="Arial"/>
          <w:bCs/>
          <w:szCs w:val="24"/>
          <w:lang w:eastAsia="es-ES_tradnl"/>
        </w:rPr>
        <w:lastRenderedPageBreak/>
        <w:t>de 2022, C-152 de 1 de abril de 2022, C-267 de 5 de mayo de 2022, C-432 de 13 de julio de 2022, C-630 del 29 de septiembre de 2022, C-784 del 21 de noviembre de 2022, C-202 del 31 de julio de 2024</w:t>
      </w:r>
      <w:r w:rsidR="003663F9" w:rsidRPr="00D95654">
        <w:rPr>
          <w:rFonts w:ascii="Verdana" w:hAnsi="Verdana" w:cs="Arial"/>
          <w:bCs/>
          <w:szCs w:val="24"/>
          <w:lang w:eastAsia="es-ES_tradnl"/>
        </w:rPr>
        <w:t xml:space="preserve">, </w:t>
      </w:r>
      <w:r w:rsidRPr="00D95654">
        <w:rPr>
          <w:rFonts w:ascii="Verdana" w:hAnsi="Verdana" w:cs="Arial"/>
          <w:szCs w:val="24"/>
          <w:lang w:eastAsia="es-ES_tradnl"/>
        </w:rPr>
        <w:t xml:space="preserve">estudió asuntos relacionados con la adición de los contratos estatales. En la doctrina expuesta en dichos conceptos esta Agencia ha sostenido respecto del artículo 40 de la Ley 50 de 1993 lo siguiente: </w:t>
      </w:r>
    </w:p>
    <w:p w14:paraId="7B8790B5" w14:textId="77777777" w:rsidR="00CF17BA" w:rsidRPr="00D95654" w:rsidRDefault="00CF17BA" w:rsidP="00CF17BA">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14:paraId="5B504EE5" w14:textId="77777777" w:rsidR="004C4031" w:rsidRPr="00D95654" w:rsidRDefault="004C4031" w:rsidP="004C4031">
      <w:pPr>
        <w:spacing w:after="120" w:line="276" w:lineRule="auto"/>
        <w:jc w:val="both"/>
        <w:rPr>
          <w:rFonts w:ascii="Verdana" w:hAnsi="Verdana" w:cs="Arial"/>
          <w:szCs w:val="24"/>
          <w:lang w:eastAsia="es-ES_tradnl"/>
        </w:rPr>
      </w:pPr>
    </w:p>
    <w:p w14:paraId="1E5A9AE1" w14:textId="77777777" w:rsidR="00E27FD9" w:rsidRPr="00D95654" w:rsidRDefault="004C4031" w:rsidP="00E27FD9">
      <w:pPr>
        <w:pStyle w:val="Prrafodelista"/>
        <w:numPr>
          <w:ilvl w:val="0"/>
          <w:numId w:val="22"/>
        </w:numPr>
        <w:spacing w:after="120" w:line="276" w:lineRule="auto"/>
        <w:jc w:val="both"/>
        <w:rPr>
          <w:rFonts w:ascii="Verdana" w:hAnsi="Verdana" w:cs="Arial"/>
          <w:szCs w:val="24"/>
          <w:lang w:val="es-CO" w:eastAsia="es-ES_tradnl"/>
        </w:rPr>
      </w:pPr>
      <w:r w:rsidRPr="00D95654">
        <w:rPr>
          <w:rFonts w:ascii="Verdana" w:hAnsi="Verdana" w:cs="Arial"/>
          <w:szCs w:val="24"/>
          <w:lang w:eastAsia="es-ES_tradnl"/>
        </w:rPr>
        <w:t xml:space="preserve">La postura expuesta previamente por la Subdirección de Gestión Contractual, en torno al tope de la adición de los contratos, no ha sido pacifica, por el contrario, ni la doctrina ni la jurisprudencia del Consejo de Estado han sido uniformes en la caracterización de las figuras. En razón a ello, resulta relevante, exponer las diferentes posturas en relación con el tope establecido para adicionar los contratos, especialmente, frente a aquellos en los que el precio se ha pactado bajo la modalidad de precios unitarios. </w:t>
      </w:r>
    </w:p>
    <w:p w14:paraId="7D4FBCA8" w14:textId="77777777" w:rsidR="00E27FD9" w:rsidRPr="00D95654" w:rsidRDefault="00E27FD9" w:rsidP="00E27FD9">
      <w:pPr>
        <w:pStyle w:val="Prrafodelista"/>
        <w:spacing w:after="120" w:line="276" w:lineRule="auto"/>
        <w:ind w:left="360"/>
        <w:jc w:val="both"/>
        <w:rPr>
          <w:rFonts w:ascii="Verdana" w:hAnsi="Verdana" w:cs="Arial"/>
          <w:szCs w:val="24"/>
          <w:lang w:val="es-CO" w:eastAsia="es-ES_tradnl"/>
        </w:rPr>
      </w:pPr>
    </w:p>
    <w:p w14:paraId="6C6CB436" w14:textId="77777777" w:rsidR="00E27FD9" w:rsidRPr="00D95654" w:rsidRDefault="00225FD2" w:rsidP="00E27FD9">
      <w:pPr>
        <w:pStyle w:val="Prrafodelista"/>
        <w:numPr>
          <w:ilvl w:val="0"/>
          <w:numId w:val="22"/>
        </w:numPr>
        <w:spacing w:after="120" w:line="276" w:lineRule="auto"/>
        <w:jc w:val="both"/>
        <w:rPr>
          <w:rFonts w:ascii="Verdana" w:hAnsi="Verdana" w:cs="Arial"/>
          <w:szCs w:val="24"/>
          <w:lang w:val="es-CO" w:eastAsia="es-ES_tradnl"/>
        </w:rPr>
      </w:pPr>
      <w:r w:rsidRPr="00D95654">
        <w:rPr>
          <w:rFonts w:ascii="Verdana" w:hAnsi="Verdana" w:cs="Arial"/>
          <w:szCs w:val="24"/>
          <w:lang w:eastAsia="es-ES_tradnl"/>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r w:rsidR="00E27FD9" w:rsidRPr="00D95654">
        <w:rPr>
          <w:rFonts w:ascii="Verdana" w:hAnsi="Verdana" w:cs="Arial"/>
          <w:szCs w:val="24"/>
          <w:lang w:eastAsia="es-ES_tradnl"/>
        </w:rPr>
        <w:t>.</w:t>
      </w:r>
    </w:p>
    <w:p w14:paraId="214A60C6" w14:textId="77777777" w:rsidR="00E27FD9" w:rsidRPr="00D95654" w:rsidRDefault="00E27FD9" w:rsidP="00E27FD9">
      <w:pPr>
        <w:pStyle w:val="Prrafodelista"/>
        <w:rPr>
          <w:rFonts w:ascii="Verdana" w:hAnsi="Verdana" w:cs="Arial"/>
          <w:szCs w:val="24"/>
          <w:lang w:eastAsia="es-ES_tradnl"/>
        </w:rPr>
      </w:pPr>
    </w:p>
    <w:p w14:paraId="1BFBC550" w14:textId="77777777" w:rsidR="00E27FD9" w:rsidRPr="00D95654" w:rsidRDefault="00225FD2" w:rsidP="00E27FD9">
      <w:pPr>
        <w:pStyle w:val="Prrafodelista"/>
        <w:numPr>
          <w:ilvl w:val="0"/>
          <w:numId w:val="22"/>
        </w:numPr>
        <w:spacing w:after="120" w:line="276" w:lineRule="auto"/>
        <w:jc w:val="both"/>
        <w:rPr>
          <w:rFonts w:ascii="Verdana" w:hAnsi="Verdana" w:cs="Arial"/>
          <w:szCs w:val="24"/>
          <w:lang w:val="es-CO" w:eastAsia="es-ES_tradnl"/>
        </w:rPr>
      </w:pPr>
      <w:r w:rsidRPr="00D95654">
        <w:rPr>
          <w:rFonts w:ascii="Verdana" w:hAnsi="Verdana" w:cs="Arial"/>
          <w:szCs w:val="24"/>
          <w:lang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24CD4357" w14:textId="77777777" w:rsidR="00E27FD9" w:rsidRPr="00D95654" w:rsidRDefault="00E27FD9" w:rsidP="00E27FD9">
      <w:pPr>
        <w:pStyle w:val="Prrafodelista"/>
        <w:rPr>
          <w:rFonts w:ascii="Verdana" w:hAnsi="Verdana" w:cs="Arial"/>
          <w:szCs w:val="24"/>
          <w:lang w:eastAsia="es-ES_tradnl"/>
        </w:rPr>
      </w:pPr>
    </w:p>
    <w:p w14:paraId="2C3F50AB" w14:textId="47301E00" w:rsidR="00225FD2" w:rsidRPr="00D95654" w:rsidRDefault="00225FD2" w:rsidP="00E27FD9">
      <w:pPr>
        <w:pStyle w:val="Prrafodelista"/>
        <w:numPr>
          <w:ilvl w:val="0"/>
          <w:numId w:val="22"/>
        </w:numPr>
        <w:spacing w:after="120" w:line="276" w:lineRule="auto"/>
        <w:jc w:val="both"/>
        <w:rPr>
          <w:rFonts w:ascii="Verdana" w:hAnsi="Verdana" w:cs="Arial"/>
          <w:szCs w:val="24"/>
          <w:lang w:val="es-CO" w:eastAsia="es-ES_tradnl"/>
        </w:rPr>
      </w:pPr>
      <w:r w:rsidRPr="00D95654">
        <w:rPr>
          <w:rFonts w:ascii="Verdana" w:hAnsi="Verdana" w:cs="Arial"/>
          <w:szCs w:val="24"/>
          <w:lang w:eastAsia="es-ES_tradnl"/>
        </w:rPr>
        <w:t>La postura anterior se sintetiza en el siguiente concepto de la Sala de Consulta y Servicio Civil del Consejo de Estado:</w:t>
      </w:r>
    </w:p>
    <w:p w14:paraId="140677E8" w14:textId="77777777" w:rsidR="00225FD2" w:rsidRPr="00D95654" w:rsidRDefault="00225FD2" w:rsidP="00225FD2">
      <w:pPr>
        <w:spacing w:after="0" w:line="276" w:lineRule="auto"/>
        <w:ind w:firstLine="709"/>
        <w:jc w:val="both"/>
        <w:rPr>
          <w:rFonts w:ascii="Verdana" w:hAnsi="Verdana" w:cs="Arial"/>
          <w:szCs w:val="24"/>
          <w:lang w:eastAsia="es-ES_tradnl"/>
        </w:rPr>
      </w:pPr>
    </w:p>
    <w:p w14:paraId="5732B335"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4F11CD5F"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79009C89"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Por lo mismo, no se trata de que exista un «cambio» o «adición» en el contrato, sino de la aplicación de las reglas contractuales previamente determinadas en el contrato original. Es una operación matemática y no más.</w:t>
      </w:r>
    </w:p>
    <w:p w14:paraId="27822A9C"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47A95972"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D95654">
        <w:rPr>
          <w:rFonts w:ascii="Verdana" w:hAnsi="Verdana" w:cs="Arial"/>
          <w:sz w:val="20"/>
          <w:szCs w:val="20"/>
          <w:vertAlign w:val="superscript"/>
          <w:lang w:eastAsia="es-ES_tradnl"/>
        </w:rPr>
        <w:footnoteReference w:id="5"/>
      </w:r>
      <w:r w:rsidRPr="00D95654">
        <w:rPr>
          <w:rFonts w:ascii="Verdana" w:hAnsi="Verdana" w:cs="Arial"/>
          <w:sz w:val="20"/>
          <w:szCs w:val="20"/>
          <w:lang w:eastAsia="es-ES_tradnl"/>
        </w:rPr>
        <w:t>.</w:t>
      </w:r>
    </w:p>
    <w:p w14:paraId="7BA75ED6" w14:textId="77777777" w:rsidR="00E27FD9" w:rsidRPr="00D95654" w:rsidRDefault="00E27FD9" w:rsidP="00E27FD9">
      <w:pPr>
        <w:spacing w:after="0" w:line="276" w:lineRule="auto"/>
        <w:jc w:val="both"/>
        <w:rPr>
          <w:rFonts w:ascii="Verdana" w:hAnsi="Verdana" w:cs="Arial"/>
          <w:szCs w:val="24"/>
          <w:lang w:eastAsia="es-ES_tradnl"/>
        </w:rPr>
      </w:pPr>
    </w:p>
    <w:p w14:paraId="16D771E7" w14:textId="37D18350" w:rsidR="00225FD2" w:rsidRPr="00D95654" w:rsidRDefault="00225FD2" w:rsidP="00E27FD9">
      <w:pPr>
        <w:pStyle w:val="Prrafodelista"/>
        <w:numPr>
          <w:ilvl w:val="0"/>
          <w:numId w:val="24"/>
        </w:numPr>
        <w:spacing w:after="0" w:line="276" w:lineRule="auto"/>
        <w:jc w:val="both"/>
        <w:rPr>
          <w:rFonts w:ascii="Verdana" w:hAnsi="Verdana" w:cs="Arial"/>
          <w:szCs w:val="24"/>
          <w:lang w:eastAsia="es-ES_tradnl"/>
        </w:rPr>
      </w:pPr>
      <w:r w:rsidRPr="00D95654">
        <w:rPr>
          <w:rFonts w:ascii="Verdana" w:hAnsi="Verdana" w:cs="Arial"/>
          <w:szCs w:val="24"/>
          <w:lang w:eastAsia="es-ES_tradnl"/>
        </w:rPr>
        <w:t>La postura anterior también es defendida por cierto sector de la doctrina</w:t>
      </w:r>
      <w:r w:rsidRPr="00D95654">
        <w:rPr>
          <w:rFonts w:ascii="Verdana" w:hAnsi="Verdana"/>
          <w:vertAlign w:val="superscript"/>
          <w:lang w:eastAsia="es-ES_tradnl"/>
        </w:rPr>
        <w:footnoteReference w:id="6"/>
      </w:r>
      <w:r w:rsidRPr="00D95654">
        <w:rPr>
          <w:rFonts w:ascii="Verdana" w:hAnsi="Verdana" w:cs="Arial"/>
          <w:szCs w:val="24"/>
          <w:lang w:eastAsia="es-ES_tradnl"/>
        </w:rPr>
        <w:t xml:space="preserve">. Bajo ella, se amplía el límite establecido por el legislador en el artículo 40, ya que este tipo de modificaciones, para ejecutar más de un mismo ítem o actividad pactada en el contrato ―estas posturas las considerarían “precisiones” o “determinaciones del valor final” ―, no se tendrían en cuenta </w:t>
      </w:r>
      <w:r w:rsidRPr="00D95654">
        <w:rPr>
          <w:rFonts w:ascii="Verdana" w:hAnsi="Verdana" w:cs="Arial"/>
          <w:szCs w:val="24"/>
          <w:lang w:eastAsia="es-ES_tradnl"/>
        </w:rPr>
        <w:lastRenderedPageBreak/>
        <w:t>para señalar en qué porcentaje se ha adicionado un contrato, ya que ellas no son adiciones:</w:t>
      </w:r>
    </w:p>
    <w:p w14:paraId="62396343" w14:textId="77777777" w:rsidR="00225FD2" w:rsidRPr="00D95654" w:rsidRDefault="00225FD2" w:rsidP="00225FD2">
      <w:pPr>
        <w:spacing w:after="0" w:line="276" w:lineRule="auto"/>
        <w:ind w:firstLine="709"/>
        <w:jc w:val="both"/>
        <w:rPr>
          <w:rFonts w:ascii="Verdana" w:hAnsi="Verdana" w:cs="Arial"/>
          <w:szCs w:val="24"/>
          <w:lang w:eastAsia="es-ES_tradnl"/>
        </w:rPr>
      </w:pPr>
    </w:p>
    <w:p w14:paraId="4EA1F1F5" w14:textId="1F260309"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r w:rsidR="003663F9" w:rsidRPr="00D95654">
        <w:rPr>
          <w:rFonts w:ascii="Verdana" w:hAnsi="Verdana" w:cs="Arial"/>
          <w:sz w:val="20"/>
          <w:szCs w:val="20"/>
          <w:lang w:eastAsia="es-ES_tradnl"/>
        </w:rPr>
        <w:t>unitarios</w:t>
      </w:r>
      <w:r w:rsidRPr="00D95654">
        <w:rPr>
          <w:rFonts w:ascii="Verdana" w:hAnsi="Verdana" w:cs="Arial"/>
          <w:sz w:val="20"/>
          <w:szCs w:val="20"/>
          <w:lang w:eastAsia="es-ES_tradnl"/>
        </w:rPr>
        <w:t xml:space="preserve"> debe ampararse bajo el ropaje de un contrato adicional y, en consecuencia aplicando el límite del 50%.</w:t>
      </w:r>
    </w:p>
    <w:p w14:paraId="35CC1E12"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72AA58C0"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Insistimos que no podemos compartir este planteamiento por lo siguiente:</w:t>
      </w:r>
    </w:p>
    <w:p w14:paraId="0C1BB125"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1D67816E"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26DD1A27"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0B40FEB2"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5777B2CD"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26134EE5"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4DC67AA9"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525C8C92"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La inyección de los nuevos recursos no se hace al ampro de un contrato adicional sino como parte de un trámite interno oficial, con información al contratista para que pueda seguir avanzando en la obra”</w:t>
      </w:r>
      <w:r w:rsidRPr="00D95654">
        <w:rPr>
          <w:rFonts w:ascii="Verdana" w:hAnsi="Verdana" w:cs="Arial"/>
          <w:sz w:val="20"/>
          <w:szCs w:val="20"/>
          <w:vertAlign w:val="superscript"/>
          <w:lang w:eastAsia="es-ES_tradnl"/>
        </w:rPr>
        <w:footnoteReference w:id="7"/>
      </w:r>
      <w:r w:rsidRPr="00D95654">
        <w:rPr>
          <w:rFonts w:ascii="Verdana" w:hAnsi="Verdana" w:cs="Arial"/>
          <w:sz w:val="20"/>
          <w:szCs w:val="20"/>
          <w:vertAlign w:val="superscript"/>
          <w:lang w:eastAsia="es-ES_tradnl"/>
        </w:rPr>
        <w:t>.</w:t>
      </w:r>
    </w:p>
    <w:p w14:paraId="43899B73" w14:textId="77777777" w:rsidR="00225FD2" w:rsidRPr="00D95654" w:rsidRDefault="00225FD2" w:rsidP="00225FD2">
      <w:pPr>
        <w:spacing w:after="0" w:line="276" w:lineRule="auto"/>
        <w:ind w:left="709" w:right="709"/>
        <w:jc w:val="both"/>
        <w:rPr>
          <w:rFonts w:ascii="Verdana" w:hAnsi="Verdana" w:cs="Arial"/>
          <w:lang w:eastAsia="es-ES_tradnl"/>
        </w:rPr>
      </w:pPr>
    </w:p>
    <w:p w14:paraId="5A45C6F9" w14:textId="77777777" w:rsidR="00882DED" w:rsidRPr="00D95654" w:rsidRDefault="00225FD2" w:rsidP="00882DED">
      <w:pPr>
        <w:pStyle w:val="Prrafodelista"/>
        <w:numPr>
          <w:ilvl w:val="0"/>
          <w:numId w:val="24"/>
        </w:numPr>
        <w:spacing w:after="120" w:line="276" w:lineRule="auto"/>
        <w:jc w:val="both"/>
        <w:rPr>
          <w:rFonts w:ascii="Verdana" w:hAnsi="Verdana" w:cs="Arial"/>
          <w:szCs w:val="24"/>
          <w:lang w:eastAsia="es-ES_tradnl"/>
        </w:rPr>
      </w:pPr>
      <w:r w:rsidRPr="00D95654">
        <w:rPr>
          <w:rFonts w:ascii="Verdana" w:hAnsi="Verdana" w:cs="Arial"/>
          <w:szCs w:val="24"/>
          <w:lang w:eastAsia="es-ES_tradnl"/>
        </w:rPr>
        <w:t>Esta posición también es sostenida por el Consejo de Estado en otras providencias, donde reitera el criterio desarrollado en el concepto de la Sala de Consulta y Servicio de Civil del Consejo de Estado citado previamente</w:t>
      </w:r>
      <w:r w:rsidRPr="00D95654">
        <w:rPr>
          <w:rFonts w:ascii="Verdana" w:hAnsi="Verdana"/>
          <w:vertAlign w:val="superscript"/>
          <w:lang w:eastAsia="es-ES_tradnl"/>
        </w:rPr>
        <w:footnoteReference w:id="8"/>
      </w:r>
      <w:r w:rsidRPr="00D95654">
        <w:rPr>
          <w:rFonts w:ascii="Verdana" w:hAnsi="Verdana" w:cs="Arial"/>
          <w:szCs w:val="24"/>
          <w:lang w:eastAsia="es-ES_tradnl"/>
        </w:rPr>
        <w:t xml:space="preserve">. </w:t>
      </w:r>
    </w:p>
    <w:p w14:paraId="1112F8C7" w14:textId="77777777" w:rsidR="00882DED" w:rsidRPr="00D95654" w:rsidRDefault="00882DED" w:rsidP="00882DED">
      <w:pPr>
        <w:pStyle w:val="Prrafodelista"/>
        <w:spacing w:after="120" w:line="276" w:lineRule="auto"/>
        <w:ind w:left="360"/>
        <w:jc w:val="both"/>
        <w:rPr>
          <w:rFonts w:ascii="Verdana" w:hAnsi="Verdana" w:cs="Arial"/>
          <w:szCs w:val="24"/>
          <w:lang w:eastAsia="es-ES_tradnl"/>
        </w:rPr>
      </w:pPr>
    </w:p>
    <w:p w14:paraId="565F125D" w14:textId="48538E80" w:rsidR="00225FD2" w:rsidRPr="00D95654" w:rsidRDefault="00225FD2" w:rsidP="00882DED">
      <w:pPr>
        <w:pStyle w:val="Prrafodelista"/>
        <w:numPr>
          <w:ilvl w:val="0"/>
          <w:numId w:val="24"/>
        </w:numPr>
        <w:spacing w:after="120" w:line="276" w:lineRule="auto"/>
        <w:jc w:val="both"/>
        <w:rPr>
          <w:rFonts w:ascii="Verdana" w:hAnsi="Verdana" w:cs="Arial"/>
          <w:szCs w:val="24"/>
          <w:lang w:eastAsia="es-ES_tradnl"/>
        </w:rPr>
      </w:pPr>
      <w:r w:rsidRPr="00D95654">
        <w:rPr>
          <w:rFonts w:ascii="Verdana" w:hAnsi="Verdana" w:cs="Arial"/>
          <w:szCs w:val="24"/>
          <w:lang w:eastAsia="es-ES_tradnl"/>
        </w:rPr>
        <w:lastRenderedPageBreak/>
        <w:t xml:space="preserve">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185054E7"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w:t>
      </w:r>
      <w:r w:rsidRPr="00D95654">
        <w:rPr>
          <w:rFonts w:ascii="Verdana" w:hAnsi="Verdana" w:cs="Arial"/>
          <w:b/>
          <w:bCs/>
          <w:sz w:val="20"/>
          <w:szCs w:val="20"/>
          <w:lang w:eastAsia="es-ES_tradnl"/>
        </w:rPr>
        <w:t>sin duda alguna una ampliación de las cantidades de obra denominada obra adicional conduce a una adición del contrato, luego debe tener como límite el 50% analizado</w:t>
      </w:r>
      <w:r w:rsidRPr="00D95654">
        <w:rPr>
          <w:rFonts w:ascii="Verdana" w:hAnsi="Verdana" w:cs="Arial"/>
          <w:sz w:val="20"/>
          <w:szCs w:val="20"/>
          <w:lang w:eastAsia="es-ES_tradnl"/>
        </w:rPr>
        <w:t>.</w:t>
      </w:r>
    </w:p>
    <w:p w14:paraId="5CD5D099"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w:t>
      </w:r>
    </w:p>
    <w:p w14:paraId="11B05DA5"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3605312C"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Pr="00D95654">
        <w:rPr>
          <w:rFonts w:ascii="Verdana" w:hAnsi="Verdana" w:cs="Arial"/>
          <w:sz w:val="20"/>
          <w:szCs w:val="20"/>
          <w:vertAlign w:val="superscript"/>
          <w:lang w:eastAsia="es-ES_tradnl"/>
        </w:rPr>
        <w:footnoteReference w:id="9"/>
      </w:r>
      <w:r w:rsidRPr="00D95654">
        <w:rPr>
          <w:rFonts w:ascii="Verdana" w:hAnsi="Verdana" w:cs="Arial"/>
          <w:sz w:val="20"/>
          <w:szCs w:val="20"/>
          <w:lang w:eastAsia="es-ES_tradnl"/>
        </w:rPr>
        <w:t xml:space="preserve">. (Aparte en corchetes y negrilla fuera del original). </w:t>
      </w:r>
    </w:p>
    <w:p w14:paraId="003C419A" w14:textId="77777777" w:rsidR="00225FD2" w:rsidRPr="00D95654" w:rsidRDefault="00225FD2" w:rsidP="00225FD2">
      <w:pPr>
        <w:spacing w:after="0" w:line="276" w:lineRule="auto"/>
        <w:ind w:left="709" w:right="709"/>
        <w:jc w:val="both"/>
        <w:rPr>
          <w:rFonts w:ascii="Verdana" w:hAnsi="Verdana" w:cs="Arial"/>
          <w:sz w:val="21"/>
          <w:szCs w:val="21"/>
          <w:lang w:eastAsia="es-ES_tradnl"/>
        </w:rPr>
      </w:pPr>
    </w:p>
    <w:p w14:paraId="22AD518B" w14:textId="77777777" w:rsidR="00225FD2" w:rsidRPr="00D95654" w:rsidRDefault="00225FD2" w:rsidP="00882DED">
      <w:pPr>
        <w:pStyle w:val="Prrafodelista"/>
        <w:numPr>
          <w:ilvl w:val="0"/>
          <w:numId w:val="25"/>
        </w:numPr>
        <w:spacing w:after="0" w:line="276" w:lineRule="auto"/>
        <w:jc w:val="both"/>
        <w:rPr>
          <w:rFonts w:ascii="Verdana" w:hAnsi="Verdana" w:cs="Arial"/>
          <w:szCs w:val="24"/>
          <w:lang w:eastAsia="es-ES_tradnl"/>
        </w:rPr>
      </w:pPr>
      <w:r w:rsidRPr="00D95654">
        <w:rPr>
          <w:rFonts w:ascii="Verdana" w:hAnsi="Verdana" w:cs="Arial"/>
          <w:szCs w:val="24"/>
          <w:lang w:eastAsia="es-ES_tradnl"/>
        </w:rPr>
        <w:t xml:space="preserve">En concordancia con lo expuesto, la doctrina ha definido dos modalidades de limitación a las adiciones contractuales desde una perspectiva cualitativa y cuantitativa que buscan preservar la esencia de este: </w:t>
      </w:r>
    </w:p>
    <w:p w14:paraId="6E1DF57F" w14:textId="77777777" w:rsidR="00225FD2" w:rsidRPr="00D95654" w:rsidRDefault="00225FD2" w:rsidP="00225FD2">
      <w:pPr>
        <w:spacing w:after="0" w:line="276" w:lineRule="auto"/>
        <w:ind w:left="709" w:right="709"/>
        <w:jc w:val="both"/>
        <w:rPr>
          <w:rFonts w:ascii="Verdana" w:hAnsi="Verdana" w:cs="Arial"/>
          <w:szCs w:val="24"/>
          <w:lang w:eastAsia="es-ES_tradnl"/>
        </w:rPr>
      </w:pPr>
    </w:p>
    <w:p w14:paraId="0E5FF39D"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“Desde el punto de vista </w:t>
      </w:r>
      <w:r w:rsidRPr="00D95654">
        <w:rPr>
          <w:rFonts w:ascii="Verdana" w:hAnsi="Verdana" w:cs="Arial"/>
          <w:i/>
          <w:iCs/>
          <w:sz w:val="20"/>
          <w:szCs w:val="20"/>
          <w:lang w:eastAsia="es-ES_tradnl"/>
        </w:rPr>
        <w:t>cuantitativo,</w:t>
      </w:r>
      <w:r w:rsidRPr="00D95654">
        <w:rPr>
          <w:rFonts w:ascii="Verdana" w:hAnsi="Verdana" w:cs="Arial"/>
          <w:sz w:val="20"/>
          <w:szCs w:val="20"/>
          <w:lang w:eastAsia="es-ES_tradnl"/>
        </w:rPr>
        <w:t xml:space="preserve"> </w:t>
      </w:r>
      <w:r w:rsidRPr="00D95654">
        <w:rPr>
          <w:rFonts w:ascii="Verdana" w:hAnsi="Verdana" w:cs="Arial"/>
          <w:b/>
          <w:bCs/>
          <w:sz w:val="20"/>
          <w:szCs w:val="20"/>
          <w:lang w:eastAsia="es-ES_tradnl"/>
        </w:rPr>
        <w:t>toda modificación que aumente el presupuesto destinado al contrato cuenta, independientemente de las modalidades contractuales y de la forma de pago o de la remuneración del contratista</w:t>
      </w:r>
      <w:r w:rsidRPr="00D95654">
        <w:rPr>
          <w:rFonts w:ascii="Verdana" w:hAnsi="Verdana" w:cs="Arial"/>
          <w:sz w:val="20"/>
          <w:szCs w:val="20"/>
          <w:lang w:eastAsia="es-ES_tradnl"/>
        </w:rPr>
        <w:t>. El límite significativo del 50% de su valor inicialmente calculado es determinante del umbral a partir del cual el contrato original ha de considerarse cambiado en su esencia. […]</w:t>
      </w:r>
    </w:p>
    <w:p w14:paraId="121185DC"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454908C3"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lastRenderedPageBreak/>
        <w:t>Y, desde el punto de vista</w:t>
      </w:r>
      <w:r w:rsidRPr="00D95654">
        <w:rPr>
          <w:rFonts w:ascii="Verdana" w:hAnsi="Verdana" w:cs="Arial"/>
          <w:i/>
          <w:iCs/>
          <w:sz w:val="20"/>
          <w:szCs w:val="20"/>
          <w:lang w:eastAsia="es-ES_tradnl"/>
        </w:rPr>
        <w:t xml:space="preserve"> cualitativo</w:t>
      </w:r>
      <w:r w:rsidRPr="00D95654">
        <w:rPr>
          <w:rFonts w:ascii="Verdana" w:hAnsi="Verdana" w:cs="Arial"/>
          <w:sz w:val="20"/>
          <w:szCs w:val="20"/>
          <w:lang w:eastAsia="es-ES_tradnl"/>
        </w:rPr>
        <w:t>, una adición que desnaturaliza el objeto inicial del contrato constituye en realidad una modificación esencial del contrato, lo que daría al traste con todo el proceso previo de selección de contratista para un objeto determinado y aniquilaría toda la estructuración técnica que procedió al proceso de selección. […]</w:t>
      </w:r>
    </w:p>
    <w:p w14:paraId="1DE1F164"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7FF646EA"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Puede entonces apreciarse que la limitación </w:t>
      </w:r>
      <w:r w:rsidRPr="00D95654">
        <w:rPr>
          <w:rFonts w:ascii="Verdana" w:hAnsi="Verdana" w:cs="Arial"/>
          <w:i/>
          <w:iCs/>
          <w:sz w:val="20"/>
          <w:szCs w:val="20"/>
          <w:lang w:eastAsia="es-ES_tradnl"/>
        </w:rPr>
        <w:t>cuantitativa</w:t>
      </w:r>
      <w:r w:rsidRPr="00D95654">
        <w:rPr>
          <w:rFonts w:ascii="Verdana" w:hAnsi="Verdana" w:cs="Arial"/>
          <w:sz w:val="20"/>
          <w:szCs w:val="20"/>
          <w:lang w:eastAsia="es-ES_tradnl"/>
        </w:rPr>
        <w:t xml:space="preserve"> de las adiciones contractuales es simple de apreciar. Una vez superada la distinción entre contrato estatal y adición del contrato y la consecuente particularidad de los contratos a precios unitarios, </w:t>
      </w:r>
      <w:r w:rsidRPr="00D95654">
        <w:rPr>
          <w:rFonts w:ascii="Verdana" w:hAnsi="Verdana" w:cs="Arial"/>
          <w:b/>
          <w:bCs/>
          <w:sz w:val="20"/>
          <w:szCs w:val="20"/>
          <w:lang w:eastAsia="es-ES_tradnl"/>
        </w:rPr>
        <w:t xml:space="preserve">las </w:t>
      </w:r>
      <w:r w:rsidRPr="00D95654">
        <w:rPr>
          <w:rFonts w:ascii="Verdana" w:hAnsi="Verdana" w:cs="Arial"/>
          <w:b/>
          <w:bCs/>
          <w:i/>
          <w:iCs/>
          <w:sz w:val="20"/>
          <w:szCs w:val="20"/>
          <w:lang w:eastAsia="es-ES_tradnl"/>
        </w:rPr>
        <w:t>adiciones</w:t>
      </w:r>
      <w:r w:rsidRPr="00D95654">
        <w:rPr>
          <w:rFonts w:ascii="Verdana" w:hAnsi="Verdana" w:cs="Arial"/>
          <w:b/>
          <w:bCs/>
          <w:sz w:val="20"/>
          <w:szCs w:val="20"/>
          <w:lang w:eastAsia="es-ES_tradnl"/>
        </w:rPr>
        <w:t xml:space="preserve"> del parágrafo del artículo 40 de la Ley 80/93 comprenden cualquier aumento del valor o costo del contrato”</w:t>
      </w:r>
      <w:r w:rsidRPr="00D95654">
        <w:rPr>
          <w:rStyle w:val="Refdenotaalpie"/>
          <w:rFonts w:ascii="Verdana" w:hAnsi="Verdana" w:cs="Arial"/>
          <w:sz w:val="20"/>
          <w:szCs w:val="20"/>
          <w:lang w:eastAsia="es-ES_tradnl"/>
        </w:rPr>
        <w:footnoteReference w:id="10"/>
      </w:r>
      <w:r w:rsidRPr="00D95654">
        <w:rPr>
          <w:rFonts w:ascii="Verdana" w:hAnsi="Verdana" w:cs="Arial"/>
          <w:sz w:val="20"/>
          <w:szCs w:val="20"/>
          <w:lang w:eastAsia="es-ES_tradnl"/>
        </w:rPr>
        <w:t>. (Negrilla por fuera de texto)</w:t>
      </w:r>
    </w:p>
    <w:p w14:paraId="260B8B0D" w14:textId="77777777" w:rsidR="00225FD2" w:rsidRPr="00D95654" w:rsidRDefault="00225FD2" w:rsidP="00225FD2">
      <w:pPr>
        <w:spacing w:after="0" w:line="276" w:lineRule="auto"/>
        <w:ind w:firstLine="709"/>
        <w:jc w:val="both"/>
        <w:rPr>
          <w:rFonts w:ascii="Verdana" w:hAnsi="Verdana" w:cs="Arial"/>
          <w:lang w:eastAsia="es-ES_tradnl"/>
        </w:rPr>
      </w:pPr>
    </w:p>
    <w:p w14:paraId="23E237EF" w14:textId="77777777" w:rsidR="00225FD2" w:rsidRPr="00D95654" w:rsidRDefault="00225FD2" w:rsidP="00B2028F">
      <w:pPr>
        <w:pStyle w:val="Prrafodelista"/>
        <w:numPr>
          <w:ilvl w:val="0"/>
          <w:numId w:val="25"/>
        </w:numPr>
        <w:spacing w:after="0" w:line="276" w:lineRule="auto"/>
        <w:jc w:val="both"/>
        <w:rPr>
          <w:rFonts w:ascii="Verdana" w:hAnsi="Verdana" w:cs="Arial"/>
          <w:lang w:eastAsia="es-ES_tradnl"/>
        </w:rPr>
      </w:pPr>
      <w:r w:rsidRPr="00D95654">
        <w:rPr>
          <w:rFonts w:ascii="Verdana" w:hAnsi="Verdana" w:cs="Arial"/>
          <w:lang w:eastAsia="es-ES_tradnl"/>
        </w:rPr>
        <w:t>La postura anterior también fue defendida por la Sección Tercera del Consejo de Estado, que, en el año 2010, se pronunció al respecto al resolver sobre la legalidad del artículo 73 del Decreto 2474 de 2008, que autorizaba la adición de algunos contratos por encima del cincuenta por ciento (50%). La Sección Tercera declaró la nulidad de dicha norma en la sentencia del 14 de abril de 2010, exponiendo los siguientes argumentos:</w:t>
      </w:r>
    </w:p>
    <w:p w14:paraId="388886DE" w14:textId="77777777" w:rsidR="00225FD2" w:rsidRPr="00D95654" w:rsidRDefault="00225FD2" w:rsidP="00225FD2">
      <w:pPr>
        <w:spacing w:after="0" w:line="276" w:lineRule="auto"/>
        <w:jc w:val="both"/>
        <w:rPr>
          <w:rFonts w:ascii="Verdana" w:hAnsi="Verdana" w:cs="Arial"/>
          <w:lang w:eastAsia="es-ES_tradnl"/>
        </w:rPr>
      </w:pPr>
    </w:p>
    <w:p w14:paraId="68AAD195"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obstante lo anterior, </w:t>
      </w:r>
      <w:r w:rsidRPr="00D95654">
        <w:rPr>
          <w:rFonts w:ascii="Verdana" w:hAnsi="Verdana" w:cs="Arial"/>
          <w:b/>
          <w:bCs/>
          <w:sz w:val="20"/>
          <w:szCs w:val="20"/>
          <w:lang w:eastAsia="es-ES_tradnl"/>
        </w:rPr>
        <w:t>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r w:rsidRPr="00D95654">
        <w:rPr>
          <w:rFonts w:ascii="Verdana" w:hAnsi="Verdana" w:cs="Arial"/>
          <w:sz w:val="20"/>
          <w:szCs w:val="20"/>
          <w:lang w:eastAsia="es-ES_tradnl"/>
        </w:rPr>
        <w:t>.</w:t>
      </w:r>
    </w:p>
    <w:p w14:paraId="7C372049"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69DE8495"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w:t>
      </w:r>
      <w:r w:rsidRPr="00D95654">
        <w:rPr>
          <w:rFonts w:ascii="Verdana" w:hAnsi="Verdana" w:cs="Arial"/>
          <w:sz w:val="20"/>
          <w:szCs w:val="20"/>
          <w:lang w:eastAsia="es-ES_tradnl"/>
        </w:rPr>
        <w:lastRenderedPageBreak/>
        <w:t>de la Ley 80 de 1993 y que podría sobrepasar en más de un 50% el valor de lo inicialmente pactado”</w:t>
      </w:r>
      <w:r w:rsidRPr="00D95654">
        <w:rPr>
          <w:rFonts w:ascii="Verdana" w:hAnsi="Verdana" w:cs="Arial"/>
          <w:sz w:val="20"/>
          <w:szCs w:val="20"/>
          <w:vertAlign w:val="superscript"/>
          <w:lang w:eastAsia="es-ES_tradnl"/>
        </w:rPr>
        <w:footnoteReference w:id="11"/>
      </w:r>
      <w:r w:rsidRPr="00D95654">
        <w:rPr>
          <w:rFonts w:ascii="Verdana" w:hAnsi="Verdana" w:cs="Arial"/>
          <w:sz w:val="20"/>
          <w:szCs w:val="20"/>
          <w:vertAlign w:val="superscript"/>
          <w:lang w:eastAsia="es-ES_tradnl"/>
        </w:rPr>
        <w:t>.</w:t>
      </w:r>
      <w:r w:rsidRPr="00D95654">
        <w:rPr>
          <w:rFonts w:ascii="Verdana" w:hAnsi="Verdana" w:cs="Arial"/>
          <w:sz w:val="20"/>
          <w:szCs w:val="20"/>
          <w:lang w:eastAsia="es-ES_tradnl"/>
        </w:rPr>
        <w:t>(Negrilla por fuera de texto).</w:t>
      </w:r>
    </w:p>
    <w:p w14:paraId="18912FE8" w14:textId="77777777" w:rsidR="00225FD2" w:rsidRPr="00D95654" w:rsidRDefault="00225FD2" w:rsidP="00225FD2">
      <w:pPr>
        <w:spacing w:after="0" w:line="276" w:lineRule="auto"/>
        <w:ind w:left="709" w:right="709"/>
        <w:jc w:val="both"/>
        <w:rPr>
          <w:rFonts w:ascii="Verdana" w:hAnsi="Verdana" w:cs="Arial"/>
          <w:szCs w:val="24"/>
          <w:lang w:eastAsia="es-ES_tradnl"/>
        </w:rPr>
      </w:pPr>
    </w:p>
    <w:p w14:paraId="14E7A0B7" w14:textId="77777777" w:rsidR="00225FD2" w:rsidRPr="00D95654" w:rsidRDefault="00225FD2" w:rsidP="00B2028F">
      <w:pPr>
        <w:pStyle w:val="Prrafodelista"/>
        <w:numPr>
          <w:ilvl w:val="0"/>
          <w:numId w:val="25"/>
        </w:numPr>
        <w:spacing w:after="0" w:line="276" w:lineRule="auto"/>
        <w:jc w:val="both"/>
        <w:rPr>
          <w:rFonts w:ascii="Verdana" w:hAnsi="Verdana" w:cs="Arial"/>
          <w:szCs w:val="24"/>
          <w:lang w:eastAsia="es-ES_tradnl"/>
        </w:rPr>
      </w:pPr>
      <w:r w:rsidRPr="00D95654">
        <w:rPr>
          <w:rFonts w:ascii="Verdana" w:hAnsi="Verdana" w:cs="Arial"/>
          <w:szCs w:val="24"/>
          <w:lang w:eastAsia="es-ES_tradnl"/>
        </w:rPr>
        <w:t xml:space="preserve">Así mismo, esta forma de interpretación ha sido es sostenida por el Consejo de Estado en otras providencias en las que se indica que en el evento de mayores cantidades de obra se puede proceder acudiendo a la compensación o, en su defecto, a la suscripción de un contrato adicional sujeto a la verificación de la disponibilidad presupuestal: </w:t>
      </w:r>
    </w:p>
    <w:p w14:paraId="150D4042" w14:textId="77777777" w:rsidR="00225FD2" w:rsidRPr="00D95654" w:rsidRDefault="00225FD2" w:rsidP="00225FD2">
      <w:pPr>
        <w:spacing w:after="0" w:line="276" w:lineRule="auto"/>
        <w:ind w:firstLine="709"/>
        <w:jc w:val="both"/>
        <w:rPr>
          <w:rFonts w:ascii="Verdana" w:hAnsi="Verdana" w:cs="Arial"/>
          <w:szCs w:val="24"/>
          <w:lang w:eastAsia="es-ES_tradnl"/>
        </w:rPr>
      </w:pPr>
    </w:p>
    <w:p w14:paraId="3866EB29"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“En el contrato de obra suscrito bajo la modalidad de pago por precios unitarios, el reconocimiento de las mayores cantidades de obra, cuando ellas resulten necesarias para cumplir con el objeto contractual, bien puede realizarse por vía de compensación con otros ítems cuyas cantidades se hayan ejecutado por debajo de la proporción estimada, lo cual deberá constar en un acta suscrita entre el contratista y el interventor autorizado o, en su defecto, por el representante legal de la entidad; o, cuando ello no sea posible, por sobrepasar el estimativo inicial a través de la suscripción de un contrato adicional (en el valor) sujeto a la previa verificación de la existencia de disponibilidad presupuestal para atender el compromiso y luego reflejadas en las actas de recibo firmadas por las partes, o a más tardar en el acta de liquidación del contrato, respaldadas con las respectiva disponibilidad presupuestal y siempre que hayan sido autorizadas”</w:t>
      </w:r>
      <w:r w:rsidRPr="00D95654">
        <w:rPr>
          <w:rStyle w:val="Refdenotaalpie"/>
          <w:rFonts w:ascii="Verdana" w:hAnsi="Verdana" w:cs="Arial"/>
          <w:sz w:val="20"/>
          <w:szCs w:val="20"/>
          <w:lang w:eastAsia="es-ES_tradnl"/>
        </w:rPr>
        <w:footnoteReference w:id="12"/>
      </w:r>
      <w:r w:rsidRPr="00D95654">
        <w:rPr>
          <w:rFonts w:ascii="Verdana" w:hAnsi="Verdana" w:cs="Arial"/>
          <w:sz w:val="20"/>
          <w:szCs w:val="20"/>
          <w:lang w:eastAsia="es-ES_tradnl"/>
        </w:rPr>
        <w:t>.</w:t>
      </w:r>
    </w:p>
    <w:p w14:paraId="5F584CCC" w14:textId="77777777" w:rsidR="00225FD2" w:rsidRPr="00D95654" w:rsidRDefault="00225FD2" w:rsidP="00225FD2">
      <w:pPr>
        <w:spacing w:after="0" w:line="276" w:lineRule="auto"/>
        <w:ind w:left="709" w:right="709"/>
        <w:jc w:val="both"/>
        <w:rPr>
          <w:rFonts w:ascii="Verdana" w:hAnsi="Verdana" w:cs="Arial"/>
          <w:lang w:eastAsia="es-ES_tradnl"/>
        </w:rPr>
      </w:pPr>
    </w:p>
    <w:p w14:paraId="65BAD993" w14:textId="77777777" w:rsidR="00CC2030" w:rsidRPr="00D95654" w:rsidRDefault="00225FD2" w:rsidP="00CC2030">
      <w:pPr>
        <w:pStyle w:val="Prrafodelista"/>
        <w:numPr>
          <w:ilvl w:val="0"/>
          <w:numId w:val="25"/>
        </w:numPr>
        <w:spacing w:after="120" w:line="276" w:lineRule="auto"/>
        <w:jc w:val="both"/>
        <w:rPr>
          <w:rFonts w:ascii="Verdana" w:hAnsi="Verdana" w:cs="Arial"/>
          <w:szCs w:val="24"/>
          <w:lang w:eastAsia="es-ES_tradnl"/>
        </w:rPr>
      </w:pPr>
      <w:r w:rsidRPr="00D95654">
        <w:rPr>
          <w:rFonts w:ascii="Verdana" w:hAnsi="Verdana" w:cs="Arial"/>
          <w:szCs w:val="24"/>
          <w:lang w:eastAsia="es-ES_tradnl"/>
        </w:rPr>
        <w:t>En sentencia del 9 de julio de 2021 del Consejo de Estado, se realizó una aclaración de voto, en cuanto reitera esta postura en relación con la limitación de la adición del contrato. En esta oportunidad se indicó que: “</w:t>
      </w:r>
      <w:r w:rsidRPr="00D95654">
        <w:rPr>
          <w:rFonts w:ascii="Verdana" w:hAnsi="Verdana" w:cs="Arial"/>
          <w:bCs/>
          <w:szCs w:val="24"/>
          <w:lang w:eastAsia="es-ES_tradnl"/>
        </w:rPr>
        <w:t xml:space="preserve">En el párrafo 34 de la sentencia se señaló que, en contratos a precios unitarios, la cláusula de valor es “meramente indicativa”.  </w:t>
      </w:r>
      <w:r w:rsidRPr="00D95654">
        <w:rPr>
          <w:rFonts w:ascii="Verdana" w:hAnsi="Verdana" w:cs="Arial"/>
          <w:bCs/>
          <w:i/>
          <w:iCs/>
          <w:szCs w:val="24"/>
          <w:lang w:eastAsia="es-ES_tradnl"/>
        </w:rPr>
        <w:t>Al respecto estimo que el precio no puede fluctuar libremente al arbitrio de las partes, en tanto la ley</w:t>
      </w:r>
      <w:r w:rsidRPr="00D95654">
        <w:rPr>
          <w:rFonts w:ascii="Verdana" w:hAnsi="Verdana"/>
          <w:bCs/>
          <w:i/>
          <w:iCs/>
          <w:vertAlign w:val="superscript"/>
          <w:lang w:eastAsia="es-ES_tradnl"/>
        </w:rPr>
        <w:footnoteRef/>
      </w:r>
      <w:r w:rsidRPr="00D95654">
        <w:rPr>
          <w:rFonts w:ascii="Verdana" w:hAnsi="Verdana" w:cs="Arial"/>
          <w:bCs/>
          <w:i/>
          <w:iCs/>
          <w:szCs w:val="24"/>
          <w:lang w:eastAsia="es-ES_tradnl"/>
        </w:rPr>
        <w:t xml:space="preserve"> impone restricciones a la posibilidad de adicionarlo, sin atención a la modalidad pactada en el contrato</w:t>
      </w:r>
      <w:r w:rsidRPr="00D95654">
        <w:rPr>
          <w:rFonts w:ascii="Verdana" w:hAnsi="Verdana" w:cs="Arial"/>
          <w:bCs/>
          <w:szCs w:val="24"/>
          <w:lang w:eastAsia="es-ES_tradnl"/>
        </w:rPr>
        <w:t xml:space="preserve">. A juicio del suscrito, el deber de planeación a cargo de las entidades estatales impone determinar, en forma previa, el alcance del objeto contractual, de modo que, de antemano, se conozca con alto grado </w:t>
      </w:r>
      <w:r w:rsidRPr="00D95654">
        <w:rPr>
          <w:rFonts w:ascii="Verdana" w:hAnsi="Verdana" w:cs="Arial"/>
          <w:bCs/>
          <w:szCs w:val="24"/>
          <w:lang w:eastAsia="es-ES_tradnl"/>
        </w:rPr>
        <w:lastRenderedPageBreak/>
        <w:t>de aproximación, el alcance de los trabajos. El máximo margen de desfase admisible está previsto en la ley como límite a la posibilidad de adicionar los contratos, insisto, con independencia de si los precios fueron globales o unitarios</w:t>
      </w:r>
      <w:r w:rsidRPr="00D95654">
        <w:rPr>
          <w:rFonts w:ascii="Verdana" w:hAnsi="Verdana" w:cs="Arial"/>
          <w:szCs w:val="24"/>
          <w:lang w:eastAsia="es-ES_tradnl"/>
        </w:rPr>
        <w:t>”</w:t>
      </w:r>
      <w:r w:rsidRPr="00D95654">
        <w:rPr>
          <w:rStyle w:val="Refdenotaalpie"/>
          <w:rFonts w:ascii="Verdana" w:hAnsi="Verdana" w:cs="Arial"/>
          <w:szCs w:val="24"/>
          <w:lang w:eastAsia="es-ES_tradnl"/>
        </w:rPr>
        <w:footnoteReference w:id="13"/>
      </w:r>
      <w:r w:rsidRPr="00D95654">
        <w:rPr>
          <w:rFonts w:ascii="Verdana" w:hAnsi="Verdana" w:cs="Arial"/>
          <w:bCs/>
          <w:szCs w:val="24"/>
          <w:lang w:eastAsia="es-ES_tradnl"/>
        </w:rPr>
        <w:t xml:space="preserve">. (Énfasis por fuera de texto). </w:t>
      </w:r>
    </w:p>
    <w:p w14:paraId="7F4E1A5A" w14:textId="77777777" w:rsidR="00CC2030" w:rsidRPr="00D95654" w:rsidRDefault="00225FD2" w:rsidP="00CC2030">
      <w:pPr>
        <w:pStyle w:val="Prrafodelista"/>
        <w:numPr>
          <w:ilvl w:val="0"/>
          <w:numId w:val="25"/>
        </w:numPr>
        <w:spacing w:after="120" w:line="276" w:lineRule="auto"/>
        <w:jc w:val="both"/>
        <w:rPr>
          <w:rFonts w:ascii="Verdana" w:hAnsi="Verdana" w:cs="Arial"/>
          <w:szCs w:val="24"/>
          <w:lang w:eastAsia="es-ES_tradnl"/>
        </w:rPr>
      </w:pPr>
      <w:r w:rsidRPr="00D95654">
        <w:rPr>
          <w:rFonts w:ascii="Verdana" w:hAnsi="Verdana" w:cs="Arial"/>
          <w:szCs w:val="24"/>
          <w:lang w:eastAsia="es-ES_tradnl"/>
        </w:rPr>
        <w:t xml:space="preserve">Bajo el contexto expuesto en relación con las posturas jurisprudenciales y doctrinales, esta Agencia ajusta la línea doctrinal, en el sentido de adecuarla a pronunciamientos más recientes del Consejo de Estado y a la doctrina, conforme se procede a exponer.  </w:t>
      </w:r>
    </w:p>
    <w:p w14:paraId="641FB1B8" w14:textId="77777777" w:rsidR="00CC2030" w:rsidRPr="00D95654" w:rsidRDefault="00CC2030" w:rsidP="00CC2030">
      <w:pPr>
        <w:pStyle w:val="Prrafodelista"/>
        <w:spacing w:after="120" w:line="276" w:lineRule="auto"/>
        <w:ind w:left="360"/>
        <w:jc w:val="both"/>
        <w:rPr>
          <w:rFonts w:ascii="Verdana" w:hAnsi="Verdana" w:cs="Arial"/>
          <w:szCs w:val="24"/>
          <w:lang w:eastAsia="es-ES_tradnl"/>
        </w:rPr>
      </w:pPr>
    </w:p>
    <w:p w14:paraId="60B157CA" w14:textId="48E4C718" w:rsidR="00225FD2" w:rsidRPr="00D95654" w:rsidRDefault="00225FD2" w:rsidP="00CC2030">
      <w:pPr>
        <w:pStyle w:val="Prrafodelista"/>
        <w:numPr>
          <w:ilvl w:val="0"/>
          <w:numId w:val="25"/>
        </w:numPr>
        <w:spacing w:after="120" w:line="276" w:lineRule="auto"/>
        <w:jc w:val="both"/>
        <w:rPr>
          <w:rFonts w:ascii="Verdana" w:hAnsi="Verdana" w:cs="Arial"/>
          <w:szCs w:val="24"/>
          <w:lang w:eastAsia="es-ES_tradnl"/>
        </w:rPr>
      </w:pPr>
      <w:r w:rsidRPr="00D95654">
        <w:rPr>
          <w:rFonts w:ascii="Verdana" w:hAnsi="Verdana" w:cs="Arial"/>
          <w:szCs w:val="24"/>
          <w:lang w:eastAsia="es-ES_tradnl"/>
        </w:rPr>
        <w:t xml:space="preserve">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 En este sentido, la Sección Tercera de la Corporación explicó: </w:t>
      </w:r>
    </w:p>
    <w:p w14:paraId="0E81BB33"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“La mayor cantidad de obra que resulte por encima del estimativo inicial en los contratos de obras celebrados a precios unitarios, no implica, en principio, en forma </w:t>
      </w:r>
      <w:proofErr w:type="gramStart"/>
      <w:r w:rsidRPr="00D95654">
        <w:rPr>
          <w:rFonts w:ascii="Verdana" w:hAnsi="Verdana" w:cs="Arial"/>
          <w:sz w:val="20"/>
          <w:szCs w:val="20"/>
          <w:lang w:eastAsia="es-ES_tradnl"/>
        </w:rPr>
        <w:t>alguna cambio</w:t>
      </w:r>
      <w:proofErr w:type="gramEnd"/>
      <w:r w:rsidRPr="00D95654">
        <w:rPr>
          <w:rFonts w:ascii="Verdana" w:hAnsi="Verdana" w:cs="Arial"/>
          <w:sz w:val="20"/>
          <w:szCs w:val="20"/>
          <w:lang w:eastAsia="es-ES_tradnl"/>
        </w:rPr>
        <w:t xml:space="preserve"> de objeto ni cambio en su valor, porque en este tipo de contrato solo podrá hablarse de este último cambio, cuando la modificación se hace en alguno o algunos de los precios unitarios convenidos. Sucede algo diferente a lo que se observa en los contratos a precio alzado, en los que la variación en su valor tiene en cuenta el valor global del mismo”</w:t>
      </w:r>
      <w:r w:rsidRPr="00D95654">
        <w:rPr>
          <w:rStyle w:val="Refdenotaalpie"/>
          <w:rFonts w:ascii="Verdana" w:hAnsi="Verdana" w:cs="Arial"/>
          <w:sz w:val="20"/>
          <w:szCs w:val="20"/>
          <w:lang w:eastAsia="es-ES_tradnl"/>
        </w:rPr>
        <w:footnoteReference w:id="14"/>
      </w:r>
      <w:r w:rsidRPr="00D95654">
        <w:rPr>
          <w:rFonts w:ascii="Verdana" w:hAnsi="Verdana" w:cs="Arial"/>
          <w:sz w:val="20"/>
          <w:szCs w:val="20"/>
          <w:lang w:eastAsia="es-ES_tradnl"/>
        </w:rPr>
        <w:t xml:space="preserve">.  </w:t>
      </w:r>
    </w:p>
    <w:p w14:paraId="21F74CB3" w14:textId="77777777" w:rsidR="00225FD2" w:rsidRPr="00D95654" w:rsidRDefault="00225FD2" w:rsidP="00225FD2">
      <w:pPr>
        <w:spacing w:after="0" w:line="276" w:lineRule="auto"/>
        <w:ind w:firstLine="709"/>
        <w:jc w:val="both"/>
        <w:rPr>
          <w:rFonts w:ascii="Verdana" w:hAnsi="Verdana" w:cs="Arial"/>
          <w:szCs w:val="24"/>
          <w:lang w:eastAsia="es-ES_tradnl"/>
        </w:rPr>
      </w:pPr>
    </w:p>
    <w:p w14:paraId="27463935" w14:textId="77777777" w:rsidR="00225FD2" w:rsidRPr="00D95654" w:rsidRDefault="00225FD2" w:rsidP="00CC2030">
      <w:pPr>
        <w:pStyle w:val="Prrafodelista"/>
        <w:numPr>
          <w:ilvl w:val="0"/>
          <w:numId w:val="26"/>
        </w:numPr>
        <w:spacing w:after="0" w:line="276" w:lineRule="auto"/>
        <w:jc w:val="both"/>
        <w:rPr>
          <w:rFonts w:ascii="Verdana" w:hAnsi="Verdana" w:cs="Arial"/>
          <w:szCs w:val="24"/>
          <w:lang w:eastAsia="es-ES_tradnl"/>
        </w:rPr>
      </w:pPr>
      <w:r w:rsidRPr="00D95654">
        <w:rPr>
          <w:rFonts w:ascii="Verdana" w:hAnsi="Verdana" w:cs="Arial"/>
          <w:szCs w:val="24"/>
          <w:lang w:eastAsia="es-ES_tradnl"/>
        </w:rPr>
        <w:t xml:space="preserve">Más recientemente, ya bajo la vigencia de la Ley 80 de 1993, </w:t>
      </w:r>
      <w:bookmarkStart w:id="2" w:name="_Hlk176963652"/>
      <w:r w:rsidRPr="00D95654">
        <w:rPr>
          <w:rFonts w:ascii="Verdana" w:hAnsi="Verdana" w:cs="Arial"/>
          <w:szCs w:val="24"/>
          <w:lang w:eastAsia="es-ES_tradnl"/>
        </w:rPr>
        <w:t>el Consejo de Estado explicó como en la adición de unidades no había modificación alguna del contrato por cuanto esta eventualidad está contemplada desde el inicio del contrato y es inherente a esta modalidad de pago. En ese sentido manifestó que:</w:t>
      </w:r>
    </w:p>
    <w:p w14:paraId="4C0D7959" w14:textId="77777777" w:rsidR="00225FD2" w:rsidRPr="00D95654" w:rsidRDefault="00225FD2" w:rsidP="00225FD2">
      <w:pPr>
        <w:spacing w:after="0" w:line="276" w:lineRule="auto"/>
        <w:ind w:firstLine="709"/>
        <w:jc w:val="both"/>
        <w:rPr>
          <w:rFonts w:ascii="Verdana" w:hAnsi="Verdana" w:cs="Arial"/>
          <w:szCs w:val="24"/>
          <w:lang w:eastAsia="es-ES_tradnl"/>
        </w:rPr>
      </w:pPr>
      <w:r w:rsidRPr="00D95654">
        <w:rPr>
          <w:rFonts w:ascii="Verdana" w:hAnsi="Verdana" w:cs="Arial"/>
          <w:szCs w:val="24"/>
          <w:lang w:eastAsia="es-ES_tradnl"/>
        </w:rPr>
        <w:t xml:space="preserve"> </w:t>
      </w:r>
    </w:p>
    <w:p w14:paraId="3BF53608"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lastRenderedPageBreak/>
        <w:t xml:space="preserve">“[…] en los contratos de obra suscritos a precios unitarios, la mayor cantidad de obra ejecutada supone que ésta fue contratada pero que su estimado inicial fue sobrepasado durante la ejecución del contrato, surgiendo así una “prolongación de la prestación debida”, sin que ello implique modificación alguna al objeto contractual. </w:t>
      </w:r>
    </w:p>
    <w:p w14:paraId="49269D8F"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697749D1"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w:t>
      </w:r>
    </w:p>
    <w:p w14:paraId="2057D316"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p>
    <w:p w14:paraId="6449A5A4"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 xml:space="preserve">En cambio, la realización de obras adicionales supone que éstas no fueron parte del objeto del contrato principal, y por lo tanto implican una variación </w:t>
      </w:r>
      <w:proofErr w:type="gramStart"/>
      <w:r w:rsidRPr="00D95654">
        <w:rPr>
          <w:rFonts w:ascii="Verdana" w:hAnsi="Verdana" w:cs="Arial"/>
          <w:sz w:val="20"/>
          <w:szCs w:val="20"/>
          <w:lang w:eastAsia="es-ES_tradnl"/>
        </w:rPr>
        <w:t>del mismo</w:t>
      </w:r>
      <w:proofErr w:type="gramEnd"/>
      <w:r w:rsidRPr="00D95654">
        <w:rPr>
          <w:rFonts w:ascii="Verdana" w:hAnsi="Verdana" w:cs="Arial"/>
          <w:sz w:val="20"/>
          <w:szCs w:val="20"/>
          <w:lang w:eastAsia="es-ES_tradnl"/>
        </w:rPr>
        <w:t>; se trata entonces de obras nuevas, distintas a las contratadas, o de ítems no previstos, pero que su ejecución, en determinadas circunstancias resultas necesaria”</w:t>
      </w:r>
      <w:bookmarkEnd w:id="2"/>
      <w:r w:rsidRPr="00D95654">
        <w:rPr>
          <w:rStyle w:val="Refdenotaalpie"/>
          <w:rFonts w:ascii="Verdana" w:hAnsi="Verdana" w:cs="Arial"/>
          <w:sz w:val="20"/>
          <w:szCs w:val="20"/>
          <w:lang w:eastAsia="es-ES_tradnl"/>
        </w:rPr>
        <w:footnoteReference w:id="15"/>
      </w:r>
      <w:r w:rsidRPr="00D95654">
        <w:rPr>
          <w:rFonts w:ascii="Verdana" w:hAnsi="Verdana" w:cs="Arial"/>
          <w:sz w:val="20"/>
          <w:szCs w:val="20"/>
          <w:lang w:eastAsia="es-ES_tradnl"/>
        </w:rPr>
        <w:t>.</w:t>
      </w:r>
    </w:p>
    <w:p w14:paraId="78647CAF" w14:textId="77777777" w:rsidR="00225FD2" w:rsidRPr="00D95654" w:rsidRDefault="00225FD2" w:rsidP="00225FD2">
      <w:pPr>
        <w:spacing w:after="0" w:line="276" w:lineRule="auto"/>
        <w:ind w:firstLine="709"/>
        <w:jc w:val="both"/>
        <w:rPr>
          <w:rFonts w:ascii="Verdana" w:hAnsi="Verdana" w:cs="Arial"/>
          <w:lang w:eastAsia="es-ES_tradnl"/>
        </w:rPr>
      </w:pPr>
    </w:p>
    <w:p w14:paraId="42104C4C" w14:textId="77777777" w:rsidR="00225FD2" w:rsidRPr="00D95654" w:rsidRDefault="00225FD2" w:rsidP="00CC2030">
      <w:pPr>
        <w:pStyle w:val="Prrafodelista"/>
        <w:numPr>
          <w:ilvl w:val="0"/>
          <w:numId w:val="26"/>
        </w:numPr>
        <w:spacing w:after="0" w:line="276" w:lineRule="auto"/>
        <w:jc w:val="both"/>
        <w:rPr>
          <w:rFonts w:ascii="Verdana" w:hAnsi="Verdana" w:cs="Arial"/>
          <w:lang w:eastAsia="es-ES_tradnl"/>
        </w:rPr>
      </w:pPr>
      <w:r w:rsidRPr="00D95654">
        <w:rPr>
          <w:rFonts w:ascii="Verdana" w:hAnsi="Verdana" w:cs="Arial"/>
          <w:lang w:eastAsia="es-ES_tradnl"/>
        </w:rPr>
        <w:t xml:space="preserve">Así mismo, la Sala de Consulta y del Servicio Civil de la Corporación consideró que los contratos a precios unitarios tenían un precio indeterminado, aunque determinable al final del contrato: </w:t>
      </w:r>
    </w:p>
    <w:p w14:paraId="064BC9DE" w14:textId="77777777" w:rsidR="00225FD2" w:rsidRPr="00D95654" w:rsidRDefault="00225FD2" w:rsidP="00225FD2">
      <w:pPr>
        <w:spacing w:after="0" w:line="276" w:lineRule="auto"/>
        <w:ind w:left="709" w:right="709"/>
        <w:jc w:val="both"/>
        <w:rPr>
          <w:rFonts w:ascii="Verdana" w:hAnsi="Verdana" w:cs="Arial"/>
          <w:lang w:eastAsia="es-ES_tradnl"/>
        </w:rPr>
      </w:pPr>
    </w:p>
    <w:p w14:paraId="248BFD5A" w14:textId="77777777" w:rsidR="00225FD2" w:rsidRPr="00D95654" w:rsidRDefault="00225FD2" w:rsidP="00225FD2">
      <w:pPr>
        <w:spacing w:after="0" w:line="240" w:lineRule="auto"/>
        <w:ind w:left="709" w:right="709"/>
        <w:jc w:val="both"/>
        <w:rPr>
          <w:rFonts w:ascii="Verdana" w:hAnsi="Verdana" w:cs="Arial"/>
          <w:sz w:val="20"/>
          <w:szCs w:val="20"/>
          <w:lang w:eastAsia="es-ES_tradnl"/>
        </w:rPr>
      </w:pPr>
      <w:r w:rsidRPr="00D95654">
        <w:rPr>
          <w:rFonts w:ascii="Verdana" w:hAnsi="Verdana" w:cs="Arial"/>
          <w:sz w:val="20"/>
          <w:szCs w:val="20"/>
          <w:lang w:eastAsia="es-ES_tradnl"/>
        </w:rPr>
        <w:t>“Por el contrario, en los contratos a precio indeterminado pero determinable por el procedimiento establecido en el mismo contrato (precios unitarios, administración delegada o reembolso de gastos), la cláusula del valor en el mismo apenas sirve como indicativo del monto estimado hecho por las partes, pero no tiene valor vinculante u obligacional, pues el verdadero valor del contrato se establecerá una vez se concluya su objeto. En estos eventos, tal clausula sólo cumple la función de realizar un cálculo estimado del costo probable, esto es, ese estimativo necesario para elaborar el presupuesto o para efectos fiscales; pero el valor real del contrato que genera obligaciones mutuas sólo se determinará cuando el procedimiento establecido, se establezca tal costo”</w:t>
      </w:r>
      <w:r w:rsidRPr="00D95654">
        <w:rPr>
          <w:rStyle w:val="Refdenotaalpie"/>
          <w:rFonts w:ascii="Verdana" w:hAnsi="Verdana" w:cs="Arial"/>
          <w:sz w:val="20"/>
          <w:szCs w:val="20"/>
          <w:lang w:eastAsia="es-ES_tradnl"/>
        </w:rPr>
        <w:footnoteReference w:id="16"/>
      </w:r>
      <w:r w:rsidRPr="00D95654">
        <w:rPr>
          <w:rFonts w:ascii="Verdana" w:hAnsi="Verdana" w:cs="Arial"/>
          <w:sz w:val="20"/>
          <w:szCs w:val="20"/>
          <w:lang w:eastAsia="es-ES_tradnl"/>
        </w:rPr>
        <w:t xml:space="preserve">.  </w:t>
      </w:r>
    </w:p>
    <w:p w14:paraId="298325E9" w14:textId="77777777" w:rsidR="00225FD2" w:rsidRPr="00D95654" w:rsidRDefault="00225FD2" w:rsidP="00225FD2">
      <w:pPr>
        <w:spacing w:after="0" w:line="276" w:lineRule="auto"/>
        <w:ind w:left="709" w:right="709"/>
        <w:jc w:val="both"/>
        <w:rPr>
          <w:rFonts w:ascii="Verdana" w:hAnsi="Verdana" w:cs="Arial"/>
          <w:lang w:eastAsia="es-ES_tradnl"/>
        </w:rPr>
      </w:pPr>
    </w:p>
    <w:p w14:paraId="275228AC" w14:textId="77777777" w:rsidR="00225FD2" w:rsidRPr="00D95654" w:rsidRDefault="00225FD2" w:rsidP="00CC2030">
      <w:pPr>
        <w:pStyle w:val="Prrafodelista"/>
        <w:widowControl w:val="0"/>
        <w:numPr>
          <w:ilvl w:val="0"/>
          <w:numId w:val="26"/>
        </w:numPr>
        <w:autoSpaceDE w:val="0"/>
        <w:autoSpaceDN w:val="0"/>
        <w:spacing w:after="0" w:line="276" w:lineRule="auto"/>
        <w:jc w:val="both"/>
        <w:rPr>
          <w:rFonts w:ascii="Verdana" w:eastAsia="Calibri" w:hAnsi="Verdana" w:cs="Arial"/>
        </w:rPr>
      </w:pPr>
      <w:r w:rsidRPr="00D95654">
        <w:rPr>
          <w:rFonts w:ascii="Verdana" w:eastAsia="Calibri" w:hAnsi="Verdana" w:cs="Arial"/>
        </w:rPr>
        <w:t xml:space="preserve">En el mismo sentido, el Consejo de Estado, en sentencia del 19 de septiembre de 2022 señalo que: </w:t>
      </w:r>
    </w:p>
    <w:p w14:paraId="15EF1DD6" w14:textId="77777777" w:rsidR="00225FD2" w:rsidRPr="00D95654" w:rsidRDefault="00225FD2" w:rsidP="00225FD2">
      <w:pPr>
        <w:widowControl w:val="0"/>
        <w:autoSpaceDE w:val="0"/>
        <w:autoSpaceDN w:val="0"/>
        <w:spacing w:after="0" w:line="276" w:lineRule="auto"/>
        <w:ind w:firstLine="709"/>
        <w:jc w:val="both"/>
        <w:rPr>
          <w:rFonts w:ascii="Verdana" w:eastAsia="Calibri" w:hAnsi="Verdana" w:cs="Arial"/>
        </w:rPr>
      </w:pPr>
    </w:p>
    <w:p w14:paraId="11585BEF" w14:textId="77777777" w:rsidR="00225FD2" w:rsidRPr="00D95654" w:rsidRDefault="00225FD2" w:rsidP="00225FD2">
      <w:pPr>
        <w:widowControl w:val="0"/>
        <w:autoSpaceDE w:val="0"/>
        <w:autoSpaceDN w:val="0"/>
        <w:spacing w:after="0" w:line="240" w:lineRule="auto"/>
        <w:ind w:left="709" w:right="709"/>
        <w:jc w:val="both"/>
        <w:rPr>
          <w:rFonts w:ascii="Verdana" w:hAnsi="Verdana"/>
          <w:sz w:val="20"/>
          <w:szCs w:val="20"/>
        </w:rPr>
      </w:pPr>
      <w:r w:rsidRPr="00D95654">
        <w:rPr>
          <w:rFonts w:ascii="Verdana" w:hAnsi="Verdana"/>
          <w:sz w:val="20"/>
          <w:szCs w:val="20"/>
        </w:rPr>
        <w:t xml:space="preserve">“[…] la referencia a las adiciones al contrato supone una modificación, en la que son agregados al objeto, elementos o metas físicas no previstas inicialmente por las partes, y que resultan indispensables para la consecución de los intereses inmersos en el negocio, sin que ello pueda derivar en la mutación del tipo de contrato. Bajo estos supuestos, las actas </w:t>
      </w:r>
      <w:r w:rsidRPr="00D95654">
        <w:rPr>
          <w:rFonts w:ascii="Verdana" w:hAnsi="Verdana"/>
          <w:sz w:val="20"/>
          <w:szCs w:val="20"/>
        </w:rPr>
        <w:lastRenderedPageBreak/>
        <w:t>o acuerdos sobre mayores cantidades de obra en contratos celebrados a precios unitarios, en los que el valor indicado en el contrato supone apenas un estimativo de lo que será el precio final de la obra cuando esta concluya, no serían propiamente una adición sino una inyección de recursos presupuestales prevista para sortear las imprecisiones que haya podido tener la formulación inicial del precio. Por el contrario, en contratos pactados bajo la modalidad de precio global o alzado, el incremento del precio del contrato siempre supondrá la modificación del objeto contractual y, por lo tanto, adición, toda vez que en este escenario la estimación inicial del costo de la obra en su totalidad es vinculante a lo largo del acuerdo de voluntades como el precio determinado que el contratista percibirá como contraprestación por su labor.</w:t>
      </w:r>
    </w:p>
    <w:p w14:paraId="05CB945A" w14:textId="77777777" w:rsidR="00225FD2" w:rsidRPr="00D95654" w:rsidRDefault="00225FD2" w:rsidP="00225FD2">
      <w:pPr>
        <w:widowControl w:val="0"/>
        <w:autoSpaceDE w:val="0"/>
        <w:autoSpaceDN w:val="0"/>
        <w:spacing w:after="0" w:line="240" w:lineRule="auto"/>
        <w:ind w:left="709" w:right="709"/>
        <w:jc w:val="both"/>
        <w:rPr>
          <w:rFonts w:ascii="Verdana" w:hAnsi="Verdana"/>
          <w:sz w:val="20"/>
          <w:szCs w:val="20"/>
        </w:rPr>
      </w:pPr>
    </w:p>
    <w:p w14:paraId="6E0700D5"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r w:rsidRPr="00D95654">
        <w:rPr>
          <w:rFonts w:ascii="Verdana" w:hAnsi="Verdana"/>
          <w:sz w:val="20"/>
          <w:szCs w:val="20"/>
        </w:rPr>
        <w:t>En estas palabras lo ha dicho esta Sección: “La mayor cantidad de obra que resulte por encima del estimativo inicial en los contratos de obras celebrados a precios unitarios, no implica, en principio, en forma alguna, cambio de objeto ni cambio en su valor, porque en este tipo de contrato sólo podrá hablarse de este último cambio, cuando la modificación se hace en alguno o algunos de los precios unitarios convenidos. Sucede en esto algo diferente a lo que se observa en los contratos a precio alzado, en los que la variación en su valor tiene en cuenta el valor global del mismo”</w:t>
      </w:r>
      <w:r w:rsidRPr="00D95654">
        <w:rPr>
          <w:rStyle w:val="Refdenotaalpie"/>
          <w:rFonts w:ascii="Verdana" w:hAnsi="Verdana"/>
          <w:sz w:val="20"/>
          <w:szCs w:val="20"/>
        </w:rPr>
        <w:footnoteReference w:id="17"/>
      </w:r>
    </w:p>
    <w:p w14:paraId="1DB7D7CD" w14:textId="77777777" w:rsidR="00225FD2" w:rsidRPr="00D95654" w:rsidRDefault="00225FD2" w:rsidP="00225FD2">
      <w:pPr>
        <w:widowControl w:val="0"/>
        <w:autoSpaceDE w:val="0"/>
        <w:autoSpaceDN w:val="0"/>
        <w:spacing w:after="0" w:line="276" w:lineRule="auto"/>
        <w:jc w:val="both"/>
        <w:rPr>
          <w:rFonts w:ascii="Verdana" w:eastAsia="Calibri" w:hAnsi="Verdana" w:cs="Arial"/>
        </w:rPr>
      </w:pPr>
    </w:p>
    <w:p w14:paraId="30DEA705" w14:textId="77777777" w:rsidR="00225FD2" w:rsidRPr="00D95654" w:rsidRDefault="00225FD2" w:rsidP="00CC2030">
      <w:pPr>
        <w:pStyle w:val="Prrafodelista"/>
        <w:widowControl w:val="0"/>
        <w:numPr>
          <w:ilvl w:val="0"/>
          <w:numId w:val="26"/>
        </w:numPr>
        <w:autoSpaceDE w:val="0"/>
        <w:autoSpaceDN w:val="0"/>
        <w:spacing w:after="0" w:line="276" w:lineRule="auto"/>
        <w:jc w:val="both"/>
        <w:rPr>
          <w:rFonts w:ascii="Verdana" w:eastAsia="Calibri" w:hAnsi="Verdana" w:cs="Arial"/>
        </w:rPr>
      </w:pPr>
      <w:bookmarkStart w:id="3" w:name="_Hlk176963676"/>
      <w:r w:rsidRPr="00D95654">
        <w:rPr>
          <w:rFonts w:ascii="Verdana" w:eastAsia="Calibri" w:hAnsi="Verdana" w:cs="Arial"/>
        </w:rPr>
        <w:t>Esta postura ha sido acogida por la jurisprudencia reciente de la Sección Tercera del Consejo de Estado, instancia desde donde se ha explicado que:</w:t>
      </w:r>
    </w:p>
    <w:p w14:paraId="68BA3298" w14:textId="77777777" w:rsidR="00225FD2" w:rsidRPr="00D95654" w:rsidRDefault="00225FD2" w:rsidP="00225FD2">
      <w:pPr>
        <w:widowControl w:val="0"/>
        <w:autoSpaceDE w:val="0"/>
        <w:autoSpaceDN w:val="0"/>
        <w:spacing w:after="0" w:line="276" w:lineRule="auto"/>
        <w:ind w:firstLine="708"/>
        <w:jc w:val="both"/>
        <w:rPr>
          <w:rFonts w:ascii="Verdana" w:eastAsia="Calibri" w:hAnsi="Verdana" w:cs="Arial"/>
        </w:rPr>
      </w:pPr>
    </w:p>
    <w:p w14:paraId="4A33F1DF"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r w:rsidRPr="00D95654">
        <w:rPr>
          <w:rFonts w:ascii="Verdana" w:eastAsia="Calibri" w:hAnsi="Verdana" w:cs="Arial"/>
          <w:sz w:val="20"/>
          <w:szCs w:val="20"/>
        </w:rPr>
        <w:t xml:space="preserve">“[…] el valor del contrato en el sistema a precios unitarios es indicativo o estimativo, motivo por el cual el valor real dependerá de las cantidades que final y efectivamente sean ejecutadas, multiplicadas por los precios unitarios que hayan sido pactados. Por lo mismo, en principio, el reconocimiento de las mayores cantidades de obra no es más que la aplicación de la forma de precio y pago estipuladas en el contrato, es decir, la implementación del procedimiento convenido por las partes para calcular el valor final del negocio jurídico: cantidades ejecutadas por valor de ítem acordado. </w:t>
      </w:r>
    </w:p>
    <w:p w14:paraId="45D2CD21"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p>
    <w:p w14:paraId="43145204"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r w:rsidRPr="00D95654">
        <w:rPr>
          <w:rFonts w:ascii="Verdana" w:eastAsia="Calibri" w:hAnsi="Verdana" w:cs="Arial"/>
          <w:sz w:val="20"/>
          <w:szCs w:val="20"/>
        </w:rPr>
        <w:t xml:space="preserve">En línea con lo anterior, es pertinente tener en cuenta que, justamente, la modalidad de pago a precios unitarios se caracteriza porque su determinación final impone establecer las cantidades verdaderamente ejecutadas, multiplicándolas por los precios unitarios; de ahí que lo vinculante en estos casos no sea propiamente el valor total inicialmente estimado, ni las cantidades inicialmente previstas, sino los valores unitarios que las partes acordaron aplicar a cada uno de los ítems. </w:t>
      </w:r>
    </w:p>
    <w:p w14:paraId="7D9B33EC"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p>
    <w:p w14:paraId="4623E815"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r w:rsidRPr="00D95654">
        <w:rPr>
          <w:rFonts w:ascii="Verdana" w:eastAsia="Calibri" w:hAnsi="Verdana" w:cs="Arial"/>
          <w:sz w:val="20"/>
          <w:szCs w:val="20"/>
        </w:rPr>
        <w:lastRenderedPageBreak/>
        <w:t>A diferencia de lo que ocurre con los contratos a precio global, en los que el precio se delimita al margen de las cantidades que se ejecuten y de su valor unitario, en el sistema de precios unitarios el contratista no asume el riesgo de las mayores cantidades de obra, ni la entidad el de las menores, pues lo que deberá pagarse o cancelarse se desprenderá de lo que indiscutiblemente se haya ejecutado”</w:t>
      </w:r>
      <w:r w:rsidRPr="00D95654">
        <w:rPr>
          <w:rStyle w:val="Refdenotaalpie"/>
          <w:rFonts w:ascii="Verdana" w:eastAsia="Calibri" w:hAnsi="Verdana" w:cs="Arial"/>
          <w:sz w:val="20"/>
          <w:szCs w:val="20"/>
        </w:rPr>
        <w:footnoteReference w:id="18"/>
      </w:r>
      <w:r w:rsidRPr="00D95654">
        <w:rPr>
          <w:rFonts w:ascii="Verdana" w:eastAsia="Calibri" w:hAnsi="Verdana" w:cs="Arial"/>
          <w:sz w:val="20"/>
          <w:szCs w:val="20"/>
        </w:rPr>
        <w:t>.</w:t>
      </w:r>
    </w:p>
    <w:p w14:paraId="6A8B5780" w14:textId="77777777" w:rsidR="00225FD2" w:rsidRPr="00D95654" w:rsidRDefault="00225FD2" w:rsidP="00225FD2">
      <w:pPr>
        <w:widowControl w:val="0"/>
        <w:autoSpaceDE w:val="0"/>
        <w:autoSpaceDN w:val="0"/>
        <w:spacing w:after="0" w:line="276" w:lineRule="auto"/>
        <w:ind w:firstLine="709"/>
        <w:jc w:val="both"/>
        <w:rPr>
          <w:rFonts w:ascii="Verdana" w:eastAsia="Calibri" w:hAnsi="Verdana" w:cs="Arial"/>
        </w:rPr>
      </w:pPr>
    </w:p>
    <w:p w14:paraId="7EA8BC96" w14:textId="77777777" w:rsidR="00225FD2" w:rsidRPr="00D95654" w:rsidRDefault="00225FD2" w:rsidP="00CC2030">
      <w:pPr>
        <w:pStyle w:val="Prrafodelista"/>
        <w:widowControl w:val="0"/>
        <w:numPr>
          <w:ilvl w:val="0"/>
          <w:numId w:val="26"/>
        </w:numPr>
        <w:autoSpaceDE w:val="0"/>
        <w:autoSpaceDN w:val="0"/>
        <w:spacing w:after="0" w:line="276" w:lineRule="auto"/>
        <w:jc w:val="both"/>
        <w:rPr>
          <w:rFonts w:ascii="Verdana" w:eastAsia="Calibri" w:hAnsi="Verdana" w:cs="Arial"/>
        </w:rPr>
      </w:pPr>
      <w:r w:rsidRPr="00D95654">
        <w:rPr>
          <w:rFonts w:ascii="Verdana" w:eastAsia="Calibri" w:hAnsi="Verdana" w:cs="Arial"/>
        </w:rPr>
        <w:t xml:space="preserve">Con sustento en estas precisiones sobre la modalidad de pago por precios unitarios, la jurisprudencia de la Sección Tercera ha determinado que el límite a la adición de contratos estatales, previsto en el artículo 40 de la Ley 80 de 1993 no es aplicable a los contratos pactados con precios unitarios. </w:t>
      </w:r>
      <w:bookmarkEnd w:id="3"/>
      <w:r w:rsidRPr="00D95654">
        <w:rPr>
          <w:rFonts w:ascii="Verdana" w:eastAsia="Calibri" w:hAnsi="Verdana" w:cs="Arial"/>
        </w:rPr>
        <w:t xml:space="preserve">Al respecto, se ha señalado que: </w:t>
      </w:r>
    </w:p>
    <w:p w14:paraId="2A57C6B2" w14:textId="77777777" w:rsidR="00225FD2" w:rsidRPr="00D95654" w:rsidRDefault="00225FD2" w:rsidP="00225FD2">
      <w:pPr>
        <w:widowControl w:val="0"/>
        <w:autoSpaceDE w:val="0"/>
        <w:autoSpaceDN w:val="0"/>
        <w:spacing w:after="0" w:line="276" w:lineRule="auto"/>
        <w:jc w:val="both"/>
        <w:rPr>
          <w:rFonts w:ascii="Verdana" w:eastAsia="Calibri" w:hAnsi="Verdana" w:cs="Arial"/>
        </w:rPr>
      </w:pPr>
    </w:p>
    <w:p w14:paraId="046E6C6A" w14:textId="5B837545"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r w:rsidRPr="00D95654">
        <w:rPr>
          <w:rFonts w:ascii="Verdana" w:eastAsia="Calibri" w:hAnsi="Verdana" w:cs="Arial"/>
          <w:sz w:val="20"/>
          <w:szCs w:val="20"/>
        </w:rPr>
        <w:t xml:space="preserve">“[..]se considera que le asiste razón al demandante en cuanto al argumento de que el límite de adiciones del artículo 40 de la Ley 80 de 1993 no es extensible al </w:t>
      </w:r>
      <w:proofErr w:type="spellStart"/>
      <w:r w:rsidR="000E4045" w:rsidRPr="00D95654">
        <w:rPr>
          <w:rFonts w:ascii="Verdana" w:eastAsia="Calibri" w:hAnsi="Verdana" w:cs="Arial"/>
          <w:sz w:val="20"/>
          <w:szCs w:val="20"/>
        </w:rPr>
        <w:t>sub-lite</w:t>
      </w:r>
      <w:proofErr w:type="spellEnd"/>
      <w:r w:rsidRPr="00D95654">
        <w:rPr>
          <w:rFonts w:ascii="Verdana" w:eastAsia="Calibri" w:hAnsi="Verdana" w:cs="Arial"/>
          <w:sz w:val="20"/>
          <w:szCs w:val="20"/>
        </w:rPr>
        <w:t>, debido a que la reforma de los pavimentos hacía parte de la etapa de construcción y, al haberse pactado su pago en la modalidad de precios unitarios, el valor estipulado era estimativo y estaba sujeto a multiplicar las cantidades de obra ejecutadas por el precio de cada una de ellas”.</w:t>
      </w:r>
    </w:p>
    <w:p w14:paraId="1B41D881" w14:textId="77777777" w:rsidR="00225FD2" w:rsidRPr="00D95654" w:rsidRDefault="00225FD2" w:rsidP="00225FD2">
      <w:pPr>
        <w:widowControl w:val="0"/>
        <w:autoSpaceDE w:val="0"/>
        <w:autoSpaceDN w:val="0"/>
        <w:spacing w:after="0" w:line="240" w:lineRule="auto"/>
        <w:jc w:val="both"/>
        <w:rPr>
          <w:rFonts w:ascii="Verdana" w:eastAsia="Calibri" w:hAnsi="Verdana" w:cs="Arial"/>
        </w:rPr>
      </w:pPr>
    </w:p>
    <w:p w14:paraId="481B96F8"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vertAlign w:val="superscript"/>
        </w:rPr>
      </w:pPr>
      <w:r w:rsidRPr="00D95654">
        <w:rPr>
          <w:rFonts w:ascii="Verdana" w:eastAsia="Calibri" w:hAnsi="Verdana" w:cs="Arial"/>
          <w:sz w:val="20"/>
          <w:szCs w:val="20"/>
        </w:rPr>
        <w:t>Sobre el particular, esta Corporación ha considerado que el límite de adiciones de que trata el artículo 40 de la Ley 80 de 1993, en virtud del cual no es posible</w:t>
      </w:r>
      <w:r w:rsidRPr="00D95654">
        <w:rPr>
          <w:rFonts w:ascii="Verdana" w:hAnsi="Verdana"/>
          <w:sz w:val="20"/>
          <w:szCs w:val="20"/>
        </w:rPr>
        <w:t xml:space="preserve"> </w:t>
      </w:r>
      <w:r w:rsidRPr="00D95654">
        <w:rPr>
          <w:rFonts w:ascii="Verdana" w:eastAsia="Calibri" w:hAnsi="Verdana" w:cs="Arial"/>
          <w:sz w:val="20"/>
          <w:szCs w:val="20"/>
        </w:rPr>
        <w:t>incrementar el valor del contrato en más de un 50%, es aplicable a acuerdos de voluntades sometidos al pago como precio global, pues en esos casos la suma que se fija desde un inicio es definitiva para los sujetos negociales, mientras que en los contratos cuyo pago es a precios unitarios no es aplicable, dado que el valor del negocio jurídico es provisional y el valor definitivo se determina al finalizarse el objeto contractual”</w:t>
      </w:r>
      <w:r w:rsidRPr="00D95654">
        <w:rPr>
          <w:rStyle w:val="Refdenotaalpie"/>
          <w:rFonts w:ascii="Verdana" w:eastAsia="Calibri" w:hAnsi="Verdana" w:cs="Arial"/>
          <w:sz w:val="20"/>
          <w:szCs w:val="20"/>
        </w:rPr>
        <w:footnoteReference w:id="19"/>
      </w:r>
      <w:r w:rsidRPr="00D95654">
        <w:rPr>
          <w:rFonts w:ascii="Verdana" w:eastAsia="Calibri" w:hAnsi="Verdana" w:cs="Arial"/>
          <w:sz w:val="20"/>
          <w:szCs w:val="20"/>
          <w:vertAlign w:val="superscript"/>
        </w:rPr>
        <w:t>-</w:t>
      </w:r>
    </w:p>
    <w:p w14:paraId="657B7438" w14:textId="77777777" w:rsidR="00225FD2" w:rsidRPr="00D95654" w:rsidRDefault="00225FD2" w:rsidP="00225FD2">
      <w:pPr>
        <w:widowControl w:val="0"/>
        <w:autoSpaceDE w:val="0"/>
        <w:autoSpaceDN w:val="0"/>
        <w:spacing w:after="0" w:line="276" w:lineRule="auto"/>
        <w:jc w:val="both"/>
        <w:rPr>
          <w:rFonts w:ascii="Verdana" w:eastAsia="Calibri" w:hAnsi="Verdana" w:cs="Arial"/>
        </w:rPr>
      </w:pPr>
    </w:p>
    <w:p w14:paraId="4C26772A" w14:textId="77777777" w:rsidR="00225FD2" w:rsidRPr="00D95654" w:rsidRDefault="00225FD2" w:rsidP="00CC2030">
      <w:pPr>
        <w:pStyle w:val="Prrafodelista"/>
        <w:widowControl w:val="0"/>
        <w:numPr>
          <w:ilvl w:val="0"/>
          <w:numId w:val="26"/>
        </w:numPr>
        <w:autoSpaceDE w:val="0"/>
        <w:autoSpaceDN w:val="0"/>
        <w:spacing w:after="0" w:line="276" w:lineRule="auto"/>
        <w:jc w:val="both"/>
        <w:rPr>
          <w:rFonts w:ascii="Verdana" w:eastAsia="Calibri" w:hAnsi="Verdana" w:cs="Arial"/>
        </w:rPr>
      </w:pPr>
      <w:r w:rsidRPr="00D95654">
        <w:rPr>
          <w:rFonts w:ascii="Verdana" w:eastAsia="Calibri" w:hAnsi="Verdana" w:cs="Arial"/>
        </w:rPr>
        <w:t xml:space="preserve">En igual sentido, en la sentencia reciente proferida por la Sección Tercera del Consejo de Estado, a la cual se refriere en su consulta, esta Corporación señaló:  </w:t>
      </w:r>
    </w:p>
    <w:p w14:paraId="7AB65288" w14:textId="77777777" w:rsidR="00225FD2" w:rsidRPr="00D95654" w:rsidRDefault="00225FD2" w:rsidP="00225FD2">
      <w:pPr>
        <w:widowControl w:val="0"/>
        <w:autoSpaceDE w:val="0"/>
        <w:autoSpaceDN w:val="0"/>
        <w:spacing w:after="0" w:line="276" w:lineRule="auto"/>
        <w:ind w:left="709" w:right="709"/>
        <w:jc w:val="both"/>
        <w:rPr>
          <w:rFonts w:ascii="Verdana" w:eastAsia="Calibri" w:hAnsi="Verdana" w:cs="Arial"/>
        </w:rPr>
      </w:pPr>
    </w:p>
    <w:p w14:paraId="3F89282A" w14:textId="77777777" w:rsidR="00225FD2" w:rsidRPr="00D95654" w:rsidRDefault="00225FD2" w:rsidP="00225FD2">
      <w:pPr>
        <w:widowControl w:val="0"/>
        <w:autoSpaceDE w:val="0"/>
        <w:autoSpaceDN w:val="0"/>
        <w:spacing w:after="0" w:line="240" w:lineRule="auto"/>
        <w:ind w:left="709" w:right="709"/>
        <w:jc w:val="both"/>
        <w:rPr>
          <w:rFonts w:ascii="Verdana" w:eastAsia="Calibri" w:hAnsi="Verdana" w:cs="Arial"/>
          <w:sz w:val="20"/>
          <w:szCs w:val="20"/>
        </w:rPr>
      </w:pPr>
      <w:r w:rsidRPr="00D95654">
        <w:rPr>
          <w:rFonts w:ascii="Verdana" w:eastAsia="Calibri" w:hAnsi="Verdana" w:cs="Arial"/>
          <w:sz w:val="20"/>
          <w:szCs w:val="20"/>
        </w:rPr>
        <w:t xml:space="preserve">"A partir de las consideraciones jurídicas anteriores, de entrada, se considera que le asiste razón al demandante en cuanto al argumento de que el límite de adiciones del artículo 40 de la ley 80 de 1993 no es </w:t>
      </w:r>
      <w:r w:rsidRPr="00D95654">
        <w:rPr>
          <w:rFonts w:ascii="Verdana" w:eastAsia="Calibri" w:hAnsi="Verdana" w:cs="Arial"/>
          <w:sz w:val="20"/>
          <w:szCs w:val="20"/>
        </w:rPr>
        <w:lastRenderedPageBreak/>
        <w:t>extensible al sub lite, debido a que la reforma de los pavimentos hacía parte de la etapa de construcción y, al haberse pactado su pago en la modalidad de precios unitarios, el valor estipulado era estimativo y estaba sujeto a multiplicar las cantidades de obra ejecutadas por el precio de cada una de ellas"</w:t>
      </w:r>
      <w:r w:rsidRPr="00D95654">
        <w:rPr>
          <w:rStyle w:val="Refdenotaalpie"/>
          <w:rFonts w:ascii="Verdana" w:eastAsia="Calibri" w:hAnsi="Verdana" w:cs="Arial"/>
          <w:sz w:val="20"/>
          <w:szCs w:val="20"/>
        </w:rPr>
        <w:footnoteReference w:id="20"/>
      </w:r>
      <w:r w:rsidRPr="00D95654">
        <w:rPr>
          <w:rFonts w:ascii="Verdana" w:eastAsia="Calibri" w:hAnsi="Verdana" w:cs="Arial"/>
          <w:sz w:val="20"/>
          <w:szCs w:val="20"/>
        </w:rPr>
        <w:t>.</w:t>
      </w:r>
    </w:p>
    <w:p w14:paraId="0BD6975F" w14:textId="77777777" w:rsidR="00225FD2" w:rsidRPr="00D95654" w:rsidRDefault="00225FD2" w:rsidP="00225FD2">
      <w:pPr>
        <w:widowControl w:val="0"/>
        <w:autoSpaceDE w:val="0"/>
        <w:autoSpaceDN w:val="0"/>
        <w:spacing w:after="0" w:line="276" w:lineRule="auto"/>
        <w:ind w:left="709" w:right="709"/>
        <w:jc w:val="both"/>
        <w:rPr>
          <w:rFonts w:ascii="Verdana" w:eastAsia="Calibri" w:hAnsi="Verdana" w:cs="Arial"/>
        </w:rPr>
      </w:pPr>
    </w:p>
    <w:p w14:paraId="7306E8A0" w14:textId="77777777" w:rsidR="00710BBB" w:rsidRPr="00D95654" w:rsidRDefault="00225FD2" w:rsidP="00225FD2">
      <w:pPr>
        <w:pStyle w:val="Prrafodelista"/>
        <w:widowControl w:val="0"/>
        <w:numPr>
          <w:ilvl w:val="0"/>
          <w:numId w:val="26"/>
        </w:numPr>
        <w:autoSpaceDE w:val="0"/>
        <w:autoSpaceDN w:val="0"/>
        <w:spacing w:after="120" w:line="276" w:lineRule="auto"/>
        <w:jc w:val="both"/>
        <w:rPr>
          <w:rFonts w:ascii="Verdana" w:eastAsia="Calibri" w:hAnsi="Verdana" w:cs="Arial"/>
        </w:rPr>
      </w:pPr>
      <w:r w:rsidRPr="00D95654">
        <w:rPr>
          <w:rFonts w:ascii="Verdana" w:eastAsia="Calibri" w:hAnsi="Verdana" w:cs="Arial"/>
        </w:rPr>
        <w:t xml:space="preserve">Visto el desarrollo jurisprudencial del tema, si bien, no se evidencia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 En atención a esto, esta Subdirección acoge la postura asumida por la Sentencia del 24 de abril de 2024 – a la cual se refiere en su consulta -, y abandona la expuesta en los conceptos </w:t>
      </w:r>
      <w:r w:rsidRPr="00D95654">
        <w:rPr>
          <w:rFonts w:ascii="Verdana" w:hAnsi="Verdana" w:cs="Arial"/>
          <w:szCs w:val="24"/>
          <w:lang w:eastAsia="es-ES_tradnl"/>
        </w:rPr>
        <w:t>C-062 del 25 de marzo de 2020, C-100 del 27 de marzo de 2020, C-318 del 28 de mayo de 2020, C–452 del 28 de julio de 2020,</w:t>
      </w:r>
      <w:r w:rsidRPr="00D95654">
        <w:rPr>
          <w:rFonts w:ascii="Verdana" w:hAnsi="Verdana" w:cs="Arial"/>
          <w:bCs/>
          <w:szCs w:val="24"/>
          <w:lang w:eastAsia="es-ES_tradnl"/>
        </w:rPr>
        <w:t xml:space="preserve"> C-560 del 24 de agosto de 2020, C-628 del 23 de septiembre del 2020,</w:t>
      </w:r>
      <w:r w:rsidRPr="00D95654">
        <w:rPr>
          <w:rFonts w:ascii="Verdana" w:hAnsi="Verdana" w:cs="Arial"/>
          <w:szCs w:val="24"/>
          <w:lang w:eastAsia="es-ES_tradnl"/>
        </w:rPr>
        <w:t xml:space="preserve"> C-750 del 21 de diciembre de 2020,</w:t>
      </w:r>
      <w:r w:rsidRPr="00D95654">
        <w:rPr>
          <w:rFonts w:ascii="Verdana" w:hAnsi="Verdana" w:cs="Arial"/>
          <w:bCs/>
          <w:szCs w:val="24"/>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 C-784 del 21 de noviembre de 2022, entre otros. </w:t>
      </w:r>
      <w:r w:rsidRPr="00D95654">
        <w:rPr>
          <w:rFonts w:ascii="Verdana" w:hAnsi="Verdana" w:cs="Arial"/>
          <w:szCs w:val="24"/>
          <w:lang w:eastAsia="es-ES_tradnl"/>
        </w:rPr>
        <w:t xml:space="preserve"> </w:t>
      </w:r>
      <w:r w:rsidRPr="00D95654">
        <w:rPr>
          <w:rFonts w:ascii="Verdana" w:eastAsia="Calibri" w:hAnsi="Verdana" w:cs="Arial"/>
        </w:rPr>
        <w:t xml:space="preserve">  </w:t>
      </w:r>
      <w:bookmarkStart w:id="5" w:name="_Hlk176963691"/>
    </w:p>
    <w:p w14:paraId="7718F9AB" w14:textId="77777777" w:rsidR="00710BBB" w:rsidRPr="00D95654" w:rsidRDefault="00710BBB" w:rsidP="00710BBB">
      <w:pPr>
        <w:pStyle w:val="Prrafodelista"/>
        <w:widowControl w:val="0"/>
        <w:autoSpaceDE w:val="0"/>
        <w:autoSpaceDN w:val="0"/>
        <w:spacing w:after="120" w:line="276" w:lineRule="auto"/>
        <w:ind w:left="360"/>
        <w:jc w:val="both"/>
        <w:rPr>
          <w:rFonts w:ascii="Verdana" w:eastAsia="Calibri" w:hAnsi="Verdana" w:cs="Arial"/>
        </w:rPr>
      </w:pPr>
    </w:p>
    <w:p w14:paraId="2BB7C254" w14:textId="77777777" w:rsidR="00C97EB8" w:rsidRPr="00D95654" w:rsidRDefault="00225FD2" w:rsidP="00C97EB8">
      <w:pPr>
        <w:pStyle w:val="Prrafodelista"/>
        <w:widowControl w:val="0"/>
        <w:numPr>
          <w:ilvl w:val="0"/>
          <w:numId w:val="26"/>
        </w:numPr>
        <w:autoSpaceDE w:val="0"/>
        <w:autoSpaceDN w:val="0"/>
        <w:spacing w:after="120" w:line="276" w:lineRule="auto"/>
        <w:jc w:val="both"/>
        <w:rPr>
          <w:rFonts w:ascii="Verdana" w:eastAsia="Calibri" w:hAnsi="Verdana" w:cs="Arial"/>
        </w:rPr>
      </w:pPr>
      <w:r w:rsidRPr="00D95654">
        <w:rPr>
          <w:rFonts w:ascii="Verdana" w:eastAsia="Calibri" w:hAnsi="Verdana" w:cs="Arial"/>
        </w:rPr>
        <w:t>En consideración, podemos entonces concluir que,</w:t>
      </w:r>
      <w:r w:rsidRPr="00D95654">
        <w:rPr>
          <w:rFonts w:ascii="Verdana" w:hAnsi="Verdana"/>
        </w:rPr>
        <w:t xml:space="preserve"> en los contratos de obra suscritos a precios unitarios, la mayor cantidad de obra ejecutada consiste en aquella que fue contratada pero que su estimativo inicial fue sobrepasado durante la ejecución del contrato. La mayor cantidad de obra por encima del valor estimativo inicial en los contratos a precios unitarios no implica en forma alguna un cambio de objeto o en su valor. Por tal razón, el </w:t>
      </w:r>
      <w:r w:rsidRPr="00D95654">
        <w:rPr>
          <w:rFonts w:ascii="Verdana" w:hAnsi="Verdana"/>
        </w:rPr>
        <w:lastRenderedPageBreak/>
        <w:t>reconocimiento de mayores cantidades de obra, previamente autorizadas y recibidas por la entidad contratante, realmente no se está adicionando el contrato, sino procediendo, conforme a lo previsto en el mismo. En consecuencia, las cantidades de obra que resulten de las mediciones de los ítems de obra pertinentes no requiere contrato adicional y, por tanto, no les aplica el límite cuantitativo establecido en el artículo 40 de la Ley 80 de 1993. En este contexto, para el reconocimiento de mayores cantidades de obra u obras adicionales o complementarias, las mismas deben haber sido previamente autorizadas y recibidas a satisfacción por la entidad contratante</w:t>
      </w:r>
      <w:r w:rsidRPr="00D95654">
        <w:rPr>
          <w:rStyle w:val="Refdenotaalpie"/>
          <w:rFonts w:ascii="Verdana" w:hAnsi="Verdana"/>
        </w:rPr>
        <w:footnoteReference w:id="21"/>
      </w:r>
      <w:r w:rsidRPr="00D95654">
        <w:rPr>
          <w:rFonts w:ascii="Verdana" w:hAnsi="Verdana"/>
        </w:rPr>
        <w:t>.</w:t>
      </w:r>
    </w:p>
    <w:p w14:paraId="728578BE" w14:textId="77777777" w:rsidR="00C97EB8" w:rsidRPr="00D95654" w:rsidRDefault="00C97EB8" w:rsidP="00C97EB8">
      <w:pPr>
        <w:pStyle w:val="Prrafodelista"/>
        <w:widowControl w:val="0"/>
        <w:autoSpaceDE w:val="0"/>
        <w:autoSpaceDN w:val="0"/>
        <w:spacing w:after="120" w:line="276" w:lineRule="auto"/>
        <w:ind w:left="360"/>
        <w:jc w:val="both"/>
        <w:rPr>
          <w:rFonts w:ascii="Verdana" w:eastAsia="Calibri" w:hAnsi="Verdana" w:cs="Arial"/>
        </w:rPr>
      </w:pPr>
    </w:p>
    <w:p w14:paraId="350A1628" w14:textId="77777777" w:rsidR="00C97EB8" w:rsidRPr="00D95654" w:rsidRDefault="00225FD2" w:rsidP="00C97EB8">
      <w:pPr>
        <w:pStyle w:val="Prrafodelista"/>
        <w:widowControl w:val="0"/>
        <w:numPr>
          <w:ilvl w:val="0"/>
          <w:numId w:val="26"/>
        </w:numPr>
        <w:autoSpaceDE w:val="0"/>
        <w:autoSpaceDN w:val="0"/>
        <w:spacing w:after="120" w:line="276" w:lineRule="auto"/>
        <w:jc w:val="both"/>
        <w:rPr>
          <w:rFonts w:ascii="Verdana" w:eastAsia="Calibri" w:hAnsi="Verdana" w:cs="Arial"/>
        </w:rPr>
      </w:pPr>
      <w:r w:rsidRPr="00D95654">
        <w:rPr>
          <w:rFonts w:ascii="Verdana" w:hAnsi="Verdana"/>
        </w:rPr>
        <w:t>Por el contrario, las adiciones hacen referencia a aumentos en el valor del contrato relacionadas con ítems o actividades no contempladas o previstas dentro del contrato que requieren ser ejecutadas para la obtención y cumplimiento del objeto contractual, por tal motivo, para su reconocimiento se requiere de la suscripción de un contrato adicional o modificatorio del contrato inicial. En ese sentido, comoquiera que esta obra implica modificación al contrato, será necesario, en forma previa, el perfeccionamiento de contrato adicional o modificatorio. En este caso, si se torna aplicable el límite establecido en el parágrafo del artículo 40 de la Ley 80 de 1993, lo cual indica que estos negocios jurídicos no podrán adicionarse en más del cincuenta por ciento (50%) de su valor inicial, expresado en salarios mínimos legales mensuales.</w:t>
      </w:r>
    </w:p>
    <w:p w14:paraId="5F00BD31" w14:textId="77777777" w:rsidR="00C97EB8" w:rsidRPr="00D95654" w:rsidRDefault="00C97EB8" w:rsidP="00C97EB8">
      <w:pPr>
        <w:pStyle w:val="Prrafodelista"/>
        <w:rPr>
          <w:rFonts w:ascii="Verdana" w:eastAsia="Calibri" w:hAnsi="Verdana" w:cs="Arial"/>
        </w:rPr>
      </w:pPr>
    </w:p>
    <w:p w14:paraId="434D6A3E" w14:textId="77777777" w:rsidR="00C97EB8" w:rsidRPr="00D95654" w:rsidRDefault="00225FD2" w:rsidP="00C97EB8">
      <w:pPr>
        <w:pStyle w:val="Prrafodelista"/>
        <w:widowControl w:val="0"/>
        <w:numPr>
          <w:ilvl w:val="0"/>
          <w:numId w:val="26"/>
        </w:numPr>
        <w:autoSpaceDE w:val="0"/>
        <w:autoSpaceDN w:val="0"/>
        <w:spacing w:after="120" w:line="276" w:lineRule="auto"/>
        <w:jc w:val="both"/>
        <w:rPr>
          <w:rFonts w:ascii="Verdana" w:eastAsia="Calibri" w:hAnsi="Verdana" w:cs="Arial"/>
        </w:rPr>
      </w:pPr>
      <w:r w:rsidRPr="00D95654">
        <w:rPr>
          <w:rFonts w:ascii="Verdana" w:eastAsia="Calibri" w:hAnsi="Verdana" w:cs="Arial"/>
        </w:rPr>
        <w:t xml:space="preserve">Sin perjuicio de lo expuesto, </w:t>
      </w:r>
      <w:r w:rsidRPr="00D95654">
        <w:rPr>
          <w:rFonts w:ascii="Verdana" w:hAnsi="Verdana"/>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w:t>
      </w:r>
      <w:r w:rsidRPr="00D95654">
        <w:rPr>
          <w:rFonts w:ascii="Verdana" w:hAnsi="Verdana"/>
        </w:rPr>
        <w:lastRenderedPageBreak/>
        <w:t>explicará a continuación</w:t>
      </w:r>
      <w:r w:rsidRPr="00D95654">
        <w:rPr>
          <w:rStyle w:val="Refdenotaalpie"/>
          <w:rFonts w:ascii="Verdana" w:hAnsi="Verdana"/>
        </w:rPr>
        <w:footnoteReference w:id="22"/>
      </w:r>
      <w:r w:rsidRPr="00D95654">
        <w:rPr>
          <w:rFonts w:ascii="Verdana" w:hAnsi="Verdana"/>
        </w:rPr>
        <w:t xml:space="preserve">. </w:t>
      </w:r>
    </w:p>
    <w:p w14:paraId="0BF1AFA8" w14:textId="77777777" w:rsidR="00C97EB8" w:rsidRPr="00D95654" w:rsidRDefault="00C97EB8" w:rsidP="00C97EB8">
      <w:pPr>
        <w:pStyle w:val="Prrafodelista"/>
        <w:rPr>
          <w:rFonts w:ascii="Verdana" w:hAnsi="Verdana"/>
        </w:rPr>
      </w:pPr>
    </w:p>
    <w:p w14:paraId="765EC647" w14:textId="13266716" w:rsidR="00225FD2" w:rsidRPr="00D95654" w:rsidRDefault="00225FD2" w:rsidP="00C97EB8">
      <w:pPr>
        <w:pStyle w:val="Prrafodelista"/>
        <w:widowControl w:val="0"/>
        <w:numPr>
          <w:ilvl w:val="0"/>
          <w:numId w:val="26"/>
        </w:numPr>
        <w:autoSpaceDE w:val="0"/>
        <w:autoSpaceDN w:val="0"/>
        <w:spacing w:after="120" w:line="276" w:lineRule="auto"/>
        <w:jc w:val="both"/>
        <w:rPr>
          <w:rFonts w:ascii="Verdana" w:eastAsia="Calibri" w:hAnsi="Verdana" w:cs="Arial"/>
        </w:rPr>
      </w:pPr>
      <w:r w:rsidRPr="00D95654">
        <w:rPr>
          <w:rFonts w:ascii="Verdana" w:hAnsi="Verdana"/>
        </w:rPr>
        <w:t xml:space="preserve">Dentro de los límites de orden temporal están comprendidos: </w:t>
      </w:r>
      <w:r w:rsidRPr="00D95654">
        <w:rPr>
          <w:rFonts w:ascii="Verdana" w:eastAsia="Arial" w:hAnsi="Verdana" w:cs="Arial"/>
          <w:lang w:val="es-MX" w:eastAsia="es-ES" w:bidi="es-ES"/>
        </w:rPr>
        <w:t xml:space="preserve">i) la vigencia del contrato, pues no podría modificarse un contrato cuyo plazo ha culminado y; </w:t>
      </w:r>
      <w:proofErr w:type="spellStart"/>
      <w:r w:rsidRPr="00D95654">
        <w:rPr>
          <w:rFonts w:ascii="Verdana" w:eastAsia="Arial" w:hAnsi="Verdana" w:cs="Arial"/>
          <w:lang w:val="es-MX" w:eastAsia="es-ES" w:bidi="es-ES"/>
        </w:rPr>
        <w:t>ii</w:t>
      </w:r>
      <w:proofErr w:type="spellEnd"/>
      <w:r w:rsidRPr="00D95654">
        <w:rPr>
          <w:rFonts w:ascii="Verdana" w:eastAsia="Arial" w:hAnsi="Verdana" w:cs="Arial"/>
          <w:lang w:val="es-MX" w:eastAsia="es-ES" w:bidi="es-ES"/>
        </w:rPr>
        <w:t>) la prohibición de consagrar prórrogas automáticas, sucesivas o indefinidas, en tanto resultan contrarias al derecho esencial de la libertad de competencia.</w:t>
      </w:r>
    </w:p>
    <w:p w14:paraId="2CE992E5" w14:textId="77777777" w:rsidR="00225FD2" w:rsidRPr="00D95654" w:rsidRDefault="00225FD2" w:rsidP="00B54F28">
      <w:pPr>
        <w:pStyle w:val="Prrafodelista"/>
        <w:widowControl w:val="0"/>
        <w:numPr>
          <w:ilvl w:val="0"/>
          <w:numId w:val="26"/>
        </w:numPr>
        <w:autoSpaceDE w:val="0"/>
        <w:autoSpaceDN w:val="0"/>
        <w:spacing w:after="0" w:line="276" w:lineRule="auto"/>
        <w:jc w:val="both"/>
        <w:rPr>
          <w:rFonts w:ascii="Verdana" w:hAnsi="Verdana"/>
          <w:b/>
          <w:i/>
        </w:rPr>
      </w:pPr>
      <w:r w:rsidRPr="00D95654">
        <w:rPr>
          <w:rFonts w:ascii="Verdana" w:eastAsia="Calibri" w:hAnsi="Verdana" w:cs="Arial"/>
        </w:rPr>
        <w:t xml:space="preserve">Dentro de los límites de orden formal, se debe señalar que, por un lado, es necesario que, la </w:t>
      </w:r>
      <w:r w:rsidRPr="00D95654">
        <w:rPr>
          <w:rFonts w:ascii="Verdana" w:eastAsia="Arial" w:hAnsi="Verdana" w:cs="Arial"/>
          <w:lang w:val="es-MX" w:eastAsia="es-ES" w:bidi="es-ES"/>
        </w:rPr>
        <w:t xml:space="preserve">modificación de los contratos conste por escrito, dado el carácter solemne del contrato estatal. Por otro lado, </w:t>
      </w:r>
      <w:r w:rsidRPr="00D95654">
        <w:rPr>
          <w:rFonts w:ascii="Verdana" w:eastAsia="Calibri" w:hAnsi="Verdana" w:cs="Arial"/>
        </w:rPr>
        <w:t>la entidad debe motivar y justificar la modificación. Al respecto el Concejo de Estado ha señalado:</w:t>
      </w:r>
    </w:p>
    <w:p w14:paraId="17B533D6" w14:textId="77777777" w:rsidR="00225FD2" w:rsidRPr="00D95654" w:rsidRDefault="00225FD2" w:rsidP="00225FD2">
      <w:pPr>
        <w:spacing w:after="0" w:line="276" w:lineRule="auto"/>
        <w:jc w:val="both"/>
        <w:rPr>
          <w:rFonts w:ascii="Verdana" w:hAnsi="Verdana"/>
          <w:i/>
        </w:rPr>
      </w:pPr>
    </w:p>
    <w:p w14:paraId="1D9247A6" w14:textId="77777777" w:rsidR="00225FD2" w:rsidRPr="00D95654" w:rsidRDefault="00225FD2" w:rsidP="00225FD2">
      <w:pPr>
        <w:spacing w:after="0" w:line="240" w:lineRule="auto"/>
        <w:ind w:left="709" w:right="709"/>
        <w:jc w:val="both"/>
        <w:rPr>
          <w:rFonts w:ascii="Verdana" w:hAnsi="Verdana"/>
          <w:sz w:val="20"/>
          <w:szCs w:val="20"/>
        </w:rPr>
      </w:pPr>
      <w:r w:rsidRPr="00D95654">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0FD379E8" w14:textId="77777777" w:rsidR="00225FD2" w:rsidRPr="00D95654" w:rsidRDefault="00225FD2" w:rsidP="00225FD2">
      <w:pPr>
        <w:spacing w:after="0" w:line="240" w:lineRule="auto"/>
        <w:ind w:left="709" w:right="709"/>
        <w:jc w:val="both"/>
        <w:rPr>
          <w:rFonts w:ascii="Verdana" w:hAnsi="Verdana"/>
          <w:sz w:val="20"/>
          <w:szCs w:val="20"/>
        </w:rPr>
      </w:pPr>
    </w:p>
    <w:p w14:paraId="3EF88183" w14:textId="77777777" w:rsidR="00225FD2" w:rsidRPr="00D95654" w:rsidRDefault="00225FD2" w:rsidP="00225FD2">
      <w:pPr>
        <w:spacing w:after="0" w:line="240" w:lineRule="auto"/>
        <w:ind w:left="709" w:right="709"/>
        <w:jc w:val="both"/>
        <w:rPr>
          <w:rFonts w:ascii="Verdana" w:hAnsi="Verdana"/>
          <w:sz w:val="20"/>
          <w:szCs w:val="20"/>
        </w:rPr>
      </w:pPr>
      <w:r w:rsidRPr="00D95654">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5E8D5C53" w14:textId="77777777" w:rsidR="00225FD2" w:rsidRPr="00D95654" w:rsidRDefault="00225FD2" w:rsidP="00225FD2">
      <w:pPr>
        <w:spacing w:after="0" w:line="240" w:lineRule="auto"/>
        <w:ind w:left="709" w:right="709"/>
        <w:jc w:val="both"/>
        <w:rPr>
          <w:rFonts w:ascii="Verdana" w:hAnsi="Verdana"/>
          <w:sz w:val="20"/>
          <w:szCs w:val="20"/>
        </w:rPr>
      </w:pPr>
    </w:p>
    <w:p w14:paraId="701BBEE8" w14:textId="77777777" w:rsidR="00225FD2" w:rsidRPr="00D95654" w:rsidRDefault="00225FD2" w:rsidP="00225FD2">
      <w:pPr>
        <w:spacing w:after="0" w:line="240" w:lineRule="auto"/>
        <w:ind w:left="709" w:right="709"/>
        <w:jc w:val="both"/>
        <w:rPr>
          <w:rFonts w:ascii="Verdana" w:hAnsi="Verdana"/>
          <w:sz w:val="20"/>
          <w:szCs w:val="20"/>
        </w:rPr>
      </w:pPr>
      <w:r w:rsidRPr="00D95654">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D95654">
        <w:rPr>
          <w:rStyle w:val="Refdenotaalpie"/>
          <w:rFonts w:ascii="Verdana" w:hAnsi="Verdana"/>
          <w:sz w:val="20"/>
          <w:szCs w:val="20"/>
        </w:rPr>
        <w:footnoteReference w:id="23"/>
      </w:r>
      <w:r w:rsidRPr="00D95654">
        <w:rPr>
          <w:rFonts w:ascii="Verdana" w:hAnsi="Verdana"/>
          <w:sz w:val="20"/>
          <w:szCs w:val="20"/>
        </w:rPr>
        <w:t>.</w:t>
      </w:r>
    </w:p>
    <w:bookmarkEnd w:id="5"/>
    <w:p w14:paraId="7377B38D" w14:textId="77777777" w:rsidR="00225FD2" w:rsidRPr="00D95654" w:rsidRDefault="00225FD2" w:rsidP="00225FD2">
      <w:pPr>
        <w:widowControl w:val="0"/>
        <w:autoSpaceDE w:val="0"/>
        <w:autoSpaceDN w:val="0"/>
        <w:spacing w:after="0" w:line="276" w:lineRule="auto"/>
        <w:jc w:val="both"/>
        <w:rPr>
          <w:rFonts w:ascii="Verdana" w:eastAsia="Calibri" w:hAnsi="Verdana" w:cs="Arial"/>
        </w:rPr>
      </w:pPr>
      <w:r w:rsidRPr="00D95654">
        <w:rPr>
          <w:rFonts w:ascii="Verdana" w:eastAsia="Calibri" w:hAnsi="Verdana" w:cs="Arial"/>
        </w:rPr>
        <w:t xml:space="preserve"> </w:t>
      </w:r>
    </w:p>
    <w:p w14:paraId="0C45095E" w14:textId="77777777" w:rsidR="00B54F28" w:rsidRPr="00D95654" w:rsidRDefault="00225FD2" w:rsidP="00B54F28">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 xml:space="preserve">Los límites materiales </w:t>
      </w:r>
      <w:r w:rsidRPr="00D95654">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D95654">
        <w:rPr>
          <w:rFonts w:ascii="Verdana" w:eastAsia="Arial" w:hAnsi="Verdana" w:cs="Arial"/>
          <w:i/>
          <w:lang w:val="es-MX" w:eastAsia="es-ES" w:bidi="es-ES"/>
        </w:rPr>
        <w:t xml:space="preserve">“habiendo figurado en el procedimiento inicial, </w:t>
      </w:r>
      <w:r w:rsidRPr="00D95654">
        <w:rPr>
          <w:rFonts w:ascii="Verdana" w:eastAsia="Arial" w:hAnsi="Verdana" w:cs="Arial"/>
          <w:i/>
          <w:lang w:val="es-MX" w:eastAsia="es-ES" w:bidi="es-ES"/>
        </w:rPr>
        <w:lastRenderedPageBreak/>
        <w:t>hubiera permitido la participación de otros interesados aparte de los inicialmente admitidos, o seleccionar una oferta distinta de la inicialmente seleccionada”</w:t>
      </w:r>
      <w:r w:rsidRPr="00D95654">
        <w:rPr>
          <w:rStyle w:val="Refdenotaalpie"/>
          <w:rFonts w:ascii="Verdana" w:eastAsia="Arial" w:hAnsi="Verdana" w:cs="Arial"/>
          <w:i/>
          <w:lang w:val="es-MX" w:eastAsia="es-ES" w:bidi="es-ES"/>
        </w:rPr>
        <w:footnoteReference w:id="24"/>
      </w:r>
      <w:r w:rsidRPr="00D95654">
        <w:rPr>
          <w:rFonts w:ascii="Verdana" w:eastAsia="Arial" w:hAnsi="Verdana" w:cs="Arial"/>
          <w:i/>
          <w:lang w:val="es-MX" w:eastAsia="es-ES" w:bidi="es-ES"/>
        </w:rPr>
        <w:t xml:space="preserve">. </w:t>
      </w:r>
    </w:p>
    <w:p w14:paraId="3F5818BF" w14:textId="77777777" w:rsidR="00B54F28" w:rsidRPr="00D95654" w:rsidRDefault="00B54F28" w:rsidP="00B54F28">
      <w:pPr>
        <w:pStyle w:val="Prrafodelista"/>
        <w:widowControl w:val="0"/>
        <w:autoSpaceDE w:val="0"/>
        <w:autoSpaceDN w:val="0"/>
        <w:spacing w:after="120" w:line="276" w:lineRule="auto"/>
        <w:ind w:left="360"/>
        <w:jc w:val="both"/>
        <w:rPr>
          <w:rFonts w:ascii="Verdana" w:eastAsia="Arial" w:hAnsi="Verdana" w:cs="Arial"/>
          <w:i/>
          <w:lang w:val="es-MX" w:eastAsia="es-ES" w:bidi="es-ES"/>
        </w:rPr>
      </w:pPr>
    </w:p>
    <w:p w14:paraId="089CF7F5" w14:textId="77777777" w:rsidR="00B54F28" w:rsidRPr="00D95654" w:rsidRDefault="00225FD2" w:rsidP="00B54F28">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Arial" w:hAnsi="Verdana" w:cs="Arial"/>
          <w:lang w:val="es-MX" w:eastAsia="es-ES" w:bidi="es-ES"/>
        </w:rPr>
        <w:t xml:space="preserve">Finalmente, se encuentran los límites axiológicos, los cuales atienen a la necesidad de preservar los principios de igualdad, transparencia, libertad de concurrencia, selección objetiva y planeación. </w:t>
      </w:r>
      <w:r w:rsidRPr="00D95654">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Así las cosas, l</w:t>
      </w:r>
      <w:r w:rsidRPr="00D95654">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08E13871" w14:textId="77777777" w:rsidR="00B54F28" w:rsidRPr="00D95654" w:rsidRDefault="00B54F28" w:rsidP="00B54F28">
      <w:pPr>
        <w:pStyle w:val="Prrafodelista"/>
        <w:rPr>
          <w:rFonts w:ascii="Verdana" w:eastAsia="Arial" w:hAnsi="Verdana" w:cs="Arial"/>
          <w:lang w:val="es-MX" w:eastAsia="es-ES" w:bidi="es-ES"/>
        </w:rPr>
      </w:pPr>
    </w:p>
    <w:p w14:paraId="2EA969F2" w14:textId="77777777" w:rsidR="00B54F28" w:rsidRPr="00D95654" w:rsidRDefault="00225FD2" w:rsidP="00B54F28">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D95654">
        <w:rPr>
          <w:rFonts w:ascii="Verdana" w:eastAsia="Arial" w:hAnsi="Verdana" w:cs="Arial"/>
          <w:lang w:val="es-ES_tradnl" w:eastAsia="es-ES" w:bidi="es-ES"/>
        </w:rPr>
        <w:t>”</w:t>
      </w:r>
      <w:r w:rsidRPr="00D95654">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D95654">
        <w:rPr>
          <w:rFonts w:ascii="Verdana" w:eastAsia="Calibri" w:hAnsi="Verdana" w:cs="Arial"/>
          <w:lang w:val="es-MX" w:eastAsia="es-ES_tradnl"/>
        </w:rPr>
        <w:t xml:space="preserve"> </w:t>
      </w:r>
    </w:p>
    <w:p w14:paraId="345236C4" w14:textId="77777777" w:rsidR="00B54F28" w:rsidRPr="00D95654" w:rsidRDefault="00B54F28" w:rsidP="00B54F28">
      <w:pPr>
        <w:pStyle w:val="Prrafodelista"/>
        <w:rPr>
          <w:rFonts w:ascii="Verdana" w:eastAsia="Calibri" w:hAnsi="Verdana" w:cs="Arial"/>
          <w:lang w:val="es-MX" w:eastAsia="es-ES_tradnl"/>
        </w:rPr>
      </w:pPr>
    </w:p>
    <w:p w14:paraId="2638B3C5" w14:textId="77777777" w:rsidR="00B54F28" w:rsidRPr="00D95654" w:rsidRDefault="00225FD2" w:rsidP="00B54F28">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lang w:val="es-MX" w:eastAsia="es-ES_tradnl"/>
        </w:rPr>
        <w:t>E</w:t>
      </w:r>
      <w:r w:rsidRPr="00D95654">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D95654">
        <w:rPr>
          <w:rFonts w:ascii="Verdana" w:eastAsia="Arial" w:hAnsi="Verdana" w:cs="Arial"/>
          <w:lang w:val="es-ES_tradnl" w:eastAsia="es-ES" w:bidi="es-ES"/>
        </w:rPr>
        <w:t>.</w:t>
      </w:r>
      <w:r w:rsidRPr="00D95654">
        <w:rPr>
          <w:rFonts w:ascii="Verdana" w:eastAsia="Calibri" w:hAnsi="Verdana" w:cs="Arial"/>
          <w:bCs/>
          <w:lang w:eastAsia="es-ES_tradnl"/>
        </w:rPr>
        <w:t xml:space="preserve"> </w:t>
      </w:r>
    </w:p>
    <w:p w14:paraId="68554150" w14:textId="77777777" w:rsidR="00B54F28" w:rsidRPr="00D95654" w:rsidRDefault="00B54F28" w:rsidP="00B54F28">
      <w:pPr>
        <w:pStyle w:val="Prrafodelista"/>
        <w:rPr>
          <w:rFonts w:ascii="Verdana" w:eastAsia="Calibri" w:hAnsi="Verdana" w:cs="Arial"/>
          <w:lang w:eastAsia="es-ES_tradnl"/>
        </w:rPr>
      </w:pPr>
    </w:p>
    <w:p w14:paraId="42E75A20" w14:textId="77777777" w:rsidR="00B54F28" w:rsidRPr="00D95654" w:rsidRDefault="00225FD2" w:rsidP="00B54F28">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lang w:eastAsia="es-ES_tradnl"/>
        </w:rPr>
        <w:t xml:space="preserve">Sumado a lo anterior, la posibilidad de ejecutar por encima del valor inicialmente estimado un contrato estructurado en el marco del sistema precios unitarios no puede usarse para inaplicar o desconocer la modalidad </w:t>
      </w:r>
      <w:r w:rsidRPr="00D95654">
        <w:rPr>
          <w:rFonts w:ascii="Verdana" w:eastAsia="Calibri" w:hAnsi="Verdana" w:cs="Arial"/>
          <w:lang w:eastAsia="es-ES_tradnl"/>
        </w:rPr>
        <w:lastRenderedPageBreak/>
        <w:t>de selección aplicable al caso, de acuerdo con la cuantía del Proceso de Contratación, con miras a garantizar la transparencia, la selección objetiva y el principio de planeación en la actividad contractual.</w:t>
      </w:r>
    </w:p>
    <w:p w14:paraId="40795CC9" w14:textId="77777777" w:rsidR="00B54F28" w:rsidRPr="00D95654" w:rsidRDefault="00B54F28" w:rsidP="00B54F28">
      <w:pPr>
        <w:pStyle w:val="Prrafodelista"/>
        <w:rPr>
          <w:rFonts w:ascii="Verdana" w:eastAsia="Calibri" w:hAnsi="Verdana" w:cs="Arial"/>
        </w:rPr>
      </w:pPr>
    </w:p>
    <w:p w14:paraId="1D6EBF1A" w14:textId="77777777" w:rsidR="003F77B5"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 xml:space="preserve">Lo </w:t>
      </w:r>
      <w:r w:rsidR="00B54F28" w:rsidRPr="00D95654">
        <w:rPr>
          <w:rFonts w:ascii="Verdana" w:eastAsia="Calibri" w:hAnsi="Verdana" w:cs="Arial"/>
        </w:rPr>
        <w:t>expuesto</w:t>
      </w:r>
      <w:r w:rsidRPr="00D95654">
        <w:rPr>
          <w:rFonts w:ascii="Verdana" w:eastAsia="Calibri" w:hAnsi="Verdana" w:cs="Arial"/>
        </w:rPr>
        <w:t xml:space="preserve"> además considerando que, si bien en los contratos pactados en la </w:t>
      </w:r>
      <w:r w:rsidRPr="00D95654">
        <w:rPr>
          <w:rFonts w:ascii="Verdana" w:hAnsi="Verdana"/>
        </w:rPr>
        <w:t xml:space="preserve">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 </w:t>
      </w:r>
    </w:p>
    <w:p w14:paraId="3CA613AD" w14:textId="77777777" w:rsidR="003F77B5" w:rsidRPr="00D95654" w:rsidRDefault="003F77B5" w:rsidP="003F77B5">
      <w:pPr>
        <w:pStyle w:val="Prrafodelista"/>
        <w:rPr>
          <w:rFonts w:ascii="Verdana" w:hAnsi="Verdana"/>
        </w:rPr>
      </w:pPr>
    </w:p>
    <w:p w14:paraId="03618CFA" w14:textId="77777777" w:rsidR="003F77B5"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hAnsi="Verdana"/>
        </w:rPr>
        <w:t>En consideración a lo anterior, y en atención a los principios que rigen la contratación estatal, estima esta Subdirección que no pueden pactarse cantidades de obra de manera indeterminadas sin fijar las reglas claras para determinarlas. Además, las variaciones del valor estimado respecto del valor final deben ser mínimas.</w:t>
      </w:r>
      <w:r w:rsidRPr="00D95654">
        <w:rPr>
          <w:rFonts w:ascii="Verdana" w:eastAsia="Calibri" w:hAnsi="Verdana" w:cs="Arial"/>
        </w:rPr>
        <w:t xml:space="preserve"> Al respecto, l</w:t>
      </w:r>
      <w:r w:rsidRPr="00D95654">
        <w:rPr>
          <w:rFonts w:ascii="Verdana" w:hAnsi="Verdana"/>
        </w:rPr>
        <w:t>a doctrina ha señalado respecto a los contratos de obra a precios unitarios que, el número de unidades debe estar dentro de ciertos límites, porque de lo contrario el contrato quedaría de valor indeterminado</w:t>
      </w:r>
      <w:r w:rsidRPr="00D95654">
        <w:rPr>
          <w:rStyle w:val="Refdenotaalpie"/>
          <w:rFonts w:ascii="Verdana" w:hAnsi="Verdana"/>
        </w:rPr>
        <w:footnoteReference w:id="25"/>
      </w:r>
      <w:r w:rsidRPr="00D95654">
        <w:rPr>
          <w:rFonts w:ascii="Verdana" w:hAnsi="Verdana"/>
        </w:rPr>
        <w:t>. En el mismo sentido, el Consejo de Estado ha señalado que, el hecho de no fijar reglas claras dentro del contrato estatal que permitan de forma cierta y concreta definir el valor final del contrato, violaría el deber de planeación y los principios de la contratación administrativa de transparencia, selección objetiva, igualdad, imparcialidad, economía, libre concurrencia, pues se estaría permitiendo el aumento del valor inicial del contrato sin criterios objetivos. Además, se transgrediría la obligación legal de tener estudios previos definidos, claros y objetivos</w:t>
      </w:r>
      <w:r w:rsidRPr="00D95654">
        <w:rPr>
          <w:rStyle w:val="Refdenotaalpie"/>
          <w:rFonts w:ascii="Verdana" w:hAnsi="Verdana"/>
        </w:rPr>
        <w:footnoteReference w:id="26"/>
      </w:r>
      <w:r w:rsidRPr="00D95654">
        <w:rPr>
          <w:rFonts w:ascii="Verdana" w:hAnsi="Verdana"/>
        </w:rPr>
        <w:t>.</w:t>
      </w:r>
    </w:p>
    <w:p w14:paraId="108E6B9E" w14:textId="77777777" w:rsidR="003F77B5" w:rsidRPr="00D95654" w:rsidRDefault="003F77B5" w:rsidP="003F77B5">
      <w:pPr>
        <w:pStyle w:val="Prrafodelista"/>
        <w:widowControl w:val="0"/>
        <w:autoSpaceDE w:val="0"/>
        <w:autoSpaceDN w:val="0"/>
        <w:spacing w:after="120" w:line="276" w:lineRule="auto"/>
        <w:ind w:left="360"/>
        <w:jc w:val="both"/>
        <w:rPr>
          <w:rFonts w:ascii="Verdana" w:eastAsia="Arial" w:hAnsi="Verdana" w:cs="Arial"/>
          <w:i/>
          <w:lang w:val="es-MX" w:eastAsia="es-ES" w:bidi="es-ES"/>
        </w:rPr>
      </w:pPr>
    </w:p>
    <w:p w14:paraId="5450BBDF" w14:textId="77777777" w:rsidR="003F77B5"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Por consiguiente, pese a la posibilidad de que se varíen de las cantidades de obra, los contratos a precios unitarios tienen un valor inicial que obedece a la estructuración y planificación que los procede</w:t>
      </w:r>
      <w:r w:rsidRPr="00D95654">
        <w:rPr>
          <w:rStyle w:val="Refdenotaalpie"/>
          <w:rFonts w:ascii="Verdana" w:eastAsia="Calibri" w:hAnsi="Verdana" w:cs="Arial"/>
        </w:rPr>
        <w:footnoteReference w:id="27"/>
      </w:r>
      <w:r w:rsidRPr="00D95654">
        <w:rPr>
          <w:rFonts w:ascii="Verdana" w:eastAsia="Calibri" w:hAnsi="Verdana" w:cs="Arial"/>
        </w:rPr>
        <w:t xml:space="preserve">. En ese sentido, aun </w:t>
      </w:r>
      <w:r w:rsidRPr="00D95654">
        <w:rPr>
          <w:rFonts w:ascii="Verdana" w:eastAsia="Calibri" w:hAnsi="Verdana" w:cs="Arial"/>
        </w:rPr>
        <w:lastRenderedPageBreak/>
        <w:t>cuando el Consejo de Estado ha considerado la posibilidad de ejecutar incluso en valores mayores al cincuenta por ciento (50%) en el sistema de precios unitarios, lo cierto es que, situaciones en las que se ejecuta de manera desproporcionada el valor inicial de un contrato estatal, pueden ser sintomáticas de falencias en la planeación del contrato.</w:t>
      </w:r>
    </w:p>
    <w:p w14:paraId="38444DDA" w14:textId="77777777" w:rsidR="003F77B5" w:rsidRPr="00D95654" w:rsidRDefault="003F77B5" w:rsidP="003F77B5">
      <w:pPr>
        <w:pStyle w:val="Prrafodelista"/>
        <w:rPr>
          <w:rFonts w:ascii="Verdana" w:eastAsia="Calibri" w:hAnsi="Verdana" w:cs="Arial"/>
        </w:rPr>
      </w:pPr>
    </w:p>
    <w:p w14:paraId="484F4AB8" w14:textId="77777777" w:rsidR="00E6773D"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 xml:space="preserve">El principio de planeación exige a las entidades </w:t>
      </w:r>
      <w:r w:rsidRPr="00D95654">
        <w:rPr>
          <w:rFonts w:ascii="Verdana" w:eastAsia="Calibri" w:hAnsi="Verdana" w:cs="Arial"/>
          <w:lang w:eastAsia="es-ES_tradnl"/>
        </w:rPr>
        <w:t xml:space="preserve">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Pr="00D95654">
        <w:rPr>
          <w:rFonts w:ascii="Verdana" w:eastAsia="Calibri" w:hAnsi="Verdana" w:cs="Arial"/>
          <w:i/>
          <w:lang w:eastAsia="es-ES_tradnl"/>
        </w:rPr>
        <w:t>precios</w:t>
      </w:r>
      <w:r w:rsidRPr="00D95654">
        <w:rPr>
          <w:rFonts w:ascii="Verdana" w:eastAsia="Calibri" w:hAnsi="Verdana" w:cs="Arial"/>
          <w:lang w:eastAsia="es-ES_tradnl"/>
        </w:rPr>
        <w:t xml:space="preserve">, costos, riesgos, garantías, disponibilidad, oferentes, etc. </w:t>
      </w:r>
      <w:r w:rsidRPr="00D95654">
        <w:rPr>
          <w:rFonts w:ascii="Verdana" w:eastAsia="Calibri" w:hAnsi="Verdana" w:cs="Arial"/>
        </w:rPr>
        <w:t xml:space="preserve"> La planeación del contrato estatal se configura como un presupuesto esencial, según el cual la selección de contratistas, la celebración de contratos, la ejecución y liquidación de </w:t>
      </w:r>
      <w:proofErr w:type="gramStart"/>
      <w:r w:rsidRPr="00D95654">
        <w:rPr>
          <w:rFonts w:ascii="Verdana" w:eastAsia="Calibri" w:hAnsi="Verdana" w:cs="Arial"/>
        </w:rPr>
        <w:t>los mismos</w:t>
      </w:r>
      <w:proofErr w:type="gramEnd"/>
      <w:r w:rsidRPr="00D95654">
        <w:rPr>
          <w:rFonts w:ascii="Verdana" w:eastAsia="Calibri" w:hAnsi="Verdana" w:cs="Arial"/>
        </w:rPr>
        <w:t xml:space="preserve"> no pueden ser, de ninguna manera, producto de la improvisación</w:t>
      </w:r>
      <w:r w:rsidRPr="00D95654">
        <w:rPr>
          <w:rStyle w:val="Refdenotaalpie"/>
          <w:rFonts w:ascii="Verdana" w:eastAsia="Calibri" w:hAnsi="Verdana" w:cs="Arial"/>
        </w:rPr>
        <w:footnoteReference w:id="28"/>
      </w:r>
      <w:r w:rsidRPr="00D95654">
        <w:rPr>
          <w:rFonts w:ascii="Verdana" w:eastAsia="Calibri" w:hAnsi="Verdana" w:cs="Arial"/>
        </w:rPr>
        <w:t>.</w:t>
      </w:r>
    </w:p>
    <w:p w14:paraId="24F2567A" w14:textId="77777777" w:rsidR="00E6773D" w:rsidRPr="00D95654" w:rsidRDefault="00E6773D" w:rsidP="00E6773D">
      <w:pPr>
        <w:pStyle w:val="Prrafodelista"/>
        <w:rPr>
          <w:rFonts w:ascii="Verdana" w:eastAsia="Calibri" w:hAnsi="Verdana" w:cs="Arial"/>
        </w:rPr>
      </w:pPr>
    </w:p>
    <w:p w14:paraId="007A944C" w14:textId="7384CA3C" w:rsidR="003F77B5"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En consecuencia, debe hacerse un plan detallado de lo que se quiere contratar y de los medios técnicos y económicos con los que se cuenta para alcanzarlo, para con base en ello realizar un procedimiento legalmente idóneo a fin de escoger al particular o Entidad Pública que colaborara en la consecución de la obra, bien o servicio determinado, realizar las previsiones técnicas, legales y económicas a que haya lugar para afrontar las contingencias previsibles que puedan afectar el desarrollo del contrato, y contar con elementos en lo posible suficientes para actuar ante situaciones inesperadas.</w:t>
      </w:r>
    </w:p>
    <w:p w14:paraId="50E7F63C" w14:textId="77777777" w:rsidR="003F77B5" w:rsidRPr="00D95654" w:rsidRDefault="003F77B5" w:rsidP="003F77B5">
      <w:pPr>
        <w:pStyle w:val="Prrafodelista"/>
        <w:widowControl w:val="0"/>
        <w:autoSpaceDE w:val="0"/>
        <w:autoSpaceDN w:val="0"/>
        <w:spacing w:after="120" w:line="276" w:lineRule="auto"/>
        <w:ind w:left="360"/>
        <w:jc w:val="both"/>
        <w:rPr>
          <w:rFonts w:ascii="Verdana" w:eastAsia="Arial" w:hAnsi="Verdana" w:cs="Arial"/>
          <w:i/>
          <w:lang w:val="es-MX" w:eastAsia="es-ES" w:bidi="es-ES"/>
        </w:rPr>
      </w:pPr>
    </w:p>
    <w:p w14:paraId="794500FF" w14:textId="77777777" w:rsidR="003F77B5"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Por otro lado, también es importante señalar que la planeación, como herramienta para la gestión contractual pública, implica que todo proyecto que pretenda adelantar las Entidades Estatales esté precedido de estudios encaminados a determinar su viabilidad económica, con ello se pretende dar racionalidad del gasto público, en concordancia con las necesidades públicas en un momento determinado, razón por la cual, previo a la ejecución del contrato, la Administración debe realizar los estudios del valor aproximado, de acuerdo con la fluctuación y estado del mercado</w:t>
      </w:r>
      <w:r w:rsidRPr="00D95654">
        <w:rPr>
          <w:rStyle w:val="Refdenotaalpie"/>
          <w:rFonts w:ascii="Verdana" w:eastAsia="Calibri" w:hAnsi="Verdana" w:cs="Arial"/>
        </w:rPr>
        <w:footnoteReference w:id="29"/>
      </w:r>
      <w:r w:rsidRPr="00D95654">
        <w:rPr>
          <w:rFonts w:ascii="Verdana" w:eastAsia="Calibri" w:hAnsi="Verdana" w:cs="Arial"/>
        </w:rPr>
        <w:t xml:space="preserve">.  </w:t>
      </w:r>
    </w:p>
    <w:p w14:paraId="67443B1C" w14:textId="77777777" w:rsidR="003F77B5" w:rsidRPr="00D95654" w:rsidRDefault="003F77B5" w:rsidP="003F77B5">
      <w:pPr>
        <w:pStyle w:val="Prrafodelista"/>
        <w:rPr>
          <w:rFonts w:ascii="Verdana" w:eastAsia="Calibri" w:hAnsi="Verdana" w:cs="Arial"/>
        </w:rPr>
      </w:pPr>
    </w:p>
    <w:p w14:paraId="315A2BAB" w14:textId="77777777" w:rsidR="003F77B5"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 xml:space="preserve">Las omisiones o errores que cometan las Entidades Públicas en esta etapa podrán verse reflejadas en la ejecución del contrato, provocando incluso la nulidad absoluta del mismo o la necesidad de ajustar el contrato a la realidad del bien, obra o servicio, contratada, el reconocimiento de mayores costos en los eventos en los que haya lugar y, en el caso más extremo, el rompimiento del equilibrio económico. Así mismo, las omisiones o errores pueden conllevar a un detrimento patrimonial, que incluso implique la responsabilidad fiscal del funcionario. </w:t>
      </w:r>
    </w:p>
    <w:p w14:paraId="6B4A0CF8" w14:textId="77777777" w:rsidR="003F77B5" w:rsidRPr="00D95654" w:rsidRDefault="003F77B5" w:rsidP="003F77B5">
      <w:pPr>
        <w:pStyle w:val="Prrafodelista"/>
        <w:rPr>
          <w:rFonts w:ascii="Verdana" w:eastAsia="Calibri" w:hAnsi="Verdana" w:cs="Arial"/>
        </w:rPr>
      </w:pPr>
    </w:p>
    <w:p w14:paraId="18F1C6F2" w14:textId="3D9C5448" w:rsidR="00225FD2" w:rsidRPr="00D95654" w:rsidRDefault="00225FD2" w:rsidP="003F77B5">
      <w:pPr>
        <w:pStyle w:val="Prrafodelista"/>
        <w:widowControl w:val="0"/>
        <w:numPr>
          <w:ilvl w:val="0"/>
          <w:numId w:val="27"/>
        </w:numPr>
        <w:autoSpaceDE w:val="0"/>
        <w:autoSpaceDN w:val="0"/>
        <w:spacing w:after="120" w:line="276" w:lineRule="auto"/>
        <w:jc w:val="both"/>
        <w:rPr>
          <w:rFonts w:ascii="Verdana" w:eastAsia="Arial" w:hAnsi="Verdana" w:cs="Arial"/>
          <w:i/>
          <w:lang w:val="es-MX" w:eastAsia="es-ES" w:bidi="es-ES"/>
        </w:rPr>
      </w:pPr>
      <w:r w:rsidRPr="00D95654">
        <w:rPr>
          <w:rFonts w:ascii="Verdana" w:eastAsia="Calibri" w:hAnsi="Verdana" w:cs="Arial"/>
        </w:rPr>
        <w:t xml:space="preserve">Conforme a lo expuesto, es posible extraer los siguientes lineamientos orientadores para determinar si es o no procedente modificar un contrato y los límites que se deben respetar: </w:t>
      </w:r>
    </w:p>
    <w:p w14:paraId="0E69FE46" w14:textId="77777777" w:rsidR="00225FD2" w:rsidRPr="00D95654" w:rsidRDefault="00225FD2" w:rsidP="00225FD2">
      <w:pPr>
        <w:widowControl w:val="0"/>
        <w:autoSpaceDE w:val="0"/>
        <w:autoSpaceDN w:val="0"/>
        <w:spacing w:after="120" w:line="276" w:lineRule="auto"/>
        <w:ind w:firstLine="708"/>
        <w:jc w:val="both"/>
        <w:rPr>
          <w:rFonts w:ascii="Verdana" w:hAnsi="Verdana"/>
        </w:rPr>
      </w:pPr>
      <w:r w:rsidRPr="00D95654">
        <w:rPr>
          <w:rFonts w:ascii="Verdana" w:hAnsi="Verdana"/>
          <w:i/>
        </w:rPr>
        <w:t>i)</w:t>
      </w:r>
      <w:r w:rsidRPr="00D95654">
        <w:rPr>
          <w:rFonts w:ascii="Verdana" w:hAnsi="Verdana"/>
        </w:rPr>
        <w:t xml:space="preserve"> A los contratos de obra suscritos a precios unitarios, la mayor cantidad de obra ejecutada por encima del valor estimativo inicial en los contratos a precios unitarios no implica en forma alguna un cambio de objeto o en su valor. Por tal razón, el reconocimiento de mayores cantidades de obra, previamente autorizadas y recibidas por la entidad contratante, no está sometida al límite cuantitativo establecido en el artículo 40 de la Ley 80 de 1993. </w:t>
      </w:r>
    </w:p>
    <w:p w14:paraId="134C6B12" w14:textId="77777777" w:rsidR="00225FD2" w:rsidRPr="00D95654" w:rsidRDefault="00225FD2" w:rsidP="00225FD2">
      <w:pPr>
        <w:widowControl w:val="0"/>
        <w:autoSpaceDE w:val="0"/>
        <w:autoSpaceDN w:val="0"/>
        <w:spacing w:after="120" w:line="276" w:lineRule="auto"/>
        <w:ind w:firstLine="708"/>
        <w:jc w:val="both"/>
        <w:rPr>
          <w:rFonts w:ascii="Verdana" w:hAnsi="Verdana"/>
        </w:rPr>
      </w:pPr>
      <w:proofErr w:type="spellStart"/>
      <w:r w:rsidRPr="00D95654">
        <w:rPr>
          <w:rFonts w:ascii="Verdana" w:hAnsi="Verdana"/>
          <w:i/>
        </w:rPr>
        <w:t>ii</w:t>
      </w:r>
      <w:proofErr w:type="spellEnd"/>
      <w:r w:rsidRPr="00D95654">
        <w:rPr>
          <w:rFonts w:ascii="Verdana" w:hAnsi="Verdana"/>
          <w:i/>
        </w:rPr>
        <w:t>)</w:t>
      </w:r>
      <w:r w:rsidRPr="00D95654">
        <w:rPr>
          <w:rFonts w:ascii="Verdana" w:hAnsi="Verdana"/>
        </w:rPr>
        <w:t xml:space="preserve"> Por el contrario, las adiciones requieren de la suscripción de otrosíes, contratos adicionales o modificatorios del contrato inicial, por lo cual les será aplicable el límite establecido en el parágrafo del artículo 40 de la Ley 80 de 1993, lo cual indica que aquellos negocios jurídicos no podrán adicionarse en más del cincuenta por ciento (50%) de su valor inicial, expresado en salarios mínimos legales mensuales.</w:t>
      </w:r>
    </w:p>
    <w:p w14:paraId="75B44862" w14:textId="77777777" w:rsidR="00225FD2" w:rsidRPr="00D95654" w:rsidRDefault="00225FD2" w:rsidP="00225FD2">
      <w:pPr>
        <w:widowControl w:val="0"/>
        <w:autoSpaceDE w:val="0"/>
        <w:autoSpaceDN w:val="0"/>
        <w:spacing w:after="120" w:line="276" w:lineRule="auto"/>
        <w:ind w:firstLine="708"/>
        <w:jc w:val="both"/>
        <w:rPr>
          <w:rFonts w:ascii="Verdana" w:hAnsi="Verdana"/>
        </w:rPr>
      </w:pPr>
      <w:proofErr w:type="spellStart"/>
      <w:r w:rsidRPr="00D95654">
        <w:rPr>
          <w:rFonts w:ascii="Verdana" w:eastAsia="Calibri" w:hAnsi="Verdana" w:cs="Arial"/>
          <w:i/>
        </w:rPr>
        <w:t>iii</w:t>
      </w:r>
      <w:proofErr w:type="spellEnd"/>
      <w:r w:rsidRPr="00D95654">
        <w:rPr>
          <w:rFonts w:ascii="Verdana" w:eastAsia="Calibri" w:hAnsi="Verdana" w:cs="Arial"/>
          <w:i/>
        </w:rPr>
        <w:t>)</w:t>
      </w:r>
      <w:r w:rsidRPr="00D95654">
        <w:rPr>
          <w:rFonts w:ascii="Verdana" w:eastAsia="Calibri" w:hAnsi="Verdana" w:cs="Arial"/>
        </w:rPr>
        <w:t xml:space="preserve">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2049D64F" w14:textId="77777777" w:rsidR="00225FD2" w:rsidRPr="00D95654" w:rsidRDefault="00225FD2" w:rsidP="00225FD2">
      <w:pPr>
        <w:widowControl w:val="0"/>
        <w:autoSpaceDE w:val="0"/>
        <w:autoSpaceDN w:val="0"/>
        <w:spacing w:after="120" w:line="276" w:lineRule="auto"/>
        <w:ind w:firstLine="708"/>
        <w:jc w:val="both"/>
        <w:rPr>
          <w:rFonts w:ascii="Verdana" w:hAnsi="Verdana"/>
        </w:rPr>
      </w:pPr>
      <w:proofErr w:type="spellStart"/>
      <w:r w:rsidRPr="00D95654">
        <w:rPr>
          <w:rFonts w:ascii="Verdana" w:eastAsia="Calibri" w:hAnsi="Verdana" w:cs="Arial"/>
          <w:i/>
        </w:rPr>
        <w:t>iv</w:t>
      </w:r>
      <w:proofErr w:type="spellEnd"/>
      <w:r w:rsidRPr="00D95654">
        <w:rPr>
          <w:rFonts w:ascii="Verdana" w:eastAsia="Calibri" w:hAnsi="Verdana" w:cs="Arial"/>
          <w:i/>
        </w:rPr>
        <w:t>)</w:t>
      </w:r>
      <w:r w:rsidRPr="00D95654">
        <w:rPr>
          <w:rFonts w:ascii="Verdana" w:eastAsia="Calibri" w:hAnsi="Verdana" w:cs="Arial"/>
        </w:rPr>
        <w:t xml:space="preserve"> Si bien en los contratos </w:t>
      </w:r>
      <w:r w:rsidRPr="00D95654">
        <w:rPr>
          <w:rFonts w:ascii="Verdana" w:hAnsi="Verdana"/>
        </w:rPr>
        <w:t xml:space="preserve">en los cuales se pacta como forma de pago del valor del contrato la modalidad de precios unitarios el valor pactado es un estimativo, mientras que el valor real es el que resulta una vez se ha terminado la ejecución del contrato, lo cierto es que el valor estimado debe obedecer a estudios previos que determinen de la manera más exacta posible las cantidades </w:t>
      </w:r>
      <w:r w:rsidRPr="00D95654">
        <w:rPr>
          <w:rFonts w:ascii="Verdana" w:hAnsi="Verdana"/>
        </w:rPr>
        <w:lastRenderedPageBreak/>
        <w:t xml:space="preserve">de obra. </w:t>
      </w:r>
    </w:p>
    <w:p w14:paraId="4BAF4E2B" w14:textId="77777777" w:rsidR="00225FD2" w:rsidRPr="00D95654" w:rsidRDefault="00225FD2" w:rsidP="00225FD2">
      <w:pPr>
        <w:widowControl w:val="0"/>
        <w:autoSpaceDE w:val="0"/>
        <w:autoSpaceDN w:val="0"/>
        <w:spacing w:after="120" w:line="276" w:lineRule="auto"/>
        <w:ind w:firstLine="708"/>
        <w:jc w:val="both"/>
        <w:rPr>
          <w:rFonts w:ascii="Verdana" w:hAnsi="Verdana"/>
        </w:rPr>
      </w:pPr>
      <w:r w:rsidRPr="00D95654">
        <w:rPr>
          <w:rFonts w:ascii="Verdana" w:hAnsi="Verdana"/>
          <w:i/>
        </w:rPr>
        <w:t>v)</w:t>
      </w:r>
      <w:r w:rsidRPr="00D95654">
        <w:rPr>
          <w:rFonts w:ascii="Verdana" w:hAnsi="Verdana"/>
        </w:rPr>
        <w:t xml:space="preserve"> En atención a los principios que rigen la contratación estatal, no pueden pactarse cantidades de obra de manera indeterminada sin fijar las reglas claras para determinarlo. Además, las variaciones del valor estimado respecto del valor final deben ser mínimas. </w:t>
      </w:r>
    </w:p>
    <w:p w14:paraId="1F56ADAD" w14:textId="77777777" w:rsidR="00225FD2" w:rsidRPr="00D95654" w:rsidRDefault="00225FD2" w:rsidP="00225FD2">
      <w:pPr>
        <w:widowControl w:val="0"/>
        <w:autoSpaceDE w:val="0"/>
        <w:autoSpaceDN w:val="0"/>
        <w:spacing w:after="120" w:line="276" w:lineRule="auto"/>
        <w:ind w:firstLine="708"/>
        <w:jc w:val="both"/>
        <w:rPr>
          <w:rFonts w:ascii="Verdana" w:hAnsi="Verdana"/>
        </w:rPr>
      </w:pPr>
      <w:r w:rsidRPr="00D95654">
        <w:rPr>
          <w:rFonts w:ascii="Verdana" w:hAnsi="Verdana"/>
          <w:i/>
        </w:rPr>
        <w:t>vi)</w:t>
      </w:r>
      <w:r w:rsidRPr="00D95654">
        <w:rPr>
          <w:rFonts w:ascii="Verdana" w:hAnsi="Verdana"/>
        </w:rPr>
        <w:t xml:space="preserve"> Pese a que el límite cuantitativo para la adición de los contratos no aplica para mayores cantidades de obra se debe respetar el principio de planeación, así como tampoco puede utilizarse este mecanismo inaplicar la modalidad de selección aplicable. </w:t>
      </w:r>
    </w:p>
    <w:p w14:paraId="5B518875" w14:textId="77777777" w:rsidR="00225FD2" w:rsidRPr="00D95654" w:rsidRDefault="00225FD2" w:rsidP="00225FD2">
      <w:pPr>
        <w:widowControl w:val="0"/>
        <w:autoSpaceDE w:val="0"/>
        <w:autoSpaceDN w:val="0"/>
        <w:spacing w:after="120" w:line="276" w:lineRule="auto"/>
        <w:ind w:firstLine="708"/>
        <w:jc w:val="both"/>
        <w:rPr>
          <w:rFonts w:ascii="Verdana" w:eastAsia="Arial" w:hAnsi="Verdana" w:cs="Arial"/>
          <w:color w:val="000000" w:themeColor="text1"/>
          <w:lang w:eastAsia="es-ES" w:bidi="es-ES"/>
        </w:rPr>
      </w:pPr>
      <w:proofErr w:type="spellStart"/>
      <w:r w:rsidRPr="00D95654">
        <w:rPr>
          <w:rFonts w:ascii="Verdana" w:eastAsia="Arial" w:hAnsi="Verdana" w:cs="Arial"/>
          <w:i/>
          <w:iCs/>
          <w:lang w:eastAsia="es-ES" w:bidi="es-ES"/>
        </w:rPr>
        <w:t>vii</w:t>
      </w:r>
      <w:proofErr w:type="spellEnd"/>
      <w:r w:rsidRPr="00D95654">
        <w:rPr>
          <w:rFonts w:ascii="Verdana" w:eastAsia="Arial" w:hAnsi="Verdana" w:cs="Arial"/>
          <w:i/>
          <w:iCs/>
          <w:lang w:eastAsia="es-ES" w:bidi="es-ES"/>
        </w:rPr>
        <w:t>)</w:t>
      </w:r>
      <w:r w:rsidRPr="00D95654">
        <w:rPr>
          <w:rFonts w:ascii="Verdana" w:eastAsia="Arial" w:hAnsi="Verdana" w:cs="Arial"/>
          <w:lang w:eastAsia="es-ES" w:bidi="es-ES"/>
        </w:rPr>
        <w:t xml:space="preserve"> Las modificaciones tienen carácter excepcional y solo procede cuando con ella se pretenda garantizar el interés público, cuando la entidad haya verificado y así pueda constatarse por cualquier que la causa de la modificación es real y cierta. </w:t>
      </w:r>
    </w:p>
    <w:p w14:paraId="61ECDCB3" w14:textId="77777777" w:rsidR="00225FD2" w:rsidRPr="00D95654" w:rsidRDefault="00225FD2" w:rsidP="00225FD2">
      <w:pPr>
        <w:widowControl w:val="0"/>
        <w:autoSpaceDE w:val="0"/>
        <w:autoSpaceDN w:val="0"/>
        <w:spacing w:after="120" w:line="276" w:lineRule="auto"/>
        <w:ind w:firstLine="708"/>
        <w:jc w:val="both"/>
        <w:rPr>
          <w:rFonts w:ascii="Verdana" w:eastAsia="Arial" w:hAnsi="Verdana" w:cs="Arial"/>
          <w:color w:val="000000" w:themeColor="text1"/>
          <w:lang w:eastAsia="es-ES" w:bidi="es-ES"/>
        </w:rPr>
      </w:pPr>
      <w:proofErr w:type="spellStart"/>
      <w:r w:rsidRPr="00D95654">
        <w:rPr>
          <w:rFonts w:ascii="Verdana" w:eastAsia="Arial" w:hAnsi="Verdana" w:cs="Arial"/>
          <w:i/>
          <w:iCs/>
          <w:color w:val="000000" w:themeColor="text1"/>
          <w:lang w:eastAsia="es-ES" w:bidi="es-ES"/>
        </w:rPr>
        <w:t>viii</w:t>
      </w:r>
      <w:proofErr w:type="spellEnd"/>
      <w:r w:rsidRPr="00D95654">
        <w:rPr>
          <w:rFonts w:ascii="Verdana" w:eastAsia="Arial" w:hAnsi="Verdana" w:cs="Arial"/>
          <w:i/>
          <w:iCs/>
          <w:color w:val="000000" w:themeColor="text1"/>
          <w:lang w:eastAsia="es-ES" w:bidi="es-ES"/>
        </w:rPr>
        <w:t>)</w:t>
      </w:r>
      <w:r w:rsidRPr="00D95654">
        <w:rPr>
          <w:rFonts w:ascii="Verdana" w:eastAsia="Arial" w:hAnsi="Verdana" w:cs="Arial"/>
          <w:color w:val="000000" w:themeColor="text1"/>
          <w:lang w:eastAsia="es-ES" w:bidi="es-ES"/>
        </w:rPr>
        <w:t xml:space="preserv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6" w:name="_ftnref22"/>
      <w:r w:rsidRPr="00D95654">
        <w:rPr>
          <w:rFonts w:ascii="Verdana" w:eastAsia="Arial" w:hAnsi="Verdana" w:cs="Arial"/>
          <w:color w:val="000000" w:themeColor="text1"/>
          <w:lang w:eastAsia="es-ES" w:bidi="es-ES"/>
        </w:rPr>
        <w:t xml:space="preserve"> </w:t>
      </w:r>
    </w:p>
    <w:bookmarkEnd w:id="6"/>
    <w:p w14:paraId="56DBA3F4" w14:textId="45481BB5" w:rsidR="00225FD2" w:rsidRPr="00D95654" w:rsidRDefault="00225FD2" w:rsidP="00E27FD9">
      <w:pPr>
        <w:pStyle w:val="Prrafodelista"/>
        <w:widowControl w:val="0"/>
        <w:numPr>
          <w:ilvl w:val="0"/>
          <w:numId w:val="22"/>
        </w:numPr>
        <w:autoSpaceDE w:val="0"/>
        <w:autoSpaceDN w:val="0"/>
        <w:spacing w:after="0" w:line="276" w:lineRule="auto"/>
        <w:jc w:val="both"/>
        <w:rPr>
          <w:rFonts w:ascii="Verdana" w:eastAsia="Arial" w:hAnsi="Verdana" w:cs="Arial"/>
          <w:color w:val="000000" w:themeColor="text1"/>
          <w:lang w:eastAsia="es-ES" w:bidi="es-ES"/>
        </w:rPr>
      </w:pPr>
      <w:r w:rsidRPr="00D95654">
        <w:rPr>
          <w:rFonts w:ascii="Verdana" w:eastAsia="Arial" w:hAnsi="Verdana" w:cs="Arial"/>
          <w:color w:val="000000" w:themeColor="text1"/>
          <w:lang w:eastAsia="es-ES" w:bidi="es-ES"/>
        </w:rPr>
        <w:t xml:space="preserve">De cualquier modo, corresponderá a cada Entidad Estatal realizar el análisis respecto a la precedencia de modificar determinado contrato estatal, o ejecutarlo por encima del valor inicial estimado, en el entendido que se respeten las reglas establecidas en el ordenamiento jurídico, de acuerdo con lo expuesto anteriormente, además de definir previamente su procedencia desde la perspectiva jurídica, técnica y financiera. </w:t>
      </w:r>
    </w:p>
    <w:p w14:paraId="37960B18" w14:textId="77777777" w:rsidR="0034371D" w:rsidRPr="00D95654" w:rsidRDefault="0034371D" w:rsidP="00AE766A">
      <w:pPr>
        <w:spacing w:after="0"/>
        <w:jc w:val="both"/>
        <w:rPr>
          <w:rFonts w:ascii="Verdana" w:eastAsia="Calibri" w:hAnsi="Verdana" w:cs="Arial"/>
          <w:lang w:val="es-ES"/>
        </w:rPr>
      </w:pPr>
    </w:p>
    <w:p w14:paraId="33C5F84C" w14:textId="77777777" w:rsidR="00623273" w:rsidRPr="00D95654" w:rsidRDefault="00623273" w:rsidP="006232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95654">
        <w:rPr>
          <w:rFonts w:ascii="Verdana" w:eastAsia="Century Gothic" w:hAnsi="Verdana" w:cs="Century Gothic"/>
          <w:b/>
          <w:bCs/>
        </w:rPr>
        <w:t>Referencias normativas, jurisprudenciales y otras fuentes:</w:t>
      </w:r>
    </w:p>
    <w:p w14:paraId="4CD347E3" w14:textId="77777777" w:rsidR="00623273" w:rsidRPr="00D95654" w:rsidRDefault="00623273" w:rsidP="0062327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23273" w:rsidRPr="00D95654" w14:paraId="710F69C1" w14:textId="77777777" w:rsidTr="00BC3F26">
        <w:trPr>
          <w:trHeight w:val="870"/>
        </w:trPr>
        <w:tc>
          <w:tcPr>
            <w:tcW w:w="8647" w:type="dxa"/>
          </w:tcPr>
          <w:p w14:paraId="64828C58" w14:textId="77777777" w:rsidR="005521D6" w:rsidRPr="00D95654" w:rsidRDefault="00B4148E" w:rsidP="005521D6">
            <w:pPr>
              <w:pStyle w:val="Prrafodelista"/>
              <w:widowControl w:val="0"/>
              <w:numPr>
                <w:ilvl w:val="0"/>
                <w:numId w:val="17"/>
              </w:numPr>
              <w:autoSpaceDE w:val="0"/>
              <w:autoSpaceDN w:val="0"/>
              <w:spacing w:line="276" w:lineRule="auto"/>
              <w:ind w:left="360"/>
              <w:contextualSpacing w:val="0"/>
              <w:jc w:val="both"/>
              <w:rPr>
                <w:rFonts w:ascii="Verdana" w:hAnsi="Verdana" w:cs="Arial"/>
                <w:lang w:val="es-CO"/>
              </w:rPr>
            </w:pPr>
            <w:r w:rsidRPr="00D95654">
              <w:rPr>
                <w:rFonts w:ascii="Verdana" w:hAnsi="Verdana" w:cs="Arial"/>
                <w:lang w:val="es-CO"/>
              </w:rPr>
              <w:t xml:space="preserve">Ley 80 de 1993: Artículo 40. </w:t>
            </w:r>
          </w:p>
          <w:p w14:paraId="1442A04D" w14:textId="77777777" w:rsidR="005521D6" w:rsidRPr="00D95654" w:rsidRDefault="005521D6" w:rsidP="005521D6">
            <w:pPr>
              <w:pStyle w:val="Prrafodelista"/>
              <w:widowControl w:val="0"/>
              <w:autoSpaceDE w:val="0"/>
              <w:autoSpaceDN w:val="0"/>
              <w:spacing w:line="276" w:lineRule="auto"/>
              <w:ind w:left="360"/>
              <w:contextualSpacing w:val="0"/>
              <w:jc w:val="both"/>
              <w:rPr>
                <w:rFonts w:ascii="Verdana" w:hAnsi="Verdana" w:cs="Arial"/>
                <w:lang w:val="es-CO"/>
              </w:rPr>
            </w:pPr>
          </w:p>
          <w:p w14:paraId="50D54A0F" w14:textId="77777777" w:rsidR="005521D6" w:rsidRPr="00D95654" w:rsidRDefault="005521D6" w:rsidP="005521D6">
            <w:pPr>
              <w:pStyle w:val="Prrafodelista"/>
              <w:widowControl w:val="0"/>
              <w:numPr>
                <w:ilvl w:val="0"/>
                <w:numId w:val="17"/>
              </w:numPr>
              <w:autoSpaceDE w:val="0"/>
              <w:autoSpaceDN w:val="0"/>
              <w:spacing w:line="276" w:lineRule="auto"/>
              <w:ind w:left="360"/>
              <w:contextualSpacing w:val="0"/>
              <w:jc w:val="both"/>
              <w:rPr>
                <w:rFonts w:ascii="Verdana" w:hAnsi="Verdana" w:cs="Arial"/>
                <w:lang w:val="es-CO"/>
              </w:rPr>
            </w:pPr>
            <w:r w:rsidRPr="00D95654">
              <w:rPr>
                <w:rFonts w:ascii="Verdana" w:hAnsi="Verdana" w:cs="Arial"/>
              </w:rPr>
              <w:t>Ley 1150 de 2007.</w:t>
            </w:r>
          </w:p>
          <w:p w14:paraId="2186F67F" w14:textId="77777777" w:rsidR="005521D6" w:rsidRPr="00D95654" w:rsidRDefault="005521D6" w:rsidP="005521D6">
            <w:pPr>
              <w:pStyle w:val="Prrafodelista"/>
              <w:rPr>
                <w:rFonts w:ascii="Verdana" w:hAnsi="Verdana" w:cs="Arial"/>
              </w:rPr>
            </w:pPr>
          </w:p>
          <w:p w14:paraId="6D655B65" w14:textId="77777777" w:rsidR="005521D6" w:rsidRPr="00D95654" w:rsidRDefault="005521D6" w:rsidP="005521D6">
            <w:pPr>
              <w:pStyle w:val="Prrafodelista"/>
              <w:widowControl w:val="0"/>
              <w:numPr>
                <w:ilvl w:val="0"/>
                <w:numId w:val="17"/>
              </w:numPr>
              <w:autoSpaceDE w:val="0"/>
              <w:autoSpaceDN w:val="0"/>
              <w:spacing w:line="276" w:lineRule="auto"/>
              <w:ind w:left="360"/>
              <w:contextualSpacing w:val="0"/>
              <w:jc w:val="both"/>
              <w:rPr>
                <w:rFonts w:ascii="Verdana" w:hAnsi="Verdana" w:cs="Arial"/>
                <w:lang w:val="es-CO"/>
              </w:rPr>
            </w:pPr>
            <w:r w:rsidRPr="00D95654">
              <w:rPr>
                <w:rFonts w:ascii="Verdana" w:hAnsi="Verdana" w:cs="Arial"/>
              </w:rPr>
              <w:t>Ley 1474 de 2011.</w:t>
            </w:r>
          </w:p>
          <w:p w14:paraId="64701951" w14:textId="77777777" w:rsidR="005521D6" w:rsidRPr="00D95654" w:rsidRDefault="005521D6" w:rsidP="005521D6">
            <w:pPr>
              <w:pStyle w:val="Prrafodelista"/>
              <w:rPr>
                <w:rFonts w:ascii="Verdana" w:hAnsi="Verdana" w:cs="Arial"/>
              </w:rPr>
            </w:pPr>
          </w:p>
          <w:p w14:paraId="798BBC17" w14:textId="5D5A546A" w:rsidR="005521D6" w:rsidRPr="00D95654" w:rsidRDefault="005521D6" w:rsidP="005521D6">
            <w:pPr>
              <w:pStyle w:val="Prrafodelista"/>
              <w:widowControl w:val="0"/>
              <w:numPr>
                <w:ilvl w:val="0"/>
                <w:numId w:val="17"/>
              </w:numPr>
              <w:autoSpaceDE w:val="0"/>
              <w:autoSpaceDN w:val="0"/>
              <w:spacing w:line="276" w:lineRule="auto"/>
              <w:ind w:left="360"/>
              <w:contextualSpacing w:val="0"/>
              <w:jc w:val="both"/>
              <w:rPr>
                <w:rFonts w:ascii="Verdana" w:hAnsi="Verdana" w:cs="Arial"/>
                <w:lang w:val="es-CO"/>
              </w:rPr>
            </w:pPr>
            <w:r w:rsidRPr="00D95654">
              <w:rPr>
                <w:rFonts w:ascii="Verdana" w:hAnsi="Verdana" w:cs="Arial"/>
              </w:rPr>
              <w:t>Decreto Ley 222 de 1983.</w:t>
            </w:r>
          </w:p>
          <w:p w14:paraId="615A50A3" w14:textId="77777777" w:rsidR="00B4148E" w:rsidRPr="00D95654" w:rsidRDefault="00B4148E" w:rsidP="005521D6">
            <w:pPr>
              <w:pStyle w:val="Prrafodelista"/>
              <w:widowControl w:val="0"/>
              <w:autoSpaceDE w:val="0"/>
              <w:autoSpaceDN w:val="0"/>
              <w:spacing w:line="276" w:lineRule="auto"/>
              <w:ind w:left="360"/>
              <w:contextualSpacing w:val="0"/>
              <w:jc w:val="both"/>
              <w:rPr>
                <w:rFonts w:ascii="Verdana" w:hAnsi="Verdana" w:cs="Arial"/>
                <w:lang w:val="es-CO"/>
              </w:rPr>
            </w:pPr>
          </w:p>
          <w:p w14:paraId="60D470E7" w14:textId="77777777" w:rsidR="00B4148E" w:rsidRPr="00D95654" w:rsidRDefault="00B4148E" w:rsidP="00B4148E">
            <w:pPr>
              <w:pStyle w:val="Prrafodelista"/>
              <w:widowControl w:val="0"/>
              <w:numPr>
                <w:ilvl w:val="0"/>
                <w:numId w:val="17"/>
              </w:numPr>
              <w:autoSpaceDE w:val="0"/>
              <w:autoSpaceDN w:val="0"/>
              <w:spacing w:line="276" w:lineRule="auto"/>
              <w:ind w:left="360"/>
              <w:contextualSpacing w:val="0"/>
              <w:jc w:val="both"/>
              <w:rPr>
                <w:rFonts w:ascii="Verdana" w:hAnsi="Verdana" w:cs="Arial"/>
                <w:lang w:val="es-CO"/>
              </w:rPr>
            </w:pPr>
            <w:r w:rsidRPr="00D95654">
              <w:rPr>
                <w:rFonts w:ascii="Verdana" w:hAnsi="Verdana"/>
              </w:rPr>
              <w:t>CONSEJO DE ESTADO. Sala de lo Contencioso Administrativo Sección Tercera. Sentencia del 6 de agosto de 1987. Expediente 3886.</w:t>
            </w:r>
          </w:p>
          <w:p w14:paraId="50FC3924" w14:textId="77777777" w:rsidR="00B4148E" w:rsidRPr="00D95654" w:rsidRDefault="00B4148E" w:rsidP="00B4148E">
            <w:pPr>
              <w:pStyle w:val="Prrafodelista"/>
              <w:rPr>
                <w:rFonts w:ascii="Verdana" w:hAnsi="Verdana"/>
              </w:rPr>
            </w:pPr>
          </w:p>
          <w:p w14:paraId="7728F124" w14:textId="77777777" w:rsidR="00B4148E" w:rsidRPr="00D95654" w:rsidRDefault="00B4148E" w:rsidP="00B4148E">
            <w:pPr>
              <w:pStyle w:val="Prrafodelista"/>
              <w:widowControl w:val="0"/>
              <w:numPr>
                <w:ilvl w:val="0"/>
                <w:numId w:val="17"/>
              </w:numPr>
              <w:autoSpaceDE w:val="0"/>
              <w:autoSpaceDN w:val="0"/>
              <w:spacing w:line="276" w:lineRule="auto"/>
              <w:ind w:left="360"/>
              <w:contextualSpacing w:val="0"/>
              <w:jc w:val="both"/>
              <w:rPr>
                <w:rFonts w:ascii="Verdana" w:hAnsi="Verdana" w:cs="Arial"/>
                <w:lang w:val="es-CO"/>
              </w:rPr>
            </w:pPr>
            <w:r w:rsidRPr="00D95654">
              <w:rPr>
                <w:rFonts w:ascii="Verdana" w:hAnsi="Verdana"/>
              </w:rPr>
              <w:t>CONSEJO DE ESTADO. Sala de lo Contencioso Administrativo. Sección Tercera. Sentencia del 18 de julio de 2002. Expediente 22178.</w:t>
            </w:r>
          </w:p>
          <w:p w14:paraId="78B7F4D3" w14:textId="77777777" w:rsidR="00B4148E" w:rsidRPr="00D95654" w:rsidRDefault="00B4148E" w:rsidP="00B4148E">
            <w:pPr>
              <w:pStyle w:val="Textonotapie"/>
              <w:spacing w:line="276" w:lineRule="auto"/>
              <w:jc w:val="both"/>
              <w:rPr>
                <w:rFonts w:ascii="Verdana" w:hAnsi="Verdana" w:cs="Arial"/>
                <w:color w:val="000000" w:themeColor="text1"/>
                <w:sz w:val="22"/>
                <w:szCs w:val="22"/>
              </w:rPr>
            </w:pPr>
          </w:p>
          <w:p w14:paraId="44384182"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CONSEJO DE ESTADO. </w:t>
            </w:r>
            <w:r w:rsidRPr="00D95654">
              <w:rPr>
                <w:rFonts w:ascii="Verdana" w:hAnsi="Verdana"/>
                <w:sz w:val="22"/>
                <w:szCs w:val="22"/>
              </w:rPr>
              <w:t xml:space="preserve">Sala de lo Contencioso Administrativo. </w:t>
            </w:r>
            <w:r w:rsidRPr="00D95654">
              <w:rPr>
                <w:rFonts w:ascii="Verdana" w:hAnsi="Verdana" w:cs="Arial"/>
                <w:color w:val="000000" w:themeColor="text1"/>
                <w:sz w:val="22"/>
                <w:szCs w:val="22"/>
              </w:rPr>
              <w:t>Sección Tercera. C.</w:t>
            </w:r>
            <w:r w:rsidRPr="00D95654">
              <w:rPr>
                <w:rFonts w:ascii="Verdana" w:hAnsi="Verdana"/>
                <w:sz w:val="22"/>
                <w:szCs w:val="22"/>
                <w:lang w:val="es-CO"/>
              </w:rPr>
              <w:t xml:space="preserve">P. </w:t>
            </w:r>
            <w:r w:rsidRPr="00D95654">
              <w:rPr>
                <w:rFonts w:ascii="Verdana" w:hAnsi="Verdana" w:cs="Arial"/>
                <w:color w:val="000000" w:themeColor="text1"/>
                <w:sz w:val="22"/>
                <w:szCs w:val="22"/>
              </w:rPr>
              <w:t xml:space="preserve">Ramiro Saavedra Becerra. Sentencia 18 de septiembre de 2003. Expediente: 15.119. </w:t>
            </w:r>
          </w:p>
          <w:p w14:paraId="3D35DFA2" w14:textId="77777777" w:rsidR="00B4148E" w:rsidRPr="00D95654" w:rsidRDefault="00B4148E" w:rsidP="00B4148E">
            <w:pPr>
              <w:pStyle w:val="Textonotapie"/>
              <w:spacing w:line="276" w:lineRule="auto"/>
              <w:jc w:val="both"/>
              <w:rPr>
                <w:rFonts w:ascii="Verdana" w:hAnsi="Verdana" w:cs="Arial"/>
                <w:color w:val="000000" w:themeColor="text1"/>
                <w:sz w:val="22"/>
                <w:szCs w:val="22"/>
              </w:rPr>
            </w:pPr>
          </w:p>
          <w:p w14:paraId="56D127A9"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CONSEJO DE ESTADO. </w:t>
            </w:r>
            <w:r w:rsidRPr="00D95654">
              <w:rPr>
                <w:rFonts w:ascii="Verdana" w:hAnsi="Verdana"/>
                <w:sz w:val="22"/>
                <w:szCs w:val="22"/>
              </w:rPr>
              <w:t xml:space="preserve">Sala de lo Contencioso Administrativo. </w:t>
            </w:r>
            <w:r w:rsidRPr="00D95654">
              <w:rPr>
                <w:rFonts w:ascii="Verdana" w:hAnsi="Verdana" w:cs="Arial"/>
                <w:color w:val="000000" w:themeColor="text1"/>
                <w:sz w:val="22"/>
                <w:szCs w:val="22"/>
              </w:rPr>
              <w:t>Sección Tercera. Sentencia del 22 de abril de 2004. Expediente: 22.178 y en la Sentencia de la misma Sección del 15 de julio de 2004. Expediente AP-1164-02.</w:t>
            </w:r>
          </w:p>
          <w:p w14:paraId="30EB681F" w14:textId="77777777" w:rsidR="00B4148E" w:rsidRPr="00D95654" w:rsidRDefault="00B4148E" w:rsidP="00B4148E">
            <w:pPr>
              <w:pStyle w:val="Textonotapie"/>
              <w:spacing w:line="276" w:lineRule="auto"/>
              <w:jc w:val="both"/>
              <w:rPr>
                <w:rFonts w:ascii="Verdana" w:hAnsi="Verdana" w:cs="Arial"/>
                <w:color w:val="000000" w:themeColor="text1"/>
                <w:sz w:val="22"/>
                <w:szCs w:val="22"/>
              </w:rPr>
            </w:pPr>
          </w:p>
          <w:p w14:paraId="52062C0D"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CONSEJO DE ESTADO. </w:t>
            </w:r>
            <w:r w:rsidRPr="00D95654">
              <w:rPr>
                <w:rFonts w:ascii="Verdana" w:hAnsi="Verdana"/>
                <w:sz w:val="22"/>
                <w:szCs w:val="22"/>
              </w:rPr>
              <w:t xml:space="preserve">Sala de lo Contencioso Administrativo. </w:t>
            </w:r>
            <w:r w:rsidRPr="00D95654">
              <w:rPr>
                <w:rFonts w:ascii="Verdana" w:hAnsi="Verdana" w:cs="Arial"/>
                <w:color w:val="000000" w:themeColor="text1"/>
                <w:sz w:val="22"/>
                <w:szCs w:val="22"/>
              </w:rPr>
              <w:t xml:space="preserve">Sección Tercera. </w:t>
            </w:r>
            <w:r w:rsidRPr="00D95654">
              <w:rPr>
                <w:rFonts w:ascii="Verdana" w:hAnsi="Verdana"/>
                <w:sz w:val="22"/>
                <w:szCs w:val="22"/>
                <w:lang w:val="es-CO"/>
              </w:rPr>
              <w:t>C.P.</w:t>
            </w:r>
            <w:r w:rsidRPr="00D95654">
              <w:rPr>
                <w:rFonts w:ascii="Verdana" w:hAnsi="Verdana" w:cs="Arial"/>
                <w:color w:val="000000" w:themeColor="text1"/>
                <w:sz w:val="22"/>
                <w:szCs w:val="22"/>
              </w:rPr>
              <w:t xml:space="preserve"> Ruth Stella Correa Palacio. Sentencia del 20 de noviembre de 2008. Expediente: 17.031. </w:t>
            </w:r>
          </w:p>
          <w:p w14:paraId="51D4D0CE" w14:textId="77777777" w:rsidR="00B4148E" w:rsidRPr="00D95654" w:rsidRDefault="00B4148E" w:rsidP="00B4148E">
            <w:pPr>
              <w:pStyle w:val="Textonotapie"/>
              <w:spacing w:line="276" w:lineRule="auto"/>
              <w:ind w:left="-360"/>
              <w:jc w:val="both"/>
              <w:rPr>
                <w:rFonts w:ascii="Verdana" w:hAnsi="Verdana" w:cs="Arial"/>
                <w:color w:val="000000" w:themeColor="text1"/>
                <w:sz w:val="22"/>
                <w:szCs w:val="22"/>
              </w:rPr>
            </w:pPr>
          </w:p>
          <w:p w14:paraId="6C5B3FC2"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CONSEJO DE ESTADO. </w:t>
            </w:r>
            <w:r w:rsidRPr="00D95654">
              <w:rPr>
                <w:rFonts w:ascii="Verdana" w:hAnsi="Verdana"/>
                <w:sz w:val="22"/>
                <w:szCs w:val="22"/>
              </w:rPr>
              <w:t xml:space="preserve">Sala de lo Contencioso Administrativo. </w:t>
            </w:r>
            <w:r w:rsidRPr="00D95654">
              <w:rPr>
                <w:rFonts w:ascii="Verdana" w:hAnsi="Verdana" w:cs="Arial"/>
                <w:color w:val="000000" w:themeColor="text1"/>
                <w:sz w:val="22"/>
                <w:szCs w:val="22"/>
              </w:rPr>
              <w:t xml:space="preserve">Sección Tercera. </w:t>
            </w:r>
            <w:r w:rsidRPr="00D95654">
              <w:rPr>
                <w:rFonts w:ascii="Verdana" w:hAnsi="Verdana"/>
                <w:sz w:val="22"/>
                <w:szCs w:val="22"/>
                <w:lang w:val="es-CO"/>
              </w:rPr>
              <w:t>C.P.</w:t>
            </w:r>
            <w:r w:rsidRPr="00D95654">
              <w:rPr>
                <w:rFonts w:ascii="Verdana" w:hAnsi="Verdana" w:cs="Arial"/>
                <w:color w:val="000000" w:themeColor="text1"/>
                <w:sz w:val="22"/>
                <w:szCs w:val="22"/>
              </w:rPr>
              <w:t xml:space="preserve"> Enrique Gil Botero. Sentencia del 14 de abril de 2010. Expediente: 36.054. </w:t>
            </w:r>
          </w:p>
          <w:p w14:paraId="03A9D5EA" w14:textId="77777777" w:rsidR="00B4148E" w:rsidRPr="00D95654" w:rsidRDefault="00B4148E" w:rsidP="00B4148E">
            <w:pPr>
              <w:pStyle w:val="Textonotapie"/>
              <w:spacing w:line="276" w:lineRule="auto"/>
              <w:ind w:firstLine="709"/>
              <w:jc w:val="both"/>
              <w:rPr>
                <w:rFonts w:ascii="Verdana" w:hAnsi="Verdana" w:cs="Arial"/>
                <w:sz w:val="22"/>
                <w:szCs w:val="22"/>
                <w:lang w:val="es-ES"/>
              </w:rPr>
            </w:pPr>
          </w:p>
          <w:p w14:paraId="25801CCB"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CONSEJO DE ESTADO. </w:t>
            </w:r>
            <w:r w:rsidRPr="00D95654">
              <w:rPr>
                <w:rFonts w:ascii="Verdana" w:hAnsi="Verdana"/>
                <w:sz w:val="22"/>
                <w:szCs w:val="22"/>
              </w:rPr>
              <w:t xml:space="preserve">Sala de lo Contencioso Administrativo. </w:t>
            </w:r>
            <w:r w:rsidRPr="00D95654">
              <w:rPr>
                <w:rFonts w:ascii="Verdana" w:hAnsi="Verdana" w:cs="Arial"/>
                <w:color w:val="000000" w:themeColor="text1"/>
                <w:sz w:val="22"/>
                <w:szCs w:val="22"/>
              </w:rPr>
              <w:t xml:space="preserve">Sección Tercera. Subsección B. </w:t>
            </w:r>
            <w:r w:rsidRPr="00D95654">
              <w:rPr>
                <w:rFonts w:ascii="Verdana" w:hAnsi="Verdana"/>
                <w:sz w:val="22"/>
                <w:szCs w:val="22"/>
                <w:lang w:val="es-CO"/>
              </w:rPr>
              <w:t xml:space="preserve">C.P: </w:t>
            </w:r>
            <w:r w:rsidRPr="00D95654">
              <w:rPr>
                <w:rFonts w:ascii="Verdana" w:hAnsi="Verdana" w:cs="Arial"/>
                <w:color w:val="000000" w:themeColor="text1"/>
                <w:sz w:val="22"/>
                <w:szCs w:val="22"/>
              </w:rPr>
              <w:t>Ruth Stella Correa Palacio. Sentencia del 14 de octubre de 2011. Expediente: 20811.</w:t>
            </w:r>
          </w:p>
          <w:p w14:paraId="3EDD66B9" w14:textId="77777777" w:rsidR="00B4148E" w:rsidRPr="00D95654" w:rsidRDefault="00B4148E" w:rsidP="00B4148E">
            <w:pPr>
              <w:pStyle w:val="Textonotapie"/>
              <w:spacing w:line="276" w:lineRule="auto"/>
              <w:ind w:left="-360"/>
              <w:jc w:val="both"/>
              <w:rPr>
                <w:rFonts w:ascii="Verdana" w:hAnsi="Verdana" w:cs="Arial"/>
                <w:color w:val="000000" w:themeColor="text1"/>
                <w:sz w:val="22"/>
                <w:szCs w:val="22"/>
              </w:rPr>
            </w:pPr>
          </w:p>
          <w:p w14:paraId="4EBA8BEA"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rPr>
            </w:pPr>
            <w:r w:rsidRPr="00D95654">
              <w:rPr>
                <w:rFonts w:ascii="Verdana" w:hAnsi="Verdana"/>
                <w:sz w:val="22"/>
                <w:szCs w:val="22"/>
              </w:rPr>
              <w:t>CONSEJO DE ESTADO. Sala de lo Contencioso Administrativo. Sección Tercera. Subsección A. C.P.: Hernán Andrade Rincón (E). Sentencia del 29 de julio de 2015. Radicación número: 68001-23-31-000-2002-02796-01 (41.008).</w:t>
            </w:r>
          </w:p>
          <w:p w14:paraId="65967F80" w14:textId="77777777" w:rsidR="00B4148E" w:rsidRPr="00D95654" w:rsidRDefault="00B4148E" w:rsidP="00B4148E">
            <w:pPr>
              <w:pStyle w:val="Textonotapie"/>
              <w:spacing w:line="276" w:lineRule="auto"/>
              <w:jc w:val="both"/>
              <w:rPr>
                <w:rFonts w:ascii="Verdana" w:hAnsi="Verdana"/>
                <w:sz w:val="22"/>
                <w:szCs w:val="22"/>
              </w:rPr>
            </w:pPr>
          </w:p>
          <w:p w14:paraId="59A63621" w14:textId="77777777" w:rsidR="00B4148E" w:rsidRPr="00D95654" w:rsidRDefault="00B4148E" w:rsidP="00B4148E">
            <w:pPr>
              <w:pStyle w:val="Prrafodelista"/>
              <w:numPr>
                <w:ilvl w:val="0"/>
                <w:numId w:val="23"/>
              </w:numPr>
              <w:spacing w:line="276" w:lineRule="auto"/>
              <w:ind w:left="360"/>
              <w:jc w:val="both"/>
              <w:rPr>
                <w:rFonts w:ascii="Verdana" w:hAnsi="Verdana"/>
              </w:rPr>
            </w:pPr>
            <w:r w:rsidRPr="00D95654">
              <w:rPr>
                <w:rFonts w:ascii="Verdana" w:hAnsi="Verdana"/>
              </w:rPr>
              <w:t>CONSEJO DE ESTADO. Sala de Consulta y Servicio Civil.</w:t>
            </w:r>
            <w:r w:rsidRPr="00D95654">
              <w:rPr>
                <w:rFonts w:ascii="Verdana" w:hAnsi="Verdana"/>
                <w:i/>
                <w:iCs/>
              </w:rPr>
              <w:t xml:space="preserve"> </w:t>
            </w:r>
            <w:r w:rsidRPr="00D95654">
              <w:rPr>
                <w:rFonts w:ascii="Verdana" w:hAnsi="Verdana"/>
              </w:rPr>
              <w:t>C.P.: Óscar Daría Amaya Navas. Concepto del 06 de junio 2018. Radicación número: 2369.</w:t>
            </w:r>
          </w:p>
          <w:p w14:paraId="587767A7" w14:textId="77777777" w:rsidR="00B4148E" w:rsidRPr="00D95654" w:rsidRDefault="00B4148E" w:rsidP="00B4148E">
            <w:pPr>
              <w:pStyle w:val="Textonotapie"/>
              <w:spacing w:line="276" w:lineRule="auto"/>
              <w:ind w:left="-360"/>
              <w:jc w:val="both"/>
              <w:rPr>
                <w:rFonts w:ascii="Verdana" w:hAnsi="Verdana"/>
                <w:sz w:val="22"/>
                <w:szCs w:val="22"/>
              </w:rPr>
            </w:pPr>
          </w:p>
          <w:p w14:paraId="77D05F6F"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lang w:val="es-CO"/>
              </w:rPr>
            </w:pPr>
            <w:r w:rsidRPr="00D95654">
              <w:rPr>
                <w:rFonts w:ascii="Verdana" w:hAnsi="Verdana"/>
                <w:sz w:val="22"/>
                <w:szCs w:val="22"/>
                <w:lang w:val="es-CO"/>
              </w:rPr>
              <w:t xml:space="preserve">CONSEJO DE ESTADO. Sala de Consulta y Servicio Civil. C.P: Édgar González López. Sentencia del 5 de septiembre de 2018. Expediente: 2386. </w:t>
            </w:r>
          </w:p>
          <w:p w14:paraId="0FEA2980" w14:textId="77777777" w:rsidR="00B4148E" w:rsidRPr="00D95654" w:rsidRDefault="00B4148E" w:rsidP="00B4148E">
            <w:pPr>
              <w:pStyle w:val="Textonotapie"/>
              <w:spacing w:line="276" w:lineRule="auto"/>
              <w:jc w:val="both"/>
              <w:rPr>
                <w:rFonts w:ascii="Verdana" w:hAnsi="Verdana"/>
                <w:sz w:val="22"/>
                <w:szCs w:val="22"/>
              </w:rPr>
            </w:pPr>
          </w:p>
          <w:p w14:paraId="2546D6DD"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rPr>
            </w:pPr>
            <w:r w:rsidRPr="00D95654">
              <w:rPr>
                <w:rFonts w:ascii="Verdana" w:hAnsi="Verdana"/>
                <w:sz w:val="22"/>
                <w:szCs w:val="22"/>
              </w:rPr>
              <w:lastRenderedPageBreak/>
              <w:t>CONSEJO DE ESTADO. Sala de lo Contencioso Administrativo. Sección Tercera. Subsección B. C.P.: Ramiro Pazos Guerrero. Sentencia del 4 de junio de 2019. Radicación número: 73001-23-31-000-2008-00741-01 (39.974).</w:t>
            </w:r>
          </w:p>
          <w:p w14:paraId="29AD9B14" w14:textId="77777777" w:rsidR="00B4148E" w:rsidRPr="00D95654" w:rsidRDefault="00B4148E" w:rsidP="00B4148E">
            <w:pPr>
              <w:pStyle w:val="Textonotapie"/>
              <w:spacing w:line="276" w:lineRule="auto"/>
              <w:jc w:val="both"/>
              <w:rPr>
                <w:rFonts w:ascii="Verdana" w:hAnsi="Verdana" w:cs="Arial"/>
                <w:color w:val="000000" w:themeColor="text1"/>
                <w:sz w:val="22"/>
                <w:szCs w:val="22"/>
              </w:rPr>
            </w:pPr>
          </w:p>
          <w:p w14:paraId="042309FD"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CONSEJO DE ESTADO. </w:t>
            </w:r>
            <w:r w:rsidRPr="00D95654">
              <w:rPr>
                <w:rFonts w:ascii="Verdana" w:hAnsi="Verdana"/>
                <w:sz w:val="22"/>
                <w:szCs w:val="22"/>
              </w:rPr>
              <w:t xml:space="preserve">Sala de lo Contencioso Administrativo. </w:t>
            </w:r>
            <w:r w:rsidRPr="00D95654">
              <w:rPr>
                <w:rFonts w:ascii="Verdana" w:hAnsi="Verdana" w:cs="Arial"/>
                <w:color w:val="000000" w:themeColor="text1"/>
                <w:sz w:val="22"/>
                <w:szCs w:val="22"/>
              </w:rPr>
              <w:t xml:space="preserve">Sección tercera. </w:t>
            </w:r>
            <w:r w:rsidRPr="00D95654">
              <w:rPr>
                <w:rFonts w:ascii="Verdana" w:hAnsi="Verdana"/>
                <w:sz w:val="22"/>
                <w:szCs w:val="22"/>
                <w:lang w:val="es-CO"/>
              </w:rPr>
              <w:t xml:space="preserve">C.P. </w:t>
            </w:r>
            <w:r w:rsidRPr="00D95654">
              <w:rPr>
                <w:rFonts w:ascii="Verdana" w:hAnsi="Verdana" w:cs="Arial"/>
                <w:color w:val="000000" w:themeColor="text1"/>
                <w:sz w:val="22"/>
                <w:szCs w:val="22"/>
              </w:rPr>
              <w:t>Alberto Montaña Plata. Sentencia del 9 de julio de 2021. Radicación número: 52045.</w:t>
            </w:r>
            <w:r w:rsidRPr="00D95654">
              <w:rPr>
                <w:rFonts w:ascii="Verdana" w:hAnsi="Verdana"/>
                <w:sz w:val="22"/>
                <w:szCs w:val="22"/>
                <w:lang w:val="es-CO"/>
              </w:rPr>
              <w:t xml:space="preserve"> </w:t>
            </w:r>
            <w:r w:rsidRPr="00D95654">
              <w:rPr>
                <w:rFonts w:ascii="Verdana" w:hAnsi="Verdana" w:cs="Arial"/>
                <w:color w:val="000000" w:themeColor="text1"/>
                <w:sz w:val="22"/>
                <w:szCs w:val="22"/>
              </w:rPr>
              <w:t>Aclaración de voto: Alexander Jojoa Bolaños.</w:t>
            </w:r>
          </w:p>
          <w:p w14:paraId="4F42D978" w14:textId="77777777" w:rsidR="00B4148E" w:rsidRPr="00D95654" w:rsidRDefault="00B4148E" w:rsidP="00B4148E">
            <w:pPr>
              <w:pStyle w:val="Textonotapie"/>
              <w:spacing w:line="276" w:lineRule="auto"/>
              <w:jc w:val="both"/>
              <w:rPr>
                <w:rFonts w:ascii="Verdana" w:hAnsi="Verdana"/>
                <w:sz w:val="22"/>
                <w:szCs w:val="22"/>
              </w:rPr>
            </w:pPr>
          </w:p>
          <w:p w14:paraId="529DB107"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rPr>
            </w:pPr>
            <w:r w:rsidRPr="00D95654">
              <w:rPr>
                <w:rFonts w:ascii="Verdana" w:hAnsi="Verdana"/>
                <w:sz w:val="22"/>
                <w:szCs w:val="22"/>
              </w:rPr>
              <w:t>CONSEJO DE ESTADO. Sala de lo Contencioso Administrativo. Sección Tercera. Subsección B. C.P.: Alberto Montaña Plata. Sentencia del 18 de noviembre de 2021. Radicación número.: 47001-23-33-001-2013-00363-01 (61.641).</w:t>
            </w:r>
          </w:p>
          <w:p w14:paraId="069D2A9F"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lang w:val="es-CO"/>
              </w:rPr>
            </w:pPr>
            <w:r w:rsidRPr="00D95654">
              <w:rPr>
                <w:rFonts w:ascii="Verdana" w:hAnsi="Verdana"/>
                <w:sz w:val="22"/>
                <w:szCs w:val="22"/>
              </w:rPr>
              <w:t xml:space="preserve">CONSEJO DE ESTADO. Sala de Consulta y del Servicio Civil. </w:t>
            </w:r>
            <w:r w:rsidRPr="00D95654">
              <w:rPr>
                <w:rFonts w:ascii="Verdana" w:hAnsi="Verdana"/>
                <w:sz w:val="22"/>
                <w:szCs w:val="22"/>
                <w:lang w:val="es-CO"/>
              </w:rPr>
              <w:t>C.P.: Dra. Susana Montes de Echeverri.</w:t>
            </w:r>
            <w:r w:rsidRPr="00D95654">
              <w:rPr>
                <w:rFonts w:ascii="Verdana" w:hAnsi="Verdana"/>
                <w:sz w:val="22"/>
                <w:szCs w:val="22"/>
              </w:rPr>
              <w:t xml:space="preserve">Concepto del 18 de julio de 2022. Expediente 1439. </w:t>
            </w:r>
          </w:p>
          <w:p w14:paraId="5678B767" w14:textId="77777777" w:rsidR="00B4148E" w:rsidRPr="00D95654" w:rsidRDefault="00B4148E" w:rsidP="00B4148E">
            <w:pPr>
              <w:pStyle w:val="Textonotapie"/>
              <w:spacing w:line="276" w:lineRule="auto"/>
              <w:jc w:val="both"/>
              <w:rPr>
                <w:rFonts w:ascii="Verdana" w:hAnsi="Verdana"/>
                <w:sz w:val="22"/>
                <w:szCs w:val="22"/>
              </w:rPr>
            </w:pPr>
          </w:p>
          <w:p w14:paraId="7020D99C"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rPr>
            </w:pPr>
            <w:r w:rsidRPr="00D95654">
              <w:rPr>
                <w:rFonts w:ascii="Verdana" w:hAnsi="Verdana"/>
                <w:sz w:val="22"/>
                <w:szCs w:val="22"/>
              </w:rPr>
              <w:t>CONSEJO DE ESTADO. Sala de lo Contencioso Administrativo. Sección Tercera. C.P. Dr. Jaime Enrique Rodríguez. Sentencia del 19 de septiembre de 2022. Expediente No. 54.714.</w:t>
            </w:r>
          </w:p>
          <w:p w14:paraId="374924CB" w14:textId="77777777" w:rsidR="00B4148E" w:rsidRPr="00D95654" w:rsidRDefault="00B4148E" w:rsidP="00B4148E">
            <w:pPr>
              <w:pStyle w:val="Textonotapie"/>
              <w:spacing w:line="276" w:lineRule="auto"/>
              <w:ind w:left="-360"/>
              <w:jc w:val="both"/>
              <w:rPr>
                <w:rFonts w:ascii="Verdana" w:hAnsi="Verdana"/>
                <w:sz w:val="22"/>
                <w:szCs w:val="22"/>
                <w:lang w:val="es-CO"/>
              </w:rPr>
            </w:pPr>
          </w:p>
          <w:p w14:paraId="0C15419D" w14:textId="77777777" w:rsidR="00B4148E" w:rsidRPr="00D95654" w:rsidRDefault="00B4148E" w:rsidP="00B4148E">
            <w:pPr>
              <w:pStyle w:val="Prrafodelista"/>
              <w:numPr>
                <w:ilvl w:val="0"/>
                <w:numId w:val="23"/>
              </w:numPr>
              <w:spacing w:line="276" w:lineRule="auto"/>
              <w:ind w:left="360"/>
              <w:jc w:val="both"/>
              <w:rPr>
                <w:rFonts w:ascii="Verdana" w:hAnsi="Verdana"/>
              </w:rPr>
            </w:pPr>
            <w:r w:rsidRPr="00D95654">
              <w:rPr>
                <w:rFonts w:ascii="Verdana" w:hAnsi="Verdana"/>
              </w:rPr>
              <w:t xml:space="preserve">CONSEJO DE ESTADO. Sala de lo Contencioso Administrativo. Sección Tercera Subsección A. C.P.: María Adriana Marín. Sentencia del 22 de agosto de 2023. Radicación número: 85001-23-33-000-2015-00211-01 (58.634). </w:t>
            </w:r>
          </w:p>
          <w:p w14:paraId="2682CA8D" w14:textId="77777777" w:rsidR="00B4148E" w:rsidRPr="00D95654" w:rsidRDefault="00B4148E" w:rsidP="00B4148E">
            <w:pPr>
              <w:pStyle w:val="Textonotapie"/>
              <w:spacing w:line="276" w:lineRule="auto"/>
              <w:ind w:firstLine="708"/>
              <w:jc w:val="both"/>
              <w:rPr>
                <w:rFonts w:ascii="Verdana" w:hAnsi="Verdana"/>
                <w:sz w:val="22"/>
                <w:szCs w:val="22"/>
                <w:lang w:val="es-CO"/>
              </w:rPr>
            </w:pPr>
          </w:p>
          <w:p w14:paraId="02A144A4"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lang w:val="es-CO"/>
              </w:rPr>
            </w:pPr>
            <w:r w:rsidRPr="00D95654">
              <w:rPr>
                <w:rFonts w:ascii="Verdana" w:hAnsi="Verdana"/>
                <w:sz w:val="22"/>
                <w:szCs w:val="22"/>
              </w:rPr>
              <w:t xml:space="preserve">CONSEJO DE ESTADO. Sala de lo Contencioso Administrativo. Sección Tercera. Subsección C. </w:t>
            </w:r>
            <w:r w:rsidRPr="00D95654">
              <w:rPr>
                <w:rFonts w:ascii="Verdana" w:hAnsi="Verdana"/>
                <w:sz w:val="22"/>
                <w:szCs w:val="22"/>
                <w:lang w:val="es-CO"/>
              </w:rPr>
              <w:t>C.P.: Nicolás Yepes Corrales.</w:t>
            </w:r>
            <w:r w:rsidRPr="00D95654">
              <w:rPr>
                <w:rFonts w:ascii="Verdana" w:hAnsi="Verdana"/>
                <w:sz w:val="22"/>
                <w:szCs w:val="22"/>
              </w:rPr>
              <w:t xml:space="preserve"> Sentencia del 24 de abril de 2024. Expediente No. 67095. </w:t>
            </w:r>
          </w:p>
          <w:p w14:paraId="7FD2EAA4" w14:textId="77777777" w:rsidR="00B4148E" w:rsidRPr="00D95654" w:rsidRDefault="00B4148E" w:rsidP="00B4148E">
            <w:pPr>
              <w:spacing w:line="276" w:lineRule="auto"/>
              <w:rPr>
                <w:rFonts w:ascii="Verdana" w:hAnsi="Verdana"/>
              </w:rPr>
            </w:pPr>
          </w:p>
          <w:p w14:paraId="59809615" w14:textId="77777777" w:rsidR="00B4148E" w:rsidRPr="00D95654" w:rsidRDefault="00B4148E" w:rsidP="00B4148E">
            <w:pPr>
              <w:pStyle w:val="Prrafodelista"/>
              <w:numPr>
                <w:ilvl w:val="0"/>
                <w:numId w:val="23"/>
              </w:numPr>
              <w:spacing w:line="276" w:lineRule="auto"/>
              <w:ind w:left="360"/>
              <w:rPr>
                <w:rFonts w:ascii="Verdana" w:hAnsi="Verdana"/>
              </w:rPr>
            </w:pPr>
            <w:r w:rsidRPr="00D95654">
              <w:rPr>
                <w:rFonts w:ascii="Verdana" w:hAnsi="Verdana"/>
              </w:rPr>
              <w:t xml:space="preserve">FRANCO GUTIÉRREZ, Omar. La Contratación Administrativa. Quinta Ed. Bogotá. Leyer. 2010. </w:t>
            </w:r>
          </w:p>
          <w:p w14:paraId="350A81D1" w14:textId="77777777" w:rsidR="00B4148E" w:rsidRPr="00D95654" w:rsidRDefault="00B4148E" w:rsidP="00B4148E">
            <w:pPr>
              <w:pStyle w:val="Textonotapie"/>
              <w:spacing w:line="276" w:lineRule="auto"/>
              <w:jc w:val="both"/>
              <w:rPr>
                <w:rFonts w:ascii="Verdana" w:hAnsi="Verdana" w:cs="Arial"/>
                <w:color w:val="000000" w:themeColor="text1"/>
                <w:sz w:val="22"/>
                <w:szCs w:val="22"/>
              </w:rPr>
            </w:pPr>
          </w:p>
          <w:p w14:paraId="6F22EEC3"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MARÍN CORTÉS. Fabián G. El precio. Serie: Las Cláusulas del Contrato Estatal. Medellín: Centro de Estudios de Derecho Administrativo ― CEDA y Librería Jurídica Sánchez. 2012. </w:t>
            </w:r>
          </w:p>
          <w:p w14:paraId="2A2EA5C1" w14:textId="77777777" w:rsidR="00B4148E" w:rsidRPr="00D95654" w:rsidRDefault="00B4148E" w:rsidP="00B4148E">
            <w:pPr>
              <w:spacing w:line="276" w:lineRule="auto"/>
              <w:ind w:firstLine="708"/>
              <w:jc w:val="both"/>
              <w:rPr>
                <w:rFonts w:ascii="Verdana" w:hAnsi="Verdana"/>
                <w:i/>
                <w:iCs/>
              </w:rPr>
            </w:pPr>
          </w:p>
          <w:p w14:paraId="5A999AC7" w14:textId="77777777" w:rsidR="00B4148E" w:rsidRPr="00D95654" w:rsidRDefault="00B4148E" w:rsidP="00B4148E">
            <w:pPr>
              <w:pStyle w:val="Textonotapie"/>
              <w:numPr>
                <w:ilvl w:val="0"/>
                <w:numId w:val="23"/>
              </w:numPr>
              <w:spacing w:line="276" w:lineRule="auto"/>
              <w:ind w:left="360"/>
              <w:jc w:val="both"/>
              <w:rPr>
                <w:rFonts w:ascii="Verdana" w:hAnsi="Verdana"/>
                <w:sz w:val="22"/>
                <w:szCs w:val="22"/>
              </w:rPr>
            </w:pPr>
            <w:r w:rsidRPr="00D95654">
              <w:rPr>
                <w:rFonts w:ascii="Verdana" w:hAnsi="Verdana"/>
                <w:sz w:val="22"/>
                <w:szCs w:val="22"/>
              </w:rPr>
              <w:lastRenderedPageBreak/>
              <w:t>BENAVIDES, José Luis. Contratos Públicos. Estudios. Temas de Derecho Administrativo No. 5. Universidad Externado de Colombia. 2014.</w:t>
            </w:r>
          </w:p>
          <w:p w14:paraId="51D3B0F0" w14:textId="77777777" w:rsidR="00B4148E" w:rsidRPr="00D95654" w:rsidRDefault="00B4148E" w:rsidP="00B4148E">
            <w:pPr>
              <w:pStyle w:val="Textonotapie"/>
              <w:spacing w:line="276" w:lineRule="auto"/>
              <w:ind w:left="-360"/>
              <w:jc w:val="both"/>
              <w:rPr>
                <w:rFonts w:ascii="Verdana" w:hAnsi="Verdana"/>
                <w:sz w:val="22"/>
                <w:szCs w:val="22"/>
              </w:rPr>
            </w:pPr>
          </w:p>
          <w:p w14:paraId="1CB14E81" w14:textId="77777777" w:rsidR="00B4148E"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cs="Arial"/>
                <w:color w:val="000000" w:themeColor="text1"/>
                <w:sz w:val="22"/>
                <w:szCs w:val="22"/>
              </w:rPr>
              <w:t xml:space="preserve">DÁVILA VINUEZA, Luis Guillermo. Régimen jurídico de la contratación estatal. Tercera edición, Bogotá: Legis. 2016. </w:t>
            </w:r>
          </w:p>
          <w:p w14:paraId="591D7378" w14:textId="77777777" w:rsidR="00B4148E" w:rsidRPr="00D95654" w:rsidRDefault="00B4148E" w:rsidP="00B4148E">
            <w:pPr>
              <w:pStyle w:val="Prrafodelista"/>
              <w:rPr>
                <w:rFonts w:ascii="Verdana" w:hAnsi="Verdana"/>
              </w:rPr>
            </w:pPr>
          </w:p>
          <w:p w14:paraId="64F6F484" w14:textId="13B187BE" w:rsidR="00623273" w:rsidRPr="00D95654" w:rsidRDefault="00B4148E" w:rsidP="00B4148E">
            <w:pPr>
              <w:pStyle w:val="Textonotapie"/>
              <w:numPr>
                <w:ilvl w:val="0"/>
                <w:numId w:val="23"/>
              </w:numPr>
              <w:spacing w:line="276" w:lineRule="auto"/>
              <w:ind w:left="360"/>
              <w:jc w:val="both"/>
              <w:rPr>
                <w:rFonts w:ascii="Verdana" w:hAnsi="Verdana" w:cs="Arial"/>
                <w:color w:val="000000" w:themeColor="text1"/>
                <w:sz w:val="22"/>
                <w:szCs w:val="22"/>
              </w:rPr>
            </w:pPr>
            <w:r w:rsidRPr="00D95654">
              <w:rPr>
                <w:rFonts w:ascii="Verdana" w:hAnsi="Verdana"/>
                <w:sz w:val="22"/>
                <w:szCs w:val="22"/>
              </w:rPr>
              <w:t xml:space="preserve">EXPOSITO </w:t>
            </w:r>
            <w:proofErr w:type="spellStart"/>
            <w:r w:rsidRPr="00D95654">
              <w:rPr>
                <w:rFonts w:ascii="Verdana" w:hAnsi="Verdana"/>
                <w:sz w:val="22"/>
                <w:szCs w:val="22"/>
              </w:rPr>
              <w:t>Velez</w:t>
            </w:r>
            <w:proofErr w:type="spellEnd"/>
            <w:r w:rsidRPr="00D95654">
              <w:rPr>
                <w:rFonts w:ascii="Verdana" w:hAnsi="Verdana"/>
                <w:sz w:val="22"/>
                <w:szCs w:val="22"/>
              </w:rPr>
              <w:t>, Juan Carlos. La planeación y validez del contrato estatal. En: Contratos Públicos: Problemas, perspectivas y prospectivas. XVIII Jornadas Internacionales de Derecho Administrativo, Universidad Externado de Colombia. Agosto. 2017.</w:t>
            </w:r>
          </w:p>
        </w:tc>
      </w:tr>
    </w:tbl>
    <w:p w14:paraId="77591057" w14:textId="77777777" w:rsidR="00623273" w:rsidRPr="00D95654" w:rsidRDefault="00623273" w:rsidP="00623273">
      <w:pPr>
        <w:widowControl w:val="0"/>
        <w:autoSpaceDE w:val="0"/>
        <w:autoSpaceDN w:val="0"/>
        <w:spacing w:after="0" w:line="276" w:lineRule="auto"/>
        <w:jc w:val="both"/>
        <w:rPr>
          <w:rFonts w:ascii="Verdana" w:hAnsi="Verdana" w:cs="Arial"/>
        </w:rPr>
      </w:pPr>
    </w:p>
    <w:p w14:paraId="2ED4C3C8" w14:textId="77777777" w:rsidR="00623273" w:rsidRPr="00D95654" w:rsidRDefault="00623273" w:rsidP="006232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95654">
        <w:rPr>
          <w:rFonts w:ascii="Verdana" w:eastAsia="Century Gothic" w:hAnsi="Verdana" w:cs="Century Gothic"/>
          <w:b/>
          <w:bCs/>
        </w:rPr>
        <w:t>Doctrina de la Agencia Nacional de Contratación Pública:</w:t>
      </w:r>
    </w:p>
    <w:p w14:paraId="336791F8" w14:textId="77777777" w:rsidR="00623273" w:rsidRPr="00D95654" w:rsidRDefault="00623273" w:rsidP="00623273">
      <w:pPr>
        <w:widowControl w:val="0"/>
        <w:autoSpaceDE w:val="0"/>
        <w:autoSpaceDN w:val="0"/>
        <w:spacing w:after="0" w:line="276" w:lineRule="auto"/>
        <w:jc w:val="both"/>
        <w:rPr>
          <w:rFonts w:ascii="Verdana" w:hAnsi="Verdana" w:cs="Arial"/>
        </w:rPr>
      </w:pPr>
    </w:p>
    <w:p w14:paraId="7CEA2D2F" w14:textId="0A12CFA7" w:rsidR="00C02982" w:rsidRPr="00D95654" w:rsidRDefault="00623273" w:rsidP="0012396E">
      <w:pPr>
        <w:widowControl w:val="0"/>
        <w:autoSpaceDE w:val="0"/>
        <w:autoSpaceDN w:val="0"/>
        <w:spacing w:after="0" w:line="276" w:lineRule="auto"/>
        <w:jc w:val="both"/>
        <w:rPr>
          <w:rFonts w:ascii="Verdana" w:hAnsi="Verdana" w:cs="Arial"/>
          <w:shd w:val="clear" w:color="auto" w:fill="FFFFFF"/>
        </w:rPr>
      </w:pPr>
      <w:r w:rsidRPr="00D95654">
        <w:rPr>
          <w:rFonts w:ascii="Verdana" w:hAnsi="Verdana" w:cs="Arial"/>
          <w:lang w:val="es-ES"/>
        </w:rPr>
        <w:t>Sobr</w:t>
      </w:r>
      <w:r w:rsidR="00ED1B84" w:rsidRPr="00D95654">
        <w:rPr>
          <w:rFonts w:ascii="Verdana" w:hAnsi="Verdana" w:cs="Arial"/>
          <w:lang w:val="es-ES"/>
        </w:rPr>
        <w:t xml:space="preserve">e </w:t>
      </w:r>
      <w:r w:rsidR="00ED1B84" w:rsidRPr="00D95654">
        <w:rPr>
          <w:rFonts w:ascii="Verdana" w:hAnsi="Verdana" w:cs="Arial"/>
          <w:bCs/>
          <w:lang w:val="es-ES_tradnl"/>
        </w:rPr>
        <w:t>las modificaciones y adiciones en los contratos estatales</w:t>
      </w:r>
      <w:r w:rsidRPr="00D95654">
        <w:rPr>
          <w:rFonts w:ascii="Verdana" w:hAnsi="Verdana" w:cs="Arial"/>
          <w:bCs/>
          <w:lang w:val="es-ES_tradnl"/>
        </w:rPr>
        <w:t xml:space="preserve">, </w:t>
      </w:r>
      <w:r w:rsidRPr="00D95654">
        <w:rPr>
          <w:rFonts w:ascii="Verdana" w:hAnsi="Verdana" w:cs="Arial"/>
          <w:lang w:val="es-ES"/>
        </w:rPr>
        <w:t xml:space="preserve">esta Subdirección se pronunció en los conceptos </w:t>
      </w:r>
      <w:r w:rsidRPr="00D95654">
        <w:rPr>
          <w:rFonts w:ascii="Verdana" w:hAnsi="Verdana" w:cs="Arial"/>
        </w:rPr>
        <w:t xml:space="preserve">Nos. </w:t>
      </w:r>
      <w:r w:rsidR="00703E0B" w:rsidRPr="00D95654">
        <w:rPr>
          <w:rFonts w:ascii="Verdana" w:hAnsi="Verdana" w:cs="Arial"/>
          <w:bCs/>
          <w:lang w:val="es-ES_tradnl"/>
        </w:rPr>
        <w:t>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w:t>
      </w:r>
      <w:r w:rsidR="009B0D21" w:rsidRPr="00D95654">
        <w:rPr>
          <w:rFonts w:ascii="Verdana" w:hAnsi="Verdana" w:cs="Arial"/>
          <w:bCs/>
          <w:lang w:val="es-ES_tradnl"/>
        </w:rPr>
        <w:t>,</w:t>
      </w:r>
      <w:r w:rsidR="003270FF" w:rsidRPr="00D95654">
        <w:rPr>
          <w:rFonts w:ascii="Verdana" w:hAnsi="Verdana" w:cs="Arial"/>
          <w:bCs/>
          <w:lang w:val="es-ES_tradnl"/>
        </w:rPr>
        <w:t xml:space="preserve"> </w:t>
      </w:r>
      <w:r w:rsidR="00246B38" w:rsidRPr="00D95654">
        <w:rPr>
          <w:rFonts w:ascii="Verdana" w:hAnsi="Verdana" w:cs="Arial"/>
          <w:bCs/>
          <w:lang w:val="es-ES_tradnl"/>
        </w:rPr>
        <w:t xml:space="preserve">C-022 del </w:t>
      </w:r>
      <w:r w:rsidR="00B63E7B" w:rsidRPr="00D95654">
        <w:rPr>
          <w:rFonts w:ascii="Verdana" w:hAnsi="Verdana" w:cs="Arial"/>
          <w:bCs/>
          <w:lang w:val="es-ES_tradnl"/>
        </w:rPr>
        <w:t xml:space="preserve">11 de marzo del 2024, C-202 del 31 de julio del 2024, C-242 del </w:t>
      </w:r>
      <w:r w:rsidR="00653AC2" w:rsidRPr="00D95654">
        <w:rPr>
          <w:rFonts w:ascii="Verdana" w:hAnsi="Verdana" w:cs="Arial"/>
          <w:bCs/>
          <w:lang w:val="es-ES_tradnl"/>
        </w:rPr>
        <w:t xml:space="preserve">11 de septiembre del 2024, </w:t>
      </w:r>
      <w:r w:rsidR="00CF1979" w:rsidRPr="00D95654">
        <w:rPr>
          <w:rFonts w:ascii="Verdana" w:hAnsi="Verdana" w:cs="Arial"/>
          <w:bCs/>
          <w:lang w:val="es-ES_tradnl"/>
        </w:rPr>
        <w:t xml:space="preserve">C-451 del 19 de septiembre del 2024, </w:t>
      </w:r>
      <w:r w:rsidR="003B41D8" w:rsidRPr="00D95654">
        <w:rPr>
          <w:rFonts w:ascii="Verdana" w:hAnsi="Verdana" w:cs="Arial"/>
          <w:bCs/>
          <w:lang w:val="es-ES_tradnl"/>
        </w:rPr>
        <w:t>C-465 del 23 de septiembre del 2024</w:t>
      </w:r>
      <w:r w:rsidR="004B667E" w:rsidRPr="00D95654">
        <w:rPr>
          <w:rFonts w:ascii="Verdana" w:hAnsi="Verdana" w:cs="Arial"/>
          <w:bCs/>
          <w:lang w:val="es-ES_tradnl"/>
        </w:rPr>
        <w:t>,</w:t>
      </w:r>
      <w:r w:rsidR="00155692" w:rsidRPr="00D95654">
        <w:rPr>
          <w:rFonts w:ascii="Verdana" w:hAnsi="Verdana" w:cs="Arial"/>
          <w:bCs/>
          <w:lang w:val="es-ES_tradnl"/>
        </w:rPr>
        <w:t xml:space="preserve"> C-466 del 23 de septiembre del 2024, </w:t>
      </w:r>
      <w:r w:rsidR="003B41D8" w:rsidRPr="00D95654">
        <w:rPr>
          <w:rFonts w:ascii="Verdana" w:hAnsi="Verdana" w:cs="Arial"/>
          <w:bCs/>
          <w:lang w:val="es-ES_tradnl"/>
        </w:rPr>
        <w:t>C-</w:t>
      </w:r>
      <w:r w:rsidR="00763A22" w:rsidRPr="00D95654">
        <w:rPr>
          <w:rFonts w:ascii="Verdana" w:hAnsi="Verdana" w:cs="Arial"/>
          <w:bCs/>
          <w:lang w:val="es-ES_tradnl"/>
        </w:rPr>
        <w:t>563 del 21 de octubre del 2024</w:t>
      </w:r>
      <w:r w:rsidR="004B667E" w:rsidRPr="00D95654">
        <w:rPr>
          <w:rFonts w:ascii="Verdana" w:hAnsi="Verdana" w:cs="Arial"/>
          <w:bCs/>
          <w:lang w:val="es-ES_tradnl"/>
        </w:rPr>
        <w:t>, C-615 del</w:t>
      </w:r>
      <w:r w:rsidR="00C26156" w:rsidRPr="00D95654">
        <w:rPr>
          <w:rFonts w:ascii="Verdana" w:hAnsi="Verdana" w:cs="Arial"/>
          <w:bCs/>
          <w:lang w:val="es-ES_tradnl"/>
        </w:rPr>
        <w:t xml:space="preserve"> 29 de octubre del 2024 y C-588 del 29 de octubre del 2024</w:t>
      </w:r>
      <w:r w:rsidRPr="00D95654">
        <w:rPr>
          <w:rFonts w:ascii="Verdana" w:hAnsi="Verdana" w:cs="Arial"/>
        </w:rPr>
        <w:t xml:space="preserve">. </w:t>
      </w:r>
      <w:r w:rsidRPr="00D95654">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D95654">
          <w:rPr>
            <w:rStyle w:val="Hipervnculo"/>
            <w:rFonts w:ascii="Verdana" w:hAnsi="Verdana" w:cs="Arial"/>
            <w:shd w:val="clear" w:color="auto" w:fill="FFFFFF"/>
          </w:rPr>
          <w:t>https://relatoria.colombiacompra.gov.co/</w:t>
        </w:r>
      </w:hyperlink>
      <w:r w:rsidRPr="00D95654">
        <w:rPr>
          <w:rFonts w:ascii="Verdana" w:hAnsi="Verdana" w:cs="Arial"/>
          <w:shd w:val="clear" w:color="auto" w:fill="FFFFFF"/>
        </w:rPr>
        <w:t> .</w:t>
      </w:r>
    </w:p>
    <w:p w14:paraId="7656DB42" w14:textId="77777777" w:rsidR="00C02982" w:rsidRPr="00D95654" w:rsidRDefault="00C02982" w:rsidP="00C02982">
      <w:pPr>
        <w:widowControl w:val="0"/>
        <w:autoSpaceDE w:val="0"/>
        <w:autoSpaceDN w:val="0"/>
        <w:spacing w:after="0" w:line="276" w:lineRule="auto"/>
        <w:jc w:val="both"/>
        <w:rPr>
          <w:rFonts w:ascii="Verdana" w:hAnsi="Verdana" w:cs="Arial"/>
          <w:shd w:val="clear" w:color="auto" w:fill="FFFFFF"/>
        </w:rPr>
      </w:pPr>
    </w:p>
    <w:p w14:paraId="6CEF8677" w14:textId="5C16A767" w:rsidR="00C02982" w:rsidRPr="00D95654" w:rsidRDefault="009454BB" w:rsidP="00C02982">
      <w:pPr>
        <w:widowControl w:val="0"/>
        <w:autoSpaceDE w:val="0"/>
        <w:autoSpaceDN w:val="0"/>
        <w:spacing w:after="0" w:line="276" w:lineRule="auto"/>
        <w:jc w:val="both"/>
        <w:rPr>
          <w:rFonts w:ascii="Verdana" w:hAnsi="Verdana" w:cs="Arial"/>
          <w:color w:val="000000" w:themeColor="text1"/>
          <w:shd w:val="clear" w:color="auto" w:fill="FFFFFF"/>
        </w:rPr>
      </w:pPr>
      <w:r w:rsidRPr="00D95654">
        <w:rPr>
          <w:rFonts w:ascii="Verdana" w:hAnsi="Verdana" w:cs="Arial"/>
          <w:color w:val="000000" w:themeColor="text1"/>
          <w:shd w:val="clear" w:color="auto" w:fill="FFFFFF"/>
        </w:rPr>
        <w:t>Igualmente, t</w:t>
      </w:r>
      <w:r w:rsidR="00C02982" w:rsidRPr="00D95654">
        <w:rPr>
          <w:rFonts w:ascii="Verdana" w:hAnsi="Verdana" w:cs="Arial"/>
          <w:color w:val="000000" w:themeColor="text1"/>
          <w:shd w:val="clear" w:color="auto" w:fill="FFFFFF"/>
        </w:rPr>
        <w:t xml:space="preserve">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w:t>
      </w:r>
      <w:r w:rsidR="00C92DD5" w:rsidRPr="00D95654">
        <w:rPr>
          <w:rFonts w:ascii="Verdana" w:hAnsi="Verdana" w:cs="Arial"/>
          <w:color w:val="000000" w:themeColor="text1"/>
          <w:shd w:val="clear" w:color="auto" w:fill="FFFFFF"/>
        </w:rPr>
        <w:t>Este instrumento</w:t>
      </w:r>
      <w:r w:rsidR="00891778" w:rsidRPr="00D95654">
        <w:rPr>
          <w:rFonts w:ascii="Verdana" w:hAnsi="Verdana" w:cs="Arial"/>
          <w:color w:val="000000" w:themeColor="text1"/>
          <w:shd w:val="clear" w:color="auto" w:fill="FFFFFF"/>
        </w:rPr>
        <w:t xml:space="preserve"> </w:t>
      </w:r>
      <w:r w:rsidR="00C92DD5" w:rsidRPr="00D95654">
        <w:rPr>
          <w:rFonts w:ascii="Verdana" w:hAnsi="Verdana" w:cs="Arial"/>
          <w:color w:val="000000" w:themeColor="text1"/>
          <w:shd w:val="clear" w:color="auto" w:fill="FFFFFF"/>
        </w:rPr>
        <w:t xml:space="preserve">se encuentra disponible para consulta en el </w:t>
      </w:r>
      <w:r w:rsidR="00C02982" w:rsidRPr="00D95654">
        <w:rPr>
          <w:rFonts w:ascii="Verdana" w:hAnsi="Verdana" w:cs="Arial"/>
          <w:color w:val="000000" w:themeColor="text1"/>
          <w:shd w:val="clear" w:color="auto" w:fill="FFFFFF"/>
        </w:rPr>
        <w:t>siguiente enlace: </w:t>
      </w:r>
      <w:hyperlink r:id="rId13" w:tgtFrame="_blank" w:tooltip="Dirección URL original: https://www.colombiacompra.gov.co/sites/cce_public/files/cce_documents/manual_para_el_manejo_de_acuerdos_comerciales_vf.pdf. Haga clic o pulse si confía en este vínculo." w:history="1">
        <w:r w:rsidR="00C02982" w:rsidRPr="00D95654">
          <w:rPr>
            <w:rStyle w:val="Hipervnculo"/>
            <w:rFonts w:ascii="Verdana" w:hAnsi="Verdana" w:cs="Arial"/>
            <w:shd w:val="clear" w:color="auto" w:fill="FFFFFF"/>
          </w:rPr>
          <w:t>manual_para_el_manejo_de_acuerdos_comerciales_vf.pdf</w:t>
        </w:r>
      </w:hyperlink>
    </w:p>
    <w:p w14:paraId="60B38DA8" w14:textId="77777777" w:rsidR="00C02982" w:rsidRPr="00D95654" w:rsidRDefault="00C02982" w:rsidP="00C02982">
      <w:pPr>
        <w:widowControl w:val="0"/>
        <w:autoSpaceDE w:val="0"/>
        <w:autoSpaceDN w:val="0"/>
        <w:spacing w:after="0" w:line="276" w:lineRule="auto"/>
        <w:jc w:val="both"/>
        <w:rPr>
          <w:rFonts w:ascii="Verdana" w:hAnsi="Verdana" w:cs="Arial"/>
          <w:color w:val="000000" w:themeColor="text1"/>
          <w:shd w:val="clear" w:color="auto" w:fill="FFFFFF"/>
        </w:rPr>
      </w:pPr>
    </w:p>
    <w:p w14:paraId="6B2CB66E" w14:textId="0BFDDCAA" w:rsidR="00C02982" w:rsidRPr="00D95654" w:rsidRDefault="00C02982" w:rsidP="00C02982">
      <w:pPr>
        <w:widowControl w:val="0"/>
        <w:autoSpaceDE w:val="0"/>
        <w:autoSpaceDN w:val="0"/>
        <w:spacing w:after="0" w:line="276" w:lineRule="auto"/>
        <w:jc w:val="both"/>
        <w:rPr>
          <w:rFonts w:ascii="Verdana" w:hAnsi="Verdana" w:cs="Arial"/>
          <w:color w:val="000000" w:themeColor="text1"/>
          <w:shd w:val="clear" w:color="auto" w:fill="FFFFFF"/>
        </w:rPr>
      </w:pPr>
      <w:r w:rsidRPr="00D95654">
        <w:rPr>
          <w:rFonts w:ascii="Verdana" w:hAnsi="Verdana" w:cs="Arial"/>
          <w:color w:val="000000" w:themeColor="text1"/>
          <w:shd w:val="clear" w:color="auto" w:fill="FFFFFF"/>
        </w:rPr>
        <w:t xml:space="preserve">De otra parte, te contamos que ya publicamos el borrador de la nueva Guía para </w:t>
      </w:r>
      <w:r w:rsidRPr="00D95654">
        <w:rPr>
          <w:rFonts w:ascii="Verdana" w:hAnsi="Verdana" w:cs="Arial"/>
          <w:color w:val="000000" w:themeColor="text1"/>
          <w:shd w:val="clear" w:color="auto" w:fill="FFFFFF"/>
        </w:rPr>
        <w:lastRenderedPageBreak/>
        <w:t xml:space="preserve">Incentivar la Participación de Mujeres en el Sistema de Compras y Contratación Pública. Conoce el documento y realiza tus comentarios hasta el </w:t>
      </w:r>
      <w:r w:rsidRPr="00D95654">
        <w:rPr>
          <w:rFonts w:ascii="Verdana" w:hAnsi="Verdana" w:cs="Arial"/>
          <w:b/>
          <w:bCs/>
          <w:color w:val="000000" w:themeColor="text1"/>
          <w:shd w:val="clear" w:color="auto" w:fill="FFFFFF"/>
        </w:rPr>
        <w:t>2 de diciembre de 2024</w:t>
      </w:r>
      <w:r w:rsidRPr="00D95654">
        <w:rPr>
          <w:rFonts w:ascii="Verdana" w:hAnsi="Verdana" w:cs="Arial"/>
          <w:color w:val="000000" w:themeColor="text1"/>
          <w:shd w:val="clear" w:color="auto" w:fill="FFFFFF"/>
        </w:rPr>
        <w:t> a través de estos enlaces:</w:t>
      </w:r>
      <w:r w:rsidR="000A488D" w:rsidRPr="00D95654">
        <w:rPr>
          <w:rFonts w:ascii="Verdana" w:hAnsi="Verdana" w:cs="Arial"/>
          <w:color w:val="000000" w:themeColor="text1"/>
          <w:shd w:val="clear" w:color="auto" w:fill="FFFFFF"/>
        </w:rPr>
        <w:t xml:space="preserve"> </w:t>
      </w:r>
    </w:p>
    <w:p w14:paraId="72600AF7" w14:textId="77777777" w:rsidR="0097691B" w:rsidRPr="00D95654" w:rsidRDefault="0097691B" w:rsidP="00C02982">
      <w:pPr>
        <w:widowControl w:val="0"/>
        <w:autoSpaceDE w:val="0"/>
        <w:autoSpaceDN w:val="0"/>
        <w:spacing w:after="0" w:line="276" w:lineRule="auto"/>
        <w:jc w:val="both"/>
        <w:rPr>
          <w:rFonts w:ascii="Verdana" w:hAnsi="Verdana" w:cs="Arial"/>
          <w:color w:val="000000" w:themeColor="text1"/>
          <w:shd w:val="clear" w:color="auto" w:fill="FFFFFF"/>
        </w:rPr>
      </w:pPr>
    </w:p>
    <w:p w14:paraId="43327BFF" w14:textId="77777777" w:rsidR="0097691B" w:rsidRPr="00D95654" w:rsidRDefault="0097691B" w:rsidP="0097691B">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D95654">
        <w:rPr>
          <w:rFonts w:ascii="Verdana" w:hAnsi="Verdana" w:cs="Arial"/>
          <w:b/>
          <w:bCs/>
          <w:color w:val="000000" w:themeColor="text1"/>
          <w:shd w:val="clear" w:color="auto" w:fill="FFFFFF"/>
        </w:rPr>
        <w:t>Enlace página ANCP-CCE</w:t>
      </w:r>
      <w:r w:rsidRPr="00D95654">
        <w:rPr>
          <w:rFonts w:ascii="Verdana" w:hAnsi="Verdana" w:cs="Arial"/>
          <w:color w:val="000000" w:themeColor="text1"/>
          <w:shd w:val="clear" w:color="auto" w:fill="FFFFFF"/>
        </w:rPr>
        <w:t>:</w:t>
      </w:r>
    </w:p>
    <w:p w14:paraId="6CE59703" w14:textId="4F559096" w:rsidR="0097691B" w:rsidRPr="00D95654" w:rsidRDefault="0097691B" w:rsidP="0097691B">
      <w:pPr>
        <w:widowControl w:val="0"/>
        <w:autoSpaceDE w:val="0"/>
        <w:autoSpaceDN w:val="0"/>
        <w:spacing w:after="0" w:line="276" w:lineRule="auto"/>
        <w:ind w:left="360"/>
        <w:jc w:val="both"/>
        <w:rPr>
          <w:rFonts w:ascii="Verdana" w:hAnsi="Verdana" w:cs="Arial"/>
          <w:color w:val="000000" w:themeColor="text1"/>
          <w:shd w:val="clear" w:color="auto" w:fill="FFFFFF"/>
        </w:rPr>
      </w:pPr>
      <w:hyperlink r:id="rId14" w:history="1">
        <w:r w:rsidRPr="00D95654">
          <w:rPr>
            <w:rStyle w:val="Hipervnculo"/>
            <w:rFonts w:ascii="Verdana" w:hAnsi="Verdana" w:cs="Arial"/>
            <w:shd w:val="clear" w:color="auto" w:fill="FFFFFF"/>
          </w:rPr>
          <w:t>https://www.colombiacompra.gov.co/content/convocatorias</w:t>
        </w:r>
      </w:hyperlink>
    </w:p>
    <w:p w14:paraId="14059073" w14:textId="77777777" w:rsidR="0097691B" w:rsidRPr="00D95654" w:rsidRDefault="0097691B" w:rsidP="0097691B">
      <w:pPr>
        <w:widowControl w:val="0"/>
        <w:autoSpaceDE w:val="0"/>
        <w:autoSpaceDN w:val="0"/>
        <w:spacing w:after="0" w:line="276" w:lineRule="auto"/>
        <w:ind w:left="720"/>
        <w:jc w:val="both"/>
        <w:rPr>
          <w:rFonts w:ascii="Verdana" w:hAnsi="Verdana" w:cs="Arial"/>
          <w:color w:val="000000" w:themeColor="text1"/>
          <w:shd w:val="clear" w:color="auto" w:fill="FFFFFF"/>
        </w:rPr>
      </w:pPr>
    </w:p>
    <w:p w14:paraId="5FAC93CD" w14:textId="77777777" w:rsidR="0097691B" w:rsidRPr="00D95654" w:rsidRDefault="0097691B" w:rsidP="0097691B">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D95654">
        <w:rPr>
          <w:rFonts w:ascii="Verdana" w:hAnsi="Verdana" w:cs="Segoe UI"/>
          <w:b/>
          <w:bCs/>
          <w:color w:val="000000"/>
        </w:rPr>
        <w:t>Enlace SUCOP</w:t>
      </w:r>
      <w:r w:rsidRPr="00D95654">
        <w:rPr>
          <w:rFonts w:ascii="Verdana" w:hAnsi="Verdana" w:cs="Segoe UI"/>
          <w:color w:val="000000"/>
        </w:rPr>
        <w:t>:  </w:t>
      </w:r>
    </w:p>
    <w:p w14:paraId="5F8262F2" w14:textId="20F3D598" w:rsidR="0097691B" w:rsidRPr="00D95654" w:rsidRDefault="0097691B" w:rsidP="0097691B">
      <w:pPr>
        <w:widowControl w:val="0"/>
        <w:autoSpaceDE w:val="0"/>
        <w:autoSpaceDN w:val="0"/>
        <w:spacing w:after="0" w:line="276" w:lineRule="auto"/>
        <w:ind w:left="360"/>
        <w:jc w:val="both"/>
        <w:rPr>
          <w:rFonts w:ascii="Verdana" w:hAnsi="Verdana" w:cs="Arial"/>
          <w:color w:val="000000" w:themeColor="text1"/>
          <w:shd w:val="clear" w:color="auto" w:fill="FFFFFF"/>
        </w:rPr>
      </w:pPr>
      <w:hyperlink r:id="rId15" w:history="1">
        <w:r w:rsidRPr="00D95654">
          <w:rPr>
            <w:rStyle w:val="Hipervnculo"/>
            <w:rFonts w:ascii="Verdana" w:hAnsi="Verdana" w:cs="Segoe UI"/>
            <w:bdr w:val="none" w:sz="0" w:space="0" w:color="auto" w:frame="1"/>
          </w:rPr>
          <w:t>https://www.sucop.gov.co/entidades/colombiacompra/Normativa?IDNorma=19201</w:t>
        </w:r>
      </w:hyperlink>
    </w:p>
    <w:p w14:paraId="10AC9262" w14:textId="77777777" w:rsidR="00891778" w:rsidRPr="00D95654" w:rsidRDefault="00891778" w:rsidP="0097691B">
      <w:pPr>
        <w:widowControl w:val="0"/>
        <w:autoSpaceDE w:val="0"/>
        <w:autoSpaceDN w:val="0"/>
        <w:spacing w:after="0" w:line="276" w:lineRule="auto"/>
        <w:jc w:val="both"/>
        <w:rPr>
          <w:rFonts w:ascii="Verdana" w:hAnsi="Verdana" w:cs="Times New Roman"/>
          <w:color w:val="000000"/>
        </w:rPr>
      </w:pPr>
    </w:p>
    <w:p w14:paraId="7732AD0D" w14:textId="5B54C7A0" w:rsidR="0097691B" w:rsidRPr="00D95654" w:rsidRDefault="0097691B" w:rsidP="0097691B">
      <w:pPr>
        <w:widowControl w:val="0"/>
        <w:autoSpaceDE w:val="0"/>
        <w:autoSpaceDN w:val="0"/>
        <w:spacing w:after="0" w:line="276" w:lineRule="auto"/>
        <w:jc w:val="both"/>
        <w:rPr>
          <w:rFonts w:ascii="Verdana" w:hAnsi="Verdana" w:cs="Arial"/>
          <w:color w:val="000000" w:themeColor="text1"/>
          <w:shd w:val="clear" w:color="auto" w:fill="FFFFFF"/>
        </w:rPr>
      </w:pPr>
      <w:r w:rsidRPr="00D95654">
        <w:rPr>
          <w:rFonts w:ascii="Verdana" w:hAnsi="Verdana" w:cs="Times New Roman"/>
          <w:color w:val="000000"/>
        </w:rPr>
        <w:t xml:space="preserve">También </w:t>
      </w:r>
      <w:r w:rsidR="00891778" w:rsidRPr="00D95654">
        <w:rPr>
          <w:rFonts w:ascii="Verdana" w:hAnsi="Verdana" w:cs="Times New Roman"/>
          <w:color w:val="000000"/>
        </w:rPr>
        <w:t>t</w:t>
      </w:r>
      <w:r w:rsidRPr="00D95654">
        <w:rPr>
          <w:rFonts w:ascii="Verdana" w:hAnsi="Verdana" w:cs="Times New Roman"/>
          <w:color w:val="000000"/>
        </w:rPr>
        <w:t>e invitamos a consultar la versión VII  de 2024,</w:t>
      </w:r>
      <w:r w:rsidR="00891778" w:rsidRPr="00D95654">
        <w:rPr>
          <w:rFonts w:ascii="Verdana" w:hAnsi="Verdana" w:cs="Times New Roman"/>
          <w:color w:val="000000"/>
        </w:rPr>
        <w:t xml:space="preserve"> </w:t>
      </w:r>
      <w:r w:rsidRPr="00D95654">
        <w:rPr>
          <w:rFonts w:ascii="Verdana" w:hAnsi="Verdana" w:cs="Times New Roman"/>
          <w:color w:val="000000"/>
        </w:rPr>
        <w:t>del Boletín de Relatoría de la Subdirección de Gestión Contractual relacionado con las ASOCIACIONES PÚBLICO POPULARES,</w:t>
      </w:r>
      <w:r w:rsidR="00C92DD5" w:rsidRPr="00D95654">
        <w:rPr>
          <w:rFonts w:ascii="Verdana" w:hAnsi="Verdana" w:cs="Times New Roman"/>
          <w:color w:val="000000"/>
        </w:rPr>
        <w:t xml:space="preserve"> </w:t>
      </w:r>
      <w:r w:rsidRPr="00D95654">
        <w:rPr>
          <w:rFonts w:ascii="Verdana" w:hAnsi="Verdana" w:cs="Times New Roman"/>
          <w:color w:val="000000"/>
        </w:rPr>
        <w:t>el</w:t>
      </w:r>
      <w:r w:rsidR="00C92DD5" w:rsidRPr="00D95654">
        <w:rPr>
          <w:rFonts w:ascii="Verdana" w:hAnsi="Verdana" w:cs="Times New Roman"/>
          <w:color w:val="000000"/>
        </w:rPr>
        <w:t xml:space="preserve"> </w:t>
      </w:r>
      <w:r w:rsidRPr="00D95654">
        <w:rPr>
          <w:rFonts w:ascii="Verdana" w:hAnsi="Verdana" w:cs="Times New Roman"/>
          <w:color w:val="000000"/>
        </w:rPr>
        <w:t>cual se puede descargar en la página web de la Agencia: </w:t>
      </w:r>
      <w:hyperlink r:id="rId16" w:tgtFrame="_blank" w:tooltip="Dirección URL original: https://www.colombiacompra.gov.co/sala-de-prensa/boletin-digital. Haga clic o pulse si confía en este vínculo." w:history="1">
        <w:r w:rsidRPr="00D95654">
          <w:rPr>
            <w:rStyle w:val="Hipervnculo"/>
            <w:rFonts w:ascii="Verdana" w:hAnsi="Verdana" w:cs="Times New Roman"/>
          </w:rPr>
          <w:t>https://www.colombiacompra.gov.co/sala-de-prensa/boletin-digital</w:t>
        </w:r>
      </w:hyperlink>
      <w:r w:rsidRPr="00D95654">
        <w:rPr>
          <w:rFonts w:ascii="Verdana" w:hAnsi="Verdana" w:cs="Times New Roman"/>
          <w:color w:val="000000"/>
        </w:rPr>
        <w:t> </w:t>
      </w:r>
    </w:p>
    <w:p w14:paraId="36EE243C" w14:textId="77777777" w:rsidR="0097691B" w:rsidRPr="00D95654" w:rsidRDefault="0097691B" w:rsidP="0097691B">
      <w:pPr>
        <w:widowControl w:val="0"/>
        <w:autoSpaceDE w:val="0"/>
        <w:autoSpaceDN w:val="0"/>
        <w:spacing w:after="0" w:line="276" w:lineRule="auto"/>
        <w:jc w:val="both"/>
        <w:rPr>
          <w:rFonts w:ascii="Verdana" w:hAnsi="Verdana" w:cs="Arial"/>
          <w:color w:val="000000" w:themeColor="text1"/>
          <w:shd w:val="clear" w:color="auto" w:fill="FFFFFF"/>
        </w:rPr>
      </w:pPr>
    </w:p>
    <w:p w14:paraId="024BACDE" w14:textId="6E25B06C" w:rsidR="00623273" w:rsidRPr="00D95654" w:rsidRDefault="00623273" w:rsidP="0097691B">
      <w:pPr>
        <w:widowControl w:val="0"/>
        <w:autoSpaceDE w:val="0"/>
        <w:autoSpaceDN w:val="0"/>
        <w:spacing w:after="0" w:line="276" w:lineRule="auto"/>
        <w:jc w:val="both"/>
        <w:rPr>
          <w:rFonts w:ascii="Verdana" w:hAnsi="Verdana"/>
        </w:rPr>
      </w:pPr>
      <w:r w:rsidRPr="00D95654">
        <w:rPr>
          <w:rFonts w:ascii="Verdana" w:hAnsi="Verdana"/>
        </w:rPr>
        <w:t xml:space="preserve">Por último, lo invitamos a seguirnos en las redes sociales en las cuales se difunde información institucional: </w:t>
      </w:r>
    </w:p>
    <w:p w14:paraId="4A97537F" w14:textId="77777777" w:rsidR="00C92DD5" w:rsidRPr="00D95654" w:rsidRDefault="00C92DD5" w:rsidP="0097691B">
      <w:pPr>
        <w:widowControl w:val="0"/>
        <w:autoSpaceDE w:val="0"/>
        <w:autoSpaceDN w:val="0"/>
        <w:spacing w:after="0" w:line="276" w:lineRule="auto"/>
        <w:jc w:val="both"/>
        <w:rPr>
          <w:rFonts w:ascii="Verdana" w:hAnsi="Verdana" w:cs="Arial"/>
          <w:color w:val="000000" w:themeColor="text1"/>
          <w:shd w:val="clear" w:color="auto" w:fill="FFFFFF"/>
        </w:rPr>
      </w:pPr>
    </w:p>
    <w:p w14:paraId="4C8D8637" w14:textId="77777777" w:rsidR="00623273" w:rsidRPr="00D95654" w:rsidRDefault="00623273" w:rsidP="00623273">
      <w:pPr>
        <w:spacing w:after="0" w:line="240" w:lineRule="auto"/>
        <w:jc w:val="both"/>
        <w:rPr>
          <w:rFonts w:ascii="Verdana" w:hAnsi="Verdana"/>
        </w:rPr>
      </w:pPr>
      <w:r w:rsidRPr="00D95654">
        <w:rPr>
          <w:rFonts w:ascii="Verdana" w:hAnsi="Verdana"/>
        </w:rPr>
        <w:t xml:space="preserve">Twitter: </w:t>
      </w:r>
      <w:r w:rsidRPr="00D95654">
        <w:rPr>
          <w:rStyle w:val="Hipervnculo"/>
          <w:rFonts w:ascii="Verdana" w:hAnsi="Verdana"/>
          <w:color w:val="4472C4" w:themeColor="accent1"/>
        </w:rPr>
        <w:t>@colombiacompra</w:t>
      </w:r>
      <w:r w:rsidRPr="00D95654">
        <w:rPr>
          <w:rFonts w:ascii="Verdana" w:hAnsi="Verdana"/>
          <w:color w:val="4472C4" w:themeColor="accent1"/>
        </w:rPr>
        <w:t xml:space="preserve"> </w:t>
      </w:r>
    </w:p>
    <w:p w14:paraId="6C62B927" w14:textId="77777777" w:rsidR="00623273" w:rsidRPr="00D95654" w:rsidRDefault="00623273" w:rsidP="00623273">
      <w:pPr>
        <w:spacing w:after="0" w:line="240" w:lineRule="auto"/>
        <w:jc w:val="both"/>
        <w:rPr>
          <w:rFonts w:ascii="Verdana" w:hAnsi="Verdana"/>
        </w:rPr>
      </w:pPr>
      <w:r w:rsidRPr="00D95654">
        <w:rPr>
          <w:rFonts w:ascii="Verdana" w:hAnsi="Verdana"/>
        </w:rPr>
        <w:t xml:space="preserve">Facebook: </w:t>
      </w:r>
      <w:proofErr w:type="spellStart"/>
      <w:r w:rsidRPr="00D95654">
        <w:rPr>
          <w:rStyle w:val="Hipervnculo"/>
          <w:rFonts w:ascii="Verdana" w:hAnsi="Verdana"/>
          <w:color w:val="4472C4" w:themeColor="accent1"/>
        </w:rPr>
        <w:t>ColombiaCompraEficiente</w:t>
      </w:r>
      <w:proofErr w:type="spellEnd"/>
    </w:p>
    <w:p w14:paraId="226610D2" w14:textId="77777777" w:rsidR="00623273" w:rsidRPr="00D95654" w:rsidRDefault="00623273" w:rsidP="00623273">
      <w:pPr>
        <w:spacing w:after="0" w:line="240" w:lineRule="auto"/>
        <w:jc w:val="both"/>
        <w:rPr>
          <w:rFonts w:ascii="Verdana" w:hAnsi="Verdana"/>
        </w:rPr>
      </w:pPr>
      <w:r w:rsidRPr="00D95654">
        <w:rPr>
          <w:rFonts w:ascii="Verdana" w:hAnsi="Verdana"/>
        </w:rPr>
        <w:t xml:space="preserve">LinkedIn: </w:t>
      </w:r>
      <w:r w:rsidRPr="00D95654">
        <w:rPr>
          <w:rStyle w:val="Hipervnculo"/>
          <w:rFonts w:ascii="Verdana" w:hAnsi="Verdana"/>
          <w:color w:val="4472C4" w:themeColor="accent1"/>
        </w:rPr>
        <w:t>Agencia Nacional de Contratación Pública - Colombia Compra Eficiente</w:t>
      </w:r>
      <w:r w:rsidRPr="00D95654">
        <w:rPr>
          <w:rFonts w:ascii="Verdana" w:hAnsi="Verdana"/>
          <w:color w:val="4472C4" w:themeColor="accent1"/>
        </w:rPr>
        <w:t xml:space="preserve"> </w:t>
      </w:r>
      <w:r w:rsidRPr="00D95654">
        <w:rPr>
          <w:rFonts w:ascii="Verdana" w:hAnsi="Verdana"/>
        </w:rPr>
        <w:t xml:space="preserve">Instagram: </w:t>
      </w:r>
      <w:r w:rsidRPr="00D95654">
        <w:rPr>
          <w:rStyle w:val="Hipervnculo"/>
          <w:rFonts w:ascii="Verdana" w:hAnsi="Verdana"/>
          <w:color w:val="4472C4" w:themeColor="accent1"/>
        </w:rPr>
        <w:t>@colombiacompraeficiente_cce</w:t>
      </w:r>
    </w:p>
    <w:p w14:paraId="40A0014F" w14:textId="77777777" w:rsidR="00623273" w:rsidRPr="00D95654" w:rsidRDefault="00623273" w:rsidP="00623273">
      <w:pPr>
        <w:widowControl w:val="0"/>
        <w:autoSpaceDE w:val="0"/>
        <w:autoSpaceDN w:val="0"/>
        <w:spacing w:after="0" w:line="276" w:lineRule="auto"/>
        <w:jc w:val="both"/>
        <w:rPr>
          <w:rFonts w:ascii="Verdana" w:hAnsi="Verdana" w:cs="Arial"/>
        </w:rPr>
      </w:pPr>
    </w:p>
    <w:p w14:paraId="555F164E" w14:textId="77777777" w:rsidR="00623273" w:rsidRPr="00D95654" w:rsidRDefault="00623273" w:rsidP="00623273">
      <w:pPr>
        <w:widowControl w:val="0"/>
        <w:autoSpaceDE w:val="0"/>
        <w:autoSpaceDN w:val="0"/>
        <w:spacing w:after="0" w:line="276" w:lineRule="auto"/>
        <w:jc w:val="both"/>
        <w:rPr>
          <w:rFonts w:ascii="Verdana" w:hAnsi="Verdana" w:cs="Arial"/>
          <w:lang w:val="es-ES_tradnl"/>
        </w:rPr>
      </w:pPr>
      <w:r w:rsidRPr="00D95654">
        <w:rPr>
          <w:rFonts w:ascii="Verdana" w:hAnsi="Verdana" w:cs="Arial"/>
        </w:rPr>
        <w:t xml:space="preserve">Este concepto tiene el alcance previsto en el artículo 28 del Código de Procedimiento Administrativo y de lo Contencioso Administrativo </w:t>
      </w:r>
      <w:r w:rsidRPr="00D95654">
        <w:rPr>
          <w:rFonts w:ascii="Verdana" w:hAnsi="Verdana" w:cs="Arial"/>
          <w:lang w:val="es-ES_tradnl"/>
        </w:rPr>
        <w:t>y las expresiones aquí utilizadas con mayúscula inicial deben ser entendidas con el significado que les otorga el artículo 2.2.1.1.1.3.1. del Decreto 1082 de 2015.</w:t>
      </w:r>
    </w:p>
    <w:p w14:paraId="3BE789AD" w14:textId="77777777" w:rsidR="00623273" w:rsidRPr="00D95654" w:rsidRDefault="00623273" w:rsidP="00623273">
      <w:pPr>
        <w:widowControl w:val="0"/>
        <w:autoSpaceDE w:val="0"/>
        <w:autoSpaceDN w:val="0"/>
        <w:spacing w:after="0" w:line="276" w:lineRule="auto"/>
        <w:jc w:val="both"/>
        <w:rPr>
          <w:rFonts w:ascii="Verdana" w:hAnsi="Verdana" w:cs="Arial"/>
        </w:rPr>
      </w:pPr>
    </w:p>
    <w:p w14:paraId="3C99756F" w14:textId="77777777" w:rsidR="00623273" w:rsidRPr="00D95654" w:rsidRDefault="00623273" w:rsidP="00623273">
      <w:pPr>
        <w:spacing w:after="0" w:line="240" w:lineRule="auto"/>
        <w:rPr>
          <w:rFonts w:ascii="Verdana" w:hAnsi="Verdana" w:cs="Arial"/>
          <w:lang w:eastAsia="es-CO"/>
        </w:rPr>
      </w:pPr>
      <w:r w:rsidRPr="00D95654">
        <w:rPr>
          <w:rFonts w:ascii="Verdana" w:eastAsia="Times New Roman" w:hAnsi="Verdana" w:cs="Arial"/>
          <w:lang w:eastAsia="es-CO"/>
        </w:rPr>
        <w:t>Atentamente,</w:t>
      </w:r>
      <w:r w:rsidRPr="00D95654">
        <w:rPr>
          <w:rFonts w:ascii="Verdana" w:hAnsi="Verdana" w:cs="Arial"/>
          <w:lang w:eastAsia="es-CO"/>
        </w:rPr>
        <w:t xml:space="preserve"> </w:t>
      </w:r>
    </w:p>
    <w:p w14:paraId="663AF704" w14:textId="601AE2D0" w:rsidR="00623273" w:rsidRPr="00D95654" w:rsidRDefault="00175985" w:rsidP="00623273">
      <w:pPr>
        <w:spacing w:line="276" w:lineRule="auto"/>
        <w:jc w:val="center"/>
        <w:rPr>
          <w:rFonts w:ascii="Verdana" w:hAnsi="Verdana" w:cs="Arial"/>
          <w:color w:val="000000"/>
          <w:lang w:val="es-ES_tradnl" w:eastAsia="es-CO"/>
        </w:rPr>
      </w:pPr>
      <w:r w:rsidRPr="00D95654">
        <w:rPr>
          <w:rFonts w:ascii="Verdana" w:hAnsi="Verdana"/>
          <w:noProof/>
        </w:rPr>
        <w:drawing>
          <wp:inline distT="0" distB="0" distL="0" distR="0" wp14:anchorId="027C2A7F" wp14:editId="7076F0F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23273" w:rsidRPr="00D95654" w14:paraId="5D16C799" w14:textId="77777777" w:rsidTr="00BC3F26">
        <w:trPr>
          <w:trHeight w:val="315"/>
        </w:trPr>
        <w:tc>
          <w:tcPr>
            <w:tcW w:w="893" w:type="dxa"/>
            <w:vAlign w:val="center"/>
            <w:hideMark/>
          </w:tcPr>
          <w:p w14:paraId="7F235088" w14:textId="77777777" w:rsidR="00623273" w:rsidRPr="00D95654" w:rsidRDefault="00623273" w:rsidP="00BC3F26">
            <w:pPr>
              <w:contextualSpacing/>
              <w:rPr>
                <w:rFonts w:ascii="Verdana" w:hAnsi="Verdana" w:cs="Arial"/>
                <w:sz w:val="16"/>
                <w:szCs w:val="16"/>
                <w:lang w:val="es-ES" w:eastAsia="es-ES"/>
              </w:rPr>
            </w:pPr>
            <w:r w:rsidRPr="00D95654">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08D569D2" w14:textId="77777777" w:rsidR="00623273" w:rsidRPr="00D95654" w:rsidRDefault="00623273" w:rsidP="00BC3F26">
            <w:pPr>
              <w:contextualSpacing/>
              <w:rPr>
                <w:rFonts w:ascii="Verdana" w:eastAsia="Arial" w:hAnsi="Verdana" w:cs="Arial"/>
                <w:sz w:val="16"/>
                <w:szCs w:val="16"/>
              </w:rPr>
            </w:pPr>
            <w:r w:rsidRPr="00D95654">
              <w:rPr>
                <w:rFonts w:ascii="Verdana" w:eastAsia="Arial" w:hAnsi="Verdana" w:cs="Arial"/>
                <w:sz w:val="16"/>
                <w:szCs w:val="16"/>
              </w:rPr>
              <w:t>Ana María Ortiz Ballesteros</w:t>
            </w:r>
          </w:p>
          <w:p w14:paraId="7E494CDD" w14:textId="77777777" w:rsidR="00623273" w:rsidRPr="00D95654" w:rsidRDefault="00623273" w:rsidP="00BC3F26">
            <w:pPr>
              <w:contextualSpacing/>
              <w:rPr>
                <w:rFonts w:ascii="Verdana" w:eastAsia="Arial" w:hAnsi="Verdana" w:cs="Arial"/>
                <w:sz w:val="16"/>
                <w:szCs w:val="16"/>
              </w:rPr>
            </w:pPr>
            <w:r w:rsidRPr="00D95654">
              <w:rPr>
                <w:rStyle w:val="normaltextrun"/>
                <w:rFonts w:ascii="Verdana" w:eastAsia="Arial" w:hAnsi="Verdana" w:cs="Arial"/>
                <w:sz w:val="16"/>
                <w:szCs w:val="16"/>
              </w:rPr>
              <w:t>C</w:t>
            </w:r>
            <w:r w:rsidRPr="00D95654">
              <w:rPr>
                <w:rStyle w:val="normaltextrun"/>
                <w:rFonts w:ascii="Verdana" w:hAnsi="Verdana"/>
                <w:sz w:val="16"/>
                <w:szCs w:val="16"/>
              </w:rPr>
              <w:t>ontratista</w:t>
            </w:r>
            <w:r w:rsidRPr="00D95654">
              <w:rPr>
                <w:rStyle w:val="normaltextrun"/>
                <w:rFonts w:ascii="Verdana" w:eastAsia="Arial" w:hAnsi="Verdana" w:cs="Arial"/>
                <w:sz w:val="16"/>
                <w:szCs w:val="16"/>
              </w:rPr>
              <w:t xml:space="preserve"> de la Subdirección de Gestión Contractual</w:t>
            </w:r>
          </w:p>
        </w:tc>
      </w:tr>
      <w:tr w:rsidR="00623273" w:rsidRPr="00D95654" w14:paraId="12FE1353" w14:textId="77777777" w:rsidTr="00BC3F26">
        <w:trPr>
          <w:trHeight w:val="330"/>
        </w:trPr>
        <w:tc>
          <w:tcPr>
            <w:tcW w:w="893" w:type="dxa"/>
            <w:vAlign w:val="center"/>
            <w:hideMark/>
          </w:tcPr>
          <w:p w14:paraId="4DF42873" w14:textId="77777777" w:rsidR="00623273" w:rsidRPr="00D95654" w:rsidRDefault="00623273" w:rsidP="00BC3F26">
            <w:pPr>
              <w:contextualSpacing/>
              <w:rPr>
                <w:rFonts w:ascii="Verdana" w:hAnsi="Verdana" w:cs="Arial"/>
                <w:sz w:val="16"/>
                <w:szCs w:val="16"/>
                <w:lang w:val="es-ES" w:eastAsia="es-ES"/>
              </w:rPr>
            </w:pPr>
            <w:r w:rsidRPr="00D9565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C0A4E3" w14:textId="77777777" w:rsidR="00623273" w:rsidRPr="00D95654" w:rsidRDefault="00623273" w:rsidP="00BC3F26">
            <w:pPr>
              <w:pStyle w:val="paragraph"/>
              <w:spacing w:after="0"/>
              <w:contextualSpacing/>
              <w:textAlignment w:val="baseline"/>
              <w:rPr>
                <w:rStyle w:val="normaltextrun"/>
                <w:rFonts w:ascii="Verdana" w:hAnsi="Verdana" w:cs="Arial"/>
                <w:sz w:val="16"/>
                <w:szCs w:val="16"/>
                <w:lang w:val="es-ES"/>
              </w:rPr>
            </w:pPr>
            <w:r w:rsidRPr="00D95654">
              <w:rPr>
                <w:rStyle w:val="normaltextrun"/>
                <w:rFonts w:ascii="Verdana" w:hAnsi="Verdana" w:cs="Arial"/>
                <w:sz w:val="16"/>
                <w:szCs w:val="16"/>
                <w:lang w:val="es-ES"/>
              </w:rPr>
              <w:t xml:space="preserve">Alejandro Sarmiento Cantillo </w:t>
            </w:r>
          </w:p>
          <w:p w14:paraId="3B825B87" w14:textId="77777777" w:rsidR="00623273" w:rsidRPr="00D95654" w:rsidRDefault="00623273" w:rsidP="00BC3F26">
            <w:pPr>
              <w:pStyle w:val="paragraph"/>
              <w:spacing w:before="0" w:beforeAutospacing="0" w:after="0" w:afterAutospacing="0"/>
              <w:contextualSpacing/>
              <w:textAlignment w:val="baseline"/>
              <w:rPr>
                <w:rFonts w:ascii="Verdana" w:hAnsi="Verdana" w:cs="Segoe UI"/>
                <w:sz w:val="16"/>
                <w:szCs w:val="16"/>
              </w:rPr>
            </w:pPr>
            <w:r w:rsidRPr="00D95654">
              <w:rPr>
                <w:rStyle w:val="normaltextrun"/>
                <w:rFonts w:ascii="Verdana" w:eastAsia="Arial" w:hAnsi="Verdana" w:cs="Arial"/>
                <w:sz w:val="16"/>
                <w:szCs w:val="16"/>
              </w:rPr>
              <w:t>Gestor T1 ‒ 15 de la Subdirección de Gestión Contractual</w:t>
            </w:r>
          </w:p>
        </w:tc>
      </w:tr>
      <w:tr w:rsidR="00623273" w:rsidRPr="00D95654" w14:paraId="46A59BA8" w14:textId="77777777" w:rsidTr="00BC3F26">
        <w:trPr>
          <w:trHeight w:val="300"/>
        </w:trPr>
        <w:tc>
          <w:tcPr>
            <w:tcW w:w="893" w:type="dxa"/>
            <w:vAlign w:val="center"/>
          </w:tcPr>
          <w:p w14:paraId="3838235B" w14:textId="77777777" w:rsidR="00623273" w:rsidRPr="00D95654" w:rsidRDefault="00623273" w:rsidP="00BC3F26">
            <w:pPr>
              <w:contextualSpacing/>
              <w:rPr>
                <w:rFonts w:ascii="Verdana" w:hAnsi="Verdana" w:cs="Arial"/>
                <w:sz w:val="16"/>
                <w:szCs w:val="16"/>
                <w:lang w:val="es-ES" w:eastAsia="es-ES"/>
              </w:rPr>
            </w:pPr>
            <w:r w:rsidRPr="00D9565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CB1297B" w14:textId="77777777" w:rsidR="00623273" w:rsidRPr="00D95654" w:rsidRDefault="00623273" w:rsidP="00BC3F26">
            <w:pPr>
              <w:contextualSpacing/>
              <w:rPr>
                <w:rFonts w:ascii="Verdana" w:eastAsia="Calibri" w:hAnsi="Verdana" w:cs="Arial"/>
                <w:sz w:val="16"/>
                <w:szCs w:val="16"/>
                <w:lang w:val="pt-BR" w:eastAsia="es-ES"/>
              </w:rPr>
            </w:pPr>
            <w:r w:rsidRPr="00D95654">
              <w:rPr>
                <w:rFonts w:ascii="Verdana" w:eastAsia="Calibri" w:hAnsi="Verdana" w:cs="Arial"/>
                <w:sz w:val="16"/>
                <w:szCs w:val="16"/>
                <w:lang w:val="pt-BR" w:eastAsia="es-ES"/>
              </w:rPr>
              <w:t xml:space="preserve">Carolina Quintero </w:t>
            </w:r>
            <w:proofErr w:type="spellStart"/>
            <w:r w:rsidRPr="00D95654">
              <w:rPr>
                <w:rFonts w:ascii="Verdana" w:eastAsia="Calibri" w:hAnsi="Verdana" w:cs="Arial"/>
                <w:sz w:val="16"/>
                <w:szCs w:val="16"/>
                <w:lang w:val="pt-BR" w:eastAsia="es-ES"/>
              </w:rPr>
              <w:t>Gacharná</w:t>
            </w:r>
            <w:proofErr w:type="spellEnd"/>
          </w:p>
          <w:p w14:paraId="13914235" w14:textId="77777777" w:rsidR="00623273" w:rsidRPr="00D95654" w:rsidRDefault="00623273" w:rsidP="00BC3F26">
            <w:pPr>
              <w:contextualSpacing/>
              <w:rPr>
                <w:rFonts w:ascii="Verdana" w:eastAsia="Calibri" w:hAnsi="Verdana" w:cs="Arial"/>
                <w:sz w:val="16"/>
                <w:szCs w:val="16"/>
                <w:lang w:val="pt-BR" w:eastAsia="es-ES"/>
              </w:rPr>
            </w:pPr>
            <w:r w:rsidRPr="00D95654">
              <w:rPr>
                <w:rFonts w:ascii="Verdana" w:eastAsia="Calibri" w:hAnsi="Verdana" w:cs="Arial"/>
                <w:sz w:val="16"/>
                <w:szCs w:val="16"/>
                <w:lang w:eastAsia="es-ES"/>
              </w:rPr>
              <w:t>Subdirectora</w:t>
            </w:r>
            <w:r w:rsidRPr="00D95654">
              <w:rPr>
                <w:rFonts w:ascii="Verdana" w:eastAsia="Calibri" w:hAnsi="Verdana" w:cs="Arial"/>
                <w:sz w:val="16"/>
                <w:szCs w:val="16"/>
                <w:lang w:val="pt-BR" w:eastAsia="es-ES"/>
              </w:rPr>
              <w:t xml:space="preserve"> de Gestión Contractual ANCP – CCE</w:t>
            </w:r>
          </w:p>
        </w:tc>
      </w:tr>
    </w:tbl>
    <w:p w14:paraId="5A5162E8" w14:textId="77777777" w:rsidR="00623273" w:rsidRPr="00D95654" w:rsidRDefault="00623273" w:rsidP="00623273">
      <w:pPr>
        <w:spacing w:after="0"/>
        <w:jc w:val="both"/>
        <w:rPr>
          <w:rFonts w:ascii="Verdana" w:hAnsi="Verdana"/>
          <w:sz w:val="16"/>
          <w:szCs w:val="16"/>
        </w:rPr>
      </w:pPr>
    </w:p>
    <w:p w14:paraId="58F3005B" w14:textId="77777777" w:rsidR="00AE766A" w:rsidRPr="00623273" w:rsidRDefault="00AE766A" w:rsidP="00665D70">
      <w:pPr>
        <w:spacing w:after="0"/>
        <w:jc w:val="both"/>
        <w:rPr>
          <w:rFonts w:ascii="Verdana" w:hAnsi="Verdana"/>
        </w:rPr>
      </w:pPr>
    </w:p>
    <w:sectPr w:rsidR="00AE766A" w:rsidRPr="0062327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1A8321" w14:textId="77777777" w:rsidR="00F57C03" w:rsidRDefault="00F57C03" w:rsidP="004A1847">
      <w:pPr>
        <w:spacing w:after="0" w:line="240" w:lineRule="auto"/>
      </w:pPr>
      <w:r>
        <w:separator/>
      </w:r>
    </w:p>
  </w:endnote>
  <w:endnote w:type="continuationSeparator" w:id="0">
    <w:p w14:paraId="7305D673" w14:textId="77777777" w:rsidR="00F57C03" w:rsidRDefault="00F57C03" w:rsidP="004A1847">
      <w:pPr>
        <w:spacing w:after="0" w:line="240" w:lineRule="auto"/>
      </w:pPr>
      <w:r>
        <w:continuationSeparator/>
      </w:r>
    </w:p>
  </w:endnote>
  <w:endnote w:type="continuationNotice" w:id="1">
    <w:p w14:paraId="36CE4E9C" w14:textId="77777777" w:rsidR="00205AFE" w:rsidRDefault="00205A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0DE09" w14:textId="77777777" w:rsidR="00F57C03" w:rsidRDefault="00F57C03" w:rsidP="004A1847">
      <w:pPr>
        <w:spacing w:after="0" w:line="240" w:lineRule="auto"/>
      </w:pPr>
      <w:r>
        <w:separator/>
      </w:r>
    </w:p>
  </w:footnote>
  <w:footnote w:type="continuationSeparator" w:id="0">
    <w:p w14:paraId="29B71820" w14:textId="77777777" w:rsidR="00F57C03" w:rsidRDefault="00F57C03" w:rsidP="004A1847">
      <w:pPr>
        <w:spacing w:after="0" w:line="240" w:lineRule="auto"/>
      </w:pPr>
      <w:r>
        <w:continuationSeparator/>
      </w:r>
    </w:p>
  </w:footnote>
  <w:footnote w:type="continuationNotice" w:id="1">
    <w:p w14:paraId="63689C72" w14:textId="77777777" w:rsidR="00205AFE" w:rsidRDefault="00205AFE">
      <w:pPr>
        <w:spacing w:after="0" w:line="240" w:lineRule="auto"/>
      </w:pPr>
    </w:p>
  </w:footnote>
  <w:footnote w:id="2">
    <w:p w14:paraId="0FC4C544" w14:textId="77777777" w:rsidR="00634E5A" w:rsidRPr="00D55596" w:rsidRDefault="00634E5A" w:rsidP="00634E5A">
      <w:pPr>
        <w:pStyle w:val="Textonotapie"/>
        <w:ind w:firstLine="709"/>
        <w:contextualSpacing/>
        <w:jc w:val="both"/>
        <w:rPr>
          <w:rFonts w:ascii="Verdana" w:hAnsi="Verdana" w:cs="Arial"/>
          <w:color w:val="000000" w:themeColor="text1"/>
          <w:sz w:val="18"/>
          <w:szCs w:val="18"/>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sz w:val="16"/>
          <w:szCs w:val="16"/>
          <w:lang w:val="es-ES"/>
        </w:rPr>
        <w:t>“</w:t>
      </w:r>
      <w:r w:rsidRPr="00D55596">
        <w:rPr>
          <w:rFonts w:ascii="Verdana" w:hAnsi="Verdana" w:cs="Arial"/>
          <w:color w:val="000000" w:themeColor="text1"/>
          <w:sz w:val="18"/>
          <w:szCs w:val="18"/>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9BF0460" w14:textId="77777777" w:rsidR="00D876B3" w:rsidRPr="00D55596" w:rsidRDefault="00D876B3" w:rsidP="00634E5A">
      <w:pPr>
        <w:pStyle w:val="Textonotapie"/>
        <w:ind w:firstLine="709"/>
        <w:contextualSpacing/>
        <w:jc w:val="both"/>
        <w:rPr>
          <w:rFonts w:ascii="Verdana" w:hAnsi="Verdana" w:cs="Arial"/>
          <w:color w:val="000000" w:themeColor="text1"/>
          <w:sz w:val="18"/>
          <w:szCs w:val="18"/>
        </w:rPr>
      </w:pPr>
    </w:p>
    <w:p w14:paraId="0AD08704" w14:textId="77777777" w:rsidR="00634E5A" w:rsidRPr="00D55596" w:rsidRDefault="00634E5A" w:rsidP="00634E5A">
      <w:pPr>
        <w:pStyle w:val="Textonotapie"/>
        <w:ind w:firstLine="709"/>
        <w:contextualSpacing/>
        <w:jc w:val="both"/>
        <w:rPr>
          <w:rFonts w:ascii="Verdana" w:hAnsi="Verdana" w:cs="Arial"/>
          <w:color w:val="000000" w:themeColor="text1"/>
          <w:sz w:val="18"/>
          <w:szCs w:val="18"/>
        </w:rPr>
      </w:pPr>
      <w:r w:rsidRPr="00D55596">
        <w:rPr>
          <w:rFonts w:ascii="Verdana" w:hAnsi="Verdana" w:cs="Arial"/>
          <w:color w:val="000000" w:themeColor="text1"/>
          <w:sz w:val="18"/>
          <w:szCs w:val="18"/>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7CD8589A" w14:textId="77777777" w:rsidR="00634E5A" w:rsidRPr="00D55596" w:rsidRDefault="00634E5A" w:rsidP="00634E5A">
      <w:pPr>
        <w:pStyle w:val="Textonotapie"/>
        <w:ind w:firstLine="709"/>
        <w:contextualSpacing/>
        <w:jc w:val="both"/>
        <w:rPr>
          <w:rFonts w:ascii="Verdana" w:hAnsi="Verdana" w:cs="Arial"/>
          <w:sz w:val="18"/>
          <w:szCs w:val="18"/>
          <w:lang w:val="es-ES"/>
        </w:rPr>
      </w:pPr>
    </w:p>
  </w:footnote>
  <w:footnote w:id="3">
    <w:p w14:paraId="6B4D9F6A" w14:textId="77777777" w:rsidR="0075238E" w:rsidRPr="00D55596" w:rsidRDefault="0075238E" w:rsidP="0075238E">
      <w:pPr>
        <w:pStyle w:val="Textonotapie"/>
        <w:ind w:firstLine="709"/>
        <w:contextualSpacing/>
        <w:jc w:val="both"/>
        <w:rPr>
          <w:rFonts w:ascii="Verdana" w:hAnsi="Verdana" w:cs="Arial"/>
          <w:sz w:val="18"/>
          <w:szCs w:val="18"/>
        </w:rPr>
      </w:pPr>
      <w:r w:rsidRPr="00D55596">
        <w:rPr>
          <w:rStyle w:val="Refdenotaalpie"/>
          <w:rFonts w:ascii="Verdana" w:hAnsi="Verdana" w:cs="Arial"/>
          <w:sz w:val="18"/>
          <w:szCs w:val="18"/>
        </w:rPr>
        <w:footnoteRef/>
      </w:r>
      <w:r w:rsidRPr="00D55596">
        <w:rPr>
          <w:rFonts w:ascii="Verdana" w:hAnsi="Verdana" w:cs="Arial"/>
          <w:sz w:val="18"/>
          <w:szCs w:val="18"/>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1BE9923B" w14:textId="77777777" w:rsidR="0075238E" w:rsidRPr="00D55596" w:rsidRDefault="0075238E" w:rsidP="0075238E">
      <w:pPr>
        <w:pStyle w:val="Textonotapie"/>
        <w:ind w:firstLine="709"/>
        <w:contextualSpacing/>
        <w:jc w:val="both"/>
        <w:rPr>
          <w:rFonts w:ascii="Verdana" w:hAnsi="Verdana" w:cs="Arial"/>
          <w:sz w:val="18"/>
          <w:szCs w:val="18"/>
        </w:rPr>
      </w:pPr>
      <w:r w:rsidRPr="00D55596">
        <w:rPr>
          <w:rFonts w:ascii="Verdana" w:hAnsi="Verdana" w:cs="Arial"/>
          <w:sz w:val="18"/>
          <w:szCs w:val="18"/>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6A9BAA7D" w14:textId="77777777" w:rsidR="0075238E" w:rsidRPr="00D55596" w:rsidRDefault="0075238E" w:rsidP="0075238E">
      <w:pPr>
        <w:pStyle w:val="Textonotapie"/>
        <w:ind w:firstLine="709"/>
        <w:contextualSpacing/>
        <w:jc w:val="both"/>
        <w:rPr>
          <w:rFonts w:ascii="Verdana" w:hAnsi="Verdana" w:cs="Arial"/>
          <w:sz w:val="18"/>
          <w:szCs w:val="18"/>
        </w:rPr>
      </w:pPr>
      <w:r w:rsidRPr="00D55596">
        <w:rPr>
          <w:rFonts w:ascii="Verdana" w:hAnsi="Verdana" w:cs="Arial"/>
          <w:sz w:val="18"/>
          <w:szCs w:val="18"/>
        </w:rPr>
        <w:t xml:space="preserve">Serán requisitos para que pueda iniciarse la ejecución del contrato, la adición y prórroga de las garantías y el pago de los impuestos correspondientes. </w:t>
      </w:r>
    </w:p>
    <w:p w14:paraId="70E85B11" w14:textId="77777777" w:rsidR="0075238E" w:rsidRPr="00D55596" w:rsidRDefault="0075238E" w:rsidP="0075238E">
      <w:pPr>
        <w:pStyle w:val="Textonotapie"/>
        <w:ind w:firstLine="709"/>
        <w:contextualSpacing/>
        <w:jc w:val="both"/>
        <w:rPr>
          <w:rFonts w:ascii="Verdana" w:hAnsi="Verdana" w:cs="Arial"/>
          <w:sz w:val="18"/>
          <w:szCs w:val="18"/>
        </w:rPr>
      </w:pPr>
      <w:r w:rsidRPr="00D55596">
        <w:rPr>
          <w:rFonts w:ascii="Verdana" w:hAnsi="Verdana" w:cs="Arial"/>
          <w:sz w:val="18"/>
          <w:szCs w:val="18"/>
        </w:rPr>
        <w:t xml:space="preserve">Los contratos de interventoría, administración delegada, y consultoría previstos en este estatuto, podrán adicionarse sin el límite fijado en el presente artículo. </w:t>
      </w:r>
    </w:p>
    <w:p w14:paraId="1CFA9D54" w14:textId="77777777" w:rsidR="0075238E" w:rsidRPr="00D55596" w:rsidRDefault="0075238E" w:rsidP="0075238E">
      <w:pPr>
        <w:pStyle w:val="Textonotapie"/>
        <w:ind w:firstLine="709"/>
        <w:contextualSpacing/>
        <w:jc w:val="both"/>
        <w:rPr>
          <w:rFonts w:ascii="Verdana" w:hAnsi="Verdana" w:cs="Arial"/>
          <w:sz w:val="18"/>
          <w:szCs w:val="18"/>
        </w:rPr>
      </w:pPr>
      <w:r w:rsidRPr="00D55596">
        <w:rPr>
          <w:rFonts w:ascii="Verdana" w:hAnsi="Verdana" w:cs="Arial"/>
          <w:sz w:val="18"/>
          <w:szCs w:val="18"/>
        </w:rPr>
        <w:t xml:space="preserve">Las adiciones deberán publicarse en el Diario oficial. </w:t>
      </w:r>
    </w:p>
    <w:p w14:paraId="5572669F" w14:textId="77777777" w:rsidR="0075238E" w:rsidRPr="00D55596" w:rsidRDefault="0075238E" w:rsidP="0075238E">
      <w:pPr>
        <w:pStyle w:val="Textonotapie"/>
        <w:ind w:firstLine="709"/>
        <w:contextualSpacing/>
        <w:jc w:val="both"/>
        <w:rPr>
          <w:rFonts w:ascii="Verdana" w:hAnsi="Verdana" w:cs="Arial"/>
          <w:sz w:val="18"/>
          <w:szCs w:val="18"/>
        </w:rPr>
      </w:pPr>
      <w:r w:rsidRPr="00D55596">
        <w:rPr>
          <w:rFonts w:ascii="Verdana" w:hAnsi="Verdana" w:cs="Arial"/>
          <w:sz w:val="18"/>
          <w:szCs w:val="18"/>
        </w:rPr>
        <w:t xml:space="preserve">En ningún caso podrá modificarse el objeto de los contratos, ni prorrogarse su plazo si estuviere vencido, so pretexto de la celebración de contratos adicionales, ni pactarse prórrogas automáticas. </w:t>
      </w:r>
    </w:p>
    <w:p w14:paraId="20D7CA10" w14:textId="77777777" w:rsidR="0075238E" w:rsidRPr="00D55596" w:rsidRDefault="0075238E" w:rsidP="0075238E">
      <w:pPr>
        <w:pStyle w:val="Textonotapie"/>
        <w:ind w:firstLine="708"/>
        <w:contextualSpacing/>
        <w:jc w:val="both"/>
        <w:rPr>
          <w:rFonts w:ascii="Verdana" w:hAnsi="Verdana" w:cs="Arial"/>
          <w:sz w:val="18"/>
          <w:szCs w:val="18"/>
        </w:rPr>
      </w:pPr>
      <w:r w:rsidRPr="00D55596">
        <w:rPr>
          <w:rFonts w:ascii="Verdana" w:hAnsi="Verdana" w:cs="Arial"/>
          <w:sz w:val="18"/>
          <w:szCs w:val="18"/>
        </w:rPr>
        <w:t>Parágrafo. Los contratos de empréstito distintos a los créditos de proveedores, no se someterán a lo dispuesto en este artículo”.</w:t>
      </w:r>
    </w:p>
    <w:p w14:paraId="116F9BA9" w14:textId="77777777" w:rsidR="0075238E" w:rsidRPr="00D55596" w:rsidRDefault="0075238E" w:rsidP="0075238E">
      <w:pPr>
        <w:pStyle w:val="Textonotapie"/>
        <w:ind w:firstLine="708"/>
        <w:contextualSpacing/>
        <w:jc w:val="both"/>
        <w:rPr>
          <w:rFonts w:ascii="Verdana" w:hAnsi="Verdana" w:cs="Arial"/>
          <w:sz w:val="18"/>
          <w:szCs w:val="18"/>
        </w:rPr>
      </w:pPr>
    </w:p>
  </w:footnote>
  <w:footnote w:id="4">
    <w:p w14:paraId="01B35FB1" w14:textId="77777777" w:rsidR="0075238E" w:rsidRPr="00D55596" w:rsidRDefault="0075238E" w:rsidP="0075238E">
      <w:pPr>
        <w:pStyle w:val="Textonotapie"/>
        <w:ind w:firstLine="708"/>
        <w:contextualSpacing/>
        <w:jc w:val="both"/>
        <w:rPr>
          <w:rFonts w:ascii="Verdana" w:hAnsi="Verdana" w:cs="Arial"/>
          <w:sz w:val="18"/>
          <w:szCs w:val="18"/>
        </w:rPr>
      </w:pPr>
      <w:r w:rsidRPr="00D55596">
        <w:rPr>
          <w:rStyle w:val="Refdenotaalpie"/>
          <w:rFonts w:ascii="Verdana" w:hAnsi="Verdana" w:cs="Arial"/>
          <w:sz w:val="18"/>
          <w:szCs w:val="18"/>
        </w:rPr>
        <w:footnoteRef/>
      </w:r>
      <w:r w:rsidRPr="00D55596">
        <w:rPr>
          <w:rFonts w:ascii="Verdana" w:hAnsi="Verdana" w:cs="Arial"/>
          <w:sz w:val="18"/>
          <w:szCs w:val="18"/>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límite: no más del cincuenta por ciento (50%) de su valor inicial, expresado este en salarios mínimos legales mensuales […]”.  Concepto 1128 del 26 de agosto de 1998, C.P. César Hoyos Salazar. </w:t>
      </w:r>
    </w:p>
    <w:p w14:paraId="596AACBE" w14:textId="77777777" w:rsidR="0075238E" w:rsidRPr="00D55596" w:rsidRDefault="0075238E" w:rsidP="0075238E">
      <w:pPr>
        <w:pStyle w:val="Textonotapie"/>
        <w:ind w:firstLine="708"/>
        <w:contextualSpacing/>
        <w:jc w:val="both"/>
        <w:rPr>
          <w:rFonts w:ascii="Verdana" w:hAnsi="Verdana" w:cs="Arial"/>
          <w:sz w:val="18"/>
          <w:szCs w:val="18"/>
        </w:rPr>
      </w:pPr>
    </w:p>
  </w:footnote>
  <w:footnote w:id="5">
    <w:p w14:paraId="432DBB2E"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r w:rsidRPr="00D55596">
        <w:rPr>
          <w:rStyle w:val="Refdenotaalpie"/>
          <w:rFonts w:ascii="Verdana" w:hAnsi="Verdana" w:cs="Arial"/>
          <w:color w:val="000000" w:themeColor="text1"/>
          <w:sz w:val="18"/>
          <w:szCs w:val="18"/>
        </w:rPr>
        <w:footnoteRef/>
      </w:r>
      <w:r w:rsidRPr="00D55596">
        <w:rPr>
          <w:rFonts w:ascii="Verdana" w:hAnsi="Verdana" w:cs="Arial"/>
          <w:color w:val="000000" w:themeColor="text1"/>
          <w:sz w:val="18"/>
          <w:szCs w:val="18"/>
        </w:rPr>
        <w:t xml:space="preserve"> </w:t>
      </w:r>
      <w:proofErr w:type="spellStart"/>
      <w:r w:rsidRPr="00D55596">
        <w:rPr>
          <w:rFonts w:ascii="Verdana" w:hAnsi="Verdana" w:cs="Arial"/>
          <w:color w:val="000000" w:themeColor="text1"/>
          <w:sz w:val="18"/>
          <w:szCs w:val="18"/>
        </w:rPr>
        <w:t>Ibídem</w:t>
      </w:r>
      <w:proofErr w:type="spellEnd"/>
      <w:r w:rsidRPr="00D55596">
        <w:rPr>
          <w:rFonts w:ascii="Verdana" w:hAnsi="Verdana" w:cs="Arial"/>
          <w:color w:val="000000" w:themeColor="text1"/>
          <w:sz w:val="18"/>
          <w:szCs w:val="18"/>
        </w:rPr>
        <w:t>.</w:t>
      </w:r>
    </w:p>
    <w:p w14:paraId="4C72B0FF"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p>
  </w:footnote>
  <w:footnote w:id="6">
    <w:p w14:paraId="66FD05F2"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r w:rsidRPr="00D55596">
        <w:rPr>
          <w:rStyle w:val="Refdenotaalpie"/>
          <w:rFonts w:ascii="Verdana" w:hAnsi="Verdana" w:cs="Arial"/>
          <w:color w:val="000000" w:themeColor="text1"/>
          <w:sz w:val="18"/>
          <w:szCs w:val="18"/>
        </w:rPr>
        <w:footnoteRef/>
      </w:r>
      <w:r w:rsidRPr="00D55596">
        <w:rPr>
          <w:rFonts w:ascii="Verdana" w:hAnsi="Verdana" w:cs="Arial"/>
          <w:color w:val="000000" w:themeColor="text1"/>
          <w:sz w:val="18"/>
          <w:szCs w:val="18"/>
        </w:rPr>
        <w:t xml:space="preserve"> DÁVILA VINUEZA, Luis Guillermo. Régimen jurídico de la contratación estatal. Tercera edición, Bogotá: Legis. 2016. Páginas 635 y 636.</w:t>
      </w:r>
    </w:p>
    <w:p w14:paraId="13D9F08E"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p>
  </w:footnote>
  <w:footnote w:id="7">
    <w:p w14:paraId="2AEE30AF"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r w:rsidRPr="00D55596">
        <w:rPr>
          <w:rStyle w:val="Refdenotaalpie"/>
          <w:rFonts w:ascii="Verdana" w:hAnsi="Verdana" w:cs="Arial"/>
          <w:color w:val="000000" w:themeColor="text1"/>
          <w:sz w:val="18"/>
          <w:szCs w:val="18"/>
        </w:rPr>
        <w:footnoteRef/>
      </w:r>
      <w:r w:rsidRPr="00D55596">
        <w:rPr>
          <w:rFonts w:ascii="Verdana" w:hAnsi="Verdana" w:cs="Arial"/>
          <w:color w:val="000000" w:themeColor="text1"/>
          <w:sz w:val="18"/>
          <w:szCs w:val="18"/>
        </w:rPr>
        <w:t xml:space="preserve"> Ibidem. Página 592.</w:t>
      </w:r>
    </w:p>
    <w:p w14:paraId="0ECE6CCA"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p>
  </w:footnote>
  <w:footnote w:id="8">
    <w:p w14:paraId="2030323D"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r w:rsidRPr="00D55596">
        <w:rPr>
          <w:rStyle w:val="Refdenotaalpie"/>
          <w:rFonts w:ascii="Verdana" w:hAnsi="Verdana" w:cs="Arial"/>
          <w:color w:val="000000" w:themeColor="text1"/>
          <w:sz w:val="18"/>
          <w:szCs w:val="18"/>
        </w:rPr>
        <w:footnoteRef/>
      </w:r>
      <w:r w:rsidRPr="00D55596">
        <w:rPr>
          <w:rFonts w:ascii="Verdana" w:hAnsi="Verdana" w:cs="Arial"/>
          <w:color w:val="000000" w:themeColor="text1"/>
          <w:sz w:val="18"/>
          <w:szCs w:val="18"/>
        </w:rPr>
        <w:t xml:space="preserve"> Cfr. CONSEJO DE ESTADO. </w:t>
      </w:r>
      <w:r w:rsidRPr="00D55596">
        <w:rPr>
          <w:rFonts w:ascii="Verdana" w:hAnsi="Verdana"/>
          <w:sz w:val="18"/>
          <w:szCs w:val="18"/>
        </w:rPr>
        <w:t xml:space="preserve">Sala de lo Contencioso Administrativo. </w:t>
      </w:r>
      <w:r w:rsidRPr="00D55596">
        <w:rPr>
          <w:rFonts w:ascii="Verdana" w:hAnsi="Verdana" w:cs="Arial"/>
          <w:color w:val="000000" w:themeColor="text1"/>
          <w:sz w:val="18"/>
          <w:szCs w:val="18"/>
        </w:rPr>
        <w:t xml:space="preserve">Sección Tercera. Sentencia del 22 de abril de 2004. Expediente: 22.178 y en la Sentencia de la misma Sección del 15 de julio de 2004. Expediente AP-1164-02. Esta postura fue reiterada por la Sala de Consulta Civil y Servicio Civil en Concepto del 6 de julio de 2018- Radicación Nro. 239. C.P.: Osar Darío Amaya Navas. </w:t>
      </w:r>
    </w:p>
    <w:p w14:paraId="7404121E"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p>
  </w:footnote>
  <w:footnote w:id="9">
    <w:p w14:paraId="5B37FF6F"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r w:rsidRPr="00D55596">
        <w:rPr>
          <w:rStyle w:val="Refdenotaalpie"/>
          <w:rFonts w:ascii="Verdana" w:hAnsi="Verdana" w:cs="Arial"/>
          <w:color w:val="000000" w:themeColor="text1"/>
          <w:sz w:val="18"/>
          <w:szCs w:val="18"/>
        </w:rPr>
        <w:footnoteRef/>
      </w:r>
      <w:r w:rsidRPr="00D55596">
        <w:rPr>
          <w:rFonts w:ascii="Verdana" w:hAnsi="Verdana" w:cs="Arial"/>
          <w:color w:val="000000" w:themeColor="text1"/>
          <w:sz w:val="18"/>
          <w:szCs w:val="18"/>
        </w:rPr>
        <w:t xml:space="preserve"> MARÍN CORTÉS. Fabián G. El precio. Serie: Las Cláusulas del Contrato Estatal. Medellín: Centro de Estudios de Derecho Administrativo ― CEDA y Librería Jurídica Sánchez. 2012. Páginas 220 y 221.</w:t>
      </w:r>
    </w:p>
    <w:p w14:paraId="0E4F2CF4"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p>
  </w:footnote>
  <w:footnote w:id="10">
    <w:p w14:paraId="0E7C4823" w14:textId="77777777" w:rsidR="00225FD2" w:rsidRPr="00D55596" w:rsidRDefault="00225FD2" w:rsidP="00225FD2">
      <w:pPr>
        <w:pStyle w:val="Textonotapie"/>
        <w:ind w:firstLine="709"/>
        <w:contextualSpacing/>
        <w:jc w:val="both"/>
        <w:rPr>
          <w:rFonts w:ascii="Verdana" w:hAnsi="Verdana" w:cs="Arial"/>
          <w:color w:val="000000" w:themeColor="text1"/>
          <w:sz w:val="18"/>
          <w:szCs w:val="18"/>
        </w:rPr>
      </w:pPr>
      <w:r w:rsidRPr="00D55596">
        <w:rPr>
          <w:rStyle w:val="Refdenotaalpie"/>
          <w:rFonts w:ascii="Verdana" w:hAnsi="Verdana" w:cs="Arial"/>
          <w:sz w:val="18"/>
          <w:szCs w:val="18"/>
        </w:rPr>
        <w:footnoteRef/>
      </w:r>
      <w:r w:rsidRPr="00D55596">
        <w:rPr>
          <w:rFonts w:ascii="Verdana" w:hAnsi="Verdana" w:cs="Arial"/>
          <w:sz w:val="18"/>
          <w:szCs w:val="18"/>
        </w:rPr>
        <w:t xml:space="preserve"> </w:t>
      </w:r>
      <w:r w:rsidRPr="00D55596">
        <w:rPr>
          <w:rFonts w:ascii="Verdana" w:hAnsi="Verdana" w:cs="Arial"/>
          <w:color w:val="000000" w:themeColor="text1"/>
          <w:sz w:val="18"/>
          <w:szCs w:val="18"/>
        </w:rPr>
        <w:t>BENAVIDES, José Luis. Contratos Públicos: Estudios. Primera edición. Bogotá: Universidad Externado de Colombia. 2014. Página 386.</w:t>
      </w:r>
    </w:p>
    <w:p w14:paraId="50E822BB" w14:textId="77777777" w:rsidR="00225FD2" w:rsidRPr="00D55596" w:rsidRDefault="00225FD2" w:rsidP="00225FD2">
      <w:pPr>
        <w:pStyle w:val="Textonotapie"/>
        <w:ind w:firstLine="709"/>
        <w:contextualSpacing/>
        <w:jc w:val="both"/>
        <w:rPr>
          <w:rFonts w:ascii="Verdana" w:hAnsi="Verdana" w:cs="Arial"/>
          <w:color w:val="000000" w:themeColor="text1"/>
          <w:sz w:val="18"/>
          <w:szCs w:val="18"/>
        </w:rPr>
      </w:pPr>
    </w:p>
  </w:footnote>
  <w:footnote w:id="11">
    <w:p w14:paraId="74894CBA"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r w:rsidRPr="00D55596">
        <w:rPr>
          <w:rStyle w:val="Refdenotaalpie"/>
          <w:rFonts w:ascii="Verdana" w:hAnsi="Verdana" w:cs="Arial"/>
          <w:color w:val="000000" w:themeColor="text1"/>
          <w:sz w:val="18"/>
          <w:szCs w:val="18"/>
        </w:rPr>
        <w:footnoteRef/>
      </w:r>
      <w:r w:rsidRPr="00D55596">
        <w:rPr>
          <w:rFonts w:ascii="Verdana" w:hAnsi="Verdana" w:cs="Arial"/>
          <w:color w:val="000000" w:themeColor="text1"/>
          <w:sz w:val="18"/>
          <w:szCs w:val="18"/>
        </w:rPr>
        <w:t xml:space="preserve"> CONSEJO DE ESTADO. </w:t>
      </w:r>
      <w:r w:rsidRPr="00D55596">
        <w:rPr>
          <w:rFonts w:ascii="Verdana" w:hAnsi="Verdana"/>
          <w:sz w:val="18"/>
          <w:szCs w:val="18"/>
        </w:rPr>
        <w:t xml:space="preserve">Sala de lo Contencioso Administrativo. </w:t>
      </w:r>
      <w:r w:rsidRPr="00D55596">
        <w:rPr>
          <w:rFonts w:ascii="Verdana" w:hAnsi="Verdana" w:cs="Arial"/>
          <w:color w:val="000000" w:themeColor="text1"/>
          <w:sz w:val="18"/>
          <w:szCs w:val="18"/>
        </w:rPr>
        <w:t xml:space="preserve">Sección Tercera. </w:t>
      </w:r>
      <w:r w:rsidRPr="00D55596">
        <w:rPr>
          <w:rFonts w:ascii="Verdana" w:hAnsi="Verdana"/>
          <w:sz w:val="18"/>
          <w:szCs w:val="18"/>
          <w:lang w:val="es-CO"/>
        </w:rPr>
        <w:t>C.P.</w:t>
      </w:r>
      <w:r w:rsidRPr="00D55596">
        <w:rPr>
          <w:rFonts w:ascii="Verdana" w:hAnsi="Verdana" w:cs="Arial"/>
          <w:color w:val="000000" w:themeColor="text1"/>
          <w:sz w:val="18"/>
          <w:szCs w:val="18"/>
        </w:rPr>
        <w:t xml:space="preserve"> Enrique Gil Botero. Sentencia del 14 de abril de 2010. Expediente: 36.054. </w:t>
      </w:r>
    </w:p>
    <w:p w14:paraId="525171E2" w14:textId="77777777" w:rsidR="00225FD2" w:rsidRPr="00D55596" w:rsidRDefault="00225FD2" w:rsidP="00225FD2">
      <w:pPr>
        <w:pStyle w:val="Textonotapie"/>
        <w:ind w:firstLine="708"/>
        <w:contextualSpacing/>
        <w:jc w:val="both"/>
        <w:rPr>
          <w:rFonts w:ascii="Verdana" w:hAnsi="Verdana" w:cs="Arial"/>
          <w:color w:val="000000" w:themeColor="text1"/>
          <w:sz w:val="18"/>
          <w:szCs w:val="18"/>
        </w:rPr>
      </w:pPr>
    </w:p>
  </w:footnote>
  <w:footnote w:id="12">
    <w:p w14:paraId="198ABDC0" w14:textId="77777777" w:rsidR="00225FD2" w:rsidRPr="00D55596" w:rsidRDefault="00225FD2" w:rsidP="00225FD2">
      <w:pPr>
        <w:pStyle w:val="Textonotapie"/>
        <w:ind w:firstLine="709"/>
        <w:contextualSpacing/>
        <w:jc w:val="both"/>
        <w:rPr>
          <w:rFonts w:ascii="Verdana" w:hAnsi="Verdana" w:cs="Arial"/>
          <w:color w:val="000000" w:themeColor="text1"/>
          <w:sz w:val="18"/>
          <w:szCs w:val="18"/>
        </w:rPr>
      </w:pPr>
      <w:r w:rsidRPr="00D55596">
        <w:rPr>
          <w:rStyle w:val="Refdenotaalpie"/>
          <w:rFonts w:ascii="Verdana" w:hAnsi="Verdana" w:cs="Arial"/>
          <w:sz w:val="18"/>
          <w:szCs w:val="18"/>
        </w:rPr>
        <w:footnoteRef/>
      </w:r>
      <w:r w:rsidRPr="00D55596">
        <w:rPr>
          <w:rFonts w:ascii="Verdana" w:hAnsi="Verdana" w:cs="Arial"/>
          <w:sz w:val="18"/>
          <w:szCs w:val="18"/>
        </w:rPr>
        <w:t xml:space="preserve"> </w:t>
      </w:r>
      <w:r w:rsidRPr="00D55596">
        <w:rPr>
          <w:rFonts w:ascii="Verdana" w:hAnsi="Verdana" w:cs="Arial"/>
          <w:color w:val="000000" w:themeColor="text1"/>
          <w:sz w:val="18"/>
          <w:szCs w:val="18"/>
        </w:rPr>
        <w:t xml:space="preserve">CONSEJO DE ESTADO. </w:t>
      </w:r>
      <w:r w:rsidRPr="00D55596">
        <w:rPr>
          <w:rFonts w:ascii="Verdana" w:hAnsi="Verdana"/>
          <w:sz w:val="18"/>
          <w:szCs w:val="18"/>
        </w:rPr>
        <w:t xml:space="preserve">Sala de lo Contencioso Administrativo. </w:t>
      </w:r>
      <w:r w:rsidRPr="00D55596">
        <w:rPr>
          <w:rFonts w:ascii="Verdana" w:hAnsi="Verdana" w:cs="Arial"/>
          <w:color w:val="000000" w:themeColor="text1"/>
          <w:sz w:val="18"/>
          <w:szCs w:val="18"/>
        </w:rPr>
        <w:t xml:space="preserve">Sección Tercera. </w:t>
      </w:r>
      <w:r w:rsidRPr="00D55596">
        <w:rPr>
          <w:rFonts w:ascii="Verdana" w:hAnsi="Verdana"/>
          <w:sz w:val="18"/>
          <w:szCs w:val="18"/>
          <w:lang w:val="es-CO"/>
        </w:rPr>
        <w:t>C.P.</w:t>
      </w:r>
      <w:r w:rsidRPr="00D55596">
        <w:rPr>
          <w:rFonts w:ascii="Verdana" w:hAnsi="Verdana" w:cs="Arial"/>
          <w:color w:val="000000" w:themeColor="text1"/>
          <w:sz w:val="18"/>
          <w:szCs w:val="18"/>
        </w:rPr>
        <w:t xml:space="preserve"> Ruth Stella Correa Palacio. Sentencia del 20 de noviembre de 2008. Expediente: 17.031. Ver también: Consejo de Estado. </w:t>
      </w:r>
      <w:r w:rsidRPr="00D55596">
        <w:rPr>
          <w:rFonts w:ascii="Verdana" w:hAnsi="Verdana"/>
          <w:sz w:val="18"/>
          <w:szCs w:val="18"/>
        </w:rPr>
        <w:t xml:space="preserve">Sala de lo Contencioso Administrativo. </w:t>
      </w:r>
      <w:r w:rsidRPr="00D55596">
        <w:rPr>
          <w:rFonts w:ascii="Verdana" w:hAnsi="Verdana" w:cs="Arial"/>
          <w:color w:val="000000" w:themeColor="text1"/>
          <w:sz w:val="18"/>
          <w:szCs w:val="18"/>
        </w:rPr>
        <w:t xml:space="preserve">Sección Tercera. </w:t>
      </w:r>
      <w:r w:rsidRPr="00D55596">
        <w:rPr>
          <w:rFonts w:ascii="Verdana" w:hAnsi="Verdana"/>
          <w:sz w:val="18"/>
          <w:szCs w:val="18"/>
          <w:lang w:val="es-CO"/>
        </w:rPr>
        <w:t>C.P.</w:t>
      </w:r>
      <w:r w:rsidRPr="00D55596">
        <w:rPr>
          <w:rFonts w:ascii="Verdana" w:hAnsi="Verdana" w:cs="Arial"/>
          <w:color w:val="000000" w:themeColor="text1"/>
          <w:sz w:val="18"/>
          <w:szCs w:val="18"/>
        </w:rPr>
        <w:t xml:space="preserve"> Ruth Stella Correa Palacio. C.</w:t>
      </w:r>
      <w:r w:rsidRPr="00D55596">
        <w:rPr>
          <w:rFonts w:ascii="Verdana" w:hAnsi="Verdana"/>
          <w:sz w:val="18"/>
          <w:szCs w:val="18"/>
          <w:lang w:val="es-CO"/>
        </w:rPr>
        <w:t xml:space="preserve">P. </w:t>
      </w:r>
      <w:r w:rsidRPr="00D55596">
        <w:rPr>
          <w:rFonts w:ascii="Verdana" w:hAnsi="Verdana" w:cs="Arial"/>
          <w:color w:val="000000" w:themeColor="text1"/>
          <w:sz w:val="18"/>
          <w:szCs w:val="18"/>
        </w:rPr>
        <w:t xml:space="preserve">Ramiro Saavedra Becerra. Sentencia 18 de septiembre de 2003. Expediente: 15.119. </w:t>
      </w:r>
    </w:p>
    <w:p w14:paraId="7A9E2FA2" w14:textId="77777777" w:rsidR="00225FD2" w:rsidRPr="00D55596" w:rsidRDefault="00225FD2" w:rsidP="00225FD2">
      <w:pPr>
        <w:pStyle w:val="Textonotapie"/>
        <w:ind w:firstLine="709"/>
        <w:contextualSpacing/>
        <w:jc w:val="both"/>
        <w:rPr>
          <w:rFonts w:ascii="Verdana" w:hAnsi="Verdana" w:cs="Arial"/>
          <w:color w:val="000000" w:themeColor="text1"/>
          <w:sz w:val="18"/>
          <w:szCs w:val="18"/>
        </w:rPr>
      </w:pPr>
    </w:p>
  </w:footnote>
  <w:footnote w:id="13">
    <w:p w14:paraId="21966598" w14:textId="77777777" w:rsidR="00225FD2" w:rsidRPr="00D55596" w:rsidRDefault="00225FD2" w:rsidP="00225FD2">
      <w:pPr>
        <w:pStyle w:val="Textonotapie"/>
        <w:ind w:firstLine="709"/>
        <w:contextualSpacing/>
        <w:jc w:val="both"/>
        <w:rPr>
          <w:rFonts w:ascii="Verdana" w:hAnsi="Verdana" w:cs="Arial"/>
          <w:color w:val="000000" w:themeColor="text1"/>
          <w:sz w:val="18"/>
          <w:szCs w:val="18"/>
        </w:rPr>
      </w:pPr>
      <w:r w:rsidRPr="00D55596">
        <w:rPr>
          <w:rStyle w:val="Refdenotaalpie"/>
          <w:rFonts w:ascii="Verdana" w:hAnsi="Verdana" w:cs="Arial"/>
          <w:sz w:val="18"/>
          <w:szCs w:val="18"/>
        </w:rPr>
        <w:footnoteRef/>
      </w:r>
      <w:r w:rsidRPr="00D55596">
        <w:rPr>
          <w:rFonts w:ascii="Verdana" w:hAnsi="Verdana" w:cs="Arial"/>
          <w:sz w:val="18"/>
          <w:szCs w:val="18"/>
        </w:rPr>
        <w:t xml:space="preserve"> </w:t>
      </w:r>
      <w:r w:rsidRPr="00D55596">
        <w:rPr>
          <w:rFonts w:ascii="Verdana" w:hAnsi="Verdana" w:cs="Arial"/>
          <w:color w:val="000000" w:themeColor="text1"/>
          <w:sz w:val="18"/>
          <w:szCs w:val="18"/>
        </w:rPr>
        <w:t xml:space="preserve">CONSEJO DE ESTADO. </w:t>
      </w:r>
      <w:r w:rsidRPr="00D55596">
        <w:rPr>
          <w:rFonts w:ascii="Verdana" w:hAnsi="Verdana"/>
          <w:sz w:val="18"/>
          <w:szCs w:val="18"/>
        </w:rPr>
        <w:t xml:space="preserve">Sala de lo Contencioso Administrativo. </w:t>
      </w:r>
      <w:r w:rsidRPr="00D55596">
        <w:rPr>
          <w:rFonts w:ascii="Verdana" w:hAnsi="Verdana" w:cs="Arial"/>
          <w:color w:val="000000" w:themeColor="text1"/>
          <w:sz w:val="18"/>
          <w:szCs w:val="18"/>
        </w:rPr>
        <w:t xml:space="preserve">Sección tercera. </w:t>
      </w:r>
      <w:r w:rsidRPr="00D55596">
        <w:rPr>
          <w:rFonts w:ascii="Verdana" w:hAnsi="Verdana"/>
          <w:sz w:val="18"/>
          <w:szCs w:val="18"/>
          <w:lang w:val="es-CO"/>
        </w:rPr>
        <w:t xml:space="preserve">C.P. </w:t>
      </w:r>
      <w:r w:rsidRPr="00D55596">
        <w:rPr>
          <w:rFonts w:ascii="Verdana" w:hAnsi="Verdana" w:cs="Arial"/>
          <w:color w:val="000000" w:themeColor="text1"/>
          <w:sz w:val="18"/>
          <w:szCs w:val="18"/>
        </w:rPr>
        <w:t>Alberto Montaña Plata. Sentencia del 9 de julio de 2021. Radicación número: 52045.</w:t>
      </w:r>
      <w:r w:rsidRPr="00D55596">
        <w:rPr>
          <w:rFonts w:ascii="Verdana" w:hAnsi="Verdana"/>
          <w:sz w:val="18"/>
          <w:szCs w:val="18"/>
          <w:lang w:val="es-CO"/>
        </w:rPr>
        <w:t xml:space="preserve"> </w:t>
      </w:r>
      <w:r w:rsidRPr="00D55596">
        <w:rPr>
          <w:rFonts w:ascii="Verdana" w:hAnsi="Verdana" w:cs="Arial"/>
          <w:color w:val="000000" w:themeColor="text1"/>
          <w:sz w:val="18"/>
          <w:szCs w:val="18"/>
        </w:rPr>
        <w:t>Aclaración de voto: Alexander Jojoa Bolaños.</w:t>
      </w:r>
    </w:p>
    <w:p w14:paraId="21C448EB" w14:textId="77777777" w:rsidR="00225FD2" w:rsidRPr="00D55596" w:rsidRDefault="00225FD2" w:rsidP="00225FD2">
      <w:pPr>
        <w:pStyle w:val="Textonotapie"/>
        <w:ind w:firstLine="709"/>
        <w:contextualSpacing/>
        <w:jc w:val="both"/>
        <w:rPr>
          <w:rFonts w:ascii="Verdana" w:hAnsi="Verdana" w:cs="Arial"/>
          <w:color w:val="000000" w:themeColor="text1"/>
          <w:sz w:val="18"/>
          <w:szCs w:val="18"/>
        </w:rPr>
      </w:pPr>
    </w:p>
  </w:footnote>
  <w:footnote w:id="14">
    <w:p w14:paraId="022E2AE7"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lo Contencioso Administrativo Sección Tercera. Sentencia del 6 de agosto de 1987. Expediente 3886.</w:t>
      </w:r>
    </w:p>
    <w:p w14:paraId="403096FE" w14:textId="77777777" w:rsidR="00225FD2" w:rsidRPr="00D55596" w:rsidRDefault="00225FD2" w:rsidP="00225FD2">
      <w:pPr>
        <w:pStyle w:val="Textonotapie"/>
        <w:ind w:firstLine="708"/>
        <w:contextualSpacing/>
        <w:jc w:val="both"/>
        <w:rPr>
          <w:rFonts w:ascii="Verdana" w:hAnsi="Verdana"/>
          <w:sz w:val="18"/>
          <w:szCs w:val="18"/>
        </w:rPr>
      </w:pPr>
    </w:p>
  </w:footnote>
  <w:footnote w:id="15">
    <w:p w14:paraId="231D5529"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lo Contencioso Administrativo. Sección Tercera. Sentencia del 18 de julio de 2002. Expediente 22178.</w:t>
      </w:r>
    </w:p>
    <w:p w14:paraId="3758C9EE" w14:textId="77777777" w:rsidR="00225FD2" w:rsidRPr="00D55596" w:rsidRDefault="00225FD2" w:rsidP="00225FD2">
      <w:pPr>
        <w:pStyle w:val="Textonotapie"/>
        <w:ind w:firstLine="708"/>
        <w:contextualSpacing/>
        <w:jc w:val="both"/>
        <w:rPr>
          <w:rFonts w:ascii="Verdana" w:hAnsi="Verdana"/>
          <w:sz w:val="18"/>
          <w:szCs w:val="18"/>
        </w:rPr>
      </w:pPr>
    </w:p>
  </w:footnote>
  <w:footnote w:id="16">
    <w:p w14:paraId="6447869A" w14:textId="77777777" w:rsidR="00225FD2" w:rsidRPr="00D55596" w:rsidRDefault="00225FD2" w:rsidP="00225FD2">
      <w:pPr>
        <w:pStyle w:val="Textonotapie"/>
        <w:ind w:firstLine="708"/>
        <w:contextualSpacing/>
        <w:jc w:val="both"/>
        <w:rPr>
          <w:rFonts w:ascii="Verdana" w:hAnsi="Verdana"/>
          <w:sz w:val="18"/>
          <w:szCs w:val="18"/>
          <w:lang w:val="es-CO"/>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Consulta y del Servicio Civil. </w:t>
      </w:r>
      <w:r w:rsidRPr="00D55596">
        <w:rPr>
          <w:rFonts w:ascii="Verdana" w:hAnsi="Verdana"/>
          <w:sz w:val="18"/>
          <w:szCs w:val="18"/>
          <w:lang w:val="es-CO"/>
        </w:rPr>
        <w:t>C.P.: Dra. Susana Montes de Echeverri.</w:t>
      </w:r>
      <w:r w:rsidRPr="00D55596">
        <w:rPr>
          <w:rFonts w:ascii="Verdana" w:hAnsi="Verdana"/>
          <w:sz w:val="18"/>
          <w:szCs w:val="18"/>
        </w:rPr>
        <w:t xml:space="preserve">Concepto del 18 de julio de 2022. Expediente 1439. </w:t>
      </w:r>
    </w:p>
    <w:p w14:paraId="2703A54D" w14:textId="77777777" w:rsidR="00225FD2" w:rsidRPr="00D55596" w:rsidRDefault="00225FD2" w:rsidP="00225FD2">
      <w:pPr>
        <w:pStyle w:val="Textonotapie"/>
        <w:ind w:firstLine="708"/>
        <w:contextualSpacing/>
        <w:jc w:val="both"/>
        <w:rPr>
          <w:rFonts w:ascii="Verdana" w:hAnsi="Verdana"/>
          <w:sz w:val="18"/>
          <w:szCs w:val="18"/>
          <w:lang w:val="es-CO"/>
        </w:rPr>
      </w:pPr>
    </w:p>
  </w:footnote>
  <w:footnote w:id="17">
    <w:p w14:paraId="51E94F44"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lo Contencioso Administrativo. Sección Tercera. C.P. Dr. Jaime Enrique Rodríguez. Sentencia del 19 de septiembre de 2022. Expediente No. 54.714.</w:t>
      </w:r>
    </w:p>
    <w:p w14:paraId="7E92CACD" w14:textId="77777777" w:rsidR="00225FD2" w:rsidRPr="00D55596" w:rsidRDefault="00225FD2" w:rsidP="00225FD2">
      <w:pPr>
        <w:pStyle w:val="Textonotapie"/>
        <w:ind w:firstLine="708"/>
        <w:contextualSpacing/>
        <w:jc w:val="both"/>
        <w:rPr>
          <w:rFonts w:ascii="Verdana" w:hAnsi="Verdana"/>
          <w:sz w:val="18"/>
          <w:szCs w:val="18"/>
        </w:rPr>
      </w:pPr>
    </w:p>
  </w:footnote>
  <w:footnote w:id="18">
    <w:p w14:paraId="607B1847" w14:textId="77777777" w:rsidR="00225FD2" w:rsidRPr="00D55596" w:rsidRDefault="00225FD2" w:rsidP="00225FD2">
      <w:pPr>
        <w:pStyle w:val="Textonotapie"/>
        <w:ind w:firstLine="708"/>
        <w:contextualSpacing/>
        <w:jc w:val="both"/>
        <w:rPr>
          <w:rFonts w:ascii="Verdana" w:hAnsi="Verdana"/>
          <w:sz w:val="18"/>
          <w:szCs w:val="18"/>
          <w:lang w:val="es-CO"/>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lo Contencioso Administrativo. Sección Tercera, Subsección A. C.P.: </w:t>
      </w:r>
      <w:r w:rsidRPr="00D55596">
        <w:rPr>
          <w:rFonts w:ascii="Verdana" w:hAnsi="Verdana"/>
          <w:sz w:val="18"/>
          <w:szCs w:val="18"/>
          <w:lang w:val="es-CO"/>
        </w:rPr>
        <w:t xml:space="preserve">María Adriana Marín. </w:t>
      </w:r>
      <w:r w:rsidRPr="00D55596">
        <w:rPr>
          <w:rFonts w:ascii="Verdana" w:hAnsi="Verdana"/>
          <w:sz w:val="18"/>
          <w:szCs w:val="18"/>
        </w:rPr>
        <w:t>Sentencia del 22 de agosto de 2023. Expediente: 58634.</w:t>
      </w:r>
      <w:r w:rsidRPr="00D55596">
        <w:rPr>
          <w:rFonts w:ascii="Verdana" w:hAnsi="Verdana"/>
          <w:sz w:val="18"/>
          <w:szCs w:val="18"/>
          <w:lang w:val="es-CO"/>
        </w:rPr>
        <w:t xml:space="preserve"> </w:t>
      </w:r>
    </w:p>
    <w:p w14:paraId="6D5F34BB" w14:textId="77777777" w:rsidR="00225FD2" w:rsidRPr="00D55596" w:rsidRDefault="00225FD2" w:rsidP="00225FD2">
      <w:pPr>
        <w:pStyle w:val="Textonotapie"/>
        <w:ind w:firstLine="708"/>
        <w:contextualSpacing/>
        <w:jc w:val="both"/>
        <w:rPr>
          <w:rFonts w:ascii="Verdana" w:hAnsi="Verdana"/>
          <w:sz w:val="18"/>
          <w:szCs w:val="18"/>
        </w:rPr>
      </w:pPr>
    </w:p>
  </w:footnote>
  <w:footnote w:id="19">
    <w:p w14:paraId="7876DB12" w14:textId="77777777" w:rsidR="00225FD2" w:rsidRPr="00D55596" w:rsidRDefault="00225FD2" w:rsidP="00225FD2">
      <w:pPr>
        <w:pStyle w:val="Textonotapie"/>
        <w:ind w:firstLine="708"/>
        <w:contextualSpacing/>
        <w:jc w:val="both"/>
        <w:rPr>
          <w:rFonts w:ascii="Verdana" w:hAnsi="Verdana"/>
          <w:sz w:val="18"/>
          <w:szCs w:val="18"/>
          <w:lang w:val="es-CO"/>
        </w:rPr>
      </w:pPr>
      <w:r w:rsidRPr="00D55596">
        <w:rPr>
          <w:rFonts w:ascii="Verdana" w:hAnsi="Verdana"/>
          <w:sz w:val="18"/>
          <w:szCs w:val="18"/>
        </w:rPr>
        <w:t xml:space="preserve"> </w:t>
      </w:r>
      <w:r w:rsidRPr="00D55596">
        <w:rPr>
          <w:rStyle w:val="Refdenotaalpie"/>
          <w:rFonts w:ascii="Verdana" w:hAnsi="Verdana"/>
          <w:sz w:val="18"/>
          <w:szCs w:val="18"/>
        </w:rPr>
        <w:footnoteRef/>
      </w:r>
      <w:r w:rsidRPr="00D55596">
        <w:rPr>
          <w:rFonts w:ascii="Verdana" w:hAnsi="Verdana"/>
          <w:sz w:val="18"/>
          <w:szCs w:val="18"/>
        </w:rPr>
        <w:t xml:space="preserve"> </w:t>
      </w:r>
      <w:r w:rsidRPr="00D55596">
        <w:rPr>
          <w:rFonts w:ascii="Verdana" w:hAnsi="Verdana"/>
          <w:sz w:val="18"/>
          <w:szCs w:val="18"/>
          <w:lang w:val="es-CO"/>
        </w:rPr>
        <w:t xml:space="preserve">CONSEJO DE ESTADO. </w:t>
      </w:r>
      <w:r w:rsidRPr="00D55596">
        <w:rPr>
          <w:rFonts w:ascii="Verdana" w:hAnsi="Verdana"/>
          <w:sz w:val="18"/>
          <w:szCs w:val="18"/>
        </w:rPr>
        <w:t xml:space="preserve">Sala de lo Contencioso Administrativo. </w:t>
      </w:r>
      <w:r w:rsidRPr="00D55596">
        <w:rPr>
          <w:rFonts w:ascii="Verdana" w:hAnsi="Verdana"/>
          <w:sz w:val="18"/>
          <w:szCs w:val="18"/>
          <w:lang w:val="es-CO"/>
        </w:rPr>
        <w:t xml:space="preserve">Sección Tercera. C.P.: Jaime Enrique Rodríguez Navas. Sentencia del 19 de septiembre de 2022. Expediente No. 54714. </w:t>
      </w:r>
    </w:p>
    <w:p w14:paraId="02BF4C89" w14:textId="77777777" w:rsidR="00225FD2" w:rsidRPr="00D55596" w:rsidRDefault="00225FD2" w:rsidP="00225FD2">
      <w:pPr>
        <w:pStyle w:val="Textonotapie"/>
        <w:ind w:firstLine="708"/>
        <w:contextualSpacing/>
        <w:jc w:val="both"/>
        <w:rPr>
          <w:rFonts w:ascii="Verdana" w:hAnsi="Verdana"/>
          <w:sz w:val="18"/>
          <w:szCs w:val="18"/>
          <w:lang w:val="es-CO"/>
        </w:rPr>
      </w:pPr>
    </w:p>
  </w:footnote>
  <w:footnote w:id="20">
    <w:p w14:paraId="7FE7D525" w14:textId="77777777" w:rsidR="00225FD2" w:rsidRPr="00D55596" w:rsidRDefault="00225FD2" w:rsidP="00225FD2">
      <w:pPr>
        <w:pStyle w:val="Textonotapie"/>
        <w:ind w:firstLine="708"/>
        <w:contextualSpacing/>
        <w:jc w:val="both"/>
        <w:rPr>
          <w:rFonts w:ascii="Verdana" w:hAnsi="Verdana"/>
          <w:sz w:val="18"/>
          <w:szCs w:val="18"/>
          <w:lang w:val="es-CO"/>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lo Contencioso Administrativo. Sección Tercera. Subsección C. </w:t>
      </w:r>
      <w:bookmarkStart w:id="4" w:name="_Hlk176969946"/>
      <w:r w:rsidRPr="00D55596">
        <w:rPr>
          <w:rFonts w:ascii="Verdana" w:hAnsi="Verdana"/>
          <w:sz w:val="18"/>
          <w:szCs w:val="18"/>
          <w:lang w:val="es-CO"/>
        </w:rPr>
        <w:t>C.P.: Nicolás Yepes Corrales.</w:t>
      </w:r>
      <w:r w:rsidRPr="00D55596">
        <w:rPr>
          <w:rFonts w:ascii="Verdana" w:hAnsi="Verdana"/>
          <w:sz w:val="18"/>
          <w:szCs w:val="18"/>
        </w:rPr>
        <w:t xml:space="preserve"> Sentencia del 24 de abril de 2024</w:t>
      </w:r>
      <w:bookmarkEnd w:id="4"/>
      <w:r w:rsidRPr="00D55596">
        <w:rPr>
          <w:rFonts w:ascii="Verdana" w:hAnsi="Verdana"/>
          <w:sz w:val="18"/>
          <w:szCs w:val="18"/>
        </w:rPr>
        <w:t xml:space="preserve">. Expediente No. 67095. </w:t>
      </w:r>
    </w:p>
    <w:p w14:paraId="7BE8E12E" w14:textId="77777777" w:rsidR="00225FD2" w:rsidRPr="00D55596" w:rsidRDefault="00225FD2" w:rsidP="00225FD2">
      <w:pPr>
        <w:pStyle w:val="Textonotapie"/>
        <w:ind w:firstLine="708"/>
        <w:contextualSpacing/>
        <w:jc w:val="both"/>
        <w:rPr>
          <w:rFonts w:ascii="Verdana" w:hAnsi="Verdana"/>
          <w:sz w:val="18"/>
          <w:szCs w:val="18"/>
        </w:rPr>
      </w:pPr>
    </w:p>
  </w:footnote>
  <w:footnote w:id="21">
    <w:p w14:paraId="3013927B"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Al respecto puede confrontarse la sentencia del 31 agosto de 2011, proferida por la Subsección B de la Sección Tercera de la Sala de lo Contencioso Administrativo del Consejo de Estado. C.P. Dra. Ruth Stella Correa. Expediente No. 18.080.</w:t>
      </w:r>
    </w:p>
  </w:footnote>
  <w:footnote w:id="22">
    <w:p w14:paraId="79E73A64" w14:textId="77777777" w:rsidR="00225FD2" w:rsidRPr="00D55596" w:rsidRDefault="00225FD2" w:rsidP="00225FD2">
      <w:pPr>
        <w:spacing w:after="0" w:line="240" w:lineRule="auto"/>
        <w:ind w:firstLine="708"/>
        <w:contextualSpacing/>
        <w:jc w:val="both"/>
        <w:rPr>
          <w:rFonts w:ascii="Verdana" w:hAnsi="Verdana"/>
          <w:sz w:val="18"/>
          <w:szCs w:val="18"/>
        </w:rPr>
      </w:pPr>
    </w:p>
    <w:p w14:paraId="36B819FF" w14:textId="77777777" w:rsidR="00225FD2" w:rsidRPr="00D55596" w:rsidRDefault="00225FD2" w:rsidP="00225FD2">
      <w:pPr>
        <w:spacing w:after="0" w:line="240" w:lineRule="auto"/>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Consulta y Servicio Civil.</w:t>
      </w:r>
      <w:r w:rsidRPr="00D55596">
        <w:rPr>
          <w:rFonts w:ascii="Verdana" w:hAnsi="Verdana"/>
          <w:i/>
          <w:iCs/>
          <w:sz w:val="18"/>
          <w:szCs w:val="18"/>
        </w:rPr>
        <w:t xml:space="preserve"> </w:t>
      </w:r>
      <w:r w:rsidRPr="00D55596">
        <w:rPr>
          <w:rFonts w:ascii="Verdana" w:hAnsi="Verdana"/>
          <w:sz w:val="18"/>
          <w:szCs w:val="18"/>
        </w:rPr>
        <w:t>C.P.: Óscar Daría Amaya Navas. Concepto del 06 de junio 2018. Radicación número: 2369.</w:t>
      </w:r>
    </w:p>
    <w:p w14:paraId="4FCA154A" w14:textId="77777777" w:rsidR="00225FD2" w:rsidRPr="00D55596" w:rsidRDefault="00225FD2" w:rsidP="00225FD2">
      <w:pPr>
        <w:spacing w:after="0" w:line="240" w:lineRule="auto"/>
        <w:ind w:firstLine="708"/>
        <w:contextualSpacing/>
        <w:jc w:val="both"/>
        <w:rPr>
          <w:rFonts w:ascii="Verdana" w:hAnsi="Verdana"/>
          <w:i/>
          <w:iCs/>
          <w:sz w:val="18"/>
          <w:szCs w:val="18"/>
        </w:rPr>
      </w:pPr>
    </w:p>
  </w:footnote>
  <w:footnote w:id="23">
    <w:p w14:paraId="169FA6EE" w14:textId="77777777" w:rsidR="00225FD2" w:rsidRPr="00D55596" w:rsidRDefault="00225FD2" w:rsidP="00225FD2">
      <w:pPr>
        <w:spacing w:after="0" w:line="240" w:lineRule="auto"/>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Consulta y Servicio Civil. C.P.: Óscar Daría Amaya Navas. Concepto del 6 de junio de 2018. Radicación número: 2369.</w:t>
      </w:r>
    </w:p>
    <w:p w14:paraId="05D3B349" w14:textId="77777777" w:rsidR="00225FD2" w:rsidRPr="00D55596" w:rsidRDefault="00225FD2" w:rsidP="00225FD2">
      <w:pPr>
        <w:pStyle w:val="Textonotapie"/>
        <w:contextualSpacing/>
        <w:jc w:val="both"/>
        <w:rPr>
          <w:rFonts w:ascii="Verdana" w:hAnsi="Verdana"/>
          <w:sz w:val="18"/>
          <w:szCs w:val="18"/>
        </w:rPr>
      </w:pPr>
    </w:p>
  </w:footnote>
  <w:footnote w:id="24">
    <w:p w14:paraId="25919B30"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Ibidem. </w:t>
      </w:r>
    </w:p>
    <w:p w14:paraId="5DFB4598" w14:textId="77777777" w:rsidR="00225FD2" w:rsidRPr="00D55596" w:rsidRDefault="00225FD2" w:rsidP="00225FD2">
      <w:pPr>
        <w:pStyle w:val="Textonotapie"/>
        <w:ind w:firstLine="708"/>
        <w:contextualSpacing/>
        <w:jc w:val="both"/>
        <w:rPr>
          <w:rFonts w:ascii="Verdana" w:hAnsi="Verdana"/>
          <w:sz w:val="18"/>
          <w:szCs w:val="18"/>
        </w:rPr>
      </w:pPr>
    </w:p>
  </w:footnote>
  <w:footnote w:id="25">
    <w:p w14:paraId="0BA9CB2A"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FRANCO GUTIÉRREZ, Omar. La Contratación Administrativa. Quinta Ed. Bogotá. Leyer, 2010. Páginas 552-553.</w:t>
      </w:r>
    </w:p>
    <w:p w14:paraId="0BE3AFCD" w14:textId="77777777" w:rsidR="00225FD2" w:rsidRPr="00D55596" w:rsidRDefault="00225FD2" w:rsidP="00225FD2">
      <w:pPr>
        <w:pStyle w:val="Textonotapie"/>
        <w:ind w:firstLine="708"/>
        <w:contextualSpacing/>
        <w:jc w:val="both"/>
        <w:rPr>
          <w:rFonts w:ascii="Verdana" w:hAnsi="Verdana"/>
          <w:sz w:val="18"/>
          <w:szCs w:val="18"/>
        </w:rPr>
      </w:pPr>
    </w:p>
  </w:footnote>
  <w:footnote w:id="26">
    <w:p w14:paraId="38DBFF06" w14:textId="77777777" w:rsidR="00225FD2" w:rsidRPr="00D55596" w:rsidRDefault="00225FD2" w:rsidP="00225FD2">
      <w:pPr>
        <w:spacing w:after="0" w:line="240" w:lineRule="auto"/>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CONSEJO DE ESTADO. Sala de Consulta y del Servicio Civil. Consejero Ponente: Óscar Daría Amaya Navas. Concepto del 06 de junio de2018. Radicación número: 2369</w:t>
      </w:r>
    </w:p>
    <w:p w14:paraId="6AD361D1" w14:textId="77777777" w:rsidR="00225FD2" w:rsidRPr="00D55596" w:rsidRDefault="00225FD2" w:rsidP="00225FD2">
      <w:pPr>
        <w:spacing w:after="0" w:line="240" w:lineRule="auto"/>
        <w:ind w:firstLine="708"/>
        <w:contextualSpacing/>
        <w:jc w:val="both"/>
        <w:rPr>
          <w:rFonts w:ascii="Verdana" w:hAnsi="Verdana"/>
          <w:i/>
          <w:iCs/>
          <w:sz w:val="18"/>
          <w:szCs w:val="18"/>
        </w:rPr>
      </w:pPr>
    </w:p>
  </w:footnote>
  <w:footnote w:id="27">
    <w:p w14:paraId="4A5C8A8F"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BENAVIDES, José Luis. Contratos Públicos. Estudios. Temas de Derecho Administrativo No. 5. Universidad Externado de Colombia. 2014.</w:t>
      </w:r>
    </w:p>
    <w:p w14:paraId="5B3C5EB3" w14:textId="77777777" w:rsidR="00225FD2" w:rsidRPr="00D55596" w:rsidRDefault="00225FD2" w:rsidP="00225FD2">
      <w:pPr>
        <w:pStyle w:val="Textonotapie"/>
        <w:ind w:firstLine="708"/>
        <w:contextualSpacing/>
        <w:jc w:val="both"/>
        <w:rPr>
          <w:rFonts w:ascii="Verdana" w:hAnsi="Verdana"/>
          <w:sz w:val="18"/>
          <w:szCs w:val="18"/>
        </w:rPr>
      </w:pPr>
    </w:p>
  </w:footnote>
  <w:footnote w:id="28">
    <w:p w14:paraId="3609CF32"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EXPOSITO </w:t>
      </w:r>
      <w:proofErr w:type="spellStart"/>
      <w:r w:rsidRPr="00D55596">
        <w:rPr>
          <w:rFonts w:ascii="Verdana" w:hAnsi="Verdana"/>
          <w:sz w:val="18"/>
          <w:szCs w:val="18"/>
        </w:rPr>
        <w:t>Velez</w:t>
      </w:r>
      <w:proofErr w:type="spellEnd"/>
      <w:r w:rsidRPr="00D55596">
        <w:rPr>
          <w:rFonts w:ascii="Verdana" w:hAnsi="Verdana"/>
          <w:sz w:val="18"/>
          <w:szCs w:val="18"/>
        </w:rPr>
        <w:t xml:space="preserve">, Juan Carlos. La planeación y validez del contrato estatal. En: Contratos Públicos: Problemas, perspectivas y prospectivas. XVIII Jornadas Internacionales de Derecho Administrativo, Universidad Externado de Colombia. Agosto. 2017. </w:t>
      </w:r>
    </w:p>
  </w:footnote>
  <w:footnote w:id="29">
    <w:p w14:paraId="315E86A9" w14:textId="77777777" w:rsidR="00225FD2" w:rsidRPr="00D55596" w:rsidRDefault="00225FD2" w:rsidP="00225FD2">
      <w:pPr>
        <w:pStyle w:val="Textonotapie"/>
        <w:ind w:firstLine="708"/>
        <w:contextualSpacing/>
        <w:jc w:val="both"/>
        <w:rPr>
          <w:rFonts w:ascii="Verdana" w:hAnsi="Verdana"/>
          <w:sz w:val="18"/>
          <w:szCs w:val="18"/>
        </w:rPr>
      </w:pPr>
    </w:p>
    <w:p w14:paraId="1260BE8A" w14:textId="77777777" w:rsidR="00225FD2" w:rsidRPr="00D55596" w:rsidRDefault="00225FD2" w:rsidP="00225FD2">
      <w:pPr>
        <w:pStyle w:val="Textonotapie"/>
        <w:ind w:firstLine="708"/>
        <w:contextualSpacing/>
        <w:jc w:val="both"/>
        <w:rPr>
          <w:rFonts w:ascii="Verdana" w:hAnsi="Verdana"/>
          <w:sz w:val="18"/>
          <w:szCs w:val="18"/>
        </w:rPr>
      </w:pPr>
      <w:r w:rsidRPr="00D55596">
        <w:rPr>
          <w:rStyle w:val="Refdenotaalpie"/>
          <w:rFonts w:ascii="Verdana" w:hAnsi="Verdana"/>
          <w:sz w:val="18"/>
          <w:szCs w:val="18"/>
        </w:rPr>
        <w:footnoteRef/>
      </w:r>
      <w:r w:rsidRPr="00D55596">
        <w:rPr>
          <w:rFonts w:ascii="Verdana" w:hAnsi="Verdana"/>
          <w:sz w:val="18"/>
          <w:szCs w:val="18"/>
        </w:rPr>
        <w:t xml:space="preserve"> Ibidem. </w:t>
      </w:r>
    </w:p>
    <w:p w14:paraId="247A7001" w14:textId="77777777" w:rsidR="00225FD2" w:rsidRPr="00D55596" w:rsidRDefault="00225FD2" w:rsidP="00225FD2">
      <w:pPr>
        <w:pStyle w:val="Textonotapie"/>
        <w:ind w:firstLine="708"/>
        <w:contextualSpacing/>
        <w:jc w:val="both"/>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694C82"/>
    <w:multiLevelType w:val="hybridMultilevel"/>
    <w:tmpl w:val="9CDA020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0C827AF8"/>
    <w:multiLevelType w:val="hybridMultilevel"/>
    <w:tmpl w:val="89CA9D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C435D8"/>
    <w:multiLevelType w:val="hybridMultilevel"/>
    <w:tmpl w:val="170CACE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6A91366"/>
    <w:multiLevelType w:val="hybridMultilevel"/>
    <w:tmpl w:val="464EA5D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503C59AC"/>
    <w:multiLevelType w:val="hybridMultilevel"/>
    <w:tmpl w:val="49989FC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60E153E0"/>
    <w:multiLevelType w:val="hybridMultilevel"/>
    <w:tmpl w:val="2190F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863621B"/>
    <w:multiLevelType w:val="multilevel"/>
    <w:tmpl w:val="D4A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FF3D08"/>
    <w:multiLevelType w:val="hybridMultilevel"/>
    <w:tmpl w:val="59A6B4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762539FE"/>
    <w:multiLevelType w:val="hybridMultilevel"/>
    <w:tmpl w:val="40849A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86F7BC6"/>
    <w:multiLevelType w:val="multilevel"/>
    <w:tmpl w:val="374835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7"/>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5"/>
  </w:num>
  <w:num w:numId="14" w16cid:durableId="895897244">
    <w:abstractNumId w:val="21"/>
  </w:num>
  <w:num w:numId="15" w16cid:durableId="390349800">
    <w:abstractNumId w:val="16"/>
  </w:num>
  <w:num w:numId="16" w16cid:durableId="341274352">
    <w:abstractNumId w:val="0"/>
  </w:num>
  <w:num w:numId="17" w16cid:durableId="679089576">
    <w:abstractNumId w:val="12"/>
  </w:num>
  <w:num w:numId="18" w16cid:durableId="1482428077">
    <w:abstractNumId w:val="24"/>
  </w:num>
  <w:num w:numId="19" w16cid:durableId="1439525033">
    <w:abstractNumId w:val="17"/>
  </w:num>
  <w:num w:numId="20" w16cid:durableId="1377773050">
    <w:abstractNumId w:val="15"/>
  </w:num>
  <w:num w:numId="21" w16cid:durableId="2057586355">
    <w:abstractNumId w:val="3"/>
  </w:num>
  <w:num w:numId="22" w16cid:durableId="1820269531">
    <w:abstractNumId w:val="13"/>
  </w:num>
  <w:num w:numId="23" w16cid:durableId="1520197878">
    <w:abstractNumId w:val="23"/>
  </w:num>
  <w:num w:numId="24" w16cid:durableId="1270819504">
    <w:abstractNumId w:val="14"/>
  </w:num>
  <w:num w:numId="25" w16cid:durableId="787160441">
    <w:abstractNumId w:val="22"/>
  </w:num>
  <w:num w:numId="26" w16cid:durableId="1445003391">
    <w:abstractNumId w:val="9"/>
  </w:num>
  <w:num w:numId="27" w16cid:durableId="109011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1DDC"/>
    <w:rsid w:val="00051D47"/>
    <w:rsid w:val="00061B2A"/>
    <w:rsid w:val="00071545"/>
    <w:rsid w:val="00082362"/>
    <w:rsid w:val="000A488D"/>
    <w:rsid w:val="000A683E"/>
    <w:rsid w:val="000B19B9"/>
    <w:rsid w:val="000C210E"/>
    <w:rsid w:val="000D0334"/>
    <w:rsid w:val="000E027C"/>
    <w:rsid w:val="000E0336"/>
    <w:rsid w:val="000E4045"/>
    <w:rsid w:val="000E7058"/>
    <w:rsid w:val="000F6486"/>
    <w:rsid w:val="00117A23"/>
    <w:rsid w:val="00120FD0"/>
    <w:rsid w:val="0012396E"/>
    <w:rsid w:val="00125105"/>
    <w:rsid w:val="00125CC4"/>
    <w:rsid w:val="00127233"/>
    <w:rsid w:val="00155692"/>
    <w:rsid w:val="00175985"/>
    <w:rsid w:val="00175BE7"/>
    <w:rsid w:val="001A596C"/>
    <w:rsid w:val="001D7418"/>
    <w:rsid w:val="001E4177"/>
    <w:rsid w:val="001F7DC6"/>
    <w:rsid w:val="00200847"/>
    <w:rsid w:val="00205AFE"/>
    <w:rsid w:val="00225FD2"/>
    <w:rsid w:val="002421BB"/>
    <w:rsid w:val="002458D6"/>
    <w:rsid w:val="00246B38"/>
    <w:rsid w:val="0025796E"/>
    <w:rsid w:val="002707A2"/>
    <w:rsid w:val="00274F9D"/>
    <w:rsid w:val="00286F77"/>
    <w:rsid w:val="002946F5"/>
    <w:rsid w:val="002951A0"/>
    <w:rsid w:val="002962BC"/>
    <w:rsid w:val="002A093D"/>
    <w:rsid w:val="002A0DD0"/>
    <w:rsid w:val="002A11E3"/>
    <w:rsid w:val="002A49AC"/>
    <w:rsid w:val="002A64FD"/>
    <w:rsid w:val="002B0A20"/>
    <w:rsid w:val="002C7A84"/>
    <w:rsid w:val="002D2D96"/>
    <w:rsid w:val="002E2F56"/>
    <w:rsid w:val="002E4FD9"/>
    <w:rsid w:val="00322A85"/>
    <w:rsid w:val="00324168"/>
    <w:rsid w:val="003270FF"/>
    <w:rsid w:val="0033371B"/>
    <w:rsid w:val="0034371D"/>
    <w:rsid w:val="003448F4"/>
    <w:rsid w:val="00364B5A"/>
    <w:rsid w:val="003663F9"/>
    <w:rsid w:val="003731D7"/>
    <w:rsid w:val="00374F5E"/>
    <w:rsid w:val="00377E3E"/>
    <w:rsid w:val="003A26D1"/>
    <w:rsid w:val="003A779E"/>
    <w:rsid w:val="003A7EAA"/>
    <w:rsid w:val="003B41D8"/>
    <w:rsid w:val="003C2528"/>
    <w:rsid w:val="003C3589"/>
    <w:rsid w:val="003D0F4D"/>
    <w:rsid w:val="003D5B0D"/>
    <w:rsid w:val="003E0499"/>
    <w:rsid w:val="003F1F0B"/>
    <w:rsid w:val="003F3941"/>
    <w:rsid w:val="003F77B5"/>
    <w:rsid w:val="00406575"/>
    <w:rsid w:val="0042722E"/>
    <w:rsid w:val="0044528D"/>
    <w:rsid w:val="00452F50"/>
    <w:rsid w:val="00453740"/>
    <w:rsid w:val="00481CFB"/>
    <w:rsid w:val="004A1847"/>
    <w:rsid w:val="004A305D"/>
    <w:rsid w:val="004B667E"/>
    <w:rsid w:val="004C4031"/>
    <w:rsid w:val="004D3246"/>
    <w:rsid w:val="004D434A"/>
    <w:rsid w:val="004F21C4"/>
    <w:rsid w:val="004F685F"/>
    <w:rsid w:val="0050496D"/>
    <w:rsid w:val="00510488"/>
    <w:rsid w:val="0052748D"/>
    <w:rsid w:val="00544DAA"/>
    <w:rsid w:val="00546EAA"/>
    <w:rsid w:val="005521D6"/>
    <w:rsid w:val="00552C55"/>
    <w:rsid w:val="005566E8"/>
    <w:rsid w:val="00574867"/>
    <w:rsid w:val="005877F8"/>
    <w:rsid w:val="00591460"/>
    <w:rsid w:val="00592628"/>
    <w:rsid w:val="005A49BB"/>
    <w:rsid w:val="005C3777"/>
    <w:rsid w:val="005C5421"/>
    <w:rsid w:val="005C5CDC"/>
    <w:rsid w:val="005D476C"/>
    <w:rsid w:val="00603A42"/>
    <w:rsid w:val="00610812"/>
    <w:rsid w:val="006219F8"/>
    <w:rsid w:val="00623273"/>
    <w:rsid w:val="006329C9"/>
    <w:rsid w:val="00634E5A"/>
    <w:rsid w:val="00650FF7"/>
    <w:rsid w:val="00652E6A"/>
    <w:rsid w:val="00653AC2"/>
    <w:rsid w:val="00655137"/>
    <w:rsid w:val="006562F8"/>
    <w:rsid w:val="0065662D"/>
    <w:rsid w:val="00665D70"/>
    <w:rsid w:val="00671DAC"/>
    <w:rsid w:val="006900D9"/>
    <w:rsid w:val="006A14F2"/>
    <w:rsid w:val="006D12F8"/>
    <w:rsid w:val="00703E0B"/>
    <w:rsid w:val="00706C16"/>
    <w:rsid w:val="00707AF5"/>
    <w:rsid w:val="00710709"/>
    <w:rsid w:val="00710BBB"/>
    <w:rsid w:val="007257CC"/>
    <w:rsid w:val="00743748"/>
    <w:rsid w:val="00746908"/>
    <w:rsid w:val="00750591"/>
    <w:rsid w:val="0075238E"/>
    <w:rsid w:val="00756841"/>
    <w:rsid w:val="00763A22"/>
    <w:rsid w:val="007649AB"/>
    <w:rsid w:val="007672D2"/>
    <w:rsid w:val="00771D0C"/>
    <w:rsid w:val="007816EE"/>
    <w:rsid w:val="007833AC"/>
    <w:rsid w:val="007A4783"/>
    <w:rsid w:val="007A55F7"/>
    <w:rsid w:val="007B268C"/>
    <w:rsid w:val="007B7171"/>
    <w:rsid w:val="007C0C0F"/>
    <w:rsid w:val="007C3DC2"/>
    <w:rsid w:val="007C47FB"/>
    <w:rsid w:val="007D2728"/>
    <w:rsid w:val="007D36D2"/>
    <w:rsid w:val="007D4D70"/>
    <w:rsid w:val="007E5497"/>
    <w:rsid w:val="007F5016"/>
    <w:rsid w:val="00804130"/>
    <w:rsid w:val="00806F5F"/>
    <w:rsid w:val="00820278"/>
    <w:rsid w:val="00831C0C"/>
    <w:rsid w:val="0083370A"/>
    <w:rsid w:val="00837350"/>
    <w:rsid w:val="0084707C"/>
    <w:rsid w:val="008576E7"/>
    <w:rsid w:val="00875C39"/>
    <w:rsid w:val="00882DED"/>
    <w:rsid w:val="008843B6"/>
    <w:rsid w:val="00891778"/>
    <w:rsid w:val="00891928"/>
    <w:rsid w:val="008A446D"/>
    <w:rsid w:val="008B5172"/>
    <w:rsid w:val="008C6D7F"/>
    <w:rsid w:val="008D180B"/>
    <w:rsid w:val="008F0EA7"/>
    <w:rsid w:val="00900E9A"/>
    <w:rsid w:val="00903482"/>
    <w:rsid w:val="009136F9"/>
    <w:rsid w:val="00923EEF"/>
    <w:rsid w:val="009349D6"/>
    <w:rsid w:val="009419F9"/>
    <w:rsid w:val="009454BB"/>
    <w:rsid w:val="0095685E"/>
    <w:rsid w:val="00961B09"/>
    <w:rsid w:val="00965334"/>
    <w:rsid w:val="00967A1B"/>
    <w:rsid w:val="00967BDE"/>
    <w:rsid w:val="0097093E"/>
    <w:rsid w:val="0097691B"/>
    <w:rsid w:val="009A0DFA"/>
    <w:rsid w:val="009B0D21"/>
    <w:rsid w:val="009B235F"/>
    <w:rsid w:val="009B2D26"/>
    <w:rsid w:val="009C71FA"/>
    <w:rsid w:val="009C72E7"/>
    <w:rsid w:val="009D3058"/>
    <w:rsid w:val="009D5286"/>
    <w:rsid w:val="009E4011"/>
    <w:rsid w:val="009F3A13"/>
    <w:rsid w:val="009F45A4"/>
    <w:rsid w:val="009F4CE5"/>
    <w:rsid w:val="00A0511D"/>
    <w:rsid w:val="00A122D3"/>
    <w:rsid w:val="00A123DA"/>
    <w:rsid w:val="00A15649"/>
    <w:rsid w:val="00A17F13"/>
    <w:rsid w:val="00A20739"/>
    <w:rsid w:val="00A240DB"/>
    <w:rsid w:val="00A32465"/>
    <w:rsid w:val="00A33C78"/>
    <w:rsid w:val="00A65605"/>
    <w:rsid w:val="00A80B67"/>
    <w:rsid w:val="00A936C4"/>
    <w:rsid w:val="00AA4650"/>
    <w:rsid w:val="00AB0ADB"/>
    <w:rsid w:val="00AB6D5D"/>
    <w:rsid w:val="00AE766A"/>
    <w:rsid w:val="00B01B1A"/>
    <w:rsid w:val="00B025A8"/>
    <w:rsid w:val="00B14FFC"/>
    <w:rsid w:val="00B17BA8"/>
    <w:rsid w:val="00B2028F"/>
    <w:rsid w:val="00B4148E"/>
    <w:rsid w:val="00B47EF0"/>
    <w:rsid w:val="00B51B4E"/>
    <w:rsid w:val="00B527CB"/>
    <w:rsid w:val="00B54F28"/>
    <w:rsid w:val="00B62409"/>
    <w:rsid w:val="00B63E7B"/>
    <w:rsid w:val="00B72CD3"/>
    <w:rsid w:val="00B72FFF"/>
    <w:rsid w:val="00B77187"/>
    <w:rsid w:val="00B82595"/>
    <w:rsid w:val="00B950A3"/>
    <w:rsid w:val="00B9693E"/>
    <w:rsid w:val="00BA30CB"/>
    <w:rsid w:val="00BC3D36"/>
    <w:rsid w:val="00BD3571"/>
    <w:rsid w:val="00BD3ADC"/>
    <w:rsid w:val="00BD7F72"/>
    <w:rsid w:val="00BE35ED"/>
    <w:rsid w:val="00BF2F18"/>
    <w:rsid w:val="00BF52A1"/>
    <w:rsid w:val="00C02982"/>
    <w:rsid w:val="00C04FB3"/>
    <w:rsid w:val="00C26156"/>
    <w:rsid w:val="00C27637"/>
    <w:rsid w:val="00C330EB"/>
    <w:rsid w:val="00C506B5"/>
    <w:rsid w:val="00C61A6B"/>
    <w:rsid w:val="00C754BE"/>
    <w:rsid w:val="00C76B1C"/>
    <w:rsid w:val="00C84014"/>
    <w:rsid w:val="00C90A07"/>
    <w:rsid w:val="00C92DD5"/>
    <w:rsid w:val="00C97EB8"/>
    <w:rsid w:val="00CA05FF"/>
    <w:rsid w:val="00CB6357"/>
    <w:rsid w:val="00CC1B26"/>
    <w:rsid w:val="00CC2030"/>
    <w:rsid w:val="00CC7D87"/>
    <w:rsid w:val="00CD5461"/>
    <w:rsid w:val="00CE3EAD"/>
    <w:rsid w:val="00CF17BA"/>
    <w:rsid w:val="00CF1979"/>
    <w:rsid w:val="00CF55E0"/>
    <w:rsid w:val="00D04904"/>
    <w:rsid w:val="00D17829"/>
    <w:rsid w:val="00D25150"/>
    <w:rsid w:val="00D32BEE"/>
    <w:rsid w:val="00D423A2"/>
    <w:rsid w:val="00D50817"/>
    <w:rsid w:val="00D520D8"/>
    <w:rsid w:val="00D55596"/>
    <w:rsid w:val="00D63AC2"/>
    <w:rsid w:val="00D7383B"/>
    <w:rsid w:val="00D876B3"/>
    <w:rsid w:val="00D95654"/>
    <w:rsid w:val="00DA231B"/>
    <w:rsid w:val="00DA23A0"/>
    <w:rsid w:val="00DC1A53"/>
    <w:rsid w:val="00DC1B1D"/>
    <w:rsid w:val="00DC39FC"/>
    <w:rsid w:val="00DF5254"/>
    <w:rsid w:val="00DF67A9"/>
    <w:rsid w:val="00E16408"/>
    <w:rsid w:val="00E20894"/>
    <w:rsid w:val="00E245AB"/>
    <w:rsid w:val="00E2764C"/>
    <w:rsid w:val="00E27F10"/>
    <w:rsid w:val="00E27F2E"/>
    <w:rsid w:val="00E27FD9"/>
    <w:rsid w:val="00E32D27"/>
    <w:rsid w:val="00E413EA"/>
    <w:rsid w:val="00E50AFE"/>
    <w:rsid w:val="00E621D9"/>
    <w:rsid w:val="00E6773D"/>
    <w:rsid w:val="00E75C92"/>
    <w:rsid w:val="00E771DC"/>
    <w:rsid w:val="00E8502C"/>
    <w:rsid w:val="00E8772A"/>
    <w:rsid w:val="00E90F6B"/>
    <w:rsid w:val="00E92C27"/>
    <w:rsid w:val="00E952BB"/>
    <w:rsid w:val="00EA0E3D"/>
    <w:rsid w:val="00EB11B0"/>
    <w:rsid w:val="00EC38A7"/>
    <w:rsid w:val="00ED1B84"/>
    <w:rsid w:val="00ED5E2E"/>
    <w:rsid w:val="00EE1AA8"/>
    <w:rsid w:val="00EF5A16"/>
    <w:rsid w:val="00F2398D"/>
    <w:rsid w:val="00F30095"/>
    <w:rsid w:val="00F31EDC"/>
    <w:rsid w:val="00F46095"/>
    <w:rsid w:val="00F462B3"/>
    <w:rsid w:val="00F46328"/>
    <w:rsid w:val="00F536EC"/>
    <w:rsid w:val="00F5664F"/>
    <w:rsid w:val="00F57C03"/>
    <w:rsid w:val="00F64BBC"/>
    <w:rsid w:val="00F65603"/>
    <w:rsid w:val="00F666C4"/>
    <w:rsid w:val="00F76AFC"/>
    <w:rsid w:val="00F86A78"/>
    <w:rsid w:val="00F90FD6"/>
    <w:rsid w:val="00F966A5"/>
    <w:rsid w:val="00FA47C0"/>
    <w:rsid w:val="00FB1AF2"/>
    <w:rsid w:val="00FB5DD1"/>
    <w:rsid w:val="00FC299D"/>
    <w:rsid w:val="00FC2B5D"/>
    <w:rsid w:val="00FC7F4C"/>
    <w:rsid w:val="00FF1449"/>
    <w:rsid w:val="00FF1AC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E766A"/>
    <w:rPr>
      <w:rFonts w:ascii="Geomanist Light" w:hAnsi="Geomanist Light"/>
      <w:lang w:val="es-ES"/>
    </w:rPr>
  </w:style>
  <w:style w:type="paragraph" w:customStyle="1" w:styleId="Appelnotedebasde">
    <w:name w:val="Appel note de bas de..."/>
    <w:basedOn w:val="Normal"/>
    <w:link w:val="Refdenotaalpie"/>
    <w:uiPriority w:val="99"/>
    <w:rsid w:val="00634E5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36591">
      <w:bodyDiv w:val="1"/>
      <w:marLeft w:val="0"/>
      <w:marRight w:val="0"/>
      <w:marTop w:val="0"/>
      <w:marBottom w:val="0"/>
      <w:divBdr>
        <w:top w:val="none" w:sz="0" w:space="0" w:color="auto"/>
        <w:left w:val="none" w:sz="0" w:space="0" w:color="auto"/>
        <w:bottom w:val="none" w:sz="0" w:space="0" w:color="auto"/>
        <w:right w:val="none" w:sz="0" w:space="0" w:color="auto"/>
      </w:divBdr>
      <w:divsChild>
        <w:div w:id="620767685">
          <w:marLeft w:val="0"/>
          <w:marRight w:val="0"/>
          <w:marTop w:val="240"/>
          <w:marBottom w:val="240"/>
          <w:divBdr>
            <w:top w:val="none" w:sz="0" w:space="0" w:color="auto"/>
            <w:left w:val="none" w:sz="0" w:space="0" w:color="auto"/>
            <w:bottom w:val="none" w:sz="0" w:space="0" w:color="auto"/>
            <w:right w:val="none" w:sz="0" w:space="0" w:color="auto"/>
          </w:divBdr>
        </w:div>
      </w:divsChild>
    </w:div>
    <w:div w:id="186791677">
      <w:bodyDiv w:val="1"/>
      <w:marLeft w:val="0"/>
      <w:marRight w:val="0"/>
      <w:marTop w:val="0"/>
      <w:marBottom w:val="0"/>
      <w:divBdr>
        <w:top w:val="none" w:sz="0" w:space="0" w:color="auto"/>
        <w:left w:val="none" w:sz="0" w:space="0" w:color="auto"/>
        <w:bottom w:val="none" w:sz="0" w:space="0" w:color="auto"/>
        <w:right w:val="none" w:sz="0" w:space="0" w:color="auto"/>
      </w:divBdr>
      <w:divsChild>
        <w:div w:id="1739399047">
          <w:marLeft w:val="0"/>
          <w:marRight w:val="0"/>
          <w:marTop w:val="240"/>
          <w:marBottom w:val="24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05529602">
      <w:bodyDiv w:val="1"/>
      <w:marLeft w:val="0"/>
      <w:marRight w:val="0"/>
      <w:marTop w:val="0"/>
      <w:marBottom w:val="0"/>
      <w:divBdr>
        <w:top w:val="none" w:sz="0" w:space="0" w:color="auto"/>
        <w:left w:val="none" w:sz="0" w:space="0" w:color="auto"/>
        <w:bottom w:val="none" w:sz="0" w:space="0" w:color="auto"/>
        <w:right w:val="none" w:sz="0" w:space="0" w:color="auto"/>
      </w:divBdr>
      <w:divsChild>
        <w:div w:id="753354596">
          <w:marLeft w:val="0"/>
          <w:marRight w:val="0"/>
          <w:marTop w:val="240"/>
          <w:marBottom w:val="240"/>
          <w:divBdr>
            <w:top w:val="none" w:sz="0" w:space="0" w:color="auto"/>
            <w:left w:val="none" w:sz="0" w:space="0" w:color="auto"/>
            <w:bottom w:val="none" w:sz="0" w:space="0" w:color="auto"/>
            <w:right w:val="none" w:sz="0" w:space="0" w:color="auto"/>
          </w:divBdr>
        </w:div>
      </w:divsChild>
    </w:div>
    <w:div w:id="332992390">
      <w:bodyDiv w:val="1"/>
      <w:marLeft w:val="0"/>
      <w:marRight w:val="0"/>
      <w:marTop w:val="0"/>
      <w:marBottom w:val="0"/>
      <w:divBdr>
        <w:top w:val="none" w:sz="0" w:space="0" w:color="auto"/>
        <w:left w:val="none" w:sz="0" w:space="0" w:color="auto"/>
        <w:bottom w:val="none" w:sz="0" w:space="0" w:color="auto"/>
        <w:right w:val="none" w:sz="0" w:space="0" w:color="auto"/>
      </w:divBdr>
    </w:div>
    <w:div w:id="561332338">
      <w:bodyDiv w:val="1"/>
      <w:marLeft w:val="0"/>
      <w:marRight w:val="0"/>
      <w:marTop w:val="0"/>
      <w:marBottom w:val="0"/>
      <w:divBdr>
        <w:top w:val="none" w:sz="0" w:space="0" w:color="auto"/>
        <w:left w:val="none" w:sz="0" w:space="0" w:color="auto"/>
        <w:bottom w:val="none" w:sz="0" w:space="0" w:color="auto"/>
        <w:right w:val="none" w:sz="0" w:space="0" w:color="auto"/>
      </w:divBdr>
    </w:div>
    <w:div w:id="60543176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722360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6168120">
      <w:bodyDiv w:val="1"/>
      <w:marLeft w:val="0"/>
      <w:marRight w:val="0"/>
      <w:marTop w:val="0"/>
      <w:marBottom w:val="0"/>
      <w:divBdr>
        <w:top w:val="none" w:sz="0" w:space="0" w:color="auto"/>
        <w:left w:val="none" w:sz="0" w:space="0" w:color="auto"/>
        <w:bottom w:val="none" w:sz="0" w:space="0" w:color="auto"/>
        <w:right w:val="none" w:sz="0" w:space="0" w:color="auto"/>
      </w:divBdr>
    </w:div>
    <w:div w:id="825128980">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77748862">
      <w:bodyDiv w:val="1"/>
      <w:marLeft w:val="0"/>
      <w:marRight w:val="0"/>
      <w:marTop w:val="0"/>
      <w:marBottom w:val="0"/>
      <w:divBdr>
        <w:top w:val="none" w:sz="0" w:space="0" w:color="auto"/>
        <w:left w:val="none" w:sz="0" w:space="0" w:color="auto"/>
        <w:bottom w:val="none" w:sz="0" w:space="0" w:color="auto"/>
        <w:right w:val="none" w:sz="0" w:space="0" w:color="auto"/>
      </w:divBdr>
    </w:div>
    <w:div w:id="112495647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21874656">
      <w:bodyDiv w:val="1"/>
      <w:marLeft w:val="0"/>
      <w:marRight w:val="0"/>
      <w:marTop w:val="0"/>
      <w:marBottom w:val="0"/>
      <w:divBdr>
        <w:top w:val="none" w:sz="0" w:space="0" w:color="auto"/>
        <w:left w:val="none" w:sz="0" w:space="0" w:color="auto"/>
        <w:bottom w:val="none" w:sz="0" w:space="0" w:color="auto"/>
        <w:right w:val="none" w:sz="0" w:space="0" w:color="auto"/>
      </w:divBdr>
    </w:div>
    <w:div w:id="1439714691">
      <w:bodyDiv w:val="1"/>
      <w:marLeft w:val="0"/>
      <w:marRight w:val="0"/>
      <w:marTop w:val="0"/>
      <w:marBottom w:val="0"/>
      <w:divBdr>
        <w:top w:val="none" w:sz="0" w:space="0" w:color="auto"/>
        <w:left w:val="none" w:sz="0" w:space="0" w:color="auto"/>
        <w:bottom w:val="none" w:sz="0" w:space="0" w:color="auto"/>
        <w:right w:val="none" w:sz="0" w:space="0" w:color="auto"/>
      </w:divBdr>
      <w:divsChild>
        <w:div w:id="1834879597">
          <w:marLeft w:val="0"/>
          <w:marRight w:val="0"/>
          <w:marTop w:val="240"/>
          <w:marBottom w:val="240"/>
          <w:divBdr>
            <w:top w:val="none" w:sz="0" w:space="0" w:color="auto"/>
            <w:left w:val="none" w:sz="0" w:space="0" w:color="auto"/>
            <w:bottom w:val="none" w:sz="0" w:space="0" w:color="auto"/>
            <w:right w:val="none" w:sz="0" w:space="0" w:color="auto"/>
          </w:divBdr>
        </w:div>
      </w:divsChild>
    </w:div>
    <w:div w:id="1554151051">
      <w:bodyDiv w:val="1"/>
      <w:marLeft w:val="0"/>
      <w:marRight w:val="0"/>
      <w:marTop w:val="0"/>
      <w:marBottom w:val="0"/>
      <w:divBdr>
        <w:top w:val="none" w:sz="0" w:space="0" w:color="auto"/>
        <w:left w:val="none" w:sz="0" w:space="0" w:color="auto"/>
        <w:bottom w:val="none" w:sz="0" w:space="0" w:color="auto"/>
        <w:right w:val="none" w:sz="0" w:space="0" w:color="auto"/>
      </w:divBdr>
    </w:div>
    <w:div w:id="1659916918">
      <w:bodyDiv w:val="1"/>
      <w:marLeft w:val="0"/>
      <w:marRight w:val="0"/>
      <w:marTop w:val="0"/>
      <w:marBottom w:val="0"/>
      <w:divBdr>
        <w:top w:val="none" w:sz="0" w:space="0" w:color="auto"/>
        <w:left w:val="none" w:sz="0" w:space="0" w:color="auto"/>
        <w:bottom w:val="none" w:sz="0" w:space="0" w:color="auto"/>
        <w:right w:val="none" w:sz="0" w:space="0" w:color="auto"/>
      </w:divBdr>
    </w:div>
    <w:div w:id="1710108121">
      <w:bodyDiv w:val="1"/>
      <w:marLeft w:val="0"/>
      <w:marRight w:val="0"/>
      <w:marTop w:val="0"/>
      <w:marBottom w:val="0"/>
      <w:divBdr>
        <w:top w:val="none" w:sz="0" w:space="0" w:color="auto"/>
        <w:left w:val="none" w:sz="0" w:space="0" w:color="auto"/>
        <w:bottom w:val="none" w:sz="0" w:space="0" w:color="auto"/>
        <w:right w:val="none" w:sz="0" w:space="0" w:color="auto"/>
      </w:divBdr>
      <w:divsChild>
        <w:div w:id="736827163">
          <w:marLeft w:val="0"/>
          <w:marRight w:val="0"/>
          <w:marTop w:val="240"/>
          <w:marBottom w:val="240"/>
          <w:divBdr>
            <w:top w:val="none" w:sz="0" w:space="0" w:color="auto"/>
            <w:left w:val="none" w:sz="0" w:space="0" w:color="auto"/>
            <w:bottom w:val="none" w:sz="0" w:space="0" w:color="auto"/>
            <w:right w:val="none" w:sz="0" w:space="0" w:color="auto"/>
          </w:divBdr>
        </w:div>
      </w:divsChild>
    </w:div>
    <w:div w:id="1751151789">
      <w:bodyDiv w:val="1"/>
      <w:marLeft w:val="0"/>
      <w:marRight w:val="0"/>
      <w:marTop w:val="0"/>
      <w:marBottom w:val="0"/>
      <w:divBdr>
        <w:top w:val="none" w:sz="0" w:space="0" w:color="auto"/>
        <w:left w:val="none" w:sz="0" w:space="0" w:color="auto"/>
        <w:bottom w:val="none" w:sz="0" w:space="0" w:color="auto"/>
        <w:right w:val="none" w:sz="0" w:space="0" w:color="auto"/>
      </w:divBdr>
      <w:divsChild>
        <w:div w:id="132529700">
          <w:marLeft w:val="0"/>
          <w:marRight w:val="0"/>
          <w:marTop w:val="240"/>
          <w:marBottom w:val="240"/>
          <w:divBdr>
            <w:top w:val="none" w:sz="0" w:space="0" w:color="auto"/>
            <w:left w:val="none" w:sz="0" w:space="0" w:color="auto"/>
            <w:bottom w:val="none" w:sz="0" w:space="0" w:color="auto"/>
            <w:right w:val="none" w:sz="0" w:space="0" w:color="auto"/>
          </w:divBdr>
        </w:div>
      </w:divsChild>
    </w:div>
    <w:div w:id="1768311020">
      <w:bodyDiv w:val="1"/>
      <w:marLeft w:val="0"/>
      <w:marRight w:val="0"/>
      <w:marTop w:val="0"/>
      <w:marBottom w:val="0"/>
      <w:divBdr>
        <w:top w:val="none" w:sz="0" w:space="0" w:color="auto"/>
        <w:left w:val="none" w:sz="0" w:space="0" w:color="auto"/>
        <w:bottom w:val="none" w:sz="0" w:space="0" w:color="auto"/>
        <w:right w:val="none" w:sz="0" w:space="0" w:color="auto"/>
      </w:divBdr>
    </w:div>
    <w:div w:id="1840002001">
      <w:bodyDiv w:val="1"/>
      <w:marLeft w:val="0"/>
      <w:marRight w:val="0"/>
      <w:marTop w:val="0"/>
      <w:marBottom w:val="0"/>
      <w:divBdr>
        <w:top w:val="none" w:sz="0" w:space="0" w:color="auto"/>
        <w:left w:val="none" w:sz="0" w:space="0" w:color="auto"/>
        <w:bottom w:val="none" w:sz="0" w:space="0" w:color="auto"/>
        <w:right w:val="none" w:sz="0" w:space="0" w:color="auto"/>
      </w:divBdr>
      <w:divsChild>
        <w:div w:id="844249976">
          <w:marLeft w:val="0"/>
          <w:marRight w:val="0"/>
          <w:marTop w:val="240"/>
          <w:marBottom w:val="240"/>
          <w:divBdr>
            <w:top w:val="none" w:sz="0" w:space="0" w:color="auto"/>
            <w:left w:val="none" w:sz="0" w:space="0" w:color="auto"/>
            <w:bottom w:val="none" w:sz="0" w:space="0" w:color="auto"/>
            <w:right w:val="none" w:sz="0" w:space="0" w:color="auto"/>
          </w:divBdr>
        </w:div>
      </w:divsChild>
    </w:div>
    <w:div w:id="1958100803">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adeo.tamayo94@gmail.com" TargetMode="External"/><Relationship Id="rId5" Type="http://schemas.openxmlformats.org/officeDocument/2006/relationships/styles" Target="styles.xml"/><Relationship Id="rId15" Type="http://schemas.openxmlformats.org/officeDocument/2006/relationships/hyperlink" Target="https://www.sucop.gov.co/entidades/colombiacompra/Normativa?IDNorma=19201"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convocator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B0C0D0A-FFFE-46A9-876F-23F1626854C0}"/>
</file>

<file path=customXml/itemProps3.xml><?xml version="1.0" encoding="utf-8"?>
<ds:datastoreItem xmlns:ds="http://schemas.openxmlformats.org/officeDocument/2006/customXml" ds:itemID="{163618BE-28CB-4D69-955E-CDA788483BED}">
  <ds:schemaRef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http://schemas.microsoft.com/office/2006/metadata/properties"/>
    <ds:schemaRef ds:uri="36c82cfe-0eda-494d-b392-a9281b89aaf0"/>
    <ds:schemaRef ds:uri="8ae15d26-076e-464e-81a7-6f76a0fb391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32</Pages>
  <Words>10319</Words>
  <Characters>56757</Characters>
  <Application>Microsoft Office Word</Application>
  <DocSecurity>0</DocSecurity>
  <Lines>472</Lines>
  <Paragraphs>133</Paragraphs>
  <ScaleCrop>false</ScaleCrop>
  <Company/>
  <LinksUpToDate>false</LinksUpToDate>
  <CharactersWithSpaces>66943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Subdirección de Gestión Contractual -ANCP-CCE</cp:lastModifiedBy>
  <cp:revision>48</cp:revision>
  <cp:lastPrinted>2023-01-10T21:18:00Z</cp:lastPrinted>
  <dcterms:created xsi:type="dcterms:W3CDTF">2024-11-25T21:06:00Z</dcterms:created>
  <dcterms:modified xsi:type="dcterms:W3CDTF">2024-11-25T21:14:00Z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