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82E957B" w14:textId="768D39FC" w:rsidR="0034177C" w:rsidRPr="007A6EFD" w:rsidRDefault="009F59C2" w:rsidP="00D66CC3">
      <w:pPr>
        <w:jc w:val="right"/>
        <w:rPr>
          <w:rFonts w:ascii="Arial" w:hAnsi="Arial" w:cs="Arial"/>
          <w:b/>
          <w:color w:val="000000" w:themeColor="text1"/>
          <w:sz w:val="16"/>
          <w:szCs w:val="16"/>
          <w:lang w:val="es-ES_tradnl" w:eastAsia="es-ES"/>
        </w:rPr>
      </w:pPr>
      <w:bookmarkStart w:id="0" w:name="_Hlk28946138"/>
      <w:bookmarkStart w:id="1" w:name="_Hlk29548183"/>
      <w:bookmarkStart w:id="2" w:name="_GoBack"/>
      <w:bookmarkEnd w:id="2"/>
      <w:r w:rsidRPr="0070578D">
        <w:rPr>
          <w:rFonts w:ascii="Arial" w:hAnsi="Arial" w:cs="Arial"/>
          <w:b/>
          <w:color w:val="000000" w:themeColor="text1"/>
          <w:sz w:val="20"/>
          <w:szCs w:val="20"/>
          <w:lang w:val="es-ES_tradnl" w:eastAsia="es-ES"/>
        </w:rPr>
        <w:tab/>
      </w:r>
      <w:r w:rsidR="0034177C" w:rsidRPr="007A6EFD">
        <w:rPr>
          <w:rFonts w:ascii="Arial" w:hAnsi="Arial" w:cs="Arial"/>
          <w:b/>
          <w:color w:val="000000" w:themeColor="text1"/>
          <w:sz w:val="16"/>
          <w:szCs w:val="16"/>
          <w:lang w:val="es-ES_tradnl" w:eastAsia="es-ES"/>
        </w:rPr>
        <w:t>CCE-DES-FM-17</w:t>
      </w:r>
    </w:p>
    <w:p w14:paraId="33FF83A2" w14:textId="77777777" w:rsidR="0034177C" w:rsidRPr="007A6EFD" w:rsidRDefault="0034177C" w:rsidP="00D66CC3">
      <w:pPr>
        <w:jc w:val="both"/>
        <w:rPr>
          <w:rFonts w:ascii="Arial" w:eastAsia="Calibri" w:hAnsi="Arial" w:cs="Arial"/>
          <w:b/>
          <w:color w:val="000000" w:themeColor="text1"/>
          <w:sz w:val="16"/>
          <w:szCs w:val="16"/>
          <w:lang w:val="es-ES_tradnl"/>
        </w:rPr>
      </w:pPr>
    </w:p>
    <w:p w14:paraId="04FCC0B7" w14:textId="6EA7AFF3" w:rsidR="00F73D90" w:rsidRPr="0070578D" w:rsidRDefault="009A623A" w:rsidP="00CC2733">
      <w:pPr>
        <w:jc w:val="both"/>
        <w:rPr>
          <w:rFonts w:ascii="Arial" w:eastAsia="Calibri" w:hAnsi="Arial" w:cs="Arial"/>
          <w:b/>
          <w:color w:val="000000" w:themeColor="text1"/>
          <w:sz w:val="22"/>
          <w:szCs w:val="22"/>
          <w:lang w:val="es-ES_tradnl"/>
        </w:rPr>
      </w:pPr>
      <w:r>
        <w:rPr>
          <w:rFonts w:ascii="Arial" w:eastAsia="Calibri" w:hAnsi="Arial" w:cs="Arial"/>
          <w:b/>
          <w:color w:val="000000" w:themeColor="text1"/>
          <w:sz w:val="22"/>
          <w:szCs w:val="22"/>
          <w:lang w:val="es-ES_tradnl"/>
        </w:rPr>
        <w:t xml:space="preserve">ENTIDADES </w:t>
      </w:r>
      <w:r w:rsidR="00211AD8">
        <w:rPr>
          <w:rFonts w:ascii="Arial" w:eastAsia="Calibri" w:hAnsi="Arial" w:cs="Arial"/>
          <w:b/>
          <w:color w:val="000000" w:themeColor="text1"/>
          <w:sz w:val="22"/>
          <w:szCs w:val="22"/>
          <w:lang w:val="es-ES_tradnl"/>
        </w:rPr>
        <w:t>CON</w:t>
      </w:r>
      <w:r>
        <w:rPr>
          <w:rFonts w:ascii="Arial" w:eastAsia="Calibri" w:hAnsi="Arial" w:cs="Arial"/>
          <w:b/>
          <w:color w:val="000000" w:themeColor="text1"/>
          <w:sz w:val="22"/>
          <w:szCs w:val="22"/>
          <w:lang w:val="es-ES_tradnl"/>
        </w:rPr>
        <w:t xml:space="preserve"> RÉGIMEN ESPECIAL </w:t>
      </w:r>
      <w:r w:rsidRPr="006C15D5">
        <w:rPr>
          <w:rFonts w:ascii="Arial" w:eastAsia="Calibri" w:hAnsi="Arial" w:cs="Arial"/>
          <w:b/>
          <w:color w:val="000000" w:themeColor="text1"/>
          <w:sz w:val="22"/>
        </w:rPr>
        <w:t>–</w:t>
      </w:r>
      <w:r w:rsidR="00F73D90" w:rsidRPr="0070578D">
        <w:rPr>
          <w:rFonts w:ascii="Arial" w:eastAsia="Calibri" w:hAnsi="Arial" w:cs="Arial"/>
          <w:b/>
          <w:color w:val="000000" w:themeColor="text1"/>
          <w:sz w:val="22"/>
          <w:szCs w:val="22"/>
          <w:lang w:val="es-ES_tradnl"/>
        </w:rPr>
        <w:t xml:space="preserve"> Definición</w:t>
      </w:r>
      <w:r w:rsidR="005C5840" w:rsidRPr="0070578D">
        <w:rPr>
          <w:rFonts w:ascii="Arial" w:eastAsia="Calibri" w:hAnsi="Arial" w:cs="Arial"/>
          <w:b/>
          <w:color w:val="000000" w:themeColor="text1"/>
          <w:sz w:val="22"/>
          <w:szCs w:val="22"/>
          <w:lang w:val="es-ES_tradnl"/>
        </w:rPr>
        <w:t xml:space="preserve"> </w:t>
      </w:r>
      <w:r w:rsidRPr="006C15D5">
        <w:rPr>
          <w:rFonts w:ascii="Arial" w:eastAsia="Calibri" w:hAnsi="Arial" w:cs="Arial"/>
          <w:b/>
          <w:color w:val="000000" w:themeColor="text1"/>
          <w:sz w:val="22"/>
        </w:rPr>
        <w:t>–</w:t>
      </w:r>
      <w:r w:rsidR="005C5840" w:rsidRPr="0070578D">
        <w:rPr>
          <w:rFonts w:ascii="Arial" w:eastAsia="Calibri" w:hAnsi="Arial" w:cs="Arial"/>
          <w:b/>
          <w:color w:val="000000" w:themeColor="text1"/>
          <w:sz w:val="22"/>
          <w:szCs w:val="22"/>
          <w:lang w:val="es-ES_tradnl"/>
        </w:rPr>
        <w:t xml:space="preserve"> Régimen</w:t>
      </w:r>
    </w:p>
    <w:p w14:paraId="6F79EA25" w14:textId="77777777" w:rsidR="00F73D90" w:rsidRPr="0070578D" w:rsidRDefault="00F73D90" w:rsidP="00CC2733">
      <w:pPr>
        <w:jc w:val="both"/>
        <w:rPr>
          <w:rFonts w:ascii="Arial" w:eastAsia="Calibri" w:hAnsi="Arial" w:cs="Arial"/>
          <w:color w:val="000000" w:themeColor="text1"/>
          <w:sz w:val="20"/>
          <w:szCs w:val="20"/>
          <w:lang w:val="es-ES_tradnl"/>
        </w:rPr>
      </w:pPr>
    </w:p>
    <w:p w14:paraId="33187A17" w14:textId="77777777" w:rsidR="00F73D90" w:rsidRPr="0070578D" w:rsidRDefault="00F73D90" w:rsidP="005C7B94">
      <w:pPr>
        <w:jc w:val="both"/>
        <w:rPr>
          <w:rFonts w:ascii="Arial" w:eastAsia="Calibri" w:hAnsi="Arial" w:cs="Arial"/>
          <w:color w:val="000000" w:themeColor="text1"/>
          <w:sz w:val="20"/>
          <w:szCs w:val="20"/>
          <w:lang w:val="es-ES_tradnl"/>
        </w:rPr>
      </w:pPr>
      <w:r w:rsidRPr="0070578D">
        <w:rPr>
          <w:rFonts w:ascii="Arial" w:eastAsia="Calibri" w:hAnsi="Arial" w:cs="Arial"/>
          <w:color w:val="000000" w:themeColor="text1"/>
          <w:sz w:val="20"/>
          <w:szCs w:val="20"/>
          <w:lang w:val="es-ES_tradnl"/>
        </w:rPr>
        <w:t>Las entidades de régimen especial son aquellas que, por expresa disposición legal y por su naturaleza o situación de competencia, tienen condiciones diferenciales respecto de la normativa de contratación pública. Esto quiere decir que no están sometidas al Estatuto General de Contratación de la Administración Pública, y por ende sus procedimientos contractuales tienen su propia normativa para su desarrollo, esto es, el derecho privado, lo cual está determinado en las normas de creación de las entidades de régimen especial y en sus manuales de contratación.</w:t>
      </w:r>
    </w:p>
    <w:p w14:paraId="4D108684" w14:textId="77777777" w:rsidR="00F73D90" w:rsidRPr="0070578D" w:rsidRDefault="00F73D90" w:rsidP="00CC2733">
      <w:pPr>
        <w:jc w:val="both"/>
        <w:rPr>
          <w:rFonts w:ascii="Arial" w:eastAsia="Calibri" w:hAnsi="Arial" w:cs="Arial"/>
          <w:color w:val="000000" w:themeColor="text1"/>
          <w:sz w:val="20"/>
          <w:szCs w:val="20"/>
          <w:lang w:val="es-ES_tradnl"/>
        </w:rPr>
      </w:pPr>
    </w:p>
    <w:p w14:paraId="0E055EB5" w14:textId="66122823" w:rsidR="00F73D90" w:rsidRPr="0070578D" w:rsidRDefault="00211AD8" w:rsidP="00CC2733">
      <w:pPr>
        <w:jc w:val="both"/>
        <w:rPr>
          <w:rFonts w:ascii="Arial" w:eastAsia="Calibri" w:hAnsi="Arial" w:cs="Arial"/>
          <w:b/>
          <w:color w:val="000000" w:themeColor="text1"/>
          <w:sz w:val="22"/>
          <w:szCs w:val="22"/>
          <w:lang w:val="es-ES_tradnl"/>
        </w:rPr>
      </w:pPr>
      <w:r>
        <w:rPr>
          <w:rFonts w:ascii="Arial" w:eastAsia="Calibri" w:hAnsi="Arial" w:cs="Arial"/>
          <w:b/>
          <w:color w:val="000000" w:themeColor="text1"/>
          <w:sz w:val="22"/>
          <w:szCs w:val="22"/>
          <w:lang w:val="es-ES_tradnl"/>
        </w:rPr>
        <w:t xml:space="preserve">ENTIDADES CON RÉGIMEN ESPECIAL </w:t>
      </w:r>
      <w:r w:rsidR="009A623A" w:rsidRPr="006C15D5">
        <w:rPr>
          <w:rFonts w:ascii="Arial" w:eastAsia="Calibri" w:hAnsi="Arial" w:cs="Arial"/>
          <w:b/>
          <w:color w:val="000000" w:themeColor="text1"/>
          <w:sz w:val="22"/>
        </w:rPr>
        <w:t>–</w:t>
      </w:r>
      <w:r w:rsidR="00F73D90" w:rsidRPr="0070578D">
        <w:rPr>
          <w:rFonts w:ascii="Arial" w:eastAsia="Calibri" w:hAnsi="Arial" w:cs="Arial"/>
          <w:b/>
          <w:color w:val="000000" w:themeColor="text1"/>
          <w:sz w:val="22"/>
          <w:szCs w:val="22"/>
          <w:lang w:val="es-ES_tradnl"/>
        </w:rPr>
        <w:t xml:space="preserve"> Reglas aplicables</w:t>
      </w:r>
    </w:p>
    <w:p w14:paraId="7F0EF6AE" w14:textId="77777777" w:rsidR="00F73D90" w:rsidRPr="0070578D" w:rsidRDefault="00F73D90" w:rsidP="00CC2733">
      <w:pPr>
        <w:jc w:val="both"/>
        <w:rPr>
          <w:rFonts w:ascii="Arial" w:eastAsia="Calibri" w:hAnsi="Arial" w:cs="Arial"/>
          <w:color w:val="000000" w:themeColor="text1"/>
          <w:sz w:val="20"/>
          <w:szCs w:val="20"/>
          <w:highlight w:val="yellow"/>
          <w:lang w:val="es-ES_tradnl"/>
        </w:rPr>
      </w:pPr>
    </w:p>
    <w:p w14:paraId="787110A3" w14:textId="45FAF3D6" w:rsidR="00CC2733" w:rsidRPr="0070578D" w:rsidRDefault="00F73D90" w:rsidP="00CC2733">
      <w:pPr>
        <w:jc w:val="both"/>
        <w:rPr>
          <w:rFonts w:ascii="Arial" w:eastAsia="Calibri" w:hAnsi="Arial" w:cs="Arial"/>
          <w:color w:val="000000" w:themeColor="text1"/>
          <w:sz w:val="20"/>
          <w:szCs w:val="20"/>
          <w:lang w:val="es-ES_tradnl"/>
        </w:rPr>
      </w:pPr>
      <w:r w:rsidRPr="0070578D">
        <w:rPr>
          <w:rFonts w:ascii="Arial" w:eastAsia="Calibri" w:hAnsi="Arial" w:cs="Arial"/>
          <w:color w:val="000000" w:themeColor="text1"/>
          <w:sz w:val="20"/>
          <w:szCs w:val="20"/>
          <w:lang w:val="es-ES_tradnl"/>
        </w:rPr>
        <w:t xml:space="preserve">No obstante, las entidades de régimen especial </w:t>
      </w:r>
      <w:r w:rsidR="005C7B94" w:rsidRPr="0070578D">
        <w:rPr>
          <w:rFonts w:ascii="Arial" w:eastAsia="Calibri" w:hAnsi="Arial" w:cs="Arial"/>
          <w:color w:val="000000" w:themeColor="text1"/>
          <w:sz w:val="20"/>
          <w:szCs w:val="20"/>
          <w:lang w:val="es-ES_tradnl"/>
        </w:rPr>
        <w:t>deben garantizar el interés general</w:t>
      </w:r>
      <w:r w:rsidRPr="0070578D">
        <w:rPr>
          <w:rFonts w:ascii="Arial" w:eastAsia="Calibri" w:hAnsi="Arial" w:cs="Arial"/>
          <w:color w:val="000000" w:themeColor="text1"/>
          <w:sz w:val="20"/>
          <w:szCs w:val="20"/>
          <w:lang w:val="es-ES_tradnl"/>
        </w:rPr>
        <w:t xml:space="preserve"> y utilizan recursos públicos para lograrlo, por lo que no son ajenas a los principios de la función administrativa y el control fiscal, entre otras reglas dispuestas en la normativa de contratación pública que son trasversales a todas las entidades, sin importar su régimen legal, </w:t>
      </w:r>
      <w:r w:rsidR="009B4118" w:rsidRPr="0070578D">
        <w:rPr>
          <w:rFonts w:ascii="Arial" w:eastAsia="Calibri" w:hAnsi="Arial" w:cs="Arial"/>
          <w:color w:val="000000" w:themeColor="text1"/>
          <w:sz w:val="20"/>
          <w:szCs w:val="20"/>
          <w:lang w:val="es-ES_tradnl"/>
        </w:rPr>
        <w:t>como las que regulan</w:t>
      </w:r>
      <w:r w:rsidRPr="0070578D">
        <w:rPr>
          <w:rFonts w:ascii="Arial" w:eastAsia="Calibri" w:hAnsi="Arial" w:cs="Arial"/>
          <w:color w:val="000000" w:themeColor="text1"/>
          <w:sz w:val="20"/>
          <w:szCs w:val="20"/>
          <w:lang w:val="es-ES_tradnl"/>
        </w:rPr>
        <w:t xml:space="preserve"> las inhabilidades e incompatibilidades</w:t>
      </w:r>
      <w:r w:rsidR="009B4118" w:rsidRPr="0070578D">
        <w:rPr>
          <w:rFonts w:ascii="Arial" w:eastAsia="Calibri" w:hAnsi="Arial" w:cs="Arial"/>
          <w:color w:val="000000" w:themeColor="text1"/>
          <w:sz w:val="20"/>
          <w:szCs w:val="20"/>
          <w:lang w:val="es-ES_tradnl"/>
        </w:rPr>
        <w:t xml:space="preserve">. </w:t>
      </w:r>
      <w:r w:rsidRPr="0070578D">
        <w:rPr>
          <w:rFonts w:ascii="Arial" w:eastAsia="Calibri" w:hAnsi="Arial" w:cs="Arial"/>
          <w:color w:val="000000" w:themeColor="text1"/>
          <w:sz w:val="20"/>
          <w:szCs w:val="20"/>
          <w:lang w:val="es-ES_tradnl"/>
        </w:rPr>
        <w:t>Lo anterior es reafirmado por el Consejo de Estado, que destaca las reglas que sigue la contratación de las entidades de régimen especial.</w:t>
      </w:r>
    </w:p>
    <w:p w14:paraId="0143E8CF" w14:textId="77777777" w:rsidR="005543E6" w:rsidRPr="0070578D" w:rsidRDefault="005543E6" w:rsidP="00CC2733">
      <w:pPr>
        <w:jc w:val="both"/>
        <w:rPr>
          <w:rFonts w:ascii="Arial" w:eastAsia="Calibri" w:hAnsi="Arial" w:cs="Arial"/>
          <w:color w:val="000000" w:themeColor="text1"/>
          <w:sz w:val="20"/>
          <w:szCs w:val="20"/>
          <w:lang w:val="es-ES_tradnl"/>
        </w:rPr>
      </w:pPr>
    </w:p>
    <w:p w14:paraId="02ED5A87" w14:textId="51BB1F01" w:rsidR="005543E6" w:rsidRPr="0070578D" w:rsidRDefault="00211AD8" w:rsidP="005543E6">
      <w:pPr>
        <w:jc w:val="both"/>
        <w:rPr>
          <w:rFonts w:ascii="Arial" w:eastAsia="Calibri" w:hAnsi="Arial" w:cs="Arial"/>
          <w:b/>
          <w:color w:val="000000" w:themeColor="text1"/>
          <w:sz w:val="22"/>
          <w:szCs w:val="22"/>
          <w:lang w:val="es-ES_tradnl"/>
        </w:rPr>
      </w:pPr>
      <w:r>
        <w:rPr>
          <w:rFonts w:ascii="Arial" w:eastAsia="Calibri" w:hAnsi="Arial" w:cs="Arial"/>
          <w:b/>
          <w:color w:val="000000" w:themeColor="text1"/>
          <w:sz w:val="22"/>
          <w:szCs w:val="22"/>
          <w:lang w:val="es-ES_tradnl"/>
        </w:rPr>
        <w:t xml:space="preserve">ENTIDADES CON RÉGIMEN ESPECIAL </w:t>
      </w:r>
      <w:r w:rsidR="009A623A" w:rsidRPr="006C15D5">
        <w:rPr>
          <w:rFonts w:ascii="Arial" w:eastAsia="Calibri" w:hAnsi="Arial" w:cs="Arial"/>
          <w:b/>
          <w:color w:val="000000" w:themeColor="text1"/>
          <w:sz w:val="22"/>
        </w:rPr>
        <w:t>–</w:t>
      </w:r>
      <w:r w:rsidR="009A623A">
        <w:rPr>
          <w:rFonts w:ascii="Arial" w:eastAsia="Calibri" w:hAnsi="Arial" w:cs="Arial"/>
          <w:b/>
          <w:color w:val="000000" w:themeColor="text1"/>
          <w:sz w:val="22"/>
          <w:szCs w:val="22"/>
          <w:lang w:val="es-ES_tradnl"/>
        </w:rPr>
        <w:t xml:space="preserve"> Manual de Contratación </w:t>
      </w:r>
      <w:r w:rsidR="009A623A" w:rsidRPr="006C15D5">
        <w:rPr>
          <w:rFonts w:ascii="Arial" w:eastAsia="Calibri" w:hAnsi="Arial" w:cs="Arial"/>
          <w:b/>
          <w:color w:val="000000" w:themeColor="text1"/>
          <w:sz w:val="22"/>
        </w:rPr>
        <w:t>–</w:t>
      </w:r>
      <w:r w:rsidR="005543E6" w:rsidRPr="0070578D">
        <w:rPr>
          <w:rFonts w:ascii="Arial" w:eastAsia="Calibri" w:hAnsi="Arial" w:cs="Arial"/>
          <w:b/>
          <w:color w:val="000000" w:themeColor="text1"/>
          <w:sz w:val="22"/>
          <w:szCs w:val="22"/>
          <w:lang w:val="es-ES_tradnl"/>
        </w:rPr>
        <w:t xml:space="preserve"> Contenido</w:t>
      </w:r>
    </w:p>
    <w:p w14:paraId="66B6AFE1" w14:textId="77777777" w:rsidR="005543E6" w:rsidRPr="0070578D" w:rsidRDefault="005543E6" w:rsidP="005543E6">
      <w:pPr>
        <w:jc w:val="both"/>
        <w:rPr>
          <w:rFonts w:ascii="Arial" w:eastAsia="Calibri" w:hAnsi="Arial" w:cs="Arial"/>
          <w:color w:val="000000" w:themeColor="text1"/>
          <w:sz w:val="20"/>
          <w:szCs w:val="20"/>
          <w:lang w:val="es-ES_tradnl"/>
        </w:rPr>
      </w:pPr>
    </w:p>
    <w:p w14:paraId="0986257C" w14:textId="2AEB829C" w:rsidR="005543E6" w:rsidRPr="0070578D" w:rsidRDefault="005543E6" w:rsidP="005543E6">
      <w:pPr>
        <w:jc w:val="both"/>
        <w:rPr>
          <w:rFonts w:ascii="Arial" w:eastAsia="Calibri" w:hAnsi="Arial" w:cs="Arial"/>
          <w:color w:val="000000" w:themeColor="text1"/>
          <w:sz w:val="20"/>
          <w:szCs w:val="20"/>
          <w:lang w:val="es-ES_tradnl"/>
        </w:rPr>
      </w:pPr>
      <w:r w:rsidRPr="0070578D">
        <w:rPr>
          <w:rFonts w:ascii="Arial" w:eastAsia="Calibri" w:hAnsi="Arial" w:cs="Arial"/>
          <w:color w:val="000000" w:themeColor="text1"/>
          <w:sz w:val="20"/>
          <w:szCs w:val="20"/>
          <w:lang w:val="es-ES_tradnl"/>
        </w:rPr>
        <w:t>Toda vez que las entidades de régimen especial administran recursos públicos, sus manuales de contratación deben ceñirse a unas reglas mínimas que garanticen el cumplimiento de los principios de la función pública, el control fiscal y los principios rectores de la contratación estatal. Dentro de estas reglas mínimas deben:</w:t>
      </w:r>
      <w:r w:rsidR="009B4118" w:rsidRPr="0070578D">
        <w:rPr>
          <w:rFonts w:ascii="Arial" w:eastAsia="Calibri" w:hAnsi="Arial" w:cs="Arial"/>
          <w:color w:val="000000" w:themeColor="text1"/>
          <w:sz w:val="20"/>
          <w:szCs w:val="20"/>
          <w:lang w:val="es-ES_tradnl"/>
        </w:rPr>
        <w:t xml:space="preserve"> </w:t>
      </w:r>
      <w:r w:rsidRPr="0070578D">
        <w:rPr>
          <w:rFonts w:ascii="Arial" w:eastAsia="Calibri" w:hAnsi="Arial" w:cs="Arial"/>
          <w:color w:val="000000" w:themeColor="text1"/>
          <w:sz w:val="20"/>
          <w:szCs w:val="20"/>
          <w:lang w:val="es-ES_tradnl"/>
        </w:rPr>
        <w:t>indicar el contenido de las propuestas y los procedimientos de selección, llevar una descripción precisa del procedimiento, los plazos de las etapas y los criterios de evaluación y desempate, y todos los criterios necesarios para garantizar la selección objetiva, la protección del interés general y el valor por dinero.</w:t>
      </w:r>
    </w:p>
    <w:p w14:paraId="6DA95B08" w14:textId="1516378C" w:rsidR="00FF683C" w:rsidRPr="0070578D" w:rsidRDefault="00FF683C" w:rsidP="005543E6">
      <w:pPr>
        <w:jc w:val="both"/>
        <w:rPr>
          <w:rFonts w:ascii="Arial" w:eastAsia="Calibri" w:hAnsi="Arial" w:cs="Arial"/>
          <w:color w:val="000000" w:themeColor="text1"/>
          <w:sz w:val="20"/>
          <w:szCs w:val="20"/>
          <w:lang w:val="es-ES_tradnl"/>
        </w:rPr>
      </w:pPr>
    </w:p>
    <w:p w14:paraId="753E8E03" w14:textId="10D41828" w:rsidR="00FF683C" w:rsidRPr="0070578D" w:rsidRDefault="00FF683C" w:rsidP="00FF683C">
      <w:pPr>
        <w:jc w:val="both"/>
        <w:rPr>
          <w:rFonts w:ascii="Arial" w:eastAsia="Calibri" w:hAnsi="Arial" w:cs="Arial"/>
          <w:b/>
          <w:color w:val="000000" w:themeColor="text1"/>
          <w:sz w:val="22"/>
          <w:szCs w:val="22"/>
          <w:lang w:val="es-ES_tradnl"/>
        </w:rPr>
      </w:pPr>
      <w:r w:rsidRPr="0070578D">
        <w:rPr>
          <w:rFonts w:ascii="Arial" w:eastAsia="Calibri" w:hAnsi="Arial" w:cs="Arial"/>
          <w:b/>
          <w:color w:val="000000" w:themeColor="text1"/>
          <w:sz w:val="22"/>
          <w:szCs w:val="22"/>
          <w:lang w:val="es-ES_tradnl"/>
        </w:rPr>
        <w:t>CONTRATO IN</w:t>
      </w:r>
      <w:r w:rsidR="009A623A">
        <w:rPr>
          <w:rFonts w:ascii="Arial" w:eastAsia="Calibri" w:hAnsi="Arial" w:cs="Arial"/>
          <w:b/>
          <w:color w:val="000000" w:themeColor="text1"/>
          <w:sz w:val="22"/>
          <w:szCs w:val="22"/>
          <w:lang w:val="es-ES_tradnl"/>
        </w:rPr>
        <w:t xml:space="preserve">TERADMINISTRATIVO </w:t>
      </w:r>
      <w:r w:rsidR="009A623A" w:rsidRPr="006C15D5">
        <w:rPr>
          <w:rFonts w:ascii="Arial" w:eastAsia="Calibri" w:hAnsi="Arial" w:cs="Arial"/>
          <w:b/>
          <w:color w:val="000000" w:themeColor="text1"/>
          <w:sz w:val="22"/>
        </w:rPr>
        <w:t>–</w:t>
      </w:r>
      <w:r w:rsidR="009A623A">
        <w:rPr>
          <w:rFonts w:ascii="Arial" w:eastAsia="Calibri" w:hAnsi="Arial" w:cs="Arial"/>
          <w:b/>
          <w:color w:val="000000" w:themeColor="text1"/>
          <w:sz w:val="22"/>
          <w:szCs w:val="22"/>
          <w:lang w:val="es-ES_tradnl"/>
        </w:rPr>
        <w:t xml:space="preserve"> Concepto </w:t>
      </w:r>
      <w:r w:rsidR="009A623A" w:rsidRPr="006C15D5">
        <w:rPr>
          <w:rFonts w:ascii="Arial" w:eastAsia="Calibri" w:hAnsi="Arial" w:cs="Arial"/>
          <w:b/>
          <w:color w:val="000000" w:themeColor="text1"/>
          <w:sz w:val="22"/>
        </w:rPr>
        <w:t>–</w:t>
      </w:r>
      <w:r w:rsidRPr="0070578D">
        <w:rPr>
          <w:rFonts w:ascii="Arial" w:eastAsia="Calibri" w:hAnsi="Arial" w:cs="Arial"/>
          <w:b/>
          <w:color w:val="000000" w:themeColor="text1"/>
          <w:sz w:val="22"/>
          <w:szCs w:val="22"/>
          <w:lang w:val="es-ES_tradnl"/>
        </w:rPr>
        <w:t xml:space="preserve"> Régimen jurídico</w:t>
      </w:r>
    </w:p>
    <w:p w14:paraId="7BDB0D56" w14:textId="77777777" w:rsidR="00FF683C" w:rsidRPr="0070578D" w:rsidRDefault="00FF683C" w:rsidP="00FF683C">
      <w:pPr>
        <w:jc w:val="both"/>
        <w:rPr>
          <w:rFonts w:ascii="Arial" w:eastAsia="Calibri" w:hAnsi="Arial" w:cs="Arial"/>
          <w:color w:val="000000" w:themeColor="text1"/>
          <w:sz w:val="20"/>
          <w:szCs w:val="20"/>
          <w:lang w:val="es-ES_tradnl"/>
        </w:rPr>
      </w:pPr>
    </w:p>
    <w:p w14:paraId="59B1B606" w14:textId="77777777" w:rsidR="00D81B3E" w:rsidRPr="0070578D" w:rsidRDefault="007A6C15" w:rsidP="00D539C4">
      <w:pPr>
        <w:jc w:val="both"/>
        <w:rPr>
          <w:rFonts w:ascii="Arial" w:eastAsia="Calibri" w:hAnsi="Arial" w:cs="Arial"/>
          <w:color w:val="000000" w:themeColor="text1"/>
          <w:sz w:val="20"/>
          <w:szCs w:val="20"/>
          <w:lang w:val="es-ES_tradnl"/>
        </w:rPr>
      </w:pPr>
      <w:r w:rsidRPr="0070578D">
        <w:rPr>
          <w:rFonts w:ascii="Arial" w:eastAsia="Calibri" w:hAnsi="Arial" w:cs="Arial"/>
          <w:color w:val="000000" w:themeColor="text1"/>
          <w:sz w:val="20"/>
          <w:szCs w:val="20"/>
          <w:lang w:val="es-ES_tradnl"/>
        </w:rPr>
        <w:t>Si bien los contratos o convenios interadministrativos están previstos en la Ley 80 de 1993, en la Ley 1150 de 2007 y en el Decreto en el 1082 de 2015, no quiere decir que solo puedan celebrarse entre entidades estatales que apliquen el régimen de contratación allí previsto, pues bien puede una entidad estatal de Ley 80 de 1993 celebrar esta clase de convenios con una entidad estatal de régimen especial y no por ello dejará de ser un contrato o convenio interadministrativo, caso en el cual su ejecución  estará sometida a la Ley 80 de 1993</w:t>
      </w:r>
      <w:r w:rsidR="00B2139A" w:rsidRPr="0070578D">
        <w:rPr>
          <w:rFonts w:ascii="Arial" w:eastAsia="Calibri" w:hAnsi="Arial" w:cs="Arial"/>
          <w:color w:val="000000" w:themeColor="text1"/>
          <w:sz w:val="20"/>
          <w:szCs w:val="20"/>
          <w:lang w:val="es-ES_tradnl"/>
        </w:rPr>
        <w:t>,</w:t>
      </w:r>
      <w:r w:rsidRPr="0070578D">
        <w:rPr>
          <w:rFonts w:ascii="Arial" w:eastAsia="Calibri" w:hAnsi="Arial" w:cs="Arial"/>
          <w:color w:val="000000" w:themeColor="text1"/>
          <w:sz w:val="20"/>
          <w:szCs w:val="20"/>
          <w:lang w:val="es-ES_tradnl"/>
        </w:rPr>
        <w:t xml:space="preserve"> a menos que la entidad ejecutora  ̶ entidad con régimen especial ̶ </w:t>
      </w:r>
      <w:r w:rsidR="00B2139A" w:rsidRPr="0070578D">
        <w:rPr>
          <w:rFonts w:ascii="Arial" w:eastAsia="Calibri" w:hAnsi="Arial" w:cs="Arial"/>
          <w:color w:val="000000" w:themeColor="text1"/>
          <w:sz w:val="20"/>
          <w:szCs w:val="20"/>
          <w:lang w:val="es-ES_tradnl"/>
        </w:rPr>
        <w:t xml:space="preserve"> realice </w:t>
      </w:r>
      <w:r w:rsidRPr="0070578D">
        <w:rPr>
          <w:rFonts w:ascii="Arial" w:eastAsia="Calibri" w:hAnsi="Arial" w:cs="Arial"/>
          <w:color w:val="000000" w:themeColor="text1"/>
          <w:sz w:val="20"/>
          <w:szCs w:val="20"/>
          <w:lang w:val="es-ES_tradnl"/>
        </w:rPr>
        <w:t>su actividad en competencia con el sector privado</w:t>
      </w:r>
      <w:r w:rsidR="00B2139A" w:rsidRPr="0070578D">
        <w:rPr>
          <w:rFonts w:ascii="Arial" w:eastAsia="Calibri" w:hAnsi="Arial" w:cs="Arial"/>
          <w:color w:val="000000" w:themeColor="text1"/>
          <w:sz w:val="20"/>
          <w:szCs w:val="20"/>
          <w:lang w:val="es-ES_tradnl"/>
        </w:rPr>
        <w:t xml:space="preserve"> o cuando la ejecución del contrato interadministrativo tenga relación directa con el desarrollo de su actividad</w:t>
      </w:r>
      <w:r w:rsidRPr="0070578D">
        <w:rPr>
          <w:rFonts w:ascii="Arial" w:eastAsia="Calibri" w:hAnsi="Arial" w:cs="Arial"/>
          <w:color w:val="000000" w:themeColor="text1"/>
          <w:sz w:val="20"/>
          <w:szCs w:val="20"/>
          <w:lang w:val="es-ES_tradnl"/>
        </w:rPr>
        <w:t>. Un contrato o convenio interadministrativo no está determinado por la modalidad de selección utilizada para celebrarlo. La Ley 1150 de 2007 establece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amplio. Nótese que, en este caso, lo que cambia es la modalidad de selección y no la naturaleza de contrato interadministrativo.</w:t>
      </w:r>
    </w:p>
    <w:p w14:paraId="09F30B6D" w14:textId="77777777" w:rsidR="00320E8A" w:rsidRPr="0070578D" w:rsidRDefault="00320E8A" w:rsidP="00D81B3E">
      <w:pPr>
        <w:jc w:val="both"/>
        <w:rPr>
          <w:rFonts w:ascii="Arial" w:eastAsia="Calibri" w:hAnsi="Arial" w:cs="Arial"/>
          <w:b/>
          <w:color w:val="000000" w:themeColor="text1"/>
          <w:sz w:val="22"/>
          <w:szCs w:val="22"/>
          <w:lang w:val="es-ES_tradnl"/>
        </w:rPr>
      </w:pPr>
    </w:p>
    <w:p w14:paraId="7C437751" w14:textId="2ABFB373" w:rsidR="00D81B3E" w:rsidRPr="0070578D" w:rsidRDefault="009A623A" w:rsidP="00D81B3E">
      <w:pPr>
        <w:jc w:val="both"/>
        <w:rPr>
          <w:rFonts w:ascii="Arial" w:eastAsia="Calibri" w:hAnsi="Arial" w:cs="Arial"/>
          <w:b/>
          <w:color w:val="000000" w:themeColor="text1"/>
          <w:sz w:val="22"/>
          <w:szCs w:val="22"/>
          <w:lang w:val="es-ES_tradnl"/>
        </w:rPr>
      </w:pPr>
      <w:r>
        <w:rPr>
          <w:rFonts w:ascii="Arial" w:eastAsia="Calibri" w:hAnsi="Arial" w:cs="Arial"/>
          <w:b/>
          <w:color w:val="000000" w:themeColor="text1"/>
          <w:sz w:val="22"/>
          <w:szCs w:val="22"/>
          <w:lang w:val="es-ES_tradnl"/>
        </w:rPr>
        <w:t xml:space="preserve">CONTRATO INTERADMINISTRATIVO </w:t>
      </w:r>
      <w:r w:rsidRPr="006C15D5">
        <w:rPr>
          <w:rFonts w:ascii="Arial" w:eastAsia="Calibri" w:hAnsi="Arial" w:cs="Arial"/>
          <w:b/>
          <w:color w:val="000000" w:themeColor="text1"/>
          <w:sz w:val="22"/>
        </w:rPr>
        <w:t>–</w:t>
      </w:r>
      <w:r>
        <w:rPr>
          <w:rFonts w:ascii="Arial" w:eastAsia="Calibri" w:hAnsi="Arial" w:cs="Arial"/>
          <w:b/>
          <w:color w:val="000000" w:themeColor="text1"/>
          <w:sz w:val="22"/>
          <w:szCs w:val="22"/>
          <w:lang w:val="es-ES_tradnl"/>
        </w:rPr>
        <w:t xml:space="preserve"> Contrato de consultoría </w:t>
      </w:r>
      <w:r w:rsidRPr="006C15D5">
        <w:rPr>
          <w:rFonts w:ascii="Arial" w:eastAsia="Calibri" w:hAnsi="Arial" w:cs="Arial"/>
          <w:b/>
          <w:color w:val="000000" w:themeColor="text1"/>
          <w:sz w:val="22"/>
        </w:rPr>
        <w:t>–</w:t>
      </w:r>
      <w:r w:rsidR="00D81B3E" w:rsidRPr="0070578D">
        <w:rPr>
          <w:rFonts w:ascii="Arial" w:eastAsia="Calibri" w:hAnsi="Arial" w:cs="Arial"/>
          <w:b/>
          <w:color w:val="000000" w:themeColor="text1"/>
          <w:sz w:val="22"/>
          <w:szCs w:val="22"/>
          <w:lang w:val="es-ES_tradnl"/>
        </w:rPr>
        <w:t xml:space="preserve"> Contratación directa </w:t>
      </w:r>
      <w:r w:rsidRPr="006C15D5">
        <w:rPr>
          <w:rFonts w:ascii="Arial" w:eastAsia="Calibri" w:hAnsi="Arial" w:cs="Arial"/>
          <w:b/>
          <w:color w:val="000000" w:themeColor="text1"/>
          <w:sz w:val="22"/>
        </w:rPr>
        <w:t>–</w:t>
      </w:r>
      <w:r w:rsidR="00D81B3E" w:rsidRPr="0070578D">
        <w:rPr>
          <w:rFonts w:ascii="Arial" w:eastAsia="Calibri" w:hAnsi="Arial" w:cs="Arial"/>
          <w:b/>
          <w:color w:val="000000" w:themeColor="text1"/>
          <w:sz w:val="22"/>
          <w:szCs w:val="22"/>
          <w:lang w:val="es-ES_tradnl"/>
        </w:rPr>
        <w:t xml:space="preserve"> Universidad</w:t>
      </w:r>
      <w:r w:rsidR="00141EE0" w:rsidRPr="0070578D">
        <w:rPr>
          <w:rFonts w:ascii="Arial" w:eastAsia="Calibri" w:hAnsi="Arial" w:cs="Arial"/>
          <w:b/>
          <w:color w:val="000000" w:themeColor="text1"/>
          <w:sz w:val="22"/>
          <w:szCs w:val="22"/>
          <w:lang w:val="es-ES_tradnl"/>
        </w:rPr>
        <w:t xml:space="preserve"> pública</w:t>
      </w:r>
      <w:r w:rsidR="00D81B3E" w:rsidRPr="0070578D">
        <w:rPr>
          <w:rFonts w:ascii="Arial" w:eastAsia="Calibri" w:hAnsi="Arial" w:cs="Arial"/>
          <w:b/>
          <w:color w:val="000000" w:themeColor="text1"/>
          <w:sz w:val="22"/>
          <w:szCs w:val="22"/>
          <w:lang w:val="es-ES_tradnl"/>
        </w:rPr>
        <w:t xml:space="preserve"> </w:t>
      </w:r>
    </w:p>
    <w:p w14:paraId="43456BF7" w14:textId="77777777" w:rsidR="00D81B3E" w:rsidRPr="0070578D" w:rsidRDefault="00D81B3E" w:rsidP="00D81B3E">
      <w:pPr>
        <w:jc w:val="both"/>
        <w:rPr>
          <w:rFonts w:ascii="Arial" w:eastAsia="Calibri" w:hAnsi="Arial" w:cs="Arial"/>
          <w:color w:val="000000" w:themeColor="text1"/>
          <w:sz w:val="20"/>
          <w:szCs w:val="20"/>
          <w:lang w:val="es-ES_tradnl"/>
        </w:rPr>
      </w:pPr>
    </w:p>
    <w:p w14:paraId="4344A202" w14:textId="2C045AFD" w:rsidR="00D523AC" w:rsidRPr="0070578D" w:rsidRDefault="00320E8A" w:rsidP="00D539C4">
      <w:pPr>
        <w:jc w:val="both"/>
        <w:rPr>
          <w:rFonts w:ascii="Arial" w:eastAsia="Calibri" w:hAnsi="Arial" w:cs="Arial"/>
          <w:color w:val="000000" w:themeColor="text1"/>
          <w:sz w:val="20"/>
          <w:szCs w:val="20"/>
          <w:lang w:val="es-ES_tradnl"/>
        </w:rPr>
      </w:pPr>
      <w:r w:rsidRPr="0070578D">
        <w:rPr>
          <w:rFonts w:ascii="Arial" w:eastAsia="Calibri" w:hAnsi="Arial" w:cs="Arial"/>
          <w:color w:val="000000" w:themeColor="text1"/>
          <w:sz w:val="20"/>
          <w:szCs w:val="20"/>
          <w:lang w:val="es-ES_tradnl"/>
        </w:rPr>
        <w:lastRenderedPageBreak/>
        <w:t>El artículo 2, numeral 4º, literal c)</w:t>
      </w:r>
      <w:r w:rsidR="008C1B94" w:rsidRPr="0070578D">
        <w:rPr>
          <w:rFonts w:ascii="Arial" w:eastAsia="Calibri" w:hAnsi="Arial" w:cs="Arial"/>
          <w:color w:val="000000" w:themeColor="text1"/>
          <w:sz w:val="20"/>
          <w:szCs w:val="20"/>
          <w:lang w:val="es-ES_tradnl"/>
        </w:rPr>
        <w:t>,</w:t>
      </w:r>
      <w:r w:rsidRPr="0070578D">
        <w:rPr>
          <w:rFonts w:ascii="Arial" w:eastAsia="Calibri" w:hAnsi="Arial" w:cs="Arial"/>
          <w:color w:val="000000" w:themeColor="text1"/>
          <w:sz w:val="20"/>
          <w:szCs w:val="20"/>
          <w:lang w:val="es-ES_tradnl"/>
        </w:rPr>
        <w:t xml:space="preserve"> de la Ley 1150 de 2007 permite a las entidades sometidas al Estatuto General de Contratación de la Administración Pública celebrar contratos interadministrativos, «siempre que las obligaciones derivadas del mismo tengan relación directa con el objeto de la entidad ejecutora señalado en la ley o en sus reglamentos». Por tanto, un municipio o distrito puede celebrar directamente un contrato interadministrativo con una universidad pública, para que esta se encargue de la interventoría sobre un contrato de concesión del servicio de alumbrado público, siempre que la institución de educación superior tenga dentro de su objeto, señalado en la ley o en sus reglamentos, la competencia para realizar dicha labor de vigilancia sobre contratos de esta naturaleza. Lo anterior por cuanto el concurso de méritos no es la única modalidad válida para la celebración de contratos de consultoría. </w:t>
      </w:r>
      <w:r w:rsidR="00D523AC" w:rsidRPr="0070578D">
        <w:rPr>
          <w:rFonts w:ascii="Arial" w:eastAsia="Calibri" w:hAnsi="Arial" w:cs="Arial"/>
          <w:color w:val="000000" w:themeColor="text1"/>
          <w:sz w:val="20"/>
          <w:szCs w:val="20"/>
          <w:lang w:val="es-ES_tradnl"/>
        </w:rPr>
        <w:t xml:space="preserve"> </w:t>
      </w:r>
    </w:p>
    <w:p w14:paraId="6813C09E" w14:textId="77777777" w:rsidR="009B19DF" w:rsidRPr="0070578D" w:rsidRDefault="009B19DF" w:rsidP="00F032A9">
      <w:pPr>
        <w:rPr>
          <w:rFonts w:ascii="Arial" w:eastAsia="Calibri" w:hAnsi="Arial" w:cs="Arial"/>
          <w:b/>
          <w:bCs/>
          <w:color w:val="000000" w:themeColor="text1"/>
          <w:sz w:val="20"/>
          <w:szCs w:val="20"/>
          <w:lang w:val="es-ES_tradnl"/>
        </w:rPr>
      </w:pPr>
    </w:p>
    <w:p w14:paraId="62D44803" w14:textId="77777777" w:rsidR="00D539C4" w:rsidRPr="0070578D" w:rsidRDefault="00D539C4" w:rsidP="00AD0DAD">
      <w:pPr>
        <w:jc w:val="both"/>
        <w:rPr>
          <w:rFonts w:ascii="Arial" w:hAnsi="Arial" w:cs="Arial"/>
          <w:color w:val="000000" w:themeColor="text1"/>
          <w:sz w:val="20"/>
          <w:szCs w:val="20"/>
          <w:lang w:val="es-ES_tradnl"/>
        </w:rPr>
      </w:pPr>
    </w:p>
    <w:p w14:paraId="24105932" w14:textId="77777777" w:rsidR="0070578D" w:rsidRPr="0070578D" w:rsidRDefault="0070578D" w:rsidP="0070578D">
      <w:pPr>
        <w:pStyle w:val="Default"/>
        <w:rPr>
          <w:color w:val="000000" w:themeColor="text1"/>
          <w:sz w:val="22"/>
          <w:szCs w:val="22"/>
        </w:rPr>
      </w:pPr>
      <w:r w:rsidRPr="0070578D">
        <w:rPr>
          <w:color w:val="000000" w:themeColor="text1"/>
          <w:sz w:val="22"/>
          <w:szCs w:val="22"/>
        </w:rPr>
        <w:t xml:space="preserve">Bogotá D.C., </w:t>
      </w:r>
      <w:r w:rsidRPr="0070578D">
        <w:rPr>
          <w:b/>
          <w:bCs/>
          <w:color w:val="000000" w:themeColor="text1"/>
          <w:sz w:val="22"/>
          <w:szCs w:val="22"/>
        </w:rPr>
        <w:t xml:space="preserve">07/04/2020 Hora 14:50:7s </w:t>
      </w:r>
    </w:p>
    <w:p w14:paraId="21436F5D" w14:textId="77777777" w:rsidR="0070578D" w:rsidRPr="0070578D" w:rsidRDefault="0070578D" w:rsidP="0070578D">
      <w:pPr>
        <w:tabs>
          <w:tab w:val="left" w:pos="3374"/>
        </w:tabs>
        <w:spacing w:line="276" w:lineRule="auto"/>
        <w:jc w:val="right"/>
        <w:rPr>
          <w:rFonts w:ascii="Arial" w:hAnsi="Arial" w:cs="Arial"/>
          <w:b/>
          <w:bCs/>
          <w:color w:val="000000" w:themeColor="text1"/>
          <w:sz w:val="22"/>
          <w:szCs w:val="22"/>
        </w:rPr>
      </w:pPr>
      <w:r w:rsidRPr="0070578D">
        <w:rPr>
          <w:rFonts w:ascii="Arial" w:hAnsi="Arial" w:cs="Arial"/>
          <w:b/>
          <w:bCs/>
          <w:color w:val="000000" w:themeColor="text1"/>
          <w:sz w:val="22"/>
          <w:szCs w:val="22"/>
        </w:rPr>
        <w:t>N° Radicado: 2202013000002508</w:t>
      </w:r>
    </w:p>
    <w:p w14:paraId="7E80B7C1" w14:textId="04E00599" w:rsidR="00A37FB6" w:rsidRPr="0070578D" w:rsidRDefault="00A37FB6" w:rsidP="0070578D">
      <w:pPr>
        <w:tabs>
          <w:tab w:val="left" w:pos="3374"/>
        </w:tabs>
        <w:spacing w:line="276" w:lineRule="auto"/>
        <w:jc w:val="right"/>
        <w:rPr>
          <w:rFonts w:ascii="Arial" w:eastAsia="Calibri" w:hAnsi="Arial" w:cs="Arial"/>
          <w:color w:val="000000" w:themeColor="text1"/>
          <w:sz w:val="22"/>
          <w:lang w:val="es-ES_tradnl"/>
        </w:rPr>
      </w:pPr>
      <w:r w:rsidRPr="0070578D">
        <w:rPr>
          <w:rFonts w:ascii="Arial" w:eastAsia="Calibri" w:hAnsi="Arial" w:cs="Arial"/>
          <w:color w:val="000000" w:themeColor="text1"/>
          <w:sz w:val="22"/>
          <w:lang w:val="es-ES_tradnl"/>
        </w:rPr>
        <w:tab/>
      </w:r>
    </w:p>
    <w:p w14:paraId="2B166DFC" w14:textId="69B06B22" w:rsidR="00A37FB6" w:rsidRPr="0070578D" w:rsidRDefault="00A37FB6" w:rsidP="00F23E3A">
      <w:pPr>
        <w:spacing w:line="276" w:lineRule="auto"/>
        <w:rPr>
          <w:rFonts w:ascii="Arial" w:eastAsia="Calibri" w:hAnsi="Arial" w:cs="Arial"/>
          <w:color w:val="000000" w:themeColor="text1"/>
          <w:sz w:val="22"/>
          <w:lang w:val="es-ES_tradnl"/>
        </w:rPr>
      </w:pPr>
      <w:r w:rsidRPr="0070578D">
        <w:rPr>
          <w:rFonts w:ascii="Arial" w:eastAsia="Calibri" w:hAnsi="Arial" w:cs="Arial"/>
          <w:color w:val="000000" w:themeColor="text1"/>
          <w:sz w:val="22"/>
          <w:lang w:val="es-ES_tradnl"/>
        </w:rPr>
        <w:t>Señor</w:t>
      </w:r>
      <w:r w:rsidR="001E014C" w:rsidRPr="0070578D">
        <w:rPr>
          <w:rFonts w:ascii="Arial" w:eastAsia="Calibri" w:hAnsi="Arial" w:cs="Arial"/>
          <w:color w:val="000000" w:themeColor="text1"/>
          <w:sz w:val="22"/>
          <w:lang w:val="es-ES_tradnl"/>
        </w:rPr>
        <w:t>a</w:t>
      </w:r>
    </w:p>
    <w:p w14:paraId="24FC396E" w14:textId="6B51AA3D" w:rsidR="00ED137B" w:rsidRPr="0070578D" w:rsidRDefault="001E014C" w:rsidP="00F23E3A">
      <w:pPr>
        <w:spacing w:line="276" w:lineRule="auto"/>
        <w:rPr>
          <w:rFonts w:ascii="Arial" w:eastAsia="Calibri" w:hAnsi="Arial" w:cs="Arial"/>
          <w:b/>
          <w:color w:val="000000" w:themeColor="text1"/>
          <w:sz w:val="22"/>
          <w:lang w:val="es-ES_tradnl"/>
        </w:rPr>
      </w:pPr>
      <w:r w:rsidRPr="0070578D">
        <w:rPr>
          <w:rFonts w:ascii="Arial" w:eastAsia="Calibri" w:hAnsi="Arial" w:cs="Arial"/>
          <w:b/>
          <w:color w:val="000000" w:themeColor="text1"/>
          <w:sz w:val="22"/>
          <w:lang w:val="es-ES_tradnl"/>
        </w:rPr>
        <w:t>Gloria Azucena Durán</w:t>
      </w:r>
    </w:p>
    <w:p w14:paraId="359C48BE" w14:textId="7007EFE3" w:rsidR="00A37FB6" w:rsidRPr="0070578D" w:rsidRDefault="00A37FB6" w:rsidP="00F23E3A">
      <w:pPr>
        <w:spacing w:line="276" w:lineRule="auto"/>
        <w:rPr>
          <w:rFonts w:ascii="Arial" w:eastAsia="Calibri" w:hAnsi="Arial" w:cs="Arial"/>
          <w:color w:val="000000" w:themeColor="text1"/>
          <w:sz w:val="22"/>
          <w:lang w:val="es-ES_tradnl"/>
        </w:rPr>
      </w:pPr>
      <w:r w:rsidRPr="0070578D">
        <w:rPr>
          <w:rFonts w:ascii="Arial" w:eastAsia="Calibri" w:hAnsi="Arial" w:cs="Arial"/>
          <w:color w:val="000000" w:themeColor="text1"/>
          <w:sz w:val="22"/>
          <w:lang w:val="es-ES_tradnl"/>
        </w:rPr>
        <w:t>Ciudad</w:t>
      </w:r>
    </w:p>
    <w:p w14:paraId="479F6A3A" w14:textId="16526F1F" w:rsidR="00A37FB6" w:rsidRPr="0070578D" w:rsidRDefault="00A37FB6" w:rsidP="00F23E3A">
      <w:pPr>
        <w:spacing w:line="276" w:lineRule="auto"/>
        <w:jc w:val="center"/>
        <w:rPr>
          <w:rFonts w:ascii="Arial" w:eastAsia="Calibri" w:hAnsi="Arial" w:cs="Arial"/>
          <w:b/>
          <w:color w:val="000000" w:themeColor="text1"/>
          <w:sz w:val="22"/>
          <w:lang w:val="es-ES_tradnl"/>
        </w:rPr>
      </w:pPr>
      <w:r w:rsidRPr="0070578D">
        <w:rPr>
          <w:rFonts w:ascii="Arial" w:eastAsia="Calibri" w:hAnsi="Arial" w:cs="Arial"/>
          <w:b/>
          <w:color w:val="000000" w:themeColor="text1"/>
          <w:sz w:val="22"/>
          <w:lang w:val="es-ES_tradnl"/>
        </w:rPr>
        <w:t xml:space="preserve">Concepto C ─ </w:t>
      </w:r>
      <w:r w:rsidR="00DB63E9" w:rsidRPr="0070578D">
        <w:rPr>
          <w:rFonts w:ascii="Arial" w:eastAsia="Calibri" w:hAnsi="Arial" w:cs="Arial"/>
          <w:b/>
          <w:color w:val="000000" w:themeColor="text1"/>
          <w:sz w:val="22"/>
          <w:lang w:val="es-ES_tradnl"/>
        </w:rPr>
        <w:t>227</w:t>
      </w:r>
      <w:r w:rsidRPr="0070578D">
        <w:rPr>
          <w:rFonts w:ascii="Arial" w:eastAsia="Calibri" w:hAnsi="Arial" w:cs="Arial"/>
          <w:b/>
          <w:color w:val="000000" w:themeColor="text1"/>
          <w:sz w:val="22"/>
          <w:lang w:val="es-ES_tradnl"/>
        </w:rPr>
        <w:t xml:space="preserve"> de 2020</w:t>
      </w:r>
    </w:p>
    <w:p w14:paraId="49BB1EAB" w14:textId="77777777" w:rsidR="00A37FB6" w:rsidRPr="0070578D" w:rsidRDefault="00A37FB6" w:rsidP="00F23E3A">
      <w:pPr>
        <w:spacing w:line="276" w:lineRule="auto"/>
        <w:rPr>
          <w:rFonts w:ascii="Arial" w:eastAsia="Calibri" w:hAnsi="Arial" w:cs="Arial"/>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70578D" w:rsidRPr="0070578D" w14:paraId="20C2FA60" w14:textId="77777777" w:rsidTr="00F84D74">
        <w:tc>
          <w:tcPr>
            <w:tcW w:w="2689" w:type="dxa"/>
            <w:hideMark/>
          </w:tcPr>
          <w:p w14:paraId="2A9459AB" w14:textId="77777777" w:rsidR="00A37FB6" w:rsidRPr="0070578D" w:rsidRDefault="00A37FB6" w:rsidP="00F23E3A">
            <w:pPr>
              <w:spacing w:line="276" w:lineRule="auto"/>
              <w:rPr>
                <w:rFonts w:ascii="Arial" w:eastAsia="Calibri" w:hAnsi="Arial" w:cs="Arial"/>
                <w:color w:val="000000" w:themeColor="text1"/>
                <w:sz w:val="22"/>
                <w:lang w:val="es-ES_tradnl"/>
              </w:rPr>
            </w:pPr>
            <w:r w:rsidRPr="0070578D">
              <w:rPr>
                <w:rFonts w:ascii="Arial" w:eastAsia="Calibri" w:hAnsi="Arial" w:cs="Arial"/>
                <w:b/>
                <w:color w:val="000000" w:themeColor="text1"/>
                <w:sz w:val="22"/>
                <w:lang w:val="es-ES_tradnl"/>
              </w:rPr>
              <w:t>Temas:</w:t>
            </w:r>
            <w:r w:rsidRPr="0070578D">
              <w:rPr>
                <w:rFonts w:ascii="Arial" w:eastAsia="Calibri" w:hAnsi="Arial" w:cs="Arial"/>
                <w:color w:val="000000" w:themeColor="text1"/>
                <w:sz w:val="22"/>
                <w:lang w:val="es-ES_tradnl"/>
              </w:rPr>
              <w:t xml:space="preserve">           </w:t>
            </w:r>
          </w:p>
          <w:p w14:paraId="1840BCE8" w14:textId="77777777" w:rsidR="00A37FB6" w:rsidRPr="0070578D" w:rsidRDefault="00A37FB6" w:rsidP="00F23E3A">
            <w:pPr>
              <w:spacing w:line="276" w:lineRule="auto"/>
              <w:rPr>
                <w:rFonts w:ascii="Arial" w:eastAsia="Calibri" w:hAnsi="Arial" w:cs="Arial"/>
                <w:color w:val="000000" w:themeColor="text1"/>
                <w:sz w:val="22"/>
                <w:lang w:val="es-ES_tradnl"/>
              </w:rPr>
            </w:pPr>
            <w:r w:rsidRPr="0070578D">
              <w:rPr>
                <w:rFonts w:ascii="Arial" w:eastAsia="Calibri" w:hAnsi="Arial" w:cs="Arial"/>
                <w:color w:val="000000" w:themeColor="text1"/>
                <w:sz w:val="22"/>
                <w:lang w:val="es-ES_tradnl"/>
              </w:rPr>
              <w:t xml:space="preserve">                           </w:t>
            </w:r>
          </w:p>
        </w:tc>
        <w:tc>
          <w:tcPr>
            <w:tcW w:w="6237" w:type="dxa"/>
            <w:hideMark/>
          </w:tcPr>
          <w:p w14:paraId="069BC436" w14:textId="68F7B352" w:rsidR="00A37FB6" w:rsidRPr="0070578D" w:rsidRDefault="00BD61F5" w:rsidP="00C07D92">
            <w:pPr>
              <w:spacing w:line="276" w:lineRule="auto"/>
              <w:jc w:val="both"/>
              <w:rPr>
                <w:rFonts w:ascii="Arial" w:eastAsia="Calibri" w:hAnsi="Arial" w:cs="Arial"/>
                <w:color w:val="000000" w:themeColor="text1"/>
                <w:sz w:val="22"/>
                <w:lang w:val="es-ES_tradnl"/>
              </w:rPr>
            </w:pPr>
            <w:r w:rsidRPr="0070578D">
              <w:rPr>
                <w:rFonts w:ascii="Arial" w:eastAsia="Calibri" w:hAnsi="Arial" w:cs="Arial"/>
                <w:color w:val="000000" w:themeColor="text1"/>
                <w:sz w:val="22"/>
                <w:lang w:val="es-ES_tradnl"/>
              </w:rPr>
              <w:t>ENTIDADES DE RÉGIMEN ESPECIAL ― Definición</w:t>
            </w:r>
            <w:r w:rsidR="00FD75E0" w:rsidRPr="0070578D">
              <w:rPr>
                <w:rFonts w:ascii="Arial" w:eastAsia="Calibri" w:hAnsi="Arial" w:cs="Arial"/>
                <w:color w:val="000000" w:themeColor="text1"/>
                <w:sz w:val="22"/>
                <w:lang w:val="es-ES_tradnl"/>
              </w:rPr>
              <w:t xml:space="preserve"> / </w:t>
            </w:r>
            <w:r w:rsidRPr="0070578D">
              <w:rPr>
                <w:rFonts w:ascii="Arial" w:eastAsia="Calibri" w:hAnsi="Arial" w:cs="Arial"/>
                <w:color w:val="000000" w:themeColor="text1"/>
                <w:sz w:val="22"/>
                <w:lang w:val="es-ES_tradnl"/>
              </w:rPr>
              <w:t>ENTIDADES DE RÉGIMEN ESPECIAL ― Reglas aplicables</w:t>
            </w:r>
            <w:r w:rsidR="00C07D92" w:rsidRPr="0070578D">
              <w:rPr>
                <w:rFonts w:ascii="Arial" w:eastAsia="Calibri" w:hAnsi="Arial" w:cs="Arial"/>
                <w:color w:val="000000" w:themeColor="text1"/>
                <w:sz w:val="22"/>
                <w:lang w:val="es-ES_tradnl"/>
              </w:rPr>
              <w:t xml:space="preserve"> </w:t>
            </w:r>
            <w:r w:rsidR="00B13233" w:rsidRPr="0070578D">
              <w:rPr>
                <w:rFonts w:ascii="Arial" w:eastAsia="Calibri" w:hAnsi="Arial" w:cs="Arial"/>
                <w:color w:val="000000" w:themeColor="text1"/>
                <w:sz w:val="22"/>
                <w:lang w:val="es-ES_tradnl"/>
              </w:rPr>
              <w:t xml:space="preserve">/ </w:t>
            </w:r>
            <w:r w:rsidR="001B64A3" w:rsidRPr="0070578D">
              <w:rPr>
                <w:rFonts w:ascii="Arial" w:eastAsia="Calibri" w:hAnsi="Arial" w:cs="Arial"/>
                <w:color w:val="000000" w:themeColor="text1"/>
                <w:sz w:val="22"/>
                <w:lang w:val="es-ES_tradnl"/>
              </w:rPr>
              <w:t>CONTRATO INTERADMINISTRATIVO ― Concepto ― Régimen jurídico</w:t>
            </w:r>
            <w:r w:rsidR="008C1B94" w:rsidRPr="0070578D">
              <w:rPr>
                <w:rFonts w:ascii="Arial" w:eastAsia="Calibri" w:hAnsi="Arial" w:cs="Arial"/>
                <w:color w:val="000000" w:themeColor="text1"/>
                <w:sz w:val="22"/>
                <w:lang w:val="es-ES_tradnl"/>
              </w:rPr>
              <w:t xml:space="preserve"> / CONTRATO INTERADMINISTRATIVO ― Contrato de consultoría ― Contratación directa ― Universidad</w:t>
            </w:r>
            <w:r w:rsidR="00141EE0" w:rsidRPr="0070578D">
              <w:rPr>
                <w:rFonts w:ascii="Arial" w:eastAsia="Calibri" w:hAnsi="Arial" w:cs="Arial"/>
                <w:color w:val="000000" w:themeColor="text1"/>
                <w:sz w:val="22"/>
                <w:lang w:val="es-ES_tradnl"/>
              </w:rPr>
              <w:t xml:space="preserve"> pública</w:t>
            </w:r>
            <w:r w:rsidR="00155B70" w:rsidRPr="0070578D">
              <w:rPr>
                <w:rFonts w:ascii="Arial" w:eastAsia="Calibri" w:hAnsi="Arial" w:cs="Arial"/>
                <w:color w:val="000000" w:themeColor="text1"/>
                <w:sz w:val="22"/>
                <w:lang w:val="es-ES_tradnl"/>
              </w:rPr>
              <w:t xml:space="preserve"> </w:t>
            </w:r>
          </w:p>
        </w:tc>
      </w:tr>
      <w:tr w:rsidR="000F119B" w:rsidRPr="0070578D" w14:paraId="62473A71" w14:textId="77777777" w:rsidTr="00F84D74">
        <w:tc>
          <w:tcPr>
            <w:tcW w:w="2689" w:type="dxa"/>
          </w:tcPr>
          <w:p w14:paraId="730BF589" w14:textId="77777777" w:rsidR="00A37FB6" w:rsidRPr="0070578D" w:rsidRDefault="00A37FB6" w:rsidP="00F23E3A">
            <w:pPr>
              <w:spacing w:line="276" w:lineRule="auto"/>
              <w:rPr>
                <w:rFonts w:ascii="Arial" w:eastAsia="Calibri" w:hAnsi="Arial" w:cs="Arial"/>
                <w:b/>
                <w:color w:val="000000" w:themeColor="text1"/>
                <w:sz w:val="22"/>
                <w:lang w:val="es-ES_tradnl"/>
              </w:rPr>
            </w:pPr>
            <w:r w:rsidRPr="0070578D">
              <w:rPr>
                <w:rFonts w:ascii="Arial" w:eastAsia="Calibri" w:hAnsi="Arial" w:cs="Arial"/>
                <w:b/>
                <w:color w:val="000000" w:themeColor="text1"/>
                <w:sz w:val="22"/>
                <w:lang w:val="es-ES_tradnl"/>
              </w:rPr>
              <w:t>Radicación:</w:t>
            </w:r>
            <w:r w:rsidRPr="0070578D">
              <w:rPr>
                <w:rFonts w:ascii="Arial" w:eastAsia="Calibri" w:hAnsi="Arial" w:cs="Arial"/>
                <w:color w:val="000000" w:themeColor="text1"/>
                <w:sz w:val="22"/>
                <w:lang w:val="es-ES_tradnl"/>
              </w:rPr>
              <w:t xml:space="preserve">                              </w:t>
            </w:r>
          </w:p>
        </w:tc>
        <w:tc>
          <w:tcPr>
            <w:tcW w:w="6237" w:type="dxa"/>
          </w:tcPr>
          <w:p w14:paraId="2CD77F9B" w14:textId="4B6CC283" w:rsidR="00A37FB6" w:rsidRPr="0070578D" w:rsidRDefault="00A37FB6" w:rsidP="00F23E3A">
            <w:pPr>
              <w:spacing w:line="276" w:lineRule="auto"/>
              <w:jc w:val="both"/>
              <w:rPr>
                <w:rFonts w:ascii="Arial" w:eastAsia="Calibri" w:hAnsi="Arial" w:cs="Arial"/>
                <w:color w:val="000000" w:themeColor="text1"/>
                <w:sz w:val="22"/>
                <w:lang w:val="es-ES_tradnl"/>
              </w:rPr>
            </w:pPr>
            <w:r w:rsidRPr="0070578D">
              <w:rPr>
                <w:rFonts w:ascii="Arial" w:eastAsia="Calibri" w:hAnsi="Arial" w:cs="Arial"/>
                <w:color w:val="000000" w:themeColor="text1"/>
                <w:sz w:val="22"/>
                <w:lang w:val="es-ES_tradnl"/>
              </w:rPr>
              <w:t xml:space="preserve">Respuesta a consulta # </w:t>
            </w:r>
            <w:r w:rsidR="004B0BBC" w:rsidRPr="0070578D">
              <w:rPr>
                <w:rFonts w:ascii="Arial" w:hAnsi="Arial" w:cs="Arial"/>
                <w:color w:val="000000" w:themeColor="text1"/>
                <w:sz w:val="22"/>
                <w:lang w:val="es-ES_tradnl"/>
              </w:rPr>
              <w:t>4202013000001770</w:t>
            </w:r>
          </w:p>
        </w:tc>
      </w:tr>
    </w:tbl>
    <w:p w14:paraId="6199F8C9" w14:textId="77777777" w:rsidR="00A37FB6" w:rsidRPr="0070578D" w:rsidRDefault="00A37FB6" w:rsidP="00F23E3A">
      <w:pPr>
        <w:spacing w:line="276" w:lineRule="auto"/>
        <w:jc w:val="both"/>
        <w:rPr>
          <w:rFonts w:ascii="Arial" w:eastAsia="Calibri" w:hAnsi="Arial" w:cs="Arial"/>
          <w:color w:val="000000" w:themeColor="text1"/>
          <w:sz w:val="22"/>
          <w:lang w:val="es-ES_tradnl"/>
        </w:rPr>
      </w:pPr>
    </w:p>
    <w:p w14:paraId="6AEA1AE6" w14:textId="77777777" w:rsidR="00A37FB6" w:rsidRPr="0070578D" w:rsidRDefault="00A37FB6" w:rsidP="00F23E3A">
      <w:pPr>
        <w:spacing w:line="276" w:lineRule="auto"/>
        <w:rPr>
          <w:rFonts w:ascii="Arial" w:eastAsia="Calibri" w:hAnsi="Arial" w:cs="Arial"/>
          <w:color w:val="000000" w:themeColor="text1"/>
          <w:sz w:val="22"/>
          <w:lang w:val="es-ES_tradnl"/>
        </w:rPr>
      </w:pPr>
    </w:p>
    <w:p w14:paraId="2F0DA2F5" w14:textId="4D4D2E20" w:rsidR="00A37FB6" w:rsidRPr="0070578D" w:rsidRDefault="006C1C9E" w:rsidP="00F23E3A">
      <w:pPr>
        <w:spacing w:line="276" w:lineRule="auto"/>
        <w:rPr>
          <w:rFonts w:ascii="Arial" w:eastAsia="Calibri" w:hAnsi="Arial" w:cs="Arial"/>
          <w:color w:val="000000" w:themeColor="text1"/>
          <w:sz w:val="22"/>
          <w:lang w:val="es-ES_tradnl"/>
        </w:rPr>
      </w:pPr>
      <w:r w:rsidRPr="0070578D">
        <w:rPr>
          <w:rFonts w:ascii="Arial" w:eastAsia="Calibri" w:hAnsi="Arial" w:cs="Arial"/>
          <w:color w:val="000000" w:themeColor="text1"/>
          <w:sz w:val="22"/>
          <w:lang w:val="es-ES_tradnl"/>
        </w:rPr>
        <w:t>Estimad</w:t>
      </w:r>
      <w:r w:rsidR="00E7165F" w:rsidRPr="0070578D">
        <w:rPr>
          <w:rFonts w:ascii="Arial" w:eastAsia="Calibri" w:hAnsi="Arial" w:cs="Arial"/>
          <w:color w:val="000000" w:themeColor="text1"/>
          <w:sz w:val="22"/>
          <w:lang w:val="es-ES_tradnl"/>
        </w:rPr>
        <w:t>a</w:t>
      </w:r>
      <w:r w:rsidRPr="0070578D">
        <w:rPr>
          <w:rFonts w:ascii="Arial" w:eastAsia="Calibri" w:hAnsi="Arial" w:cs="Arial"/>
          <w:color w:val="000000" w:themeColor="text1"/>
          <w:sz w:val="22"/>
          <w:lang w:val="es-ES_tradnl"/>
        </w:rPr>
        <w:t xml:space="preserve"> señor</w:t>
      </w:r>
      <w:r w:rsidR="00E7165F" w:rsidRPr="0070578D">
        <w:rPr>
          <w:rFonts w:ascii="Arial" w:eastAsia="Calibri" w:hAnsi="Arial" w:cs="Arial"/>
          <w:color w:val="000000" w:themeColor="text1"/>
          <w:sz w:val="22"/>
          <w:lang w:val="es-ES_tradnl"/>
        </w:rPr>
        <w:t>a</w:t>
      </w:r>
      <w:r w:rsidRPr="0070578D">
        <w:rPr>
          <w:rFonts w:ascii="Arial" w:eastAsia="Calibri" w:hAnsi="Arial" w:cs="Arial"/>
          <w:color w:val="000000" w:themeColor="text1"/>
          <w:sz w:val="22"/>
          <w:lang w:val="es-ES_tradnl"/>
        </w:rPr>
        <w:t xml:space="preserve"> </w:t>
      </w:r>
      <w:r w:rsidR="00E7165F" w:rsidRPr="0070578D">
        <w:rPr>
          <w:rFonts w:ascii="Arial" w:eastAsia="Calibri" w:hAnsi="Arial" w:cs="Arial"/>
          <w:color w:val="000000" w:themeColor="text1"/>
          <w:sz w:val="22"/>
          <w:lang w:val="es-ES_tradnl"/>
        </w:rPr>
        <w:t>Durán</w:t>
      </w:r>
      <w:r w:rsidRPr="0070578D">
        <w:rPr>
          <w:rFonts w:ascii="Arial" w:eastAsia="Calibri" w:hAnsi="Arial" w:cs="Arial"/>
          <w:color w:val="000000" w:themeColor="text1"/>
          <w:sz w:val="22"/>
          <w:lang w:val="es-ES_tradnl"/>
        </w:rPr>
        <w:t>,</w:t>
      </w:r>
    </w:p>
    <w:p w14:paraId="3CAF7803" w14:textId="77777777" w:rsidR="006C1C9E" w:rsidRPr="0070578D" w:rsidRDefault="006C1C9E" w:rsidP="00F23E3A">
      <w:pPr>
        <w:spacing w:line="276" w:lineRule="auto"/>
        <w:rPr>
          <w:rFonts w:ascii="Arial" w:eastAsia="Calibri" w:hAnsi="Arial" w:cs="Arial"/>
          <w:color w:val="000000" w:themeColor="text1"/>
          <w:sz w:val="22"/>
          <w:lang w:val="es-ES_tradnl"/>
        </w:rPr>
      </w:pPr>
    </w:p>
    <w:p w14:paraId="032894D3" w14:textId="0B997F3C" w:rsidR="006D6321" w:rsidRPr="0070578D" w:rsidRDefault="006C1C9E" w:rsidP="00544348">
      <w:pPr>
        <w:tabs>
          <w:tab w:val="left" w:pos="426"/>
        </w:tabs>
        <w:spacing w:line="276" w:lineRule="auto"/>
        <w:jc w:val="both"/>
        <w:rPr>
          <w:rFonts w:ascii="Arial" w:eastAsia="Calibri" w:hAnsi="Arial" w:cs="Arial"/>
          <w:color w:val="000000" w:themeColor="text1"/>
          <w:sz w:val="22"/>
          <w:lang w:val="es-ES_tradnl"/>
        </w:rPr>
      </w:pPr>
      <w:r w:rsidRPr="0070578D">
        <w:rPr>
          <w:rFonts w:ascii="Arial" w:eastAsia="Calibri" w:hAnsi="Arial" w:cs="Arial"/>
          <w:color w:val="000000" w:themeColor="text1"/>
          <w:sz w:val="22"/>
          <w:lang w:val="es-ES_tradnl"/>
        </w:rPr>
        <w:t>La Agencia Nacional de Contratación Pública ―</w:t>
      </w:r>
      <w:r w:rsidR="00AE70B1" w:rsidRPr="0070578D">
        <w:rPr>
          <w:rFonts w:ascii="Arial" w:eastAsia="Calibri" w:hAnsi="Arial" w:cs="Arial"/>
          <w:color w:val="000000" w:themeColor="text1"/>
          <w:sz w:val="22"/>
          <w:lang w:val="es-ES_tradnl"/>
        </w:rPr>
        <w:t xml:space="preserve"> </w:t>
      </w:r>
      <w:r w:rsidRPr="0070578D">
        <w:rPr>
          <w:rFonts w:ascii="Arial" w:eastAsia="Calibri" w:hAnsi="Arial" w:cs="Arial"/>
          <w:color w:val="000000" w:themeColor="text1"/>
          <w:sz w:val="22"/>
          <w:lang w:val="es-ES_tradnl"/>
        </w:rPr>
        <w:t>Colombia Compra Eficiente</w:t>
      </w:r>
      <w:r w:rsidR="00AE70B1" w:rsidRPr="0070578D">
        <w:rPr>
          <w:rFonts w:ascii="Arial" w:eastAsia="Calibri" w:hAnsi="Arial" w:cs="Arial"/>
          <w:color w:val="000000" w:themeColor="text1"/>
          <w:sz w:val="22"/>
          <w:lang w:val="es-ES_tradnl"/>
        </w:rPr>
        <w:t xml:space="preserve"> </w:t>
      </w:r>
      <w:r w:rsidRPr="0070578D">
        <w:rPr>
          <w:rFonts w:ascii="Arial" w:eastAsia="Calibri" w:hAnsi="Arial" w:cs="Arial"/>
          <w:color w:val="000000" w:themeColor="text1"/>
          <w:sz w:val="22"/>
          <w:lang w:val="es-ES_tradnl"/>
        </w:rPr>
        <w:t xml:space="preserve">responde su consulta del </w:t>
      </w:r>
      <w:r w:rsidR="004A43B7" w:rsidRPr="0070578D">
        <w:rPr>
          <w:rFonts w:ascii="Arial" w:eastAsia="Calibri" w:hAnsi="Arial" w:cs="Arial"/>
          <w:color w:val="000000" w:themeColor="text1"/>
          <w:sz w:val="22"/>
          <w:lang w:val="es-ES_tradnl"/>
        </w:rPr>
        <w:t>10</w:t>
      </w:r>
      <w:r w:rsidRPr="0070578D">
        <w:rPr>
          <w:rFonts w:ascii="Arial" w:eastAsia="Calibri" w:hAnsi="Arial" w:cs="Arial"/>
          <w:color w:val="000000" w:themeColor="text1"/>
          <w:sz w:val="22"/>
          <w:lang w:val="es-ES_tradnl"/>
        </w:rPr>
        <w:t xml:space="preserve"> de </w:t>
      </w:r>
      <w:r w:rsidR="004A43B7" w:rsidRPr="0070578D">
        <w:rPr>
          <w:rFonts w:ascii="Arial" w:eastAsia="Calibri" w:hAnsi="Arial" w:cs="Arial"/>
          <w:color w:val="000000" w:themeColor="text1"/>
          <w:sz w:val="22"/>
          <w:lang w:val="es-ES_tradnl"/>
        </w:rPr>
        <w:t>marzo</w:t>
      </w:r>
      <w:r w:rsidRPr="0070578D">
        <w:rPr>
          <w:rFonts w:ascii="Arial" w:eastAsia="Calibri" w:hAnsi="Arial" w:cs="Arial"/>
          <w:color w:val="000000" w:themeColor="text1"/>
          <w:sz w:val="22"/>
          <w:lang w:val="es-ES_tradnl"/>
        </w:rPr>
        <w:t xml:space="preserve"> de 20</w:t>
      </w:r>
      <w:r w:rsidR="00B46D74" w:rsidRPr="0070578D">
        <w:rPr>
          <w:rFonts w:ascii="Arial" w:eastAsia="Calibri" w:hAnsi="Arial" w:cs="Arial"/>
          <w:color w:val="000000" w:themeColor="text1"/>
          <w:sz w:val="22"/>
          <w:lang w:val="es-ES_tradnl"/>
        </w:rPr>
        <w:t>20</w:t>
      </w:r>
      <w:r w:rsidR="003C32BF" w:rsidRPr="0070578D">
        <w:rPr>
          <w:rFonts w:ascii="Arial" w:eastAsia="Calibri" w:hAnsi="Arial" w:cs="Arial"/>
          <w:color w:val="000000" w:themeColor="text1"/>
          <w:sz w:val="22"/>
          <w:lang w:val="es-ES_tradnl"/>
        </w:rPr>
        <w:t xml:space="preserve">, </w:t>
      </w:r>
      <w:r w:rsidRPr="0070578D">
        <w:rPr>
          <w:rFonts w:ascii="Arial" w:eastAsia="Calibri" w:hAnsi="Arial" w:cs="Arial"/>
          <w:color w:val="000000" w:themeColor="text1"/>
          <w:sz w:val="22"/>
          <w:lang w:val="es-ES_tradnl"/>
        </w:rPr>
        <w:t>en ejercicio de la competencia otorgada por el numeral 8 del artículo 11 y el numeral 5 del artículo 3 del Decreto Ley 4170 de 2011.</w:t>
      </w:r>
    </w:p>
    <w:p w14:paraId="4A373876" w14:textId="77777777" w:rsidR="006F3295" w:rsidRPr="0070578D" w:rsidRDefault="006F3295" w:rsidP="006F3295">
      <w:pPr>
        <w:pStyle w:val="Prrafodelista"/>
        <w:tabs>
          <w:tab w:val="left" w:pos="284"/>
        </w:tabs>
        <w:spacing w:line="276" w:lineRule="auto"/>
        <w:ind w:left="0"/>
        <w:jc w:val="both"/>
        <w:rPr>
          <w:rFonts w:ascii="Arial" w:eastAsia="Calibri" w:hAnsi="Arial" w:cs="Arial"/>
          <w:color w:val="000000" w:themeColor="text1"/>
          <w:sz w:val="22"/>
          <w:lang w:val="es-ES_tradnl"/>
        </w:rPr>
      </w:pPr>
    </w:p>
    <w:p w14:paraId="737E2623" w14:textId="437DF024" w:rsidR="00A37FB6" w:rsidRPr="0070578D" w:rsidRDefault="006F3295" w:rsidP="006F3295">
      <w:pPr>
        <w:pStyle w:val="Prrafodelista"/>
        <w:tabs>
          <w:tab w:val="left" w:pos="284"/>
        </w:tabs>
        <w:spacing w:line="276" w:lineRule="auto"/>
        <w:ind w:left="0"/>
        <w:jc w:val="both"/>
        <w:rPr>
          <w:rFonts w:ascii="Arial" w:eastAsia="Calibri" w:hAnsi="Arial" w:cs="Arial"/>
          <w:b/>
          <w:color w:val="000000" w:themeColor="text1"/>
          <w:sz w:val="22"/>
          <w:lang w:val="es-ES_tradnl"/>
        </w:rPr>
      </w:pPr>
      <w:r w:rsidRPr="0070578D">
        <w:rPr>
          <w:rFonts w:ascii="Arial" w:eastAsia="Calibri" w:hAnsi="Arial" w:cs="Arial"/>
          <w:b/>
          <w:color w:val="000000" w:themeColor="text1"/>
          <w:sz w:val="22"/>
          <w:lang w:val="es-ES_tradnl"/>
        </w:rPr>
        <w:t xml:space="preserve">1. </w:t>
      </w:r>
      <w:r w:rsidR="00A37FB6" w:rsidRPr="0070578D">
        <w:rPr>
          <w:rFonts w:ascii="Arial" w:eastAsia="Calibri" w:hAnsi="Arial" w:cs="Arial"/>
          <w:b/>
          <w:color w:val="000000" w:themeColor="text1"/>
          <w:sz w:val="22"/>
          <w:lang w:val="es-ES_tradnl"/>
        </w:rPr>
        <w:t xml:space="preserve">Problemas planteados </w:t>
      </w:r>
    </w:p>
    <w:p w14:paraId="498A026D" w14:textId="77777777" w:rsidR="00A37FB6" w:rsidRPr="0070578D" w:rsidRDefault="00A37FB6" w:rsidP="00F23E3A">
      <w:pPr>
        <w:tabs>
          <w:tab w:val="left" w:pos="426"/>
        </w:tabs>
        <w:spacing w:line="276" w:lineRule="auto"/>
        <w:jc w:val="both"/>
        <w:rPr>
          <w:rFonts w:ascii="Arial" w:eastAsia="Calibri" w:hAnsi="Arial" w:cs="Arial"/>
          <w:b/>
          <w:color w:val="000000" w:themeColor="text1"/>
          <w:sz w:val="22"/>
          <w:lang w:val="es-ES_tradnl"/>
        </w:rPr>
      </w:pPr>
    </w:p>
    <w:p w14:paraId="39B7172E" w14:textId="146EBD09" w:rsidR="00DB259A" w:rsidRPr="0070578D" w:rsidRDefault="00A37FB6" w:rsidP="00F23E3A">
      <w:pPr>
        <w:tabs>
          <w:tab w:val="left" w:pos="426"/>
        </w:tabs>
        <w:spacing w:line="276" w:lineRule="auto"/>
        <w:jc w:val="both"/>
        <w:rPr>
          <w:rFonts w:ascii="Arial" w:eastAsia="Calibri" w:hAnsi="Arial" w:cs="Arial"/>
          <w:color w:val="000000" w:themeColor="text1"/>
          <w:sz w:val="22"/>
          <w:lang w:val="es-ES_tradnl"/>
        </w:rPr>
      </w:pPr>
      <w:r w:rsidRPr="0070578D">
        <w:rPr>
          <w:rFonts w:ascii="Arial" w:eastAsia="Calibri" w:hAnsi="Arial" w:cs="Arial"/>
          <w:color w:val="000000" w:themeColor="text1"/>
          <w:sz w:val="22"/>
          <w:lang w:val="es-ES_tradnl"/>
        </w:rPr>
        <w:t xml:space="preserve">Usted </w:t>
      </w:r>
      <w:r w:rsidR="000D6A76" w:rsidRPr="0070578D">
        <w:rPr>
          <w:rFonts w:ascii="Arial" w:eastAsia="Calibri" w:hAnsi="Arial" w:cs="Arial"/>
          <w:color w:val="000000" w:themeColor="text1"/>
          <w:sz w:val="22"/>
          <w:lang w:val="es-ES_tradnl"/>
        </w:rPr>
        <w:t>realiza la</w:t>
      </w:r>
      <w:r w:rsidR="00F902F8" w:rsidRPr="0070578D">
        <w:rPr>
          <w:rFonts w:ascii="Arial" w:eastAsia="Calibri" w:hAnsi="Arial" w:cs="Arial"/>
          <w:color w:val="000000" w:themeColor="text1"/>
          <w:sz w:val="22"/>
          <w:lang w:val="es-ES_tradnl"/>
        </w:rPr>
        <w:t xml:space="preserve"> siguiente</w:t>
      </w:r>
      <w:r w:rsidR="00856129" w:rsidRPr="0070578D">
        <w:rPr>
          <w:rFonts w:ascii="Arial" w:eastAsia="Calibri" w:hAnsi="Arial" w:cs="Arial"/>
          <w:color w:val="000000" w:themeColor="text1"/>
          <w:sz w:val="22"/>
          <w:lang w:val="es-ES_tradnl"/>
        </w:rPr>
        <w:t xml:space="preserve"> </w:t>
      </w:r>
      <w:r w:rsidR="00F902F8" w:rsidRPr="0070578D">
        <w:rPr>
          <w:rFonts w:ascii="Arial" w:eastAsia="Calibri" w:hAnsi="Arial" w:cs="Arial"/>
          <w:color w:val="000000" w:themeColor="text1"/>
          <w:sz w:val="22"/>
          <w:lang w:val="es-ES_tradnl"/>
        </w:rPr>
        <w:t>pregunta</w:t>
      </w:r>
      <w:r w:rsidR="006E314D" w:rsidRPr="0070578D">
        <w:rPr>
          <w:rFonts w:ascii="Arial" w:eastAsia="Calibri" w:hAnsi="Arial" w:cs="Arial"/>
          <w:color w:val="000000" w:themeColor="text1"/>
          <w:sz w:val="22"/>
          <w:lang w:val="es-ES_tradnl"/>
        </w:rPr>
        <w:t>,</w:t>
      </w:r>
      <w:r w:rsidR="00F902F8" w:rsidRPr="0070578D">
        <w:rPr>
          <w:rFonts w:ascii="Arial" w:eastAsia="Calibri" w:hAnsi="Arial" w:cs="Arial"/>
          <w:color w:val="000000" w:themeColor="text1"/>
          <w:sz w:val="22"/>
          <w:lang w:val="es-ES_tradnl"/>
        </w:rPr>
        <w:t xml:space="preserve"> en relación con</w:t>
      </w:r>
      <w:r w:rsidR="00A57BD6" w:rsidRPr="0070578D">
        <w:rPr>
          <w:rFonts w:ascii="Arial" w:eastAsia="Calibri" w:hAnsi="Arial" w:cs="Arial"/>
          <w:color w:val="000000" w:themeColor="text1"/>
          <w:sz w:val="22"/>
          <w:lang w:val="es-ES_tradnl"/>
        </w:rPr>
        <w:t xml:space="preserve"> </w:t>
      </w:r>
      <w:r w:rsidR="00D418ED" w:rsidRPr="0070578D">
        <w:rPr>
          <w:rFonts w:ascii="Arial" w:eastAsia="Calibri" w:hAnsi="Arial" w:cs="Arial"/>
          <w:color w:val="000000" w:themeColor="text1"/>
          <w:sz w:val="22"/>
          <w:lang w:val="es-ES_tradnl"/>
        </w:rPr>
        <w:t>la posibilidad de contratar directamente «</w:t>
      </w:r>
      <w:r w:rsidR="00A57BD6" w:rsidRPr="0070578D">
        <w:rPr>
          <w:rFonts w:ascii="Arial" w:eastAsia="Calibri" w:hAnsi="Arial" w:cs="Arial"/>
          <w:color w:val="000000" w:themeColor="text1"/>
          <w:sz w:val="22"/>
          <w:lang w:val="es-ES_tradnl"/>
        </w:rPr>
        <w:t>a través de la modalidad de Contrato Interadministrativo con universidades públicas, omitiendo los procesos de selección</w:t>
      </w:r>
      <w:r w:rsidR="0014692F" w:rsidRPr="0070578D">
        <w:rPr>
          <w:rFonts w:ascii="Arial" w:eastAsia="Calibri" w:hAnsi="Arial" w:cs="Arial"/>
          <w:color w:val="000000" w:themeColor="text1"/>
          <w:sz w:val="22"/>
          <w:lang w:val="es-ES_tradnl"/>
        </w:rPr>
        <w:t xml:space="preserve"> pública de la Ley 80 de 1993, específicamente el Concurso de Méritos, para la selección de la Interventoría Idónea como lo establece la Ley</w:t>
      </w:r>
      <w:r w:rsidR="00446ED5" w:rsidRPr="0070578D">
        <w:rPr>
          <w:rFonts w:ascii="Arial" w:eastAsia="Calibri" w:hAnsi="Arial" w:cs="Arial"/>
          <w:color w:val="000000" w:themeColor="text1"/>
          <w:sz w:val="22"/>
          <w:lang w:val="es-ES_tradnl"/>
        </w:rPr>
        <w:t>, para la prestación del servicio de alumbrado público</w:t>
      </w:r>
      <w:r w:rsidR="00960C70" w:rsidRPr="0070578D">
        <w:rPr>
          <w:rFonts w:ascii="Arial" w:eastAsia="Calibri" w:hAnsi="Arial" w:cs="Arial"/>
          <w:color w:val="000000" w:themeColor="text1"/>
          <w:sz w:val="22"/>
          <w:lang w:val="es-ES_tradnl"/>
        </w:rPr>
        <w:t xml:space="preserve"> de los municipios</w:t>
      </w:r>
      <w:r w:rsidR="00D418ED" w:rsidRPr="0070578D">
        <w:rPr>
          <w:rFonts w:ascii="Arial" w:eastAsia="Calibri" w:hAnsi="Arial" w:cs="Arial"/>
          <w:color w:val="000000" w:themeColor="text1"/>
          <w:sz w:val="22"/>
          <w:lang w:val="es-ES_tradnl"/>
        </w:rPr>
        <w:t>»</w:t>
      </w:r>
      <w:r w:rsidR="00527F9C" w:rsidRPr="0070578D">
        <w:rPr>
          <w:rFonts w:ascii="Arial" w:eastAsia="Calibri" w:hAnsi="Arial" w:cs="Arial"/>
          <w:color w:val="000000" w:themeColor="text1"/>
          <w:sz w:val="22"/>
          <w:lang w:val="es-ES_tradnl"/>
        </w:rPr>
        <w:t>,</w:t>
      </w:r>
      <w:r w:rsidR="00AF22B8" w:rsidRPr="0070578D">
        <w:rPr>
          <w:rFonts w:ascii="Arial" w:eastAsia="Calibri" w:hAnsi="Arial" w:cs="Arial"/>
          <w:color w:val="000000" w:themeColor="text1"/>
          <w:sz w:val="22"/>
          <w:lang w:val="es-ES_tradnl"/>
        </w:rPr>
        <w:t xml:space="preserve"> «</w:t>
      </w:r>
      <w:r w:rsidR="00F902F8" w:rsidRPr="0070578D">
        <w:rPr>
          <w:rFonts w:ascii="Arial" w:eastAsia="Calibri" w:hAnsi="Arial" w:cs="Arial"/>
          <w:color w:val="000000" w:themeColor="text1"/>
          <w:sz w:val="22"/>
          <w:lang w:val="es-ES_tradnl"/>
        </w:rPr>
        <w:t>¿</w:t>
      </w:r>
      <w:r w:rsidR="00AF22B8" w:rsidRPr="0070578D">
        <w:rPr>
          <w:rFonts w:ascii="Arial" w:eastAsia="Calibri" w:hAnsi="Arial" w:cs="Arial"/>
          <w:color w:val="000000" w:themeColor="text1"/>
          <w:sz w:val="22"/>
          <w:lang w:val="es-ES_tradnl"/>
        </w:rPr>
        <w:t xml:space="preserve">Tendrán idoneidad las universidades para realizar directamente la interventoría a la prestación de </w:t>
      </w:r>
      <w:r w:rsidR="00AF22B8" w:rsidRPr="0070578D">
        <w:rPr>
          <w:rFonts w:ascii="Arial" w:eastAsia="Calibri" w:hAnsi="Arial" w:cs="Arial"/>
          <w:color w:val="000000" w:themeColor="text1"/>
          <w:sz w:val="22"/>
          <w:lang w:val="es-ES_tradnl"/>
        </w:rPr>
        <w:lastRenderedPageBreak/>
        <w:t>este ser</w:t>
      </w:r>
      <w:r w:rsidR="00F902F8" w:rsidRPr="0070578D">
        <w:rPr>
          <w:rFonts w:ascii="Arial" w:eastAsia="Calibri" w:hAnsi="Arial" w:cs="Arial"/>
          <w:color w:val="000000" w:themeColor="text1"/>
          <w:sz w:val="22"/>
          <w:lang w:val="es-ES_tradnl"/>
        </w:rPr>
        <w:t>vicio público, o será una forma de entregar directamente el contrato a un tercero evadiendo el cumplimiento de la ley?».</w:t>
      </w:r>
    </w:p>
    <w:p w14:paraId="26AFDCC0" w14:textId="77777777" w:rsidR="00514171" w:rsidRPr="0070578D" w:rsidRDefault="00514171" w:rsidP="00F23E3A">
      <w:pPr>
        <w:tabs>
          <w:tab w:val="left" w:pos="426"/>
        </w:tabs>
        <w:spacing w:line="276" w:lineRule="auto"/>
        <w:jc w:val="both"/>
        <w:rPr>
          <w:rFonts w:ascii="Arial" w:eastAsia="Calibri" w:hAnsi="Arial" w:cs="Arial"/>
          <w:color w:val="000000" w:themeColor="text1"/>
          <w:sz w:val="22"/>
          <w:lang w:val="es-ES_tradnl"/>
        </w:rPr>
      </w:pPr>
    </w:p>
    <w:p w14:paraId="6A32A1B1" w14:textId="33A59142" w:rsidR="00A37FB6" w:rsidRPr="0070578D" w:rsidRDefault="0010298F" w:rsidP="0010298F">
      <w:pPr>
        <w:tabs>
          <w:tab w:val="left" w:pos="426"/>
        </w:tabs>
        <w:spacing w:line="276" w:lineRule="auto"/>
        <w:jc w:val="both"/>
        <w:rPr>
          <w:rFonts w:ascii="Arial" w:eastAsia="Calibri" w:hAnsi="Arial" w:cs="Arial"/>
          <w:b/>
          <w:color w:val="000000" w:themeColor="text1"/>
          <w:sz w:val="22"/>
          <w:lang w:val="es-ES_tradnl"/>
        </w:rPr>
      </w:pPr>
      <w:r w:rsidRPr="0070578D">
        <w:rPr>
          <w:rFonts w:ascii="Arial" w:eastAsia="Calibri" w:hAnsi="Arial" w:cs="Arial"/>
          <w:b/>
          <w:color w:val="000000" w:themeColor="text1"/>
          <w:sz w:val="22"/>
          <w:lang w:val="es-ES_tradnl"/>
        </w:rPr>
        <w:t xml:space="preserve">2. </w:t>
      </w:r>
      <w:r w:rsidR="00A37FB6" w:rsidRPr="0070578D">
        <w:rPr>
          <w:rFonts w:ascii="Arial" w:eastAsia="Calibri" w:hAnsi="Arial" w:cs="Arial"/>
          <w:b/>
          <w:color w:val="000000" w:themeColor="text1"/>
          <w:sz w:val="22"/>
          <w:lang w:val="es-ES_tradnl"/>
        </w:rPr>
        <w:t>Consideraciones</w:t>
      </w:r>
    </w:p>
    <w:bookmarkEnd w:id="0"/>
    <w:bookmarkEnd w:id="1"/>
    <w:p w14:paraId="5D8BAB86" w14:textId="77777777" w:rsidR="00D94962" w:rsidRPr="0070578D" w:rsidRDefault="00D94962" w:rsidP="00F23E3A">
      <w:pPr>
        <w:spacing w:line="276" w:lineRule="auto"/>
        <w:jc w:val="both"/>
        <w:rPr>
          <w:rFonts w:ascii="Arial" w:hAnsi="Arial" w:cs="Arial"/>
          <w:color w:val="000000" w:themeColor="text1"/>
          <w:sz w:val="22"/>
          <w:lang w:val="es-ES_tradnl"/>
        </w:rPr>
      </w:pPr>
    </w:p>
    <w:p w14:paraId="55B632B2" w14:textId="77777777" w:rsidR="00797B9E" w:rsidRPr="0070578D" w:rsidRDefault="001C7A22" w:rsidP="00797B9E">
      <w:pPr>
        <w:spacing w:before="120" w:line="276" w:lineRule="auto"/>
        <w:jc w:val="both"/>
        <w:rPr>
          <w:rFonts w:ascii="Arial" w:hAnsi="Arial" w:cs="Arial"/>
          <w:color w:val="000000" w:themeColor="text1"/>
          <w:sz w:val="22"/>
          <w:lang w:val="es-ES_tradnl"/>
        </w:rPr>
      </w:pPr>
      <w:r w:rsidRPr="0070578D">
        <w:rPr>
          <w:rFonts w:ascii="Arial" w:hAnsi="Arial" w:cs="Arial"/>
          <w:color w:val="000000" w:themeColor="text1"/>
          <w:sz w:val="22"/>
          <w:lang w:val="es-ES_tradnl"/>
        </w:rPr>
        <w:t>Para resolver esta consulta se hará un análisis de los siguientes temas:</w:t>
      </w:r>
      <w:r w:rsidR="00C60032" w:rsidRPr="0070578D">
        <w:rPr>
          <w:rFonts w:ascii="Arial" w:hAnsi="Arial" w:cs="Arial"/>
          <w:color w:val="000000" w:themeColor="text1"/>
          <w:sz w:val="22"/>
          <w:lang w:val="es-ES_tradnl"/>
        </w:rPr>
        <w:t xml:space="preserve"> i)</w:t>
      </w:r>
      <w:r w:rsidR="002C4436" w:rsidRPr="0070578D">
        <w:rPr>
          <w:rFonts w:ascii="Arial" w:hAnsi="Arial" w:cs="Arial"/>
          <w:color w:val="000000" w:themeColor="text1"/>
          <w:sz w:val="22"/>
          <w:lang w:val="es-ES_tradnl"/>
        </w:rPr>
        <w:t xml:space="preserve"> disposiciones normativas aplicables a las entidades estatales con régimen e</w:t>
      </w:r>
      <w:r w:rsidR="00596243" w:rsidRPr="0070578D">
        <w:rPr>
          <w:rFonts w:ascii="Arial" w:hAnsi="Arial" w:cs="Arial"/>
          <w:color w:val="000000" w:themeColor="text1"/>
          <w:sz w:val="22"/>
          <w:lang w:val="es-ES_tradnl"/>
        </w:rPr>
        <w:t xml:space="preserve">special en materia contractual, </w:t>
      </w:r>
      <w:r w:rsidR="002C4436" w:rsidRPr="0070578D">
        <w:rPr>
          <w:rFonts w:ascii="Arial" w:hAnsi="Arial" w:cs="Arial"/>
          <w:color w:val="000000" w:themeColor="text1"/>
          <w:sz w:val="22"/>
          <w:lang w:val="es-ES_tradnl"/>
        </w:rPr>
        <w:t>ii)</w:t>
      </w:r>
      <w:r w:rsidR="00D81753" w:rsidRPr="0070578D">
        <w:rPr>
          <w:rFonts w:ascii="Arial" w:hAnsi="Arial" w:cs="Arial"/>
          <w:color w:val="000000" w:themeColor="text1"/>
          <w:sz w:val="22"/>
          <w:lang w:val="es-ES_tradnl"/>
        </w:rPr>
        <w:t xml:space="preserve"> naturaleza y régimen de los contratos interadministrativos</w:t>
      </w:r>
      <w:r w:rsidR="00596243" w:rsidRPr="0070578D">
        <w:rPr>
          <w:rFonts w:ascii="Arial" w:hAnsi="Arial" w:cs="Arial"/>
          <w:color w:val="000000" w:themeColor="text1"/>
          <w:sz w:val="22"/>
          <w:lang w:val="es-ES_tradnl"/>
        </w:rPr>
        <w:t xml:space="preserve"> y iii) posibilidad de contratar directamente la interventoría</w:t>
      </w:r>
      <w:r w:rsidR="000643ED" w:rsidRPr="0070578D">
        <w:rPr>
          <w:rFonts w:ascii="Arial" w:hAnsi="Arial" w:cs="Arial"/>
          <w:color w:val="000000" w:themeColor="text1"/>
          <w:sz w:val="22"/>
          <w:lang w:val="es-ES_tradnl"/>
        </w:rPr>
        <w:t xml:space="preserve"> al servicio de alumbrado público</w:t>
      </w:r>
      <w:r w:rsidR="00596243" w:rsidRPr="0070578D">
        <w:rPr>
          <w:rFonts w:ascii="Arial" w:hAnsi="Arial" w:cs="Arial"/>
          <w:color w:val="000000" w:themeColor="text1"/>
          <w:sz w:val="22"/>
          <w:lang w:val="es-ES_tradnl"/>
        </w:rPr>
        <w:t xml:space="preserve"> a través de la celebración de </w:t>
      </w:r>
      <w:r w:rsidR="000643ED" w:rsidRPr="0070578D">
        <w:rPr>
          <w:rFonts w:ascii="Arial" w:hAnsi="Arial" w:cs="Arial"/>
          <w:color w:val="000000" w:themeColor="text1"/>
          <w:sz w:val="22"/>
          <w:lang w:val="es-ES_tradnl"/>
        </w:rPr>
        <w:t>un contrato interadministrativo con una universidad pública.</w:t>
      </w:r>
    </w:p>
    <w:p w14:paraId="373900CA" w14:textId="49C3C93B" w:rsidR="00783010" w:rsidRPr="0070578D" w:rsidRDefault="00783010" w:rsidP="00797B9E">
      <w:pPr>
        <w:spacing w:before="120" w:line="276" w:lineRule="auto"/>
        <w:ind w:firstLine="709"/>
        <w:jc w:val="both"/>
        <w:rPr>
          <w:rFonts w:ascii="Arial" w:hAnsi="Arial" w:cs="Arial"/>
          <w:color w:val="000000" w:themeColor="text1"/>
          <w:sz w:val="22"/>
          <w:lang w:val="es-ES_tradnl"/>
        </w:rPr>
      </w:pPr>
      <w:r w:rsidRPr="0070578D">
        <w:rPr>
          <w:rFonts w:ascii="Arial" w:eastAsia="Calibri" w:hAnsi="Arial" w:cs="Arial"/>
          <w:color w:val="000000" w:themeColor="text1"/>
          <w:sz w:val="22"/>
          <w:lang w:val="es-ES_tradnl"/>
        </w:rPr>
        <w:t xml:space="preserve">En </w:t>
      </w:r>
      <w:r w:rsidRPr="0070578D">
        <w:rPr>
          <w:rFonts w:ascii="Arial" w:eastAsia="Calibri" w:hAnsi="Arial" w:cs="Arial"/>
          <w:color w:val="000000" w:themeColor="text1"/>
          <w:sz w:val="22"/>
        </w:rPr>
        <w:t xml:space="preserve">concepto con radicado No. 4201913000004536 del 22 de julio de 2019, reiterado y desarrollado en los conceptos identificados con radicado No. 4201913000004446 del 13 de agosto de 2019, radicado No. 4201912000004954 del 5 de septiembre de 2019 y radicado No. 4201913000007429 del 25 de noviembre de 2019, estudió </w:t>
      </w:r>
      <w:r w:rsidR="00797B9E" w:rsidRPr="0070578D">
        <w:rPr>
          <w:rFonts w:ascii="Arial" w:eastAsia="Calibri" w:hAnsi="Arial" w:cs="Arial"/>
          <w:color w:val="000000" w:themeColor="text1"/>
          <w:sz w:val="22"/>
        </w:rPr>
        <w:t>el régimen de los contratos interadministrativos</w:t>
      </w:r>
      <w:r w:rsidRPr="0070578D">
        <w:rPr>
          <w:rFonts w:ascii="Arial" w:eastAsia="Calibri" w:hAnsi="Arial" w:cs="Arial"/>
          <w:color w:val="000000" w:themeColor="text1"/>
          <w:sz w:val="22"/>
        </w:rPr>
        <w:t xml:space="preserve">. </w:t>
      </w:r>
      <w:r w:rsidR="00797B9E" w:rsidRPr="0070578D">
        <w:rPr>
          <w:rFonts w:ascii="Arial" w:eastAsia="Calibri" w:hAnsi="Arial" w:cs="Arial"/>
          <w:color w:val="000000" w:themeColor="text1"/>
          <w:sz w:val="22"/>
        </w:rPr>
        <w:t>Las ideas expuestos en ellos se reiteran a continuación:</w:t>
      </w:r>
      <w:r w:rsidRPr="0070578D">
        <w:rPr>
          <w:rFonts w:ascii="Arial" w:eastAsia="Calibri" w:hAnsi="Arial" w:cs="Arial"/>
          <w:color w:val="000000" w:themeColor="text1"/>
          <w:sz w:val="22"/>
        </w:rPr>
        <w:t xml:space="preserve"> </w:t>
      </w:r>
    </w:p>
    <w:p w14:paraId="403C39B1" w14:textId="617E0AA6" w:rsidR="00075060" w:rsidRPr="0070578D" w:rsidRDefault="00075060" w:rsidP="006256B5">
      <w:pPr>
        <w:spacing w:line="276" w:lineRule="auto"/>
        <w:jc w:val="both"/>
        <w:rPr>
          <w:rFonts w:ascii="Arial" w:eastAsia="Calibri" w:hAnsi="Arial" w:cs="Arial"/>
          <w:color w:val="000000" w:themeColor="text1"/>
          <w:sz w:val="22"/>
          <w:lang w:val="es-ES_tradnl"/>
        </w:rPr>
      </w:pPr>
    </w:p>
    <w:p w14:paraId="46161182" w14:textId="77777777" w:rsidR="00797B9E" w:rsidRPr="0070578D" w:rsidRDefault="00590A6D" w:rsidP="00797B9E">
      <w:pPr>
        <w:tabs>
          <w:tab w:val="left" w:pos="426"/>
        </w:tabs>
        <w:spacing w:line="276" w:lineRule="auto"/>
        <w:jc w:val="both"/>
        <w:rPr>
          <w:rFonts w:ascii="Arial" w:eastAsia="Calibri" w:hAnsi="Arial" w:cs="Arial"/>
          <w:b/>
          <w:color w:val="000000" w:themeColor="text1"/>
          <w:sz w:val="22"/>
          <w:lang w:val="es-ES_tradnl"/>
        </w:rPr>
      </w:pPr>
      <w:r w:rsidRPr="0070578D">
        <w:rPr>
          <w:rFonts w:ascii="Arial" w:eastAsia="Calibri" w:hAnsi="Arial" w:cs="Arial"/>
          <w:b/>
          <w:color w:val="000000" w:themeColor="text1"/>
          <w:sz w:val="22"/>
          <w:lang w:val="es-ES_tradnl"/>
        </w:rPr>
        <w:t>2.1. Disposiciones normativas aplicables a las e</w:t>
      </w:r>
      <w:r w:rsidR="003E014E" w:rsidRPr="0070578D">
        <w:rPr>
          <w:rFonts w:ascii="Arial" w:eastAsia="Calibri" w:hAnsi="Arial" w:cs="Arial"/>
          <w:b/>
          <w:color w:val="000000" w:themeColor="text1"/>
          <w:sz w:val="22"/>
          <w:lang w:val="es-ES_tradnl"/>
        </w:rPr>
        <w:t>ntidades de régimen especial</w:t>
      </w:r>
    </w:p>
    <w:p w14:paraId="45A83CB0" w14:textId="77777777" w:rsidR="00797B9E" w:rsidRPr="0070578D" w:rsidRDefault="00797B9E" w:rsidP="00797B9E">
      <w:pPr>
        <w:tabs>
          <w:tab w:val="left" w:pos="426"/>
        </w:tabs>
        <w:spacing w:line="276" w:lineRule="auto"/>
        <w:jc w:val="both"/>
        <w:rPr>
          <w:rFonts w:ascii="Arial" w:eastAsia="Calibri" w:hAnsi="Arial" w:cs="Arial"/>
          <w:b/>
          <w:color w:val="000000" w:themeColor="text1"/>
          <w:sz w:val="22"/>
          <w:lang w:val="es-ES_tradnl"/>
        </w:rPr>
      </w:pPr>
    </w:p>
    <w:p w14:paraId="57706BF7" w14:textId="57AA91CD" w:rsidR="003E014E" w:rsidRPr="0070578D" w:rsidRDefault="003E014E" w:rsidP="00797B9E">
      <w:pPr>
        <w:tabs>
          <w:tab w:val="left" w:pos="426"/>
        </w:tabs>
        <w:spacing w:line="276" w:lineRule="auto"/>
        <w:jc w:val="both"/>
        <w:rPr>
          <w:rFonts w:ascii="Arial" w:eastAsia="Calibri" w:hAnsi="Arial" w:cs="Arial"/>
          <w:b/>
          <w:color w:val="000000" w:themeColor="text1"/>
          <w:sz w:val="22"/>
          <w:lang w:val="es-ES_tradnl"/>
        </w:rPr>
      </w:pPr>
      <w:r w:rsidRPr="0070578D">
        <w:rPr>
          <w:rFonts w:ascii="Arial" w:eastAsia="Calibri" w:hAnsi="Arial" w:cs="Arial"/>
          <w:color w:val="000000" w:themeColor="text1"/>
          <w:sz w:val="22"/>
          <w:lang w:val="es-ES_tradnl"/>
        </w:rPr>
        <w:t>Las entidades de régimen especial son aquellas que, por expresa disposición legal y por su naturaleza o situación de competencia, tienen condiciones diferenciales respecto de la nor</w:t>
      </w:r>
      <w:r w:rsidR="006A73CC" w:rsidRPr="0070578D">
        <w:rPr>
          <w:rFonts w:ascii="Arial" w:eastAsia="Calibri" w:hAnsi="Arial" w:cs="Arial"/>
          <w:color w:val="000000" w:themeColor="text1"/>
          <w:sz w:val="22"/>
          <w:lang w:val="es-ES_tradnl"/>
        </w:rPr>
        <w:t xml:space="preserve">mativa de contratación pública. </w:t>
      </w:r>
      <w:r w:rsidRPr="0070578D">
        <w:rPr>
          <w:rFonts w:ascii="Arial" w:eastAsia="Calibri" w:hAnsi="Arial" w:cs="Arial"/>
          <w:color w:val="000000" w:themeColor="text1"/>
          <w:sz w:val="22"/>
          <w:lang w:val="es-ES_tradnl"/>
        </w:rPr>
        <w:t>Esto quiere decir que no están sometidas al Estatuto General de Contratación de la Administración Pública, y por ende sus procedimientos contractuales tienen su normativa para su desarrollo, esto es, el derecho privado, lo cual está determinado en las normas de creación de las entidades de régimen especial y en sus manuales de contratación.</w:t>
      </w:r>
    </w:p>
    <w:p w14:paraId="0EEAB707" w14:textId="77777777" w:rsidR="003E014E" w:rsidRPr="0070578D" w:rsidRDefault="003E014E" w:rsidP="003E014E">
      <w:pPr>
        <w:spacing w:before="120" w:after="120" w:line="276" w:lineRule="auto"/>
        <w:jc w:val="both"/>
        <w:rPr>
          <w:rFonts w:ascii="Arial" w:eastAsia="Calibri" w:hAnsi="Arial" w:cs="Arial"/>
          <w:color w:val="000000" w:themeColor="text1"/>
          <w:sz w:val="22"/>
          <w:lang w:val="es-ES_tradnl"/>
        </w:rPr>
      </w:pPr>
      <w:r w:rsidRPr="0070578D">
        <w:rPr>
          <w:rFonts w:ascii="Arial" w:eastAsia="Calibri" w:hAnsi="Arial" w:cs="Arial"/>
          <w:color w:val="000000" w:themeColor="text1"/>
          <w:sz w:val="22"/>
          <w:lang w:val="es-ES_tradnl"/>
        </w:rPr>
        <w:tab/>
        <w:t>Teniendo en cuenta que las entidades de régimen especial están facultadas legalmente para aplicar reglas distintas a la Ley 80 de 1993 y sus normas complementarias, ello estará definido en la noma que crea el régimen especial y será desarrollado en el manual de contratación, con el fin de que se puedan identificar las reglas que aplican en la contratación. La Agencia Nacional de Contratación Pública - Colombia Compra Eficiente expidió la Guía para las Entidades Estatales con régimen especial de contratación, que las define como aquellas que contratan con un régimen distinto a las Leyes 80 de 1993 y 1150 de 2007</w:t>
      </w:r>
      <w:r w:rsidRPr="0070578D">
        <w:rPr>
          <w:rStyle w:val="Refdenotaalpie"/>
          <w:rFonts w:ascii="Arial" w:eastAsia="Calibri" w:hAnsi="Arial" w:cs="Arial"/>
          <w:color w:val="000000" w:themeColor="text1"/>
          <w:sz w:val="22"/>
          <w:lang w:val="es-ES_tradnl"/>
        </w:rPr>
        <w:footnoteReference w:id="1"/>
      </w:r>
      <w:r w:rsidRPr="0070578D">
        <w:rPr>
          <w:rFonts w:ascii="Arial" w:eastAsia="Calibri" w:hAnsi="Arial" w:cs="Arial"/>
          <w:color w:val="000000" w:themeColor="text1"/>
          <w:sz w:val="22"/>
          <w:lang w:val="es-ES_tradnl"/>
        </w:rPr>
        <w:t>.</w:t>
      </w:r>
    </w:p>
    <w:p w14:paraId="5D7C4848" w14:textId="0DF06DCA" w:rsidR="003E014E" w:rsidRPr="0070578D" w:rsidRDefault="003E014E" w:rsidP="003E014E">
      <w:pPr>
        <w:spacing w:line="276" w:lineRule="auto"/>
        <w:jc w:val="both"/>
        <w:rPr>
          <w:rFonts w:ascii="Arial" w:eastAsia="Calibri" w:hAnsi="Arial" w:cs="Arial"/>
          <w:color w:val="000000" w:themeColor="text1"/>
          <w:sz w:val="22"/>
          <w:lang w:val="es-ES_tradnl"/>
        </w:rPr>
      </w:pPr>
      <w:r w:rsidRPr="0070578D">
        <w:rPr>
          <w:rFonts w:ascii="Arial" w:eastAsia="Calibri" w:hAnsi="Arial" w:cs="Arial"/>
          <w:color w:val="000000" w:themeColor="text1"/>
          <w:sz w:val="22"/>
          <w:lang w:val="es-ES_tradnl"/>
        </w:rPr>
        <w:lastRenderedPageBreak/>
        <w:tab/>
        <w:t>No obstante, las entidades de régimen especial cumplen una finalidad pública y utilizan recursos públicos para lograrlo, por lo que no son ajenas a los principios de la función administrativa y el control fiscal, entre otras reglas dispuestas en la normativa de contratación pública que son trasversales a todas las entidades, sin importar su régimen legal</w:t>
      </w:r>
      <w:r w:rsidR="00820542" w:rsidRPr="0070578D">
        <w:rPr>
          <w:rFonts w:ascii="Arial" w:eastAsia="Calibri" w:hAnsi="Arial" w:cs="Arial"/>
          <w:color w:val="000000" w:themeColor="text1"/>
          <w:sz w:val="22"/>
          <w:lang w:val="es-ES_tradnl"/>
        </w:rPr>
        <w:t>, como el régimen de inhabilidades e incompatibilidades previsto para la contratación estatal</w:t>
      </w:r>
      <w:r w:rsidRPr="0070578D">
        <w:rPr>
          <w:rFonts w:ascii="Arial" w:eastAsia="Calibri" w:hAnsi="Arial" w:cs="Arial"/>
          <w:color w:val="000000" w:themeColor="text1"/>
          <w:sz w:val="22"/>
          <w:lang w:val="es-ES_tradnl"/>
        </w:rPr>
        <w:t>. Lo anterior es reafirmado por el Consejo de Estado, que destaca las reglas que sigue la contratación de las entidades de régimen especial:</w:t>
      </w:r>
    </w:p>
    <w:p w14:paraId="03EDC99A" w14:textId="77777777" w:rsidR="003E014E" w:rsidRPr="0070578D" w:rsidRDefault="003E014E" w:rsidP="003E014E">
      <w:pPr>
        <w:jc w:val="both"/>
        <w:rPr>
          <w:rFonts w:ascii="Arial" w:eastAsia="Calibri" w:hAnsi="Arial" w:cs="Arial"/>
          <w:color w:val="000000" w:themeColor="text1"/>
          <w:sz w:val="22"/>
          <w:lang w:val="es-ES_tradnl"/>
        </w:rPr>
      </w:pPr>
    </w:p>
    <w:p w14:paraId="545BCB72" w14:textId="77777777" w:rsidR="003E014E" w:rsidRPr="0070578D" w:rsidRDefault="003E014E" w:rsidP="003E014E">
      <w:pPr>
        <w:ind w:left="709" w:right="709"/>
        <w:jc w:val="both"/>
        <w:rPr>
          <w:rFonts w:ascii="Arial" w:eastAsia="Calibri" w:hAnsi="Arial" w:cs="Arial"/>
          <w:color w:val="000000" w:themeColor="text1"/>
          <w:sz w:val="21"/>
          <w:szCs w:val="21"/>
          <w:lang w:val="es-ES_tradnl"/>
        </w:rPr>
      </w:pPr>
      <w:r w:rsidRPr="0070578D">
        <w:rPr>
          <w:rFonts w:ascii="Arial" w:eastAsia="Calibri" w:hAnsi="Arial" w:cs="Arial"/>
          <w:color w:val="000000" w:themeColor="text1"/>
          <w:sz w:val="21"/>
          <w:szCs w:val="21"/>
          <w:lang w:val="es-ES_tradnl"/>
        </w:rPr>
        <w:t>[...] en la contratación de las entidades excluidas de la Ley 80 se distinguen perfectamente dos ordenamientos jurídicos: uno prevalente, el derecho privado, que aporta todas sus instituciones, reglas y principios y las pone al servicio de los contratos de dichas entidades; y otro, secundario, referido a los principios de la función administrativa y de la gestión fiscal —pero no a la Ley 80 de 1993, con sus reglas particulares—, que inspiran al régimen anterior con valores propios del derecho público.</w:t>
      </w:r>
    </w:p>
    <w:p w14:paraId="6098BE96" w14:textId="77777777" w:rsidR="003E014E" w:rsidRPr="0070578D" w:rsidRDefault="003E014E" w:rsidP="003E014E">
      <w:pPr>
        <w:ind w:left="709" w:right="709"/>
        <w:jc w:val="both"/>
        <w:rPr>
          <w:rFonts w:ascii="Arial" w:eastAsia="Calibri" w:hAnsi="Arial" w:cs="Arial"/>
          <w:color w:val="000000" w:themeColor="text1"/>
          <w:sz w:val="21"/>
          <w:szCs w:val="21"/>
          <w:lang w:val="es-ES_tradnl"/>
        </w:rPr>
      </w:pPr>
    </w:p>
    <w:p w14:paraId="5ED46917" w14:textId="77777777" w:rsidR="003E014E" w:rsidRPr="0070578D" w:rsidRDefault="003E014E" w:rsidP="003E014E">
      <w:pPr>
        <w:ind w:left="709" w:right="709"/>
        <w:jc w:val="both"/>
        <w:rPr>
          <w:rFonts w:ascii="Arial" w:eastAsia="Calibri" w:hAnsi="Arial" w:cs="Arial"/>
          <w:color w:val="000000" w:themeColor="text1"/>
          <w:sz w:val="21"/>
          <w:szCs w:val="21"/>
          <w:lang w:val="es-ES_tradnl"/>
        </w:rPr>
      </w:pPr>
      <w:r w:rsidRPr="0070578D">
        <w:rPr>
          <w:rFonts w:ascii="Arial" w:eastAsia="Calibri" w:hAnsi="Arial" w:cs="Arial"/>
          <w:color w:val="000000" w:themeColor="text1"/>
          <w:sz w:val="21"/>
          <w:szCs w:val="21"/>
          <w:lang w:val="es-ES_tradnl"/>
        </w:rPr>
        <w:t xml:space="preserve">La Sala entiende que el régimen preponderante domina y aporta el gran volumen de normas contractuales y que el régimen inspirador influye y ayuda a interpretar pero también transforma parte de esas instituciones, porque se suma a ellas, lo que no siempre se logra conservando intacta la institución privada sino introduciéndole modificaciones. </w:t>
      </w:r>
    </w:p>
    <w:p w14:paraId="15D08714" w14:textId="77777777" w:rsidR="003E014E" w:rsidRPr="0070578D" w:rsidRDefault="003E014E" w:rsidP="003E014E">
      <w:pPr>
        <w:ind w:left="709" w:right="709"/>
        <w:jc w:val="both"/>
        <w:rPr>
          <w:rFonts w:ascii="Arial" w:eastAsia="Calibri" w:hAnsi="Arial" w:cs="Arial"/>
          <w:color w:val="000000" w:themeColor="text1"/>
          <w:sz w:val="21"/>
          <w:szCs w:val="21"/>
          <w:lang w:val="es-ES_tradnl"/>
        </w:rPr>
      </w:pPr>
    </w:p>
    <w:p w14:paraId="7BDAB712" w14:textId="77777777" w:rsidR="003E014E" w:rsidRPr="0070578D" w:rsidRDefault="003E014E" w:rsidP="003E014E">
      <w:pPr>
        <w:ind w:left="709" w:right="709"/>
        <w:jc w:val="both"/>
        <w:rPr>
          <w:rFonts w:ascii="Arial" w:eastAsia="Calibri" w:hAnsi="Arial" w:cs="Arial"/>
          <w:color w:val="000000" w:themeColor="text1"/>
          <w:sz w:val="22"/>
          <w:lang w:val="es-ES_tradnl"/>
        </w:rPr>
      </w:pPr>
      <w:r w:rsidRPr="0070578D">
        <w:rPr>
          <w:rFonts w:ascii="Arial" w:eastAsia="Calibri" w:hAnsi="Arial" w:cs="Arial"/>
          <w:color w:val="000000" w:themeColor="text1"/>
          <w:sz w:val="21"/>
          <w:szCs w:val="21"/>
          <w:lang w:val="es-ES_tradnl"/>
        </w:rPr>
        <w:t>La función que cumplen los principios públicos también se representa en la necesidad práctica —normalmente no por orden de una norma— de expedir un reglamento interno de contratación que concrete la mayor parte de aportes de esos principios a la transformación de las reglas del derecho privado. Es por esta influencia que surge la necesidad de contar con procesos de selección de contratistas que garanticen la libre concurrencia, la igualdad de oportunidades de acceso a los negocios del Estado, la trasparencia y en general los demás valores propios de la gestión de lo público</w:t>
      </w:r>
      <w:r w:rsidRPr="0070578D">
        <w:rPr>
          <w:rStyle w:val="Refdenotaalpie"/>
          <w:rFonts w:ascii="Arial" w:eastAsia="Calibri" w:hAnsi="Arial" w:cs="Arial"/>
          <w:color w:val="000000" w:themeColor="text1"/>
          <w:sz w:val="22"/>
          <w:lang w:val="es-ES_tradnl"/>
        </w:rPr>
        <w:footnoteReference w:id="2"/>
      </w:r>
      <w:r w:rsidRPr="0070578D">
        <w:rPr>
          <w:rFonts w:ascii="Arial" w:eastAsia="Calibri" w:hAnsi="Arial" w:cs="Arial"/>
          <w:color w:val="000000" w:themeColor="text1"/>
          <w:sz w:val="22"/>
          <w:lang w:val="es-ES_tradnl"/>
        </w:rPr>
        <w:t>.</w:t>
      </w:r>
    </w:p>
    <w:p w14:paraId="10AE1F35" w14:textId="77777777" w:rsidR="003E014E" w:rsidRPr="0070578D" w:rsidRDefault="003E014E" w:rsidP="003E014E">
      <w:pPr>
        <w:spacing w:line="276" w:lineRule="auto"/>
        <w:jc w:val="both"/>
        <w:rPr>
          <w:rFonts w:ascii="Arial" w:eastAsia="Calibri" w:hAnsi="Arial" w:cs="Arial"/>
          <w:color w:val="000000" w:themeColor="text1"/>
          <w:sz w:val="22"/>
          <w:lang w:val="es-ES_tradnl"/>
        </w:rPr>
      </w:pPr>
    </w:p>
    <w:p w14:paraId="02EFFCDD" w14:textId="358FBFF1" w:rsidR="003E014E" w:rsidRPr="0070578D" w:rsidRDefault="003E014E" w:rsidP="003E014E">
      <w:pPr>
        <w:spacing w:line="276" w:lineRule="auto"/>
        <w:ind w:firstLine="708"/>
        <w:jc w:val="both"/>
        <w:rPr>
          <w:rFonts w:ascii="Arial" w:eastAsia="Calibri" w:hAnsi="Arial" w:cs="Arial"/>
          <w:color w:val="000000" w:themeColor="text1"/>
          <w:sz w:val="22"/>
          <w:lang w:val="es-ES_tradnl"/>
        </w:rPr>
      </w:pPr>
      <w:r w:rsidRPr="0070578D">
        <w:rPr>
          <w:rFonts w:ascii="Arial" w:eastAsia="Calibri" w:hAnsi="Arial" w:cs="Arial"/>
          <w:color w:val="000000" w:themeColor="text1"/>
          <w:sz w:val="22"/>
          <w:lang w:val="es-ES_tradnl"/>
        </w:rPr>
        <w:t>Toda vez que las entidades de régimen especial administran recursos públicos, sus manuales de contratación deben ceñirse a unas reglas mínimas que garanticen el cumplimiento de los principios de la función pública, el control fiscal y los principios rectores de la contratación estatal. Dentro de estas reglas mínimas, deben indicar el contenido de las propuestas y los procedimientos de selección,</w:t>
      </w:r>
      <w:r w:rsidR="00FD34E4" w:rsidRPr="0070578D">
        <w:rPr>
          <w:rFonts w:ascii="Arial" w:eastAsia="Calibri" w:hAnsi="Arial" w:cs="Arial"/>
          <w:color w:val="000000" w:themeColor="text1"/>
          <w:sz w:val="22"/>
          <w:lang w:val="es-ES_tradnl"/>
        </w:rPr>
        <w:t xml:space="preserve"> </w:t>
      </w:r>
      <w:r w:rsidRPr="0070578D">
        <w:rPr>
          <w:rFonts w:ascii="Arial" w:eastAsia="Calibri" w:hAnsi="Arial" w:cs="Arial"/>
          <w:color w:val="000000" w:themeColor="text1"/>
          <w:sz w:val="22"/>
          <w:lang w:val="es-ES_tradnl"/>
        </w:rPr>
        <w:t>llevar una descripción precisa del procedimiento, los plazos de las etapas y los criterios de evaluación y desempate, y todos los criterios necesarios para garantizar la selección objetiva, la protección del interés general y el valor por dinero.</w:t>
      </w:r>
    </w:p>
    <w:p w14:paraId="4BC45E23" w14:textId="77777777" w:rsidR="003E014E" w:rsidRPr="0070578D" w:rsidRDefault="003E014E" w:rsidP="003E014E">
      <w:pPr>
        <w:spacing w:before="120" w:after="120" w:line="276" w:lineRule="auto"/>
        <w:ind w:firstLine="708"/>
        <w:jc w:val="both"/>
        <w:rPr>
          <w:rFonts w:ascii="Arial" w:eastAsia="Calibri" w:hAnsi="Arial" w:cs="Arial"/>
          <w:color w:val="000000" w:themeColor="text1"/>
          <w:sz w:val="22"/>
          <w:lang w:val="es-ES_tradnl"/>
        </w:rPr>
      </w:pPr>
      <w:r w:rsidRPr="0070578D">
        <w:rPr>
          <w:rFonts w:ascii="Arial" w:eastAsia="Calibri" w:hAnsi="Arial" w:cs="Arial"/>
          <w:color w:val="000000" w:themeColor="text1"/>
          <w:sz w:val="22"/>
          <w:lang w:val="es-ES_tradnl"/>
        </w:rPr>
        <w:lastRenderedPageBreak/>
        <w:t>Así mismo, estas entidades deben cumplir unas obligaciones transversales a la contratación pública, entre ellas la elaboración del Plan Anual de Adquisiciones, la publicación de sus procedimientos de selección a través de la herramienta SECOP —en la sección Régimen Especial—, hacer uso del clasificador de bienes y servicios de las Naciones Unidas, reportar las sanciones, multas, inhabilidades e incompatibilidades de los proveedores de la entidad y analizar el sector económico de los oferentes, entre otras.</w:t>
      </w:r>
    </w:p>
    <w:p w14:paraId="541CCD23" w14:textId="4442DE05" w:rsidR="00F03817" w:rsidRPr="0070578D" w:rsidRDefault="00F03817" w:rsidP="00F03817">
      <w:pPr>
        <w:spacing w:before="120" w:after="120" w:line="276" w:lineRule="auto"/>
        <w:ind w:firstLine="709"/>
        <w:jc w:val="both"/>
        <w:rPr>
          <w:rFonts w:ascii="Arial" w:eastAsia="Calibri" w:hAnsi="Arial" w:cs="Arial"/>
          <w:color w:val="000000" w:themeColor="text1"/>
          <w:sz w:val="22"/>
          <w:lang w:val="es-ES_tradnl"/>
        </w:rPr>
      </w:pPr>
      <w:r w:rsidRPr="0070578D">
        <w:rPr>
          <w:rFonts w:ascii="Arial" w:eastAsia="Calibri" w:hAnsi="Arial" w:cs="Arial"/>
          <w:color w:val="000000" w:themeColor="text1"/>
          <w:sz w:val="22"/>
          <w:lang w:val="es-ES_tradnl"/>
        </w:rPr>
        <w:t>Además</w:t>
      </w:r>
      <w:r w:rsidR="003E014E" w:rsidRPr="0070578D">
        <w:rPr>
          <w:rFonts w:ascii="Arial" w:eastAsia="Calibri" w:hAnsi="Arial" w:cs="Arial"/>
          <w:color w:val="000000" w:themeColor="text1"/>
          <w:sz w:val="22"/>
          <w:lang w:val="es-ES_tradnl"/>
        </w:rPr>
        <w:t>, se debe tener en cuenta que las cláusulas excepcionales no se encuentran contempladas en el derecho común</w:t>
      </w:r>
      <w:r w:rsidR="00AE4E39" w:rsidRPr="0070578D">
        <w:rPr>
          <w:rFonts w:ascii="Arial" w:eastAsia="Calibri" w:hAnsi="Arial" w:cs="Arial"/>
          <w:color w:val="000000" w:themeColor="text1"/>
          <w:sz w:val="22"/>
          <w:lang w:val="es-ES_tradnl"/>
        </w:rPr>
        <w:t>;</w:t>
      </w:r>
      <w:r w:rsidR="003E014E" w:rsidRPr="0070578D">
        <w:rPr>
          <w:rFonts w:ascii="Arial" w:eastAsia="Calibri" w:hAnsi="Arial" w:cs="Arial"/>
          <w:color w:val="000000" w:themeColor="text1"/>
          <w:sz w:val="22"/>
          <w:lang w:val="es-ES_tradnl"/>
        </w:rPr>
        <w:t xml:space="preserve"> estas se encuentran limitadas no s</w:t>
      </w:r>
      <w:r w:rsidR="00AE4E39" w:rsidRPr="0070578D">
        <w:rPr>
          <w:rFonts w:ascii="Arial" w:eastAsia="Calibri" w:hAnsi="Arial" w:cs="Arial"/>
          <w:color w:val="000000" w:themeColor="text1"/>
          <w:sz w:val="22"/>
          <w:lang w:val="es-ES_tradnl"/>
        </w:rPr>
        <w:t>o</w:t>
      </w:r>
      <w:r w:rsidR="003E014E" w:rsidRPr="0070578D">
        <w:rPr>
          <w:rFonts w:ascii="Arial" w:eastAsia="Calibri" w:hAnsi="Arial" w:cs="Arial"/>
          <w:color w:val="000000" w:themeColor="text1"/>
          <w:sz w:val="22"/>
          <w:lang w:val="es-ES_tradnl"/>
        </w:rPr>
        <w:t>lo al uso del Estatuto General de Contratación de la Administración Pública sino a algunos tipos de contratos específicos. En ese sentido, la única forma en que una entidad sujeta a un régimen especial pueda usar estas cláusulas es si su norma de creación lo establece. De modo que si una Entidad sujeta al régimen especial requiere sancionar o dar por terminado el contrato debe acudir al juez competente</w:t>
      </w:r>
      <w:r w:rsidR="003E014E" w:rsidRPr="0070578D">
        <w:rPr>
          <w:rStyle w:val="Refdenotaalpie"/>
          <w:rFonts w:ascii="Arial" w:eastAsia="Calibri" w:hAnsi="Arial" w:cs="Arial"/>
          <w:color w:val="000000" w:themeColor="text1"/>
          <w:sz w:val="22"/>
          <w:lang w:val="es-ES_tradnl"/>
        </w:rPr>
        <w:footnoteReference w:id="3"/>
      </w:r>
      <w:r w:rsidR="003E014E" w:rsidRPr="0070578D">
        <w:rPr>
          <w:rFonts w:ascii="Arial" w:eastAsia="Calibri" w:hAnsi="Arial" w:cs="Arial"/>
          <w:color w:val="000000" w:themeColor="text1"/>
          <w:sz w:val="22"/>
          <w:lang w:val="es-ES_tradnl"/>
        </w:rPr>
        <w:t>.</w:t>
      </w:r>
    </w:p>
    <w:p w14:paraId="717FA205" w14:textId="36106B41" w:rsidR="00BD7D93" w:rsidRPr="0070578D" w:rsidRDefault="00F03817" w:rsidP="00BD7D93">
      <w:pPr>
        <w:spacing w:line="276" w:lineRule="auto"/>
        <w:ind w:firstLine="709"/>
        <w:jc w:val="both"/>
        <w:rPr>
          <w:rFonts w:ascii="Arial" w:eastAsia="Calibri" w:hAnsi="Arial" w:cs="Arial"/>
          <w:color w:val="000000" w:themeColor="text1"/>
          <w:sz w:val="22"/>
          <w:lang w:val="es-ES_tradnl"/>
        </w:rPr>
      </w:pPr>
      <w:r w:rsidRPr="0070578D">
        <w:rPr>
          <w:rFonts w:ascii="Arial" w:eastAsia="Calibri" w:hAnsi="Arial" w:cs="Arial"/>
          <w:color w:val="000000" w:themeColor="text1"/>
          <w:sz w:val="22"/>
          <w:lang w:val="es-ES_tradnl"/>
        </w:rPr>
        <w:t xml:space="preserve">Las universidades públicas son entidades de régimen especial, pues el </w:t>
      </w:r>
      <w:r w:rsidR="00BD7D93" w:rsidRPr="0070578D">
        <w:rPr>
          <w:rFonts w:ascii="Arial" w:eastAsia="Calibri" w:hAnsi="Arial" w:cs="Arial"/>
          <w:color w:val="000000" w:themeColor="text1"/>
          <w:sz w:val="22"/>
          <w:lang w:val="es-ES_tradnl"/>
        </w:rPr>
        <w:t>artículo 93 de la Ley 30 de 1992 establece:</w:t>
      </w:r>
    </w:p>
    <w:p w14:paraId="2EEF8058" w14:textId="77777777" w:rsidR="00BD7D93" w:rsidRPr="0070578D" w:rsidRDefault="00BD7D93" w:rsidP="00BD7D93">
      <w:pPr>
        <w:ind w:left="709" w:right="709"/>
        <w:jc w:val="both"/>
        <w:rPr>
          <w:rFonts w:ascii="Arial" w:eastAsia="Calibri" w:hAnsi="Arial" w:cs="Arial"/>
          <w:color w:val="000000" w:themeColor="text1"/>
          <w:sz w:val="22"/>
          <w:lang w:val="es-ES_tradnl"/>
        </w:rPr>
      </w:pPr>
    </w:p>
    <w:p w14:paraId="532981DA" w14:textId="77777777" w:rsidR="00BD7D93" w:rsidRPr="0070578D" w:rsidRDefault="00BD7D93" w:rsidP="003C4537">
      <w:pPr>
        <w:ind w:left="709" w:right="709"/>
        <w:jc w:val="both"/>
        <w:rPr>
          <w:rFonts w:ascii="Arial" w:eastAsia="Calibri" w:hAnsi="Arial" w:cs="Arial"/>
          <w:color w:val="000000" w:themeColor="text1"/>
          <w:sz w:val="22"/>
          <w:lang w:val="es-ES_tradnl"/>
        </w:rPr>
      </w:pPr>
      <w:r w:rsidRPr="0070578D">
        <w:rPr>
          <w:rFonts w:ascii="Arial" w:eastAsia="Calibri" w:hAnsi="Arial" w:cs="Arial"/>
          <w:color w:val="000000" w:themeColor="text1"/>
          <w:sz w:val="22"/>
          <w:lang w:val="es-ES_tradnl"/>
        </w:rPr>
        <w:t>Salvo las excepciones consagradas en la presente ley, los contratos que para el cumplimiento de sus funciones celebren las universidades estatales u oficiales, se regirán por las normas del derecho privado y sus efectos estarán sujetos a las normas civiles y comerciales, según la naturaleza de los contratos.</w:t>
      </w:r>
    </w:p>
    <w:p w14:paraId="7A676DF2" w14:textId="77777777" w:rsidR="00BD7D93" w:rsidRPr="0070578D" w:rsidRDefault="00BD7D93" w:rsidP="003C4537">
      <w:pPr>
        <w:ind w:left="709" w:right="709"/>
        <w:jc w:val="both"/>
        <w:rPr>
          <w:rFonts w:ascii="Arial" w:eastAsia="Calibri" w:hAnsi="Arial" w:cs="Arial"/>
          <w:color w:val="000000" w:themeColor="text1"/>
          <w:sz w:val="22"/>
          <w:lang w:val="es-ES_tradnl"/>
        </w:rPr>
      </w:pPr>
    </w:p>
    <w:p w14:paraId="2DEF73EA" w14:textId="7CCE5A89" w:rsidR="00BD7D93" w:rsidRPr="0070578D" w:rsidRDefault="00941B60" w:rsidP="003C4537">
      <w:pPr>
        <w:ind w:left="709" w:right="709"/>
        <w:jc w:val="both"/>
        <w:rPr>
          <w:rFonts w:ascii="Arial" w:eastAsia="Calibri" w:hAnsi="Arial" w:cs="Arial"/>
          <w:color w:val="000000" w:themeColor="text1"/>
          <w:sz w:val="22"/>
          <w:lang w:val="es-ES_tradnl"/>
        </w:rPr>
      </w:pPr>
      <w:r w:rsidRPr="0070578D">
        <w:rPr>
          <w:rFonts w:ascii="Arial" w:eastAsia="Calibri" w:hAnsi="Arial" w:cs="Arial"/>
          <w:color w:val="000000" w:themeColor="text1"/>
          <w:sz w:val="22"/>
          <w:lang w:val="es-ES_tradnl"/>
        </w:rPr>
        <w:t>Parágrafo</w:t>
      </w:r>
      <w:r w:rsidR="00BD7D93" w:rsidRPr="0070578D">
        <w:rPr>
          <w:rFonts w:ascii="Arial" w:eastAsia="Calibri" w:hAnsi="Arial" w:cs="Arial"/>
          <w:color w:val="000000" w:themeColor="text1"/>
          <w:sz w:val="22"/>
          <w:lang w:val="es-ES_tradnl"/>
        </w:rPr>
        <w:t>. Se exceptúan de lo anterior los contratos de empréstito, los cuales se someterán a las reglas previstas para ellos por el Decreto 222 de 1983 y demás disposiciones que lo modifiquen, complementen o sustituyan.</w:t>
      </w:r>
    </w:p>
    <w:p w14:paraId="1DCEE74C" w14:textId="544C365D" w:rsidR="00447068" w:rsidRPr="0070578D" w:rsidRDefault="00447068" w:rsidP="00447068">
      <w:pPr>
        <w:spacing w:line="276" w:lineRule="auto"/>
        <w:jc w:val="both"/>
        <w:rPr>
          <w:rFonts w:ascii="Arial" w:eastAsia="Calibri" w:hAnsi="Arial" w:cs="Arial"/>
          <w:color w:val="000000" w:themeColor="text1"/>
          <w:sz w:val="22"/>
          <w:lang w:val="es-ES_tradnl"/>
        </w:rPr>
      </w:pPr>
    </w:p>
    <w:p w14:paraId="1E9AC91F" w14:textId="33226681" w:rsidR="00783010" w:rsidRPr="0070578D" w:rsidRDefault="00AE4E39" w:rsidP="00783010">
      <w:pPr>
        <w:spacing w:line="276" w:lineRule="auto"/>
        <w:ind w:firstLine="709"/>
        <w:jc w:val="both"/>
        <w:rPr>
          <w:rFonts w:ascii="Arial" w:eastAsia="Calibri" w:hAnsi="Arial" w:cs="Arial"/>
          <w:color w:val="000000" w:themeColor="text1"/>
          <w:sz w:val="22"/>
          <w:lang w:val="es-ES_tradnl"/>
        </w:rPr>
      </w:pPr>
      <w:r w:rsidRPr="0070578D">
        <w:rPr>
          <w:rFonts w:ascii="Arial" w:eastAsia="Calibri" w:hAnsi="Arial" w:cs="Arial"/>
          <w:color w:val="000000" w:themeColor="text1"/>
          <w:sz w:val="22"/>
          <w:lang w:val="es-ES_tradnl"/>
        </w:rPr>
        <w:t>En consecuencia, las universidades públicas contratan con las normas del Derecho privado, pero deben cumplir lo dispuesto en el artículo 13 de la Ley 1150 de 2007.</w:t>
      </w:r>
      <w:r w:rsidR="00C9149F" w:rsidRPr="0070578D">
        <w:rPr>
          <w:rFonts w:ascii="Arial" w:eastAsia="Calibri" w:hAnsi="Arial" w:cs="Arial"/>
          <w:color w:val="000000" w:themeColor="text1"/>
          <w:sz w:val="22"/>
          <w:lang w:val="es-ES_tradnl"/>
        </w:rPr>
        <w:t xml:space="preserve"> Ahora bien, como el régimen jurídico aplicable no es el que define el contrato interadministrativo, sino la naturaleza de las partes, una universidad pública puede ser contratada de manera directa </w:t>
      </w:r>
      <w:r w:rsidR="005918B6" w:rsidRPr="0070578D">
        <w:rPr>
          <w:rFonts w:ascii="Arial" w:eastAsia="Calibri" w:hAnsi="Arial" w:cs="Arial"/>
          <w:color w:val="000000" w:themeColor="text1"/>
          <w:sz w:val="22"/>
          <w:lang w:val="es-ES_tradnl"/>
        </w:rPr>
        <w:t xml:space="preserve">por otra entidad estatal </w:t>
      </w:r>
      <w:r w:rsidR="00C9149F" w:rsidRPr="0070578D">
        <w:rPr>
          <w:rFonts w:ascii="Arial" w:eastAsia="Calibri" w:hAnsi="Arial" w:cs="Arial"/>
          <w:color w:val="000000" w:themeColor="text1"/>
          <w:sz w:val="22"/>
          <w:lang w:val="es-ES_tradnl"/>
        </w:rPr>
        <w:t>para celebrar un contrato interadministrativo. Esto se explica a continuació</w:t>
      </w:r>
      <w:r w:rsidR="005918B6" w:rsidRPr="0070578D">
        <w:rPr>
          <w:rFonts w:ascii="Arial" w:eastAsia="Calibri" w:hAnsi="Arial" w:cs="Arial"/>
          <w:color w:val="000000" w:themeColor="text1"/>
          <w:sz w:val="22"/>
          <w:lang w:val="es-ES_tradnl"/>
        </w:rPr>
        <w:t>n.</w:t>
      </w:r>
    </w:p>
    <w:p w14:paraId="08BC4F2D" w14:textId="77777777" w:rsidR="00783010" w:rsidRPr="0070578D" w:rsidRDefault="00783010" w:rsidP="00783010">
      <w:pPr>
        <w:spacing w:line="276" w:lineRule="auto"/>
        <w:jc w:val="both"/>
        <w:rPr>
          <w:rFonts w:ascii="Arial" w:eastAsia="Calibri" w:hAnsi="Arial" w:cs="Arial"/>
          <w:b/>
          <w:color w:val="000000" w:themeColor="text1"/>
          <w:sz w:val="22"/>
          <w:lang w:val="es-ES_tradnl"/>
        </w:rPr>
      </w:pPr>
    </w:p>
    <w:p w14:paraId="1951C538" w14:textId="77777777" w:rsidR="001F19DE" w:rsidRPr="0070578D" w:rsidRDefault="001F19DE" w:rsidP="00783010">
      <w:pPr>
        <w:spacing w:line="276" w:lineRule="auto"/>
        <w:jc w:val="both"/>
        <w:rPr>
          <w:rFonts w:ascii="Arial" w:eastAsia="Calibri" w:hAnsi="Arial" w:cs="Arial"/>
          <w:b/>
          <w:color w:val="000000" w:themeColor="text1"/>
          <w:sz w:val="22"/>
          <w:lang w:val="es-ES_tradnl"/>
        </w:rPr>
      </w:pPr>
    </w:p>
    <w:p w14:paraId="7107AD9D" w14:textId="77777777" w:rsidR="001F19DE" w:rsidRPr="0070578D" w:rsidRDefault="001F19DE" w:rsidP="00783010">
      <w:pPr>
        <w:spacing w:line="276" w:lineRule="auto"/>
        <w:jc w:val="both"/>
        <w:rPr>
          <w:rFonts w:ascii="Arial" w:eastAsia="Calibri" w:hAnsi="Arial" w:cs="Arial"/>
          <w:b/>
          <w:color w:val="000000" w:themeColor="text1"/>
          <w:sz w:val="22"/>
          <w:lang w:val="es-ES_tradnl"/>
        </w:rPr>
      </w:pPr>
    </w:p>
    <w:p w14:paraId="4E9C49AF" w14:textId="77777777" w:rsidR="001F19DE" w:rsidRPr="0070578D" w:rsidRDefault="001F19DE" w:rsidP="00783010">
      <w:pPr>
        <w:spacing w:line="276" w:lineRule="auto"/>
        <w:jc w:val="both"/>
        <w:rPr>
          <w:rFonts w:ascii="Arial" w:eastAsia="Calibri" w:hAnsi="Arial" w:cs="Arial"/>
          <w:b/>
          <w:color w:val="000000" w:themeColor="text1"/>
          <w:sz w:val="22"/>
          <w:lang w:val="es-ES_tradnl"/>
        </w:rPr>
      </w:pPr>
    </w:p>
    <w:p w14:paraId="021FBA5B" w14:textId="025D074C" w:rsidR="003C4537" w:rsidRPr="0070578D" w:rsidRDefault="00447068" w:rsidP="00783010">
      <w:pPr>
        <w:spacing w:line="276" w:lineRule="auto"/>
        <w:jc w:val="both"/>
        <w:rPr>
          <w:rFonts w:ascii="Arial" w:eastAsia="Calibri" w:hAnsi="Arial" w:cs="Arial"/>
          <w:b/>
          <w:color w:val="000000" w:themeColor="text1"/>
          <w:sz w:val="22"/>
          <w:lang w:val="es-ES_tradnl"/>
        </w:rPr>
      </w:pPr>
      <w:r w:rsidRPr="0070578D">
        <w:rPr>
          <w:rFonts w:ascii="Arial" w:eastAsia="Calibri" w:hAnsi="Arial" w:cs="Arial"/>
          <w:b/>
          <w:color w:val="000000" w:themeColor="text1"/>
          <w:sz w:val="22"/>
          <w:lang w:val="es-ES_tradnl"/>
        </w:rPr>
        <w:t xml:space="preserve">2.2. </w:t>
      </w:r>
      <w:r w:rsidR="004C40AA" w:rsidRPr="0070578D">
        <w:rPr>
          <w:rFonts w:ascii="Arial" w:eastAsia="Calibri" w:hAnsi="Arial" w:cs="Arial"/>
          <w:b/>
          <w:color w:val="000000" w:themeColor="text1"/>
          <w:sz w:val="22"/>
          <w:lang w:val="es-ES_tradnl"/>
        </w:rPr>
        <w:t>Contratos interadministrativos</w:t>
      </w:r>
      <w:r w:rsidR="00B03EC6" w:rsidRPr="0070578D">
        <w:rPr>
          <w:rFonts w:ascii="Arial" w:eastAsia="Calibri" w:hAnsi="Arial" w:cs="Arial"/>
          <w:b/>
          <w:color w:val="000000" w:themeColor="text1"/>
          <w:sz w:val="22"/>
          <w:lang w:val="es-ES_tradnl"/>
        </w:rPr>
        <w:t>. Concepto y régimen jurídico aplicable</w:t>
      </w:r>
    </w:p>
    <w:p w14:paraId="474C9070" w14:textId="77777777" w:rsidR="00783010" w:rsidRPr="0070578D" w:rsidRDefault="00783010" w:rsidP="00783010">
      <w:pPr>
        <w:spacing w:line="276" w:lineRule="auto"/>
        <w:jc w:val="both"/>
        <w:rPr>
          <w:rFonts w:ascii="Arial" w:eastAsia="Calibri" w:hAnsi="Arial" w:cs="Arial"/>
          <w:color w:val="000000" w:themeColor="text1"/>
          <w:sz w:val="22"/>
        </w:rPr>
      </w:pPr>
    </w:p>
    <w:p w14:paraId="02B6416A" w14:textId="1DE1D3ED" w:rsidR="00D12D91" w:rsidRPr="0070578D" w:rsidRDefault="00D12D91" w:rsidP="00783010">
      <w:pPr>
        <w:spacing w:line="276" w:lineRule="auto"/>
        <w:jc w:val="both"/>
        <w:rPr>
          <w:rFonts w:ascii="Arial" w:eastAsia="Calibri" w:hAnsi="Arial" w:cs="Arial"/>
          <w:color w:val="000000" w:themeColor="text1"/>
          <w:sz w:val="22"/>
        </w:rPr>
      </w:pPr>
      <w:r w:rsidRPr="0070578D">
        <w:rPr>
          <w:rFonts w:ascii="Arial" w:eastAsia="Calibri" w:hAnsi="Arial" w:cs="Arial"/>
          <w:color w:val="000000" w:themeColor="text1"/>
          <w:sz w:val="22"/>
        </w:rPr>
        <w:t>Los procedimientos contractuales</w:t>
      </w:r>
      <w:r w:rsidR="00142CEB" w:rsidRPr="0070578D">
        <w:rPr>
          <w:rFonts w:ascii="Arial" w:eastAsia="Calibri" w:hAnsi="Arial" w:cs="Arial"/>
          <w:color w:val="000000" w:themeColor="text1"/>
          <w:sz w:val="22"/>
        </w:rPr>
        <w:t xml:space="preserve"> </w:t>
      </w:r>
      <w:r w:rsidRPr="0070578D">
        <w:rPr>
          <w:rFonts w:ascii="Arial" w:eastAsia="Calibri" w:hAnsi="Arial" w:cs="Arial"/>
          <w:color w:val="000000" w:themeColor="text1"/>
          <w:sz w:val="22"/>
        </w:rPr>
        <w:t xml:space="preserve">mediante los cuales las entidades ejecutan recursos públicos y satisfacen el interés general se rigen por la normativa de contratación pública ―Ley 80 de 1993, Ley 1150 de 2007 y Decreto 1082 de 2015―, que contiene los principios, reglas y procedimientos que rigen los contratos de las entidades estatales. Específicamente, el Estatuto General de Contratación de la Contratación Pública ―Ley 80 de 1993― se </w:t>
      </w:r>
      <w:r w:rsidR="00142CEB" w:rsidRPr="0070578D">
        <w:rPr>
          <w:rFonts w:ascii="Arial" w:eastAsia="Calibri" w:hAnsi="Arial" w:cs="Arial"/>
          <w:color w:val="000000" w:themeColor="text1"/>
          <w:sz w:val="22"/>
        </w:rPr>
        <w:t>aplica</w:t>
      </w:r>
      <w:r w:rsidRPr="0070578D">
        <w:rPr>
          <w:rFonts w:ascii="Arial" w:eastAsia="Calibri" w:hAnsi="Arial" w:cs="Arial"/>
          <w:color w:val="000000" w:themeColor="text1"/>
          <w:sz w:val="22"/>
        </w:rPr>
        <w:t xml:space="preserve"> a las entidades estatales relacionadas en el artículo 2</w:t>
      </w:r>
      <w:r w:rsidRPr="0070578D">
        <w:rPr>
          <w:rStyle w:val="Refdenotaalpie"/>
          <w:rFonts w:ascii="Arial" w:eastAsia="Calibri" w:hAnsi="Arial" w:cs="Arial"/>
          <w:color w:val="000000" w:themeColor="text1"/>
          <w:sz w:val="22"/>
        </w:rPr>
        <w:footnoteReference w:id="4"/>
      </w:r>
      <w:r w:rsidRPr="0070578D">
        <w:rPr>
          <w:rFonts w:ascii="Arial" w:eastAsia="Calibri" w:hAnsi="Arial" w:cs="Arial"/>
          <w:color w:val="000000" w:themeColor="text1"/>
          <w:sz w:val="22"/>
        </w:rPr>
        <w:t xml:space="preserve">, con lo cual se puede determinar quiénes deben cumplir los principios y obligaciones señalados en las normas citadas. </w:t>
      </w:r>
    </w:p>
    <w:p w14:paraId="24F8262C" w14:textId="77777777" w:rsidR="00D12D91" w:rsidRPr="0070578D" w:rsidRDefault="00D12D91" w:rsidP="00D12D91">
      <w:pPr>
        <w:spacing w:before="120" w:after="120" w:line="276" w:lineRule="auto"/>
        <w:ind w:firstLine="708"/>
        <w:jc w:val="both"/>
        <w:rPr>
          <w:rFonts w:ascii="Arial" w:eastAsia="Calibri" w:hAnsi="Arial" w:cs="Arial"/>
          <w:color w:val="000000" w:themeColor="text1"/>
          <w:sz w:val="22"/>
        </w:rPr>
      </w:pPr>
      <w:r w:rsidRPr="0070578D">
        <w:rPr>
          <w:rFonts w:ascii="Arial" w:eastAsia="Calibri" w:hAnsi="Arial" w:cs="Arial"/>
          <w:color w:val="000000" w:themeColor="text1"/>
          <w:sz w:val="22"/>
        </w:rPr>
        <w:t>Los procedimientos de contratación se estructuran a partir de las modalidades de selección, y al hacer una revisión de las normas citadas se observa que contienen los procedimientos para adelantarlas y las reglas de cada modalidad: licitación pública, selección abreviada, concurso de méritos, contratación directa y mínima cuantía</w:t>
      </w:r>
      <w:r w:rsidRPr="0070578D">
        <w:rPr>
          <w:rStyle w:val="Refdenotaalpie"/>
          <w:rFonts w:ascii="Arial" w:eastAsia="Calibri" w:hAnsi="Arial" w:cs="Arial"/>
          <w:color w:val="000000" w:themeColor="text1"/>
          <w:sz w:val="22"/>
        </w:rPr>
        <w:footnoteReference w:id="5"/>
      </w:r>
      <w:r w:rsidRPr="0070578D">
        <w:rPr>
          <w:rFonts w:ascii="Arial" w:eastAsia="Calibri" w:hAnsi="Arial" w:cs="Arial"/>
          <w:color w:val="000000" w:themeColor="text1"/>
          <w:sz w:val="22"/>
        </w:rPr>
        <w:t xml:space="preserve">. </w:t>
      </w:r>
    </w:p>
    <w:p w14:paraId="5EDD3556" w14:textId="0328E8C3" w:rsidR="00D12D91" w:rsidRPr="0070578D" w:rsidRDefault="00D12D91" w:rsidP="00D12D91">
      <w:pPr>
        <w:spacing w:before="120" w:after="120" w:line="276" w:lineRule="auto"/>
        <w:ind w:firstLine="708"/>
        <w:jc w:val="both"/>
        <w:rPr>
          <w:rFonts w:ascii="Arial" w:eastAsia="Calibri" w:hAnsi="Arial" w:cs="Arial"/>
          <w:color w:val="000000" w:themeColor="text1"/>
          <w:sz w:val="22"/>
        </w:rPr>
      </w:pPr>
      <w:r w:rsidRPr="0070578D">
        <w:rPr>
          <w:rFonts w:ascii="Arial" w:eastAsia="Calibri" w:hAnsi="Arial" w:cs="Arial"/>
          <w:color w:val="000000" w:themeColor="text1"/>
          <w:sz w:val="22"/>
        </w:rPr>
        <w:t xml:space="preserve">La </w:t>
      </w:r>
      <w:r w:rsidR="00550B73" w:rsidRPr="0070578D">
        <w:rPr>
          <w:rFonts w:ascii="Arial" w:eastAsia="Calibri" w:hAnsi="Arial" w:cs="Arial"/>
          <w:color w:val="000000" w:themeColor="text1"/>
          <w:sz w:val="22"/>
        </w:rPr>
        <w:t>e</w:t>
      </w:r>
      <w:r w:rsidRPr="0070578D">
        <w:rPr>
          <w:rFonts w:ascii="Arial" w:eastAsia="Calibri" w:hAnsi="Arial" w:cs="Arial"/>
          <w:color w:val="000000" w:themeColor="text1"/>
          <w:sz w:val="22"/>
        </w:rPr>
        <w:t xml:space="preserve">xposición de </w:t>
      </w:r>
      <w:r w:rsidR="00550B73" w:rsidRPr="0070578D">
        <w:rPr>
          <w:rFonts w:ascii="Arial" w:eastAsia="Calibri" w:hAnsi="Arial" w:cs="Arial"/>
          <w:color w:val="000000" w:themeColor="text1"/>
          <w:sz w:val="22"/>
        </w:rPr>
        <w:t>m</w:t>
      </w:r>
      <w:r w:rsidRPr="0070578D">
        <w:rPr>
          <w:rFonts w:ascii="Arial" w:eastAsia="Calibri" w:hAnsi="Arial" w:cs="Arial"/>
          <w:color w:val="000000" w:themeColor="text1"/>
          <w:sz w:val="22"/>
        </w:rPr>
        <w:t>otivos de la Ley 1150 de 2007 explica las razones por las cuales se establecieron las modalidades de selección:</w:t>
      </w:r>
      <w:r w:rsidR="00550B73" w:rsidRPr="0070578D">
        <w:rPr>
          <w:rFonts w:ascii="Arial" w:eastAsia="Calibri" w:hAnsi="Arial" w:cs="Arial"/>
          <w:color w:val="000000" w:themeColor="text1"/>
          <w:sz w:val="22"/>
        </w:rPr>
        <w:t xml:space="preserve"> </w:t>
      </w:r>
      <w:r w:rsidRPr="0070578D">
        <w:rPr>
          <w:rFonts w:ascii="Arial" w:eastAsia="Calibri" w:hAnsi="Arial" w:cs="Arial"/>
          <w:color w:val="000000" w:themeColor="text1"/>
          <w:sz w:val="22"/>
        </w:rPr>
        <w:t xml:space="preserve">«A ese respecto es claro que las experiencias exitosas a nivel internacional demuestran que el criterio de distinción que debe gobernar un esquema contractual eficiente, es el de modular las modalidades de selección en razón a las características del objeto». </w:t>
      </w:r>
    </w:p>
    <w:p w14:paraId="072538D5" w14:textId="3B6FED1E" w:rsidR="00D12D91" w:rsidRPr="0070578D" w:rsidRDefault="00D12D91" w:rsidP="00502009">
      <w:pPr>
        <w:spacing w:before="120" w:after="120" w:line="276" w:lineRule="auto"/>
        <w:ind w:firstLine="709"/>
        <w:jc w:val="both"/>
        <w:rPr>
          <w:rFonts w:ascii="Arial" w:eastAsia="Calibri" w:hAnsi="Arial" w:cs="Arial"/>
          <w:color w:val="000000" w:themeColor="text1"/>
          <w:sz w:val="22"/>
        </w:rPr>
      </w:pPr>
      <w:r w:rsidRPr="0070578D">
        <w:rPr>
          <w:rFonts w:ascii="Arial" w:eastAsia="Calibri" w:hAnsi="Arial" w:cs="Arial"/>
          <w:color w:val="000000" w:themeColor="text1"/>
          <w:sz w:val="22"/>
        </w:rPr>
        <w:t xml:space="preserve">Sobre la tipología de convenio interadministrativo, </w:t>
      </w:r>
      <w:r w:rsidR="00AC742D" w:rsidRPr="0070578D">
        <w:rPr>
          <w:rFonts w:ascii="Arial" w:eastAsia="Calibri" w:hAnsi="Arial" w:cs="Arial"/>
          <w:color w:val="000000" w:themeColor="text1"/>
          <w:sz w:val="22"/>
        </w:rPr>
        <w:t xml:space="preserve">conviene señalar que </w:t>
      </w:r>
      <w:r w:rsidRPr="0070578D">
        <w:rPr>
          <w:rFonts w:ascii="Arial" w:eastAsia="Calibri" w:hAnsi="Arial" w:cs="Arial"/>
          <w:color w:val="000000" w:themeColor="text1"/>
          <w:sz w:val="22"/>
        </w:rPr>
        <w:t xml:space="preserve">fue creado en la Ley 80 de 1993, y aunque no lo definió ni desarrolló, el Decreto 1082 de 2015, «Por medio del cual se expide el Decreto único reglamentario del sector administrativo de </w:t>
      </w:r>
      <w:r w:rsidRPr="0070578D">
        <w:rPr>
          <w:rFonts w:ascii="Arial" w:eastAsia="Calibri" w:hAnsi="Arial" w:cs="Arial"/>
          <w:color w:val="000000" w:themeColor="text1"/>
          <w:sz w:val="22"/>
        </w:rPr>
        <w:lastRenderedPageBreak/>
        <w:t>planeación nacional», califica a los convenios o contratos interadministrativos como aquella contratación entre entidades estatales</w:t>
      </w:r>
      <w:r w:rsidRPr="0070578D">
        <w:rPr>
          <w:rStyle w:val="Refdenotaalpie"/>
          <w:rFonts w:ascii="Arial" w:eastAsia="Calibri" w:hAnsi="Arial" w:cs="Arial"/>
          <w:color w:val="000000" w:themeColor="text1"/>
          <w:sz w:val="22"/>
        </w:rPr>
        <w:footnoteReference w:id="6"/>
      </w:r>
      <w:r w:rsidRPr="0070578D">
        <w:rPr>
          <w:rFonts w:ascii="Arial" w:eastAsia="Calibri" w:hAnsi="Arial" w:cs="Arial"/>
          <w:color w:val="000000" w:themeColor="text1"/>
          <w:sz w:val="22"/>
        </w:rPr>
        <w:t>.</w:t>
      </w:r>
    </w:p>
    <w:p w14:paraId="3A0203F8" w14:textId="77777777" w:rsidR="00D12D91" w:rsidRPr="0070578D" w:rsidRDefault="00D12D91" w:rsidP="00D12D91">
      <w:pPr>
        <w:spacing w:before="120" w:after="120" w:line="276" w:lineRule="auto"/>
        <w:jc w:val="both"/>
        <w:rPr>
          <w:rFonts w:ascii="Arial" w:eastAsia="Calibri" w:hAnsi="Arial" w:cs="Arial"/>
          <w:color w:val="000000" w:themeColor="text1"/>
          <w:sz w:val="22"/>
        </w:rPr>
      </w:pPr>
      <w:r w:rsidRPr="0070578D">
        <w:rPr>
          <w:rFonts w:ascii="Arial" w:hAnsi="Arial" w:cs="Arial"/>
          <w:color w:val="000000" w:themeColor="text1"/>
          <w:sz w:val="22"/>
        </w:rPr>
        <w:tab/>
      </w:r>
      <w:r w:rsidRPr="0070578D">
        <w:rPr>
          <w:rFonts w:ascii="Arial" w:eastAsia="Calibri" w:hAnsi="Arial" w:cs="Arial"/>
          <w:color w:val="000000" w:themeColor="text1"/>
          <w:sz w:val="22"/>
        </w:rPr>
        <w:t>De acuerdo con lo anterior,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nominados en la Ley 80 de 1993 están determinados por un criterio orgánico, pues es necesario que los extremos de la relación contractual sean entidades estatales.</w:t>
      </w:r>
    </w:p>
    <w:p w14:paraId="7A5F2197" w14:textId="01907908" w:rsidR="00D12D91" w:rsidRPr="0070578D" w:rsidRDefault="00D12D91" w:rsidP="00D12D91">
      <w:pPr>
        <w:spacing w:before="120" w:after="120" w:line="276" w:lineRule="auto"/>
        <w:ind w:firstLine="708"/>
        <w:jc w:val="both"/>
        <w:rPr>
          <w:rFonts w:ascii="Arial" w:hAnsi="Arial" w:cs="Arial"/>
          <w:color w:val="000000" w:themeColor="text1"/>
          <w:sz w:val="22"/>
        </w:rPr>
      </w:pPr>
      <w:r w:rsidRPr="0070578D">
        <w:rPr>
          <w:rFonts w:ascii="Arial" w:eastAsia="Calibri" w:hAnsi="Arial" w:cs="Arial"/>
          <w:color w:val="000000" w:themeColor="text1"/>
          <w:sz w:val="22"/>
        </w:rPr>
        <w:t xml:space="preserve">Si bien los contratos o convenios interadministrativos están previstos en la Ley 80 de 1993, en la Ley 1150 de 2007 y en el Decreto en el 1082 de 2015, no quiere decir que solo puedan celebrarse entre entidades estatales que apliquen el régimen de contratación allí previsto, pues bien puede una entidad estatal de Ley 80 de 1993 celebrar esta clase de convenios con una entidad estatal de régimen especial y no por ello dejará de ser un contrato o convenio interadministrativo, caso en el cual su ejecución  estará sometida a la Ley 80 de 1993 a menos que la entidad ejecutora  ̶ entidad con régimen especial ̶ </w:t>
      </w:r>
      <w:r w:rsidR="003B14EB" w:rsidRPr="0070578D">
        <w:rPr>
          <w:rFonts w:ascii="Arial" w:eastAsia="Calibri" w:hAnsi="Arial" w:cs="Arial"/>
          <w:color w:val="000000" w:themeColor="text1"/>
          <w:sz w:val="22"/>
        </w:rPr>
        <w:t xml:space="preserve"> </w:t>
      </w:r>
      <w:r w:rsidRPr="0070578D">
        <w:rPr>
          <w:rFonts w:ascii="Arial" w:eastAsia="Calibri" w:hAnsi="Arial" w:cs="Arial"/>
          <w:color w:val="000000" w:themeColor="text1"/>
          <w:sz w:val="22"/>
        </w:rPr>
        <w:t>desarrolle su actividad en competencia con el sector privado</w:t>
      </w:r>
      <w:r w:rsidR="003B14EB" w:rsidRPr="0070578D">
        <w:rPr>
          <w:rFonts w:ascii="Arial" w:eastAsia="Calibri" w:hAnsi="Arial" w:cs="Arial"/>
          <w:color w:val="000000" w:themeColor="text1"/>
          <w:sz w:val="22"/>
        </w:rPr>
        <w:t xml:space="preserve"> o</w:t>
      </w:r>
      <w:r w:rsidR="00376E0E" w:rsidRPr="0070578D">
        <w:rPr>
          <w:rFonts w:ascii="Arial" w:eastAsia="Calibri" w:hAnsi="Arial" w:cs="Arial"/>
          <w:color w:val="000000" w:themeColor="text1"/>
          <w:sz w:val="22"/>
        </w:rPr>
        <w:t xml:space="preserve"> que la ejecución del contrato interadministrativo tenga relación directa con el desarrollo de su actividad</w:t>
      </w:r>
      <w:r w:rsidRPr="0070578D">
        <w:rPr>
          <w:rStyle w:val="Refdenotaalpie"/>
          <w:rFonts w:ascii="Arial" w:eastAsia="Calibri" w:hAnsi="Arial" w:cs="Arial"/>
          <w:color w:val="000000" w:themeColor="text1"/>
          <w:sz w:val="22"/>
        </w:rPr>
        <w:footnoteReference w:id="7"/>
      </w:r>
      <w:r w:rsidRPr="0070578D">
        <w:rPr>
          <w:rFonts w:ascii="Arial" w:eastAsia="Calibri" w:hAnsi="Arial" w:cs="Arial"/>
          <w:color w:val="000000" w:themeColor="text1"/>
          <w:sz w:val="22"/>
        </w:rPr>
        <w:t>.</w:t>
      </w:r>
    </w:p>
    <w:p w14:paraId="2E988CFA" w14:textId="77777777" w:rsidR="00D12D91" w:rsidRPr="0070578D" w:rsidRDefault="00D12D91" w:rsidP="00D12D91">
      <w:pPr>
        <w:spacing w:before="120" w:after="120" w:line="276" w:lineRule="auto"/>
        <w:ind w:firstLine="708"/>
        <w:jc w:val="both"/>
        <w:rPr>
          <w:rFonts w:ascii="Arial" w:eastAsia="Calibri" w:hAnsi="Arial" w:cs="Arial"/>
          <w:color w:val="000000" w:themeColor="text1"/>
          <w:sz w:val="22"/>
        </w:rPr>
      </w:pPr>
      <w:r w:rsidRPr="0070578D">
        <w:rPr>
          <w:rFonts w:ascii="Arial" w:eastAsia="Calibri" w:hAnsi="Arial" w:cs="Arial"/>
          <w:color w:val="000000" w:themeColor="text1"/>
          <w:sz w:val="22"/>
        </w:rPr>
        <w:t>Un contrato o convenio interadministrativo no está determinado por la modalidad de selección utilizada para celebrarlo. La Ley 1150 de 2007 establece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amplio</w:t>
      </w:r>
      <w:r w:rsidRPr="0070578D">
        <w:rPr>
          <w:rStyle w:val="Refdenotaalpie"/>
          <w:rFonts w:ascii="Arial" w:eastAsia="Calibri" w:hAnsi="Arial" w:cs="Arial"/>
          <w:color w:val="000000" w:themeColor="text1"/>
          <w:sz w:val="22"/>
        </w:rPr>
        <w:footnoteReference w:id="8"/>
      </w:r>
      <w:r w:rsidRPr="0070578D">
        <w:rPr>
          <w:rFonts w:ascii="Arial" w:eastAsia="Calibri" w:hAnsi="Arial" w:cs="Arial"/>
          <w:color w:val="000000" w:themeColor="text1"/>
          <w:sz w:val="22"/>
        </w:rPr>
        <w:t>. Nótese que, en este caso, lo que cambia es la modalidad de selección y no la naturaleza de contrato interadministrativo.</w:t>
      </w:r>
    </w:p>
    <w:p w14:paraId="2D6514AF" w14:textId="77777777" w:rsidR="00D12D91" w:rsidRPr="0070578D" w:rsidRDefault="00D12D91" w:rsidP="00D12D91">
      <w:pPr>
        <w:spacing w:before="120" w:after="120" w:line="276" w:lineRule="auto"/>
        <w:ind w:firstLine="708"/>
        <w:jc w:val="both"/>
        <w:rPr>
          <w:rFonts w:ascii="Arial" w:eastAsia="Calibri" w:hAnsi="Arial" w:cs="Arial"/>
          <w:color w:val="000000" w:themeColor="text1"/>
          <w:sz w:val="22"/>
        </w:rPr>
      </w:pPr>
      <w:r w:rsidRPr="0070578D">
        <w:rPr>
          <w:rFonts w:ascii="Arial" w:eastAsia="Calibri" w:hAnsi="Arial" w:cs="Arial"/>
          <w:color w:val="000000" w:themeColor="text1"/>
          <w:sz w:val="22"/>
        </w:rPr>
        <w:lastRenderedPageBreak/>
        <w:t>Además, es necesario tener en cuenta que para que un contrato o convenio interadministrativo exista debe cumplir con los siguientes elementos: acuerdo sobre el objeto y la contraprestación y que conste por escrito</w:t>
      </w:r>
      <w:r w:rsidRPr="0070578D">
        <w:rPr>
          <w:rStyle w:val="Refdenotaalpie"/>
          <w:rFonts w:ascii="Arial" w:eastAsia="Calibri" w:hAnsi="Arial" w:cs="Arial"/>
          <w:color w:val="000000" w:themeColor="text1"/>
          <w:sz w:val="22"/>
        </w:rPr>
        <w:footnoteReference w:id="9"/>
      </w:r>
      <w:r w:rsidRPr="0070578D">
        <w:rPr>
          <w:rFonts w:ascii="Arial" w:eastAsia="Calibri" w:hAnsi="Arial" w:cs="Arial"/>
          <w:color w:val="000000" w:themeColor="text1"/>
          <w:sz w:val="22"/>
        </w:rPr>
        <w:t>. Entonces, si ambas partes son entidades estatales, pueden celebrar convenios interadministrativos porque las disposiciones que regulan esta tipología hacen referencia a la calidad de los sujetos que intervienen en la contratación, que deben ser entidades estatales o de derecho público.</w:t>
      </w:r>
    </w:p>
    <w:p w14:paraId="19D74A74" w14:textId="11B911AC" w:rsidR="00D12D91" w:rsidRPr="0070578D" w:rsidRDefault="00D12D91" w:rsidP="00D12D91">
      <w:pPr>
        <w:spacing w:before="120" w:after="120" w:line="276" w:lineRule="auto"/>
        <w:ind w:firstLine="708"/>
        <w:jc w:val="both"/>
        <w:rPr>
          <w:rFonts w:ascii="Arial" w:eastAsia="Calibri" w:hAnsi="Arial" w:cs="Arial"/>
          <w:color w:val="000000" w:themeColor="text1"/>
          <w:sz w:val="22"/>
        </w:rPr>
      </w:pPr>
      <w:r w:rsidRPr="0070578D">
        <w:rPr>
          <w:rFonts w:ascii="Arial" w:eastAsia="Calibri" w:hAnsi="Arial" w:cs="Arial"/>
          <w:color w:val="000000" w:themeColor="text1"/>
          <w:sz w:val="22"/>
        </w:rPr>
        <w:t xml:space="preserve">La Corte Constitucional expresó en la Sentencia C–671 de 2015, con ponencia del Magistrado Alberto Rojas Ríos  ̶ en control automático de constitucionalidad del Decreto Legislativo 1773 de 2015, «Por el cual se autoriza la celebración de convenios administrativos para la ejecución de recursos públicos por parte de algunas entidades territoriales» ̶ </w:t>
      </w:r>
      <w:r w:rsidR="00B57700" w:rsidRPr="0070578D">
        <w:rPr>
          <w:rFonts w:ascii="Arial" w:eastAsia="Calibri" w:hAnsi="Arial" w:cs="Arial"/>
          <w:color w:val="000000" w:themeColor="text1"/>
          <w:sz w:val="22"/>
        </w:rPr>
        <w:t xml:space="preserve"> </w:t>
      </w:r>
      <w:r w:rsidRPr="0070578D">
        <w:rPr>
          <w:rFonts w:ascii="Arial" w:eastAsia="Calibri" w:hAnsi="Arial" w:cs="Arial"/>
          <w:color w:val="000000" w:themeColor="text1"/>
          <w:sz w:val="22"/>
        </w:rPr>
        <w:t xml:space="preserve">sobre la naturaleza de los convenios interadministrativos, que «Lo que hace interadministrativo a un contrato o convenio no es el procedimiento de selección aplicable, sino la calidad de los sujetos contratantes, esto es que las dos partes de la relación jurídica contractual formen parte de la administración pública». </w:t>
      </w:r>
    </w:p>
    <w:p w14:paraId="2ED22660" w14:textId="77777777" w:rsidR="0060502C" w:rsidRPr="0070578D" w:rsidRDefault="00D12D91" w:rsidP="0060502C">
      <w:pPr>
        <w:spacing w:before="120" w:line="276" w:lineRule="auto"/>
        <w:ind w:firstLine="709"/>
        <w:jc w:val="both"/>
        <w:rPr>
          <w:rFonts w:ascii="Arial" w:eastAsia="Calibri" w:hAnsi="Arial" w:cs="Arial"/>
          <w:color w:val="000000" w:themeColor="text1"/>
          <w:sz w:val="22"/>
        </w:rPr>
      </w:pPr>
      <w:r w:rsidRPr="0070578D">
        <w:rPr>
          <w:rFonts w:ascii="Arial" w:eastAsia="Calibri" w:hAnsi="Arial" w:cs="Arial"/>
          <w:color w:val="000000" w:themeColor="text1"/>
          <w:sz w:val="22"/>
        </w:rPr>
        <w:t>Así las cosas, y atendiendo a la literalidad de las normas enunciadas, no cabe una interpretación diferente</w:t>
      </w:r>
      <w:r w:rsidRPr="0070578D">
        <w:rPr>
          <w:rStyle w:val="Refdenotaalpie"/>
          <w:rFonts w:ascii="Arial" w:hAnsi="Arial" w:cs="Arial"/>
          <w:color w:val="000000" w:themeColor="text1"/>
          <w:sz w:val="22"/>
        </w:rPr>
        <w:footnoteReference w:id="10"/>
      </w:r>
      <w:r w:rsidRPr="0070578D">
        <w:rPr>
          <w:rFonts w:ascii="Arial" w:eastAsia="Calibri" w:hAnsi="Arial" w:cs="Arial"/>
          <w:color w:val="000000" w:themeColor="text1"/>
          <w:sz w:val="22"/>
        </w:rPr>
        <w:t>, pues de acuerdo con lo anotado esta clase de acuerdos de voluntades se definen por un criterio orgánico, por lo que uno de sus elementos esenciales es que en los extremos de la relación jurídico negocial concurran personas de derecho público. Adicionalmente, el Consejo de Estado ha indicado, frente al convenio interadministrativo y sus características, que:</w:t>
      </w:r>
    </w:p>
    <w:p w14:paraId="46E7E110" w14:textId="77777777" w:rsidR="0060502C" w:rsidRPr="0070578D" w:rsidRDefault="0060502C" w:rsidP="0060502C">
      <w:pPr>
        <w:ind w:left="709" w:right="709"/>
        <w:jc w:val="both"/>
        <w:rPr>
          <w:rFonts w:ascii="Arial" w:eastAsia="Calibri" w:hAnsi="Arial" w:cs="Arial"/>
          <w:color w:val="000000" w:themeColor="text1"/>
          <w:sz w:val="21"/>
          <w:szCs w:val="21"/>
        </w:rPr>
      </w:pPr>
    </w:p>
    <w:p w14:paraId="5D788D97" w14:textId="4F1707B7" w:rsidR="00D12D91" w:rsidRPr="0070578D" w:rsidRDefault="00D12D91" w:rsidP="0060502C">
      <w:pPr>
        <w:ind w:left="709" w:right="709"/>
        <w:jc w:val="both"/>
        <w:rPr>
          <w:rFonts w:ascii="Arial" w:eastAsia="Calibri" w:hAnsi="Arial" w:cs="Arial"/>
          <w:color w:val="000000" w:themeColor="text1"/>
          <w:sz w:val="22"/>
        </w:rPr>
      </w:pPr>
      <w:r w:rsidRPr="0070578D">
        <w:rPr>
          <w:rFonts w:ascii="Arial" w:eastAsia="Calibri" w:hAnsi="Arial" w:cs="Arial"/>
          <w:color w:val="000000" w:themeColor="text1"/>
          <w:sz w:val="21"/>
          <w:szCs w:val="21"/>
        </w:rPr>
        <w:t>[…]se puede señalar que los convenios o contratos interadministrativos tienen como características principales las siguientes:</w:t>
      </w:r>
    </w:p>
    <w:p w14:paraId="74DCC766" w14:textId="77777777" w:rsidR="00D12D91" w:rsidRPr="0070578D" w:rsidRDefault="00D12D91" w:rsidP="0060502C">
      <w:pPr>
        <w:ind w:left="709" w:right="709" w:firstLine="708"/>
        <w:jc w:val="both"/>
        <w:rPr>
          <w:rFonts w:ascii="Arial" w:eastAsia="Calibri" w:hAnsi="Arial" w:cs="Arial"/>
          <w:color w:val="000000" w:themeColor="text1"/>
          <w:sz w:val="21"/>
          <w:szCs w:val="21"/>
        </w:rPr>
      </w:pPr>
    </w:p>
    <w:p w14:paraId="54DA8352" w14:textId="77777777" w:rsidR="00D12D91" w:rsidRPr="0070578D" w:rsidRDefault="00D12D91" w:rsidP="0060502C">
      <w:pPr>
        <w:ind w:left="709" w:right="709"/>
        <w:jc w:val="both"/>
        <w:rPr>
          <w:rFonts w:ascii="Arial" w:eastAsia="Calibri" w:hAnsi="Arial" w:cs="Arial"/>
          <w:color w:val="000000" w:themeColor="text1"/>
          <w:sz w:val="21"/>
          <w:szCs w:val="21"/>
        </w:rPr>
      </w:pPr>
      <w:r w:rsidRPr="0070578D">
        <w:rPr>
          <w:rFonts w:ascii="Arial" w:eastAsia="Calibri" w:hAnsi="Arial" w:cs="Arial"/>
          <w:color w:val="000000" w:themeColor="text1"/>
          <w:sz w:val="21"/>
          <w:szCs w:val="21"/>
        </w:rPr>
        <w:t xml:space="preserve">(i) constituyen verdaderos contratos en los términos del Código de Comercio cuando su objeto lo constituyen obligaciones patrimoniales; (ii) tienen como fuente la autonomía contractual; (iii) son contratos nominados puesto que están mencionados en la ley; (iv) son contratos atípicos desde la perspectiva legal dado que se advierte la ausencia de unas normas que de manera detallada los disciplinen, los expliquen y los desarrollen, como sí las tienen los contratos típicos, por ejemplo compra venta, arrendamiento, mandato, etc. (v) la normatividad a la cual se encuentran sujetos en principio es la del Estatuto General de Contratación, en atención a que las partes que los celebran son </w:t>
      </w:r>
      <w:r w:rsidRPr="0070578D">
        <w:rPr>
          <w:rFonts w:ascii="Arial" w:eastAsia="Calibri" w:hAnsi="Arial" w:cs="Arial"/>
          <w:color w:val="000000" w:themeColor="text1"/>
          <w:sz w:val="21"/>
          <w:szCs w:val="21"/>
        </w:rPr>
        <w:lastRenderedPageBreak/>
        <w:t>entidades estatales y, por consiguiente, también se obligan a las disposiciones que resulten pertinentes del Código Civil y del Código de Comercio; (vi) dan lugar a la creación de obligaciones jurídicamente exigibles; (vii) persiguen una finalidad común a través de la realización de intereses compartidos entre las entidades vinculadas; (viii) la acción mediante la cual se deben ventilar las diferencias que sobre el particular surjan es la de controversias contractuales</w:t>
      </w:r>
      <w:r w:rsidRPr="0070578D">
        <w:rPr>
          <w:rStyle w:val="Refdenotaalpie"/>
          <w:rFonts w:ascii="Arial" w:eastAsia="Calibri" w:hAnsi="Arial" w:cs="Arial"/>
          <w:color w:val="000000" w:themeColor="text1"/>
          <w:sz w:val="21"/>
          <w:szCs w:val="21"/>
        </w:rPr>
        <w:footnoteReference w:id="11"/>
      </w:r>
      <w:r w:rsidRPr="0070578D">
        <w:rPr>
          <w:rFonts w:ascii="Arial" w:eastAsia="Calibri" w:hAnsi="Arial" w:cs="Arial"/>
          <w:color w:val="000000" w:themeColor="text1"/>
          <w:sz w:val="21"/>
          <w:szCs w:val="21"/>
        </w:rPr>
        <w:t>.</w:t>
      </w:r>
    </w:p>
    <w:p w14:paraId="5DECD6F3" w14:textId="77777777" w:rsidR="00D12D91" w:rsidRPr="0070578D" w:rsidRDefault="00D12D91" w:rsidP="0060502C">
      <w:pPr>
        <w:ind w:right="709"/>
        <w:jc w:val="both"/>
        <w:rPr>
          <w:rFonts w:ascii="Arial" w:eastAsia="Calibri" w:hAnsi="Arial" w:cs="Arial"/>
          <w:color w:val="000000" w:themeColor="text1"/>
          <w:sz w:val="21"/>
          <w:szCs w:val="21"/>
        </w:rPr>
      </w:pPr>
    </w:p>
    <w:p w14:paraId="133DE53B" w14:textId="77777777" w:rsidR="000F119B" w:rsidRPr="0070578D" w:rsidRDefault="00D12D91" w:rsidP="0060502C">
      <w:pPr>
        <w:spacing w:after="120" w:line="276" w:lineRule="auto"/>
        <w:ind w:firstLine="709"/>
        <w:jc w:val="both"/>
        <w:rPr>
          <w:rFonts w:ascii="Arial" w:eastAsia="Calibri" w:hAnsi="Arial" w:cs="Arial"/>
          <w:color w:val="000000" w:themeColor="text1"/>
          <w:sz w:val="22"/>
        </w:rPr>
      </w:pPr>
      <w:r w:rsidRPr="0070578D">
        <w:rPr>
          <w:rFonts w:ascii="Arial" w:eastAsia="Calibri" w:hAnsi="Arial" w:cs="Arial"/>
          <w:color w:val="000000" w:themeColor="text1"/>
          <w:sz w:val="22"/>
        </w:rPr>
        <w:t>En ese sentido, los convenios interadministrativos se caracterizan por los sujetos que intervienen y por la modalidad de selección que la ley permite aplicar para su celebración, ya que comporta un grado de excepcionalidad frente a las demás tipologías contractuales, donde los sujetos no están restringidos a una cualificación particular y aplican otras modalidades de selección.</w:t>
      </w:r>
    </w:p>
    <w:p w14:paraId="4BFFC2B1" w14:textId="33F216CF" w:rsidR="00D12D91" w:rsidRPr="0070578D" w:rsidRDefault="000F119B" w:rsidP="000F119B">
      <w:pPr>
        <w:spacing w:before="120" w:after="120" w:line="276" w:lineRule="auto"/>
        <w:ind w:firstLine="708"/>
        <w:jc w:val="both"/>
        <w:rPr>
          <w:rFonts w:ascii="Arial" w:eastAsia="Calibri" w:hAnsi="Arial" w:cs="Arial"/>
          <w:color w:val="000000" w:themeColor="text1"/>
          <w:sz w:val="22"/>
        </w:rPr>
      </w:pPr>
      <w:r w:rsidRPr="0070578D">
        <w:rPr>
          <w:rFonts w:ascii="Arial" w:eastAsia="Calibri" w:hAnsi="Arial" w:cs="Arial"/>
          <w:color w:val="000000" w:themeColor="text1"/>
          <w:sz w:val="22"/>
        </w:rPr>
        <w:t>El Estatuto General de Contratación de la Administración Pública establece la contratación directa como la modalidad de selección aplicable para la celebración de los contratos interadministrativos</w:t>
      </w:r>
      <w:r w:rsidR="00D12D91" w:rsidRPr="0070578D">
        <w:rPr>
          <w:rFonts w:ascii="Arial" w:eastAsia="Calibri" w:hAnsi="Arial" w:cs="Arial"/>
          <w:color w:val="000000" w:themeColor="text1"/>
          <w:sz w:val="22"/>
        </w:rPr>
        <w:t xml:space="preserve">. </w:t>
      </w:r>
    </w:p>
    <w:p w14:paraId="2DDCCC5B" w14:textId="77777777" w:rsidR="00D12D91" w:rsidRPr="0070578D" w:rsidRDefault="00D12D91" w:rsidP="00D12D91">
      <w:pPr>
        <w:spacing w:before="120" w:after="120" w:line="276" w:lineRule="auto"/>
        <w:ind w:firstLine="708"/>
        <w:jc w:val="both"/>
        <w:rPr>
          <w:rFonts w:ascii="Arial" w:eastAsia="Calibri" w:hAnsi="Arial" w:cs="Arial"/>
          <w:color w:val="000000" w:themeColor="text1"/>
          <w:sz w:val="22"/>
        </w:rPr>
      </w:pPr>
      <w:r w:rsidRPr="0070578D">
        <w:rPr>
          <w:rFonts w:ascii="Arial" w:eastAsia="Calibri" w:hAnsi="Arial" w:cs="Arial"/>
          <w:color w:val="000000" w:themeColor="text1"/>
          <w:sz w:val="22"/>
        </w:rPr>
        <w:t>La contratación directa es una modalidad de aplicación restrictiva, esto es, solo procede por las causales señaladas taxativamente en el numeral 4 del artículo 2 de la Ley 1150 de 2007, ya que es una excepción al principio de libre concurrencia y libre competencia que aplica a los procedimientos de contratación, para que cualquier persona interesada en satisfacer la necesidad de una entidad pueda presentar una oferta. En la contratación directa no es necesario que la entidad reciba más de una oferta, la cual proviene de la persona que la entidad señala directamente y la invita a ofertar el servicio que se requiere.</w:t>
      </w:r>
    </w:p>
    <w:p w14:paraId="0A98808D" w14:textId="77777777" w:rsidR="00D12D91" w:rsidRPr="0070578D" w:rsidRDefault="00D12D91" w:rsidP="00D12D91">
      <w:pPr>
        <w:spacing w:before="120" w:after="120" w:line="276" w:lineRule="auto"/>
        <w:ind w:firstLine="708"/>
        <w:jc w:val="both"/>
        <w:rPr>
          <w:rFonts w:ascii="Arial" w:eastAsia="Calibri" w:hAnsi="Arial" w:cs="Arial"/>
          <w:color w:val="000000" w:themeColor="text1"/>
          <w:sz w:val="22"/>
        </w:rPr>
      </w:pPr>
      <w:r w:rsidRPr="0070578D">
        <w:rPr>
          <w:rFonts w:ascii="Arial" w:eastAsia="Calibri" w:hAnsi="Arial" w:cs="Arial"/>
          <w:color w:val="000000" w:themeColor="text1"/>
          <w:sz w:val="22"/>
        </w:rPr>
        <w:t>Lo anterior puede obedecer a que el proponente es único, o a que el legislador privilegió algunos objetos contractuales u oferentes para contratarlos de manera directa, lo cual implica que el procedimiento es simplificado, corto, ágil y expedito, por no exigir una convocatoria pública, sin que esto obvie garantizar los principios rectores de la contratación pública.</w:t>
      </w:r>
    </w:p>
    <w:p w14:paraId="3DB2CA1A" w14:textId="111F198B" w:rsidR="002320F9" w:rsidRPr="0070578D" w:rsidRDefault="00D12D91" w:rsidP="000D4D96">
      <w:pPr>
        <w:spacing w:before="120" w:line="276" w:lineRule="auto"/>
        <w:ind w:firstLine="709"/>
        <w:jc w:val="both"/>
        <w:rPr>
          <w:rFonts w:ascii="Arial" w:eastAsia="Calibri" w:hAnsi="Arial" w:cs="Arial"/>
          <w:color w:val="000000" w:themeColor="text1"/>
          <w:sz w:val="22"/>
        </w:rPr>
      </w:pPr>
      <w:r w:rsidRPr="0070578D">
        <w:rPr>
          <w:rFonts w:ascii="Arial" w:eastAsia="Calibri" w:hAnsi="Arial" w:cs="Arial"/>
          <w:color w:val="000000" w:themeColor="text1"/>
          <w:sz w:val="22"/>
        </w:rPr>
        <w:t>En todo caso, las entidades deben escoger a sus contratistas a través de procesos en los que participe una pluralidad de oferentes, prevaleciendo entre ellos, como regla general, la licitación pública, y dependiendo de las características o especialidad del bien o servicio o su cuantía, adelantarán un proceso en el que existan varias ofertas por las modalidades de selección de abreviada, concurso de méritos o mínima cuantía; y solo de manera excepcional escogerán al contratista a través de la modalidad de selección de contratación directa. Al respecto, el Consejo de Estado indicó frente a la modalidad de selección de contratación directa que:</w:t>
      </w:r>
    </w:p>
    <w:p w14:paraId="71239BD8" w14:textId="77777777" w:rsidR="000D4D96" w:rsidRPr="0070578D" w:rsidRDefault="000D4D96" w:rsidP="000D4D96">
      <w:pPr>
        <w:ind w:left="709" w:right="709"/>
        <w:jc w:val="both"/>
        <w:rPr>
          <w:rFonts w:ascii="Arial" w:hAnsi="Arial" w:cs="Arial"/>
          <w:color w:val="000000" w:themeColor="text1"/>
          <w:sz w:val="21"/>
          <w:szCs w:val="21"/>
        </w:rPr>
      </w:pPr>
    </w:p>
    <w:p w14:paraId="604C1631" w14:textId="029EAA9F" w:rsidR="00D12D91" w:rsidRPr="0070578D" w:rsidRDefault="00D12D91" w:rsidP="000D4D96">
      <w:pPr>
        <w:ind w:left="709" w:right="709"/>
        <w:jc w:val="both"/>
        <w:rPr>
          <w:rFonts w:ascii="Arial" w:hAnsi="Arial" w:cs="Arial"/>
          <w:color w:val="000000" w:themeColor="text1"/>
          <w:sz w:val="21"/>
          <w:szCs w:val="21"/>
        </w:rPr>
      </w:pPr>
      <w:r w:rsidRPr="0070578D">
        <w:rPr>
          <w:rFonts w:ascii="Arial" w:hAnsi="Arial" w:cs="Arial"/>
          <w:color w:val="000000" w:themeColor="text1"/>
          <w:sz w:val="21"/>
          <w:szCs w:val="21"/>
        </w:rPr>
        <w:lastRenderedPageBreak/>
        <w:t>[...] No obstante, si bien la administración tiene la posibilidad de celebrar este tipo de contratos, sin acudir a licitación o concurso público, tal libertad no es absoluta, toda vez que en la selección del contratista se “deberá garantizar el cumplimiento de los principios de economía, transparencia y en especial el deber de selección objetiva, establecidos en la Ley 80 de 1993”. En efecto, en la contratación, ya sea de manera directa o a través de licitación o concurso públicos, la administración está obligada a respetar principios que rigen la contratación estatal y, especialmente, ciertos criterios de selección objetiva a la hora de escoger el contratista al que se le adjudicará el contrato. Respecto a la contratación directa, en interpretación de la norma precitada, la Sala observa que con anterioridad a la suscripción del contrato, es deber de la administración hacer un análisis previo a la suscripción del contrato, análisis en el cual se deberán examinar factores tales como experiencia, equipos, capacidad económica, precios, entre otros, con el fin de determinar si la propuesta presentada resulta ser la más ventajosa para la entidad que contrata [...]</w:t>
      </w:r>
      <w:r w:rsidRPr="0070578D">
        <w:rPr>
          <w:rFonts w:ascii="Arial" w:hAnsi="Arial" w:cs="Arial"/>
          <w:color w:val="000000" w:themeColor="text1"/>
        </w:rPr>
        <w:footnoteReference w:id="12"/>
      </w:r>
      <w:r w:rsidRPr="0070578D">
        <w:rPr>
          <w:rFonts w:ascii="Arial" w:hAnsi="Arial" w:cs="Arial"/>
          <w:color w:val="000000" w:themeColor="text1"/>
          <w:sz w:val="21"/>
          <w:szCs w:val="21"/>
        </w:rPr>
        <w:t>.</w:t>
      </w:r>
    </w:p>
    <w:p w14:paraId="61FC418C" w14:textId="77777777" w:rsidR="00D12D91" w:rsidRPr="0070578D" w:rsidRDefault="00D12D91" w:rsidP="000D4D96">
      <w:pPr>
        <w:spacing w:line="276" w:lineRule="auto"/>
        <w:ind w:firstLine="709"/>
        <w:jc w:val="both"/>
        <w:rPr>
          <w:rFonts w:ascii="Arial" w:eastAsia="Calibri" w:hAnsi="Arial" w:cs="Arial"/>
          <w:color w:val="000000" w:themeColor="text1"/>
          <w:sz w:val="22"/>
          <w:lang w:val="es-ES"/>
        </w:rPr>
      </w:pPr>
    </w:p>
    <w:p w14:paraId="256B7958" w14:textId="77777777" w:rsidR="00D12D91" w:rsidRPr="0070578D" w:rsidRDefault="00D12D91" w:rsidP="000D4D96">
      <w:pPr>
        <w:spacing w:line="276" w:lineRule="auto"/>
        <w:ind w:firstLine="709"/>
        <w:jc w:val="both"/>
        <w:rPr>
          <w:rFonts w:ascii="Arial" w:eastAsia="Calibri" w:hAnsi="Arial" w:cs="Arial"/>
          <w:color w:val="000000" w:themeColor="text1"/>
          <w:sz w:val="22"/>
        </w:rPr>
      </w:pPr>
      <w:r w:rsidRPr="0070578D">
        <w:rPr>
          <w:rFonts w:ascii="Arial" w:eastAsia="Calibri" w:hAnsi="Arial" w:cs="Arial"/>
          <w:color w:val="000000" w:themeColor="text1"/>
          <w:sz w:val="22"/>
        </w:rPr>
        <w:t xml:space="preserve">Existe una diferencia fundamental con otras modalidades de selección, y es que en la contratación directa no se otorga puntaje a las ofertas para ponderarlas y elegir el ofrecimiento más favorable, ya que la entidad recibe solo una. Lo anterior es complementado por el Consejo de Estado, al definir qué significa contratación directa: </w:t>
      </w:r>
    </w:p>
    <w:p w14:paraId="271AE483" w14:textId="77777777" w:rsidR="00D12D91" w:rsidRPr="0070578D" w:rsidRDefault="00D12D91" w:rsidP="000D4D96">
      <w:pPr>
        <w:spacing w:line="276" w:lineRule="auto"/>
        <w:ind w:firstLine="709"/>
        <w:jc w:val="both"/>
        <w:rPr>
          <w:rFonts w:ascii="Arial" w:hAnsi="Arial" w:cs="Arial"/>
          <w:color w:val="000000" w:themeColor="text1"/>
          <w:sz w:val="20"/>
          <w:szCs w:val="20"/>
        </w:rPr>
      </w:pPr>
    </w:p>
    <w:p w14:paraId="4DBD2A44" w14:textId="77777777" w:rsidR="00D12D91" w:rsidRPr="0070578D" w:rsidRDefault="00D12D91" w:rsidP="000D4D96">
      <w:pPr>
        <w:ind w:left="709" w:right="709"/>
        <w:jc w:val="both"/>
        <w:rPr>
          <w:rFonts w:ascii="Arial" w:hAnsi="Arial" w:cs="Arial"/>
          <w:color w:val="000000" w:themeColor="text1"/>
          <w:sz w:val="21"/>
          <w:szCs w:val="21"/>
        </w:rPr>
      </w:pPr>
      <w:r w:rsidRPr="0070578D">
        <w:rPr>
          <w:rFonts w:ascii="Arial" w:hAnsi="Arial" w:cs="Arial"/>
          <w:color w:val="000000" w:themeColor="text1"/>
          <w:sz w:val="21"/>
          <w:szCs w:val="21"/>
        </w:rPr>
        <w:t>Se define la expresión contratación directa entendida como cualquier mecanismo de escogencia del contratista en el que se prescinde de la licitación o concurso, sin que se tenga en cuenta por el legislador estatutario el régimen de contratación aplicable, ya sea contenido en el Estatuto General de Contratación de la Administración Pública - ley 80 de 1993 -, o uno especial en razón del objeto del contrato o del órgano que contrata. Para los efectos de la ley de garantías, y dada su finalidad, el enunciado ‘contratación directa’ es sinónimo de cualquier sistema diferente de la licitación pública, y no del procedimiento especial regulado por la ley 80 de 1993</w:t>
      </w:r>
      <w:r w:rsidRPr="0070578D">
        <w:rPr>
          <w:rStyle w:val="Refdenotaalpie"/>
          <w:rFonts w:ascii="Arial" w:hAnsi="Arial" w:cs="Arial"/>
          <w:color w:val="000000" w:themeColor="text1"/>
          <w:sz w:val="21"/>
          <w:szCs w:val="21"/>
        </w:rPr>
        <w:footnoteReference w:id="13"/>
      </w:r>
      <w:r w:rsidRPr="0070578D">
        <w:rPr>
          <w:rFonts w:ascii="Arial" w:hAnsi="Arial" w:cs="Arial"/>
          <w:color w:val="000000" w:themeColor="text1"/>
          <w:sz w:val="21"/>
          <w:szCs w:val="21"/>
        </w:rPr>
        <w:t>.</w:t>
      </w:r>
    </w:p>
    <w:p w14:paraId="6D0B40C7" w14:textId="77777777" w:rsidR="00D12D91" w:rsidRPr="0070578D" w:rsidRDefault="00D12D91" w:rsidP="000D4D96">
      <w:pPr>
        <w:spacing w:line="276" w:lineRule="auto"/>
        <w:ind w:firstLine="709"/>
        <w:jc w:val="both"/>
        <w:rPr>
          <w:rFonts w:ascii="Arial" w:hAnsi="Arial" w:cs="Arial"/>
          <w:color w:val="000000" w:themeColor="text1"/>
          <w:sz w:val="20"/>
          <w:szCs w:val="20"/>
        </w:rPr>
      </w:pPr>
    </w:p>
    <w:p w14:paraId="63C0F678" w14:textId="77777777" w:rsidR="00D12D91" w:rsidRPr="0070578D" w:rsidRDefault="00D12D91" w:rsidP="00D12D91">
      <w:pPr>
        <w:spacing w:before="120" w:after="120" w:line="276" w:lineRule="auto"/>
        <w:ind w:firstLine="708"/>
        <w:jc w:val="both"/>
        <w:rPr>
          <w:rFonts w:ascii="Arial" w:eastAsia="Calibri" w:hAnsi="Arial" w:cs="Arial"/>
          <w:color w:val="000000" w:themeColor="text1"/>
          <w:sz w:val="22"/>
        </w:rPr>
      </w:pPr>
      <w:r w:rsidRPr="0070578D">
        <w:rPr>
          <w:rFonts w:ascii="Arial" w:eastAsia="Calibri" w:hAnsi="Arial" w:cs="Arial"/>
          <w:color w:val="000000" w:themeColor="text1"/>
          <w:sz w:val="22"/>
        </w:rPr>
        <w:t xml:space="preserve">Por su parte, el artículo 2, numeral 4, literal c) de la Ley 1150 de 2007, señala que, de manera excepcional, las entidades estatales pueden contratar directamente, entre otras, los «Contratos interadministrativos, siempre que las obligaciones derivadas del mismo tengan relación directa con el objeto de la entidad ejecutora señalado en la ley o en sus reglamentos». No obstante, esta disposición exceptuó celebrar de manera directa contratos o convenios interadministrativos cuando se trate de un contrato de obra, suministro, prestación de servicios de evaluación de conformidad respecto de las normas o </w:t>
      </w:r>
      <w:r w:rsidRPr="0070578D">
        <w:rPr>
          <w:rFonts w:ascii="Arial" w:eastAsia="Calibri" w:hAnsi="Arial" w:cs="Arial"/>
          <w:color w:val="000000" w:themeColor="text1"/>
          <w:sz w:val="22"/>
        </w:rPr>
        <w:lastRenderedPageBreak/>
        <w:t>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Estas entidades pueden ejecutar aquellos contratos siempre que resulten adjudicatarias en un proceso abierto y con la participación de una pluralidad de oferentes, pues en dichos casos la entidad estatal que así lo requiera deberá adelantar una licitación pública, concurso de méritos o selección abreviada</w:t>
      </w:r>
      <w:r w:rsidRPr="0070578D">
        <w:rPr>
          <w:rStyle w:val="Refdenotaalpie"/>
          <w:rFonts w:ascii="Arial" w:eastAsia="Calibri" w:hAnsi="Arial" w:cs="Arial"/>
          <w:color w:val="000000" w:themeColor="text1"/>
          <w:sz w:val="22"/>
        </w:rPr>
        <w:footnoteReference w:id="14"/>
      </w:r>
      <w:r w:rsidRPr="0070578D">
        <w:rPr>
          <w:rFonts w:ascii="Arial" w:eastAsia="Calibri" w:hAnsi="Arial" w:cs="Arial"/>
          <w:color w:val="000000" w:themeColor="text1"/>
          <w:sz w:val="22"/>
        </w:rPr>
        <w:t>.</w:t>
      </w:r>
    </w:p>
    <w:p w14:paraId="7CBC543F" w14:textId="77777777" w:rsidR="00D12D91" w:rsidRPr="0070578D" w:rsidRDefault="00D12D91" w:rsidP="00D12D91">
      <w:pPr>
        <w:spacing w:before="120" w:after="120" w:line="276" w:lineRule="auto"/>
        <w:ind w:firstLine="708"/>
        <w:jc w:val="both"/>
        <w:rPr>
          <w:rFonts w:ascii="Arial" w:eastAsia="Calibri" w:hAnsi="Arial" w:cs="Arial"/>
          <w:color w:val="000000" w:themeColor="text1"/>
          <w:sz w:val="22"/>
        </w:rPr>
      </w:pPr>
      <w:r w:rsidRPr="0070578D">
        <w:rPr>
          <w:rFonts w:ascii="Arial" w:eastAsia="Calibri" w:hAnsi="Arial" w:cs="Arial"/>
          <w:color w:val="000000" w:themeColor="text1"/>
          <w:sz w:val="22"/>
        </w:rPr>
        <w:t>Si bien la Ley 1150 de 2007 establece que las entidades estatales pueden celebrar contratos o convenios interadministrativos de manera directa, siempre que las obligaciones derivadas del mismo tengan relación directa con el objeto de la entidad ejecutora, la misma establece excepciones a esta regla, la cual está condicionada a que ciertas tipologías contractuales sean ejecutadas por las entidades estatales allí previstas. Nótese que, pese a tratarse de entidades del Estado, la Ley no restringió su denominación de contrato interadministrativo, sino que exceptuó el procedimiento de selección del contratista. Asimismo, hay otras excepciones a la celebración de contratos interadministrativos, como la contemplada en el último párrafo del literal c, numeral 4, artículo 2 ibidem: «Estarán exceptuados de la figura del contrato interadministrativo, los contratos de seguro de las entidades estatales».</w:t>
      </w:r>
    </w:p>
    <w:p w14:paraId="5FF9025A" w14:textId="77777777" w:rsidR="00D12D91" w:rsidRPr="0070578D" w:rsidRDefault="00D12D91" w:rsidP="00D12D91">
      <w:pPr>
        <w:spacing w:before="120" w:after="120" w:line="276" w:lineRule="auto"/>
        <w:ind w:firstLine="708"/>
        <w:jc w:val="both"/>
        <w:rPr>
          <w:rFonts w:ascii="Arial" w:eastAsia="Calibri" w:hAnsi="Arial" w:cs="Arial"/>
          <w:color w:val="000000" w:themeColor="text1"/>
          <w:sz w:val="22"/>
        </w:rPr>
      </w:pPr>
      <w:r w:rsidRPr="0070578D">
        <w:rPr>
          <w:rFonts w:ascii="Arial" w:eastAsia="Calibri" w:hAnsi="Arial" w:cs="Arial"/>
          <w:color w:val="000000" w:themeColor="text1"/>
          <w:sz w:val="22"/>
        </w:rPr>
        <w:t>Así las cosas, la Ley no limitó la celebración de contratos interadministrativos a la modalidad de selección de contratación directa, solo estableció, excepcionalmente, su celebración de manera directa cuando dos o más entidades del Estado, con el fin de materializar funciones administrativas de interés común para ambas partes, celebran un negocio jurídico. No obstante, es posible que se celebren contratos interadministrativos en el marco de un proceso en el que sea posible la participación de los interesados en ofertar, es decir, a través de las otras modalidades de selección previstas en la Ley 1150 de 2007 diferentes a la de contratación directa, pues, como se indicó, la existencia de un contrato interadministrativo no está determinada por la modalidad de selección sino, entre otras cosas, de la calidad de las partes que lo suscriben, es decir, debe tratarse de entidades estatales.</w:t>
      </w:r>
    </w:p>
    <w:p w14:paraId="3D1318AE" w14:textId="4597A6A3" w:rsidR="00E308A1" w:rsidRPr="0070578D" w:rsidRDefault="007317F9" w:rsidP="000C14EA">
      <w:pPr>
        <w:spacing w:before="120" w:line="276" w:lineRule="auto"/>
        <w:ind w:firstLine="709"/>
        <w:jc w:val="both"/>
        <w:rPr>
          <w:rFonts w:ascii="Arial" w:eastAsia="Calibri" w:hAnsi="Arial" w:cs="Arial"/>
          <w:color w:val="000000" w:themeColor="text1"/>
          <w:sz w:val="22"/>
        </w:rPr>
      </w:pPr>
      <w:r w:rsidRPr="0070578D">
        <w:rPr>
          <w:rFonts w:ascii="Arial" w:eastAsia="Calibri" w:hAnsi="Arial" w:cs="Arial"/>
          <w:color w:val="000000" w:themeColor="text1"/>
          <w:sz w:val="22"/>
        </w:rPr>
        <w:lastRenderedPageBreak/>
        <w:t>Por otra parte</w:t>
      </w:r>
      <w:r w:rsidR="00D12D91" w:rsidRPr="0070578D">
        <w:rPr>
          <w:rFonts w:ascii="Arial" w:eastAsia="Calibri" w:hAnsi="Arial" w:cs="Arial"/>
          <w:color w:val="000000" w:themeColor="text1"/>
          <w:sz w:val="22"/>
        </w:rPr>
        <w:t>, el artículo 7 de la Ley 1150 de 2007 establece que en los contratos interadministrativos las garantías no serán obligatorias</w:t>
      </w:r>
      <w:r w:rsidR="00D12D91" w:rsidRPr="0070578D">
        <w:rPr>
          <w:rStyle w:val="Refdenotaalpie"/>
          <w:rFonts w:ascii="Arial" w:eastAsia="Calibri" w:hAnsi="Arial" w:cs="Arial"/>
          <w:color w:val="000000" w:themeColor="text1"/>
          <w:sz w:val="22"/>
        </w:rPr>
        <w:footnoteReference w:id="15"/>
      </w:r>
      <w:r w:rsidR="00D12D91" w:rsidRPr="0070578D">
        <w:rPr>
          <w:rFonts w:ascii="Arial" w:eastAsia="Calibri" w:hAnsi="Arial" w:cs="Arial"/>
          <w:color w:val="000000" w:themeColor="text1"/>
          <w:sz w:val="22"/>
        </w:rPr>
        <w:t>. En el mismo sentido, el Decreto 1082 de 2015 prevé que en los convenios interadministrativos la exigencia de garantías no es obligatoria, y la justificación para exigirlas o no debe estar en los estudios previos</w:t>
      </w:r>
      <w:r w:rsidR="00D12D91" w:rsidRPr="0070578D">
        <w:rPr>
          <w:rStyle w:val="Refdenotaalpie"/>
          <w:rFonts w:ascii="Arial" w:eastAsia="Calibri" w:hAnsi="Arial" w:cs="Arial"/>
          <w:color w:val="000000" w:themeColor="text1"/>
          <w:sz w:val="22"/>
        </w:rPr>
        <w:footnoteReference w:id="16"/>
      </w:r>
      <w:r w:rsidR="00D12D91" w:rsidRPr="0070578D">
        <w:rPr>
          <w:rFonts w:ascii="Arial" w:eastAsia="Calibri" w:hAnsi="Arial" w:cs="Arial"/>
          <w:color w:val="000000" w:themeColor="text1"/>
          <w:sz w:val="22"/>
        </w:rPr>
        <w:t>.</w:t>
      </w:r>
    </w:p>
    <w:p w14:paraId="65E09520" w14:textId="77777777" w:rsidR="000C14EA" w:rsidRPr="0070578D" w:rsidRDefault="000C14EA" w:rsidP="00E308A1">
      <w:pPr>
        <w:pStyle w:val="Prrafodelista"/>
        <w:spacing w:line="276" w:lineRule="auto"/>
        <w:ind w:left="0"/>
        <w:jc w:val="both"/>
        <w:rPr>
          <w:rFonts w:ascii="Arial" w:eastAsia="Calibri" w:hAnsi="Arial" w:cs="Arial"/>
          <w:b/>
          <w:color w:val="000000" w:themeColor="text1"/>
          <w:sz w:val="22"/>
          <w:lang w:val="es-ES_tradnl"/>
        </w:rPr>
      </w:pPr>
    </w:p>
    <w:p w14:paraId="067FCD8B" w14:textId="35DE3D02" w:rsidR="007317F9" w:rsidRPr="0070578D" w:rsidRDefault="007317F9" w:rsidP="00E308A1">
      <w:pPr>
        <w:pStyle w:val="Prrafodelista"/>
        <w:spacing w:line="276" w:lineRule="auto"/>
        <w:ind w:left="0"/>
        <w:jc w:val="both"/>
        <w:rPr>
          <w:rFonts w:ascii="Arial" w:eastAsia="Calibri" w:hAnsi="Arial" w:cs="Arial"/>
          <w:b/>
          <w:color w:val="000000" w:themeColor="text1"/>
          <w:sz w:val="22"/>
          <w:lang w:val="es-ES_tradnl"/>
        </w:rPr>
      </w:pPr>
      <w:r w:rsidRPr="0070578D">
        <w:rPr>
          <w:rFonts w:ascii="Arial" w:eastAsia="Calibri" w:hAnsi="Arial" w:cs="Arial"/>
          <w:b/>
          <w:color w:val="000000" w:themeColor="text1"/>
          <w:sz w:val="22"/>
          <w:lang w:val="es-ES_tradnl"/>
        </w:rPr>
        <w:t xml:space="preserve">2.3. </w:t>
      </w:r>
      <w:r w:rsidR="000C14EA" w:rsidRPr="0070578D">
        <w:rPr>
          <w:rFonts w:ascii="Arial" w:eastAsia="Calibri" w:hAnsi="Arial" w:cs="Arial"/>
          <w:b/>
          <w:color w:val="000000" w:themeColor="text1"/>
          <w:sz w:val="22"/>
          <w:lang w:val="es-ES_tradnl"/>
        </w:rPr>
        <w:t>Posibilidad de celebrar un contrato interadministrativo con una universidad pública para realizar la interventoría del servicio de alumbrado público</w:t>
      </w:r>
    </w:p>
    <w:p w14:paraId="6FFD1187" w14:textId="77777777" w:rsidR="007317F9" w:rsidRPr="0070578D" w:rsidRDefault="007317F9" w:rsidP="00E308A1">
      <w:pPr>
        <w:pStyle w:val="Prrafodelista"/>
        <w:spacing w:line="276" w:lineRule="auto"/>
        <w:ind w:left="0"/>
        <w:jc w:val="both"/>
        <w:rPr>
          <w:rFonts w:ascii="Arial" w:eastAsia="Calibri" w:hAnsi="Arial" w:cs="Arial"/>
          <w:color w:val="000000" w:themeColor="text1"/>
          <w:sz w:val="22"/>
          <w:lang w:val="es-ES_tradnl"/>
        </w:rPr>
      </w:pPr>
    </w:p>
    <w:p w14:paraId="1A7FA7F4" w14:textId="4D5B3241" w:rsidR="003A1EEB" w:rsidRPr="0070578D" w:rsidRDefault="00AB1776" w:rsidP="003A1EEB">
      <w:pPr>
        <w:spacing w:after="120" w:line="276" w:lineRule="auto"/>
        <w:jc w:val="both"/>
        <w:rPr>
          <w:rFonts w:ascii="Arial" w:eastAsia="Calibri" w:hAnsi="Arial" w:cs="Arial"/>
          <w:color w:val="000000" w:themeColor="text1"/>
          <w:sz w:val="22"/>
        </w:rPr>
      </w:pPr>
      <w:r w:rsidRPr="0070578D">
        <w:rPr>
          <w:rFonts w:ascii="Arial" w:eastAsia="Calibri" w:hAnsi="Arial" w:cs="Arial"/>
          <w:color w:val="000000" w:themeColor="text1"/>
          <w:sz w:val="22"/>
          <w:lang w:val="es-ES_tradnl"/>
        </w:rPr>
        <w:t>Según se indicó, el artículo 2</w:t>
      </w:r>
      <w:r w:rsidR="00FF5251" w:rsidRPr="0070578D">
        <w:rPr>
          <w:rFonts w:ascii="Arial" w:eastAsia="Calibri" w:hAnsi="Arial" w:cs="Arial"/>
          <w:color w:val="000000" w:themeColor="text1"/>
          <w:sz w:val="22"/>
          <w:lang w:val="es-ES_tradnl"/>
        </w:rPr>
        <w:t>, numeral 4º, literal c)</w:t>
      </w:r>
      <w:r w:rsidR="00141E19" w:rsidRPr="0070578D">
        <w:rPr>
          <w:rFonts w:ascii="Arial" w:eastAsia="Calibri" w:hAnsi="Arial" w:cs="Arial"/>
          <w:color w:val="000000" w:themeColor="text1"/>
          <w:sz w:val="22"/>
          <w:lang w:val="es-ES_tradnl"/>
        </w:rPr>
        <w:t>,</w:t>
      </w:r>
      <w:r w:rsidR="00FF5251" w:rsidRPr="0070578D">
        <w:rPr>
          <w:rFonts w:ascii="Arial" w:eastAsia="Calibri" w:hAnsi="Arial" w:cs="Arial"/>
          <w:color w:val="000000" w:themeColor="text1"/>
          <w:sz w:val="22"/>
          <w:lang w:val="es-ES_tradnl"/>
        </w:rPr>
        <w:t xml:space="preserve"> de la Ley 1150 de 2007</w:t>
      </w:r>
      <w:r w:rsidR="00B22DBE" w:rsidRPr="0070578D">
        <w:rPr>
          <w:rFonts w:ascii="Arial" w:eastAsia="Calibri" w:hAnsi="Arial" w:cs="Arial"/>
          <w:color w:val="000000" w:themeColor="text1"/>
          <w:sz w:val="22"/>
          <w:lang w:val="es-ES_tradnl"/>
        </w:rPr>
        <w:t xml:space="preserve"> permite a las entidades sometidas al Estatuto General de Contratación de la Administración Pública celebrar contratos interadministrativos, «siempre que las obligaciones derivadas del mismo tengan relación directa con el objeto de la entidad ejecutora señalado en la ley o en sus </w:t>
      </w:r>
      <w:r w:rsidR="00B22DBE" w:rsidRPr="0070578D">
        <w:rPr>
          <w:rFonts w:ascii="Arial" w:eastAsia="Calibri" w:hAnsi="Arial" w:cs="Arial"/>
          <w:color w:val="000000" w:themeColor="text1"/>
          <w:sz w:val="22"/>
        </w:rPr>
        <w:t>reglamentos</w:t>
      </w:r>
      <w:r w:rsidR="00C4633D" w:rsidRPr="0070578D">
        <w:rPr>
          <w:rFonts w:ascii="Arial" w:eastAsia="Calibri" w:hAnsi="Arial" w:cs="Arial"/>
          <w:color w:val="000000" w:themeColor="text1"/>
          <w:sz w:val="22"/>
        </w:rPr>
        <w:t>».</w:t>
      </w:r>
    </w:p>
    <w:p w14:paraId="47B85A3D" w14:textId="27D110D6" w:rsidR="00106B71" w:rsidRPr="0070578D" w:rsidRDefault="007812C4" w:rsidP="003A1EEB">
      <w:pPr>
        <w:spacing w:before="120" w:after="120" w:line="276" w:lineRule="auto"/>
        <w:ind w:firstLine="708"/>
        <w:jc w:val="both"/>
        <w:rPr>
          <w:rFonts w:ascii="Arial" w:eastAsia="Calibri" w:hAnsi="Arial" w:cs="Arial"/>
          <w:color w:val="000000" w:themeColor="text1"/>
          <w:sz w:val="22"/>
          <w:lang w:val="es-ES_tradnl"/>
        </w:rPr>
      </w:pPr>
      <w:r w:rsidRPr="0070578D">
        <w:rPr>
          <w:rFonts w:ascii="Arial" w:eastAsia="Calibri" w:hAnsi="Arial" w:cs="Arial"/>
          <w:color w:val="000000" w:themeColor="text1"/>
          <w:sz w:val="22"/>
        </w:rPr>
        <w:t>Los</w:t>
      </w:r>
      <w:r w:rsidRPr="0070578D">
        <w:rPr>
          <w:rFonts w:ascii="Arial" w:eastAsia="Calibri" w:hAnsi="Arial" w:cs="Arial"/>
          <w:color w:val="000000" w:themeColor="text1"/>
          <w:sz w:val="22"/>
          <w:lang w:val="es-ES_tradnl"/>
        </w:rPr>
        <w:t xml:space="preserve"> municipios y distritos tienen a su cargo la prestación del </w:t>
      </w:r>
      <w:r w:rsidRPr="0070578D">
        <w:rPr>
          <w:rFonts w:ascii="Arial" w:eastAsia="Calibri" w:hAnsi="Arial" w:cs="Arial"/>
          <w:i/>
          <w:color w:val="000000" w:themeColor="text1"/>
          <w:sz w:val="22"/>
          <w:lang w:val="es-ES_tradnl"/>
        </w:rPr>
        <w:t>servicio de alumbrado público</w:t>
      </w:r>
      <w:r w:rsidR="003A2836" w:rsidRPr="0070578D">
        <w:rPr>
          <w:rStyle w:val="Refdenotaalpie"/>
          <w:rFonts w:ascii="Arial" w:eastAsia="Calibri" w:hAnsi="Arial" w:cs="Arial"/>
          <w:color w:val="000000" w:themeColor="text1"/>
          <w:sz w:val="22"/>
          <w:lang w:val="es-ES_tradnl"/>
        </w:rPr>
        <w:footnoteReference w:id="17"/>
      </w:r>
      <w:r w:rsidRPr="0070578D">
        <w:rPr>
          <w:rFonts w:ascii="Arial" w:eastAsia="Calibri" w:hAnsi="Arial" w:cs="Arial"/>
          <w:color w:val="000000" w:themeColor="text1"/>
          <w:sz w:val="22"/>
          <w:lang w:val="es-ES_tradnl"/>
        </w:rPr>
        <w:t xml:space="preserve">, </w:t>
      </w:r>
      <w:r w:rsidR="005F2C34" w:rsidRPr="0070578D">
        <w:rPr>
          <w:rFonts w:ascii="Arial" w:eastAsia="Calibri" w:hAnsi="Arial" w:cs="Arial"/>
          <w:color w:val="000000" w:themeColor="text1"/>
          <w:sz w:val="22"/>
          <w:lang w:val="es-ES_tradnl"/>
        </w:rPr>
        <w:t>que</w:t>
      </w:r>
      <w:r w:rsidRPr="0070578D">
        <w:rPr>
          <w:rFonts w:ascii="Arial" w:eastAsia="Calibri" w:hAnsi="Arial" w:cs="Arial"/>
          <w:color w:val="000000" w:themeColor="text1"/>
          <w:sz w:val="22"/>
          <w:lang w:val="es-ES_tradnl"/>
        </w:rPr>
        <w:t xml:space="preserve"> se define en el </w:t>
      </w:r>
      <w:r w:rsidR="004F5405" w:rsidRPr="0070578D">
        <w:rPr>
          <w:rFonts w:ascii="Arial" w:eastAsia="Calibri" w:hAnsi="Arial" w:cs="Arial"/>
          <w:color w:val="000000" w:themeColor="text1"/>
          <w:sz w:val="22"/>
          <w:lang w:val="es-ES_tradnl"/>
        </w:rPr>
        <w:t xml:space="preserve">artículo 1 del Decreto </w:t>
      </w:r>
      <w:r w:rsidR="00106B71" w:rsidRPr="0070578D">
        <w:rPr>
          <w:rFonts w:ascii="Arial" w:eastAsia="Calibri" w:hAnsi="Arial" w:cs="Arial"/>
          <w:color w:val="000000" w:themeColor="text1"/>
          <w:sz w:val="22"/>
          <w:lang w:val="es-ES_tradnl"/>
        </w:rPr>
        <w:t>943 de 2018 –</w:t>
      </w:r>
      <w:r w:rsidR="00141E19" w:rsidRPr="0070578D">
        <w:rPr>
          <w:rFonts w:ascii="Arial" w:eastAsia="Calibri" w:hAnsi="Arial" w:cs="Arial"/>
          <w:color w:val="000000" w:themeColor="text1"/>
          <w:sz w:val="22"/>
          <w:lang w:val="es-ES_tradnl"/>
        </w:rPr>
        <w:t>el cual</w:t>
      </w:r>
      <w:r w:rsidR="00106B71" w:rsidRPr="0070578D">
        <w:rPr>
          <w:rFonts w:ascii="Arial" w:eastAsia="Calibri" w:hAnsi="Arial" w:cs="Arial"/>
          <w:color w:val="000000" w:themeColor="text1"/>
          <w:sz w:val="22"/>
          <w:lang w:val="es-ES_tradnl"/>
        </w:rPr>
        <w:t xml:space="preserve"> modificó el </w:t>
      </w:r>
      <w:r w:rsidR="00106B71" w:rsidRPr="0070578D">
        <w:rPr>
          <w:rFonts w:ascii="Arial" w:eastAsia="Calibri" w:hAnsi="Arial" w:cs="Arial"/>
          <w:color w:val="000000" w:themeColor="text1"/>
          <w:sz w:val="22"/>
          <w:lang w:val="es-ES_tradnl"/>
        </w:rPr>
        <w:lastRenderedPageBreak/>
        <w:t>artículo 2.2.3.1.2 del Decreto Único Reglamentario del Sector Administrativo de Minas y Energía, 1073 de 2015</w:t>
      </w:r>
      <w:r w:rsidR="006C220C" w:rsidRPr="0070578D">
        <w:rPr>
          <w:rFonts w:ascii="Arial" w:eastAsia="Calibri" w:hAnsi="Arial" w:cs="Arial"/>
          <w:color w:val="000000" w:themeColor="text1"/>
          <w:sz w:val="22"/>
          <w:lang w:val="es-ES_tradnl"/>
        </w:rPr>
        <w:t xml:space="preserve">–, </w:t>
      </w:r>
      <w:r w:rsidR="006A746B" w:rsidRPr="0070578D">
        <w:rPr>
          <w:rFonts w:ascii="Arial" w:eastAsia="Calibri" w:hAnsi="Arial" w:cs="Arial"/>
          <w:color w:val="000000" w:themeColor="text1"/>
          <w:sz w:val="22"/>
          <w:lang w:val="es-ES_tradnl"/>
        </w:rPr>
        <w:t>como:</w:t>
      </w:r>
    </w:p>
    <w:p w14:paraId="329173CC" w14:textId="77777777" w:rsidR="006A746B" w:rsidRPr="0070578D" w:rsidRDefault="006A746B" w:rsidP="00106B71">
      <w:pPr>
        <w:pStyle w:val="Prrafodelista"/>
        <w:spacing w:line="276" w:lineRule="auto"/>
        <w:ind w:left="0" w:firstLine="709"/>
        <w:jc w:val="both"/>
        <w:rPr>
          <w:rFonts w:ascii="Arial" w:eastAsia="Calibri" w:hAnsi="Arial" w:cs="Arial"/>
          <w:color w:val="000000" w:themeColor="text1"/>
          <w:sz w:val="22"/>
          <w:lang w:val="es-ES_tradnl"/>
        </w:rPr>
      </w:pPr>
    </w:p>
    <w:p w14:paraId="182B8D72" w14:textId="3D3F7CF2" w:rsidR="006A746B" w:rsidRPr="0070578D" w:rsidRDefault="006A746B" w:rsidP="003A2836">
      <w:pPr>
        <w:pStyle w:val="Prrafodelista"/>
        <w:ind w:left="709" w:right="709"/>
        <w:jc w:val="both"/>
        <w:rPr>
          <w:rFonts w:ascii="Arial" w:eastAsia="Calibri" w:hAnsi="Arial" w:cs="Arial"/>
          <w:color w:val="000000" w:themeColor="text1"/>
          <w:sz w:val="21"/>
          <w:szCs w:val="21"/>
          <w:lang w:val="es-ES_tradnl"/>
        </w:rPr>
      </w:pPr>
      <w:r w:rsidRPr="0070578D">
        <w:rPr>
          <w:rFonts w:ascii="Arial" w:eastAsia="Calibri" w:hAnsi="Arial" w:cs="Arial"/>
          <w:color w:val="000000" w:themeColor="text1"/>
          <w:sz w:val="21"/>
          <w:szCs w:val="21"/>
          <w:lang w:val="es-ES_tradnl"/>
        </w:rPr>
        <w:t>Servicio público no domiciliario de iluminación, inherente al servicio de energía eléctrica, que se presta</w:t>
      </w:r>
      <w:r w:rsidR="003A2836" w:rsidRPr="0070578D">
        <w:rPr>
          <w:rFonts w:ascii="Arial" w:eastAsia="Calibri" w:hAnsi="Arial" w:cs="Arial"/>
          <w:color w:val="000000" w:themeColor="text1"/>
          <w:sz w:val="21"/>
          <w:szCs w:val="21"/>
          <w:lang w:val="es-ES_tradnl"/>
        </w:rPr>
        <w:t xml:space="preserve"> con el fin de dar visibilidad </w:t>
      </w:r>
      <w:r w:rsidRPr="0070578D">
        <w:rPr>
          <w:rFonts w:ascii="Arial" w:eastAsia="Calibri" w:hAnsi="Arial" w:cs="Arial"/>
          <w:color w:val="000000" w:themeColor="text1"/>
          <w:sz w:val="21"/>
          <w:szCs w:val="21"/>
          <w:lang w:val="es-ES_tradnl"/>
        </w:rPr>
        <w:t>al espacio público, bienes de uso público y demás espacios de libre circulación, con tránsito vehicular o peatonal, dentro del perímetro urbano y rural de un municipio o distrito, para el normal desarrollo de las actividades.</w:t>
      </w:r>
    </w:p>
    <w:p w14:paraId="2B9BF765" w14:textId="77777777" w:rsidR="00EB203A" w:rsidRPr="0070578D" w:rsidRDefault="00EB203A" w:rsidP="006A746B">
      <w:pPr>
        <w:pStyle w:val="Prrafodelista"/>
        <w:ind w:left="709" w:right="709"/>
        <w:jc w:val="both"/>
        <w:rPr>
          <w:rFonts w:ascii="Arial" w:eastAsia="Calibri" w:hAnsi="Arial" w:cs="Arial"/>
          <w:color w:val="000000" w:themeColor="text1"/>
          <w:sz w:val="21"/>
          <w:szCs w:val="21"/>
          <w:lang w:val="es-ES_tradnl"/>
        </w:rPr>
      </w:pPr>
    </w:p>
    <w:p w14:paraId="624BE6AC" w14:textId="7AF7194D" w:rsidR="006A746B" w:rsidRPr="0070578D" w:rsidRDefault="006A746B" w:rsidP="00EB203A">
      <w:pPr>
        <w:pStyle w:val="Prrafodelista"/>
        <w:ind w:left="709" w:right="709"/>
        <w:jc w:val="both"/>
        <w:rPr>
          <w:rFonts w:ascii="Arial" w:eastAsia="Calibri" w:hAnsi="Arial" w:cs="Arial"/>
          <w:color w:val="000000" w:themeColor="text1"/>
          <w:sz w:val="21"/>
          <w:szCs w:val="21"/>
          <w:lang w:val="es-ES_tradnl"/>
        </w:rPr>
      </w:pPr>
      <w:r w:rsidRPr="0070578D">
        <w:rPr>
          <w:rFonts w:ascii="Arial" w:eastAsia="Calibri" w:hAnsi="Arial" w:cs="Arial"/>
          <w:color w:val="000000" w:themeColor="text1"/>
          <w:sz w:val="21"/>
          <w:szCs w:val="21"/>
          <w:lang w:val="es-ES_tradnl"/>
        </w:rPr>
        <w:t>El servicio de alumbrado público comprende las actividades de suministro de energía eléctrica al sistema de alumbrado público, la administración, operación, mantenimiento, modernización, reposición y expansión de dicho sistema, el desarrollo tecnológico asociado a él, y la interventoría en los casos que aplique.</w:t>
      </w:r>
    </w:p>
    <w:p w14:paraId="32DF60AF" w14:textId="77777777" w:rsidR="00EB203A" w:rsidRPr="0070578D" w:rsidRDefault="00EB203A" w:rsidP="006A746B">
      <w:pPr>
        <w:pStyle w:val="Prrafodelista"/>
        <w:ind w:left="709" w:right="709"/>
        <w:jc w:val="both"/>
        <w:rPr>
          <w:rFonts w:ascii="Arial" w:eastAsia="Calibri" w:hAnsi="Arial" w:cs="Arial"/>
          <w:color w:val="000000" w:themeColor="text1"/>
          <w:sz w:val="21"/>
          <w:szCs w:val="21"/>
          <w:lang w:val="es-ES_tradnl"/>
        </w:rPr>
      </w:pPr>
    </w:p>
    <w:p w14:paraId="0A39187F" w14:textId="6C1DD012" w:rsidR="006A746B" w:rsidRPr="0070578D" w:rsidRDefault="00EB203A" w:rsidP="00EB203A">
      <w:pPr>
        <w:pStyle w:val="Prrafodelista"/>
        <w:ind w:left="709" w:right="709"/>
        <w:jc w:val="both"/>
        <w:rPr>
          <w:rFonts w:ascii="Arial" w:eastAsia="Calibri" w:hAnsi="Arial" w:cs="Arial"/>
          <w:color w:val="000000" w:themeColor="text1"/>
          <w:sz w:val="21"/>
          <w:szCs w:val="21"/>
          <w:lang w:val="es-ES_tradnl"/>
        </w:rPr>
      </w:pPr>
      <w:r w:rsidRPr="0070578D">
        <w:rPr>
          <w:rFonts w:ascii="Arial" w:eastAsia="Calibri" w:hAnsi="Arial" w:cs="Arial"/>
          <w:color w:val="000000" w:themeColor="text1"/>
          <w:sz w:val="21"/>
          <w:szCs w:val="21"/>
          <w:lang w:val="es-ES_tradnl"/>
        </w:rPr>
        <w:t>PARÁGRAFO</w:t>
      </w:r>
      <w:r w:rsidR="006A746B" w:rsidRPr="0070578D">
        <w:rPr>
          <w:rFonts w:ascii="Arial" w:eastAsia="Calibri" w:hAnsi="Arial" w:cs="Arial"/>
          <w:color w:val="000000" w:themeColor="text1"/>
          <w:sz w:val="21"/>
          <w:szCs w:val="21"/>
          <w:lang w:val="es-ES_tradnl"/>
        </w:rPr>
        <w:t>. No se considera servicio de alumbrado público la semaforización, los relojes digitales y la iluminación de las zonas comunes en las unidades inmobiliarias cerradas o en los edificios o conjuntos de uso residencial, comercial, industrial o mixto, sometidos al régimen de propiedad horizontal, la cual estará a cargo de la copropiedad.</w:t>
      </w:r>
    </w:p>
    <w:p w14:paraId="4EC422AC" w14:textId="77777777" w:rsidR="00EB203A" w:rsidRPr="0070578D" w:rsidRDefault="00EB203A" w:rsidP="006A746B">
      <w:pPr>
        <w:pStyle w:val="Prrafodelista"/>
        <w:ind w:left="709" w:right="709"/>
        <w:jc w:val="both"/>
        <w:rPr>
          <w:rFonts w:ascii="Arial" w:eastAsia="Calibri" w:hAnsi="Arial" w:cs="Arial"/>
          <w:color w:val="000000" w:themeColor="text1"/>
          <w:sz w:val="21"/>
          <w:szCs w:val="21"/>
          <w:lang w:val="es-ES_tradnl"/>
        </w:rPr>
      </w:pPr>
    </w:p>
    <w:p w14:paraId="4B6D8332" w14:textId="77777777" w:rsidR="006A746B" w:rsidRPr="0070578D" w:rsidRDefault="006A746B" w:rsidP="006A746B">
      <w:pPr>
        <w:pStyle w:val="Prrafodelista"/>
        <w:ind w:left="709" w:right="709"/>
        <w:jc w:val="both"/>
        <w:rPr>
          <w:rFonts w:ascii="Arial" w:eastAsia="Calibri" w:hAnsi="Arial" w:cs="Arial"/>
          <w:color w:val="000000" w:themeColor="text1"/>
          <w:sz w:val="21"/>
          <w:szCs w:val="21"/>
          <w:lang w:val="es-ES_tradnl"/>
        </w:rPr>
      </w:pPr>
      <w:r w:rsidRPr="0070578D">
        <w:rPr>
          <w:rFonts w:ascii="Arial" w:eastAsia="Calibri" w:hAnsi="Arial" w:cs="Arial"/>
          <w:color w:val="000000" w:themeColor="text1"/>
          <w:sz w:val="21"/>
          <w:szCs w:val="21"/>
          <w:lang w:val="es-ES_tradnl"/>
        </w:rPr>
        <w:t>Se excluyen del servicio de alumbrado público la iluminación de carreteras que no se encuentren a cargo del municipio o distrito, con excepción de aquellos municipios y distritos que presten el servicio de alumbrado público en corredores viales nacionales o departamentales que se encuentren dentro su perímetro urbano y rural, para garantizar la seguridad y mejorar el nivel de servicio a la población en el uso de la infraestructura de transporte, previa autorización de la entidad titular del respectivo corredor vial, acorde a lo dispuesto por el artículo 68 de la Ley 1682 de 2013.</w:t>
      </w:r>
    </w:p>
    <w:p w14:paraId="260B4FD8" w14:textId="3F72E2D9" w:rsidR="006A746B" w:rsidRPr="0070578D" w:rsidRDefault="006A746B" w:rsidP="00B674C6">
      <w:pPr>
        <w:spacing w:line="276" w:lineRule="auto"/>
        <w:jc w:val="both"/>
        <w:rPr>
          <w:rFonts w:ascii="Arial" w:eastAsia="Calibri" w:hAnsi="Arial" w:cs="Arial"/>
          <w:color w:val="000000" w:themeColor="text1"/>
          <w:sz w:val="22"/>
          <w:lang w:val="es-ES_tradnl"/>
        </w:rPr>
      </w:pPr>
    </w:p>
    <w:p w14:paraId="501E5880" w14:textId="69B3DEC6" w:rsidR="006A746B" w:rsidRPr="0070578D" w:rsidRDefault="006A746B" w:rsidP="00B674C6">
      <w:pPr>
        <w:pStyle w:val="Prrafodelista"/>
        <w:ind w:left="709" w:right="709"/>
        <w:jc w:val="both"/>
        <w:rPr>
          <w:rFonts w:ascii="Arial" w:eastAsia="Calibri" w:hAnsi="Arial" w:cs="Arial"/>
          <w:color w:val="000000" w:themeColor="text1"/>
          <w:sz w:val="21"/>
          <w:szCs w:val="21"/>
          <w:lang w:val="es-ES_tradnl"/>
        </w:rPr>
      </w:pPr>
      <w:r w:rsidRPr="0070578D">
        <w:rPr>
          <w:rFonts w:ascii="Arial" w:eastAsia="Calibri" w:hAnsi="Arial" w:cs="Arial"/>
          <w:color w:val="000000" w:themeColor="text1"/>
          <w:sz w:val="21"/>
          <w:szCs w:val="21"/>
          <w:lang w:val="es-ES_tradnl"/>
        </w:rPr>
        <w:t>Tampoco se considera servicio de alumbrado público la iluminación ornamental y navideña en los espacios públicos, pese a que las Entidades Territoriales en virtud de su autonomía, podrán complementar la destinación del impuesto a dichas actividades, de conformidad con el parágrafo del artíc</w:t>
      </w:r>
      <w:r w:rsidR="00B674C6" w:rsidRPr="0070578D">
        <w:rPr>
          <w:rFonts w:ascii="Arial" w:eastAsia="Calibri" w:hAnsi="Arial" w:cs="Arial"/>
          <w:color w:val="000000" w:themeColor="text1"/>
          <w:sz w:val="21"/>
          <w:szCs w:val="21"/>
          <w:lang w:val="es-ES_tradnl"/>
        </w:rPr>
        <w:t>ulo 350 de la Ley 1819 de 2016.</w:t>
      </w:r>
    </w:p>
    <w:p w14:paraId="1E398545" w14:textId="388A6102" w:rsidR="007812C4" w:rsidRPr="0070578D" w:rsidRDefault="007812C4" w:rsidP="007812C4">
      <w:pPr>
        <w:pStyle w:val="Prrafodelista"/>
        <w:spacing w:line="276" w:lineRule="auto"/>
        <w:ind w:left="0" w:firstLine="709"/>
        <w:jc w:val="both"/>
        <w:rPr>
          <w:rFonts w:ascii="Arial" w:eastAsia="Calibri" w:hAnsi="Arial" w:cs="Arial"/>
          <w:color w:val="000000" w:themeColor="text1"/>
          <w:sz w:val="22"/>
          <w:lang w:val="es-ES_tradnl"/>
        </w:rPr>
      </w:pPr>
    </w:p>
    <w:p w14:paraId="250A7C91" w14:textId="5ED44ADF" w:rsidR="002613C0" w:rsidRPr="0070578D" w:rsidRDefault="002613C0" w:rsidP="002613C0">
      <w:pPr>
        <w:pStyle w:val="Prrafodelista"/>
        <w:spacing w:line="276" w:lineRule="auto"/>
        <w:ind w:left="0" w:firstLine="709"/>
        <w:jc w:val="both"/>
        <w:rPr>
          <w:rFonts w:ascii="Arial" w:eastAsia="Calibri" w:hAnsi="Arial" w:cs="Arial"/>
          <w:color w:val="000000" w:themeColor="text1"/>
          <w:sz w:val="22"/>
          <w:lang w:val="es-ES_tradnl"/>
        </w:rPr>
      </w:pPr>
      <w:r w:rsidRPr="0070578D">
        <w:rPr>
          <w:rFonts w:ascii="Arial" w:eastAsia="Calibri" w:hAnsi="Arial" w:cs="Arial"/>
          <w:color w:val="000000" w:themeColor="text1"/>
          <w:sz w:val="22"/>
          <w:lang w:val="es-ES_tradnl"/>
        </w:rPr>
        <w:t>Ahora bien, los municipios pueden entregar en concesión la prestación del servicio de alumbrado público, cumpliendo los requisitos establecidos en el artículo 29 de la Ley 1150 de 2007, a cuyo tenor:</w:t>
      </w:r>
    </w:p>
    <w:p w14:paraId="3D630641" w14:textId="77777777" w:rsidR="00B14275" w:rsidRPr="0070578D" w:rsidRDefault="00B14275" w:rsidP="002613C0">
      <w:pPr>
        <w:pStyle w:val="Prrafodelista"/>
        <w:spacing w:line="276" w:lineRule="auto"/>
        <w:ind w:left="0" w:firstLine="709"/>
        <w:jc w:val="both"/>
        <w:rPr>
          <w:rFonts w:ascii="Arial" w:eastAsia="Calibri" w:hAnsi="Arial" w:cs="Arial"/>
          <w:color w:val="000000" w:themeColor="text1"/>
          <w:sz w:val="22"/>
          <w:lang w:val="es-ES_tradnl"/>
        </w:rPr>
      </w:pPr>
    </w:p>
    <w:p w14:paraId="1AF3CF58" w14:textId="76C1821F" w:rsidR="00B14275" w:rsidRPr="0070578D" w:rsidRDefault="00C848C3" w:rsidP="00223D5F">
      <w:pPr>
        <w:pStyle w:val="Prrafodelista"/>
        <w:ind w:left="709" w:right="709"/>
        <w:jc w:val="both"/>
        <w:rPr>
          <w:rFonts w:ascii="Arial" w:eastAsia="Calibri" w:hAnsi="Arial" w:cs="Arial"/>
          <w:color w:val="000000" w:themeColor="text1"/>
          <w:sz w:val="21"/>
          <w:szCs w:val="21"/>
          <w:lang w:val="es-ES_tradnl"/>
        </w:rPr>
      </w:pPr>
      <w:r w:rsidRPr="0070578D">
        <w:rPr>
          <w:rFonts w:ascii="Arial" w:eastAsia="Calibri" w:hAnsi="Arial" w:cs="Arial"/>
          <w:color w:val="000000" w:themeColor="text1"/>
          <w:sz w:val="21"/>
          <w:szCs w:val="21"/>
          <w:lang w:val="es-ES_tradnl"/>
        </w:rPr>
        <w:t>Todos los contratos en que los municipios o distritos entreguen en concesión la prestación del servicio de alumbrado público a terceros, deberán sujetarse en todo a la Ley </w:t>
      </w:r>
      <w:r w:rsidRPr="0070578D">
        <w:rPr>
          <w:rFonts w:ascii="Arial" w:hAnsi="Arial" w:cs="Arial"/>
          <w:color w:val="000000" w:themeColor="text1"/>
          <w:sz w:val="21"/>
          <w:szCs w:val="21"/>
          <w:lang w:val="es-ES_tradnl"/>
        </w:rPr>
        <w:t>80</w:t>
      </w:r>
      <w:r w:rsidRPr="0070578D">
        <w:rPr>
          <w:rFonts w:ascii="Arial" w:eastAsia="Calibri" w:hAnsi="Arial" w:cs="Arial"/>
          <w:color w:val="000000" w:themeColor="text1"/>
          <w:sz w:val="21"/>
          <w:szCs w:val="21"/>
          <w:lang w:val="es-ES_tradnl"/>
        </w:rPr>
        <w:t xml:space="preserve"> de 1993, contener las garantías exigidas en la misma, incluir la cláusula de reversión de toda la infraestructura administrada, construida o modernizada, hacer obligatoria la modernización del Sistema, incorporar en el modelo financiero y contener el plazo correspondiente en armonía con ese modelo financiero. Así mismo, </w:t>
      </w:r>
      <w:r w:rsidRPr="0070578D">
        <w:rPr>
          <w:rFonts w:ascii="Arial" w:eastAsia="Calibri" w:hAnsi="Arial" w:cs="Arial"/>
          <w:i/>
          <w:color w:val="000000" w:themeColor="text1"/>
          <w:sz w:val="21"/>
          <w:szCs w:val="21"/>
          <w:lang w:val="es-ES_tradnl"/>
        </w:rPr>
        <w:t>tendrán una interventoría idónea</w:t>
      </w:r>
      <w:r w:rsidRPr="0070578D">
        <w:rPr>
          <w:rFonts w:ascii="Arial" w:eastAsia="Calibri" w:hAnsi="Arial" w:cs="Arial"/>
          <w:color w:val="000000" w:themeColor="text1"/>
          <w:sz w:val="21"/>
          <w:szCs w:val="21"/>
          <w:lang w:val="es-ES_tradnl"/>
        </w:rPr>
        <w:t xml:space="preserve">. Se diferenciará </w:t>
      </w:r>
      <w:r w:rsidRPr="0070578D">
        <w:rPr>
          <w:rFonts w:ascii="Arial" w:eastAsia="Calibri" w:hAnsi="Arial" w:cs="Arial"/>
          <w:color w:val="000000" w:themeColor="text1"/>
          <w:sz w:val="21"/>
          <w:szCs w:val="21"/>
          <w:lang w:val="es-ES_tradnl"/>
        </w:rPr>
        <w:lastRenderedPageBreak/>
        <w:t>claramente el contrato de operación, administración, modernización, y mantenimiento de aquel a través del cual se adquiera la energía eléctrica con destino al alumbrado público, pues este se regirá por las Leyes 142 y </w:t>
      </w:r>
      <w:r w:rsidRPr="0070578D">
        <w:rPr>
          <w:rFonts w:ascii="Arial" w:hAnsi="Arial" w:cs="Arial"/>
          <w:color w:val="000000" w:themeColor="text1"/>
          <w:sz w:val="21"/>
          <w:szCs w:val="21"/>
          <w:lang w:val="es-ES_tradnl"/>
        </w:rPr>
        <w:t>143</w:t>
      </w:r>
      <w:r w:rsidRPr="0070578D">
        <w:rPr>
          <w:rFonts w:ascii="Arial" w:eastAsia="Calibri" w:hAnsi="Arial" w:cs="Arial"/>
          <w:color w:val="000000" w:themeColor="text1"/>
          <w:sz w:val="21"/>
          <w:szCs w:val="21"/>
          <w:lang w:val="es-ES_tradnl"/>
        </w:rPr>
        <w:t> de 1994. La Creg regulará el contrato y el costo de facturación y recaudo conjunto con el servicio de energía de la contribución creada por la Ley 97 de 1913 y 84 de 1915 con destino a la financiación de este servicio especial inherente a la energía. Los contratos vigentes a la fecha de la presente ley, deberán ajustarse a lo aquí previsto (cursiva fuera de texto).</w:t>
      </w:r>
    </w:p>
    <w:p w14:paraId="52FDDA16" w14:textId="77777777" w:rsidR="00E23798" w:rsidRPr="0070578D" w:rsidRDefault="00E23798" w:rsidP="00E23798">
      <w:pPr>
        <w:pStyle w:val="Prrafodelista"/>
        <w:spacing w:line="276" w:lineRule="auto"/>
        <w:ind w:left="0" w:firstLine="709"/>
        <w:jc w:val="both"/>
        <w:rPr>
          <w:rFonts w:ascii="Arial" w:eastAsia="Calibri" w:hAnsi="Arial" w:cs="Arial"/>
          <w:color w:val="000000" w:themeColor="text1"/>
          <w:sz w:val="22"/>
          <w:lang w:val="es-ES_tradnl"/>
        </w:rPr>
      </w:pPr>
    </w:p>
    <w:p w14:paraId="7DA0C93E" w14:textId="77777777" w:rsidR="005B65D9" w:rsidRPr="0070578D" w:rsidRDefault="00605BFD" w:rsidP="002E27AD">
      <w:pPr>
        <w:pStyle w:val="Prrafodelista"/>
        <w:spacing w:line="276" w:lineRule="auto"/>
        <w:ind w:left="0" w:firstLine="709"/>
        <w:jc w:val="both"/>
        <w:rPr>
          <w:rFonts w:ascii="Arial" w:eastAsia="Calibri" w:hAnsi="Arial" w:cs="Arial"/>
          <w:color w:val="000000" w:themeColor="text1"/>
          <w:sz w:val="22"/>
          <w:lang w:val="es-ES_tradnl"/>
        </w:rPr>
      </w:pPr>
      <w:r w:rsidRPr="0070578D">
        <w:rPr>
          <w:rFonts w:ascii="Arial" w:eastAsia="Calibri" w:hAnsi="Arial" w:cs="Arial"/>
          <w:color w:val="000000" w:themeColor="text1"/>
          <w:sz w:val="22"/>
          <w:lang w:val="es-ES_tradnl"/>
        </w:rPr>
        <w:t>Como se observa, uno de los requisitos establecidos para la celebración de los contratos de concesión que tengan por objeto la prestación del servicio de alumbrado público es que cuenten con una interventoría idó</w:t>
      </w:r>
      <w:r w:rsidR="00223D5F" w:rsidRPr="0070578D">
        <w:rPr>
          <w:rFonts w:ascii="Arial" w:eastAsia="Calibri" w:hAnsi="Arial" w:cs="Arial"/>
          <w:color w:val="000000" w:themeColor="text1"/>
          <w:sz w:val="22"/>
          <w:lang w:val="es-ES_tradnl"/>
        </w:rPr>
        <w:t>nea; interventoría que se define en el artículo</w:t>
      </w:r>
      <w:r w:rsidR="00E23798" w:rsidRPr="0070578D">
        <w:rPr>
          <w:rFonts w:ascii="Arial" w:eastAsia="Calibri" w:hAnsi="Arial" w:cs="Arial"/>
          <w:color w:val="000000" w:themeColor="text1"/>
          <w:sz w:val="22"/>
          <w:lang w:val="es-ES_tradnl"/>
        </w:rPr>
        <w:t xml:space="preserve"> 83 de la Ley 1474 de 2011 como:</w:t>
      </w:r>
      <w:r w:rsidR="002E27AD" w:rsidRPr="0070578D">
        <w:rPr>
          <w:rFonts w:ascii="Arial" w:eastAsia="Calibri" w:hAnsi="Arial" w:cs="Arial"/>
          <w:color w:val="000000" w:themeColor="text1"/>
          <w:sz w:val="22"/>
          <w:lang w:val="es-ES_tradnl"/>
        </w:rPr>
        <w:t xml:space="preserve"> «</w:t>
      </w:r>
      <w:r w:rsidR="00E23798" w:rsidRPr="0070578D">
        <w:rPr>
          <w:rFonts w:ascii="Arial" w:eastAsia="Calibri" w:hAnsi="Arial" w:cs="Arial"/>
          <w:color w:val="000000" w:themeColor="text1"/>
          <w:sz w:val="22"/>
          <w:lang w:val="es-ES_tradnl"/>
        </w:rPr>
        <w:t>[…]</w:t>
      </w:r>
      <w:r w:rsidR="002E27AD" w:rsidRPr="0070578D">
        <w:rPr>
          <w:rFonts w:ascii="Arial" w:eastAsia="Calibri" w:hAnsi="Arial" w:cs="Arial"/>
          <w:color w:val="000000" w:themeColor="text1"/>
          <w:sz w:val="22"/>
          <w:lang w:val="es-ES_tradnl"/>
        </w:rPr>
        <w:t xml:space="preserve"> </w:t>
      </w:r>
      <w:r w:rsidR="00223D5F" w:rsidRPr="0070578D">
        <w:rPr>
          <w:rFonts w:ascii="Arial" w:eastAsia="Calibri" w:hAnsi="Arial" w:cs="Arial"/>
          <w:color w:val="000000" w:themeColor="text1"/>
          <w:sz w:val="22"/>
          <w:lang w:val="es-ES_tradnl"/>
        </w:rPr>
        <w:t>el seguimiento técnico que sobre el cumplimiento del contrato realice una persona natural o jurídica contratada para tal fin por la Entidad Estatal, cuando el seguimiento del contrato suponga conocimiento especializado en la materia, o cuando la complejidad o la extensión del mismo lo justifiquen</w:t>
      </w:r>
      <w:r w:rsidR="002E27AD" w:rsidRPr="0070578D">
        <w:rPr>
          <w:rFonts w:ascii="Arial" w:eastAsia="Calibri" w:hAnsi="Arial" w:cs="Arial"/>
          <w:color w:val="000000" w:themeColor="text1"/>
          <w:sz w:val="22"/>
          <w:lang w:val="es-ES_tradnl"/>
        </w:rPr>
        <w:t>»</w:t>
      </w:r>
      <w:r w:rsidR="00223D5F" w:rsidRPr="0070578D">
        <w:rPr>
          <w:rFonts w:ascii="Arial" w:eastAsia="Calibri" w:hAnsi="Arial" w:cs="Arial"/>
          <w:color w:val="000000" w:themeColor="text1"/>
          <w:sz w:val="22"/>
          <w:lang w:val="es-ES_tradnl"/>
        </w:rPr>
        <w:t>.</w:t>
      </w:r>
      <w:r w:rsidR="002E27AD" w:rsidRPr="0070578D">
        <w:rPr>
          <w:rFonts w:ascii="Arial" w:eastAsia="Calibri" w:hAnsi="Arial" w:cs="Arial"/>
          <w:color w:val="000000" w:themeColor="text1"/>
          <w:sz w:val="22"/>
          <w:lang w:val="es-ES_tradnl"/>
        </w:rPr>
        <w:t xml:space="preserve"> Sin embargo, la misma norma permite que dentro del objeto del contrato de interventoría se incluya el seguimiento administrativo</w:t>
      </w:r>
      <w:r w:rsidR="007E3DF0" w:rsidRPr="0070578D">
        <w:rPr>
          <w:rFonts w:ascii="Arial" w:eastAsia="Calibri" w:hAnsi="Arial" w:cs="Arial"/>
          <w:color w:val="000000" w:themeColor="text1"/>
          <w:sz w:val="22"/>
          <w:lang w:val="es-ES_tradnl"/>
        </w:rPr>
        <w:t>, técnico, financiero, contable y jurídico, cuando así lo justifique la entidad estatal.</w:t>
      </w:r>
    </w:p>
    <w:p w14:paraId="25002E18" w14:textId="364CCBDC" w:rsidR="00081B2B" w:rsidRPr="0070578D" w:rsidRDefault="005B65D9" w:rsidP="003A1EEB">
      <w:pPr>
        <w:spacing w:before="120" w:line="276" w:lineRule="auto"/>
        <w:ind w:firstLine="709"/>
        <w:jc w:val="both"/>
        <w:rPr>
          <w:rFonts w:ascii="Arial" w:eastAsia="Calibri" w:hAnsi="Arial" w:cs="Arial"/>
          <w:color w:val="000000" w:themeColor="text1"/>
          <w:sz w:val="22"/>
          <w:lang w:val="es-ES_tradnl"/>
        </w:rPr>
      </w:pPr>
      <w:r w:rsidRPr="0070578D">
        <w:rPr>
          <w:rFonts w:ascii="Arial" w:eastAsia="Calibri" w:hAnsi="Arial" w:cs="Arial"/>
          <w:color w:val="000000" w:themeColor="text1"/>
          <w:sz w:val="22"/>
          <w:lang w:val="es-ES_tradnl"/>
        </w:rPr>
        <w:t>Por su parte, el artículo 32, numeral 2</w:t>
      </w:r>
      <w:r w:rsidR="00AC159E" w:rsidRPr="0070578D">
        <w:rPr>
          <w:rFonts w:ascii="Arial" w:eastAsia="Calibri" w:hAnsi="Arial" w:cs="Arial"/>
          <w:color w:val="000000" w:themeColor="text1"/>
          <w:sz w:val="22"/>
          <w:lang w:val="es-ES_tradnl"/>
        </w:rPr>
        <w:t>,</w:t>
      </w:r>
      <w:r w:rsidRPr="0070578D">
        <w:rPr>
          <w:rFonts w:ascii="Arial" w:eastAsia="Calibri" w:hAnsi="Arial" w:cs="Arial"/>
          <w:color w:val="000000" w:themeColor="text1"/>
          <w:sz w:val="22"/>
          <w:lang w:val="es-ES_tradnl"/>
        </w:rPr>
        <w:t xml:space="preserve"> de la Ley 80 de 1993</w:t>
      </w:r>
      <w:r w:rsidR="003807E2" w:rsidRPr="0070578D">
        <w:rPr>
          <w:rFonts w:ascii="Arial" w:eastAsia="Calibri" w:hAnsi="Arial" w:cs="Arial"/>
          <w:color w:val="000000" w:themeColor="text1"/>
          <w:sz w:val="22"/>
          <w:lang w:val="es-ES_tradnl"/>
        </w:rPr>
        <w:t xml:space="preserve"> determina que la interventoría es una de las actividades que ingresan dentro de la definición del contrato de consultoría</w:t>
      </w:r>
      <w:r w:rsidR="003807E2" w:rsidRPr="0070578D">
        <w:rPr>
          <w:rStyle w:val="Refdenotaalpie"/>
          <w:rFonts w:ascii="Arial" w:eastAsia="Calibri" w:hAnsi="Arial" w:cs="Arial"/>
          <w:color w:val="000000" w:themeColor="text1"/>
          <w:sz w:val="22"/>
          <w:lang w:val="es-ES_tradnl"/>
        </w:rPr>
        <w:footnoteReference w:id="18"/>
      </w:r>
      <w:r w:rsidR="00AF252C" w:rsidRPr="0070578D">
        <w:rPr>
          <w:rFonts w:ascii="Arial" w:eastAsia="Calibri" w:hAnsi="Arial" w:cs="Arial"/>
          <w:color w:val="000000" w:themeColor="text1"/>
          <w:sz w:val="22"/>
          <w:lang w:val="es-ES_tradnl"/>
        </w:rPr>
        <w:t>, y el</w:t>
      </w:r>
      <w:r w:rsidR="005A5194" w:rsidRPr="0070578D">
        <w:rPr>
          <w:rFonts w:ascii="Arial" w:eastAsia="Calibri" w:hAnsi="Arial" w:cs="Arial"/>
          <w:color w:val="000000" w:themeColor="text1"/>
          <w:sz w:val="22"/>
          <w:lang w:val="es-ES_tradnl"/>
        </w:rPr>
        <w:t xml:space="preserve"> artículo 2, numeral 3</w:t>
      </w:r>
      <w:r w:rsidR="00B67B07" w:rsidRPr="0070578D">
        <w:rPr>
          <w:rFonts w:ascii="Arial" w:eastAsia="Calibri" w:hAnsi="Arial" w:cs="Arial"/>
          <w:color w:val="000000" w:themeColor="text1"/>
          <w:sz w:val="22"/>
          <w:lang w:val="es-ES_tradnl"/>
        </w:rPr>
        <w:t>,</w:t>
      </w:r>
      <w:r w:rsidR="005A5194" w:rsidRPr="0070578D">
        <w:rPr>
          <w:rFonts w:ascii="Arial" w:eastAsia="Calibri" w:hAnsi="Arial" w:cs="Arial"/>
          <w:color w:val="000000" w:themeColor="text1"/>
          <w:sz w:val="22"/>
          <w:lang w:val="es-ES_tradnl"/>
        </w:rPr>
        <w:t xml:space="preserve"> de la Ley 1150 de 2007 establece que el concurso de méritos es, en principio, la modalidad de selección aplicable para la celebración de este tipo de contratos</w:t>
      </w:r>
      <w:r w:rsidR="00CD70C7" w:rsidRPr="0070578D">
        <w:rPr>
          <w:rStyle w:val="Refdenotaalpie"/>
          <w:rFonts w:ascii="Arial" w:eastAsia="Calibri" w:hAnsi="Arial" w:cs="Arial"/>
          <w:color w:val="000000" w:themeColor="text1"/>
          <w:sz w:val="22"/>
          <w:lang w:val="es-ES_tradnl"/>
        </w:rPr>
        <w:footnoteReference w:id="19"/>
      </w:r>
      <w:r w:rsidR="005A5194" w:rsidRPr="0070578D">
        <w:rPr>
          <w:rFonts w:ascii="Arial" w:eastAsia="Calibri" w:hAnsi="Arial" w:cs="Arial"/>
          <w:color w:val="000000" w:themeColor="text1"/>
          <w:sz w:val="22"/>
          <w:lang w:val="es-ES_tradnl"/>
        </w:rPr>
        <w:t>.</w:t>
      </w:r>
      <w:r w:rsidR="00B67B07" w:rsidRPr="0070578D">
        <w:rPr>
          <w:rFonts w:ascii="Arial" w:eastAsia="Calibri" w:hAnsi="Arial" w:cs="Arial"/>
          <w:color w:val="000000" w:themeColor="text1"/>
          <w:sz w:val="22"/>
          <w:lang w:val="es-ES_tradnl"/>
        </w:rPr>
        <w:t xml:space="preserve"> Pero </w:t>
      </w:r>
      <w:r w:rsidR="0062131E" w:rsidRPr="0070578D">
        <w:rPr>
          <w:rFonts w:ascii="Arial" w:eastAsia="Calibri" w:hAnsi="Arial" w:cs="Arial"/>
          <w:color w:val="000000" w:themeColor="text1"/>
          <w:sz w:val="22"/>
          <w:lang w:val="es-ES_tradnl"/>
        </w:rPr>
        <w:t>ello</w:t>
      </w:r>
      <w:r w:rsidR="00B67B07" w:rsidRPr="0070578D">
        <w:rPr>
          <w:rFonts w:ascii="Arial" w:eastAsia="Calibri" w:hAnsi="Arial" w:cs="Arial"/>
          <w:color w:val="000000" w:themeColor="text1"/>
          <w:sz w:val="22"/>
          <w:lang w:val="es-ES_tradnl"/>
        </w:rPr>
        <w:t xml:space="preserve"> no significa que </w:t>
      </w:r>
      <w:r w:rsidR="00695C7B" w:rsidRPr="0070578D">
        <w:rPr>
          <w:rFonts w:ascii="Arial" w:eastAsia="Calibri" w:hAnsi="Arial" w:cs="Arial"/>
          <w:color w:val="000000" w:themeColor="text1"/>
          <w:sz w:val="22"/>
          <w:lang w:val="es-ES_tradnl"/>
        </w:rPr>
        <w:t xml:space="preserve">los contratos de consultoría solo admiten </w:t>
      </w:r>
      <w:r w:rsidR="00695C7B" w:rsidRPr="0070578D">
        <w:rPr>
          <w:rFonts w:ascii="Arial" w:eastAsia="Calibri" w:hAnsi="Arial" w:cs="Arial"/>
          <w:color w:val="000000" w:themeColor="text1"/>
          <w:sz w:val="22"/>
          <w:lang w:val="es-ES_tradnl"/>
        </w:rPr>
        <w:lastRenderedPageBreak/>
        <w:t xml:space="preserve">perfeccionarse </w:t>
      </w:r>
      <w:r w:rsidR="00AF4B1D" w:rsidRPr="0070578D">
        <w:rPr>
          <w:rFonts w:ascii="Arial" w:eastAsia="Calibri" w:hAnsi="Arial" w:cs="Arial"/>
          <w:color w:val="000000" w:themeColor="text1"/>
          <w:sz w:val="22"/>
          <w:lang w:val="es-ES_tradnl"/>
        </w:rPr>
        <w:t>con</w:t>
      </w:r>
      <w:r w:rsidR="00695C7B" w:rsidRPr="0070578D">
        <w:rPr>
          <w:rFonts w:ascii="Arial" w:eastAsia="Calibri" w:hAnsi="Arial" w:cs="Arial"/>
          <w:color w:val="000000" w:themeColor="text1"/>
          <w:sz w:val="22"/>
          <w:lang w:val="es-ES_tradnl"/>
        </w:rPr>
        <w:t xml:space="preserve"> la previa realización de un concurso de méritos. El procedimiento que antecede su celebración también pu</w:t>
      </w:r>
      <w:r w:rsidR="00BD6A8F" w:rsidRPr="0070578D">
        <w:rPr>
          <w:rFonts w:ascii="Arial" w:eastAsia="Calibri" w:hAnsi="Arial" w:cs="Arial"/>
          <w:color w:val="000000" w:themeColor="text1"/>
          <w:sz w:val="22"/>
          <w:lang w:val="es-ES_tradnl"/>
        </w:rPr>
        <w:t>ede ser, excepcionalmente,</w:t>
      </w:r>
      <w:r w:rsidR="004C6907" w:rsidRPr="0070578D">
        <w:rPr>
          <w:rFonts w:ascii="Arial" w:eastAsia="Calibri" w:hAnsi="Arial" w:cs="Arial"/>
          <w:color w:val="000000" w:themeColor="text1"/>
          <w:sz w:val="22"/>
          <w:lang w:val="es-ES_tradnl"/>
        </w:rPr>
        <w:t xml:space="preserve"> por ejemplo,</w:t>
      </w:r>
      <w:r w:rsidR="00BD6A8F" w:rsidRPr="0070578D">
        <w:rPr>
          <w:rFonts w:ascii="Arial" w:eastAsia="Calibri" w:hAnsi="Arial" w:cs="Arial"/>
          <w:color w:val="000000" w:themeColor="text1"/>
          <w:sz w:val="22"/>
          <w:lang w:val="es-ES_tradnl"/>
        </w:rPr>
        <w:t xml:space="preserve"> el de mínima cuantía –cuando el presupuesto oficial no exceda el 10% de la menor cuantía–</w:t>
      </w:r>
      <w:r w:rsidR="004C6907" w:rsidRPr="0070578D">
        <w:rPr>
          <w:rStyle w:val="Refdenotaalpie"/>
          <w:rFonts w:ascii="Arial" w:eastAsia="Calibri" w:hAnsi="Arial" w:cs="Arial"/>
          <w:color w:val="000000" w:themeColor="text1"/>
          <w:sz w:val="22"/>
          <w:lang w:val="es-ES_tradnl"/>
        </w:rPr>
        <w:footnoteReference w:id="20"/>
      </w:r>
      <w:r w:rsidR="003F27EC" w:rsidRPr="0070578D">
        <w:rPr>
          <w:rFonts w:ascii="Arial" w:eastAsia="Calibri" w:hAnsi="Arial" w:cs="Arial"/>
          <w:color w:val="000000" w:themeColor="text1"/>
          <w:sz w:val="22"/>
          <w:lang w:val="es-ES_tradnl"/>
        </w:rPr>
        <w:t xml:space="preserve"> o el de contratación directa, pues el artículo 2º, numeral 4º de la Ley 1150 establece algunas circunstancias que así lo permiten</w:t>
      </w:r>
      <w:r w:rsidR="00081B2B" w:rsidRPr="0070578D">
        <w:rPr>
          <w:rFonts w:ascii="Arial" w:eastAsia="Calibri" w:hAnsi="Arial" w:cs="Arial"/>
          <w:color w:val="000000" w:themeColor="text1"/>
          <w:sz w:val="22"/>
          <w:lang w:val="es-ES_tradnl"/>
        </w:rPr>
        <w:t xml:space="preserve">, como la urgencia manifiesta –literal a)– o </w:t>
      </w:r>
      <w:r w:rsidR="000876A7" w:rsidRPr="0070578D">
        <w:rPr>
          <w:rFonts w:ascii="Arial" w:eastAsia="Calibri" w:hAnsi="Arial" w:cs="Arial"/>
          <w:color w:val="000000" w:themeColor="text1"/>
          <w:sz w:val="22"/>
          <w:lang w:val="es-ES_tradnl"/>
        </w:rPr>
        <w:t>los</w:t>
      </w:r>
      <w:r w:rsidR="00081B2B" w:rsidRPr="0070578D">
        <w:rPr>
          <w:rFonts w:ascii="Arial" w:eastAsia="Calibri" w:hAnsi="Arial" w:cs="Arial"/>
          <w:color w:val="000000" w:themeColor="text1"/>
          <w:sz w:val="22"/>
          <w:lang w:val="es-ES_tradnl"/>
        </w:rPr>
        <w:t xml:space="preserve"> contratos interadministrativos –literal c)–.</w:t>
      </w:r>
    </w:p>
    <w:p w14:paraId="67E5B93C" w14:textId="7C4DBE53" w:rsidR="003E7918" w:rsidRPr="0070578D" w:rsidRDefault="00081B2B" w:rsidP="003A1EEB">
      <w:pPr>
        <w:spacing w:before="120" w:line="276" w:lineRule="auto"/>
        <w:ind w:firstLine="709"/>
        <w:jc w:val="both"/>
        <w:rPr>
          <w:rFonts w:ascii="Arial" w:eastAsia="Calibri" w:hAnsi="Arial" w:cs="Arial"/>
          <w:color w:val="000000" w:themeColor="text1"/>
          <w:sz w:val="22"/>
          <w:lang w:val="es-ES_tradnl"/>
        </w:rPr>
      </w:pPr>
      <w:r w:rsidRPr="0070578D">
        <w:rPr>
          <w:rFonts w:ascii="Arial" w:eastAsia="Calibri" w:hAnsi="Arial" w:cs="Arial"/>
          <w:color w:val="000000" w:themeColor="text1"/>
          <w:sz w:val="22"/>
          <w:lang w:val="es-ES_tradnl"/>
        </w:rPr>
        <w:t>Como se explicó, la celebración de contratos interadministrativos</w:t>
      </w:r>
      <w:r w:rsidR="000876A7" w:rsidRPr="0070578D">
        <w:rPr>
          <w:rFonts w:ascii="Arial" w:eastAsia="Calibri" w:hAnsi="Arial" w:cs="Arial"/>
          <w:color w:val="000000" w:themeColor="text1"/>
          <w:sz w:val="22"/>
          <w:lang w:val="es-ES_tradnl"/>
        </w:rPr>
        <w:t xml:space="preserve"> es una causal de contratación directa que obedece</w:t>
      </w:r>
      <w:r w:rsidR="002849B8" w:rsidRPr="0070578D">
        <w:rPr>
          <w:rFonts w:ascii="Arial" w:eastAsia="Calibri" w:hAnsi="Arial" w:cs="Arial"/>
          <w:color w:val="000000" w:themeColor="text1"/>
          <w:sz w:val="22"/>
          <w:lang w:val="es-ES_tradnl"/>
        </w:rPr>
        <w:t>,</w:t>
      </w:r>
      <w:r w:rsidR="000876A7" w:rsidRPr="0070578D">
        <w:rPr>
          <w:rFonts w:ascii="Arial" w:eastAsia="Calibri" w:hAnsi="Arial" w:cs="Arial"/>
          <w:color w:val="000000" w:themeColor="text1"/>
          <w:sz w:val="22"/>
          <w:lang w:val="es-ES_tradnl"/>
        </w:rPr>
        <w:t xml:space="preserve"> antes que nada</w:t>
      </w:r>
      <w:r w:rsidR="002849B8" w:rsidRPr="0070578D">
        <w:rPr>
          <w:rFonts w:ascii="Arial" w:eastAsia="Calibri" w:hAnsi="Arial" w:cs="Arial"/>
          <w:color w:val="000000" w:themeColor="text1"/>
          <w:sz w:val="22"/>
          <w:lang w:val="es-ES_tradnl"/>
        </w:rPr>
        <w:t>,</w:t>
      </w:r>
      <w:r w:rsidR="000876A7" w:rsidRPr="0070578D">
        <w:rPr>
          <w:rFonts w:ascii="Arial" w:eastAsia="Calibri" w:hAnsi="Arial" w:cs="Arial"/>
          <w:color w:val="000000" w:themeColor="text1"/>
          <w:sz w:val="22"/>
          <w:lang w:val="es-ES_tradnl"/>
        </w:rPr>
        <w:t xml:space="preserve"> a la naturaleza de las partes; es decir </w:t>
      </w:r>
      <w:r w:rsidR="002849B8" w:rsidRPr="0070578D">
        <w:rPr>
          <w:rFonts w:ascii="Arial" w:eastAsia="Calibri" w:hAnsi="Arial" w:cs="Arial"/>
          <w:color w:val="000000" w:themeColor="text1"/>
          <w:sz w:val="22"/>
          <w:lang w:val="es-ES_tradnl"/>
        </w:rPr>
        <w:t>para la cual</w:t>
      </w:r>
      <w:r w:rsidR="000876A7" w:rsidRPr="0070578D">
        <w:rPr>
          <w:rFonts w:ascii="Arial" w:eastAsia="Calibri" w:hAnsi="Arial" w:cs="Arial"/>
          <w:color w:val="000000" w:themeColor="text1"/>
          <w:sz w:val="22"/>
          <w:lang w:val="es-ES_tradnl"/>
        </w:rPr>
        <w:t>, en principio, no interesa el objeto del contra</w:t>
      </w:r>
      <w:r w:rsidR="009D0DF6" w:rsidRPr="0070578D">
        <w:rPr>
          <w:rFonts w:ascii="Arial" w:eastAsia="Calibri" w:hAnsi="Arial" w:cs="Arial"/>
          <w:color w:val="000000" w:themeColor="text1"/>
          <w:sz w:val="22"/>
          <w:lang w:val="es-ES_tradnl"/>
        </w:rPr>
        <w:t>to, pudiendo ser de obra pública, de consultoría, de suministro, de prestación de servicios, de arrendamiento, etc. Se dice que, en principio</w:t>
      </w:r>
      <w:r w:rsidR="002849B8" w:rsidRPr="0070578D">
        <w:rPr>
          <w:rFonts w:ascii="Arial" w:eastAsia="Calibri" w:hAnsi="Arial" w:cs="Arial"/>
          <w:color w:val="000000" w:themeColor="text1"/>
          <w:sz w:val="22"/>
          <w:lang w:val="es-ES_tradnl"/>
        </w:rPr>
        <w:t>,</w:t>
      </w:r>
      <w:r w:rsidR="009D0DF6" w:rsidRPr="0070578D">
        <w:rPr>
          <w:rFonts w:ascii="Arial" w:eastAsia="Calibri" w:hAnsi="Arial" w:cs="Arial"/>
          <w:color w:val="000000" w:themeColor="text1"/>
          <w:sz w:val="22"/>
          <w:lang w:val="es-ES_tradnl"/>
        </w:rPr>
        <w:t xml:space="preserve"> no es relevante el objeto del contrato, porque el artículo </w:t>
      </w:r>
      <w:r w:rsidR="008601EB" w:rsidRPr="0070578D">
        <w:rPr>
          <w:rFonts w:ascii="Arial" w:eastAsia="Calibri" w:hAnsi="Arial" w:cs="Arial"/>
          <w:color w:val="000000" w:themeColor="text1"/>
          <w:sz w:val="22"/>
          <w:lang w:val="es-ES_tradnl"/>
        </w:rPr>
        <w:t>2º, numeral 4º, literal c), en su segundo inciso –ya transcrito en el acápite anterior–</w:t>
      </w:r>
      <w:r w:rsidR="00CA629D" w:rsidRPr="0070578D">
        <w:rPr>
          <w:rFonts w:ascii="Arial" w:eastAsia="Calibri" w:hAnsi="Arial" w:cs="Arial"/>
          <w:color w:val="000000" w:themeColor="text1"/>
          <w:sz w:val="22"/>
          <w:lang w:val="es-ES_tradnl"/>
        </w:rPr>
        <w:t>,</w:t>
      </w:r>
      <w:r w:rsidR="002849B8" w:rsidRPr="0070578D">
        <w:rPr>
          <w:rFonts w:ascii="Arial" w:eastAsia="Calibri" w:hAnsi="Arial" w:cs="Arial"/>
          <w:color w:val="000000" w:themeColor="text1"/>
          <w:sz w:val="22"/>
          <w:lang w:val="es-ES_tradnl"/>
        </w:rPr>
        <w:t xml:space="preserve"> establece una excepción a dicha regla,</w:t>
      </w:r>
      <w:r w:rsidR="008601EB" w:rsidRPr="0070578D">
        <w:rPr>
          <w:rFonts w:ascii="Arial" w:eastAsia="Calibri" w:hAnsi="Arial" w:cs="Arial"/>
          <w:color w:val="000000" w:themeColor="text1"/>
          <w:sz w:val="22"/>
          <w:lang w:val="es-ES_tradnl"/>
        </w:rPr>
        <w:t xml:space="preserve"> </w:t>
      </w:r>
      <w:r w:rsidR="002849B8" w:rsidRPr="0070578D">
        <w:rPr>
          <w:rFonts w:ascii="Arial" w:eastAsia="Calibri" w:hAnsi="Arial" w:cs="Arial"/>
          <w:color w:val="000000" w:themeColor="text1"/>
          <w:sz w:val="22"/>
          <w:lang w:val="es-ES_tradnl"/>
        </w:rPr>
        <w:t xml:space="preserve">al </w:t>
      </w:r>
      <w:r w:rsidR="00CA629D" w:rsidRPr="0070578D">
        <w:rPr>
          <w:rFonts w:ascii="Arial" w:eastAsia="Calibri" w:hAnsi="Arial" w:cs="Arial"/>
          <w:color w:val="000000" w:themeColor="text1"/>
          <w:sz w:val="22"/>
          <w:lang w:val="es-ES_tradnl"/>
        </w:rPr>
        <w:t>prohibir</w:t>
      </w:r>
      <w:r w:rsidR="008601EB" w:rsidRPr="0070578D">
        <w:rPr>
          <w:rFonts w:ascii="Arial" w:eastAsia="Calibri" w:hAnsi="Arial" w:cs="Arial"/>
          <w:color w:val="000000" w:themeColor="text1"/>
          <w:sz w:val="22"/>
          <w:lang w:val="es-ES_tradnl"/>
        </w:rPr>
        <w:t xml:space="preserve"> que </w:t>
      </w:r>
      <w:r w:rsidR="003E7918" w:rsidRPr="0070578D">
        <w:rPr>
          <w:rFonts w:ascii="Arial" w:eastAsia="Calibri" w:hAnsi="Arial" w:cs="Arial"/>
          <w:color w:val="000000" w:themeColor="text1"/>
          <w:sz w:val="22"/>
          <w:lang w:val="es-ES_tradnl"/>
        </w:rPr>
        <w:t>determinados</w:t>
      </w:r>
      <w:r w:rsidR="008601EB" w:rsidRPr="0070578D">
        <w:rPr>
          <w:rFonts w:ascii="Arial" w:eastAsia="Calibri" w:hAnsi="Arial" w:cs="Arial"/>
          <w:color w:val="000000" w:themeColor="text1"/>
          <w:sz w:val="22"/>
          <w:lang w:val="es-ES_tradnl"/>
        </w:rPr>
        <w:t xml:space="preserve"> contratos interadministrativos</w:t>
      </w:r>
      <w:r w:rsidR="000B65A3" w:rsidRPr="0070578D">
        <w:rPr>
          <w:rFonts w:ascii="Arial" w:eastAsia="Calibri" w:hAnsi="Arial" w:cs="Arial"/>
          <w:color w:val="000000" w:themeColor="text1"/>
          <w:sz w:val="22"/>
          <w:lang w:val="es-ES_tradnl"/>
        </w:rPr>
        <w:t xml:space="preserve"> se celebren con ciertas entidades –dentro de las cuales están las instituciones de educación superior públicas– </w:t>
      </w:r>
      <w:r w:rsidR="00CA629D" w:rsidRPr="0070578D">
        <w:rPr>
          <w:rFonts w:ascii="Arial" w:eastAsia="Calibri" w:hAnsi="Arial" w:cs="Arial"/>
          <w:color w:val="000000" w:themeColor="text1"/>
          <w:sz w:val="22"/>
          <w:lang w:val="es-ES_tradnl"/>
        </w:rPr>
        <w:t>si no se ha adelantado antes</w:t>
      </w:r>
      <w:r w:rsidR="000B65A3" w:rsidRPr="0070578D">
        <w:rPr>
          <w:rFonts w:ascii="Arial" w:eastAsia="Calibri" w:hAnsi="Arial" w:cs="Arial"/>
          <w:color w:val="000000" w:themeColor="text1"/>
          <w:sz w:val="22"/>
          <w:lang w:val="es-ES_tradnl"/>
        </w:rPr>
        <w:t xml:space="preserve"> el correspondiente proceso de licitación pública o selección abreviada.</w:t>
      </w:r>
      <w:r w:rsidR="003E7918" w:rsidRPr="0070578D">
        <w:rPr>
          <w:rFonts w:ascii="Arial" w:eastAsia="Calibri" w:hAnsi="Arial" w:cs="Arial"/>
          <w:color w:val="000000" w:themeColor="text1"/>
          <w:sz w:val="22"/>
          <w:lang w:val="es-ES_tradnl"/>
        </w:rPr>
        <w:t xml:space="preserve"> Estos objetos, se recuerda, son «los contratos de obra, suministro, prestación de servicios de evaluación de conformidad respecto de las normas o reglamentos técnicos, encargos fiduciarios y fiducia pública». </w:t>
      </w:r>
    </w:p>
    <w:p w14:paraId="20BA1A2E" w14:textId="14EC1B72" w:rsidR="00223D5F" w:rsidRPr="0070578D" w:rsidRDefault="003E7918" w:rsidP="003A1EEB">
      <w:pPr>
        <w:spacing w:before="120" w:line="276" w:lineRule="auto"/>
        <w:ind w:firstLine="709"/>
        <w:jc w:val="both"/>
        <w:rPr>
          <w:rFonts w:ascii="Arial" w:eastAsia="Calibri" w:hAnsi="Arial" w:cs="Arial"/>
          <w:color w:val="000000" w:themeColor="text1"/>
          <w:sz w:val="22"/>
          <w:lang w:val="es-ES_tradnl"/>
        </w:rPr>
      </w:pPr>
      <w:r w:rsidRPr="0070578D">
        <w:rPr>
          <w:rFonts w:ascii="Arial" w:eastAsia="Calibri" w:hAnsi="Arial" w:cs="Arial"/>
          <w:color w:val="000000" w:themeColor="text1"/>
          <w:sz w:val="22"/>
          <w:lang w:val="es-ES_tradnl"/>
        </w:rPr>
        <w:t xml:space="preserve">Sin embargo, como se observa, </w:t>
      </w:r>
      <w:r w:rsidR="00783619" w:rsidRPr="0070578D">
        <w:rPr>
          <w:rFonts w:ascii="Arial" w:eastAsia="Calibri" w:hAnsi="Arial" w:cs="Arial"/>
          <w:color w:val="000000" w:themeColor="text1"/>
          <w:sz w:val="22"/>
          <w:lang w:val="es-ES_tradnl"/>
        </w:rPr>
        <w:t>los contratos de consultoría –incluyendo la interventoría– no están dentro de aquellos contratos interadministrativos que solo pueden celebrar las universidades públicas</w:t>
      </w:r>
      <w:r w:rsidR="005D6A24" w:rsidRPr="0070578D">
        <w:rPr>
          <w:rFonts w:ascii="Arial" w:eastAsia="Calibri" w:hAnsi="Arial" w:cs="Arial"/>
          <w:color w:val="000000" w:themeColor="text1"/>
          <w:sz w:val="22"/>
          <w:lang w:val="es-ES_tradnl"/>
        </w:rPr>
        <w:t xml:space="preserve"> si participan previamente en licitaciones públicas o selecciones abreviadas. En consecuencia, no se les puede extender dicha limitación en tal supuesto</w:t>
      </w:r>
      <w:r w:rsidR="00C83579" w:rsidRPr="0070578D">
        <w:rPr>
          <w:rFonts w:ascii="Arial" w:eastAsia="Calibri" w:hAnsi="Arial" w:cs="Arial"/>
          <w:color w:val="000000" w:themeColor="text1"/>
          <w:sz w:val="22"/>
          <w:lang w:val="es-ES_tradnl"/>
        </w:rPr>
        <w:t>,</w:t>
      </w:r>
      <w:r w:rsidR="005D6A24" w:rsidRPr="0070578D">
        <w:rPr>
          <w:rFonts w:ascii="Arial" w:eastAsia="Calibri" w:hAnsi="Arial" w:cs="Arial"/>
          <w:color w:val="000000" w:themeColor="text1"/>
          <w:sz w:val="22"/>
          <w:lang w:val="es-ES_tradnl"/>
        </w:rPr>
        <w:t xml:space="preserve"> porque se le estaría dando un alcance amplio a la norma; lo que está prohibido por el criterio de interpretación restrictiva de las disposiciones </w:t>
      </w:r>
      <w:r w:rsidR="00C920BB" w:rsidRPr="0070578D">
        <w:rPr>
          <w:rFonts w:ascii="Arial" w:eastAsia="Calibri" w:hAnsi="Arial" w:cs="Arial"/>
          <w:color w:val="000000" w:themeColor="text1"/>
          <w:sz w:val="22"/>
          <w:lang w:val="es-ES_tradnl"/>
        </w:rPr>
        <w:t>desfavorables.</w:t>
      </w:r>
      <w:r w:rsidR="003C5831" w:rsidRPr="0070578D">
        <w:rPr>
          <w:rFonts w:ascii="Arial" w:eastAsia="Calibri" w:hAnsi="Arial" w:cs="Arial"/>
          <w:color w:val="000000" w:themeColor="text1"/>
          <w:sz w:val="22"/>
          <w:lang w:val="es-ES_tradnl"/>
        </w:rPr>
        <w:t xml:space="preserve"> Entonces, debe concluirse que el contrato de consultoría</w:t>
      </w:r>
      <w:r w:rsidR="002507DD" w:rsidRPr="0070578D">
        <w:rPr>
          <w:rFonts w:ascii="Arial" w:eastAsia="Calibri" w:hAnsi="Arial" w:cs="Arial"/>
          <w:color w:val="000000" w:themeColor="text1"/>
          <w:sz w:val="22"/>
          <w:lang w:val="es-ES_tradnl"/>
        </w:rPr>
        <w:t>,</w:t>
      </w:r>
      <w:r w:rsidR="00C47884" w:rsidRPr="0070578D">
        <w:rPr>
          <w:rFonts w:ascii="Arial" w:eastAsia="Calibri" w:hAnsi="Arial" w:cs="Arial"/>
          <w:color w:val="000000" w:themeColor="text1"/>
          <w:sz w:val="22"/>
          <w:lang w:val="es-ES_tradnl"/>
        </w:rPr>
        <w:t xml:space="preserve"> para </w:t>
      </w:r>
      <w:r w:rsidR="003C5831" w:rsidRPr="0070578D">
        <w:rPr>
          <w:rFonts w:ascii="Arial" w:eastAsia="Calibri" w:hAnsi="Arial" w:cs="Arial"/>
          <w:color w:val="000000" w:themeColor="text1"/>
          <w:sz w:val="22"/>
          <w:lang w:val="es-ES_tradnl"/>
        </w:rPr>
        <w:t>la interventorí</w:t>
      </w:r>
      <w:r w:rsidR="00B05607" w:rsidRPr="0070578D">
        <w:rPr>
          <w:rFonts w:ascii="Arial" w:eastAsia="Calibri" w:hAnsi="Arial" w:cs="Arial"/>
          <w:color w:val="000000" w:themeColor="text1"/>
          <w:sz w:val="22"/>
          <w:lang w:val="es-ES_tradnl"/>
        </w:rPr>
        <w:t xml:space="preserve">a a los contratos </w:t>
      </w:r>
      <w:r w:rsidR="00C47884" w:rsidRPr="0070578D">
        <w:rPr>
          <w:rFonts w:ascii="Arial" w:eastAsia="Calibri" w:hAnsi="Arial" w:cs="Arial"/>
          <w:color w:val="000000" w:themeColor="text1"/>
          <w:sz w:val="22"/>
          <w:lang w:val="es-ES_tradnl"/>
        </w:rPr>
        <w:t>de</w:t>
      </w:r>
      <w:r w:rsidR="00B05607" w:rsidRPr="0070578D">
        <w:rPr>
          <w:rFonts w:ascii="Arial" w:eastAsia="Calibri" w:hAnsi="Arial" w:cs="Arial"/>
          <w:color w:val="000000" w:themeColor="text1"/>
          <w:sz w:val="22"/>
          <w:lang w:val="es-ES_tradnl"/>
        </w:rPr>
        <w:t xml:space="preserve"> prestación del servicio de alumbrado público</w:t>
      </w:r>
      <w:r w:rsidR="002507DD" w:rsidRPr="0070578D">
        <w:rPr>
          <w:rFonts w:ascii="Arial" w:eastAsia="Calibri" w:hAnsi="Arial" w:cs="Arial"/>
          <w:color w:val="000000" w:themeColor="text1"/>
          <w:sz w:val="22"/>
          <w:lang w:val="es-ES_tradnl"/>
        </w:rPr>
        <w:t>,</w:t>
      </w:r>
      <w:r w:rsidR="00C47884" w:rsidRPr="0070578D">
        <w:rPr>
          <w:rFonts w:ascii="Arial" w:eastAsia="Calibri" w:hAnsi="Arial" w:cs="Arial"/>
          <w:color w:val="000000" w:themeColor="text1"/>
          <w:sz w:val="22"/>
          <w:lang w:val="es-ES_tradnl"/>
        </w:rPr>
        <w:t xml:space="preserve"> </w:t>
      </w:r>
      <w:r w:rsidR="00B05607" w:rsidRPr="0070578D">
        <w:rPr>
          <w:rFonts w:ascii="Arial" w:eastAsia="Calibri" w:hAnsi="Arial" w:cs="Arial"/>
          <w:color w:val="000000" w:themeColor="text1"/>
          <w:sz w:val="22"/>
          <w:lang w:val="es-ES_tradnl"/>
        </w:rPr>
        <w:t>se puede celebrar de manera directa</w:t>
      </w:r>
      <w:r w:rsidR="002507DD" w:rsidRPr="0070578D">
        <w:rPr>
          <w:rFonts w:ascii="Arial" w:eastAsia="Calibri" w:hAnsi="Arial" w:cs="Arial"/>
          <w:color w:val="000000" w:themeColor="text1"/>
          <w:sz w:val="22"/>
          <w:lang w:val="es-ES_tradnl"/>
        </w:rPr>
        <w:t>,</w:t>
      </w:r>
      <w:r w:rsidR="00B05607" w:rsidRPr="0070578D">
        <w:rPr>
          <w:rFonts w:ascii="Arial" w:eastAsia="Calibri" w:hAnsi="Arial" w:cs="Arial"/>
          <w:color w:val="000000" w:themeColor="text1"/>
          <w:sz w:val="22"/>
          <w:lang w:val="es-ES_tradnl"/>
        </w:rPr>
        <w:t xml:space="preserve"> </w:t>
      </w:r>
      <w:r w:rsidR="002507DD" w:rsidRPr="0070578D">
        <w:rPr>
          <w:rFonts w:ascii="Arial" w:eastAsia="Calibri" w:hAnsi="Arial" w:cs="Arial"/>
          <w:color w:val="000000" w:themeColor="text1"/>
          <w:sz w:val="22"/>
          <w:lang w:val="es-ES_tradnl"/>
        </w:rPr>
        <w:t xml:space="preserve">como contrato interadministrativo, </w:t>
      </w:r>
      <w:r w:rsidR="00B05607" w:rsidRPr="0070578D">
        <w:rPr>
          <w:rFonts w:ascii="Arial" w:eastAsia="Calibri" w:hAnsi="Arial" w:cs="Arial"/>
          <w:color w:val="000000" w:themeColor="text1"/>
          <w:sz w:val="22"/>
          <w:lang w:val="es-ES_tradnl"/>
        </w:rPr>
        <w:t>con una universidad pública, siempre que esta tenga dentro de su objeto la competencia para efectuar dicha labor.</w:t>
      </w:r>
      <w:r w:rsidR="00783619" w:rsidRPr="0070578D">
        <w:rPr>
          <w:rFonts w:ascii="Arial" w:eastAsia="Calibri" w:hAnsi="Arial" w:cs="Arial"/>
          <w:color w:val="000000" w:themeColor="text1"/>
          <w:sz w:val="22"/>
          <w:lang w:val="es-ES_tradnl"/>
        </w:rPr>
        <w:t xml:space="preserve"> </w:t>
      </w:r>
      <w:r w:rsidR="000B65A3" w:rsidRPr="0070578D">
        <w:rPr>
          <w:rFonts w:ascii="Arial" w:eastAsia="Calibri" w:hAnsi="Arial" w:cs="Arial"/>
          <w:color w:val="000000" w:themeColor="text1"/>
          <w:sz w:val="22"/>
          <w:lang w:val="es-ES_tradnl"/>
        </w:rPr>
        <w:t xml:space="preserve"> </w:t>
      </w:r>
      <w:r w:rsidR="00081B2B" w:rsidRPr="0070578D">
        <w:rPr>
          <w:rFonts w:ascii="Arial" w:eastAsia="Calibri" w:hAnsi="Arial" w:cs="Arial"/>
          <w:color w:val="000000" w:themeColor="text1"/>
          <w:sz w:val="22"/>
          <w:lang w:val="es-ES_tradnl"/>
        </w:rPr>
        <w:t xml:space="preserve"> </w:t>
      </w:r>
      <w:r w:rsidR="003F27EC" w:rsidRPr="0070578D">
        <w:rPr>
          <w:rFonts w:ascii="Arial" w:eastAsia="Calibri" w:hAnsi="Arial" w:cs="Arial"/>
          <w:color w:val="000000" w:themeColor="text1"/>
          <w:sz w:val="22"/>
          <w:lang w:val="es-ES_tradnl"/>
        </w:rPr>
        <w:t xml:space="preserve">  </w:t>
      </w:r>
      <w:r w:rsidR="00695C7B" w:rsidRPr="0070578D">
        <w:rPr>
          <w:rFonts w:ascii="Arial" w:eastAsia="Calibri" w:hAnsi="Arial" w:cs="Arial"/>
          <w:color w:val="000000" w:themeColor="text1"/>
          <w:sz w:val="22"/>
          <w:lang w:val="es-ES_tradnl"/>
        </w:rPr>
        <w:t xml:space="preserve"> </w:t>
      </w:r>
      <w:r w:rsidR="00AF252C" w:rsidRPr="0070578D">
        <w:rPr>
          <w:rFonts w:ascii="Arial" w:eastAsia="Calibri" w:hAnsi="Arial" w:cs="Arial"/>
          <w:color w:val="000000" w:themeColor="text1"/>
          <w:sz w:val="22"/>
          <w:lang w:val="es-ES_tradnl"/>
        </w:rPr>
        <w:t xml:space="preserve"> </w:t>
      </w:r>
      <w:r w:rsidR="00223D5F" w:rsidRPr="0070578D">
        <w:rPr>
          <w:rFonts w:ascii="Arial" w:eastAsia="Calibri" w:hAnsi="Arial" w:cs="Arial"/>
          <w:color w:val="000000" w:themeColor="text1"/>
          <w:sz w:val="22"/>
          <w:lang w:val="es-ES_tradnl"/>
        </w:rPr>
        <w:t xml:space="preserve"> </w:t>
      </w:r>
    </w:p>
    <w:p w14:paraId="7C15B425" w14:textId="77777777" w:rsidR="00AB1776" w:rsidRPr="0070578D" w:rsidRDefault="00AB1776" w:rsidP="00E308A1">
      <w:pPr>
        <w:pStyle w:val="Prrafodelista"/>
        <w:spacing w:line="276" w:lineRule="auto"/>
        <w:ind w:left="0"/>
        <w:jc w:val="both"/>
        <w:rPr>
          <w:rFonts w:ascii="Arial" w:eastAsia="Calibri" w:hAnsi="Arial" w:cs="Arial"/>
          <w:color w:val="000000" w:themeColor="text1"/>
          <w:sz w:val="22"/>
          <w:lang w:val="es-ES_tradnl"/>
        </w:rPr>
      </w:pPr>
    </w:p>
    <w:p w14:paraId="687CB649" w14:textId="48F3A1EC" w:rsidR="00A37FB6" w:rsidRPr="0070578D" w:rsidRDefault="00544348" w:rsidP="002A0A48">
      <w:pPr>
        <w:spacing w:line="276" w:lineRule="auto"/>
        <w:jc w:val="both"/>
        <w:rPr>
          <w:rFonts w:ascii="Arial" w:eastAsia="Calibri" w:hAnsi="Arial" w:cs="Arial"/>
          <w:color w:val="000000" w:themeColor="text1"/>
          <w:sz w:val="22"/>
          <w:lang w:val="es-ES_tradnl"/>
        </w:rPr>
      </w:pPr>
      <w:r w:rsidRPr="0070578D">
        <w:rPr>
          <w:rFonts w:ascii="Arial" w:eastAsia="Calibri" w:hAnsi="Arial" w:cs="Arial"/>
          <w:b/>
          <w:color w:val="000000" w:themeColor="text1"/>
          <w:sz w:val="22"/>
          <w:lang w:val="es-ES_tradnl"/>
        </w:rPr>
        <w:t xml:space="preserve">3. </w:t>
      </w:r>
      <w:r w:rsidR="00A37FB6" w:rsidRPr="0070578D">
        <w:rPr>
          <w:rFonts w:ascii="Arial" w:eastAsia="Calibri" w:hAnsi="Arial" w:cs="Arial"/>
          <w:b/>
          <w:color w:val="000000" w:themeColor="text1"/>
          <w:sz w:val="22"/>
          <w:lang w:val="es-ES_tradnl"/>
        </w:rPr>
        <w:t>Respuesta</w:t>
      </w:r>
    </w:p>
    <w:p w14:paraId="1369FD7E" w14:textId="77777777" w:rsidR="00A37FB6" w:rsidRPr="0070578D" w:rsidRDefault="00A37FB6" w:rsidP="00F23E3A">
      <w:pPr>
        <w:spacing w:line="276" w:lineRule="auto"/>
        <w:ind w:left="709" w:right="709"/>
        <w:jc w:val="both"/>
        <w:rPr>
          <w:rFonts w:ascii="Arial" w:eastAsia="Calibri" w:hAnsi="Arial" w:cs="Arial"/>
          <w:i/>
          <w:color w:val="000000" w:themeColor="text1"/>
          <w:sz w:val="22"/>
          <w:lang w:val="es-ES_tradnl"/>
        </w:rPr>
      </w:pPr>
    </w:p>
    <w:p w14:paraId="66BC8E46" w14:textId="3E6F2538" w:rsidR="00A37FB6" w:rsidRPr="0070578D" w:rsidRDefault="000C14EA" w:rsidP="00F23E3A">
      <w:pPr>
        <w:spacing w:line="276" w:lineRule="auto"/>
        <w:ind w:left="708" w:right="709"/>
        <w:jc w:val="both"/>
        <w:rPr>
          <w:rFonts w:ascii="Arial" w:eastAsia="Calibri" w:hAnsi="Arial" w:cs="Arial"/>
          <w:color w:val="000000" w:themeColor="text1"/>
          <w:sz w:val="22"/>
          <w:lang w:val="es-ES_tradnl"/>
        </w:rPr>
      </w:pPr>
      <w:r w:rsidRPr="0070578D">
        <w:rPr>
          <w:rFonts w:ascii="Arial" w:eastAsia="Calibri" w:hAnsi="Arial" w:cs="Arial"/>
          <w:color w:val="000000" w:themeColor="text1"/>
          <w:sz w:val="22"/>
          <w:lang w:val="es-ES_tradnl"/>
        </w:rPr>
        <w:t>«¿Tendrán idoneidad las universidades para realizar directamente la interventoría a la prestación de este servicio público, o será una forma de entregar directamente el contrato a un tercero evadiendo el cumplimiento de la ley?»</w:t>
      </w:r>
    </w:p>
    <w:p w14:paraId="5F2C0348" w14:textId="77777777" w:rsidR="000D2505" w:rsidRPr="0070578D" w:rsidRDefault="000D2505" w:rsidP="000E3936">
      <w:pPr>
        <w:spacing w:line="276" w:lineRule="auto"/>
        <w:jc w:val="both"/>
        <w:rPr>
          <w:rFonts w:ascii="Arial" w:eastAsia="Calibri" w:hAnsi="Arial" w:cs="Arial"/>
          <w:color w:val="000000" w:themeColor="text1"/>
          <w:sz w:val="22"/>
          <w:lang w:val="es-ES_tradnl"/>
        </w:rPr>
      </w:pPr>
    </w:p>
    <w:p w14:paraId="141FE9D9" w14:textId="081D8C05" w:rsidR="002507DD" w:rsidRPr="0070578D" w:rsidRDefault="002507DD" w:rsidP="000E3936">
      <w:pPr>
        <w:spacing w:line="276" w:lineRule="auto"/>
        <w:jc w:val="both"/>
        <w:rPr>
          <w:rFonts w:ascii="Arial" w:eastAsia="Calibri" w:hAnsi="Arial" w:cs="Arial"/>
          <w:color w:val="000000" w:themeColor="text1"/>
          <w:sz w:val="22"/>
          <w:lang w:val="es-ES_tradnl"/>
        </w:rPr>
      </w:pPr>
      <w:r w:rsidRPr="0070578D">
        <w:rPr>
          <w:rFonts w:ascii="Arial" w:eastAsia="Calibri" w:hAnsi="Arial" w:cs="Arial"/>
          <w:color w:val="000000" w:themeColor="text1"/>
          <w:sz w:val="22"/>
          <w:lang w:val="es-ES_tradnl"/>
        </w:rPr>
        <w:t xml:space="preserve">El artículo </w:t>
      </w:r>
      <w:r w:rsidR="00515B54" w:rsidRPr="0070578D">
        <w:rPr>
          <w:rFonts w:ascii="Arial" w:eastAsia="Calibri" w:hAnsi="Arial" w:cs="Arial"/>
          <w:color w:val="000000" w:themeColor="text1"/>
          <w:sz w:val="22"/>
          <w:lang w:val="es-ES_tradnl"/>
        </w:rPr>
        <w:t>2, numeral 4º, literal c) de la Ley 1150 de 2007 permite a las entidades sometidas al Estatuto General de Contratación de la Administración Pública celebrar contratos interadministrativos, «siempre que las obligaciones derivadas del mismo tengan relación directa con el objeto de la entidad ejecutora señalado en la ley o en sus reglamentos». Por tanto, un municipio o distrito puede celebrar</w:t>
      </w:r>
      <w:r w:rsidR="00B53EE2" w:rsidRPr="0070578D">
        <w:rPr>
          <w:rFonts w:ascii="Arial" w:eastAsia="Calibri" w:hAnsi="Arial" w:cs="Arial"/>
          <w:color w:val="000000" w:themeColor="text1"/>
          <w:sz w:val="22"/>
          <w:lang w:val="es-ES_tradnl"/>
        </w:rPr>
        <w:t xml:space="preserve"> directamente un contrato interadministrativo</w:t>
      </w:r>
      <w:r w:rsidR="00515B54" w:rsidRPr="0070578D">
        <w:rPr>
          <w:rFonts w:ascii="Arial" w:eastAsia="Calibri" w:hAnsi="Arial" w:cs="Arial"/>
          <w:color w:val="000000" w:themeColor="text1"/>
          <w:sz w:val="22"/>
          <w:lang w:val="es-ES_tradnl"/>
        </w:rPr>
        <w:t xml:space="preserve"> con una universidad pú</w:t>
      </w:r>
      <w:r w:rsidR="00B53EE2" w:rsidRPr="0070578D">
        <w:rPr>
          <w:rFonts w:ascii="Arial" w:eastAsia="Calibri" w:hAnsi="Arial" w:cs="Arial"/>
          <w:color w:val="000000" w:themeColor="text1"/>
          <w:sz w:val="22"/>
          <w:lang w:val="es-ES_tradnl"/>
        </w:rPr>
        <w:t>blica</w:t>
      </w:r>
      <w:r w:rsidR="001D188E" w:rsidRPr="0070578D">
        <w:rPr>
          <w:rFonts w:ascii="Arial" w:eastAsia="Calibri" w:hAnsi="Arial" w:cs="Arial"/>
          <w:color w:val="000000" w:themeColor="text1"/>
          <w:sz w:val="22"/>
          <w:lang w:val="es-ES_tradnl"/>
        </w:rPr>
        <w:t>,</w:t>
      </w:r>
      <w:r w:rsidR="00B53EE2" w:rsidRPr="0070578D">
        <w:rPr>
          <w:rFonts w:ascii="Arial" w:eastAsia="Calibri" w:hAnsi="Arial" w:cs="Arial"/>
          <w:color w:val="000000" w:themeColor="text1"/>
          <w:sz w:val="22"/>
          <w:lang w:val="es-ES_tradnl"/>
        </w:rPr>
        <w:t xml:space="preserve"> para que esta se encargue de la interventoría sobre un contrato de concesión del servicio de alumbrado público, siempre que</w:t>
      </w:r>
      <w:r w:rsidR="0028682E" w:rsidRPr="0070578D">
        <w:rPr>
          <w:rFonts w:ascii="Arial" w:eastAsia="Calibri" w:hAnsi="Arial" w:cs="Arial"/>
          <w:color w:val="000000" w:themeColor="text1"/>
          <w:sz w:val="22"/>
          <w:lang w:val="es-ES_tradnl"/>
        </w:rPr>
        <w:t xml:space="preserve"> la institución de educación superior tenga dentro de su objeto</w:t>
      </w:r>
      <w:r w:rsidR="00FC100F" w:rsidRPr="0070578D">
        <w:rPr>
          <w:rFonts w:ascii="Arial" w:eastAsia="Calibri" w:hAnsi="Arial" w:cs="Arial"/>
          <w:color w:val="000000" w:themeColor="text1"/>
          <w:sz w:val="22"/>
          <w:lang w:val="es-ES_tradnl"/>
        </w:rPr>
        <w:t>,</w:t>
      </w:r>
      <w:r w:rsidR="0028682E" w:rsidRPr="0070578D">
        <w:rPr>
          <w:rFonts w:ascii="Arial" w:eastAsia="Calibri" w:hAnsi="Arial" w:cs="Arial"/>
          <w:color w:val="000000" w:themeColor="text1"/>
          <w:sz w:val="22"/>
          <w:lang w:val="es-ES_tradnl"/>
        </w:rPr>
        <w:t xml:space="preserve"> señalado en la ley o en sus reglamentos</w:t>
      </w:r>
      <w:r w:rsidR="00FC100F" w:rsidRPr="0070578D">
        <w:rPr>
          <w:rFonts w:ascii="Arial" w:eastAsia="Calibri" w:hAnsi="Arial" w:cs="Arial"/>
          <w:color w:val="000000" w:themeColor="text1"/>
          <w:sz w:val="22"/>
          <w:lang w:val="es-ES_tradnl"/>
        </w:rPr>
        <w:t>,</w:t>
      </w:r>
      <w:r w:rsidR="0028682E" w:rsidRPr="0070578D">
        <w:rPr>
          <w:rFonts w:ascii="Arial" w:eastAsia="Calibri" w:hAnsi="Arial" w:cs="Arial"/>
          <w:color w:val="000000" w:themeColor="text1"/>
          <w:sz w:val="22"/>
          <w:lang w:val="es-ES_tradnl"/>
        </w:rPr>
        <w:t xml:space="preserve"> </w:t>
      </w:r>
      <w:r w:rsidR="00FC100F" w:rsidRPr="0070578D">
        <w:rPr>
          <w:rFonts w:ascii="Arial" w:eastAsia="Calibri" w:hAnsi="Arial" w:cs="Arial"/>
          <w:color w:val="000000" w:themeColor="text1"/>
          <w:sz w:val="22"/>
          <w:lang w:val="es-ES_tradnl"/>
        </w:rPr>
        <w:t xml:space="preserve">la competencia para </w:t>
      </w:r>
      <w:r w:rsidR="0028682E" w:rsidRPr="0070578D">
        <w:rPr>
          <w:rFonts w:ascii="Arial" w:eastAsia="Calibri" w:hAnsi="Arial" w:cs="Arial"/>
          <w:color w:val="000000" w:themeColor="text1"/>
          <w:sz w:val="22"/>
          <w:lang w:val="es-ES_tradnl"/>
        </w:rPr>
        <w:t>realizar dicha labor de vigilancia sobre contratos de esta naturaleza.</w:t>
      </w:r>
      <w:r w:rsidR="00FC100F" w:rsidRPr="0070578D">
        <w:rPr>
          <w:rFonts w:ascii="Arial" w:eastAsia="Calibri" w:hAnsi="Arial" w:cs="Arial"/>
          <w:color w:val="000000" w:themeColor="text1"/>
          <w:sz w:val="22"/>
          <w:lang w:val="es-ES_tradnl"/>
        </w:rPr>
        <w:t xml:space="preserve"> Lo anterior por cuanto el concurso de méritos no es la única modalidad válida para la celebración de contratos de consultoría.</w:t>
      </w:r>
      <w:r w:rsidR="00B53EE2" w:rsidRPr="0070578D">
        <w:rPr>
          <w:rFonts w:ascii="Arial" w:eastAsia="Calibri" w:hAnsi="Arial" w:cs="Arial"/>
          <w:color w:val="000000" w:themeColor="text1"/>
          <w:sz w:val="22"/>
          <w:lang w:val="es-ES_tradnl"/>
        </w:rPr>
        <w:t xml:space="preserve"> </w:t>
      </w:r>
    </w:p>
    <w:p w14:paraId="0E13D501" w14:textId="77777777" w:rsidR="00515B54" w:rsidRPr="0070578D" w:rsidRDefault="00515B54" w:rsidP="000E3936">
      <w:pPr>
        <w:spacing w:line="276" w:lineRule="auto"/>
        <w:jc w:val="both"/>
        <w:rPr>
          <w:rFonts w:ascii="Arial" w:eastAsia="Calibri" w:hAnsi="Arial" w:cs="Arial"/>
          <w:color w:val="000000" w:themeColor="text1"/>
          <w:sz w:val="22"/>
          <w:lang w:val="es-ES_tradnl"/>
        </w:rPr>
      </w:pPr>
    </w:p>
    <w:p w14:paraId="47DEA7AA" w14:textId="275AF789" w:rsidR="00A37FB6" w:rsidRPr="0070578D" w:rsidRDefault="00A37FB6" w:rsidP="000E3936">
      <w:pPr>
        <w:spacing w:line="276" w:lineRule="auto"/>
        <w:jc w:val="both"/>
        <w:rPr>
          <w:rFonts w:ascii="Arial" w:eastAsia="Calibri" w:hAnsi="Arial" w:cs="Arial"/>
          <w:color w:val="000000" w:themeColor="text1"/>
          <w:sz w:val="22"/>
          <w:lang w:val="es-ES_tradnl"/>
        </w:rPr>
      </w:pPr>
      <w:r w:rsidRPr="0070578D">
        <w:rPr>
          <w:rFonts w:ascii="Arial" w:eastAsia="Calibri" w:hAnsi="Arial" w:cs="Arial"/>
          <w:color w:val="000000" w:themeColor="text1"/>
          <w:sz w:val="22"/>
          <w:lang w:val="es-ES_tradnl"/>
        </w:rPr>
        <w:t>Este concepto tiene el alcance previsto en el artículo 28 del Código de Procedimiento Administrativo y de lo Contencioso Administrativo.</w:t>
      </w:r>
    </w:p>
    <w:p w14:paraId="43D2F84E" w14:textId="77777777" w:rsidR="00A37FB6" w:rsidRPr="0070578D" w:rsidRDefault="00A37FB6" w:rsidP="00F23E3A">
      <w:pPr>
        <w:spacing w:line="276" w:lineRule="auto"/>
        <w:jc w:val="both"/>
        <w:rPr>
          <w:rFonts w:ascii="Arial" w:eastAsia="Calibri" w:hAnsi="Arial" w:cs="Arial"/>
          <w:color w:val="000000" w:themeColor="text1"/>
          <w:sz w:val="22"/>
          <w:lang w:val="es-ES_tradnl"/>
        </w:rPr>
      </w:pPr>
    </w:p>
    <w:p w14:paraId="0F8C901F" w14:textId="77777777" w:rsidR="00A37FB6" w:rsidRPr="0070578D" w:rsidRDefault="00A37FB6" w:rsidP="00F23E3A">
      <w:pPr>
        <w:spacing w:line="276" w:lineRule="auto"/>
        <w:jc w:val="both"/>
        <w:rPr>
          <w:rFonts w:ascii="Arial" w:eastAsia="Calibri" w:hAnsi="Arial" w:cs="Arial"/>
          <w:color w:val="000000" w:themeColor="text1"/>
          <w:sz w:val="22"/>
          <w:lang w:val="es-ES_tradnl"/>
        </w:rPr>
      </w:pPr>
      <w:r w:rsidRPr="0070578D">
        <w:rPr>
          <w:rFonts w:ascii="Arial" w:hAnsi="Arial" w:cs="Arial"/>
          <w:noProof/>
          <w:color w:val="000000" w:themeColor="text1"/>
          <w:lang w:val="en-US" w:eastAsia="en-US"/>
        </w:rPr>
        <mc:AlternateContent>
          <mc:Choice Requires="wps">
            <w:drawing>
              <wp:anchor distT="0" distB="0" distL="114300" distR="114300" simplePos="0" relativeHeight="251658240" behindDoc="0" locked="0" layoutInCell="1" allowOverlap="1" wp14:anchorId="2171F34F" wp14:editId="2B8FE3D5">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mv="urn:schemas-microsoft-com:mac:vml" xmlns:mo="http://schemas.microsoft.com/office/mac/office/2008/main" xmlns:a14="http://schemas.microsoft.com/office/drawing/2010/main" xmlns:pic="http://schemas.openxmlformats.org/drawingml/2006/picture" xmlns:a="http://schemas.openxmlformats.org/drawingml/2006/main">
            <w:pict w14:anchorId="5DB41651">
              <v:line id="Conector recto 1"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o:spid="_x0000_s1026" strokecolor="#dbdbdb" from="119.25pt,.8pt" to="488.25pt,.8pt" w14:anchorId="1F3FB06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">
                <w10:wrap anchorx="page"/>
              </v:line>
            </w:pict>
          </mc:Fallback>
        </mc:AlternateContent>
      </w:r>
    </w:p>
    <w:p w14:paraId="1E81A930" w14:textId="77777777" w:rsidR="00A37FB6" w:rsidRPr="0070578D" w:rsidRDefault="00A37FB6" w:rsidP="00F23E3A">
      <w:pPr>
        <w:spacing w:line="276" w:lineRule="auto"/>
        <w:rPr>
          <w:rFonts w:ascii="Arial" w:hAnsi="Arial" w:cs="Arial"/>
          <w:color w:val="000000" w:themeColor="text1"/>
          <w:sz w:val="22"/>
          <w:lang w:val="es-ES_tradnl" w:eastAsia="es-CO"/>
        </w:rPr>
      </w:pPr>
      <w:r w:rsidRPr="0070578D">
        <w:rPr>
          <w:rFonts w:ascii="Arial" w:hAnsi="Arial" w:cs="Arial"/>
          <w:color w:val="000000" w:themeColor="text1"/>
          <w:sz w:val="22"/>
          <w:lang w:val="es-ES_tradnl" w:eastAsia="es-CO"/>
        </w:rPr>
        <w:t>Atentamente,</w:t>
      </w:r>
    </w:p>
    <w:p w14:paraId="57DD1EBD" w14:textId="2E15F60B" w:rsidR="00746E08" w:rsidRDefault="00E211C4" w:rsidP="00F23E3A">
      <w:pPr>
        <w:spacing w:line="276" w:lineRule="auto"/>
        <w:jc w:val="center"/>
        <w:rPr>
          <w:rFonts w:ascii="Arial" w:hAnsi="Arial" w:cs="Arial"/>
          <w:color w:val="000000" w:themeColor="text1"/>
          <w:sz w:val="18"/>
          <w:szCs w:val="20"/>
          <w:lang w:val="es-ES_tradnl" w:eastAsia="es-CO"/>
        </w:rPr>
      </w:pPr>
      <w:r>
        <w:rPr>
          <w:noProof/>
          <w:lang w:val="en-US" w:eastAsia="en-US"/>
        </w:rPr>
        <w:drawing>
          <wp:inline distT="0" distB="0" distL="0" distR="0" wp14:anchorId="02C87E44" wp14:editId="258C9181">
            <wp:extent cx="2773045" cy="988695"/>
            <wp:effectExtent l="0" t="0" r="0" b="0"/>
            <wp:docPr id="622751205" name="Imagen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5"/>
                    <pic:cNvPicPr/>
                  </pic:nvPicPr>
                  <pic:blipFill>
                    <a:blip r:embed="rId11">
                      <a:extLst>
                        <a:ext uri="{28A0092B-C50C-407E-A947-70E740481C1C}">
                          <a14:useLocalDpi xmlns:a14="http://schemas.microsoft.com/office/drawing/2010/main" val="0"/>
                        </a:ext>
                      </a:extLst>
                    </a:blip>
                    <a:stretch>
                      <a:fillRect/>
                    </a:stretch>
                  </pic:blipFill>
                  <pic:spPr>
                    <a:xfrm>
                      <a:off x="0" y="0"/>
                      <a:ext cx="2773045" cy="988695"/>
                    </a:xfrm>
                    <a:prstGeom prst="rect">
                      <a:avLst/>
                    </a:prstGeom>
                  </pic:spPr>
                </pic:pic>
              </a:graphicData>
            </a:graphic>
          </wp:inline>
        </w:drawing>
      </w:r>
    </w:p>
    <w:p w14:paraId="1B8CC1AA" w14:textId="77777777" w:rsidR="00E211C4" w:rsidRPr="0070578D" w:rsidRDefault="00E211C4" w:rsidP="00F23E3A">
      <w:pPr>
        <w:spacing w:line="276" w:lineRule="auto"/>
        <w:jc w:val="center"/>
        <w:rPr>
          <w:rFonts w:ascii="Arial" w:hAnsi="Arial" w:cs="Arial"/>
          <w:color w:val="000000" w:themeColor="text1"/>
          <w:sz w:val="18"/>
          <w:szCs w:val="20"/>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70578D" w:rsidRPr="0070578D" w14:paraId="469202AF" w14:textId="77777777" w:rsidTr="009E1BE1">
        <w:trPr>
          <w:trHeight w:val="315"/>
        </w:trPr>
        <w:tc>
          <w:tcPr>
            <w:tcW w:w="812" w:type="dxa"/>
            <w:vAlign w:val="center"/>
            <w:hideMark/>
          </w:tcPr>
          <w:p w14:paraId="3F62A0B3" w14:textId="77777777" w:rsidR="00746E08" w:rsidRPr="0070578D" w:rsidRDefault="00746E08" w:rsidP="00F23E3A">
            <w:pPr>
              <w:spacing w:line="276" w:lineRule="auto"/>
              <w:rPr>
                <w:rFonts w:ascii="Arial" w:hAnsi="Arial" w:cs="Arial"/>
                <w:color w:val="000000" w:themeColor="text1"/>
                <w:sz w:val="16"/>
                <w:szCs w:val="16"/>
                <w:lang w:val="es-ES_tradnl" w:eastAsia="es-ES"/>
              </w:rPr>
            </w:pPr>
            <w:r w:rsidRPr="0070578D">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51C325E7" w14:textId="7EA63C2C" w:rsidR="00746E08" w:rsidRPr="0070578D" w:rsidRDefault="00644C0A" w:rsidP="00F23E3A">
            <w:pPr>
              <w:spacing w:line="276" w:lineRule="auto"/>
              <w:rPr>
                <w:rFonts w:ascii="Arial" w:hAnsi="Arial" w:cs="Arial"/>
                <w:color w:val="000000" w:themeColor="text1"/>
                <w:sz w:val="16"/>
                <w:szCs w:val="16"/>
                <w:lang w:val="es-ES_tradnl" w:eastAsia="es-ES"/>
              </w:rPr>
            </w:pPr>
            <w:r w:rsidRPr="0070578D">
              <w:rPr>
                <w:rFonts w:ascii="Arial" w:hAnsi="Arial" w:cs="Arial"/>
                <w:color w:val="000000" w:themeColor="text1"/>
                <w:sz w:val="16"/>
                <w:szCs w:val="16"/>
                <w:lang w:val="es-ES_tradnl" w:eastAsia="es-ES"/>
              </w:rPr>
              <w:t>Cristian Andrés Díaz Díez</w:t>
            </w:r>
          </w:p>
        </w:tc>
      </w:tr>
      <w:tr w:rsidR="0070578D" w:rsidRPr="0070578D" w14:paraId="10BC78E8" w14:textId="77777777" w:rsidTr="009E1BE1">
        <w:trPr>
          <w:trHeight w:val="330"/>
        </w:trPr>
        <w:tc>
          <w:tcPr>
            <w:tcW w:w="812" w:type="dxa"/>
            <w:vAlign w:val="center"/>
            <w:hideMark/>
          </w:tcPr>
          <w:p w14:paraId="6A7DBF66" w14:textId="77777777" w:rsidR="00746E08" w:rsidRPr="0070578D" w:rsidRDefault="00746E08" w:rsidP="00F23E3A">
            <w:pPr>
              <w:spacing w:line="276" w:lineRule="auto"/>
              <w:rPr>
                <w:rFonts w:ascii="Arial" w:hAnsi="Arial" w:cs="Arial"/>
                <w:color w:val="000000" w:themeColor="text1"/>
                <w:sz w:val="16"/>
                <w:szCs w:val="16"/>
                <w:lang w:val="es-ES_tradnl" w:eastAsia="es-ES"/>
              </w:rPr>
            </w:pPr>
            <w:r w:rsidRPr="0070578D">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44949D7" w14:textId="77777777" w:rsidR="00746E08" w:rsidRPr="0070578D" w:rsidRDefault="00746E08" w:rsidP="00F23E3A">
            <w:pPr>
              <w:spacing w:line="276" w:lineRule="auto"/>
              <w:rPr>
                <w:rFonts w:ascii="Arial" w:hAnsi="Arial" w:cs="Arial"/>
                <w:color w:val="000000" w:themeColor="text1"/>
                <w:sz w:val="16"/>
                <w:szCs w:val="16"/>
                <w:lang w:val="es-ES_tradnl" w:eastAsia="es-ES"/>
              </w:rPr>
            </w:pPr>
            <w:r w:rsidRPr="0070578D">
              <w:rPr>
                <w:rFonts w:ascii="Arial" w:hAnsi="Arial" w:cs="Arial"/>
                <w:color w:val="000000" w:themeColor="text1"/>
                <w:sz w:val="16"/>
                <w:szCs w:val="16"/>
                <w:lang w:val="es-ES_tradnl" w:eastAsia="es-ES"/>
              </w:rPr>
              <w:t>Fabián Gonzalo Marín Cortés</w:t>
            </w:r>
          </w:p>
          <w:p w14:paraId="19E8BD8D" w14:textId="69868F8E" w:rsidR="00746E08" w:rsidRPr="0070578D" w:rsidRDefault="00746E08" w:rsidP="00F23E3A">
            <w:pPr>
              <w:spacing w:line="276" w:lineRule="auto"/>
              <w:rPr>
                <w:rFonts w:ascii="Arial" w:hAnsi="Arial" w:cs="Arial"/>
                <w:color w:val="000000" w:themeColor="text1"/>
                <w:sz w:val="16"/>
                <w:szCs w:val="16"/>
                <w:lang w:val="es-ES_tradnl" w:eastAsia="es-ES"/>
              </w:rPr>
            </w:pPr>
            <w:r w:rsidRPr="0070578D">
              <w:rPr>
                <w:rFonts w:ascii="Arial" w:hAnsi="Arial" w:cs="Arial"/>
                <w:color w:val="000000" w:themeColor="text1"/>
                <w:sz w:val="16"/>
                <w:szCs w:val="16"/>
                <w:lang w:val="es-ES_tradnl" w:eastAsia="es-ES"/>
              </w:rPr>
              <w:t>Subdirector de Gestión Contractual</w:t>
            </w:r>
          </w:p>
        </w:tc>
      </w:tr>
      <w:tr w:rsidR="00AF252C" w:rsidRPr="0070578D" w14:paraId="50741B38" w14:textId="77777777" w:rsidTr="009E1BE1">
        <w:trPr>
          <w:trHeight w:val="300"/>
        </w:trPr>
        <w:tc>
          <w:tcPr>
            <w:tcW w:w="812" w:type="dxa"/>
            <w:vAlign w:val="center"/>
            <w:hideMark/>
          </w:tcPr>
          <w:p w14:paraId="297715FA" w14:textId="77777777" w:rsidR="00746E08" w:rsidRPr="0070578D" w:rsidRDefault="00746E08" w:rsidP="00F23E3A">
            <w:pPr>
              <w:spacing w:line="276" w:lineRule="auto"/>
              <w:rPr>
                <w:rFonts w:ascii="Arial" w:hAnsi="Arial" w:cs="Arial"/>
                <w:color w:val="000000" w:themeColor="text1"/>
                <w:sz w:val="16"/>
                <w:szCs w:val="16"/>
                <w:lang w:val="es-ES_tradnl" w:eastAsia="es-ES"/>
              </w:rPr>
            </w:pPr>
            <w:r w:rsidRPr="0070578D">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36F6A2F" w14:textId="77777777" w:rsidR="00746E08" w:rsidRPr="0070578D" w:rsidRDefault="00746E08" w:rsidP="00F23E3A">
            <w:pPr>
              <w:spacing w:line="276" w:lineRule="auto"/>
              <w:rPr>
                <w:rFonts w:ascii="Arial" w:hAnsi="Arial" w:cs="Arial"/>
                <w:color w:val="000000" w:themeColor="text1"/>
                <w:sz w:val="16"/>
                <w:szCs w:val="16"/>
                <w:lang w:val="es-ES_tradnl" w:eastAsia="es-ES"/>
              </w:rPr>
            </w:pPr>
            <w:r w:rsidRPr="0070578D">
              <w:rPr>
                <w:rFonts w:ascii="Arial" w:hAnsi="Arial" w:cs="Arial"/>
                <w:color w:val="000000" w:themeColor="text1"/>
                <w:sz w:val="16"/>
                <w:szCs w:val="16"/>
                <w:lang w:val="es-ES_tradnl" w:eastAsia="es-ES"/>
              </w:rPr>
              <w:t>Fabián Gonzalo Marín Cortés</w:t>
            </w:r>
          </w:p>
          <w:p w14:paraId="17847B1F" w14:textId="71EB0D70" w:rsidR="00746E08" w:rsidRPr="0070578D" w:rsidRDefault="00746E08" w:rsidP="00F23E3A">
            <w:pPr>
              <w:spacing w:line="276" w:lineRule="auto"/>
              <w:rPr>
                <w:rFonts w:ascii="Arial" w:hAnsi="Arial" w:cs="Arial"/>
                <w:color w:val="000000" w:themeColor="text1"/>
                <w:sz w:val="16"/>
                <w:szCs w:val="16"/>
                <w:lang w:val="es-ES_tradnl" w:eastAsia="es-ES"/>
              </w:rPr>
            </w:pPr>
            <w:r w:rsidRPr="0070578D">
              <w:rPr>
                <w:rFonts w:ascii="Arial" w:hAnsi="Arial" w:cs="Arial"/>
                <w:color w:val="000000" w:themeColor="text1"/>
                <w:sz w:val="16"/>
                <w:szCs w:val="16"/>
                <w:lang w:val="es-ES_tradnl" w:eastAsia="es-ES"/>
              </w:rPr>
              <w:t>Subdirector de Gestión Contractual</w:t>
            </w:r>
          </w:p>
        </w:tc>
      </w:tr>
    </w:tbl>
    <w:p w14:paraId="35B56F46" w14:textId="77777777" w:rsidR="00746E08" w:rsidRPr="0070578D" w:rsidRDefault="00746E08" w:rsidP="00F23E3A">
      <w:pPr>
        <w:spacing w:line="276" w:lineRule="auto"/>
        <w:rPr>
          <w:rFonts w:ascii="Arial" w:hAnsi="Arial" w:cs="Arial"/>
          <w:color w:val="000000" w:themeColor="text1"/>
          <w:sz w:val="16"/>
          <w:szCs w:val="16"/>
          <w:lang w:val="es-ES_tradnl" w:eastAsia="es-ES"/>
        </w:rPr>
      </w:pPr>
    </w:p>
    <w:sectPr w:rsidR="00746E08" w:rsidRPr="0070578D" w:rsidSect="005D791B">
      <w:headerReference w:type="default" r:id="rId12"/>
      <w:footerReference w:type="default" r:id="rId13"/>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3C4ABB" w14:textId="77777777" w:rsidR="00926A8A" w:rsidRDefault="00926A8A">
      <w:r>
        <w:separator/>
      </w:r>
    </w:p>
  </w:endnote>
  <w:endnote w:type="continuationSeparator" w:id="0">
    <w:p w14:paraId="0A400AC6" w14:textId="77777777" w:rsidR="00926A8A" w:rsidRDefault="00926A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F02A34" w14:textId="77777777" w:rsidR="00FC100F" w:rsidRDefault="00FC100F" w:rsidP="00322937">
    <w:pPr>
      <w:pStyle w:val="Sinespaciado"/>
      <w:jc w:val="right"/>
      <w:rPr>
        <w:rFonts w:ascii="Arial" w:hAnsi="Arial" w:cs="Arial"/>
        <w:sz w:val="18"/>
        <w:szCs w:val="18"/>
      </w:rPr>
    </w:pPr>
  </w:p>
  <w:p w14:paraId="7A3785F3" w14:textId="76F4C51D" w:rsidR="00FC100F" w:rsidRPr="008217B7" w:rsidRDefault="00FC100F"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8E0524">
      <w:rPr>
        <w:rFonts w:ascii="Arial" w:hAnsi="Arial" w:cs="Arial"/>
        <w:b/>
        <w:bCs/>
        <w:noProof/>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8E0524">
      <w:rPr>
        <w:rFonts w:ascii="Arial" w:hAnsi="Arial" w:cs="Arial"/>
        <w:b/>
        <w:bCs/>
        <w:noProof/>
        <w:color w:val="7F7F7F" w:themeColor="text1" w:themeTint="80"/>
        <w:sz w:val="16"/>
        <w:szCs w:val="16"/>
      </w:rPr>
      <w:t>16</w:t>
    </w:r>
    <w:r w:rsidRPr="00084B97">
      <w:rPr>
        <w:rFonts w:ascii="Arial" w:hAnsi="Arial" w:cs="Arial"/>
        <w:b/>
        <w:bCs/>
        <w:color w:val="7F7F7F" w:themeColor="text1" w:themeTint="80"/>
        <w:sz w:val="16"/>
        <w:szCs w:val="16"/>
      </w:rPr>
      <w:fldChar w:fldCharType="end"/>
    </w:r>
  </w:p>
  <w:p w14:paraId="48FC6A04" w14:textId="5FD1A7C9" w:rsidR="00FC100F" w:rsidRDefault="530BC09D" w:rsidP="00322937">
    <w:pPr>
      <w:pStyle w:val="Piedepgina"/>
      <w:jc w:val="center"/>
      <w:rPr>
        <w:lang w:val="es-ES"/>
      </w:rPr>
    </w:pPr>
    <w:r>
      <w:rPr>
        <w:noProof/>
        <w:lang w:val="en-US" w:eastAsia="en-US"/>
      </w:rPr>
      <w:drawing>
        <wp:inline distT="0" distB="0" distL="0" distR="0" wp14:anchorId="608B196D" wp14:editId="3BE28597">
          <wp:extent cx="3700130" cy="519139"/>
          <wp:effectExtent l="0" t="0" r="0" b="0"/>
          <wp:docPr id="1720128542"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5D0E988C" w14:textId="77777777" w:rsidR="00FC100F" w:rsidRDefault="00FC100F" w:rsidP="007B0854">
    <w:pPr>
      <w:pStyle w:val="Piedepgina"/>
      <w:jc w:val="center"/>
      <w:rPr>
        <w:lang w:val="es-ES"/>
      </w:rPr>
    </w:pPr>
  </w:p>
  <w:p w14:paraId="6C0EFC49" w14:textId="77777777" w:rsidR="00FC100F" w:rsidRPr="007B0854" w:rsidRDefault="00FC100F"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2D6EC3" w14:textId="77777777" w:rsidR="00926A8A" w:rsidRDefault="00926A8A">
      <w:r>
        <w:separator/>
      </w:r>
    </w:p>
  </w:footnote>
  <w:footnote w:type="continuationSeparator" w:id="0">
    <w:p w14:paraId="23D94974" w14:textId="77777777" w:rsidR="00926A8A" w:rsidRDefault="00926A8A">
      <w:r>
        <w:continuationSeparator/>
      </w:r>
    </w:p>
  </w:footnote>
  <w:footnote w:id="1">
    <w:p w14:paraId="37184A70" w14:textId="77777777" w:rsidR="00FC100F" w:rsidRPr="0070578D" w:rsidRDefault="00FC100F" w:rsidP="00BE5263">
      <w:pPr>
        <w:pStyle w:val="Textonotapie"/>
        <w:ind w:firstLine="709"/>
        <w:jc w:val="both"/>
        <w:rPr>
          <w:rFonts w:ascii="Arial" w:hAnsi="Arial" w:cs="Arial"/>
          <w:color w:val="000000" w:themeColor="text1"/>
          <w:sz w:val="19"/>
          <w:szCs w:val="19"/>
        </w:rPr>
      </w:pPr>
      <w:r w:rsidRPr="0070578D">
        <w:rPr>
          <w:rStyle w:val="Refdenotaalpie"/>
          <w:rFonts w:ascii="Arial" w:hAnsi="Arial" w:cs="Arial"/>
          <w:color w:val="000000" w:themeColor="text1"/>
          <w:sz w:val="19"/>
          <w:szCs w:val="19"/>
        </w:rPr>
        <w:footnoteRef/>
      </w:r>
      <w:r w:rsidRPr="0070578D">
        <w:rPr>
          <w:rFonts w:ascii="Arial" w:hAnsi="Arial" w:cs="Arial"/>
          <w:color w:val="000000" w:themeColor="text1"/>
          <w:sz w:val="19"/>
          <w:szCs w:val="19"/>
        </w:rPr>
        <w:t xml:space="preserve"> Agencia Nacional de Contratación Pública - Colombia Compra Eficiente. Guía para las Entidades Estatales con régimen especial de contratación: «Entidad Estatal de régimen especial: Entidad Estatal que realiza sus Procesos de Contratación con un régimen distinto al previsto en las Leyes 80 de 1993 y 1150 de 2007».</w:t>
      </w:r>
    </w:p>
    <w:p w14:paraId="39EC71B8" w14:textId="77777777" w:rsidR="00FC100F" w:rsidRPr="0070578D" w:rsidRDefault="00FC100F" w:rsidP="00BE5263">
      <w:pPr>
        <w:pStyle w:val="Textonotapie"/>
        <w:ind w:firstLine="709"/>
        <w:jc w:val="both"/>
        <w:rPr>
          <w:rFonts w:ascii="Arial" w:hAnsi="Arial" w:cs="Arial"/>
          <w:color w:val="000000" w:themeColor="text1"/>
          <w:sz w:val="19"/>
          <w:szCs w:val="19"/>
          <w:lang w:val="es-ES"/>
        </w:rPr>
      </w:pPr>
    </w:p>
  </w:footnote>
  <w:footnote w:id="2">
    <w:p w14:paraId="3ED3812D" w14:textId="77777777" w:rsidR="00FC100F" w:rsidRPr="0070578D" w:rsidRDefault="00FC100F" w:rsidP="00BE5263">
      <w:pPr>
        <w:pStyle w:val="Textonotapie"/>
        <w:ind w:firstLine="709"/>
        <w:jc w:val="both"/>
        <w:rPr>
          <w:rFonts w:ascii="Arial" w:hAnsi="Arial" w:cs="Arial"/>
          <w:color w:val="000000" w:themeColor="text1"/>
          <w:sz w:val="19"/>
          <w:szCs w:val="19"/>
        </w:rPr>
      </w:pPr>
      <w:r w:rsidRPr="0070578D">
        <w:rPr>
          <w:rStyle w:val="Refdenotaalpie"/>
          <w:rFonts w:ascii="Arial" w:hAnsi="Arial" w:cs="Arial"/>
          <w:color w:val="000000" w:themeColor="text1"/>
          <w:sz w:val="19"/>
          <w:szCs w:val="19"/>
        </w:rPr>
        <w:footnoteRef/>
      </w:r>
      <w:r w:rsidRPr="0070578D">
        <w:rPr>
          <w:rFonts w:ascii="Arial" w:hAnsi="Arial" w:cs="Arial"/>
          <w:color w:val="000000" w:themeColor="text1"/>
          <w:sz w:val="19"/>
          <w:szCs w:val="19"/>
        </w:rPr>
        <w:t xml:space="preserve"> Consejo de Estado. Sección Tercera. Radicado No. 45.607 del 24 de octubre de 2016. Consejera Ponente: María Nubia Velásquez Rico.</w:t>
      </w:r>
    </w:p>
    <w:p w14:paraId="530F7350" w14:textId="77777777" w:rsidR="00FC100F" w:rsidRPr="0070578D" w:rsidRDefault="00FC100F" w:rsidP="00BE5263">
      <w:pPr>
        <w:pStyle w:val="Textonotapie"/>
        <w:ind w:firstLine="709"/>
        <w:jc w:val="both"/>
        <w:rPr>
          <w:rFonts w:ascii="Arial" w:hAnsi="Arial" w:cs="Arial"/>
          <w:color w:val="000000" w:themeColor="text1"/>
          <w:sz w:val="19"/>
          <w:szCs w:val="19"/>
          <w:lang w:val="es-ES"/>
        </w:rPr>
      </w:pPr>
    </w:p>
  </w:footnote>
  <w:footnote w:id="3">
    <w:p w14:paraId="12C7A758" w14:textId="77777777" w:rsidR="00FC100F" w:rsidRPr="0070578D" w:rsidRDefault="00FC100F" w:rsidP="00BE5263">
      <w:pPr>
        <w:pStyle w:val="Textonotapie"/>
        <w:ind w:firstLine="709"/>
        <w:jc w:val="both"/>
        <w:rPr>
          <w:rFonts w:ascii="Arial" w:hAnsi="Arial" w:cs="Arial"/>
          <w:color w:val="000000" w:themeColor="text1"/>
          <w:sz w:val="19"/>
          <w:szCs w:val="19"/>
        </w:rPr>
      </w:pPr>
      <w:r w:rsidRPr="0070578D">
        <w:rPr>
          <w:rStyle w:val="Refdenotaalpie"/>
          <w:rFonts w:ascii="Arial" w:hAnsi="Arial" w:cs="Arial"/>
          <w:color w:val="000000" w:themeColor="text1"/>
          <w:sz w:val="19"/>
          <w:szCs w:val="19"/>
        </w:rPr>
        <w:footnoteRef/>
      </w:r>
      <w:r w:rsidRPr="0070578D">
        <w:rPr>
          <w:rFonts w:ascii="Arial" w:hAnsi="Arial" w:cs="Arial"/>
          <w:color w:val="000000" w:themeColor="text1"/>
          <w:sz w:val="19"/>
          <w:szCs w:val="19"/>
        </w:rPr>
        <w:t xml:space="preserve"> Sobre las entidades de régimen especial, se puede consultar su definición y un listado aproximado de este tipo de entidades en: BARRETO MORENO, Antonio A. El derecho de la compra pública. Legis - Universidad de la Sabana, primera edición, Bogotá, 2019.</w:t>
      </w:r>
    </w:p>
    <w:p w14:paraId="106BA84C" w14:textId="77777777" w:rsidR="00FC100F" w:rsidRPr="0070578D" w:rsidRDefault="00FC100F" w:rsidP="00BE5263">
      <w:pPr>
        <w:pStyle w:val="Textonotapie"/>
        <w:ind w:firstLine="709"/>
        <w:jc w:val="both"/>
        <w:rPr>
          <w:rFonts w:ascii="Arial" w:hAnsi="Arial" w:cs="Arial"/>
          <w:color w:val="000000" w:themeColor="text1"/>
          <w:sz w:val="19"/>
          <w:szCs w:val="19"/>
          <w:lang w:val="es-ES"/>
        </w:rPr>
      </w:pPr>
      <w:r w:rsidRPr="0070578D">
        <w:rPr>
          <w:rFonts w:ascii="Arial" w:hAnsi="Arial" w:cs="Arial"/>
          <w:color w:val="000000" w:themeColor="text1"/>
          <w:sz w:val="19"/>
          <w:szCs w:val="19"/>
        </w:rPr>
        <w:t xml:space="preserve"> </w:t>
      </w:r>
    </w:p>
  </w:footnote>
  <w:footnote w:id="4">
    <w:p w14:paraId="133C7118" w14:textId="77777777" w:rsidR="00FC100F" w:rsidRPr="0070578D" w:rsidRDefault="00FC100F" w:rsidP="00BE5263">
      <w:pPr>
        <w:pStyle w:val="Textonotapie"/>
        <w:ind w:firstLine="709"/>
        <w:jc w:val="both"/>
        <w:rPr>
          <w:rFonts w:ascii="Arial" w:hAnsi="Arial" w:cs="Arial"/>
          <w:color w:val="000000" w:themeColor="text1"/>
          <w:sz w:val="19"/>
          <w:szCs w:val="19"/>
        </w:rPr>
      </w:pPr>
      <w:r w:rsidRPr="0070578D">
        <w:rPr>
          <w:rStyle w:val="Refdenotaalpie"/>
          <w:rFonts w:ascii="Arial" w:hAnsi="Arial" w:cs="Arial"/>
          <w:color w:val="000000" w:themeColor="text1"/>
          <w:sz w:val="19"/>
          <w:szCs w:val="19"/>
        </w:rPr>
        <w:footnoteRef/>
      </w:r>
      <w:r w:rsidRPr="0070578D">
        <w:rPr>
          <w:rFonts w:ascii="Arial" w:hAnsi="Arial" w:cs="Arial"/>
          <w:color w:val="000000" w:themeColor="text1"/>
          <w:sz w:val="19"/>
          <w:szCs w:val="19"/>
        </w:rPr>
        <w:t xml:space="preserve"> Ley 80 de 1993: «Artículo 2. De la definición de entidades, servidores y servicios públicos. Para los solos efectos de esta ley:</w:t>
      </w:r>
    </w:p>
    <w:p w14:paraId="10CB4F88" w14:textId="77777777" w:rsidR="00FC100F" w:rsidRPr="0070578D" w:rsidRDefault="00FC100F" w:rsidP="00BE5263">
      <w:pPr>
        <w:pStyle w:val="Textonotapie"/>
        <w:ind w:firstLine="709"/>
        <w:jc w:val="both"/>
        <w:rPr>
          <w:rFonts w:ascii="Arial" w:hAnsi="Arial" w:cs="Arial"/>
          <w:color w:val="000000" w:themeColor="text1"/>
          <w:sz w:val="19"/>
          <w:szCs w:val="19"/>
        </w:rPr>
      </w:pPr>
      <w:r w:rsidRPr="0070578D">
        <w:rPr>
          <w:rFonts w:ascii="Arial" w:hAnsi="Arial" w:cs="Arial"/>
          <w:color w:val="000000" w:themeColor="text1"/>
          <w:sz w:val="19"/>
          <w:szCs w:val="19"/>
        </w:rPr>
        <w:t>»1. Se denominan entidades estatales:</w:t>
      </w:r>
    </w:p>
    <w:p w14:paraId="62B6D584" w14:textId="77777777" w:rsidR="00FC100F" w:rsidRPr="0070578D" w:rsidRDefault="00FC100F" w:rsidP="00BE5263">
      <w:pPr>
        <w:pStyle w:val="Textonotapie"/>
        <w:ind w:firstLine="709"/>
        <w:jc w:val="both"/>
        <w:rPr>
          <w:rFonts w:ascii="Arial" w:hAnsi="Arial" w:cs="Arial"/>
          <w:color w:val="000000" w:themeColor="text1"/>
          <w:sz w:val="19"/>
          <w:szCs w:val="19"/>
        </w:rPr>
      </w:pPr>
      <w:r w:rsidRPr="0070578D">
        <w:rPr>
          <w:rFonts w:ascii="Arial" w:hAnsi="Arial" w:cs="Arial"/>
          <w:color w:val="000000" w:themeColor="text1"/>
          <w:sz w:val="19"/>
          <w:szCs w:val="19"/>
        </w:rPr>
        <w:t>»a) 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w:t>
      </w:r>
    </w:p>
    <w:p w14:paraId="1B2A233D" w14:textId="77777777" w:rsidR="00FC100F" w:rsidRPr="0070578D" w:rsidRDefault="00FC100F" w:rsidP="00BE5263">
      <w:pPr>
        <w:pStyle w:val="Textonotapie"/>
        <w:ind w:firstLine="709"/>
        <w:jc w:val="both"/>
        <w:rPr>
          <w:rFonts w:ascii="Arial" w:hAnsi="Arial" w:cs="Arial"/>
          <w:color w:val="000000" w:themeColor="text1"/>
          <w:sz w:val="19"/>
          <w:szCs w:val="19"/>
        </w:rPr>
      </w:pPr>
      <w:r w:rsidRPr="0070578D">
        <w:rPr>
          <w:rFonts w:ascii="Arial" w:hAnsi="Arial" w:cs="Arial"/>
          <w:color w:val="000000" w:themeColor="text1"/>
          <w:sz w:val="19"/>
          <w:szCs w:val="19"/>
        </w:rPr>
        <w:t>»b) El Senado de la República, la Cámara de Representantes, el Consejo Superior de la Judicatura, la Fiscalía General de la Nación, la Contraloría General de la República, las contralorías departamentales, distritales y municipales, la Procuraduría General de la Nación, la Registraduría Nacional del Estado Civil, los ministerios, los departamentos administrativos, las superintendencias, las unidades administrativas especiales y, en general, los organismos o dependencias del Estado a los que la ley otorgue capacidad para celebrar contratos».</w:t>
      </w:r>
    </w:p>
    <w:p w14:paraId="3A969F6C" w14:textId="77777777" w:rsidR="00FC100F" w:rsidRPr="0070578D" w:rsidRDefault="00FC100F" w:rsidP="00BE5263">
      <w:pPr>
        <w:pStyle w:val="Textonotapie"/>
        <w:ind w:firstLine="709"/>
        <w:jc w:val="both"/>
        <w:rPr>
          <w:rFonts w:ascii="Arial" w:hAnsi="Arial" w:cs="Arial"/>
          <w:color w:val="000000" w:themeColor="text1"/>
          <w:sz w:val="19"/>
          <w:szCs w:val="19"/>
        </w:rPr>
      </w:pPr>
    </w:p>
  </w:footnote>
  <w:footnote w:id="5">
    <w:p w14:paraId="3F6EB7EB" w14:textId="77777777" w:rsidR="00FC100F" w:rsidRPr="0070578D" w:rsidRDefault="00FC100F" w:rsidP="00BE5263">
      <w:pPr>
        <w:pStyle w:val="Textonotapie"/>
        <w:ind w:firstLine="709"/>
        <w:jc w:val="both"/>
        <w:rPr>
          <w:rFonts w:ascii="Arial" w:hAnsi="Arial" w:cs="Arial"/>
          <w:color w:val="000000" w:themeColor="text1"/>
          <w:sz w:val="19"/>
          <w:szCs w:val="19"/>
        </w:rPr>
      </w:pPr>
      <w:r w:rsidRPr="0070578D">
        <w:rPr>
          <w:rStyle w:val="Refdenotaalpie"/>
          <w:rFonts w:ascii="Arial" w:hAnsi="Arial" w:cs="Arial"/>
          <w:color w:val="000000" w:themeColor="text1"/>
          <w:sz w:val="19"/>
          <w:szCs w:val="19"/>
        </w:rPr>
        <w:footnoteRef/>
      </w:r>
      <w:r w:rsidRPr="0070578D">
        <w:rPr>
          <w:rFonts w:ascii="Arial" w:hAnsi="Arial" w:cs="Arial"/>
          <w:color w:val="000000" w:themeColor="text1"/>
          <w:sz w:val="19"/>
          <w:szCs w:val="19"/>
        </w:rPr>
        <w:t xml:space="preserve"> Ley 1150 de 2007: «Artículo 2. De las modalidades de selección. La escogencia del contratista se efectuará con arreglo a las modalidades de selección de licitación pública, selección abreviada, concurso de méritos y contratación directa [...]».</w:t>
      </w:r>
    </w:p>
    <w:p w14:paraId="1592895E" w14:textId="77777777" w:rsidR="00FC100F" w:rsidRPr="0070578D" w:rsidRDefault="00FC100F" w:rsidP="00BE5263">
      <w:pPr>
        <w:pStyle w:val="Textonotapie"/>
        <w:ind w:firstLine="709"/>
        <w:jc w:val="both"/>
        <w:rPr>
          <w:rFonts w:ascii="Arial" w:hAnsi="Arial" w:cs="Arial"/>
          <w:color w:val="000000" w:themeColor="text1"/>
          <w:sz w:val="19"/>
          <w:szCs w:val="19"/>
          <w:lang w:val="es-ES"/>
        </w:rPr>
      </w:pPr>
    </w:p>
  </w:footnote>
  <w:footnote w:id="6">
    <w:p w14:paraId="31AC8A34" w14:textId="77777777" w:rsidR="00FC100F" w:rsidRPr="0070578D" w:rsidRDefault="00FC100F" w:rsidP="00BE5263">
      <w:pPr>
        <w:pStyle w:val="Textonotapie"/>
        <w:ind w:firstLine="709"/>
        <w:jc w:val="both"/>
        <w:rPr>
          <w:rFonts w:ascii="Arial" w:hAnsi="Arial" w:cs="Arial"/>
          <w:color w:val="000000" w:themeColor="text1"/>
          <w:sz w:val="19"/>
          <w:szCs w:val="19"/>
        </w:rPr>
      </w:pPr>
      <w:r w:rsidRPr="0070578D">
        <w:rPr>
          <w:rStyle w:val="Refdenotaalpie"/>
          <w:rFonts w:ascii="Arial" w:hAnsi="Arial" w:cs="Arial"/>
          <w:color w:val="000000" w:themeColor="text1"/>
          <w:sz w:val="19"/>
          <w:szCs w:val="19"/>
        </w:rPr>
        <w:footnoteRef/>
      </w:r>
      <w:r w:rsidRPr="0070578D">
        <w:rPr>
          <w:rFonts w:ascii="Arial" w:hAnsi="Arial" w:cs="Arial"/>
          <w:color w:val="000000" w:themeColor="text1"/>
          <w:sz w:val="19"/>
          <w:szCs w:val="19"/>
        </w:rPr>
        <w:t xml:space="preserve"> Decreto 1082 de 2015: «Artículo 2.2.1.2.1.4.4. Convenios o contratos interadministrativos. La modalidad de selección para la contratación entre Entidades Estatales es la contratación directa; y en consecuencia, le es aplicable lo establecido en el artículo 2.2.1.2.1.4.1 del presente decreto.</w:t>
      </w:r>
    </w:p>
    <w:p w14:paraId="433EC96D" w14:textId="77777777" w:rsidR="00FC100F" w:rsidRPr="0070578D" w:rsidRDefault="00FC100F" w:rsidP="00BE5263">
      <w:pPr>
        <w:pStyle w:val="Textonotapie"/>
        <w:ind w:firstLine="709"/>
        <w:jc w:val="both"/>
        <w:rPr>
          <w:rFonts w:ascii="Arial" w:hAnsi="Arial" w:cs="Arial"/>
          <w:color w:val="000000" w:themeColor="text1"/>
          <w:sz w:val="19"/>
          <w:szCs w:val="19"/>
        </w:rPr>
      </w:pPr>
      <w:r w:rsidRPr="0070578D">
        <w:rPr>
          <w:rFonts w:ascii="Arial" w:hAnsi="Arial" w:cs="Arial"/>
          <w:color w:val="000000" w:themeColor="text1"/>
          <w:sz w:val="19"/>
          <w:szCs w:val="19"/>
        </w:rPr>
        <w:t>»Cuando la totalidad del presupuesto de una Entidad Estatal hace parte del presupuesto de otra con ocasión de un convenio o contrato interadministrativo, el monto del presupuesto de la primera deberá deducirse del presupuesto de la segunda para determinar la capacidad contractual de las Entidades Estatales».</w:t>
      </w:r>
    </w:p>
    <w:p w14:paraId="5AC240F3" w14:textId="77777777" w:rsidR="00FC100F" w:rsidRPr="0070578D" w:rsidRDefault="00FC100F" w:rsidP="00BE5263">
      <w:pPr>
        <w:pStyle w:val="Textonotapie"/>
        <w:ind w:firstLine="709"/>
        <w:jc w:val="both"/>
        <w:rPr>
          <w:rFonts w:ascii="Arial" w:hAnsi="Arial" w:cs="Arial"/>
          <w:color w:val="000000" w:themeColor="text1"/>
          <w:sz w:val="19"/>
          <w:szCs w:val="19"/>
        </w:rPr>
      </w:pPr>
    </w:p>
  </w:footnote>
  <w:footnote w:id="7">
    <w:p w14:paraId="694288C2" w14:textId="77777777" w:rsidR="00FC100F" w:rsidRPr="0070578D" w:rsidRDefault="00FC100F" w:rsidP="00BE5263">
      <w:pPr>
        <w:ind w:firstLine="709"/>
        <w:jc w:val="both"/>
        <w:rPr>
          <w:rFonts w:ascii="Arial" w:hAnsi="Arial" w:cs="Arial"/>
          <w:color w:val="000000" w:themeColor="text1"/>
          <w:sz w:val="19"/>
          <w:szCs w:val="19"/>
        </w:rPr>
      </w:pPr>
      <w:r w:rsidRPr="0070578D">
        <w:rPr>
          <w:rStyle w:val="Refdenotaalpie"/>
          <w:rFonts w:ascii="Arial" w:hAnsi="Arial" w:cs="Arial"/>
          <w:color w:val="000000" w:themeColor="text1"/>
          <w:sz w:val="19"/>
          <w:szCs w:val="19"/>
        </w:rPr>
        <w:footnoteRef/>
      </w:r>
      <w:r w:rsidRPr="0070578D">
        <w:rPr>
          <w:rStyle w:val="Refdenotaalpie"/>
          <w:rFonts w:ascii="Arial" w:hAnsi="Arial" w:cs="Arial"/>
          <w:color w:val="000000" w:themeColor="text1"/>
          <w:sz w:val="19"/>
          <w:szCs w:val="19"/>
        </w:rPr>
        <w:t xml:space="preserve"> </w:t>
      </w:r>
      <w:r w:rsidRPr="0070578D">
        <w:rPr>
          <w:rFonts w:ascii="Arial" w:hAnsi="Arial" w:cs="Arial"/>
          <w:color w:val="000000" w:themeColor="text1"/>
          <w:sz w:val="19"/>
          <w:szCs w:val="19"/>
        </w:rPr>
        <w:t>Ley 1150 de 2007, artículo 2, literal 4, numeral c, modificada por el artículo 92 de la Ley 1474 de 2011.</w:t>
      </w:r>
    </w:p>
    <w:p w14:paraId="38857C8E" w14:textId="77777777" w:rsidR="00FC100F" w:rsidRPr="0070578D" w:rsidRDefault="00FC100F" w:rsidP="00BE5263">
      <w:pPr>
        <w:ind w:firstLine="709"/>
        <w:jc w:val="both"/>
        <w:rPr>
          <w:rFonts w:ascii="Arial" w:hAnsi="Arial" w:cs="Arial"/>
          <w:color w:val="000000" w:themeColor="text1"/>
          <w:sz w:val="19"/>
          <w:szCs w:val="19"/>
        </w:rPr>
      </w:pPr>
    </w:p>
  </w:footnote>
  <w:footnote w:id="8">
    <w:p w14:paraId="740813A6" w14:textId="77777777" w:rsidR="00FC100F" w:rsidRPr="0070578D" w:rsidRDefault="00FC100F" w:rsidP="00BE5263">
      <w:pPr>
        <w:ind w:firstLine="709"/>
        <w:jc w:val="both"/>
        <w:rPr>
          <w:rFonts w:ascii="Arial" w:hAnsi="Arial" w:cs="Arial"/>
          <w:color w:val="000000" w:themeColor="text1"/>
          <w:sz w:val="19"/>
          <w:szCs w:val="19"/>
        </w:rPr>
      </w:pPr>
      <w:r w:rsidRPr="0070578D">
        <w:rPr>
          <w:rStyle w:val="Refdenotaalpie"/>
          <w:rFonts w:ascii="Arial" w:hAnsi="Arial" w:cs="Arial"/>
          <w:color w:val="000000" w:themeColor="text1"/>
          <w:sz w:val="19"/>
          <w:szCs w:val="19"/>
        </w:rPr>
        <w:footnoteRef/>
      </w:r>
      <w:r w:rsidRPr="0070578D">
        <w:rPr>
          <w:rStyle w:val="Refdenotaalpie"/>
          <w:rFonts w:ascii="Arial" w:hAnsi="Arial" w:cs="Arial"/>
          <w:color w:val="000000" w:themeColor="text1"/>
          <w:sz w:val="19"/>
          <w:szCs w:val="19"/>
        </w:rPr>
        <w:t xml:space="preserve"> </w:t>
      </w:r>
      <w:r w:rsidRPr="0070578D">
        <w:rPr>
          <w:rFonts w:ascii="Arial" w:hAnsi="Arial" w:cs="Arial"/>
          <w:color w:val="000000" w:themeColor="text1"/>
          <w:sz w:val="19"/>
          <w:szCs w:val="19"/>
        </w:rPr>
        <w:t>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 artículo».</w:t>
      </w:r>
    </w:p>
    <w:p w14:paraId="74E6ACC1" w14:textId="77777777" w:rsidR="00FC100F" w:rsidRPr="0070578D" w:rsidRDefault="00FC100F" w:rsidP="00BE5263">
      <w:pPr>
        <w:ind w:firstLine="709"/>
        <w:jc w:val="both"/>
        <w:rPr>
          <w:rFonts w:ascii="Arial" w:hAnsi="Arial" w:cs="Arial"/>
          <w:color w:val="000000" w:themeColor="text1"/>
          <w:sz w:val="19"/>
          <w:szCs w:val="19"/>
        </w:rPr>
      </w:pPr>
    </w:p>
  </w:footnote>
  <w:footnote w:id="9">
    <w:p w14:paraId="507E6638" w14:textId="77777777" w:rsidR="00FC100F" w:rsidRPr="0070578D" w:rsidRDefault="00FC100F" w:rsidP="00BE5263">
      <w:pPr>
        <w:pStyle w:val="Textonotapie"/>
        <w:ind w:firstLine="709"/>
        <w:jc w:val="both"/>
        <w:rPr>
          <w:rFonts w:ascii="Arial" w:hAnsi="Arial" w:cs="Arial"/>
          <w:color w:val="000000" w:themeColor="text1"/>
          <w:sz w:val="19"/>
          <w:szCs w:val="19"/>
        </w:rPr>
      </w:pPr>
      <w:r w:rsidRPr="0070578D">
        <w:rPr>
          <w:rStyle w:val="Refdenotaalpie"/>
          <w:rFonts w:ascii="Arial" w:hAnsi="Arial" w:cs="Arial"/>
          <w:color w:val="000000" w:themeColor="text1"/>
          <w:sz w:val="19"/>
          <w:szCs w:val="19"/>
        </w:rPr>
        <w:footnoteRef/>
      </w:r>
      <w:r w:rsidRPr="0070578D">
        <w:rPr>
          <w:rFonts w:ascii="Arial" w:hAnsi="Arial" w:cs="Arial"/>
          <w:color w:val="000000" w:themeColor="text1"/>
          <w:sz w:val="19"/>
          <w:szCs w:val="19"/>
        </w:rPr>
        <w:t xml:space="preserve"> Ley 80 de 1993: «Artículo 41. Del perfeccionamiento del contrato. Los contratos del Estado se perfeccionan cuando se logre acuerdo sobre el objeto y la contraprestación y éste se eleve a escrito.</w:t>
      </w:r>
    </w:p>
    <w:p w14:paraId="1C2440CC" w14:textId="77777777" w:rsidR="00FC100F" w:rsidRPr="0070578D" w:rsidRDefault="00FC100F" w:rsidP="00BE5263">
      <w:pPr>
        <w:pStyle w:val="Textonotapie"/>
        <w:ind w:firstLine="709"/>
        <w:jc w:val="both"/>
        <w:rPr>
          <w:rFonts w:ascii="Arial" w:hAnsi="Arial" w:cs="Arial"/>
          <w:color w:val="000000" w:themeColor="text1"/>
          <w:sz w:val="19"/>
          <w:szCs w:val="19"/>
        </w:rPr>
      </w:pPr>
      <w:r w:rsidRPr="0070578D">
        <w:rPr>
          <w:rFonts w:ascii="Arial" w:hAnsi="Arial" w:cs="Arial"/>
          <w:color w:val="000000" w:themeColor="text1"/>
          <w:sz w:val="19"/>
          <w:szCs w:val="19"/>
        </w:rPr>
        <w:t>[…]».</w:t>
      </w:r>
    </w:p>
    <w:p w14:paraId="35D68C68" w14:textId="77777777" w:rsidR="00FC100F" w:rsidRPr="0070578D" w:rsidRDefault="00FC100F" w:rsidP="00BE5263">
      <w:pPr>
        <w:pStyle w:val="Textonotapie"/>
        <w:ind w:firstLine="709"/>
        <w:jc w:val="both"/>
        <w:rPr>
          <w:rFonts w:ascii="Arial" w:hAnsi="Arial" w:cs="Arial"/>
          <w:color w:val="000000" w:themeColor="text1"/>
          <w:sz w:val="19"/>
          <w:szCs w:val="19"/>
          <w:lang w:val="es-ES"/>
        </w:rPr>
      </w:pPr>
    </w:p>
  </w:footnote>
  <w:footnote w:id="10">
    <w:p w14:paraId="02D53166" w14:textId="77777777" w:rsidR="00FC100F" w:rsidRPr="0070578D" w:rsidRDefault="00FC100F" w:rsidP="00BE5263">
      <w:pPr>
        <w:pStyle w:val="Textonotapie"/>
        <w:ind w:firstLine="709"/>
        <w:jc w:val="both"/>
        <w:rPr>
          <w:rFonts w:ascii="Arial" w:hAnsi="Arial" w:cs="Arial"/>
          <w:color w:val="000000" w:themeColor="text1"/>
          <w:sz w:val="19"/>
          <w:szCs w:val="19"/>
        </w:rPr>
      </w:pPr>
      <w:r w:rsidRPr="0070578D">
        <w:rPr>
          <w:rStyle w:val="Refdenotaalpie"/>
          <w:rFonts w:ascii="Arial" w:hAnsi="Arial" w:cs="Arial"/>
          <w:color w:val="000000" w:themeColor="text1"/>
          <w:sz w:val="19"/>
          <w:szCs w:val="19"/>
        </w:rPr>
        <w:footnoteRef/>
      </w:r>
      <w:r w:rsidRPr="0070578D">
        <w:rPr>
          <w:rFonts w:ascii="Arial" w:hAnsi="Arial" w:cs="Arial"/>
          <w:color w:val="000000" w:themeColor="text1"/>
          <w:sz w:val="19"/>
          <w:szCs w:val="19"/>
        </w:rPr>
        <w:t xml:space="preserve"> Código Civil: «Artículo 27. Cuando el sentido de la ley sea claro, no se desatenderá su tenor a pretexto de consultar su espíritu».</w:t>
      </w:r>
    </w:p>
    <w:p w14:paraId="47D4D1B3" w14:textId="77777777" w:rsidR="00FC100F" w:rsidRPr="0070578D" w:rsidRDefault="00FC100F" w:rsidP="00BE5263">
      <w:pPr>
        <w:pStyle w:val="Textonotapie"/>
        <w:ind w:firstLine="709"/>
        <w:jc w:val="both"/>
        <w:rPr>
          <w:rFonts w:ascii="Arial" w:hAnsi="Arial" w:cs="Arial"/>
          <w:color w:val="000000" w:themeColor="text1"/>
          <w:sz w:val="19"/>
          <w:szCs w:val="19"/>
          <w:lang w:val="es-ES"/>
        </w:rPr>
      </w:pPr>
    </w:p>
  </w:footnote>
  <w:footnote w:id="11">
    <w:p w14:paraId="4A7D89FC" w14:textId="77777777" w:rsidR="00FC100F" w:rsidRPr="0070578D" w:rsidRDefault="00FC100F" w:rsidP="00BE5263">
      <w:pPr>
        <w:pStyle w:val="Textonotapie"/>
        <w:ind w:firstLine="709"/>
        <w:jc w:val="both"/>
        <w:rPr>
          <w:rFonts w:ascii="Arial" w:hAnsi="Arial" w:cs="Arial"/>
          <w:color w:val="000000" w:themeColor="text1"/>
          <w:sz w:val="19"/>
          <w:szCs w:val="19"/>
        </w:rPr>
      </w:pPr>
      <w:r w:rsidRPr="0070578D">
        <w:rPr>
          <w:rStyle w:val="Refdenotaalpie"/>
          <w:rFonts w:ascii="Arial" w:hAnsi="Arial" w:cs="Arial"/>
          <w:color w:val="000000" w:themeColor="text1"/>
          <w:sz w:val="19"/>
          <w:szCs w:val="19"/>
        </w:rPr>
        <w:footnoteRef/>
      </w:r>
      <w:r w:rsidRPr="0070578D">
        <w:rPr>
          <w:rFonts w:ascii="Arial" w:hAnsi="Arial" w:cs="Arial"/>
          <w:color w:val="000000" w:themeColor="text1"/>
          <w:sz w:val="19"/>
          <w:szCs w:val="19"/>
        </w:rPr>
        <w:t xml:space="preserve"> Consejo de Estado. Sección Tercera. Sentencia del 23 de junio de 2010. Radicación No. 66001-23-31-000-1998-00261-01(17.860). Consejero Ponente: Mauricio Fajardo Gómez.</w:t>
      </w:r>
    </w:p>
    <w:p w14:paraId="4D235DBD" w14:textId="77777777" w:rsidR="00FC100F" w:rsidRPr="0070578D" w:rsidRDefault="00FC100F" w:rsidP="00BE5263">
      <w:pPr>
        <w:pStyle w:val="Textonotapie"/>
        <w:ind w:firstLine="709"/>
        <w:jc w:val="both"/>
        <w:rPr>
          <w:rFonts w:ascii="Arial" w:hAnsi="Arial" w:cs="Arial"/>
          <w:color w:val="000000" w:themeColor="text1"/>
          <w:sz w:val="19"/>
          <w:szCs w:val="19"/>
          <w:lang w:val="es-ES"/>
        </w:rPr>
      </w:pPr>
    </w:p>
  </w:footnote>
  <w:footnote w:id="12">
    <w:p w14:paraId="60D009A7" w14:textId="77777777" w:rsidR="00FC100F" w:rsidRPr="0070578D" w:rsidRDefault="00FC100F" w:rsidP="00BE5263">
      <w:pPr>
        <w:pStyle w:val="Textonotapie"/>
        <w:ind w:firstLine="709"/>
        <w:jc w:val="both"/>
        <w:rPr>
          <w:rFonts w:ascii="Arial" w:hAnsi="Arial" w:cs="Arial"/>
          <w:color w:val="000000" w:themeColor="text1"/>
          <w:sz w:val="19"/>
          <w:szCs w:val="19"/>
        </w:rPr>
      </w:pPr>
      <w:r w:rsidRPr="0070578D">
        <w:rPr>
          <w:rStyle w:val="Refdenotaalpie"/>
          <w:rFonts w:ascii="Arial" w:hAnsi="Arial" w:cs="Arial"/>
          <w:color w:val="000000" w:themeColor="text1"/>
          <w:sz w:val="19"/>
          <w:szCs w:val="19"/>
        </w:rPr>
        <w:footnoteRef/>
      </w:r>
      <w:r w:rsidRPr="0070578D">
        <w:rPr>
          <w:rFonts w:ascii="Arial" w:hAnsi="Arial" w:cs="Arial"/>
          <w:color w:val="000000" w:themeColor="text1"/>
          <w:sz w:val="19"/>
          <w:szCs w:val="19"/>
        </w:rPr>
        <w:t xml:space="preserve"> Consejo de Estado. Sentencia del 29 de agosto de 2007. Radicado No. 15.305. Consejero Ponente: Mauricio Fajardo Gómez.</w:t>
      </w:r>
    </w:p>
    <w:p w14:paraId="280F3E63" w14:textId="77777777" w:rsidR="00FC100F" w:rsidRPr="0070578D" w:rsidRDefault="00FC100F" w:rsidP="00BE5263">
      <w:pPr>
        <w:pStyle w:val="Textonotapie"/>
        <w:ind w:firstLine="709"/>
        <w:jc w:val="both"/>
        <w:rPr>
          <w:rFonts w:ascii="Arial" w:hAnsi="Arial" w:cs="Arial"/>
          <w:color w:val="000000" w:themeColor="text1"/>
          <w:sz w:val="19"/>
          <w:szCs w:val="19"/>
        </w:rPr>
      </w:pPr>
    </w:p>
  </w:footnote>
  <w:footnote w:id="13">
    <w:p w14:paraId="6BD912F6" w14:textId="77777777" w:rsidR="00FC100F" w:rsidRPr="0070578D" w:rsidRDefault="00FC100F" w:rsidP="00BE5263">
      <w:pPr>
        <w:pStyle w:val="Textonotapie"/>
        <w:ind w:firstLine="709"/>
        <w:jc w:val="both"/>
        <w:rPr>
          <w:rFonts w:ascii="Arial" w:hAnsi="Arial" w:cs="Arial"/>
          <w:color w:val="000000" w:themeColor="text1"/>
          <w:sz w:val="19"/>
          <w:szCs w:val="19"/>
        </w:rPr>
      </w:pPr>
      <w:r w:rsidRPr="0070578D">
        <w:rPr>
          <w:rStyle w:val="Refdenotaalpie"/>
          <w:rFonts w:ascii="Arial" w:hAnsi="Arial" w:cs="Arial"/>
          <w:color w:val="000000" w:themeColor="text1"/>
          <w:sz w:val="19"/>
          <w:szCs w:val="19"/>
        </w:rPr>
        <w:footnoteRef/>
      </w:r>
      <w:r w:rsidRPr="0070578D">
        <w:rPr>
          <w:rFonts w:ascii="Arial" w:hAnsi="Arial" w:cs="Arial"/>
          <w:color w:val="000000" w:themeColor="text1"/>
          <w:sz w:val="19"/>
          <w:szCs w:val="19"/>
        </w:rPr>
        <w:t xml:space="preserve"> Consejo de Estado. Sala de consulta y servicio civil. Sentencia del 20 de febrero de 2006. Radicado No. 1.727. Consejero Ponente: Enrique José Arboleda Perdomo.</w:t>
      </w:r>
    </w:p>
    <w:p w14:paraId="01B94DA6" w14:textId="77777777" w:rsidR="00FC100F" w:rsidRPr="0070578D" w:rsidRDefault="00FC100F" w:rsidP="00BE5263">
      <w:pPr>
        <w:pStyle w:val="Textonotapie"/>
        <w:ind w:firstLine="709"/>
        <w:jc w:val="both"/>
        <w:rPr>
          <w:rFonts w:ascii="Arial" w:hAnsi="Arial" w:cs="Arial"/>
          <w:color w:val="000000" w:themeColor="text1"/>
          <w:sz w:val="19"/>
          <w:szCs w:val="19"/>
        </w:rPr>
      </w:pPr>
    </w:p>
  </w:footnote>
  <w:footnote w:id="14">
    <w:p w14:paraId="3CE48A88" w14:textId="77777777" w:rsidR="00FC100F" w:rsidRPr="0070578D" w:rsidRDefault="00FC100F" w:rsidP="00BE5263">
      <w:pPr>
        <w:pStyle w:val="Textonotapie"/>
        <w:ind w:firstLine="709"/>
        <w:jc w:val="both"/>
        <w:rPr>
          <w:rFonts w:ascii="Arial" w:hAnsi="Arial" w:cs="Arial"/>
          <w:color w:val="000000" w:themeColor="text1"/>
          <w:sz w:val="19"/>
          <w:szCs w:val="19"/>
        </w:rPr>
      </w:pPr>
      <w:r w:rsidRPr="0070578D">
        <w:rPr>
          <w:rStyle w:val="Refdenotaalpie"/>
          <w:rFonts w:ascii="Arial" w:hAnsi="Arial" w:cs="Arial"/>
          <w:color w:val="000000" w:themeColor="text1"/>
          <w:sz w:val="19"/>
          <w:szCs w:val="19"/>
        </w:rPr>
        <w:footnoteRef/>
      </w:r>
      <w:r w:rsidRPr="0070578D">
        <w:rPr>
          <w:rFonts w:ascii="Arial" w:hAnsi="Arial" w:cs="Arial"/>
          <w:color w:val="000000" w:themeColor="text1"/>
          <w:sz w:val="19"/>
          <w:szCs w:val="19"/>
        </w:rPr>
        <w:t xml:space="preserve"> 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 artículo</w:t>
      </w:r>
    </w:p>
    <w:p w14:paraId="26A36A36" w14:textId="77777777" w:rsidR="00FC100F" w:rsidRPr="0070578D" w:rsidRDefault="00FC100F" w:rsidP="00BE5263">
      <w:pPr>
        <w:pStyle w:val="Textonotapie"/>
        <w:ind w:firstLine="709"/>
        <w:jc w:val="both"/>
        <w:rPr>
          <w:rFonts w:ascii="Arial" w:hAnsi="Arial" w:cs="Arial"/>
          <w:color w:val="000000" w:themeColor="text1"/>
          <w:sz w:val="19"/>
          <w:szCs w:val="19"/>
        </w:rPr>
      </w:pPr>
      <w:r w:rsidRPr="0070578D">
        <w:rPr>
          <w:rFonts w:ascii="Arial" w:hAnsi="Arial" w:cs="Arial"/>
          <w:color w:val="000000" w:themeColor="text1"/>
          <w:sz w:val="19"/>
          <w:szCs w:val="19"/>
        </w:rPr>
        <w:t>[...]».</w:t>
      </w:r>
    </w:p>
    <w:p w14:paraId="662E6C30" w14:textId="77777777" w:rsidR="00FC100F" w:rsidRPr="0070578D" w:rsidRDefault="00FC100F" w:rsidP="00BE5263">
      <w:pPr>
        <w:pStyle w:val="Textonotapie"/>
        <w:ind w:firstLine="709"/>
        <w:jc w:val="both"/>
        <w:rPr>
          <w:rFonts w:ascii="Arial" w:hAnsi="Arial" w:cs="Arial"/>
          <w:color w:val="000000" w:themeColor="text1"/>
          <w:sz w:val="19"/>
          <w:szCs w:val="19"/>
        </w:rPr>
      </w:pPr>
    </w:p>
  </w:footnote>
  <w:footnote w:id="15">
    <w:p w14:paraId="1DF94DB9" w14:textId="77777777" w:rsidR="00FC100F" w:rsidRPr="0070578D" w:rsidRDefault="00FC100F" w:rsidP="00BE5263">
      <w:pPr>
        <w:pStyle w:val="Textonotapie"/>
        <w:ind w:firstLine="709"/>
        <w:jc w:val="both"/>
        <w:rPr>
          <w:rFonts w:ascii="Arial" w:hAnsi="Arial" w:cs="Arial"/>
          <w:color w:val="000000" w:themeColor="text1"/>
          <w:sz w:val="19"/>
          <w:szCs w:val="19"/>
        </w:rPr>
      </w:pPr>
      <w:r w:rsidRPr="0070578D">
        <w:rPr>
          <w:rStyle w:val="Refdenotaalpie"/>
          <w:rFonts w:ascii="Arial" w:hAnsi="Arial" w:cs="Arial"/>
          <w:color w:val="000000" w:themeColor="text1"/>
          <w:sz w:val="19"/>
          <w:szCs w:val="19"/>
        </w:rPr>
        <w:footnoteRef/>
      </w:r>
      <w:r w:rsidRPr="0070578D">
        <w:rPr>
          <w:rFonts w:ascii="Arial" w:hAnsi="Arial" w:cs="Arial"/>
          <w:color w:val="000000" w:themeColor="text1"/>
          <w:sz w:val="19"/>
          <w:szCs w:val="19"/>
        </w:rPr>
        <w:t xml:space="preserve"> Ley 150 de 2007: «Artículo 7. De las garantías en la contratación. </w:t>
      </w:r>
    </w:p>
    <w:p w14:paraId="00277559" w14:textId="77777777" w:rsidR="00FC100F" w:rsidRPr="0070578D" w:rsidRDefault="00FC100F" w:rsidP="00BE5263">
      <w:pPr>
        <w:pStyle w:val="Textonotapie"/>
        <w:ind w:firstLine="709"/>
        <w:jc w:val="both"/>
        <w:rPr>
          <w:rFonts w:ascii="Arial" w:hAnsi="Arial" w:cs="Arial"/>
          <w:color w:val="000000" w:themeColor="text1"/>
          <w:sz w:val="19"/>
          <w:szCs w:val="19"/>
        </w:rPr>
      </w:pPr>
      <w:r w:rsidRPr="0070578D">
        <w:rPr>
          <w:rFonts w:ascii="Arial" w:hAnsi="Arial" w:cs="Arial"/>
          <w:color w:val="000000" w:themeColor="text1"/>
          <w:sz w:val="19"/>
          <w:szCs w:val="19"/>
        </w:rPr>
        <w:t xml:space="preserve">[…] </w:t>
      </w:r>
    </w:p>
    <w:p w14:paraId="04CD8139" w14:textId="77777777" w:rsidR="00FC100F" w:rsidRPr="0070578D" w:rsidRDefault="00FC100F" w:rsidP="00BE5263">
      <w:pPr>
        <w:pStyle w:val="Textonotapie"/>
        <w:ind w:firstLine="709"/>
        <w:jc w:val="both"/>
        <w:rPr>
          <w:rFonts w:ascii="Arial" w:hAnsi="Arial" w:cs="Arial"/>
          <w:color w:val="000000" w:themeColor="text1"/>
          <w:sz w:val="19"/>
          <w:szCs w:val="19"/>
        </w:rPr>
      </w:pPr>
      <w:r w:rsidRPr="0070578D">
        <w:rPr>
          <w:rFonts w:ascii="Arial" w:hAnsi="Arial" w:cs="Arial"/>
          <w:color w:val="000000" w:themeColor="text1"/>
          <w:sz w:val="19"/>
          <w:szCs w:val="19"/>
        </w:rPr>
        <w:t>»Las garantías no serán obligatorias en los contratos de empréstito, en los interadministrativos, en los de seguro y en los contratos cuyo valor sea inferior al 10% de la menor cuantía a que se refiere esta ley, caso en el cual corresponderá a la entidad determinar la necesidad de exigirla, atendiendo a la naturaleza del objeto del contrato y a la forma de pago, así como en los demás que señale el reglamento.</w:t>
      </w:r>
    </w:p>
    <w:p w14:paraId="5AE3096D" w14:textId="77777777" w:rsidR="00FC100F" w:rsidRPr="0070578D" w:rsidRDefault="00FC100F" w:rsidP="00BE5263">
      <w:pPr>
        <w:pStyle w:val="Textonotapie"/>
        <w:ind w:firstLine="709"/>
        <w:jc w:val="both"/>
        <w:rPr>
          <w:rFonts w:ascii="Arial" w:hAnsi="Arial" w:cs="Arial"/>
          <w:color w:val="000000" w:themeColor="text1"/>
          <w:sz w:val="19"/>
          <w:szCs w:val="19"/>
        </w:rPr>
      </w:pPr>
      <w:r w:rsidRPr="0070578D">
        <w:rPr>
          <w:rFonts w:ascii="Arial" w:hAnsi="Arial" w:cs="Arial"/>
          <w:color w:val="000000" w:themeColor="text1"/>
          <w:sz w:val="19"/>
          <w:szCs w:val="19"/>
        </w:rPr>
        <w:t>[…]».</w:t>
      </w:r>
    </w:p>
  </w:footnote>
  <w:footnote w:id="16">
    <w:p w14:paraId="52ED78C5" w14:textId="77777777" w:rsidR="00FC100F" w:rsidRPr="0070578D" w:rsidRDefault="00FC100F" w:rsidP="00BE5263">
      <w:pPr>
        <w:pStyle w:val="Textonotapie"/>
        <w:ind w:firstLine="709"/>
        <w:jc w:val="both"/>
        <w:rPr>
          <w:rFonts w:ascii="Arial" w:hAnsi="Arial" w:cs="Arial"/>
          <w:color w:val="000000" w:themeColor="text1"/>
          <w:sz w:val="19"/>
          <w:szCs w:val="19"/>
        </w:rPr>
      </w:pPr>
    </w:p>
    <w:p w14:paraId="7B3EECEA" w14:textId="57B420E9" w:rsidR="00FC100F" w:rsidRPr="0070578D" w:rsidRDefault="00FC100F" w:rsidP="00BE5263">
      <w:pPr>
        <w:pStyle w:val="Textonotapie"/>
        <w:ind w:firstLine="709"/>
        <w:jc w:val="both"/>
        <w:rPr>
          <w:rFonts w:ascii="Arial" w:hAnsi="Arial" w:cs="Arial"/>
          <w:color w:val="000000" w:themeColor="text1"/>
          <w:sz w:val="19"/>
          <w:szCs w:val="19"/>
        </w:rPr>
      </w:pPr>
      <w:r w:rsidRPr="0070578D">
        <w:rPr>
          <w:rStyle w:val="Refdenotaalpie"/>
          <w:rFonts w:ascii="Arial" w:hAnsi="Arial" w:cs="Arial"/>
          <w:color w:val="000000" w:themeColor="text1"/>
          <w:sz w:val="19"/>
          <w:szCs w:val="19"/>
        </w:rPr>
        <w:footnoteRef/>
      </w:r>
      <w:r w:rsidR="00B45E2A" w:rsidRPr="0070578D">
        <w:rPr>
          <w:rFonts w:ascii="Arial" w:hAnsi="Arial" w:cs="Arial"/>
          <w:color w:val="000000" w:themeColor="text1"/>
          <w:sz w:val="19"/>
          <w:szCs w:val="19"/>
        </w:rPr>
        <w:t xml:space="preserve"> </w:t>
      </w:r>
      <w:r w:rsidRPr="0070578D">
        <w:rPr>
          <w:rFonts w:ascii="Arial" w:hAnsi="Arial" w:cs="Arial"/>
          <w:color w:val="000000" w:themeColor="text1"/>
          <w:sz w:val="19"/>
          <w:szCs w:val="19"/>
        </w:rPr>
        <w:t>Decreto 1082 de 2015: «Artículo 2.2.1.2.1.4.5. No obligatoriedad de garantías. En la contratación directa la exigencia de garantías establecidas en la Sección 3, que comprende los artículos 2.2.1.2.3.1.1 al 2.2.1.2.3.5.1.del presente decreto no es obligatoria y la justificación para exigirlas o no debe estar en los estudios y documentos previos».</w:t>
      </w:r>
    </w:p>
    <w:p w14:paraId="26172E78" w14:textId="77777777" w:rsidR="00FC100F" w:rsidRPr="0070578D" w:rsidRDefault="00FC100F" w:rsidP="00BE5263">
      <w:pPr>
        <w:pStyle w:val="Textonotapie"/>
        <w:ind w:firstLine="709"/>
        <w:jc w:val="both"/>
        <w:rPr>
          <w:rFonts w:ascii="Arial" w:hAnsi="Arial" w:cs="Arial"/>
          <w:color w:val="000000" w:themeColor="text1"/>
          <w:sz w:val="19"/>
          <w:szCs w:val="19"/>
          <w:lang w:val="es-ES"/>
        </w:rPr>
      </w:pPr>
    </w:p>
  </w:footnote>
  <w:footnote w:id="17">
    <w:p w14:paraId="5F47A876" w14:textId="632069CD" w:rsidR="00FC100F" w:rsidRPr="0070578D" w:rsidRDefault="00FC100F" w:rsidP="00BE5263">
      <w:pPr>
        <w:pStyle w:val="Textonotapie"/>
        <w:ind w:firstLine="709"/>
        <w:jc w:val="both"/>
        <w:rPr>
          <w:rFonts w:ascii="Arial" w:hAnsi="Arial" w:cs="Arial"/>
          <w:color w:val="000000" w:themeColor="text1"/>
          <w:sz w:val="19"/>
          <w:szCs w:val="19"/>
          <w:lang w:val="es-ES"/>
        </w:rPr>
      </w:pPr>
      <w:r w:rsidRPr="0070578D">
        <w:rPr>
          <w:rStyle w:val="Refdenotaalpie"/>
          <w:rFonts w:ascii="Arial" w:hAnsi="Arial" w:cs="Arial"/>
          <w:color w:val="000000" w:themeColor="text1"/>
          <w:sz w:val="19"/>
          <w:szCs w:val="19"/>
        </w:rPr>
        <w:footnoteRef/>
      </w:r>
      <w:r w:rsidRPr="0070578D">
        <w:rPr>
          <w:rFonts w:ascii="Arial" w:hAnsi="Arial" w:cs="Arial"/>
          <w:color w:val="000000" w:themeColor="text1"/>
          <w:sz w:val="19"/>
          <w:szCs w:val="19"/>
        </w:rPr>
        <w:t xml:space="preserve"> </w:t>
      </w:r>
      <w:r w:rsidRPr="0070578D">
        <w:rPr>
          <w:rFonts w:ascii="Arial" w:hAnsi="Arial" w:cs="Arial"/>
          <w:color w:val="000000" w:themeColor="text1"/>
          <w:sz w:val="19"/>
          <w:szCs w:val="19"/>
          <w:lang w:val="es-ES"/>
        </w:rPr>
        <w:t>El artículo 4º del Decreto 943 de 2018 dispone: «Los municipios o distritos son los responsables de la prestación del servicio de alumbrado público, el cual podrán prestar de manera directa, o a través de empresas de servicios públicos domiciliarios u otros prestadores del servicio de alumbrado público que demuestren idoneidad en la prestación del mismo, con el fin de lograr un gasto financiero y energético responsable.</w:t>
      </w:r>
    </w:p>
    <w:p w14:paraId="37205A03" w14:textId="1FED6245" w:rsidR="00FC100F" w:rsidRPr="0070578D" w:rsidRDefault="00383DBC" w:rsidP="00BE5263">
      <w:pPr>
        <w:pStyle w:val="Textonotapie"/>
        <w:ind w:firstLine="709"/>
        <w:jc w:val="both"/>
        <w:rPr>
          <w:rFonts w:ascii="Arial" w:hAnsi="Arial" w:cs="Arial"/>
          <w:color w:val="000000" w:themeColor="text1"/>
          <w:sz w:val="19"/>
          <w:szCs w:val="19"/>
          <w:lang w:val="es-ES"/>
        </w:rPr>
      </w:pPr>
      <w:r w:rsidRPr="0070578D">
        <w:rPr>
          <w:rFonts w:ascii="Arial" w:hAnsi="Arial" w:cs="Arial"/>
          <w:color w:val="000000" w:themeColor="text1"/>
          <w:sz w:val="19"/>
          <w:szCs w:val="19"/>
          <w:lang w:val="es-ES"/>
        </w:rPr>
        <w:t>»</w:t>
      </w:r>
      <w:r w:rsidR="00FC100F" w:rsidRPr="0070578D">
        <w:rPr>
          <w:rFonts w:ascii="Arial" w:hAnsi="Arial" w:cs="Arial"/>
          <w:color w:val="000000" w:themeColor="text1"/>
          <w:sz w:val="19"/>
          <w:szCs w:val="19"/>
          <w:lang w:val="es-ES"/>
        </w:rPr>
        <w:t>De conformidad con lo anterior, los municipios o distritos deberán garantizar la continuidad y calidad en la prestación del servicio de alumbrado público, así como los niveles adecuados de cobertura.</w:t>
      </w:r>
    </w:p>
    <w:p w14:paraId="0F7FD5C6" w14:textId="70DFB3D3" w:rsidR="00FC100F" w:rsidRPr="0070578D" w:rsidRDefault="00383DBC" w:rsidP="00BE5263">
      <w:pPr>
        <w:pStyle w:val="Textonotapie"/>
        <w:ind w:firstLine="709"/>
        <w:jc w:val="both"/>
        <w:rPr>
          <w:rFonts w:ascii="Arial" w:hAnsi="Arial" w:cs="Arial"/>
          <w:color w:val="000000" w:themeColor="text1"/>
          <w:sz w:val="19"/>
          <w:szCs w:val="19"/>
          <w:lang w:val="es-ES"/>
        </w:rPr>
      </w:pPr>
      <w:r w:rsidRPr="0070578D">
        <w:rPr>
          <w:rFonts w:ascii="Arial" w:hAnsi="Arial" w:cs="Arial"/>
          <w:color w:val="000000" w:themeColor="text1"/>
          <w:sz w:val="19"/>
          <w:szCs w:val="19"/>
          <w:lang w:val="es-ES"/>
        </w:rPr>
        <w:t>»</w:t>
      </w:r>
      <w:r w:rsidR="00D94887" w:rsidRPr="0070578D">
        <w:rPr>
          <w:rFonts w:ascii="Arial" w:hAnsi="Arial" w:cs="Arial"/>
          <w:color w:val="000000" w:themeColor="text1"/>
          <w:sz w:val="19"/>
          <w:szCs w:val="19"/>
          <w:lang w:val="es-ES"/>
        </w:rPr>
        <w:t xml:space="preserve">Parágrafo  </w:t>
      </w:r>
      <w:r w:rsidR="00FC100F" w:rsidRPr="0070578D">
        <w:rPr>
          <w:rFonts w:ascii="Arial" w:hAnsi="Arial" w:cs="Arial"/>
          <w:color w:val="000000" w:themeColor="text1"/>
          <w:sz w:val="19"/>
          <w:szCs w:val="19"/>
          <w:lang w:val="es-ES"/>
        </w:rPr>
        <w:t>1. La modernización, expansión y reposición del sistema de alumbrado público debe buscar la optimización de los costos anuales de inversión, suministro de energía y los gastos de administración, operación, mantenimiento e interventoría, así como la incorporación de desarrollos tecnológicos. Las mayores eficiencias logradas en la prestación del servicio que se generen por la reposición, mejora, o modernización del sistema, deberán reflejarse en el estudio técnico de referencia.</w:t>
      </w:r>
    </w:p>
    <w:p w14:paraId="3E57D26F" w14:textId="51029FC9" w:rsidR="00FC100F" w:rsidRPr="0070578D" w:rsidRDefault="00383DBC" w:rsidP="00BE5263">
      <w:pPr>
        <w:pStyle w:val="Textonotapie"/>
        <w:ind w:firstLine="709"/>
        <w:jc w:val="both"/>
        <w:rPr>
          <w:rFonts w:ascii="Arial" w:hAnsi="Arial" w:cs="Arial"/>
          <w:color w:val="000000" w:themeColor="text1"/>
          <w:sz w:val="19"/>
          <w:szCs w:val="19"/>
          <w:lang w:val="es-ES"/>
        </w:rPr>
      </w:pPr>
      <w:r w:rsidRPr="0070578D">
        <w:rPr>
          <w:rFonts w:ascii="Arial" w:hAnsi="Arial" w:cs="Arial"/>
          <w:color w:val="000000" w:themeColor="text1"/>
          <w:sz w:val="19"/>
          <w:szCs w:val="19"/>
          <w:lang w:val="es-ES"/>
        </w:rPr>
        <w:t>»</w:t>
      </w:r>
      <w:r w:rsidR="00D94887" w:rsidRPr="0070578D">
        <w:rPr>
          <w:rFonts w:ascii="Arial" w:hAnsi="Arial" w:cs="Arial"/>
          <w:color w:val="000000" w:themeColor="text1"/>
          <w:sz w:val="19"/>
          <w:szCs w:val="19"/>
          <w:lang w:val="es-ES"/>
        </w:rPr>
        <w:t xml:space="preserve">Parágrafo </w:t>
      </w:r>
      <w:r w:rsidR="00FC100F" w:rsidRPr="0070578D">
        <w:rPr>
          <w:rFonts w:ascii="Arial" w:hAnsi="Arial" w:cs="Arial"/>
          <w:color w:val="000000" w:themeColor="text1"/>
          <w:sz w:val="19"/>
          <w:szCs w:val="19"/>
          <w:lang w:val="es-ES"/>
        </w:rPr>
        <w:t xml:space="preserve">2. Los municipios o distritos tendrán la obligación de incluir en rubros presupuestales y cuentas contables, independientes, los costos de la prestación del servicio de alumbrado público y los ingresos obtenidos por el impuesto de alumbrado público, por la sobretasa al impuesto predial en caso de que se establezca como mecanismo de financiación de la prestación del servicio de alumbrado público, y/o por otras fuentes de financiación. Cuando el servicio sea prestado por agentes diferentes a municipios o distritos, estos agentes tendrán la obligación de reponer al ente territorial la información para dar cumplimiento a este parágrafo».  </w:t>
      </w:r>
    </w:p>
  </w:footnote>
  <w:footnote w:id="18">
    <w:p w14:paraId="1D894D9F" w14:textId="63D9DF4E" w:rsidR="00FC100F" w:rsidRPr="0070578D" w:rsidRDefault="00FC100F" w:rsidP="00BE5263">
      <w:pPr>
        <w:pStyle w:val="Textonotapie"/>
        <w:ind w:firstLine="709"/>
        <w:jc w:val="both"/>
        <w:rPr>
          <w:rFonts w:ascii="Arial" w:hAnsi="Arial" w:cs="Arial"/>
          <w:color w:val="000000" w:themeColor="text1"/>
          <w:sz w:val="19"/>
          <w:szCs w:val="19"/>
          <w:lang w:val="es-ES"/>
        </w:rPr>
      </w:pPr>
      <w:r w:rsidRPr="0070578D">
        <w:rPr>
          <w:rStyle w:val="Refdenotaalpie"/>
          <w:rFonts w:ascii="Arial" w:hAnsi="Arial" w:cs="Arial"/>
          <w:color w:val="000000" w:themeColor="text1"/>
          <w:sz w:val="19"/>
          <w:szCs w:val="19"/>
        </w:rPr>
        <w:footnoteRef/>
      </w:r>
      <w:r w:rsidRPr="0070578D">
        <w:rPr>
          <w:rFonts w:ascii="Arial" w:hAnsi="Arial" w:cs="Arial"/>
          <w:color w:val="000000" w:themeColor="text1"/>
          <w:sz w:val="19"/>
          <w:szCs w:val="19"/>
        </w:rPr>
        <w:t xml:space="preserve"> Según este artículo: </w:t>
      </w:r>
      <w:r w:rsidRPr="0070578D">
        <w:rPr>
          <w:rFonts w:ascii="Arial" w:hAnsi="Arial" w:cs="Arial"/>
          <w:color w:val="000000" w:themeColor="text1"/>
          <w:sz w:val="19"/>
          <w:szCs w:val="19"/>
          <w:lang w:val="es-ES"/>
        </w:rPr>
        <w:t>«Son contratos de consultoría los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w:t>
      </w:r>
    </w:p>
    <w:p w14:paraId="65C92D4B" w14:textId="640CC34F" w:rsidR="00FC100F" w:rsidRPr="0070578D" w:rsidRDefault="00FC100F" w:rsidP="00BE5263">
      <w:pPr>
        <w:pStyle w:val="Textonotapie"/>
        <w:ind w:firstLine="709"/>
        <w:jc w:val="both"/>
        <w:rPr>
          <w:rFonts w:ascii="Arial" w:hAnsi="Arial" w:cs="Arial"/>
          <w:color w:val="000000" w:themeColor="text1"/>
          <w:sz w:val="19"/>
          <w:szCs w:val="19"/>
          <w:lang w:val="es-ES"/>
        </w:rPr>
      </w:pPr>
      <w:r w:rsidRPr="0070578D">
        <w:rPr>
          <w:rFonts w:ascii="Arial" w:hAnsi="Arial" w:cs="Arial"/>
          <w:color w:val="000000" w:themeColor="text1"/>
          <w:sz w:val="19"/>
          <w:szCs w:val="19"/>
          <w:lang w:val="es-ES"/>
        </w:rPr>
        <w:t>»Son también contratos de consultoría los que tienen por objeto la interventoría, asesoría, gerencia de obra o de proyectos, dirección, programación y la ejecución de diseños, planos, anteproyectos y proyectos.</w:t>
      </w:r>
    </w:p>
    <w:p w14:paraId="1D794F38" w14:textId="4F257A7B" w:rsidR="00FC100F" w:rsidRPr="0070578D" w:rsidRDefault="00FC100F" w:rsidP="00BE5263">
      <w:pPr>
        <w:pStyle w:val="Textonotapie"/>
        <w:ind w:firstLine="709"/>
        <w:jc w:val="both"/>
        <w:rPr>
          <w:rFonts w:ascii="Arial" w:hAnsi="Arial" w:cs="Arial"/>
          <w:color w:val="000000" w:themeColor="text1"/>
          <w:sz w:val="19"/>
          <w:szCs w:val="19"/>
          <w:lang w:val="es-ES"/>
        </w:rPr>
      </w:pPr>
      <w:r w:rsidRPr="0070578D">
        <w:rPr>
          <w:rFonts w:ascii="Arial" w:hAnsi="Arial" w:cs="Arial"/>
          <w:color w:val="000000" w:themeColor="text1"/>
          <w:sz w:val="19"/>
          <w:szCs w:val="19"/>
          <w:lang w:val="es-ES"/>
        </w:rPr>
        <w:t>»Ninguna orden del interventor de una obra podrá darse verbalmente. Es obligatorio para el interventor entregar por escrito sus órdenes o sugerencias y ellas deben enmarcarse dentro de los términos del respectivo contrato».</w:t>
      </w:r>
    </w:p>
    <w:p w14:paraId="345F69A8" w14:textId="77777777" w:rsidR="00B45E2A" w:rsidRPr="0070578D" w:rsidRDefault="00B45E2A" w:rsidP="00BE5263">
      <w:pPr>
        <w:pStyle w:val="Textonotapie"/>
        <w:ind w:firstLine="709"/>
        <w:jc w:val="both"/>
        <w:rPr>
          <w:rFonts w:ascii="Arial" w:hAnsi="Arial" w:cs="Arial"/>
          <w:color w:val="000000" w:themeColor="text1"/>
          <w:sz w:val="19"/>
          <w:szCs w:val="19"/>
          <w:lang w:val="es-ES"/>
        </w:rPr>
      </w:pPr>
    </w:p>
  </w:footnote>
  <w:footnote w:id="19">
    <w:p w14:paraId="77E72286" w14:textId="1B733689" w:rsidR="00FC100F" w:rsidRPr="0070578D" w:rsidRDefault="00FC100F" w:rsidP="00BE5263">
      <w:pPr>
        <w:pStyle w:val="Textonotapie"/>
        <w:ind w:firstLine="709"/>
        <w:jc w:val="both"/>
        <w:rPr>
          <w:rFonts w:ascii="Arial" w:hAnsi="Arial" w:cs="Arial"/>
          <w:color w:val="000000" w:themeColor="text1"/>
          <w:sz w:val="19"/>
          <w:szCs w:val="19"/>
          <w:lang w:val="es-ES"/>
        </w:rPr>
      </w:pPr>
      <w:r w:rsidRPr="0070578D">
        <w:rPr>
          <w:rStyle w:val="Refdenotaalpie"/>
          <w:rFonts w:ascii="Arial" w:hAnsi="Arial" w:cs="Arial"/>
          <w:color w:val="000000" w:themeColor="text1"/>
          <w:sz w:val="19"/>
          <w:szCs w:val="19"/>
        </w:rPr>
        <w:footnoteRef/>
      </w:r>
      <w:r w:rsidRPr="0070578D">
        <w:rPr>
          <w:rFonts w:ascii="Arial" w:hAnsi="Arial" w:cs="Arial"/>
          <w:color w:val="000000" w:themeColor="text1"/>
          <w:sz w:val="19"/>
          <w:szCs w:val="19"/>
        </w:rPr>
        <w:t xml:space="preserve"> En efecto, este numeral, modificado por el artículo 219 del Decreto 19 de 2012, señala que el concurso de méritos: </w:t>
      </w:r>
      <w:r w:rsidRPr="0070578D">
        <w:rPr>
          <w:rFonts w:ascii="Arial" w:hAnsi="Arial" w:cs="Arial"/>
          <w:color w:val="000000" w:themeColor="text1"/>
          <w:sz w:val="19"/>
          <w:szCs w:val="19"/>
          <w:lang w:val="es-ES"/>
        </w:rPr>
        <w:t>«Corresponde a la modalidad prevista para la selección de consultores o proyectos, en la que se podrán utilizar sistemas de concurso abierto o de precalificación. En este último caso, la conformación de la lista de precalificados se hará mediante convocatoria pública, permitiéndose establecer listas limitadas de oferentes mediante resolución motivada, que se entenderá notificada en estrados a los interesados, en la audiencia pública de conformación de la lista, utilizando para el efecto, entre otros, criterios de experiencia, capacidad intelectual y de organización de los proponentes, según sea el caso.</w:t>
      </w:r>
    </w:p>
    <w:p w14:paraId="118F93F6" w14:textId="4D631EDB" w:rsidR="00FC100F" w:rsidRPr="0070578D" w:rsidRDefault="00FC100F" w:rsidP="00BE5263">
      <w:pPr>
        <w:pStyle w:val="Textonotapie"/>
        <w:ind w:firstLine="709"/>
        <w:jc w:val="both"/>
        <w:rPr>
          <w:rFonts w:ascii="Arial" w:hAnsi="Arial" w:cs="Arial"/>
          <w:color w:val="000000" w:themeColor="text1"/>
          <w:sz w:val="19"/>
          <w:szCs w:val="19"/>
          <w:lang w:val="es-ES"/>
        </w:rPr>
      </w:pPr>
      <w:r w:rsidRPr="0070578D">
        <w:rPr>
          <w:rFonts w:ascii="Arial" w:hAnsi="Arial" w:cs="Arial"/>
          <w:color w:val="000000" w:themeColor="text1"/>
          <w:sz w:val="19"/>
          <w:szCs w:val="19"/>
          <w:lang w:val="es-ES"/>
        </w:rPr>
        <w:t>»De conformidad con las condiciones que señale el reglamento, en desarrollo de estos procesos de selección, las propuestas técnicas o de proyectos podrán ser presentadas en forma anónima ante un jurado plural, impar deliberante y calificado».</w:t>
      </w:r>
    </w:p>
    <w:p w14:paraId="4B6511CB" w14:textId="77777777" w:rsidR="00B45E2A" w:rsidRPr="0070578D" w:rsidRDefault="00B45E2A" w:rsidP="00BE5263">
      <w:pPr>
        <w:pStyle w:val="Textonotapie"/>
        <w:ind w:firstLine="709"/>
        <w:jc w:val="both"/>
        <w:rPr>
          <w:rFonts w:ascii="Arial" w:hAnsi="Arial" w:cs="Arial"/>
          <w:color w:val="000000" w:themeColor="text1"/>
          <w:sz w:val="19"/>
          <w:szCs w:val="19"/>
          <w:lang w:val="es-ES"/>
        </w:rPr>
      </w:pPr>
    </w:p>
  </w:footnote>
  <w:footnote w:id="20">
    <w:p w14:paraId="3B3DC849" w14:textId="34B807DE" w:rsidR="00FC100F" w:rsidRPr="0070578D" w:rsidRDefault="00FC100F" w:rsidP="00BE5263">
      <w:pPr>
        <w:ind w:firstLine="709"/>
        <w:jc w:val="both"/>
        <w:rPr>
          <w:rFonts w:ascii="Arial" w:hAnsi="Arial" w:cs="Arial"/>
          <w:color w:val="000000" w:themeColor="text1"/>
          <w:sz w:val="19"/>
          <w:szCs w:val="19"/>
          <w:lang w:val="es-ES_tradnl"/>
        </w:rPr>
      </w:pPr>
      <w:r w:rsidRPr="0070578D">
        <w:rPr>
          <w:rStyle w:val="Refdenotaalpie"/>
          <w:rFonts w:ascii="Arial" w:hAnsi="Arial" w:cs="Arial"/>
          <w:color w:val="000000" w:themeColor="text1"/>
          <w:sz w:val="19"/>
          <w:szCs w:val="19"/>
        </w:rPr>
        <w:footnoteRef/>
      </w:r>
      <w:r w:rsidRPr="0070578D">
        <w:rPr>
          <w:rFonts w:ascii="Arial" w:hAnsi="Arial" w:cs="Arial"/>
          <w:color w:val="000000" w:themeColor="text1"/>
          <w:sz w:val="19"/>
          <w:szCs w:val="19"/>
        </w:rPr>
        <w:t xml:space="preserve"> Según lo expresó la Agencia Nacional de Contratación Pública –Colombia Compra Eficiente en el Manual de la Modalidad de Selección de Mínima Cuantía –M-MSMC-03–: </w:t>
      </w:r>
      <w:r w:rsidRPr="0070578D">
        <w:rPr>
          <w:rFonts w:ascii="Arial" w:hAnsi="Arial" w:cs="Arial"/>
          <w:color w:val="000000" w:themeColor="text1"/>
          <w:sz w:val="19"/>
          <w:szCs w:val="19"/>
          <w:lang w:val="es-ES"/>
        </w:rPr>
        <w:t>«</w:t>
      </w:r>
      <w:r w:rsidRPr="0070578D">
        <w:rPr>
          <w:color w:val="000000" w:themeColor="text1"/>
        </w:rPr>
        <w:t xml:space="preserve"> </w:t>
      </w:r>
      <w:r w:rsidRPr="0070578D">
        <w:rPr>
          <w:rFonts w:ascii="Arial" w:hAnsi="Arial" w:cs="Arial"/>
          <w:color w:val="000000" w:themeColor="text1"/>
          <w:sz w:val="19"/>
          <w:szCs w:val="19"/>
          <w:lang w:val="es-ES_tradnl"/>
        </w:rPr>
        <w:t>Las modalidades de selección de concurso de méritos y de mínima cuantía concurren cuando: (a) el presupuesto del Proceso de Contratación es menor o igual que la mínima cuantía de la Entidad Estatal; y (b) el objeto del Proceso de Contratación es la selección de consultores o proyectos, de conformidad con el numeral 3 del artículo 2 de la Ley 1150 de 2007.</w:t>
      </w:r>
    </w:p>
    <w:p w14:paraId="26EF877A" w14:textId="51F38FF5" w:rsidR="00FC100F" w:rsidRPr="0070578D" w:rsidRDefault="00FC100F" w:rsidP="00BE5263">
      <w:pPr>
        <w:ind w:firstLine="709"/>
        <w:jc w:val="both"/>
        <w:rPr>
          <w:rFonts w:ascii="Arial" w:hAnsi="Arial" w:cs="Arial"/>
          <w:color w:val="000000" w:themeColor="text1"/>
          <w:sz w:val="19"/>
          <w:szCs w:val="19"/>
          <w:lang w:val="es-ES_tradnl"/>
        </w:rPr>
      </w:pPr>
      <w:r w:rsidRPr="0070578D">
        <w:rPr>
          <w:rFonts w:ascii="Arial" w:hAnsi="Arial" w:cs="Arial"/>
          <w:color w:val="000000" w:themeColor="text1"/>
          <w:sz w:val="19"/>
          <w:szCs w:val="19"/>
          <w:lang w:val="es-ES_tradnl"/>
        </w:rPr>
        <w:t>»Dado que la selección de mínima cuantía es especial para cualquier objeto contractual, de conformidad con el inciso primero del artículo 94 de la Ley 1474 de 2011, en caso de concurrencia entre el concurso de méritos y la mínima cuantía, la modalidad de selección aplicable es la de mínima cuantía».</w:t>
      </w:r>
    </w:p>
    <w:p w14:paraId="578A70CE" w14:textId="5F1099CD" w:rsidR="00FC100F" w:rsidRPr="0070578D" w:rsidRDefault="00FC100F" w:rsidP="00BE5263">
      <w:pPr>
        <w:pStyle w:val="Textonotapie"/>
        <w:ind w:firstLine="709"/>
        <w:jc w:val="both"/>
        <w:rPr>
          <w:rFonts w:ascii="Arial" w:hAnsi="Arial" w:cs="Arial"/>
          <w:color w:val="000000" w:themeColor="text1"/>
          <w:sz w:val="19"/>
          <w:szCs w:val="19"/>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20770B" w14:textId="1A2BB94C" w:rsidR="00FC100F" w:rsidRDefault="00FC100F">
    <w:pPr>
      <w:pStyle w:val="Encabezado"/>
    </w:pPr>
    <w:r>
      <w:rPr>
        <w:noProof/>
        <w:lang w:val="en-US" w:eastAsia="en-US"/>
      </w:rPr>
      <w:drawing>
        <wp:anchor distT="0" distB="0" distL="114300" distR="114300" simplePos="0" relativeHeight="251661312"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FA1500B"/>
    <w:multiLevelType w:val="hybridMultilevel"/>
    <w:tmpl w:val="DB5603FA"/>
    <w:lvl w:ilvl="0" w:tplc="0F56936C">
      <w:start w:val="1"/>
      <w:numFmt w:val="lowerRoman"/>
      <w:lvlText w:val="%1."/>
      <w:lvlJc w:val="right"/>
      <w:pPr>
        <w:ind w:left="780" w:hanging="720"/>
      </w:pPr>
      <w:rPr>
        <w:rFonts w:hint="default"/>
        <w:b w:val="0"/>
        <w:bCs/>
      </w:rPr>
    </w:lvl>
    <w:lvl w:ilvl="1" w:tplc="240A0019" w:tentative="1">
      <w:start w:val="1"/>
      <w:numFmt w:val="lowerLetter"/>
      <w:lvlText w:val="%2."/>
      <w:lvlJc w:val="left"/>
      <w:pPr>
        <w:ind w:left="1140" w:hanging="360"/>
      </w:pPr>
    </w:lvl>
    <w:lvl w:ilvl="2" w:tplc="240A001B" w:tentative="1">
      <w:start w:val="1"/>
      <w:numFmt w:val="lowerRoman"/>
      <w:lvlText w:val="%3."/>
      <w:lvlJc w:val="right"/>
      <w:pPr>
        <w:ind w:left="1860" w:hanging="180"/>
      </w:pPr>
    </w:lvl>
    <w:lvl w:ilvl="3" w:tplc="240A000F" w:tentative="1">
      <w:start w:val="1"/>
      <w:numFmt w:val="decimal"/>
      <w:lvlText w:val="%4."/>
      <w:lvlJc w:val="left"/>
      <w:pPr>
        <w:ind w:left="2580" w:hanging="360"/>
      </w:pPr>
    </w:lvl>
    <w:lvl w:ilvl="4" w:tplc="240A0019" w:tentative="1">
      <w:start w:val="1"/>
      <w:numFmt w:val="lowerLetter"/>
      <w:lvlText w:val="%5."/>
      <w:lvlJc w:val="left"/>
      <w:pPr>
        <w:ind w:left="3300" w:hanging="360"/>
      </w:pPr>
    </w:lvl>
    <w:lvl w:ilvl="5" w:tplc="240A001B" w:tentative="1">
      <w:start w:val="1"/>
      <w:numFmt w:val="lowerRoman"/>
      <w:lvlText w:val="%6."/>
      <w:lvlJc w:val="right"/>
      <w:pPr>
        <w:ind w:left="4020" w:hanging="180"/>
      </w:pPr>
    </w:lvl>
    <w:lvl w:ilvl="6" w:tplc="240A000F" w:tentative="1">
      <w:start w:val="1"/>
      <w:numFmt w:val="decimal"/>
      <w:lvlText w:val="%7."/>
      <w:lvlJc w:val="left"/>
      <w:pPr>
        <w:ind w:left="4740" w:hanging="360"/>
      </w:pPr>
    </w:lvl>
    <w:lvl w:ilvl="7" w:tplc="240A0019" w:tentative="1">
      <w:start w:val="1"/>
      <w:numFmt w:val="lowerLetter"/>
      <w:lvlText w:val="%8."/>
      <w:lvlJc w:val="left"/>
      <w:pPr>
        <w:ind w:left="5460" w:hanging="360"/>
      </w:pPr>
    </w:lvl>
    <w:lvl w:ilvl="8" w:tplc="240A001B" w:tentative="1">
      <w:start w:val="1"/>
      <w:numFmt w:val="lowerRoman"/>
      <w:lvlText w:val="%9."/>
      <w:lvlJc w:val="right"/>
      <w:pPr>
        <w:ind w:left="6180" w:hanging="180"/>
      </w:pPr>
    </w:lvl>
  </w:abstractNum>
  <w:abstractNum w:abstractNumId="2" w15:restartNumberingAfterBreak="0">
    <w:nsid w:val="18CE39C3"/>
    <w:multiLevelType w:val="multilevel"/>
    <w:tmpl w:val="2E06F9A6"/>
    <w:lvl w:ilvl="0">
      <w:start w:val="1"/>
      <w:numFmt w:val="decimal"/>
      <w:lvlText w:val="%1."/>
      <w:lvlJc w:val="left"/>
      <w:pPr>
        <w:ind w:left="360" w:hanging="360"/>
      </w:pPr>
      <w:rPr>
        <w:rFonts w:hint="default"/>
        <w:color w:val="auto"/>
        <w:sz w:val="20"/>
        <w:szCs w:val="20"/>
      </w:rPr>
    </w:lvl>
    <w:lvl w:ilvl="1">
      <w:start w:val="1"/>
      <w:numFmt w:val="decimal"/>
      <w:lvlText w:val="3.%2."/>
      <w:lvlJc w:val="left"/>
      <w:pPr>
        <w:ind w:left="1004" w:hanging="720"/>
      </w:pPr>
      <w:rPr>
        <w:rFonts w:hint="default"/>
        <w:b/>
        <w:i w:val="0"/>
        <w:color w:val="000000"/>
      </w:rPr>
    </w:lvl>
    <w:lvl w:ilvl="2">
      <w:start w:val="1"/>
      <w:numFmt w:val="decimal"/>
      <w:lvlText w:val="3.4.%3."/>
      <w:lvlJc w:val="left"/>
      <w:pPr>
        <w:ind w:left="964" w:hanging="624"/>
      </w:pPr>
      <w:rPr>
        <w:rFonts w:hint="default"/>
        <w:b/>
        <w:i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BAA45F7"/>
    <w:multiLevelType w:val="hybridMultilevel"/>
    <w:tmpl w:val="95902DEC"/>
    <w:lvl w:ilvl="0" w:tplc="00A4CB26">
      <w:start w:val="1"/>
      <w:numFmt w:val="decimal"/>
      <w:pStyle w:val="Capitulo3"/>
      <w:lvlText w:val="3.%1."/>
      <w:lvlJc w:val="left"/>
      <w:pPr>
        <w:ind w:left="502" w:hanging="360"/>
      </w:pPr>
      <w:rPr>
        <w:rFonts w:hint="default"/>
        <w:b/>
      </w:rPr>
    </w:lvl>
    <w:lvl w:ilvl="1" w:tplc="240A0019" w:tentative="1">
      <w:start w:val="1"/>
      <w:numFmt w:val="lowerLetter"/>
      <w:lvlText w:val="%2."/>
      <w:lvlJc w:val="left"/>
      <w:pPr>
        <w:ind w:left="1724" w:hanging="360"/>
      </w:pPr>
    </w:lvl>
    <w:lvl w:ilvl="2" w:tplc="240A001B">
      <w:start w:val="1"/>
      <w:numFmt w:val="lowerRoman"/>
      <w:lvlText w:val="%3."/>
      <w:lvlJc w:val="right"/>
      <w:pPr>
        <w:ind w:left="2444" w:hanging="180"/>
      </w:pPr>
    </w:lvl>
    <w:lvl w:ilvl="3" w:tplc="240A000F" w:tentative="1">
      <w:start w:val="1"/>
      <w:numFmt w:val="decimal"/>
      <w:lvlText w:val="%4."/>
      <w:lvlJc w:val="left"/>
      <w:pPr>
        <w:ind w:left="3164" w:hanging="360"/>
      </w:pPr>
    </w:lvl>
    <w:lvl w:ilvl="4" w:tplc="240A0019" w:tentative="1">
      <w:start w:val="1"/>
      <w:numFmt w:val="lowerLetter"/>
      <w:lvlText w:val="%5."/>
      <w:lvlJc w:val="left"/>
      <w:pPr>
        <w:ind w:left="3884" w:hanging="360"/>
      </w:pPr>
    </w:lvl>
    <w:lvl w:ilvl="5" w:tplc="240A001B" w:tentative="1">
      <w:start w:val="1"/>
      <w:numFmt w:val="lowerRoman"/>
      <w:lvlText w:val="%6."/>
      <w:lvlJc w:val="right"/>
      <w:pPr>
        <w:ind w:left="4604" w:hanging="180"/>
      </w:pPr>
    </w:lvl>
    <w:lvl w:ilvl="6" w:tplc="240A000F" w:tentative="1">
      <w:start w:val="1"/>
      <w:numFmt w:val="decimal"/>
      <w:lvlText w:val="%7."/>
      <w:lvlJc w:val="left"/>
      <w:pPr>
        <w:ind w:left="5324" w:hanging="360"/>
      </w:pPr>
    </w:lvl>
    <w:lvl w:ilvl="7" w:tplc="240A0019" w:tentative="1">
      <w:start w:val="1"/>
      <w:numFmt w:val="lowerLetter"/>
      <w:lvlText w:val="%8."/>
      <w:lvlJc w:val="left"/>
      <w:pPr>
        <w:ind w:left="6044" w:hanging="360"/>
      </w:pPr>
    </w:lvl>
    <w:lvl w:ilvl="8" w:tplc="240A001B" w:tentative="1">
      <w:start w:val="1"/>
      <w:numFmt w:val="lowerRoman"/>
      <w:lvlText w:val="%9."/>
      <w:lvlJc w:val="right"/>
      <w:pPr>
        <w:ind w:left="6764" w:hanging="180"/>
      </w:pPr>
    </w:lvl>
  </w:abstractNum>
  <w:abstractNum w:abstractNumId="4"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56C75B3E"/>
    <w:multiLevelType w:val="multilevel"/>
    <w:tmpl w:val="768446FA"/>
    <w:lvl w:ilvl="0">
      <w:start w:val="1"/>
      <w:numFmt w:val="decimal"/>
      <w:lvlText w:val="%1."/>
      <w:lvlJc w:val="left"/>
      <w:pPr>
        <w:ind w:left="360" w:hanging="360"/>
      </w:pPr>
      <w:rPr>
        <w:rFonts w:hint="default"/>
        <w:b/>
        <w:color w:val="4E4D4D"/>
      </w:rPr>
    </w:lvl>
    <w:lvl w:ilvl="1">
      <w:start w:val="1"/>
      <w:numFmt w:val="decimal"/>
      <w:isLgl/>
      <w:lvlText w:val="%1.%2"/>
      <w:lvlJc w:val="left"/>
      <w:pPr>
        <w:ind w:left="390" w:hanging="39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8"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9"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0"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5"/>
  </w:num>
  <w:num w:numId="2">
    <w:abstractNumId w:val="4"/>
  </w:num>
  <w:num w:numId="3">
    <w:abstractNumId w:val="6"/>
  </w:num>
  <w:num w:numId="4">
    <w:abstractNumId w:val="8"/>
  </w:num>
  <w:num w:numId="5">
    <w:abstractNumId w:val="10"/>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num>
  <w:num w:numId="8">
    <w:abstractNumId w:val="1"/>
  </w:num>
  <w:num w:numId="9">
    <w:abstractNumId w:val="7"/>
  </w:num>
  <w:num w:numId="10">
    <w:abstractNumId w:val="3"/>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85A"/>
    <w:rsid w:val="00000B07"/>
    <w:rsid w:val="0000101A"/>
    <w:rsid w:val="00002828"/>
    <w:rsid w:val="000042B3"/>
    <w:rsid w:val="00006AF8"/>
    <w:rsid w:val="00006C92"/>
    <w:rsid w:val="0000781E"/>
    <w:rsid w:val="00012514"/>
    <w:rsid w:val="000130B5"/>
    <w:rsid w:val="000139DD"/>
    <w:rsid w:val="00013A07"/>
    <w:rsid w:val="00013C48"/>
    <w:rsid w:val="00016573"/>
    <w:rsid w:val="00016848"/>
    <w:rsid w:val="0002400D"/>
    <w:rsid w:val="0002798A"/>
    <w:rsid w:val="00027C8A"/>
    <w:rsid w:val="00031EDE"/>
    <w:rsid w:val="000338E3"/>
    <w:rsid w:val="00033FA3"/>
    <w:rsid w:val="000350CC"/>
    <w:rsid w:val="00040A6B"/>
    <w:rsid w:val="00041061"/>
    <w:rsid w:val="00042A3B"/>
    <w:rsid w:val="00046C02"/>
    <w:rsid w:val="00052E6D"/>
    <w:rsid w:val="00053125"/>
    <w:rsid w:val="00053564"/>
    <w:rsid w:val="000560FC"/>
    <w:rsid w:val="00057FB9"/>
    <w:rsid w:val="00062363"/>
    <w:rsid w:val="000643ED"/>
    <w:rsid w:val="000665C6"/>
    <w:rsid w:val="00072A53"/>
    <w:rsid w:val="00073B9F"/>
    <w:rsid w:val="00075060"/>
    <w:rsid w:val="00075BCA"/>
    <w:rsid w:val="00076389"/>
    <w:rsid w:val="00077F6C"/>
    <w:rsid w:val="00081B2B"/>
    <w:rsid w:val="00084A7B"/>
    <w:rsid w:val="00084AA0"/>
    <w:rsid w:val="00084B97"/>
    <w:rsid w:val="00085147"/>
    <w:rsid w:val="00086E70"/>
    <w:rsid w:val="000876A7"/>
    <w:rsid w:val="00090277"/>
    <w:rsid w:val="00091BA4"/>
    <w:rsid w:val="00091BB9"/>
    <w:rsid w:val="000921C6"/>
    <w:rsid w:val="000932C2"/>
    <w:rsid w:val="00093314"/>
    <w:rsid w:val="000942EB"/>
    <w:rsid w:val="00095DBF"/>
    <w:rsid w:val="00096EE0"/>
    <w:rsid w:val="000A2643"/>
    <w:rsid w:val="000A3350"/>
    <w:rsid w:val="000A3B0F"/>
    <w:rsid w:val="000A47E4"/>
    <w:rsid w:val="000A605F"/>
    <w:rsid w:val="000A64C3"/>
    <w:rsid w:val="000B103F"/>
    <w:rsid w:val="000B173D"/>
    <w:rsid w:val="000B4EEE"/>
    <w:rsid w:val="000B503F"/>
    <w:rsid w:val="000B548C"/>
    <w:rsid w:val="000B65A3"/>
    <w:rsid w:val="000B6F0F"/>
    <w:rsid w:val="000B785C"/>
    <w:rsid w:val="000C0D40"/>
    <w:rsid w:val="000C14EA"/>
    <w:rsid w:val="000C1F40"/>
    <w:rsid w:val="000C229C"/>
    <w:rsid w:val="000C3738"/>
    <w:rsid w:val="000C6017"/>
    <w:rsid w:val="000C781D"/>
    <w:rsid w:val="000C7BF0"/>
    <w:rsid w:val="000D2505"/>
    <w:rsid w:val="000D4D96"/>
    <w:rsid w:val="000D50D4"/>
    <w:rsid w:val="000D568B"/>
    <w:rsid w:val="000D6A76"/>
    <w:rsid w:val="000E0B06"/>
    <w:rsid w:val="000E1D29"/>
    <w:rsid w:val="000E1EA5"/>
    <w:rsid w:val="000E3712"/>
    <w:rsid w:val="000E37B2"/>
    <w:rsid w:val="000E3936"/>
    <w:rsid w:val="000E5EF4"/>
    <w:rsid w:val="000E60DD"/>
    <w:rsid w:val="000E72E5"/>
    <w:rsid w:val="000E7F34"/>
    <w:rsid w:val="000F0EC8"/>
    <w:rsid w:val="000F119B"/>
    <w:rsid w:val="000F14E8"/>
    <w:rsid w:val="000F3DDC"/>
    <w:rsid w:val="000F5854"/>
    <w:rsid w:val="00100285"/>
    <w:rsid w:val="00102376"/>
    <w:rsid w:val="0010298F"/>
    <w:rsid w:val="00103915"/>
    <w:rsid w:val="0010443C"/>
    <w:rsid w:val="00106194"/>
    <w:rsid w:val="00106AFE"/>
    <w:rsid w:val="00106B71"/>
    <w:rsid w:val="0011215C"/>
    <w:rsid w:val="001153DC"/>
    <w:rsid w:val="001154BE"/>
    <w:rsid w:val="00116128"/>
    <w:rsid w:val="00117BBC"/>
    <w:rsid w:val="00121F63"/>
    <w:rsid w:val="00122B23"/>
    <w:rsid w:val="00122D70"/>
    <w:rsid w:val="00125012"/>
    <w:rsid w:val="00130C64"/>
    <w:rsid w:val="00132207"/>
    <w:rsid w:val="00134029"/>
    <w:rsid w:val="001347ED"/>
    <w:rsid w:val="00134CFA"/>
    <w:rsid w:val="00135E40"/>
    <w:rsid w:val="00137FFA"/>
    <w:rsid w:val="001404D8"/>
    <w:rsid w:val="00141239"/>
    <w:rsid w:val="00141E19"/>
    <w:rsid w:val="00141EE0"/>
    <w:rsid w:val="0014286B"/>
    <w:rsid w:val="00142CEB"/>
    <w:rsid w:val="0014335D"/>
    <w:rsid w:val="00145D8C"/>
    <w:rsid w:val="0014692F"/>
    <w:rsid w:val="00147F0A"/>
    <w:rsid w:val="0015046E"/>
    <w:rsid w:val="001505BC"/>
    <w:rsid w:val="00150BAE"/>
    <w:rsid w:val="001517EE"/>
    <w:rsid w:val="00155152"/>
    <w:rsid w:val="001554C5"/>
    <w:rsid w:val="00155B70"/>
    <w:rsid w:val="00157A04"/>
    <w:rsid w:val="00160A52"/>
    <w:rsid w:val="00162B54"/>
    <w:rsid w:val="0016393C"/>
    <w:rsid w:val="001646D7"/>
    <w:rsid w:val="00165084"/>
    <w:rsid w:val="00165349"/>
    <w:rsid w:val="001659D9"/>
    <w:rsid w:val="00165E0F"/>
    <w:rsid w:val="00166931"/>
    <w:rsid w:val="00166C87"/>
    <w:rsid w:val="00166F08"/>
    <w:rsid w:val="0016755F"/>
    <w:rsid w:val="001704FF"/>
    <w:rsid w:val="00171C8E"/>
    <w:rsid w:val="001729E6"/>
    <w:rsid w:val="00172D04"/>
    <w:rsid w:val="00174C64"/>
    <w:rsid w:val="001751AB"/>
    <w:rsid w:val="00175628"/>
    <w:rsid w:val="00177C7A"/>
    <w:rsid w:val="00177E3D"/>
    <w:rsid w:val="00177FB6"/>
    <w:rsid w:val="00181317"/>
    <w:rsid w:val="001821AC"/>
    <w:rsid w:val="00183789"/>
    <w:rsid w:val="00183DC3"/>
    <w:rsid w:val="00186AFF"/>
    <w:rsid w:val="00191551"/>
    <w:rsid w:val="00191592"/>
    <w:rsid w:val="001915DE"/>
    <w:rsid w:val="0019166A"/>
    <w:rsid w:val="00192031"/>
    <w:rsid w:val="00192CFB"/>
    <w:rsid w:val="001936F0"/>
    <w:rsid w:val="00196D5A"/>
    <w:rsid w:val="0019753C"/>
    <w:rsid w:val="001975FF"/>
    <w:rsid w:val="001A0222"/>
    <w:rsid w:val="001A040D"/>
    <w:rsid w:val="001A1C00"/>
    <w:rsid w:val="001A1EA7"/>
    <w:rsid w:val="001A22AC"/>
    <w:rsid w:val="001A24CC"/>
    <w:rsid w:val="001A3296"/>
    <w:rsid w:val="001A4995"/>
    <w:rsid w:val="001A4EB9"/>
    <w:rsid w:val="001A644A"/>
    <w:rsid w:val="001A670C"/>
    <w:rsid w:val="001A7081"/>
    <w:rsid w:val="001A79E5"/>
    <w:rsid w:val="001B0062"/>
    <w:rsid w:val="001B0444"/>
    <w:rsid w:val="001B2A80"/>
    <w:rsid w:val="001B3138"/>
    <w:rsid w:val="001B64A3"/>
    <w:rsid w:val="001B7169"/>
    <w:rsid w:val="001B74FA"/>
    <w:rsid w:val="001C05B2"/>
    <w:rsid w:val="001C39F7"/>
    <w:rsid w:val="001C3B7E"/>
    <w:rsid w:val="001C3E04"/>
    <w:rsid w:val="001C42FB"/>
    <w:rsid w:val="001C5B55"/>
    <w:rsid w:val="001C76E7"/>
    <w:rsid w:val="001C7A22"/>
    <w:rsid w:val="001C7FD3"/>
    <w:rsid w:val="001D07F1"/>
    <w:rsid w:val="001D188E"/>
    <w:rsid w:val="001D1991"/>
    <w:rsid w:val="001D1E0A"/>
    <w:rsid w:val="001D3BFA"/>
    <w:rsid w:val="001D5063"/>
    <w:rsid w:val="001D756D"/>
    <w:rsid w:val="001D7F5C"/>
    <w:rsid w:val="001E014C"/>
    <w:rsid w:val="001E081B"/>
    <w:rsid w:val="001E2751"/>
    <w:rsid w:val="001E60CB"/>
    <w:rsid w:val="001E6DAC"/>
    <w:rsid w:val="001F0500"/>
    <w:rsid w:val="001F19DE"/>
    <w:rsid w:val="001F34D4"/>
    <w:rsid w:val="001F39E6"/>
    <w:rsid w:val="001F48ED"/>
    <w:rsid w:val="001F52CF"/>
    <w:rsid w:val="001F659E"/>
    <w:rsid w:val="001F7B70"/>
    <w:rsid w:val="001F7D57"/>
    <w:rsid w:val="00201EFB"/>
    <w:rsid w:val="0020497C"/>
    <w:rsid w:val="00205839"/>
    <w:rsid w:val="00206278"/>
    <w:rsid w:val="0020632A"/>
    <w:rsid w:val="00210AFC"/>
    <w:rsid w:val="002110EB"/>
    <w:rsid w:val="00211338"/>
    <w:rsid w:val="002117E9"/>
    <w:rsid w:val="00211AD8"/>
    <w:rsid w:val="0021415B"/>
    <w:rsid w:val="00220B18"/>
    <w:rsid w:val="0022163D"/>
    <w:rsid w:val="002233B1"/>
    <w:rsid w:val="00223D5F"/>
    <w:rsid w:val="002264E2"/>
    <w:rsid w:val="00230C8E"/>
    <w:rsid w:val="00231820"/>
    <w:rsid w:val="002320F9"/>
    <w:rsid w:val="00232AF4"/>
    <w:rsid w:val="00232C4B"/>
    <w:rsid w:val="002345CE"/>
    <w:rsid w:val="00234B84"/>
    <w:rsid w:val="00236952"/>
    <w:rsid w:val="00236A01"/>
    <w:rsid w:val="00240130"/>
    <w:rsid w:val="00240A65"/>
    <w:rsid w:val="00240C72"/>
    <w:rsid w:val="00247AB8"/>
    <w:rsid w:val="002507DD"/>
    <w:rsid w:val="00251F5C"/>
    <w:rsid w:val="00253927"/>
    <w:rsid w:val="00254705"/>
    <w:rsid w:val="0025616F"/>
    <w:rsid w:val="002601EB"/>
    <w:rsid w:val="00260F08"/>
    <w:rsid w:val="002613C0"/>
    <w:rsid w:val="00264334"/>
    <w:rsid w:val="0027022A"/>
    <w:rsid w:val="00270AEA"/>
    <w:rsid w:val="00280D72"/>
    <w:rsid w:val="00283229"/>
    <w:rsid w:val="002849B8"/>
    <w:rsid w:val="0028682E"/>
    <w:rsid w:val="002908A4"/>
    <w:rsid w:val="00291F29"/>
    <w:rsid w:val="0029408B"/>
    <w:rsid w:val="002969BF"/>
    <w:rsid w:val="002974FA"/>
    <w:rsid w:val="002A0A48"/>
    <w:rsid w:val="002A0AD8"/>
    <w:rsid w:val="002A11F2"/>
    <w:rsid w:val="002A2658"/>
    <w:rsid w:val="002A34C5"/>
    <w:rsid w:val="002A439D"/>
    <w:rsid w:val="002A65C7"/>
    <w:rsid w:val="002A6685"/>
    <w:rsid w:val="002A7BA1"/>
    <w:rsid w:val="002B071B"/>
    <w:rsid w:val="002B2622"/>
    <w:rsid w:val="002B37A4"/>
    <w:rsid w:val="002B5441"/>
    <w:rsid w:val="002B64A5"/>
    <w:rsid w:val="002B70EC"/>
    <w:rsid w:val="002C24CD"/>
    <w:rsid w:val="002C2533"/>
    <w:rsid w:val="002C39B5"/>
    <w:rsid w:val="002C4042"/>
    <w:rsid w:val="002C4436"/>
    <w:rsid w:val="002C4C0C"/>
    <w:rsid w:val="002C5B2A"/>
    <w:rsid w:val="002C6B79"/>
    <w:rsid w:val="002C7F9C"/>
    <w:rsid w:val="002D0005"/>
    <w:rsid w:val="002D55B9"/>
    <w:rsid w:val="002D6C6B"/>
    <w:rsid w:val="002D7527"/>
    <w:rsid w:val="002E1B07"/>
    <w:rsid w:val="002E1E84"/>
    <w:rsid w:val="002E2033"/>
    <w:rsid w:val="002E27AD"/>
    <w:rsid w:val="002E2C53"/>
    <w:rsid w:val="002E688C"/>
    <w:rsid w:val="002E6D7C"/>
    <w:rsid w:val="002F0DDD"/>
    <w:rsid w:val="002F454C"/>
    <w:rsid w:val="002F45E8"/>
    <w:rsid w:val="002F554C"/>
    <w:rsid w:val="002F730B"/>
    <w:rsid w:val="002F7B2F"/>
    <w:rsid w:val="003014BB"/>
    <w:rsid w:val="003019BD"/>
    <w:rsid w:val="00302F85"/>
    <w:rsid w:val="003033BA"/>
    <w:rsid w:val="003035E9"/>
    <w:rsid w:val="00305687"/>
    <w:rsid w:val="003074AE"/>
    <w:rsid w:val="0031120C"/>
    <w:rsid w:val="00311679"/>
    <w:rsid w:val="00311D93"/>
    <w:rsid w:val="00320E8A"/>
    <w:rsid w:val="00322937"/>
    <w:rsid w:val="00323221"/>
    <w:rsid w:val="0032544F"/>
    <w:rsid w:val="00325E6F"/>
    <w:rsid w:val="003275CE"/>
    <w:rsid w:val="003300C4"/>
    <w:rsid w:val="00336972"/>
    <w:rsid w:val="00336C1E"/>
    <w:rsid w:val="0034177C"/>
    <w:rsid w:val="00343D80"/>
    <w:rsid w:val="00345306"/>
    <w:rsid w:val="003462F1"/>
    <w:rsid w:val="0034680A"/>
    <w:rsid w:val="00353DD5"/>
    <w:rsid w:val="00356546"/>
    <w:rsid w:val="003569CC"/>
    <w:rsid w:val="00356A7C"/>
    <w:rsid w:val="003617BA"/>
    <w:rsid w:val="0036601C"/>
    <w:rsid w:val="00367703"/>
    <w:rsid w:val="00370080"/>
    <w:rsid w:val="00370A95"/>
    <w:rsid w:val="00375DD3"/>
    <w:rsid w:val="00376E0E"/>
    <w:rsid w:val="00377B5F"/>
    <w:rsid w:val="0038015A"/>
    <w:rsid w:val="003807E2"/>
    <w:rsid w:val="00381478"/>
    <w:rsid w:val="00382787"/>
    <w:rsid w:val="00383DBC"/>
    <w:rsid w:val="003843B1"/>
    <w:rsid w:val="00386368"/>
    <w:rsid w:val="00386456"/>
    <w:rsid w:val="003864C9"/>
    <w:rsid w:val="00386578"/>
    <w:rsid w:val="00390882"/>
    <w:rsid w:val="00395843"/>
    <w:rsid w:val="003961EB"/>
    <w:rsid w:val="003962E3"/>
    <w:rsid w:val="003A0725"/>
    <w:rsid w:val="003A0878"/>
    <w:rsid w:val="003A1EEB"/>
    <w:rsid w:val="003A2753"/>
    <w:rsid w:val="003A2836"/>
    <w:rsid w:val="003A312F"/>
    <w:rsid w:val="003A32C6"/>
    <w:rsid w:val="003A581E"/>
    <w:rsid w:val="003A5AEB"/>
    <w:rsid w:val="003A61D6"/>
    <w:rsid w:val="003A6281"/>
    <w:rsid w:val="003A715B"/>
    <w:rsid w:val="003A7D0A"/>
    <w:rsid w:val="003B004C"/>
    <w:rsid w:val="003B14EB"/>
    <w:rsid w:val="003B15B1"/>
    <w:rsid w:val="003B1933"/>
    <w:rsid w:val="003B2579"/>
    <w:rsid w:val="003B48C5"/>
    <w:rsid w:val="003B5017"/>
    <w:rsid w:val="003B76F3"/>
    <w:rsid w:val="003B7B4B"/>
    <w:rsid w:val="003C0F89"/>
    <w:rsid w:val="003C1386"/>
    <w:rsid w:val="003C20F3"/>
    <w:rsid w:val="003C23D4"/>
    <w:rsid w:val="003C3041"/>
    <w:rsid w:val="003C32BF"/>
    <w:rsid w:val="003C4537"/>
    <w:rsid w:val="003C5831"/>
    <w:rsid w:val="003C63A9"/>
    <w:rsid w:val="003C65F6"/>
    <w:rsid w:val="003D2E2C"/>
    <w:rsid w:val="003D3DB7"/>
    <w:rsid w:val="003D44D1"/>
    <w:rsid w:val="003D4F16"/>
    <w:rsid w:val="003D4F83"/>
    <w:rsid w:val="003D5905"/>
    <w:rsid w:val="003E014E"/>
    <w:rsid w:val="003E315A"/>
    <w:rsid w:val="003E5136"/>
    <w:rsid w:val="003E5703"/>
    <w:rsid w:val="003E68A6"/>
    <w:rsid w:val="003E7918"/>
    <w:rsid w:val="003F27EC"/>
    <w:rsid w:val="003F28A8"/>
    <w:rsid w:val="003F324A"/>
    <w:rsid w:val="003F5D1F"/>
    <w:rsid w:val="003F68B1"/>
    <w:rsid w:val="003F7CC8"/>
    <w:rsid w:val="00400351"/>
    <w:rsid w:val="00400EAD"/>
    <w:rsid w:val="004016D9"/>
    <w:rsid w:val="00403D6D"/>
    <w:rsid w:val="00403EF8"/>
    <w:rsid w:val="004059C4"/>
    <w:rsid w:val="00405CAB"/>
    <w:rsid w:val="0040710A"/>
    <w:rsid w:val="00407A05"/>
    <w:rsid w:val="00412B57"/>
    <w:rsid w:val="00413382"/>
    <w:rsid w:val="00415EB9"/>
    <w:rsid w:val="00416062"/>
    <w:rsid w:val="00416F65"/>
    <w:rsid w:val="00420891"/>
    <w:rsid w:val="004215AE"/>
    <w:rsid w:val="0042181F"/>
    <w:rsid w:val="0042185B"/>
    <w:rsid w:val="00422DAF"/>
    <w:rsid w:val="00422FA3"/>
    <w:rsid w:val="00423F9F"/>
    <w:rsid w:val="00424073"/>
    <w:rsid w:val="00425A56"/>
    <w:rsid w:val="00425E09"/>
    <w:rsid w:val="00427331"/>
    <w:rsid w:val="00431D17"/>
    <w:rsid w:val="004327BB"/>
    <w:rsid w:val="0043301A"/>
    <w:rsid w:val="00435BA9"/>
    <w:rsid w:val="00435EE4"/>
    <w:rsid w:val="0044022F"/>
    <w:rsid w:val="00440622"/>
    <w:rsid w:val="00440794"/>
    <w:rsid w:val="004422D6"/>
    <w:rsid w:val="00442798"/>
    <w:rsid w:val="00443283"/>
    <w:rsid w:val="00446ED5"/>
    <w:rsid w:val="00447068"/>
    <w:rsid w:val="00447183"/>
    <w:rsid w:val="00454BC6"/>
    <w:rsid w:val="00455A57"/>
    <w:rsid w:val="00455EB7"/>
    <w:rsid w:val="004569DB"/>
    <w:rsid w:val="0045721D"/>
    <w:rsid w:val="00457CBB"/>
    <w:rsid w:val="004602CA"/>
    <w:rsid w:val="00460792"/>
    <w:rsid w:val="00461BE9"/>
    <w:rsid w:val="004638DC"/>
    <w:rsid w:val="00463A8F"/>
    <w:rsid w:val="00463E5E"/>
    <w:rsid w:val="00463FE5"/>
    <w:rsid w:val="00467A7A"/>
    <w:rsid w:val="00471B1F"/>
    <w:rsid w:val="00471B5B"/>
    <w:rsid w:val="00473979"/>
    <w:rsid w:val="00476328"/>
    <w:rsid w:val="00480080"/>
    <w:rsid w:val="004809B1"/>
    <w:rsid w:val="00480DE6"/>
    <w:rsid w:val="00481E78"/>
    <w:rsid w:val="00487E2E"/>
    <w:rsid w:val="004908F9"/>
    <w:rsid w:val="0049094E"/>
    <w:rsid w:val="0049241A"/>
    <w:rsid w:val="0049493D"/>
    <w:rsid w:val="00494AF1"/>
    <w:rsid w:val="004961BA"/>
    <w:rsid w:val="004A34D2"/>
    <w:rsid w:val="004A43B7"/>
    <w:rsid w:val="004A4D5F"/>
    <w:rsid w:val="004A4E6F"/>
    <w:rsid w:val="004A6242"/>
    <w:rsid w:val="004A7552"/>
    <w:rsid w:val="004B0BBC"/>
    <w:rsid w:val="004B19A9"/>
    <w:rsid w:val="004B3AEA"/>
    <w:rsid w:val="004B4FDA"/>
    <w:rsid w:val="004B669F"/>
    <w:rsid w:val="004C40AA"/>
    <w:rsid w:val="004C45E5"/>
    <w:rsid w:val="004C58FF"/>
    <w:rsid w:val="004C6907"/>
    <w:rsid w:val="004C7B57"/>
    <w:rsid w:val="004D6481"/>
    <w:rsid w:val="004D6EC7"/>
    <w:rsid w:val="004D7FD1"/>
    <w:rsid w:val="004E0588"/>
    <w:rsid w:val="004E08B8"/>
    <w:rsid w:val="004E15B5"/>
    <w:rsid w:val="004E4065"/>
    <w:rsid w:val="004E523A"/>
    <w:rsid w:val="004E5BBA"/>
    <w:rsid w:val="004F2045"/>
    <w:rsid w:val="004F2806"/>
    <w:rsid w:val="004F3BBC"/>
    <w:rsid w:val="004F5405"/>
    <w:rsid w:val="004F57B1"/>
    <w:rsid w:val="004F5AB1"/>
    <w:rsid w:val="004F61DE"/>
    <w:rsid w:val="004F7D4B"/>
    <w:rsid w:val="00500A84"/>
    <w:rsid w:val="00500C9C"/>
    <w:rsid w:val="0050146F"/>
    <w:rsid w:val="00502009"/>
    <w:rsid w:val="00502AA3"/>
    <w:rsid w:val="00502BD8"/>
    <w:rsid w:val="00502FCE"/>
    <w:rsid w:val="005031CA"/>
    <w:rsid w:val="0050509B"/>
    <w:rsid w:val="0051074C"/>
    <w:rsid w:val="00510FD0"/>
    <w:rsid w:val="00511B66"/>
    <w:rsid w:val="0051220A"/>
    <w:rsid w:val="00513210"/>
    <w:rsid w:val="00513496"/>
    <w:rsid w:val="00513AF2"/>
    <w:rsid w:val="00513C06"/>
    <w:rsid w:val="00514171"/>
    <w:rsid w:val="005157F0"/>
    <w:rsid w:val="00515B54"/>
    <w:rsid w:val="005178B0"/>
    <w:rsid w:val="00520695"/>
    <w:rsid w:val="005237B3"/>
    <w:rsid w:val="00526438"/>
    <w:rsid w:val="00526AA0"/>
    <w:rsid w:val="00527E7B"/>
    <w:rsid w:val="00527F9C"/>
    <w:rsid w:val="00530375"/>
    <w:rsid w:val="00533486"/>
    <w:rsid w:val="00533DCA"/>
    <w:rsid w:val="005413A0"/>
    <w:rsid w:val="00541E25"/>
    <w:rsid w:val="00542240"/>
    <w:rsid w:val="0054368F"/>
    <w:rsid w:val="00543803"/>
    <w:rsid w:val="0054413A"/>
    <w:rsid w:val="00544348"/>
    <w:rsid w:val="00546D12"/>
    <w:rsid w:val="00550B73"/>
    <w:rsid w:val="005543E6"/>
    <w:rsid w:val="005564CA"/>
    <w:rsid w:val="0055716D"/>
    <w:rsid w:val="005612A7"/>
    <w:rsid w:val="0056182B"/>
    <w:rsid w:val="00563935"/>
    <w:rsid w:val="00564FDE"/>
    <w:rsid w:val="0056527A"/>
    <w:rsid w:val="00565DEC"/>
    <w:rsid w:val="00565FEF"/>
    <w:rsid w:val="00566F22"/>
    <w:rsid w:val="00571F9E"/>
    <w:rsid w:val="005756AA"/>
    <w:rsid w:val="00575D80"/>
    <w:rsid w:val="00581139"/>
    <w:rsid w:val="00581FA7"/>
    <w:rsid w:val="00582643"/>
    <w:rsid w:val="00582F8B"/>
    <w:rsid w:val="00583AE8"/>
    <w:rsid w:val="00590A6D"/>
    <w:rsid w:val="005918B6"/>
    <w:rsid w:val="005941C1"/>
    <w:rsid w:val="00595122"/>
    <w:rsid w:val="00596243"/>
    <w:rsid w:val="00596405"/>
    <w:rsid w:val="0059772E"/>
    <w:rsid w:val="005979D2"/>
    <w:rsid w:val="00597B75"/>
    <w:rsid w:val="005A097D"/>
    <w:rsid w:val="005A1D26"/>
    <w:rsid w:val="005A235A"/>
    <w:rsid w:val="005A4EB9"/>
    <w:rsid w:val="005A5194"/>
    <w:rsid w:val="005A5A29"/>
    <w:rsid w:val="005A62F6"/>
    <w:rsid w:val="005A7615"/>
    <w:rsid w:val="005B200D"/>
    <w:rsid w:val="005B2A2E"/>
    <w:rsid w:val="005B478A"/>
    <w:rsid w:val="005B4835"/>
    <w:rsid w:val="005B65D9"/>
    <w:rsid w:val="005B72DC"/>
    <w:rsid w:val="005C0F65"/>
    <w:rsid w:val="005C3A3D"/>
    <w:rsid w:val="005C5278"/>
    <w:rsid w:val="005C5840"/>
    <w:rsid w:val="005C6201"/>
    <w:rsid w:val="005C6DF0"/>
    <w:rsid w:val="005C7602"/>
    <w:rsid w:val="005C7856"/>
    <w:rsid w:val="005C7B94"/>
    <w:rsid w:val="005D09E1"/>
    <w:rsid w:val="005D0F03"/>
    <w:rsid w:val="005D2F47"/>
    <w:rsid w:val="005D3341"/>
    <w:rsid w:val="005D3580"/>
    <w:rsid w:val="005D51FA"/>
    <w:rsid w:val="005D560F"/>
    <w:rsid w:val="005D6A24"/>
    <w:rsid w:val="005D6D4F"/>
    <w:rsid w:val="005D791B"/>
    <w:rsid w:val="005E11B2"/>
    <w:rsid w:val="005E3050"/>
    <w:rsid w:val="005E3E9F"/>
    <w:rsid w:val="005E495C"/>
    <w:rsid w:val="005E73B2"/>
    <w:rsid w:val="005F088A"/>
    <w:rsid w:val="005F1772"/>
    <w:rsid w:val="005F1A12"/>
    <w:rsid w:val="005F20C0"/>
    <w:rsid w:val="005F2387"/>
    <w:rsid w:val="005F2C34"/>
    <w:rsid w:val="005F2CA1"/>
    <w:rsid w:val="005F3A33"/>
    <w:rsid w:val="005F59D5"/>
    <w:rsid w:val="005F5C19"/>
    <w:rsid w:val="005F60CF"/>
    <w:rsid w:val="005F72D0"/>
    <w:rsid w:val="00604E01"/>
    <w:rsid w:val="00604E4B"/>
    <w:rsid w:val="0060502C"/>
    <w:rsid w:val="00605BFD"/>
    <w:rsid w:val="006078A1"/>
    <w:rsid w:val="00607A99"/>
    <w:rsid w:val="00611A83"/>
    <w:rsid w:val="00611B77"/>
    <w:rsid w:val="00614817"/>
    <w:rsid w:val="00615173"/>
    <w:rsid w:val="006175EE"/>
    <w:rsid w:val="00617FF2"/>
    <w:rsid w:val="0062131E"/>
    <w:rsid w:val="0062239E"/>
    <w:rsid w:val="006256B5"/>
    <w:rsid w:val="006315C5"/>
    <w:rsid w:val="006315FD"/>
    <w:rsid w:val="006318C6"/>
    <w:rsid w:val="00631B0C"/>
    <w:rsid w:val="00633DBF"/>
    <w:rsid w:val="006344B7"/>
    <w:rsid w:val="006349E9"/>
    <w:rsid w:val="0063578A"/>
    <w:rsid w:val="006357D5"/>
    <w:rsid w:val="0063671B"/>
    <w:rsid w:val="00637BCB"/>
    <w:rsid w:val="00637E00"/>
    <w:rsid w:val="00640AEF"/>
    <w:rsid w:val="006426BC"/>
    <w:rsid w:val="00643033"/>
    <w:rsid w:val="006449A7"/>
    <w:rsid w:val="00644BDA"/>
    <w:rsid w:val="00644C0A"/>
    <w:rsid w:val="006468FD"/>
    <w:rsid w:val="006502B4"/>
    <w:rsid w:val="00651B30"/>
    <w:rsid w:val="00651E65"/>
    <w:rsid w:val="00652B70"/>
    <w:rsid w:val="006535CE"/>
    <w:rsid w:val="006549D4"/>
    <w:rsid w:val="00655371"/>
    <w:rsid w:val="0065662F"/>
    <w:rsid w:val="0065708A"/>
    <w:rsid w:val="00660B1A"/>
    <w:rsid w:val="00663062"/>
    <w:rsid w:val="006634A4"/>
    <w:rsid w:val="00666BB7"/>
    <w:rsid w:val="00666C67"/>
    <w:rsid w:val="0066776B"/>
    <w:rsid w:val="00673049"/>
    <w:rsid w:val="00674072"/>
    <w:rsid w:val="00676695"/>
    <w:rsid w:val="006840CA"/>
    <w:rsid w:val="00684CF0"/>
    <w:rsid w:val="00685ECC"/>
    <w:rsid w:val="00690034"/>
    <w:rsid w:val="00690116"/>
    <w:rsid w:val="006904A9"/>
    <w:rsid w:val="006911AD"/>
    <w:rsid w:val="00691414"/>
    <w:rsid w:val="00692366"/>
    <w:rsid w:val="00694173"/>
    <w:rsid w:val="00695C7B"/>
    <w:rsid w:val="0069645C"/>
    <w:rsid w:val="006967F3"/>
    <w:rsid w:val="00697322"/>
    <w:rsid w:val="006974CA"/>
    <w:rsid w:val="00697665"/>
    <w:rsid w:val="006A0F10"/>
    <w:rsid w:val="006A18A8"/>
    <w:rsid w:val="006A1EEE"/>
    <w:rsid w:val="006A1EF8"/>
    <w:rsid w:val="006A543B"/>
    <w:rsid w:val="006A73CC"/>
    <w:rsid w:val="006A746B"/>
    <w:rsid w:val="006A7CB5"/>
    <w:rsid w:val="006A7FD0"/>
    <w:rsid w:val="006B1690"/>
    <w:rsid w:val="006B22D5"/>
    <w:rsid w:val="006B5CD1"/>
    <w:rsid w:val="006B60C8"/>
    <w:rsid w:val="006B62FD"/>
    <w:rsid w:val="006B6709"/>
    <w:rsid w:val="006C0A8A"/>
    <w:rsid w:val="006C1C9E"/>
    <w:rsid w:val="006C220C"/>
    <w:rsid w:val="006C232B"/>
    <w:rsid w:val="006C2A68"/>
    <w:rsid w:val="006C5CD8"/>
    <w:rsid w:val="006C6AEF"/>
    <w:rsid w:val="006C77A2"/>
    <w:rsid w:val="006D07A5"/>
    <w:rsid w:val="006D3DB0"/>
    <w:rsid w:val="006D504C"/>
    <w:rsid w:val="006D6321"/>
    <w:rsid w:val="006D6B0B"/>
    <w:rsid w:val="006D7687"/>
    <w:rsid w:val="006E0572"/>
    <w:rsid w:val="006E146D"/>
    <w:rsid w:val="006E1FB8"/>
    <w:rsid w:val="006E20F3"/>
    <w:rsid w:val="006E314D"/>
    <w:rsid w:val="006E3332"/>
    <w:rsid w:val="006E61DE"/>
    <w:rsid w:val="006F3295"/>
    <w:rsid w:val="006F337A"/>
    <w:rsid w:val="006F36DF"/>
    <w:rsid w:val="006F3743"/>
    <w:rsid w:val="006F3DA9"/>
    <w:rsid w:val="006F4260"/>
    <w:rsid w:val="006F457E"/>
    <w:rsid w:val="006F52DF"/>
    <w:rsid w:val="006F6E28"/>
    <w:rsid w:val="006F7F4C"/>
    <w:rsid w:val="007029C7"/>
    <w:rsid w:val="00704E69"/>
    <w:rsid w:val="00705631"/>
    <w:rsid w:val="0070578D"/>
    <w:rsid w:val="00707D7A"/>
    <w:rsid w:val="00710F76"/>
    <w:rsid w:val="00714537"/>
    <w:rsid w:val="0071470C"/>
    <w:rsid w:val="00715001"/>
    <w:rsid w:val="0071513E"/>
    <w:rsid w:val="00715EAA"/>
    <w:rsid w:val="00716151"/>
    <w:rsid w:val="00717623"/>
    <w:rsid w:val="007177BE"/>
    <w:rsid w:val="00720817"/>
    <w:rsid w:val="00722776"/>
    <w:rsid w:val="0072398E"/>
    <w:rsid w:val="007267ED"/>
    <w:rsid w:val="00727FE7"/>
    <w:rsid w:val="007317F9"/>
    <w:rsid w:val="00742DD2"/>
    <w:rsid w:val="007455D3"/>
    <w:rsid w:val="007458F7"/>
    <w:rsid w:val="00746506"/>
    <w:rsid w:val="00746E08"/>
    <w:rsid w:val="00747C96"/>
    <w:rsid w:val="0075050A"/>
    <w:rsid w:val="0075094E"/>
    <w:rsid w:val="00750C7C"/>
    <w:rsid w:val="00751284"/>
    <w:rsid w:val="00751504"/>
    <w:rsid w:val="00751B6C"/>
    <w:rsid w:val="007522E8"/>
    <w:rsid w:val="00752D5C"/>
    <w:rsid w:val="0075341A"/>
    <w:rsid w:val="00753C81"/>
    <w:rsid w:val="00755090"/>
    <w:rsid w:val="0075647A"/>
    <w:rsid w:val="00760CBF"/>
    <w:rsid w:val="00760E12"/>
    <w:rsid w:val="007610B0"/>
    <w:rsid w:val="007634AD"/>
    <w:rsid w:val="00764971"/>
    <w:rsid w:val="00765260"/>
    <w:rsid w:val="00765F3B"/>
    <w:rsid w:val="0076740F"/>
    <w:rsid w:val="007744B6"/>
    <w:rsid w:val="00777BB2"/>
    <w:rsid w:val="0078122E"/>
    <w:rsid w:val="007812C4"/>
    <w:rsid w:val="007823A6"/>
    <w:rsid w:val="00783010"/>
    <w:rsid w:val="00783619"/>
    <w:rsid w:val="00785FD2"/>
    <w:rsid w:val="00786ECE"/>
    <w:rsid w:val="00790122"/>
    <w:rsid w:val="007918B3"/>
    <w:rsid w:val="00791FB4"/>
    <w:rsid w:val="00795647"/>
    <w:rsid w:val="00797B9E"/>
    <w:rsid w:val="007A15D8"/>
    <w:rsid w:val="007A3F2F"/>
    <w:rsid w:val="007A4609"/>
    <w:rsid w:val="007A4940"/>
    <w:rsid w:val="007A5294"/>
    <w:rsid w:val="007A587B"/>
    <w:rsid w:val="007A6053"/>
    <w:rsid w:val="007A6C15"/>
    <w:rsid w:val="007A6EFD"/>
    <w:rsid w:val="007B0748"/>
    <w:rsid w:val="007B0854"/>
    <w:rsid w:val="007B0EB5"/>
    <w:rsid w:val="007B23B8"/>
    <w:rsid w:val="007B3970"/>
    <w:rsid w:val="007B6014"/>
    <w:rsid w:val="007B6DB7"/>
    <w:rsid w:val="007B6F1D"/>
    <w:rsid w:val="007B7B35"/>
    <w:rsid w:val="007C025B"/>
    <w:rsid w:val="007C1E4A"/>
    <w:rsid w:val="007C20AD"/>
    <w:rsid w:val="007C4A00"/>
    <w:rsid w:val="007C6B93"/>
    <w:rsid w:val="007C74FF"/>
    <w:rsid w:val="007D0341"/>
    <w:rsid w:val="007D0F9A"/>
    <w:rsid w:val="007D19ED"/>
    <w:rsid w:val="007D6137"/>
    <w:rsid w:val="007D68C9"/>
    <w:rsid w:val="007D6FBB"/>
    <w:rsid w:val="007D7BD9"/>
    <w:rsid w:val="007E0B05"/>
    <w:rsid w:val="007E2207"/>
    <w:rsid w:val="007E2D1C"/>
    <w:rsid w:val="007E2F8B"/>
    <w:rsid w:val="007E34A9"/>
    <w:rsid w:val="007E3875"/>
    <w:rsid w:val="007E3DF0"/>
    <w:rsid w:val="007E4A8A"/>
    <w:rsid w:val="007E5C68"/>
    <w:rsid w:val="007E77BD"/>
    <w:rsid w:val="007F1531"/>
    <w:rsid w:val="007F1615"/>
    <w:rsid w:val="007F2DD2"/>
    <w:rsid w:val="007F31E1"/>
    <w:rsid w:val="007F4562"/>
    <w:rsid w:val="007F4CD9"/>
    <w:rsid w:val="007F5328"/>
    <w:rsid w:val="007F6B46"/>
    <w:rsid w:val="007F6DC2"/>
    <w:rsid w:val="007F72CB"/>
    <w:rsid w:val="007F7494"/>
    <w:rsid w:val="007F7757"/>
    <w:rsid w:val="008026E9"/>
    <w:rsid w:val="00803AF8"/>
    <w:rsid w:val="00803BD6"/>
    <w:rsid w:val="008043F3"/>
    <w:rsid w:val="00804B14"/>
    <w:rsid w:val="008055F5"/>
    <w:rsid w:val="00811C91"/>
    <w:rsid w:val="008120F4"/>
    <w:rsid w:val="00813126"/>
    <w:rsid w:val="00813EA9"/>
    <w:rsid w:val="0081537B"/>
    <w:rsid w:val="0081695E"/>
    <w:rsid w:val="00816C2C"/>
    <w:rsid w:val="00816D56"/>
    <w:rsid w:val="00817CEC"/>
    <w:rsid w:val="00820542"/>
    <w:rsid w:val="008217B7"/>
    <w:rsid w:val="008224C7"/>
    <w:rsid w:val="00822E14"/>
    <w:rsid w:val="00824EE9"/>
    <w:rsid w:val="0083119B"/>
    <w:rsid w:val="00831F66"/>
    <w:rsid w:val="00833389"/>
    <w:rsid w:val="00836EAB"/>
    <w:rsid w:val="00836F38"/>
    <w:rsid w:val="00837B53"/>
    <w:rsid w:val="00840187"/>
    <w:rsid w:val="00841714"/>
    <w:rsid w:val="00843CEC"/>
    <w:rsid w:val="008441F0"/>
    <w:rsid w:val="00846F6D"/>
    <w:rsid w:val="00847010"/>
    <w:rsid w:val="00847851"/>
    <w:rsid w:val="00847A3D"/>
    <w:rsid w:val="0085092D"/>
    <w:rsid w:val="00850F79"/>
    <w:rsid w:val="008529E3"/>
    <w:rsid w:val="008542F3"/>
    <w:rsid w:val="00854ABB"/>
    <w:rsid w:val="00854E4B"/>
    <w:rsid w:val="00856129"/>
    <w:rsid w:val="008567EB"/>
    <w:rsid w:val="008601EB"/>
    <w:rsid w:val="00862C14"/>
    <w:rsid w:val="008646C8"/>
    <w:rsid w:val="00864F88"/>
    <w:rsid w:val="00867608"/>
    <w:rsid w:val="00870659"/>
    <w:rsid w:val="00870F20"/>
    <w:rsid w:val="00871FD2"/>
    <w:rsid w:val="00873D70"/>
    <w:rsid w:val="00874556"/>
    <w:rsid w:val="00874B73"/>
    <w:rsid w:val="00874BD9"/>
    <w:rsid w:val="0088063D"/>
    <w:rsid w:val="00880FE3"/>
    <w:rsid w:val="0088146E"/>
    <w:rsid w:val="00881CF4"/>
    <w:rsid w:val="00882264"/>
    <w:rsid w:val="00887E46"/>
    <w:rsid w:val="0089245A"/>
    <w:rsid w:val="008926EF"/>
    <w:rsid w:val="0089774F"/>
    <w:rsid w:val="00897ECB"/>
    <w:rsid w:val="008A1649"/>
    <w:rsid w:val="008A2CD9"/>
    <w:rsid w:val="008A4057"/>
    <w:rsid w:val="008A55BC"/>
    <w:rsid w:val="008B1E8D"/>
    <w:rsid w:val="008B56B2"/>
    <w:rsid w:val="008B5B04"/>
    <w:rsid w:val="008C0810"/>
    <w:rsid w:val="008C1B94"/>
    <w:rsid w:val="008C41AA"/>
    <w:rsid w:val="008C44C1"/>
    <w:rsid w:val="008C567E"/>
    <w:rsid w:val="008C6A23"/>
    <w:rsid w:val="008D1490"/>
    <w:rsid w:val="008D2781"/>
    <w:rsid w:val="008D3EB3"/>
    <w:rsid w:val="008D685A"/>
    <w:rsid w:val="008D6DE0"/>
    <w:rsid w:val="008D7242"/>
    <w:rsid w:val="008D7A98"/>
    <w:rsid w:val="008E0524"/>
    <w:rsid w:val="008E06CA"/>
    <w:rsid w:val="008E1C15"/>
    <w:rsid w:val="008E22BD"/>
    <w:rsid w:val="008E36A0"/>
    <w:rsid w:val="008E3DF4"/>
    <w:rsid w:val="008E3EC9"/>
    <w:rsid w:val="008E50DA"/>
    <w:rsid w:val="008F0C30"/>
    <w:rsid w:val="008F101D"/>
    <w:rsid w:val="008F148D"/>
    <w:rsid w:val="008F24BA"/>
    <w:rsid w:val="008F436F"/>
    <w:rsid w:val="008F538E"/>
    <w:rsid w:val="008F5FB7"/>
    <w:rsid w:val="0090080A"/>
    <w:rsid w:val="009010AA"/>
    <w:rsid w:val="00901850"/>
    <w:rsid w:val="009032EB"/>
    <w:rsid w:val="009038D7"/>
    <w:rsid w:val="00903C4D"/>
    <w:rsid w:val="009047C5"/>
    <w:rsid w:val="009058E3"/>
    <w:rsid w:val="0091308F"/>
    <w:rsid w:val="0091629D"/>
    <w:rsid w:val="00916B31"/>
    <w:rsid w:val="00916C0F"/>
    <w:rsid w:val="009210D9"/>
    <w:rsid w:val="009221F8"/>
    <w:rsid w:val="00923F5C"/>
    <w:rsid w:val="009256D5"/>
    <w:rsid w:val="009259F2"/>
    <w:rsid w:val="00925F52"/>
    <w:rsid w:val="00926A8A"/>
    <w:rsid w:val="00930466"/>
    <w:rsid w:val="00931B0D"/>
    <w:rsid w:val="00933989"/>
    <w:rsid w:val="0093616F"/>
    <w:rsid w:val="00941B60"/>
    <w:rsid w:val="00941FD0"/>
    <w:rsid w:val="009425DF"/>
    <w:rsid w:val="0094362D"/>
    <w:rsid w:val="009451B1"/>
    <w:rsid w:val="00946957"/>
    <w:rsid w:val="00946DD2"/>
    <w:rsid w:val="00947B7A"/>
    <w:rsid w:val="009502CF"/>
    <w:rsid w:val="00952DF1"/>
    <w:rsid w:val="0095385A"/>
    <w:rsid w:val="00955483"/>
    <w:rsid w:val="0095765C"/>
    <w:rsid w:val="00957C11"/>
    <w:rsid w:val="00957D1A"/>
    <w:rsid w:val="00960C70"/>
    <w:rsid w:val="00962E23"/>
    <w:rsid w:val="00962EDB"/>
    <w:rsid w:val="0096318D"/>
    <w:rsid w:val="00963EC1"/>
    <w:rsid w:val="00965C7C"/>
    <w:rsid w:val="009679B3"/>
    <w:rsid w:val="00967D81"/>
    <w:rsid w:val="00967F5E"/>
    <w:rsid w:val="00971ACA"/>
    <w:rsid w:val="00971BD0"/>
    <w:rsid w:val="00972B52"/>
    <w:rsid w:val="00972E95"/>
    <w:rsid w:val="009731F5"/>
    <w:rsid w:val="00973C42"/>
    <w:rsid w:val="00974426"/>
    <w:rsid w:val="00974CA6"/>
    <w:rsid w:val="00976325"/>
    <w:rsid w:val="00976945"/>
    <w:rsid w:val="00977B0E"/>
    <w:rsid w:val="009803F0"/>
    <w:rsid w:val="0098264A"/>
    <w:rsid w:val="009853FE"/>
    <w:rsid w:val="0099513A"/>
    <w:rsid w:val="0099575F"/>
    <w:rsid w:val="0099640A"/>
    <w:rsid w:val="00996D4D"/>
    <w:rsid w:val="0099786A"/>
    <w:rsid w:val="00997BBF"/>
    <w:rsid w:val="009A111E"/>
    <w:rsid w:val="009A1817"/>
    <w:rsid w:val="009A1DFD"/>
    <w:rsid w:val="009A228F"/>
    <w:rsid w:val="009A4374"/>
    <w:rsid w:val="009A46F3"/>
    <w:rsid w:val="009A52D5"/>
    <w:rsid w:val="009A570E"/>
    <w:rsid w:val="009A5E46"/>
    <w:rsid w:val="009A5FCB"/>
    <w:rsid w:val="009A623A"/>
    <w:rsid w:val="009A6D1D"/>
    <w:rsid w:val="009A7824"/>
    <w:rsid w:val="009B0F32"/>
    <w:rsid w:val="009B1078"/>
    <w:rsid w:val="009B19DF"/>
    <w:rsid w:val="009B215F"/>
    <w:rsid w:val="009B34DB"/>
    <w:rsid w:val="009B4118"/>
    <w:rsid w:val="009B4886"/>
    <w:rsid w:val="009B7C24"/>
    <w:rsid w:val="009C7881"/>
    <w:rsid w:val="009D02C2"/>
    <w:rsid w:val="009D0AC4"/>
    <w:rsid w:val="009D0BBF"/>
    <w:rsid w:val="009D0DF6"/>
    <w:rsid w:val="009D1B2F"/>
    <w:rsid w:val="009D1F09"/>
    <w:rsid w:val="009D3A8A"/>
    <w:rsid w:val="009E05AB"/>
    <w:rsid w:val="009E1923"/>
    <w:rsid w:val="009E1BE1"/>
    <w:rsid w:val="009E2A3C"/>
    <w:rsid w:val="009E43F7"/>
    <w:rsid w:val="009E6186"/>
    <w:rsid w:val="009E667F"/>
    <w:rsid w:val="009E6929"/>
    <w:rsid w:val="009E6A3E"/>
    <w:rsid w:val="009E7671"/>
    <w:rsid w:val="009F08FE"/>
    <w:rsid w:val="009F0BB6"/>
    <w:rsid w:val="009F0E95"/>
    <w:rsid w:val="009F237C"/>
    <w:rsid w:val="009F59C2"/>
    <w:rsid w:val="009F5D34"/>
    <w:rsid w:val="009F63BF"/>
    <w:rsid w:val="009F6BFE"/>
    <w:rsid w:val="009F7121"/>
    <w:rsid w:val="009F7715"/>
    <w:rsid w:val="00A01727"/>
    <w:rsid w:val="00A03406"/>
    <w:rsid w:val="00A04646"/>
    <w:rsid w:val="00A04A6D"/>
    <w:rsid w:val="00A04B82"/>
    <w:rsid w:val="00A06176"/>
    <w:rsid w:val="00A1023E"/>
    <w:rsid w:val="00A112D9"/>
    <w:rsid w:val="00A114A5"/>
    <w:rsid w:val="00A114CB"/>
    <w:rsid w:val="00A117E3"/>
    <w:rsid w:val="00A13D6C"/>
    <w:rsid w:val="00A13F2F"/>
    <w:rsid w:val="00A22E8B"/>
    <w:rsid w:val="00A230AD"/>
    <w:rsid w:val="00A24560"/>
    <w:rsid w:val="00A25723"/>
    <w:rsid w:val="00A263E3"/>
    <w:rsid w:val="00A26F88"/>
    <w:rsid w:val="00A278BD"/>
    <w:rsid w:val="00A27F23"/>
    <w:rsid w:val="00A3092B"/>
    <w:rsid w:val="00A31686"/>
    <w:rsid w:val="00A32894"/>
    <w:rsid w:val="00A33893"/>
    <w:rsid w:val="00A34538"/>
    <w:rsid w:val="00A346CD"/>
    <w:rsid w:val="00A3761A"/>
    <w:rsid w:val="00A37ECE"/>
    <w:rsid w:val="00A37FB6"/>
    <w:rsid w:val="00A4189D"/>
    <w:rsid w:val="00A43778"/>
    <w:rsid w:val="00A43E49"/>
    <w:rsid w:val="00A455ED"/>
    <w:rsid w:val="00A46B01"/>
    <w:rsid w:val="00A50376"/>
    <w:rsid w:val="00A52AB9"/>
    <w:rsid w:val="00A5389D"/>
    <w:rsid w:val="00A54901"/>
    <w:rsid w:val="00A54F69"/>
    <w:rsid w:val="00A5651E"/>
    <w:rsid w:val="00A572E2"/>
    <w:rsid w:val="00A572E4"/>
    <w:rsid w:val="00A57BD6"/>
    <w:rsid w:val="00A63AB4"/>
    <w:rsid w:val="00A63F94"/>
    <w:rsid w:val="00A65FDC"/>
    <w:rsid w:val="00A671D2"/>
    <w:rsid w:val="00A709AA"/>
    <w:rsid w:val="00A71455"/>
    <w:rsid w:val="00A7306E"/>
    <w:rsid w:val="00A754E3"/>
    <w:rsid w:val="00A76992"/>
    <w:rsid w:val="00A76BEC"/>
    <w:rsid w:val="00A772F1"/>
    <w:rsid w:val="00A80604"/>
    <w:rsid w:val="00A8097A"/>
    <w:rsid w:val="00A814A8"/>
    <w:rsid w:val="00A858CC"/>
    <w:rsid w:val="00A85FD2"/>
    <w:rsid w:val="00A87724"/>
    <w:rsid w:val="00A93A1C"/>
    <w:rsid w:val="00A93C3A"/>
    <w:rsid w:val="00A95282"/>
    <w:rsid w:val="00A95E6B"/>
    <w:rsid w:val="00AA0050"/>
    <w:rsid w:val="00AA0106"/>
    <w:rsid w:val="00AA01A7"/>
    <w:rsid w:val="00AA08E7"/>
    <w:rsid w:val="00AA2662"/>
    <w:rsid w:val="00AA37EA"/>
    <w:rsid w:val="00AA442B"/>
    <w:rsid w:val="00AA5938"/>
    <w:rsid w:val="00AA59E2"/>
    <w:rsid w:val="00AA6612"/>
    <w:rsid w:val="00AA669D"/>
    <w:rsid w:val="00AA66FF"/>
    <w:rsid w:val="00AA71A5"/>
    <w:rsid w:val="00AA7919"/>
    <w:rsid w:val="00AA7BC8"/>
    <w:rsid w:val="00AA7C4D"/>
    <w:rsid w:val="00AB0475"/>
    <w:rsid w:val="00AB0F67"/>
    <w:rsid w:val="00AB136C"/>
    <w:rsid w:val="00AB1776"/>
    <w:rsid w:val="00AB19D9"/>
    <w:rsid w:val="00AB2098"/>
    <w:rsid w:val="00AB2D94"/>
    <w:rsid w:val="00AB3EF0"/>
    <w:rsid w:val="00AB61CE"/>
    <w:rsid w:val="00AB6CB0"/>
    <w:rsid w:val="00AB7B91"/>
    <w:rsid w:val="00AC04C9"/>
    <w:rsid w:val="00AC1406"/>
    <w:rsid w:val="00AC159E"/>
    <w:rsid w:val="00AC1754"/>
    <w:rsid w:val="00AC424E"/>
    <w:rsid w:val="00AC6C4D"/>
    <w:rsid w:val="00AC742D"/>
    <w:rsid w:val="00AC7720"/>
    <w:rsid w:val="00AC7B1D"/>
    <w:rsid w:val="00AD0790"/>
    <w:rsid w:val="00AD0DAD"/>
    <w:rsid w:val="00AD3BE5"/>
    <w:rsid w:val="00AD3D1A"/>
    <w:rsid w:val="00AD4117"/>
    <w:rsid w:val="00AD4964"/>
    <w:rsid w:val="00AD6028"/>
    <w:rsid w:val="00AD7079"/>
    <w:rsid w:val="00AE42D3"/>
    <w:rsid w:val="00AE4E39"/>
    <w:rsid w:val="00AE516F"/>
    <w:rsid w:val="00AE70B1"/>
    <w:rsid w:val="00AE768A"/>
    <w:rsid w:val="00AE7C6B"/>
    <w:rsid w:val="00AF0EB0"/>
    <w:rsid w:val="00AF22B8"/>
    <w:rsid w:val="00AF252C"/>
    <w:rsid w:val="00AF25B8"/>
    <w:rsid w:val="00AF2C96"/>
    <w:rsid w:val="00AF4B1D"/>
    <w:rsid w:val="00AF6276"/>
    <w:rsid w:val="00AF6DAE"/>
    <w:rsid w:val="00B02235"/>
    <w:rsid w:val="00B02A47"/>
    <w:rsid w:val="00B030B1"/>
    <w:rsid w:val="00B03EC6"/>
    <w:rsid w:val="00B0510D"/>
    <w:rsid w:val="00B05607"/>
    <w:rsid w:val="00B05A55"/>
    <w:rsid w:val="00B073F3"/>
    <w:rsid w:val="00B075F3"/>
    <w:rsid w:val="00B1069D"/>
    <w:rsid w:val="00B11029"/>
    <w:rsid w:val="00B12193"/>
    <w:rsid w:val="00B13233"/>
    <w:rsid w:val="00B13EC0"/>
    <w:rsid w:val="00B14275"/>
    <w:rsid w:val="00B173E1"/>
    <w:rsid w:val="00B205FF"/>
    <w:rsid w:val="00B2139A"/>
    <w:rsid w:val="00B22024"/>
    <w:rsid w:val="00B22DBE"/>
    <w:rsid w:val="00B22E22"/>
    <w:rsid w:val="00B23041"/>
    <w:rsid w:val="00B24685"/>
    <w:rsid w:val="00B25ADA"/>
    <w:rsid w:val="00B27676"/>
    <w:rsid w:val="00B3418C"/>
    <w:rsid w:val="00B353C1"/>
    <w:rsid w:val="00B37166"/>
    <w:rsid w:val="00B40DD7"/>
    <w:rsid w:val="00B42606"/>
    <w:rsid w:val="00B43CD6"/>
    <w:rsid w:val="00B448AA"/>
    <w:rsid w:val="00B44975"/>
    <w:rsid w:val="00B45E2A"/>
    <w:rsid w:val="00B460E5"/>
    <w:rsid w:val="00B466B9"/>
    <w:rsid w:val="00B46D74"/>
    <w:rsid w:val="00B51832"/>
    <w:rsid w:val="00B525CB"/>
    <w:rsid w:val="00B525DF"/>
    <w:rsid w:val="00B53EE2"/>
    <w:rsid w:val="00B547D2"/>
    <w:rsid w:val="00B57700"/>
    <w:rsid w:val="00B617BC"/>
    <w:rsid w:val="00B62917"/>
    <w:rsid w:val="00B63872"/>
    <w:rsid w:val="00B63CB2"/>
    <w:rsid w:val="00B64277"/>
    <w:rsid w:val="00B64EDB"/>
    <w:rsid w:val="00B674C6"/>
    <w:rsid w:val="00B67729"/>
    <w:rsid w:val="00B67B07"/>
    <w:rsid w:val="00B72172"/>
    <w:rsid w:val="00B72946"/>
    <w:rsid w:val="00B72BF4"/>
    <w:rsid w:val="00B7315F"/>
    <w:rsid w:val="00B73D1C"/>
    <w:rsid w:val="00B75424"/>
    <w:rsid w:val="00B7699F"/>
    <w:rsid w:val="00B80B7F"/>
    <w:rsid w:val="00B80F8F"/>
    <w:rsid w:val="00B8475B"/>
    <w:rsid w:val="00B87866"/>
    <w:rsid w:val="00B913A7"/>
    <w:rsid w:val="00B91B8E"/>
    <w:rsid w:val="00B92156"/>
    <w:rsid w:val="00B92EC6"/>
    <w:rsid w:val="00B94AF0"/>
    <w:rsid w:val="00B95481"/>
    <w:rsid w:val="00B960EE"/>
    <w:rsid w:val="00B97279"/>
    <w:rsid w:val="00BA0CB6"/>
    <w:rsid w:val="00BA1266"/>
    <w:rsid w:val="00BA4FC4"/>
    <w:rsid w:val="00BA7847"/>
    <w:rsid w:val="00BA7F43"/>
    <w:rsid w:val="00BB173E"/>
    <w:rsid w:val="00BB378B"/>
    <w:rsid w:val="00BB3D86"/>
    <w:rsid w:val="00BB4AE9"/>
    <w:rsid w:val="00BB5168"/>
    <w:rsid w:val="00BC0E07"/>
    <w:rsid w:val="00BC2426"/>
    <w:rsid w:val="00BC2A98"/>
    <w:rsid w:val="00BC3394"/>
    <w:rsid w:val="00BC418B"/>
    <w:rsid w:val="00BC4E18"/>
    <w:rsid w:val="00BC4EE5"/>
    <w:rsid w:val="00BC5511"/>
    <w:rsid w:val="00BC553A"/>
    <w:rsid w:val="00BD3D51"/>
    <w:rsid w:val="00BD5DA2"/>
    <w:rsid w:val="00BD61F5"/>
    <w:rsid w:val="00BD6A8F"/>
    <w:rsid w:val="00BD6A96"/>
    <w:rsid w:val="00BD78FE"/>
    <w:rsid w:val="00BD7ABD"/>
    <w:rsid w:val="00BD7D93"/>
    <w:rsid w:val="00BE0B4C"/>
    <w:rsid w:val="00BE194E"/>
    <w:rsid w:val="00BE1A31"/>
    <w:rsid w:val="00BE1A4F"/>
    <w:rsid w:val="00BE33E3"/>
    <w:rsid w:val="00BE5263"/>
    <w:rsid w:val="00BE54E9"/>
    <w:rsid w:val="00BE7299"/>
    <w:rsid w:val="00BF568B"/>
    <w:rsid w:val="00BF5C9A"/>
    <w:rsid w:val="00C00250"/>
    <w:rsid w:val="00C04D43"/>
    <w:rsid w:val="00C07D92"/>
    <w:rsid w:val="00C10177"/>
    <w:rsid w:val="00C11AE4"/>
    <w:rsid w:val="00C12D2F"/>
    <w:rsid w:val="00C23738"/>
    <w:rsid w:val="00C24648"/>
    <w:rsid w:val="00C26DA0"/>
    <w:rsid w:val="00C3024A"/>
    <w:rsid w:val="00C357C9"/>
    <w:rsid w:val="00C35C82"/>
    <w:rsid w:val="00C37066"/>
    <w:rsid w:val="00C40E3E"/>
    <w:rsid w:val="00C44430"/>
    <w:rsid w:val="00C449F1"/>
    <w:rsid w:val="00C45DE7"/>
    <w:rsid w:val="00C4633D"/>
    <w:rsid w:val="00C47884"/>
    <w:rsid w:val="00C50C0B"/>
    <w:rsid w:val="00C518C4"/>
    <w:rsid w:val="00C51F3E"/>
    <w:rsid w:val="00C5234D"/>
    <w:rsid w:val="00C524CB"/>
    <w:rsid w:val="00C531C9"/>
    <w:rsid w:val="00C53B55"/>
    <w:rsid w:val="00C548B1"/>
    <w:rsid w:val="00C55BC3"/>
    <w:rsid w:val="00C60032"/>
    <w:rsid w:val="00C60259"/>
    <w:rsid w:val="00C60414"/>
    <w:rsid w:val="00C6185D"/>
    <w:rsid w:val="00C61D16"/>
    <w:rsid w:val="00C634EA"/>
    <w:rsid w:val="00C653AC"/>
    <w:rsid w:val="00C6596C"/>
    <w:rsid w:val="00C6614A"/>
    <w:rsid w:val="00C663A4"/>
    <w:rsid w:val="00C75D77"/>
    <w:rsid w:val="00C7616C"/>
    <w:rsid w:val="00C821BC"/>
    <w:rsid w:val="00C83579"/>
    <w:rsid w:val="00C848C3"/>
    <w:rsid w:val="00C849F5"/>
    <w:rsid w:val="00C867D7"/>
    <w:rsid w:val="00C9149F"/>
    <w:rsid w:val="00C91FB2"/>
    <w:rsid w:val="00C920BB"/>
    <w:rsid w:val="00C92374"/>
    <w:rsid w:val="00C93443"/>
    <w:rsid w:val="00C94E35"/>
    <w:rsid w:val="00C96C77"/>
    <w:rsid w:val="00C96D43"/>
    <w:rsid w:val="00C97575"/>
    <w:rsid w:val="00CA026B"/>
    <w:rsid w:val="00CA0995"/>
    <w:rsid w:val="00CA15D4"/>
    <w:rsid w:val="00CA3230"/>
    <w:rsid w:val="00CA5DA9"/>
    <w:rsid w:val="00CA629D"/>
    <w:rsid w:val="00CA7FCD"/>
    <w:rsid w:val="00CB60B1"/>
    <w:rsid w:val="00CC00CD"/>
    <w:rsid w:val="00CC2112"/>
    <w:rsid w:val="00CC2733"/>
    <w:rsid w:val="00CC668E"/>
    <w:rsid w:val="00CD078A"/>
    <w:rsid w:val="00CD0C65"/>
    <w:rsid w:val="00CD1717"/>
    <w:rsid w:val="00CD3377"/>
    <w:rsid w:val="00CD4DEB"/>
    <w:rsid w:val="00CD4E6A"/>
    <w:rsid w:val="00CD61DA"/>
    <w:rsid w:val="00CD70C7"/>
    <w:rsid w:val="00CE6353"/>
    <w:rsid w:val="00CE78C8"/>
    <w:rsid w:val="00CF1834"/>
    <w:rsid w:val="00CF3DB4"/>
    <w:rsid w:val="00CF7E04"/>
    <w:rsid w:val="00D000F2"/>
    <w:rsid w:val="00D01760"/>
    <w:rsid w:val="00D02290"/>
    <w:rsid w:val="00D0438F"/>
    <w:rsid w:val="00D04D02"/>
    <w:rsid w:val="00D066C6"/>
    <w:rsid w:val="00D100F1"/>
    <w:rsid w:val="00D10B3F"/>
    <w:rsid w:val="00D11104"/>
    <w:rsid w:val="00D11EBF"/>
    <w:rsid w:val="00D12D91"/>
    <w:rsid w:val="00D13158"/>
    <w:rsid w:val="00D1355F"/>
    <w:rsid w:val="00D14E4C"/>
    <w:rsid w:val="00D15577"/>
    <w:rsid w:val="00D16E39"/>
    <w:rsid w:val="00D223B6"/>
    <w:rsid w:val="00D223BF"/>
    <w:rsid w:val="00D2472E"/>
    <w:rsid w:val="00D2477E"/>
    <w:rsid w:val="00D25858"/>
    <w:rsid w:val="00D26A74"/>
    <w:rsid w:val="00D27347"/>
    <w:rsid w:val="00D31D03"/>
    <w:rsid w:val="00D335A1"/>
    <w:rsid w:val="00D339FA"/>
    <w:rsid w:val="00D34012"/>
    <w:rsid w:val="00D361BF"/>
    <w:rsid w:val="00D37663"/>
    <w:rsid w:val="00D4100E"/>
    <w:rsid w:val="00D418ED"/>
    <w:rsid w:val="00D444D4"/>
    <w:rsid w:val="00D45895"/>
    <w:rsid w:val="00D47D94"/>
    <w:rsid w:val="00D500DB"/>
    <w:rsid w:val="00D509AE"/>
    <w:rsid w:val="00D51F79"/>
    <w:rsid w:val="00D523AC"/>
    <w:rsid w:val="00D52943"/>
    <w:rsid w:val="00D539C4"/>
    <w:rsid w:val="00D54817"/>
    <w:rsid w:val="00D550E1"/>
    <w:rsid w:val="00D55E06"/>
    <w:rsid w:val="00D56D9D"/>
    <w:rsid w:val="00D57FAA"/>
    <w:rsid w:val="00D60327"/>
    <w:rsid w:val="00D6044C"/>
    <w:rsid w:val="00D629E0"/>
    <w:rsid w:val="00D63052"/>
    <w:rsid w:val="00D652A7"/>
    <w:rsid w:val="00D66CC3"/>
    <w:rsid w:val="00D6791C"/>
    <w:rsid w:val="00D67A53"/>
    <w:rsid w:val="00D71888"/>
    <w:rsid w:val="00D72E9D"/>
    <w:rsid w:val="00D80641"/>
    <w:rsid w:val="00D81753"/>
    <w:rsid w:val="00D81B3E"/>
    <w:rsid w:val="00D82CE5"/>
    <w:rsid w:val="00D84A95"/>
    <w:rsid w:val="00D86256"/>
    <w:rsid w:val="00D87DD1"/>
    <w:rsid w:val="00D90D27"/>
    <w:rsid w:val="00D90FE4"/>
    <w:rsid w:val="00D91951"/>
    <w:rsid w:val="00D94598"/>
    <w:rsid w:val="00D94887"/>
    <w:rsid w:val="00D94962"/>
    <w:rsid w:val="00D95733"/>
    <w:rsid w:val="00D95B43"/>
    <w:rsid w:val="00DA23BC"/>
    <w:rsid w:val="00DA2E69"/>
    <w:rsid w:val="00DA395F"/>
    <w:rsid w:val="00DA520C"/>
    <w:rsid w:val="00DA5AB1"/>
    <w:rsid w:val="00DA5D71"/>
    <w:rsid w:val="00DA6397"/>
    <w:rsid w:val="00DA639F"/>
    <w:rsid w:val="00DA7706"/>
    <w:rsid w:val="00DB04D4"/>
    <w:rsid w:val="00DB259A"/>
    <w:rsid w:val="00DB63E9"/>
    <w:rsid w:val="00DB6633"/>
    <w:rsid w:val="00DB7F47"/>
    <w:rsid w:val="00DC13B7"/>
    <w:rsid w:val="00DC2B8C"/>
    <w:rsid w:val="00DC3614"/>
    <w:rsid w:val="00DC39BB"/>
    <w:rsid w:val="00DC571C"/>
    <w:rsid w:val="00DC5871"/>
    <w:rsid w:val="00DC62E5"/>
    <w:rsid w:val="00DC6929"/>
    <w:rsid w:val="00DC6DB4"/>
    <w:rsid w:val="00DD04F2"/>
    <w:rsid w:val="00DD1744"/>
    <w:rsid w:val="00DD1C32"/>
    <w:rsid w:val="00DD32C5"/>
    <w:rsid w:val="00DD6ABE"/>
    <w:rsid w:val="00DD735D"/>
    <w:rsid w:val="00DE1F24"/>
    <w:rsid w:val="00DE21BD"/>
    <w:rsid w:val="00DE3119"/>
    <w:rsid w:val="00DE6E0C"/>
    <w:rsid w:val="00DE74A8"/>
    <w:rsid w:val="00DF0CBA"/>
    <w:rsid w:val="00DF236B"/>
    <w:rsid w:val="00E00FD4"/>
    <w:rsid w:val="00E01903"/>
    <w:rsid w:val="00E029FA"/>
    <w:rsid w:val="00E04179"/>
    <w:rsid w:val="00E04DE3"/>
    <w:rsid w:val="00E05991"/>
    <w:rsid w:val="00E06A99"/>
    <w:rsid w:val="00E06E08"/>
    <w:rsid w:val="00E10A7E"/>
    <w:rsid w:val="00E10C5B"/>
    <w:rsid w:val="00E11C35"/>
    <w:rsid w:val="00E13AB8"/>
    <w:rsid w:val="00E211C4"/>
    <w:rsid w:val="00E22816"/>
    <w:rsid w:val="00E22F43"/>
    <w:rsid w:val="00E230FD"/>
    <w:rsid w:val="00E23798"/>
    <w:rsid w:val="00E24DCE"/>
    <w:rsid w:val="00E24E1A"/>
    <w:rsid w:val="00E25CB3"/>
    <w:rsid w:val="00E263C0"/>
    <w:rsid w:val="00E265B7"/>
    <w:rsid w:val="00E308A1"/>
    <w:rsid w:val="00E30C68"/>
    <w:rsid w:val="00E3169E"/>
    <w:rsid w:val="00E323A4"/>
    <w:rsid w:val="00E32403"/>
    <w:rsid w:val="00E33B62"/>
    <w:rsid w:val="00E3604F"/>
    <w:rsid w:val="00E378A8"/>
    <w:rsid w:val="00E37911"/>
    <w:rsid w:val="00E4010D"/>
    <w:rsid w:val="00E4143A"/>
    <w:rsid w:val="00E41DA5"/>
    <w:rsid w:val="00E42F18"/>
    <w:rsid w:val="00E4341D"/>
    <w:rsid w:val="00E471D7"/>
    <w:rsid w:val="00E516F9"/>
    <w:rsid w:val="00E53C0C"/>
    <w:rsid w:val="00E53D8F"/>
    <w:rsid w:val="00E551B1"/>
    <w:rsid w:val="00E56A6F"/>
    <w:rsid w:val="00E56D69"/>
    <w:rsid w:val="00E6039E"/>
    <w:rsid w:val="00E6049C"/>
    <w:rsid w:val="00E60A8C"/>
    <w:rsid w:val="00E61AEE"/>
    <w:rsid w:val="00E62D5F"/>
    <w:rsid w:val="00E667E7"/>
    <w:rsid w:val="00E673D1"/>
    <w:rsid w:val="00E67555"/>
    <w:rsid w:val="00E67CC6"/>
    <w:rsid w:val="00E67FC7"/>
    <w:rsid w:val="00E7165F"/>
    <w:rsid w:val="00E75248"/>
    <w:rsid w:val="00E77C49"/>
    <w:rsid w:val="00E77DDF"/>
    <w:rsid w:val="00E8165D"/>
    <w:rsid w:val="00E83676"/>
    <w:rsid w:val="00E8398C"/>
    <w:rsid w:val="00E85963"/>
    <w:rsid w:val="00E8759D"/>
    <w:rsid w:val="00E87C04"/>
    <w:rsid w:val="00E95221"/>
    <w:rsid w:val="00EA0B3F"/>
    <w:rsid w:val="00EA1DFE"/>
    <w:rsid w:val="00EA3A6A"/>
    <w:rsid w:val="00EA6358"/>
    <w:rsid w:val="00EA63B7"/>
    <w:rsid w:val="00EA76CC"/>
    <w:rsid w:val="00EB203A"/>
    <w:rsid w:val="00EB339C"/>
    <w:rsid w:val="00EB49E9"/>
    <w:rsid w:val="00EB4E04"/>
    <w:rsid w:val="00EB6BC7"/>
    <w:rsid w:val="00EB7BAF"/>
    <w:rsid w:val="00EC02E9"/>
    <w:rsid w:val="00EC07B9"/>
    <w:rsid w:val="00EC1F51"/>
    <w:rsid w:val="00EC5B15"/>
    <w:rsid w:val="00EC5DE4"/>
    <w:rsid w:val="00EC6C6C"/>
    <w:rsid w:val="00ED030F"/>
    <w:rsid w:val="00ED069A"/>
    <w:rsid w:val="00ED137B"/>
    <w:rsid w:val="00ED229D"/>
    <w:rsid w:val="00ED5EFB"/>
    <w:rsid w:val="00ED66AF"/>
    <w:rsid w:val="00ED77CC"/>
    <w:rsid w:val="00EE1B23"/>
    <w:rsid w:val="00EE59B5"/>
    <w:rsid w:val="00EE5DF7"/>
    <w:rsid w:val="00EE6F2B"/>
    <w:rsid w:val="00EF2BA2"/>
    <w:rsid w:val="00EF3228"/>
    <w:rsid w:val="00EF3A51"/>
    <w:rsid w:val="00EF58EE"/>
    <w:rsid w:val="00F0086F"/>
    <w:rsid w:val="00F01F44"/>
    <w:rsid w:val="00F02DE3"/>
    <w:rsid w:val="00F0318A"/>
    <w:rsid w:val="00F032A9"/>
    <w:rsid w:val="00F03817"/>
    <w:rsid w:val="00F1003E"/>
    <w:rsid w:val="00F11E0E"/>
    <w:rsid w:val="00F12C0B"/>
    <w:rsid w:val="00F132C2"/>
    <w:rsid w:val="00F13DC5"/>
    <w:rsid w:val="00F14845"/>
    <w:rsid w:val="00F1742F"/>
    <w:rsid w:val="00F23B21"/>
    <w:rsid w:val="00F23E3A"/>
    <w:rsid w:val="00F24412"/>
    <w:rsid w:val="00F26C32"/>
    <w:rsid w:val="00F275DA"/>
    <w:rsid w:val="00F27FB1"/>
    <w:rsid w:val="00F30C87"/>
    <w:rsid w:val="00F31A6E"/>
    <w:rsid w:val="00F32E6C"/>
    <w:rsid w:val="00F3318F"/>
    <w:rsid w:val="00F34399"/>
    <w:rsid w:val="00F358DD"/>
    <w:rsid w:val="00F376A3"/>
    <w:rsid w:val="00F37829"/>
    <w:rsid w:val="00F378FF"/>
    <w:rsid w:val="00F41C3E"/>
    <w:rsid w:val="00F42770"/>
    <w:rsid w:val="00F431BE"/>
    <w:rsid w:val="00F44920"/>
    <w:rsid w:val="00F44E08"/>
    <w:rsid w:val="00F45492"/>
    <w:rsid w:val="00F45C5C"/>
    <w:rsid w:val="00F50FAB"/>
    <w:rsid w:val="00F5291B"/>
    <w:rsid w:val="00F545CE"/>
    <w:rsid w:val="00F54F42"/>
    <w:rsid w:val="00F561C2"/>
    <w:rsid w:val="00F562FB"/>
    <w:rsid w:val="00F603CC"/>
    <w:rsid w:val="00F62DFF"/>
    <w:rsid w:val="00F634F2"/>
    <w:rsid w:val="00F6417E"/>
    <w:rsid w:val="00F660B1"/>
    <w:rsid w:val="00F672AC"/>
    <w:rsid w:val="00F673F5"/>
    <w:rsid w:val="00F676FB"/>
    <w:rsid w:val="00F7036D"/>
    <w:rsid w:val="00F71603"/>
    <w:rsid w:val="00F72043"/>
    <w:rsid w:val="00F73D90"/>
    <w:rsid w:val="00F74CF2"/>
    <w:rsid w:val="00F7523B"/>
    <w:rsid w:val="00F8082A"/>
    <w:rsid w:val="00F84899"/>
    <w:rsid w:val="00F84D74"/>
    <w:rsid w:val="00F859F0"/>
    <w:rsid w:val="00F8669E"/>
    <w:rsid w:val="00F86F03"/>
    <w:rsid w:val="00F87AEE"/>
    <w:rsid w:val="00F902D7"/>
    <w:rsid w:val="00F902F8"/>
    <w:rsid w:val="00F90481"/>
    <w:rsid w:val="00F909ED"/>
    <w:rsid w:val="00F93217"/>
    <w:rsid w:val="00F935FB"/>
    <w:rsid w:val="00F95890"/>
    <w:rsid w:val="00F95F68"/>
    <w:rsid w:val="00F97ECF"/>
    <w:rsid w:val="00FA039C"/>
    <w:rsid w:val="00FA071D"/>
    <w:rsid w:val="00FA1298"/>
    <w:rsid w:val="00FA12FD"/>
    <w:rsid w:val="00FA19FB"/>
    <w:rsid w:val="00FA20E6"/>
    <w:rsid w:val="00FA2863"/>
    <w:rsid w:val="00FB1417"/>
    <w:rsid w:val="00FB6A61"/>
    <w:rsid w:val="00FC0CD0"/>
    <w:rsid w:val="00FC100F"/>
    <w:rsid w:val="00FC1A5C"/>
    <w:rsid w:val="00FC1D2E"/>
    <w:rsid w:val="00FC3C98"/>
    <w:rsid w:val="00FC53F2"/>
    <w:rsid w:val="00FD1B9A"/>
    <w:rsid w:val="00FD25AA"/>
    <w:rsid w:val="00FD29A3"/>
    <w:rsid w:val="00FD2BA2"/>
    <w:rsid w:val="00FD34E4"/>
    <w:rsid w:val="00FD385C"/>
    <w:rsid w:val="00FD4D9B"/>
    <w:rsid w:val="00FD61AC"/>
    <w:rsid w:val="00FD630C"/>
    <w:rsid w:val="00FD71E5"/>
    <w:rsid w:val="00FD75E0"/>
    <w:rsid w:val="00FD7D67"/>
    <w:rsid w:val="00FD7E1D"/>
    <w:rsid w:val="00FE01B6"/>
    <w:rsid w:val="00FE141E"/>
    <w:rsid w:val="00FE19F3"/>
    <w:rsid w:val="00FE3BCC"/>
    <w:rsid w:val="00FE3E0A"/>
    <w:rsid w:val="00FE42ED"/>
    <w:rsid w:val="00FE455B"/>
    <w:rsid w:val="00FE6D4C"/>
    <w:rsid w:val="00FE7555"/>
    <w:rsid w:val="00FF0706"/>
    <w:rsid w:val="00FF208F"/>
    <w:rsid w:val="00FF2F4B"/>
    <w:rsid w:val="00FF5251"/>
    <w:rsid w:val="00FF683C"/>
    <w:rsid w:val="00FF69D5"/>
    <w:rsid w:val="530BC09D"/>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74FF"/>
    <w:pPr>
      <w:spacing w:after="0" w:line="240" w:lineRule="auto"/>
    </w:pPr>
    <w:rPr>
      <w:rFonts w:ascii="Times New Roman" w:eastAsia="Times New Roman" w:hAnsi="Times New Roman" w:cs="Times New Roman"/>
      <w:sz w:val="24"/>
      <w:szCs w:val="24"/>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
    <w:basedOn w:val="Fuentedeprrafopredeter"/>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j">
    <w:name w:val="b_aj"/>
    <w:basedOn w:val="Fuentedeprrafopredeter"/>
    <w:rsid w:val="00F72043"/>
  </w:style>
  <w:style w:type="character" w:customStyle="1" w:styleId="iaj">
    <w:name w:val="i_aj"/>
    <w:basedOn w:val="Fuentedeprrafopredeter"/>
    <w:rsid w:val="00F72043"/>
  </w:style>
  <w:style w:type="character" w:styleId="Textoennegrita">
    <w:name w:val="Strong"/>
    <w:basedOn w:val="Fuentedeprrafopredeter"/>
    <w:uiPriority w:val="22"/>
    <w:qFormat/>
    <w:rsid w:val="00520695"/>
    <w:rPr>
      <w:b/>
      <w:bCs/>
    </w:rPr>
  </w:style>
  <w:style w:type="character" w:customStyle="1" w:styleId="Mencinsinresolver1">
    <w:name w:val="Mención sin resolver1"/>
    <w:basedOn w:val="Fuentedeprrafopredeter"/>
    <w:uiPriority w:val="99"/>
    <w:semiHidden/>
    <w:unhideWhenUsed/>
    <w:rsid w:val="00D2477E"/>
    <w:rPr>
      <w:color w:val="605E5C"/>
      <w:shd w:val="clear" w:color="auto" w:fill="E1DFDD"/>
    </w:rPr>
  </w:style>
  <w:style w:type="paragraph" w:customStyle="1" w:styleId="InviasNormal">
    <w:name w:val="Invias Normal"/>
    <w:basedOn w:val="Normal"/>
    <w:link w:val="InviasNormalCar"/>
    <w:qFormat/>
    <w:rsid w:val="00A230AD"/>
    <w:pPr>
      <w:tabs>
        <w:tab w:val="left" w:pos="-142"/>
      </w:tabs>
      <w:autoSpaceDE w:val="0"/>
      <w:autoSpaceDN w:val="0"/>
      <w:adjustRightInd w:val="0"/>
      <w:spacing w:before="120" w:after="240"/>
      <w:jc w:val="both"/>
    </w:pPr>
    <w:rPr>
      <w:rFonts w:ascii="Arial Narrow" w:hAnsi="Arial Narrow"/>
      <w:color w:val="3C3C3C" w:themeColor="background2" w:themeShade="40"/>
      <w:lang w:val="x-none" w:eastAsia="es-ES"/>
    </w:rPr>
  </w:style>
  <w:style w:type="character" w:customStyle="1" w:styleId="InviasNormalCar">
    <w:name w:val="Invias Normal Car"/>
    <w:link w:val="InviasNormal"/>
    <w:locked/>
    <w:rsid w:val="00A230AD"/>
    <w:rPr>
      <w:rFonts w:ascii="Arial Narrow" w:eastAsia="Times New Roman" w:hAnsi="Arial Narrow" w:cs="Times New Roman"/>
      <w:color w:val="3C3C3C" w:themeColor="background2" w:themeShade="40"/>
      <w:sz w:val="24"/>
      <w:szCs w:val="24"/>
      <w:lang w:val="x-none" w:eastAsia="es-ES"/>
    </w:rPr>
  </w:style>
  <w:style w:type="paragraph" w:customStyle="1" w:styleId="Capitulo3">
    <w:name w:val="Capitulo 3"/>
    <w:basedOn w:val="Normal"/>
    <w:qFormat/>
    <w:rsid w:val="00A230AD"/>
    <w:pPr>
      <w:keepNext/>
      <w:numPr>
        <w:numId w:val="10"/>
      </w:numPr>
      <w:spacing w:before="120" w:after="200" w:line="276" w:lineRule="auto"/>
      <w:outlineLvl w:val="1"/>
    </w:pPr>
    <w:rPr>
      <w:rFonts w:ascii="Arial" w:hAnsi="Arial" w:cs="Arial"/>
      <w:b/>
      <w:color w:val="000000"/>
      <w:sz w:val="20"/>
      <w:szCs w:val="20"/>
      <w:lang w:eastAsia="es-CO"/>
    </w:rPr>
  </w:style>
  <w:style w:type="character" w:customStyle="1" w:styleId="NormalWebCar">
    <w:name w:val="Normal (Web) Car"/>
    <w:link w:val="NormalWeb"/>
    <w:uiPriority w:val="99"/>
    <w:rsid w:val="0071470C"/>
    <w:rPr>
      <w:rFonts w:ascii="Times New Roman" w:eastAsia="Times New Roman" w:hAnsi="Times New Roman" w:cs="Times New Roman"/>
      <w:sz w:val="24"/>
      <w:szCs w:val="24"/>
      <w:lang w:eastAsia="es-CO"/>
    </w:rPr>
  </w:style>
  <w:style w:type="character" w:styleId="Textodelmarcadordeposicin">
    <w:name w:val="Placeholder Text"/>
    <w:basedOn w:val="Fuentedeprrafopredeter"/>
    <w:uiPriority w:val="99"/>
    <w:semiHidden/>
    <w:rsid w:val="00FD7E1D"/>
    <w:rPr>
      <w:color w:val="808080"/>
    </w:rPr>
  </w:style>
  <w:style w:type="paragraph" w:styleId="Textoindependiente">
    <w:name w:val="Body Text"/>
    <w:basedOn w:val="Normal"/>
    <w:link w:val="TextoindependienteCar"/>
    <w:uiPriority w:val="1"/>
    <w:qFormat/>
    <w:rsid w:val="00D12D91"/>
    <w:pPr>
      <w:widowControl w:val="0"/>
      <w:autoSpaceDE w:val="0"/>
      <w:autoSpaceDN w:val="0"/>
    </w:pPr>
    <w:rPr>
      <w:rFonts w:ascii="Arial" w:eastAsia="Arial" w:hAnsi="Arial" w:cs="Arial"/>
      <w:sz w:val="20"/>
      <w:szCs w:val="20"/>
      <w:lang w:val="es-ES" w:eastAsia="es-ES" w:bidi="es-ES"/>
    </w:rPr>
  </w:style>
  <w:style w:type="character" w:customStyle="1" w:styleId="TextoindependienteCar">
    <w:name w:val="Texto independiente Car"/>
    <w:basedOn w:val="Fuentedeprrafopredeter"/>
    <w:link w:val="Textoindependiente"/>
    <w:uiPriority w:val="1"/>
    <w:rsid w:val="00D12D91"/>
    <w:rPr>
      <w:rFonts w:ascii="Arial" w:eastAsia="Arial" w:hAnsi="Arial" w:cs="Arial"/>
      <w:sz w:val="20"/>
      <w:szCs w:val="20"/>
      <w:lang w:val="es-ES" w:eastAsia="es-ES" w:bidi="es-ES"/>
    </w:rPr>
  </w:style>
  <w:style w:type="paragraph" w:customStyle="1" w:styleId="Default">
    <w:name w:val="Default"/>
    <w:rsid w:val="0070578D"/>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67305">
      <w:bodyDiv w:val="1"/>
      <w:marLeft w:val="0"/>
      <w:marRight w:val="0"/>
      <w:marTop w:val="0"/>
      <w:marBottom w:val="0"/>
      <w:divBdr>
        <w:top w:val="none" w:sz="0" w:space="0" w:color="auto"/>
        <w:left w:val="none" w:sz="0" w:space="0" w:color="auto"/>
        <w:bottom w:val="none" w:sz="0" w:space="0" w:color="auto"/>
        <w:right w:val="none" w:sz="0" w:space="0" w:color="auto"/>
      </w:divBdr>
    </w:div>
    <w:div w:id="16125906">
      <w:bodyDiv w:val="1"/>
      <w:marLeft w:val="0"/>
      <w:marRight w:val="0"/>
      <w:marTop w:val="0"/>
      <w:marBottom w:val="0"/>
      <w:divBdr>
        <w:top w:val="none" w:sz="0" w:space="0" w:color="auto"/>
        <w:left w:val="none" w:sz="0" w:space="0" w:color="auto"/>
        <w:bottom w:val="none" w:sz="0" w:space="0" w:color="auto"/>
        <w:right w:val="none" w:sz="0" w:space="0" w:color="auto"/>
      </w:divBdr>
    </w:div>
    <w:div w:id="28799947">
      <w:bodyDiv w:val="1"/>
      <w:marLeft w:val="0"/>
      <w:marRight w:val="0"/>
      <w:marTop w:val="0"/>
      <w:marBottom w:val="0"/>
      <w:divBdr>
        <w:top w:val="none" w:sz="0" w:space="0" w:color="auto"/>
        <w:left w:val="none" w:sz="0" w:space="0" w:color="auto"/>
        <w:bottom w:val="none" w:sz="0" w:space="0" w:color="auto"/>
        <w:right w:val="none" w:sz="0" w:space="0" w:color="auto"/>
      </w:divBdr>
    </w:div>
    <w:div w:id="28801859">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59326511">
      <w:bodyDiv w:val="1"/>
      <w:marLeft w:val="0"/>
      <w:marRight w:val="0"/>
      <w:marTop w:val="0"/>
      <w:marBottom w:val="0"/>
      <w:divBdr>
        <w:top w:val="none" w:sz="0" w:space="0" w:color="auto"/>
        <w:left w:val="none" w:sz="0" w:space="0" w:color="auto"/>
        <w:bottom w:val="none" w:sz="0" w:space="0" w:color="auto"/>
        <w:right w:val="none" w:sz="0" w:space="0" w:color="auto"/>
      </w:divBdr>
    </w:div>
    <w:div w:id="123083174">
      <w:bodyDiv w:val="1"/>
      <w:marLeft w:val="0"/>
      <w:marRight w:val="0"/>
      <w:marTop w:val="0"/>
      <w:marBottom w:val="0"/>
      <w:divBdr>
        <w:top w:val="none" w:sz="0" w:space="0" w:color="auto"/>
        <w:left w:val="none" w:sz="0" w:space="0" w:color="auto"/>
        <w:bottom w:val="none" w:sz="0" w:space="0" w:color="auto"/>
        <w:right w:val="none" w:sz="0" w:space="0" w:color="auto"/>
      </w:divBdr>
    </w:div>
    <w:div w:id="144980232">
      <w:bodyDiv w:val="1"/>
      <w:marLeft w:val="0"/>
      <w:marRight w:val="0"/>
      <w:marTop w:val="0"/>
      <w:marBottom w:val="0"/>
      <w:divBdr>
        <w:top w:val="none" w:sz="0" w:space="0" w:color="auto"/>
        <w:left w:val="none" w:sz="0" w:space="0" w:color="auto"/>
        <w:bottom w:val="none" w:sz="0" w:space="0" w:color="auto"/>
        <w:right w:val="none" w:sz="0" w:space="0" w:color="auto"/>
      </w:divBdr>
    </w:div>
    <w:div w:id="151652217">
      <w:bodyDiv w:val="1"/>
      <w:marLeft w:val="0"/>
      <w:marRight w:val="0"/>
      <w:marTop w:val="0"/>
      <w:marBottom w:val="0"/>
      <w:divBdr>
        <w:top w:val="none" w:sz="0" w:space="0" w:color="auto"/>
        <w:left w:val="none" w:sz="0" w:space="0" w:color="auto"/>
        <w:bottom w:val="none" w:sz="0" w:space="0" w:color="auto"/>
        <w:right w:val="none" w:sz="0" w:space="0" w:color="auto"/>
      </w:divBdr>
    </w:div>
    <w:div w:id="158815170">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80701427">
      <w:bodyDiv w:val="1"/>
      <w:marLeft w:val="0"/>
      <w:marRight w:val="0"/>
      <w:marTop w:val="0"/>
      <w:marBottom w:val="0"/>
      <w:divBdr>
        <w:top w:val="none" w:sz="0" w:space="0" w:color="auto"/>
        <w:left w:val="none" w:sz="0" w:space="0" w:color="auto"/>
        <w:bottom w:val="none" w:sz="0" w:space="0" w:color="auto"/>
        <w:right w:val="none" w:sz="0" w:space="0" w:color="auto"/>
      </w:divBdr>
    </w:div>
    <w:div w:id="228734798">
      <w:bodyDiv w:val="1"/>
      <w:marLeft w:val="0"/>
      <w:marRight w:val="0"/>
      <w:marTop w:val="0"/>
      <w:marBottom w:val="0"/>
      <w:divBdr>
        <w:top w:val="none" w:sz="0" w:space="0" w:color="auto"/>
        <w:left w:val="none" w:sz="0" w:space="0" w:color="auto"/>
        <w:bottom w:val="none" w:sz="0" w:space="0" w:color="auto"/>
        <w:right w:val="none" w:sz="0" w:space="0" w:color="auto"/>
      </w:divBdr>
    </w:div>
    <w:div w:id="242111778">
      <w:bodyDiv w:val="1"/>
      <w:marLeft w:val="0"/>
      <w:marRight w:val="0"/>
      <w:marTop w:val="0"/>
      <w:marBottom w:val="0"/>
      <w:divBdr>
        <w:top w:val="none" w:sz="0" w:space="0" w:color="auto"/>
        <w:left w:val="none" w:sz="0" w:space="0" w:color="auto"/>
        <w:bottom w:val="none" w:sz="0" w:space="0" w:color="auto"/>
        <w:right w:val="none" w:sz="0" w:space="0" w:color="auto"/>
      </w:divBdr>
    </w:div>
    <w:div w:id="2645786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303245686">
      <w:bodyDiv w:val="1"/>
      <w:marLeft w:val="0"/>
      <w:marRight w:val="0"/>
      <w:marTop w:val="0"/>
      <w:marBottom w:val="0"/>
      <w:divBdr>
        <w:top w:val="none" w:sz="0" w:space="0" w:color="auto"/>
        <w:left w:val="none" w:sz="0" w:space="0" w:color="auto"/>
        <w:bottom w:val="none" w:sz="0" w:space="0" w:color="auto"/>
        <w:right w:val="none" w:sz="0" w:space="0" w:color="auto"/>
      </w:divBdr>
    </w:div>
    <w:div w:id="325403141">
      <w:bodyDiv w:val="1"/>
      <w:marLeft w:val="0"/>
      <w:marRight w:val="0"/>
      <w:marTop w:val="0"/>
      <w:marBottom w:val="0"/>
      <w:divBdr>
        <w:top w:val="none" w:sz="0" w:space="0" w:color="auto"/>
        <w:left w:val="none" w:sz="0" w:space="0" w:color="auto"/>
        <w:bottom w:val="none" w:sz="0" w:space="0" w:color="auto"/>
        <w:right w:val="none" w:sz="0" w:space="0" w:color="auto"/>
      </w:divBdr>
    </w:div>
    <w:div w:id="335574819">
      <w:bodyDiv w:val="1"/>
      <w:marLeft w:val="0"/>
      <w:marRight w:val="0"/>
      <w:marTop w:val="0"/>
      <w:marBottom w:val="0"/>
      <w:divBdr>
        <w:top w:val="none" w:sz="0" w:space="0" w:color="auto"/>
        <w:left w:val="none" w:sz="0" w:space="0" w:color="auto"/>
        <w:bottom w:val="none" w:sz="0" w:space="0" w:color="auto"/>
        <w:right w:val="none" w:sz="0" w:space="0" w:color="auto"/>
      </w:divBdr>
    </w:div>
    <w:div w:id="342702889">
      <w:bodyDiv w:val="1"/>
      <w:marLeft w:val="0"/>
      <w:marRight w:val="0"/>
      <w:marTop w:val="0"/>
      <w:marBottom w:val="0"/>
      <w:divBdr>
        <w:top w:val="none" w:sz="0" w:space="0" w:color="auto"/>
        <w:left w:val="none" w:sz="0" w:space="0" w:color="auto"/>
        <w:bottom w:val="none" w:sz="0" w:space="0" w:color="auto"/>
        <w:right w:val="none" w:sz="0" w:space="0" w:color="auto"/>
      </w:divBdr>
    </w:div>
    <w:div w:id="361593297">
      <w:bodyDiv w:val="1"/>
      <w:marLeft w:val="0"/>
      <w:marRight w:val="0"/>
      <w:marTop w:val="0"/>
      <w:marBottom w:val="0"/>
      <w:divBdr>
        <w:top w:val="none" w:sz="0" w:space="0" w:color="auto"/>
        <w:left w:val="none" w:sz="0" w:space="0" w:color="auto"/>
        <w:bottom w:val="none" w:sz="0" w:space="0" w:color="auto"/>
        <w:right w:val="none" w:sz="0" w:space="0" w:color="auto"/>
      </w:divBdr>
    </w:div>
    <w:div w:id="413825589">
      <w:bodyDiv w:val="1"/>
      <w:marLeft w:val="0"/>
      <w:marRight w:val="0"/>
      <w:marTop w:val="0"/>
      <w:marBottom w:val="0"/>
      <w:divBdr>
        <w:top w:val="none" w:sz="0" w:space="0" w:color="auto"/>
        <w:left w:val="none" w:sz="0" w:space="0" w:color="auto"/>
        <w:bottom w:val="none" w:sz="0" w:space="0" w:color="auto"/>
        <w:right w:val="none" w:sz="0" w:space="0" w:color="auto"/>
      </w:divBdr>
    </w:div>
    <w:div w:id="458647536">
      <w:bodyDiv w:val="1"/>
      <w:marLeft w:val="0"/>
      <w:marRight w:val="0"/>
      <w:marTop w:val="0"/>
      <w:marBottom w:val="0"/>
      <w:divBdr>
        <w:top w:val="none" w:sz="0" w:space="0" w:color="auto"/>
        <w:left w:val="none" w:sz="0" w:space="0" w:color="auto"/>
        <w:bottom w:val="none" w:sz="0" w:space="0" w:color="auto"/>
        <w:right w:val="none" w:sz="0" w:space="0" w:color="auto"/>
      </w:divBdr>
    </w:div>
    <w:div w:id="468400294">
      <w:bodyDiv w:val="1"/>
      <w:marLeft w:val="0"/>
      <w:marRight w:val="0"/>
      <w:marTop w:val="0"/>
      <w:marBottom w:val="0"/>
      <w:divBdr>
        <w:top w:val="none" w:sz="0" w:space="0" w:color="auto"/>
        <w:left w:val="none" w:sz="0" w:space="0" w:color="auto"/>
        <w:bottom w:val="none" w:sz="0" w:space="0" w:color="auto"/>
        <w:right w:val="none" w:sz="0" w:space="0" w:color="auto"/>
      </w:divBdr>
    </w:div>
    <w:div w:id="499078524">
      <w:bodyDiv w:val="1"/>
      <w:marLeft w:val="0"/>
      <w:marRight w:val="0"/>
      <w:marTop w:val="0"/>
      <w:marBottom w:val="0"/>
      <w:divBdr>
        <w:top w:val="none" w:sz="0" w:space="0" w:color="auto"/>
        <w:left w:val="none" w:sz="0" w:space="0" w:color="auto"/>
        <w:bottom w:val="none" w:sz="0" w:space="0" w:color="auto"/>
        <w:right w:val="none" w:sz="0" w:space="0" w:color="auto"/>
      </w:divBdr>
    </w:div>
    <w:div w:id="545340714">
      <w:bodyDiv w:val="1"/>
      <w:marLeft w:val="0"/>
      <w:marRight w:val="0"/>
      <w:marTop w:val="0"/>
      <w:marBottom w:val="0"/>
      <w:divBdr>
        <w:top w:val="none" w:sz="0" w:space="0" w:color="auto"/>
        <w:left w:val="none" w:sz="0" w:space="0" w:color="auto"/>
        <w:bottom w:val="none" w:sz="0" w:space="0" w:color="auto"/>
        <w:right w:val="none" w:sz="0" w:space="0" w:color="auto"/>
      </w:divBdr>
    </w:div>
    <w:div w:id="583757767">
      <w:bodyDiv w:val="1"/>
      <w:marLeft w:val="0"/>
      <w:marRight w:val="0"/>
      <w:marTop w:val="0"/>
      <w:marBottom w:val="0"/>
      <w:divBdr>
        <w:top w:val="none" w:sz="0" w:space="0" w:color="auto"/>
        <w:left w:val="none" w:sz="0" w:space="0" w:color="auto"/>
        <w:bottom w:val="none" w:sz="0" w:space="0" w:color="auto"/>
        <w:right w:val="none" w:sz="0" w:space="0" w:color="auto"/>
      </w:divBdr>
    </w:div>
    <w:div w:id="617835004">
      <w:bodyDiv w:val="1"/>
      <w:marLeft w:val="0"/>
      <w:marRight w:val="0"/>
      <w:marTop w:val="0"/>
      <w:marBottom w:val="0"/>
      <w:divBdr>
        <w:top w:val="none" w:sz="0" w:space="0" w:color="auto"/>
        <w:left w:val="none" w:sz="0" w:space="0" w:color="auto"/>
        <w:bottom w:val="none" w:sz="0" w:space="0" w:color="auto"/>
        <w:right w:val="none" w:sz="0" w:space="0" w:color="auto"/>
      </w:divBdr>
    </w:div>
    <w:div w:id="679626875">
      <w:bodyDiv w:val="1"/>
      <w:marLeft w:val="0"/>
      <w:marRight w:val="0"/>
      <w:marTop w:val="0"/>
      <w:marBottom w:val="0"/>
      <w:divBdr>
        <w:top w:val="none" w:sz="0" w:space="0" w:color="auto"/>
        <w:left w:val="none" w:sz="0" w:space="0" w:color="auto"/>
        <w:bottom w:val="none" w:sz="0" w:space="0" w:color="auto"/>
        <w:right w:val="none" w:sz="0" w:space="0" w:color="auto"/>
      </w:divBdr>
    </w:div>
    <w:div w:id="700976589">
      <w:bodyDiv w:val="1"/>
      <w:marLeft w:val="0"/>
      <w:marRight w:val="0"/>
      <w:marTop w:val="0"/>
      <w:marBottom w:val="0"/>
      <w:divBdr>
        <w:top w:val="none" w:sz="0" w:space="0" w:color="auto"/>
        <w:left w:val="none" w:sz="0" w:space="0" w:color="auto"/>
        <w:bottom w:val="none" w:sz="0" w:space="0" w:color="auto"/>
        <w:right w:val="none" w:sz="0" w:space="0" w:color="auto"/>
      </w:divBdr>
    </w:div>
    <w:div w:id="705955107">
      <w:bodyDiv w:val="1"/>
      <w:marLeft w:val="0"/>
      <w:marRight w:val="0"/>
      <w:marTop w:val="0"/>
      <w:marBottom w:val="0"/>
      <w:divBdr>
        <w:top w:val="none" w:sz="0" w:space="0" w:color="auto"/>
        <w:left w:val="none" w:sz="0" w:space="0" w:color="auto"/>
        <w:bottom w:val="none" w:sz="0" w:space="0" w:color="auto"/>
        <w:right w:val="none" w:sz="0" w:space="0" w:color="auto"/>
      </w:divBdr>
    </w:div>
    <w:div w:id="747921652">
      <w:bodyDiv w:val="1"/>
      <w:marLeft w:val="0"/>
      <w:marRight w:val="0"/>
      <w:marTop w:val="0"/>
      <w:marBottom w:val="0"/>
      <w:divBdr>
        <w:top w:val="none" w:sz="0" w:space="0" w:color="auto"/>
        <w:left w:val="none" w:sz="0" w:space="0" w:color="auto"/>
        <w:bottom w:val="none" w:sz="0" w:space="0" w:color="auto"/>
        <w:right w:val="none" w:sz="0" w:space="0" w:color="auto"/>
      </w:divBdr>
    </w:div>
    <w:div w:id="757747170">
      <w:bodyDiv w:val="1"/>
      <w:marLeft w:val="0"/>
      <w:marRight w:val="0"/>
      <w:marTop w:val="0"/>
      <w:marBottom w:val="0"/>
      <w:divBdr>
        <w:top w:val="none" w:sz="0" w:space="0" w:color="auto"/>
        <w:left w:val="none" w:sz="0" w:space="0" w:color="auto"/>
        <w:bottom w:val="none" w:sz="0" w:space="0" w:color="auto"/>
        <w:right w:val="none" w:sz="0" w:space="0" w:color="auto"/>
      </w:divBdr>
    </w:div>
    <w:div w:id="824666425">
      <w:bodyDiv w:val="1"/>
      <w:marLeft w:val="0"/>
      <w:marRight w:val="0"/>
      <w:marTop w:val="0"/>
      <w:marBottom w:val="0"/>
      <w:divBdr>
        <w:top w:val="none" w:sz="0" w:space="0" w:color="auto"/>
        <w:left w:val="none" w:sz="0" w:space="0" w:color="auto"/>
        <w:bottom w:val="none" w:sz="0" w:space="0" w:color="auto"/>
        <w:right w:val="none" w:sz="0" w:space="0" w:color="auto"/>
      </w:divBdr>
    </w:div>
    <w:div w:id="836190382">
      <w:bodyDiv w:val="1"/>
      <w:marLeft w:val="0"/>
      <w:marRight w:val="0"/>
      <w:marTop w:val="0"/>
      <w:marBottom w:val="0"/>
      <w:divBdr>
        <w:top w:val="none" w:sz="0" w:space="0" w:color="auto"/>
        <w:left w:val="none" w:sz="0" w:space="0" w:color="auto"/>
        <w:bottom w:val="none" w:sz="0" w:space="0" w:color="auto"/>
        <w:right w:val="none" w:sz="0" w:space="0" w:color="auto"/>
      </w:divBdr>
    </w:div>
    <w:div w:id="893464468">
      <w:bodyDiv w:val="1"/>
      <w:marLeft w:val="0"/>
      <w:marRight w:val="0"/>
      <w:marTop w:val="0"/>
      <w:marBottom w:val="0"/>
      <w:divBdr>
        <w:top w:val="none" w:sz="0" w:space="0" w:color="auto"/>
        <w:left w:val="none" w:sz="0" w:space="0" w:color="auto"/>
        <w:bottom w:val="none" w:sz="0" w:space="0" w:color="auto"/>
        <w:right w:val="none" w:sz="0" w:space="0" w:color="auto"/>
      </w:divBdr>
    </w:div>
    <w:div w:id="923994922">
      <w:bodyDiv w:val="1"/>
      <w:marLeft w:val="0"/>
      <w:marRight w:val="0"/>
      <w:marTop w:val="0"/>
      <w:marBottom w:val="0"/>
      <w:divBdr>
        <w:top w:val="none" w:sz="0" w:space="0" w:color="auto"/>
        <w:left w:val="none" w:sz="0" w:space="0" w:color="auto"/>
        <w:bottom w:val="none" w:sz="0" w:space="0" w:color="auto"/>
        <w:right w:val="none" w:sz="0" w:space="0" w:color="auto"/>
      </w:divBdr>
    </w:div>
    <w:div w:id="929966820">
      <w:bodyDiv w:val="1"/>
      <w:marLeft w:val="0"/>
      <w:marRight w:val="0"/>
      <w:marTop w:val="0"/>
      <w:marBottom w:val="0"/>
      <w:divBdr>
        <w:top w:val="none" w:sz="0" w:space="0" w:color="auto"/>
        <w:left w:val="none" w:sz="0" w:space="0" w:color="auto"/>
        <w:bottom w:val="none" w:sz="0" w:space="0" w:color="auto"/>
        <w:right w:val="none" w:sz="0" w:space="0" w:color="auto"/>
      </w:divBdr>
    </w:div>
    <w:div w:id="944772892">
      <w:bodyDiv w:val="1"/>
      <w:marLeft w:val="0"/>
      <w:marRight w:val="0"/>
      <w:marTop w:val="0"/>
      <w:marBottom w:val="0"/>
      <w:divBdr>
        <w:top w:val="none" w:sz="0" w:space="0" w:color="auto"/>
        <w:left w:val="none" w:sz="0" w:space="0" w:color="auto"/>
        <w:bottom w:val="none" w:sz="0" w:space="0" w:color="auto"/>
        <w:right w:val="none" w:sz="0" w:space="0" w:color="auto"/>
      </w:divBdr>
    </w:div>
    <w:div w:id="977882652">
      <w:bodyDiv w:val="1"/>
      <w:marLeft w:val="0"/>
      <w:marRight w:val="0"/>
      <w:marTop w:val="0"/>
      <w:marBottom w:val="0"/>
      <w:divBdr>
        <w:top w:val="none" w:sz="0" w:space="0" w:color="auto"/>
        <w:left w:val="none" w:sz="0" w:space="0" w:color="auto"/>
        <w:bottom w:val="none" w:sz="0" w:space="0" w:color="auto"/>
        <w:right w:val="none" w:sz="0" w:space="0" w:color="auto"/>
      </w:divBdr>
    </w:div>
    <w:div w:id="978270207">
      <w:bodyDiv w:val="1"/>
      <w:marLeft w:val="0"/>
      <w:marRight w:val="0"/>
      <w:marTop w:val="0"/>
      <w:marBottom w:val="0"/>
      <w:divBdr>
        <w:top w:val="none" w:sz="0" w:space="0" w:color="auto"/>
        <w:left w:val="none" w:sz="0" w:space="0" w:color="auto"/>
        <w:bottom w:val="none" w:sz="0" w:space="0" w:color="auto"/>
        <w:right w:val="none" w:sz="0" w:space="0" w:color="auto"/>
      </w:divBdr>
    </w:div>
    <w:div w:id="989939260">
      <w:bodyDiv w:val="1"/>
      <w:marLeft w:val="0"/>
      <w:marRight w:val="0"/>
      <w:marTop w:val="0"/>
      <w:marBottom w:val="0"/>
      <w:divBdr>
        <w:top w:val="none" w:sz="0" w:space="0" w:color="auto"/>
        <w:left w:val="none" w:sz="0" w:space="0" w:color="auto"/>
        <w:bottom w:val="none" w:sz="0" w:space="0" w:color="auto"/>
        <w:right w:val="none" w:sz="0" w:space="0" w:color="auto"/>
      </w:divBdr>
    </w:div>
    <w:div w:id="997659016">
      <w:bodyDiv w:val="1"/>
      <w:marLeft w:val="0"/>
      <w:marRight w:val="0"/>
      <w:marTop w:val="0"/>
      <w:marBottom w:val="0"/>
      <w:divBdr>
        <w:top w:val="none" w:sz="0" w:space="0" w:color="auto"/>
        <w:left w:val="none" w:sz="0" w:space="0" w:color="auto"/>
        <w:bottom w:val="none" w:sz="0" w:space="0" w:color="auto"/>
        <w:right w:val="none" w:sz="0" w:space="0" w:color="auto"/>
      </w:divBdr>
    </w:div>
    <w:div w:id="998772356">
      <w:bodyDiv w:val="1"/>
      <w:marLeft w:val="0"/>
      <w:marRight w:val="0"/>
      <w:marTop w:val="0"/>
      <w:marBottom w:val="0"/>
      <w:divBdr>
        <w:top w:val="none" w:sz="0" w:space="0" w:color="auto"/>
        <w:left w:val="none" w:sz="0" w:space="0" w:color="auto"/>
        <w:bottom w:val="none" w:sz="0" w:space="0" w:color="auto"/>
        <w:right w:val="none" w:sz="0" w:space="0" w:color="auto"/>
      </w:divBdr>
    </w:div>
    <w:div w:id="1020161247">
      <w:bodyDiv w:val="1"/>
      <w:marLeft w:val="0"/>
      <w:marRight w:val="0"/>
      <w:marTop w:val="0"/>
      <w:marBottom w:val="0"/>
      <w:divBdr>
        <w:top w:val="none" w:sz="0" w:space="0" w:color="auto"/>
        <w:left w:val="none" w:sz="0" w:space="0" w:color="auto"/>
        <w:bottom w:val="none" w:sz="0" w:space="0" w:color="auto"/>
        <w:right w:val="none" w:sz="0" w:space="0" w:color="auto"/>
      </w:divBdr>
    </w:div>
    <w:div w:id="1035543022">
      <w:bodyDiv w:val="1"/>
      <w:marLeft w:val="0"/>
      <w:marRight w:val="0"/>
      <w:marTop w:val="0"/>
      <w:marBottom w:val="0"/>
      <w:divBdr>
        <w:top w:val="none" w:sz="0" w:space="0" w:color="auto"/>
        <w:left w:val="none" w:sz="0" w:space="0" w:color="auto"/>
        <w:bottom w:val="none" w:sz="0" w:space="0" w:color="auto"/>
        <w:right w:val="none" w:sz="0" w:space="0" w:color="auto"/>
      </w:divBdr>
    </w:div>
    <w:div w:id="1052656544">
      <w:bodyDiv w:val="1"/>
      <w:marLeft w:val="0"/>
      <w:marRight w:val="0"/>
      <w:marTop w:val="0"/>
      <w:marBottom w:val="0"/>
      <w:divBdr>
        <w:top w:val="none" w:sz="0" w:space="0" w:color="auto"/>
        <w:left w:val="none" w:sz="0" w:space="0" w:color="auto"/>
        <w:bottom w:val="none" w:sz="0" w:space="0" w:color="auto"/>
        <w:right w:val="none" w:sz="0" w:space="0" w:color="auto"/>
      </w:divBdr>
    </w:div>
    <w:div w:id="1055738692">
      <w:bodyDiv w:val="1"/>
      <w:marLeft w:val="0"/>
      <w:marRight w:val="0"/>
      <w:marTop w:val="0"/>
      <w:marBottom w:val="0"/>
      <w:divBdr>
        <w:top w:val="none" w:sz="0" w:space="0" w:color="auto"/>
        <w:left w:val="none" w:sz="0" w:space="0" w:color="auto"/>
        <w:bottom w:val="none" w:sz="0" w:space="0" w:color="auto"/>
        <w:right w:val="none" w:sz="0" w:space="0" w:color="auto"/>
      </w:divBdr>
    </w:div>
    <w:div w:id="1061101952">
      <w:bodyDiv w:val="1"/>
      <w:marLeft w:val="0"/>
      <w:marRight w:val="0"/>
      <w:marTop w:val="0"/>
      <w:marBottom w:val="0"/>
      <w:divBdr>
        <w:top w:val="none" w:sz="0" w:space="0" w:color="auto"/>
        <w:left w:val="none" w:sz="0" w:space="0" w:color="auto"/>
        <w:bottom w:val="none" w:sz="0" w:space="0" w:color="auto"/>
        <w:right w:val="none" w:sz="0" w:space="0" w:color="auto"/>
      </w:divBdr>
    </w:div>
    <w:div w:id="1105617107">
      <w:bodyDiv w:val="1"/>
      <w:marLeft w:val="0"/>
      <w:marRight w:val="0"/>
      <w:marTop w:val="0"/>
      <w:marBottom w:val="0"/>
      <w:divBdr>
        <w:top w:val="none" w:sz="0" w:space="0" w:color="auto"/>
        <w:left w:val="none" w:sz="0" w:space="0" w:color="auto"/>
        <w:bottom w:val="none" w:sz="0" w:space="0" w:color="auto"/>
        <w:right w:val="none" w:sz="0" w:space="0" w:color="auto"/>
      </w:divBdr>
    </w:div>
    <w:div w:id="1106192126">
      <w:bodyDiv w:val="1"/>
      <w:marLeft w:val="0"/>
      <w:marRight w:val="0"/>
      <w:marTop w:val="0"/>
      <w:marBottom w:val="0"/>
      <w:divBdr>
        <w:top w:val="none" w:sz="0" w:space="0" w:color="auto"/>
        <w:left w:val="none" w:sz="0" w:space="0" w:color="auto"/>
        <w:bottom w:val="none" w:sz="0" w:space="0" w:color="auto"/>
        <w:right w:val="none" w:sz="0" w:space="0" w:color="auto"/>
      </w:divBdr>
    </w:div>
    <w:div w:id="1117407736">
      <w:bodyDiv w:val="1"/>
      <w:marLeft w:val="0"/>
      <w:marRight w:val="0"/>
      <w:marTop w:val="0"/>
      <w:marBottom w:val="0"/>
      <w:divBdr>
        <w:top w:val="none" w:sz="0" w:space="0" w:color="auto"/>
        <w:left w:val="none" w:sz="0" w:space="0" w:color="auto"/>
        <w:bottom w:val="none" w:sz="0" w:space="0" w:color="auto"/>
        <w:right w:val="none" w:sz="0" w:space="0" w:color="auto"/>
      </w:divBdr>
    </w:div>
    <w:div w:id="1147211291">
      <w:bodyDiv w:val="1"/>
      <w:marLeft w:val="0"/>
      <w:marRight w:val="0"/>
      <w:marTop w:val="0"/>
      <w:marBottom w:val="0"/>
      <w:divBdr>
        <w:top w:val="none" w:sz="0" w:space="0" w:color="auto"/>
        <w:left w:val="none" w:sz="0" w:space="0" w:color="auto"/>
        <w:bottom w:val="none" w:sz="0" w:space="0" w:color="auto"/>
        <w:right w:val="none" w:sz="0" w:space="0" w:color="auto"/>
      </w:divBdr>
    </w:div>
    <w:div w:id="1197161703">
      <w:bodyDiv w:val="1"/>
      <w:marLeft w:val="0"/>
      <w:marRight w:val="0"/>
      <w:marTop w:val="0"/>
      <w:marBottom w:val="0"/>
      <w:divBdr>
        <w:top w:val="none" w:sz="0" w:space="0" w:color="auto"/>
        <w:left w:val="none" w:sz="0" w:space="0" w:color="auto"/>
        <w:bottom w:val="none" w:sz="0" w:space="0" w:color="auto"/>
        <w:right w:val="none" w:sz="0" w:space="0" w:color="auto"/>
      </w:divBdr>
    </w:div>
    <w:div w:id="1202480406">
      <w:bodyDiv w:val="1"/>
      <w:marLeft w:val="0"/>
      <w:marRight w:val="0"/>
      <w:marTop w:val="0"/>
      <w:marBottom w:val="0"/>
      <w:divBdr>
        <w:top w:val="none" w:sz="0" w:space="0" w:color="auto"/>
        <w:left w:val="none" w:sz="0" w:space="0" w:color="auto"/>
        <w:bottom w:val="none" w:sz="0" w:space="0" w:color="auto"/>
        <w:right w:val="none" w:sz="0" w:space="0" w:color="auto"/>
      </w:divBdr>
    </w:div>
    <w:div w:id="1243099713">
      <w:bodyDiv w:val="1"/>
      <w:marLeft w:val="0"/>
      <w:marRight w:val="0"/>
      <w:marTop w:val="0"/>
      <w:marBottom w:val="0"/>
      <w:divBdr>
        <w:top w:val="none" w:sz="0" w:space="0" w:color="auto"/>
        <w:left w:val="none" w:sz="0" w:space="0" w:color="auto"/>
        <w:bottom w:val="none" w:sz="0" w:space="0" w:color="auto"/>
        <w:right w:val="none" w:sz="0" w:space="0" w:color="auto"/>
      </w:divBdr>
    </w:div>
    <w:div w:id="1278954366">
      <w:bodyDiv w:val="1"/>
      <w:marLeft w:val="0"/>
      <w:marRight w:val="0"/>
      <w:marTop w:val="0"/>
      <w:marBottom w:val="0"/>
      <w:divBdr>
        <w:top w:val="none" w:sz="0" w:space="0" w:color="auto"/>
        <w:left w:val="none" w:sz="0" w:space="0" w:color="auto"/>
        <w:bottom w:val="none" w:sz="0" w:space="0" w:color="auto"/>
        <w:right w:val="none" w:sz="0" w:space="0" w:color="auto"/>
      </w:divBdr>
    </w:div>
    <w:div w:id="1279878112">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300500163">
      <w:bodyDiv w:val="1"/>
      <w:marLeft w:val="0"/>
      <w:marRight w:val="0"/>
      <w:marTop w:val="0"/>
      <w:marBottom w:val="0"/>
      <w:divBdr>
        <w:top w:val="none" w:sz="0" w:space="0" w:color="auto"/>
        <w:left w:val="none" w:sz="0" w:space="0" w:color="auto"/>
        <w:bottom w:val="none" w:sz="0" w:space="0" w:color="auto"/>
        <w:right w:val="none" w:sz="0" w:space="0" w:color="auto"/>
      </w:divBdr>
      <w:divsChild>
        <w:div w:id="426851668">
          <w:marLeft w:val="0"/>
          <w:marRight w:val="0"/>
          <w:marTop w:val="0"/>
          <w:marBottom w:val="0"/>
          <w:divBdr>
            <w:top w:val="none" w:sz="0" w:space="0" w:color="auto"/>
            <w:left w:val="none" w:sz="0" w:space="0" w:color="auto"/>
            <w:bottom w:val="none" w:sz="0" w:space="0" w:color="auto"/>
            <w:right w:val="none" w:sz="0" w:space="0" w:color="auto"/>
          </w:divBdr>
          <w:divsChild>
            <w:div w:id="164781667">
              <w:marLeft w:val="0"/>
              <w:marRight w:val="0"/>
              <w:marTop w:val="0"/>
              <w:marBottom w:val="0"/>
              <w:divBdr>
                <w:top w:val="none" w:sz="0" w:space="0" w:color="auto"/>
                <w:left w:val="none" w:sz="0" w:space="0" w:color="auto"/>
                <w:bottom w:val="none" w:sz="0" w:space="0" w:color="auto"/>
                <w:right w:val="none" w:sz="0" w:space="0" w:color="auto"/>
              </w:divBdr>
              <w:divsChild>
                <w:div w:id="1823497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1205323">
      <w:bodyDiv w:val="1"/>
      <w:marLeft w:val="0"/>
      <w:marRight w:val="0"/>
      <w:marTop w:val="0"/>
      <w:marBottom w:val="0"/>
      <w:divBdr>
        <w:top w:val="none" w:sz="0" w:space="0" w:color="auto"/>
        <w:left w:val="none" w:sz="0" w:space="0" w:color="auto"/>
        <w:bottom w:val="none" w:sz="0" w:space="0" w:color="auto"/>
        <w:right w:val="none" w:sz="0" w:space="0" w:color="auto"/>
      </w:divBdr>
    </w:div>
    <w:div w:id="1315523885">
      <w:bodyDiv w:val="1"/>
      <w:marLeft w:val="0"/>
      <w:marRight w:val="0"/>
      <w:marTop w:val="0"/>
      <w:marBottom w:val="0"/>
      <w:divBdr>
        <w:top w:val="none" w:sz="0" w:space="0" w:color="auto"/>
        <w:left w:val="none" w:sz="0" w:space="0" w:color="auto"/>
        <w:bottom w:val="none" w:sz="0" w:space="0" w:color="auto"/>
        <w:right w:val="none" w:sz="0" w:space="0" w:color="auto"/>
      </w:divBdr>
    </w:div>
    <w:div w:id="1316375091">
      <w:bodyDiv w:val="1"/>
      <w:marLeft w:val="0"/>
      <w:marRight w:val="0"/>
      <w:marTop w:val="0"/>
      <w:marBottom w:val="0"/>
      <w:divBdr>
        <w:top w:val="none" w:sz="0" w:space="0" w:color="auto"/>
        <w:left w:val="none" w:sz="0" w:space="0" w:color="auto"/>
        <w:bottom w:val="none" w:sz="0" w:space="0" w:color="auto"/>
        <w:right w:val="none" w:sz="0" w:space="0" w:color="auto"/>
      </w:divBdr>
    </w:div>
    <w:div w:id="1354067438">
      <w:bodyDiv w:val="1"/>
      <w:marLeft w:val="0"/>
      <w:marRight w:val="0"/>
      <w:marTop w:val="0"/>
      <w:marBottom w:val="0"/>
      <w:divBdr>
        <w:top w:val="none" w:sz="0" w:space="0" w:color="auto"/>
        <w:left w:val="none" w:sz="0" w:space="0" w:color="auto"/>
        <w:bottom w:val="none" w:sz="0" w:space="0" w:color="auto"/>
        <w:right w:val="none" w:sz="0" w:space="0" w:color="auto"/>
      </w:divBdr>
    </w:div>
    <w:div w:id="1366255358">
      <w:bodyDiv w:val="1"/>
      <w:marLeft w:val="0"/>
      <w:marRight w:val="0"/>
      <w:marTop w:val="0"/>
      <w:marBottom w:val="0"/>
      <w:divBdr>
        <w:top w:val="none" w:sz="0" w:space="0" w:color="auto"/>
        <w:left w:val="none" w:sz="0" w:space="0" w:color="auto"/>
        <w:bottom w:val="none" w:sz="0" w:space="0" w:color="auto"/>
        <w:right w:val="none" w:sz="0" w:space="0" w:color="auto"/>
      </w:divBdr>
    </w:div>
    <w:div w:id="1381635480">
      <w:bodyDiv w:val="1"/>
      <w:marLeft w:val="0"/>
      <w:marRight w:val="0"/>
      <w:marTop w:val="0"/>
      <w:marBottom w:val="0"/>
      <w:divBdr>
        <w:top w:val="none" w:sz="0" w:space="0" w:color="auto"/>
        <w:left w:val="none" w:sz="0" w:space="0" w:color="auto"/>
        <w:bottom w:val="none" w:sz="0" w:space="0" w:color="auto"/>
        <w:right w:val="none" w:sz="0" w:space="0" w:color="auto"/>
      </w:divBdr>
    </w:div>
    <w:div w:id="1388451986">
      <w:bodyDiv w:val="1"/>
      <w:marLeft w:val="0"/>
      <w:marRight w:val="0"/>
      <w:marTop w:val="0"/>
      <w:marBottom w:val="0"/>
      <w:divBdr>
        <w:top w:val="none" w:sz="0" w:space="0" w:color="auto"/>
        <w:left w:val="none" w:sz="0" w:space="0" w:color="auto"/>
        <w:bottom w:val="none" w:sz="0" w:space="0" w:color="auto"/>
        <w:right w:val="none" w:sz="0" w:space="0" w:color="auto"/>
      </w:divBdr>
    </w:div>
    <w:div w:id="1436172197">
      <w:bodyDiv w:val="1"/>
      <w:marLeft w:val="0"/>
      <w:marRight w:val="0"/>
      <w:marTop w:val="0"/>
      <w:marBottom w:val="0"/>
      <w:divBdr>
        <w:top w:val="none" w:sz="0" w:space="0" w:color="auto"/>
        <w:left w:val="none" w:sz="0" w:space="0" w:color="auto"/>
        <w:bottom w:val="none" w:sz="0" w:space="0" w:color="auto"/>
        <w:right w:val="none" w:sz="0" w:space="0" w:color="auto"/>
      </w:divBdr>
    </w:div>
    <w:div w:id="1491100718">
      <w:bodyDiv w:val="1"/>
      <w:marLeft w:val="0"/>
      <w:marRight w:val="0"/>
      <w:marTop w:val="0"/>
      <w:marBottom w:val="0"/>
      <w:divBdr>
        <w:top w:val="none" w:sz="0" w:space="0" w:color="auto"/>
        <w:left w:val="none" w:sz="0" w:space="0" w:color="auto"/>
        <w:bottom w:val="none" w:sz="0" w:space="0" w:color="auto"/>
        <w:right w:val="none" w:sz="0" w:space="0" w:color="auto"/>
      </w:divBdr>
      <w:divsChild>
        <w:div w:id="406192133">
          <w:marLeft w:val="0"/>
          <w:marRight w:val="0"/>
          <w:marTop w:val="0"/>
          <w:marBottom w:val="0"/>
          <w:divBdr>
            <w:top w:val="none" w:sz="0" w:space="0" w:color="auto"/>
            <w:left w:val="none" w:sz="0" w:space="0" w:color="auto"/>
            <w:bottom w:val="none" w:sz="0" w:space="0" w:color="auto"/>
            <w:right w:val="none" w:sz="0" w:space="0" w:color="auto"/>
          </w:divBdr>
          <w:divsChild>
            <w:div w:id="1573931287">
              <w:marLeft w:val="0"/>
              <w:marRight w:val="0"/>
              <w:marTop w:val="0"/>
              <w:marBottom w:val="0"/>
              <w:divBdr>
                <w:top w:val="none" w:sz="0" w:space="0" w:color="auto"/>
                <w:left w:val="none" w:sz="0" w:space="0" w:color="auto"/>
                <w:bottom w:val="none" w:sz="0" w:space="0" w:color="auto"/>
                <w:right w:val="none" w:sz="0" w:space="0" w:color="auto"/>
              </w:divBdr>
              <w:divsChild>
                <w:div w:id="930312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6410142">
      <w:bodyDiv w:val="1"/>
      <w:marLeft w:val="0"/>
      <w:marRight w:val="0"/>
      <w:marTop w:val="0"/>
      <w:marBottom w:val="0"/>
      <w:divBdr>
        <w:top w:val="none" w:sz="0" w:space="0" w:color="auto"/>
        <w:left w:val="none" w:sz="0" w:space="0" w:color="auto"/>
        <w:bottom w:val="none" w:sz="0" w:space="0" w:color="auto"/>
        <w:right w:val="none" w:sz="0" w:space="0" w:color="auto"/>
      </w:divBdr>
    </w:div>
    <w:div w:id="1509297186">
      <w:bodyDiv w:val="1"/>
      <w:marLeft w:val="0"/>
      <w:marRight w:val="0"/>
      <w:marTop w:val="0"/>
      <w:marBottom w:val="0"/>
      <w:divBdr>
        <w:top w:val="none" w:sz="0" w:space="0" w:color="auto"/>
        <w:left w:val="none" w:sz="0" w:space="0" w:color="auto"/>
        <w:bottom w:val="none" w:sz="0" w:space="0" w:color="auto"/>
        <w:right w:val="none" w:sz="0" w:space="0" w:color="auto"/>
      </w:divBdr>
    </w:div>
    <w:div w:id="1514492636">
      <w:bodyDiv w:val="1"/>
      <w:marLeft w:val="0"/>
      <w:marRight w:val="0"/>
      <w:marTop w:val="0"/>
      <w:marBottom w:val="0"/>
      <w:divBdr>
        <w:top w:val="none" w:sz="0" w:space="0" w:color="auto"/>
        <w:left w:val="none" w:sz="0" w:space="0" w:color="auto"/>
        <w:bottom w:val="none" w:sz="0" w:space="0" w:color="auto"/>
        <w:right w:val="none" w:sz="0" w:space="0" w:color="auto"/>
      </w:divBdr>
    </w:div>
    <w:div w:id="1579558423">
      <w:bodyDiv w:val="1"/>
      <w:marLeft w:val="0"/>
      <w:marRight w:val="0"/>
      <w:marTop w:val="0"/>
      <w:marBottom w:val="0"/>
      <w:divBdr>
        <w:top w:val="none" w:sz="0" w:space="0" w:color="auto"/>
        <w:left w:val="none" w:sz="0" w:space="0" w:color="auto"/>
        <w:bottom w:val="none" w:sz="0" w:space="0" w:color="auto"/>
        <w:right w:val="none" w:sz="0" w:space="0" w:color="auto"/>
      </w:divBdr>
      <w:divsChild>
        <w:div w:id="572862499">
          <w:marLeft w:val="0"/>
          <w:marRight w:val="0"/>
          <w:marTop w:val="0"/>
          <w:marBottom w:val="0"/>
          <w:divBdr>
            <w:top w:val="none" w:sz="0" w:space="0" w:color="auto"/>
            <w:left w:val="none" w:sz="0" w:space="0" w:color="auto"/>
            <w:bottom w:val="none" w:sz="0" w:space="0" w:color="auto"/>
            <w:right w:val="none" w:sz="0" w:space="0" w:color="auto"/>
          </w:divBdr>
          <w:divsChild>
            <w:div w:id="1794787117">
              <w:marLeft w:val="0"/>
              <w:marRight w:val="0"/>
              <w:marTop w:val="0"/>
              <w:marBottom w:val="0"/>
              <w:divBdr>
                <w:top w:val="none" w:sz="0" w:space="0" w:color="auto"/>
                <w:left w:val="none" w:sz="0" w:space="0" w:color="auto"/>
                <w:bottom w:val="none" w:sz="0" w:space="0" w:color="auto"/>
                <w:right w:val="none" w:sz="0" w:space="0" w:color="auto"/>
              </w:divBdr>
              <w:divsChild>
                <w:div w:id="1637564900">
                  <w:marLeft w:val="0"/>
                  <w:marRight w:val="0"/>
                  <w:marTop w:val="0"/>
                  <w:marBottom w:val="0"/>
                  <w:divBdr>
                    <w:top w:val="none" w:sz="0" w:space="0" w:color="auto"/>
                    <w:left w:val="none" w:sz="0" w:space="0" w:color="auto"/>
                    <w:bottom w:val="none" w:sz="0" w:space="0" w:color="auto"/>
                    <w:right w:val="none" w:sz="0" w:space="0" w:color="auto"/>
                  </w:divBdr>
                  <w:divsChild>
                    <w:div w:id="1302806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5742692">
          <w:marLeft w:val="0"/>
          <w:marRight w:val="0"/>
          <w:marTop w:val="0"/>
          <w:marBottom w:val="0"/>
          <w:divBdr>
            <w:top w:val="none" w:sz="0" w:space="0" w:color="auto"/>
            <w:left w:val="none" w:sz="0" w:space="0" w:color="auto"/>
            <w:bottom w:val="none" w:sz="0" w:space="0" w:color="auto"/>
            <w:right w:val="none" w:sz="0" w:space="0" w:color="auto"/>
          </w:divBdr>
          <w:divsChild>
            <w:div w:id="1080181110">
              <w:marLeft w:val="0"/>
              <w:marRight w:val="0"/>
              <w:marTop w:val="0"/>
              <w:marBottom w:val="0"/>
              <w:divBdr>
                <w:top w:val="none" w:sz="0" w:space="0" w:color="auto"/>
                <w:left w:val="none" w:sz="0" w:space="0" w:color="auto"/>
                <w:bottom w:val="none" w:sz="0" w:space="0" w:color="auto"/>
                <w:right w:val="none" w:sz="0" w:space="0" w:color="auto"/>
              </w:divBdr>
              <w:divsChild>
                <w:div w:id="992104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380025">
          <w:marLeft w:val="0"/>
          <w:marRight w:val="0"/>
          <w:marTop w:val="0"/>
          <w:marBottom w:val="0"/>
          <w:divBdr>
            <w:top w:val="none" w:sz="0" w:space="0" w:color="auto"/>
            <w:left w:val="none" w:sz="0" w:space="0" w:color="auto"/>
            <w:bottom w:val="none" w:sz="0" w:space="0" w:color="auto"/>
            <w:right w:val="none" w:sz="0" w:space="0" w:color="auto"/>
          </w:divBdr>
          <w:divsChild>
            <w:div w:id="1404109763">
              <w:marLeft w:val="0"/>
              <w:marRight w:val="0"/>
              <w:marTop w:val="0"/>
              <w:marBottom w:val="0"/>
              <w:divBdr>
                <w:top w:val="none" w:sz="0" w:space="0" w:color="auto"/>
                <w:left w:val="none" w:sz="0" w:space="0" w:color="auto"/>
                <w:bottom w:val="none" w:sz="0" w:space="0" w:color="auto"/>
                <w:right w:val="none" w:sz="0" w:space="0" w:color="auto"/>
              </w:divBdr>
              <w:divsChild>
                <w:div w:id="580065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4951963">
      <w:bodyDiv w:val="1"/>
      <w:marLeft w:val="0"/>
      <w:marRight w:val="0"/>
      <w:marTop w:val="0"/>
      <w:marBottom w:val="0"/>
      <w:divBdr>
        <w:top w:val="none" w:sz="0" w:space="0" w:color="auto"/>
        <w:left w:val="none" w:sz="0" w:space="0" w:color="auto"/>
        <w:bottom w:val="none" w:sz="0" w:space="0" w:color="auto"/>
        <w:right w:val="none" w:sz="0" w:space="0" w:color="auto"/>
      </w:divBdr>
    </w:div>
    <w:div w:id="1600942237">
      <w:bodyDiv w:val="1"/>
      <w:marLeft w:val="0"/>
      <w:marRight w:val="0"/>
      <w:marTop w:val="0"/>
      <w:marBottom w:val="0"/>
      <w:divBdr>
        <w:top w:val="none" w:sz="0" w:space="0" w:color="auto"/>
        <w:left w:val="none" w:sz="0" w:space="0" w:color="auto"/>
        <w:bottom w:val="none" w:sz="0" w:space="0" w:color="auto"/>
        <w:right w:val="none" w:sz="0" w:space="0" w:color="auto"/>
      </w:divBdr>
    </w:div>
    <w:div w:id="1626959793">
      <w:bodyDiv w:val="1"/>
      <w:marLeft w:val="0"/>
      <w:marRight w:val="0"/>
      <w:marTop w:val="0"/>
      <w:marBottom w:val="0"/>
      <w:divBdr>
        <w:top w:val="none" w:sz="0" w:space="0" w:color="auto"/>
        <w:left w:val="none" w:sz="0" w:space="0" w:color="auto"/>
        <w:bottom w:val="none" w:sz="0" w:space="0" w:color="auto"/>
        <w:right w:val="none" w:sz="0" w:space="0" w:color="auto"/>
      </w:divBdr>
    </w:div>
    <w:div w:id="1627001688">
      <w:bodyDiv w:val="1"/>
      <w:marLeft w:val="0"/>
      <w:marRight w:val="0"/>
      <w:marTop w:val="0"/>
      <w:marBottom w:val="0"/>
      <w:divBdr>
        <w:top w:val="none" w:sz="0" w:space="0" w:color="auto"/>
        <w:left w:val="none" w:sz="0" w:space="0" w:color="auto"/>
        <w:bottom w:val="none" w:sz="0" w:space="0" w:color="auto"/>
        <w:right w:val="none" w:sz="0" w:space="0" w:color="auto"/>
      </w:divBdr>
    </w:div>
    <w:div w:id="1665817872">
      <w:bodyDiv w:val="1"/>
      <w:marLeft w:val="0"/>
      <w:marRight w:val="0"/>
      <w:marTop w:val="0"/>
      <w:marBottom w:val="0"/>
      <w:divBdr>
        <w:top w:val="none" w:sz="0" w:space="0" w:color="auto"/>
        <w:left w:val="none" w:sz="0" w:space="0" w:color="auto"/>
        <w:bottom w:val="none" w:sz="0" w:space="0" w:color="auto"/>
        <w:right w:val="none" w:sz="0" w:space="0" w:color="auto"/>
      </w:divBdr>
    </w:div>
    <w:div w:id="1666854029">
      <w:bodyDiv w:val="1"/>
      <w:marLeft w:val="0"/>
      <w:marRight w:val="0"/>
      <w:marTop w:val="0"/>
      <w:marBottom w:val="0"/>
      <w:divBdr>
        <w:top w:val="none" w:sz="0" w:space="0" w:color="auto"/>
        <w:left w:val="none" w:sz="0" w:space="0" w:color="auto"/>
        <w:bottom w:val="none" w:sz="0" w:space="0" w:color="auto"/>
        <w:right w:val="none" w:sz="0" w:space="0" w:color="auto"/>
      </w:divBdr>
    </w:div>
    <w:div w:id="1713653390">
      <w:bodyDiv w:val="1"/>
      <w:marLeft w:val="0"/>
      <w:marRight w:val="0"/>
      <w:marTop w:val="0"/>
      <w:marBottom w:val="0"/>
      <w:divBdr>
        <w:top w:val="none" w:sz="0" w:space="0" w:color="auto"/>
        <w:left w:val="none" w:sz="0" w:space="0" w:color="auto"/>
        <w:bottom w:val="none" w:sz="0" w:space="0" w:color="auto"/>
        <w:right w:val="none" w:sz="0" w:space="0" w:color="auto"/>
      </w:divBdr>
    </w:div>
    <w:div w:id="1762796114">
      <w:bodyDiv w:val="1"/>
      <w:marLeft w:val="0"/>
      <w:marRight w:val="0"/>
      <w:marTop w:val="0"/>
      <w:marBottom w:val="0"/>
      <w:divBdr>
        <w:top w:val="none" w:sz="0" w:space="0" w:color="auto"/>
        <w:left w:val="none" w:sz="0" w:space="0" w:color="auto"/>
        <w:bottom w:val="none" w:sz="0" w:space="0" w:color="auto"/>
        <w:right w:val="none" w:sz="0" w:space="0" w:color="auto"/>
      </w:divBdr>
    </w:div>
    <w:div w:id="1811248804">
      <w:bodyDiv w:val="1"/>
      <w:marLeft w:val="0"/>
      <w:marRight w:val="0"/>
      <w:marTop w:val="0"/>
      <w:marBottom w:val="0"/>
      <w:divBdr>
        <w:top w:val="none" w:sz="0" w:space="0" w:color="auto"/>
        <w:left w:val="none" w:sz="0" w:space="0" w:color="auto"/>
        <w:bottom w:val="none" w:sz="0" w:space="0" w:color="auto"/>
        <w:right w:val="none" w:sz="0" w:space="0" w:color="auto"/>
      </w:divBdr>
    </w:div>
    <w:div w:id="1835952454">
      <w:bodyDiv w:val="1"/>
      <w:marLeft w:val="0"/>
      <w:marRight w:val="0"/>
      <w:marTop w:val="0"/>
      <w:marBottom w:val="0"/>
      <w:divBdr>
        <w:top w:val="none" w:sz="0" w:space="0" w:color="auto"/>
        <w:left w:val="none" w:sz="0" w:space="0" w:color="auto"/>
        <w:bottom w:val="none" w:sz="0" w:space="0" w:color="auto"/>
        <w:right w:val="none" w:sz="0" w:space="0" w:color="auto"/>
      </w:divBdr>
    </w:div>
    <w:div w:id="1871721342">
      <w:bodyDiv w:val="1"/>
      <w:marLeft w:val="0"/>
      <w:marRight w:val="0"/>
      <w:marTop w:val="0"/>
      <w:marBottom w:val="0"/>
      <w:divBdr>
        <w:top w:val="none" w:sz="0" w:space="0" w:color="auto"/>
        <w:left w:val="none" w:sz="0" w:space="0" w:color="auto"/>
        <w:bottom w:val="none" w:sz="0" w:space="0" w:color="auto"/>
        <w:right w:val="none" w:sz="0" w:space="0" w:color="auto"/>
      </w:divBdr>
    </w:div>
    <w:div w:id="1909457373">
      <w:bodyDiv w:val="1"/>
      <w:marLeft w:val="0"/>
      <w:marRight w:val="0"/>
      <w:marTop w:val="0"/>
      <w:marBottom w:val="0"/>
      <w:divBdr>
        <w:top w:val="none" w:sz="0" w:space="0" w:color="auto"/>
        <w:left w:val="none" w:sz="0" w:space="0" w:color="auto"/>
        <w:bottom w:val="none" w:sz="0" w:space="0" w:color="auto"/>
        <w:right w:val="none" w:sz="0" w:space="0" w:color="auto"/>
      </w:divBdr>
    </w:div>
    <w:div w:id="1915507931">
      <w:bodyDiv w:val="1"/>
      <w:marLeft w:val="0"/>
      <w:marRight w:val="0"/>
      <w:marTop w:val="0"/>
      <w:marBottom w:val="0"/>
      <w:divBdr>
        <w:top w:val="none" w:sz="0" w:space="0" w:color="auto"/>
        <w:left w:val="none" w:sz="0" w:space="0" w:color="auto"/>
        <w:bottom w:val="none" w:sz="0" w:space="0" w:color="auto"/>
        <w:right w:val="none" w:sz="0" w:space="0" w:color="auto"/>
      </w:divBdr>
    </w:div>
    <w:div w:id="1924561165">
      <w:bodyDiv w:val="1"/>
      <w:marLeft w:val="0"/>
      <w:marRight w:val="0"/>
      <w:marTop w:val="0"/>
      <w:marBottom w:val="0"/>
      <w:divBdr>
        <w:top w:val="none" w:sz="0" w:space="0" w:color="auto"/>
        <w:left w:val="none" w:sz="0" w:space="0" w:color="auto"/>
        <w:bottom w:val="none" w:sz="0" w:space="0" w:color="auto"/>
        <w:right w:val="none" w:sz="0" w:space="0" w:color="auto"/>
      </w:divBdr>
    </w:div>
    <w:div w:id="1935701884">
      <w:bodyDiv w:val="1"/>
      <w:marLeft w:val="0"/>
      <w:marRight w:val="0"/>
      <w:marTop w:val="0"/>
      <w:marBottom w:val="0"/>
      <w:divBdr>
        <w:top w:val="none" w:sz="0" w:space="0" w:color="auto"/>
        <w:left w:val="none" w:sz="0" w:space="0" w:color="auto"/>
        <w:bottom w:val="none" w:sz="0" w:space="0" w:color="auto"/>
        <w:right w:val="none" w:sz="0" w:space="0" w:color="auto"/>
      </w:divBdr>
    </w:div>
    <w:div w:id="1946111828">
      <w:bodyDiv w:val="1"/>
      <w:marLeft w:val="0"/>
      <w:marRight w:val="0"/>
      <w:marTop w:val="0"/>
      <w:marBottom w:val="0"/>
      <w:divBdr>
        <w:top w:val="none" w:sz="0" w:space="0" w:color="auto"/>
        <w:left w:val="none" w:sz="0" w:space="0" w:color="auto"/>
        <w:bottom w:val="none" w:sz="0" w:space="0" w:color="auto"/>
        <w:right w:val="none" w:sz="0" w:space="0" w:color="auto"/>
      </w:divBdr>
    </w:div>
    <w:div w:id="1964656153">
      <w:bodyDiv w:val="1"/>
      <w:marLeft w:val="0"/>
      <w:marRight w:val="0"/>
      <w:marTop w:val="0"/>
      <w:marBottom w:val="0"/>
      <w:divBdr>
        <w:top w:val="none" w:sz="0" w:space="0" w:color="auto"/>
        <w:left w:val="none" w:sz="0" w:space="0" w:color="auto"/>
        <w:bottom w:val="none" w:sz="0" w:space="0" w:color="auto"/>
        <w:right w:val="none" w:sz="0" w:space="0" w:color="auto"/>
      </w:divBdr>
    </w:div>
    <w:div w:id="1981418703">
      <w:bodyDiv w:val="1"/>
      <w:marLeft w:val="0"/>
      <w:marRight w:val="0"/>
      <w:marTop w:val="0"/>
      <w:marBottom w:val="0"/>
      <w:divBdr>
        <w:top w:val="none" w:sz="0" w:space="0" w:color="auto"/>
        <w:left w:val="none" w:sz="0" w:space="0" w:color="auto"/>
        <w:bottom w:val="none" w:sz="0" w:space="0" w:color="auto"/>
        <w:right w:val="none" w:sz="0" w:space="0" w:color="auto"/>
      </w:divBdr>
    </w:div>
    <w:div w:id="1989824854">
      <w:bodyDiv w:val="1"/>
      <w:marLeft w:val="0"/>
      <w:marRight w:val="0"/>
      <w:marTop w:val="0"/>
      <w:marBottom w:val="0"/>
      <w:divBdr>
        <w:top w:val="none" w:sz="0" w:space="0" w:color="auto"/>
        <w:left w:val="none" w:sz="0" w:space="0" w:color="auto"/>
        <w:bottom w:val="none" w:sz="0" w:space="0" w:color="auto"/>
        <w:right w:val="none" w:sz="0" w:space="0" w:color="auto"/>
      </w:divBdr>
    </w:div>
    <w:div w:id="1993440466">
      <w:bodyDiv w:val="1"/>
      <w:marLeft w:val="0"/>
      <w:marRight w:val="0"/>
      <w:marTop w:val="0"/>
      <w:marBottom w:val="0"/>
      <w:divBdr>
        <w:top w:val="none" w:sz="0" w:space="0" w:color="auto"/>
        <w:left w:val="none" w:sz="0" w:space="0" w:color="auto"/>
        <w:bottom w:val="none" w:sz="0" w:space="0" w:color="auto"/>
        <w:right w:val="none" w:sz="0" w:space="0" w:color="auto"/>
      </w:divBdr>
    </w:div>
    <w:div w:id="1995374721">
      <w:bodyDiv w:val="1"/>
      <w:marLeft w:val="0"/>
      <w:marRight w:val="0"/>
      <w:marTop w:val="0"/>
      <w:marBottom w:val="0"/>
      <w:divBdr>
        <w:top w:val="none" w:sz="0" w:space="0" w:color="auto"/>
        <w:left w:val="none" w:sz="0" w:space="0" w:color="auto"/>
        <w:bottom w:val="none" w:sz="0" w:space="0" w:color="auto"/>
        <w:right w:val="none" w:sz="0" w:space="0" w:color="auto"/>
      </w:divBdr>
    </w:div>
    <w:div w:id="1997996295">
      <w:bodyDiv w:val="1"/>
      <w:marLeft w:val="0"/>
      <w:marRight w:val="0"/>
      <w:marTop w:val="0"/>
      <w:marBottom w:val="0"/>
      <w:divBdr>
        <w:top w:val="none" w:sz="0" w:space="0" w:color="auto"/>
        <w:left w:val="none" w:sz="0" w:space="0" w:color="auto"/>
        <w:bottom w:val="none" w:sz="0" w:space="0" w:color="auto"/>
        <w:right w:val="none" w:sz="0" w:space="0" w:color="auto"/>
      </w:divBdr>
    </w:div>
    <w:div w:id="2073238207">
      <w:bodyDiv w:val="1"/>
      <w:marLeft w:val="0"/>
      <w:marRight w:val="0"/>
      <w:marTop w:val="0"/>
      <w:marBottom w:val="0"/>
      <w:divBdr>
        <w:top w:val="none" w:sz="0" w:space="0" w:color="auto"/>
        <w:left w:val="none" w:sz="0" w:space="0" w:color="auto"/>
        <w:bottom w:val="none" w:sz="0" w:space="0" w:color="auto"/>
        <w:right w:val="none" w:sz="0" w:space="0" w:color="auto"/>
      </w:divBdr>
    </w:div>
    <w:div w:id="2098550328">
      <w:bodyDiv w:val="1"/>
      <w:marLeft w:val="0"/>
      <w:marRight w:val="0"/>
      <w:marTop w:val="0"/>
      <w:marBottom w:val="0"/>
      <w:divBdr>
        <w:top w:val="none" w:sz="0" w:space="0" w:color="auto"/>
        <w:left w:val="none" w:sz="0" w:space="0" w:color="auto"/>
        <w:bottom w:val="none" w:sz="0" w:space="0" w:color="auto"/>
        <w:right w:val="none" w:sz="0" w:space="0" w:color="auto"/>
      </w:divBdr>
    </w:div>
    <w:div w:id="2116901590">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D90577-0893-4B24-8FB2-2A1C402A85FA}">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C5C2A3F4-8D60-4645-BD19-579749125E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648AF99-D426-4C03-A6AA-9FA5816EA0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0</TotalTime>
  <Pages>16</Pages>
  <Words>5460</Words>
  <Characters>31123</Characters>
  <Application>Microsoft Office Word</Application>
  <DocSecurity>0</DocSecurity>
  <Lines>259</Lines>
  <Paragraphs>73</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36510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Nina María Padrón</cp:lastModifiedBy>
  <cp:revision>2</cp:revision>
  <cp:lastPrinted>2020-01-30T15:05:00Z</cp:lastPrinted>
  <dcterms:created xsi:type="dcterms:W3CDTF">2020-08-11T04:26:00Z</dcterms:created>
  <dcterms:modified xsi:type="dcterms:W3CDTF">2020-08-11T04:26:00Z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