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51E2E" w:rsidP="00651E2E" w:rsidRDefault="00651E2E" w14:paraId="6911D11E" w14:textId="77777777">
      <w:pPr>
        <w:tabs>
          <w:tab w:val="left" w:pos="426"/>
        </w:tabs>
        <w:spacing w:line="276" w:lineRule="auto"/>
        <w:jc w:val="both"/>
        <w:rPr>
          <w:rFonts w:ascii="Century Gothic" w:hAnsi="Century Gothic" w:eastAsia="Calibri" w:cs="Arial"/>
          <w:b/>
          <w:bCs/>
          <w:lang w:val="es-ES_tradnl" w:eastAsia="es-ES_tradnl"/>
        </w:rPr>
      </w:pPr>
      <w:r w:rsidRPr="00651E2E">
        <w:rPr>
          <w:rFonts w:ascii="Century Gothic" w:hAnsi="Century Gothic" w:eastAsia="Calibri" w:cs="Arial"/>
          <w:b/>
          <w:bCs/>
          <w:lang w:val="es-ES_tradnl" w:eastAsia="es-ES_tradnl"/>
        </w:rPr>
        <w:t xml:space="preserve">PROCEDIMIENTO SANCIONATORIO CONTRACTUAL – Citación a audiencia – Contenido – Ley 1474 de 2011 – Artículo 86 </w:t>
      </w:r>
    </w:p>
    <w:p w:rsidR="00C740A4" w:rsidP="00C740A4" w:rsidRDefault="00C740A4" w14:paraId="2EBEE976" w14:textId="3D3DEB10">
      <w:pPr>
        <w:tabs>
          <w:tab w:val="left" w:pos="426"/>
        </w:tabs>
        <w:spacing w:line="240" w:lineRule="auto"/>
        <w:jc w:val="both"/>
        <w:rPr>
          <w:rFonts w:ascii="Century Gothic" w:hAnsi="Century Gothic" w:eastAsia="Calibri" w:cs="Arial"/>
          <w:lang w:val="es-ES_tradnl" w:eastAsia="es-ES_tradnl"/>
        </w:rPr>
      </w:pPr>
      <w:r w:rsidRPr="00392858">
        <w:rPr>
          <w:rFonts w:ascii="Century Gothic" w:hAnsi="Century Gothic" w:eastAsia="Arial" w:cs="Arial"/>
        </w:rPr>
        <w:t>[</w:t>
      </w:r>
      <w:r>
        <w:rPr>
          <w:rFonts w:ascii="Century Gothic" w:hAnsi="Century Gothic" w:eastAsia="Arial" w:cs="Arial"/>
        </w:rPr>
        <w:t>L</w:t>
      </w:r>
      <w:r w:rsidRPr="00392858">
        <w:rPr>
          <w:rFonts w:ascii="Century Gothic" w:hAnsi="Century Gothic" w:eastAsia="Arial" w:cs="Arial"/>
        </w:rPr>
        <w:t>]</w:t>
      </w:r>
      <w:r w:rsidRPr="00C740A4">
        <w:rPr>
          <w:rFonts w:ascii="Century Gothic" w:hAnsi="Century Gothic" w:eastAsia="Calibri" w:cs="Arial"/>
          <w:lang w:val="es-ES_tradnl" w:eastAsia="es-ES_tradnl"/>
        </w:rPr>
        <w:t>a citación a la audiencia debe cumplir mínimamente los</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siguientes aspectos: i) señalar los hechos que soportan la actuación, en particular la</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descripción detallada de cuáles son las actuaciones u omisiones del contratista que</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 xml:space="preserve">materializan el incumplimiento de las obligaciones. Además, se deben </w:t>
      </w:r>
      <w:proofErr w:type="spellStart"/>
      <w:r w:rsidRPr="00C740A4">
        <w:rPr>
          <w:rFonts w:ascii="Century Gothic" w:hAnsi="Century Gothic" w:eastAsia="Calibri" w:cs="Arial"/>
          <w:lang w:val="es-ES_tradnl" w:eastAsia="es-ES_tradnl"/>
        </w:rPr>
        <w:t>ii</w:t>
      </w:r>
      <w:proofErr w:type="spellEnd"/>
      <w:r w:rsidRPr="00C740A4">
        <w:rPr>
          <w:rFonts w:ascii="Century Gothic" w:hAnsi="Century Gothic" w:eastAsia="Calibri" w:cs="Arial"/>
          <w:lang w:val="es-ES_tradnl" w:eastAsia="es-ES_tradnl"/>
        </w:rPr>
        <w:t>) adjuntar los</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informes de supervisión o de interventoría que soportan la actuación, donde la entidad</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 xml:space="preserve">fundamenta su decisión de iniciar el procedimiento sancionatorio. Asimismo, </w:t>
      </w:r>
      <w:proofErr w:type="spellStart"/>
      <w:r w:rsidRPr="00C740A4">
        <w:rPr>
          <w:rFonts w:ascii="Century Gothic" w:hAnsi="Century Gothic" w:eastAsia="Calibri" w:cs="Arial"/>
          <w:lang w:val="es-ES_tradnl" w:eastAsia="es-ES_tradnl"/>
        </w:rPr>
        <w:t>iii</w:t>
      </w:r>
      <w:proofErr w:type="spellEnd"/>
      <w:r w:rsidRPr="00C740A4">
        <w:rPr>
          <w:rFonts w:ascii="Century Gothic" w:hAnsi="Century Gothic" w:eastAsia="Calibri" w:cs="Arial"/>
          <w:lang w:val="es-ES_tradnl" w:eastAsia="es-ES_tradnl"/>
        </w:rPr>
        <w:t>) lo anterior</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debe acompañarse de las pruebas adicionales con que cuente la entidad y que sirven para</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 xml:space="preserve">acreditar el incumplimiento. </w:t>
      </w:r>
      <w:proofErr w:type="spellStart"/>
      <w:r w:rsidRPr="00C740A4">
        <w:rPr>
          <w:rFonts w:ascii="Century Gothic" w:hAnsi="Century Gothic" w:eastAsia="Calibri" w:cs="Arial"/>
          <w:lang w:val="es-ES_tradnl" w:eastAsia="es-ES_tradnl"/>
        </w:rPr>
        <w:t>iv</w:t>
      </w:r>
      <w:proofErr w:type="spellEnd"/>
      <w:r w:rsidRPr="00C740A4">
        <w:rPr>
          <w:rFonts w:ascii="Century Gothic" w:hAnsi="Century Gothic" w:eastAsia="Calibri" w:cs="Arial"/>
          <w:lang w:val="es-ES_tradnl" w:eastAsia="es-ES_tradnl"/>
        </w:rPr>
        <w:t>) La citación debe contener también las normas, cláusulas u</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obligaciones posiblemente violadas o incumplidas por el contratista. Igualmente, v) debe</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indicar cuáles consecuencias podrían generarse para el contratista, verbigracia, si se</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pretende imponerle alguna multa, hacerse efectiva la cláusula penal o declarar la caducidad</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del contrato. Adicionalmente, vi) las entidades estatales podrán cuantificar los perjuicios</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 xml:space="preserve">ocasionados por el incumplimiento –inciso primero del artículo 86–, y, finalmente, </w:t>
      </w:r>
      <w:proofErr w:type="spellStart"/>
      <w:r w:rsidRPr="00C740A4">
        <w:rPr>
          <w:rFonts w:ascii="Century Gothic" w:hAnsi="Century Gothic" w:eastAsia="Calibri" w:cs="Arial"/>
          <w:lang w:val="es-ES_tradnl" w:eastAsia="es-ES_tradnl"/>
        </w:rPr>
        <w:t>vii</w:t>
      </w:r>
      <w:proofErr w:type="spellEnd"/>
      <w:r w:rsidRPr="00C740A4">
        <w:rPr>
          <w:rFonts w:ascii="Century Gothic" w:hAnsi="Century Gothic" w:eastAsia="Calibri" w:cs="Arial"/>
          <w:lang w:val="es-ES_tradnl" w:eastAsia="es-ES_tradnl"/>
        </w:rPr>
        <w:t>) deben</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indicar el lugar, fecha y hora para la realización de la audiencia, sin perjuicio de que esta se</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pueda efectuar por medios electrónicos</w:t>
      </w:r>
      <w:r>
        <w:rPr>
          <w:rFonts w:ascii="Century Gothic" w:hAnsi="Century Gothic" w:eastAsia="Calibri" w:cs="Arial"/>
          <w:lang w:val="es-ES_tradnl" w:eastAsia="es-ES_tradnl"/>
        </w:rPr>
        <w:t>.</w:t>
      </w:r>
    </w:p>
    <w:p w:rsidR="00C740A4" w:rsidP="00C740A4" w:rsidRDefault="00C740A4" w14:paraId="12516F95" w14:textId="267179D7">
      <w:pPr>
        <w:tabs>
          <w:tab w:val="left" w:pos="426"/>
        </w:tabs>
        <w:spacing w:line="240" w:lineRule="auto"/>
        <w:jc w:val="both"/>
        <w:rPr>
          <w:rFonts w:ascii="Century Gothic" w:hAnsi="Century Gothic" w:eastAsia="Calibri" w:cs="Arial"/>
          <w:lang w:val="es-ES_tradnl" w:eastAsia="es-ES_tradnl"/>
        </w:rPr>
      </w:pPr>
      <w:r w:rsidRPr="00C740A4">
        <w:rPr>
          <w:rFonts w:ascii="Century Gothic" w:hAnsi="Century Gothic" w:eastAsia="Calibri" w:cs="Arial"/>
          <w:lang w:val="es-ES_tradnl" w:eastAsia="es-ES_tradnl"/>
        </w:rPr>
        <w:t>Como se observa, sobre la cuantificación de perjuicios ocasionados por el</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incumplimiento –inciso primero del artículo 86–, no se puede entender este como requisito</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obligatorio del contenido de la citación a la audiencia de que trata el artículo en cita, toda</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vez que, en el inciso respectivo de la Ley, no está contenido textualmente, no obstante, de</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la lectura de la norma se entiende que estos podrán ser agregados en la citación por parte</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de la Entidad Estatal, si así lo considera pertinente. Sin embargo, se aclara que para efectos</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de imponer las multas y sanciones y hacer efectiva la cláusula penal, es necesario dar a</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conocer dicha cuantificación al contratista en garantía de su derecho de defensa,</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contradicción, y al debido proceso que consagra el artículo 29 de la Constitución Política de</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1991, pues con base en estos se determinará y verificará la proporcionalidad de las</w:t>
      </w:r>
      <w:r>
        <w:rPr>
          <w:rFonts w:ascii="Century Gothic" w:hAnsi="Century Gothic" w:eastAsia="Calibri" w:cs="Arial"/>
          <w:lang w:val="es-ES_tradnl" w:eastAsia="es-ES_tradnl"/>
        </w:rPr>
        <w:t xml:space="preserve"> </w:t>
      </w:r>
      <w:r w:rsidRPr="00C740A4">
        <w:rPr>
          <w:rFonts w:ascii="Century Gothic" w:hAnsi="Century Gothic" w:eastAsia="Calibri" w:cs="Arial"/>
          <w:lang w:val="es-ES_tradnl" w:eastAsia="es-ES_tradnl"/>
        </w:rPr>
        <w:t>sanciones a aplicar</w:t>
      </w:r>
      <w:r>
        <w:rPr>
          <w:rFonts w:ascii="Century Gothic" w:hAnsi="Century Gothic" w:eastAsia="Calibri" w:cs="Arial"/>
          <w:lang w:val="es-ES_tradnl" w:eastAsia="es-ES_tradnl"/>
        </w:rPr>
        <w:t>.</w:t>
      </w:r>
    </w:p>
    <w:p w:rsidR="00651E2E" w:rsidP="00651E2E" w:rsidRDefault="00651E2E" w14:paraId="645BD3E1" w14:textId="268C090C">
      <w:pPr>
        <w:tabs>
          <w:tab w:val="left" w:pos="426"/>
        </w:tabs>
        <w:spacing w:line="276" w:lineRule="auto"/>
        <w:jc w:val="both"/>
        <w:rPr>
          <w:rFonts w:ascii="Century Gothic" w:hAnsi="Century Gothic" w:eastAsia="Arial" w:cs="Arial"/>
          <w:b/>
          <w:bCs/>
        </w:rPr>
      </w:pPr>
      <w:r w:rsidRPr="00651E2E">
        <w:rPr>
          <w:rFonts w:ascii="Century Gothic" w:hAnsi="Century Gothic" w:eastAsia="Arial" w:cs="Arial"/>
          <w:b/>
          <w:bCs/>
        </w:rPr>
        <w:t xml:space="preserve">CADUCIDAD – Facultad sancionatoria – Procesos sancionatorios contractuales </w:t>
      </w:r>
    </w:p>
    <w:p w:rsidRPr="00C740A4" w:rsidR="00C740A4" w:rsidP="00C740A4" w:rsidRDefault="00C740A4" w14:paraId="67399B41" w14:textId="5E612642">
      <w:pPr>
        <w:tabs>
          <w:tab w:val="left" w:pos="426"/>
        </w:tabs>
        <w:spacing w:line="276" w:lineRule="auto"/>
        <w:jc w:val="both"/>
        <w:rPr>
          <w:rFonts w:ascii="Century Gothic" w:hAnsi="Century Gothic" w:eastAsia="Arial" w:cs="Arial"/>
        </w:rPr>
      </w:pPr>
      <w:r w:rsidRPr="00C740A4">
        <w:rPr>
          <w:rFonts w:ascii="Century Gothic" w:hAnsi="Century Gothic" w:eastAsia="Arial" w:cs="Arial"/>
        </w:rPr>
        <w:t>Respecto a los procedimientos administrativos sancionatorios contractuales, el</w:t>
      </w:r>
      <w:r w:rsidR="00C357B8">
        <w:rPr>
          <w:rFonts w:ascii="Century Gothic" w:hAnsi="Century Gothic" w:eastAsia="Arial" w:cs="Arial"/>
        </w:rPr>
        <w:t xml:space="preserve"> </w:t>
      </w:r>
      <w:r w:rsidRPr="00C740A4">
        <w:rPr>
          <w:rFonts w:ascii="Century Gothic" w:hAnsi="Century Gothic" w:eastAsia="Arial" w:cs="Arial"/>
        </w:rPr>
        <w:t>parágrafo 1 del artículo 47 del CPACA expresamente dispone que estos se rigen por las</w:t>
      </w:r>
      <w:r w:rsidR="00C357B8">
        <w:rPr>
          <w:rFonts w:ascii="Century Gothic" w:hAnsi="Century Gothic" w:eastAsia="Arial" w:cs="Arial"/>
        </w:rPr>
        <w:t xml:space="preserve"> </w:t>
      </w:r>
      <w:r w:rsidRPr="00C740A4">
        <w:rPr>
          <w:rFonts w:ascii="Century Gothic" w:hAnsi="Century Gothic" w:eastAsia="Arial" w:cs="Arial"/>
        </w:rPr>
        <w:t>normas especiales en la materia, incluido los recursos. Por tal razón, en principio la norma</w:t>
      </w:r>
      <w:r w:rsidR="00C357B8">
        <w:rPr>
          <w:rFonts w:ascii="Century Gothic" w:hAnsi="Century Gothic" w:eastAsia="Arial" w:cs="Arial"/>
        </w:rPr>
        <w:t xml:space="preserve"> </w:t>
      </w:r>
      <w:r w:rsidRPr="00C740A4">
        <w:rPr>
          <w:rFonts w:ascii="Century Gothic" w:hAnsi="Century Gothic" w:eastAsia="Arial" w:cs="Arial"/>
        </w:rPr>
        <w:t>aplicable para ejercer las potestades sancionatorias contractuales es el artículo 86 de la</w:t>
      </w:r>
      <w:r w:rsidR="00C357B8">
        <w:rPr>
          <w:rFonts w:ascii="Century Gothic" w:hAnsi="Century Gothic" w:eastAsia="Arial" w:cs="Arial"/>
        </w:rPr>
        <w:t xml:space="preserve"> </w:t>
      </w:r>
      <w:r w:rsidRPr="00C740A4">
        <w:rPr>
          <w:rFonts w:ascii="Century Gothic" w:hAnsi="Century Gothic" w:eastAsia="Arial" w:cs="Arial"/>
        </w:rPr>
        <w:t>Ley 1474 de 2011 que comporta un procedimiento especial, célere, eficaz y sumario,</w:t>
      </w:r>
      <w:r w:rsidR="00C357B8">
        <w:rPr>
          <w:rFonts w:ascii="Century Gothic" w:hAnsi="Century Gothic" w:eastAsia="Arial" w:cs="Arial"/>
        </w:rPr>
        <w:t xml:space="preserve"> </w:t>
      </w:r>
      <w:r w:rsidRPr="00C740A4">
        <w:rPr>
          <w:rFonts w:ascii="Century Gothic" w:hAnsi="Century Gothic" w:eastAsia="Arial" w:cs="Arial"/>
        </w:rPr>
        <w:t>llevado a cabo en audiencia pública y que brinda las garantías mínimas al contratista para</w:t>
      </w:r>
      <w:r w:rsidR="00C357B8">
        <w:rPr>
          <w:rFonts w:ascii="Century Gothic" w:hAnsi="Century Gothic" w:eastAsia="Arial" w:cs="Arial"/>
        </w:rPr>
        <w:t xml:space="preserve"> </w:t>
      </w:r>
      <w:r w:rsidRPr="00C740A4">
        <w:rPr>
          <w:rFonts w:ascii="Century Gothic" w:hAnsi="Century Gothic" w:eastAsia="Arial" w:cs="Arial"/>
        </w:rPr>
        <w:t xml:space="preserve">ejercer su derecho </w:t>
      </w:r>
      <w:r w:rsidRPr="00C740A4">
        <w:rPr>
          <w:rFonts w:ascii="Century Gothic" w:hAnsi="Century Gothic" w:eastAsia="Arial" w:cs="Arial"/>
        </w:rPr>
        <w:t>de defensa y contradicción, justificadas en el debido proceso, en los</w:t>
      </w:r>
      <w:r w:rsidR="00C357B8">
        <w:rPr>
          <w:rFonts w:ascii="Century Gothic" w:hAnsi="Century Gothic" w:eastAsia="Arial" w:cs="Arial"/>
        </w:rPr>
        <w:t xml:space="preserve"> </w:t>
      </w:r>
      <w:r w:rsidRPr="00C740A4">
        <w:rPr>
          <w:rFonts w:ascii="Century Gothic" w:hAnsi="Century Gothic" w:eastAsia="Arial" w:cs="Arial"/>
        </w:rPr>
        <w:t>términos del artículo 17 de la Ley 1150 de 2007.</w:t>
      </w:r>
    </w:p>
    <w:p w:rsidRPr="00C740A4" w:rsidR="00C740A4" w:rsidP="00C740A4" w:rsidRDefault="00C740A4" w14:paraId="28ECAE12" w14:textId="6550D171">
      <w:pPr>
        <w:tabs>
          <w:tab w:val="left" w:pos="426"/>
        </w:tabs>
        <w:spacing w:line="276" w:lineRule="auto"/>
        <w:jc w:val="both"/>
        <w:rPr>
          <w:rFonts w:ascii="Century Gothic" w:hAnsi="Century Gothic" w:eastAsia="Arial" w:cs="Arial"/>
        </w:rPr>
      </w:pPr>
      <w:r w:rsidRPr="00C740A4">
        <w:rPr>
          <w:rFonts w:ascii="Century Gothic" w:hAnsi="Century Gothic" w:eastAsia="Arial" w:cs="Arial"/>
        </w:rPr>
        <w:t>Sin perjuicio de lo anterior, puede considerarse que, dado el carácter supletivo del</w:t>
      </w:r>
      <w:r w:rsidR="00C357B8">
        <w:rPr>
          <w:rFonts w:ascii="Century Gothic" w:hAnsi="Century Gothic" w:eastAsia="Arial" w:cs="Arial"/>
        </w:rPr>
        <w:t xml:space="preserve"> </w:t>
      </w:r>
      <w:r w:rsidRPr="00C740A4">
        <w:rPr>
          <w:rFonts w:ascii="Century Gothic" w:hAnsi="Century Gothic" w:eastAsia="Arial" w:cs="Arial"/>
        </w:rPr>
        <w:t>procedimiento administrativo sancionatorio del CPACA, las reglas de este procedimient</w:t>
      </w:r>
      <w:r w:rsidRPr="00C740A4">
        <w:rPr>
          <w:rFonts w:ascii="Century Gothic" w:hAnsi="Century Gothic" w:eastAsia="Arial" w:cs="Arial"/>
        </w:rPr>
        <w:t xml:space="preserve">o pueden complementar los aspectos no previstos en las normas especiales que rigen el </w:t>
      </w:r>
      <w:r w:rsidRPr="00C740A4">
        <w:rPr>
          <w:rFonts w:ascii="Century Gothic" w:hAnsi="Century Gothic" w:eastAsia="Arial" w:cs="Arial"/>
        </w:rPr>
        <w:t>procedimiento administrativo sancionatorio contractual. La anterior conclusión se sustenta</w:t>
      </w:r>
      <w:r w:rsidR="00C357B8">
        <w:rPr>
          <w:rFonts w:ascii="Century Gothic" w:hAnsi="Century Gothic" w:eastAsia="Arial" w:cs="Arial"/>
        </w:rPr>
        <w:t xml:space="preserve"> </w:t>
      </w:r>
      <w:r w:rsidRPr="00C740A4">
        <w:rPr>
          <w:rFonts w:ascii="Century Gothic" w:hAnsi="Century Gothic" w:eastAsia="Arial" w:cs="Arial"/>
        </w:rPr>
        <w:t>en lo siguiente: i) el primer inciso del artículo 77 de la Ley 80 de 1993 establece una remisión</w:t>
      </w:r>
      <w:r w:rsidR="00C357B8">
        <w:rPr>
          <w:rFonts w:ascii="Century Gothic" w:hAnsi="Century Gothic" w:eastAsia="Arial" w:cs="Arial"/>
        </w:rPr>
        <w:t xml:space="preserve"> </w:t>
      </w:r>
      <w:r w:rsidRPr="00C740A4">
        <w:rPr>
          <w:rFonts w:ascii="Century Gothic" w:hAnsi="Century Gothic" w:eastAsia="Arial" w:cs="Arial"/>
        </w:rPr>
        <w:t>a las normas del CPACA que rigen los procedimientos administrativos, en lo que sea</w:t>
      </w:r>
      <w:r w:rsidR="00C357B8">
        <w:rPr>
          <w:rFonts w:ascii="Century Gothic" w:hAnsi="Century Gothic" w:eastAsia="Arial" w:cs="Arial"/>
        </w:rPr>
        <w:t xml:space="preserve"> </w:t>
      </w:r>
      <w:r w:rsidRPr="00C740A4">
        <w:rPr>
          <w:rFonts w:ascii="Century Gothic" w:hAnsi="Century Gothic" w:eastAsia="Arial" w:cs="Arial"/>
        </w:rPr>
        <w:t xml:space="preserve">compatible con el Estatuto General de Contratación de la Administración Pública y </w:t>
      </w:r>
      <w:proofErr w:type="spellStart"/>
      <w:r w:rsidRPr="00C740A4">
        <w:rPr>
          <w:rFonts w:ascii="Century Gothic" w:hAnsi="Century Gothic" w:eastAsia="Arial" w:cs="Arial"/>
        </w:rPr>
        <w:t>ii</w:t>
      </w:r>
      <w:proofErr w:type="spellEnd"/>
      <w:r w:rsidRPr="00C740A4">
        <w:rPr>
          <w:rFonts w:ascii="Century Gothic" w:hAnsi="Century Gothic" w:eastAsia="Arial" w:cs="Arial"/>
        </w:rPr>
        <w:t>) los</w:t>
      </w:r>
      <w:r w:rsidR="00C357B8">
        <w:rPr>
          <w:rFonts w:ascii="Century Gothic" w:hAnsi="Century Gothic" w:eastAsia="Arial" w:cs="Arial"/>
        </w:rPr>
        <w:t xml:space="preserve"> </w:t>
      </w:r>
      <w:r w:rsidRPr="00C740A4">
        <w:rPr>
          <w:rFonts w:ascii="Century Gothic" w:hAnsi="Century Gothic" w:eastAsia="Arial" w:cs="Arial"/>
        </w:rPr>
        <w:t>artículos 2 y 47 (inciso 1) del CPACA, consagran el principio de subsidiariedad, en virtud</w:t>
      </w:r>
      <w:r w:rsidR="00C357B8">
        <w:rPr>
          <w:rFonts w:ascii="Century Gothic" w:hAnsi="Century Gothic" w:eastAsia="Arial" w:cs="Arial"/>
        </w:rPr>
        <w:t xml:space="preserve"> </w:t>
      </w:r>
      <w:r w:rsidRPr="00C740A4">
        <w:rPr>
          <w:rFonts w:ascii="Century Gothic" w:hAnsi="Century Gothic" w:eastAsia="Arial" w:cs="Arial"/>
        </w:rPr>
        <w:t>del cual las normas de la primera parte del código se deben aplicar en aquellos casos en</w:t>
      </w:r>
      <w:r w:rsidR="00C357B8">
        <w:rPr>
          <w:rFonts w:ascii="Century Gothic" w:hAnsi="Century Gothic" w:eastAsia="Arial" w:cs="Arial"/>
        </w:rPr>
        <w:t xml:space="preserve"> </w:t>
      </w:r>
      <w:r w:rsidRPr="00C740A4">
        <w:rPr>
          <w:rFonts w:ascii="Century Gothic" w:hAnsi="Century Gothic" w:eastAsia="Arial" w:cs="Arial"/>
        </w:rPr>
        <w:t>los cuales haya vacío en las normas especiales</w:t>
      </w:r>
      <w:r w:rsidRPr="00C740A4">
        <w:rPr>
          <w:rFonts w:ascii="Century Gothic" w:hAnsi="Century Gothic" w:eastAsia="Arial" w:cs="Arial"/>
        </w:rPr>
        <w:t>.</w:t>
      </w:r>
    </w:p>
    <w:p w:rsidR="00C740A4" w:rsidP="00C740A4" w:rsidRDefault="00C740A4" w14:paraId="741F8032" w14:textId="778602C9">
      <w:pPr>
        <w:tabs>
          <w:tab w:val="left" w:pos="426"/>
        </w:tabs>
        <w:spacing w:line="276" w:lineRule="auto"/>
        <w:jc w:val="both"/>
        <w:rPr>
          <w:rFonts w:ascii="Century Gothic" w:hAnsi="Century Gothic" w:eastAsia="Arial" w:cs="Arial"/>
          <w:b/>
          <w:bCs/>
        </w:rPr>
      </w:pPr>
      <w:r w:rsidRPr="00651E2E">
        <w:rPr>
          <w:rFonts w:ascii="Century Gothic" w:hAnsi="Century Gothic" w:eastAsia="Arial" w:cs="Arial"/>
          <w:b/>
          <w:bCs/>
        </w:rPr>
        <w:t>CADUCIDAD – Aplicación subsidiaria del artículo 52 del CPACA</w:t>
      </w:r>
    </w:p>
    <w:p w:rsidRPr="00C357B8" w:rsidR="00C357B8" w:rsidP="00C357B8" w:rsidRDefault="00C357B8" w14:paraId="4F3BAE78" w14:textId="7E3A59AB">
      <w:pPr>
        <w:tabs>
          <w:tab w:val="left" w:pos="426"/>
        </w:tabs>
        <w:spacing w:line="276" w:lineRule="auto"/>
        <w:jc w:val="both"/>
        <w:rPr>
          <w:rFonts w:ascii="Century Gothic" w:hAnsi="Century Gothic" w:eastAsia="Arial" w:cs="Arial"/>
        </w:rPr>
      </w:pPr>
      <w:r w:rsidRPr="00C357B8">
        <w:rPr>
          <w:rFonts w:ascii="Century Gothic" w:hAnsi="Century Gothic" w:eastAsia="Arial" w:cs="Arial"/>
        </w:rPr>
        <w:t>Definido lo anterior se observa que el artículo 52 del CPACA es la norma que</w:t>
      </w:r>
      <w:r>
        <w:rPr>
          <w:rFonts w:ascii="Century Gothic" w:hAnsi="Century Gothic" w:eastAsia="Arial" w:cs="Arial"/>
        </w:rPr>
        <w:t xml:space="preserve"> </w:t>
      </w:r>
      <w:r w:rsidRPr="00C357B8">
        <w:rPr>
          <w:rFonts w:ascii="Century Gothic" w:hAnsi="Century Gothic" w:eastAsia="Arial" w:cs="Arial"/>
        </w:rPr>
        <w:t>consagra la caducidad de la facultad que tienen las autoridades administrativas para</w:t>
      </w:r>
      <w:r>
        <w:rPr>
          <w:rFonts w:ascii="Century Gothic" w:hAnsi="Century Gothic" w:eastAsia="Arial" w:cs="Arial"/>
        </w:rPr>
        <w:t xml:space="preserve"> </w:t>
      </w:r>
      <w:r w:rsidRPr="00C357B8">
        <w:rPr>
          <w:rFonts w:ascii="Century Gothic" w:hAnsi="Century Gothic" w:eastAsia="Arial" w:cs="Arial"/>
        </w:rPr>
        <w:t>imponer sanciones, que opera luego de transcurridos tres (3) años de ocurrido el hecho, la</w:t>
      </w:r>
      <w:r w:rsidR="00D934BC">
        <w:rPr>
          <w:rFonts w:ascii="Century Gothic" w:hAnsi="Century Gothic" w:eastAsia="Arial" w:cs="Arial"/>
        </w:rPr>
        <w:t xml:space="preserve"> </w:t>
      </w:r>
      <w:r w:rsidRPr="00C357B8">
        <w:rPr>
          <w:rFonts w:ascii="Century Gothic" w:hAnsi="Century Gothic" w:eastAsia="Arial" w:cs="Arial"/>
        </w:rPr>
        <w:t>conducta u omisión que pudiere ocasionarlas, plazo dentro del cual el acto administrativo</w:t>
      </w:r>
      <w:r w:rsidR="00D934BC">
        <w:rPr>
          <w:rFonts w:ascii="Century Gothic" w:hAnsi="Century Gothic" w:eastAsia="Arial" w:cs="Arial"/>
        </w:rPr>
        <w:t xml:space="preserve"> </w:t>
      </w:r>
      <w:r w:rsidRPr="00C357B8">
        <w:rPr>
          <w:rFonts w:ascii="Century Gothic" w:hAnsi="Century Gothic" w:eastAsia="Arial" w:cs="Arial"/>
        </w:rPr>
        <w:t>sancionatorio debe quedar expedido y notificado. Además, estableció de manera</w:t>
      </w:r>
      <w:r w:rsidR="00D934BC">
        <w:rPr>
          <w:rFonts w:ascii="Century Gothic" w:hAnsi="Century Gothic" w:eastAsia="Arial" w:cs="Arial"/>
        </w:rPr>
        <w:t xml:space="preserve"> </w:t>
      </w:r>
      <w:r w:rsidRPr="00C357B8">
        <w:rPr>
          <w:rFonts w:ascii="Century Gothic" w:hAnsi="Century Gothic" w:eastAsia="Arial" w:cs="Arial"/>
        </w:rPr>
        <w:t>independiente y autónoma el término de un (1) año para resolver los recursos procedentes</w:t>
      </w:r>
      <w:r w:rsidR="00D934BC">
        <w:rPr>
          <w:rFonts w:ascii="Century Gothic" w:hAnsi="Century Gothic" w:eastAsia="Arial" w:cs="Arial"/>
        </w:rPr>
        <w:t xml:space="preserve"> </w:t>
      </w:r>
      <w:r w:rsidRPr="00C357B8">
        <w:rPr>
          <w:rFonts w:ascii="Century Gothic" w:hAnsi="Century Gothic" w:eastAsia="Arial" w:cs="Arial"/>
        </w:rPr>
        <w:t>contra el acto sancionatorio, contado a partir de la interposición de los mismos, so pena de</w:t>
      </w:r>
      <w:r w:rsidR="00D934BC">
        <w:rPr>
          <w:rFonts w:ascii="Century Gothic" w:hAnsi="Century Gothic" w:eastAsia="Arial" w:cs="Arial"/>
        </w:rPr>
        <w:t xml:space="preserve"> </w:t>
      </w:r>
      <w:r w:rsidRPr="00C357B8">
        <w:rPr>
          <w:rFonts w:ascii="Century Gothic" w:hAnsi="Century Gothic" w:eastAsia="Arial" w:cs="Arial"/>
        </w:rPr>
        <w:t xml:space="preserve">la pérdida de competencia. Finalmente, dispuso </w:t>
      </w:r>
      <w:r w:rsidRPr="00C357B8" w:rsidR="00D934BC">
        <w:rPr>
          <w:rFonts w:ascii="Century Gothic" w:hAnsi="Century Gothic" w:eastAsia="Arial" w:cs="Arial"/>
        </w:rPr>
        <w:t>que,</w:t>
      </w:r>
      <w:r w:rsidRPr="00C357B8">
        <w:rPr>
          <w:rFonts w:ascii="Century Gothic" w:hAnsi="Century Gothic" w:eastAsia="Arial" w:cs="Arial"/>
        </w:rPr>
        <w:t xml:space="preserve"> si los recursos no se deciden en el</w:t>
      </w:r>
      <w:r w:rsidR="00D934BC">
        <w:rPr>
          <w:rFonts w:ascii="Century Gothic" w:hAnsi="Century Gothic" w:eastAsia="Arial" w:cs="Arial"/>
        </w:rPr>
        <w:t xml:space="preserve"> </w:t>
      </w:r>
      <w:r w:rsidRPr="00C357B8">
        <w:rPr>
          <w:rFonts w:ascii="Century Gothic" w:hAnsi="Century Gothic" w:eastAsia="Arial" w:cs="Arial"/>
        </w:rPr>
        <w:t>término fijado, se entenderán resueltos a favor del recurrente.</w:t>
      </w:r>
    </w:p>
    <w:p w:rsidRPr="00C357B8" w:rsidR="00C357B8" w:rsidP="00C357B8" w:rsidRDefault="00C357B8" w14:paraId="3C8DBE8E" w14:textId="56FE8FBF">
      <w:pPr>
        <w:tabs>
          <w:tab w:val="left" w:pos="426"/>
        </w:tabs>
        <w:spacing w:line="276" w:lineRule="auto"/>
        <w:jc w:val="both"/>
        <w:rPr>
          <w:rFonts w:ascii="Century Gothic" w:hAnsi="Century Gothic" w:eastAsia="Arial" w:cs="Arial"/>
        </w:rPr>
      </w:pPr>
      <w:r w:rsidRPr="00C357B8">
        <w:rPr>
          <w:rFonts w:ascii="Century Gothic" w:hAnsi="Century Gothic" w:eastAsia="Arial" w:cs="Arial"/>
        </w:rPr>
        <w:t>Ahora bien, en vista de que el artículo 86 de la Ley 1474 de 2011 no reguló este</w:t>
      </w:r>
      <w:r w:rsidR="00865436">
        <w:rPr>
          <w:rFonts w:ascii="Century Gothic" w:hAnsi="Century Gothic" w:eastAsia="Arial" w:cs="Arial"/>
        </w:rPr>
        <w:t xml:space="preserve"> </w:t>
      </w:r>
      <w:r w:rsidRPr="00C357B8">
        <w:rPr>
          <w:rFonts w:ascii="Century Gothic" w:hAnsi="Century Gothic" w:eastAsia="Arial" w:cs="Arial"/>
        </w:rPr>
        <w:t>asunto de manera especial, resultaría posible aplicar el artículo 52 del CPACA, si las</w:t>
      </w:r>
      <w:r w:rsidR="00865436">
        <w:rPr>
          <w:rFonts w:ascii="Century Gothic" w:hAnsi="Century Gothic" w:eastAsia="Arial" w:cs="Arial"/>
        </w:rPr>
        <w:t xml:space="preserve"> </w:t>
      </w:r>
      <w:r w:rsidRPr="00C357B8">
        <w:rPr>
          <w:rFonts w:ascii="Century Gothic" w:hAnsi="Century Gothic" w:eastAsia="Arial" w:cs="Arial"/>
        </w:rPr>
        <w:t>circunstancias de un caso concreto lo ameritan, porque no contradice la norma especial,</w:t>
      </w:r>
      <w:r w:rsidR="00865436">
        <w:rPr>
          <w:rFonts w:ascii="Century Gothic" w:hAnsi="Century Gothic" w:eastAsia="Arial" w:cs="Arial"/>
        </w:rPr>
        <w:t xml:space="preserve"> </w:t>
      </w:r>
      <w:r w:rsidRPr="00C357B8">
        <w:rPr>
          <w:rFonts w:ascii="Century Gothic" w:hAnsi="Century Gothic" w:eastAsia="Arial" w:cs="Arial"/>
        </w:rPr>
        <w:t>sino que la complementa. Lo anterior aun cuando el artículo 86 de la Ley 1474 establece</w:t>
      </w:r>
      <w:r w:rsidR="00865436">
        <w:rPr>
          <w:rFonts w:ascii="Century Gothic" w:hAnsi="Century Gothic" w:eastAsia="Arial" w:cs="Arial"/>
        </w:rPr>
        <w:t xml:space="preserve"> q</w:t>
      </w:r>
      <w:r w:rsidRPr="00C357B8">
        <w:rPr>
          <w:rFonts w:ascii="Century Gothic" w:hAnsi="Century Gothic" w:eastAsia="Arial" w:cs="Arial"/>
        </w:rPr>
        <w:t>ue el recurso de reposición debe resolverse en la misma audiencia; pero no regula la</w:t>
      </w:r>
      <w:r w:rsidR="00865436">
        <w:rPr>
          <w:rFonts w:ascii="Century Gothic" w:hAnsi="Century Gothic" w:eastAsia="Arial" w:cs="Arial"/>
        </w:rPr>
        <w:t xml:space="preserve"> </w:t>
      </w:r>
      <w:r w:rsidRPr="00C357B8">
        <w:rPr>
          <w:rFonts w:ascii="Century Gothic" w:hAnsi="Century Gothic" w:eastAsia="Arial" w:cs="Arial"/>
        </w:rPr>
        <w:t>consecuencia de lo que ocurriría si la entidad contratante no lo resuelve en esa oportunidad,</w:t>
      </w:r>
      <w:r w:rsidR="00865436">
        <w:rPr>
          <w:rFonts w:ascii="Century Gothic" w:hAnsi="Century Gothic" w:eastAsia="Arial" w:cs="Arial"/>
        </w:rPr>
        <w:t xml:space="preserve"> </w:t>
      </w:r>
      <w:r w:rsidRPr="00C357B8">
        <w:rPr>
          <w:rFonts w:ascii="Century Gothic" w:hAnsi="Century Gothic" w:eastAsia="Arial" w:cs="Arial"/>
        </w:rPr>
        <w:t>situación irregular que entraría a suplirse con lo dispuesto en la norma del procedimiento</w:t>
      </w:r>
      <w:r w:rsidR="00865436">
        <w:rPr>
          <w:rFonts w:ascii="Century Gothic" w:hAnsi="Century Gothic" w:eastAsia="Arial" w:cs="Arial"/>
        </w:rPr>
        <w:t xml:space="preserve"> </w:t>
      </w:r>
      <w:r w:rsidRPr="00C357B8">
        <w:rPr>
          <w:rFonts w:ascii="Century Gothic" w:hAnsi="Century Gothic" w:eastAsia="Arial" w:cs="Arial"/>
        </w:rPr>
        <w:t>sancionatorio general.</w:t>
      </w:r>
    </w:p>
    <w:p w:rsidRPr="00C357B8" w:rsidR="00C357B8" w:rsidP="00C357B8" w:rsidRDefault="00865436" w14:paraId="6D034295" w14:textId="04BA84D2">
      <w:pPr>
        <w:tabs>
          <w:tab w:val="left" w:pos="426"/>
        </w:tabs>
        <w:spacing w:line="276" w:lineRule="auto"/>
        <w:jc w:val="both"/>
        <w:rPr>
          <w:rFonts w:ascii="Century Gothic" w:hAnsi="Century Gothic" w:eastAsia="Arial" w:cs="Arial"/>
        </w:rPr>
      </w:pPr>
      <w:r w:rsidRPr="00392858">
        <w:rPr>
          <w:rFonts w:ascii="Century Gothic" w:hAnsi="Century Gothic" w:eastAsia="Arial" w:cs="Arial"/>
        </w:rPr>
        <w:t>[</w:t>
      </w:r>
      <w:r>
        <w:rPr>
          <w:rFonts w:ascii="Century Gothic" w:hAnsi="Century Gothic" w:eastAsia="Arial" w:cs="Arial"/>
        </w:rPr>
        <w:t>…</w:t>
      </w:r>
      <w:r w:rsidRPr="00392858">
        <w:rPr>
          <w:rFonts w:ascii="Century Gothic" w:hAnsi="Century Gothic" w:eastAsia="Arial" w:cs="Arial"/>
        </w:rPr>
        <w:t>]</w:t>
      </w:r>
      <w:r>
        <w:rPr>
          <w:rFonts w:ascii="Century Gothic" w:hAnsi="Century Gothic" w:eastAsia="Arial" w:cs="Arial"/>
        </w:rPr>
        <w:t xml:space="preserve"> </w:t>
      </w:r>
      <w:r w:rsidRPr="00C357B8" w:rsidR="00C357B8">
        <w:rPr>
          <w:rFonts w:ascii="Century Gothic" w:hAnsi="Century Gothic" w:eastAsia="Arial" w:cs="Arial"/>
        </w:rPr>
        <w:t>De cualquier modo, es necesario tener en cuenta que la garantías que amparan el</w:t>
      </w:r>
      <w:r>
        <w:rPr>
          <w:rFonts w:ascii="Century Gothic" w:hAnsi="Century Gothic" w:eastAsia="Arial" w:cs="Arial"/>
        </w:rPr>
        <w:t xml:space="preserve"> </w:t>
      </w:r>
      <w:r w:rsidRPr="00C357B8" w:rsidR="00C357B8">
        <w:rPr>
          <w:rFonts w:ascii="Century Gothic" w:hAnsi="Century Gothic" w:eastAsia="Arial" w:cs="Arial"/>
        </w:rPr>
        <w:t>cumplimiento en los contratos estatales están regidas por los términos de prescripción</w:t>
      </w:r>
      <w:r>
        <w:rPr>
          <w:rFonts w:ascii="Century Gothic" w:hAnsi="Century Gothic" w:eastAsia="Arial" w:cs="Arial"/>
        </w:rPr>
        <w:t xml:space="preserve"> </w:t>
      </w:r>
      <w:r w:rsidRPr="00C357B8" w:rsidR="00C357B8">
        <w:rPr>
          <w:rFonts w:ascii="Century Gothic" w:hAnsi="Century Gothic" w:eastAsia="Arial" w:cs="Arial"/>
        </w:rPr>
        <w:t>establecidos para el contrato de seguro en el artículo 1081 del Código de Comercio</w:t>
      </w:r>
      <w:r w:rsidR="009B5035">
        <w:rPr>
          <w:rFonts w:ascii="Century Gothic" w:hAnsi="Century Gothic" w:eastAsia="Arial" w:cs="Arial"/>
        </w:rPr>
        <w:t xml:space="preserve">. </w:t>
      </w:r>
      <w:r w:rsidRPr="00C357B8" w:rsidR="00C357B8">
        <w:rPr>
          <w:rFonts w:ascii="Century Gothic" w:hAnsi="Century Gothic" w:eastAsia="Arial" w:cs="Arial"/>
        </w:rPr>
        <w:t>En ese sentido, independientemente del término de caducidad de la facultad sancionatoria,</w:t>
      </w:r>
      <w:r w:rsidR="009B5035">
        <w:rPr>
          <w:rFonts w:ascii="Century Gothic" w:hAnsi="Century Gothic" w:eastAsia="Arial" w:cs="Arial"/>
        </w:rPr>
        <w:t xml:space="preserve"> </w:t>
      </w:r>
      <w:r w:rsidRPr="00C357B8" w:rsidR="00C357B8">
        <w:rPr>
          <w:rFonts w:ascii="Century Gothic" w:hAnsi="Century Gothic" w:eastAsia="Arial" w:cs="Arial"/>
        </w:rPr>
        <w:t>también es necesario que la Entidad Estatal tenga en cuenta lo anterior, en aras de evitar</w:t>
      </w:r>
      <w:r w:rsidR="009B5035">
        <w:rPr>
          <w:rFonts w:ascii="Century Gothic" w:hAnsi="Century Gothic" w:eastAsia="Arial" w:cs="Arial"/>
        </w:rPr>
        <w:t xml:space="preserve"> </w:t>
      </w:r>
      <w:r w:rsidRPr="00C357B8" w:rsidR="00C357B8">
        <w:rPr>
          <w:rFonts w:ascii="Century Gothic" w:hAnsi="Century Gothic" w:eastAsia="Arial" w:cs="Arial"/>
        </w:rPr>
        <w:t>que se declaren incumplimientos cuando se haya consolidado la prescripción de las</w:t>
      </w:r>
      <w:r w:rsidR="009B5035">
        <w:rPr>
          <w:rFonts w:ascii="Century Gothic" w:hAnsi="Century Gothic" w:eastAsia="Arial" w:cs="Arial"/>
        </w:rPr>
        <w:t xml:space="preserve"> </w:t>
      </w:r>
      <w:r w:rsidRPr="00C357B8" w:rsidR="00C357B8">
        <w:rPr>
          <w:rFonts w:ascii="Century Gothic" w:hAnsi="Century Gothic" w:eastAsia="Arial" w:cs="Arial"/>
        </w:rPr>
        <w:t>acciones que derivan del contrato de seguro que ampara a la Entidad Estatal ante el</w:t>
      </w:r>
      <w:r w:rsidR="009B5035">
        <w:rPr>
          <w:rFonts w:ascii="Century Gothic" w:hAnsi="Century Gothic" w:eastAsia="Arial" w:cs="Arial"/>
        </w:rPr>
        <w:t xml:space="preserve"> </w:t>
      </w:r>
      <w:r w:rsidRPr="00C357B8" w:rsidR="00C357B8">
        <w:rPr>
          <w:rFonts w:ascii="Century Gothic" w:hAnsi="Century Gothic" w:eastAsia="Arial" w:cs="Arial"/>
        </w:rPr>
        <w:t>incumplimiento del contratista y no sea posible siniestrar las garantías que respaldan el</w:t>
      </w:r>
      <w:r w:rsidR="009B5035">
        <w:rPr>
          <w:rFonts w:ascii="Century Gothic" w:hAnsi="Century Gothic" w:eastAsia="Arial" w:cs="Arial"/>
        </w:rPr>
        <w:t xml:space="preserve"> </w:t>
      </w:r>
      <w:r w:rsidRPr="00C357B8" w:rsidR="00C357B8">
        <w:rPr>
          <w:rFonts w:ascii="Century Gothic" w:hAnsi="Century Gothic" w:eastAsia="Arial" w:cs="Arial"/>
        </w:rPr>
        <w:t>contrato estatal.</w:t>
      </w:r>
    </w:p>
    <w:p w:rsidR="00651E2E" w:rsidRDefault="00651E2E" w14:paraId="0F2D9FE5" w14:textId="31DC47B7">
      <w:pPr>
        <w:rPr>
          <w:rFonts w:ascii="Century Gothic" w:hAnsi="Century Gothic"/>
        </w:rPr>
      </w:pPr>
      <w:r>
        <w:rPr>
          <w:rFonts w:ascii="Century Gothic" w:hAnsi="Century Gothic"/>
        </w:rPr>
        <w:br w:type="page"/>
      </w:r>
    </w:p>
    <w:p w:rsidRPr="00392858" w:rsidR="00E245AB" w:rsidP="00E245AB" w:rsidRDefault="00E245AB" w14:paraId="3FE2184B" w14:textId="22565ABF">
      <w:pPr>
        <w:spacing w:after="0"/>
        <w:rPr>
          <w:rFonts w:ascii="Century Gothic" w:hAnsi="Century Gothic"/>
        </w:rPr>
      </w:pPr>
      <w:r w:rsidRPr="00392858">
        <w:rPr>
          <w:rFonts w:ascii="Century Gothic" w:hAnsi="Century Gothic"/>
        </w:rPr>
        <w:t xml:space="preserve">Bogotá D.C., </w:t>
      </w:r>
      <w:r w:rsidR="00EA744F">
        <w:rPr>
          <w:rFonts w:ascii="Century Gothic" w:hAnsi="Century Gothic"/>
        </w:rPr>
        <w:t>07 de Julio de 2023</w:t>
      </w:r>
    </w:p>
    <w:p w:rsidRPr="00392858" w:rsidR="00E245AB" w:rsidP="00E245AB" w:rsidRDefault="00E245AB" w14:paraId="5FCADBF9" w14:textId="77777777">
      <w:pPr>
        <w:spacing w:after="0"/>
        <w:rPr>
          <w:rFonts w:ascii="Century Gothic" w:hAnsi="Century Gothic"/>
        </w:rPr>
      </w:pPr>
    </w:p>
    <w:p w:rsidRPr="00392858" w:rsidR="00E245AB" w:rsidP="00E245AB" w:rsidRDefault="00E245AB" w14:paraId="0465BA6D" w14:textId="77777777" w14:noSpellErr="1">
      <w:pPr>
        <w:spacing w:after="0"/>
        <w:rPr>
          <w:rFonts w:ascii="Century Gothic" w:hAnsi="Century Gothic"/>
        </w:rPr>
      </w:pPr>
    </w:p>
    <w:p w:rsidR="4DF4B439" w:rsidP="6F362C3B" w:rsidRDefault="4DF4B439" w14:paraId="5E4A5E51" w14:textId="543FCD08">
      <w:pPr>
        <w:pStyle w:val="Normal"/>
        <w:spacing w:after="0"/>
        <w:jc w:val="right"/>
      </w:pPr>
      <w:r w:rsidR="4DF4B439">
        <w:drawing>
          <wp:inline wp14:editId="7508D804" wp14:anchorId="100DAA5B">
            <wp:extent cx="2638425" cy="1143000"/>
            <wp:effectExtent l="0" t="0" r="0" b="0"/>
            <wp:docPr id="156286557" name="" title=""/>
            <wp:cNvGraphicFramePr>
              <a:graphicFrameLocks noChangeAspect="1"/>
            </wp:cNvGraphicFramePr>
            <a:graphic>
              <a:graphicData uri="http://schemas.openxmlformats.org/drawingml/2006/picture">
                <pic:pic>
                  <pic:nvPicPr>
                    <pic:cNvPr id="0" name=""/>
                    <pic:cNvPicPr/>
                  </pic:nvPicPr>
                  <pic:blipFill>
                    <a:blip r:embed="R3a6a994201be4b94">
                      <a:extLst>
                        <a:ext xmlns:a="http://schemas.openxmlformats.org/drawingml/2006/main" uri="{28A0092B-C50C-407E-A947-70E740481C1C}">
                          <a14:useLocalDpi val="0"/>
                        </a:ext>
                      </a:extLst>
                    </a:blip>
                    <a:stretch>
                      <a:fillRect/>
                    </a:stretch>
                  </pic:blipFill>
                  <pic:spPr>
                    <a:xfrm>
                      <a:off x="0" y="0"/>
                      <a:ext cx="2638425" cy="1143000"/>
                    </a:xfrm>
                    <a:prstGeom prst="rect">
                      <a:avLst/>
                    </a:prstGeom>
                  </pic:spPr>
                </pic:pic>
              </a:graphicData>
            </a:graphic>
          </wp:inline>
        </w:drawing>
      </w:r>
    </w:p>
    <w:p w:rsidR="6F362C3B" w:rsidP="6F362C3B" w:rsidRDefault="6F362C3B" w14:paraId="607D2DE9" w14:textId="6459B061">
      <w:pPr>
        <w:pStyle w:val="Normal"/>
        <w:spacing w:after="0"/>
        <w:rPr>
          <w:rFonts w:ascii="Century Gothic" w:hAnsi="Century Gothic"/>
        </w:rPr>
      </w:pPr>
    </w:p>
    <w:p w:rsidRPr="00392858" w:rsidR="003344FA" w:rsidP="003344FA" w:rsidRDefault="003344FA" w14:paraId="0F1B8B78" w14:textId="77777777">
      <w:pPr>
        <w:widowControl w:val="0"/>
        <w:autoSpaceDE w:val="0"/>
        <w:autoSpaceDN w:val="0"/>
        <w:spacing w:after="0" w:line="240" w:lineRule="auto"/>
        <w:jc w:val="both"/>
        <w:rPr>
          <w:rFonts w:ascii="Century Gothic" w:hAnsi="Century Gothic" w:eastAsia="Arial MT" w:cs="Arial"/>
          <w:lang w:val="es-ES"/>
          <w14:ligatures w14:val="standardContextual"/>
        </w:rPr>
      </w:pPr>
      <w:bookmarkStart w:name="_Hlk94281581" w:id="0"/>
      <w:r w:rsidRPr="00392858">
        <w:rPr>
          <w:rFonts w:ascii="Century Gothic" w:hAnsi="Century Gothic" w:eastAsia="Arial MT" w:cs="Arial"/>
          <w:lang w:val="es-ES"/>
          <w14:ligatures w14:val="standardContextual"/>
        </w:rPr>
        <w:t>Señor</w:t>
      </w:r>
    </w:p>
    <w:p w:rsidRPr="009630A2" w:rsidR="003344FA" w:rsidP="003344FA" w:rsidRDefault="00632521" w14:paraId="2EC22F58" w14:textId="3E5847F3">
      <w:pPr>
        <w:widowControl w:val="0"/>
        <w:autoSpaceDE w:val="0"/>
        <w:autoSpaceDN w:val="0"/>
        <w:spacing w:after="0" w:line="240" w:lineRule="auto"/>
        <w:jc w:val="both"/>
        <w:outlineLvl w:val="0"/>
        <w:rPr>
          <w:rFonts w:ascii="Century Gothic" w:hAnsi="Century Gothic" w:eastAsia="Arial" w:cs="Arial"/>
          <w:b/>
          <w:bCs/>
          <w14:ligatures w14:val="standardContextual"/>
        </w:rPr>
      </w:pPr>
      <w:r w:rsidRPr="009630A2">
        <w:rPr>
          <w:rFonts w:ascii="Century Gothic" w:hAnsi="Century Gothic" w:eastAsia="Arial" w:cs="Arial"/>
          <w:b/>
          <w:bCs/>
          <w14:ligatures w14:val="standardContextual"/>
        </w:rPr>
        <w:t>Andres Alfonso Cuervo Valero</w:t>
      </w:r>
    </w:p>
    <w:p w:rsidRPr="009630A2" w:rsidR="003344FA" w:rsidP="003344FA" w:rsidRDefault="00632521" w14:paraId="6A9F1803" w14:textId="79B5107E">
      <w:pPr>
        <w:widowControl w:val="0"/>
        <w:autoSpaceDE w:val="0"/>
        <w:autoSpaceDN w:val="0"/>
        <w:spacing w:after="0" w:line="240" w:lineRule="auto"/>
        <w:jc w:val="both"/>
        <w:rPr>
          <w:rFonts w:ascii="Century Gothic" w:hAnsi="Century Gothic" w:eastAsia="Arial" w:cs="Arial"/>
          <w:bCs/>
          <w14:ligatures w14:val="standardContextual"/>
        </w:rPr>
      </w:pPr>
      <w:r w:rsidRPr="009630A2">
        <w:rPr>
          <w:rFonts w:ascii="Century Gothic" w:hAnsi="Century Gothic" w:eastAsia="Arial" w:cs="Arial"/>
          <w:bCs/>
          <w14:ligatures w14:val="standardContextual"/>
        </w:rPr>
        <w:t>Facatativa, Cundinamarca</w:t>
      </w:r>
    </w:p>
    <w:p w:rsidRPr="009630A2" w:rsidR="003344FA" w:rsidP="003344FA" w:rsidRDefault="003344FA" w14:paraId="74690B25" w14:textId="77777777">
      <w:pPr>
        <w:widowControl w:val="0"/>
        <w:autoSpaceDE w:val="0"/>
        <w:autoSpaceDN w:val="0"/>
        <w:spacing w:after="0" w:line="240" w:lineRule="auto"/>
        <w:jc w:val="both"/>
        <w:rPr>
          <w:rFonts w:ascii="Century Gothic" w:hAnsi="Century Gothic" w:eastAsia="Arial MT" w:cs="Arial"/>
          <w14:ligatures w14:val="standardContextual"/>
        </w:rPr>
      </w:pPr>
    </w:p>
    <w:p w:rsidRPr="009630A2" w:rsidR="003344FA" w:rsidP="003344FA" w:rsidRDefault="003344FA" w14:paraId="7CDD8565" w14:textId="77777777">
      <w:pPr>
        <w:widowControl w:val="0"/>
        <w:autoSpaceDE w:val="0"/>
        <w:autoSpaceDN w:val="0"/>
        <w:spacing w:after="0" w:line="240" w:lineRule="auto"/>
        <w:jc w:val="both"/>
        <w:rPr>
          <w:rFonts w:ascii="Century Gothic" w:hAnsi="Century Gothic" w:eastAsia="Arial MT" w:cs="Arial"/>
          <w14:ligatures w14:val="standardContextual"/>
        </w:rPr>
      </w:pPr>
    </w:p>
    <w:p w:rsidRPr="00392858" w:rsidR="003344FA" w:rsidP="003344FA" w:rsidRDefault="003344FA" w14:paraId="595376BD" w14:textId="384C7617">
      <w:pPr>
        <w:widowControl w:val="0"/>
        <w:autoSpaceDE w:val="0"/>
        <w:autoSpaceDN w:val="0"/>
        <w:spacing w:after="0" w:line="240" w:lineRule="auto"/>
        <w:jc w:val="both"/>
        <w:outlineLvl w:val="0"/>
        <w:rPr>
          <w:rFonts w:ascii="Century Gothic" w:hAnsi="Century Gothic" w:eastAsia="Arial" w:cs="Arial"/>
          <w:b/>
          <w:bCs/>
          <w:lang w:val="es-ES"/>
          <w14:ligatures w14:val="standardContextual"/>
        </w:rPr>
      </w:pPr>
      <w:r w:rsidRPr="009630A2">
        <w:rPr>
          <w:rFonts w:ascii="Century Gothic" w:hAnsi="Century Gothic" w:eastAsia="Arial" w:cs="Arial"/>
          <w:b/>
          <w:bCs/>
          <w14:ligatures w14:val="standardContextual"/>
        </w:rPr>
        <w:t xml:space="preserve">                                            </w:t>
      </w:r>
      <w:r w:rsidRPr="00392858">
        <w:rPr>
          <w:rFonts w:ascii="Century Gothic" w:hAnsi="Century Gothic" w:eastAsia="Arial" w:cs="Arial"/>
          <w:b/>
          <w:bCs/>
          <w:lang w:val="es-ES"/>
          <w14:ligatures w14:val="standardContextual"/>
        </w:rPr>
        <w:t>Concepto</w:t>
      </w:r>
      <w:r w:rsidRPr="00392858">
        <w:rPr>
          <w:rFonts w:ascii="Century Gothic" w:hAnsi="Century Gothic" w:eastAsia="Arial" w:cs="Arial"/>
          <w:b/>
          <w:bCs/>
          <w:spacing w:val="-7"/>
          <w:lang w:val="es-ES"/>
          <w14:ligatures w14:val="standardContextual"/>
        </w:rPr>
        <w:t xml:space="preserve"> </w:t>
      </w:r>
      <w:r w:rsidRPr="00392858">
        <w:rPr>
          <w:rFonts w:ascii="Century Gothic" w:hAnsi="Century Gothic" w:eastAsia="Arial" w:cs="Arial"/>
          <w:b/>
          <w:bCs/>
          <w:lang w:val="es-ES"/>
          <w14:ligatures w14:val="standardContextual"/>
        </w:rPr>
        <w:t>C</w:t>
      </w:r>
      <w:r w:rsidRPr="00392858">
        <w:rPr>
          <w:rFonts w:ascii="Century Gothic" w:hAnsi="Century Gothic" w:eastAsia="Arial" w:cs="Arial"/>
          <w:b/>
          <w:bCs/>
          <w:spacing w:val="-4"/>
          <w:lang w:val="es-ES"/>
          <w14:ligatures w14:val="standardContextual"/>
        </w:rPr>
        <w:t xml:space="preserve"> </w:t>
      </w:r>
      <w:r w:rsidRPr="00392858">
        <w:rPr>
          <w:rFonts w:ascii="Century Gothic" w:hAnsi="Century Gothic" w:eastAsia="Arial" w:cs="Arial"/>
          <w:b/>
          <w:bCs/>
          <w:lang w:val="es-ES"/>
          <w14:ligatures w14:val="standardContextual"/>
        </w:rPr>
        <w:t>–</w:t>
      </w:r>
      <w:r w:rsidRPr="00392858">
        <w:rPr>
          <w:rFonts w:ascii="Century Gothic" w:hAnsi="Century Gothic" w:eastAsia="Arial" w:cs="Arial"/>
          <w:b/>
          <w:bCs/>
          <w:spacing w:val="-5"/>
          <w:lang w:val="es-ES"/>
          <w14:ligatures w14:val="standardContextual"/>
        </w:rPr>
        <w:t xml:space="preserve"> </w:t>
      </w:r>
      <w:r w:rsidRPr="00392858" w:rsidR="00E82C12">
        <w:rPr>
          <w:rFonts w:ascii="Century Gothic" w:hAnsi="Century Gothic" w:eastAsia="Arial" w:cs="Arial"/>
          <w:b/>
          <w:bCs/>
          <w:lang w:val="es-ES"/>
          <w14:ligatures w14:val="standardContextual"/>
        </w:rPr>
        <w:t>227</w:t>
      </w:r>
      <w:r w:rsidRPr="00392858">
        <w:rPr>
          <w:rFonts w:ascii="Century Gothic" w:hAnsi="Century Gothic" w:eastAsia="Arial" w:cs="Arial"/>
          <w:b/>
          <w:bCs/>
          <w:lang w:val="es-ES"/>
          <w14:ligatures w14:val="standardContextual"/>
        </w:rPr>
        <w:t xml:space="preserve"> de 2023</w:t>
      </w:r>
    </w:p>
    <w:p w:rsidRPr="00392858" w:rsidR="003344FA" w:rsidP="003344FA" w:rsidRDefault="003344FA" w14:paraId="71FF2505" w14:textId="77777777">
      <w:pPr>
        <w:spacing w:after="0" w:line="240" w:lineRule="auto"/>
        <w:jc w:val="both"/>
        <w:rPr>
          <w:rFonts w:ascii="Century Gothic" w:hAnsi="Century Gothic" w:eastAsia="Calibri" w:cs="Arial"/>
          <w:lang w:val="es-ES_tradnl" w:eastAsia="es-ES_tradnl"/>
          <w14:ligatures w14:val="standardContextual"/>
        </w:rPr>
      </w:pPr>
    </w:p>
    <w:tbl>
      <w:tblPr>
        <w:tblStyle w:val="Tablaconcuadrcula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92858" w:rsidR="003344FA" w14:paraId="092F31FA" w14:textId="77777777">
        <w:tc>
          <w:tcPr>
            <w:tcW w:w="2689" w:type="dxa"/>
          </w:tcPr>
          <w:p w:rsidRPr="003B17D8" w:rsidR="003344FA" w:rsidRDefault="003344FA" w14:paraId="643C3463" w14:textId="77777777">
            <w:pPr>
              <w:jc w:val="both"/>
              <w:rPr>
                <w:rFonts w:ascii="Century Gothic" w:hAnsi="Century Gothic" w:eastAsia="Calibri" w:cs="Arial"/>
                <w:lang w:val="es-ES_tradnl" w:eastAsia="es-ES_tradnl"/>
              </w:rPr>
            </w:pPr>
            <w:r w:rsidRPr="003B17D8">
              <w:rPr>
                <w:rFonts w:ascii="Century Gothic" w:hAnsi="Century Gothic" w:eastAsia="Calibri" w:cs="Arial"/>
                <w:b/>
                <w:lang w:val="es-ES_tradnl" w:eastAsia="es-ES_tradnl"/>
              </w:rPr>
              <w:t>Temas:</w:t>
            </w:r>
            <w:r w:rsidRPr="003B17D8">
              <w:rPr>
                <w:rFonts w:ascii="Century Gothic" w:hAnsi="Century Gothic" w:eastAsia="Calibri" w:cs="Arial"/>
                <w:lang w:val="es-ES_tradnl" w:eastAsia="es-ES_tradnl"/>
              </w:rPr>
              <w:t xml:space="preserve">                                      </w:t>
            </w:r>
          </w:p>
        </w:tc>
        <w:tc>
          <w:tcPr>
            <w:tcW w:w="6237" w:type="dxa"/>
          </w:tcPr>
          <w:p w:rsidRPr="003B17D8" w:rsidR="003344FA" w:rsidP="00D04DC3" w:rsidRDefault="003344FA" w14:paraId="74B2B8AA" w14:textId="1F427CE8">
            <w:pPr>
              <w:tabs>
                <w:tab w:val="left" w:pos="426"/>
              </w:tabs>
              <w:spacing w:line="276" w:lineRule="auto"/>
              <w:jc w:val="both"/>
              <w:rPr>
                <w:rFonts w:ascii="Century Gothic" w:hAnsi="Century Gothic" w:eastAsia="Arial" w:cs="Arial"/>
                <w:b/>
              </w:rPr>
            </w:pPr>
            <w:r w:rsidRPr="003B17D8">
              <w:rPr>
                <w:rFonts w:ascii="Century Gothic" w:hAnsi="Century Gothic" w:eastAsia="Calibri" w:cs="Arial"/>
                <w:lang w:val="es-ES_tradnl" w:eastAsia="es-ES_tradnl"/>
              </w:rPr>
              <w:t xml:space="preserve">PROCEDIMIENTO SANCIONATORIO CONTRACTUAL – Citación a audiencia – Contenido – Ley 1474 de 2011 – Artículo 86 / </w:t>
            </w:r>
            <w:r w:rsidRPr="003B17D8">
              <w:rPr>
                <w:rFonts w:ascii="Century Gothic" w:hAnsi="Century Gothic" w:eastAsia="Arial" w:cs="Arial"/>
                <w:bCs/>
              </w:rPr>
              <w:t xml:space="preserve">CADUCIDAD – Facultad sancionatoria – Procesos sancionatorios contractuales </w:t>
            </w:r>
            <w:r w:rsidRPr="003B17D8">
              <w:rPr>
                <w:rFonts w:ascii="Century Gothic" w:hAnsi="Century Gothic" w:eastAsia="Calibri" w:cs="Arial"/>
                <w:bCs/>
                <w:lang w:val="es-ES_tradnl" w:eastAsia="es-ES_tradnl"/>
              </w:rPr>
              <w:t xml:space="preserve">/ </w:t>
            </w:r>
            <w:r w:rsidRPr="003B17D8">
              <w:rPr>
                <w:rFonts w:ascii="Century Gothic" w:hAnsi="Century Gothic" w:eastAsia="Arial" w:cs="Arial"/>
                <w:bCs/>
              </w:rPr>
              <w:t>CADUCIDAD – Facultad sancionatoria – Procesos sancionatorios contractuales – Aplicación subsidiaria del artículo 52 del CPACA</w:t>
            </w:r>
          </w:p>
          <w:p w:rsidRPr="003B17D8" w:rsidR="003344FA" w:rsidRDefault="003344FA" w14:paraId="076357E2" w14:textId="77777777">
            <w:pPr>
              <w:jc w:val="both"/>
              <w:rPr>
                <w:rFonts w:ascii="Century Gothic" w:hAnsi="Century Gothic" w:eastAsia="Calibri" w:cs="Arial"/>
                <w:lang w:val="es-ES_tradnl" w:eastAsia="es-ES_tradnl"/>
              </w:rPr>
            </w:pPr>
          </w:p>
        </w:tc>
      </w:tr>
    </w:tbl>
    <w:p w:rsidRPr="00392858" w:rsidR="003344FA" w:rsidP="003344FA" w:rsidRDefault="003344FA" w14:paraId="729CF220" w14:textId="5E91DDDA">
      <w:pPr>
        <w:spacing w:after="0" w:line="240" w:lineRule="auto"/>
        <w:jc w:val="both"/>
        <w:rPr>
          <w:rFonts w:ascii="Century Gothic" w:hAnsi="Century Gothic" w:eastAsia="Times New Roman" w:cs="Arial"/>
          <w:lang w:eastAsia="es-CO"/>
        </w:rPr>
      </w:pPr>
      <w:r w:rsidRPr="00392858">
        <w:rPr>
          <w:rFonts w:ascii="Century Gothic" w:hAnsi="Century Gothic" w:eastAsia="Arial MT" w:cs="Arial"/>
          <w:b/>
          <w:lang w:val="es-ES"/>
          <w14:ligatures w14:val="standardContextual"/>
        </w:rPr>
        <w:t xml:space="preserve">Radicación: </w:t>
      </w:r>
      <w:r w:rsidRPr="00392858">
        <w:rPr>
          <w:rFonts w:ascii="Century Gothic" w:hAnsi="Century Gothic" w:eastAsia="Arial MT" w:cs="Arial"/>
          <w:b/>
          <w:lang w:val="es-ES"/>
          <w14:ligatures w14:val="standardContextual"/>
        </w:rPr>
        <w:tab/>
      </w:r>
      <w:r w:rsidRPr="00392858">
        <w:rPr>
          <w:rFonts w:ascii="Century Gothic" w:hAnsi="Century Gothic" w:eastAsia="Arial MT" w:cs="Arial"/>
          <w:b/>
          <w:lang w:val="es-ES"/>
          <w14:ligatures w14:val="standardContextual"/>
        </w:rPr>
        <w:tab/>
      </w:r>
      <w:r w:rsidRPr="00392858">
        <w:rPr>
          <w:rFonts w:ascii="Century Gothic" w:hAnsi="Century Gothic" w:eastAsia="Arial MT" w:cs="Arial"/>
          <w:b/>
          <w:lang w:val="es-ES"/>
          <w14:ligatures w14:val="standardContextual"/>
        </w:rPr>
        <w:t xml:space="preserve">         </w:t>
      </w:r>
      <w:r w:rsidRPr="00392858">
        <w:rPr>
          <w:rFonts w:ascii="Century Gothic" w:hAnsi="Century Gothic" w:eastAsia="Arial MT" w:cs="Arial"/>
          <w:lang w:val="es-ES"/>
          <w14:ligatures w14:val="standardContextual"/>
        </w:rPr>
        <w:t>Respuesta</w:t>
      </w:r>
      <w:r w:rsidRPr="00392858">
        <w:rPr>
          <w:rFonts w:ascii="Century Gothic" w:hAnsi="Century Gothic" w:eastAsia="Arial MT" w:cs="Arial"/>
          <w:spacing w:val="-6"/>
          <w:lang w:val="es-ES"/>
          <w14:ligatures w14:val="standardContextual"/>
        </w:rPr>
        <w:t xml:space="preserve"> </w:t>
      </w:r>
      <w:r w:rsidRPr="00392858">
        <w:rPr>
          <w:rFonts w:ascii="Century Gothic" w:hAnsi="Century Gothic" w:eastAsia="Arial MT" w:cs="Arial"/>
          <w:lang w:val="es-ES"/>
          <w14:ligatures w14:val="standardContextual"/>
        </w:rPr>
        <w:t>a</w:t>
      </w:r>
      <w:r w:rsidRPr="00392858">
        <w:rPr>
          <w:rFonts w:ascii="Century Gothic" w:hAnsi="Century Gothic" w:eastAsia="Arial MT" w:cs="Arial"/>
          <w:spacing w:val="-6"/>
          <w:lang w:val="es-ES"/>
          <w14:ligatures w14:val="standardContextual"/>
        </w:rPr>
        <w:t xml:space="preserve"> </w:t>
      </w:r>
      <w:r w:rsidRPr="00392858">
        <w:rPr>
          <w:rFonts w:ascii="Century Gothic" w:hAnsi="Century Gothic" w:eastAsia="Arial MT" w:cs="Arial"/>
          <w:lang w:val="es-ES"/>
          <w14:ligatures w14:val="standardContextual"/>
        </w:rPr>
        <w:t>la</w:t>
      </w:r>
      <w:r w:rsidRPr="00392858">
        <w:rPr>
          <w:rFonts w:ascii="Century Gothic" w:hAnsi="Century Gothic" w:eastAsia="Arial MT" w:cs="Arial"/>
          <w:spacing w:val="-5"/>
          <w:lang w:val="es-ES"/>
          <w14:ligatures w14:val="standardContextual"/>
        </w:rPr>
        <w:t xml:space="preserve"> </w:t>
      </w:r>
      <w:r w:rsidRPr="00392858">
        <w:rPr>
          <w:rFonts w:ascii="Century Gothic" w:hAnsi="Century Gothic" w:eastAsia="Arial MT" w:cs="Arial"/>
          <w:lang w:val="es-ES"/>
          <w14:ligatures w14:val="standardContextual"/>
        </w:rPr>
        <w:t xml:space="preserve">consulta </w:t>
      </w:r>
      <w:r w:rsidRPr="00392858" w:rsidR="0090381A">
        <w:rPr>
          <w:rFonts w:ascii="Century Gothic" w:hAnsi="Century Gothic" w:eastAsia="Times New Roman" w:cs="Arial"/>
          <w:lang w:eastAsia="es-CO"/>
        </w:rPr>
        <w:t>P20230519011476</w:t>
      </w:r>
    </w:p>
    <w:p w:rsidRPr="00392858" w:rsidR="003344FA" w:rsidP="003344FA" w:rsidRDefault="003344FA" w14:paraId="0A019935" w14:textId="77777777">
      <w:pPr>
        <w:spacing w:after="0" w:line="276" w:lineRule="auto"/>
        <w:ind w:right="709"/>
        <w:jc w:val="both"/>
        <w:rPr>
          <w:rFonts w:ascii="Century Gothic" w:hAnsi="Century Gothic" w:eastAsia="Arial MT" w:cs="Arial"/>
          <w:lang w:val="es-ES"/>
          <w14:ligatures w14:val="standardContextual"/>
        </w:rPr>
      </w:pPr>
    </w:p>
    <w:p w:rsidRPr="00392858" w:rsidR="003344FA" w:rsidP="003344FA" w:rsidRDefault="003344FA" w14:paraId="3486B1F7" w14:textId="20C8F50F">
      <w:pPr>
        <w:spacing w:after="0" w:line="276" w:lineRule="auto"/>
        <w:contextualSpacing/>
        <w:jc w:val="both"/>
        <w:rPr>
          <w:rFonts w:ascii="Century Gothic" w:hAnsi="Century Gothic" w:eastAsia="Calibri" w:cs="Arial"/>
          <w14:ligatures w14:val="standardContextual"/>
        </w:rPr>
      </w:pPr>
      <w:r w:rsidRPr="00392858">
        <w:rPr>
          <w:rFonts w:ascii="Century Gothic" w:hAnsi="Century Gothic" w:eastAsia="Calibri" w:cs="Arial"/>
          <w14:ligatures w14:val="standardContextual"/>
        </w:rPr>
        <w:t xml:space="preserve">Estimado señor </w:t>
      </w:r>
      <w:r w:rsidRPr="00392858" w:rsidR="0090381A">
        <w:rPr>
          <w:rFonts w:ascii="Century Gothic" w:hAnsi="Century Gothic" w:eastAsia="Calibri" w:cs="Arial"/>
          <w14:ligatures w14:val="standardContextual"/>
        </w:rPr>
        <w:t>Cuervo</w:t>
      </w:r>
      <w:r w:rsidRPr="00392858">
        <w:rPr>
          <w:rFonts w:ascii="Century Gothic" w:hAnsi="Century Gothic" w:eastAsia="Calibri" w:cs="Arial"/>
          <w14:ligatures w14:val="standardContextual"/>
        </w:rPr>
        <w:t>:</w:t>
      </w:r>
    </w:p>
    <w:p w:rsidRPr="00392858" w:rsidR="003344FA" w:rsidP="003344FA" w:rsidRDefault="003344FA" w14:paraId="2E66252D" w14:textId="77777777">
      <w:pPr>
        <w:spacing w:after="0" w:line="276" w:lineRule="auto"/>
        <w:contextualSpacing/>
        <w:jc w:val="both"/>
        <w:rPr>
          <w:rFonts w:ascii="Century Gothic" w:hAnsi="Century Gothic" w:eastAsia="Calibri" w:cs="Arial"/>
          <w14:ligatures w14:val="standardContextual"/>
        </w:rPr>
      </w:pPr>
    </w:p>
    <w:p w:rsidRPr="00392858" w:rsidR="003344FA" w:rsidP="003344FA" w:rsidRDefault="003344FA" w14:paraId="1FACFE06" w14:textId="0D7C78D5">
      <w:pPr>
        <w:spacing w:after="0" w:line="276" w:lineRule="auto"/>
        <w:ind w:right="49"/>
        <w:contextualSpacing/>
        <w:jc w:val="both"/>
        <w:rPr>
          <w:rFonts w:ascii="Century Gothic" w:hAnsi="Century Gothic" w:eastAsia="Calibri" w:cs="Arial"/>
          <w14:ligatures w14:val="standardContextual"/>
        </w:rPr>
      </w:pPr>
      <w:r w:rsidRPr="00392858">
        <w:rPr>
          <w:rFonts w:ascii="Century Gothic" w:hAnsi="Century Gothic" w:eastAsia="Calibri" w:cs="Arial"/>
          <w:lang w:val="es-ES_tradnl"/>
          <w14:ligatures w14:val="standardContextual"/>
        </w:rPr>
        <w:t>En ejercicio de la competencia otorgada por el numeral 8 del artículo 11 y el numeral 5 del artículo 3 del Decreto Ley 4170 de 2011, la Agencia Nacional de Contratación Pública – Colombia Compra Eficiente responde a su consulta del 1</w:t>
      </w:r>
      <w:r w:rsidRPr="00392858" w:rsidR="002E7212">
        <w:rPr>
          <w:rFonts w:ascii="Century Gothic" w:hAnsi="Century Gothic" w:eastAsia="Calibri" w:cs="Arial"/>
          <w:lang w:val="es-ES_tradnl"/>
          <w14:ligatures w14:val="standardContextual"/>
        </w:rPr>
        <w:t>9</w:t>
      </w:r>
      <w:r w:rsidRPr="00392858">
        <w:rPr>
          <w:rFonts w:ascii="Century Gothic" w:hAnsi="Century Gothic" w:eastAsia="Calibri" w:cs="Arial"/>
          <w:lang w:val="es-ES_tradnl"/>
          <w14:ligatures w14:val="standardContextual"/>
        </w:rPr>
        <w:t xml:space="preserve"> de </w:t>
      </w:r>
      <w:r w:rsidRPr="00392858" w:rsidR="002E7212">
        <w:rPr>
          <w:rFonts w:ascii="Century Gothic" w:hAnsi="Century Gothic" w:eastAsia="Calibri" w:cs="Arial"/>
          <w:lang w:val="es-ES_tradnl"/>
          <w14:ligatures w14:val="standardContextual"/>
        </w:rPr>
        <w:t>mayo</w:t>
      </w:r>
      <w:r w:rsidRPr="00392858">
        <w:rPr>
          <w:rFonts w:ascii="Century Gothic" w:hAnsi="Century Gothic" w:eastAsia="Calibri" w:cs="Arial"/>
          <w:lang w:val="es-ES_tradnl"/>
          <w14:ligatures w14:val="standardContextual"/>
        </w:rPr>
        <w:t xml:space="preserve"> de 2023. </w:t>
      </w:r>
    </w:p>
    <w:p w:rsidRPr="00392858" w:rsidR="003344FA" w:rsidP="003344FA" w:rsidRDefault="003344FA" w14:paraId="4A99FB61" w14:textId="77777777">
      <w:pPr>
        <w:spacing w:after="0" w:line="276" w:lineRule="auto"/>
        <w:contextualSpacing/>
        <w:jc w:val="both"/>
        <w:rPr>
          <w:rFonts w:ascii="Century Gothic" w:hAnsi="Century Gothic" w:eastAsia="Calibri" w:cs="Arial"/>
          <w14:ligatures w14:val="standardContextual"/>
        </w:rPr>
      </w:pPr>
    </w:p>
    <w:p w:rsidRPr="00392858" w:rsidR="003344FA" w:rsidP="003344FA" w:rsidRDefault="003344FA" w14:paraId="104D91DB" w14:textId="77777777">
      <w:pPr>
        <w:numPr>
          <w:ilvl w:val="0"/>
          <w:numId w:val="6"/>
        </w:numPr>
        <w:tabs>
          <w:tab w:val="left" w:pos="284"/>
        </w:tabs>
        <w:spacing w:after="0" w:line="276" w:lineRule="auto"/>
        <w:contextualSpacing/>
        <w:jc w:val="both"/>
        <w:rPr>
          <w:rFonts w:ascii="Century Gothic" w:hAnsi="Century Gothic" w:eastAsia="Calibri" w:cs="Arial"/>
          <w:b/>
          <w14:ligatures w14:val="standardContextual"/>
        </w:rPr>
      </w:pPr>
      <w:r w:rsidRPr="00392858">
        <w:rPr>
          <w:rFonts w:ascii="Century Gothic" w:hAnsi="Century Gothic" w:eastAsia="Calibri" w:cs="Arial"/>
          <w:b/>
          <w14:ligatures w14:val="standardContextual"/>
        </w:rPr>
        <w:t xml:space="preserve">Problema planteado </w:t>
      </w:r>
    </w:p>
    <w:p w:rsidRPr="00392858" w:rsidR="003344FA" w:rsidP="003344FA" w:rsidRDefault="003344FA" w14:paraId="0AE13B54" w14:textId="77777777">
      <w:pPr>
        <w:tabs>
          <w:tab w:val="left" w:pos="426"/>
        </w:tabs>
        <w:spacing w:after="0" w:line="276" w:lineRule="auto"/>
        <w:contextualSpacing/>
        <w:jc w:val="both"/>
        <w:rPr>
          <w:rFonts w:ascii="Century Gothic" w:hAnsi="Century Gothic" w:eastAsia="Calibri" w:cs="Arial"/>
          <w:b/>
          <w14:ligatures w14:val="standardContextual"/>
        </w:rPr>
      </w:pPr>
    </w:p>
    <w:p w:rsidRPr="00392858" w:rsidR="003344FA" w:rsidP="003344FA" w:rsidRDefault="003344FA" w14:paraId="7DADC4E7" w14:textId="77777777">
      <w:pPr>
        <w:spacing w:after="0" w:line="276" w:lineRule="auto"/>
        <w:contextualSpacing/>
        <w:jc w:val="both"/>
        <w:rPr>
          <w:rFonts w:ascii="Century Gothic" w:hAnsi="Century Gothic" w:eastAsia="Calibri" w:cs="Arial"/>
          <w14:ligatures w14:val="standardContextual"/>
        </w:rPr>
      </w:pPr>
      <w:r w:rsidRPr="00392858">
        <w:rPr>
          <w:rFonts w:ascii="Century Gothic" w:hAnsi="Century Gothic" w:eastAsia="Calibri" w:cs="Arial"/>
          <w14:ligatures w14:val="standardContextual"/>
        </w:rPr>
        <w:t xml:space="preserve">Respecto al artículo 86 de la Ley 1474 de 2021, usted realiza las siguientes consultas: </w:t>
      </w:r>
    </w:p>
    <w:p w:rsidRPr="00392858" w:rsidR="003344FA" w:rsidP="003344FA" w:rsidRDefault="003344FA" w14:paraId="0E67C563" w14:textId="77777777">
      <w:pPr>
        <w:autoSpaceDE w:val="0"/>
        <w:autoSpaceDN w:val="0"/>
        <w:adjustRightInd w:val="0"/>
        <w:spacing w:after="0" w:line="276" w:lineRule="auto"/>
        <w:ind w:left="709" w:right="709"/>
        <w:contextualSpacing/>
        <w:jc w:val="both"/>
        <w:rPr>
          <w:rFonts w:ascii="Century Gothic" w:hAnsi="Century Gothic" w:cs="Arial"/>
          <w:sz w:val="21"/>
          <w:szCs w:val="21"/>
          <w:lang w:val="es-ES"/>
          <w14:ligatures w14:val="standardContextual"/>
        </w:rPr>
      </w:pPr>
    </w:p>
    <w:p w:rsidRPr="00392858" w:rsidR="005449DA" w:rsidP="00CE131B" w:rsidRDefault="003344FA" w14:paraId="7AA3ADB1" w14:textId="77777777">
      <w:pPr>
        <w:spacing w:after="0" w:line="240" w:lineRule="auto"/>
        <w:ind w:left="709" w:right="709" w:hanging="1"/>
        <w:contextualSpacing/>
        <w:jc w:val="both"/>
        <w:rPr>
          <w:rFonts w:ascii="Century Gothic" w:hAnsi="Century Gothic" w:eastAsia="Calibri" w:cs="Arial"/>
          <w:sz w:val="20"/>
          <w:szCs w:val="20"/>
          <w14:ligatures w14:val="standardContextual"/>
        </w:rPr>
      </w:pPr>
      <w:r w:rsidRPr="00392858">
        <w:rPr>
          <w:rFonts w:ascii="Century Gothic" w:hAnsi="Century Gothic" w:eastAsia="Calibri" w:cs="Arial"/>
          <w:sz w:val="20"/>
          <w:szCs w:val="20"/>
          <w14:ligatures w14:val="standardContextual"/>
        </w:rPr>
        <w:t xml:space="preserve">“1. </w:t>
      </w:r>
      <w:r w:rsidRPr="00392858" w:rsidR="00CE131B">
        <w:rPr>
          <w:rFonts w:ascii="Century Gothic" w:hAnsi="Century Gothic" w:eastAsia="Calibri" w:cs="Arial"/>
          <w:sz w:val="20"/>
          <w:szCs w:val="20"/>
          <w14:ligatures w14:val="standardContextual"/>
        </w:rPr>
        <w:t>¿Cuál es el tramite o procedimiento dispuesto para declarar el siniestro de una póliza respecto a la imposición de la clausula penal en un contrato estatal, cuando el contrato ya termino su</w:t>
      </w:r>
      <w:r w:rsidRPr="00392858" w:rsidR="005449DA">
        <w:rPr>
          <w:rFonts w:ascii="Century Gothic" w:hAnsi="Century Gothic" w:eastAsia="Calibri" w:cs="Arial"/>
          <w:sz w:val="20"/>
          <w:szCs w:val="20"/>
          <w14:ligatures w14:val="standardContextual"/>
        </w:rPr>
        <w:t xml:space="preserve"> </w:t>
      </w:r>
      <w:r w:rsidRPr="00392858" w:rsidR="00CE131B">
        <w:rPr>
          <w:rFonts w:ascii="Century Gothic" w:hAnsi="Century Gothic" w:eastAsia="Calibri" w:cs="Arial"/>
          <w:sz w:val="20"/>
          <w:szCs w:val="20"/>
          <w14:ligatures w14:val="standardContextual"/>
        </w:rPr>
        <w:t>plazo de ejecución y cual seria el procedimiento para cuantificar los perjuicios?</w:t>
      </w:r>
    </w:p>
    <w:p w:rsidR="003344FA" w:rsidP="00CE131B" w:rsidRDefault="00CE131B" w14:paraId="007E9E8F" w14:textId="2D192907">
      <w:pPr>
        <w:spacing w:after="0" w:line="240" w:lineRule="auto"/>
        <w:ind w:left="709" w:right="709" w:hanging="1"/>
        <w:contextualSpacing/>
        <w:jc w:val="both"/>
        <w:rPr>
          <w:rFonts w:ascii="Century Gothic" w:hAnsi="Century Gothic" w:eastAsia="Calibri" w:cs="Arial"/>
          <w:sz w:val="20"/>
          <w:szCs w:val="20"/>
          <w14:ligatures w14:val="standardContextual"/>
        </w:rPr>
      </w:pPr>
      <w:r w:rsidRPr="00392858">
        <w:rPr>
          <w:rFonts w:ascii="Century Gothic" w:hAnsi="Century Gothic" w:eastAsia="Calibri" w:cs="Arial"/>
          <w:sz w:val="20"/>
          <w:szCs w:val="20"/>
          <w14:ligatures w14:val="standardContextual"/>
        </w:rPr>
        <w:t xml:space="preserve"> 2)¿</w:t>
      </w:r>
      <w:r w:rsidRPr="00392858" w:rsidR="005449DA">
        <w:rPr>
          <w:rFonts w:ascii="Century Gothic" w:hAnsi="Century Gothic" w:eastAsia="Calibri" w:cs="Arial"/>
          <w:sz w:val="20"/>
          <w:szCs w:val="20"/>
          <w14:ligatures w14:val="standardContextual"/>
        </w:rPr>
        <w:t xml:space="preserve"> </w:t>
      </w:r>
      <w:r w:rsidRPr="00392858">
        <w:rPr>
          <w:rFonts w:ascii="Century Gothic" w:hAnsi="Century Gothic" w:eastAsia="Calibri" w:cs="Arial"/>
          <w:sz w:val="20"/>
          <w:szCs w:val="20"/>
          <w14:ligatures w14:val="standardContextual"/>
        </w:rPr>
        <w:t>Luego de terminado el plazo de ejecución de un contrato estatal se puede realizar el</w:t>
      </w:r>
      <w:r w:rsidRPr="00392858" w:rsidR="005449DA">
        <w:rPr>
          <w:rFonts w:ascii="Century Gothic" w:hAnsi="Century Gothic" w:eastAsia="Calibri" w:cs="Arial"/>
          <w:sz w:val="20"/>
          <w:szCs w:val="20"/>
          <w14:ligatures w14:val="standardContextual"/>
        </w:rPr>
        <w:t xml:space="preserve"> </w:t>
      </w:r>
      <w:r w:rsidRPr="00392858">
        <w:rPr>
          <w:rFonts w:ascii="Century Gothic" w:hAnsi="Century Gothic" w:eastAsia="Calibri" w:cs="Arial"/>
          <w:sz w:val="20"/>
          <w:szCs w:val="20"/>
          <w14:ligatures w14:val="standardContextual"/>
        </w:rPr>
        <w:t>procedimiento de incumplimiento en desarrollo del procedimiento administrativo de que</w:t>
      </w:r>
      <w:r w:rsidRPr="00392858" w:rsidR="005449DA">
        <w:rPr>
          <w:rFonts w:ascii="Century Gothic" w:hAnsi="Century Gothic" w:eastAsia="Calibri" w:cs="Arial"/>
          <w:sz w:val="20"/>
          <w:szCs w:val="20"/>
          <w14:ligatures w14:val="standardContextual"/>
        </w:rPr>
        <w:t xml:space="preserve"> </w:t>
      </w:r>
      <w:r w:rsidRPr="00392858">
        <w:rPr>
          <w:rFonts w:ascii="Century Gothic" w:hAnsi="Century Gothic" w:eastAsia="Calibri" w:cs="Arial"/>
          <w:sz w:val="20"/>
          <w:szCs w:val="20"/>
          <w14:ligatures w14:val="standardContextual"/>
        </w:rPr>
        <w:t>trata el Art. 86 de la Ley 1474 de 2011?</w:t>
      </w:r>
      <w:r w:rsidRPr="00392858" w:rsidR="005449DA">
        <w:rPr>
          <w:rFonts w:ascii="Century Gothic" w:hAnsi="Century Gothic" w:eastAsia="Calibri" w:cs="Arial"/>
          <w:sz w:val="20"/>
          <w:szCs w:val="20"/>
          <w14:ligatures w14:val="standardContextual"/>
        </w:rPr>
        <w:t xml:space="preserve"> (Sic).</w:t>
      </w:r>
    </w:p>
    <w:p w:rsidRPr="00392858" w:rsidR="003B17D8" w:rsidP="00CE131B" w:rsidRDefault="003B17D8" w14:paraId="3D6D8BD1" w14:textId="77777777">
      <w:pPr>
        <w:spacing w:after="0" w:line="240" w:lineRule="auto"/>
        <w:ind w:left="709" w:right="709" w:hanging="1"/>
        <w:contextualSpacing/>
        <w:jc w:val="both"/>
        <w:rPr>
          <w:rFonts w:ascii="Century Gothic" w:hAnsi="Century Gothic" w:eastAsia="Calibri" w:cs="Arial"/>
          <w:lang w:val="es-ES"/>
          <w14:ligatures w14:val="standardContextual"/>
        </w:rPr>
      </w:pPr>
    </w:p>
    <w:p w:rsidRPr="00392858" w:rsidR="003344FA" w:rsidP="003344FA" w:rsidRDefault="003344FA" w14:paraId="149588DA" w14:textId="77777777">
      <w:pPr>
        <w:numPr>
          <w:ilvl w:val="0"/>
          <w:numId w:val="7"/>
        </w:numPr>
        <w:tabs>
          <w:tab w:val="left" w:pos="0"/>
          <w:tab w:val="left" w:pos="284"/>
        </w:tabs>
        <w:spacing w:after="0" w:line="276" w:lineRule="auto"/>
        <w:contextualSpacing/>
        <w:jc w:val="both"/>
        <w:rPr>
          <w:rFonts w:ascii="Century Gothic" w:hAnsi="Century Gothic" w:eastAsia="Calibri" w:cs="Arial"/>
          <w:b/>
          <w:lang w:val="es-ES_tradnl"/>
          <w14:ligatures w14:val="standardContextual"/>
        </w:rPr>
      </w:pPr>
      <w:r w:rsidRPr="00392858">
        <w:rPr>
          <w:rFonts w:ascii="Century Gothic" w:hAnsi="Century Gothic" w:eastAsia="Calibri" w:cs="Arial"/>
          <w:b/>
          <w:lang w:val="es-ES_tradnl"/>
          <w14:ligatures w14:val="standardContextual"/>
        </w:rPr>
        <w:t>Consideraciones</w:t>
      </w:r>
    </w:p>
    <w:p w:rsidRPr="00392858" w:rsidR="003344FA" w:rsidP="003344FA" w:rsidRDefault="003344FA" w14:paraId="47AFCFD0" w14:textId="77777777">
      <w:pPr>
        <w:spacing w:after="0" w:line="276" w:lineRule="auto"/>
        <w:contextualSpacing/>
        <w:jc w:val="both"/>
        <w:rPr>
          <w:rFonts w:ascii="Century Gothic" w:hAnsi="Century Gothic" w:eastAsia="Calibri" w:cs="Arial"/>
          <w:lang w:val="es-ES_tradnl" w:eastAsia="es-ES_tradnl"/>
          <w14:ligatures w14:val="standardContextual"/>
        </w:rPr>
      </w:pPr>
    </w:p>
    <w:p w:rsidRPr="00392858" w:rsidR="003344FA" w:rsidP="003344FA" w:rsidRDefault="003344FA" w14:paraId="3EC441E1" w14:textId="77777777">
      <w:pPr>
        <w:spacing w:after="120" w:line="276" w:lineRule="auto"/>
        <w:jc w:val="both"/>
        <w:rPr>
          <w:rFonts w:ascii="Century Gothic" w:hAnsi="Century Gothic" w:eastAsia="Times New Roman" w:cs="Arial"/>
          <w:lang w:val="es-ES_tradnl" w:eastAsia="es-ES_tradnl"/>
          <w14:ligatures w14:val="standardContextual"/>
        </w:rPr>
      </w:pPr>
      <w:r w:rsidRPr="00392858">
        <w:rPr>
          <w:rFonts w:ascii="Century Gothic" w:hAnsi="Century Gothic" w:eastAsia="Times New Roman" w:cs="Arial"/>
          <w:lang w:val="es-ES_tradnl" w:eastAsia="es-ES_tradnl"/>
          <w14:ligatures w14:val="standardContextual"/>
        </w:rPr>
        <w:t>Para resolver su consulta, se analizarán los siguientes temas: i) régimen sancionatorio en el Estatuto General de Contratación de la Administración Pública; y ii) caducidad de la facultad sancionatoria en procesos sancionatorios contractuales. Aplicación subsidiaria del artículo 52 del CPACA.</w:t>
      </w:r>
    </w:p>
    <w:p w:rsidRPr="00392858" w:rsidR="003344FA" w:rsidP="003344FA" w:rsidRDefault="003344FA" w14:paraId="0A2038B2" w14:textId="6A3C211E">
      <w:pPr>
        <w:spacing w:before="120" w:after="0" w:line="276" w:lineRule="auto"/>
        <w:ind w:firstLine="709"/>
        <w:jc w:val="both"/>
        <w:rPr>
          <w:rFonts w:ascii="Century Gothic" w:hAnsi="Century Gothic" w:eastAsia="Times New Roman" w:cs="Arial"/>
          <w:lang w:val="es-MX" w:eastAsia="es-ES_tradnl"/>
          <w14:ligatures w14:val="standardContextual"/>
        </w:rPr>
      </w:pPr>
      <w:r w:rsidRPr="00392858">
        <w:rPr>
          <w:rFonts w:ascii="Century Gothic" w:hAnsi="Century Gothic" w:eastAsia="Times New Roman" w:cs="Arial"/>
          <w:lang w:val="es-ES_tradnl" w:eastAsia="es-ES_tradnl"/>
          <w14:ligatures w14:val="standardContextual"/>
        </w:rPr>
        <w:t xml:space="preserve">La Agencia Nacional de Contratación Pública – Colombia Compra Eficiente, estudió la potestad sancionatoria de las entidades estatales y el procedimiento administrativo que deben efectuar para declarar el incumplimiento y aplicar las sanciones correspondientes, destacando la necesidad de garantizar el debido proceso, en los conceptos C-147 del 17 de marzo de 2020, C-219 del 29 de abril de 2020, </w:t>
      </w:r>
      <w:r w:rsidRPr="00392858">
        <w:rPr>
          <w:rFonts w:ascii="Century Gothic" w:hAnsi="Century Gothic" w:eastAsia="Times New Roman" w:cs="Arial"/>
          <w:iCs/>
          <w:lang w:val="es-ES_tradnl" w:eastAsia="es-ES_tradnl"/>
          <w14:ligatures w14:val="standardContextual"/>
        </w:rPr>
        <w:t>C-434 del 29 de julio de 2020, C-569 del 31 de agosto de 2020, C-641 del 4 de noviembre de 2020, C-060 del 8 de marzo de 2021, C-528 del 5 de abril de 2021, C-420 del 25 de agosto de 2022,</w:t>
      </w:r>
      <w:r w:rsidRPr="00392858">
        <w:rPr>
          <w:rFonts w:ascii="Century Gothic" w:hAnsi="Century Gothic" w:eastAsia="Times New Roman" w:cs="Arial"/>
          <w:lang w:val="es-ES_tradnl" w:eastAsia="es-ES_tradnl"/>
          <w14:ligatures w14:val="standardContextual"/>
        </w:rPr>
        <w:t xml:space="preserve"> C- 720 del 25 de enero de 2022, </w:t>
      </w:r>
      <w:hyperlink w:tgtFrame="_blank" w:history="1" r:id="rId10">
        <w:r w:rsidRPr="00392858">
          <w:rPr>
            <w:rFonts w:ascii="Century Gothic" w:hAnsi="Century Gothic" w:eastAsia="Times New Roman" w:cs="Arial"/>
            <w:shd w:val="clear" w:color="auto" w:fill="FFFFFF"/>
            <w:lang w:val="es-ES" w:eastAsia="es-ES_tradnl"/>
            <w14:ligatures w14:val="standardContextual"/>
          </w:rPr>
          <w:t>C-085 del 29 de abril  de 2022</w:t>
        </w:r>
      </w:hyperlink>
      <w:r w:rsidRPr="00392858">
        <w:rPr>
          <w:rFonts w:ascii="Century Gothic" w:hAnsi="Century Gothic" w:eastAsia="Times New Roman" w:cs="Arial"/>
          <w:shd w:val="clear" w:color="auto" w:fill="FFFFFF"/>
          <w:lang w:val="es-ES" w:eastAsia="es-ES_tradnl"/>
          <w14:ligatures w14:val="standardContextual"/>
        </w:rPr>
        <w:t xml:space="preserve"> </w:t>
      </w:r>
      <w:hyperlink w:tgtFrame="_blank" w:history="1" r:id="rId11">
        <w:r w:rsidRPr="00392858">
          <w:rPr>
            <w:rFonts w:ascii="Century Gothic" w:hAnsi="Century Gothic" w:eastAsia="Times New Roman" w:cs="Arial"/>
            <w:shd w:val="clear" w:color="auto" w:fill="FFFFFF"/>
            <w:lang w:val="es-ES" w:eastAsia="es-ES_tradnl"/>
            <w14:ligatures w14:val="standardContextual"/>
          </w:rPr>
          <w:t>C-125 del 23 de marzo de 2022,</w:t>
        </w:r>
      </w:hyperlink>
      <w:r w:rsidRPr="00392858">
        <w:rPr>
          <w:rFonts w:ascii="Century Gothic" w:hAnsi="Century Gothic" w:eastAsia="Times New Roman" w:cs="Arial"/>
          <w:shd w:val="clear" w:color="auto" w:fill="FFFFFF"/>
          <w:lang w:val="es-ES" w:eastAsia="es-ES_tradnl"/>
          <w14:ligatures w14:val="standardContextual"/>
        </w:rPr>
        <w:t xml:space="preserve"> </w:t>
      </w:r>
      <w:hyperlink w:tgtFrame="_blank" w:history="1" r:id="rId12">
        <w:r w:rsidRPr="00392858">
          <w:rPr>
            <w:rFonts w:ascii="Century Gothic" w:hAnsi="Century Gothic" w:eastAsia="Times New Roman" w:cs="Arial"/>
            <w:shd w:val="clear" w:color="auto" w:fill="FFFFFF"/>
            <w:lang w:eastAsia="es-ES_tradnl"/>
            <w14:ligatures w14:val="standardContextual"/>
          </w:rPr>
          <w:t>C-195 del 12 de abril de 2022,</w:t>
        </w:r>
      </w:hyperlink>
      <w:r w:rsidRPr="00392858">
        <w:rPr>
          <w:rFonts w:ascii="Century Gothic" w:hAnsi="Century Gothic" w:eastAsia="Times New Roman" w:cs="Arial"/>
          <w:shd w:val="clear" w:color="auto" w:fill="FFFFFF"/>
          <w:lang w:val="es-ES" w:eastAsia="es-ES_tradnl"/>
          <w14:ligatures w14:val="standardContextual"/>
        </w:rPr>
        <w:t xml:space="preserve"> </w:t>
      </w:r>
      <w:hyperlink w:tgtFrame="_blank" w:history="1" r:id="rId13">
        <w:r w:rsidRPr="00392858">
          <w:rPr>
            <w:rFonts w:ascii="Century Gothic" w:hAnsi="Century Gothic" w:eastAsia="Times New Roman" w:cs="Arial"/>
            <w:shd w:val="clear" w:color="auto" w:fill="FFFFFF"/>
            <w:lang w:val="es-ES" w:eastAsia="es-ES_tradnl"/>
            <w14:ligatures w14:val="standardContextual"/>
          </w:rPr>
          <w:t>C-208 del 26 de abril de 2022,</w:t>
        </w:r>
      </w:hyperlink>
      <w:r w:rsidRPr="00392858">
        <w:rPr>
          <w:rFonts w:ascii="Century Gothic" w:hAnsi="Century Gothic" w:eastAsia="Times New Roman" w:cs="Arial"/>
          <w:shd w:val="clear" w:color="auto" w:fill="FFFFFF"/>
          <w:lang w:val="es-ES" w:eastAsia="es-ES_tradnl"/>
          <w14:ligatures w14:val="standardContextual"/>
        </w:rPr>
        <w:t xml:space="preserve"> </w:t>
      </w:r>
      <w:hyperlink w:tgtFrame="_blank" w:history="1" r:id="rId14">
        <w:r w:rsidRPr="00392858">
          <w:rPr>
            <w:rFonts w:ascii="Century Gothic" w:hAnsi="Century Gothic" w:eastAsia="Times New Roman" w:cs="Arial"/>
            <w:shd w:val="clear" w:color="auto" w:fill="FFFFFF"/>
            <w:lang w:eastAsia="es-ES_tradnl"/>
            <w14:ligatures w14:val="standardContextual"/>
          </w:rPr>
          <w:t>C-238 del 27 de abril de 2022,</w:t>
        </w:r>
      </w:hyperlink>
      <w:r w:rsidRPr="00392858">
        <w:rPr>
          <w:rFonts w:ascii="Century Gothic" w:hAnsi="Century Gothic" w:eastAsia="Times New Roman" w:cs="Arial"/>
          <w:shd w:val="clear" w:color="auto" w:fill="FFFFFF"/>
          <w:lang w:eastAsia="es-ES_tradnl"/>
          <w14:ligatures w14:val="standardContextual"/>
        </w:rPr>
        <w:t xml:space="preserve"> </w:t>
      </w:r>
      <w:bookmarkStart w:name="_Hlk143178132" w:id="1"/>
      <w:r>
        <w:fldChar w:fldCharType="begin"/>
      </w:r>
      <w:r>
        <w:instrText>HYPERLINK "https://relatoria.colombiacompra.gov.co/ficha/C-866%20de%202022" \t "_blank"</w:instrText>
      </w:r>
      <w:r>
        <w:fldChar w:fldCharType="separate"/>
      </w:r>
      <w:r w:rsidRPr="00392858">
        <w:rPr>
          <w:rFonts w:ascii="Century Gothic" w:hAnsi="Century Gothic" w:eastAsia="Times New Roman" w:cs="Arial"/>
          <w:shd w:val="clear" w:color="auto" w:fill="FFFFFF"/>
          <w:lang w:eastAsia="es-ES_tradnl"/>
          <w14:ligatures w14:val="standardContextual"/>
        </w:rPr>
        <w:t>C-866 del 20 de diciembre de 2022</w:t>
      </w:r>
      <w:r>
        <w:rPr>
          <w:rFonts w:ascii="Century Gothic" w:hAnsi="Century Gothic" w:eastAsia="Times New Roman" w:cs="Arial"/>
          <w:shd w:val="clear" w:color="auto" w:fill="FFFFFF"/>
          <w:lang w:eastAsia="es-ES_tradnl"/>
          <w14:ligatures w14:val="standardContextual"/>
        </w:rPr>
        <w:fldChar w:fldCharType="end"/>
      </w:r>
      <w:r w:rsidRPr="00392858">
        <w:rPr>
          <w:rFonts w:ascii="Century Gothic" w:hAnsi="Century Gothic" w:eastAsia="Times New Roman" w:cs="Arial"/>
          <w:shd w:val="clear" w:color="auto" w:fill="FFFFFF"/>
          <w:lang w:eastAsia="es-ES_tradnl"/>
          <w14:ligatures w14:val="standardContextual"/>
        </w:rPr>
        <w:t xml:space="preserve">, </w:t>
      </w:r>
      <w:hyperlink w:tgtFrame="_blank" w:history="1" r:id="rId15">
        <w:r w:rsidRPr="00392858">
          <w:rPr>
            <w:rFonts w:ascii="Century Gothic" w:hAnsi="Century Gothic" w:eastAsia="Times New Roman" w:cs="Arial"/>
            <w:shd w:val="clear" w:color="auto" w:fill="FFFFFF"/>
            <w:lang w:eastAsia="es-ES_tradnl"/>
            <w14:ligatures w14:val="standardContextual"/>
          </w:rPr>
          <w:t>C-034 de 09 de marzo de 2023</w:t>
        </w:r>
      </w:hyperlink>
      <w:r w:rsidRPr="00392858" w:rsidR="00DF5D73">
        <w:rPr>
          <w:rFonts w:ascii="Century Gothic" w:hAnsi="Century Gothic" w:eastAsia="Times New Roman" w:cs="Arial"/>
          <w:lang w:eastAsia="es-ES_tradnl"/>
          <w14:ligatures w14:val="standardContextual"/>
        </w:rPr>
        <w:t xml:space="preserve"> y C-140 del 13 de junio de 2023</w:t>
      </w:r>
      <w:bookmarkEnd w:id="1"/>
      <w:r w:rsidRPr="00392858" w:rsidR="00DF5D73">
        <w:rPr>
          <w:rFonts w:ascii="Century Gothic" w:hAnsi="Century Gothic" w:eastAsia="Times New Roman" w:cs="Arial"/>
          <w:lang w:eastAsia="es-ES_tradnl"/>
          <w14:ligatures w14:val="standardContextual"/>
        </w:rPr>
        <w:t>,</w:t>
      </w:r>
      <w:r w:rsidRPr="00392858">
        <w:rPr>
          <w:rFonts w:ascii="Century Gothic" w:hAnsi="Century Gothic" w:eastAsia="Times New Roman" w:cs="Arial"/>
          <w:shd w:val="clear" w:color="auto" w:fill="FFFFFF"/>
          <w:lang w:eastAsia="es-ES_tradnl"/>
          <w14:ligatures w14:val="standardContextual"/>
        </w:rPr>
        <w:t xml:space="preserve"> </w:t>
      </w:r>
      <w:r w:rsidRPr="00392858">
        <w:rPr>
          <w:rFonts w:ascii="Century Gothic" w:hAnsi="Century Gothic" w:eastAsia="Times New Roman" w:cs="Arial"/>
          <w:lang w:val="es-ES_tradnl" w:eastAsia="es-ES_tradnl"/>
          <w14:ligatures w14:val="standardContextual"/>
        </w:rPr>
        <w:t>entre otros</w:t>
      </w:r>
      <w:r w:rsidRPr="00392858">
        <w:rPr>
          <w:rFonts w:ascii="Century Gothic" w:hAnsi="Century Gothic" w:eastAsia="Calibri" w:cs="Arial"/>
          <w:vertAlign w:val="superscript"/>
          <w:lang w:val="es-ES" w:eastAsia="es-ES_tradnl"/>
          <w14:ligatures w14:val="standardContextual"/>
        </w:rPr>
        <w:footnoteReference w:id="1"/>
      </w:r>
      <w:r w:rsidRPr="00392858">
        <w:rPr>
          <w:rFonts w:ascii="Century Gothic" w:hAnsi="Century Gothic" w:eastAsia="Times New Roman" w:cs="Arial"/>
          <w:lang w:val="es-ES_tradnl" w:eastAsia="es-ES_tradnl"/>
          <w14:ligatures w14:val="standardContextual"/>
        </w:rPr>
        <w:t xml:space="preserve">. </w:t>
      </w:r>
      <w:bookmarkStart w:name="_Hlk143179176" w:id="3"/>
      <w:r w:rsidRPr="00392858">
        <w:rPr>
          <w:rFonts w:ascii="Century Gothic" w:hAnsi="Century Gothic" w:eastAsia="Times New Roman" w:cs="Arial"/>
          <w:lang w:val="es-ES_tradnl" w:eastAsia="es-ES_tradnl"/>
          <w14:ligatures w14:val="standardContextual"/>
        </w:rPr>
        <w:t>L</w:t>
      </w:r>
      <w:r w:rsidRPr="00392858">
        <w:rPr>
          <w:rFonts w:ascii="Century Gothic" w:hAnsi="Century Gothic" w:eastAsia="Times New Roman" w:cs="Arial"/>
          <w:bdr w:val="none" w:color="auto" w:sz="0" w:space="0" w:frame="1"/>
          <w:lang w:eastAsia="es-ES_tradnl"/>
          <w14:ligatures w14:val="standardContextual"/>
        </w:rPr>
        <w:t>as tesis expuestas en estos conceptos se reiteran a continuación y se complementan en lo pertinente</w:t>
      </w:r>
      <w:bookmarkEnd w:id="3"/>
      <w:r w:rsidRPr="00392858">
        <w:rPr>
          <w:rFonts w:ascii="Century Gothic" w:hAnsi="Century Gothic" w:eastAsia="Times New Roman" w:cs="Arial"/>
          <w:bdr w:val="none" w:color="auto" w:sz="0" w:space="0" w:frame="1"/>
          <w:lang w:eastAsia="es-ES_tradnl"/>
          <w14:ligatures w14:val="standardContextual"/>
        </w:rPr>
        <w:t>.</w:t>
      </w:r>
    </w:p>
    <w:p w:rsidRPr="00392858" w:rsidR="003344FA" w:rsidP="003344FA" w:rsidRDefault="003344FA" w14:paraId="112BC3FB" w14:textId="77777777">
      <w:pPr>
        <w:spacing w:after="0" w:line="276" w:lineRule="auto"/>
        <w:contextualSpacing/>
        <w:jc w:val="both"/>
        <w:rPr>
          <w:rFonts w:ascii="Century Gothic" w:hAnsi="Century Gothic" w:eastAsia="Calibri" w:cs="Arial"/>
          <w:b/>
          <w:lang w:val="es-ES_tradnl" w:eastAsia="es-ES_tradnl"/>
          <w14:ligatures w14:val="standardContextual"/>
        </w:rPr>
      </w:pPr>
    </w:p>
    <w:p w:rsidRPr="00392858" w:rsidR="003344FA" w:rsidP="003344FA" w:rsidRDefault="003344FA" w14:paraId="570A3A51" w14:textId="77777777">
      <w:pPr>
        <w:spacing w:after="0" w:line="276" w:lineRule="auto"/>
        <w:contextualSpacing/>
        <w:jc w:val="both"/>
        <w:rPr>
          <w:rFonts w:ascii="Century Gothic" w:hAnsi="Century Gothic" w:eastAsia="Calibri" w:cs="Arial"/>
          <w:b/>
          <w:bCs/>
          <w:lang w:val="es-ES_tradnl" w:eastAsia="es-ES_tradnl"/>
          <w14:ligatures w14:val="standardContextual"/>
        </w:rPr>
      </w:pPr>
      <w:r w:rsidRPr="00392858">
        <w:rPr>
          <w:rFonts w:ascii="Century Gothic" w:hAnsi="Century Gothic" w:eastAsia="Calibri" w:cs="Arial"/>
          <w:b/>
          <w:bCs/>
          <w:lang w:val="es-ES_tradnl" w:eastAsia="es-ES_tradnl"/>
          <w14:ligatures w14:val="standardContextual"/>
        </w:rPr>
        <w:t>2.1. Régimen sancionatorio en el Estatuto General de Contratación de la Administración Pública</w:t>
      </w:r>
    </w:p>
    <w:p w:rsidRPr="00392858" w:rsidR="003344FA" w:rsidP="003344FA" w:rsidRDefault="003344FA" w14:paraId="3E6C0FDD" w14:textId="77777777">
      <w:pPr>
        <w:spacing w:after="0" w:line="276" w:lineRule="auto"/>
        <w:contextualSpacing/>
        <w:jc w:val="both"/>
        <w:rPr>
          <w:rFonts w:ascii="Century Gothic" w:hAnsi="Century Gothic" w:eastAsia="Calibri" w:cs="Arial"/>
          <w:b/>
          <w:bCs/>
          <w:lang w:val="es-ES_tradnl" w:eastAsia="es-ES_tradnl"/>
          <w14:ligatures w14:val="standardContextual"/>
        </w:rPr>
      </w:pPr>
    </w:p>
    <w:p w:rsidRPr="00392858" w:rsidR="003344FA" w:rsidP="003344FA" w:rsidRDefault="003344FA" w14:paraId="52A97457" w14:textId="77777777">
      <w:pPr>
        <w:spacing w:after="120" w:line="276" w:lineRule="auto"/>
        <w:jc w:val="both"/>
        <w:rPr>
          <w:rFonts w:ascii="Century Gothic" w:hAnsi="Century Gothic" w:eastAsia="Times New Roman" w:cs="Arial"/>
          <w:iCs/>
          <w:lang w:val="es-ES_tradnl" w:eastAsia="es-ES_tradnl"/>
          <w14:ligatures w14:val="standardContextual"/>
        </w:rPr>
      </w:pPr>
      <w:r w:rsidRPr="00392858">
        <w:rPr>
          <w:rFonts w:ascii="Century Gothic" w:hAnsi="Century Gothic" w:eastAsia="Times New Roman" w:cs="Arial"/>
          <w:iCs/>
          <w:lang w:val="es-ES_tradnl" w:eastAsia="es-ES_tradnl"/>
          <w14:ligatures w14:val="standardContextual"/>
        </w:rPr>
        <w:t xml:space="preserve">Durante la ejecución de los contratos, las entidades estatales sometidas al Estatuto General de Contratación de la Administración Pública – en adelante EGCAP –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392858">
        <w:rPr>
          <w:rFonts w:ascii="Century Gothic" w:hAnsi="Century Gothic" w:eastAsia="Times New Roman" w:cs="Arial"/>
          <w:i/>
          <w:lang w:val="es-ES_tradnl" w:eastAsia="es-ES_tradnl"/>
          <w14:ligatures w14:val="standardContextual"/>
        </w:rPr>
        <w:t>ibidem</w:t>
      </w:r>
      <w:r w:rsidRPr="00392858">
        <w:rPr>
          <w:rFonts w:ascii="Century Gothic" w:hAnsi="Century Gothic" w:eastAsia="Times New Roman" w:cs="Arial"/>
          <w:iCs/>
          <w:lang w:val="es-ES_tradnl" w:eastAsia="es-ES_tradnl"/>
          <w14:ligatures w14:val="standardContextual"/>
        </w:rPr>
        <w:t xml:space="preserve">; ii) en algunas disposiciones también establecen otras potestades exorbitantes, como la liquidación unilateral y la declaratoria unilateral del siniestro –artículos 7 y 11 de la Ley 1150 de 2007–. Dentro de las potestades unilaterales también se encuentran iii) las cláusulas excepcionales de </w:t>
      </w:r>
      <w:r w:rsidRPr="00392858">
        <w:rPr>
          <w:rFonts w:ascii="Century Gothic" w:hAnsi="Century Gothic" w:eastAsia="Times New Roman" w:cs="Arial"/>
          <w:i/>
          <w:lang w:val="es-ES_tradnl" w:eastAsia="es-ES_tradnl"/>
          <w14:ligatures w14:val="standardContextual"/>
        </w:rPr>
        <w:t>imposición unilateral</w:t>
      </w:r>
      <w:r w:rsidRPr="00392858">
        <w:rPr>
          <w:rFonts w:ascii="Century Gothic" w:hAnsi="Century Gothic" w:eastAsia="Times New Roman" w:cs="Arial"/>
          <w:iCs/>
          <w:lang w:val="es-ES_tradnl" w:eastAsia="es-ES_tradnl"/>
          <w14:ligatures w14:val="standardContextual"/>
        </w:rPr>
        <w:t xml:space="preserve"> de las cláusulas penales y de multas –artículo 17 de la Ley 1150 de 2007–, aclarando que su exorbitancia se refiere a su imposición unilateral, no a su pacto, que es posible en virtud de las normas civiles y comerciales.</w:t>
      </w:r>
    </w:p>
    <w:p w:rsidRPr="00392858" w:rsidR="003344FA" w:rsidP="003344FA" w:rsidRDefault="003344FA" w14:paraId="49E10C64" w14:textId="6E9863F8">
      <w:pPr>
        <w:spacing w:after="120" w:line="276" w:lineRule="auto"/>
        <w:ind w:firstLine="708"/>
        <w:jc w:val="both"/>
        <w:rPr>
          <w:rFonts w:ascii="Century Gothic" w:hAnsi="Century Gothic" w:eastAsia="Times New Roman" w:cs="Arial"/>
          <w:iCs/>
          <w:lang w:val="es-ES_tradnl" w:eastAsia="es-ES_tradnl"/>
          <w14:ligatures w14:val="standardContextual"/>
        </w:rPr>
      </w:pPr>
      <w:r w:rsidRPr="00392858">
        <w:rPr>
          <w:rFonts w:ascii="Century Gothic" w:hAnsi="Century Gothic" w:eastAsia="Times New Roman" w:cs="Arial"/>
          <w:iCs/>
          <w:lang w:val="es-ES_tradnl" w:eastAsia="es-ES_tradnl"/>
          <w14:ligatures w14:val="standardContextua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w:t>
      </w:r>
      <w:r w:rsidRPr="00392858" w:rsidR="00A121AD">
        <w:rPr>
          <w:rFonts w:ascii="Century Gothic" w:hAnsi="Century Gothic" w:eastAsia="Times New Roman" w:cs="Arial"/>
          <w:iCs/>
          <w:lang w:val="es-ES_tradnl" w:eastAsia="es-ES_tradnl"/>
          <w14:ligatures w14:val="standardContextual"/>
        </w:rPr>
        <w:t>“</w:t>
      </w:r>
      <w:r w:rsidRPr="00392858">
        <w:rPr>
          <w:rFonts w:ascii="Century Gothic" w:hAnsi="Century Gothic" w:eastAsia="Times New Roman" w:cs="Arial"/>
          <w:iCs/>
          <w:lang w:val="es-ES_tradnl" w:eastAsia="es-ES_tradnl"/>
          <w14:ligatures w14:val="standardContextual"/>
        </w:rPr>
        <w:t>entidades sometidas al Estatuto General de Contratación de la Administración Pública podrán declarar el incumplimiento</w:t>
      </w:r>
      <w:r w:rsidRPr="00392858" w:rsidR="00B866C3">
        <w:rPr>
          <w:rFonts w:ascii="Century Gothic" w:hAnsi="Century Gothic" w:eastAsia="Times New Roman" w:cs="Arial"/>
          <w:iCs/>
          <w:lang w:val="es-ES_tradnl" w:eastAsia="es-ES_tradnl"/>
          <w14:ligatures w14:val="standardContextual"/>
        </w:rPr>
        <w:t>,</w:t>
      </w:r>
      <w:r w:rsidRPr="00392858">
        <w:rPr>
          <w:rFonts w:ascii="Century Gothic" w:hAnsi="Century Gothic" w:eastAsia="Times New Roman" w:cs="Arial"/>
          <w:iCs/>
          <w:lang w:val="es-ES_tradnl" w:eastAsia="es-ES_tradnl"/>
          <w14:ligatures w14:val="standardContextual"/>
        </w:rPr>
        <w:t xml:space="preserve"> </w:t>
      </w:r>
      <w:r w:rsidRPr="00392858" w:rsidR="00B866C3">
        <w:rPr>
          <w:rFonts w:ascii="Century Gothic" w:hAnsi="Century Gothic" w:eastAsia="Times New Roman" w:cs="Arial"/>
          <w:iCs/>
          <w:lang w:val="es-ES_tradnl" w:eastAsia="es-ES_tradnl"/>
          <w14:ligatures w14:val="standardContextual"/>
        </w:rPr>
        <w:t>c</w:t>
      </w:r>
      <w:r w:rsidRPr="00392858" w:rsidR="0084070C">
        <w:rPr>
          <w:rFonts w:ascii="Century Gothic" w:hAnsi="Century Gothic" w:eastAsia="Times New Roman" w:cs="Arial"/>
          <w:iCs/>
          <w:lang w:val="es-ES_tradnl" w:eastAsia="es-ES_tradnl"/>
          <w14:ligatures w14:val="standardContextual"/>
        </w:rPr>
        <w:t>uantificando los perjuicios del mismo, imponer las multas y sanciones pactadas en el contrato, y hacer efectiva la cláusula penal. Para tal efecto observarán el siguiente procedimiento</w:t>
      </w:r>
      <w:r w:rsidRPr="00392858" w:rsidR="00A121AD">
        <w:rPr>
          <w:rFonts w:ascii="Century Gothic" w:hAnsi="Century Gothic" w:eastAsia="Times New Roman" w:cs="Arial"/>
          <w:iCs/>
          <w:lang w:val="es-ES_tradnl" w:eastAsia="es-ES_tradnl"/>
          <w14:ligatures w14:val="standardContextual"/>
        </w:rPr>
        <w:t>: (…)</w:t>
      </w:r>
      <w:r w:rsidRPr="00392858">
        <w:rPr>
          <w:rFonts w:ascii="Century Gothic" w:hAnsi="Century Gothic" w:eastAsia="Times New Roman" w:cs="Arial"/>
          <w:iCs/>
          <w:lang w:val="es-ES_tradnl" w:eastAsia="es-ES_tradnl"/>
          <w14:ligatures w14:val="standardContextual"/>
        </w:rPr>
        <w:t xml:space="preserve">”. </w:t>
      </w:r>
    </w:p>
    <w:p w:rsidRPr="00392858" w:rsidR="003344FA" w:rsidP="003344FA" w:rsidRDefault="003344FA" w14:paraId="59A5298D" w14:textId="3B54D2C9">
      <w:pPr>
        <w:spacing w:after="120" w:line="276" w:lineRule="auto"/>
        <w:ind w:firstLine="709"/>
        <w:jc w:val="both"/>
        <w:rPr>
          <w:rFonts w:ascii="Century Gothic" w:hAnsi="Century Gothic" w:eastAsia="Times New Roman" w:cs="Arial"/>
          <w:iCs/>
          <w:lang w:val="es-ES_tradnl" w:eastAsia="es-ES_tradnl"/>
          <w14:ligatures w14:val="standardContextual"/>
        </w:rPr>
      </w:pPr>
      <w:r w:rsidRPr="00392858">
        <w:rPr>
          <w:rFonts w:ascii="Century Gothic" w:hAnsi="Century Gothic" w:eastAsia="Times New Roman" w:cs="Arial"/>
          <w:iCs/>
          <w:lang w:val="es-ES_tradnl" w:eastAsia="es-ES_tradnl"/>
          <w14:ligatures w14:val="standardContextual"/>
        </w:rPr>
        <w:t xml:space="preserve">Cabe destacar que esta norma no cualifica o se circunscribe a ciertos tipos de incumplimiento. En consecuencia, la declaratoria de cualquier incumplimiento, sea total o parcial, </w:t>
      </w:r>
      <w:r w:rsidRPr="00392858" w:rsidR="00EE2DC1">
        <w:rPr>
          <w:rFonts w:ascii="Century Gothic" w:hAnsi="Century Gothic" w:eastAsia="Times New Roman" w:cs="Arial"/>
          <w:iCs/>
          <w:lang w:val="es-ES_tradnl" w:eastAsia="es-ES_tradnl"/>
          <w14:ligatures w14:val="standardContextual"/>
        </w:rPr>
        <w:t xml:space="preserve">durante </w:t>
      </w:r>
      <w:r w:rsidRPr="00392858" w:rsidR="006463A8">
        <w:rPr>
          <w:rFonts w:ascii="Century Gothic" w:hAnsi="Century Gothic" w:eastAsia="Times New Roman" w:cs="Arial"/>
          <w:iCs/>
          <w:lang w:val="es-ES_tradnl" w:eastAsia="es-ES_tradnl"/>
          <w14:ligatures w14:val="standardContextual"/>
        </w:rPr>
        <w:t xml:space="preserve">o posterior a la terminación del contrato e </w:t>
      </w:r>
      <w:r w:rsidRPr="00392858">
        <w:rPr>
          <w:rFonts w:ascii="Century Gothic" w:hAnsi="Century Gothic" w:eastAsia="Times New Roman" w:cs="Arial"/>
          <w:iCs/>
          <w:lang w:val="es-ES_tradnl" w:eastAsia="es-ES_tradnl"/>
          <w14:ligatures w14:val="standardContextual"/>
        </w:rPr>
        <w:t>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392858">
        <w:rPr>
          <w:rFonts w:ascii="Century Gothic" w:hAnsi="Century Gothic" w:eastAsia="Times New Roman" w:cs="Arial"/>
          <w:vertAlign w:val="superscript"/>
          <w:lang w:eastAsia="es-ES_tradnl"/>
          <w14:ligatures w14:val="standardContextual"/>
        </w:rPr>
        <w:footnoteReference w:id="2"/>
      </w:r>
      <w:r w:rsidRPr="00392858">
        <w:rPr>
          <w:rFonts w:ascii="Century Gothic" w:hAnsi="Century Gothic" w:eastAsia="Times New Roman" w:cs="Arial"/>
          <w:iCs/>
          <w:lang w:val="es-ES_tradnl" w:eastAsia="es-ES_tradnl"/>
          <w14:ligatures w14:val="standardContextual"/>
        </w:rPr>
        <w:t xml:space="preserve">. A la misma conclusión se llega si se tiene en consideración la necesidad de respetar el debido proceso en “todas las actuaciones administrativas” como lo ordena el artículo 29 superior. </w:t>
      </w:r>
    </w:p>
    <w:p w:rsidRPr="00392858" w:rsidR="003344FA" w:rsidP="003344FA" w:rsidRDefault="003344FA" w14:paraId="3037DC2B" w14:textId="77777777">
      <w:pPr>
        <w:spacing w:after="120" w:line="276" w:lineRule="auto"/>
        <w:ind w:firstLine="709"/>
        <w:jc w:val="both"/>
        <w:rPr>
          <w:rFonts w:ascii="Century Gothic" w:hAnsi="Century Gothic" w:eastAsia="Times New Roman" w:cs="Arial"/>
          <w:iCs/>
          <w:lang w:val="es-ES_tradnl" w:eastAsia="es-ES_tradnl"/>
          <w14:ligatures w14:val="standardContextual"/>
        </w:rPr>
      </w:pPr>
      <w:r w:rsidRPr="00392858">
        <w:rPr>
          <w:rFonts w:ascii="Century Gothic" w:hAnsi="Century Gothic" w:eastAsia="Times New Roman" w:cs="Arial"/>
          <w:iCs/>
          <w:lang w:val="es-ES_tradnl" w:eastAsia="es-ES_tradnl"/>
          <w14:ligatures w14:val="standardContextual"/>
        </w:rPr>
        <w:t>De conformidad con lo anterior, el artículo 86 de la Ley 1474 de 2011 establece las etapas del procedimiento que se deben seguir, las cuales se sintetizan, de forma esquemática, así: i) c</w:t>
      </w:r>
      <w:r w:rsidRPr="00392858">
        <w:rPr>
          <w:rFonts w:ascii="Century Gothic" w:hAnsi="Century Gothic" w:eastAsia="Times New Roman" w:cs="Arial"/>
          <w:i/>
          <w:iCs/>
          <w:lang w:val="es-ES_tradnl" w:eastAsia="es-ES_tradnl"/>
          <w14:ligatures w14:val="standardContextual"/>
        </w:rPr>
        <w:t>itación a audiencia</w:t>
      </w:r>
      <w:r w:rsidRPr="00392858">
        <w:rPr>
          <w:rFonts w:ascii="Century Gothic" w:hAnsi="Century Gothic" w:eastAsia="Times New Roman" w:cs="Arial"/>
          <w:iCs/>
          <w:lang w:val="es-ES_tradnl" w:eastAsia="es-ES_tradnl"/>
          <w14:ligatures w14:val="standardContextual"/>
        </w:rPr>
        <w:t xml:space="preserve">. Es necesario remitir una citación a audiencia al contratista y al garante –cuando proceda–, cuyo contenido de señalará más adelante. ii) </w:t>
      </w:r>
      <w:r w:rsidRPr="00392858">
        <w:rPr>
          <w:rFonts w:ascii="Century Gothic" w:hAnsi="Century Gothic" w:eastAsia="Times New Roman" w:cs="Arial"/>
          <w:i/>
          <w:iCs/>
          <w:lang w:val="es-ES_tradnl" w:eastAsia="es-ES_tradnl"/>
          <w14:ligatures w14:val="standardContextual"/>
        </w:rPr>
        <w:t>Audiencia</w:t>
      </w:r>
      <w:r w:rsidRPr="00392858">
        <w:rPr>
          <w:rFonts w:ascii="Century Gothic" w:hAnsi="Century Gothic" w:eastAsia="Times New Roman" w:cs="Arial"/>
          <w:iCs/>
          <w:lang w:val="es-ES_tradnl" w:eastAsia="es-ES_tradnl"/>
          <w14:ligatures w14:val="standardContextua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392858">
        <w:rPr>
          <w:rFonts w:ascii="Century Gothic" w:hAnsi="Century Gothic" w:eastAsia="Times New Roman" w:cs="Arial"/>
          <w:i/>
          <w:iCs/>
          <w:lang w:val="es-ES_tradnl" w:eastAsia="es-ES_tradnl"/>
          <w14:ligatures w14:val="standardContextual"/>
        </w:rPr>
        <w:t>Decisión</w:t>
      </w:r>
      <w:r w:rsidRPr="00392858">
        <w:rPr>
          <w:rFonts w:ascii="Century Gothic" w:hAnsi="Century Gothic" w:eastAsia="Times New Roman" w:cs="Arial"/>
          <w:iCs/>
          <w:lang w:val="es-ES_tradnl" w:eastAsia="es-ES_tradnl"/>
          <w14:ligatures w14:val="standardContextua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rsidRPr="00392858" w:rsidR="003344FA" w:rsidP="003344FA" w:rsidRDefault="003344FA" w14:paraId="6A061E35" w14:textId="77777777">
      <w:pPr>
        <w:spacing w:after="0" w:line="276" w:lineRule="auto"/>
        <w:ind w:firstLine="709"/>
        <w:jc w:val="both"/>
        <w:rPr>
          <w:rFonts w:ascii="Century Gothic" w:hAnsi="Century Gothic" w:eastAsia="Calibri" w:cs="Arial"/>
          <w:lang w:val="es-ES_tradnl" w:eastAsia="es-ES_tradnl"/>
          <w14:ligatures w14:val="standardContextual"/>
        </w:rPr>
      </w:pPr>
      <w:r w:rsidRPr="00392858">
        <w:rPr>
          <w:rFonts w:ascii="Century Gothic" w:hAnsi="Century Gothic" w:eastAsia="Times New Roman" w:cs="Arial"/>
          <w:iCs/>
          <w:lang w:val="es-ES_tradnl" w:eastAsia="es-ES_tradnl"/>
          <w14:ligatures w14:val="standardContextual"/>
        </w:rPr>
        <w:t>Como precisión previa, vale la pena aclarar que e</w:t>
      </w:r>
      <w:r w:rsidRPr="00392858">
        <w:rPr>
          <w:rFonts w:ascii="Century Gothic" w:hAnsi="Century Gothic" w:eastAsia="Calibri" w:cs="Arial"/>
          <w:lang w:val="es-ES_tradnl" w:eastAsia="es-ES_tradnl"/>
          <w14:ligatures w14:val="standardContextual"/>
        </w:rPr>
        <w:t>l artículo 86 de la Ley 1474 de 2011 regula un procedimiento administrativo sancionatorio dirigido a sujetos específicos: las entidades sometidas al EGCAP</w:t>
      </w:r>
      <w:r w:rsidRPr="00392858">
        <w:rPr>
          <w:rFonts w:ascii="Century Gothic" w:hAnsi="Century Gothic" w:eastAsia="Calibri" w:cs="Arial"/>
          <w:vertAlign w:val="superscript"/>
          <w:lang w:eastAsia="es-ES_tradnl"/>
          <w14:ligatures w14:val="standardContextual"/>
        </w:rPr>
        <w:footnoteReference w:id="3"/>
      </w:r>
      <w:r w:rsidRPr="00392858">
        <w:rPr>
          <w:rFonts w:ascii="Century Gothic" w:hAnsi="Century Gothic" w:eastAsia="Calibri" w:cs="Arial"/>
          <w:lang w:val="es-ES_tradnl" w:eastAsia="es-ES_tradnl"/>
          <w14:ligatures w14:val="standardContextual"/>
        </w:rPr>
        <w:t xml:space="preserve">. De ahí que las entidades de </w:t>
      </w:r>
      <w:r w:rsidRPr="00392858">
        <w:rPr>
          <w:rFonts w:ascii="Century Gothic" w:hAnsi="Century Gothic" w:eastAsia="Calibri" w:cs="Arial"/>
          <w:i/>
          <w:iCs/>
          <w:lang w:val="es-ES_tradnl" w:eastAsia="es-ES_tradnl"/>
          <w14:ligatures w14:val="standardContextual"/>
        </w:rPr>
        <w:t>régimen especial</w:t>
      </w:r>
      <w:r w:rsidRPr="00392858">
        <w:rPr>
          <w:rFonts w:ascii="Century Gothic" w:hAnsi="Century Gothic" w:eastAsia="Calibri" w:cs="Arial"/>
          <w:vertAlign w:val="superscript"/>
          <w:lang w:eastAsia="es-ES_tradnl"/>
          <w14:ligatures w14:val="standardContextual"/>
        </w:rPr>
        <w:footnoteReference w:id="4"/>
      </w:r>
      <w:r w:rsidRPr="00392858">
        <w:rPr>
          <w:rFonts w:ascii="Century Gothic" w:hAnsi="Century Gothic" w:eastAsia="Calibri" w:cs="Arial"/>
          <w:lang w:val="es-ES_tradnl" w:eastAsia="es-ES_tradnl"/>
          <w14:ligatures w14:val="standardContextual"/>
        </w:rPr>
        <w:t xml:space="preserve"> en materia contractual no pueden aplicar el procedimiento administrativo sancionatorio regulado en el artículo 86 de la Ley 1474 de 2011, al no ser entidades sometidas al EGCAP, sino, por el contrario, entidades exceptuadas de este</w:t>
      </w:r>
      <w:r w:rsidRPr="00392858">
        <w:rPr>
          <w:rFonts w:ascii="Century Gothic" w:hAnsi="Century Gothic" w:eastAsia="Calibri" w:cs="Arial"/>
          <w:vertAlign w:val="superscript"/>
          <w:lang w:eastAsia="es-ES_tradnl"/>
          <w14:ligatures w14:val="standardContextual"/>
        </w:rPr>
        <w:footnoteReference w:id="5"/>
      </w:r>
      <w:r w:rsidRPr="00392858">
        <w:rPr>
          <w:rFonts w:ascii="Century Gothic" w:hAnsi="Century Gothic" w:eastAsia="Calibri" w:cs="Arial"/>
          <w:lang w:val="es-ES_tradnl" w:eastAsia="es-ES_tradnl"/>
          <w14:ligatures w14:val="standardContextual"/>
        </w:rPr>
        <w:t>. La norma indicada desarrolla el procedimiento de la siguiente manera:</w:t>
      </w:r>
    </w:p>
    <w:p w:rsidRPr="00392858" w:rsidR="003344FA" w:rsidP="003344FA" w:rsidRDefault="003344FA" w14:paraId="07C1C720" w14:textId="77777777">
      <w:pPr>
        <w:spacing w:after="0" w:line="276" w:lineRule="auto"/>
        <w:ind w:right="142" w:firstLine="709"/>
        <w:jc w:val="both"/>
        <w:rPr>
          <w:rFonts w:ascii="Century Gothic" w:hAnsi="Century Gothic" w:eastAsia="Calibri" w:cs="Arial"/>
          <w:lang w:val="es-ES_tradnl" w:eastAsia="es-ES_tradnl"/>
          <w14:ligatures w14:val="standardContextual"/>
        </w:rPr>
      </w:pPr>
    </w:p>
    <w:p w:rsidRPr="00392858" w:rsidR="003344FA" w:rsidP="003344FA" w:rsidRDefault="003344FA" w14:paraId="3000D15F" w14:textId="77777777">
      <w:pPr>
        <w:spacing w:after="0" w:line="240" w:lineRule="auto"/>
        <w:ind w:left="709" w:right="709"/>
        <w:contextualSpacing/>
        <w:jc w:val="both"/>
        <w:rPr>
          <w:rFonts w:ascii="Century Gothic" w:hAnsi="Century Gothic" w:cs="Arial"/>
          <w:iCs/>
          <w:sz w:val="20"/>
          <w:szCs w:val="20"/>
          <w:lang w:val="es-ES_tradnl"/>
          <w14:ligatures w14:val="standardContextual"/>
        </w:rPr>
      </w:pPr>
      <w:bookmarkStart w:name="86" w:id="4"/>
      <w:r w:rsidRPr="00392858">
        <w:rPr>
          <w:rFonts w:ascii="Century Gothic" w:hAnsi="Century Gothic" w:cs="Arial"/>
          <w:iCs/>
          <w:sz w:val="20"/>
          <w:szCs w:val="20"/>
          <w:lang w:val="es-ES_tradnl"/>
          <w14:ligatures w14:val="standardContextual"/>
        </w:rPr>
        <w:t>“Artículo 86. Imposición de multas, sanciones y declaratorias de incumplimiento.</w:t>
      </w:r>
      <w:bookmarkEnd w:id="4"/>
      <w:r w:rsidRPr="00392858">
        <w:rPr>
          <w:rFonts w:ascii="Century Gothic" w:hAnsi="Century Gothic" w:cs="Arial"/>
          <w:iCs/>
          <w:sz w:val="20"/>
          <w:szCs w:val="20"/>
          <w:lang w:val="es-ES_tradnl"/>
          <w14:ligatures w14:val="standardContextual"/>
        </w:rPr>
        <w:t>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rsidRPr="00392858" w:rsidR="003344FA" w:rsidP="003344FA" w:rsidRDefault="003344FA" w14:paraId="2A6CEC93" w14:textId="77777777">
      <w:pPr>
        <w:spacing w:after="0" w:line="240" w:lineRule="auto"/>
        <w:ind w:left="709" w:right="709"/>
        <w:contextualSpacing/>
        <w:jc w:val="both"/>
        <w:rPr>
          <w:rFonts w:ascii="Century Gothic" w:hAnsi="Century Gothic" w:cs="Arial"/>
          <w:iCs/>
          <w:sz w:val="20"/>
          <w:szCs w:val="20"/>
          <w:lang w:val="es-ES_tradnl"/>
          <w14:ligatures w14:val="standardContextual"/>
        </w:rPr>
      </w:pPr>
    </w:p>
    <w:p w:rsidRPr="00392858" w:rsidR="003344FA" w:rsidP="003344FA" w:rsidRDefault="003344FA" w14:paraId="2FBC8CAF" w14:textId="77777777">
      <w:pPr>
        <w:spacing w:after="0" w:line="240" w:lineRule="auto"/>
        <w:ind w:left="709" w:right="709"/>
        <w:contextualSpacing/>
        <w:jc w:val="both"/>
        <w:rPr>
          <w:rFonts w:ascii="Century Gothic" w:hAnsi="Century Gothic" w:cs="Arial"/>
          <w:iCs/>
          <w:sz w:val="20"/>
          <w:szCs w:val="20"/>
          <w:lang w:val="es-ES_tradnl"/>
          <w14:ligatures w14:val="standardContextual"/>
        </w:rPr>
      </w:pPr>
      <w:r w:rsidRPr="00392858">
        <w:rPr>
          <w:rFonts w:ascii="Century Gothic" w:hAnsi="Century Gothic" w:cs="Arial"/>
          <w:iCs/>
          <w:sz w:val="20"/>
          <w:szCs w:val="20"/>
          <w:lang w:val="es-ES_tradnl"/>
          <w14:ligatures w14:val="standardContextual"/>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rsidRPr="00392858" w:rsidR="003344FA" w:rsidP="003344FA" w:rsidRDefault="003344FA" w14:paraId="6F6DE1C6" w14:textId="77777777">
      <w:pPr>
        <w:spacing w:after="0" w:line="240" w:lineRule="auto"/>
        <w:ind w:left="709" w:right="709"/>
        <w:contextualSpacing/>
        <w:jc w:val="both"/>
        <w:rPr>
          <w:rFonts w:ascii="Century Gothic" w:hAnsi="Century Gothic" w:cs="Arial"/>
          <w:sz w:val="20"/>
          <w:szCs w:val="20"/>
          <w:lang w:val="es-ES_tradnl"/>
          <w14:ligatures w14:val="standardContextual"/>
        </w:rPr>
      </w:pPr>
    </w:p>
    <w:p w:rsidRPr="00392858" w:rsidR="003344FA" w:rsidP="003344FA" w:rsidRDefault="003344FA" w14:paraId="657B5EB7" w14:textId="77777777">
      <w:pPr>
        <w:spacing w:after="0" w:line="240" w:lineRule="auto"/>
        <w:ind w:left="709" w:right="709"/>
        <w:contextualSpacing/>
        <w:jc w:val="both"/>
        <w:rPr>
          <w:rFonts w:ascii="Century Gothic" w:hAnsi="Century Gothic" w:cs="Arial"/>
          <w:iCs/>
          <w:sz w:val="20"/>
          <w:szCs w:val="20"/>
          <w:lang w:val="es-ES_tradnl"/>
          <w14:ligatures w14:val="standardContextual"/>
        </w:rPr>
      </w:pPr>
      <w:r w:rsidRPr="00392858">
        <w:rPr>
          <w:rFonts w:ascii="Century Gothic" w:hAnsi="Century Gothic" w:cs="Arial"/>
          <w:iCs/>
          <w:sz w:val="20"/>
          <w:szCs w:val="20"/>
          <w:lang w:val="es-ES_tradnl"/>
          <w14:ligatures w14:val="standardContextual"/>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rsidRPr="00392858" w:rsidR="003344FA" w:rsidP="003344FA" w:rsidRDefault="003344FA" w14:paraId="48ED8100" w14:textId="77777777">
      <w:pPr>
        <w:spacing w:after="0" w:line="240" w:lineRule="auto"/>
        <w:ind w:left="709" w:right="709"/>
        <w:contextualSpacing/>
        <w:jc w:val="both"/>
        <w:rPr>
          <w:rFonts w:ascii="Century Gothic" w:hAnsi="Century Gothic" w:cs="Arial"/>
          <w:iCs/>
          <w:sz w:val="20"/>
          <w:szCs w:val="20"/>
          <w:lang w:val="es-ES_tradnl"/>
          <w14:ligatures w14:val="standardContextual"/>
        </w:rPr>
      </w:pPr>
    </w:p>
    <w:p w:rsidRPr="00392858" w:rsidR="003344FA" w:rsidP="003344FA" w:rsidRDefault="003344FA" w14:paraId="5A7AB3C4" w14:textId="77777777">
      <w:pPr>
        <w:spacing w:after="0" w:line="240" w:lineRule="auto"/>
        <w:ind w:left="709" w:right="709"/>
        <w:contextualSpacing/>
        <w:jc w:val="both"/>
        <w:rPr>
          <w:rFonts w:ascii="Century Gothic" w:hAnsi="Century Gothic" w:cs="Arial"/>
          <w:iCs/>
          <w:sz w:val="20"/>
          <w:szCs w:val="20"/>
          <w:lang w:val="es-ES_tradnl"/>
          <w14:ligatures w14:val="standardContextual"/>
        </w:rPr>
      </w:pPr>
      <w:r w:rsidRPr="00392858">
        <w:rPr>
          <w:rFonts w:ascii="Century Gothic" w:hAnsi="Century Gothic" w:cs="Arial"/>
          <w:iCs/>
          <w:sz w:val="20"/>
          <w:szCs w:val="20"/>
          <w:lang w:val="es-ES_tradnl"/>
          <w14:ligatures w14:val="standardContextua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rsidRPr="00392858" w:rsidR="003344FA" w:rsidP="003344FA" w:rsidRDefault="003344FA" w14:paraId="304F4D15" w14:textId="77777777">
      <w:pPr>
        <w:spacing w:after="0" w:line="240" w:lineRule="auto"/>
        <w:ind w:left="709" w:right="709"/>
        <w:contextualSpacing/>
        <w:jc w:val="both"/>
        <w:rPr>
          <w:rFonts w:ascii="Century Gothic" w:hAnsi="Century Gothic" w:cs="Arial"/>
          <w:iCs/>
          <w:sz w:val="20"/>
          <w:szCs w:val="20"/>
          <w:lang w:val="es-ES_tradnl"/>
          <w14:ligatures w14:val="standardContextual"/>
        </w:rPr>
      </w:pPr>
    </w:p>
    <w:p w:rsidRPr="00392858" w:rsidR="003344FA" w:rsidP="003344FA" w:rsidRDefault="003344FA" w14:paraId="6D4CE12A" w14:textId="77777777">
      <w:pPr>
        <w:spacing w:after="0" w:line="240" w:lineRule="auto"/>
        <w:ind w:left="709" w:right="709"/>
        <w:contextualSpacing/>
        <w:jc w:val="both"/>
        <w:rPr>
          <w:rFonts w:ascii="Century Gothic" w:hAnsi="Century Gothic" w:cs="Arial"/>
          <w:iCs/>
          <w:sz w:val="20"/>
          <w:szCs w:val="20"/>
          <w:lang w:val="es-ES_tradnl"/>
          <w14:ligatures w14:val="standardContextual"/>
        </w:rPr>
      </w:pPr>
      <w:r w:rsidRPr="00392858">
        <w:rPr>
          <w:rFonts w:ascii="Century Gothic" w:hAnsi="Century Gothic" w:cs="Arial"/>
          <w:iCs/>
          <w:sz w:val="20"/>
          <w:szCs w:val="20"/>
          <w:lang w:val="es-ES_tradnl"/>
          <w14:ligatures w14:val="standardContextual"/>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rsidRPr="00392858" w:rsidR="003344FA" w:rsidP="003344FA" w:rsidRDefault="003344FA" w14:paraId="3966ED7D" w14:textId="77777777">
      <w:pPr>
        <w:spacing w:after="0" w:line="276" w:lineRule="auto"/>
        <w:ind w:right="142"/>
        <w:contextualSpacing/>
        <w:jc w:val="both"/>
        <w:rPr>
          <w:rFonts w:ascii="Century Gothic" w:hAnsi="Century Gothic" w:eastAsia="Calibri" w:cs="Arial"/>
          <w:szCs w:val="24"/>
          <w:lang w:val="es-ES_tradnl" w:eastAsia="es-ES_tradnl"/>
          <w14:ligatures w14:val="standardContextual"/>
        </w:rPr>
      </w:pPr>
    </w:p>
    <w:p w:rsidRPr="00392858" w:rsidR="003344FA" w:rsidP="003344FA" w:rsidRDefault="003344FA" w14:paraId="3CB1972C" w14:textId="77777777">
      <w:pPr>
        <w:spacing w:after="120" w:line="276" w:lineRule="auto"/>
        <w:ind w:firstLine="709"/>
        <w:jc w:val="both"/>
        <w:rPr>
          <w:rFonts w:ascii="Century Gothic" w:hAnsi="Century Gothic" w:eastAsia="Calibri" w:cs="Arial"/>
          <w:lang w:val="es-ES_tradnl" w:eastAsia="es-ES_tradnl"/>
          <w14:ligatures w14:val="standardContextual"/>
        </w:rPr>
      </w:pPr>
      <w:r w:rsidRPr="00392858">
        <w:rPr>
          <w:rFonts w:ascii="Century Gothic" w:hAnsi="Century Gothic" w:eastAsia="Calibri" w:cs="Arial"/>
          <w:lang w:val="es-ES_tradnl" w:eastAsia="es-ES_tradnl"/>
          <w14:ligatures w14:val="standardContextual"/>
        </w:rPr>
        <w:t xml:space="preserve">Como se observa, la citación a la audiencia debe cumplir </w:t>
      </w:r>
      <w:r w:rsidRPr="00392858">
        <w:rPr>
          <w:rFonts w:ascii="Century Gothic" w:hAnsi="Century Gothic" w:eastAsia="Calibri" w:cs="Arial"/>
          <w:i/>
          <w:iCs/>
          <w:lang w:val="es-ES_tradnl" w:eastAsia="es-ES_tradnl"/>
          <w14:ligatures w14:val="standardContextual"/>
        </w:rPr>
        <w:t>mínimamente</w:t>
      </w:r>
      <w:r w:rsidRPr="00392858">
        <w:rPr>
          <w:rFonts w:ascii="Century Gothic" w:hAnsi="Century Gothic" w:eastAsia="Calibri" w:cs="Arial"/>
          <w:lang w:val="es-ES_tradnl" w:eastAsia="es-ES_tradnl"/>
          <w14:ligatures w14:val="standardContextual"/>
        </w:rPr>
        <w:t xml:space="preserve"> los siguientes aspectos: i) señalar los </w:t>
      </w:r>
      <w:r w:rsidRPr="00392858">
        <w:rPr>
          <w:rFonts w:ascii="Century Gothic" w:hAnsi="Century Gothic" w:eastAsia="Calibri" w:cs="Arial"/>
          <w:i/>
          <w:iCs/>
          <w:lang w:val="es-ES_tradnl" w:eastAsia="es-ES_tradnl"/>
          <w14:ligatures w14:val="standardContextual"/>
        </w:rPr>
        <w:t>hechos</w:t>
      </w:r>
      <w:r w:rsidRPr="00392858">
        <w:rPr>
          <w:rFonts w:ascii="Century Gothic" w:hAnsi="Century Gothic" w:eastAsia="Calibri" w:cs="Arial"/>
          <w:lang w:val="es-ES_tradnl" w:eastAsia="es-ES_tradnl"/>
          <w14:ligatures w14:val="standardContextual"/>
        </w:rPr>
        <w:t xml:space="preserve"> que soportan la actuación, en particular la descripción detallada de cuáles son las actuaciones u omisiones del contratista que materializan el incumplimiento de las obligaciones. Además, se deben ii) adjuntar los </w:t>
      </w:r>
      <w:r w:rsidRPr="00392858">
        <w:rPr>
          <w:rFonts w:ascii="Century Gothic" w:hAnsi="Century Gothic" w:eastAsia="Calibri" w:cs="Arial"/>
          <w:i/>
          <w:iCs/>
          <w:lang w:val="es-ES_tradnl" w:eastAsia="es-ES_tradnl"/>
          <w14:ligatures w14:val="standardContextual"/>
        </w:rPr>
        <w:t>informes de supervisión o de interventoría</w:t>
      </w:r>
      <w:r w:rsidRPr="00392858">
        <w:rPr>
          <w:rFonts w:ascii="Century Gothic" w:hAnsi="Century Gothic" w:eastAsia="Calibri" w:cs="Arial"/>
          <w:lang w:val="es-ES_tradnl" w:eastAsia="es-ES_tradnl"/>
          <w14:ligatures w14:val="standardContextual"/>
        </w:rPr>
        <w:t xml:space="preserve"> que soportan la actuación, donde la entidad fundamenta su decisión de iniciar el procedimiento sancionatorio. Asimismo, iii) lo anterior debe acompañarse de las </w:t>
      </w:r>
      <w:r w:rsidRPr="00392858">
        <w:rPr>
          <w:rFonts w:ascii="Century Gothic" w:hAnsi="Century Gothic" w:eastAsia="Calibri" w:cs="Arial"/>
          <w:i/>
          <w:iCs/>
          <w:lang w:val="es-ES_tradnl" w:eastAsia="es-ES_tradnl"/>
          <w14:ligatures w14:val="standardContextual"/>
        </w:rPr>
        <w:t>pruebas adicionales</w:t>
      </w:r>
      <w:r w:rsidRPr="00392858">
        <w:rPr>
          <w:rFonts w:ascii="Century Gothic" w:hAnsi="Century Gothic" w:eastAsia="Calibri" w:cs="Arial"/>
          <w:lang w:val="es-ES_tradnl" w:eastAsia="es-ES_tradnl"/>
          <w14:ligatures w14:val="standardContextual"/>
        </w:rPr>
        <w:t xml:space="preserve">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r w:rsidRPr="00392858">
        <w:rPr>
          <w:rFonts w:ascii="Century Gothic" w:hAnsi="Century Gothic" w:eastAsia="Calibri" w:cs="Arial"/>
          <w:vertAlign w:val="superscript"/>
          <w:lang w:eastAsia="es-ES_tradnl"/>
          <w14:ligatures w14:val="standardContextual"/>
        </w:rPr>
        <w:footnoteReference w:id="6"/>
      </w:r>
      <w:r w:rsidRPr="00392858">
        <w:rPr>
          <w:rFonts w:ascii="Century Gothic" w:hAnsi="Century Gothic" w:eastAsia="Calibri" w:cs="Arial"/>
          <w:lang w:val="es-ES_tradnl" w:eastAsia="es-ES_tradnl"/>
          <w14:ligatures w14:val="standardContextual"/>
        </w:rPr>
        <w:t xml:space="preserve">. </w:t>
      </w:r>
    </w:p>
    <w:p w:rsidRPr="00392858" w:rsidR="00700936" w:rsidP="004D6C05" w:rsidRDefault="004D6C05" w14:paraId="10E7CB95" w14:textId="6CCBB04F">
      <w:pPr>
        <w:spacing w:before="240" w:line="276" w:lineRule="auto"/>
        <w:ind w:firstLine="709"/>
        <w:jc w:val="both"/>
        <w:rPr>
          <w:rFonts w:ascii="Century Gothic" w:hAnsi="Century Gothic"/>
        </w:rPr>
      </w:pPr>
      <w:r>
        <w:rPr>
          <w:rFonts w:ascii="Century Gothic" w:hAnsi="Century Gothic" w:eastAsia="Calibri" w:cs="Arial"/>
          <w:color w:val="000000"/>
          <w:lang w:val="es-ES" w:eastAsia="es-ES"/>
        </w:rPr>
        <w:t>Como se observa</w:t>
      </w:r>
      <w:r w:rsidRPr="00392858" w:rsidR="00700936">
        <w:rPr>
          <w:rFonts w:ascii="Century Gothic" w:hAnsi="Century Gothic" w:eastAsia="Calibri" w:cs="Arial"/>
          <w:color w:val="000000"/>
          <w:lang w:val="es-ES" w:eastAsia="es-ES"/>
        </w:rPr>
        <w:t xml:space="preserve">, </w:t>
      </w:r>
      <w:r>
        <w:rPr>
          <w:rFonts w:ascii="Century Gothic" w:hAnsi="Century Gothic" w:eastAsia="Calibri" w:cs="Arial"/>
          <w:color w:val="000000"/>
          <w:lang w:val="es-ES" w:eastAsia="es-ES"/>
        </w:rPr>
        <w:t>sobre la cuantificación de perjuicios</w:t>
      </w:r>
      <w:r w:rsidRPr="00392858" w:rsidR="00700936">
        <w:rPr>
          <w:rFonts w:ascii="Century Gothic" w:hAnsi="Century Gothic" w:eastAsia="Calibri" w:cs="Arial"/>
          <w:color w:val="000000"/>
          <w:lang w:val="es-ES" w:eastAsia="es-ES"/>
        </w:rPr>
        <w:t xml:space="preserve"> </w:t>
      </w:r>
      <w:r w:rsidRPr="00392858" w:rsidR="00700936">
        <w:rPr>
          <w:rFonts w:ascii="Century Gothic" w:hAnsi="Century Gothic" w:eastAsia="Arial" w:cs="Arial"/>
          <w:color w:val="000000" w:themeColor="text1"/>
        </w:rPr>
        <w:t xml:space="preserve">ocasionados por el incumplimiento –inciso primero del artículo 86–, no se puede entender este como requisito obligatorio del contenido de la citación a la audiencia de que trata el artículo en cita, toda vez que, en el inciso respectivo de la Ley, no está contenido textualmente, no obstante, </w:t>
      </w:r>
      <w:r w:rsidR="00406275">
        <w:rPr>
          <w:rFonts w:ascii="Century Gothic" w:hAnsi="Century Gothic" w:eastAsia="Arial" w:cs="Arial"/>
          <w:color w:val="000000" w:themeColor="text1"/>
        </w:rPr>
        <w:t xml:space="preserve">de la lectura de la norma se entiende que estos </w:t>
      </w:r>
      <w:r w:rsidRPr="00392858" w:rsidR="00700936">
        <w:rPr>
          <w:rFonts w:ascii="Century Gothic" w:hAnsi="Century Gothic" w:eastAsia="Arial" w:cs="Arial"/>
          <w:color w:val="000000" w:themeColor="text1"/>
        </w:rPr>
        <w:t>podr</w:t>
      </w:r>
      <w:r w:rsidR="00406275">
        <w:rPr>
          <w:rFonts w:ascii="Century Gothic" w:hAnsi="Century Gothic" w:eastAsia="Arial" w:cs="Arial"/>
          <w:color w:val="000000" w:themeColor="text1"/>
        </w:rPr>
        <w:t>án</w:t>
      </w:r>
      <w:r w:rsidRPr="00392858" w:rsidR="00700936">
        <w:rPr>
          <w:rFonts w:ascii="Century Gothic" w:hAnsi="Century Gothic" w:eastAsia="Arial" w:cs="Arial"/>
          <w:color w:val="000000" w:themeColor="text1"/>
        </w:rPr>
        <w:t xml:space="preserve"> ser agregado</w:t>
      </w:r>
      <w:r w:rsidR="00406275">
        <w:rPr>
          <w:rFonts w:ascii="Century Gothic" w:hAnsi="Century Gothic" w:eastAsia="Arial" w:cs="Arial"/>
          <w:color w:val="000000" w:themeColor="text1"/>
        </w:rPr>
        <w:t>s</w:t>
      </w:r>
      <w:r w:rsidRPr="00392858" w:rsidR="00700936">
        <w:rPr>
          <w:rFonts w:ascii="Century Gothic" w:hAnsi="Century Gothic" w:eastAsia="Arial" w:cs="Arial"/>
          <w:color w:val="000000" w:themeColor="text1"/>
        </w:rPr>
        <w:t xml:space="preserve"> en la citación por parte de la Entidad Estatal,</w:t>
      </w:r>
      <w:r w:rsidR="00406275">
        <w:rPr>
          <w:rFonts w:ascii="Century Gothic" w:hAnsi="Century Gothic" w:eastAsia="Arial" w:cs="Arial"/>
          <w:color w:val="000000" w:themeColor="text1"/>
        </w:rPr>
        <w:t xml:space="preserve"> si así lo considera pertinente</w:t>
      </w:r>
      <w:r w:rsidRPr="00392858" w:rsidR="00700936">
        <w:rPr>
          <w:rFonts w:ascii="Century Gothic" w:hAnsi="Century Gothic" w:eastAsia="Arial" w:cs="Arial"/>
          <w:color w:val="000000" w:themeColor="text1"/>
        </w:rPr>
        <w:t>. Sin embargo, se aclara que para efectos de imponer las multas y sanciones y hacer efectiva la cláusula penal, es necesario dar a conocer dicha cuantificación al contratista en garantía de su derecho de defensa, contradicción, y al debido proceso que consagra el artículo 29 de la Constitución Política de 1991</w:t>
      </w:r>
      <w:r w:rsidR="00C06A36">
        <w:rPr>
          <w:rFonts w:ascii="Century Gothic" w:hAnsi="Century Gothic" w:eastAsia="Arial" w:cs="Arial"/>
          <w:color w:val="000000" w:themeColor="text1"/>
        </w:rPr>
        <w:t xml:space="preserve">, pues con base en estos se determinará y verificará la proporcionalidad </w:t>
      </w:r>
      <w:r w:rsidR="00A712F8">
        <w:rPr>
          <w:rFonts w:ascii="Century Gothic" w:hAnsi="Century Gothic" w:eastAsia="Arial" w:cs="Arial"/>
          <w:color w:val="000000" w:themeColor="text1"/>
        </w:rPr>
        <w:t>de las sanciones a aplicar.</w:t>
      </w:r>
    </w:p>
    <w:p w:rsidRPr="00392858" w:rsidR="00700936" w:rsidP="00700936" w:rsidRDefault="00700936" w14:paraId="2779DF7C" w14:textId="1939C2E1">
      <w:pPr>
        <w:spacing w:line="276" w:lineRule="auto"/>
        <w:ind w:firstLine="708"/>
        <w:jc w:val="both"/>
        <w:rPr>
          <w:rFonts w:ascii="Century Gothic" w:hAnsi="Century Gothic" w:eastAsia="Times New Roman" w:cs="Arial"/>
          <w:color w:val="000000"/>
          <w:lang w:eastAsia="es-ES_tradnl"/>
        </w:rPr>
      </w:pPr>
      <w:r w:rsidRPr="00392858">
        <w:rPr>
          <w:rFonts w:ascii="Century Gothic" w:hAnsi="Century Gothic" w:eastAsia="Times New Roman" w:cs="Arial"/>
          <w:color w:val="000000"/>
          <w:lang w:eastAsia="es-ES_tradnl"/>
        </w:rPr>
        <w:t xml:space="preserve">Al respecto, es importante indicar que el artículo 17 de la Ley 1150 de 2007 dispuso el debido proceso como principio rector de la potestad sancionatoria de la administración en contratación estatal, y el artículo 86 de la Ley 1474 de 2011, como ya lo vimos, reglamentó </w:t>
      </w:r>
      <w:r w:rsidR="00B05D7F">
        <w:rPr>
          <w:rFonts w:ascii="Century Gothic" w:hAnsi="Century Gothic" w:eastAsia="Times New Roman" w:cs="Arial"/>
          <w:color w:val="000000"/>
          <w:lang w:eastAsia="es-ES_tradnl"/>
        </w:rPr>
        <w:t xml:space="preserve">su </w:t>
      </w:r>
      <w:r w:rsidRPr="00392858">
        <w:rPr>
          <w:rFonts w:ascii="Century Gothic" w:hAnsi="Century Gothic" w:eastAsia="Times New Roman" w:cs="Arial"/>
          <w:color w:val="000000"/>
          <w:lang w:eastAsia="es-ES_tradnl"/>
        </w:rPr>
        <w:t>procedimiento</w:t>
      </w:r>
      <w:r w:rsidR="00B05D7F">
        <w:rPr>
          <w:rFonts w:ascii="Century Gothic" w:hAnsi="Century Gothic" w:eastAsia="Times New Roman" w:cs="Arial"/>
          <w:color w:val="000000"/>
          <w:lang w:eastAsia="es-ES_tradnl"/>
        </w:rPr>
        <w:t xml:space="preserve">. </w:t>
      </w:r>
      <w:r w:rsidRPr="00392858">
        <w:rPr>
          <w:rFonts w:ascii="Century Gothic" w:hAnsi="Century Gothic" w:eastAsia="Times New Roman" w:cs="Arial"/>
          <w:color w:val="000000"/>
          <w:lang w:eastAsia="es-ES_tradnl"/>
        </w:rPr>
        <w:t xml:space="preserve">De la lectura de dichos artículos se observa el querer, por parte del legislador, de que el contratista cuente con un procedimiento sancionatorio contractual que tenga plena garantía al debido proceso. </w:t>
      </w:r>
    </w:p>
    <w:p w:rsidRPr="00392858" w:rsidR="00700936" w:rsidP="00700936" w:rsidRDefault="00700936" w14:paraId="097F4F0C" w14:textId="77777777">
      <w:pPr>
        <w:spacing w:line="276" w:lineRule="auto"/>
        <w:ind w:firstLine="709"/>
        <w:jc w:val="both"/>
        <w:rPr>
          <w:rFonts w:ascii="Century Gothic" w:hAnsi="Century Gothic" w:eastAsia="Times New Roman" w:cs="Arial"/>
          <w:color w:val="000000"/>
          <w:lang w:eastAsia="es-ES_tradnl"/>
        </w:rPr>
      </w:pPr>
      <w:r w:rsidRPr="00392858">
        <w:rPr>
          <w:rFonts w:ascii="Century Gothic" w:hAnsi="Century Gothic" w:eastAsia="Times New Roman" w:cs="Arial"/>
          <w:color w:val="000000"/>
          <w:lang w:eastAsia="es-ES_tradnl"/>
        </w:rPr>
        <w:t>La Corte Constitucional en sentencia SU 339 del 4 de mayo de 2011</w:t>
      </w:r>
      <w:r w:rsidRPr="00392858">
        <w:rPr>
          <w:rStyle w:val="Refdenotaalpie"/>
          <w:rFonts w:ascii="Century Gothic" w:hAnsi="Century Gothic" w:eastAsia="Times New Roman" w:cs="Arial"/>
          <w:color w:val="000000"/>
          <w:lang w:eastAsia="es-ES_tradnl"/>
        </w:rPr>
        <w:footnoteReference w:id="7"/>
      </w:r>
      <w:r w:rsidRPr="00392858">
        <w:rPr>
          <w:rFonts w:ascii="Century Gothic" w:hAnsi="Century Gothic" w:eastAsia="Times New Roman" w:cs="Arial"/>
          <w:color w:val="000000"/>
          <w:lang w:eastAsia="es-ES_tradnl"/>
        </w:rPr>
        <w:t xml:space="preserve">, indicó que el derecho al debido proceso, en ciertos casos tiene un </w:t>
      </w:r>
      <w:r w:rsidRPr="00392858">
        <w:rPr>
          <w:rFonts w:ascii="Century Gothic" w:hAnsi="Century Gothic" w:eastAsia="Times New Roman" w:cs="Arial"/>
          <w:iCs/>
          <w:color w:val="000000"/>
          <w:lang w:val="es-ES_tradnl" w:eastAsia="es-ES_tradnl"/>
        </w:rPr>
        <w:t xml:space="preserve">“carácter instrumental” pues el estricto cumplimiento de “las garantías constitutivas del debido proceso administrativo y de las regulaciones legales que determinan la actuación del poder público, </w:t>
      </w:r>
      <w:r w:rsidRPr="00392858">
        <w:rPr>
          <w:rFonts w:ascii="Century Gothic" w:hAnsi="Century Gothic" w:eastAsia="Times New Roman" w:cs="Arial"/>
          <w:i/>
          <w:color w:val="000000"/>
          <w:lang w:val="es-ES_tradnl" w:eastAsia="es-ES_tradnl"/>
        </w:rPr>
        <w:t>se deriva la salvaguarda de otros derechos fundamentales</w:t>
      </w:r>
      <w:r w:rsidRPr="00392858">
        <w:rPr>
          <w:rFonts w:ascii="Century Gothic" w:hAnsi="Century Gothic" w:eastAsia="Times New Roman" w:cs="Arial"/>
          <w:iCs/>
          <w:color w:val="000000"/>
          <w:lang w:val="es-ES_tradnl" w:eastAsia="es-ES_tradnl"/>
        </w:rPr>
        <w:t xml:space="preserve">”. </w:t>
      </w:r>
      <w:r w:rsidRPr="00392858">
        <w:rPr>
          <w:rFonts w:ascii="Century Gothic" w:hAnsi="Century Gothic" w:eastAsia="Times New Roman" w:cs="Arial"/>
          <w:color w:val="000000"/>
          <w:lang w:eastAsia="es-ES_tradnl"/>
        </w:rPr>
        <w:t>En virtud a ello, el contratista contra quien se adelanta esta clase de procedimiento administrativo sancionatorio cuenta, entre otros, con los siguientes derechos: i) a un procedimiento público; ii) el ser oído antes de la decisión; iii) a la defensa y contradicción; iv) a aportar pruebas y a contradecir las que se alleguen en su contra; iv) que el procedimiento se adelante ante la autoridad competente para conocer del asunto; v) a que se le otorgue un tratamiento igual que el dado a otros particulares; vi)  a que el procedimiento se adelante en un término razonable; y, vii) a que las decisiones sean motivadas, debidamente notificadas y a impugnar las mismas.</w:t>
      </w:r>
    </w:p>
    <w:p w:rsidRPr="00392858" w:rsidR="00700936" w:rsidP="00700936" w:rsidRDefault="00700936" w14:paraId="74083F45" w14:textId="77777777">
      <w:pPr>
        <w:spacing w:line="276" w:lineRule="auto"/>
        <w:ind w:firstLine="708"/>
        <w:jc w:val="both"/>
        <w:rPr>
          <w:rFonts w:ascii="Century Gothic" w:hAnsi="Century Gothic" w:eastAsia="Times New Roman" w:cs="Arial"/>
          <w:iCs/>
          <w:color w:val="000000"/>
          <w:sz w:val="21"/>
          <w:szCs w:val="21"/>
          <w:lang w:val="es-ES_tradnl" w:eastAsia="es-ES_tradnl"/>
        </w:rPr>
      </w:pPr>
      <w:r w:rsidRPr="00392858">
        <w:rPr>
          <w:rFonts w:ascii="Century Gothic" w:hAnsi="Century Gothic" w:eastAsia="Times New Roman" w:cs="Arial"/>
          <w:color w:val="000000"/>
          <w:lang w:eastAsia="es-ES_tradnl"/>
        </w:rPr>
        <w:t xml:space="preserve"> En fin, el principio al debido proceso busca en materia de contratación estatal </w:t>
      </w:r>
      <w:r w:rsidRPr="00392858">
        <w:rPr>
          <w:rFonts w:ascii="Century Gothic" w:hAnsi="Century Gothic" w:eastAsia="Times New Roman" w:cs="Arial"/>
          <w:iCs/>
          <w:color w:val="000000"/>
          <w:sz w:val="21"/>
          <w:szCs w:val="21"/>
          <w:lang w:val="es-ES_tradnl" w:eastAsia="es-ES_tradnl"/>
        </w:rPr>
        <w:t>“</w:t>
      </w:r>
      <w:r w:rsidRPr="00392858">
        <w:rPr>
          <w:rFonts w:ascii="Century Gothic" w:hAnsi="Century Gothic" w:eastAsia="Times New Roman" w:cs="Arial"/>
          <w:i/>
          <w:iCs/>
          <w:color w:val="000000"/>
          <w:lang w:eastAsia="es-ES_tradnl"/>
        </w:rPr>
        <w:t>en su interrelación obtener una actuación administrativa coherente a las necedades públicas sin lesionar los intereses individuales en juego</w:t>
      </w:r>
      <w:r w:rsidRPr="00392858">
        <w:rPr>
          <w:rFonts w:ascii="Century Gothic" w:hAnsi="Century Gothic" w:eastAsia="Times New Roman" w:cs="Arial"/>
          <w:iCs/>
          <w:color w:val="000000"/>
          <w:sz w:val="21"/>
          <w:szCs w:val="21"/>
          <w:lang w:val="es-ES_tradnl" w:eastAsia="es-ES_tradnl"/>
        </w:rPr>
        <w:t>”</w:t>
      </w:r>
      <w:r w:rsidRPr="00392858">
        <w:rPr>
          <w:rStyle w:val="Refdenotaalpie"/>
          <w:rFonts w:ascii="Century Gothic" w:hAnsi="Century Gothic" w:eastAsia="Times New Roman" w:cs="Arial"/>
          <w:iCs/>
          <w:color w:val="000000"/>
          <w:sz w:val="21"/>
          <w:szCs w:val="21"/>
          <w:lang w:val="es-ES_tradnl" w:eastAsia="es-ES_tradnl"/>
        </w:rPr>
        <w:footnoteReference w:id="8"/>
      </w:r>
      <w:r w:rsidRPr="00392858">
        <w:rPr>
          <w:rFonts w:ascii="Century Gothic" w:hAnsi="Century Gothic" w:eastAsia="Times New Roman" w:cs="Arial"/>
          <w:iCs/>
          <w:color w:val="000000"/>
          <w:sz w:val="21"/>
          <w:szCs w:val="21"/>
          <w:lang w:val="es-ES_tradnl" w:eastAsia="es-ES_tradnl"/>
        </w:rPr>
        <w:t>.</w:t>
      </w:r>
      <w:r w:rsidRPr="00392858">
        <w:rPr>
          <w:rFonts w:ascii="Century Gothic" w:hAnsi="Century Gothic" w:eastAsia="Times New Roman" w:cs="Arial"/>
          <w:i/>
          <w:iCs/>
          <w:color w:val="000000"/>
          <w:lang w:eastAsia="es-ES_tradnl"/>
        </w:rPr>
        <w:t xml:space="preserve"> </w:t>
      </w:r>
      <w:r w:rsidRPr="00392858">
        <w:rPr>
          <w:rFonts w:ascii="Century Gothic" w:hAnsi="Century Gothic" w:eastAsia="Times New Roman" w:cs="Arial"/>
          <w:color w:val="000000"/>
          <w:lang w:eastAsia="es-ES_tradnl"/>
        </w:rPr>
        <w:t>Al respecto la Corte Constitucional en sentencia T-722 de 2010</w:t>
      </w:r>
      <w:r w:rsidRPr="00392858">
        <w:rPr>
          <w:rStyle w:val="Refdenotaalpie"/>
          <w:rFonts w:ascii="Century Gothic" w:hAnsi="Century Gothic" w:eastAsia="Times New Roman" w:cs="Arial"/>
          <w:color w:val="000000"/>
          <w:lang w:eastAsia="es-ES_tradnl"/>
        </w:rPr>
        <w:footnoteReference w:id="9"/>
      </w:r>
      <w:r w:rsidRPr="00392858">
        <w:rPr>
          <w:rFonts w:ascii="Century Gothic" w:hAnsi="Century Gothic" w:eastAsia="Times New Roman" w:cs="Arial"/>
          <w:color w:val="000000"/>
          <w:lang w:eastAsia="es-ES_tradnl"/>
        </w:rPr>
        <w:t xml:space="preserve"> recordó que el derecho al debido proceso administrativo como la garantía a todas las personas de acceder a un proceso justo y adecuado, permite que </w:t>
      </w:r>
      <w:r w:rsidRPr="00392858">
        <w:rPr>
          <w:rFonts w:ascii="Century Gothic" w:hAnsi="Century Gothic" w:eastAsia="Times New Roman" w:cs="Arial"/>
          <w:iCs/>
          <w:color w:val="000000"/>
          <w:sz w:val="21"/>
          <w:szCs w:val="21"/>
          <w:lang w:val="es-ES_tradnl" w:eastAsia="es-ES_tradnl"/>
        </w:rPr>
        <w:t>“</w:t>
      </w:r>
      <w:r w:rsidRPr="00392858">
        <w:rPr>
          <w:rFonts w:ascii="Century Gothic" w:hAnsi="Century Gothic" w:eastAsia="Times New Roman" w:cs="Arial"/>
          <w:i/>
          <w:iCs/>
          <w:color w:val="000000"/>
          <w:lang w:eastAsia="es-ES_tradnl"/>
        </w:rPr>
        <w:t>la afectación o la privación de ciertos bienes jurídicos por parte del Estado, no pueda hacerse con detrimento de sus derechos fundamentales</w:t>
      </w:r>
      <w:r w:rsidRPr="00392858">
        <w:rPr>
          <w:rFonts w:ascii="Century Gothic" w:hAnsi="Century Gothic" w:eastAsia="Times New Roman" w:cs="Arial"/>
          <w:iCs/>
          <w:color w:val="000000"/>
          <w:sz w:val="21"/>
          <w:szCs w:val="21"/>
          <w:lang w:val="es-ES_tradnl" w:eastAsia="es-ES_tradnl"/>
        </w:rPr>
        <w:t>”.</w:t>
      </w:r>
    </w:p>
    <w:p w:rsidRPr="00392858" w:rsidR="003344FA" w:rsidP="003344FA" w:rsidRDefault="003344FA" w14:paraId="040146C2" w14:textId="5250F100">
      <w:pPr>
        <w:spacing w:after="120" w:line="276" w:lineRule="auto"/>
        <w:ind w:firstLine="708"/>
        <w:jc w:val="both"/>
        <w:rPr>
          <w:rFonts w:ascii="Century Gothic" w:hAnsi="Century Gothic" w:eastAsia="Times New Roman" w:cs="Arial"/>
          <w:iCs/>
          <w:lang w:val="es-ES_tradnl" w:eastAsia="es-ES_tradnl"/>
          <w14:ligatures w14:val="standardContextual"/>
        </w:rPr>
      </w:pPr>
      <w:r w:rsidRPr="00392858">
        <w:rPr>
          <w:rFonts w:ascii="Century Gothic" w:hAnsi="Century Gothic" w:eastAsia="Calibri" w:cs="Arial"/>
          <w:lang w:val="es-ES_tradnl" w:eastAsia="es-ES_tradnl"/>
          <w14:ligatures w14:val="standardContextual"/>
        </w:rPr>
        <w:t xml:space="preserve">Conforme lo expuesto, </w:t>
      </w:r>
      <w:r w:rsidR="0064697D">
        <w:rPr>
          <w:rFonts w:ascii="Century Gothic" w:hAnsi="Century Gothic" w:eastAsia="Calibri" w:cs="Arial"/>
          <w:lang w:val="es-ES_tradnl" w:eastAsia="es-ES_tradnl"/>
          <w14:ligatures w14:val="standardContextual"/>
        </w:rPr>
        <w:t>es importante que la</w:t>
      </w:r>
      <w:r w:rsidRPr="00392858">
        <w:rPr>
          <w:rFonts w:ascii="Century Gothic" w:hAnsi="Century Gothic" w:eastAsia="Calibri" w:cs="Arial"/>
          <w:lang w:val="es-ES_tradnl" w:eastAsia="es-ES_tradnl"/>
          <w14:ligatures w14:val="standardContextual"/>
        </w:rPr>
        <w:t xml:space="preserve"> entidad acompañ</w:t>
      </w:r>
      <w:r w:rsidR="0064697D">
        <w:rPr>
          <w:rFonts w:ascii="Century Gothic" w:hAnsi="Century Gothic" w:eastAsia="Calibri" w:cs="Arial"/>
          <w:lang w:val="es-ES_tradnl" w:eastAsia="es-ES_tradnl"/>
          <w14:ligatures w14:val="standardContextual"/>
        </w:rPr>
        <w:t>e</w:t>
      </w:r>
      <w:r w:rsidRPr="00392858">
        <w:rPr>
          <w:rFonts w:ascii="Century Gothic" w:hAnsi="Century Gothic" w:eastAsia="Calibri" w:cs="Arial"/>
          <w:lang w:val="es-ES_tradnl" w:eastAsia="es-ES_tradnl"/>
          <w14:ligatures w14:val="standardContextual"/>
        </w:rPr>
        <w:t xml:space="preserve"> la citación de la audiencia, </w:t>
      </w:r>
      <w:r w:rsidR="00CC4F2F">
        <w:rPr>
          <w:rFonts w:ascii="Century Gothic" w:hAnsi="Century Gothic" w:eastAsia="Calibri" w:cs="Arial"/>
          <w:lang w:val="es-ES_tradnl" w:eastAsia="es-ES_tradnl"/>
          <w14:ligatures w14:val="standardContextual"/>
        </w:rPr>
        <w:t xml:space="preserve">con </w:t>
      </w:r>
      <w:r w:rsidRPr="00392858">
        <w:rPr>
          <w:rFonts w:ascii="Century Gothic" w:hAnsi="Century Gothic" w:eastAsia="Calibri" w:cs="Arial"/>
          <w:lang w:val="es-ES_tradnl" w:eastAsia="es-ES_tradnl"/>
          <w14:ligatures w14:val="standardContextual"/>
        </w:rPr>
        <w:t xml:space="preserve">las pruebas </w:t>
      </w:r>
      <w:r w:rsidR="00CC4F2F">
        <w:rPr>
          <w:rFonts w:ascii="Century Gothic" w:hAnsi="Century Gothic" w:eastAsia="Calibri" w:cs="Arial"/>
          <w:lang w:val="es-ES_tradnl" w:eastAsia="es-ES_tradnl"/>
          <w14:ligatures w14:val="standardContextual"/>
        </w:rPr>
        <w:t xml:space="preserve">que dan a lugar al reproche sancionatorio, </w:t>
      </w:r>
      <w:r w:rsidRPr="00392858">
        <w:rPr>
          <w:rFonts w:ascii="Century Gothic" w:hAnsi="Century Gothic" w:eastAsia="Calibri" w:cs="Arial"/>
          <w:lang w:val="es-ES_tradnl" w:eastAsia="es-ES_tradnl"/>
          <w14:ligatures w14:val="standardContextual"/>
        </w:rPr>
        <w:t>adicionales a los informes de supervisión o de interventoría que sirven para acreditar el incumplimiento</w:t>
      </w:r>
      <w:r w:rsidR="00083E58">
        <w:rPr>
          <w:rFonts w:ascii="Century Gothic" w:hAnsi="Century Gothic" w:eastAsia="Calibri" w:cs="Arial"/>
          <w:lang w:val="es-ES_tradnl" w:eastAsia="es-ES_tradnl"/>
          <w14:ligatures w14:val="standardContextual"/>
        </w:rPr>
        <w:t xml:space="preserve"> de obligaciones contractuales</w:t>
      </w:r>
      <w:r w:rsidRPr="00392858">
        <w:rPr>
          <w:rFonts w:ascii="Century Gothic" w:hAnsi="Century Gothic" w:eastAsia="Calibri" w:cs="Arial"/>
          <w:lang w:val="es-ES_tradnl" w:eastAsia="es-ES_tradnl"/>
          <w14:ligatures w14:val="standardContextual"/>
        </w:rPr>
        <w:t xml:space="preserve">. </w:t>
      </w:r>
      <w:r w:rsidRPr="00392858">
        <w:rPr>
          <w:rFonts w:ascii="Century Gothic" w:hAnsi="Century Gothic" w:eastAsia="Arial" w:cs="Arial"/>
          <w:color w:val="000000" w:themeColor="text1"/>
          <w:lang w:eastAsia="es-ES_tradnl"/>
          <w14:ligatures w14:val="standardContextual"/>
        </w:rPr>
        <w:t xml:space="preserve">Por otro lado, </w:t>
      </w:r>
      <w:r w:rsidRPr="00392858">
        <w:rPr>
          <w:rFonts w:ascii="Century Gothic" w:hAnsi="Century Gothic" w:eastAsia="Calibri" w:cs="Arial"/>
          <w:lang w:val="es-ES_tradnl" w:eastAsia="es-ES_tradnl"/>
          <w14:ligatures w14:val="standardContextual"/>
        </w:rPr>
        <w:t xml:space="preserve">debe señalarse que el literal d) del artículo 86 dispone que, en </w:t>
      </w:r>
      <w:r w:rsidRPr="00392858">
        <w:rPr>
          <w:rFonts w:ascii="Century Gothic" w:hAnsi="Century Gothic" w:eastAsia="Times New Roman" w:cs="Arial"/>
          <w:iCs/>
          <w:lang w:val="es-ES_tradnl" w:eastAsia="es-ES_tradnl"/>
          <w14:ligatures w14:val="standardContextual"/>
        </w:rPr>
        <w:t xml:space="preserve">cualquier momento del desarrollo de la audiencia, el jefe de la entidad o su </w:t>
      </w:r>
      <w:r w:rsidRPr="00392858" w:rsidR="00F54881">
        <w:rPr>
          <w:rFonts w:ascii="Century Gothic" w:hAnsi="Century Gothic" w:eastAsia="Times New Roman" w:cs="Arial"/>
          <w:iCs/>
          <w:lang w:val="es-ES_tradnl" w:eastAsia="es-ES_tradnl"/>
          <w14:ligatures w14:val="standardContextual"/>
        </w:rPr>
        <w:t>delegado</w:t>
      </w:r>
      <w:r w:rsidRPr="00392858">
        <w:rPr>
          <w:rFonts w:ascii="Century Gothic" w:hAnsi="Century Gothic" w:eastAsia="Times New Roman" w:cs="Arial"/>
          <w:iCs/>
          <w:lang w:val="es-ES_tradnl" w:eastAsia="es-ES_tradnl"/>
          <w14:ligatures w14:val="standardContextual"/>
        </w:rPr>
        <w:t xml:space="preserve">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w:t>
      </w:r>
    </w:p>
    <w:p w:rsidRPr="00881DAC" w:rsidR="003344FA" w:rsidP="00881DAC" w:rsidRDefault="00BC4C7E" w14:paraId="1E48C726" w14:textId="40D9B040">
      <w:pPr>
        <w:spacing w:after="120" w:line="276" w:lineRule="auto"/>
        <w:ind w:firstLine="708"/>
        <w:jc w:val="both"/>
        <w:rPr>
          <w:rFonts w:ascii="Century Gothic" w:hAnsi="Century Gothic" w:eastAsia="Times New Roman" w:cs="Arial"/>
          <w:color w:val="000000" w:themeColor="text1"/>
          <w:lang w:val="es-ES" w:eastAsia="es-ES"/>
          <w14:ligatures w14:val="standardContextual"/>
        </w:rPr>
      </w:pPr>
      <w:r>
        <w:rPr>
          <w:rFonts w:ascii="Century Gothic" w:hAnsi="Century Gothic" w:eastAsia="Arial" w:cs="Arial"/>
          <w:color w:val="000000" w:themeColor="text1"/>
          <w:lang w:eastAsia="es-ES_tradnl"/>
          <w14:ligatures w14:val="standardContextual"/>
        </w:rPr>
        <w:t>S</w:t>
      </w:r>
      <w:r w:rsidRPr="00392858" w:rsidR="003344FA">
        <w:rPr>
          <w:rFonts w:ascii="Century Gothic" w:hAnsi="Century Gothic" w:eastAsia="Arial" w:cs="Arial"/>
          <w:color w:val="000000" w:themeColor="text1"/>
          <w:lang w:eastAsia="es-ES_tradnl"/>
          <w14:ligatures w14:val="standardContextual"/>
        </w:rPr>
        <w:t xml:space="preserve">e aclara </w:t>
      </w:r>
      <w:r w:rsidRPr="00392858" w:rsidR="00061904">
        <w:rPr>
          <w:rFonts w:ascii="Century Gothic" w:hAnsi="Century Gothic" w:eastAsia="Arial" w:cs="Arial"/>
          <w:color w:val="000000" w:themeColor="text1"/>
          <w:lang w:eastAsia="es-ES_tradnl"/>
          <w14:ligatures w14:val="standardContextual"/>
        </w:rPr>
        <w:t>que,</w:t>
      </w:r>
      <w:r w:rsidRPr="00392858" w:rsidR="003344FA">
        <w:rPr>
          <w:rFonts w:ascii="Century Gothic" w:hAnsi="Century Gothic" w:eastAsia="Arial" w:cs="Arial"/>
          <w:color w:val="000000" w:themeColor="text1"/>
          <w:lang w:eastAsia="es-ES_tradnl"/>
          <w14:ligatures w14:val="standardContextual"/>
        </w:rPr>
        <w:t xml:space="preserve"> </w:t>
      </w:r>
      <w:r w:rsidRPr="00392858" w:rsidR="007D31BE">
        <w:rPr>
          <w:rFonts w:ascii="Century Gothic" w:hAnsi="Century Gothic" w:eastAsia="Times New Roman" w:cs="Arial"/>
          <w:color w:val="000000" w:themeColor="text1"/>
          <w:lang w:val="es-ES" w:eastAsia="es-ES"/>
          <w14:ligatures w14:val="standardContextual"/>
        </w:rPr>
        <w:t>previa a la imposición por parte de la entidad estatal de multas y sanciones pactadas en el contrato como también para hacer efectiva la cláusula penal</w:t>
      </w:r>
      <w:r w:rsidRPr="00392858" w:rsidR="003344FA">
        <w:rPr>
          <w:rFonts w:ascii="Century Gothic" w:hAnsi="Century Gothic" w:eastAsia="Arial" w:cs="Arial"/>
          <w:color w:val="000000" w:themeColor="text1"/>
          <w:lang w:eastAsia="es-ES_tradnl"/>
          <w14:ligatures w14:val="standardContextual"/>
        </w:rPr>
        <w:t>, es necesario dar a conocer dichas pruebas</w:t>
      </w:r>
      <w:r w:rsidRPr="00392858" w:rsidR="003344FA">
        <w:rPr>
          <w:rFonts w:ascii="Century Gothic" w:hAnsi="Century Gothic" w:eastAsia="Times New Roman" w:cs="Arial"/>
          <w:color w:val="000000" w:themeColor="text1"/>
          <w:lang w:val="es-ES" w:eastAsia="es-ES"/>
          <w14:ligatures w14:val="standardContextual"/>
        </w:rPr>
        <w:t>, pues e</w:t>
      </w:r>
      <w:r w:rsidR="00F82FD3">
        <w:rPr>
          <w:rFonts w:ascii="Century Gothic" w:hAnsi="Century Gothic" w:eastAsia="Times New Roman" w:cs="Arial"/>
          <w:color w:val="000000" w:themeColor="text1"/>
          <w:lang w:val="es-ES" w:eastAsia="es-ES"/>
          <w14:ligatures w14:val="standardContextual"/>
        </w:rPr>
        <w:t>stas soportan la cuantificación de los perjuicios ocasionados a la entidad estatal, con base e</w:t>
      </w:r>
      <w:r w:rsidR="00AF40E2">
        <w:rPr>
          <w:rFonts w:ascii="Century Gothic" w:hAnsi="Century Gothic" w:eastAsia="Times New Roman" w:cs="Arial"/>
          <w:color w:val="000000" w:themeColor="text1"/>
          <w:lang w:val="es-ES" w:eastAsia="es-ES"/>
          <w14:ligatures w14:val="standardContextual"/>
        </w:rPr>
        <w:t>n lo cuales se determinará</w:t>
      </w:r>
      <w:r w:rsidR="00B31F8B">
        <w:rPr>
          <w:rFonts w:ascii="Century Gothic" w:hAnsi="Century Gothic" w:eastAsia="Times New Roman" w:cs="Arial"/>
          <w:color w:val="000000" w:themeColor="text1"/>
          <w:lang w:val="es-ES" w:eastAsia="es-ES"/>
          <w14:ligatures w14:val="standardContextual"/>
        </w:rPr>
        <w:t>,</w:t>
      </w:r>
      <w:r w:rsidR="00AF40E2">
        <w:rPr>
          <w:rFonts w:ascii="Century Gothic" w:hAnsi="Century Gothic" w:eastAsia="Times New Roman" w:cs="Arial"/>
          <w:color w:val="000000" w:themeColor="text1"/>
          <w:lang w:val="es-ES" w:eastAsia="es-ES"/>
          <w14:ligatures w14:val="standardContextual"/>
        </w:rPr>
        <w:t xml:space="preserve"> en virtud del principio de proporcionalidad</w:t>
      </w:r>
      <w:r w:rsidR="00834BAB">
        <w:rPr>
          <w:rFonts w:ascii="Century Gothic" w:hAnsi="Century Gothic" w:eastAsia="Times New Roman" w:cs="Arial"/>
          <w:color w:val="000000" w:themeColor="text1"/>
          <w:lang w:val="es-ES" w:eastAsia="es-ES"/>
          <w14:ligatures w14:val="standardContextual"/>
        </w:rPr>
        <w:t>,</w:t>
      </w:r>
      <w:r w:rsidR="00AF40E2">
        <w:rPr>
          <w:rFonts w:ascii="Century Gothic" w:hAnsi="Century Gothic" w:eastAsia="Times New Roman" w:cs="Arial"/>
          <w:color w:val="000000" w:themeColor="text1"/>
          <w:lang w:val="es-ES" w:eastAsia="es-ES"/>
          <w14:ligatures w14:val="standardContextual"/>
        </w:rPr>
        <w:t xml:space="preserve"> el valor o porcentaje </w:t>
      </w:r>
      <w:r w:rsidR="00834BAB">
        <w:rPr>
          <w:rFonts w:ascii="Century Gothic" w:hAnsi="Century Gothic" w:eastAsia="Times New Roman" w:cs="Arial"/>
          <w:color w:val="000000" w:themeColor="text1"/>
          <w:lang w:val="es-ES" w:eastAsia="es-ES"/>
          <w14:ligatures w14:val="standardContextual"/>
        </w:rPr>
        <w:t xml:space="preserve">de la sanción </w:t>
      </w:r>
      <w:r w:rsidR="00AF40E2">
        <w:rPr>
          <w:rFonts w:ascii="Century Gothic" w:hAnsi="Century Gothic" w:eastAsia="Times New Roman" w:cs="Arial"/>
          <w:color w:val="000000" w:themeColor="text1"/>
          <w:lang w:val="es-ES" w:eastAsia="es-ES"/>
          <w14:ligatures w14:val="standardContextual"/>
        </w:rPr>
        <w:t xml:space="preserve">por el cual </w:t>
      </w:r>
      <w:r w:rsidR="00834BAB">
        <w:rPr>
          <w:rFonts w:ascii="Century Gothic" w:hAnsi="Century Gothic" w:eastAsia="Times New Roman" w:cs="Arial"/>
          <w:color w:val="000000" w:themeColor="text1"/>
          <w:lang w:val="es-ES" w:eastAsia="es-ES"/>
          <w14:ligatures w14:val="standardContextual"/>
        </w:rPr>
        <w:t xml:space="preserve">posteriormente </w:t>
      </w:r>
      <w:r w:rsidR="00AF40E2">
        <w:rPr>
          <w:rFonts w:ascii="Century Gothic" w:hAnsi="Century Gothic" w:eastAsia="Times New Roman" w:cs="Arial"/>
          <w:color w:val="000000" w:themeColor="text1"/>
          <w:lang w:val="es-ES" w:eastAsia="es-ES"/>
          <w14:ligatures w14:val="standardContextual"/>
        </w:rPr>
        <w:t>se siniestrar</w:t>
      </w:r>
      <w:r w:rsidR="00834BAB">
        <w:rPr>
          <w:rFonts w:ascii="Century Gothic" w:hAnsi="Century Gothic" w:eastAsia="Times New Roman" w:cs="Arial"/>
          <w:color w:val="000000" w:themeColor="text1"/>
          <w:lang w:val="es-ES" w:eastAsia="es-ES"/>
          <w14:ligatures w14:val="standardContextual"/>
        </w:rPr>
        <w:t>á</w:t>
      </w:r>
      <w:r w:rsidR="00AF40E2">
        <w:rPr>
          <w:rFonts w:ascii="Century Gothic" w:hAnsi="Century Gothic" w:eastAsia="Times New Roman" w:cs="Arial"/>
          <w:color w:val="000000" w:themeColor="text1"/>
          <w:lang w:val="es-ES" w:eastAsia="es-ES"/>
          <w14:ligatures w14:val="standardContextual"/>
        </w:rPr>
        <w:t xml:space="preserve"> las garantías co</w:t>
      </w:r>
      <w:r w:rsidR="00834BAB">
        <w:rPr>
          <w:rFonts w:ascii="Century Gothic" w:hAnsi="Century Gothic" w:eastAsia="Times New Roman" w:cs="Arial"/>
          <w:color w:val="000000" w:themeColor="text1"/>
          <w:lang w:val="es-ES" w:eastAsia="es-ES"/>
          <w14:ligatures w14:val="standardContextual"/>
        </w:rPr>
        <w:t>ntractuales que respaldan el respectivo contrato</w:t>
      </w:r>
      <w:r w:rsidRPr="00392858" w:rsidR="003344FA">
        <w:rPr>
          <w:rFonts w:ascii="Century Gothic" w:hAnsi="Century Gothic" w:eastAsia="Times New Roman" w:cs="Arial"/>
          <w:color w:val="000000" w:themeColor="text1"/>
          <w:lang w:val="es-ES" w:eastAsia="es-ES"/>
          <w14:ligatures w14:val="standardContextual"/>
        </w:rPr>
        <w:t>. En todo caso,</w:t>
      </w:r>
      <w:r w:rsidR="00EA494A">
        <w:rPr>
          <w:rFonts w:ascii="Century Gothic" w:hAnsi="Century Gothic" w:eastAsia="Times New Roman" w:cs="Arial"/>
          <w:color w:val="000000" w:themeColor="text1"/>
          <w:lang w:val="es-ES" w:eastAsia="es-ES"/>
          <w14:ligatures w14:val="standardContextual"/>
        </w:rPr>
        <w:t xml:space="preserve"> se concluye que tanto las p</w:t>
      </w:r>
      <w:r w:rsidRPr="00392858" w:rsidR="003344FA">
        <w:rPr>
          <w:rFonts w:ascii="Century Gothic" w:hAnsi="Century Gothic" w:eastAsia="Times New Roman" w:cs="Arial"/>
          <w:color w:val="000000" w:themeColor="text1"/>
          <w:lang w:val="es-ES" w:eastAsia="es-ES"/>
          <w14:ligatures w14:val="standardContextual"/>
        </w:rPr>
        <w:t xml:space="preserve">ruebas </w:t>
      </w:r>
      <w:r w:rsidR="00EA494A">
        <w:rPr>
          <w:rFonts w:ascii="Century Gothic" w:hAnsi="Century Gothic" w:eastAsia="Times New Roman" w:cs="Arial"/>
          <w:color w:val="000000" w:themeColor="text1"/>
          <w:lang w:val="es-ES" w:eastAsia="es-ES"/>
          <w14:ligatures w14:val="standardContextual"/>
        </w:rPr>
        <w:t xml:space="preserve">que se acompañan con la citación y las </w:t>
      </w:r>
      <w:r w:rsidRPr="00392858" w:rsidR="003344FA">
        <w:rPr>
          <w:rFonts w:ascii="Century Gothic" w:hAnsi="Century Gothic" w:eastAsia="Times New Roman" w:cs="Arial"/>
          <w:color w:val="000000" w:themeColor="text1"/>
          <w:lang w:val="es-ES" w:eastAsia="es-ES"/>
          <w14:ligatures w14:val="standardContextual"/>
        </w:rPr>
        <w:t xml:space="preserve">adicionales </w:t>
      </w:r>
      <w:r w:rsidR="00EA494A">
        <w:rPr>
          <w:rFonts w:ascii="Century Gothic" w:hAnsi="Century Gothic" w:eastAsia="Times New Roman" w:cs="Arial"/>
          <w:color w:val="000000" w:themeColor="text1"/>
          <w:lang w:val="es-ES" w:eastAsia="es-ES"/>
          <w14:ligatures w14:val="standardContextual"/>
        </w:rPr>
        <w:t>que se practiquen</w:t>
      </w:r>
      <w:r w:rsidRPr="00392858" w:rsidR="003344FA">
        <w:rPr>
          <w:rFonts w:ascii="Century Gothic" w:hAnsi="Century Gothic" w:eastAsia="Times New Roman" w:cs="Arial"/>
          <w:color w:val="000000" w:themeColor="text1"/>
          <w:lang w:val="es-ES" w:eastAsia="es-ES"/>
          <w14:ligatures w14:val="standardContextual"/>
        </w:rPr>
        <w:t xml:space="preserve">, </w:t>
      </w:r>
      <w:r w:rsidR="00EA494A">
        <w:rPr>
          <w:rFonts w:ascii="Century Gothic" w:hAnsi="Century Gothic" w:eastAsia="Times New Roman" w:cs="Arial"/>
          <w:color w:val="000000" w:themeColor="text1"/>
          <w:lang w:val="es-ES" w:eastAsia="es-ES"/>
          <w14:ligatures w14:val="standardContextual"/>
        </w:rPr>
        <w:t>como también la</w:t>
      </w:r>
      <w:r w:rsidRPr="00392858" w:rsidR="003344FA">
        <w:rPr>
          <w:rFonts w:ascii="Century Gothic" w:hAnsi="Century Gothic" w:eastAsia="Times New Roman" w:cs="Arial"/>
          <w:color w:val="000000" w:themeColor="text1"/>
          <w:lang w:eastAsia="es-ES"/>
          <w14:ligatures w14:val="standardContextual"/>
        </w:rPr>
        <w:t xml:space="preserve"> tasación </w:t>
      </w:r>
      <w:r w:rsidR="00EA494A">
        <w:rPr>
          <w:rFonts w:ascii="Century Gothic" w:hAnsi="Century Gothic" w:eastAsia="Times New Roman" w:cs="Arial"/>
          <w:color w:val="000000" w:themeColor="text1"/>
          <w:lang w:eastAsia="es-ES"/>
          <w14:ligatures w14:val="standardContextual"/>
        </w:rPr>
        <w:t xml:space="preserve">de perjuicio, </w:t>
      </w:r>
      <w:r w:rsidRPr="00392858" w:rsidR="003344FA">
        <w:rPr>
          <w:rFonts w:ascii="Century Gothic" w:hAnsi="Century Gothic" w:eastAsia="Times New Roman" w:cs="Arial"/>
          <w:color w:val="000000" w:themeColor="text1"/>
          <w:lang w:eastAsia="es-ES"/>
          <w14:ligatures w14:val="standardContextual"/>
        </w:rPr>
        <w:t>estará sujet</w:t>
      </w:r>
      <w:r w:rsidR="00EA494A">
        <w:rPr>
          <w:rFonts w:ascii="Century Gothic" w:hAnsi="Century Gothic" w:eastAsia="Times New Roman" w:cs="Arial"/>
          <w:color w:val="000000" w:themeColor="text1"/>
          <w:lang w:eastAsia="es-ES"/>
          <w14:ligatures w14:val="standardContextual"/>
        </w:rPr>
        <w:t>os</w:t>
      </w:r>
      <w:r w:rsidRPr="00392858" w:rsidR="003344FA">
        <w:rPr>
          <w:rFonts w:ascii="Century Gothic" w:hAnsi="Century Gothic" w:eastAsia="Times New Roman" w:cs="Arial"/>
          <w:color w:val="000000" w:themeColor="text1"/>
          <w:lang w:eastAsia="es-ES"/>
          <w14:ligatures w14:val="standardContextual"/>
        </w:rPr>
        <w:t xml:space="preserve"> a contradicción por parte del contratista, para lo cual podrá aportar pruebas y argumentos de defensa.</w:t>
      </w:r>
    </w:p>
    <w:p w:rsidRPr="00392858" w:rsidR="003344FA" w:rsidP="003344FA" w:rsidRDefault="003344FA" w14:paraId="1F453EDF" w14:textId="77777777">
      <w:pPr>
        <w:tabs>
          <w:tab w:val="left" w:pos="426"/>
        </w:tabs>
        <w:spacing w:after="0" w:line="276" w:lineRule="auto"/>
        <w:jc w:val="both"/>
        <w:rPr>
          <w:rFonts w:ascii="Century Gothic" w:hAnsi="Century Gothic" w:eastAsia="Arial" w:cs="Arial"/>
          <w:b/>
        </w:rPr>
      </w:pPr>
      <w:r w:rsidRPr="00392858">
        <w:rPr>
          <w:rFonts w:ascii="Century Gothic" w:hAnsi="Century Gothic" w:eastAsia="Arial" w:cs="Arial"/>
          <w:b/>
        </w:rPr>
        <w:t>2.2. Caducidad de la facultad sancionatoria en procesos sancionatorios contractuales. Aplicación subsidiaria del artículo 52 del CPACA.</w:t>
      </w:r>
    </w:p>
    <w:p w:rsidRPr="00392858" w:rsidR="003344FA" w:rsidP="003344FA" w:rsidRDefault="003344FA" w14:paraId="3E89B01A" w14:textId="77777777">
      <w:pPr>
        <w:tabs>
          <w:tab w:val="left" w:pos="426"/>
        </w:tabs>
        <w:spacing w:after="0" w:line="276" w:lineRule="auto"/>
        <w:jc w:val="both"/>
        <w:rPr>
          <w:rFonts w:ascii="Century Gothic" w:hAnsi="Century Gothic" w:eastAsia="Arial" w:cs="Arial"/>
          <w:b/>
        </w:rPr>
      </w:pPr>
    </w:p>
    <w:p w:rsidRPr="00392858" w:rsidR="003344FA" w:rsidP="003344FA" w:rsidRDefault="003344FA" w14:paraId="4335AD09" w14:textId="77777777">
      <w:pPr>
        <w:tabs>
          <w:tab w:val="left" w:pos="426"/>
        </w:tabs>
        <w:spacing w:after="120" w:line="276" w:lineRule="auto"/>
        <w:jc w:val="both"/>
        <w:rPr>
          <w:rFonts w:ascii="Century Gothic" w:hAnsi="Century Gothic" w:eastAsia="Arial" w:cs="Arial"/>
        </w:rPr>
      </w:pPr>
      <w:r w:rsidRPr="00392858">
        <w:rPr>
          <w:rFonts w:ascii="Century Gothic" w:hAnsi="Century Gothic" w:eastAsia="Arial" w:cs="Arial"/>
        </w:rPr>
        <w:t xml:space="preserve">El desarrollo del procedimiento establecido en el artículo 86 de la Ley 1474 de 2011 supone la aplicación previa y concomitante de un marco normativo regido por el derecho fundamental al debido proceso previsto en el artículo 29 de la Constitución Política. Este derecho fundamental rige en todas las actuaciones judiciales y administrativas, inclusive en el procedimiento administrativo general, tal y como lo dispone el numeral 1 del artículo 3  de la Ley 1437 de 2011, que, con similar propósito, prescribe: “En virtud del principio del debido proceso, las actuaciones administrativas se adelantarán de conformidad con las normas de procedimiento y competencia establecidas en la Constitución y la ley, con plena garantía de los derechos de representación, defensa y contradicción […]”. </w:t>
      </w:r>
    </w:p>
    <w:p w:rsidRPr="00392858" w:rsidR="003344FA" w:rsidP="003344FA" w:rsidRDefault="003344FA" w14:paraId="7D3C1911" w14:textId="77777777">
      <w:pPr>
        <w:spacing w:after="120" w:line="276" w:lineRule="auto"/>
        <w:ind w:firstLine="708"/>
        <w:jc w:val="both"/>
        <w:rPr>
          <w:rFonts w:ascii="Century Gothic" w:hAnsi="Century Gothic" w:eastAsia="Arial" w:cs="Arial"/>
        </w:rPr>
      </w:pPr>
      <w:r w:rsidRPr="00392858">
        <w:rPr>
          <w:rFonts w:ascii="Century Gothic" w:hAnsi="Century Gothic" w:eastAsia="Arial" w:cs="Arial"/>
        </w:rPr>
        <w:t xml:space="preserve">En este sentido, debe considerarse que las actuaciones contractuales de las entidades estatales sometidas al EGCAP se complementan con la regulación general de las actuaciones administrativas, pues ese es el sentido del artículo 77 de la Ley 80 de 1993 que establece que en cuanto sean compatibles con la finalidad y los principios de esa ley, las normas que rigen los procedimientos y actuaciones en la función administrativa serán aplicables en las actuaciones contractuales. A falta de estas, regirán las disposiciones del Código de Procedimiento Civil. Asimismo, establece que “los actos administrativos que se produzcan con motivo u ocasión de la actividad contractual sólo serán susceptibles de recurso de reposición y del ejercicio de la acción contractual, de acuerdo con las reglas del Código Contencioso Administrativo”, siendo posible acudir a la aplicación normativa complementaria y concordante del CPACA, sin perjuicio de la primacía de la norma especial. </w:t>
      </w:r>
    </w:p>
    <w:p w:rsidRPr="00392858" w:rsidR="003344FA" w:rsidP="003344FA" w:rsidRDefault="003344FA" w14:paraId="059AA979" w14:textId="77777777">
      <w:pPr>
        <w:spacing w:before="120" w:after="0" w:line="276" w:lineRule="auto"/>
        <w:ind w:firstLine="709"/>
        <w:jc w:val="both"/>
        <w:rPr>
          <w:rFonts w:ascii="Century Gothic" w:hAnsi="Century Gothic" w:eastAsia="Arial" w:cs="Arial"/>
        </w:rPr>
      </w:pPr>
      <w:r w:rsidRPr="00392858">
        <w:rPr>
          <w:rFonts w:ascii="Century Gothic" w:hAnsi="Century Gothic" w:eastAsia="Arial" w:cs="Arial"/>
        </w:rPr>
        <w:t xml:space="preserve">A su turno, los artículos 47 a 52 de la Ley 1437 de 2011 - CPACA consagran unas normas y garantías mínimas del procedimiento administrativo sancionatorio general, cuya aplicación es de carácter supletorio, tal y como se dispone en el primer artículo mencionado, cuyo texto relevante es el siguiente:  </w:t>
      </w:r>
    </w:p>
    <w:p w:rsidRPr="00392858" w:rsidR="003344FA" w:rsidP="003344FA" w:rsidRDefault="003344FA" w14:paraId="19644A05" w14:textId="77777777">
      <w:pPr>
        <w:spacing w:after="0" w:line="240" w:lineRule="auto"/>
        <w:jc w:val="both"/>
        <w:rPr>
          <w:rFonts w:ascii="Century Gothic" w:hAnsi="Century Gothic" w:eastAsia="Arial" w:cs="Arial"/>
        </w:rPr>
      </w:pPr>
    </w:p>
    <w:p w:rsidRPr="00392858" w:rsidR="003344FA" w:rsidP="003344FA" w:rsidRDefault="003344FA" w14:paraId="37786B19" w14:textId="77777777">
      <w:pPr>
        <w:spacing w:after="0" w:line="240" w:lineRule="auto"/>
        <w:ind w:left="709" w:right="709"/>
        <w:jc w:val="both"/>
        <w:rPr>
          <w:rFonts w:ascii="Century Gothic" w:hAnsi="Century Gothic" w:eastAsia="Arial" w:cs="Arial"/>
          <w:sz w:val="21"/>
        </w:rPr>
      </w:pPr>
      <w:r w:rsidRPr="00392858">
        <w:rPr>
          <w:rFonts w:ascii="Century Gothic" w:hAnsi="Century Gothic" w:eastAsia="Arial" w:cs="Arial"/>
          <w:sz w:val="21"/>
        </w:rPr>
        <w:t xml:space="preserve">“Artículo 47. Procedimiento administrativo sancionatorio. Los procedimientos administrativos de carácter sancionatorio no regulados por leyes especiales o por el Código Disciplinario Único se sujetarán a las disposiciones de esta Parte Primera del Código. Los preceptos de este Código se aplicarán también en lo no previsto por dichas leyes. </w:t>
      </w:r>
    </w:p>
    <w:p w:rsidRPr="00392858" w:rsidR="003344FA" w:rsidP="003344FA" w:rsidRDefault="003344FA" w14:paraId="21B16A49" w14:textId="77777777">
      <w:pPr>
        <w:spacing w:after="0" w:line="240" w:lineRule="auto"/>
        <w:ind w:left="709" w:right="709"/>
        <w:jc w:val="both"/>
        <w:rPr>
          <w:rFonts w:ascii="Century Gothic" w:hAnsi="Century Gothic" w:eastAsia="Arial" w:cs="Arial"/>
          <w:sz w:val="21"/>
        </w:rPr>
      </w:pPr>
      <w:r w:rsidRPr="00392858">
        <w:rPr>
          <w:rFonts w:ascii="Century Gothic" w:hAnsi="Century Gothic" w:eastAsia="Arial" w:cs="Arial"/>
          <w:sz w:val="21"/>
        </w:rPr>
        <w:t>[…]</w:t>
      </w:r>
    </w:p>
    <w:p w:rsidRPr="00392858" w:rsidR="003344FA" w:rsidP="003344FA" w:rsidRDefault="003344FA" w14:paraId="2E4741F2" w14:textId="77777777">
      <w:pPr>
        <w:spacing w:after="0" w:line="240" w:lineRule="auto"/>
        <w:ind w:left="709" w:right="709"/>
        <w:jc w:val="both"/>
        <w:rPr>
          <w:rFonts w:ascii="Century Gothic" w:hAnsi="Century Gothic" w:eastAsia="Arial" w:cs="Arial"/>
          <w:sz w:val="21"/>
        </w:rPr>
      </w:pPr>
      <w:r w:rsidRPr="00392858">
        <w:rPr>
          <w:rFonts w:ascii="Century Gothic" w:hAnsi="Century Gothic" w:eastAsia="Arial" w:cs="Arial"/>
          <w:sz w:val="21"/>
        </w:rPr>
        <w:t>PARÁGRAFO 1. Las actuaciones administrativas contractuales sancionatorias, incluyendo los recursos, se regirán por lo dispuesto en las normas especiales sobre la materia.</w:t>
      </w:r>
    </w:p>
    <w:p w:rsidRPr="00392858" w:rsidR="003344FA" w:rsidP="003344FA" w:rsidRDefault="003344FA" w14:paraId="7EB9A911" w14:textId="77777777">
      <w:pPr>
        <w:spacing w:after="0" w:line="240" w:lineRule="auto"/>
        <w:ind w:left="709" w:right="709"/>
        <w:jc w:val="both"/>
        <w:rPr>
          <w:rFonts w:ascii="Century Gothic" w:hAnsi="Century Gothic" w:eastAsia="Arial" w:cs="Arial"/>
          <w:sz w:val="21"/>
        </w:rPr>
      </w:pPr>
    </w:p>
    <w:p w:rsidRPr="00392858" w:rsidR="003344FA" w:rsidP="003344FA" w:rsidRDefault="003344FA" w14:paraId="3397EE4F" w14:textId="77777777">
      <w:pPr>
        <w:spacing w:after="0" w:line="240" w:lineRule="auto"/>
        <w:ind w:left="709" w:right="709"/>
        <w:jc w:val="both"/>
        <w:rPr>
          <w:rFonts w:ascii="Century Gothic" w:hAnsi="Century Gothic" w:eastAsia="Arial" w:cs="Arial"/>
        </w:rPr>
      </w:pPr>
      <w:r w:rsidRPr="00392858">
        <w:rPr>
          <w:rFonts w:ascii="Century Gothic" w:hAnsi="Century Gothic" w:eastAsia="Arial" w:cs="Arial"/>
          <w:sz w:val="21"/>
        </w:rPr>
        <w:t>PARÁGRAFO 2. En los procedimientos administrativos sancionatorios fiscales el término para presentar descargos y solicitar o aportar pruebas será de cinco (5) días”</w:t>
      </w:r>
      <w:r w:rsidRPr="00392858">
        <w:rPr>
          <w:rFonts w:ascii="Century Gothic" w:hAnsi="Century Gothic" w:eastAsia="Arial" w:cs="Arial"/>
        </w:rPr>
        <w:t>.</w:t>
      </w:r>
    </w:p>
    <w:p w:rsidRPr="00392858" w:rsidR="003344FA" w:rsidP="003344FA" w:rsidRDefault="003344FA" w14:paraId="669E0D5C" w14:textId="77777777">
      <w:pPr>
        <w:spacing w:after="0" w:line="240" w:lineRule="auto"/>
        <w:ind w:left="709" w:right="709"/>
        <w:jc w:val="both"/>
        <w:rPr>
          <w:rFonts w:ascii="Century Gothic" w:hAnsi="Century Gothic" w:eastAsia="Arial" w:cs="Arial"/>
        </w:rPr>
      </w:pPr>
    </w:p>
    <w:p w:rsidRPr="00392858" w:rsidR="003344FA" w:rsidP="003344FA" w:rsidRDefault="003344FA" w14:paraId="58737942" w14:textId="77777777">
      <w:pPr>
        <w:spacing w:after="120" w:line="276" w:lineRule="auto"/>
        <w:ind w:firstLine="709"/>
        <w:jc w:val="both"/>
        <w:rPr>
          <w:rFonts w:ascii="Century Gothic" w:hAnsi="Century Gothic" w:eastAsia="Arial" w:cs="Arial"/>
          <w:color w:val="000000"/>
        </w:rPr>
      </w:pPr>
      <w:r w:rsidRPr="00392858">
        <w:rPr>
          <w:rFonts w:ascii="Century Gothic" w:hAnsi="Century Gothic" w:eastAsia="Arial" w:cs="Arial"/>
          <w:color w:val="000000"/>
        </w:rPr>
        <w:t>Como puede verse, la norma somete la aplicación del procedimiento administrativo sancionatorio general del CPACA para asuntos que no estén regulados por normas especiales que rijan la materia, en armonía con el artículo 34 del mismo cuerpo normativo que dispone que las actuaciones administrativas se sujetarán al procedimiento administrativo común y principal que establece el CPACA, sin perjuicio de los procedimientos administrativos regulados por leyes especiales, consagrando la primacía de la aplicabilidad de las normas especiales en materia administrativa sancionatoria.</w:t>
      </w:r>
    </w:p>
    <w:p w:rsidRPr="00392858" w:rsidR="003344FA" w:rsidP="003344FA" w:rsidRDefault="003344FA" w14:paraId="60FFB5F6" w14:textId="77777777">
      <w:pPr>
        <w:spacing w:after="120" w:line="276" w:lineRule="auto"/>
        <w:ind w:firstLine="709"/>
        <w:jc w:val="both"/>
        <w:rPr>
          <w:rFonts w:ascii="Century Gothic" w:hAnsi="Century Gothic" w:eastAsia="Arial" w:cs="Arial"/>
          <w:color w:val="000000"/>
        </w:rPr>
      </w:pPr>
      <w:r w:rsidRPr="00392858">
        <w:rPr>
          <w:rFonts w:ascii="Century Gothic" w:hAnsi="Century Gothic" w:eastAsia="Arial" w:cs="Arial"/>
          <w:color w:val="000000"/>
        </w:rPr>
        <w:t xml:space="preserve">Respecto a los procedimientos administrativos sancionatorios contractuales, el parágrafo 1 del artículo 47 del CPACA expresamente dispone que estos se rigen por las normas especiales en la materia, incluido los recursos. Por tal razón, en principio la norma aplicable para ejercer las potestades sancionatorias contractuales es el artículo 86 de la Ley 1474 de 2011 que comporta un procedimiento especial, célere, eficaz y sumario, llevado a cabo en audiencia pública y que brinda las garantías mínimas al contratista para ejercer su derecho de defensa y contradicción, justificadas en el debido proceso, en los términos del artículo 17 de la Ley 1150 de 2007. </w:t>
      </w:r>
    </w:p>
    <w:p w:rsidRPr="00392858" w:rsidR="003344FA" w:rsidP="003344FA" w:rsidRDefault="003344FA" w14:paraId="4CF4882A" w14:textId="77777777">
      <w:pPr>
        <w:spacing w:after="120" w:line="276" w:lineRule="auto"/>
        <w:ind w:firstLine="709"/>
        <w:jc w:val="both"/>
        <w:rPr>
          <w:rFonts w:ascii="Century Gothic" w:hAnsi="Century Gothic" w:eastAsia="Arial" w:cs="Arial"/>
          <w:color w:val="000000"/>
        </w:rPr>
      </w:pPr>
      <w:r w:rsidRPr="00392858">
        <w:rPr>
          <w:rFonts w:ascii="Century Gothic" w:hAnsi="Century Gothic" w:eastAsia="Arial" w:cs="Arial"/>
          <w:color w:val="000000"/>
        </w:rPr>
        <w:t>Sin perjuicio de lo anterior, puede considerarse que, dado el carácter supletivo del procedimiento administrativo sancionatorio del CPACA, las reglas de este procedimiento pueden complementar los aspectos no previstos en las normas especiales que rigen el procedimiento administrativo sancionatorio contractual. La anterior conclusión se sustenta en lo siguiente: i) el primer inciso del artículo 77 de la Ley 80 de 1993 establece una remisión a las normas del CPACA que rigen los procedimientos administrativos, en lo que sea compatible con el Estatuto General de Contratación de la Administración Pública y ii) los artículos 2 y 47 (inciso 1) del CPACA, consagran el principio de subsidiariedad, en virtud del cual las normas de la primera parte del código se deben aplicar en aquellos casos en los cuales haya vacío en las normas especiales.</w:t>
      </w:r>
    </w:p>
    <w:p w:rsidRPr="00392858" w:rsidR="003344FA" w:rsidP="003344FA" w:rsidRDefault="003344FA" w14:paraId="5C189F61" w14:textId="77777777">
      <w:pPr>
        <w:spacing w:after="120" w:line="276" w:lineRule="auto"/>
        <w:ind w:firstLine="709"/>
        <w:jc w:val="both"/>
        <w:rPr>
          <w:rFonts w:ascii="Century Gothic" w:hAnsi="Century Gothic" w:eastAsia="Arial" w:cs="Arial"/>
          <w:color w:val="000000"/>
        </w:rPr>
      </w:pPr>
      <w:r w:rsidRPr="00392858">
        <w:rPr>
          <w:rFonts w:ascii="Century Gothic" w:hAnsi="Century Gothic" w:eastAsia="Arial" w:cs="Arial"/>
          <w:color w:val="000000"/>
        </w:rPr>
        <w:t>Definido lo anterior se observa que el artículo 52 del CPACA es la norma que consagra la caducidad de la facultad que tienen las autoridades administrativas para imponer sanciones, que opera luego de transcurridos tres (3) años de ocurrido el hecho, la conducta u omisión que pudiere ocasionarlas, plazo dentro del cual el acto administrativo sancionatorio debe quedar expedido y notificado. Además, estableció de manera independiente y autónoma el término de un (1) año para resolver los recursos procedentes contra el acto sancionatorio, contado a partir de la interposición de los mismos, so pena de la pérdida de competencia. Finalmente, dispuso que si los recursos no se deciden en el término fijado, se entenderán resueltos a favor del recurrente.</w:t>
      </w:r>
    </w:p>
    <w:p w:rsidRPr="00392858" w:rsidR="003344FA" w:rsidP="003344FA" w:rsidRDefault="003344FA" w14:paraId="37A72A33" w14:textId="77777777">
      <w:pPr>
        <w:spacing w:after="120" w:line="276" w:lineRule="auto"/>
        <w:ind w:firstLine="709"/>
        <w:jc w:val="both"/>
        <w:rPr>
          <w:rFonts w:ascii="Century Gothic" w:hAnsi="Century Gothic" w:eastAsia="Arial" w:cs="Arial"/>
          <w:color w:val="000000"/>
        </w:rPr>
      </w:pPr>
      <w:r w:rsidRPr="00392858">
        <w:rPr>
          <w:rFonts w:ascii="Century Gothic" w:hAnsi="Century Gothic" w:eastAsia="Arial" w:cs="Arial"/>
          <w:color w:val="000000"/>
        </w:rPr>
        <w:t xml:space="preserve">Ahora bien, en vista de que el artículo 86 de la Ley 1474 de 2011 no reguló este asunto de manera especial, resultaría posible aplicar el artículo 52 del CPACA, si las circunstancias de un caso concreto lo ameritan, porque no contradice la norma especial, sino que la complementa.  Lo anterior aun cuando el artículo 86 de la Ley 1474 establece que el recurso de reposición debe resolverse en la misma audiencia; pero no regula la consecuencia de lo que ocurriría si la entidad contratante no lo resuelve en esa oportunidad, situación irregular que entraría a suplirse con lo dispuesto en la norma del procedimiento sancionatorio general.  </w:t>
      </w:r>
    </w:p>
    <w:p w:rsidRPr="00392858" w:rsidR="003344FA" w:rsidP="003344FA" w:rsidRDefault="003344FA" w14:paraId="230AB7D4" w14:textId="77777777">
      <w:pPr>
        <w:spacing w:after="120" w:line="276" w:lineRule="auto"/>
        <w:ind w:firstLine="709"/>
        <w:jc w:val="both"/>
        <w:rPr>
          <w:rFonts w:ascii="Century Gothic" w:hAnsi="Century Gothic" w:eastAsia="Arial" w:cs="Arial"/>
          <w:color w:val="000000"/>
        </w:rPr>
      </w:pPr>
      <w:r w:rsidRPr="00392858">
        <w:rPr>
          <w:rFonts w:ascii="Century Gothic" w:hAnsi="Century Gothic" w:eastAsia="Arial" w:cs="Arial"/>
          <w:color w:val="000000"/>
        </w:rPr>
        <w:t xml:space="preserve">La anterior interpretación guarda armonía con lo establecido en el artículo 17 de la Ley 1150 de 2007, frente al respeto por el debido proceso en las actuaciones administrativas sancionatorias. En efecto, por virtud de este derecho fundamental y de los principios de eficacia, eficiencia y legalidad de las actuaciones administrativas, aplicables a la contratación estatal, conforme al artículo 23 de la Ley 80 de 1993, no podrían aceptarse dilaciones injustificadas e inobservancia de las formas propias del procedimiento sancionatorio contractual, reglas que no permiten dejar sin definición la situación jurídica del contratista que ha sido vinculado a un procedimiento para ser sujeto pasivo de la potestad sancionatoria del Estado.  </w:t>
      </w:r>
    </w:p>
    <w:p w:rsidRPr="00392858" w:rsidR="003344FA" w:rsidP="003344FA" w:rsidRDefault="003344FA" w14:paraId="6D3AF690" w14:textId="5B6726A5">
      <w:pPr>
        <w:spacing w:before="120" w:after="0" w:line="276" w:lineRule="auto"/>
        <w:ind w:firstLine="709"/>
        <w:jc w:val="both"/>
        <w:rPr>
          <w:rFonts w:ascii="Century Gothic" w:hAnsi="Century Gothic" w:eastAsia="Arial" w:cs="Arial"/>
          <w:color w:val="000000"/>
        </w:rPr>
      </w:pPr>
      <w:r w:rsidRPr="00392858">
        <w:rPr>
          <w:rFonts w:ascii="Century Gothic" w:hAnsi="Century Gothic" w:eastAsia="Arial" w:cs="Arial"/>
          <w:color w:val="000000"/>
        </w:rPr>
        <w:t>De cualquier modo, es necesario tener en cuenta que la garantías que amparan el cumplimiento en los contratos estatales están regidas por los términos de prescripción establecidos para el contrato de seguro en el artículo 1081 del Código de Comercio</w:t>
      </w:r>
      <w:r w:rsidRPr="00392858">
        <w:rPr>
          <w:rStyle w:val="Refdenotaalpie"/>
          <w:rFonts w:ascii="Century Gothic" w:hAnsi="Century Gothic" w:eastAsia="Arial" w:cs="Arial"/>
          <w:color w:val="000000"/>
        </w:rPr>
        <w:footnoteReference w:id="10"/>
      </w:r>
      <w:r w:rsidRPr="00392858">
        <w:rPr>
          <w:rFonts w:ascii="Century Gothic" w:hAnsi="Century Gothic" w:eastAsia="Arial" w:cs="Arial"/>
          <w:color w:val="000000"/>
        </w:rPr>
        <w:t>. En ese sentido, independientemente del término de caducidad de la facultad sancionatoria, también es necesario que la Entidad Estatal tenga en cuenta lo anterior, en aras de evitar que se declaren incumplimientos cuando se haya consolidado la prescripción de las acciones que derivan del contrato de seguro que ampara a la Entidad Estatal ante el incumplimiento del contratista</w:t>
      </w:r>
      <w:r w:rsidR="003B17D8">
        <w:rPr>
          <w:rFonts w:ascii="Century Gothic" w:hAnsi="Century Gothic" w:eastAsia="Arial" w:cs="Arial"/>
          <w:color w:val="000000"/>
        </w:rPr>
        <w:t xml:space="preserve"> y no sea posible siniestrar las garantías que respaldan el contrato estatal</w:t>
      </w:r>
      <w:r w:rsidRPr="00392858">
        <w:rPr>
          <w:rFonts w:ascii="Century Gothic" w:hAnsi="Century Gothic" w:eastAsia="Arial" w:cs="Arial"/>
          <w:color w:val="000000"/>
        </w:rPr>
        <w:t xml:space="preserve">. </w:t>
      </w:r>
    </w:p>
    <w:p w:rsidRPr="00392858" w:rsidR="003344FA" w:rsidP="003344FA" w:rsidRDefault="003344FA" w14:paraId="0A11D526" w14:textId="77777777">
      <w:pPr>
        <w:spacing w:after="0" w:line="276" w:lineRule="auto"/>
        <w:ind w:firstLine="709"/>
        <w:contextualSpacing/>
        <w:jc w:val="both"/>
        <w:rPr>
          <w:rFonts w:ascii="Century Gothic" w:hAnsi="Century Gothic" w:eastAsia="Calibri" w:cs="Arial"/>
          <w:szCs w:val="24"/>
          <w:lang w:val="es-ES_tradnl" w:eastAsia="es-ES_tradnl"/>
          <w14:ligatures w14:val="standardContextual"/>
        </w:rPr>
      </w:pPr>
    </w:p>
    <w:p w:rsidRPr="00392858" w:rsidR="003344FA" w:rsidP="003344FA" w:rsidRDefault="003344FA" w14:paraId="692AB665" w14:textId="77777777">
      <w:pPr>
        <w:tabs>
          <w:tab w:val="left" w:pos="0"/>
        </w:tabs>
        <w:spacing w:after="0" w:line="276" w:lineRule="auto"/>
        <w:contextualSpacing/>
        <w:jc w:val="both"/>
        <w:rPr>
          <w:rFonts w:ascii="Century Gothic" w:hAnsi="Century Gothic" w:eastAsia="Calibri" w:cs="Arial"/>
          <w:b/>
          <w:szCs w:val="24"/>
          <w:lang w:val="es-ES_tradnl" w:eastAsia="es-ES_tradnl"/>
          <w14:ligatures w14:val="standardContextual"/>
        </w:rPr>
      </w:pPr>
      <w:r w:rsidRPr="00392858">
        <w:rPr>
          <w:rFonts w:ascii="Century Gothic" w:hAnsi="Century Gothic" w:eastAsia="Calibri" w:cs="Arial"/>
          <w:b/>
          <w:szCs w:val="24"/>
          <w:lang w:val="es-ES_tradnl" w:eastAsia="es-ES_tradnl"/>
          <w14:ligatures w14:val="standardContextual"/>
        </w:rPr>
        <w:t>3. Respuesta</w:t>
      </w:r>
    </w:p>
    <w:p w:rsidRPr="00392858" w:rsidR="003344FA" w:rsidP="003344FA" w:rsidRDefault="003344FA" w14:paraId="26A4253F" w14:textId="77777777">
      <w:pPr>
        <w:autoSpaceDE w:val="0"/>
        <w:autoSpaceDN w:val="0"/>
        <w:adjustRightInd w:val="0"/>
        <w:spacing w:after="0" w:line="276" w:lineRule="auto"/>
        <w:ind w:left="709" w:right="709"/>
        <w:contextualSpacing/>
        <w:jc w:val="both"/>
        <w:rPr>
          <w:rFonts w:ascii="Century Gothic" w:hAnsi="Century Gothic" w:cs="Arial"/>
          <w:sz w:val="21"/>
          <w:szCs w:val="21"/>
          <w:lang w:val="es-ES"/>
          <w14:ligatures w14:val="standardContextual"/>
        </w:rPr>
      </w:pPr>
    </w:p>
    <w:p w:rsidR="003B17D8" w:rsidP="003B17D8" w:rsidRDefault="003B17D8" w14:paraId="185265A2" w14:textId="77777777">
      <w:pPr>
        <w:spacing w:after="0" w:line="240" w:lineRule="auto"/>
        <w:ind w:left="709" w:right="709" w:hanging="1"/>
        <w:contextualSpacing/>
        <w:jc w:val="both"/>
        <w:rPr>
          <w:rFonts w:ascii="Century Gothic" w:hAnsi="Century Gothic" w:eastAsia="Calibri" w:cs="Arial"/>
          <w:sz w:val="20"/>
          <w:szCs w:val="20"/>
          <w14:ligatures w14:val="standardContextual"/>
        </w:rPr>
      </w:pPr>
      <w:r w:rsidRPr="00392858">
        <w:rPr>
          <w:rFonts w:ascii="Century Gothic" w:hAnsi="Century Gothic" w:eastAsia="Calibri" w:cs="Arial"/>
          <w:sz w:val="20"/>
          <w:szCs w:val="20"/>
          <w14:ligatures w14:val="standardContextual"/>
        </w:rPr>
        <w:t>“1. ¿Cuál es el tramite o procedimiento dispuesto para declarar el siniestro de una póliza respecto a la imposición de la clausula penal en un contrato estatal, cuando el contrato ya termino su plazo de ejecución y cual seria el procedimiento para cuantificar los perjuicios?</w:t>
      </w:r>
    </w:p>
    <w:p w:rsidR="0082536D" w:rsidP="0082536D" w:rsidRDefault="0082536D" w14:paraId="5405C203" w14:textId="77777777">
      <w:pPr>
        <w:spacing w:after="0" w:line="276" w:lineRule="auto"/>
        <w:ind w:left="709" w:right="709"/>
        <w:contextualSpacing/>
        <w:jc w:val="both"/>
        <w:rPr>
          <w:rFonts w:ascii="Century Gothic" w:hAnsi="Century Gothic" w:eastAsia="Calibri" w:cs="Arial"/>
          <w:sz w:val="20"/>
          <w:szCs w:val="20"/>
          <w14:ligatures w14:val="standardContextual"/>
        </w:rPr>
      </w:pPr>
      <w:r w:rsidRPr="00392858">
        <w:rPr>
          <w:rFonts w:ascii="Century Gothic" w:hAnsi="Century Gothic" w:eastAsia="Calibri" w:cs="Arial"/>
          <w:sz w:val="20"/>
          <w:szCs w:val="20"/>
          <w14:ligatures w14:val="standardContextual"/>
        </w:rPr>
        <w:t>2)¿ Luego de terminado el plazo de ejecución de un contrato estatal se puede realizar el procedimiento de incumplimiento en desarrollo del procedimiento administrativo de que trata el Art. 86 de la Ley 1474 de 2011? (Sic).</w:t>
      </w:r>
    </w:p>
    <w:p w:rsidR="0082536D" w:rsidP="003B17D8" w:rsidRDefault="0082536D" w14:paraId="7DEBA429" w14:textId="77777777">
      <w:pPr>
        <w:spacing w:after="0" w:line="240" w:lineRule="auto"/>
        <w:ind w:left="709" w:right="709" w:hanging="1"/>
        <w:contextualSpacing/>
        <w:jc w:val="both"/>
        <w:rPr>
          <w:rFonts w:ascii="Century Gothic" w:hAnsi="Century Gothic" w:eastAsia="Calibri" w:cs="Arial"/>
          <w:sz w:val="20"/>
          <w:szCs w:val="20"/>
          <w14:ligatures w14:val="standardContextual"/>
        </w:rPr>
      </w:pPr>
    </w:p>
    <w:p w:rsidR="006A7762" w:rsidP="006A7762" w:rsidRDefault="00C155FF" w14:paraId="115FC0BF" w14:textId="77777777">
      <w:pPr>
        <w:spacing w:after="120" w:line="276" w:lineRule="auto"/>
        <w:jc w:val="both"/>
        <w:rPr>
          <w:rFonts w:ascii="Century Gothic" w:hAnsi="Century Gothic" w:eastAsia="Times New Roman" w:cs="Arial"/>
          <w:iCs/>
          <w:lang w:val="es-ES_tradnl" w:eastAsia="es-ES_tradnl"/>
          <w14:ligatures w14:val="standardContextual"/>
        </w:rPr>
      </w:pPr>
      <w:r w:rsidRPr="00392858">
        <w:rPr>
          <w:rFonts w:ascii="Century Gothic" w:hAnsi="Century Gothic" w:eastAsia="Times New Roman" w:cs="Arial"/>
          <w:iCs/>
          <w:lang w:val="es-ES_tradnl" w:eastAsia="es-ES_tradnl"/>
          <w14:ligatures w14:val="standardContextual"/>
        </w:rPr>
        <w:t xml:space="preserve">El artículo 86 de la Ley 1474 de 2011 establece </w:t>
      </w:r>
      <w:r w:rsidR="00652E6E">
        <w:rPr>
          <w:rFonts w:ascii="Century Gothic" w:hAnsi="Century Gothic" w:eastAsia="Times New Roman" w:cs="Arial"/>
          <w:iCs/>
          <w:lang w:val="es-ES_tradnl" w:eastAsia="es-ES_tradnl"/>
          <w14:ligatures w14:val="standardContextual"/>
        </w:rPr>
        <w:t xml:space="preserve">que </w:t>
      </w:r>
      <w:r w:rsidRPr="00392858">
        <w:rPr>
          <w:rFonts w:ascii="Century Gothic" w:hAnsi="Century Gothic" w:eastAsia="Times New Roman" w:cs="Arial"/>
          <w:iCs/>
          <w:lang w:val="es-ES_tradnl" w:eastAsia="es-ES_tradnl"/>
          <w14:ligatures w14:val="standardContextual"/>
        </w:rPr>
        <w:t>las entidades sometidas al Estatuto General de Contratación de la Administración Pública podrán declarar el incumplimiento</w:t>
      </w:r>
      <w:r w:rsidR="008F5DE0">
        <w:rPr>
          <w:rFonts w:ascii="Century Gothic" w:hAnsi="Century Gothic" w:eastAsia="Times New Roman" w:cs="Arial"/>
          <w:iCs/>
          <w:lang w:val="es-ES_tradnl" w:eastAsia="es-ES_tradnl"/>
          <w14:ligatures w14:val="standardContextual"/>
        </w:rPr>
        <w:t xml:space="preserve"> contractual, </w:t>
      </w:r>
      <w:r w:rsidRPr="00392858">
        <w:rPr>
          <w:rFonts w:ascii="Century Gothic" w:hAnsi="Century Gothic" w:eastAsia="Times New Roman" w:cs="Arial"/>
          <w:iCs/>
          <w:lang w:val="es-ES_tradnl" w:eastAsia="es-ES_tradnl"/>
          <w14:ligatures w14:val="standardContextual"/>
        </w:rPr>
        <w:t>imponer las multas y sanciones pactadas en el contrato, y hacer efectiva la cláusula penal</w:t>
      </w:r>
      <w:r w:rsidR="006A7762">
        <w:rPr>
          <w:rFonts w:ascii="Century Gothic" w:hAnsi="Century Gothic" w:eastAsia="Times New Roman" w:cs="Arial"/>
          <w:iCs/>
          <w:lang w:val="es-ES_tradnl" w:eastAsia="es-ES_tradnl"/>
          <w14:ligatures w14:val="standardContextual"/>
        </w:rPr>
        <w:t xml:space="preserve">, a través del procedimiento descrito en dicha norma. </w:t>
      </w:r>
      <w:r w:rsidRPr="00392858">
        <w:rPr>
          <w:rFonts w:ascii="Century Gothic" w:hAnsi="Century Gothic" w:eastAsia="Times New Roman" w:cs="Arial"/>
          <w:iCs/>
          <w:lang w:val="es-ES_tradnl" w:eastAsia="es-ES_tradnl"/>
          <w14:ligatures w14:val="standardContextual"/>
        </w:rPr>
        <w:t xml:space="preserve">Cabe destacar que </w:t>
      </w:r>
      <w:r w:rsidR="006A7762">
        <w:rPr>
          <w:rFonts w:ascii="Century Gothic" w:hAnsi="Century Gothic" w:eastAsia="Times New Roman" w:cs="Arial"/>
          <w:iCs/>
          <w:lang w:val="es-ES_tradnl" w:eastAsia="es-ES_tradnl"/>
          <w14:ligatures w14:val="standardContextual"/>
        </w:rPr>
        <w:t>el artículo en mención</w:t>
      </w:r>
      <w:r w:rsidRPr="00392858">
        <w:rPr>
          <w:rFonts w:ascii="Century Gothic" w:hAnsi="Century Gothic" w:eastAsia="Times New Roman" w:cs="Arial"/>
          <w:iCs/>
          <w:lang w:val="es-ES_tradnl" w:eastAsia="es-ES_tradnl"/>
          <w14:ligatures w14:val="standardContextual"/>
        </w:rPr>
        <w:t xml:space="preserve"> no cualifica o se circunscribe a ciertos tipos de incumplimiento. En consecuencia, la declaratoria de cualquier incumplimiento, sea total o parcial, durante o posterior a la terminación del contrato e independiente de su gravedad, debe realizarse con plena observancia de las reglas procedimentales del artículo 86 de la Ley 1474 de 2011. </w:t>
      </w:r>
    </w:p>
    <w:p w:rsidR="00C7749E" w:rsidP="00D55BE2" w:rsidRDefault="00C155FF" w14:paraId="3E0E8012" w14:textId="77777777">
      <w:pPr>
        <w:spacing w:after="120" w:line="276" w:lineRule="auto"/>
        <w:ind w:firstLine="708"/>
        <w:jc w:val="both"/>
        <w:rPr>
          <w:rFonts w:ascii="Century Gothic" w:hAnsi="Century Gothic" w:eastAsia="Times New Roman" w:cs="Arial"/>
          <w:iCs/>
          <w:lang w:val="es-ES_tradnl" w:eastAsia="es-ES_tradnl"/>
          <w14:ligatures w14:val="standardContextual"/>
        </w:rPr>
      </w:pPr>
      <w:r w:rsidRPr="00392858">
        <w:rPr>
          <w:rFonts w:ascii="Century Gothic" w:hAnsi="Century Gothic" w:eastAsia="Times New Roman" w:cs="Arial"/>
          <w:iCs/>
          <w:lang w:val="es-ES_tradnl" w:eastAsia="es-ES_tradnl"/>
          <w14:ligatures w14:val="standardContextual"/>
        </w:rPr>
        <w:t>Esto es así como consecuencia del “principio general de interpretación jurídica según el cual donde la norma no distingue, no le corresponde distinguir al intérprete”</w:t>
      </w:r>
      <w:r w:rsidRPr="00392858">
        <w:rPr>
          <w:rFonts w:ascii="Century Gothic" w:hAnsi="Century Gothic" w:eastAsia="Times New Roman" w:cs="Arial"/>
          <w:vertAlign w:val="superscript"/>
          <w:lang w:eastAsia="es-ES_tradnl"/>
          <w14:ligatures w14:val="standardContextual"/>
        </w:rPr>
        <w:footnoteReference w:id="11"/>
      </w:r>
      <w:r w:rsidRPr="00392858">
        <w:rPr>
          <w:rFonts w:ascii="Century Gothic" w:hAnsi="Century Gothic" w:eastAsia="Times New Roman" w:cs="Arial"/>
          <w:iCs/>
          <w:lang w:val="es-ES_tradnl" w:eastAsia="es-ES_tradnl"/>
          <w14:ligatures w14:val="standardContextual"/>
        </w:rPr>
        <w:t xml:space="preserve">. A la misma conclusión se llega si se tiene en consideración la necesidad de respetar el debido proceso en “todas las actuaciones administrativas” como lo ordena el artículo 29 superior. </w:t>
      </w:r>
    </w:p>
    <w:p w:rsidRPr="00392858" w:rsidR="00C155FF" w:rsidP="00D55BE2" w:rsidRDefault="006A7762" w14:paraId="568DE571" w14:textId="74E51747">
      <w:pPr>
        <w:spacing w:after="120" w:line="276" w:lineRule="auto"/>
        <w:ind w:firstLine="708"/>
        <w:jc w:val="both"/>
        <w:rPr>
          <w:rFonts w:ascii="Century Gothic" w:hAnsi="Century Gothic" w:eastAsia="Times New Roman" w:cs="Arial"/>
          <w:iCs/>
          <w:lang w:val="es-ES_tradnl" w:eastAsia="es-ES_tradnl"/>
          <w14:ligatures w14:val="standardContextual"/>
        </w:rPr>
      </w:pPr>
      <w:r>
        <w:rPr>
          <w:rFonts w:ascii="Century Gothic" w:hAnsi="Century Gothic" w:eastAsia="Times New Roman" w:cs="Arial"/>
          <w:iCs/>
          <w:lang w:val="es-ES_tradnl" w:eastAsia="es-ES_tradnl"/>
          <w14:ligatures w14:val="standardContextual"/>
        </w:rPr>
        <w:t xml:space="preserve">Por lo tanto, </w:t>
      </w:r>
      <w:r w:rsidR="00B73483">
        <w:rPr>
          <w:rFonts w:ascii="Century Gothic" w:hAnsi="Century Gothic" w:eastAsia="Times New Roman" w:cs="Arial"/>
          <w:iCs/>
          <w:lang w:val="es-ES_tradnl" w:eastAsia="es-ES_tradnl"/>
          <w14:ligatures w14:val="standardContextual"/>
        </w:rPr>
        <w:t xml:space="preserve">el procedimiento </w:t>
      </w:r>
      <w:r w:rsidR="000668F4">
        <w:rPr>
          <w:rFonts w:ascii="Century Gothic" w:hAnsi="Century Gothic" w:eastAsia="Times New Roman" w:cs="Arial"/>
          <w:iCs/>
          <w:lang w:val="es-ES_tradnl" w:eastAsia="es-ES_tradnl"/>
          <w14:ligatures w14:val="standardContextual"/>
        </w:rPr>
        <w:t>previsto para</w:t>
      </w:r>
      <w:r w:rsidRPr="006A7762">
        <w:rPr>
          <w:rFonts w:ascii="Century Gothic" w:hAnsi="Century Gothic" w:eastAsia="Times New Roman" w:cs="Arial"/>
          <w:iCs/>
          <w:lang w:val="es-ES_tradnl" w:eastAsia="es-ES_tradnl"/>
          <w14:ligatures w14:val="standardContextual"/>
        </w:rPr>
        <w:t xml:space="preserve"> </w:t>
      </w:r>
      <w:r w:rsidRPr="00392858" w:rsidR="000668F4">
        <w:rPr>
          <w:rFonts w:ascii="Century Gothic" w:hAnsi="Century Gothic" w:eastAsia="Times New Roman" w:cs="Arial"/>
          <w:iCs/>
          <w:lang w:val="es-ES_tradnl" w:eastAsia="es-ES_tradnl"/>
          <w14:ligatures w14:val="standardContextual"/>
        </w:rPr>
        <w:t>declarar el incumplimiento</w:t>
      </w:r>
      <w:r w:rsidR="000668F4">
        <w:rPr>
          <w:rFonts w:ascii="Century Gothic" w:hAnsi="Century Gothic" w:eastAsia="Times New Roman" w:cs="Arial"/>
          <w:iCs/>
          <w:lang w:val="es-ES_tradnl" w:eastAsia="es-ES_tradnl"/>
          <w14:ligatures w14:val="standardContextual"/>
        </w:rPr>
        <w:t xml:space="preserve"> contractual</w:t>
      </w:r>
      <w:r w:rsidR="00D55BE2">
        <w:rPr>
          <w:rFonts w:ascii="Century Gothic" w:hAnsi="Century Gothic" w:eastAsia="Times New Roman" w:cs="Arial"/>
          <w:iCs/>
          <w:lang w:val="es-ES_tradnl" w:eastAsia="es-ES_tradnl"/>
          <w14:ligatures w14:val="standardContextual"/>
        </w:rPr>
        <w:t xml:space="preserve"> </w:t>
      </w:r>
      <w:r w:rsidRPr="00392858" w:rsidR="000668F4">
        <w:rPr>
          <w:rFonts w:ascii="Century Gothic" w:hAnsi="Century Gothic" w:eastAsia="Times New Roman" w:cs="Arial"/>
          <w:iCs/>
          <w:lang w:val="es-ES_tradnl" w:eastAsia="es-ES_tradnl"/>
          <w14:ligatures w14:val="standardContextual"/>
        </w:rPr>
        <w:t>y hacer efectiva la cláusula penal</w:t>
      </w:r>
      <w:r w:rsidR="00D55BE2">
        <w:rPr>
          <w:rFonts w:ascii="Century Gothic" w:hAnsi="Century Gothic" w:eastAsia="Times New Roman" w:cs="Arial"/>
          <w:iCs/>
          <w:lang w:val="es-ES_tradnl" w:eastAsia="es-ES_tradnl"/>
          <w14:ligatures w14:val="standardContextual"/>
        </w:rPr>
        <w:t xml:space="preserve"> de un contrato que se encuentra terminado, </w:t>
      </w:r>
      <w:r w:rsidR="002F4BF7">
        <w:rPr>
          <w:rFonts w:ascii="Century Gothic" w:hAnsi="Century Gothic" w:eastAsia="Times New Roman" w:cs="Arial"/>
          <w:iCs/>
          <w:lang w:val="es-ES_tradnl" w:eastAsia="es-ES_tradnl"/>
          <w14:ligatures w14:val="standardContextual"/>
        </w:rPr>
        <w:t>se</w:t>
      </w:r>
      <w:r w:rsidR="00EE4E23">
        <w:rPr>
          <w:rFonts w:ascii="Century Gothic" w:hAnsi="Century Gothic" w:eastAsia="Times New Roman" w:cs="Arial"/>
          <w:iCs/>
          <w:lang w:val="es-ES_tradnl" w:eastAsia="es-ES_tradnl"/>
          <w14:ligatures w14:val="standardContextual"/>
        </w:rPr>
        <w:t>rá a través de lo regulado en el artículo 86 de la Ley 1474 de 201</w:t>
      </w:r>
      <w:r w:rsidR="00C7749E">
        <w:rPr>
          <w:rFonts w:ascii="Century Gothic" w:hAnsi="Century Gothic" w:eastAsia="Times New Roman" w:cs="Arial"/>
          <w:iCs/>
          <w:lang w:val="es-ES_tradnl" w:eastAsia="es-ES_tradnl"/>
          <w14:ligatures w14:val="standardContextual"/>
        </w:rPr>
        <w:t>1,</w:t>
      </w:r>
      <w:r w:rsidRPr="00C7749E" w:rsidR="00C7749E">
        <w:rPr>
          <w:rFonts w:ascii="Century Gothic" w:hAnsi="Century Gothic" w:eastAsia="Arial" w:cs="Arial"/>
          <w:color w:val="000000"/>
          <w:shd w:val="clear" w:color="auto" w:fill="FFFFFF"/>
        </w:rPr>
        <w:t xml:space="preserve"> </w:t>
      </w:r>
      <w:r w:rsidRPr="00392858" w:rsidR="00C7749E">
        <w:rPr>
          <w:rFonts w:ascii="Century Gothic" w:hAnsi="Century Gothic" w:eastAsia="Arial" w:cs="Arial"/>
          <w:color w:val="000000"/>
          <w:shd w:val="clear" w:color="auto" w:fill="FFFFFF"/>
        </w:rPr>
        <w:t xml:space="preserve">que garantiza los parámetros mínimos del debido proceso, en los términos del artículo 17 de la Ley 1150 de 2007. Sin perjuicio de esto, comoquiera que no existe norma especial que regule la caducidad de la facultad sancionatoria contractual de las entidades sometidas al EGCAP, </w:t>
      </w:r>
      <w:r w:rsidR="00A63B56">
        <w:rPr>
          <w:rFonts w:ascii="Century Gothic" w:hAnsi="Century Gothic" w:eastAsia="Arial" w:cs="Arial"/>
          <w:color w:val="000000"/>
          <w:shd w:val="clear" w:color="auto" w:fill="FFFFFF"/>
        </w:rPr>
        <w:t>esta Agencia considera pertinente</w:t>
      </w:r>
      <w:r w:rsidRPr="00392858" w:rsidR="00C7749E">
        <w:rPr>
          <w:rFonts w:ascii="Century Gothic" w:hAnsi="Century Gothic" w:eastAsia="Arial" w:cs="Arial"/>
          <w:color w:val="000000"/>
          <w:shd w:val="clear" w:color="auto" w:fill="FFFFFF"/>
        </w:rPr>
        <w:t xml:space="preserve"> aplicar lo dispuesto en el artículo 52 del CPACA, como norma supletiva, si las circunstancias particulares de un caso concreto lo ameritan. De cualquier modo, la Entidad Estatal debe verificar que facultad sancionatoria en el caso correspondiente, se ejerza dentro del </w:t>
      </w:r>
      <w:r w:rsidRPr="00392858" w:rsidR="00A63B56">
        <w:rPr>
          <w:rFonts w:ascii="Century Gothic" w:hAnsi="Century Gothic" w:eastAsia="Arial" w:cs="Arial"/>
          <w:color w:val="000000"/>
          <w:shd w:val="clear" w:color="auto" w:fill="FFFFFF"/>
        </w:rPr>
        <w:t>término</w:t>
      </w:r>
      <w:r w:rsidRPr="00392858" w:rsidR="00C7749E">
        <w:rPr>
          <w:rFonts w:ascii="Century Gothic" w:hAnsi="Century Gothic" w:eastAsia="Arial" w:cs="Arial"/>
          <w:color w:val="000000"/>
          <w:shd w:val="clear" w:color="auto" w:fill="FFFFFF"/>
        </w:rPr>
        <w:t xml:space="preserve"> de prescripción del contratos de seguro en el marco del cual se expidió la garantía que ampara el correspondiente contrato, de conformidad con lo previsto en el artículo 1081 del Código de Comercio</w:t>
      </w:r>
      <w:r w:rsidR="00823EA9">
        <w:rPr>
          <w:rFonts w:ascii="Century Gothic" w:hAnsi="Century Gothic" w:eastAsia="Arial" w:cs="Arial"/>
          <w:color w:val="000000"/>
          <w:shd w:val="clear" w:color="auto" w:fill="FFFFFF"/>
        </w:rPr>
        <w:t>.</w:t>
      </w:r>
    </w:p>
    <w:p w:rsidRPr="009630A2" w:rsidR="003344FA" w:rsidP="00A67D40" w:rsidRDefault="003B17D8" w14:paraId="28473D16" w14:textId="3FDF415A">
      <w:pPr>
        <w:spacing w:before="240" w:line="276" w:lineRule="auto"/>
        <w:ind w:firstLine="709"/>
        <w:jc w:val="both"/>
        <w:rPr>
          <w:rFonts w:ascii="Century Gothic" w:hAnsi="Century Gothic" w:eastAsia="Calibri" w:cs="Arial"/>
          <w14:ligatures w14:val="standardContextual"/>
        </w:rPr>
      </w:pPr>
      <w:r w:rsidRPr="009630A2">
        <w:rPr>
          <w:rFonts w:ascii="Century Gothic" w:hAnsi="Century Gothic" w:eastAsia="Calibri" w:cs="Arial"/>
          <w14:ligatures w14:val="standardContextual"/>
        </w:rPr>
        <w:t xml:space="preserve"> </w:t>
      </w:r>
      <w:r w:rsidRPr="009630A2" w:rsidR="0012277B">
        <w:rPr>
          <w:rFonts w:ascii="Century Gothic" w:hAnsi="Century Gothic" w:eastAsia="Calibri" w:cs="Arial"/>
          <w14:ligatures w14:val="standardContextual"/>
        </w:rPr>
        <w:t xml:space="preserve">Finalmente, en lo que respecta </w:t>
      </w:r>
      <w:r w:rsidRPr="009630A2" w:rsidR="0012277B">
        <w:rPr>
          <w:rFonts w:ascii="Century Gothic" w:hAnsi="Century Gothic" w:eastAsia="Calibri" w:cs="Arial"/>
          <w:color w:val="000000"/>
          <w:lang w:val="es-ES" w:eastAsia="es-ES"/>
        </w:rPr>
        <w:t xml:space="preserve">a la cuantificación de perjuicios </w:t>
      </w:r>
      <w:r w:rsidRPr="009630A2" w:rsidR="0012277B">
        <w:rPr>
          <w:rFonts w:ascii="Century Gothic" w:hAnsi="Century Gothic" w:eastAsia="Arial" w:cs="Arial"/>
          <w:color w:val="000000" w:themeColor="text1"/>
        </w:rPr>
        <w:t xml:space="preserve">ocasionados por el incumplimiento –inciso primero del artículo 86–, no se puede entender este como requisito obligatorio del contenido de la citación a la audiencia de que trata el artículo en cita, toda vez que, en el inciso respectivo de la Ley, no está contenido textualmente, no obstante, de la lectura de la norma se entiende que estos podrán ser agregados en la citación por parte de la Entidad Estatal, si así lo considera pertinente. Sin embargo, se aclara que para efectos de imponer las multas y sanciones y hacer efectiva la cláusula penal, es necesario dar a conocer dicha cuantificación al contratista en garantía de su derecho de defensa, contradicción, y al debido proceso que consagra el artículo 29 de la Constitución Política de 1991, pues con base en estos se determinará y verificará la proporcionalidad de las sanciones a aplicar. En lo que respecta a </w:t>
      </w:r>
      <w:r w:rsidRPr="009630A2" w:rsidR="00C66D94">
        <w:rPr>
          <w:rFonts w:ascii="Century Gothic" w:hAnsi="Century Gothic" w:eastAsia="Arial" w:cs="Arial"/>
          <w:color w:val="000000" w:themeColor="text1"/>
        </w:rPr>
        <w:t xml:space="preserve">determinar la forma </w:t>
      </w:r>
      <w:r w:rsidRPr="009630A2" w:rsidR="002D662E">
        <w:rPr>
          <w:rFonts w:ascii="Century Gothic" w:hAnsi="Century Gothic" w:eastAsia="Arial" w:cs="Arial"/>
          <w:color w:val="000000" w:themeColor="text1"/>
        </w:rPr>
        <w:t xml:space="preserve">adecuada </w:t>
      </w:r>
      <w:r w:rsidRPr="009630A2" w:rsidR="00C66D94">
        <w:rPr>
          <w:rFonts w:ascii="Century Gothic" w:hAnsi="Century Gothic" w:eastAsia="Arial" w:cs="Arial"/>
          <w:color w:val="000000" w:themeColor="text1"/>
        </w:rPr>
        <w:t xml:space="preserve">en los que </w:t>
      </w:r>
      <w:r w:rsidRPr="009630A2" w:rsidR="0012277B">
        <w:rPr>
          <w:rFonts w:ascii="Century Gothic" w:hAnsi="Century Gothic" w:eastAsia="Arial" w:cs="Arial"/>
          <w:color w:val="000000" w:themeColor="text1"/>
        </w:rPr>
        <w:t>se deb</w:t>
      </w:r>
      <w:r w:rsidRPr="009630A2" w:rsidR="00C66D94">
        <w:rPr>
          <w:rFonts w:ascii="Century Gothic" w:hAnsi="Century Gothic" w:eastAsia="Arial" w:cs="Arial"/>
          <w:color w:val="000000" w:themeColor="text1"/>
        </w:rPr>
        <w:t>e</w:t>
      </w:r>
      <w:r w:rsidRPr="009630A2" w:rsidR="002D662E">
        <w:rPr>
          <w:rFonts w:ascii="Century Gothic" w:hAnsi="Century Gothic" w:eastAsia="Arial" w:cs="Arial"/>
          <w:color w:val="000000" w:themeColor="text1"/>
        </w:rPr>
        <w:t>n tasar los perjuicios</w:t>
      </w:r>
      <w:r w:rsidRPr="009630A2" w:rsidR="00C66D94">
        <w:rPr>
          <w:rFonts w:ascii="Century Gothic" w:hAnsi="Century Gothic" w:eastAsia="Arial" w:cs="Arial"/>
          <w:color w:val="000000" w:themeColor="text1"/>
        </w:rPr>
        <w:t>, esta Agencia no puede determinar una única y sola metodología, pues ello</w:t>
      </w:r>
      <w:r w:rsidRPr="009630A2" w:rsidR="002D662E">
        <w:rPr>
          <w:rFonts w:ascii="Century Gothic" w:hAnsi="Century Gothic" w:eastAsia="Arial" w:cs="Arial"/>
          <w:color w:val="000000" w:themeColor="text1"/>
        </w:rPr>
        <w:t xml:space="preserve"> dependerá del caso en concreto, </w:t>
      </w:r>
      <w:r w:rsidRPr="009630A2" w:rsidR="00C66D94">
        <w:rPr>
          <w:rFonts w:ascii="Century Gothic" w:hAnsi="Century Gothic" w:eastAsia="Arial" w:cs="Arial"/>
          <w:color w:val="000000" w:themeColor="text1"/>
        </w:rPr>
        <w:t>del objeto del contrato,</w:t>
      </w:r>
      <w:r w:rsidRPr="009630A2" w:rsidR="00A67D40">
        <w:rPr>
          <w:rFonts w:ascii="Century Gothic" w:hAnsi="Century Gothic" w:eastAsia="Arial" w:cs="Arial"/>
          <w:color w:val="000000" w:themeColor="text1"/>
        </w:rPr>
        <w:t xml:space="preserve"> su alcance, </w:t>
      </w:r>
      <w:r w:rsidRPr="009630A2" w:rsidR="00C66D94">
        <w:rPr>
          <w:rFonts w:ascii="Century Gothic" w:hAnsi="Century Gothic" w:eastAsia="Arial" w:cs="Arial"/>
          <w:color w:val="000000" w:themeColor="text1"/>
        </w:rPr>
        <w:t xml:space="preserve">el sistema de precios y pago </w:t>
      </w:r>
      <w:r w:rsidRPr="009630A2" w:rsidR="00A67D40">
        <w:rPr>
          <w:rFonts w:ascii="Century Gothic" w:hAnsi="Century Gothic" w:eastAsia="Arial" w:cs="Arial"/>
          <w:color w:val="000000" w:themeColor="text1"/>
        </w:rPr>
        <w:t xml:space="preserve">pactado, entre otras variables. </w:t>
      </w:r>
    </w:p>
    <w:bookmarkEnd w:id="0"/>
    <w:p w:rsidRPr="00392858" w:rsidR="003344FA" w:rsidP="003344FA" w:rsidRDefault="003344FA" w14:paraId="4FFF3FD8" w14:textId="77777777">
      <w:pPr>
        <w:widowControl w:val="0"/>
        <w:autoSpaceDE w:val="0"/>
        <w:autoSpaceDN w:val="0"/>
        <w:spacing w:after="0" w:line="276" w:lineRule="auto"/>
        <w:jc w:val="both"/>
        <w:rPr>
          <w:rFonts w:ascii="Century Gothic" w:hAnsi="Century Gothic" w:eastAsia="Times New Roman" w:cs="Arial"/>
          <w:lang w:val="es-ES_tradnl" w:eastAsia="es-ES_tradnl"/>
          <w14:ligatures w14:val="standardContextual"/>
        </w:rPr>
      </w:pPr>
      <w:r w:rsidRPr="00392858">
        <w:rPr>
          <w:rFonts w:ascii="Century Gothic" w:hAnsi="Century Gothic" w:eastAsia="Times New Roman" w:cs="Arial"/>
          <w:lang w:eastAsia="es-ES_tradnl"/>
          <w14:ligatures w14:val="standardContextual"/>
        </w:rPr>
        <w:t xml:space="preserve">Este concepto tiene el alcance previsto en el artículo 28 del Código de Procedimiento Administrativo y de lo Contencioso Administrativo </w:t>
      </w:r>
      <w:r w:rsidRPr="00392858">
        <w:rPr>
          <w:rFonts w:ascii="Century Gothic" w:hAnsi="Century Gothic" w:eastAsia="Times New Roman" w:cs="Arial"/>
          <w:lang w:val="es-ES_tradnl" w:eastAsia="es-ES_tradnl"/>
          <w14:ligatures w14:val="standardContextual"/>
        </w:rPr>
        <w:t>y las expresiones aquí utilizadas con mayúscula inicial deben ser entendidas con el significado que les otorga el artículo 2.2.1.1.1.3.1. del Decreto 1082 de 2015.</w:t>
      </w:r>
    </w:p>
    <w:p w:rsidR="00651E2E" w:rsidP="00651E2E" w:rsidRDefault="00651E2E" w14:paraId="3ABFE599" w14:textId="77777777">
      <w:pPr>
        <w:pStyle w:val="NormalWeb"/>
        <w:spacing w:after="0" w:line="276" w:lineRule="auto"/>
        <w:rPr>
          <w:rFonts w:ascii="Century Gothic" w:hAnsi="Century Gothic" w:cs="Arial"/>
          <w:color w:val="000000" w:themeColor="text1"/>
          <w:sz w:val="22"/>
          <w:szCs w:val="22"/>
          <w:lang w:val="es-ES_tradnl"/>
        </w:rPr>
      </w:pPr>
    </w:p>
    <w:p w:rsidR="00A03753" w:rsidP="00651E2E" w:rsidRDefault="00A03753" w14:paraId="3208AEDE" w14:textId="6ED9F604">
      <w:pPr>
        <w:pStyle w:val="NormalWeb"/>
        <w:spacing w:after="0" w:line="276" w:lineRule="auto"/>
        <w:rPr>
          <w:rFonts w:ascii="Century Gothic" w:hAnsi="Century Gothic" w:cs="Arial"/>
          <w:color w:val="000000" w:themeColor="text1"/>
          <w:sz w:val="22"/>
          <w:szCs w:val="22"/>
          <w:lang w:val="es-ES_tradnl"/>
        </w:rPr>
      </w:pPr>
      <w:r w:rsidRPr="00392858">
        <w:rPr>
          <w:rFonts w:ascii="Century Gothic" w:hAnsi="Century Gothic" w:cs="Arial"/>
          <w:color w:val="000000" w:themeColor="text1"/>
          <w:sz w:val="22"/>
          <w:szCs w:val="22"/>
          <w:lang w:val="es-ES_tradnl"/>
        </w:rPr>
        <w:t>Atentamente,</w:t>
      </w:r>
    </w:p>
    <w:p w:rsidR="00651E2E" w:rsidP="00651E2E" w:rsidRDefault="00651E2E" w14:paraId="25E5B726" w14:textId="77777777">
      <w:pPr>
        <w:pStyle w:val="NormalWeb"/>
        <w:spacing w:after="0" w:line="276" w:lineRule="auto"/>
        <w:rPr>
          <w:rFonts w:ascii="Century Gothic" w:hAnsi="Century Gothic" w:cs="Arial"/>
          <w:color w:val="000000" w:themeColor="text1"/>
          <w:sz w:val="22"/>
          <w:szCs w:val="22"/>
          <w:lang w:val="es-ES_tradnl"/>
        </w:rPr>
      </w:pPr>
    </w:p>
    <w:p w:rsidR="00651E2E" w:rsidP="00651E2E" w:rsidRDefault="00651E2E" w14:paraId="1335628A" w14:textId="02120B0C">
      <w:pPr>
        <w:pStyle w:val="NormalWeb"/>
        <w:spacing w:after="0" w:line="276" w:lineRule="auto"/>
        <w:jc w:val="center"/>
        <w:rPr>
          <w:rFonts w:ascii="Century Gothic" w:hAnsi="Century Gothic" w:cs="Arial"/>
          <w:color w:val="000000" w:themeColor="text1"/>
          <w:sz w:val="22"/>
          <w:szCs w:val="22"/>
          <w:lang w:val="es-ES_tradnl"/>
        </w:rPr>
      </w:pPr>
      <w:r>
        <w:rPr>
          <w:noProof/>
        </w:rPr>
        <w:drawing>
          <wp:inline distT="0" distB="0" distL="0" distR="0" wp14:anchorId="093E86B5" wp14:editId="3EC27BD6">
            <wp:extent cx="3155950" cy="1212850"/>
            <wp:effectExtent l="0" t="0" r="6350" b="6350"/>
            <wp:docPr id="166816198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p>
    <w:p w:rsidRPr="00651E2E" w:rsidR="00651E2E" w:rsidP="00651E2E" w:rsidRDefault="00651E2E" w14:paraId="6E7917DE" w14:textId="77777777">
      <w:pPr>
        <w:pStyle w:val="NormalWeb"/>
        <w:spacing w:after="0" w:line="276" w:lineRule="auto"/>
        <w:rPr>
          <w:rFonts w:ascii="Century Gothic" w:hAnsi="Century Gothic" w:cs="Arial"/>
          <w:color w:val="000000" w:themeColor="text1"/>
          <w:sz w:val="22"/>
          <w:szCs w:val="22"/>
          <w:lang w:val="es-ES_tradnl"/>
        </w:rPr>
      </w:pPr>
    </w:p>
    <w:tbl>
      <w:tblPr>
        <w:tblStyle w:val="Tablaconcuadrcula11"/>
        <w:tblpPr w:leftFromText="141" w:rightFromText="141" w:vertAnchor="text" w:horzAnchor="margin" w:tblpY="-1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66"/>
        <w:gridCol w:w="5276"/>
      </w:tblGrid>
      <w:tr w:rsidRPr="00392858" w:rsidR="00A03753" w14:paraId="06C0CB9D" w14:textId="77777777">
        <w:trPr>
          <w:trHeight w:val="291"/>
        </w:trPr>
        <w:tc>
          <w:tcPr>
            <w:tcW w:w="1266" w:type="dxa"/>
            <w:vAlign w:val="center"/>
            <w:hideMark/>
          </w:tcPr>
          <w:p w:rsidRPr="00392858" w:rsidR="00A03753" w:rsidRDefault="00A03753" w14:paraId="12294355" w14:textId="77777777">
            <w:pPr>
              <w:spacing w:line="276" w:lineRule="auto"/>
              <w:rPr>
                <w:rFonts w:ascii="Century Gothic" w:hAnsi="Century Gothic" w:eastAsia="Times New Roman" w:cs="Arial"/>
                <w:sz w:val="16"/>
                <w:szCs w:val="16"/>
                <w:lang w:eastAsia="es-ES"/>
              </w:rPr>
            </w:pPr>
            <w:r w:rsidRPr="00392858">
              <w:rPr>
                <w:rFonts w:ascii="Century Gothic" w:hAnsi="Century Gothic" w:eastAsia="Times New Roman" w:cs="Arial"/>
                <w:sz w:val="16"/>
                <w:szCs w:val="16"/>
                <w:lang w:eastAsia="es-ES"/>
              </w:rPr>
              <w:t>Elaboró:</w:t>
            </w:r>
          </w:p>
        </w:tc>
        <w:tc>
          <w:tcPr>
            <w:tcW w:w="5276" w:type="dxa"/>
            <w:tcBorders>
              <w:top w:val="nil"/>
              <w:left w:val="nil"/>
              <w:bottom w:val="dotted" w:color="7F7F7F" w:sz="4" w:space="0"/>
              <w:right w:val="nil"/>
            </w:tcBorders>
            <w:vAlign w:val="center"/>
            <w:hideMark/>
          </w:tcPr>
          <w:p w:rsidRPr="00392858" w:rsidR="00A03753" w:rsidRDefault="00A03753" w14:paraId="5408CEB2" w14:textId="77777777">
            <w:pPr>
              <w:spacing w:line="276" w:lineRule="auto"/>
              <w:rPr>
                <w:rFonts w:ascii="Century Gothic" w:hAnsi="Century Gothic" w:eastAsia="Times New Roman" w:cs="Arial"/>
                <w:sz w:val="16"/>
                <w:szCs w:val="16"/>
                <w:lang w:eastAsia="es-ES"/>
              </w:rPr>
            </w:pPr>
            <w:r w:rsidRPr="00392858">
              <w:rPr>
                <w:rFonts w:ascii="Century Gothic" w:hAnsi="Century Gothic" w:eastAsia="Times New Roman" w:cs="Arial"/>
                <w:sz w:val="16"/>
                <w:szCs w:val="16"/>
                <w:lang w:eastAsia="es-ES"/>
              </w:rPr>
              <w:t>Any Alejandra Tovar Castillo</w:t>
            </w:r>
          </w:p>
          <w:p w:rsidRPr="00392858" w:rsidR="00A03753" w:rsidRDefault="00A03753" w14:paraId="70EE730E" w14:textId="77777777">
            <w:pPr>
              <w:spacing w:line="276" w:lineRule="auto"/>
              <w:rPr>
                <w:rFonts w:ascii="Century Gothic" w:hAnsi="Century Gothic" w:eastAsia="Times New Roman" w:cs="Arial"/>
                <w:sz w:val="16"/>
                <w:szCs w:val="16"/>
                <w:lang w:eastAsia="es-ES"/>
              </w:rPr>
            </w:pPr>
            <w:r w:rsidRPr="00392858">
              <w:rPr>
                <w:rFonts w:ascii="Century Gothic" w:hAnsi="Century Gothic" w:eastAsia="Times New Roman" w:cs="Arial"/>
                <w:sz w:val="16"/>
                <w:szCs w:val="16"/>
                <w:lang w:eastAsia="es-ES"/>
              </w:rPr>
              <w:t>Contratista de la Subdirección de Gestión Contractual</w:t>
            </w:r>
          </w:p>
        </w:tc>
      </w:tr>
      <w:tr w:rsidRPr="00392858" w:rsidR="00A03753" w14:paraId="3A2D4F8C" w14:textId="77777777">
        <w:trPr>
          <w:trHeight w:val="304"/>
        </w:trPr>
        <w:tc>
          <w:tcPr>
            <w:tcW w:w="1266" w:type="dxa"/>
            <w:vAlign w:val="center"/>
          </w:tcPr>
          <w:p w:rsidRPr="00392858" w:rsidR="00A03753" w:rsidRDefault="00A03753" w14:paraId="2D4FEC53" w14:textId="77777777">
            <w:pPr>
              <w:spacing w:line="276" w:lineRule="auto"/>
              <w:rPr>
                <w:rFonts w:ascii="Century Gothic" w:hAnsi="Century Gothic" w:eastAsia="Times New Roman" w:cs="Arial"/>
                <w:sz w:val="16"/>
                <w:szCs w:val="16"/>
                <w:lang w:eastAsia="es-ES"/>
              </w:rPr>
            </w:pPr>
            <w:r w:rsidRPr="00392858">
              <w:rPr>
                <w:rFonts w:ascii="Century Gothic" w:hAnsi="Century Gothic" w:eastAsia="Times New Roman" w:cs="Arial"/>
                <w:sz w:val="16"/>
                <w:szCs w:val="16"/>
                <w:lang w:eastAsia="es-ES"/>
              </w:rPr>
              <w:t>Revisó:</w:t>
            </w:r>
          </w:p>
        </w:tc>
        <w:tc>
          <w:tcPr>
            <w:tcW w:w="5276" w:type="dxa"/>
            <w:tcBorders>
              <w:top w:val="dotted" w:color="7F7F7F" w:sz="4" w:space="0"/>
              <w:left w:val="nil"/>
              <w:bottom w:val="dotted" w:color="7F7F7F" w:sz="4" w:space="0"/>
              <w:right w:val="nil"/>
            </w:tcBorders>
            <w:vAlign w:val="center"/>
          </w:tcPr>
          <w:p w:rsidRPr="00392858" w:rsidR="00A03753" w:rsidRDefault="00A03753" w14:paraId="6E29FF05" w14:textId="77777777">
            <w:pPr>
              <w:spacing w:line="276" w:lineRule="auto"/>
              <w:rPr>
                <w:rFonts w:ascii="Century Gothic" w:hAnsi="Century Gothic" w:cs="Arial"/>
                <w:color w:val="000000" w:themeColor="text1"/>
                <w:sz w:val="16"/>
                <w:szCs w:val="16"/>
                <w:lang w:eastAsia="es-ES"/>
              </w:rPr>
            </w:pPr>
            <w:r w:rsidRPr="00392858">
              <w:rPr>
                <w:rFonts w:ascii="Century Gothic" w:hAnsi="Century Gothic" w:cs="Arial"/>
                <w:color w:val="000000" w:themeColor="text1"/>
                <w:sz w:val="16"/>
                <w:szCs w:val="16"/>
                <w:lang w:eastAsia="es-ES"/>
              </w:rPr>
              <w:t>Juan David Cárdenas Cabeza</w:t>
            </w:r>
          </w:p>
          <w:p w:rsidRPr="00392858" w:rsidR="00A03753" w:rsidRDefault="00A03753" w14:paraId="5C295EF9" w14:textId="77777777">
            <w:pPr>
              <w:spacing w:line="276" w:lineRule="auto"/>
              <w:rPr>
                <w:rFonts w:ascii="Century Gothic" w:hAnsi="Century Gothic" w:eastAsia="Times New Roman" w:cs="Arial"/>
                <w:sz w:val="16"/>
                <w:szCs w:val="16"/>
                <w:lang w:eastAsia="es-ES"/>
              </w:rPr>
            </w:pPr>
            <w:r w:rsidRPr="00392858">
              <w:rPr>
                <w:rFonts w:ascii="Century Gothic" w:hAnsi="Century Gothic" w:cs="Arial"/>
                <w:color w:val="000000" w:themeColor="text1"/>
                <w:sz w:val="16"/>
                <w:szCs w:val="16"/>
                <w:lang w:eastAsia="es-ES"/>
              </w:rPr>
              <w:t>Contratista de la Subdirección de Gestión Contractual</w:t>
            </w:r>
          </w:p>
        </w:tc>
      </w:tr>
      <w:tr w:rsidRPr="00392858" w:rsidR="00A03753" w14:paraId="67DBE6EC" w14:textId="77777777">
        <w:trPr>
          <w:trHeight w:val="277"/>
        </w:trPr>
        <w:tc>
          <w:tcPr>
            <w:tcW w:w="1266" w:type="dxa"/>
            <w:vAlign w:val="center"/>
            <w:hideMark/>
          </w:tcPr>
          <w:p w:rsidRPr="00392858" w:rsidR="00A03753" w:rsidRDefault="00A03753" w14:paraId="77518692" w14:textId="77777777">
            <w:pPr>
              <w:spacing w:line="276" w:lineRule="auto"/>
              <w:rPr>
                <w:rFonts w:ascii="Century Gothic" w:hAnsi="Century Gothic" w:eastAsia="Times New Roman" w:cs="Arial"/>
                <w:sz w:val="16"/>
                <w:szCs w:val="16"/>
                <w:lang w:eastAsia="es-ES"/>
              </w:rPr>
            </w:pPr>
            <w:r w:rsidRPr="00392858">
              <w:rPr>
                <w:rFonts w:ascii="Century Gothic" w:hAnsi="Century Gothic" w:eastAsia="Times New Roman" w:cs="Arial"/>
                <w:sz w:val="16"/>
                <w:szCs w:val="16"/>
                <w:lang w:eastAsia="es-ES"/>
              </w:rPr>
              <w:t>Aprobó:</w:t>
            </w:r>
          </w:p>
        </w:tc>
        <w:tc>
          <w:tcPr>
            <w:tcW w:w="5276" w:type="dxa"/>
            <w:tcBorders>
              <w:top w:val="dotted" w:color="7F7F7F" w:sz="4" w:space="0"/>
              <w:left w:val="nil"/>
              <w:bottom w:val="dotted" w:color="7F7F7F" w:sz="4" w:space="0"/>
              <w:right w:val="nil"/>
            </w:tcBorders>
            <w:vAlign w:val="center"/>
            <w:hideMark/>
          </w:tcPr>
          <w:p w:rsidRPr="00392858" w:rsidR="00A03753" w:rsidRDefault="00A03753" w14:paraId="0DA491A4" w14:textId="77777777">
            <w:pPr>
              <w:spacing w:line="276" w:lineRule="auto"/>
              <w:rPr>
                <w:rFonts w:ascii="Century Gothic" w:hAnsi="Century Gothic" w:eastAsia="Times New Roman" w:cs="Arial"/>
                <w:sz w:val="16"/>
                <w:szCs w:val="16"/>
                <w:lang w:eastAsia="es-ES"/>
              </w:rPr>
            </w:pPr>
            <w:r w:rsidRPr="00392858">
              <w:rPr>
                <w:rFonts w:ascii="Century Gothic" w:hAnsi="Century Gothic" w:eastAsia="Times New Roman" w:cs="Arial"/>
                <w:sz w:val="16"/>
                <w:szCs w:val="16"/>
                <w:lang w:eastAsia="es-ES"/>
              </w:rPr>
              <w:t>Nohelia del Carmen Zawady Palacio</w:t>
            </w:r>
          </w:p>
          <w:p w:rsidRPr="00392858" w:rsidR="00A03753" w:rsidRDefault="00A03753" w14:paraId="7D740B21" w14:textId="77777777">
            <w:pPr>
              <w:spacing w:line="276" w:lineRule="auto"/>
              <w:rPr>
                <w:rFonts w:ascii="Century Gothic" w:hAnsi="Century Gothic" w:eastAsia="Times New Roman" w:cs="Arial"/>
                <w:sz w:val="16"/>
                <w:szCs w:val="16"/>
                <w:lang w:eastAsia="es-ES"/>
              </w:rPr>
            </w:pPr>
            <w:r w:rsidRPr="00392858">
              <w:rPr>
                <w:rFonts w:ascii="Century Gothic" w:hAnsi="Century Gothic" w:eastAsia="Times New Roman" w:cs="Arial"/>
                <w:sz w:val="16"/>
                <w:szCs w:val="16"/>
                <w:lang w:eastAsia="es-ES"/>
              </w:rPr>
              <w:t>Subdirectora de Gestión Contractual ANCP – CCE</w:t>
            </w:r>
          </w:p>
        </w:tc>
      </w:tr>
    </w:tbl>
    <w:p w:rsidRPr="00392858" w:rsidR="00A03753" w:rsidP="00A03753" w:rsidRDefault="00A03753" w14:paraId="7A36E856" w14:textId="77777777">
      <w:pPr>
        <w:spacing w:line="276" w:lineRule="auto"/>
        <w:rPr>
          <w:rFonts w:ascii="Century Gothic" w:hAnsi="Century Gothic" w:cs="Arial"/>
          <w:sz w:val="20"/>
          <w:szCs w:val="20"/>
        </w:rPr>
      </w:pPr>
    </w:p>
    <w:p w:rsidRPr="00392858" w:rsidR="00A03753" w:rsidP="00A03753" w:rsidRDefault="00A03753" w14:paraId="277C2E12" w14:textId="77777777">
      <w:pPr>
        <w:spacing w:after="0" w:line="276" w:lineRule="auto"/>
        <w:rPr>
          <w:rFonts w:ascii="Century Gothic" w:hAnsi="Century Gothic" w:cs="Arial"/>
          <w:b/>
          <w:color w:val="404040" w:themeColor="text1" w:themeTint="BF"/>
          <w:sz w:val="20"/>
          <w:szCs w:val="20"/>
        </w:rPr>
      </w:pPr>
    </w:p>
    <w:p w:rsidRPr="00392858" w:rsidR="00A03753" w:rsidP="00A03753" w:rsidRDefault="00A03753" w14:paraId="620021B5" w14:textId="77777777">
      <w:pPr>
        <w:spacing w:after="0" w:line="276" w:lineRule="auto"/>
        <w:rPr>
          <w:rFonts w:ascii="Century Gothic" w:hAnsi="Century Gothic" w:cs="Arial"/>
          <w:b/>
          <w:color w:val="404040" w:themeColor="text1" w:themeTint="BF"/>
          <w:sz w:val="20"/>
          <w:szCs w:val="20"/>
          <w:lang w:val="es-ES"/>
        </w:rPr>
      </w:pPr>
    </w:p>
    <w:p w:rsidRPr="00392858" w:rsidR="00A03753" w:rsidP="00A03753" w:rsidRDefault="00A03753" w14:paraId="3A1A0D4C" w14:textId="77777777">
      <w:pPr>
        <w:spacing w:after="0" w:line="276" w:lineRule="auto"/>
        <w:rPr>
          <w:rFonts w:ascii="Century Gothic" w:hAnsi="Century Gothic" w:cs="Arial"/>
          <w:b/>
          <w:color w:val="002060"/>
          <w:sz w:val="20"/>
          <w:szCs w:val="20"/>
          <w:lang w:val="es-ES"/>
        </w:rPr>
      </w:pPr>
    </w:p>
    <w:p w:rsidRPr="00392858" w:rsidR="00C330EB" w:rsidP="003344FA" w:rsidRDefault="00C330EB" w14:paraId="0FD4057A" w14:textId="77777777">
      <w:pPr>
        <w:spacing w:after="0"/>
        <w:rPr>
          <w:rFonts w:ascii="Century Gothic" w:hAnsi="Century Gothic"/>
          <w:b/>
          <w:color w:val="002060"/>
          <w:lang w:val="es-ES"/>
        </w:rPr>
      </w:pPr>
    </w:p>
    <w:sectPr w:rsidRPr="00392858" w:rsidR="00C330EB" w:rsidSect="00923EEF">
      <w:headerReference w:type="default" r:id="rId17"/>
      <w:footerReference w:type="default" r:id="rId18"/>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66882" w:rsidP="004A1847" w:rsidRDefault="00466882" w14:paraId="4E7D7A12" w14:textId="77777777">
      <w:pPr>
        <w:spacing w:after="0" w:line="240" w:lineRule="auto"/>
      </w:pPr>
      <w:r>
        <w:separator/>
      </w:r>
    </w:p>
  </w:endnote>
  <w:endnote w:type="continuationSeparator" w:id="0">
    <w:p w:rsidR="00466882" w:rsidP="004A1847" w:rsidRDefault="00466882" w14:paraId="06C150B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66882" w:rsidP="004A1847" w:rsidRDefault="00466882" w14:paraId="04D6C305" w14:textId="77777777">
      <w:pPr>
        <w:spacing w:after="0" w:line="240" w:lineRule="auto"/>
      </w:pPr>
      <w:r>
        <w:separator/>
      </w:r>
    </w:p>
  </w:footnote>
  <w:footnote w:type="continuationSeparator" w:id="0">
    <w:p w:rsidR="00466882" w:rsidP="004A1847" w:rsidRDefault="00466882" w14:paraId="4407E369" w14:textId="77777777">
      <w:pPr>
        <w:spacing w:after="0" w:line="240" w:lineRule="auto"/>
      </w:pPr>
      <w:r>
        <w:continuationSeparator/>
      </w:r>
    </w:p>
  </w:footnote>
  <w:footnote w:id="1">
    <w:p w:rsidRPr="00341251" w:rsidR="003344FA" w:rsidP="003344FA" w:rsidRDefault="003344FA" w14:paraId="0E412CEB" w14:textId="77777777">
      <w:pPr>
        <w:pStyle w:val="Textonotapie"/>
        <w:ind w:firstLine="708"/>
        <w:contextualSpacing/>
        <w:jc w:val="both"/>
        <w:rPr>
          <w:rFonts w:ascii="Century Gothic" w:hAnsi="Century Gothic" w:cs="Arial"/>
          <w:sz w:val="18"/>
          <w:szCs w:val="18"/>
          <w:shd w:val="clear" w:color="auto" w:fill="E6E6E6"/>
        </w:rPr>
      </w:pPr>
      <w:r w:rsidRPr="00341251">
        <w:rPr>
          <w:rFonts w:ascii="Century Gothic" w:hAnsi="Century Gothic" w:cs="Arial"/>
          <w:sz w:val="18"/>
          <w:szCs w:val="18"/>
          <w:vertAlign w:val="superscript"/>
        </w:rPr>
        <w:footnoteRef/>
      </w:r>
      <w:r w:rsidRPr="00341251">
        <w:rPr>
          <w:rFonts w:ascii="Century Gothic" w:hAnsi="Century Gothic" w:cs="Arial"/>
          <w:sz w:val="18"/>
          <w:szCs w:val="18"/>
        </w:rPr>
        <w:t xml:space="preserve"> </w:t>
      </w:r>
      <w:bookmarkStart w:name="_Hlk143179195" w:id="2"/>
      <w:r w:rsidRPr="00341251">
        <w:rPr>
          <w:rFonts w:ascii="Century Gothic" w:hAnsi="Century Gothic" w:cs="Arial"/>
          <w:sz w:val="18"/>
          <w:szCs w:val="18"/>
        </w:rPr>
        <w:t xml:space="preserve">Los conceptos referenciados, así como otros expedidos por la Subdirección se encuentran disponibles para consulta pública en el portal de relatoría de la Agencia, al cual se puede acceder a través del siguiente enlace: </w:t>
      </w:r>
      <w:hyperlink w:history="1" r:id="rId1">
        <w:r w:rsidRPr="00341251">
          <w:rPr>
            <w:rStyle w:val="Hipervnculo"/>
            <w:rFonts w:ascii="Century Gothic" w:hAnsi="Century Gothic" w:cs="Arial"/>
            <w:sz w:val="18"/>
            <w:szCs w:val="18"/>
          </w:rPr>
          <w:t>https://relatoria.colombiacompra.gov.co/busqueda/conceptos</w:t>
        </w:r>
      </w:hyperlink>
      <w:r w:rsidRPr="00341251">
        <w:rPr>
          <w:rFonts w:ascii="Century Gothic" w:hAnsi="Century Gothic" w:cs="Arial"/>
          <w:sz w:val="18"/>
          <w:szCs w:val="18"/>
          <w:shd w:val="clear" w:color="auto" w:fill="E6E6E6"/>
        </w:rPr>
        <w:t xml:space="preserve"> </w:t>
      </w:r>
      <w:bookmarkEnd w:id="2"/>
    </w:p>
    <w:p w:rsidRPr="00341251" w:rsidR="003344FA" w:rsidP="003344FA" w:rsidRDefault="003344FA" w14:paraId="7564F8FA" w14:textId="77777777">
      <w:pPr>
        <w:pStyle w:val="Textonotapie"/>
        <w:ind w:firstLine="708"/>
        <w:contextualSpacing/>
        <w:jc w:val="both"/>
        <w:rPr>
          <w:rFonts w:ascii="Century Gothic" w:hAnsi="Century Gothic" w:cs="Arial"/>
          <w:sz w:val="18"/>
          <w:szCs w:val="18"/>
        </w:rPr>
      </w:pPr>
    </w:p>
  </w:footnote>
  <w:footnote w:id="2">
    <w:p w:rsidRPr="00341251" w:rsidR="003344FA" w:rsidP="003344FA" w:rsidRDefault="003344FA" w14:paraId="37F31BCB" w14:textId="2A7A20FE">
      <w:pPr>
        <w:pStyle w:val="Textonotapie"/>
        <w:ind w:firstLine="709"/>
        <w:contextualSpacing/>
        <w:jc w:val="both"/>
        <w:rPr>
          <w:rFonts w:ascii="Century Gothic" w:hAnsi="Century Gothic" w:cs="Arial"/>
          <w:color w:val="000000" w:themeColor="text1"/>
          <w:sz w:val="18"/>
          <w:szCs w:val="18"/>
        </w:rPr>
      </w:pPr>
      <w:r w:rsidRPr="00341251">
        <w:rPr>
          <w:rStyle w:val="Refdenotaalpie"/>
          <w:rFonts w:ascii="Century Gothic" w:hAnsi="Century Gothic" w:cs="Arial"/>
          <w:color w:val="000000" w:themeColor="text1"/>
          <w:sz w:val="18"/>
          <w:szCs w:val="18"/>
        </w:rPr>
        <w:footnoteRef/>
      </w:r>
      <w:r w:rsidRPr="00341251">
        <w:rPr>
          <w:rFonts w:ascii="Century Gothic" w:hAnsi="Century Gothic" w:cs="Arial"/>
          <w:color w:val="000000" w:themeColor="text1"/>
          <w:sz w:val="18"/>
          <w:szCs w:val="18"/>
        </w:rPr>
        <w:t xml:space="preserve"> Corte Constitucional. Sentencia C-317 de 2012. M.P. María Victoria Calle Correa. </w:t>
      </w:r>
    </w:p>
    <w:p w:rsidRPr="00341251" w:rsidR="003344FA" w:rsidP="003344FA" w:rsidRDefault="003344FA" w14:paraId="047E16E9" w14:textId="77777777">
      <w:pPr>
        <w:pStyle w:val="Textonotapie"/>
        <w:ind w:firstLine="709"/>
        <w:contextualSpacing/>
        <w:jc w:val="both"/>
        <w:rPr>
          <w:rFonts w:ascii="Century Gothic" w:hAnsi="Century Gothic" w:cs="Arial"/>
          <w:color w:val="000000" w:themeColor="text1"/>
          <w:sz w:val="18"/>
          <w:szCs w:val="18"/>
        </w:rPr>
      </w:pPr>
    </w:p>
  </w:footnote>
  <w:footnote w:id="3">
    <w:p w:rsidRPr="00341251" w:rsidR="003344FA" w:rsidP="003344FA" w:rsidRDefault="003344FA" w14:paraId="7441AC27" w14:textId="77777777">
      <w:pPr>
        <w:pStyle w:val="Textonotapie"/>
        <w:ind w:firstLine="709"/>
        <w:contextualSpacing/>
        <w:jc w:val="both"/>
        <w:rPr>
          <w:rFonts w:ascii="Century Gothic" w:hAnsi="Century Gothic" w:cs="Arial"/>
          <w:color w:val="000000" w:themeColor="text1"/>
          <w:sz w:val="18"/>
          <w:szCs w:val="18"/>
        </w:rPr>
      </w:pPr>
      <w:r w:rsidRPr="00341251">
        <w:rPr>
          <w:rStyle w:val="Refdenotaalpie"/>
          <w:rFonts w:ascii="Century Gothic" w:hAnsi="Century Gothic" w:cs="Arial"/>
          <w:color w:val="000000" w:themeColor="text1"/>
          <w:sz w:val="18"/>
          <w:szCs w:val="18"/>
        </w:rPr>
        <w:footnoteRef/>
      </w:r>
      <w:r w:rsidRPr="00341251">
        <w:rPr>
          <w:rFonts w:ascii="Century Gothic" w:hAnsi="Century Gothic" w:cs="Arial"/>
          <w:color w:val="000000" w:themeColor="text1"/>
          <w:sz w:val="18"/>
          <w:szCs w:val="18"/>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rsidRPr="00341251" w:rsidR="003344FA" w:rsidP="003344FA" w:rsidRDefault="003344FA" w14:paraId="16764743" w14:textId="77777777">
      <w:pPr>
        <w:pStyle w:val="Textonotapie"/>
        <w:ind w:firstLine="709"/>
        <w:contextualSpacing/>
        <w:jc w:val="both"/>
        <w:rPr>
          <w:rFonts w:ascii="Century Gothic" w:hAnsi="Century Gothic" w:cs="Arial"/>
          <w:color w:val="000000" w:themeColor="text1"/>
          <w:sz w:val="18"/>
          <w:szCs w:val="18"/>
        </w:rPr>
      </w:pPr>
    </w:p>
  </w:footnote>
  <w:footnote w:id="4">
    <w:p w:rsidRPr="00341251" w:rsidR="003344FA" w:rsidP="003344FA" w:rsidRDefault="003344FA" w14:paraId="529888D1" w14:textId="77777777">
      <w:pPr>
        <w:pStyle w:val="Textonotapie"/>
        <w:ind w:firstLine="709"/>
        <w:contextualSpacing/>
        <w:jc w:val="both"/>
        <w:rPr>
          <w:rFonts w:ascii="Century Gothic" w:hAnsi="Century Gothic" w:cs="Arial"/>
          <w:color w:val="000000" w:themeColor="text1"/>
          <w:sz w:val="18"/>
          <w:szCs w:val="18"/>
        </w:rPr>
      </w:pPr>
      <w:r w:rsidRPr="00341251">
        <w:rPr>
          <w:rStyle w:val="Refdenotaalpie"/>
          <w:rFonts w:ascii="Century Gothic" w:hAnsi="Century Gothic" w:cs="Arial"/>
          <w:color w:val="000000" w:themeColor="text1"/>
          <w:sz w:val="18"/>
          <w:szCs w:val="18"/>
        </w:rPr>
        <w:footnoteRef/>
      </w:r>
      <w:r w:rsidRPr="00341251">
        <w:rPr>
          <w:rFonts w:ascii="Century Gothic" w:hAnsi="Century Gothic" w:cs="Arial"/>
          <w:color w:val="000000" w:themeColor="text1"/>
          <w:sz w:val="18"/>
          <w:szCs w:val="18"/>
        </w:rPr>
        <w:t xml:space="preserve"> Se entiende por entidades de </w:t>
      </w:r>
      <w:r w:rsidRPr="00341251">
        <w:rPr>
          <w:rFonts w:ascii="Century Gothic" w:hAnsi="Century Gothic" w:cs="Arial"/>
          <w:i/>
          <w:iCs/>
          <w:color w:val="000000" w:themeColor="text1"/>
          <w:sz w:val="18"/>
          <w:szCs w:val="18"/>
        </w:rPr>
        <w:t xml:space="preserve">régimen especial </w:t>
      </w:r>
      <w:r w:rsidRPr="00341251">
        <w:rPr>
          <w:rFonts w:ascii="Century Gothic" w:hAnsi="Century Gothic" w:cs="Arial"/>
          <w:color w:val="000000" w:themeColor="text1"/>
          <w:sz w:val="18"/>
          <w:szCs w:val="18"/>
        </w:rPr>
        <w:t>aquellas que tienen un régimen contractual distinto al Estatuto General de Contratación de la Administración Pública, y que por regla general se rigen por el derecho privado.</w:t>
      </w:r>
    </w:p>
    <w:p w:rsidRPr="00341251" w:rsidR="003344FA" w:rsidP="003344FA" w:rsidRDefault="003344FA" w14:paraId="40C58B99" w14:textId="77777777">
      <w:pPr>
        <w:pStyle w:val="Textonotapie"/>
        <w:ind w:firstLine="709"/>
        <w:contextualSpacing/>
        <w:jc w:val="both"/>
        <w:rPr>
          <w:rFonts w:ascii="Century Gothic" w:hAnsi="Century Gothic" w:cs="Arial"/>
          <w:color w:val="000000" w:themeColor="text1"/>
          <w:sz w:val="18"/>
          <w:szCs w:val="18"/>
          <w:lang w:val="es-CO"/>
        </w:rPr>
      </w:pPr>
    </w:p>
  </w:footnote>
  <w:footnote w:id="5">
    <w:p w:rsidRPr="00341251" w:rsidR="003344FA" w:rsidP="003344FA" w:rsidRDefault="003344FA" w14:paraId="758945F8" w14:textId="77777777">
      <w:pPr>
        <w:pStyle w:val="Textonotapie"/>
        <w:ind w:firstLine="709"/>
        <w:contextualSpacing/>
        <w:jc w:val="both"/>
        <w:rPr>
          <w:rFonts w:ascii="Century Gothic" w:hAnsi="Century Gothic" w:cs="Arial"/>
          <w:color w:val="000000" w:themeColor="text1"/>
          <w:sz w:val="18"/>
          <w:szCs w:val="18"/>
          <w:lang w:val="es-CO"/>
        </w:rPr>
      </w:pPr>
      <w:r w:rsidRPr="00341251">
        <w:rPr>
          <w:rStyle w:val="Refdenotaalpie"/>
          <w:rFonts w:ascii="Century Gothic" w:hAnsi="Century Gothic" w:cs="Arial"/>
          <w:color w:val="000000" w:themeColor="text1"/>
          <w:sz w:val="18"/>
          <w:szCs w:val="18"/>
        </w:rPr>
        <w:footnoteRef/>
      </w:r>
      <w:r w:rsidRPr="00341251">
        <w:rPr>
          <w:rFonts w:ascii="Century Gothic" w:hAnsi="Century Gothic" w:cs="Arial"/>
          <w:color w:val="000000" w:themeColor="text1"/>
          <w:sz w:val="18"/>
          <w:szCs w:val="18"/>
        </w:rPr>
        <w:t xml:space="preserve"> Esto se ha señalado en distintos conceptos de esta Subdirección, como el C-219 del 29 de abril de 2020, el C-280 del 6 de julio de 2020 y el C–434 del 29 de julio de 2020.</w:t>
      </w:r>
    </w:p>
  </w:footnote>
  <w:footnote w:id="6">
    <w:p w:rsidRPr="00341251" w:rsidR="003344FA" w:rsidP="003344FA" w:rsidRDefault="003344FA" w14:paraId="2E4E2FAF" w14:textId="77777777">
      <w:pPr>
        <w:pStyle w:val="Textonotapie"/>
        <w:ind w:firstLine="709"/>
        <w:contextualSpacing/>
        <w:jc w:val="both"/>
        <w:rPr>
          <w:rFonts w:ascii="Century Gothic" w:hAnsi="Century Gothic" w:cs="Arial"/>
          <w:color w:val="000000" w:themeColor="text1"/>
          <w:sz w:val="18"/>
          <w:szCs w:val="18"/>
        </w:rPr>
      </w:pPr>
      <w:r w:rsidRPr="00341251">
        <w:rPr>
          <w:rStyle w:val="Refdenotaalpie"/>
          <w:rFonts w:ascii="Century Gothic" w:hAnsi="Century Gothic" w:cs="Arial"/>
          <w:color w:val="000000" w:themeColor="text1"/>
          <w:sz w:val="18"/>
          <w:szCs w:val="18"/>
        </w:rPr>
        <w:footnoteRef/>
      </w:r>
      <w:r w:rsidRPr="00341251">
        <w:rPr>
          <w:rFonts w:ascii="Century Gothic" w:hAnsi="Century Gothic" w:cs="Arial"/>
          <w:color w:val="000000" w:themeColor="text1"/>
          <w:sz w:val="18"/>
          <w:szCs w:val="18"/>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rsidRPr="00341251" w:rsidR="003344FA" w:rsidP="003344FA" w:rsidRDefault="003344FA" w14:paraId="08881855" w14:textId="77777777">
      <w:pPr>
        <w:pStyle w:val="Textonotapie"/>
        <w:ind w:firstLine="709"/>
        <w:contextualSpacing/>
        <w:jc w:val="both"/>
        <w:rPr>
          <w:rFonts w:ascii="Century Gothic" w:hAnsi="Century Gothic" w:cs="Arial"/>
          <w:color w:val="000000" w:themeColor="text1"/>
          <w:sz w:val="18"/>
          <w:szCs w:val="18"/>
        </w:rPr>
      </w:pPr>
    </w:p>
    <w:p w:rsidRPr="00341251" w:rsidR="003344FA" w:rsidP="003344FA" w:rsidRDefault="003344FA" w14:paraId="681A1A7E" w14:textId="2F375E6D">
      <w:pPr>
        <w:pStyle w:val="Textonotapie"/>
        <w:ind w:firstLine="709"/>
        <w:contextualSpacing/>
        <w:jc w:val="both"/>
        <w:rPr>
          <w:rFonts w:ascii="Century Gothic" w:hAnsi="Century Gothic" w:cs="Arial"/>
          <w:color w:val="000000" w:themeColor="text1"/>
          <w:sz w:val="18"/>
          <w:szCs w:val="18"/>
        </w:rPr>
      </w:pPr>
      <w:r w:rsidRPr="00341251">
        <w:rPr>
          <w:rFonts w:ascii="Century Gothic" w:hAnsi="Century Gothic" w:cs="Arial"/>
          <w:color w:val="000000" w:themeColor="text1"/>
          <w:sz w:val="18"/>
          <w:szCs w:val="18"/>
        </w:rPr>
        <w:t xml:space="preserve">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w:t>
      </w:r>
      <w:r w:rsidRPr="00341251" w:rsidR="00341251">
        <w:rPr>
          <w:rFonts w:ascii="Century Gothic" w:hAnsi="Century Gothic" w:cs="Arial"/>
          <w:color w:val="000000" w:themeColor="text1"/>
          <w:sz w:val="18"/>
          <w:szCs w:val="18"/>
        </w:rPr>
        <w:t>artículo</w:t>
      </w:r>
      <w:r w:rsidRPr="00341251">
        <w:rPr>
          <w:rFonts w:ascii="Century Gothic" w:hAnsi="Century Gothic" w:cs="Arial"/>
          <w:color w:val="000000" w:themeColor="text1"/>
          <w:sz w:val="18"/>
          <w:szCs w:val="18"/>
        </w:rPr>
        <w:t xml:space="preserve"> se podrán realizar a través de medios electrónicos, los cuales deberán garantizar el acceso de los contratistas y de quienes hayan expedido la garantía.</w:t>
      </w:r>
    </w:p>
    <w:p w:rsidRPr="00341251" w:rsidR="003344FA" w:rsidP="003344FA" w:rsidRDefault="003344FA" w14:paraId="4C7734A8" w14:textId="77777777">
      <w:pPr>
        <w:pStyle w:val="Textonotapie"/>
        <w:ind w:firstLine="709"/>
        <w:contextualSpacing/>
        <w:jc w:val="both"/>
        <w:rPr>
          <w:rFonts w:ascii="Century Gothic" w:hAnsi="Century Gothic" w:cs="Arial"/>
          <w:color w:val="000000" w:themeColor="text1"/>
          <w:sz w:val="18"/>
          <w:szCs w:val="18"/>
        </w:rPr>
      </w:pPr>
    </w:p>
    <w:p w:rsidRPr="00341251" w:rsidR="003344FA" w:rsidP="003344FA" w:rsidRDefault="003344FA" w14:paraId="142BE58E" w14:textId="77777777">
      <w:pPr>
        <w:pStyle w:val="Textonotapie"/>
        <w:ind w:firstLine="709"/>
        <w:contextualSpacing/>
        <w:jc w:val="both"/>
        <w:rPr>
          <w:rFonts w:ascii="Century Gothic" w:hAnsi="Century Gothic" w:cs="Arial"/>
          <w:color w:val="000000" w:themeColor="text1"/>
          <w:sz w:val="18"/>
          <w:szCs w:val="18"/>
        </w:rPr>
      </w:pPr>
      <w:r w:rsidRPr="00341251">
        <w:rPr>
          <w:rFonts w:ascii="Century Gothic" w:hAnsi="Century Gothic" w:cs="Arial"/>
          <w:color w:val="000000" w:themeColor="text1"/>
          <w:sz w:val="18"/>
          <w:szCs w:val="18"/>
        </w:rPr>
        <w:t>La entidad estatal debe elegir y garantizar los medios electrónicos y de comunicación que utilizará, así como los mecanismos para el registro de la Información generada.</w:t>
      </w:r>
    </w:p>
    <w:p w:rsidRPr="00341251" w:rsidR="003344FA" w:rsidP="003344FA" w:rsidRDefault="003344FA" w14:paraId="731227DD" w14:textId="77777777">
      <w:pPr>
        <w:pStyle w:val="Textonotapie"/>
        <w:ind w:firstLine="709"/>
        <w:contextualSpacing/>
        <w:jc w:val="both"/>
        <w:rPr>
          <w:rFonts w:ascii="Century Gothic" w:hAnsi="Century Gothic" w:cs="Arial"/>
          <w:color w:val="000000" w:themeColor="text1"/>
          <w:sz w:val="18"/>
          <w:szCs w:val="18"/>
        </w:rPr>
      </w:pPr>
    </w:p>
    <w:p w:rsidRPr="00341251" w:rsidR="003344FA" w:rsidP="003344FA" w:rsidRDefault="003344FA" w14:paraId="1A903ABB" w14:textId="77777777">
      <w:pPr>
        <w:pStyle w:val="Textonotapie"/>
        <w:ind w:firstLine="709"/>
        <w:contextualSpacing/>
        <w:jc w:val="both"/>
        <w:rPr>
          <w:rFonts w:ascii="Century Gothic" w:hAnsi="Century Gothic" w:cs="Arial"/>
          <w:color w:val="000000" w:themeColor="text1"/>
          <w:sz w:val="18"/>
          <w:szCs w:val="18"/>
        </w:rPr>
      </w:pPr>
      <w:r w:rsidRPr="00341251">
        <w:rPr>
          <w:rFonts w:ascii="Century Gothic" w:hAnsi="Century Gothic" w:cs="Arial"/>
          <w:color w:val="000000" w:themeColor="text1"/>
          <w:sz w:val="18"/>
          <w:szCs w:val="18"/>
        </w:rPr>
        <w:t>Sin perjuicio de lo anterior, el ordenador del gasto o funcionario competente podrá decretar la suspensión de términos, inclusive los iniciados con anterioridad a la vigencia de este Decreto”.</w:t>
      </w:r>
    </w:p>
    <w:p w:rsidRPr="00341251" w:rsidR="003344FA" w:rsidP="003344FA" w:rsidRDefault="003344FA" w14:paraId="2A29CBB6" w14:textId="77777777">
      <w:pPr>
        <w:pStyle w:val="Textonotapie"/>
        <w:ind w:firstLine="709"/>
        <w:contextualSpacing/>
        <w:jc w:val="both"/>
        <w:rPr>
          <w:rFonts w:ascii="Century Gothic" w:hAnsi="Century Gothic" w:cs="Arial"/>
          <w:color w:val="000000" w:themeColor="text1"/>
          <w:sz w:val="18"/>
          <w:szCs w:val="18"/>
          <w:lang w:val="es-CO"/>
        </w:rPr>
      </w:pPr>
      <w:r w:rsidRPr="00341251">
        <w:rPr>
          <w:rFonts w:ascii="Century Gothic" w:hAnsi="Century Gothic" w:cs="Arial"/>
          <w:color w:val="000000" w:themeColor="text1"/>
          <w:sz w:val="18"/>
          <w:szCs w:val="18"/>
        </w:rPr>
        <w:t xml:space="preserve"> </w:t>
      </w:r>
    </w:p>
  </w:footnote>
  <w:footnote w:id="7">
    <w:p w:rsidRPr="00341251" w:rsidR="00700936" w:rsidP="00700936" w:rsidRDefault="00700936" w14:paraId="1B1F1EC0" w14:textId="77777777">
      <w:pPr>
        <w:pStyle w:val="Textonotapie"/>
        <w:ind w:firstLine="708"/>
        <w:jc w:val="both"/>
        <w:rPr>
          <w:rFonts w:ascii="Century Gothic" w:hAnsi="Century Gothic" w:cs="Arial"/>
          <w:sz w:val="18"/>
          <w:szCs w:val="18"/>
          <w:lang w:val="es-CO"/>
        </w:rPr>
      </w:pPr>
      <w:r w:rsidRPr="00341251">
        <w:rPr>
          <w:rStyle w:val="Refdenotaalpie"/>
          <w:rFonts w:ascii="Century Gothic" w:hAnsi="Century Gothic" w:cs="Arial"/>
          <w:sz w:val="18"/>
          <w:szCs w:val="18"/>
        </w:rPr>
        <w:footnoteRef/>
      </w:r>
      <w:r w:rsidRPr="00341251">
        <w:rPr>
          <w:rFonts w:ascii="Century Gothic" w:hAnsi="Century Gothic" w:cs="Arial"/>
          <w:sz w:val="18"/>
          <w:szCs w:val="18"/>
        </w:rPr>
        <w:t xml:space="preserve"> </w:t>
      </w:r>
      <w:r w:rsidRPr="00341251">
        <w:rPr>
          <w:rFonts w:ascii="Century Gothic" w:hAnsi="Century Gothic" w:cs="Arial"/>
          <w:sz w:val="18"/>
          <w:szCs w:val="18"/>
          <w:lang w:val="es-CO"/>
        </w:rPr>
        <w:t xml:space="preserve">Corte Constitucional, sentencia de Unificación Jurisprudencial SU 339 del 4 de mayo de 2011. Magistrado ponente: Humberto Antonio Sierra Porto. </w:t>
      </w:r>
      <w:proofErr w:type="spellStart"/>
      <w:r w:rsidRPr="00341251">
        <w:rPr>
          <w:rFonts w:ascii="Century Gothic" w:hAnsi="Century Gothic" w:cs="Arial"/>
          <w:sz w:val="18"/>
          <w:szCs w:val="18"/>
          <w:lang w:val="es-CO"/>
        </w:rPr>
        <w:t>Exp</w:t>
      </w:r>
      <w:proofErr w:type="spellEnd"/>
      <w:r w:rsidRPr="00341251">
        <w:rPr>
          <w:rFonts w:ascii="Century Gothic" w:hAnsi="Century Gothic" w:cs="Arial"/>
          <w:sz w:val="18"/>
          <w:szCs w:val="18"/>
          <w:lang w:val="es-CO"/>
        </w:rPr>
        <w:t>. T-2.735.401</w:t>
      </w:r>
    </w:p>
    <w:p w:rsidRPr="00341251" w:rsidR="00700936" w:rsidP="00700936" w:rsidRDefault="00700936" w14:paraId="13EB6B84" w14:textId="77777777">
      <w:pPr>
        <w:pStyle w:val="Textonotapie"/>
        <w:ind w:firstLine="708"/>
        <w:jc w:val="both"/>
        <w:rPr>
          <w:rFonts w:ascii="Century Gothic" w:hAnsi="Century Gothic" w:cs="Arial"/>
          <w:sz w:val="18"/>
          <w:szCs w:val="18"/>
          <w:lang w:val="es-CO"/>
        </w:rPr>
      </w:pPr>
    </w:p>
  </w:footnote>
  <w:footnote w:id="8">
    <w:p w:rsidRPr="00341251" w:rsidR="00700936" w:rsidP="00700936" w:rsidRDefault="00700936" w14:paraId="49887088" w14:textId="77777777">
      <w:pPr>
        <w:pStyle w:val="Textonotapie"/>
        <w:ind w:firstLine="708"/>
        <w:jc w:val="both"/>
        <w:rPr>
          <w:rFonts w:ascii="Century Gothic" w:hAnsi="Century Gothic" w:cs="Arial"/>
          <w:sz w:val="18"/>
          <w:szCs w:val="18"/>
          <w:lang w:val="es-CO"/>
        </w:rPr>
      </w:pPr>
      <w:r w:rsidRPr="00341251">
        <w:rPr>
          <w:rStyle w:val="Refdenotaalpie"/>
          <w:rFonts w:ascii="Century Gothic" w:hAnsi="Century Gothic" w:cs="Arial"/>
          <w:sz w:val="18"/>
          <w:szCs w:val="18"/>
        </w:rPr>
        <w:footnoteRef/>
      </w:r>
      <w:r w:rsidRPr="00341251">
        <w:rPr>
          <w:rFonts w:ascii="Century Gothic" w:hAnsi="Century Gothic" w:cs="Arial"/>
          <w:sz w:val="18"/>
          <w:szCs w:val="18"/>
        </w:rPr>
        <w:t xml:space="preserve"> </w:t>
      </w:r>
      <w:r w:rsidRPr="00341251">
        <w:rPr>
          <w:rFonts w:ascii="Century Gothic" w:hAnsi="Century Gothic" w:cs="Arial"/>
          <w:sz w:val="18"/>
          <w:szCs w:val="18"/>
          <w:lang w:val="es-CO"/>
        </w:rPr>
        <w:t xml:space="preserve">Santofimio Gamboa, Jaime Orlando (2017). “Potestad sancionatoria de la administración en materia de contratación estatal”. Montaña Plata, Alberto y Rincón Córdoba, Jorge (Ed.) </w:t>
      </w:r>
      <w:r w:rsidRPr="00341251">
        <w:rPr>
          <w:rFonts w:ascii="Century Gothic" w:hAnsi="Century Gothic" w:cs="Arial"/>
          <w:i/>
          <w:sz w:val="18"/>
          <w:szCs w:val="18"/>
          <w:lang w:val="es-CO"/>
        </w:rPr>
        <w:t xml:space="preserve">“Contratos Públicos: problemas, perspectiva y prospectivas”- </w:t>
      </w:r>
      <w:r w:rsidRPr="00341251">
        <w:rPr>
          <w:rFonts w:ascii="Century Gothic" w:hAnsi="Century Gothic" w:cs="Arial"/>
          <w:sz w:val="18"/>
          <w:szCs w:val="18"/>
          <w:lang w:val="es-CO"/>
        </w:rPr>
        <w:t>Bogotá: Universidad Externado de Colombia. 2017</w:t>
      </w:r>
    </w:p>
    <w:p w:rsidRPr="00341251" w:rsidR="00700936" w:rsidP="00700936" w:rsidRDefault="00700936" w14:paraId="1251F97C" w14:textId="77777777">
      <w:pPr>
        <w:pStyle w:val="Textonotapie"/>
        <w:ind w:firstLine="708"/>
        <w:jc w:val="both"/>
        <w:rPr>
          <w:rFonts w:ascii="Century Gothic" w:hAnsi="Century Gothic" w:cs="Arial"/>
          <w:i/>
          <w:sz w:val="18"/>
          <w:szCs w:val="18"/>
          <w:lang w:val="es-CO"/>
        </w:rPr>
      </w:pPr>
    </w:p>
  </w:footnote>
  <w:footnote w:id="9">
    <w:p w:rsidRPr="00341251" w:rsidR="00700936" w:rsidP="00700936" w:rsidRDefault="00700936" w14:paraId="6DDCC8FC" w14:textId="77777777">
      <w:pPr>
        <w:pStyle w:val="Textonotapie"/>
        <w:ind w:firstLine="708"/>
        <w:jc w:val="both"/>
        <w:rPr>
          <w:rFonts w:ascii="Century Gothic" w:hAnsi="Century Gothic" w:cs="Arial"/>
          <w:sz w:val="18"/>
          <w:szCs w:val="18"/>
          <w:lang w:val="es-CO"/>
        </w:rPr>
      </w:pPr>
      <w:r w:rsidRPr="00341251">
        <w:rPr>
          <w:rStyle w:val="Refdenotaalpie"/>
          <w:rFonts w:ascii="Century Gothic" w:hAnsi="Century Gothic" w:cs="Arial"/>
          <w:sz w:val="18"/>
          <w:szCs w:val="18"/>
        </w:rPr>
        <w:footnoteRef/>
      </w:r>
      <w:r w:rsidRPr="00341251">
        <w:rPr>
          <w:rFonts w:ascii="Century Gothic" w:hAnsi="Century Gothic" w:cs="Arial"/>
          <w:sz w:val="18"/>
          <w:szCs w:val="18"/>
        </w:rPr>
        <w:t xml:space="preserve"> Corte Constitucional, sentencia de acción de tutela del 13 de septiembre de 2010. Magistrado Ponente: Jorge Ignacio Pretelt.</w:t>
      </w:r>
    </w:p>
  </w:footnote>
  <w:footnote w:id="10">
    <w:p w:rsidRPr="00341251" w:rsidR="003344FA" w:rsidP="003344FA" w:rsidRDefault="003344FA" w14:paraId="5BEC586B" w14:textId="77777777">
      <w:pPr>
        <w:pStyle w:val="Textonotapie"/>
        <w:ind w:firstLine="708"/>
        <w:contextualSpacing/>
        <w:jc w:val="both"/>
        <w:rPr>
          <w:rFonts w:ascii="Century Gothic" w:hAnsi="Century Gothic" w:cs="Arial"/>
          <w:sz w:val="18"/>
          <w:szCs w:val="18"/>
        </w:rPr>
      </w:pPr>
      <w:r w:rsidRPr="00341251">
        <w:rPr>
          <w:rStyle w:val="Refdenotaalpie"/>
          <w:rFonts w:ascii="Century Gothic" w:hAnsi="Century Gothic" w:cs="Arial"/>
          <w:sz w:val="18"/>
          <w:szCs w:val="18"/>
        </w:rPr>
        <w:footnoteRef/>
      </w:r>
      <w:r w:rsidRPr="00341251">
        <w:rPr>
          <w:rFonts w:ascii="Century Gothic" w:hAnsi="Century Gothic" w:cs="Arial"/>
          <w:sz w:val="18"/>
          <w:szCs w:val="18"/>
        </w:rPr>
        <w:t xml:space="preserve"> Código de Comercio: “Artículo 1081. La prescripción de las acciones que se derivan del contrato de seguro o de las disposiciones que lo rigen podrá ser ordinaria o extraordinaria.</w:t>
      </w:r>
    </w:p>
    <w:p w:rsidRPr="00341251" w:rsidR="003344FA" w:rsidP="003344FA" w:rsidRDefault="003344FA" w14:paraId="1508E235" w14:textId="77777777">
      <w:pPr>
        <w:pStyle w:val="Textonotapie"/>
        <w:ind w:firstLine="708"/>
        <w:contextualSpacing/>
        <w:jc w:val="both"/>
        <w:rPr>
          <w:rFonts w:ascii="Century Gothic" w:hAnsi="Century Gothic" w:cs="Arial"/>
          <w:sz w:val="18"/>
          <w:szCs w:val="18"/>
        </w:rPr>
      </w:pPr>
      <w:r w:rsidRPr="00341251">
        <w:rPr>
          <w:rFonts w:ascii="Century Gothic" w:hAnsi="Century Gothic" w:cs="Arial"/>
          <w:sz w:val="18"/>
          <w:szCs w:val="18"/>
        </w:rPr>
        <w:t>La prescripción ordinaria será de dos años y empezará a correr desde el momento en que el interesado haya tenido o debido tener conocimiento del hecho que da base a la acción.</w:t>
      </w:r>
    </w:p>
    <w:p w:rsidRPr="00341251" w:rsidR="003344FA" w:rsidP="003344FA" w:rsidRDefault="003344FA" w14:paraId="10DABCDC" w14:textId="77777777">
      <w:pPr>
        <w:pStyle w:val="Textonotapie"/>
        <w:ind w:firstLine="708"/>
        <w:contextualSpacing/>
        <w:jc w:val="both"/>
        <w:rPr>
          <w:rFonts w:ascii="Century Gothic" w:hAnsi="Century Gothic" w:cs="Arial"/>
          <w:sz w:val="18"/>
          <w:szCs w:val="18"/>
        </w:rPr>
      </w:pPr>
      <w:r w:rsidRPr="00341251">
        <w:rPr>
          <w:rFonts w:ascii="Century Gothic" w:hAnsi="Century Gothic" w:cs="Arial"/>
          <w:sz w:val="18"/>
          <w:szCs w:val="18"/>
        </w:rPr>
        <w:t>La prescripción extraordinaria será de cinco años, correrá contra toda clase de personas y empezará a contarse desde el momento en que nace el respectivo derecho.</w:t>
      </w:r>
    </w:p>
    <w:p w:rsidRPr="00341251" w:rsidR="003344FA" w:rsidP="003344FA" w:rsidRDefault="003344FA" w14:paraId="328C00D7" w14:textId="77777777">
      <w:pPr>
        <w:pStyle w:val="Textonotapie"/>
        <w:ind w:firstLine="708"/>
        <w:contextualSpacing/>
        <w:jc w:val="both"/>
        <w:rPr>
          <w:rFonts w:ascii="Century Gothic" w:hAnsi="Century Gothic" w:cs="Arial"/>
          <w:sz w:val="18"/>
          <w:szCs w:val="18"/>
        </w:rPr>
      </w:pPr>
      <w:r w:rsidRPr="00341251">
        <w:rPr>
          <w:rFonts w:ascii="Century Gothic" w:hAnsi="Century Gothic" w:cs="Arial"/>
          <w:sz w:val="18"/>
          <w:szCs w:val="18"/>
        </w:rPr>
        <w:t xml:space="preserve">Estos términos no pueden ser modificados por las partes”. </w:t>
      </w:r>
    </w:p>
  </w:footnote>
  <w:footnote w:id="11">
    <w:p w:rsidRPr="00341251" w:rsidR="00C155FF" w:rsidP="00C155FF" w:rsidRDefault="00C155FF" w14:paraId="1CA80BBA" w14:textId="77777777">
      <w:pPr>
        <w:pStyle w:val="Textonotapie"/>
        <w:ind w:firstLine="709"/>
        <w:contextualSpacing/>
        <w:jc w:val="both"/>
        <w:rPr>
          <w:rFonts w:ascii="Century Gothic" w:hAnsi="Century Gothic" w:cs="Arial"/>
          <w:color w:val="000000" w:themeColor="text1"/>
          <w:sz w:val="18"/>
          <w:szCs w:val="18"/>
        </w:rPr>
      </w:pPr>
      <w:r w:rsidRPr="00341251">
        <w:rPr>
          <w:rStyle w:val="Refdenotaalpie"/>
          <w:rFonts w:ascii="Century Gothic" w:hAnsi="Century Gothic" w:cs="Arial"/>
          <w:color w:val="000000" w:themeColor="text1"/>
          <w:sz w:val="18"/>
          <w:szCs w:val="18"/>
        </w:rPr>
        <w:footnoteRef/>
      </w:r>
      <w:r w:rsidRPr="00341251">
        <w:rPr>
          <w:rFonts w:ascii="Century Gothic" w:hAnsi="Century Gothic" w:cs="Arial"/>
          <w:color w:val="000000" w:themeColor="text1"/>
          <w:sz w:val="18"/>
          <w:szCs w:val="18"/>
        </w:rPr>
        <w:t xml:space="preserve"> Corte Constitucional. Sentencia C-317 de 2012. M.P. María Victoria Calle Correa. </w:t>
      </w:r>
    </w:p>
    <w:p w:rsidRPr="00341251" w:rsidR="00C155FF" w:rsidP="00C155FF" w:rsidRDefault="00C155FF" w14:paraId="75D692B8" w14:textId="77777777">
      <w:pPr>
        <w:pStyle w:val="Textonotapie"/>
        <w:ind w:firstLine="709"/>
        <w:contextualSpacing/>
        <w:jc w:val="both"/>
        <w:rPr>
          <w:rFonts w:ascii="Century Gothic" w:hAnsi="Century Gothic" w:cs="Arial"/>
          <w:color w:val="000000" w:themeColor="text1"/>
          <w:sz w:val="18"/>
          <w:szCs w:val="18"/>
        </w:rPr>
      </w:pPr>
    </w:p>
    <w:p w:rsidRPr="00341251" w:rsidR="00C155FF" w:rsidP="00C155FF" w:rsidRDefault="00C155FF" w14:paraId="43C786DE" w14:textId="77777777">
      <w:pPr>
        <w:pStyle w:val="Textonotapie"/>
        <w:ind w:firstLine="709"/>
        <w:contextualSpacing/>
        <w:jc w:val="both"/>
        <w:rPr>
          <w:rFonts w:ascii="Century Gothic" w:hAnsi="Century Gothic" w:cs="Arial"/>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5248" w:hanging="360"/>
      </w:pPr>
    </w:lvl>
    <w:lvl w:ilvl="2">
      <w:start w:val="1"/>
      <w:numFmt w:val="decimal"/>
      <w:isLgl/>
      <w:lvlText w:val="%1.%2.%3"/>
      <w:lvlJc w:val="left"/>
      <w:pPr>
        <w:ind w:left="5968" w:hanging="720"/>
      </w:pPr>
    </w:lvl>
    <w:lvl w:ilvl="3">
      <w:start w:val="1"/>
      <w:numFmt w:val="decimal"/>
      <w:isLgl/>
      <w:lvlText w:val="%1.%2.%3.%4"/>
      <w:lvlJc w:val="left"/>
      <w:pPr>
        <w:ind w:left="5968" w:hanging="720"/>
      </w:pPr>
    </w:lvl>
    <w:lvl w:ilvl="4">
      <w:start w:val="1"/>
      <w:numFmt w:val="decimal"/>
      <w:isLgl/>
      <w:lvlText w:val="%1.%2.%3.%4.%5"/>
      <w:lvlJc w:val="left"/>
      <w:pPr>
        <w:ind w:left="6328" w:hanging="1080"/>
      </w:pPr>
    </w:lvl>
    <w:lvl w:ilvl="5">
      <w:start w:val="1"/>
      <w:numFmt w:val="decimal"/>
      <w:isLgl/>
      <w:lvlText w:val="%1.%2.%3.%4.%5.%6"/>
      <w:lvlJc w:val="left"/>
      <w:pPr>
        <w:ind w:left="6328" w:hanging="1080"/>
      </w:pPr>
    </w:lvl>
    <w:lvl w:ilvl="6">
      <w:start w:val="1"/>
      <w:numFmt w:val="decimal"/>
      <w:isLgl/>
      <w:lvlText w:val="%1.%2.%3.%4.%5.%6.%7"/>
      <w:lvlJc w:val="left"/>
      <w:pPr>
        <w:ind w:left="6688" w:hanging="1440"/>
      </w:pPr>
    </w:lvl>
    <w:lvl w:ilvl="7">
      <w:start w:val="1"/>
      <w:numFmt w:val="decimal"/>
      <w:isLgl/>
      <w:lvlText w:val="%1.%2.%3.%4.%5.%6.%7.%8"/>
      <w:lvlJc w:val="left"/>
      <w:pPr>
        <w:ind w:left="6688" w:hanging="1440"/>
      </w:pPr>
    </w:lvl>
    <w:lvl w:ilvl="8">
      <w:start w:val="1"/>
      <w:numFmt w:val="decimal"/>
      <w:isLgl/>
      <w:lvlText w:val="%1.%2.%3.%4.%5.%6.%7.%8.%9"/>
      <w:lvlJc w:val="left"/>
      <w:pPr>
        <w:ind w:left="7048"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52747774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518536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80"/>
  <w:proofState w:spelling="clean" w:grammar="dirty"/>
  <w:trackRevisions w:val="false"/>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A1847"/>
    <w:rsid w:val="00061904"/>
    <w:rsid w:val="000668F4"/>
    <w:rsid w:val="00083E58"/>
    <w:rsid w:val="000A683E"/>
    <w:rsid w:val="000B19B9"/>
    <w:rsid w:val="000D0334"/>
    <w:rsid w:val="000F6486"/>
    <w:rsid w:val="0012277B"/>
    <w:rsid w:val="00127233"/>
    <w:rsid w:val="001E4177"/>
    <w:rsid w:val="002951A0"/>
    <w:rsid w:val="002962BC"/>
    <w:rsid w:val="002A49AC"/>
    <w:rsid w:val="002A64FD"/>
    <w:rsid w:val="002C7A84"/>
    <w:rsid w:val="002D662E"/>
    <w:rsid w:val="002E7212"/>
    <w:rsid w:val="002F4BF7"/>
    <w:rsid w:val="003344FA"/>
    <w:rsid w:val="00341251"/>
    <w:rsid w:val="00392858"/>
    <w:rsid w:val="003A239B"/>
    <w:rsid w:val="003A779E"/>
    <w:rsid w:val="003B17D8"/>
    <w:rsid w:val="003D0F4D"/>
    <w:rsid w:val="003E0499"/>
    <w:rsid w:val="003F3941"/>
    <w:rsid w:val="00406275"/>
    <w:rsid w:val="00466882"/>
    <w:rsid w:val="004A1847"/>
    <w:rsid w:val="004A305D"/>
    <w:rsid w:val="004D6C05"/>
    <w:rsid w:val="004F21C4"/>
    <w:rsid w:val="004F685F"/>
    <w:rsid w:val="005449DA"/>
    <w:rsid w:val="005566E8"/>
    <w:rsid w:val="00574867"/>
    <w:rsid w:val="005C4DE8"/>
    <w:rsid w:val="005C5CDC"/>
    <w:rsid w:val="005D476C"/>
    <w:rsid w:val="006219F8"/>
    <w:rsid w:val="00632316"/>
    <w:rsid w:val="00632521"/>
    <w:rsid w:val="006463A8"/>
    <w:rsid w:val="0064697D"/>
    <w:rsid w:val="00651E2E"/>
    <w:rsid w:val="00652E6E"/>
    <w:rsid w:val="006636C9"/>
    <w:rsid w:val="00665D70"/>
    <w:rsid w:val="006A7762"/>
    <w:rsid w:val="00700936"/>
    <w:rsid w:val="00706C16"/>
    <w:rsid w:val="00756841"/>
    <w:rsid w:val="007649AB"/>
    <w:rsid w:val="007833AC"/>
    <w:rsid w:val="007C3DC2"/>
    <w:rsid w:val="007D31BE"/>
    <w:rsid w:val="007E5497"/>
    <w:rsid w:val="007F5336"/>
    <w:rsid w:val="00806F5F"/>
    <w:rsid w:val="00820278"/>
    <w:rsid w:val="00823EA9"/>
    <w:rsid w:val="0082536D"/>
    <w:rsid w:val="00834BAB"/>
    <w:rsid w:val="0084070C"/>
    <w:rsid w:val="00865436"/>
    <w:rsid w:val="00881DAC"/>
    <w:rsid w:val="008843B6"/>
    <w:rsid w:val="00891928"/>
    <w:rsid w:val="00895B7D"/>
    <w:rsid w:val="008A446D"/>
    <w:rsid w:val="008F0EA7"/>
    <w:rsid w:val="008F5DE0"/>
    <w:rsid w:val="0090381A"/>
    <w:rsid w:val="00923EEF"/>
    <w:rsid w:val="009419F9"/>
    <w:rsid w:val="00961B09"/>
    <w:rsid w:val="009630A2"/>
    <w:rsid w:val="00965334"/>
    <w:rsid w:val="0097093E"/>
    <w:rsid w:val="009B5035"/>
    <w:rsid w:val="009C71FA"/>
    <w:rsid w:val="009C72E7"/>
    <w:rsid w:val="009F74DB"/>
    <w:rsid w:val="00A03753"/>
    <w:rsid w:val="00A121AD"/>
    <w:rsid w:val="00A17F13"/>
    <w:rsid w:val="00A20739"/>
    <w:rsid w:val="00A33C78"/>
    <w:rsid w:val="00A63B56"/>
    <w:rsid w:val="00A67D40"/>
    <w:rsid w:val="00A712F8"/>
    <w:rsid w:val="00AB0ADB"/>
    <w:rsid w:val="00AE5061"/>
    <w:rsid w:val="00AF40E2"/>
    <w:rsid w:val="00AF6B70"/>
    <w:rsid w:val="00B05D7F"/>
    <w:rsid w:val="00B31F8B"/>
    <w:rsid w:val="00B45E26"/>
    <w:rsid w:val="00B72CD3"/>
    <w:rsid w:val="00B72FFF"/>
    <w:rsid w:val="00B73483"/>
    <w:rsid w:val="00B866C3"/>
    <w:rsid w:val="00BB00A1"/>
    <w:rsid w:val="00BC4C7E"/>
    <w:rsid w:val="00BD7F72"/>
    <w:rsid w:val="00C06A36"/>
    <w:rsid w:val="00C155FF"/>
    <w:rsid w:val="00C330EB"/>
    <w:rsid w:val="00C357B8"/>
    <w:rsid w:val="00C52564"/>
    <w:rsid w:val="00C6461D"/>
    <w:rsid w:val="00C66D94"/>
    <w:rsid w:val="00C740A4"/>
    <w:rsid w:val="00C754BE"/>
    <w:rsid w:val="00C7749E"/>
    <w:rsid w:val="00CB6357"/>
    <w:rsid w:val="00CB7D63"/>
    <w:rsid w:val="00CC1B26"/>
    <w:rsid w:val="00CC4F2F"/>
    <w:rsid w:val="00CE131B"/>
    <w:rsid w:val="00D04DC3"/>
    <w:rsid w:val="00D423A2"/>
    <w:rsid w:val="00D55BE2"/>
    <w:rsid w:val="00D63AC2"/>
    <w:rsid w:val="00D7383B"/>
    <w:rsid w:val="00D934BC"/>
    <w:rsid w:val="00DF5D73"/>
    <w:rsid w:val="00E16408"/>
    <w:rsid w:val="00E16BA4"/>
    <w:rsid w:val="00E20894"/>
    <w:rsid w:val="00E245AB"/>
    <w:rsid w:val="00E50AFE"/>
    <w:rsid w:val="00E568F2"/>
    <w:rsid w:val="00E771DC"/>
    <w:rsid w:val="00E82C12"/>
    <w:rsid w:val="00E8772A"/>
    <w:rsid w:val="00E90F6B"/>
    <w:rsid w:val="00E92C27"/>
    <w:rsid w:val="00EA0E3D"/>
    <w:rsid w:val="00EA494A"/>
    <w:rsid w:val="00EA744F"/>
    <w:rsid w:val="00EE1AA8"/>
    <w:rsid w:val="00EE2813"/>
    <w:rsid w:val="00EE2DC1"/>
    <w:rsid w:val="00EE4E23"/>
    <w:rsid w:val="00F31EDC"/>
    <w:rsid w:val="00F54881"/>
    <w:rsid w:val="00F5664F"/>
    <w:rsid w:val="00F65F39"/>
    <w:rsid w:val="00F76AFC"/>
    <w:rsid w:val="00F82FD3"/>
    <w:rsid w:val="00FB5DD1"/>
    <w:rsid w:val="00FC2B5D"/>
    <w:rsid w:val="00FF1449"/>
    <w:rsid w:val="4DF4B439"/>
    <w:rsid w:val="6F362C3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docId w15:val="{B6BC9183-ACFC-46F0-AA42-B6E95A39D8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table" w:styleId="Tablaconcuadrcula1" w:customStyle="1">
    <w:name w:val="Tabla con cuadrícula1"/>
    <w:basedOn w:val="Tablanormal"/>
    <w:next w:val="Tablaconcuadrcula"/>
    <w:uiPriority w:val="59"/>
    <w:qFormat/>
    <w:rsid w:val="003344FA"/>
    <w:pPr>
      <w:spacing w:after="0" w:line="240" w:lineRule="auto"/>
    </w:pPr>
    <w:rPr>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3344FA"/>
    <w:rPr>
      <w:color w:val="0563C1" w:themeColor="hyperlink"/>
      <w:u w:val="single"/>
    </w:rPr>
  </w:style>
  <w:style w:type="paragraph" w:styleId="Appelnotedebasde" w:customStyle="1">
    <w:name w:val="Appel note de bas de..."/>
    <w:basedOn w:val="Normal"/>
    <w:link w:val="Refdenotaalpie"/>
    <w:rsid w:val="003344FA"/>
    <w:pPr>
      <w:spacing w:line="240" w:lineRule="exact"/>
    </w:pPr>
    <w:rPr>
      <w:vertAlign w:val="superscript"/>
    </w:rPr>
  </w:style>
  <w:style w:type="paragraph" w:styleId="NormalWeb">
    <w:name w:val="Normal (Web)"/>
    <w:basedOn w:val="Normal"/>
    <w:link w:val="NormalWebCar"/>
    <w:uiPriority w:val="99"/>
    <w:unhideWhenUsed/>
    <w:rsid w:val="00A03753"/>
    <w:pPr>
      <w:spacing w:line="256" w:lineRule="auto"/>
    </w:pPr>
    <w:rPr>
      <w:rFonts w:ascii="Times New Roman" w:hAnsi="Times New Roman" w:cs="Times New Roman"/>
      <w:sz w:val="24"/>
      <w:szCs w:val="24"/>
    </w:rPr>
  </w:style>
  <w:style w:type="character" w:styleId="NormalWebCar" w:customStyle="1">
    <w:name w:val="Normal (Web) Car"/>
    <w:link w:val="NormalWeb"/>
    <w:uiPriority w:val="99"/>
    <w:rsid w:val="00A03753"/>
    <w:rPr>
      <w:rFonts w:ascii="Times New Roman" w:hAnsi="Times New Roman" w:cs="Times New Roman"/>
      <w:sz w:val="24"/>
      <w:szCs w:val="24"/>
    </w:rPr>
  </w:style>
  <w:style w:type="table" w:styleId="Tablaconcuadrcula11" w:customStyle="1">
    <w:name w:val="Tabla con cuadrícula11"/>
    <w:basedOn w:val="Tablanormal"/>
    <w:next w:val="Tablaconcuadrcula"/>
    <w:uiPriority w:val="59"/>
    <w:rsid w:val="00A03753"/>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611552518">
      <w:bodyDiv w:val="1"/>
      <w:marLeft w:val="0"/>
      <w:marRight w:val="0"/>
      <w:marTop w:val="0"/>
      <w:marBottom w:val="0"/>
      <w:divBdr>
        <w:top w:val="none" w:sz="0" w:space="0" w:color="auto"/>
        <w:left w:val="none" w:sz="0" w:space="0" w:color="auto"/>
        <w:bottom w:val="none" w:sz="0" w:space="0" w:color="auto"/>
        <w:right w:val="none" w:sz="0" w:space="0" w:color="auto"/>
      </w:divBdr>
      <w:divsChild>
        <w:div w:id="58052676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relatoria.colombiacompra.gov.co/ficha/C-208%20de%202022"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relatoria.colombiacompra.gov.co/ficha/C-195%20de%202022"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1.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relatoria.colombiacompra.gov.co/ficha/C-125%20de%202022" TargetMode="External" Id="rId11" /><Relationship Type="http://schemas.openxmlformats.org/officeDocument/2006/relationships/styles" Target="styles.xml" Id="rId5" /><Relationship Type="http://schemas.openxmlformats.org/officeDocument/2006/relationships/hyperlink" Target="https://relatoria.colombiacompra.gov.co/ficha/C-034%20de%202023" TargetMode="External" Id="rId15" /><Relationship Type="http://schemas.openxmlformats.org/officeDocument/2006/relationships/hyperlink" Target="https://relatoria.colombiacompra.gov.co/ficha/C-085%20de%202022"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relatoria.colombiacompra.gov.co/ficha/C%20-%20238%20de%202022" TargetMode="External" Id="rId14" /><Relationship Type="http://schemas.openxmlformats.org/officeDocument/2006/relationships/image" Target="/media/image6.png" Id="R3a6a994201be4b94" /></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5E630271-E952-49F7-8D22-6AC626DB8A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Richard Andrés Montenegro Siefken</lastModifiedBy>
  <revision>5</revision>
  <lastPrinted>2023-01-10T21:18:00.0000000Z</lastPrinted>
  <dcterms:created xsi:type="dcterms:W3CDTF">2023-07-08T01:47:00.0000000Z</dcterms:created>
  <dcterms:modified xsi:type="dcterms:W3CDTF">2023-08-31T21:13:38.9597903Z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