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9CC7BE" w14:textId="1332F158" w:rsidR="001A300C" w:rsidRDefault="001A300C" w:rsidP="001A300C">
      <w:pPr>
        <w:spacing w:after="0"/>
        <w:jc w:val="both"/>
        <w:rPr>
          <w:rFonts w:ascii="Verdana" w:hAnsi="Verdana" w:cs="Arial"/>
          <w:b/>
          <w:bCs/>
          <w:lang w:val="es-ES_tradnl" w:eastAsia="es-ES"/>
        </w:rPr>
      </w:pPr>
      <w:bookmarkStart w:id="0" w:name="_Hlk143780582"/>
      <w:r w:rsidRPr="001A300C">
        <w:rPr>
          <w:rFonts w:ascii="Verdana" w:hAnsi="Verdana" w:cs="Arial"/>
          <w:b/>
          <w:bCs/>
          <w:lang w:val="es-ES_tradnl" w:eastAsia="es-ES"/>
        </w:rPr>
        <w:t>CONTRATO DE PRESTACIÓN DE SERVICIOS PROFESIONALES ― Concepto ― Requisitos y límites para su celebración</w:t>
      </w:r>
    </w:p>
    <w:p w14:paraId="246189B3" w14:textId="2B50AC92" w:rsidR="001A300C" w:rsidRDefault="001A300C" w:rsidP="001A300C">
      <w:pPr>
        <w:spacing w:after="0"/>
        <w:jc w:val="both"/>
        <w:rPr>
          <w:rFonts w:ascii="Verdana" w:hAnsi="Verdana" w:cs="Arial"/>
          <w:b/>
          <w:bCs/>
          <w:lang w:val="es-ES_tradnl" w:eastAsia="es-ES"/>
        </w:rPr>
      </w:pPr>
    </w:p>
    <w:p w14:paraId="50F91ADB" w14:textId="209E2C42" w:rsidR="001A300C" w:rsidRPr="001A300C" w:rsidRDefault="001A300C" w:rsidP="001A300C">
      <w:pPr>
        <w:spacing w:after="0" w:line="240" w:lineRule="auto"/>
        <w:jc w:val="both"/>
        <w:rPr>
          <w:rFonts w:ascii="Verdana" w:hAnsi="Verdana" w:cs="Arial"/>
          <w:bCs/>
          <w:sz w:val="20"/>
          <w:szCs w:val="20"/>
          <w:lang w:eastAsia="es-ES"/>
        </w:rPr>
      </w:pPr>
      <w:r w:rsidRPr="001A300C">
        <w:rPr>
          <w:rFonts w:ascii="Verdana" w:hAnsi="Verdana" w:cs="Arial"/>
          <w:bCs/>
          <w:sz w:val="20"/>
          <w:szCs w:val="20"/>
          <w:lang w:eastAsia="es-ES"/>
        </w:rPr>
        <w:t xml:space="preserve">Analizados los requisitos y límites de los contratos de prestación de servicios profesionales, se recuerda que la celebración del contrato de prestación de servicios profesionales con una persona natural es </w:t>
      </w:r>
      <w:r w:rsidRPr="001A300C">
        <w:rPr>
          <w:rFonts w:ascii="Verdana" w:hAnsi="Verdana" w:cs="Arial"/>
          <w:bCs/>
          <w:i/>
          <w:iCs/>
          <w:sz w:val="20"/>
          <w:szCs w:val="20"/>
          <w:lang w:eastAsia="es-ES"/>
        </w:rPr>
        <w:t>excepcional</w:t>
      </w:r>
      <w:r w:rsidRPr="001A300C">
        <w:rPr>
          <w:rFonts w:ascii="Verdana" w:hAnsi="Verdana" w:cs="Arial"/>
          <w:bCs/>
          <w:sz w:val="20"/>
          <w:szCs w:val="20"/>
          <w:lang w:eastAsia="es-ES"/>
        </w:rPr>
        <w:t xml:space="preserve">, ya que solo es admisible cuando las “actividades no puedan realizarse con personal de planta o requieran conocimientos especializados”, lo cual debe justificarse satisfactoriamente en los estudios previos. Además, dicho contrato debe ser </w:t>
      </w:r>
      <w:r w:rsidRPr="001A300C">
        <w:rPr>
          <w:rFonts w:ascii="Verdana" w:hAnsi="Verdana" w:cs="Arial"/>
          <w:bCs/>
          <w:i/>
          <w:iCs/>
          <w:sz w:val="20"/>
          <w:szCs w:val="20"/>
          <w:lang w:eastAsia="es-ES"/>
        </w:rPr>
        <w:t>temporal</w:t>
      </w:r>
      <w:r w:rsidRPr="001A300C">
        <w:rPr>
          <w:rFonts w:ascii="Verdana" w:hAnsi="Verdana" w:cs="Arial"/>
          <w:bCs/>
          <w:sz w:val="20"/>
          <w:szCs w:val="20"/>
          <w:lang w:eastAsia="es-ES"/>
        </w:rPr>
        <w:t xml:space="preserve"> y no puede servir para la creación de nóminas paralelas.</w:t>
      </w:r>
    </w:p>
    <w:p w14:paraId="6F14B3BE" w14:textId="513D4560" w:rsidR="001A300C" w:rsidRPr="001A300C" w:rsidRDefault="001A300C" w:rsidP="001A300C">
      <w:pPr>
        <w:spacing w:after="0" w:line="240" w:lineRule="auto"/>
        <w:jc w:val="both"/>
        <w:rPr>
          <w:rFonts w:ascii="Verdana" w:hAnsi="Verdana" w:cs="Arial"/>
          <w:bCs/>
          <w:sz w:val="20"/>
          <w:szCs w:val="20"/>
          <w:lang w:eastAsia="es-ES"/>
        </w:rPr>
      </w:pPr>
    </w:p>
    <w:p w14:paraId="7DFE2985" w14:textId="77777777" w:rsidR="001A300C" w:rsidRPr="001A300C" w:rsidRDefault="001A300C" w:rsidP="001A300C">
      <w:pPr>
        <w:spacing w:after="0" w:line="240" w:lineRule="auto"/>
        <w:jc w:val="both"/>
        <w:rPr>
          <w:rFonts w:ascii="Verdana" w:hAnsi="Verdana" w:cs="Arial"/>
          <w:bCs/>
          <w:sz w:val="20"/>
          <w:szCs w:val="20"/>
          <w:lang w:eastAsia="es-ES"/>
        </w:rPr>
      </w:pPr>
      <w:r w:rsidRPr="001A300C">
        <w:rPr>
          <w:rFonts w:ascii="Verdana" w:hAnsi="Verdana" w:cs="Arial"/>
          <w:bCs/>
          <w:sz w:val="20"/>
          <w:szCs w:val="20"/>
          <w:lang w:eastAsia="es-ES"/>
        </w:rPr>
        <w:t>Revisado el marco general aplicable a la suscripción de contratos de prestación de servicios y de apoyo a la gestión, es posible concluir, de manera inicial, que las Leyes 80 de 1993 y 1150 de 2007 y el Decreto 1082 de 2015, no establecen límites en cuanto al valor de dichos contratos e indican que estos se pueden suscribir mediante la modalidad de contratación directa, pero no significa que no tenga el deber de hacer un estudio del sector que se concretiza en documentos precontractuales, como el estudio previo, cuyo contenido establezca diferentes criterios metodológicos para determinar el valor y forma de pago dentro del contrato.</w:t>
      </w:r>
    </w:p>
    <w:p w14:paraId="5A7D6934" w14:textId="0DF2AE90" w:rsidR="001A300C" w:rsidRDefault="001A300C" w:rsidP="001A300C">
      <w:pPr>
        <w:spacing w:after="0"/>
        <w:jc w:val="both"/>
        <w:rPr>
          <w:rFonts w:ascii="Verdana" w:hAnsi="Verdana" w:cs="Arial"/>
          <w:b/>
          <w:bCs/>
          <w:lang w:val="es-ES_tradnl" w:eastAsia="es-ES"/>
        </w:rPr>
      </w:pPr>
    </w:p>
    <w:p w14:paraId="4EAB05B3" w14:textId="61DF8A40" w:rsidR="001A300C" w:rsidRPr="001A300C" w:rsidRDefault="001A300C" w:rsidP="001A300C">
      <w:pPr>
        <w:spacing w:after="0"/>
        <w:jc w:val="both"/>
        <w:rPr>
          <w:rFonts w:ascii="Verdana" w:hAnsi="Verdana"/>
          <w:b/>
        </w:rPr>
      </w:pPr>
      <w:r w:rsidRPr="001A300C">
        <w:rPr>
          <w:rFonts w:ascii="Verdana" w:hAnsi="Verdana"/>
          <w:b/>
          <w:bCs/>
          <w:lang w:val="es-ES_tradnl"/>
        </w:rPr>
        <w:t>CELEBRACIÓN DE DOS CONTRATOS DE PRESTACIÓN DE SERVICIOS PROFESIONALES ― Posibilidad ― Límite de honorarios –contrato de prestación de calificados – contrato de prestación altamente calificados.</w:t>
      </w:r>
    </w:p>
    <w:p w14:paraId="64B67C80" w14:textId="77777777" w:rsidR="001A300C" w:rsidRDefault="001A300C" w:rsidP="00D35ED1">
      <w:pPr>
        <w:spacing w:after="0"/>
        <w:rPr>
          <w:rFonts w:ascii="Verdana" w:hAnsi="Verdana"/>
        </w:rPr>
      </w:pPr>
    </w:p>
    <w:p w14:paraId="194CBC58" w14:textId="3EF84DB8" w:rsidR="00A76648" w:rsidRPr="00A76648" w:rsidRDefault="00A76648" w:rsidP="00A76648">
      <w:pPr>
        <w:spacing w:after="0"/>
        <w:jc w:val="both"/>
        <w:rPr>
          <w:rFonts w:ascii="Verdana" w:hAnsi="Verdana"/>
          <w:sz w:val="20"/>
          <w:szCs w:val="20"/>
        </w:rPr>
      </w:pPr>
      <w:r w:rsidRPr="00A76648">
        <w:rPr>
          <w:rFonts w:ascii="Verdana" w:hAnsi="Verdana"/>
          <w:sz w:val="20"/>
          <w:szCs w:val="20"/>
        </w:rPr>
        <w:t xml:space="preserve">De lo anterior, puede entenderse que el Decreto 1068 de 2015 distingue dos categorías de contratos de prestación de servicios: los “calificados” y los “altamente calificados”, indicando que uno u otro deberá́ atender el tope indicado en la norma. Para el caso de los contratos "calificados", no podrán exceder un valor superior a la remuneración total mensual establecida para el jefe de la entidad; y los "altamente calificados", no podrán pactar honorarios superiores al valor total mensual de la remuneración del jefe de la entidad, incluidos los factores prestacionales y las contribuciones inherentes a la nómina, relacionadas con seguridad social y parafiscales a cargo del empleador. </w:t>
      </w:r>
    </w:p>
    <w:p w14:paraId="2A4C8FBA" w14:textId="5A2F8FA6" w:rsidR="00A76648" w:rsidRPr="00A76648" w:rsidRDefault="00A76648" w:rsidP="00A76648">
      <w:pPr>
        <w:spacing w:after="0"/>
        <w:jc w:val="both"/>
        <w:rPr>
          <w:rFonts w:ascii="Verdana" w:hAnsi="Verdana"/>
          <w:sz w:val="20"/>
          <w:szCs w:val="20"/>
        </w:rPr>
      </w:pPr>
    </w:p>
    <w:p w14:paraId="41404706" w14:textId="0810877B" w:rsidR="00D55A2A" w:rsidRDefault="00A76648" w:rsidP="00A76648">
      <w:pPr>
        <w:spacing w:after="0"/>
        <w:jc w:val="both"/>
        <w:rPr>
          <w:rFonts w:ascii="Verdana" w:hAnsi="Verdana"/>
          <w:sz w:val="20"/>
          <w:szCs w:val="20"/>
        </w:rPr>
      </w:pPr>
      <w:r w:rsidRPr="00A76648">
        <w:rPr>
          <w:rFonts w:ascii="Verdana" w:hAnsi="Verdana"/>
          <w:sz w:val="20"/>
          <w:szCs w:val="20"/>
        </w:rPr>
        <w:t xml:space="preserve">En todo caso, la aplicación de las reglas indicadas en el artículo 2.8.4.4.6 Decreto 1068 de 2015, referentes al tope de los contratos de prestación de servicios calificados y altamente calificados, se encuentran condicionadas al concepto “remuneración servicios técnicos”, tal como lo establece el parágrafo 2 de dicho artículo: […] Los servicios a que hace referencia el presente artículo corresponden exclusivamente a aquellos comprendidos en el concepto de “remuneración servicios técnicos” desarrollado en el decreto de liquidación del presupuesto general de la Nación, con independencia del presupuesto con cargo al cual se realice su pago. Al respecto el Decreto 1621 del 30 de diciembre de 2024, "Por el cual se liquida el Presupuesto General de la Nación para la vigencia fiscal de 2025, se detallan las apropiaciones y se clasifican y definen los gastos" dispone en el artículo 35 sobre la clasificación de gastos, entre los que se encuentra, el Código 02 que regula la adquisición de bienes y servicios. Dicho aparte sigue con el </w:t>
      </w:r>
      <w:r w:rsidRPr="00A76648">
        <w:rPr>
          <w:rFonts w:ascii="Verdana" w:hAnsi="Verdana"/>
          <w:sz w:val="20"/>
          <w:szCs w:val="20"/>
        </w:rPr>
        <w:lastRenderedPageBreak/>
        <w:t xml:space="preserve">mismo límite de remuneración para la contratación de prestación de servicios tanto para los calificados como altamente calificados, </w:t>
      </w:r>
      <w:proofErr w:type="gramStart"/>
      <w:r w:rsidRPr="00A76648">
        <w:rPr>
          <w:rFonts w:ascii="Verdana" w:hAnsi="Verdana"/>
          <w:sz w:val="20"/>
          <w:szCs w:val="20"/>
        </w:rPr>
        <w:t>y</w:t>
      </w:r>
      <w:proofErr w:type="gramEnd"/>
      <w:r w:rsidRPr="00A76648">
        <w:rPr>
          <w:rFonts w:ascii="Verdana" w:hAnsi="Verdana"/>
          <w:sz w:val="20"/>
          <w:szCs w:val="20"/>
        </w:rPr>
        <w:t xml:space="preserve"> en consecuencia</w:t>
      </w:r>
      <w:r w:rsidRPr="00A76648">
        <w:rPr>
          <w:rFonts w:ascii="Verdana" w:hAnsi="Verdana"/>
          <w:bCs/>
          <w:sz w:val="20"/>
          <w:szCs w:val="20"/>
        </w:rPr>
        <w:t xml:space="preserve">, deben respetar los límites establecidos en el artículo </w:t>
      </w:r>
      <w:r w:rsidRPr="00A76648">
        <w:rPr>
          <w:rFonts w:ascii="Verdana" w:hAnsi="Verdana"/>
          <w:sz w:val="20"/>
          <w:szCs w:val="20"/>
        </w:rPr>
        <w:t xml:space="preserve">2.8.4.4.6 Decreto 1068 de 2015. </w:t>
      </w:r>
    </w:p>
    <w:p w14:paraId="097A2254" w14:textId="77777777" w:rsidR="00D55A2A" w:rsidRDefault="00D55A2A" w:rsidP="00A76648">
      <w:pPr>
        <w:spacing w:after="0"/>
        <w:jc w:val="both"/>
        <w:rPr>
          <w:rFonts w:ascii="Verdana" w:hAnsi="Verdana"/>
          <w:sz w:val="20"/>
          <w:szCs w:val="20"/>
        </w:rPr>
      </w:pPr>
    </w:p>
    <w:p w14:paraId="3E472CE6" w14:textId="22E4E55B" w:rsidR="00A76648" w:rsidRDefault="00A76648" w:rsidP="00A76648">
      <w:pPr>
        <w:spacing w:after="0"/>
        <w:jc w:val="both"/>
        <w:rPr>
          <w:rFonts w:ascii="Verdana" w:hAnsi="Verdana"/>
          <w:sz w:val="20"/>
          <w:szCs w:val="20"/>
          <w:lang w:val="es-ES"/>
        </w:rPr>
      </w:pPr>
      <w:r w:rsidRPr="00A76648">
        <w:rPr>
          <w:rFonts w:ascii="Verdana" w:hAnsi="Verdana"/>
          <w:sz w:val="20"/>
          <w:szCs w:val="20"/>
        </w:rPr>
        <w:t>La contratación de servicios altamente calificados son aquellos que se caracterizan por su alto nivel de complejidad, especialidad y detalle, en los que se exige que el Representante Legal de la entidad debe certificar el cumplimiento de los siguientes aspectos: i) justificar la necesidad del servicio personal altamente calificado; ii) indicar las características y calidades específicas, altamente calificadas, que reúne el contratista para la ejecución del contrato; y iii) determinar las características de los productos y/o servicios que se espera obtener.</w:t>
      </w:r>
      <w:r w:rsidR="00D55A2A">
        <w:rPr>
          <w:rFonts w:ascii="Verdana" w:hAnsi="Verdana"/>
          <w:sz w:val="20"/>
          <w:szCs w:val="20"/>
        </w:rPr>
        <w:t xml:space="preserve"> </w:t>
      </w:r>
      <w:r w:rsidRPr="00A76648">
        <w:rPr>
          <w:rFonts w:ascii="Verdana" w:hAnsi="Verdana"/>
          <w:sz w:val="20"/>
          <w:szCs w:val="20"/>
        </w:rPr>
        <w:t>Ahora bien, l</w:t>
      </w:r>
      <w:r w:rsidRPr="00A76648">
        <w:rPr>
          <w:rFonts w:ascii="Verdana" w:hAnsi="Verdana"/>
          <w:sz w:val="20"/>
          <w:szCs w:val="20"/>
          <w:lang w:val="es-ES"/>
        </w:rPr>
        <w:t xml:space="preserve">a determinación de los honorarios en los contratos de prestación de servicios se decide automáticamente por parte de las entidades territoriales, sujetándose a los principios de economía y planeación, pues no es aplicable está regla del artículo 2.8.4.4.6 del Decreto 1068 de 2015, de acuerdo a lo prescrito en el artículo </w:t>
      </w:r>
      <w:r w:rsidRPr="00A76648">
        <w:rPr>
          <w:rFonts w:ascii="Verdana" w:hAnsi="Verdana"/>
          <w:sz w:val="20"/>
          <w:szCs w:val="20"/>
        </w:rPr>
        <w:t>2.8.4.1.2. del precitado Decreto</w:t>
      </w:r>
      <w:r w:rsidRPr="00A76648">
        <w:rPr>
          <w:rFonts w:ascii="Verdana" w:hAnsi="Verdana"/>
          <w:sz w:val="20"/>
          <w:szCs w:val="20"/>
          <w:lang w:val="es-ES"/>
        </w:rPr>
        <w:t>, pero se recomienda a las entidades territoriales a adoptar medidas equivalentes a las allí dispuestas en sus organizaciones administrativas.</w:t>
      </w:r>
    </w:p>
    <w:p w14:paraId="423FA1AF" w14:textId="059C691F" w:rsidR="00D55A2A" w:rsidRDefault="00D55A2A" w:rsidP="00A76648">
      <w:pPr>
        <w:spacing w:after="0"/>
        <w:jc w:val="both"/>
        <w:rPr>
          <w:rFonts w:ascii="Verdana" w:hAnsi="Verdana"/>
          <w:sz w:val="20"/>
          <w:szCs w:val="20"/>
          <w:lang w:val="es-ES"/>
        </w:rPr>
      </w:pPr>
    </w:p>
    <w:p w14:paraId="5C799005" w14:textId="70D56731" w:rsidR="00D55A2A" w:rsidRDefault="00D55A2A" w:rsidP="00A76648">
      <w:pPr>
        <w:spacing w:after="0"/>
        <w:jc w:val="both"/>
        <w:rPr>
          <w:rFonts w:ascii="Verdana" w:hAnsi="Verdana"/>
          <w:sz w:val="20"/>
          <w:szCs w:val="20"/>
          <w:lang w:val="es-ES"/>
        </w:rPr>
      </w:pPr>
    </w:p>
    <w:p w14:paraId="45E4BC09" w14:textId="30C79C58" w:rsidR="00D55A2A" w:rsidRDefault="00D55A2A" w:rsidP="00A76648">
      <w:pPr>
        <w:spacing w:after="0"/>
        <w:jc w:val="both"/>
        <w:rPr>
          <w:rFonts w:ascii="Verdana" w:hAnsi="Verdana"/>
          <w:sz w:val="20"/>
          <w:szCs w:val="20"/>
          <w:lang w:val="es-ES"/>
        </w:rPr>
      </w:pPr>
    </w:p>
    <w:p w14:paraId="74C5985C" w14:textId="27E8CD5B" w:rsidR="00D55A2A" w:rsidRDefault="00D55A2A" w:rsidP="00A76648">
      <w:pPr>
        <w:spacing w:after="0"/>
        <w:jc w:val="both"/>
        <w:rPr>
          <w:rFonts w:ascii="Verdana" w:hAnsi="Verdana"/>
          <w:sz w:val="20"/>
          <w:szCs w:val="20"/>
          <w:lang w:val="es-ES"/>
        </w:rPr>
      </w:pPr>
    </w:p>
    <w:p w14:paraId="291AF347" w14:textId="0ECAFBEC" w:rsidR="00D55A2A" w:rsidRDefault="00D55A2A" w:rsidP="00A76648">
      <w:pPr>
        <w:spacing w:after="0"/>
        <w:jc w:val="both"/>
        <w:rPr>
          <w:rFonts w:ascii="Verdana" w:hAnsi="Verdana"/>
          <w:sz w:val="20"/>
          <w:szCs w:val="20"/>
          <w:lang w:val="es-ES"/>
        </w:rPr>
      </w:pPr>
    </w:p>
    <w:p w14:paraId="1C2F4D2D" w14:textId="62E0E28E" w:rsidR="00D55A2A" w:rsidRDefault="00D55A2A" w:rsidP="00A76648">
      <w:pPr>
        <w:spacing w:after="0"/>
        <w:jc w:val="both"/>
        <w:rPr>
          <w:rFonts w:ascii="Verdana" w:hAnsi="Verdana"/>
          <w:sz w:val="20"/>
          <w:szCs w:val="20"/>
          <w:lang w:val="es-ES"/>
        </w:rPr>
      </w:pPr>
    </w:p>
    <w:p w14:paraId="68605D71" w14:textId="11CC832D" w:rsidR="00D55A2A" w:rsidRDefault="00D55A2A" w:rsidP="00A76648">
      <w:pPr>
        <w:spacing w:after="0"/>
        <w:jc w:val="both"/>
        <w:rPr>
          <w:rFonts w:ascii="Verdana" w:hAnsi="Verdana"/>
          <w:sz w:val="20"/>
          <w:szCs w:val="20"/>
          <w:lang w:val="es-ES"/>
        </w:rPr>
      </w:pPr>
    </w:p>
    <w:p w14:paraId="6DD11BB4" w14:textId="43BFB727" w:rsidR="00D55A2A" w:rsidRDefault="00D55A2A" w:rsidP="00A76648">
      <w:pPr>
        <w:spacing w:after="0"/>
        <w:jc w:val="both"/>
        <w:rPr>
          <w:rFonts w:ascii="Verdana" w:hAnsi="Verdana"/>
          <w:sz w:val="20"/>
          <w:szCs w:val="20"/>
          <w:lang w:val="es-ES"/>
        </w:rPr>
      </w:pPr>
    </w:p>
    <w:p w14:paraId="2CE23DF1" w14:textId="1C4BD907" w:rsidR="00D55A2A" w:rsidRDefault="00D55A2A" w:rsidP="00A76648">
      <w:pPr>
        <w:spacing w:after="0"/>
        <w:jc w:val="both"/>
        <w:rPr>
          <w:rFonts w:ascii="Verdana" w:hAnsi="Verdana"/>
          <w:sz w:val="20"/>
          <w:szCs w:val="20"/>
          <w:lang w:val="es-ES"/>
        </w:rPr>
      </w:pPr>
    </w:p>
    <w:p w14:paraId="24D1B53D" w14:textId="0780F8B8" w:rsidR="00D55A2A" w:rsidRDefault="00D55A2A" w:rsidP="00A76648">
      <w:pPr>
        <w:spacing w:after="0"/>
        <w:jc w:val="both"/>
        <w:rPr>
          <w:rFonts w:ascii="Verdana" w:hAnsi="Verdana"/>
          <w:sz w:val="20"/>
          <w:szCs w:val="20"/>
          <w:lang w:val="es-ES"/>
        </w:rPr>
      </w:pPr>
    </w:p>
    <w:p w14:paraId="79D24DD5" w14:textId="4DF9CD7D" w:rsidR="00D55A2A" w:rsidRDefault="00D55A2A" w:rsidP="00A76648">
      <w:pPr>
        <w:spacing w:after="0"/>
        <w:jc w:val="both"/>
        <w:rPr>
          <w:rFonts w:ascii="Verdana" w:hAnsi="Verdana"/>
          <w:sz w:val="20"/>
          <w:szCs w:val="20"/>
          <w:lang w:val="es-ES"/>
        </w:rPr>
      </w:pPr>
    </w:p>
    <w:p w14:paraId="034D13A6" w14:textId="5069D8C9" w:rsidR="00D55A2A" w:rsidRDefault="00D55A2A" w:rsidP="00A76648">
      <w:pPr>
        <w:spacing w:after="0"/>
        <w:jc w:val="both"/>
        <w:rPr>
          <w:rFonts w:ascii="Verdana" w:hAnsi="Verdana"/>
          <w:sz w:val="20"/>
          <w:szCs w:val="20"/>
          <w:lang w:val="es-ES"/>
        </w:rPr>
      </w:pPr>
    </w:p>
    <w:p w14:paraId="07AE74D5" w14:textId="42258E6B" w:rsidR="00D55A2A" w:rsidRDefault="00D55A2A" w:rsidP="00A76648">
      <w:pPr>
        <w:spacing w:after="0"/>
        <w:jc w:val="both"/>
        <w:rPr>
          <w:rFonts w:ascii="Verdana" w:hAnsi="Verdana"/>
          <w:sz w:val="20"/>
          <w:szCs w:val="20"/>
          <w:lang w:val="es-ES"/>
        </w:rPr>
      </w:pPr>
    </w:p>
    <w:p w14:paraId="35D5732B" w14:textId="40FE8E77" w:rsidR="00D55A2A" w:rsidRDefault="00D55A2A" w:rsidP="00A76648">
      <w:pPr>
        <w:spacing w:after="0"/>
        <w:jc w:val="both"/>
        <w:rPr>
          <w:rFonts w:ascii="Verdana" w:hAnsi="Verdana"/>
          <w:sz w:val="20"/>
          <w:szCs w:val="20"/>
          <w:lang w:val="es-ES"/>
        </w:rPr>
      </w:pPr>
    </w:p>
    <w:p w14:paraId="00AC3AE2" w14:textId="778ABCF6" w:rsidR="00D55A2A" w:rsidRDefault="00D55A2A" w:rsidP="00A76648">
      <w:pPr>
        <w:spacing w:after="0"/>
        <w:jc w:val="both"/>
        <w:rPr>
          <w:rFonts w:ascii="Verdana" w:hAnsi="Verdana"/>
          <w:sz w:val="20"/>
          <w:szCs w:val="20"/>
          <w:lang w:val="es-ES"/>
        </w:rPr>
      </w:pPr>
    </w:p>
    <w:p w14:paraId="208010FF" w14:textId="7E50DB60" w:rsidR="00D55A2A" w:rsidRDefault="00D55A2A" w:rsidP="00A76648">
      <w:pPr>
        <w:spacing w:after="0"/>
        <w:jc w:val="both"/>
        <w:rPr>
          <w:rFonts w:ascii="Verdana" w:hAnsi="Verdana"/>
          <w:sz w:val="20"/>
          <w:szCs w:val="20"/>
          <w:lang w:val="es-ES"/>
        </w:rPr>
      </w:pPr>
    </w:p>
    <w:p w14:paraId="7EFCEA35" w14:textId="4981F7F5" w:rsidR="00D55A2A" w:rsidRDefault="00D55A2A" w:rsidP="00A76648">
      <w:pPr>
        <w:spacing w:after="0"/>
        <w:jc w:val="both"/>
        <w:rPr>
          <w:rFonts w:ascii="Verdana" w:hAnsi="Verdana"/>
          <w:sz w:val="20"/>
          <w:szCs w:val="20"/>
          <w:lang w:val="es-ES"/>
        </w:rPr>
      </w:pPr>
    </w:p>
    <w:p w14:paraId="1A12434E" w14:textId="514BE331" w:rsidR="00D55A2A" w:rsidRDefault="00D55A2A" w:rsidP="00A76648">
      <w:pPr>
        <w:spacing w:after="0"/>
        <w:jc w:val="both"/>
        <w:rPr>
          <w:rFonts w:ascii="Verdana" w:hAnsi="Verdana"/>
          <w:sz w:val="20"/>
          <w:szCs w:val="20"/>
          <w:lang w:val="es-ES"/>
        </w:rPr>
      </w:pPr>
    </w:p>
    <w:p w14:paraId="6757A56A" w14:textId="538CA265" w:rsidR="00D55A2A" w:rsidRDefault="00D55A2A" w:rsidP="00A76648">
      <w:pPr>
        <w:spacing w:after="0"/>
        <w:jc w:val="both"/>
        <w:rPr>
          <w:rFonts w:ascii="Verdana" w:hAnsi="Verdana"/>
          <w:sz w:val="20"/>
          <w:szCs w:val="20"/>
          <w:lang w:val="es-ES"/>
        </w:rPr>
      </w:pPr>
    </w:p>
    <w:p w14:paraId="553ECEF6" w14:textId="00AF0206" w:rsidR="00D55A2A" w:rsidRDefault="00D55A2A" w:rsidP="00A76648">
      <w:pPr>
        <w:spacing w:after="0"/>
        <w:jc w:val="both"/>
        <w:rPr>
          <w:rFonts w:ascii="Verdana" w:hAnsi="Verdana"/>
          <w:sz w:val="20"/>
          <w:szCs w:val="20"/>
          <w:lang w:val="es-ES"/>
        </w:rPr>
      </w:pPr>
    </w:p>
    <w:p w14:paraId="54ED5E72" w14:textId="0C91F834" w:rsidR="00D55A2A" w:rsidRDefault="00D55A2A" w:rsidP="00A76648">
      <w:pPr>
        <w:spacing w:after="0"/>
        <w:jc w:val="both"/>
        <w:rPr>
          <w:rFonts w:ascii="Verdana" w:hAnsi="Verdana"/>
          <w:sz w:val="20"/>
          <w:szCs w:val="20"/>
          <w:lang w:val="es-ES"/>
        </w:rPr>
      </w:pPr>
    </w:p>
    <w:p w14:paraId="56EB8B0D" w14:textId="535CEEEF" w:rsidR="00D55A2A" w:rsidRDefault="00D55A2A" w:rsidP="00A76648">
      <w:pPr>
        <w:spacing w:after="0"/>
        <w:jc w:val="both"/>
        <w:rPr>
          <w:rFonts w:ascii="Verdana" w:hAnsi="Verdana"/>
          <w:sz w:val="20"/>
          <w:szCs w:val="20"/>
          <w:lang w:val="es-ES"/>
        </w:rPr>
      </w:pPr>
    </w:p>
    <w:p w14:paraId="2F471E6B" w14:textId="7A742F5D" w:rsidR="00D55A2A" w:rsidRDefault="00D55A2A" w:rsidP="00A76648">
      <w:pPr>
        <w:spacing w:after="0"/>
        <w:jc w:val="both"/>
        <w:rPr>
          <w:rFonts w:ascii="Verdana" w:hAnsi="Verdana"/>
          <w:sz w:val="20"/>
          <w:szCs w:val="20"/>
          <w:lang w:val="es-ES"/>
        </w:rPr>
      </w:pPr>
    </w:p>
    <w:p w14:paraId="5649FE91" w14:textId="708EA560" w:rsidR="00D55A2A" w:rsidRDefault="00D55A2A" w:rsidP="00A76648">
      <w:pPr>
        <w:spacing w:after="0"/>
        <w:jc w:val="both"/>
        <w:rPr>
          <w:rFonts w:ascii="Verdana" w:hAnsi="Verdana"/>
          <w:sz w:val="20"/>
          <w:szCs w:val="20"/>
          <w:lang w:val="es-ES"/>
        </w:rPr>
      </w:pPr>
    </w:p>
    <w:p w14:paraId="2B6B423F" w14:textId="134BAE9B" w:rsidR="00D55A2A" w:rsidRDefault="00D55A2A" w:rsidP="00A76648">
      <w:pPr>
        <w:spacing w:after="0"/>
        <w:jc w:val="both"/>
        <w:rPr>
          <w:rFonts w:ascii="Verdana" w:hAnsi="Verdana"/>
          <w:sz w:val="20"/>
          <w:szCs w:val="20"/>
          <w:lang w:val="es-ES"/>
        </w:rPr>
      </w:pPr>
    </w:p>
    <w:p w14:paraId="597625CE" w14:textId="77777777" w:rsidR="00D55A2A" w:rsidRDefault="00D55A2A" w:rsidP="00A76648">
      <w:pPr>
        <w:spacing w:after="0"/>
        <w:jc w:val="both"/>
        <w:rPr>
          <w:rFonts w:ascii="Verdana" w:hAnsi="Verdana"/>
          <w:sz w:val="20"/>
          <w:szCs w:val="20"/>
          <w:lang w:val="es-ES"/>
        </w:rPr>
      </w:pPr>
    </w:p>
    <w:p w14:paraId="2FAA64EF" w14:textId="4C28C3D0" w:rsidR="00D55A2A" w:rsidRPr="00A76648" w:rsidRDefault="00D55A2A" w:rsidP="00A76648">
      <w:pPr>
        <w:spacing w:after="0"/>
        <w:jc w:val="both"/>
        <w:rPr>
          <w:rFonts w:ascii="Verdana" w:hAnsi="Verdana"/>
          <w:sz w:val="20"/>
          <w:szCs w:val="20"/>
        </w:rPr>
      </w:pPr>
    </w:p>
    <w:p w14:paraId="0FA52AE0" w14:textId="77777777" w:rsidR="001A300C" w:rsidRDefault="001A300C" w:rsidP="00D35ED1">
      <w:pPr>
        <w:spacing w:after="0"/>
        <w:rPr>
          <w:rFonts w:ascii="Verdana" w:hAnsi="Verdana"/>
        </w:rPr>
      </w:pPr>
    </w:p>
    <w:p w14:paraId="4B0A3E4B" w14:textId="77777777" w:rsidR="00D55A2A" w:rsidRDefault="00D55A2A" w:rsidP="00D35ED1">
      <w:pPr>
        <w:spacing w:after="0"/>
        <w:rPr>
          <w:rFonts w:ascii="Verdana" w:hAnsi="Verdana"/>
        </w:rPr>
      </w:pPr>
    </w:p>
    <w:p w14:paraId="3EE4757C" w14:textId="49F4AFD4" w:rsidR="00D35ED1" w:rsidRPr="0044528D" w:rsidRDefault="00D35ED1" w:rsidP="00D35ED1">
      <w:pPr>
        <w:spacing w:after="0"/>
        <w:rPr>
          <w:rFonts w:ascii="Verdana" w:hAnsi="Verdana"/>
        </w:rPr>
      </w:pPr>
      <w:r w:rsidRPr="0044528D">
        <w:rPr>
          <w:rFonts w:ascii="Verdana" w:hAnsi="Verdana"/>
        </w:rPr>
        <w:t>Bogotá D.C.,</w:t>
      </w:r>
      <w:r w:rsidR="001A300C">
        <w:rPr>
          <w:rFonts w:ascii="Verdana" w:hAnsi="Verdana"/>
        </w:rPr>
        <w:t xml:space="preserve"> 27 de marzo de 2025</w:t>
      </w:r>
      <w:r w:rsidRPr="0044528D">
        <w:rPr>
          <w:rFonts w:ascii="Verdana" w:hAnsi="Verdana"/>
        </w:rPr>
        <w:tab/>
      </w:r>
    </w:p>
    <w:p w14:paraId="5D7BECF6" w14:textId="54BE387A" w:rsidR="00D35ED1" w:rsidRPr="0044528D" w:rsidRDefault="001A300C" w:rsidP="00D35ED1">
      <w:pPr>
        <w:spacing w:after="0"/>
        <w:rPr>
          <w:rFonts w:ascii="Verdana" w:hAnsi="Verdana"/>
        </w:rPr>
      </w:pPr>
      <w:bookmarkStart w:id="1" w:name="_GoBack"/>
      <w:r w:rsidRPr="001A300C">
        <w:rPr>
          <w:rFonts w:ascii="Verdana" w:hAnsi="Verdana"/>
          <w:noProof/>
          <w:lang w:val="en-US"/>
        </w:rPr>
        <w:drawing>
          <wp:anchor distT="0" distB="0" distL="114300" distR="114300" simplePos="0" relativeHeight="251658240" behindDoc="0" locked="0" layoutInCell="1" allowOverlap="1" wp14:anchorId="60677D43" wp14:editId="6DFB43A0">
            <wp:simplePos x="0" y="0"/>
            <wp:positionH relativeFrom="margin">
              <wp:posOffset>2757540</wp:posOffset>
            </wp:positionH>
            <wp:positionV relativeFrom="paragraph">
              <wp:posOffset>15875</wp:posOffset>
            </wp:positionV>
            <wp:extent cx="2976880" cy="82296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6880" cy="82296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
    </w:p>
    <w:p w14:paraId="763E8E2D" w14:textId="77777777" w:rsidR="00D35ED1" w:rsidRPr="0044528D" w:rsidRDefault="00D35ED1" w:rsidP="00D35ED1">
      <w:pPr>
        <w:spacing w:after="0"/>
        <w:rPr>
          <w:rFonts w:ascii="Verdana" w:hAnsi="Verdana"/>
        </w:rPr>
      </w:pPr>
    </w:p>
    <w:p w14:paraId="58E15B5E" w14:textId="690F74D9" w:rsidR="00D35ED1" w:rsidRDefault="00D35ED1" w:rsidP="00D35ED1">
      <w:pPr>
        <w:spacing w:after="0"/>
        <w:rPr>
          <w:rFonts w:ascii="Verdana" w:hAnsi="Verdana"/>
        </w:rPr>
      </w:pPr>
    </w:p>
    <w:p w14:paraId="11028B97" w14:textId="77777777" w:rsidR="00D55A2A" w:rsidRPr="007C07D7" w:rsidRDefault="00D55A2A" w:rsidP="00D35ED1">
      <w:pPr>
        <w:spacing w:after="0"/>
        <w:rPr>
          <w:rFonts w:ascii="Verdana" w:hAnsi="Verdana"/>
        </w:rPr>
      </w:pPr>
    </w:p>
    <w:p w14:paraId="587B0B46" w14:textId="77777777" w:rsidR="00D35ED1" w:rsidRPr="007C07D7" w:rsidRDefault="00D35ED1" w:rsidP="00D35ED1">
      <w:pPr>
        <w:spacing w:after="0" w:line="240" w:lineRule="auto"/>
        <w:rPr>
          <w:rFonts w:ascii="Verdana" w:eastAsia="Calibri" w:hAnsi="Verdana" w:cs="Times New Roman"/>
          <w:lang w:val="es-MX"/>
        </w:rPr>
      </w:pPr>
      <w:r>
        <w:rPr>
          <w:rFonts w:ascii="Verdana" w:eastAsia="Calibri" w:hAnsi="Verdana" w:cs="Times New Roman"/>
          <w:lang w:val="es-MX"/>
        </w:rPr>
        <w:t>Señor</w:t>
      </w:r>
    </w:p>
    <w:p w14:paraId="036C6C60" w14:textId="77777777" w:rsidR="00D35ED1" w:rsidRPr="007C07D7" w:rsidRDefault="00D35ED1" w:rsidP="00D35ED1">
      <w:pPr>
        <w:spacing w:after="0" w:line="240" w:lineRule="auto"/>
        <w:rPr>
          <w:rFonts w:ascii="Verdana" w:hAnsi="Verdana"/>
          <w:b/>
        </w:rPr>
      </w:pPr>
      <w:r w:rsidRPr="007C07D7">
        <w:rPr>
          <w:rFonts w:ascii="Verdana" w:hAnsi="Verdana"/>
          <w:b/>
        </w:rPr>
        <w:t>Juan Roberto Jiménez Cardona</w:t>
      </w:r>
    </w:p>
    <w:p w14:paraId="71866096" w14:textId="77777777" w:rsidR="00D35ED1" w:rsidRPr="007C07D7" w:rsidRDefault="001A300C" w:rsidP="00D35ED1">
      <w:pPr>
        <w:spacing w:after="0" w:line="240" w:lineRule="auto"/>
        <w:rPr>
          <w:rFonts w:ascii="Verdana" w:hAnsi="Verdana"/>
        </w:rPr>
      </w:pPr>
      <w:hyperlink r:id="rId12" w:history="1">
        <w:r w:rsidR="00D35ED1" w:rsidRPr="002B09BD">
          <w:rPr>
            <w:rStyle w:val="Hipervnculo"/>
            <w:rFonts w:ascii="Verdana" w:hAnsi="Verdana"/>
          </w:rPr>
          <w:t>juanroberto2709@gmail.com</w:t>
        </w:r>
      </w:hyperlink>
      <w:r w:rsidR="00D35ED1">
        <w:rPr>
          <w:rFonts w:ascii="Verdana" w:hAnsi="Verdana"/>
        </w:rPr>
        <w:t xml:space="preserve"> </w:t>
      </w:r>
    </w:p>
    <w:p w14:paraId="4B343FCB" w14:textId="77777777" w:rsidR="00D35ED1" w:rsidRPr="007C07D7" w:rsidRDefault="00D35ED1" w:rsidP="00D35ED1">
      <w:pPr>
        <w:spacing w:after="0" w:line="240" w:lineRule="auto"/>
        <w:rPr>
          <w:rFonts w:ascii="Verdana" w:eastAsia="Calibri" w:hAnsi="Verdana" w:cs="Times New Roman"/>
        </w:rPr>
      </w:pPr>
      <w:r w:rsidRPr="007C07D7">
        <w:rPr>
          <w:rFonts w:ascii="Verdana" w:eastAsia="Calibri" w:hAnsi="Verdana" w:cs="Times New Roman"/>
        </w:rPr>
        <w:t>Bogotá D.C.</w:t>
      </w:r>
    </w:p>
    <w:p w14:paraId="2E803EC4" w14:textId="77777777" w:rsidR="00D35ED1" w:rsidRDefault="00D35ED1" w:rsidP="00D35ED1">
      <w:pPr>
        <w:spacing w:after="0" w:line="256" w:lineRule="auto"/>
        <w:rPr>
          <w:rFonts w:ascii="Verdana" w:eastAsia="Calibri" w:hAnsi="Verdana" w:cs="Times New Roman"/>
        </w:rPr>
      </w:pPr>
    </w:p>
    <w:p w14:paraId="08F4ADE3" w14:textId="77777777" w:rsidR="00D35ED1" w:rsidRDefault="00D35ED1" w:rsidP="00D35ED1">
      <w:pPr>
        <w:spacing w:after="0" w:line="256" w:lineRule="auto"/>
        <w:rPr>
          <w:rFonts w:ascii="Verdana" w:eastAsia="Calibri" w:hAnsi="Verdana" w:cs="Times New Roman"/>
        </w:rPr>
      </w:pPr>
    </w:p>
    <w:p w14:paraId="2DBF9849" w14:textId="77777777" w:rsidR="00D35ED1" w:rsidRPr="00CE62FF" w:rsidRDefault="00D35ED1" w:rsidP="00D35ED1">
      <w:pPr>
        <w:spacing w:after="0" w:line="256" w:lineRule="auto"/>
        <w:rPr>
          <w:rFonts w:ascii="Verdana" w:eastAsia="Calibri" w:hAnsi="Verdana" w:cs="Times New Roman"/>
          <w:b/>
          <w:bCs/>
          <w:lang w:val="es-ES"/>
        </w:rPr>
      </w:pPr>
      <w:r w:rsidRPr="00CE62FF">
        <w:rPr>
          <w:rFonts w:ascii="Verdana" w:eastAsia="Calibri" w:hAnsi="Verdana" w:cs="Times New Roman"/>
          <w:b/>
          <w:bCs/>
          <w:lang w:val="es-ES"/>
        </w:rPr>
        <w:t xml:space="preserve">               </w:t>
      </w:r>
      <w:r>
        <w:rPr>
          <w:rFonts w:ascii="Verdana" w:eastAsia="Calibri" w:hAnsi="Verdana" w:cs="Times New Roman"/>
          <w:b/>
          <w:bCs/>
          <w:lang w:val="es-ES"/>
        </w:rPr>
        <w:t xml:space="preserve">                     Concepto C-227</w:t>
      </w:r>
      <w:r w:rsidRPr="00CE62FF">
        <w:rPr>
          <w:rFonts w:ascii="Verdana" w:eastAsia="Calibri" w:hAnsi="Verdana" w:cs="Times New Roman"/>
          <w:b/>
          <w:bCs/>
          <w:lang w:val="es-ES"/>
        </w:rPr>
        <w:t xml:space="preserve"> de 2025</w:t>
      </w:r>
    </w:p>
    <w:p w14:paraId="2A41F28D" w14:textId="77777777" w:rsidR="00D35ED1" w:rsidRPr="00CE62FF" w:rsidRDefault="00D35ED1" w:rsidP="00D35ED1">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95"/>
        <w:gridCol w:w="6331"/>
        <w:gridCol w:w="6237"/>
      </w:tblGrid>
      <w:tr w:rsidR="00D35ED1" w:rsidRPr="00CE62FF" w14:paraId="5219BCF3" w14:textId="77777777" w:rsidTr="001A300C">
        <w:trPr>
          <w:trHeight w:val="1574"/>
        </w:trPr>
        <w:tc>
          <w:tcPr>
            <w:tcW w:w="2595" w:type="dxa"/>
            <w:hideMark/>
          </w:tcPr>
          <w:p w14:paraId="3F02D062" w14:textId="77777777" w:rsidR="00D35ED1" w:rsidRPr="00CE62FF" w:rsidRDefault="00D35ED1" w:rsidP="001A300C">
            <w:pPr>
              <w:rPr>
                <w:rFonts w:ascii="Verdana" w:hAnsi="Verdana"/>
                <w:b/>
                <w:bCs/>
                <w:lang w:val="es-ES_tradnl"/>
              </w:rPr>
            </w:pPr>
            <w:r w:rsidRPr="00CE62FF">
              <w:rPr>
                <w:rFonts w:ascii="Verdana" w:hAnsi="Verdana"/>
                <w:b/>
                <w:bCs/>
                <w:lang w:val="es-ES_tradnl"/>
              </w:rPr>
              <w:t xml:space="preserve">Temas:                   </w:t>
            </w:r>
          </w:p>
        </w:tc>
        <w:tc>
          <w:tcPr>
            <w:tcW w:w="6331" w:type="dxa"/>
            <w:hideMark/>
          </w:tcPr>
          <w:p w14:paraId="6A010C2D" w14:textId="77777777" w:rsidR="00D35ED1" w:rsidRPr="00CE62FF" w:rsidRDefault="00D35ED1" w:rsidP="001A300C">
            <w:pPr>
              <w:jc w:val="both"/>
              <w:rPr>
                <w:rFonts w:ascii="Verdana" w:hAnsi="Verdana"/>
                <w:highlight w:val="yellow"/>
              </w:rPr>
            </w:pPr>
            <w:r w:rsidRPr="007C07D7">
              <w:rPr>
                <w:rFonts w:ascii="Verdana" w:hAnsi="Verdana" w:cs="Arial"/>
                <w:bCs/>
                <w:lang w:val="es-ES_tradnl" w:eastAsia="es-ES"/>
              </w:rPr>
              <w:t>CONTRATO DE PRESTACIÓN DE SERVICIOS PROFESIONALES ― Concepto ― Requisitos y límites para su celebración / CELEBRACIÓN DE DOS CONTRATOS DE PRESTACIÓN DE SERVICIOS PROFESIONALES ― Posibilidad ― Límite de honorarios</w:t>
            </w:r>
            <w:r>
              <w:rPr>
                <w:rFonts w:ascii="Verdana" w:hAnsi="Verdana" w:cs="Arial"/>
                <w:bCs/>
                <w:lang w:val="es-ES_tradnl" w:eastAsia="es-ES"/>
              </w:rPr>
              <w:t xml:space="preserve"> –contrato de prestación de calificados – contrato de prestación altamente calificados. </w:t>
            </w:r>
            <w:r w:rsidRPr="007C07D7">
              <w:rPr>
                <w:rFonts w:ascii="Verdana" w:hAnsi="Verdana" w:cs="Arial"/>
                <w:bCs/>
                <w:lang w:val="es-ES_tradnl" w:eastAsia="es-ES"/>
              </w:rPr>
              <w:t xml:space="preserve"> </w:t>
            </w:r>
          </w:p>
        </w:tc>
        <w:tc>
          <w:tcPr>
            <w:tcW w:w="6237" w:type="dxa"/>
          </w:tcPr>
          <w:p w14:paraId="453D0C9D" w14:textId="77777777" w:rsidR="00D35ED1" w:rsidRPr="00CE62FF" w:rsidRDefault="00D35ED1" w:rsidP="001A300C">
            <w:pPr>
              <w:spacing w:line="256" w:lineRule="auto"/>
              <w:rPr>
                <w:rFonts w:ascii="Verdana" w:hAnsi="Verdana"/>
              </w:rPr>
            </w:pPr>
          </w:p>
        </w:tc>
      </w:tr>
      <w:tr w:rsidR="00D35ED1" w:rsidRPr="00CE62FF" w14:paraId="29D47319" w14:textId="77777777" w:rsidTr="001A300C">
        <w:tc>
          <w:tcPr>
            <w:tcW w:w="2595" w:type="dxa"/>
          </w:tcPr>
          <w:p w14:paraId="40728EEB" w14:textId="77777777" w:rsidR="00D35ED1" w:rsidRPr="00CE62FF" w:rsidRDefault="00D35ED1" w:rsidP="001A300C">
            <w:pPr>
              <w:spacing w:line="256" w:lineRule="auto"/>
              <w:rPr>
                <w:rFonts w:ascii="Verdana" w:hAnsi="Verdana"/>
                <w:lang w:val="es-ES_tradnl"/>
              </w:rPr>
            </w:pPr>
          </w:p>
          <w:p w14:paraId="05E1A2A5" w14:textId="77777777" w:rsidR="00D35ED1" w:rsidRPr="00CE62FF" w:rsidRDefault="00D35ED1" w:rsidP="001A300C">
            <w:pPr>
              <w:spacing w:line="256" w:lineRule="auto"/>
              <w:rPr>
                <w:rFonts w:ascii="Verdana" w:hAnsi="Verdana"/>
                <w:b/>
                <w:bCs/>
                <w:lang w:val="es-ES_tradnl"/>
              </w:rPr>
            </w:pPr>
            <w:r w:rsidRPr="00CE62FF">
              <w:rPr>
                <w:rFonts w:ascii="Verdana" w:hAnsi="Verdana"/>
                <w:b/>
                <w:bCs/>
                <w:lang w:val="es-ES_tradnl"/>
              </w:rPr>
              <w:t xml:space="preserve">Radicación:               </w:t>
            </w:r>
          </w:p>
        </w:tc>
        <w:tc>
          <w:tcPr>
            <w:tcW w:w="6331" w:type="dxa"/>
          </w:tcPr>
          <w:p w14:paraId="3C293C2E" w14:textId="77777777" w:rsidR="00D35ED1" w:rsidRPr="00CE62FF" w:rsidRDefault="00D35ED1" w:rsidP="001A300C">
            <w:pPr>
              <w:spacing w:line="257" w:lineRule="auto"/>
              <w:rPr>
                <w:rFonts w:ascii="Verdana" w:hAnsi="Verdana"/>
                <w:lang w:val="es-ES_tradnl"/>
              </w:rPr>
            </w:pPr>
          </w:p>
          <w:p w14:paraId="4E8A9349" w14:textId="07A1A98E" w:rsidR="00D35ED1" w:rsidRPr="00CE62FF" w:rsidRDefault="00D35ED1" w:rsidP="001A300C">
            <w:pPr>
              <w:spacing w:line="257" w:lineRule="auto"/>
              <w:jc w:val="both"/>
              <w:rPr>
                <w:rFonts w:ascii="Verdana" w:hAnsi="Verdana"/>
              </w:rPr>
            </w:pPr>
            <w:r w:rsidRPr="00CE62FF">
              <w:rPr>
                <w:rFonts w:ascii="Verdana" w:hAnsi="Verdana"/>
                <w:lang w:val="es-ES_tradnl"/>
              </w:rPr>
              <w:t xml:space="preserve">Respuesta a consulta con radicado No. </w:t>
            </w:r>
            <w:r w:rsidRPr="007C07D7">
              <w:rPr>
                <w:rFonts w:ascii="Verdana" w:hAnsi="Verdana"/>
              </w:rPr>
              <w:t>P20250221001750</w:t>
            </w:r>
          </w:p>
          <w:p w14:paraId="35413A47" w14:textId="77777777" w:rsidR="00D35ED1" w:rsidRPr="00CE62FF" w:rsidRDefault="00D35ED1" w:rsidP="001A300C">
            <w:pPr>
              <w:spacing w:line="257" w:lineRule="auto"/>
              <w:jc w:val="both"/>
              <w:rPr>
                <w:rFonts w:ascii="Verdana" w:hAnsi="Verdana"/>
              </w:rPr>
            </w:pPr>
          </w:p>
        </w:tc>
        <w:tc>
          <w:tcPr>
            <w:tcW w:w="6237" w:type="dxa"/>
          </w:tcPr>
          <w:p w14:paraId="226578B5" w14:textId="77777777" w:rsidR="00D35ED1" w:rsidRPr="00CE62FF" w:rsidRDefault="00D35ED1" w:rsidP="001A300C">
            <w:pPr>
              <w:spacing w:line="256" w:lineRule="auto"/>
              <w:rPr>
                <w:rFonts w:ascii="Verdana" w:hAnsi="Verdana"/>
                <w:lang w:val="es-ES_tradnl"/>
              </w:rPr>
            </w:pPr>
          </w:p>
        </w:tc>
      </w:tr>
    </w:tbl>
    <w:p w14:paraId="56505A86" w14:textId="77777777" w:rsidR="00D35ED1" w:rsidRPr="00CE62FF" w:rsidRDefault="00D35ED1" w:rsidP="00D35ED1">
      <w:pPr>
        <w:spacing w:after="0" w:line="256" w:lineRule="auto"/>
        <w:rPr>
          <w:rFonts w:ascii="Verdana" w:eastAsia="Calibri" w:hAnsi="Verdana" w:cs="Times New Roman"/>
          <w:lang w:val="es-ES_tradnl"/>
        </w:rPr>
      </w:pPr>
    </w:p>
    <w:p w14:paraId="63ADBBB7" w14:textId="77777777" w:rsidR="00D35ED1" w:rsidRPr="00CE62FF" w:rsidRDefault="00D35ED1" w:rsidP="00D35ED1">
      <w:pPr>
        <w:spacing w:after="0" w:line="256" w:lineRule="auto"/>
        <w:rPr>
          <w:rFonts w:ascii="Verdana" w:eastAsia="Calibri" w:hAnsi="Verdana" w:cs="Times New Roman"/>
          <w:lang w:val="es-ES"/>
        </w:rPr>
      </w:pPr>
      <w:r>
        <w:rPr>
          <w:rFonts w:ascii="Verdana" w:eastAsia="Calibri" w:hAnsi="Verdana" w:cs="Times New Roman"/>
          <w:lang w:val="es-ES"/>
        </w:rPr>
        <w:t>Estimado Señor Juan Roberto</w:t>
      </w:r>
      <w:r w:rsidRPr="00CE62FF">
        <w:rPr>
          <w:rFonts w:ascii="Verdana" w:eastAsia="Calibri" w:hAnsi="Verdana" w:cs="Times New Roman"/>
          <w:lang w:val="es-ES"/>
        </w:rPr>
        <w:t xml:space="preserve">: </w:t>
      </w:r>
    </w:p>
    <w:p w14:paraId="1B07510C" w14:textId="77777777" w:rsidR="00D35ED1" w:rsidRPr="00CE62FF" w:rsidRDefault="00D35ED1" w:rsidP="00D35ED1">
      <w:pPr>
        <w:spacing w:after="0" w:line="256" w:lineRule="auto"/>
        <w:rPr>
          <w:rFonts w:ascii="Verdana" w:eastAsia="Calibri" w:hAnsi="Verdana" w:cs="Times New Roman"/>
          <w:lang w:val="es-ES"/>
        </w:rPr>
      </w:pPr>
    </w:p>
    <w:p w14:paraId="02BCEC9D" w14:textId="77777777" w:rsidR="00D35ED1" w:rsidRDefault="00D35ED1" w:rsidP="00D35ED1">
      <w:pPr>
        <w:spacing w:after="0" w:line="276" w:lineRule="auto"/>
        <w:jc w:val="both"/>
        <w:rPr>
          <w:rFonts w:ascii="Verdana" w:eastAsia="Calibri" w:hAnsi="Verdana" w:cs="Times New Roman"/>
        </w:rPr>
      </w:pPr>
      <w:r w:rsidRPr="00CE62FF">
        <w:rPr>
          <w:rFonts w:ascii="Verdana" w:eastAsia="Calibri" w:hAnsi="Verdana" w:cs="Times New Roman"/>
          <w:lang w:val="es-ES"/>
        </w:rPr>
        <w:t>En ejercicio de la competencia otorgada por</w:t>
      </w:r>
      <w:r w:rsidRPr="00A12061">
        <w:rPr>
          <w:rFonts w:ascii="Verdana" w:eastAsia="Calibri" w:hAnsi="Verdana" w:cs="Times New Roman"/>
          <w:lang w:val="es-ES"/>
        </w:rPr>
        <w:t xml:space="preserve"> los artículos 3, numeral 5º, y 11, numeral 8º, del Decreto Ley 4170 de 2011, la Agencia Nacional de Contratación Pública – Colombia Compra Eficiente– responde la solici</w:t>
      </w:r>
      <w:r>
        <w:rPr>
          <w:rFonts w:ascii="Verdana" w:eastAsia="Calibri" w:hAnsi="Verdana" w:cs="Times New Roman"/>
          <w:lang w:val="es-ES"/>
        </w:rPr>
        <w:t>tud de consulta presentada el 21 de febrero</w:t>
      </w:r>
      <w:r w:rsidRPr="00A12061">
        <w:rPr>
          <w:rFonts w:ascii="Verdana" w:eastAsia="Calibri" w:hAnsi="Verdana" w:cs="Times New Roman"/>
          <w:lang w:val="es-ES"/>
        </w:rPr>
        <w:t xml:space="preserve"> de 2025, en la cual manifiesta lo siguiente:</w:t>
      </w:r>
      <w:r w:rsidRPr="000D6D0E">
        <w:rPr>
          <w:rFonts w:ascii="Verdana" w:eastAsia="Calibri" w:hAnsi="Verdana" w:cs="Times New Roman"/>
        </w:rPr>
        <w:t xml:space="preserve"> </w:t>
      </w:r>
    </w:p>
    <w:p w14:paraId="24CDFFCE" w14:textId="77777777" w:rsidR="00D35ED1" w:rsidRDefault="00D35ED1" w:rsidP="00D35ED1">
      <w:pPr>
        <w:spacing w:after="120" w:line="276" w:lineRule="auto"/>
        <w:jc w:val="both"/>
        <w:rPr>
          <w:rFonts w:ascii="Verdana" w:eastAsia="Calibri" w:hAnsi="Verdana" w:cs="Times New Roman"/>
        </w:rPr>
      </w:pPr>
    </w:p>
    <w:p w14:paraId="0DDB413B" w14:textId="77777777" w:rsidR="00D35ED1" w:rsidRDefault="00D35ED1" w:rsidP="00D35ED1">
      <w:pPr>
        <w:spacing w:after="0" w:line="240" w:lineRule="auto"/>
        <w:ind w:left="709" w:right="709"/>
        <w:jc w:val="both"/>
        <w:rPr>
          <w:rFonts w:ascii="Verdana" w:eastAsia="Calibri" w:hAnsi="Verdana" w:cs="Times New Roman"/>
          <w:i/>
          <w:iCs/>
          <w:sz w:val="20"/>
          <w:szCs w:val="20"/>
        </w:rPr>
      </w:pPr>
      <w:r>
        <w:rPr>
          <w:rFonts w:ascii="Verdana" w:eastAsia="Calibri" w:hAnsi="Verdana" w:cs="Times New Roman"/>
          <w:i/>
          <w:iCs/>
          <w:sz w:val="20"/>
          <w:szCs w:val="20"/>
        </w:rPr>
        <w:t>“</w:t>
      </w:r>
      <w:proofErr w:type="gramStart"/>
      <w:r w:rsidRPr="002C542F">
        <w:rPr>
          <w:rFonts w:ascii="Verdana" w:eastAsia="Calibri" w:hAnsi="Verdana" w:cs="Times New Roman"/>
          <w:i/>
          <w:iCs/>
          <w:sz w:val="20"/>
          <w:szCs w:val="20"/>
        </w:rPr>
        <w:t xml:space="preserve">¿La prohibición de superar el salario del jefe de la entidad aplica de manera general a todos los contratos de prestación de servicios y de apoyo a la gestión de </w:t>
      </w:r>
      <w:proofErr w:type="spellStart"/>
      <w:r w:rsidRPr="002C542F">
        <w:rPr>
          <w:rFonts w:ascii="Verdana" w:eastAsia="Calibri" w:hAnsi="Verdana" w:cs="Times New Roman"/>
          <w:i/>
          <w:iCs/>
          <w:sz w:val="20"/>
          <w:szCs w:val="20"/>
        </w:rPr>
        <w:t>que</w:t>
      </w:r>
      <w:proofErr w:type="spellEnd"/>
      <w:r w:rsidRPr="002C542F">
        <w:rPr>
          <w:rFonts w:ascii="Verdana" w:eastAsia="Calibri" w:hAnsi="Verdana" w:cs="Times New Roman"/>
          <w:i/>
          <w:iCs/>
          <w:sz w:val="20"/>
          <w:szCs w:val="20"/>
        </w:rPr>
        <w:t xml:space="preserve"> trata el artículo 32 de la Ley 80 de 1993; el literal h) del numeral 4 del artículo 2 de la Ley 1150 de 2007 y el artículo 2.</w:t>
      </w:r>
      <w:proofErr w:type="gramEnd"/>
      <w:r w:rsidRPr="002C542F">
        <w:rPr>
          <w:rFonts w:ascii="Verdana" w:eastAsia="Calibri" w:hAnsi="Verdana" w:cs="Times New Roman"/>
          <w:i/>
          <w:iCs/>
          <w:sz w:val="20"/>
          <w:szCs w:val="20"/>
        </w:rPr>
        <w:t>2.1.2</w:t>
      </w:r>
      <w:r>
        <w:rPr>
          <w:rFonts w:ascii="Verdana" w:eastAsia="Calibri" w:hAnsi="Verdana" w:cs="Times New Roman"/>
          <w:i/>
          <w:iCs/>
          <w:sz w:val="20"/>
          <w:szCs w:val="20"/>
        </w:rPr>
        <w:t>.1.4.9 del Decreto 1082 de 2015?</w:t>
      </w:r>
      <w:r w:rsidRPr="002C542F">
        <w:rPr>
          <w:rFonts w:ascii="Verdana" w:eastAsia="Calibri" w:hAnsi="Verdana" w:cs="Times New Roman"/>
          <w:i/>
          <w:iCs/>
          <w:sz w:val="20"/>
          <w:szCs w:val="20"/>
        </w:rPr>
        <w:t xml:space="preserve"> </w:t>
      </w:r>
    </w:p>
    <w:p w14:paraId="2F62322D" w14:textId="77777777" w:rsidR="00D35ED1" w:rsidRPr="002C542F" w:rsidRDefault="00D35ED1" w:rsidP="00D35ED1">
      <w:pPr>
        <w:spacing w:after="0" w:line="240" w:lineRule="auto"/>
        <w:ind w:left="709" w:right="709"/>
        <w:jc w:val="both"/>
        <w:rPr>
          <w:rFonts w:ascii="Verdana" w:eastAsia="Calibri" w:hAnsi="Verdana" w:cs="Times New Roman"/>
          <w:i/>
          <w:iCs/>
          <w:sz w:val="20"/>
          <w:szCs w:val="20"/>
        </w:rPr>
      </w:pPr>
      <w:r w:rsidRPr="002C542F">
        <w:rPr>
          <w:rFonts w:ascii="Verdana" w:eastAsia="Calibri" w:hAnsi="Verdana" w:cs="Times New Roman"/>
          <w:i/>
          <w:iCs/>
          <w:sz w:val="20"/>
          <w:szCs w:val="20"/>
        </w:rPr>
        <w:t xml:space="preserve">¿En virtud del principio de autonomía de la voluntad y del estudio de mercado, las entidades tienen discrecionalidad para fijar los honorarios de los contratos de prestación de servicios de apoyo a la gestión sin importar </w:t>
      </w:r>
      <w:r w:rsidRPr="002C542F">
        <w:rPr>
          <w:rFonts w:ascii="Verdana" w:eastAsia="Calibri" w:hAnsi="Verdana" w:cs="Times New Roman"/>
          <w:i/>
          <w:iCs/>
          <w:sz w:val="20"/>
          <w:szCs w:val="20"/>
        </w:rPr>
        <w:lastRenderedPageBreak/>
        <w:t>el salario devengado por el representante le</w:t>
      </w:r>
      <w:r>
        <w:rPr>
          <w:rFonts w:ascii="Verdana" w:eastAsia="Calibri" w:hAnsi="Verdana" w:cs="Times New Roman"/>
          <w:i/>
          <w:iCs/>
          <w:sz w:val="20"/>
          <w:szCs w:val="20"/>
        </w:rPr>
        <w:t>gal de la entidad contratante?</w:t>
      </w:r>
      <w:r w:rsidRPr="00A85BDD">
        <w:rPr>
          <w:rFonts w:ascii="Verdana" w:eastAsia="Calibri" w:hAnsi="Verdana" w:cs="Times New Roman"/>
          <w:i/>
          <w:iCs/>
          <w:sz w:val="20"/>
          <w:szCs w:val="20"/>
          <w:lang w:val="es-ES"/>
        </w:rPr>
        <w:t xml:space="preserve">”. </w:t>
      </w:r>
    </w:p>
    <w:p w14:paraId="652BB599" w14:textId="77777777" w:rsidR="00D35ED1" w:rsidRPr="00BE7E3E" w:rsidRDefault="00D35ED1" w:rsidP="00D35ED1">
      <w:pPr>
        <w:spacing w:after="120" w:line="276" w:lineRule="auto"/>
        <w:jc w:val="both"/>
        <w:rPr>
          <w:rFonts w:ascii="Verdana" w:eastAsia="Calibri" w:hAnsi="Verdana" w:cs="Times New Roman"/>
          <w:i/>
          <w:iCs/>
          <w:lang w:val="es-ES"/>
        </w:rPr>
      </w:pPr>
    </w:p>
    <w:p w14:paraId="58E292D6" w14:textId="77777777" w:rsidR="00D35ED1" w:rsidRPr="00A12CB6" w:rsidRDefault="00D35ED1" w:rsidP="00D35ED1">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727F6EF" w14:textId="77777777" w:rsidR="00D35ED1" w:rsidRPr="00A12CB6" w:rsidRDefault="00D35ED1" w:rsidP="00D35ED1">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338E47A" w14:textId="77777777" w:rsidR="00D35ED1" w:rsidRPr="00A12CB6" w:rsidRDefault="00D35ED1" w:rsidP="00D35ED1">
      <w:pPr>
        <w:spacing w:after="0" w:line="256" w:lineRule="auto"/>
        <w:rPr>
          <w:rFonts w:ascii="Verdana" w:eastAsia="Calibri" w:hAnsi="Verdana" w:cs="Times New Roman"/>
          <w:lang w:val="es-ES"/>
        </w:rPr>
      </w:pPr>
    </w:p>
    <w:p w14:paraId="58A1D1E5" w14:textId="77777777" w:rsidR="00D35ED1" w:rsidRPr="00A12CB6" w:rsidRDefault="00D35ED1" w:rsidP="00D35ED1">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52FE1329" w14:textId="77777777" w:rsidR="00D35ED1" w:rsidRPr="00A12CB6" w:rsidRDefault="00D35ED1" w:rsidP="00D35ED1">
      <w:pPr>
        <w:spacing w:after="0" w:line="256" w:lineRule="auto"/>
        <w:rPr>
          <w:rFonts w:ascii="Verdana" w:eastAsia="Calibri" w:hAnsi="Verdana" w:cs="Times New Roman"/>
        </w:rPr>
      </w:pPr>
    </w:p>
    <w:p w14:paraId="7831E4FB" w14:textId="77777777" w:rsidR="00D35ED1" w:rsidRPr="002C542F" w:rsidRDefault="00D35ED1" w:rsidP="00D35ED1">
      <w:pPr>
        <w:spacing w:after="0" w:line="276" w:lineRule="auto"/>
        <w:jc w:val="both"/>
        <w:rPr>
          <w:rFonts w:ascii="Verdana" w:eastAsia="Calibri" w:hAnsi="Verdana" w:cs="Times New Roman"/>
        </w:rPr>
      </w:pPr>
      <w:r w:rsidRPr="427A5C7D">
        <w:rPr>
          <w:rFonts w:ascii="Verdana" w:eastAsia="Calibri" w:hAnsi="Verdana" w:cs="Times New Roman"/>
        </w:rPr>
        <w:t>De acuerdo con el contenido de su solicitud, esta Agencia procede a resolver el siguiente problema jurídico: ¿</w:t>
      </w:r>
      <w:r w:rsidRPr="007F6F07">
        <w:rPr>
          <w:rFonts w:ascii="Verdana" w:eastAsia="Calibri" w:hAnsi="Verdana" w:cs="Times New Roman"/>
          <w:lang w:val="es-ES"/>
        </w:rPr>
        <w:t>Pueden las entidades estatales celebrar contratos de prestación de servicios de forma continua por honorarios superiores al del jefe de la entidad o representante legal?</w:t>
      </w:r>
      <w:r w:rsidRPr="427A5C7D">
        <w:rPr>
          <w:rFonts w:ascii="Verdana" w:eastAsia="Calibri" w:hAnsi="Verdana" w:cs="Times New Roman"/>
        </w:rPr>
        <w:t xml:space="preserve"> </w:t>
      </w:r>
    </w:p>
    <w:p w14:paraId="2D2A7043" w14:textId="77777777" w:rsidR="00D35ED1" w:rsidRPr="00A12CB6" w:rsidRDefault="00D35ED1" w:rsidP="00D35ED1">
      <w:pPr>
        <w:spacing w:after="0" w:line="256" w:lineRule="auto"/>
        <w:rPr>
          <w:rFonts w:ascii="Verdana" w:eastAsia="Calibri" w:hAnsi="Verdana" w:cs="Times New Roman"/>
        </w:rPr>
      </w:pPr>
    </w:p>
    <w:p w14:paraId="50219693" w14:textId="77777777" w:rsidR="00D35ED1" w:rsidRDefault="00D35ED1" w:rsidP="00D35ED1">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339A763F" w14:textId="77777777" w:rsidR="00D35ED1" w:rsidRPr="00A12CB6" w:rsidRDefault="00D35ED1" w:rsidP="00D35ED1">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D35ED1" w:rsidRPr="001205D1" w14:paraId="4DFDE5AE" w14:textId="77777777" w:rsidTr="001A300C">
        <w:trPr>
          <w:trHeight w:val="870"/>
          <w:jc w:val="center"/>
        </w:trPr>
        <w:tc>
          <w:tcPr>
            <w:tcW w:w="8784" w:type="dxa"/>
          </w:tcPr>
          <w:p w14:paraId="47B7177E" w14:textId="77777777" w:rsidR="00D35ED1" w:rsidRDefault="00D35ED1" w:rsidP="001A300C">
            <w:pPr>
              <w:spacing w:after="120" w:line="276" w:lineRule="auto"/>
              <w:jc w:val="both"/>
              <w:rPr>
                <w:rFonts w:ascii="Verdana" w:eastAsia="Calibri" w:hAnsi="Verdana" w:cs="Arial"/>
                <w:color w:val="000000" w:themeColor="text1"/>
                <w:lang w:val="es-ES" w:eastAsia="es-ES"/>
              </w:rPr>
            </w:pPr>
          </w:p>
          <w:p w14:paraId="560D16FC" w14:textId="77777777" w:rsidR="00D35ED1" w:rsidRDefault="00D35ED1" w:rsidP="001A300C">
            <w:pPr>
              <w:spacing w:after="120" w:line="276" w:lineRule="auto"/>
              <w:jc w:val="both"/>
              <w:rPr>
                <w:rFonts w:ascii="Verdana" w:eastAsia="Calibri" w:hAnsi="Verdana" w:cs="Arial"/>
                <w:color w:val="000000" w:themeColor="text1"/>
                <w:lang w:eastAsia="es-ES"/>
              </w:rPr>
            </w:pPr>
            <w:r w:rsidRPr="427A5C7D">
              <w:rPr>
                <w:rFonts w:ascii="Verdana" w:eastAsia="Calibri" w:hAnsi="Verdana" w:cs="Arial"/>
                <w:color w:val="000000" w:themeColor="text1"/>
                <w:lang w:val="es-ES" w:eastAsia="es-ES"/>
              </w:rPr>
              <w:t xml:space="preserve">En torno al problema jurídico, </w:t>
            </w:r>
            <w:r w:rsidRPr="007F6F07">
              <w:rPr>
                <w:rFonts w:ascii="Verdana" w:eastAsia="Calibri" w:hAnsi="Verdana" w:cs="Arial"/>
                <w:color w:val="000000" w:themeColor="text1"/>
                <w:lang w:val="es-ES" w:eastAsia="es-ES"/>
              </w:rPr>
              <w:t xml:space="preserve">es menester precisar que el Decreto 1068 de 2015 </w:t>
            </w:r>
            <w:r>
              <w:rPr>
                <w:rFonts w:ascii="Verdana" w:eastAsia="Calibri" w:hAnsi="Verdana" w:cs="Arial"/>
                <w:color w:val="000000"/>
              </w:rPr>
              <w:t>“por medio del cual se expide</w:t>
            </w:r>
            <w:r w:rsidRPr="00342512">
              <w:rPr>
                <w:rFonts w:ascii="Verdana" w:eastAsia="Calibri" w:hAnsi="Verdana" w:cs="Arial"/>
                <w:color w:val="000000"/>
              </w:rPr>
              <w:t xml:space="preserve"> </w:t>
            </w:r>
            <w:r>
              <w:rPr>
                <w:rFonts w:ascii="Verdana" w:eastAsia="Calibri" w:hAnsi="Verdana" w:cs="Arial"/>
                <w:color w:val="000000"/>
              </w:rPr>
              <w:t xml:space="preserve">el Decreto Único Reglamentario del Sector Hacienda y Crédito Público” </w:t>
            </w:r>
            <w:r w:rsidRPr="007F6F07">
              <w:rPr>
                <w:rFonts w:ascii="Verdana" w:eastAsia="Calibri" w:hAnsi="Verdana" w:cs="Arial"/>
                <w:color w:val="000000" w:themeColor="text1"/>
                <w:lang w:val="es-ES" w:eastAsia="es-ES"/>
              </w:rPr>
              <w:t>en el artículo 2.8.4.4.6., estableció unas reglas particulares para que las entidades estatales puedan suscribir contratos de prestación de servicios personales con personas “calific</w:t>
            </w:r>
            <w:r>
              <w:rPr>
                <w:rFonts w:ascii="Verdana" w:eastAsia="Calibri" w:hAnsi="Verdana" w:cs="Arial"/>
                <w:color w:val="000000" w:themeColor="text1"/>
                <w:lang w:val="es-ES" w:eastAsia="es-ES"/>
              </w:rPr>
              <w:t xml:space="preserve">adas” y “altamente </w:t>
            </w:r>
            <w:r>
              <w:rPr>
                <w:rFonts w:ascii="Verdana" w:eastAsia="Calibri" w:hAnsi="Verdana" w:cs="Arial"/>
                <w:color w:val="000000" w:themeColor="text1"/>
                <w:lang w:val="es-ES" w:eastAsia="es-ES"/>
              </w:rPr>
              <w:lastRenderedPageBreak/>
              <w:t>calificadas”.</w:t>
            </w:r>
            <w:r w:rsidRPr="007F6F07">
              <w:rPr>
                <w:rFonts w:ascii="Verdana" w:eastAsia="Calibri" w:hAnsi="Verdana" w:cs="Arial"/>
                <w:color w:val="000000" w:themeColor="text1"/>
                <w:lang w:val="es-ES" w:eastAsia="es-ES"/>
              </w:rPr>
              <w:t xml:space="preserve"> </w:t>
            </w:r>
            <w:r w:rsidRPr="007F6F07">
              <w:rPr>
                <w:rFonts w:ascii="Verdana" w:eastAsia="Calibri" w:hAnsi="Verdana" w:cs="Arial"/>
                <w:color w:val="000000" w:themeColor="text1"/>
                <w:lang w:eastAsia="es-ES"/>
              </w:rPr>
              <w:t xml:space="preserve">Para el caso de los contratos "calificados", no podrán exceder un valor superior a la remuneración total mensual establecida para el jefe de la entidad; y los "altamente calificados", no podrán pactar honorarios superiores al valor total mensual de la remuneración del jefe de la entidad, incluidos los factores prestacionales y las contribuciones inherentes a la nómina, relacionadas con seguridad social y parafiscales a cargo del empleador. </w:t>
            </w:r>
            <w:r w:rsidRPr="007F6F07">
              <w:rPr>
                <w:rFonts w:ascii="Verdana" w:eastAsia="Calibri" w:hAnsi="Verdana" w:cs="Arial"/>
                <w:color w:val="000000" w:themeColor="text1"/>
                <w:lang w:val="es-ES" w:eastAsia="es-ES"/>
              </w:rPr>
              <w:t xml:space="preserve">Ahora bien, a lo que hace referencia este artículo corresponde a lo comprendidos en el concepto de “remuneración </w:t>
            </w:r>
            <w:r>
              <w:rPr>
                <w:rFonts w:ascii="Verdana" w:eastAsia="Calibri" w:hAnsi="Verdana" w:cs="Arial"/>
                <w:color w:val="000000" w:themeColor="text1"/>
                <w:lang w:val="es-ES" w:eastAsia="es-ES"/>
              </w:rPr>
              <w:t xml:space="preserve">servicios técnicos” el cual es </w:t>
            </w:r>
            <w:r w:rsidRPr="007F6F07">
              <w:rPr>
                <w:rFonts w:ascii="Verdana" w:eastAsia="Calibri" w:hAnsi="Verdana" w:cs="Arial"/>
                <w:color w:val="000000" w:themeColor="text1"/>
                <w:lang w:val="es-ES" w:eastAsia="es-ES"/>
              </w:rPr>
              <w:t xml:space="preserve">desarrollado en el Decreto de Liquidación del Presupuesto General de la Nación con independencia del presupuesto con cargo al cual se realice su pago. </w:t>
            </w:r>
          </w:p>
          <w:p w14:paraId="4F37B60F" w14:textId="77777777" w:rsidR="00D35ED1" w:rsidRDefault="00D35ED1" w:rsidP="001A300C">
            <w:pPr>
              <w:spacing w:before="120" w:after="120" w:line="276" w:lineRule="auto"/>
              <w:ind w:firstLine="709"/>
              <w:jc w:val="both"/>
              <w:rPr>
                <w:rFonts w:ascii="Verdana" w:eastAsia="Calibri" w:hAnsi="Verdana" w:cs="Arial"/>
                <w:color w:val="000000"/>
                <w:lang w:val="es-ES"/>
              </w:rPr>
            </w:pPr>
            <w:r>
              <w:rPr>
                <w:rFonts w:ascii="Verdana" w:eastAsia="Calibri" w:hAnsi="Verdana" w:cs="Arial"/>
                <w:color w:val="000000"/>
              </w:rPr>
              <w:t>Conforme lo anterior</w:t>
            </w:r>
            <w:r w:rsidRPr="004D4825">
              <w:rPr>
                <w:rFonts w:ascii="Verdana" w:eastAsia="Calibri" w:hAnsi="Verdana" w:cs="Arial"/>
                <w:color w:val="000000"/>
              </w:rPr>
              <w:t xml:space="preserve">, la contratación de servicios altamente calificados son aquellos que se caracterizan por su alto nivel de complejidad, especialidad y detalle, en los que se exige que el Representante Legal de la entidad debe certificar el cumplimiento de los siguientes aspectos: i) justificar la necesidad del servicio personal altamente calificado; ii) indicar las características y calidades específicas, altamente calificadas, que reúne el contratista para la ejecución del contrato; y iii) determinar las características de los productos y/o servicios que se espera obtener. </w:t>
            </w:r>
          </w:p>
          <w:p w14:paraId="27504899" w14:textId="77777777" w:rsidR="00D35ED1" w:rsidRPr="002F4D35" w:rsidRDefault="00D35ED1" w:rsidP="001A300C">
            <w:pPr>
              <w:spacing w:before="120" w:after="120" w:line="276" w:lineRule="auto"/>
              <w:ind w:firstLine="709"/>
              <w:jc w:val="both"/>
              <w:rPr>
                <w:rFonts w:ascii="Verdana" w:eastAsia="Calibri" w:hAnsi="Verdana" w:cs="Arial"/>
                <w:color w:val="000000"/>
                <w:lang w:val="es-ES"/>
              </w:rPr>
            </w:pPr>
            <w:r w:rsidRPr="7DDE2AAE">
              <w:rPr>
                <w:rFonts w:ascii="Verdana" w:eastAsia="Calibri" w:hAnsi="Verdana" w:cs="Arial"/>
                <w:color w:val="000000" w:themeColor="text1"/>
                <w:lang w:val="es-ES"/>
              </w:rPr>
              <w:t xml:space="preserve">La determinación de los honorarios en los contratos de prestación de servicios se decide por parte de las entidades contratantes del nivel territorial, sujetándose a los principios de economía y planeación, aplicando lo previsto en el artículo </w:t>
            </w:r>
            <w:r w:rsidRPr="7DDE2AAE">
              <w:rPr>
                <w:rFonts w:ascii="Verdana" w:eastAsia="Calibri" w:hAnsi="Verdana" w:cs="Arial"/>
                <w:color w:val="000000" w:themeColor="text1"/>
              </w:rPr>
              <w:t>2.8.4.1.2. del Decreto 1082 de 2015</w:t>
            </w:r>
            <w:r w:rsidRPr="7DDE2AAE">
              <w:rPr>
                <w:rFonts w:ascii="Verdana" w:eastAsia="Calibri" w:hAnsi="Verdana" w:cs="Arial"/>
                <w:color w:val="000000" w:themeColor="text1"/>
                <w:lang w:val="es-ES"/>
              </w:rPr>
              <w:t>, y se recomienda a las entidades territoriales adoptar medidas equivalentes a las allí dispuestas en sus organizaciones administrativas.</w:t>
            </w:r>
          </w:p>
        </w:tc>
      </w:tr>
    </w:tbl>
    <w:p w14:paraId="206124B9" w14:textId="77777777" w:rsidR="00D35ED1" w:rsidRPr="00A12CB6" w:rsidRDefault="00D35ED1" w:rsidP="00D35ED1">
      <w:pPr>
        <w:spacing w:after="0" w:line="276" w:lineRule="auto"/>
        <w:ind w:firstLine="709"/>
        <w:jc w:val="both"/>
        <w:rPr>
          <w:rFonts w:ascii="Verdana" w:eastAsia="Calibri" w:hAnsi="Verdana" w:cs="Arial"/>
          <w:bCs/>
          <w:color w:val="000000" w:themeColor="text1"/>
        </w:rPr>
      </w:pPr>
    </w:p>
    <w:p w14:paraId="49CA7EE2" w14:textId="77777777" w:rsidR="00D35ED1" w:rsidRPr="00A12CB6" w:rsidRDefault="00D35ED1" w:rsidP="00D35ED1">
      <w:pPr>
        <w:numPr>
          <w:ilvl w:val="0"/>
          <w:numId w:val="19"/>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Razones de la respuesta:</w:t>
      </w:r>
    </w:p>
    <w:p w14:paraId="78728E59" w14:textId="77777777" w:rsidR="00D35ED1" w:rsidRPr="00A12CB6" w:rsidRDefault="00D35ED1" w:rsidP="00D35ED1">
      <w:pPr>
        <w:spacing w:after="0" w:line="256" w:lineRule="auto"/>
        <w:rPr>
          <w:rFonts w:ascii="Verdana" w:eastAsia="Calibri" w:hAnsi="Verdana" w:cs="Times New Roman"/>
          <w:b/>
          <w:bCs/>
          <w:lang w:val="es-ES"/>
        </w:rPr>
      </w:pPr>
    </w:p>
    <w:p w14:paraId="5DCBDBE6" w14:textId="77777777" w:rsidR="00D35ED1" w:rsidRPr="002277C0" w:rsidRDefault="00D35ED1" w:rsidP="00D35ED1">
      <w:pPr>
        <w:spacing w:after="0" w:line="276" w:lineRule="auto"/>
        <w:jc w:val="both"/>
        <w:rPr>
          <w:rFonts w:ascii="Verdana" w:eastAsia="Calibri" w:hAnsi="Verdana" w:cs="Arial"/>
          <w:lang w:val="es-ES"/>
        </w:rPr>
      </w:pPr>
      <w:r w:rsidRPr="002277C0">
        <w:rPr>
          <w:rFonts w:ascii="Verdana" w:eastAsia="Calibri" w:hAnsi="Verdana" w:cs="Arial"/>
        </w:rPr>
        <w:t xml:space="preserve">Lo anterior se sustenta en las siguientes consideraciones: </w:t>
      </w:r>
    </w:p>
    <w:p w14:paraId="70BFF239" w14:textId="77777777" w:rsidR="00D35ED1" w:rsidRPr="00342512" w:rsidRDefault="00D35ED1" w:rsidP="00D35ED1">
      <w:pPr>
        <w:spacing w:after="0" w:line="276" w:lineRule="auto"/>
        <w:jc w:val="both"/>
        <w:rPr>
          <w:rFonts w:ascii="Arial" w:eastAsia="Calibri" w:hAnsi="Arial" w:cs="Arial"/>
          <w:color w:val="000000"/>
          <w:lang w:val="es-ES_tradnl"/>
        </w:rPr>
      </w:pPr>
    </w:p>
    <w:p w14:paraId="0EBC7596" w14:textId="77777777" w:rsidR="00D35ED1" w:rsidRPr="00342512" w:rsidRDefault="00D35ED1" w:rsidP="00D35ED1">
      <w:pPr>
        <w:spacing w:after="0" w:line="276" w:lineRule="auto"/>
        <w:jc w:val="both"/>
        <w:rPr>
          <w:rFonts w:ascii="Verdana" w:eastAsia="Calibri" w:hAnsi="Verdana" w:cs="Arial"/>
          <w:color w:val="000000"/>
        </w:rPr>
      </w:pPr>
      <w:r w:rsidRPr="00342512">
        <w:rPr>
          <w:rFonts w:ascii="Verdana" w:eastAsia="Calibri" w:hAnsi="Verdana" w:cs="Arial"/>
          <w:color w:val="000000"/>
        </w:rPr>
        <w:t>i. El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6EF7BF26" w14:textId="77777777" w:rsidR="00D35ED1" w:rsidRPr="00342512" w:rsidRDefault="00D35ED1" w:rsidP="00D35ED1">
      <w:pPr>
        <w:spacing w:after="0" w:line="276" w:lineRule="auto"/>
        <w:jc w:val="both"/>
        <w:rPr>
          <w:rFonts w:ascii="Verdana" w:eastAsia="Calibri" w:hAnsi="Verdana" w:cs="Arial"/>
          <w:color w:val="000000"/>
        </w:rPr>
      </w:pPr>
    </w:p>
    <w:p w14:paraId="316D15D5"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 xml:space="preserve">Son contratos de prestación de servicios los que celebren las entidades estatales para desarrollar actividades relacionadas con la </w:t>
      </w:r>
      <w:r w:rsidRPr="00342512">
        <w:rPr>
          <w:rFonts w:ascii="Verdana" w:eastAsia="Calibri" w:hAnsi="Verdana" w:cs="Arial"/>
          <w:color w:val="000000"/>
          <w:sz w:val="21"/>
          <w:szCs w:val="21"/>
        </w:rPr>
        <w:lastRenderedPageBreak/>
        <w:t>administración o funcionamiento de la entidad. Estos contratos sólo podrán celebrarse con personas naturales cuando dichas actividades no puedan realizarse con personal de planta o requieran conocimientos especializados.</w:t>
      </w:r>
    </w:p>
    <w:p w14:paraId="40EB5E20"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2086D1FC"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En ningún caso estos contratos generan relación laboral ni prestaciones sociales y se celebrarán por el término estrictamente indispensable.</w:t>
      </w:r>
    </w:p>
    <w:p w14:paraId="6F327AA6" w14:textId="77777777" w:rsidR="00D35ED1" w:rsidRPr="00342512" w:rsidRDefault="00D35ED1" w:rsidP="00D35ED1">
      <w:pPr>
        <w:tabs>
          <w:tab w:val="left" w:pos="284"/>
        </w:tabs>
        <w:spacing w:after="0" w:line="276" w:lineRule="auto"/>
        <w:contextualSpacing/>
        <w:jc w:val="both"/>
        <w:rPr>
          <w:rFonts w:ascii="Verdana" w:eastAsia="Calibri" w:hAnsi="Verdana" w:cs="Arial"/>
          <w:b/>
          <w:color w:val="000000"/>
        </w:rPr>
      </w:pPr>
    </w:p>
    <w:p w14:paraId="7E9824CB" w14:textId="77777777" w:rsidR="00D35ED1" w:rsidRPr="00342512" w:rsidRDefault="00D35ED1" w:rsidP="00D35ED1">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De otro lado, la celebración de dicho contrato debe efectuar</w:t>
      </w:r>
      <w:r>
        <w:rPr>
          <w:rFonts w:ascii="Verdana" w:eastAsia="Calibri" w:hAnsi="Verdana" w:cs="Arial"/>
          <w:color w:val="000000"/>
        </w:rPr>
        <w:t xml:space="preserve">se mediante </w:t>
      </w:r>
      <w:r w:rsidRPr="00342512">
        <w:rPr>
          <w:rFonts w:ascii="Verdana" w:eastAsia="Calibri" w:hAnsi="Verdana" w:cs="Arial"/>
          <w:color w:val="000000"/>
        </w:rPr>
        <w:t>la modalidad de la contratación directa. Así lo prevé el artículo 2, numeral 4º, literal h) de la Ley 1150 de 2007, que dispone:</w:t>
      </w:r>
    </w:p>
    <w:p w14:paraId="2DC86E91" w14:textId="77777777" w:rsidR="00D35ED1" w:rsidRPr="00342512" w:rsidRDefault="00D35ED1" w:rsidP="00D35ED1">
      <w:pPr>
        <w:spacing w:after="0" w:line="276" w:lineRule="auto"/>
        <w:ind w:firstLine="709"/>
        <w:jc w:val="both"/>
        <w:rPr>
          <w:rFonts w:ascii="Verdana" w:eastAsia="Calibri" w:hAnsi="Verdana" w:cs="Arial"/>
          <w:color w:val="000000"/>
        </w:rPr>
      </w:pPr>
    </w:p>
    <w:p w14:paraId="7D467D06"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w:t>
      </w:r>
    </w:p>
    <w:p w14:paraId="143752E8"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Contratación directa. La modalidad de selección de contratación directa, solamente procederá en los siguientes casos:</w:t>
      </w:r>
    </w:p>
    <w:p w14:paraId="29744E59"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6DEE6B6B"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w:t>
      </w:r>
    </w:p>
    <w:p w14:paraId="6E9BE5D3"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h) Para la prestación de servicios profesionales y de apoyo a la gestión, o para la ejecución de trabajos artísticos que sólo puedan encomendarse a determinadas personas naturales;</w:t>
      </w:r>
    </w:p>
    <w:p w14:paraId="6DCCB687" w14:textId="77777777" w:rsidR="00D35ED1" w:rsidRPr="00342512" w:rsidRDefault="00D35ED1" w:rsidP="00D35ED1">
      <w:pPr>
        <w:spacing w:after="0" w:line="240" w:lineRule="auto"/>
        <w:ind w:right="709"/>
        <w:jc w:val="both"/>
        <w:rPr>
          <w:rFonts w:ascii="Verdana" w:eastAsia="Calibri" w:hAnsi="Verdana" w:cs="Arial"/>
          <w:color w:val="000000"/>
        </w:rPr>
      </w:pPr>
    </w:p>
    <w:p w14:paraId="61834204" w14:textId="77777777" w:rsidR="00D35ED1" w:rsidRPr="00342512" w:rsidRDefault="00D35ED1" w:rsidP="00D35ED1">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w:t>
      </w:r>
    </w:p>
    <w:p w14:paraId="03887FBB" w14:textId="77777777" w:rsidR="00D35ED1" w:rsidRPr="00342512" w:rsidRDefault="00D35ED1" w:rsidP="00D35ED1">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a</w:t>
      </w:r>
      <w:r w:rsidRPr="00342512">
        <w:rPr>
          <w:rFonts w:ascii="Verdana" w:eastAsia="Calibri" w:hAnsi="Verdana" w:cs="Arial"/>
          <w:color w:val="000000"/>
        </w:rPr>
        <w:t xml:space="preserve">) Solo puede celebrarse para realizar </w:t>
      </w:r>
      <w:r>
        <w:rPr>
          <w:rFonts w:ascii="Verdana" w:eastAsia="Calibri" w:hAnsi="Verdana" w:cs="Arial"/>
          <w:color w:val="000000"/>
        </w:rPr>
        <w:t>“</w:t>
      </w:r>
      <w:r w:rsidRPr="00342512">
        <w:rPr>
          <w:rFonts w:ascii="Verdana" w:eastAsia="Calibri" w:hAnsi="Verdana" w:cs="Arial"/>
          <w:color w:val="000000"/>
        </w:rPr>
        <w:t>actividades relacionadas con la administración o funcionamiento de la entidad</w:t>
      </w:r>
      <w:r>
        <w:rPr>
          <w:rFonts w:ascii="Verdana" w:eastAsia="Calibri" w:hAnsi="Verdana" w:cs="Arial"/>
          <w:color w:val="000000"/>
        </w:rPr>
        <w:t>”</w:t>
      </w:r>
      <w:r w:rsidRPr="00342512">
        <w:rPr>
          <w:rFonts w:ascii="Verdana" w:eastAsia="Calibri" w:hAnsi="Verdana" w:cs="Arial"/>
          <w:color w:val="000000"/>
        </w:rPr>
        <w:t>, es decir, que hagan parte de su giro ordinario o quehacer cotidiano.</w:t>
      </w:r>
    </w:p>
    <w:p w14:paraId="2698C81B" w14:textId="77777777" w:rsidR="00D35ED1" w:rsidRPr="00342512" w:rsidRDefault="00D35ED1" w:rsidP="00D35ED1">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b</w:t>
      </w:r>
      <w:r w:rsidRPr="00342512">
        <w:rPr>
          <w:rFonts w:ascii="Verdana" w:eastAsia="Calibri" w:hAnsi="Verdana" w:cs="Arial"/>
          <w:color w:val="000000"/>
        </w:rPr>
        <w:t>) Admite que se suscriba tanto con personas naturales, como con personas jurídicas. Sin embargo, cuando pretenda celebrarse con una persona natural, la entidad estatal debe justificar en los estudios previos que las actividades que</w:t>
      </w:r>
      <w:r>
        <w:rPr>
          <w:rFonts w:ascii="Verdana" w:eastAsia="Calibri" w:hAnsi="Verdana" w:cs="Arial"/>
          <w:color w:val="000000"/>
        </w:rPr>
        <w:t xml:space="preserve"> buscan encomendarse a aquella “</w:t>
      </w:r>
      <w:r w:rsidRPr="00342512">
        <w:rPr>
          <w:rFonts w:ascii="Verdana" w:eastAsia="Calibri" w:hAnsi="Verdana" w:cs="Arial"/>
          <w:color w:val="000000"/>
        </w:rPr>
        <w:t>no puedan realizarse con personal de planta o requier</w:t>
      </w:r>
      <w:r>
        <w:rPr>
          <w:rFonts w:ascii="Verdana" w:eastAsia="Calibri" w:hAnsi="Verdana" w:cs="Arial"/>
          <w:color w:val="000000"/>
        </w:rPr>
        <w:t>an conocimientos especializados”</w:t>
      </w:r>
      <w:r w:rsidRPr="00342512">
        <w:rPr>
          <w:rFonts w:ascii="Verdana" w:eastAsia="Calibri" w:hAnsi="Verdana" w:cs="Arial"/>
          <w:color w:val="000000"/>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w:t>
      </w:r>
      <w:r w:rsidRPr="00342512">
        <w:rPr>
          <w:rFonts w:ascii="Verdana" w:eastAsia="Calibri" w:hAnsi="Verdana" w:cs="Arial"/>
          <w:color w:val="000000"/>
        </w:rPr>
        <w:lastRenderedPageBreak/>
        <w:t>servicios de una persona natural que posea conocimiento y experiencia en el tema.</w:t>
      </w:r>
    </w:p>
    <w:p w14:paraId="4E417CDD" w14:textId="77777777" w:rsidR="00D35ED1" w:rsidRPr="00342512" w:rsidRDefault="00D35ED1" w:rsidP="00D35ED1">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c</w:t>
      </w:r>
      <w:r w:rsidRPr="00342512">
        <w:rPr>
          <w:rFonts w:ascii="Verdana" w:eastAsia="Calibri" w:hAnsi="Verdana" w:cs="Arial"/>
          <w:color w:val="000000"/>
        </w:rPr>
        <w:t>) Si bien se celebran para obtener la prestación personal de un servicio, se diferencian del contrato de trabajo</w:t>
      </w:r>
      <w:r>
        <w:rPr>
          <w:rStyle w:val="Refdenotaalpie"/>
          <w:rFonts w:ascii="Verdana" w:eastAsia="Calibri" w:hAnsi="Verdana" w:cs="Arial"/>
          <w:color w:val="000000"/>
        </w:rPr>
        <w:footnoteReference w:id="2"/>
      </w:r>
      <w:r w:rsidRPr="00342512">
        <w:rPr>
          <w:rFonts w:ascii="Verdana" w:eastAsia="Calibri" w:hAnsi="Verdana" w:cs="Arial"/>
          <w:color w:val="000000"/>
        </w:rPr>
        <w:t xml:space="preserve"> en que quien celebra el contrato de prestación de servicios profesionales debe mantener autonomía e independencia en la ejecución de la labor, lo que significa que no puede existir la </w:t>
      </w:r>
      <w:r w:rsidRPr="00342512">
        <w:rPr>
          <w:rFonts w:ascii="Verdana" w:eastAsia="Calibri" w:hAnsi="Verdana" w:cs="Arial"/>
          <w:i/>
          <w:color w:val="000000"/>
        </w:rPr>
        <w:t>subordinación y dependencia</w:t>
      </w:r>
      <w:r w:rsidRPr="00342512">
        <w:rPr>
          <w:rFonts w:ascii="Verdana" w:eastAsia="Calibri" w:hAnsi="Verdana" w:cs="Arial"/>
          <w:iCs/>
          <w:color w:val="000000"/>
        </w:rPr>
        <w:t>,</w:t>
      </w:r>
      <w:r w:rsidRPr="00342512">
        <w:rPr>
          <w:rFonts w:ascii="Verdana" w:eastAsia="Calibri" w:hAnsi="Verdana" w:cs="Arial"/>
          <w:color w:val="000000"/>
        </w:rPr>
        <w:t xml:space="preserve"> que es uno de los elementos constitutivos del vínculo laboral. Por ello el artículo 32, numeral 3º, de l</w:t>
      </w:r>
      <w:r>
        <w:rPr>
          <w:rFonts w:ascii="Verdana" w:eastAsia="Calibri" w:hAnsi="Verdana" w:cs="Arial"/>
          <w:color w:val="000000"/>
        </w:rPr>
        <w:t>a Ley 80 de 1993 establece que “</w:t>
      </w:r>
      <w:r w:rsidRPr="00342512">
        <w:rPr>
          <w:rFonts w:ascii="Verdana" w:eastAsia="Calibri" w:hAnsi="Verdana" w:cs="Arial"/>
          <w:color w:val="000000"/>
        </w:rPr>
        <w:t>En ningún caso estos contratos generan relación laboral ni prestaciones sociales</w:t>
      </w:r>
      <w:r>
        <w:rPr>
          <w:rFonts w:ascii="Verdana" w:eastAsia="Calibri" w:hAnsi="Verdana" w:cs="Arial"/>
          <w:color w:val="000000"/>
        </w:rPr>
        <w:t>”</w:t>
      </w:r>
      <w:r w:rsidRPr="00342512">
        <w:rPr>
          <w:rFonts w:ascii="Verdana" w:eastAsia="Calibri" w:hAnsi="Verdana" w:cs="Arial"/>
          <w:color w:val="000000"/>
        </w:rPr>
        <w:t xml:space="preserve">, inciso que más que un enunciado que aluda al </w:t>
      </w:r>
      <w:r>
        <w:rPr>
          <w:rFonts w:ascii="Verdana" w:eastAsia="Calibri" w:hAnsi="Verdana" w:cs="Arial"/>
          <w:color w:val="000000"/>
        </w:rPr>
        <w:t>“ser”</w:t>
      </w:r>
      <w:r w:rsidRPr="00342512">
        <w:rPr>
          <w:rFonts w:ascii="Verdana" w:eastAsia="Calibri" w:hAnsi="Verdana" w:cs="Arial"/>
          <w:color w:val="000000"/>
        </w:rPr>
        <w:t xml:space="preserve"> se refiere al </w:t>
      </w:r>
      <w:r>
        <w:rPr>
          <w:rFonts w:ascii="Verdana" w:eastAsia="Calibri" w:hAnsi="Verdana" w:cs="Arial"/>
          <w:color w:val="000000"/>
        </w:rPr>
        <w:t>“deber ser”</w:t>
      </w:r>
      <w:r w:rsidRPr="00342512">
        <w:rPr>
          <w:rFonts w:ascii="Verdana" w:eastAsia="Calibri" w:hAnsi="Verdana" w:cs="Arial"/>
          <w:color w:val="000000"/>
        </w:rPr>
        <w:t xml:space="preserve">, pues debe interpretarse en el sentido de que los contratos de prestación de servicios profesionales </w:t>
      </w:r>
      <w:r w:rsidRPr="00342512">
        <w:rPr>
          <w:rFonts w:ascii="Verdana" w:eastAsia="Calibri" w:hAnsi="Verdana" w:cs="Arial"/>
          <w:i/>
          <w:color w:val="000000"/>
        </w:rPr>
        <w:t>no pueden</w:t>
      </w:r>
      <w:r w:rsidRPr="00342512">
        <w:rPr>
          <w:rFonts w:ascii="Verdana" w:eastAsia="Calibri" w:hAnsi="Verdana" w:cs="Arial"/>
          <w:color w:val="000000"/>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w:t>
      </w:r>
      <w:r>
        <w:rPr>
          <w:rFonts w:ascii="Verdana" w:eastAsia="Calibri" w:hAnsi="Verdana" w:cs="Arial"/>
          <w:color w:val="000000"/>
        </w:rPr>
        <w:t xml:space="preserve"> es el contratista quien, como “</w:t>
      </w:r>
      <w:r w:rsidRPr="00342512">
        <w:rPr>
          <w:rFonts w:ascii="Verdana" w:eastAsia="Calibri" w:hAnsi="Verdana" w:cs="Arial"/>
          <w:color w:val="000000"/>
        </w:rPr>
        <w:t>trabajador independiente</w:t>
      </w:r>
      <w:r>
        <w:rPr>
          <w:rFonts w:ascii="Verdana" w:eastAsia="Calibri" w:hAnsi="Verdana" w:cs="Arial"/>
          <w:color w:val="000000"/>
        </w:rPr>
        <w:t xml:space="preserve">” </w:t>
      </w:r>
      <w:r w:rsidRPr="00342512">
        <w:rPr>
          <w:rFonts w:ascii="Verdana" w:eastAsia="Calibri" w:hAnsi="Verdana" w:cs="Arial"/>
          <w:color w:val="000000"/>
        </w:rPr>
        <w:t xml:space="preserve">–como lo califican las normas en materia de seguridad social– debe cotizar por </w:t>
      </w:r>
      <w:r w:rsidRPr="00BC1DCC">
        <w:rPr>
          <w:rFonts w:ascii="Verdana" w:eastAsia="Calibri" w:hAnsi="Verdana" w:cs="Arial"/>
          <w:color w:val="000000"/>
        </w:rPr>
        <w:t>su cuenta y riesgo al Sistema de Seguridad Social Integral</w:t>
      </w:r>
      <w:r>
        <w:rPr>
          <w:rStyle w:val="Refdenotaalpie"/>
          <w:rFonts w:ascii="Verdana" w:eastAsia="Calibri" w:hAnsi="Verdana" w:cs="Arial"/>
          <w:color w:val="000000"/>
        </w:rPr>
        <w:footnoteReference w:id="3"/>
      </w:r>
      <w:r w:rsidRPr="00BC1DCC">
        <w:rPr>
          <w:rFonts w:ascii="Verdana" w:eastAsia="Calibri" w:hAnsi="Verdana" w:cs="Arial"/>
          <w:color w:val="000000"/>
        </w:rPr>
        <w:t xml:space="preserve">. Pero es posible que, a pesar de este mandato deontológico, en la práctica surja la relación laboral, pues, como se sabe, el contrato de trabajo es un </w:t>
      </w:r>
      <w:r w:rsidRPr="00BC1DCC">
        <w:rPr>
          <w:rFonts w:ascii="Verdana" w:eastAsia="Calibri" w:hAnsi="Verdana" w:cs="Arial"/>
          <w:i/>
          <w:color w:val="000000"/>
        </w:rPr>
        <w:t>contrato realidad</w:t>
      </w:r>
      <w:r w:rsidRPr="00BC1DCC">
        <w:rPr>
          <w:rFonts w:ascii="Verdana" w:eastAsia="Calibri" w:hAnsi="Verdana" w:cs="Arial"/>
          <w:color w:val="000000"/>
        </w:rPr>
        <w:t xml:space="preserve">, ya que para su perfeccionamiento rige el principio de la prevalencia de la realidad sobre las formalidades. En esa perspectiva, la Corte Constitucional declaró la constitucionalidad condicionada del segundo inciso del numeral 3º del artículo </w:t>
      </w:r>
      <w:r w:rsidRPr="00BC1DCC">
        <w:rPr>
          <w:rFonts w:ascii="Verdana" w:eastAsia="Calibri" w:hAnsi="Verdana" w:cs="Arial"/>
          <w:color w:val="000000"/>
        </w:rPr>
        <w:lastRenderedPageBreak/>
        <w:t>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Pr>
          <w:rStyle w:val="Refdenotaalpie"/>
          <w:rFonts w:ascii="Verdana" w:eastAsia="Calibri" w:hAnsi="Verdana" w:cs="Arial"/>
          <w:color w:val="000000"/>
        </w:rPr>
        <w:footnoteReference w:id="4"/>
      </w:r>
      <w:r w:rsidRPr="00BC1DCC">
        <w:rPr>
          <w:rFonts w:ascii="Verdana" w:eastAsia="Calibri" w:hAnsi="Verdana" w:cs="Arial"/>
          <w:color w:val="000000"/>
        </w:rPr>
        <w:t>. 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BC1DCC">
        <w:rPr>
          <w:rFonts w:ascii="Verdana" w:eastAsia="Calibri" w:hAnsi="Verdana" w:cs="Arial"/>
          <w:color w:val="000000"/>
          <w:vertAlign w:val="superscript"/>
        </w:rPr>
        <w:footnoteReference w:id="5"/>
      </w:r>
      <w:r w:rsidRPr="00BC1DCC">
        <w:rPr>
          <w:rFonts w:ascii="Verdana" w:eastAsia="Calibri" w:hAnsi="Verdana" w:cs="Arial"/>
          <w:color w:val="000000"/>
        </w:rPr>
        <w:t>. De modo que, bajo la perspectiva indicada, se podría invocar la presunción de la existencia de una relación laboral; siendo contrario a uno de los aspectos más relevantes del contrato de prestación de servicio, la autonomía e independe</w:t>
      </w:r>
      <w:r>
        <w:rPr>
          <w:rFonts w:ascii="Verdana" w:eastAsia="Calibri" w:hAnsi="Verdana" w:cs="Arial"/>
          <w:color w:val="000000"/>
        </w:rPr>
        <w:t>ncia en la ejecución del mismo.</w:t>
      </w:r>
    </w:p>
    <w:p w14:paraId="416007F2" w14:textId="77777777" w:rsidR="00D35ED1" w:rsidRPr="00342512" w:rsidRDefault="00D35ED1" w:rsidP="00D35ED1">
      <w:pPr>
        <w:spacing w:after="0" w:line="276" w:lineRule="auto"/>
        <w:ind w:firstLine="709"/>
        <w:jc w:val="both"/>
        <w:rPr>
          <w:rFonts w:ascii="Verdana" w:eastAsia="Calibri" w:hAnsi="Verdana" w:cs="Arial"/>
          <w:color w:val="000000"/>
        </w:rPr>
      </w:pPr>
      <w:r>
        <w:rPr>
          <w:rFonts w:ascii="Verdana" w:eastAsia="Calibri" w:hAnsi="Verdana" w:cs="Arial"/>
          <w:color w:val="000000"/>
        </w:rPr>
        <w:t>d</w:t>
      </w:r>
      <w:r w:rsidRPr="00342512">
        <w:rPr>
          <w:rFonts w:ascii="Verdana" w:eastAsia="Calibri" w:hAnsi="Verdana" w:cs="Arial"/>
          <w:color w:val="000000"/>
        </w:rPr>
        <w:t>) Deben ser temporales. Así lo señaló la Corte Constitucional en la misma providencia a la que se aludió previamente, expresando que:</w:t>
      </w:r>
    </w:p>
    <w:p w14:paraId="1C1DAAB4" w14:textId="77777777" w:rsidR="00D35ED1" w:rsidRPr="00342512" w:rsidRDefault="00D35ED1" w:rsidP="00D35ED1">
      <w:pPr>
        <w:spacing w:after="0" w:line="276" w:lineRule="auto"/>
        <w:ind w:firstLine="709"/>
        <w:jc w:val="both"/>
        <w:rPr>
          <w:rFonts w:ascii="Verdana" w:eastAsia="Calibri" w:hAnsi="Verdana" w:cs="Arial"/>
          <w:color w:val="000000"/>
        </w:rPr>
      </w:pPr>
    </w:p>
    <w:p w14:paraId="392A826C"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Pr>
          <w:rStyle w:val="Refdenotaalpie"/>
          <w:rFonts w:ascii="Verdana" w:eastAsia="Calibri" w:hAnsi="Verdana" w:cs="Arial"/>
          <w:color w:val="000000"/>
          <w:sz w:val="21"/>
          <w:szCs w:val="21"/>
        </w:rPr>
        <w:footnoteReference w:id="6"/>
      </w:r>
      <w:r w:rsidRPr="00342512">
        <w:rPr>
          <w:rFonts w:ascii="Verdana" w:eastAsia="Calibri" w:hAnsi="Verdana" w:cs="Arial"/>
          <w:color w:val="000000"/>
          <w:sz w:val="21"/>
          <w:szCs w:val="21"/>
        </w:rPr>
        <w:t>.</w:t>
      </w:r>
    </w:p>
    <w:p w14:paraId="2EDA4A91" w14:textId="77777777" w:rsidR="00D35ED1" w:rsidRPr="00342512" w:rsidRDefault="00D35ED1" w:rsidP="00D35ED1">
      <w:pPr>
        <w:spacing w:after="0" w:line="276" w:lineRule="auto"/>
        <w:ind w:firstLine="709"/>
        <w:jc w:val="both"/>
        <w:rPr>
          <w:rFonts w:ascii="Verdana" w:eastAsia="Calibri" w:hAnsi="Verdana" w:cs="Arial"/>
          <w:color w:val="000000"/>
        </w:rPr>
      </w:pPr>
    </w:p>
    <w:p w14:paraId="076B74A5" w14:textId="77777777" w:rsidR="00D35ED1" w:rsidRPr="00342512" w:rsidRDefault="00D35ED1" w:rsidP="00D35ED1">
      <w:pPr>
        <w:spacing w:after="0" w:line="276" w:lineRule="auto"/>
        <w:ind w:firstLine="709"/>
        <w:jc w:val="both"/>
        <w:rPr>
          <w:rFonts w:ascii="Verdana" w:eastAsia="Calibri" w:hAnsi="Verdana" w:cs="Arial"/>
          <w:color w:val="000000"/>
        </w:rPr>
      </w:pPr>
      <w:r>
        <w:rPr>
          <w:rFonts w:ascii="Verdana" w:eastAsia="Calibri" w:hAnsi="Verdana" w:cs="Arial"/>
          <w:color w:val="000000"/>
        </w:rPr>
        <w:t>e</w:t>
      </w:r>
      <w:r w:rsidRPr="00342512">
        <w:rPr>
          <w:rFonts w:ascii="Verdana" w:eastAsia="Calibri" w:hAnsi="Verdana" w:cs="Arial"/>
          <w:color w:val="000000"/>
        </w:rPr>
        <w:t xml:space="preserve">) Los contratos de prestación de servicios profesionales hacen parte del género denominado </w:t>
      </w:r>
      <w:r w:rsidRPr="00342512">
        <w:rPr>
          <w:rFonts w:ascii="Verdana" w:eastAsia="Calibri" w:hAnsi="Verdana" w:cs="Arial"/>
          <w:i/>
          <w:color w:val="000000"/>
        </w:rPr>
        <w:t>contratos de prestación de servicios</w:t>
      </w:r>
      <w:r w:rsidRPr="00342512">
        <w:rPr>
          <w:rFonts w:ascii="Verdana" w:eastAsia="Calibri" w:hAnsi="Verdana" w:cs="Arial"/>
          <w:color w:val="000000"/>
        </w:rPr>
        <w:t xml:space="preserve">, dentro del cual también se ubican, como especies, los contratos de prestación de servicios de apoyo a la gestión y los contratos de prestación de servicios artísticos que solo </w:t>
      </w:r>
      <w:r w:rsidRPr="00342512">
        <w:rPr>
          <w:rFonts w:ascii="Verdana" w:eastAsia="Calibri" w:hAnsi="Verdana" w:cs="Arial"/>
          <w:color w:val="000000"/>
        </w:rPr>
        <w:lastRenderedPageBreak/>
        <w:t>pueden encomendarse a determinadas personas naturales</w:t>
      </w:r>
      <w:r>
        <w:rPr>
          <w:rFonts w:ascii="Verdana" w:eastAsia="Calibri" w:hAnsi="Verdana" w:cs="Arial"/>
          <w:color w:val="000000"/>
        </w:rPr>
        <w:t>, de acuerdo a lo reglamentado en el artículo 2.2.1.2.4.9. del Decreto 1082 de 2015</w:t>
      </w:r>
      <w:r>
        <w:rPr>
          <w:rStyle w:val="Refdenotaalpie"/>
          <w:rFonts w:ascii="Verdana" w:eastAsia="Calibri" w:hAnsi="Verdana" w:cs="Arial"/>
          <w:color w:val="000000"/>
        </w:rPr>
        <w:footnoteReference w:id="7"/>
      </w:r>
      <w:r w:rsidRPr="00342512">
        <w:rPr>
          <w:rFonts w:ascii="Verdana" w:eastAsia="Calibri" w:hAnsi="Verdana" w:cs="Arial"/>
          <w:color w:val="000000"/>
        </w:rPr>
        <w:t xml:space="preserve">. La diferencia entre el contrato de prestación de servicios </w:t>
      </w:r>
      <w:r w:rsidRPr="00342512">
        <w:rPr>
          <w:rFonts w:ascii="Verdana" w:eastAsia="Calibri" w:hAnsi="Verdana" w:cs="Arial"/>
          <w:i/>
          <w:color w:val="000000"/>
        </w:rPr>
        <w:t>profesionales</w:t>
      </w:r>
      <w:r w:rsidRPr="00342512">
        <w:rPr>
          <w:rFonts w:ascii="Verdana" w:eastAsia="Calibri" w:hAnsi="Verdana" w:cs="Arial"/>
          <w:color w:val="000000"/>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40669ADC" w14:textId="77777777" w:rsidR="00D35ED1" w:rsidRPr="00342512" w:rsidRDefault="00D35ED1" w:rsidP="00D35ED1">
      <w:pPr>
        <w:spacing w:after="0" w:line="276" w:lineRule="auto"/>
        <w:ind w:firstLine="709"/>
        <w:jc w:val="both"/>
        <w:rPr>
          <w:rFonts w:ascii="Verdana" w:eastAsia="Calibri" w:hAnsi="Verdana" w:cs="Arial"/>
          <w:color w:val="000000"/>
        </w:rPr>
      </w:pPr>
    </w:p>
    <w:p w14:paraId="3B4FB740"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Pr>
          <w:rStyle w:val="Refdenotaalpie"/>
          <w:rFonts w:ascii="Verdana" w:eastAsia="Calibri" w:hAnsi="Verdana" w:cs="Arial"/>
          <w:color w:val="000000"/>
          <w:sz w:val="21"/>
          <w:szCs w:val="21"/>
        </w:rPr>
        <w:footnoteReference w:id="8"/>
      </w:r>
      <w:r w:rsidRPr="00342512">
        <w:rPr>
          <w:rFonts w:ascii="Verdana" w:eastAsia="Calibri" w:hAnsi="Verdana" w:cs="Arial"/>
          <w:color w:val="000000"/>
          <w:sz w:val="21"/>
          <w:szCs w:val="21"/>
        </w:rPr>
        <w:t>.</w:t>
      </w:r>
    </w:p>
    <w:p w14:paraId="7C35D71B" w14:textId="77777777" w:rsidR="00D35ED1" w:rsidRPr="00342512" w:rsidRDefault="00D35ED1" w:rsidP="00D35ED1">
      <w:pPr>
        <w:spacing w:after="0" w:line="276" w:lineRule="auto"/>
        <w:ind w:firstLine="709"/>
        <w:jc w:val="both"/>
        <w:rPr>
          <w:rFonts w:ascii="Verdana" w:eastAsia="Calibri" w:hAnsi="Verdana" w:cs="Arial"/>
          <w:color w:val="000000"/>
        </w:rPr>
      </w:pPr>
    </w:p>
    <w:p w14:paraId="388A243D" w14:textId="77777777" w:rsidR="00D35ED1" w:rsidRPr="00342512" w:rsidRDefault="00D35ED1" w:rsidP="00D35ED1">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Objeto que, según la sentencia que se cita, se diferencia del objeto del contrato de prestación de servicios de apoyo a la gestión, porque en este:</w:t>
      </w:r>
    </w:p>
    <w:p w14:paraId="269D14B3" w14:textId="77777777" w:rsidR="00D35ED1" w:rsidRPr="00342512" w:rsidRDefault="00D35ED1" w:rsidP="00D35ED1">
      <w:pPr>
        <w:spacing w:after="0" w:line="276" w:lineRule="auto"/>
        <w:ind w:firstLine="709"/>
        <w:jc w:val="both"/>
        <w:rPr>
          <w:rFonts w:ascii="Verdana" w:eastAsia="Calibri" w:hAnsi="Verdana" w:cs="Arial"/>
          <w:color w:val="000000"/>
        </w:rPr>
      </w:pPr>
    </w:p>
    <w:p w14:paraId="732FD703"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0D5892F1"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1A09DCFA"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076F29DB"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4EA57187"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Dentro de su objeto contractual pueden tener lugar actividades operativas, logísticas o asistenciales, siempre que satisfaga los requisitos antes mencionados y sea acorde con las necesidades de la Administración y el principio de planeación.</w:t>
      </w:r>
    </w:p>
    <w:p w14:paraId="3C012002"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1235D002"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Dentro de su objeto contractual pueden tener lugar actividades operativas, logísticas o asistenciales, siempre que satisfaga los requisitos antes mencionados y sea acorde con las necesidades de la Administración y el principio de planeación</w:t>
      </w:r>
      <w:r>
        <w:rPr>
          <w:rStyle w:val="Refdenotaalpie"/>
          <w:rFonts w:ascii="Verdana" w:eastAsia="Calibri" w:hAnsi="Verdana" w:cs="Arial"/>
          <w:color w:val="000000"/>
          <w:sz w:val="21"/>
          <w:szCs w:val="21"/>
        </w:rPr>
        <w:footnoteReference w:id="9"/>
      </w:r>
      <w:r w:rsidRPr="00342512">
        <w:rPr>
          <w:rFonts w:ascii="Verdana" w:eastAsia="Calibri" w:hAnsi="Verdana" w:cs="Arial"/>
          <w:color w:val="000000"/>
          <w:sz w:val="21"/>
          <w:szCs w:val="21"/>
        </w:rPr>
        <w:t>.</w:t>
      </w:r>
    </w:p>
    <w:p w14:paraId="3579AA0E" w14:textId="77777777" w:rsidR="00D35ED1" w:rsidRPr="00342512" w:rsidRDefault="00D35ED1" w:rsidP="00D35ED1">
      <w:pPr>
        <w:spacing w:after="0" w:line="276" w:lineRule="auto"/>
        <w:ind w:firstLine="709"/>
        <w:jc w:val="both"/>
        <w:rPr>
          <w:rFonts w:ascii="Verdana" w:eastAsia="Calibri" w:hAnsi="Verdana" w:cs="Arial"/>
          <w:color w:val="000000"/>
        </w:rPr>
      </w:pPr>
    </w:p>
    <w:p w14:paraId="177D9FF3" w14:textId="77777777" w:rsidR="00D35ED1" w:rsidRPr="00342512" w:rsidRDefault="00D35ED1" w:rsidP="00D35ED1">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En relación con el contrato de prestación de servicios artísticos que solo pueden encomendarse a determinadas personas naturales, señala el mencionado fallo que:</w:t>
      </w:r>
    </w:p>
    <w:p w14:paraId="496DDDFB"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16E9C293"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Pr>
          <w:rStyle w:val="Refdenotaalpie"/>
          <w:rFonts w:ascii="Verdana" w:eastAsia="Calibri" w:hAnsi="Verdana" w:cs="Arial"/>
          <w:color w:val="000000"/>
          <w:sz w:val="21"/>
          <w:szCs w:val="21"/>
        </w:rPr>
        <w:footnoteReference w:id="10"/>
      </w:r>
      <w:r w:rsidRPr="00342512">
        <w:rPr>
          <w:rFonts w:ascii="Verdana" w:eastAsia="Calibri" w:hAnsi="Verdana" w:cs="Arial"/>
          <w:color w:val="000000"/>
          <w:sz w:val="21"/>
          <w:szCs w:val="21"/>
        </w:rPr>
        <w:t>.</w:t>
      </w:r>
    </w:p>
    <w:p w14:paraId="20DA3375"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6DF4CFDD" w14:textId="77777777" w:rsidR="00D35ED1" w:rsidRPr="00342512" w:rsidRDefault="00D35ED1" w:rsidP="00D35ED1">
      <w:pPr>
        <w:spacing w:after="0" w:line="276" w:lineRule="auto"/>
        <w:ind w:firstLine="709"/>
        <w:jc w:val="both"/>
        <w:rPr>
          <w:rFonts w:ascii="Verdana" w:eastAsia="Calibri" w:hAnsi="Verdana" w:cs="Arial"/>
          <w:color w:val="000000"/>
        </w:rPr>
      </w:pPr>
      <w:r>
        <w:rPr>
          <w:rFonts w:ascii="Verdana" w:eastAsia="Calibri" w:hAnsi="Verdana" w:cs="Arial"/>
          <w:color w:val="000000"/>
        </w:rPr>
        <w:t>f</w:t>
      </w:r>
      <w:r w:rsidRPr="00342512">
        <w:rPr>
          <w:rFonts w:ascii="Verdana" w:eastAsia="Calibri" w:hAnsi="Verdana" w:cs="Arial"/>
          <w:color w:val="000000"/>
        </w:rPr>
        <w:t>)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Pr>
          <w:rStyle w:val="Refdenotaalpie"/>
          <w:rFonts w:ascii="Verdana" w:eastAsia="Calibri" w:hAnsi="Verdana" w:cs="Arial"/>
          <w:color w:val="000000"/>
        </w:rPr>
        <w:footnoteReference w:id="11"/>
      </w:r>
      <w:r w:rsidRPr="00342512">
        <w:rPr>
          <w:rFonts w:ascii="Verdana" w:eastAsia="Calibri" w:hAnsi="Verdana" w:cs="Arial"/>
          <w:color w:val="000000"/>
        </w:rPr>
        <w:t xml:space="preserve">. Pero, tampoco puede suscribirse un contrato de prestación de servicios profesionales </w:t>
      </w:r>
      <w:r w:rsidRPr="00342512">
        <w:rPr>
          <w:rFonts w:ascii="Verdana" w:eastAsia="Calibri" w:hAnsi="Verdana" w:cs="Arial"/>
          <w:color w:val="000000"/>
        </w:rPr>
        <w:lastRenderedPageBreak/>
        <w:t>para que el contratista ejecute labores que se enmarcan dentro de los otros contratos tipificados en el artículo 32 de la Ley 80 de 1993, como, por ejemplo, para que el contratista de prestación de servicios construya una obra.</w:t>
      </w:r>
    </w:p>
    <w:p w14:paraId="63D7529C" w14:textId="77777777" w:rsidR="00D35ED1" w:rsidRPr="00342512" w:rsidRDefault="00D35ED1" w:rsidP="00D35ED1">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g</w:t>
      </w:r>
      <w:r w:rsidRPr="00342512">
        <w:rPr>
          <w:rFonts w:ascii="Verdana" w:eastAsia="Calibri" w:hAnsi="Verdana" w:cs="Arial"/>
          <w:color w:val="000000"/>
        </w:rPr>
        <w:t>) Para su celebración no se requiere la expedición del acto administrativo de justificación de la contratación directa</w:t>
      </w:r>
      <w:r>
        <w:rPr>
          <w:rStyle w:val="Refdenotaalpie"/>
          <w:rFonts w:ascii="Verdana" w:eastAsia="Calibri" w:hAnsi="Verdana" w:cs="Arial"/>
          <w:color w:val="000000"/>
        </w:rPr>
        <w:footnoteReference w:id="12"/>
      </w:r>
      <w:r w:rsidRPr="00342512">
        <w:rPr>
          <w:rFonts w:ascii="Verdana" w:eastAsia="Calibri" w:hAnsi="Verdana" w:cs="Arial"/>
          <w:color w:val="000000"/>
        </w:rPr>
        <w:t xml:space="preserve">. </w:t>
      </w:r>
    </w:p>
    <w:p w14:paraId="5689184A" w14:textId="77777777" w:rsidR="00D35ED1" w:rsidRPr="00342512" w:rsidRDefault="00D35ED1" w:rsidP="00D35ED1">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h</w:t>
      </w:r>
      <w:r w:rsidRPr="00342512">
        <w:rPr>
          <w:rFonts w:ascii="Verdana" w:eastAsia="Calibri" w:hAnsi="Verdana" w:cs="Arial"/>
          <w:color w:val="000000"/>
        </w:rPr>
        <w:t>) Admiten el pacto de cláusulas excepcionales. Es decir, en los contratos de prestació</w:t>
      </w:r>
      <w:r>
        <w:rPr>
          <w:rFonts w:ascii="Verdana" w:eastAsia="Calibri" w:hAnsi="Verdana" w:cs="Arial"/>
          <w:color w:val="000000"/>
        </w:rPr>
        <w:t xml:space="preserve">n de servicios profesionales </w:t>
      </w:r>
      <w:r w:rsidRPr="00342512">
        <w:rPr>
          <w:rFonts w:ascii="Verdana" w:eastAsia="Calibri" w:hAnsi="Verdana" w:cs="Arial"/>
          <w:color w:val="000000"/>
        </w:rPr>
        <w:t>puede estipular</w:t>
      </w:r>
      <w:r>
        <w:rPr>
          <w:rFonts w:ascii="Verdana" w:eastAsia="Calibri" w:hAnsi="Verdana" w:cs="Arial"/>
          <w:color w:val="000000"/>
        </w:rPr>
        <w:t>se</w:t>
      </w:r>
      <w:r w:rsidRPr="00342512">
        <w:rPr>
          <w:rFonts w:ascii="Verdana" w:eastAsia="Calibri" w:hAnsi="Verdana" w:cs="Arial"/>
          <w:color w:val="000000"/>
        </w:rPr>
        <w:t xml:space="preserve">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w:t>
      </w:r>
      <w:r>
        <w:rPr>
          <w:rFonts w:ascii="Verdana" w:eastAsia="Calibri" w:hAnsi="Verdana" w:cs="Arial"/>
          <w:color w:val="000000"/>
        </w:rPr>
        <w:t>°</w:t>
      </w:r>
      <w:r w:rsidRPr="00342512">
        <w:rPr>
          <w:rFonts w:ascii="Verdana" w:eastAsia="Calibri" w:hAnsi="Verdana" w:cs="Arial"/>
          <w:color w:val="000000"/>
        </w:rPr>
        <w:t>, numeral 2º, de la Ley 80 de 1993</w:t>
      </w:r>
      <w:r>
        <w:rPr>
          <w:rStyle w:val="Refdenotaalpie"/>
          <w:rFonts w:ascii="Verdana" w:eastAsia="Calibri" w:hAnsi="Verdana" w:cs="Arial"/>
          <w:color w:val="000000"/>
        </w:rPr>
        <w:footnoteReference w:id="13"/>
      </w:r>
      <w:r w:rsidRPr="00342512">
        <w:rPr>
          <w:rFonts w:ascii="Verdana" w:eastAsia="Calibri" w:hAnsi="Verdana" w:cs="Arial"/>
          <w:color w:val="000000"/>
        </w:rPr>
        <w:t>.</w:t>
      </w:r>
    </w:p>
    <w:p w14:paraId="6475C51E" w14:textId="77777777" w:rsidR="00D35ED1" w:rsidRPr="00342512" w:rsidRDefault="00D35ED1" w:rsidP="00D35ED1">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i</w:t>
      </w:r>
      <w:r w:rsidRPr="00342512">
        <w:rPr>
          <w:rFonts w:ascii="Verdana" w:eastAsia="Calibri" w:hAnsi="Verdana" w:cs="Arial"/>
          <w:color w:val="000000"/>
        </w:rPr>
        <w:t>) En ellos no es obligatoria la liquidación, pues así lo estableció el artículo 217 del Decreto 019 de 2012, que modificó el artículo 60 de la Ley 80 de 1993</w:t>
      </w:r>
      <w:r>
        <w:rPr>
          <w:rStyle w:val="Refdenotaalpie"/>
          <w:rFonts w:ascii="Verdana" w:eastAsia="Calibri" w:hAnsi="Verdana" w:cs="Arial"/>
          <w:color w:val="000000"/>
        </w:rPr>
        <w:footnoteReference w:id="14"/>
      </w:r>
      <w:r w:rsidRPr="00342512">
        <w:rPr>
          <w:rFonts w:ascii="Verdana" w:eastAsia="Calibri" w:hAnsi="Verdana" w:cs="Arial"/>
          <w:color w:val="000000"/>
        </w:rPr>
        <w:t>.</w:t>
      </w:r>
    </w:p>
    <w:p w14:paraId="151801DE" w14:textId="77777777" w:rsidR="00D35ED1" w:rsidRPr="00342512" w:rsidRDefault="00D35ED1" w:rsidP="00D35ED1">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j</w:t>
      </w:r>
      <w:r w:rsidRPr="00342512">
        <w:rPr>
          <w:rFonts w:ascii="Verdana" w:eastAsia="Calibri" w:hAnsi="Verdana" w:cs="Arial"/>
          <w:color w:val="000000"/>
        </w:rPr>
        <w:t>) Para su celebración no se requiere inscripción en el Registro Único de Proponentes (RUP), según lo prevé el artículo 6 de la Ley 1150 de 2007</w:t>
      </w:r>
      <w:r>
        <w:rPr>
          <w:rStyle w:val="Refdenotaalpie"/>
          <w:rFonts w:ascii="Verdana" w:eastAsia="Calibri" w:hAnsi="Verdana" w:cs="Arial"/>
          <w:color w:val="000000"/>
        </w:rPr>
        <w:footnoteReference w:id="15"/>
      </w:r>
      <w:r w:rsidRPr="00342512">
        <w:rPr>
          <w:rFonts w:ascii="Verdana" w:eastAsia="Calibri" w:hAnsi="Verdana" w:cs="Arial"/>
          <w:color w:val="000000"/>
        </w:rPr>
        <w:t>.</w:t>
      </w:r>
    </w:p>
    <w:p w14:paraId="550C5FB0" w14:textId="77777777" w:rsidR="00D35ED1" w:rsidRPr="00342512" w:rsidRDefault="00D35ED1" w:rsidP="00D35ED1">
      <w:pPr>
        <w:spacing w:after="0" w:line="276" w:lineRule="auto"/>
        <w:ind w:firstLine="709"/>
        <w:jc w:val="both"/>
        <w:rPr>
          <w:rFonts w:ascii="Verdana" w:eastAsia="Calibri" w:hAnsi="Verdana" w:cs="Arial"/>
          <w:color w:val="000000"/>
        </w:rPr>
      </w:pPr>
      <w:r>
        <w:rPr>
          <w:rFonts w:ascii="Verdana" w:eastAsia="Calibri" w:hAnsi="Verdana" w:cs="Arial"/>
          <w:color w:val="000000"/>
        </w:rPr>
        <w:lastRenderedPageBreak/>
        <w:t>k</w:t>
      </w:r>
      <w:r w:rsidRPr="00342512">
        <w:rPr>
          <w:rFonts w:ascii="Verdana" w:eastAsia="Calibri" w:hAnsi="Verdana" w:cs="Arial"/>
          <w:color w:val="000000"/>
        </w:rPr>
        <w:t>) En ellos</w:t>
      </w:r>
      <w:r>
        <w:rPr>
          <w:rFonts w:ascii="Verdana" w:eastAsia="Calibri" w:hAnsi="Verdana" w:cs="Arial"/>
          <w:color w:val="000000"/>
        </w:rPr>
        <w:t xml:space="preserve"> no son necesarias las garantías</w:t>
      </w:r>
      <w:r>
        <w:rPr>
          <w:rStyle w:val="Refdenotaalpie"/>
          <w:rFonts w:ascii="Verdana" w:eastAsia="Calibri" w:hAnsi="Verdana" w:cs="Arial"/>
          <w:color w:val="000000"/>
        </w:rPr>
        <w:footnoteReference w:id="16"/>
      </w:r>
      <w:r w:rsidRPr="00342512">
        <w:rPr>
          <w:rFonts w:ascii="Verdana" w:eastAsia="Calibri" w:hAnsi="Verdana" w:cs="Arial"/>
          <w:color w:val="000000"/>
        </w:rPr>
        <w:t>.</w:t>
      </w:r>
    </w:p>
    <w:p w14:paraId="56BFCC10"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17045596" w14:textId="77777777" w:rsidR="00D35ED1" w:rsidRPr="00342512" w:rsidRDefault="00D35ED1" w:rsidP="00D35ED1">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Teniendo en cuenta las anteriores características del contrato de prestac</w:t>
      </w:r>
      <w:r>
        <w:rPr>
          <w:rFonts w:ascii="Verdana" w:eastAsia="Calibri" w:hAnsi="Verdana" w:cs="Arial"/>
          <w:color w:val="000000"/>
        </w:rPr>
        <w:t>ión de servicios profesionales</w:t>
      </w:r>
      <w:r w:rsidRPr="00342512">
        <w:rPr>
          <w:rFonts w:ascii="Verdana" w:eastAsia="Calibri" w:hAnsi="Verdana" w:cs="Arial"/>
          <w:color w:val="000000"/>
        </w:rPr>
        <w:t>, se abordará a continuación la inquietud formulada en la consulta.</w:t>
      </w:r>
    </w:p>
    <w:p w14:paraId="1C5411D1" w14:textId="77777777" w:rsidR="00D35ED1" w:rsidRPr="00342512" w:rsidRDefault="00D35ED1" w:rsidP="00D35ED1">
      <w:pPr>
        <w:spacing w:after="0" w:line="276" w:lineRule="auto"/>
        <w:jc w:val="both"/>
        <w:rPr>
          <w:rFonts w:ascii="Verdana" w:eastAsia="Calibri" w:hAnsi="Verdana" w:cs="Arial"/>
          <w:color w:val="000000"/>
        </w:rPr>
      </w:pPr>
    </w:p>
    <w:p w14:paraId="603C4CD9" w14:textId="77777777" w:rsidR="00D35ED1" w:rsidRPr="00342512" w:rsidRDefault="00D35ED1" w:rsidP="00D35ED1">
      <w:pPr>
        <w:spacing w:after="0" w:line="276" w:lineRule="auto"/>
        <w:jc w:val="both"/>
        <w:rPr>
          <w:rFonts w:ascii="Verdana" w:eastAsia="Calibri" w:hAnsi="Verdana" w:cs="Arial"/>
          <w:color w:val="000000"/>
        </w:rPr>
      </w:pPr>
      <w:r>
        <w:rPr>
          <w:rFonts w:ascii="Verdana" w:eastAsia="Calibri" w:hAnsi="Verdana" w:cs="Arial"/>
          <w:color w:val="000000"/>
        </w:rPr>
        <w:t xml:space="preserve">ii. </w:t>
      </w:r>
      <w:r w:rsidRPr="00342512">
        <w:rPr>
          <w:rFonts w:ascii="Verdana" w:eastAsia="Calibri" w:hAnsi="Verdana" w:cs="Arial"/>
          <w:color w:val="000000"/>
        </w:rPr>
        <w:t xml:space="preserve">Analizados los requisitos y límites de los contratos de prestación de servicios profesionales, se recuerda que la celebración del contrato de prestación de servicios profesionales con una persona natural es </w:t>
      </w:r>
      <w:r w:rsidRPr="00342512">
        <w:rPr>
          <w:rFonts w:ascii="Verdana" w:eastAsia="Calibri" w:hAnsi="Verdana" w:cs="Arial"/>
          <w:i/>
          <w:iCs/>
          <w:color w:val="000000"/>
        </w:rPr>
        <w:t>excepcional</w:t>
      </w:r>
      <w:r w:rsidRPr="00342512">
        <w:rPr>
          <w:rFonts w:ascii="Verdana" w:eastAsia="Calibri" w:hAnsi="Verdana" w:cs="Arial"/>
          <w:color w:val="000000"/>
        </w:rPr>
        <w:t xml:space="preserve">, ya que solo es admisible cuando las </w:t>
      </w:r>
      <w:r>
        <w:rPr>
          <w:rFonts w:ascii="Verdana" w:eastAsia="Calibri" w:hAnsi="Verdana" w:cs="Arial"/>
          <w:color w:val="000000"/>
        </w:rPr>
        <w:t>“</w:t>
      </w:r>
      <w:r w:rsidRPr="00342512">
        <w:rPr>
          <w:rFonts w:ascii="Verdana" w:eastAsia="Calibri" w:hAnsi="Verdana" w:cs="Arial"/>
          <w:color w:val="000000"/>
        </w:rPr>
        <w:t>actividades no puedan realizarse con personal de planta o requieran conocimientos especializados</w:t>
      </w:r>
      <w:r>
        <w:rPr>
          <w:rFonts w:ascii="Verdana" w:eastAsia="Calibri" w:hAnsi="Verdana" w:cs="Arial"/>
          <w:color w:val="000000"/>
        </w:rPr>
        <w:t xml:space="preserve">”, </w:t>
      </w:r>
      <w:r w:rsidRPr="00342512">
        <w:rPr>
          <w:rFonts w:ascii="Verdana" w:eastAsia="Calibri" w:hAnsi="Verdana" w:cs="Arial"/>
          <w:color w:val="000000"/>
        </w:rPr>
        <w:t xml:space="preserve">lo cual debe justificarse satisfactoriamente en los estudios previos. Además, dicho contrato debe ser </w:t>
      </w:r>
      <w:r w:rsidRPr="00342512">
        <w:rPr>
          <w:rFonts w:ascii="Verdana" w:eastAsia="Calibri" w:hAnsi="Verdana" w:cs="Arial"/>
          <w:i/>
          <w:iCs/>
          <w:color w:val="000000"/>
        </w:rPr>
        <w:t>temporal</w:t>
      </w:r>
      <w:r w:rsidRPr="00342512">
        <w:rPr>
          <w:rFonts w:ascii="Verdana" w:eastAsia="Calibri" w:hAnsi="Verdana" w:cs="Arial"/>
          <w:color w:val="000000"/>
        </w:rPr>
        <w:t xml:space="preserve"> y no puede servir para la creación de nóminas paralelas</w:t>
      </w:r>
      <w:r>
        <w:rPr>
          <w:rStyle w:val="Refdenotaalpie"/>
          <w:rFonts w:ascii="Verdana" w:eastAsia="Calibri" w:hAnsi="Verdana" w:cs="Arial"/>
          <w:color w:val="000000"/>
        </w:rPr>
        <w:footnoteReference w:id="17"/>
      </w:r>
      <w:r w:rsidRPr="00342512">
        <w:rPr>
          <w:rFonts w:ascii="Verdana" w:eastAsia="Calibri" w:hAnsi="Verdana" w:cs="Arial"/>
          <w:color w:val="000000"/>
        </w:rPr>
        <w:t xml:space="preserve">. </w:t>
      </w:r>
      <w:r>
        <w:rPr>
          <w:rFonts w:ascii="Verdana" w:eastAsia="Calibri" w:hAnsi="Verdana" w:cs="Arial"/>
          <w:color w:val="000000"/>
        </w:rPr>
        <w:t>Ahora bien</w:t>
      </w:r>
      <w:r w:rsidRPr="00342512">
        <w:rPr>
          <w:rFonts w:ascii="Verdana" w:eastAsia="Calibri" w:hAnsi="Verdana" w:cs="Arial"/>
          <w:color w:val="000000"/>
        </w:rPr>
        <w:t>, en relación con el monto de los honorarios, la Agencia Nacional de Contratación Pública se pronunció sobre este tema en respuesta a la consulta con radicado 4201913000005089 del 29 de julio de 2019</w:t>
      </w:r>
      <w:r>
        <w:rPr>
          <w:rFonts w:ascii="Verdana" w:eastAsia="Calibri" w:hAnsi="Verdana" w:cs="Arial"/>
          <w:color w:val="000000"/>
        </w:rPr>
        <w:t>, y en otros conceptos del mismo asunto</w:t>
      </w:r>
      <w:r w:rsidRPr="00342512">
        <w:rPr>
          <w:rFonts w:ascii="Verdana" w:eastAsia="Calibri" w:hAnsi="Verdana" w:cs="Arial"/>
          <w:color w:val="000000"/>
        </w:rPr>
        <w:t>, cu</w:t>
      </w:r>
      <w:r>
        <w:rPr>
          <w:rFonts w:ascii="Verdana" w:eastAsia="Calibri" w:hAnsi="Verdana" w:cs="Arial"/>
          <w:color w:val="000000"/>
        </w:rPr>
        <w:t>yas ideas se reiteran y se complementan</w:t>
      </w:r>
      <w:r w:rsidRPr="00342512">
        <w:rPr>
          <w:rFonts w:ascii="Verdana" w:eastAsia="Calibri" w:hAnsi="Verdana" w:cs="Arial"/>
          <w:color w:val="000000"/>
        </w:rPr>
        <w:t>:</w:t>
      </w:r>
    </w:p>
    <w:p w14:paraId="045D1D71" w14:textId="77777777" w:rsidR="00D35ED1" w:rsidRDefault="00D35ED1" w:rsidP="00D35ED1">
      <w:pPr>
        <w:spacing w:before="120" w:after="0" w:line="276" w:lineRule="auto"/>
        <w:ind w:firstLine="709"/>
        <w:jc w:val="both"/>
        <w:rPr>
          <w:rFonts w:ascii="Verdana" w:eastAsia="Calibri" w:hAnsi="Verdana" w:cs="Arial"/>
          <w:color w:val="000000"/>
        </w:rPr>
      </w:pPr>
      <w:r w:rsidRPr="00342512">
        <w:rPr>
          <w:rFonts w:ascii="Verdana" w:eastAsia="Calibri" w:hAnsi="Verdana" w:cs="Arial"/>
          <w:color w:val="000000"/>
        </w:rPr>
        <w:t xml:space="preserve">Revisado el marco general aplicable a la suscripción de contratos de prestación de servicios y de apoyo a la gestión, es posible concluir, de manera inicial, que las Leyes 80 de 1993 y 1150 de 2007 y el Decreto 1082 de 2015, no establecen límites en cuanto al valor de dichos contratos e indican que estos se </w:t>
      </w:r>
      <w:r w:rsidRPr="00342512">
        <w:rPr>
          <w:rFonts w:ascii="Verdana" w:eastAsia="Calibri" w:hAnsi="Verdana" w:cs="Arial"/>
          <w:color w:val="000000"/>
        </w:rPr>
        <w:lastRenderedPageBreak/>
        <w:t>pueden suscribir mediante la modalidad de contratación directa</w:t>
      </w:r>
      <w:r>
        <w:rPr>
          <w:rFonts w:ascii="Verdana" w:eastAsia="Calibri" w:hAnsi="Verdana" w:cs="Arial"/>
          <w:color w:val="000000"/>
        </w:rPr>
        <w:t xml:space="preserve">, pero no significa que </w:t>
      </w:r>
      <w:r w:rsidRPr="009341AF">
        <w:rPr>
          <w:rFonts w:ascii="Verdana" w:eastAsia="Calibri" w:hAnsi="Verdana" w:cs="Arial"/>
          <w:color w:val="000000"/>
        </w:rPr>
        <w:t>no tenga el deber de hacer un estudio del sector que se concretiza en documentos precontractuales, como el estudio previo, cuyo contenido establezca diferentes criterios metodológicos para determinar el valor y forma de pago dentro del contrato.</w:t>
      </w:r>
    </w:p>
    <w:p w14:paraId="033F2E27" w14:textId="77777777" w:rsidR="00D35ED1" w:rsidRPr="00CA2D2F" w:rsidRDefault="00D35ED1" w:rsidP="00D35ED1">
      <w:pPr>
        <w:spacing w:before="120" w:after="0" w:line="276" w:lineRule="auto"/>
        <w:ind w:firstLine="709"/>
        <w:jc w:val="both"/>
        <w:rPr>
          <w:rFonts w:ascii="Verdana" w:eastAsia="Calibri" w:hAnsi="Verdana" w:cs="Arial"/>
          <w:bCs/>
          <w:color w:val="000000"/>
        </w:rPr>
      </w:pPr>
      <w:r w:rsidRPr="009A4D59">
        <w:rPr>
          <w:rFonts w:ascii="Verdana" w:eastAsia="Calibri" w:hAnsi="Verdana" w:cs="Arial"/>
          <w:bCs/>
          <w:color w:val="000000"/>
          <w:lang w:val="es-MX"/>
        </w:rPr>
        <w:t xml:space="preserve">Al respecto, 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contrato y su correlativo respaldo presupuestal, se tienen, por ejemplo, reglas derivadas de la aplicación del principio de economía previsto en el artículo 25 de la Ley 80 de 1993, tales como: i) la conveniencia o inconveniencia del objeto a contratar y las autorizaciones; ii) </w:t>
      </w:r>
      <w:r w:rsidRPr="009A4D59">
        <w:rPr>
          <w:rFonts w:ascii="Verdana" w:eastAsia="Calibri" w:hAnsi="Verdana" w:cs="Arial"/>
          <w:color w:val="000000"/>
          <w:lang w:val="es-MX"/>
        </w:rPr>
        <w:t>la apertura de un proceso de selección, o a la firma del contrato en el caso en que la modalidad de selección sea contratación directa, en ambos casos deben elaborarse los estudios, diseños y proyectos requeridos, y los pliegos de condiciones, según corresponda; iii) la constitución de reservas y compromisos presupuestales necesarios</w:t>
      </w:r>
      <w:r w:rsidRPr="009A4D59">
        <w:rPr>
          <w:rFonts w:ascii="Verdana" w:eastAsia="Calibri" w:hAnsi="Verdana" w:cs="Arial"/>
          <w:bCs/>
          <w:color w:val="000000"/>
          <w:lang w:val="es-MX"/>
        </w:rPr>
        <w:t xml:space="preserve">, </w:t>
      </w:r>
      <w:r w:rsidRPr="009A4D59">
        <w:rPr>
          <w:rFonts w:ascii="Verdana" w:eastAsia="Calibri" w:hAnsi="Verdana" w:cs="Arial"/>
          <w:color w:val="000000"/>
        </w:rPr>
        <w:t xml:space="preserve">tomando como base el valor de las prestaciones al momento de celebrar el contrato y el estimativo de los ajustes resultantes de la aplicación de la cláusula de actualización o ajuste de precios; iv) la inclusión por parte de la entidad de presupuestos anuales una apropiación global destinada a cubrir los costos imprevistos por los retardos en los pagos, así como los que surjan en la revisión de los precios pactados debido a los cambios o alteraciones en las condiciones iniciales de los contratos, entre otros. </w:t>
      </w:r>
    </w:p>
    <w:p w14:paraId="29DA4731" w14:textId="77777777" w:rsidR="00D35ED1" w:rsidRPr="00342512" w:rsidRDefault="00D35ED1" w:rsidP="00D35ED1">
      <w:pPr>
        <w:spacing w:before="120" w:after="0" w:line="276" w:lineRule="auto"/>
        <w:ind w:firstLine="709"/>
        <w:jc w:val="both"/>
        <w:rPr>
          <w:rFonts w:ascii="Verdana" w:eastAsia="Calibri" w:hAnsi="Verdana" w:cs="Arial"/>
          <w:color w:val="000000"/>
        </w:rPr>
      </w:pPr>
      <w:r w:rsidRPr="00342512">
        <w:rPr>
          <w:rFonts w:ascii="Verdana" w:eastAsia="Calibri" w:hAnsi="Verdana" w:cs="Arial"/>
          <w:color w:val="000000"/>
        </w:rPr>
        <w:t xml:space="preserve">No obstante, </w:t>
      </w:r>
      <w:r>
        <w:rPr>
          <w:rFonts w:ascii="Verdana" w:eastAsia="Calibri" w:hAnsi="Verdana" w:cs="Arial"/>
          <w:color w:val="000000"/>
        </w:rPr>
        <w:t>en</w:t>
      </w:r>
      <w:r w:rsidRPr="00342512">
        <w:rPr>
          <w:rFonts w:ascii="Verdana" w:eastAsia="Calibri" w:hAnsi="Verdana" w:cs="Arial"/>
          <w:color w:val="000000"/>
        </w:rPr>
        <w:t xml:space="preserve"> 1998 se expidió́ el Decreto 1737, por medio del cual </w:t>
      </w:r>
      <w:r>
        <w:rPr>
          <w:rFonts w:ascii="Verdana" w:eastAsia="Calibri" w:hAnsi="Verdana" w:cs="Arial"/>
          <w:color w:val="000000"/>
        </w:rPr>
        <w:t>“</w:t>
      </w:r>
      <w:r w:rsidRPr="00342512">
        <w:rPr>
          <w:rFonts w:ascii="Verdana" w:eastAsia="Calibri" w:hAnsi="Verdana" w:cs="Arial"/>
          <w:color w:val="000000"/>
        </w:rPr>
        <w:t xml:space="preserve">Se expiden medidas de austeridad y eficiencia y se someten a condiciones especiales la </w:t>
      </w:r>
      <w:proofErr w:type="spellStart"/>
      <w:r w:rsidRPr="00342512">
        <w:rPr>
          <w:rFonts w:ascii="Verdana" w:eastAsia="Calibri" w:hAnsi="Verdana" w:cs="Arial"/>
          <w:color w:val="000000"/>
        </w:rPr>
        <w:t>asunción</w:t>
      </w:r>
      <w:proofErr w:type="spellEnd"/>
      <w:r w:rsidRPr="00342512">
        <w:rPr>
          <w:rFonts w:ascii="Verdana" w:eastAsia="Calibri" w:hAnsi="Verdana" w:cs="Arial"/>
          <w:color w:val="000000"/>
        </w:rPr>
        <w:t xml:space="preserve"> de compromisos por parte de las entidades </w:t>
      </w:r>
      <w:proofErr w:type="spellStart"/>
      <w:r w:rsidRPr="00342512">
        <w:rPr>
          <w:rFonts w:ascii="Verdana" w:eastAsia="Calibri" w:hAnsi="Verdana" w:cs="Arial"/>
          <w:color w:val="000000"/>
        </w:rPr>
        <w:t>públicas</w:t>
      </w:r>
      <w:proofErr w:type="spellEnd"/>
      <w:r w:rsidRPr="00342512">
        <w:rPr>
          <w:rFonts w:ascii="Verdana" w:eastAsia="Calibri" w:hAnsi="Verdana" w:cs="Arial"/>
          <w:color w:val="000000"/>
        </w:rPr>
        <w:t xml:space="preserve"> que mane</w:t>
      </w:r>
      <w:r>
        <w:rPr>
          <w:rFonts w:ascii="Verdana" w:eastAsia="Calibri" w:hAnsi="Verdana" w:cs="Arial"/>
          <w:color w:val="000000"/>
        </w:rPr>
        <w:t xml:space="preserve">jan recursos del Tesoro Público”. </w:t>
      </w:r>
      <w:r w:rsidRPr="00342512">
        <w:rPr>
          <w:rFonts w:ascii="Verdana" w:eastAsia="Calibri" w:hAnsi="Verdana" w:cs="Arial"/>
          <w:color w:val="000000"/>
        </w:rPr>
        <w:t xml:space="preserve">Dicho reglamento, en el </w:t>
      </w:r>
      <w:r w:rsidRPr="00125386">
        <w:rPr>
          <w:rFonts w:ascii="Verdana" w:eastAsia="Calibri" w:hAnsi="Verdana" w:cs="Arial"/>
          <w:color w:val="000000"/>
        </w:rPr>
        <w:t>artículo</w:t>
      </w:r>
      <w:r w:rsidRPr="00342512">
        <w:rPr>
          <w:rFonts w:ascii="Verdana" w:eastAsia="Calibri" w:hAnsi="Verdana" w:cs="Arial"/>
          <w:color w:val="000000"/>
        </w:rPr>
        <w:t xml:space="preserve"> 4</w:t>
      </w:r>
      <w:r>
        <w:rPr>
          <w:rFonts w:ascii="Verdana" w:eastAsia="Calibri" w:hAnsi="Verdana" w:cs="Arial"/>
          <w:color w:val="000000"/>
        </w:rPr>
        <w:t>°</w:t>
      </w:r>
      <w:r w:rsidRPr="00342512">
        <w:rPr>
          <w:rFonts w:ascii="Verdana" w:eastAsia="Calibri" w:hAnsi="Verdana" w:cs="Arial"/>
          <w:color w:val="000000"/>
        </w:rPr>
        <w:t xml:space="preserve">, </w:t>
      </w:r>
      <w:r w:rsidRPr="00125386">
        <w:rPr>
          <w:rFonts w:ascii="Verdana" w:eastAsia="Calibri" w:hAnsi="Verdana" w:cs="Arial"/>
          <w:color w:val="000000"/>
        </w:rPr>
        <w:t>establecía</w:t>
      </w:r>
      <w:r w:rsidRPr="00342512">
        <w:rPr>
          <w:rFonts w:ascii="Verdana" w:eastAsia="Calibri" w:hAnsi="Verdana" w:cs="Arial"/>
          <w:color w:val="000000"/>
        </w:rPr>
        <w:t xml:space="preserve"> una </w:t>
      </w:r>
      <w:r w:rsidRPr="00125386">
        <w:rPr>
          <w:rFonts w:ascii="Verdana" w:eastAsia="Calibri" w:hAnsi="Verdana" w:cs="Arial"/>
          <w:color w:val="000000"/>
        </w:rPr>
        <w:t>prohibición</w:t>
      </w:r>
      <w:r w:rsidRPr="00342512">
        <w:rPr>
          <w:rFonts w:ascii="Verdana" w:eastAsia="Calibri" w:hAnsi="Verdana" w:cs="Arial"/>
          <w:color w:val="000000"/>
        </w:rPr>
        <w:t xml:space="preserve"> para el pacto de </w:t>
      </w:r>
      <w:r w:rsidRPr="00125386">
        <w:rPr>
          <w:rFonts w:ascii="Verdana" w:eastAsia="Calibri" w:hAnsi="Verdana" w:cs="Arial"/>
          <w:color w:val="000000"/>
        </w:rPr>
        <w:t>remuneración</w:t>
      </w:r>
      <w:r w:rsidRPr="00342512">
        <w:rPr>
          <w:rFonts w:ascii="Verdana" w:eastAsia="Calibri" w:hAnsi="Verdana" w:cs="Arial"/>
          <w:color w:val="000000"/>
        </w:rPr>
        <w:t xml:space="preserve"> por pago de servicios personales calificados con personas naturales y </w:t>
      </w:r>
      <w:r w:rsidRPr="00125386">
        <w:rPr>
          <w:rFonts w:ascii="Verdana" w:eastAsia="Calibri" w:hAnsi="Verdana" w:cs="Arial"/>
          <w:color w:val="000000"/>
        </w:rPr>
        <w:t>jurídicas</w:t>
      </w:r>
      <w:r w:rsidRPr="00342512">
        <w:rPr>
          <w:rFonts w:ascii="Verdana" w:eastAsia="Calibri" w:hAnsi="Verdana" w:cs="Arial"/>
          <w:color w:val="000000"/>
        </w:rPr>
        <w:t xml:space="preserve">, consistente en no exceder el total de la </w:t>
      </w:r>
      <w:r w:rsidRPr="00125386">
        <w:rPr>
          <w:rFonts w:ascii="Verdana" w:eastAsia="Calibri" w:hAnsi="Verdana" w:cs="Arial"/>
          <w:color w:val="000000"/>
        </w:rPr>
        <w:t>remuneración</w:t>
      </w:r>
      <w:r w:rsidRPr="00342512">
        <w:rPr>
          <w:rFonts w:ascii="Verdana" w:eastAsia="Calibri" w:hAnsi="Verdana" w:cs="Arial"/>
          <w:color w:val="000000"/>
        </w:rPr>
        <w:t xml:space="preserve"> establecida para el jefe de la entidad sin incluir factores prestacionales. La norma indicaba lo siguiente:</w:t>
      </w:r>
    </w:p>
    <w:p w14:paraId="35E9DF0C"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681E9B56" w14:textId="77777777" w:rsidR="00D35ED1" w:rsidRPr="00342512" w:rsidRDefault="00D35ED1" w:rsidP="00D35ED1">
      <w:pPr>
        <w:spacing w:after="0" w:line="240" w:lineRule="auto"/>
        <w:ind w:left="709" w:right="709"/>
        <w:jc w:val="both"/>
        <w:rPr>
          <w:rFonts w:ascii="Verdana" w:eastAsia="Calibri" w:hAnsi="Verdana" w:cs="Arial"/>
          <w:color w:val="000000"/>
        </w:rPr>
      </w:pPr>
      <w:r>
        <w:rPr>
          <w:rFonts w:ascii="Verdana" w:eastAsia="Calibri" w:hAnsi="Verdana" w:cs="Arial"/>
          <w:color w:val="000000"/>
          <w:sz w:val="21"/>
          <w:szCs w:val="21"/>
        </w:rPr>
        <w:t>A</w:t>
      </w:r>
      <w:r w:rsidRPr="00342512">
        <w:rPr>
          <w:rFonts w:ascii="Verdana" w:eastAsia="Calibri" w:hAnsi="Verdana" w:cs="Arial"/>
          <w:color w:val="000000"/>
          <w:sz w:val="21"/>
          <w:szCs w:val="21"/>
        </w:rPr>
        <w:t xml:space="preserve">rtículo 4°. Está prohibido el pacto de remuneración para pago de servicios personales calificados con personas naturales y jurídicas, encaminados a la prestación de servicios en forma continua para </w:t>
      </w:r>
      <w:r w:rsidRPr="00342512">
        <w:rPr>
          <w:rFonts w:ascii="Verdana" w:eastAsia="Calibri" w:hAnsi="Verdana" w:cs="Arial"/>
          <w:color w:val="000000"/>
          <w:sz w:val="21"/>
          <w:szCs w:val="21"/>
        </w:rPr>
        <w:lastRenderedPageBreak/>
        <w:t>asuntos propios de la respectiva entidad, por valor mensual superior a la remuneración total mensual establecida para el jefe de la entidad.</w:t>
      </w:r>
    </w:p>
    <w:p w14:paraId="793A131F"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43FC8725"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Parágrafo. Se entiende por remuneración total mensual del jefe de la entidad, la que corresponda a éste en cada uno de dichos periodos, sin que en ningún caso puedan tenerse en consideración los factores prestacionales.</w:t>
      </w:r>
    </w:p>
    <w:p w14:paraId="49D96C16" w14:textId="77777777" w:rsidR="00D35ED1" w:rsidRPr="00342512" w:rsidRDefault="00D35ED1" w:rsidP="00D35ED1">
      <w:pPr>
        <w:spacing w:after="0" w:line="240" w:lineRule="auto"/>
        <w:ind w:left="709" w:right="709"/>
        <w:jc w:val="both"/>
        <w:rPr>
          <w:rFonts w:ascii="Verdana" w:eastAsia="Calibri" w:hAnsi="Verdana" w:cs="Arial"/>
          <w:color w:val="000000"/>
        </w:rPr>
      </w:pPr>
    </w:p>
    <w:p w14:paraId="35145312" w14:textId="77777777" w:rsidR="00D35ED1" w:rsidRPr="00342512" w:rsidRDefault="00D35ED1" w:rsidP="00D35ED1">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 xml:space="preserve">El mismo </w:t>
      </w:r>
      <w:r w:rsidRPr="00125386">
        <w:rPr>
          <w:rFonts w:ascii="Verdana" w:eastAsia="Calibri" w:hAnsi="Verdana" w:cs="Arial"/>
          <w:color w:val="000000"/>
        </w:rPr>
        <w:t>año</w:t>
      </w:r>
      <w:r w:rsidRPr="00342512">
        <w:rPr>
          <w:rFonts w:ascii="Verdana" w:eastAsia="Calibri" w:hAnsi="Verdana" w:cs="Arial"/>
          <w:color w:val="000000"/>
        </w:rPr>
        <w:t>, es decir, en 1998, el artículo 4</w:t>
      </w:r>
      <w:r>
        <w:rPr>
          <w:rFonts w:ascii="Verdana" w:eastAsia="Calibri" w:hAnsi="Verdana" w:cs="Arial"/>
          <w:color w:val="000000"/>
        </w:rPr>
        <w:t>°</w:t>
      </w:r>
      <w:r w:rsidRPr="00342512">
        <w:rPr>
          <w:rFonts w:ascii="Verdana" w:eastAsia="Calibri" w:hAnsi="Verdana" w:cs="Arial"/>
          <w:color w:val="000000"/>
        </w:rPr>
        <w:t xml:space="preserve"> del citad</w:t>
      </w:r>
      <w:r>
        <w:rPr>
          <w:rFonts w:ascii="Verdana" w:eastAsia="Calibri" w:hAnsi="Verdana" w:cs="Arial"/>
          <w:color w:val="000000"/>
        </w:rPr>
        <w:t>o D</w:t>
      </w:r>
      <w:r w:rsidRPr="00342512">
        <w:rPr>
          <w:rFonts w:ascii="Verdana" w:eastAsia="Calibri" w:hAnsi="Verdana" w:cs="Arial"/>
          <w:color w:val="000000"/>
        </w:rPr>
        <w:t xml:space="preserve">ecreto fue modificado debido a ciertas imprecisiones que impedían su aplicación, precisando a qué servicios se refería la norma, aclarando que eran aquellos exclusivamente comprendidos en el concepto </w:t>
      </w:r>
      <w:r>
        <w:rPr>
          <w:rFonts w:ascii="Verdana" w:eastAsia="Calibri" w:hAnsi="Verdana" w:cs="Arial"/>
          <w:color w:val="000000"/>
        </w:rPr>
        <w:t>“</w:t>
      </w:r>
      <w:r w:rsidRPr="00342512">
        <w:rPr>
          <w:rFonts w:ascii="Verdana" w:eastAsia="Calibri" w:hAnsi="Verdana" w:cs="Arial"/>
          <w:color w:val="000000"/>
        </w:rPr>
        <w:t>remuneración servicios técnicos</w:t>
      </w:r>
      <w:r>
        <w:rPr>
          <w:rFonts w:ascii="Verdana" w:eastAsia="Calibri" w:hAnsi="Verdana" w:cs="Arial"/>
          <w:color w:val="000000"/>
        </w:rPr>
        <w:t>”</w:t>
      </w:r>
      <w:r w:rsidRPr="00342512">
        <w:rPr>
          <w:rFonts w:ascii="Verdana" w:eastAsia="Calibri" w:hAnsi="Verdana" w:cs="Arial"/>
          <w:color w:val="000000"/>
        </w:rPr>
        <w:t xml:space="preserve"> desarrollado en el Decreto de Liquidación del Presupuesto General de la Nación, para lo cual se adicionó el parágrafo 2 al artículo 4</w:t>
      </w:r>
      <w:r>
        <w:rPr>
          <w:rFonts w:ascii="Verdana" w:eastAsia="Calibri" w:hAnsi="Verdana" w:cs="Arial"/>
          <w:color w:val="000000"/>
        </w:rPr>
        <w:t>°</w:t>
      </w:r>
      <w:r w:rsidRPr="00342512">
        <w:rPr>
          <w:rFonts w:ascii="Verdana" w:eastAsia="Calibri" w:hAnsi="Verdana" w:cs="Arial"/>
          <w:color w:val="000000"/>
        </w:rPr>
        <w:t xml:space="preserve"> del Decreto 1737 de 1998, mediante el artículo 2 del Decreto 2209 de 1998, el cual ahora indicaba lo siguiente:</w:t>
      </w:r>
    </w:p>
    <w:p w14:paraId="67C3B387" w14:textId="77777777" w:rsidR="00D35ED1" w:rsidRPr="00342512" w:rsidRDefault="00D35ED1" w:rsidP="00D35ED1">
      <w:pPr>
        <w:spacing w:after="0" w:line="240" w:lineRule="auto"/>
        <w:ind w:left="709" w:right="709"/>
        <w:jc w:val="both"/>
        <w:rPr>
          <w:rFonts w:ascii="Verdana" w:eastAsia="Calibri" w:hAnsi="Verdana" w:cs="Arial"/>
          <w:color w:val="000000"/>
        </w:rPr>
      </w:pPr>
    </w:p>
    <w:p w14:paraId="59CB21A6"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Artículo 4°. Está prohibido el pacto de remuneración para pago de servicios personales calificados con personas naturales, o jurídicas, encaminados a la prestación de servicios en forma continua para atender asuntos propios de la respectiva entidad, por valor mensual superior a la remuneración total mensual establecida para el jefe de la entidad.</w:t>
      </w:r>
    </w:p>
    <w:p w14:paraId="60D6D4D0"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2CAF24E7"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Parágrafo 1°. Se entiende por remuneración total mensual del jefe de la entidad, la que corresponda a éste en cada uno de dichos periodos, sin que en ningún caso puedan tenerse en consideración los factores prestacionales.</w:t>
      </w:r>
    </w:p>
    <w:p w14:paraId="562776A0"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42FEC79E"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Parágrafo 2°. Los servicios a que hace referencia el presente artículo corresponden exclusivamente a aquellos comprendidos en el concepto de remuneración servicios técnicos desarrollado en el decreto de liquidación del presupuesto general de la Nación, con independencia del presupuesto con cargo al cual se realice su pago.</w:t>
      </w:r>
    </w:p>
    <w:p w14:paraId="433CDD07"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10F82D36" w14:textId="77777777" w:rsidR="00D35ED1" w:rsidRPr="00342512" w:rsidRDefault="00D35ED1" w:rsidP="00D35ED1">
      <w:pPr>
        <w:spacing w:after="0" w:line="276" w:lineRule="auto"/>
        <w:ind w:firstLine="709"/>
        <w:jc w:val="both"/>
        <w:rPr>
          <w:rFonts w:ascii="Verdana" w:eastAsia="Calibri" w:hAnsi="Verdana" w:cs="Arial"/>
          <w:color w:val="000000"/>
          <w:sz w:val="21"/>
          <w:szCs w:val="21"/>
        </w:rPr>
      </w:pPr>
      <w:r w:rsidRPr="00342512">
        <w:rPr>
          <w:rFonts w:ascii="Verdana" w:eastAsia="Calibri" w:hAnsi="Verdana" w:cs="Arial"/>
          <w:color w:val="000000"/>
        </w:rPr>
        <w:t>Continuando con la evolución histórica d</w:t>
      </w:r>
      <w:r>
        <w:rPr>
          <w:rFonts w:ascii="Verdana" w:eastAsia="Calibri" w:hAnsi="Verdana" w:cs="Arial"/>
          <w:color w:val="000000"/>
        </w:rPr>
        <w:t xml:space="preserve">el Decreto 1737 de 1998, en el </w:t>
      </w:r>
      <w:r w:rsidRPr="00342512">
        <w:rPr>
          <w:rFonts w:ascii="Verdana" w:eastAsia="Calibri" w:hAnsi="Verdana" w:cs="Arial"/>
          <w:color w:val="000000"/>
        </w:rPr>
        <w:t>2011 se expidió́ el Decreto 2785, que, mediante el artículo 1</w:t>
      </w:r>
      <w:r>
        <w:rPr>
          <w:rFonts w:ascii="Verdana" w:eastAsia="Calibri" w:hAnsi="Verdana" w:cs="Arial"/>
          <w:color w:val="000000"/>
        </w:rPr>
        <w:t>°</w:t>
      </w:r>
      <w:r w:rsidRPr="00342512">
        <w:rPr>
          <w:rFonts w:ascii="Verdana" w:eastAsia="Calibri" w:hAnsi="Verdana" w:cs="Arial"/>
          <w:color w:val="000000"/>
        </w:rPr>
        <w:t xml:space="preserve">, modificó parcialmente el artículo 4 del Decreto 1737 de 1998, agregando los </w:t>
      </w:r>
      <w:r w:rsidRPr="00125386">
        <w:rPr>
          <w:rFonts w:ascii="Verdana" w:eastAsia="Calibri" w:hAnsi="Verdana" w:cs="Arial"/>
          <w:color w:val="000000"/>
        </w:rPr>
        <w:t>parágrafos</w:t>
      </w:r>
      <w:r w:rsidRPr="00342512">
        <w:rPr>
          <w:rFonts w:ascii="Verdana" w:eastAsia="Calibri" w:hAnsi="Verdana" w:cs="Arial"/>
          <w:color w:val="000000"/>
        </w:rPr>
        <w:t xml:space="preserve"> 3 y 4, los cuales introdujeron la noción</w:t>
      </w:r>
      <w:r>
        <w:rPr>
          <w:rFonts w:ascii="Verdana" w:eastAsia="Calibri" w:hAnsi="Verdana" w:cs="Arial"/>
          <w:color w:val="000000"/>
        </w:rPr>
        <w:t xml:space="preserve"> de "servicios altamente calificados"</w:t>
      </w:r>
      <w:r w:rsidRPr="00342512">
        <w:rPr>
          <w:rFonts w:ascii="Verdana" w:eastAsia="Calibri" w:hAnsi="Verdana" w:cs="Arial"/>
          <w:color w:val="000000"/>
        </w:rPr>
        <w:t xml:space="preserve"> y de qué manera estos eran aplicables. La norma indica que de manera excepcional se podrían contratar servicios altamente calificados, superando la remuneración total establecida para el jefe de la entidad incluidos los factores prestacionales y las contribuciones asociadas a la nómina, siempre que el representante legal </w:t>
      </w:r>
      <w:r w:rsidRPr="00342512">
        <w:rPr>
          <w:rFonts w:ascii="Verdana" w:eastAsia="Calibri" w:hAnsi="Verdana" w:cs="Arial"/>
          <w:color w:val="000000"/>
        </w:rPr>
        <w:lastRenderedPageBreak/>
        <w:t>de la entidad certificara la necesidad del servicio, sus características y estableciera las condiciones de los productos o servicios a obtener. La norma establecía:</w:t>
      </w:r>
    </w:p>
    <w:p w14:paraId="1BEB3807" w14:textId="77777777" w:rsidR="00D35ED1" w:rsidRPr="00342512" w:rsidRDefault="00D35ED1" w:rsidP="00D35ED1">
      <w:pPr>
        <w:spacing w:after="0" w:line="240" w:lineRule="auto"/>
        <w:ind w:left="709" w:right="709"/>
        <w:jc w:val="both"/>
        <w:rPr>
          <w:rFonts w:ascii="Verdana" w:eastAsia="Calibri" w:hAnsi="Verdana" w:cs="Arial"/>
          <w:color w:val="000000"/>
        </w:rPr>
      </w:pPr>
    </w:p>
    <w:p w14:paraId="29D11BFE"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 xml:space="preserve">Artículo 1°. Modifíquese el artículo 4° del Decreto 1737 de 1998 modificado por el artículo 2° del Decreto 2209 de 1998, el cual quedará </w:t>
      </w:r>
      <w:proofErr w:type="spellStart"/>
      <w:r w:rsidRPr="00342512">
        <w:rPr>
          <w:rFonts w:ascii="Verdana" w:eastAsia="Calibri" w:hAnsi="Verdana" w:cs="Arial"/>
          <w:color w:val="000000"/>
          <w:sz w:val="21"/>
          <w:szCs w:val="21"/>
        </w:rPr>
        <w:t>asi</w:t>
      </w:r>
      <w:proofErr w:type="spellEnd"/>
      <w:r w:rsidRPr="00342512">
        <w:rPr>
          <w:rFonts w:ascii="Verdana" w:eastAsia="Calibri" w:hAnsi="Verdana" w:cs="Arial"/>
          <w:color w:val="000000"/>
          <w:sz w:val="21"/>
          <w:szCs w:val="21"/>
        </w:rPr>
        <w:t>́:</w:t>
      </w:r>
    </w:p>
    <w:p w14:paraId="562BA2A2"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630B0601"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Artículo 4°. Está prohibido el pacto de remuneración para pago de servicios personales calificados con personas naturales, o jurídicas, encaminados a la prestación de servicios en forma continua para atender asuntos propios de la respectiva entidad, por valor mensual superior a la remuneración total mensual establecida para el jefe de la entidad.</w:t>
      </w:r>
    </w:p>
    <w:p w14:paraId="38F23672"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3F1F8456"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Parágrafo 1°. Se entiende por remuneración total mensual del jefe de la entidad, la que corresponda a este en cada uno de dichos periodos, sin que en ningún caso puedan tenerse en consideración los factores prestacionales.</w:t>
      </w:r>
    </w:p>
    <w:p w14:paraId="3724B7AD"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16A738EC"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Parágrafo 2°. Los servicios a que hace referencia el presente artículo corresponden exclusivamente a aquellos comprendidos en el concepto de «remuneración servicios técnicos» desarrollado en el decreto de liquidación del presupuesto general de la Nación, con independencia del presupuesto con cargo al cual se realice su pago.</w:t>
      </w:r>
    </w:p>
    <w:p w14:paraId="283F7DBE"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26C7AADB"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Parágrafo 3°. De manera excepcional, para aquellos eventos en los que se requiera contratar servicios altamente calificados, podrán pactarse honorarios superiores a la remuneración total mensual establecida para el jefe de la entidad, los cuales no podrán exceder del valor total mensual de remuneración del jefe de la entidad incluidos los factores prestacionales y las contribuciones inherentes a la nómina, relacionadas con seguridad social y para fiscales a cargo del empleador. En estos eventos el Representante Legal de la entidad deberá́ certificar el cumplimiento de los siguientes aspectos: 1. Justificar la necesidad del servicio personal altamente calificado. 2. Indicar las características y calidades específicas, altamente calificadas, que reúne el contratista para la ejecución del contrato, y 3. Determinar las características de los productos y/o servicios que se espera obtener.</w:t>
      </w:r>
    </w:p>
    <w:p w14:paraId="54F25C50"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70CC5136" w14:textId="77777777" w:rsidR="00D35ED1" w:rsidRPr="00342512" w:rsidRDefault="00D35ED1" w:rsidP="00D35ED1">
      <w:pPr>
        <w:spacing w:after="0" w:line="240" w:lineRule="auto"/>
        <w:ind w:left="709" w:right="709"/>
        <w:jc w:val="both"/>
        <w:rPr>
          <w:rFonts w:ascii="Verdana" w:eastAsia="Calibri" w:hAnsi="Verdana" w:cs="Arial"/>
          <w:color w:val="000000"/>
        </w:rPr>
      </w:pPr>
      <w:r w:rsidRPr="00342512">
        <w:rPr>
          <w:rFonts w:ascii="Verdana" w:eastAsia="Calibri" w:hAnsi="Verdana" w:cs="Arial"/>
          <w:color w:val="000000"/>
          <w:sz w:val="21"/>
          <w:szCs w:val="21"/>
        </w:rPr>
        <w:t>Parágrafo 4°. Se entiende por servicios altamente calificados aquellos requeridos en situaciones de alto nivel de especialidad, complejidad y detalle.</w:t>
      </w:r>
    </w:p>
    <w:p w14:paraId="695470E3" w14:textId="77777777" w:rsidR="00D35ED1" w:rsidRPr="00342512" w:rsidRDefault="00D35ED1" w:rsidP="00D35ED1">
      <w:pPr>
        <w:spacing w:after="0" w:line="240" w:lineRule="auto"/>
        <w:ind w:left="709" w:right="709"/>
        <w:jc w:val="both"/>
        <w:rPr>
          <w:rFonts w:ascii="Verdana" w:eastAsia="Calibri" w:hAnsi="Verdana" w:cs="Arial"/>
          <w:color w:val="000000"/>
        </w:rPr>
      </w:pPr>
    </w:p>
    <w:p w14:paraId="677BA06F" w14:textId="77777777" w:rsidR="00D35ED1" w:rsidRPr="00342512" w:rsidRDefault="00D35ED1" w:rsidP="00D35ED1">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lastRenderedPageBreak/>
        <w:t>Luego, el Decreto 1068 de 2015</w:t>
      </w:r>
      <w:r>
        <w:rPr>
          <w:rFonts w:ascii="Verdana" w:eastAsia="Calibri" w:hAnsi="Verdana" w:cs="Arial"/>
          <w:color w:val="000000"/>
        </w:rPr>
        <w:t>, “</w:t>
      </w:r>
      <w:r w:rsidRPr="00342512">
        <w:rPr>
          <w:rFonts w:ascii="Verdana" w:eastAsia="Calibri" w:hAnsi="Verdana" w:cs="Arial"/>
          <w:color w:val="000000"/>
        </w:rPr>
        <w:t>por medio del cual se expidió́ el Decreto Único Reglamentario del Sector Hacienda y Crédito Público</w:t>
      </w:r>
      <w:r>
        <w:rPr>
          <w:rFonts w:ascii="Verdana" w:eastAsia="Calibri" w:hAnsi="Verdana" w:cs="Arial"/>
          <w:color w:val="000000"/>
        </w:rPr>
        <w:t>"</w:t>
      </w:r>
      <w:r w:rsidRPr="00342512">
        <w:rPr>
          <w:rFonts w:ascii="Verdana" w:eastAsia="Calibri" w:hAnsi="Verdana" w:cs="Arial"/>
          <w:color w:val="000000"/>
        </w:rPr>
        <w:t xml:space="preserve">, </w:t>
      </w:r>
      <w:r>
        <w:rPr>
          <w:rFonts w:ascii="Verdana" w:eastAsia="Calibri" w:hAnsi="Verdana" w:cs="Arial"/>
          <w:color w:val="000000"/>
        </w:rPr>
        <w:t>en el Libro 2, Parte 8, Título 4°, "Medidas de austeridad del Gasto Público"</w:t>
      </w:r>
      <w:r w:rsidRPr="006074C9">
        <w:rPr>
          <w:rFonts w:ascii="Verdana" w:eastAsia="Calibri" w:hAnsi="Verdana" w:cs="Arial"/>
          <w:color w:val="000000"/>
        </w:rPr>
        <w:t xml:space="preserve"> es aplicable directamente a los organismos, entidades, entes públicos y personas jurídicas que financien sus gastos con recursos del Tesoro Público, diferentes</w:t>
      </w:r>
      <w:r>
        <w:rPr>
          <w:rFonts w:ascii="Verdana" w:eastAsia="Calibri" w:hAnsi="Verdana" w:cs="Arial"/>
          <w:color w:val="000000"/>
        </w:rPr>
        <w:t xml:space="preserve"> de las entidades territoriales, </w:t>
      </w:r>
      <w:r w:rsidRPr="00342512">
        <w:rPr>
          <w:rFonts w:ascii="Verdana" w:eastAsia="Calibri" w:hAnsi="Verdana" w:cs="Arial"/>
          <w:color w:val="000000"/>
        </w:rPr>
        <w:t>compiló los desarrollos normativos implementados por el Decreto 1737 de 1998, incluidas las modificaciones realizadas por el artículo 2 del Decreto 2209 de 1998, modificado por el artículo 1 del Decreto 2785 de 2011.</w:t>
      </w:r>
    </w:p>
    <w:p w14:paraId="0CC6B8B7" w14:textId="77777777" w:rsidR="00D35ED1" w:rsidRPr="005A06AE" w:rsidRDefault="00D35ED1" w:rsidP="00D35ED1">
      <w:pPr>
        <w:spacing w:before="120" w:after="0" w:line="276" w:lineRule="auto"/>
        <w:ind w:firstLine="709"/>
        <w:jc w:val="both"/>
        <w:rPr>
          <w:rFonts w:ascii="Verdana" w:eastAsia="Calibri" w:hAnsi="Verdana" w:cs="Arial"/>
          <w:color w:val="000000"/>
          <w:lang w:val="es-ES"/>
        </w:rPr>
      </w:pPr>
      <w:r w:rsidRPr="00342512">
        <w:rPr>
          <w:rFonts w:ascii="Verdana" w:eastAsia="Calibri" w:hAnsi="Verdana" w:cs="Arial"/>
          <w:color w:val="000000"/>
        </w:rPr>
        <w:t>Este Decreto, en el artículo 2.8.4.1.1., indic</w:t>
      </w:r>
      <w:r>
        <w:rPr>
          <w:rFonts w:ascii="Verdana" w:eastAsia="Calibri" w:hAnsi="Verdana" w:cs="Arial"/>
          <w:color w:val="000000"/>
        </w:rPr>
        <w:t>ó que: “</w:t>
      </w:r>
      <w:r w:rsidRPr="00342512">
        <w:rPr>
          <w:rFonts w:ascii="Verdana" w:eastAsia="Calibri" w:hAnsi="Verdana" w:cs="Arial"/>
          <w:color w:val="000000"/>
        </w:rPr>
        <w:t>Se sujetan a la regulación de este título, salvo en lo expresamente aquí́ exceptuando, los organismos, entidades, entes públicos, y personas jurídicas que financien sus gastos con recursos del Tesoro Público</w:t>
      </w:r>
      <w:r>
        <w:rPr>
          <w:rFonts w:ascii="Verdana" w:eastAsia="Calibri" w:hAnsi="Verdana" w:cs="Arial"/>
          <w:color w:val="000000"/>
        </w:rPr>
        <w:t>" (Art. 1 Decreto 1737 de 1998)</w:t>
      </w:r>
      <w:r w:rsidRPr="00342512">
        <w:rPr>
          <w:rFonts w:ascii="Verdana" w:eastAsia="Calibri" w:hAnsi="Verdana" w:cs="Arial"/>
          <w:color w:val="000000"/>
        </w:rPr>
        <w:t>.</w:t>
      </w:r>
      <w:r>
        <w:rPr>
          <w:rFonts w:ascii="Verdana" w:eastAsia="Calibri" w:hAnsi="Verdana" w:cs="Arial"/>
          <w:color w:val="000000"/>
        </w:rPr>
        <w:t xml:space="preserve"> </w:t>
      </w:r>
      <w:r w:rsidRPr="00342512">
        <w:rPr>
          <w:rFonts w:ascii="Verdana" w:eastAsia="Calibri" w:hAnsi="Verdana" w:cs="Arial"/>
          <w:color w:val="000000"/>
        </w:rPr>
        <w:t xml:space="preserve">En cuanto a su ámbito de aplicación en el nivel territorial, el Decreto 1068 de 2015, en el artículo 2.8.4.1.2. estableció lo siguiente: </w:t>
      </w:r>
      <w:r>
        <w:rPr>
          <w:rFonts w:ascii="Verdana" w:eastAsia="Calibri" w:hAnsi="Verdana" w:cs="Arial"/>
          <w:color w:val="000000"/>
        </w:rPr>
        <w:t>“</w:t>
      </w:r>
      <w:r w:rsidRPr="00342512">
        <w:rPr>
          <w:rFonts w:ascii="Verdana" w:eastAsia="Calibri" w:hAnsi="Verdana" w:cs="Arial"/>
          <w:color w:val="000000"/>
        </w:rPr>
        <w:t>Medidas para las entidades territoriales. Las entidades territoriales adoptarán medidas equivalentes a las aquí́ dispuestas en sus organizaciones administrativas. (Art. 2 Decreto 1737 de 1998)</w:t>
      </w:r>
      <w:r>
        <w:rPr>
          <w:rFonts w:ascii="Verdana" w:eastAsia="Calibri" w:hAnsi="Verdana" w:cs="Arial"/>
          <w:color w:val="000000"/>
        </w:rPr>
        <w:t xml:space="preserve">". Esto implica que </w:t>
      </w:r>
      <w:r w:rsidRPr="00FF02AF">
        <w:rPr>
          <w:rFonts w:ascii="Verdana" w:eastAsia="Calibri" w:hAnsi="Verdana" w:cs="Arial"/>
          <w:color w:val="000000"/>
        </w:rPr>
        <w:t>el Libro 2, Parte 8, Título 4° el Decreto 1068 de 2015, "Medidas de austeridad del Gasto Público" es aplicable directamente a los organismos, entidades, entes públicos y personas jurídicas que financien sus gastos con recursos del Tesoro Público, diferentes de las entidades territoriales.</w:t>
      </w:r>
      <w:r>
        <w:rPr>
          <w:rFonts w:ascii="Verdana" w:eastAsia="Calibri" w:hAnsi="Verdana" w:cs="Arial"/>
          <w:color w:val="000000"/>
        </w:rPr>
        <w:t xml:space="preserve"> </w:t>
      </w:r>
    </w:p>
    <w:p w14:paraId="3EA8F7A8" w14:textId="77777777" w:rsidR="00D35ED1" w:rsidRPr="00342512" w:rsidRDefault="00D35ED1" w:rsidP="00D35ED1">
      <w:pPr>
        <w:spacing w:before="120" w:after="0" w:line="276" w:lineRule="auto"/>
        <w:ind w:firstLine="709"/>
        <w:jc w:val="both"/>
        <w:rPr>
          <w:rFonts w:ascii="Verdana" w:eastAsia="Calibri" w:hAnsi="Verdana" w:cs="Arial"/>
          <w:color w:val="000000"/>
        </w:rPr>
      </w:pPr>
      <w:r w:rsidRPr="00342512">
        <w:rPr>
          <w:rFonts w:ascii="Verdana" w:eastAsia="Calibri" w:hAnsi="Verdana" w:cs="Arial"/>
          <w:color w:val="000000"/>
        </w:rPr>
        <w:t>Dicho lo anterior, es preciso indicar que el Decreto 1068 de 2015, en el artículo 2.8.4.4.6., establece unas reglas particulares para la suscripción de contratos de prestación de servicios pers</w:t>
      </w:r>
      <w:r>
        <w:rPr>
          <w:rFonts w:ascii="Verdana" w:eastAsia="Calibri" w:hAnsi="Verdana" w:cs="Arial"/>
          <w:color w:val="000000"/>
        </w:rPr>
        <w:t>onales “</w:t>
      </w:r>
      <w:r w:rsidRPr="00342512">
        <w:rPr>
          <w:rFonts w:ascii="Verdana" w:eastAsia="Calibri" w:hAnsi="Verdana" w:cs="Arial"/>
          <w:color w:val="000000"/>
        </w:rPr>
        <w:t>calificados</w:t>
      </w:r>
      <w:r>
        <w:rPr>
          <w:rFonts w:ascii="Verdana" w:eastAsia="Calibri" w:hAnsi="Verdana" w:cs="Arial"/>
          <w:color w:val="000000"/>
        </w:rPr>
        <w:t>” y “</w:t>
      </w:r>
      <w:r w:rsidRPr="00342512">
        <w:rPr>
          <w:rFonts w:ascii="Verdana" w:eastAsia="Calibri" w:hAnsi="Verdana" w:cs="Arial"/>
          <w:color w:val="000000"/>
        </w:rPr>
        <w:t>altamente calificados</w:t>
      </w:r>
      <w:r>
        <w:rPr>
          <w:rFonts w:ascii="Verdana" w:eastAsia="Calibri" w:hAnsi="Verdana" w:cs="Arial"/>
          <w:color w:val="000000"/>
        </w:rPr>
        <w:t xml:space="preserve">”. </w:t>
      </w:r>
      <w:r w:rsidRPr="00342512">
        <w:rPr>
          <w:rFonts w:ascii="Verdana" w:eastAsia="Calibri" w:hAnsi="Verdana" w:cs="Arial"/>
          <w:color w:val="000000"/>
        </w:rPr>
        <w:t>La norma indica lo siguiente:</w:t>
      </w:r>
    </w:p>
    <w:p w14:paraId="7331C431" w14:textId="77777777" w:rsidR="00D35ED1" w:rsidRPr="00342512" w:rsidRDefault="00D35ED1" w:rsidP="00D35ED1">
      <w:pPr>
        <w:spacing w:after="0" w:line="240" w:lineRule="auto"/>
        <w:ind w:left="709" w:right="709"/>
        <w:jc w:val="both"/>
        <w:rPr>
          <w:rFonts w:ascii="Verdana" w:eastAsia="Calibri" w:hAnsi="Verdana" w:cs="Arial"/>
          <w:color w:val="000000"/>
        </w:rPr>
      </w:pPr>
    </w:p>
    <w:p w14:paraId="574075AC"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artículo 2.8.4.4.6. Prohibición de contratar prestación de servicios de forma continua. Está prohibido el pacto de remuneración para pago de servicios personales calificados con personas naturales, o jurídicas, encaminados a la prestación de servicios en forma continua para atender asuntos propios de la respectiva entidad, por valor mensual superior a la remuneración total mensual establecida para el jefe de la entidad.</w:t>
      </w:r>
    </w:p>
    <w:p w14:paraId="5EEF3AA6"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1AA9D31D"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Parágrafo 1°. Se entiende por remuneración total mensual del jefe de la entidad, la que corresponda a este en cada uno de dichos periodos, sin que en ningún caso puedan tenerse en consideración los factores prestacionales.</w:t>
      </w:r>
    </w:p>
    <w:p w14:paraId="0014CD17"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390C9EC2"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 xml:space="preserve">Parágrafo 2°. Los servicios a que hace referencia el presente artículo corresponden exclusivamente a aquellos </w:t>
      </w:r>
      <w:r>
        <w:rPr>
          <w:rFonts w:ascii="Verdana" w:eastAsia="Calibri" w:hAnsi="Verdana" w:cs="Arial"/>
          <w:color w:val="000000"/>
          <w:sz w:val="21"/>
          <w:szCs w:val="21"/>
        </w:rPr>
        <w:t xml:space="preserve">comprendidos en el concepto </w:t>
      </w:r>
      <w:r>
        <w:rPr>
          <w:rFonts w:ascii="Verdana" w:eastAsia="Calibri" w:hAnsi="Verdana" w:cs="Arial"/>
          <w:color w:val="000000"/>
          <w:sz w:val="21"/>
          <w:szCs w:val="21"/>
        </w:rPr>
        <w:lastRenderedPageBreak/>
        <w:t>de “</w:t>
      </w:r>
      <w:r w:rsidRPr="00342512">
        <w:rPr>
          <w:rFonts w:ascii="Verdana" w:eastAsia="Calibri" w:hAnsi="Verdana" w:cs="Arial"/>
          <w:color w:val="000000"/>
          <w:sz w:val="21"/>
          <w:szCs w:val="21"/>
        </w:rPr>
        <w:t>remuneración servicios técnicos</w:t>
      </w:r>
      <w:r>
        <w:rPr>
          <w:rFonts w:ascii="Verdana" w:eastAsia="Calibri" w:hAnsi="Verdana" w:cs="Arial"/>
          <w:color w:val="000000"/>
          <w:sz w:val="21"/>
          <w:szCs w:val="21"/>
        </w:rPr>
        <w:t xml:space="preserve">” </w:t>
      </w:r>
      <w:r w:rsidRPr="00342512">
        <w:rPr>
          <w:rFonts w:ascii="Verdana" w:eastAsia="Calibri" w:hAnsi="Verdana" w:cs="Arial"/>
          <w:color w:val="000000"/>
          <w:sz w:val="21"/>
          <w:szCs w:val="21"/>
        </w:rPr>
        <w:t>desarrollado en el decreto de liquidación del presupuesto general de la Nación, con independencia del presupuesto con cargo al cual se realice su pago.</w:t>
      </w:r>
    </w:p>
    <w:p w14:paraId="3433432F"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2DA526DC"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Parágrafo 3°. De manera excepcional, para aquellos eventos en los que se requiera contratar servicios altamente calificados, podrán pactarse honorarios superiores a la remuneración total mensual establecida para el jefe de la entidad, los cuales no podrán exceder del valor total mensual de remuneración del jefe de la entidad incluidos los factores prestacionales y las contribuciones inherentes a la nómina, relacionadas con seguridad social y parafiscales a cargo del empleador.</w:t>
      </w:r>
    </w:p>
    <w:p w14:paraId="33D09605"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64181E52"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En estos eventos el Representante Legal de la entidad deberá́ certificar el cumplimiento de los siguientes aspectos: 1. Justificar la necesidad del servicio personal altamente calificado. 2. Indicar las características y calidades específicas, altamente calificadas, que reúne el contratista para la ejecución del contrato, y 3. Determinar las características de los productos y/o servicios que se espera obtener.</w:t>
      </w:r>
    </w:p>
    <w:p w14:paraId="0C502E32"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7B08F80C"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Parágrafo 4°. Se entiende por servicios altamente calificados aquellos requeridos en situaciones de alto nivel de especialidad, complejidad y detalle.</w:t>
      </w:r>
    </w:p>
    <w:p w14:paraId="2220D3EE"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606F16C5"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(Art.4 Decreto 1737 de 1998, modificado por el Art .2 del Decreto 2209 de 1998, modificado por el art. 1 del Decreto 2785 de 2011).</w:t>
      </w:r>
    </w:p>
    <w:p w14:paraId="20C95E15" w14:textId="77777777" w:rsidR="00D35ED1" w:rsidRPr="00342512" w:rsidRDefault="00D35ED1" w:rsidP="00D35ED1">
      <w:pPr>
        <w:spacing w:after="0" w:line="240" w:lineRule="auto"/>
        <w:ind w:left="709" w:right="709"/>
        <w:jc w:val="both"/>
        <w:rPr>
          <w:rFonts w:ascii="Verdana" w:eastAsia="Calibri" w:hAnsi="Verdana" w:cs="Arial"/>
          <w:color w:val="000000"/>
          <w:sz w:val="21"/>
          <w:szCs w:val="21"/>
        </w:rPr>
      </w:pPr>
    </w:p>
    <w:p w14:paraId="682B0F49" w14:textId="77777777" w:rsidR="00D35ED1" w:rsidRDefault="00D35ED1" w:rsidP="00D35ED1">
      <w:pPr>
        <w:spacing w:before="120" w:after="0" w:line="276" w:lineRule="auto"/>
        <w:ind w:firstLine="709"/>
        <w:jc w:val="both"/>
        <w:rPr>
          <w:rFonts w:ascii="Verdana" w:eastAsia="Calibri" w:hAnsi="Verdana" w:cs="Arial"/>
          <w:color w:val="000000"/>
        </w:rPr>
      </w:pPr>
      <w:r w:rsidRPr="00342512">
        <w:rPr>
          <w:rFonts w:ascii="Verdana" w:eastAsia="Calibri" w:hAnsi="Verdana" w:cs="Arial"/>
          <w:color w:val="000000"/>
        </w:rPr>
        <w:t xml:space="preserve">De lo anterior, puede entenderse que el Decreto 1068 de 2015 distingue dos categorías de contratos de prestación de servicios: los </w:t>
      </w:r>
      <w:r>
        <w:rPr>
          <w:rFonts w:ascii="Verdana" w:eastAsia="Calibri" w:hAnsi="Verdana" w:cs="Arial"/>
          <w:color w:val="000000"/>
        </w:rPr>
        <w:t>“</w:t>
      </w:r>
      <w:r w:rsidRPr="00342512">
        <w:rPr>
          <w:rFonts w:ascii="Verdana" w:eastAsia="Calibri" w:hAnsi="Verdana" w:cs="Arial"/>
          <w:color w:val="000000"/>
        </w:rPr>
        <w:t>calificados</w:t>
      </w:r>
      <w:r>
        <w:rPr>
          <w:rFonts w:ascii="Verdana" w:eastAsia="Calibri" w:hAnsi="Verdana" w:cs="Arial"/>
          <w:color w:val="000000"/>
        </w:rPr>
        <w:t>” y los “</w:t>
      </w:r>
      <w:r w:rsidRPr="00342512">
        <w:rPr>
          <w:rFonts w:ascii="Verdana" w:eastAsia="Calibri" w:hAnsi="Verdana" w:cs="Arial"/>
          <w:color w:val="000000"/>
        </w:rPr>
        <w:t>altamente calificados</w:t>
      </w:r>
      <w:r>
        <w:rPr>
          <w:rFonts w:ascii="Verdana" w:eastAsia="Calibri" w:hAnsi="Verdana" w:cs="Arial"/>
          <w:color w:val="000000"/>
        </w:rPr>
        <w:t>”</w:t>
      </w:r>
      <w:r w:rsidRPr="00342512">
        <w:rPr>
          <w:rFonts w:ascii="Verdana" w:eastAsia="Calibri" w:hAnsi="Verdana" w:cs="Arial"/>
          <w:color w:val="000000"/>
        </w:rPr>
        <w:t xml:space="preserve">, indicando que uno u otro deberá́ atender el tope indicado en la norma. Para el caso de los contratos </w:t>
      </w:r>
      <w:r>
        <w:rPr>
          <w:rFonts w:ascii="Verdana" w:eastAsia="Calibri" w:hAnsi="Verdana" w:cs="Arial"/>
          <w:color w:val="000000"/>
        </w:rPr>
        <w:t>"calificados"</w:t>
      </w:r>
      <w:r w:rsidRPr="00342512">
        <w:rPr>
          <w:rFonts w:ascii="Verdana" w:eastAsia="Calibri" w:hAnsi="Verdana" w:cs="Arial"/>
          <w:color w:val="000000"/>
        </w:rPr>
        <w:t xml:space="preserve">, no podrán exceder un valor superior a la remuneración total mensual establecida para el jefe de la entidad; y los </w:t>
      </w:r>
      <w:r>
        <w:rPr>
          <w:rFonts w:ascii="Verdana" w:eastAsia="Calibri" w:hAnsi="Verdana" w:cs="Arial"/>
          <w:color w:val="000000"/>
        </w:rPr>
        <w:t>"altamente calificados"</w:t>
      </w:r>
      <w:r w:rsidRPr="00342512">
        <w:rPr>
          <w:rFonts w:ascii="Verdana" w:eastAsia="Calibri" w:hAnsi="Verdana" w:cs="Arial"/>
          <w:color w:val="000000"/>
        </w:rPr>
        <w:t>, no podrán pactar honorarios superiores al valor total mensual de la remuneración del jefe de la entidad, incluidos los factores prestacionales y las contribuciones inherentes a la nómina, relacionadas con seguridad social y parafiscales a cargo del empleador.</w:t>
      </w:r>
      <w:r>
        <w:rPr>
          <w:rFonts w:ascii="Verdana" w:eastAsia="Calibri" w:hAnsi="Verdana" w:cs="Arial"/>
          <w:color w:val="000000"/>
        </w:rPr>
        <w:t xml:space="preserve"> En esta línea, la Auditoria General de la República en el Concepto </w:t>
      </w:r>
      <w:r w:rsidRPr="00DA4292">
        <w:rPr>
          <w:rFonts w:ascii="Verdana" w:eastAsia="Calibri" w:hAnsi="Verdana" w:cs="Arial"/>
          <w:color w:val="000000"/>
        </w:rPr>
        <w:t>110.011.2025</w:t>
      </w:r>
      <w:r>
        <w:rPr>
          <w:rStyle w:val="Refdenotaalpie"/>
          <w:rFonts w:ascii="Verdana" w:eastAsia="Calibri" w:hAnsi="Verdana" w:cs="Arial"/>
          <w:color w:val="000000"/>
        </w:rPr>
        <w:footnoteReference w:id="18"/>
      </w:r>
      <w:r>
        <w:rPr>
          <w:rFonts w:ascii="Verdana" w:eastAsia="Calibri" w:hAnsi="Verdana" w:cs="Arial"/>
          <w:color w:val="000000"/>
        </w:rPr>
        <w:t xml:space="preserve"> expresó: </w:t>
      </w:r>
    </w:p>
    <w:p w14:paraId="56F6648C" w14:textId="77777777" w:rsidR="00D35ED1" w:rsidRDefault="00D35ED1" w:rsidP="00D35ED1">
      <w:pPr>
        <w:autoSpaceDE w:val="0"/>
        <w:autoSpaceDN w:val="0"/>
        <w:adjustRightInd w:val="0"/>
        <w:spacing w:after="0" w:line="240" w:lineRule="auto"/>
        <w:jc w:val="both"/>
        <w:rPr>
          <w:rFonts w:ascii="Calibri" w:hAnsi="Calibri" w:cs="Calibri"/>
        </w:rPr>
      </w:pPr>
    </w:p>
    <w:p w14:paraId="457C2075" w14:textId="77777777" w:rsidR="00D35ED1" w:rsidRPr="00F61EC4" w:rsidRDefault="00D35ED1" w:rsidP="00D35ED1">
      <w:pPr>
        <w:autoSpaceDE w:val="0"/>
        <w:autoSpaceDN w:val="0"/>
        <w:adjustRightInd w:val="0"/>
        <w:spacing w:after="0" w:line="240" w:lineRule="auto"/>
        <w:ind w:left="709" w:right="709"/>
        <w:jc w:val="both"/>
        <w:rPr>
          <w:rFonts w:ascii="Verdana" w:hAnsi="Verdana" w:cs="Calibri"/>
          <w:sz w:val="21"/>
          <w:szCs w:val="21"/>
        </w:rPr>
      </w:pPr>
      <w:r w:rsidRPr="00F61EC4">
        <w:rPr>
          <w:rFonts w:ascii="Verdana" w:hAnsi="Verdana" w:cs="Calibri"/>
          <w:sz w:val="21"/>
          <w:szCs w:val="21"/>
        </w:rPr>
        <w:t>[…] por regla general en los contratos de prestación de servicios no es posible pactar honorarios con valor superior a la remuneración mensual del jefe de la entidad contratante; no obstante, como excepción se tiene que los contratos en donde el servicio a prestar</w:t>
      </w:r>
      <w:r>
        <w:rPr>
          <w:rFonts w:ascii="Verdana" w:hAnsi="Verdana" w:cs="Calibri"/>
          <w:sz w:val="21"/>
          <w:szCs w:val="21"/>
        </w:rPr>
        <w:t xml:space="preserve"> </w:t>
      </w:r>
      <w:r w:rsidRPr="00F61EC4">
        <w:rPr>
          <w:rFonts w:ascii="Verdana" w:hAnsi="Verdana" w:cs="Calibri"/>
          <w:sz w:val="21"/>
          <w:szCs w:val="21"/>
        </w:rPr>
        <w:t xml:space="preserve">sea </w:t>
      </w:r>
      <w:r w:rsidRPr="00F61EC4">
        <w:rPr>
          <w:rFonts w:ascii="Verdana" w:hAnsi="Verdana" w:cs="Calibri"/>
          <w:sz w:val="21"/>
          <w:szCs w:val="21"/>
        </w:rPr>
        <w:lastRenderedPageBreak/>
        <w:t>altamente calificado en razón al nivel de especialidad, complejidad y detalle, se podrá pactar honorarios superiores al valor de la remuneración mensual del jefe de la entidad, sin que estos sobrepasen dicha remuneración mensual total, entendiéndose esta como aquella que incluye la asignación mensual más los factores prestacionales, las contribuciones propias de la nómina por concepto de seguridad social y parafiscales que estén a cargo del empleador</w:t>
      </w:r>
    </w:p>
    <w:p w14:paraId="45F5FAED" w14:textId="77777777" w:rsidR="00D35ED1" w:rsidRPr="00DA4292" w:rsidRDefault="00D35ED1" w:rsidP="00D35ED1">
      <w:pPr>
        <w:spacing w:before="120" w:after="0" w:line="276" w:lineRule="auto"/>
        <w:ind w:firstLine="709"/>
        <w:jc w:val="both"/>
        <w:rPr>
          <w:rFonts w:ascii="Verdana" w:eastAsia="Calibri" w:hAnsi="Verdana" w:cs="Arial"/>
          <w:color w:val="000000"/>
          <w:sz w:val="21"/>
          <w:szCs w:val="21"/>
        </w:rPr>
      </w:pPr>
    </w:p>
    <w:p w14:paraId="08A82873" w14:textId="77777777" w:rsidR="00D35ED1" w:rsidRDefault="00D35ED1" w:rsidP="00D35ED1">
      <w:pPr>
        <w:spacing w:before="120" w:after="120" w:line="276" w:lineRule="auto"/>
        <w:ind w:firstLine="709"/>
        <w:jc w:val="both"/>
        <w:rPr>
          <w:rFonts w:ascii="Verdana" w:eastAsia="Calibri" w:hAnsi="Verdana" w:cs="Arial"/>
          <w:color w:val="000000"/>
        </w:rPr>
      </w:pPr>
      <w:r w:rsidRPr="00342512">
        <w:rPr>
          <w:rFonts w:ascii="Verdana" w:eastAsia="Calibri" w:hAnsi="Verdana" w:cs="Arial"/>
          <w:color w:val="000000"/>
        </w:rPr>
        <w:t xml:space="preserve">En todo caso, la aplicación de las reglas indicadas en el artículo 2.8.4.4.6 Decreto 1068 de 2015, referentes al tope de los contratos de prestación de servicios calificados y altamente calificados, se encuentran condicionadas al concepto </w:t>
      </w:r>
      <w:r>
        <w:rPr>
          <w:rFonts w:ascii="Verdana" w:eastAsia="Calibri" w:hAnsi="Verdana" w:cs="Arial"/>
          <w:color w:val="000000"/>
        </w:rPr>
        <w:t>“</w:t>
      </w:r>
      <w:r w:rsidRPr="00342512">
        <w:rPr>
          <w:rFonts w:ascii="Verdana" w:eastAsia="Calibri" w:hAnsi="Verdana" w:cs="Arial"/>
          <w:color w:val="000000"/>
        </w:rPr>
        <w:t>remuneración servicios técnicos</w:t>
      </w:r>
      <w:r>
        <w:rPr>
          <w:rFonts w:ascii="Verdana" w:eastAsia="Calibri" w:hAnsi="Verdana" w:cs="Arial"/>
          <w:color w:val="000000"/>
        </w:rPr>
        <w:t>”</w:t>
      </w:r>
      <w:r w:rsidRPr="00342512">
        <w:rPr>
          <w:rFonts w:ascii="Verdana" w:eastAsia="Calibri" w:hAnsi="Verdana" w:cs="Arial"/>
          <w:color w:val="000000"/>
        </w:rPr>
        <w:t>, tal como lo establece el parágrafo 2 de dicho artículo:</w:t>
      </w:r>
      <w:r>
        <w:rPr>
          <w:rFonts w:ascii="Verdana" w:eastAsia="Calibri" w:hAnsi="Verdana" w:cs="Arial"/>
          <w:color w:val="000000"/>
        </w:rPr>
        <w:t xml:space="preserve"> […] </w:t>
      </w:r>
      <w:r w:rsidRPr="00342512">
        <w:rPr>
          <w:rFonts w:ascii="Verdana" w:eastAsia="Calibri" w:hAnsi="Verdana" w:cs="Arial"/>
          <w:color w:val="000000"/>
          <w:sz w:val="21"/>
          <w:szCs w:val="21"/>
        </w:rPr>
        <w:t xml:space="preserve">Los servicios a que hace referencia el presente artículo corresponden exclusivamente a aquellos comprendidos en el concepto de </w:t>
      </w:r>
      <w:r>
        <w:rPr>
          <w:rFonts w:ascii="Verdana" w:eastAsia="Calibri" w:hAnsi="Verdana" w:cs="Arial"/>
          <w:color w:val="000000"/>
          <w:sz w:val="21"/>
          <w:szCs w:val="21"/>
        </w:rPr>
        <w:t>“</w:t>
      </w:r>
      <w:r w:rsidRPr="00342512">
        <w:rPr>
          <w:rFonts w:ascii="Verdana" w:eastAsia="Calibri" w:hAnsi="Verdana" w:cs="Arial"/>
          <w:color w:val="000000"/>
          <w:sz w:val="21"/>
          <w:szCs w:val="21"/>
        </w:rPr>
        <w:t>remuneración servicios técnicos</w:t>
      </w:r>
      <w:r>
        <w:rPr>
          <w:rFonts w:ascii="Verdana" w:eastAsia="Calibri" w:hAnsi="Verdana" w:cs="Arial"/>
          <w:color w:val="000000"/>
          <w:sz w:val="21"/>
          <w:szCs w:val="21"/>
        </w:rPr>
        <w:t>”</w:t>
      </w:r>
      <w:r w:rsidRPr="00342512">
        <w:rPr>
          <w:rFonts w:ascii="Verdana" w:eastAsia="Calibri" w:hAnsi="Verdana" w:cs="Arial"/>
          <w:color w:val="000000"/>
          <w:sz w:val="21"/>
          <w:szCs w:val="21"/>
        </w:rPr>
        <w:t xml:space="preserve"> desarrollado en el decreto de liquidación del presupuesto general de la Nación, con independencia del presupuesto con cargo al cual se realice su pago.</w:t>
      </w:r>
      <w:r>
        <w:rPr>
          <w:rFonts w:ascii="Verdana" w:eastAsia="Calibri" w:hAnsi="Verdana" w:cs="Arial"/>
          <w:color w:val="000000"/>
        </w:rPr>
        <w:t xml:space="preserve"> Al respecto el Decreto 1621 del 30 de diciembre de 2024, </w:t>
      </w:r>
      <w:r w:rsidRPr="008B517C">
        <w:rPr>
          <w:rFonts w:ascii="Verdana" w:eastAsia="Calibri" w:hAnsi="Verdana" w:cs="Arial"/>
          <w:color w:val="000000"/>
        </w:rPr>
        <w:t>"Por el cual se liquida el Presupuesto General de la Nación para la vigencia fiscal de 2025, se detallan las apropiaciones y se clasifican y definen los gastos"</w:t>
      </w:r>
      <w:r>
        <w:rPr>
          <w:rFonts w:ascii="Verdana" w:eastAsia="Calibri" w:hAnsi="Verdana" w:cs="Arial"/>
          <w:color w:val="000000"/>
        </w:rPr>
        <w:t xml:space="preserve"> dispone en el artículo 35 sobre la clasificación de gastos, entre los que se encuentra, el Código 02 que regula la adquisición de bienes y servicios. Dicho aparte sigue con el mismo límite de remuneración para la contratación de prestación de servicios tanto para los calificados como altamente calificados</w:t>
      </w:r>
      <w:r>
        <w:rPr>
          <w:rStyle w:val="Refdenotaalpie"/>
          <w:rFonts w:ascii="Verdana" w:eastAsia="Calibri" w:hAnsi="Verdana" w:cs="Arial"/>
          <w:color w:val="000000"/>
        </w:rPr>
        <w:footnoteReference w:id="19"/>
      </w:r>
      <w:r>
        <w:rPr>
          <w:rFonts w:ascii="Verdana" w:eastAsia="Calibri" w:hAnsi="Verdana" w:cs="Arial"/>
          <w:color w:val="000000"/>
        </w:rPr>
        <w:t xml:space="preserve">, y </w:t>
      </w:r>
      <w:r>
        <w:rPr>
          <w:rFonts w:ascii="Verdana" w:eastAsia="Calibri" w:hAnsi="Verdana" w:cs="Arial"/>
          <w:color w:val="000000"/>
        </w:rPr>
        <w:lastRenderedPageBreak/>
        <w:t xml:space="preserve">en </w:t>
      </w:r>
      <w:r w:rsidRPr="00342512">
        <w:rPr>
          <w:rFonts w:ascii="Verdana" w:eastAsia="Calibri" w:hAnsi="Verdana" w:cs="Arial"/>
          <w:color w:val="000000"/>
        </w:rPr>
        <w:t>consecuencia</w:t>
      </w:r>
      <w:r>
        <w:rPr>
          <w:rFonts w:ascii="Verdana" w:eastAsia="Calibri" w:hAnsi="Verdana" w:cs="Arial"/>
          <w:bCs/>
          <w:color w:val="000000"/>
        </w:rPr>
        <w:t xml:space="preserve">, </w:t>
      </w:r>
      <w:r w:rsidRPr="00342512">
        <w:rPr>
          <w:rFonts w:ascii="Verdana" w:eastAsia="Calibri" w:hAnsi="Verdana" w:cs="Arial"/>
          <w:bCs/>
          <w:color w:val="000000"/>
        </w:rPr>
        <w:t>debe</w:t>
      </w:r>
      <w:r>
        <w:rPr>
          <w:rFonts w:ascii="Verdana" w:eastAsia="Calibri" w:hAnsi="Verdana" w:cs="Arial"/>
          <w:bCs/>
          <w:color w:val="000000"/>
        </w:rPr>
        <w:t>n</w:t>
      </w:r>
      <w:r w:rsidRPr="00342512">
        <w:rPr>
          <w:rFonts w:ascii="Verdana" w:eastAsia="Calibri" w:hAnsi="Verdana" w:cs="Arial"/>
          <w:bCs/>
          <w:color w:val="000000"/>
        </w:rPr>
        <w:t xml:space="preserve"> respetar los límites establecidos en el artículo </w:t>
      </w:r>
      <w:r w:rsidRPr="00342512">
        <w:rPr>
          <w:rFonts w:ascii="Verdana" w:eastAsia="Calibri" w:hAnsi="Verdana" w:cs="Arial"/>
          <w:color w:val="000000"/>
        </w:rPr>
        <w:t>2.8.4.4.6 Decreto 1068 de 2015.</w:t>
      </w:r>
      <w:r>
        <w:rPr>
          <w:rFonts w:ascii="Verdana" w:eastAsia="Calibri" w:hAnsi="Verdana" w:cs="Arial"/>
          <w:color w:val="000000"/>
        </w:rPr>
        <w:t xml:space="preserve"> </w:t>
      </w:r>
    </w:p>
    <w:p w14:paraId="362468CB" w14:textId="7C723E02" w:rsidR="00D35ED1" w:rsidRDefault="00A76648" w:rsidP="00D35ED1">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L</w:t>
      </w:r>
      <w:r w:rsidR="00D35ED1" w:rsidRPr="004D4825">
        <w:rPr>
          <w:rFonts w:ascii="Verdana" w:eastAsia="Calibri" w:hAnsi="Verdana" w:cs="Arial"/>
          <w:color w:val="000000"/>
        </w:rPr>
        <w:t>a contratación de servicios altamente calificados son aquellos que se caracterizan por su alto nivel de complejidad, especialidad y detalle, en los que se exige que el Representante Legal de la entidad debe certificar el cumplimiento de los siguientes aspectos: i) justificar la necesidad del servicio personal altamente calificado; ii) indicar las características y calidades específicas, altamente calificadas, que reúne el contratista para la ejecución del contrato; y iii) determinar las características de los productos y/o servicios que se espera obtener.</w:t>
      </w:r>
    </w:p>
    <w:p w14:paraId="2DD5033F" w14:textId="77777777" w:rsidR="00D35ED1" w:rsidRPr="002F4D35" w:rsidRDefault="00D35ED1" w:rsidP="00D35ED1">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Ahora bien, l</w:t>
      </w:r>
      <w:r w:rsidRPr="002F4D35">
        <w:rPr>
          <w:rFonts w:ascii="Verdana" w:eastAsia="Calibri" w:hAnsi="Verdana" w:cs="Arial"/>
          <w:color w:val="000000"/>
          <w:lang w:val="es-ES"/>
        </w:rPr>
        <w:t xml:space="preserve">a determinación de los honorarios en los contratos de prestación de servicios se decide automáticamente por parte de las entidades territoriales, sujetándose a los principios de economía y planeación, pues no es aplicable está regla del artículo 2.8.4.4.6 del Decreto 1068 de 2015, de acuerdo a lo prescrito en el artículo </w:t>
      </w:r>
      <w:r w:rsidRPr="002F4D35">
        <w:rPr>
          <w:rFonts w:ascii="Verdana" w:eastAsia="Calibri" w:hAnsi="Verdana" w:cs="Arial"/>
          <w:color w:val="000000"/>
        </w:rPr>
        <w:t>2.8.4.1.2. del precitado Decreto</w:t>
      </w:r>
      <w:r w:rsidRPr="002F4D35">
        <w:rPr>
          <w:rFonts w:ascii="Verdana" w:eastAsia="Calibri" w:hAnsi="Verdana" w:cs="Arial"/>
          <w:color w:val="000000"/>
          <w:lang w:val="es-ES"/>
        </w:rPr>
        <w:t>, pero se recomienda a las entidades territoriales a adoptar medidas equivalentes a las allí dispuesta</w:t>
      </w:r>
      <w:r>
        <w:rPr>
          <w:rFonts w:ascii="Verdana" w:eastAsia="Calibri" w:hAnsi="Verdana" w:cs="Arial"/>
          <w:color w:val="000000"/>
          <w:lang w:val="es-ES"/>
        </w:rPr>
        <w:t>s</w:t>
      </w:r>
      <w:r w:rsidRPr="002F4D35">
        <w:rPr>
          <w:rFonts w:ascii="Verdana" w:eastAsia="Calibri" w:hAnsi="Verdana" w:cs="Arial"/>
          <w:color w:val="000000"/>
          <w:lang w:val="es-ES"/>
        </w:rPr>
        <w:t xml:space="preserve"> en sus organizaciones administrativas.</w:t>
      </w:r>
    </w:p>
    <w:p w14:paraId="5FEA5702" w14:textId="77777777" w:rsidR="00D35ED1" w:rsidRPr="002F4D35" w:rsidRDefault="00D35ED1" w:rsidP="00D35ED1">
      <w:pPr>
        <w:spacing w:before="120" w:after="120" w:line="276" w:lineRule="auto"/>
        <w:ind w:firstLine="709"/>
        <w:jc w:val="both"/>
        <w:rPr>
          <w:rFonts w:ascii="Verdana" w:eastAsia="Calibri" w:hAnsi="Verdana" w:cs="Arial"/>
          <w:color w:val="000000"/>
          <w:lang w:val="es-ES"/>
        </w:rPr>
      </w:pPr>
    </w:p>
    <w:p w14:paraId="3C18E0BC" w14:textId="77777777" w:rsidR="00D35ED1" w:rsidRPr="00A12CB6" w:rsidRDefault="00D35ED1" w:rsidP="00D35ED1">
      <w:pPr>
        <w:numPr>
          <w:ilvl w:val="0"/>
          <w:numId w:val="19"/>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Referencias normativas</w:t>
      </w:r>
    </w:p>
    <w:p w14:paraId="2172738D" w14:textId="77777777" w:rsidR="00D35ED1" w:rsidRPr="009B3595" w:rsidRDefault="00D35ED1" w:rsidP="00D35ED1">
      <w:pPr>
        <w:spacing w:after="120" w:line="276" w:lineRule="auto"/>
        <w:jc w:val="both"/>
        <w:rPr>
          <w:rFonts w:ascii="Verdana" w:eastAsia="Calibri" w:hAnsi="Verdana" w:cs="Arial"/>
          <w:color w:val="000000"/>
          <w:szCs w:val="24"/>
          <w:lang w:eastAsia="es-ES_tradnl"/>
        </w:rPr>
      </w:pPr>
      <w:r w:rsidRPr="00A12CB6">
        <w:rPr>
          <w:rFonts w:ascii="Verdana" w:eastAsia="Calibri" w:hAnsi="Verdana" w:cs="Arial"/>
          <w:color w:val="000000"/>
          <w:lang w:eastAsia="es-ES_tradnl"/>
        </w:rPr>
        <w:t xml:space="preserve">   </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35ED1" w:rsidRPr="00B57580" w14:paraId="742F11D9" w14:textId="77777777" w:rsidTr="001A300C">
        <w:trPr>
          <w:trHeight w:val="870"/>
          <w:jc w:val="center"/>
        </w:trPr>
        <w:tc>
          <w:tcPr>
            <w:tcW w:w="8647" w:type="dxa"/>
          </w:tcPr>
          <w:p w14:paraId="3EC7A73D" w14:textId="77777777" w:rsidR="00D35ED1" w:rsidRDefault="00D35ED1" w:rsidP="001A300C">
            <w:pPr>
              <w:rPr>
                <w:rFonts w:ascii="Verdana" w:hAnsi="Verdana" w:cs="Arial"/>
              </w:rPr>
            </w:pPr>
          </w:p>
          <w:p w14:paraId="0C679FC9" w14:textId="77777777" w:rsidR="00D35ED1" w:rsidRPr="002C6D87" w:rsidRDefault="00D35ED1" w:rsidP="00D35ED1">
            <w:pPr>
              <w:pStyle w:val="Prrafodelista"/>
              <w:numPr>
                <w:ilvl w:val="0"/>
                <w:numId w:val="25"/>
              </w:numPr>
              <w:rPr>
                <w:rFonts w:ascii="Verdana" w:hAnsi="Verdana" w:cs="Arial"/>
              </w:rPr>
            </w:pPr>
            <w:r w:rsidRPr="002C6D87">
              <w:rPr>
                <w:rFonts w:ascii="Verdana" w:hAnsi="Verdana" w:cs="Arial"/>
              </w:rPr>
              <w:t>Ley 80 de 1993, artículo</w:t>
            </w:r>
            <w:r>
              <w:rPr>
                <w:rFonts w:ascii="Verdana" w:hAnsi="Verdana" w:cs="Arial"/>
              </w:rPr>
              <w:t>s 25 y</w:t>
            </w:r>
            <w:r w:rsidRPr="002C6D87">
              <w:rPr>
                <w:rFonts w:ascii="Verdana" w:hAnsi="Verdana" w:cs="Arial"/>
              </w:rPr>
              <w:t xml:space="preserve"> 32, numeral 3º. </w:t>
            </w:r>
          </w:p>
          <w:p w14:paraId="7E69A693" w14:textId="77777777" w:rsidR="00D35ED1" w:rsidRPr="002C6D87" w:rsidRDefault="00D35ED1" w:rsidP="001A300C">
            <w:pPr>
              <w:pStyle w:val="Prrafodelista"/>
              <w:rPr>
                <w:rFonts w:ascii="Verdana" w:hAnsi="Verdana" w:cs="Arial"/>
              </w:rPr>
            </w:pPr>
          </w:p>
          <w:p w14:paraId="36285D53" w14:textId="77777777" w:rsidR="00D35ED1" w:rsidRDefault="00D35ED1" w:rsidP="00D35ED1">
            <w:pPr>
              <w:pStyle w:val="Prrafodelista"/>
              <w:numPr>
                <w:ilvl w:val="0"/>
                <w:numId w:val="25"/>
              </w:numPr>
              <w:rPr>
                <w:rFonts w:ascii="Verdana" w:hAnsi="Verdana" w:cs="Arial"/>
              </w:rPr>
            </w:pPr>
            <w:r w:rsidRPr="002C6D87">
              <w:rPr>
                <w:rFonts w:ascii="Verdana" w:hAnsi="Verdana" w:cs="Arial"/>
              </w:rPr>
              <w:t xml:space="preserve">Ley 1150 de 2007, artículo 2, numeral 4º, literal h). </w:t>
            </w:r>
          </w:p>
          <w:p w14:paraId="4590FFCF" w14:textId="77777777" w:rsidR="00D35ED1" w:rsidRPr="002C6D87" w:rsidRDefault="00D35ED1" w:rsidP="001A300C">
            <w:pPr>
              <w:pStyle w:val="Prrafodelista"/>
              <w:rPr>
                <w:rFonts w:ascii="Verdana" w:hAnsi="Verdana" w:cs="Arial"/>
              </w:rPr>
            </w:pPr>
          </w:p>
          <w:p w14:paraId="66B28D0D" w14:textId="77777777" w:rsidR="00D35ED1" w:rsidRDefault="00D35ED1" w:rsidP="00D35ED1">
            <w:pPr>
              <w:pStyle w:val="Prrafodelista"/>
              <w:numPr>
                <w:ilvl w:val="0"/>
                <w:numId w:val="25"/>
              </w:numPr>
              <w:rPr>
                <w:rFonts w:ascii="Verdana" w:hAnsi="Verdana" w:cs="Arial"/>
              </w:rPr>
            </w:pPr>
            <w:r>
              <w:rPr>
                <w:rFonts w:ascii="Verdana" w:hAnsi="Verdana" w:cs="Arial"/>
              </w:rPr>
              <w:t xml:space="preserve">Decreto 1737 de 1998. </w:t>
            </w:r>
          </w:p>
          <w:p w14:paraId="6ADA184B" w14:textId="77777777" w:rsidR="00D35ED1" w:rsidRPr="005C162D" w:rsidRDefault="00D35ED1" w:rsidP="001A300C">
            <w:pPr>
              <w:pStyle w:val="Prrafodelista"/>
              <w:rPr>
                <w:rFonts w:ascii="Verdana" w:hAnsi="Verdana" w:cs="Arial"/>
              </w:rPr>
            </w:pPr>
          </w:p>
          <w:p w14:paraId="4BE2D6A7" w14:textId="77777777" w:rsidR="00D35ED1" w:rsidRDefault="00D35ED1" w:rsidP="00D35ED1">
            <w:pPr>
              <w:pStyle w:val="Prrafodelista"/>
              <w:numPr>
                <w:ilvl w:val="0"/>
                <w:numId w:val="25"/>
              </w:numPr>
              <w:rPr>
                <w:rFonts w:ascii="Verdana" w:hAnsi="Verdana" w:cs="Arial"/>
              </w:rPr>
            </w:pPr>
            <w:r>
              <w:rPr>
                <w:rFonts w:ascii="Verdana" w:hAnsi="Verdana" w:cs="Arial"/>
              </w:rPr>
              <w:t xml:space="preserve">Decreto 2209 de 1998. </w:t>
            </w:r>
          </w:p>
          <w:p w14:paraId="5851A39A" w14:textId="77777777" w:rsidR="00D35ED1" w:rsidRPr="005C162D" w:rsidRDefault="00D35ED1" w:rsidP="001A300C">
            <w:pPr>
              <w:pStyle w:val="Prrafodelista"/>
              <w:rPr>
                <w:rFonts w:ascii="Verdana" w:hAnsi="Verdana" w:cs="Arial"/>
              </w:rPr>
            </w:pPr>
          </w:p>
          <w:p w14:paraId="4EFE2A1B" w14:textId="77777777" w:rsidR="00D35ED1" w:rsidRPr="002C6D87" w:rsidRDefault="00D35ED1" w:rsidP="00D35ED1">
            <w:pPr>
              <w:pStyle w:val="Prrafodelista"/>
              <w:numPr>
                <w:ilvl w:val="0"/>
                <w:numId w:val="25"/>
              </w:numPr>
              <w:rPr>
                <w:rFonts w:ascii="Verdana" w:hAnsi="Verdana" w:cs="Arial"/>
              </w:rPr>
            </w:pPr>
            <w:r>
              <w:rPr>
                <w:rFonts w:ascii="Verdana" w:hAnsi="Verdana" w:cs="Arial"/>
              </w:rPr>
              <w:t xml:space="preserve">Decreto 2785 de 2011. </w:t>
            </w:r>
          </w:p>
          <w:p w14:paraId="07A21B83" w14:textId="77777777" w:rsidR="00D35ED1" w:rsidRPr="002C6D87" w:rsidRDefault="00D35ED1" w:rsidP="001A300C">
            <w:pPr>
              <w:rPr>
                <w:rFonts w:ascii="Verdana" w:hAnsi="Verdana" w:cs="Arial"/>
              </w:rPr>
            </w:pPr>
          </w:p>
          <w:p w14:paraId="710631ED" w14:textId="77777777" w:rsidR="00D35ED1" w:rsidRPr="002C6D87" w:rsidRDefault="00D35ED1" w:rsidP="00D35ED1">
            <w:pPr>
              <w:pStyle w:val="Prrafodelista"/>
              <w:numPr>
                <w:ilvl w:val="0"/>
                <w:numId w:val="25"/>
              </w:numPr>
              <w:rPr>
                <w:rFonts w:ascii="Verdana" w:hAnsi="Verdana" w:cs="Arial"/>
              </w:rPr>
            </w:pPr>
            <w:r>
              <w:rPr>
                <w:rFonts w:ascii="Verdana" w:eastAsia="Calibri" w:hAnsi="Verdana" w:cs="Arial"/>
                <w:color w:val="000000"/>
              </w:rPr>
              <w:t xml:space="preserve">Decreto 1068 de 2015, artículos </w:t>
            </w:r>
            <w:r w:rsidRPr="00342512">
              <w:rPr>
                <w:rFonts w:ascii="Verdana" w:eastAsia="Calibri" w:hAnsi="Verdana" w:cs="Arial"/>
                <w:color w:val="000000"/>
              </w:rPr>
              <w:t>2.8.4.1.1</w:t>
            </w:r>
            <w:r>
              <w:rPr>
                <w:rFonts w:ascii="Verdana" w:eastAsia="Calibri" w:hAnsi="Verdana" w:cs="Arial"/>
                <w:color w:val="000000"/>
              </w:rPr>
              <w:t xml:space="preserve">, 2.8.4.1.2., </w:t>
            </w:r>
            <w:r w:rsidRPr="00FF02AF">
              <w:rPr>
                <w:rFonts w:ascii="Verdana" w:hAnsi="Verdana" w:cs="Arial"/>
                <w:lang w:val="es-CO"/>
              </w:rPr>
              <w:t>2.8.4.4.6</w:t>
            </w:r>
            <w:r>
              <w:rPr>
                <w:rFonts w:ascii="Verdana" w:hAnsi="Verdana" w:cs="Arial"/>
                <w:lang w:val="es-CO"/>
              </w:rPr>
              <w:t>.</w:t>
            </w:r>
          </w:p>
          <w:p w14:paraId="15B639ED" w14:textId="77777777" w:rsidR="00D35ED1" w:rsidRPr="002C6D87" w:rsidRDefault="00D35ED1" w:rsidP="001A300C">
            <w:pPr>
              <w:pStyle w:val="Prrafodelista"/>
              <w:rPr>
                <w:rFonts w:ascii="Verdana" w:hAnsi="Verdana" w:cs="Arial"/>
                <w:lang w:val="es-CO"/>
              </w:rPr>
            </w:pPr>
          </w:p>
          <w:p w14:paraId="0AD8F113" w14:textId="77777777" w:rsidR="00D35ED1" w:rsidRPr="002C6D87" w:rsidRDefault="00D35ED1" w:rsidP="00D35ED1">
            <w:pPr>
              <w:pStyle w:val="Prrafodelista"/>
              <w:numPr>
                <w:ilvl w:val="0"/>
                <w:numId w:val="25"/>
              </w:numPr>
              <w:rPr>
                <w:rFonts w:ascii="Verdana" w:hAnsi="Verdana" w:cs="Arial"/>
              </w:rPr>
            </w:pPr>
            <w:r w:rsidRPr="002C6D87">
              <w:rPr>
                <w:rFonts w:ascii="Verdana" w:hAnsi="Verdana" w:cs="Arial"/>
              </w:rPr>
              <w:t>Decreto 1082 de 2015, artículo 2.2.1.2.1.4.9.</w:t>
            </w:r>
            <w:r w:rsidRPr="002C6D87">
              <w:rPr>
                <w:rFonts w:ascii="Verdana" w:hAnsi="Verdana" w:cs="Arial"/>
                <w:lang w:val="es-CO"/>
              </w:rPr>
              <w:t xml:space="preserve"> </w:t>
            </w:r>
          </w:p>
          <w:p w14:paraId="3FA50D51" w14:textId="77777777" w:rsidR="00D35ED1" w:rsidRPr="00FF02AF" w:rsidRDefault="00D35ED1" w:rsidP="001A300C">
            <w:pPr>
              <w:pStyle w:val="Prrafodelista"/>
              <w:rPr>
                <w:rFonts w:ascii="Verdana" w:hAnsi="Verdana" w:cs="Arial"/>
              </w:rPr>
            </w:pPr>
          </w:p>
          <w:p w14:paraId="39FCA4BB" w14:textId="77777777" w:rsidR="00D35ED1" w:rsidRPr="002C6D87" w:rsidRDefault="00D35ED1" w:rsidP="00D35ED1">
            <w:pPr>
              <w:pStyle w:val="Prrafodelista"/>
              <w:numPr>
                <w:ilvl w:val="0"/>
                <w:numId w:val="20"/>
              </w:numPr>
              <w:jc w:val="both"/>
              <w:rPr>
                <w:rFonts w:ascii="Verdana" w:hAnsi="Verdana" w:cs="Arial"/>
              </w:rPr>
            </w:pPr>
            <w:r w:rsidRPr="00FF02AF">
              <w:rPr>
                <w:rFonts w:ascii="Verdana" w:hAnsi="Verdana" w:cs="Arial"/>
                <w:lang w:val="es-CO"/>
              </w:rPr>
              <w:t xml:space="preserve">Decreto </w:t>
            </w:r>
            <w:r>
              <w:rPr>
                <w:rFonts w:ascii="Verdana" w:hAnsi="Verdana" w:cs="Arial"/>
                <w:lang w:val="es-CO"/>
              </w:rPr>
              <w:t xml:space="preserve">1621 del 2024, artículo 35. </w:t>
            </w:r>
          </w:p>
          <w:p w14:paraId="2C487EA4" w14:textId="77777777" w:rsidR="00D35ED1" w:rsidRPr="00B57580" w:rsidRDefault="00D35ED1" w:rsidP="001A300C">
            <w:pPr>
              <w:pStyle w:val="Prrafodelista"/>
              <w:jc w:val="both"/>
              <w:rPr>
                <w:rFonts w:ascii="Verdana" w:hAnsi="Verdana" w:cs="Arial"/>
              </w:rPr>
            </w:pPr>
          </w:p>
        </w:tc>
      </w:tr>
    </w:tbl>
    <w:p w14:paraId="4CCC9B7B" w14:textId="77777777" w:rsidR="00D35ED1" w:rsidRPr="00B57580" w:rsidRDefault="00D35ED1" w:rsidP="00D35ED1">
      <w:pPr>
        <w:spacing w:line="276" w:lineRule="auto"/>
        <w:ind w:right="709"/>
        <w:contextualSpacing/>
        <w:jc w:val="both"/>
        <w:rPr>
          <w:rFonts w:ascii="Verdana" w:hAnsi="Verdana" w:cs="Arial"/>
          <w:color w:val="000000" w:themeColor="text1"/>
        </w:rPr>
      </w:pPr>
    </w:p>
    <w:p w14:paraId="60759C04" w14:textId="77777777" w:rsidR="00D35ED1" w:rsidRPr="00A12CB6" w:rsidRDefault="00D35ED1" w:rsidP="00D35ED1">
      <w:pPr>
        <w:numPr>
          <w:ilvl w:val="0"/>
          <w:numId w:val="19"/>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lastRenderedPageBreak/>
        <w:t>Doctrina de la Agencia Nacional de Contratación Pública:</w:t>
      </w:r>
    </w:p>
    <w:p w14:paraId="1AEF3998" w14:textId="77777777" w:rsidR="00D35ED1" w:rsidRPr="00640340" w:rsidRDefault="00D35ED1" w:rsidP="00D35ED1">
      <w:pPr>
        <w:widowControl w:val="0"/>
        <w:autoSpaceDE w:val="0"/>
        <w:autoSpaceDN w:val="0"/>
        <w:spacing w:after="0" w:line="276" w:lineRule="auto"/>
        <w:jc w:val="both"/>
        <w:rPr>
          <w:rFonts w:ascii="Verdana" w:hAnsi="Verdana" w:cs="Arial"/>
          <w:b/>
          <w:bCs/>
          <w:shd w:val="clear" w:color="auto" w:fill="FFFFFF"/>
        </w:rPr>
      </w:pPr>
    </w:p>
    <w:p w14:paraId="66814486" w14:textId="77777777" w:rsidR="00D35ED1" w:rsidRPr="00EB3EFB" w:rsidRDefault="00D35ED1" w:rsidP="00D35ED1">
      <w:pPr>
        <w:widowControl w:val="0"/>
        <w:autoSpaceDE w:val="0"/>
        <w:autoSpaceDN w:val="0"/>
        <w:spacing w:after="0" w:line="276" w:lineRule="auto"/>
        <w:jc w:val="both"/>
        <w:rPr>
          <w:rFonts w:ascii="Verdana" w:eastAsia="Arial MT" w:hAnsi="Verdana" w:cs="Arial MT"/>
          <w:lang w:val="es-ES"/>
        </w:rPr>
      </w:pPr>
      <w:r w:rsidRPr="00EB3EFB">
        <w:rPr>
          <w:rFonts w:ascii="Verdana" w:hAnsi="Verdana" w:cs="Arial"/>
          <w:shd w:val="clear" w:color="auto" w:fill="FFFFFF"/>
          <w:lang w:val="es-ES"/>
        </w:rPr>
        <w:t xml:space="preserve">La Agencia Nacional de Contratación Pública – Colombia Compra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2019de noviembre de 2019, 4201912000006692 del 12 de noviembre  de 20194201912000007378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y C-372 del 26 de Agosto 2024, C-904 del 9 de diciembre de 2024, entre otros. Así mismo, </w:t>
      </w:r>
      <w:r w:rsidRPr="00244398">
        <w:rPr>
          <w:rFonts w:ascii="Verdana" w:eastAsia="Arial MT" w:hAnsi="Verdana" w:cs="Arial MT"/>
          <w:lang w:val="es-ES"/>
        </w:rPr>
        <w:t>Agencia Nacional de Contratación Pública ― Colombia Compra Eficiente se</w:t>
      </w:r>
      <w:r w:rsidRPr="00244398">
        <w:rPr>
          <w:rFonts w:ascii="Verdana" w:eastAsia="Arial MT" w:hAnsi="Verdana" w:cs="Arial MT"/>
          <w:spacing w:val="1"/>
          <w:lang w:val="es-ES"/>
        </w:rPr>
        <w:t xml:space="preserve"> </w:t>
      </w:r>
      <w:r w:rsidRPr="00244398">
        <w:rPr>
          <w:rFonts w:ascii="Verdana" w:eastAsia="Arial MT" w:hAnsi="Verdana" w:cs="Arial MT"/>
          <w:spacing w:val="-1"/>
          <w:lang w:val="es-ES"/>
        </w:rPr>
        <w:t>pronunció</w:t>
      </w:r>
      <w:r w:rsidRPr="00244398">
        <w:rPr>
          <w:rFonts w:ascii="Verdana" w:eastAsia="Arial MT" w:hAnsi="Verdana" w:cs="Arial MT"/>
          <w:spacing w:val="-14"/>
          <w:lang w:val="es-ES"/>
        </w:rPr>
        <w:t xml:space="preserve"> </w:t>
      </w:r>
      <w:r w:rsidRPr="00244398">
        <w:rPr>
          <w:rFonts w:ascii="Verdana" w:eastAsia="Arial MT" w:hAnsi="Verdana" w:cs="Arial MT"/>
          <w:spacing w:val="-1"/>
          <w:lang w:val="es-ES"/>
        </w:rPr>
        <w:t>sobre</w:t>
      </w:r>
      <w:r w:rsidRPr="00244398">
        <w:rPr>
          <w:rFonts w:ascii="Verdana" w:eastAsia="Arial MT" w:hAnsi="Verdana" w:cs="Arial MT"/>
          <w:spacing w:val="-15"/>
          <w:lang w:val="es-ES"/>
        </w:rPr>
        <w:t xml:space="preserve"> </w:t>
      </w:r>
      <w:r w:rsidRPr="00244398">
        <w:rPr>
          <w:rFonts w:ascii="Verdana" w:eastAsia="Arial MT" w:hAnsi="Verdana" w:cs="Arial MT"/>
          <w:spacing w:val="-1"/>
          <w:lang w:val="es-ES"/>
        </w:rPr>
        <w:t>el</w:t>
      </w:r>
      <w:r w:rsidRPr="00244398">
        <w:rPr>
          <w:rFonts w:ascii="Verdana" w:eastAsia="Arial MT" w:hAnsi="Verdana" w:cs="Arial MT"/>
          <w:spacing w:val="-14"/>
          <w:lang w:val="es-ES"/>
        </w:rPr>
        <w:t xml:space="preserve"> </w:t>
      </w:r>
      <w:r w:rsidRPr="00244398">
        <w:rPr>
          <w:rFonts w:ascii="Verdana" w:eastAsia="Arial MT" w:hAnsi="Verdana" w:cs="Arial MT"/>
          <w:spacing w:val="-1"/>
          <w:lang w:val="es-ES"/>
        </w:rPr>
        <w:t>contrato</w:t>
      </w:r>
      <w:r w:rsidRPr="00244398">
        <w:rPr>
          <w:rFonts w:ascii="Verdana" w:eastAsia="Arial MT" w:hAnsi="Verdana" w:cs="Arial MT"/>
          <w:spacing w:val="-15"/>
          <w:lang w:val="es-ES"/>
        </w:rPr>
        <w:t xml:space="preserve"> </w:t>
      </w:r>
      <w:r w:rsidRPr="00244398">
        <w:rPr>
          <w:rFonts w:ascii="Verdana" w:eastAsia="Arial MT" w:hAnsi="Verdana" w:cs="Arial MT"/>
          <w:spacing w:val="-1"/>
          <w:lang w:val="es-ES"/>
        </w:rPr>
        <w:t>de</w:t>
      </w:r>
      <w:r w:rsidRPr="00244398">
        <w:rPr>
          <w:rFonts w:ascii="Verdana" w:eastAsia="Arial MT" w:hAnsi="Verdana" w:cs="Arial MT"/>
          <w:spacing w:val="-14"/>
          <w:lang w:val="es-ES"/>
        </w:rPr>
        <w:t xml:space="preserve"> </w:t>
      </w:r>
      <w:r w:rsidRPr="00244398">
        <w:rPr>
          <w:rFonts w:ascii="Verdana" w:eastAsia="Arial MT" w:hAnsi="Verdana" w:cs="Arial MT"/>
          <w:spacing w:val="-1"/>
          <w:lang w:val="es-ES"/>
        </w:rPr>
        <w:t>prestación</w:t>
      </w:r>
      <w:r w:rsidRPr="00244398">
        <w:rPr>
          <w:rFonts w:ascii="Verdana" w:eastAsia="Arial MT" w:hAnsi="Verdana" w:cs="Arial MT"/>
          <w:spacing w:val="-14"/>
          <w:lang w:val="es-ES"/>
        </w:rPr>
        <w:t xml:space="preserve"> </w:t>
      </w:r>
      <w:r w:rsidRPr="00244398">
        <w:rPr>
          <w:rFonts w:ascii="Verdana" w:eastAsia="Arial MT" w:hAnsi="Verdana" w:cs="Arial MT"/>
          <w:spacing w:val="-1"/>
          <w:lang w:val="es-ES"/>
        </w:rPr>
        <w:t>de</w:t>
      </w:r>
      <w:r w:rsidRPr="00244398">
        <w:rPr>
          <w:rFonts w:ascii="Verdana" w:eastAsia="Arial MT" w:hAnsi="Verdana" w:cs="Arial MT"/>
          <w:spacing w:val="-14"/>
          <w:lang w:val="es-ES"/>
        </w:rPr>
        <w:t xml:space="preserve"> </w:t>
      </w:r>
      <w:r w:rsidRPr="00244398">
        <w:rPr>
          <w:rFonts w:ascii="Verdana" w:eastAsia="Arial MT" w:hAnsi="Verdana" w:cs="Arial MT"/>
          <w:spacing w:val="-1"/>
          <w:lang w:val="es-ES"/>
        </w:rPr>
        <w:t>servicios</w:t>
      </w:r>
      <w:r w:rsidRPr="00244398">
        <w:rPr>
          <w:rFonts w:ascii="Verdana" w:eastAsia="Arial MT" w:hAnsi="Verdana" w:cs="Arial MT"/>
          <w:spacing w:val="-15"/>
          <w:lang w:val="es-ES"/>
        </w:rPr>
        <w:t xml:space="preserve"> </w:t>
      </w:r>
      <w:r w:rsidRPr="00244398">
        <w:rPr>
          <w:rFonts w:ascii="Verdana" w:eastAsia="Arial MT" w:hAnsi="Verdana" w:cs="Arial MT"/>
          <w:lang w:val="es-ES"/>
        </w:rPr>
        <w:t>profesionales,</w:t>
      </w:r>
      <w:r w:rsidRPr="00244398">
        <w:rPr>
          <w:rFonts w:ascii="Verdana" w:eastAsia="Arial MT" w:hAnsi="Verdana" w:cs="Arial MT"/>
          <w:spacing w:val="-13"/>
          <w:lang w:val="es-ES"/>
        </w:rPr>
        <w:t xml:space="preserve"> </w:t>
      </w:r>
      <w:r w:rsidRPr="00244398">
        <w:rPr>
          <w:rFonts w:ascii="Verdana" w:eastAsia="Arial MT" w:hAnsi="Verdana" w:cs="Arial MT"/>
          <w:lang w:val="es-ES"/>
        </w:rPr>
        <w:t>servicios</w:t>
      </w:r>
      <w:r w:rsidRPr="00EB3EFB">
        <w:rPr>
          <w:rFonts w:ascii="Verdana" w:eastAsia="Arial MT" w:hAnsi="Verdana" w:cs="Arial MT"/>
          <w:spacing w:val="-15"/>
          <w:lang w:val="es-ES"/>
        </w:rPr>
        <w:t xml:space="preserve"> calificados y altamente calificados con su respectiva regulación </w:t>
      </w:r>
      <w:r w:rsidRPr="00244398">
        <w:rPr>
          <w:rFonts w:ascii="Verdana" w:eastAsia="Arial MT" w:hAnsi="Verdana" w:cs="Arial MT"/>
          <w:spacing w:val="-59"/>
          <w:lang w:val="es-ES"/>
        </w:rPr>
        <w:t xml:space="preserve"> </w:t>
      </w:r>
      <w:r w:rsidRPr="00244398">
        <w:rPr>
          <w:rFonts w:ascii="Verdana" w:eastAsia="Arial MT" w:hAnsi="Verdana" w:cs="Arial MT"/>
          <w:lang w:val="es-ES"/>
        </w:rPr>
        <w:t>y limitación de los honorarios en los conceptos con radicados No.</w:t>
      </w:r>
      <w:r w:rsidRPr="00244398">
        <w:rPr>
          <w:rFonts w:ascii="Verdana" w:eastAsia="Arial MT" w:hAnsi="Verdana" w:cs="Arial MT"/>
          <w:spacing w:val="1"/>
          <w:lang w:val="es-ES"/>
        </w:rPr>
        <w:t xml:space="preserve"> </w:t>
      </w:r>
      <w:r w:rsidRPr="00244398">
        <w:rPr>
          <w:rFonts w:ascii="Verdana" w:eastAsia="Arial MT" w:hAnsi="Verdana" w:cs="Arial MT"/>
          <w:lang w:val="es-ES"/>
        </w:rPr>
        <w:t>4201912000005902 de 16 de octubre de 2019, 4201913000006331 de 7 de noviembre</w:t>
      </w:r>
      <w:r w:rsidRPr="00244398">
        <w:rPr>
          <w:rFonts w:ascii="Verdana" w:eastAsia="Arial MT" w:hAnsi="Verdana" w:cs="Arial MT"/>
          <w:spacing w:val="-59"/>
          <w:lang w:val="es-ES"/>
        </w:rPr>
        <w:t xml:space="preserve"> </w:t>
      </w:r>
      <w:r w:rsidRPr="00244398">
        <w:rPr>
          <w:rFonts w:ascii="Verdana" w:eastAsia="Arial MT" w:hAnsi="Verdana" w:cs="Arial MT"/>
          <w:lang w:val="es-ES"/>
        </w:rPr>
        <w:t>de</w:t>
      </w:r>
      <w:r w:rsidRPr="00244398">
        <w:rPr>
          <w:rFonts w:ascii="Verdana" w:eastAsia="Arial MT" w:hAnsi="Verdana" w:cs="Arial MT"/>
          <w:spacing w:val="-16"/>
          <w:lang w:val="es-ES"/>
        </w:rPr>
        <w:t xml:space="preserve"> </w:t>
      </w:r>
      <w:r w:rsidRPr="00244398">
        <w:rPr>
          <w:rFonts w:ascii="Verdana" w:eastAsia="Arial MT" w:hAnsi="Verdana" w:cs="Arial MT"/>
          <w:lang w:val="es-ES"/>
        </w:rPr>
        <w:t>2019,</w:t>
      </w:r>
      <w:r w:rsidRPr="00244398">
        <w:rPr>
          <w:rFonts w:ascii="Verdana" w:eastAsia="Arial MT" w:hAnsi="Verdana" w:cs="Arial MT"/>
          <w:spacing w:val="-14"/>
          <w:lang w:val="es-ES"/>
        </w:rPr>
        <w:t xml:space="preserve"> </w:t>
      </w:r>
      <w:r w:rsidRPr="00EB3EFB">
        <w:rPr>
          <w:rFonts w:ascii="Verdana" w:eastAsia="Arial MT" w:hAnsi="Verdana" w:cs="Arial MT"/>
          <w:spacing w:val="-14"/>
          <w:lang w:val="es-ES"/>
        </w:rPr>
        <w:t xml:space="preserve">C-208 del 24 de marzo de 2020, </w:t>
      </w:r>
      <w:r w:rsidRPr="00244398">
        <w:rPr>
          <w:rFonts w:ascii="Verdana" w:eastAsia="Arial MT" w:hAnsi="Verdana" w:cs="Arial MT"/>
          <w:lang w:val="es-ES"/>
        </w:rPr>
        <w:t>C–426</w:t>
      </w:r>
      <w:r w:rsidRPr="00244398">
        <w:rPr>
          <w:rFonts w:ascii="Verdana" w:eastAsia="Arial MT" w:hAnsi="Verdana" w:cs="Arial MT"/>
          <w:spacing w:val="-14"/>
          <w:lang w:val="es-ES"/>
        </w:rPr>
        <w:t xml:space="preserve"> </w:t>
      </w:r>
      <w:r w:rsidRPr="00244398">
        <w:rPr>
          <w:rFonts w:ascii="Verdana" w:eastAsia="Arial MT" w:hAnsi="Verdana" w:cs="Arial MT"/>
          <w:lang w:val="es-ES"/>
        </w:rPr>
        <w:t>de</w:t>
      </w:r>
      <w:r w:rsidRPr="00244398">
        <w:rPr>
          <w:rFonts w:ascii="Verdana" w:eastAsia="Arial MT" w:hAnsi="Verdana" w:cs="Arial MT"/>
          <w:spacing w:val="-15"/>
          <w:lang w:val="es-ES"/>
        </w:rPr>
        <w:t xml:space="preserve"> </w:t>
      </w:r>
      <w:r w:rsidRPr="00244398">
        <w:rPr>
          <w:rFonts w:ascii="Verdana" w:eastAsia="Arial MT" w:hAnsi="Verdana" w:cs="Arial MT"/>
          <w:lang w:val="es-ES"/>
        </w:rPr>
        <w:t>27</w:t>
      </w:r>
      <w:r w:rsidRPr="00244398">
        <w:rPr>
          <w:rFonts w:ascii="Verdana" w:eastAsia="Arial MT" w:hAnsi="Verdana" w:cs="Arial MT"/>
          <w:spacing w:val="-16"/>
          <w:lang w:val="es-ES"/>
        </w:rPr>
        <w:t xml:space="preserve"> </w:t>
      </w:r>
      <w:r w:rsidRPr="00244398">
        <w:rPr>
          <w:rFonts w:ascii="Verdana" w:eastAsia="Arial MT" w:hAnsi="Verdana" w:cs="Arial MT"/>
          <w:lang w:val="es-ES"/>
        </w:rPr>
        <w:t>de</w:t>
      </w:r>
      <w:r w:rsidRPr="00244398">
        <w:rPr>
          <w:rFonts w:ascii="Verdana" w:eastAsia="Arial MT" w:hAnsi="Verdana" w:cs="Arial MT"/>
          <w:spacing w:val="-15"/>
          <w:lang w:val="es-ES"/>
        </w:rPr>
        <w:t xml:space="preserve"> </w:t>
      </w:r>
      <w:r w:rsidRPr="00244398">
        <w:rPr>
          <w:rFonts w:ascii="Verdana" w:eastAsia="Arial MT" w:hAnsi="Verdana" w:cs="Arial MT"/>
          <w:lang w:val="es-ES"/>
        </w:rPr>
        <w:t>julio</w:t>
      </w:r>
      <w:r w:rsidRPr="00244398">
        <w:rPr>
          <w:rFonts w:ascii="Verdana" w:eastAsia="Arial MT" w:hAnsi="Verdana" w:cs="Arial MT"/>
          <w:spacing w:val="-14"/>
          <w:lang w:val="es-ES"/>
        </w:rPr>
        <w:t xml:space="preserve"> </w:t>
      </w:r>
      <w:r w:rsidRPr="00244398">
        <w:rPr>
          <w:rFonts w:ascii="Verdana" w:eastAsia="Arial MT" w:hAnsi="Verdana" w:cs="Arial MT"/>
          <w:lang w:val="es-ES"/>
        </w:rPr>
        <w:t>de</w:t>
      </w:r>
      <w:r w:rsidRPr="00244398">
        <w:rPr>
          <w:rFonts w:ascii="Verdana" w:eastAsia="Arial MT" w:hAnsi="Verdana" w:cs="Arial MT"/>
          <w:spacing w:val="-15"/>
          <w:lang w:val="es-ES"/>
        </w:rPr>
        <w:t xml:space="preserve"> </w:t>
      </w:r>
      <w:r w:rsidRPr="00244398">
        <w:rPr>
          <w:rFonts w:ascii="Verdana" w:eastAsia="Arial MT" w:hAnsi="Verdana" w:cs="Arial MT"/>
          <w:lang w:val="es-ES"/>
        </w:rPr>
        <w:t>2020</w:t>
      </w:r>
      <w:r w:rsidRPr="00EB3EFB">
        <w:rPr>
          <w:rFonts w:ascii="Verdana" w:eastAsia="Arial MT" w:hAnsi="Verdana" w:cs="Arial MT"/>
          <w:spacing w:val="-15"/>
          <w:lang w:val="es-ES"/>
        </w:rPr>
        <w:t xml:space="preserve">, </w:t>
      </w:r>
      <w:r w:rsidRPr="00244398">
        <w:rPr>
          <w:rFonts w:ascii="Verdana" w:eastAsia="Arial MT" w:hAnsi="Verdana" w:cs="Arial MT"/>
          <w:spacing w:val="-15"/>
          <w:lang w:val="es-ES"/>
        </w:rPr>
        <w:t xml:space="preserve"> </w:t>
      </w:r>
      <w:r w:rsidRPr="00244398">
        <w:rPr>
          <w:rFonts w:ascii="Verdana" w:eastAsia="Arial MT" w:hAnsi="Verdana" w:cs="Arial MT"/>
          <w:lang w:val="es-ES"/>
        </w:rPr>
        <w:t>C–486</w:t>
      </w:r>
      <w:r w:rsidRPr="00244398">
        <w:rPr>
          <w:rFonts w:ascii="Verdana" w:eastAsia="Arial MT" w:hAnsi="Verdana" w:cs="Arial MT"/>
          <w:spacing w:val="-14"/>
          <w:lang w:val="es-ES"/>
        </w:rPr>
        <w:t xml:space="preserve"> </w:t>
      </w:r>
      <w:r w:rsidRPr="00244398">
        <w:rPr>
          <w:rFonts w:ascii="Verdana" w:eastAsia="Arial MT" w:hAnsi="Verdana" w:cs="Arial MT"/>
          <w:lang w:val="es-ES"/>
        </w:rPr>
        <w:t>de</w:t>
      </w:r>
      <w:r w:rsidRPr="00244398">
        <w:rPr>
          <w:rFonts w:ascii="Verdana" w:eastAsia="Arial MT" w:hAnsi="Verdana" w:cs="Arial MT"/>
          <w:spacing w:val="-15"/>
          <w:lang w:val="es-ES"/>
        </w:rPr>
        <w:t xml:space="preserve"> </w:t>
      </w:r>
      <w:r w:rsidRPr="00244398">
        <w:rPr>
          <w:rFonts w:ascii="Verdana" w:eastAsia="Arial MT" w:hAnsi="Verdana" w:cs="Arial MT"/>
          <w:lang w:val="es-ES"/>
        </w:rPr>
        <w:t>27</w:t>
      </w:r>
      <w:r w:rsidRPr="00244398">
        <w:rPr>
          <w:rFonts w:ascii="Verdana" w:eastAsia="Arial MT" w:hAnsi="Verdana" w:cs="Arial MT"/>
          <w:spacing w:val="-15"/>
          <w:lang w:val="es-ES"/>
        </w:rPr>
        <w:t xml:space="preserve"> </w:t>
      </w:r>
      <w:r w:rsidRPr="00244398">
        <w:rPr>
          <w:rFonts w:ascii="Verdana" w:eastAsia="Arial MT" w:hAnsi="Verdana" w:cs="Arial MT"/>
          <w:lang w:val="es-ES"/>
        </w:rPr>
        <w:t>de</w:t>
      </w:r>
      <w:r w:rsidRPr="00244398">
        <w:rPr>
          <w:rFonts w:ascii="Verdana" w:eastAsia="Arial MT" w:hAnsi="Verdana" w:cs="Arial MT"/>
          <w:spacing w:val="-16"/>
          <w:lang w:val="es-ES"/>
        </w:rPr>
        <w:t xml:space="preserve"> </w:t>
      </w:r>
      <w:r w:rsidRPr="00244398">
        <w:rPr>
          <w:rFonts w:ascii="Verdana" w:eastAsia="Arial MT" w:hAnsi="Verdana" w:cs="Arial MT"/>
          <w:lang w:val="es-ES"/>
        </w:rPr>
        <w:t>julio</w:t>
      </w:r>
      <w:r w:rsidRPr="00244398">
        <w:rPr>
          <w:rFonts w:ascii="Verdana" w:eastAsia="Arial MT" w:hAnsi="Verdana" w:cs="Arial MT"/>
          <w:spacing w:val="-14"/>
          <w:lang w:val="es-ES"/>
        </w:rPr>
        <w:t xml:space="preserve"> </w:t>
      </w:r>
      <w:r w:rsidRPr="00244398">
        <w:rPr>
          <w:rFonts w:ascii="Verdana" w:eastAsia="Arial MT" w:hAnsi="Verdana" w:cs="Arial MT"/>
          <w:lang w:val="es-ES"/>
        </w:rPr>
        <w:t>de</w:t>
      </w:r>
      <w:r w:rsidRPr="00244398">
        <w:rPr>
          <w:rFonts w:ascii="Verdana" w:eastAsia="Arial MT" w:hAnsi="Verdana" w:cs="Arial MT"/>
          <w:spacing w:val="-15"/>
          <w:lang w:val="es-ES"/>
        </w:rPr>
        <w:t xml:space="preserve"> </w:t>
      </w:r>
      <w:r w:rsidRPr="00EB3EFB">
        <w:rPr>
          <w:rFonts w:ascii="Verdana" w:eastAsia="Arial MT" w:hAnsi="Verdana" w:cs="Arial MT"/>
          <w:lang w:val="es-ES"/>
        </w:rPr>
        <w:t>2020, C-086 del 19 de marzo de 2021, C-901 del 18 de diciembre de 2024.</w:t>
      </w:r>
      <w:r>
        <w:rPr>
          <w:rFonts w:ascii="Verdana" w:eastAsia="Arial MT" w:hAnsi="Verdana" w:cs="Arial MT"/>
          <w:lang w:val="es-ES"/>
        </w:rPr>
        <w:t xml:space="preserve"> </w:t>
      </w:r>
      <w:r w:rsidRPr="00244398">
        <w:rPr>
          <w:rFonts w:ascii="Verdana" w:eastAsia="Calibri" w:hAnsi="Verdana" w:cs="Times New Roman"/>
        </w:rPr>
        <w:t>Estos y otros conceptos se encuentran</w:t>
      </w:r>
      <w:r w:rsidRPr="00FF02AF">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82EAD63" w14:textId="77777777" w:rsidR="00D35ED1" w:rsidRPr="00A12CB6" w:rsidRDefault="001A300C" w:rsidP="00D35ED1">
      <w:pPr>
        <w:spacing w:after="0" w:line="276" w:lineRule="auto"/>
        <w:jc w:val="both"/>
        <w:rPr>
          <w:rFonts w:ascii="Verdana" w:eastAsia="Calibri" w:hAnsi="Verdana" w:cs="Times New Roman"/>
        </w:rPr>
      </w:pPr>
      <w:hyperlink r:id="rId13" w:history="1">
        <w:r w:rsidR="00D35ED1" w:rsidRPr="00A12CB6">
          <w:rPr>
            <w:rFonts w:ascii="Verdana" w:eastAsia="Calibri" w:hAnsi="Verdana" w:cs="Times New Roman"/>
            <w:color w:val="0000FF"/>
            <w:u w:val="single"/>
            <w:lang w:val="es-ES"/>
          </w:rPr>
          <w:t>https://relatoria.colombiacompra.gov.co/busqueda/conceptos</w:t>
        </w:r>
      </w:hyperlink>
      <w:r w:rsidR="00D35ED1" w:rsidRPr="00A12CB6">
        <w:rPr>
          <w:rFonts w:ascii="Verdana" w:eastAsia="Calibri" w:hAnsi="Verdana" w:cs="Times New Roman"/>
        </w:rPr>
        <w:t xml:space="preserve">. </w:t>
      </w:r>
    </w:p>
    <w:p w14:paraId="01BE673D" w14:textId="77777777" w:rsidR="00D35ED1" w:rsidRPr="00A12CB6" w:rsidRDefault="00D35ED1" w:rsidP="00D35ED1">
      <w:pPr>
        <w:spacing w:after="0" w:line="276" w:lineRule="auto"/>
        <w:jc w:val="both"/>
        <w:rPr>
          <w:rFonts w:ascii="Verdana" w:eastAsia="Calibri" w:hAnsi="Verdana" w:cs="Times New Roman"/>
        </w:rPr>
      </w:pPr>
      <w:r w:rsidRPr="00A12CB6">
        <w:rPr>
          <w:rFonts w:ascii="Verdana" w:eastAsia="Calibri" w:hAnsi="Verdana" w:cs="Times New Roman"/>
        </w:rPr>
        <w:lastRenderedPageBreak/>
        <w:br/>
        <w:t>Te informamos que ya se encuentra disponible la </w:t>
      </w:r>
      <w:r w:rsidRPr="00A12CB6">
        <w:rPr>
          <w:rFonts w:ascii="Verdana" w:eastAsia="Calibri" w:hAnsi="Verdana" w:cs="Times New Roman"/>
          <w:b/>
          <w:bCs/>
        </w:rPr>
        <w:t>Cartilla para incentivar y fortalecer el acceso a las compras y contratación pública de los pueblos y comunidades étnicas en Colombia.</w:t>
      </w:r>
      <w:r w:rsidRPr="00A12CB6">
        <w:rPr>
          <w:rFonts w:ascii="Verdana" w:eastAsia="Calibri" w:hAnsi="Verdana" w:cs="Times New Roman"/>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A12CB6">
          <w:rPr>
            <w:rFonts w:ascii="Verdana" w:eastAsia="Calibri" w:hAnsi="Verdana" w:cs="Times New Roman"/>
            <w:color w:val="0000FF"/>
            <w:u w:val="single"/>
          </w:rPr>
          <w:t>Cartilla para incentivar y fortalecer el acceso a las compras y contratación pública de los pueblos y comunidades étnicas en Colombia | Colombia Compra Eficiente | Agencia Nacional de Contratación Pública</w:t>
        </w:r>
      </w:hyperlink>
    </w:p>
    <w:p w14:paraId="008B5273" w14:textId="77777777" w:rsidR="00D35ED1" w:rsidRPr="00A12CB6" w:rsidRDefault="00D35ED1" w:rsidP="00D35ED1">
      <w:pPr>
        <w:spacing w:after="0" w:line="276" w:lineRule="auto"/>
        <w:jc w:val="both"/>
        <w:rPr>
          <w:rFonts w:ascii="Verdana" w:eastAsia="Calibri" w:hAnsi="Verdana" w:cs="Times New Roman"/>
        </w:rPr>
      </w:pPr>
    </w:p>
    <w:p w14:paraId="7BE6BD99" w14:textId="77777777" w:rsidR="00D35ED1" w:rsidRPr="00A12CB6" w:rsidRDefault="00D35ED1" w:rsidP="00D35ED1">
      <w:pPr>
        <w:spacing w:after="0" w:line="276" w:lineRule="auto"/>
        <w:jc w:val="both"/>
        <w:rPr>
          <w:rFonts w:ascii="Verdana" w:eastAsia="Calibri" w:hAnsi="Verdana" w:cs="Times New Roman"/>
        </w:rPr>
      </w:pPr>
      <w:r w:rsidRPr="00A12CB6">
        <w:rPr>
          <w:rFonts w:ascii="Verdana" w:eastAsia="Calibri" w:hAnsi="Verdana" w:cs="Times New Roman"/>
        </w:rPr>
        <w:t>De otra parte, te informamos que, con el objetivo de garantizar un conocimiento adecuado de las </w:t>
      </w:r>
      <w:r w:rsidRPr="00A12CB6">
        <w:rPr>
          <w:rFonts w:ascii="Verdana" w:eastAsia="Calibri" w:hAnsi="Verdana" w:cs="Times New Roman"/>
          <w:b/>
          <w:bCs/>
        </w:rPr>
        <w:t>modificaciones y/o actualizaciones realizadas a los Documentos Tipo</w:t>
      </w:r>
      <w:r w:rsidRPr="00A12CB6">
        <w:rPr>
          <w:rFonts w:ascii="Verdana" w:eastAsia="Calibri" w:hAnsi="Verdana" w:cs="Times New Roman"/>
        </w:rPr>
        <w:t>, hemos programado una serie de </w:t>
      </w:r>
      <w:r w:rsidRPr="00A12CB6">
        <w:rPr>
          <w:rFonts w:ascii="Verdana" w:eastAsia="Calibri" w:hAnsi="Verdana" w:cs="Times New Roman"/>
          <w:b/>
          <w:bCs/>
        </w:rPr>
        <w:t>capacitaciones </w:t>
      </w:r>
      <w:r w:rsidRPr="00A12CB6">
        <w:rPr>
          <w:rFonts w:ascii="Verdana" w:eastAsia="Calibri" w:hAnsi="Verdana" w:cs="Times New Roman"/>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A12CB6">
          <w:rPr>
            <w:rFonts w:ascii="Verdana" w:eastAsia="Calibri" w:hAnsi="Verdana" w:cs="Times New Roman"/>
            <w:color w:val="0000FF"/>
            <w:u w:val="single"/>
          </w:rPr>
          <w:t>Calendario | Colombia Compra Eficiente | Agencia Nacional de Contratación Pública</w:t>
        </w:r>
      </w:hyperlink>
    </w:p>
    <w:p w14:paraId="5E0493C8" w14:textId="77777777" w:rsidR="00D35ED1" w:rsidRPr="00A12CB6" w:rsidRDefault="00D35ED1" w:rsidP="00D35ED1">
      <w:pPr>
        <w:spacing w:after="0" w:line="276" w:lineRule="auto"/>
        <w:jc w:val="both"/>
        <w:rPr>
          <w:rFonts w:ascii="Verdana" w:eastAsia="Calibri" w:hAnsi="Verdana" w:cs="Times New Roman"/>
        </w:rPr>
      </w:pPr>
    </w:p>
    <w:p w14:paraId="70A63A64" w14:textId="77777777" w:rsidR="00D35ED1" w:rsidRPr="00A12CB6" w:rsidRDefault="00D35ED1" w:rsidP="00D35ED1">
      <w:pPr>
        <w:spacing w:after="0" w:line="276" w:lineRule="auto"/>
        <w:jc w:val="both"/>
        <w:rPr>
          <w:rFonts w:ascii="Verdana" w:eastAsia="Calibri" w:hAnsi="Verdana" w:cs="Times New Roman"/>
        </w:rPr>
      </w:pPr>
      <w:r w:rsidRPr="00A12CB6">
        <w:rPr>
          <w:rFonts w:ascii="Verdana" w:eastAsia="Calibri" w:hAnsi="Verdana" w:cs="Times New Roman"/>
        </w:rPr>
        <w:t>También, te contamos que ya publicamos </w:t>
      </w:r>
      <w:r w:rsidRPr="00A12CB6">
        <w:rPr>
          <w:rFonts w:ascii="Verdana" w:eastAsia="Calibri" w:hAnsi="Verdana" w:cs="Times New Roman"/>
          <w:b/>
          <w:bCs/>
        </w:rPr>
        <w:t>la nueva Guía de Contratación Pública Sostenible y Socialmente Responsable</w:t>
      </w:r>
      <w:r w:rsidRPr="00A12CB6">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A12CB6">
          <w:rPr>
            <w:rFonts w:ascii="Verdana" w:eastAsia="Calibri" w:hAnsi="Verdana" w:cs="Times New Roman"/>
            <w:color w:val="0000FF"/>
            <w:u w:val="single"/>
          </w:rPr>
          <w:t>Guía de Contratación Pública Sostenible y Socialmente Responsable | Colombia Compra Eficiente | Agencia Nacional de Contratación Pública</w:t>
        </w:r>
      </w:hyperlink>
    </w:p>
    <w:p w14:paraId="341B0D42" w14:textId="77777777" w:rsidR="00D35ED1" w:rsidRPr="00A12CB6" w:rsidRDefault="00D35ED1" w:rsidP="00D35ED1">
      <w:pPr>
        <w:spacing w:after="0" w:line="276" w:lineRule="auto"/>
        <w:jc w:val="both"/>
        <w:rPr>
          <w:rFonts w:ascii="Verdana" w:eastAsia="Calibri" w:hAnsi="Verdana" w:cs="Times New Roman"/>
        </w:rPr>
      </w:pPr>
    </w:p>
    <w:p w14:paraId="0CD86B6E" w14:textId="77777777" w:rsidR="00D35ED1" w:rsidRPr="00A12CB6" w:rsidRDefault="00D35ED1" w:rsidP="00D35ED1">
      <w:pPr>
        <w:spacing w:after="0" w:line="276" w:lineRule="auto"/>
        <w:jc w:val="both"/>
        <w:rPr>
          <w:rFonts w:ascii="Verdana" w:eastAsia="Calibri" w:hAnsi="Verdana" w:cs="Times New Roman"/>
        </w:rPr>
      </w:pPr>
      <w:r w:rsidRPr="00A12CB6">
        <w:rPr>
          <w:rFonts w:ascii="Verdana" w:eastAsia="Calibri" w:hAnsi="Verdana" w:cs="Times New Roman"/>
        </w:rPr>
        <w:t>Le informamos que ya se encuentran publicados las nuevas versiones de los Documentos Tipo de Interventoría y Consultoría de Infraestructura de Transporte. Conoce todos los detalles en los siguientes enlaces: </w:t>
      </w:r>
      <w:hyperlink r:id="rId17" w:tgtFrame="_blank" w:tooltip="Dirección URL original: https://www.colombiacompra.gov.co/content/borrador-de-documentos-tipo-de-consultoria-de-obra-publica-de-infraestructura-de-transporte. Haga clic o pulse si confía en este vínculo." w:history="1">
        <w:r w:rsidRPr="00A12CB6">
          <w:rPr>
            <w:rFonts w:ascii="Verdana" w:eastAsia="Calibri" w:hAnsi="Verdana" w:cs="Times New Roman"/>
            <w:color w:val="0000FF"/>
            <w:u w:val="single"/>
          </w:rPr>
          <w:t>https://www.colombiacompra.gov.co/content/borrador-de-documentos-tipo-de-consultoria-de-obra-publica-de-infraestructura-de-transporte</w:t>
        </w:r>
      </w:hyperlink>
      <w:r w:rsidRPr="00A12CB6">
        <w:rPr>
          <w:rFonts w:ascii="Verdana" w:eastAsia="Calibri" w:hAnsi="Verdana" w:cs="Times New Roman"/>
        </w:rPr>
        <w:t> y </w:t>
      </w:r>
      <w:hyperlink r:id="rId18" w:tgtFrame="_blank" w:tooltip="Dirección URL original: https://www.colombiacompra.gov.co/content/borrador-de-documentos-tipo-de-interventoria-de-obra-publica-de-infraestructura-de. Haga clic o pulse si confía en este vínculo." w:history="1">
        <w:r w:rsidRPr="00A12CB6">
          <w:rPr>
            <w:rFonts w:ascii="Verdana" w:eastAsia="Calibri" w:hAnsi="Verdana" w:cs="Times New Roman"/>
            <w:color w:val="0000FF"/>
            <w:u w:val="single"/>
          </w:rPr>
          <w:t>https://www.colombiacompra.gov.co/content/borrador-de-documentos-tipo-de-interventoria-de-obra-publica-de-infraestructura-de</w:t>
        </w:r>
      </w:hyperlink>
      <w:r w:rsidRPr="00A12CB6">
        <w:rPr>
          <w:rFonts w:ascii="Verdana" w:eastAsia="Calibri" w:hAnsi="Verdana" w:cs="Times New Roman"/>
        </w:rPr>
        <w:t> .</w:t>
      </w:r>
    </w:p>
    <w:p w14:paraId="659E1541" w14:textId="77777777" w:rsidR="00D35ED1" w:rsidRPr="0044528D" w:rsidRDefault="00D35ED1" w:rsidP="00D35ED1">
      <w:pPr>
        <w:spacing w:after="0"/>
        <w:jc w:val="both"/>
        <w:rPr>
          <w:rFonts w:ascii="Verdana" w:hAnsi="Verdana"/>
        </w:rPr>
      </w:pPr>
    </w:p>
    <w:p w14:paraId="7CA24496" w14:textId="77777777" w:rsidR="00D35ED1" w:rsidRPr="0044528D" w:rsidRDefault="00D35ED1" w:rsidP="00D35ED1">
      <w:pPr>
        <w:spacing w:after="0"/>
        <w:jc w:val="both"/>
        <w:rPr>
          <w:rFonts w:ascii="Verdana" w:hAnsi="Verdana"/>
        </w:rPr>
      </w:pPr>
      <w:r w:rsidRPr="0044528D">
        <w:rPr>
          <w:rFonts w:ascii="Verdana" w:hAnsi="Verdana"/>
        </w:rPr>
        <w:lastRenderedPageBreak/>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82E36DC" w14:textId="77777777" w:rsidR="00D35ED1" w:rsidRPr="0044528D" w:rsidRDefault="00D35ED1" w:rsidP="00D35ED1">
      <w:pPr>
        <w:spacing w:after="0" w:line="240" w:lineRule="auto"/>
        <w:jc w:val="both"/>
        <w:rPr>
          <w:rFonts w:ascii="Verdana" w:hAnsi="Verdana"/>
        </w:rPr>
      </w:pPr>
    </w:p>
    <w:p w14:paraId="1FFB863E" w14:textId="77777777" w:rsidR="00D35ED1" w:rsidRPr="0044528D" w:rsidRDefault="00D35ED1" w:rsidP="00D35ED1">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0F59B6CB" w14:textId="77777777" w:rsidR="00D35ED1" w:rsidRPr="0044528D" w:rsidRDefault="00D35ED1" w:rsidP="00D35ED1">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7FC63B0C" w14:textId="77777777" w:rsidR="00D35ED1" w:rsidRPr="0044528D" w:rsidRDefault="00D35ED1" w:rsidP="00D35ED1">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72D42920" w14:textId="77777777" w:rsidR="00D35ED1" w:rsidRPr="0044528D" w:rsidRDefault="00D35ED1" w:rsidP="00D35ED1">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9" w:history="1">
        <w:r w:rsidRPr="0044528D">
          <w:rPr>
            <w:rStyle w:val="Hipervnculo"/>
            <w:rFonts w:ascii="Verdana" w:hAnsi="Verdana"/>
          </w:rPr>
          <w:t>www.colombiacompra.gov.co</w:t>
        </w:r>
      </w:hyperlink>
    </w:p>
    <w:p w14:paraId="503AB4DF" w14:textId="77777777" w:rsidR="00D35ED1" w:rsidRPr="0044528D" w:rsidRDefault="00D35ED1" w:rsidP="00D35ED1">
      <w:pPr>
        <w:pStyle w:val="Prrafodelista"/>
        <w:spacing w:after="0" w:line="240" w:lineRule="auto"/>
        <w:ind w:left="785"/>
        <w:jc w:val="both"/>
        <w:rPr>
          <w:rFonts w:ascii="Verdana" w:hAnsi="Verdana"/>
        </w:rPr>
      </w:pPr>
    </w:p>
    <w:p w14:paraId="7739BFC7" w14:textId="77777777" w:rsidR="00D35ED1" w:rsidRPr="0044528D" w:rsidRDefault="00D35ED1" w:rsidP="00D35ED1">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7D7F1D4A" w14:textId="77777777" w:rsidR="00D35ED1" w:rsidRPr="0044528D" w:rsidRDefault="00D35ED1" w:rsidP="00D35ED1">
      <w:pPr>
        <w:spacing w:after="0" w:line="240" w:lineRule="auto"/>
        <w:jc w:val="both"/>
        <w:rPr>
          <w:rFonts w:ascii="Verdana" w:hAnsi="Verdana"/>
        </w:rPr>
      </w:pPr>
    </w:p>
    <w:p w14:paraId="1093A496" w14:textId="77777777" w:rsidR="00D35ED1" w:rsidRPr="0044528D" w:rsidRDefault="00D35ED1" w:rsidP="00D35ED1">
      <w:pPr>
        <w:spacing w:after="0" w:line="240" w:lineRule="auto"/>
        <w:jc w:val="both"/>
        <w:rPr>
          <w:rFonts w:ascii="Verdana" w:hAnsi="Verdana"/>
        </w:rPr>
      </w:pPr>
      <w:r w:rsidRPr="0044528D">
        <w:rPr>
          <w:rFonts w:ascii="Verdana" w:hAnsi="Verdana"/>
        </w:rPr>
        <w:t xml:space="preserve">Twitter: </w:t>
      </w:r>
      <w:r w:rsidRPr="0044528D">
        <w:rPr>
          <w:rStyle w:val="Hipervnculo"/>
          <w:rFonts w:ascii="Verdana" w:hAnsi="Verdana"/>
        </w:rPr>
        <w:t>@</w:t>
      </w:r>
      <w:proofErr w:type="spellStart"/>
      <w:r w:rsidRPr="0044528D">
        <w:rPr>
          <w:rStyle w:val="Hipervnculo"/>
          <w:rFonts w:ascii="Verdana" w:hAnsi="Verdana"/>
        </w:rPr>
        <w:t>colombiacompra</w:t>
      </w:r>
      <w:proofErr w:type="spellEnd"/>
      <w:r w:rsidRPr="0044528D">
        <w:rPr>
          <w:rFonts w:ascii="Verdana" w:hAnsi="Verdana"/>
        </w:rPr>
        <w:t xml:space="preserve"> </w:t>
      </w:r>
    </w:p>
    <w:p w14:paraId="0B1DB5FC" w14:textId="77777777" w:rsidR="00D35ED1" w:rsidRPr="0044528D" w:rsidRDefault="00D35ED1" w:rsidP="00D35ED1">
      <w:pPr>
        <w:spacing w:after="0" w:line="240" w:lineRule="auto"/>
        <w:jc w:val="both"/>
        <w:rPr>
          <w:rFonts w:ascii="Verdana" w:hAnsi="Verdana"/>
        </w:rPr>
      </w:pPr>
      <w:r w:rsidRPr="0044528D">
        <w:rPr>
          <w:rFonts w:ascii="Verdana" w:hAnsi="Verdana"/>
        </w:rPr>
        <w:t xml:space="preserve">Facebook: </w:t>
      </w:r>
      <w:proofErr w:type="spellStart"/>
      <w:r w:rsidRPr="0044528D">
        <w:rPr>
          <w:rStyle w:val="Hipervnculo"/>
          <w:rFonts w:ascii="Verdana" w:hAnsi="Verdana"/>
        </w:rPr>
        <w:t>ColombiaCompraEficiente</w:t>
      </w:r>
      <w:proofErr w:type="spellEnd"/>
    </w:p>
    <w:p w14:paraId="0DDB2D76" w14:textId="77777777" w:rsidR="00D35ED1" w:rsidRPr="0044528D" w:rsidRDefault="00D35ED1" w:rsidP="00D35ED1">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w:t>
      </w:r>
      <w:proofErr w:type="spellStart"/>
      <w:r w:rsidRPr="0044528D">
        <w:rPr>
          <w:rStyle w:val="Hipervnculo"/>
          <w:rFonts w:ascii="Verdana" w:hAnsi="Verdana"/>
        </w:rPr>
        <w:t>colombiacompraeficiente_cce</w:t>
      </w:r>
      <w:proofErr w:type="spellEnd"/>
    </w:p>
    <w:p w14:paraId="2C6BC217" w14:textId="77777777" w:rsidR="00D35ED1" w:rsidRPr="00A12CB6" w:rsidRDefault="00D35ED1" w:rsidP="00D35ED1">
      <w:pPr>
        <w:spacing w:after="0" w:line="276" w:lineRule="auto"/>
        <w:rPr>
          <w:rFonts w:ascii="Verdana" w:eastAsia="Calibri" w:hAnsi="Verdana" w:cs="Times New Roman"/>
          <w:b/>
          <w:bCs/>
        </w:rPr>
      </w:pPr>
    </w:p>
    <w:p w14:paraId="3D01A500" w14:textId="77777777" w:rsidR="00D35ED1" w:rsidRPr="00A12CB6" w:rsidRDefault="00D35ED1" w:rsidP="00D35ED1">
      <w:pPr>
        <w:spacing w:after="0" w:line="276" w:lineRule="auto"/>
        <w:jc w:val="both"/>
        <w:rPr>
          <w:rFonts w:ascii="Verdana" w:eastAsia="Calibri" w:hAnsi="Verdana" w:cs="Times New Roman"/>
          <w:bCs/>
          <w:lang w:val="es-ES_tradnl"/>
        </w:rPr>
      </w:pPr>
      <w:r w:rsidRPr="00A12CB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323D722" w14:textId="77777777" w:rsidR="00D35ED1" w:rsidRPr="00A12CB6" w:rsidRDefault="00D35ED1" w:rsidP="00D35ED1">
      <w:pPr>
        <w:spacing w:after="0" w:line="276" w:lineRule="auto"/>
        <w:jc w:val="both"/>
        <w:rPr>
          <w:rFonts w:ascii="Verdana" w:eastAsia="Calibri" w:hAnsi="Verdana" w:cs="Times New Roman"/>
        </w:rPr>
      </w:pPr>
    </w:p>
    <w:p w14:paraId="3C70A20E" w14:textId="74850FD2" w:rsidR="00D35ED1" w:rsidRPr="00D55A2A" w:rsidRDefault="00D35ED1" w:rsidP="00D55A2A">
      <w:pPr>
        <w:spacing w:after="0" w:line="276" w:lineRule="auto"/>
        <w:jc w:val="both"/>
        <w:rPr>
          <w:rFonts w:ascii="Verdana" w:eastAsia="Calibri" w:hAnsi="Verdana" w:cs="Times New Roman"/>
        </w:rPr>
      </w:pPr>
      <w:r w:rsidRPr="00A12CB6">
        <w:rPr>
          <w:rFonts w:ascii="Verdana" w:eastAsia="Calibri" w:hAnsi="Verdana" w:cs="Times New Roman"/>
        </w:rPr>
        <w:t>Atentamente,</w:t>
      </w:r>
      <w:r w:rsidRPr="0004175F">
        <w:rPr>
          <w:rFonts w:ascii="Century Gothic" w:hAnsi="Century Gothic"/>
          <w:noProof/>
          <w:lang w:val="en-US"/>
        </w:rPr>
        <w:t xml:space="preserve"> </w:t>
      </w:r>
    </w:p>
    <w:p w14:paraId="4E6FD4C9" w14:textId="7D23D17C" w:rsidR="00D55A2A" w:rsidRDefault="00D55A2A" w:rsidP="00D35ED1">
      <w:pPr>
        <w:spacing w:after="0" w:line="256" w:lineRule="auto"/>
        <w:jc w:val="center"/>
        <w:rPr>
          <w:rFonts w:ascii="Century Gothic" w:hAnsi="Century Gothic"/>
          <w:noProof/>
          <w:lang w:val="en-US"/>
        </w:rPr>
      </w:pPr>
      <w:r w:rsidRPr="00A12CB6">
        <w:rPr>
          <w:rFonts w:ascii="Century Gothic" w:hAnsi="Century Gothic"/>
          <w:noProof/>
          <w:lang w:val="en-US"/>
        </w:rPr>
        <w:drawing>
          <wp:inline distT="0" distB="0" distL="0" distR="0" wp14:anchorId="62288026" wp14:editId="46C9269E">
            <wp:extent cx="3093771" cy="1290285"/>
            <wp:effectExtent l="0" t="0" r="0" b="571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123711" cy="1302772"/>
                    </a:xfrm>
                    <a:prstGeom prst="rect">
                      <a:avLst/>
                    </a:prstGeom>
                  </pic:spPr>
                </pic:pic>
              </a:graphicData>
            </a:graphic>
          </wp:inline>
        </w:drawing>
      </w:r>
    </w:p>
    <w:p w14:paraId="4805DA0A" w14:textId="77777777" w:rsidR="00D35ED1" w:rsidRPr="00A12CB6" w:rsidRDefault="00D35ED1" w:rsidP="00D35ED1">
      <w:pPr>
        <w:spacing w:after="0" w:line="256" w:lineRule="auto"/>
        <w:rPr>
          <w:rFonts w:ascii="Verdana" w:eastAsia="Calibri" w:hAnsi="Verdana" w:cs="Times New Roman"/>
          <w:lang w:val="es-E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D35ED1" w:rsidRPr="00A12CB6" w14:paraId="169730C3" w14:textId="77777777" w:rsidTr="001A300C">
        <w:trPr>
          <w:trHeight w:val="409"/>
        </w:trPr>
        <w:tc>
          <w:tcPr>
            <w:tcW w:w="817" w:type="dxa"/>
            <w:tcBorders>
              <w:top w:val="nil"/>
              <w:left w:val="nil"/>
              <w:bottom w:val="nil"/>
              <w:right w:val="nil"/>
            </w:tcBorders>
            <w:vAlign w:val="center"/>
            <w:hideMark/>
          </w:tcPr>
          <w:p w14:paraId="238A7B24" w14:textId="77777777" w:rsidR="00D35ED1" w:rsidRPr="00A12CB6" w:rsidRDefault="00D35ED1" w:rsidP="001A300C">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2A2CED3" w14:textId="77777777" w:rsidR="00D35ED1" w:rsidRPr="00A12CB6" w:rsidRDefault="00D35ED1" w:rsidP="001A300C">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José Luis Sánchez Cardona</w:t>
            </w:r>
          </w:p>
          <w:p w14:paraId="0AE537B7" w14:textId="77777777" w:rsidR="00D35ED1" w:rsidRPr="00A12CB6" w:rsidRDefault="00D35ED1" w:rsidP="001A300C">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Contratista de la Subdirección de Gestión Contractual</w:t>
            </w:r>
          </w:p>
        </w:tc>
      </w:tr>
      <w:tr w:rsidR="00D35ED1" w:rsidRPr="00A12CB6" w14:paraId="377EB419" w14:textId="77777777" w:rsidTr="001A300C">
        <w:trPr>
          <w:trHeight w:val="409"/>
        </w:trPr>
        <w:tc>
          <w:tcPr>
            <w:tcW w:w="817" w:type="dxa"/>
            <w:tcBorders>
              <w:top w:val="nil"/>
              <w:left w:val="nil"/>
              <w:bottom w:val="nil"/>
              <w:right w:val="nil"/>
            </w:tcBorders>
            <w:vAlign w:val="center"/>
            <w:hideMark/>
          </w:tcPr>
          <w:p w14:paraId="4136750B" w14:textId="77777777" w:rsidR="00D35ED1" w:rsidRPr="00A12CB6" w:rsidRDefault="00D35ED1" w:rsidP="001A300C">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134F66B" w14:textId="77777777" w:rsidR="00D35ED1" w:rsidRPr="00A12CB6" w:rsidRDefault="00D35ED1" w:rsidP="001A300C">
            <w:pPr>
              <w:spacing w:after="0" w:line="256" w:lineRule="auto"/>
              <w:rPr>
                <w:rFonts w:ascii="Verdana" w:eastAsia="Calibri" w:hAnsi="Verdana" w:cs="Times New Roman"/>
                <w:sz w:val="16"/>
                <w:szCs w:val="16"/>
              </w:rPr>
            </w:pPr>
            <w:r>
              <w:rPr>
                <w:rFonts w:ascii="Verdana" w:eastAsia="Calibri" w:hAnsi="Verdana" w:cs="Times New Roman"/>
                <w:sz w:val="16"/>
                <w:szCs w:val="16"/>
              </w:rPr>
              <w:t>Juan Carlos González Vásquez</w:t>
            </w:r>
          </w:p>
          <w:p w14:paraId="47DE5564" w14:textId="77777777" w:rsidR="00D35ED1" w:rsidRPr="00A12CB6" w:rsidRDefault="00D35ED1" w:rsidP="001A300C">
            <w:pPr>
              <w:spacing w:after="0" w:line="256" w:lineRule="auto"/>
              <w:rPr>
                <w:rFonts w:ascii="Verdana" w:eastAsia="Calibri" w:hAnsi="Verdana" w:cs="Times New Roman"/>
                <w:sz w:val="16"/>
                <w:szCs w:val="16"/>
              </w:rPr>
            </w:pPr>
            <w:r>
              <w:rPr>
                <w:rFonts w:ascii="Verdana" w:eastAsia="Calibri" w:hAnsi="Verdana" w:cs="Times New Roman"/>
                <w:sz w:val="16"/>
                <w:szCs w:val="16"/>
              </w:rPr>
              <w:t>Contratista</w:t>
            </w:r>
            <w:r w:rsidRPr="00A12CB6">
              <w:rPr>
                <w:rFonts w:ascii="Verdana" w:eastAsia="Calibri" w:hAnsi="Verdana" w:cs="Times New Roman"/>
                <w:sz w:val="16"/>
                <w:szCs w:val="16"/>
              </w:rPr>
              <w:t xml:space="preserve"> de la Subdirección de Gestión Contractual </w:t>
            </w:r>
          </w:p>
        </w:tc>
      </w:tr>
      <w:tr w:rsidR="00D35ED1" w:rsidRPr="00A12CB6" w14:paraId="5D97A7AC" w14:textId="77777777" w:rsidTr="001A300C">
        <w:trPr>
          <w:trHeight w:val="389"/>
        </w:trPr>
        <w:tc>
          <w:tcPr>
            <w:tcW w:w="817" w:type="dxa"/>
            <w:tcBorders>
              <w:top w:val="nil"/>
              <w:left w:val="nil"/>
              <w:bottom w:val="nil"/>
              <w:right w:val="nil"/>
            </w:tcBorders>
            <w:vAlign w:val="center"/>
            <w:hideMark/>
          </w:tcPr>
          <w:p w14:paraId="12CFE399" w14:textId="77777777" w:rsidR="00D35ED1" w:rsidRPr="00A12CB6" w:rsidRDefault="00D35ED1" w:rsidP="001A300C">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C5B271E" w14:textId="77777777" w:rsidR="00D35ED1" w:rsidRPr="00A12CB6" w:rsidRDefault="00D35ED1" w:rsidP="001A300C">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 xml:space="preserve">Carolina Quintero </w:t>
            </w:r>
            <w:proofErr w:type="spellStart"/>
            <w:r w:rsidRPr="00A12CB6">
              <w:rPr>
                <w:rFonts w:ascii="Verdana" w:eastAsia="Calibri" w:hAnsi="Verdana" w:cs="Times New Roman"/>
                <w:sz w:val="16"/>
                <w:szCs w:val="16"/>
              </w:rPr>
              <w:t>Gacharná</w:t>
            </w:r>
            <w:proofErr w:type="spellEnd"/>
          </w:p>
          <w:p w14:paraId="5FF88F20" w14:textId="77777777" w:rsidR="00D35ED1" w:rsidRPr="00A12CB6" w:rsidRDefault="00D35ED1" w:rsidP="001A300C">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Subdirectora de Gestión Contractual ANCP – CCE</w:t>
            </w:r>
          </w:p>
        </w:tc>
      </w:tr>
      <w:bookmarkEnd w:id="0"/>
    </w:tbl>
    <w:p w14:paraId="21B1B964" w14:textId="6A174001" w:rsidR="00F33548" w:rsidRPr="0044528D" w:rsidRDefault="00F33548" w:rsidP="00F33548">
      <w:pPr>
        <w:spacing w:after="0"/>
        <w:rPr>
          <w:rFonts w:ascii="Verdana" w:hAnsi="Verdana"/>
        </w:rPr>
      </w:pPr>
    </w:p>
    <w:sectPr w:rsidR="00F33548" w:rsidRPr="0044528D"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AB5BE" w14:textId="77777777" w:rsidR="007A73A8" w:rsidRDefault="007A73A8" w:rsidP="004A1847">
      <w:pPr>
        <w:spacing w:after="0" w:line="240" w:lineRule="auto"/>
      </w:pPr>
      <w:r>
        <w:separator/>
      </w:r>
    </w:p>
  </w:endnote>
  <w:endnote w:type="continuationSeparator" w:id="0">
    <w:p w14:paraId="6668CD88" w14:textId="77777777" w:rsidR="007A73A8" w:rsidRDefault="007A73A8" w:rsidP="004A1847">
      <w:pPr>
        <w:spacing w:after="0" w:line="240" w:lineRule="auto"/>
      </w:pPr>
      <w:r>
        <w:continuationSeparator/>
      </w:r>
    </w:p>
  </w:endnote>
  <w:endnote w:type="continuationNotice" w:id="1">
    <w:p w14:paraId="2164115A" w14:textId="77777777" w:rsidR="007A73A8" w:rsidRDefault="007A73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altName w:val="Arial"/>
    <w:charset w:val="00"/>
    <w:family w:val="swiss"/>
    <w:pitch w:val="variable"/>
    <w:sig w:usb0="0000028F" w:usb1="00000002"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1A300C" w:rsidRDefault="001A300C">
    <w:pPr>
      <w:pStyle w:val="Piedepgina"/>
    </w:pPr>
  </w:p>
  <w:p w14:paraId="594D6D9F" w14:textId="7492C67A" w:rsidR="001A300C" w:rsidRPr="00174B77" w:rsidRDefault="001A300C"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55A2A" w:rsidRPr="00D55A2A">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1A300C" w:rsidRDefault="001A300C"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1A300C" w:rsidRPr="00E41027" w:rsidRDefault="001A300C"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1A300C" w:rsidRDefault="001A300C"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81CBF0" w14:textId="77777777" w:rsidR="007A73A8" w:rsidRDefault="007A73A8" w:rsidP="004A1847">
      <w:pPr>
        <w:spacing w:after="0" w:line="240" w:lineRule="auto"/>
      </w:pPr>
      <w:r>
        <w:separator/>
      </w:r>
    </w:p>
  </w:footnote>
  <w:footnote w:type="continuationSeparator" w:id="0">
    <w:p w14:paraId="37A61019" w14:textId="77777777" w:rsidR="007A73A8" w:rsidRDefault="007A73A8" w:rsidP="004A1847">
      <w:pPr>
        <w:spacing w:after="0" w:line="240" w:lineRule="auto"/>
      </w:pPr>
      <w:r>
        <w:continuationSeparator/>
      </w:r>
    </w:p>
  </w:footnote>
  <w:footnote w:type="continuationNotice" w:id="1">
    <w:p w14:paraId="22BD6E9D" w14:textId="77777777" w:rsidR="007A73A8" w:rsidRDefault="007A73A8">
      <w:pPr>
        <w:spacing w:after="0" w:line="240" w:lineRule="auto"/>
      </w:pPr>
    </w:p>
  </w:footnote>
  <w:footnote w:id="2">
    <w:p w14:paraId="3B5A70C2"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17A48D55"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3">
    <w:p w14:paraId="1ECEBAF7"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 xml:space="preserve">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w:t>
      </w:r>
      <w:proofErr w:type="spellStart"/>
      <w:r w:rsidRPr="00D55A2A">
        <w:rPr>
          <w:rFonts w:ascii="Verdana" w:hAnsi="Verdana" w:cs="Arial"/>
          <w:color w:val="000000"/>
          <w:sz w:val="16"/>
          <w:szCs w:val="16"/>
          <w:lang w:val="es-ES"/>
        </w:rPr>
        <w:t>mensualizado</w:t>
      </w:r>
      <w:proofErr w:type="spellEnd"/>
      <w:r w:rsidRPr="00D55A2A">
        <w:rPr>
          <w:rFonts w:ascii="Verdana" w:hAnsi="Verdana" w:cs="Arial"/>
          <w:color w:val="000000"/>
          <w:sz w:val="16"/>
          <w:szCs w:val="16"/>
          <w:lang w:val="es-ES"/>
        </w:rPr>
        <w:t xml:space="preserve"> del contrato, sin incluir el valor del Impuesto al Valor Agregado (IVA).</w:t>
      </w:r>
    </w:p>
    <w:p w14:paraId="7BE75B56"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 xml:space="preserve">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w:t>
      </w:r>
      <w:proofErr w:type="spellStart"/>
      <w:r w:rsidRPr="00D55A2A">
        <w:rPr>
          <w:rFonts w:ascii="Verdana" w:hAnsi="Verdana" w:cs="Arial"/>
          <w:color w:val="000000"/>
          <w:sz w:val="16"/>
          <w:szCs w:val="16"/>
          <w:lang w:val="es-ES"/>
        </w:rPr>
        <w:t>mensualizado</w:t>
      </w:r>
      <w:proofErr w:type="spellEnd"/>
      <w:r w:rsidRPr="00D55A2A">
        <w:rPr>
          <w:rFonts w:ascii="Verdana" w:hAnsi="Verdana" w:cs="Arial"/>
          <w:color w:val="000000"/>
          <w:sz w:val="16"/>
          <w:szCs w:val="16"/>
          <w:lang w:val="es-ES"/>
        </w:rPr>
        <w:t xml:space="preserve">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75A7E8A0"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El Gobierno nacional reglamentará el mecanismo para realizar la mensualización de que trata el presente artículo.</w:t>
      </w:r>
    </w:p>
    <w:p w14:paraId="45944207"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w:t>
      </w:r>
    </w:p>
    <w:p w14:paraId="63B5E2C7" w14:textId="77777777" w:rsidR="001A300C" w:rsidRPr="00D55A2A" w:rsidRDefault="001A300C" w:rsidP="00D35ED1">
      <w:pPr>
        <w:pStyle w:val="Textonotapie"/>
        <w:ind w:firstLine="709"/>
        <w:jc w:val="both"/>
        <w:rPr>
          <w:rFonts w:ascii="Verdana" w:hAnsi="Verdana" w:cs="Arial"/>
          <w:color w:val="000000"/>
          <w:sz w:val="16"/>
          <w:szCs w:val="16"/>
          <w:lang w:val="es-ES"/>
        </w:rPr>
      </w:pPr>
    </w:p>
  </w:footnote>
  <w:footnote w:id="4">
    <w:p w14:paraId="53C9DD22" w14:textId="77777777" w:rsidR="001A300C" w:rsidRPr="00D55A2A" w:rsidRDefault="001A300C" w:rsidP="00D35ED1">
      <w:pPr>
        <w:pStyle w:val="Textonotapie"/>
        <w:ind w:firstLine="708"/>
        <w:rPr>
          <w:rFonts w:ascii="Verdana" w:hAnsi="Verdana"/>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Corte Constitucional. Sentencia C-154 de 1997. Magistrado Ponente: Hernando Herrera Vergara.</w:t>
      </w:r>
    </w:p>
  </w:footnote>
  <w:footnote w:id="5">
    <w:p w14:paraId="02355053" w14:textId="77777777" w:rsidR="001A300C" w:rsidRPr="00D55A2A" w:rsidRDefault="001A300C" w:rsidP="00D35ED1">
      <w:pPr>
        <w:spacing w:after="0"/>
        <w:ind w:firstLine="708"/>
        <w:jc w:val="both"/>
        <w:rPr>
          <w:rFonts w:ascii="Verdana" w:eastAsia="Arial Nova" w:hAnsi="Verdana" w:cs="Arial"/>
          <w:sz w:val="16"/>
          <w:szCs w:val="16"/>
          <w:lang w:val="es"/>
        </w:rPr>
      </w:pPr>
      <w:r w:rsidRPr="00D55A2A">
        <w:rPr>
          <w:rStyle w:val="Refdenotaalpie"/>
          <w:rFonts w:ascii="Verdana" w:hAnsi="Verdana" w:cs="Arial"/>
          <w:sz w:val="16"/>
          <w:szCs w:val="16"/>
        </w:rPr>
        <w:footnoteRef/>
      </w:r>
      <w:r w:rsidRPr="00D55A2A">
        <w:rPr>
          <w:rFonts w:ascii="Verdana" w:hAnsi="Verdana" w:cs="Arial"/>
          <w:sz w:val="16"/>
          <w:szCs w:val="16"/>
        </w:rPr>
        <w:t xml:space="preserve"> </w:t>
      </w:r>
      <w:r w:rsidRPr="00D55A2A">
        <w:rPr>
          <w:rFonts w:ascii="Verdana" w:eastAsia="Arial Nova" w:hAnsi="Verdana" w:cs="Arial"/>
          <w:sz w:val="16"/>
          <w:szCs w:val="16"/>
          <w:lang w:val="es"/>
        </w:rPr>
        <w:t xml:space="preserve">Corte Constitucional. Sentencia C-614 de 2009. M.P. Jorge Ignacio </w:t>
      </w:r>
      <w:proofErr w:type="spellStart"/>
      <w:r w:rsidRPr="00D55A2A">
        <w:rPr>
          <w:rFonts w:ascii="Verdana" w:eastAsia="Arial Nova" w:hAnsi="Verdana" w:cs="Arial"/>
          <w:sz w:val="16"/>
          <w:szCs w:val="16"/>
          <w:lang w:val="es"/>
        </w:rPr>
        <w:t>Pretelt</w:t>
      </w:r>
      <w:proofErr w:type="spellEnd"/>
      <w:r w:rsidRPr="00D55A2A">
        <w:rPr>
          <w:rFonts w:ascii="Verdana" w:eastAsia="Arial Nova" w:hAnsi="Verdana" w:cs="Arial"/>
          <w:sz w:val="16"/>
          <w:szCs w:val="16"/>
          <w:lang w:val="es"/>
        </w:rPr>
        <w:t xml:space="preserve"> </w:t>
      </w:r>
      <w:proofErr w:type="spellStart"/>
      <w:r w:rsidRPr="00D55A2A">
        <w:rPr>
          <w:rFonts w:ascii="Verdana" w:eastAsia="Arial Nova" w:hAnsi="Verdana" w:cs="Arial"/>
          <w:sz w:val="16"/>
          <w:szCs w:val="16"/>
          <w:lang w:val="es"/>
        </w:rPr>
        <w:t>Chaljub</w:t>
      </w:r>
      <w:proofErr w:type="spellEnd"/>
      <w:r w:rsidRPr="00D55A2A">
        <w:rPr>
          <w:rFonts w:ascii="Verdana" w:eastAsia="Arial Nova" w:hAnsi="Verdana" w:cs="Arial"/>
          <w:sz w:val="16"/>
          <w:szCs w:val="16"/>
          <w:lang w:val="es"/>
        </w:rPr>
        <w:t xml:space="preserve">. </w:t>
      </w:r>
    </w:p>
    <w:p w14:paraId="52573400" w14:textId="77777777" w:rsidR="001A300C" w:rsidRPr="00D55A2A" w:rsidRDefault="001A300C" w:rsidP="00D35ED1">
      <w:pPr>
        <w:pStyle w:val="Textonotapie"/>
        <w:rPr>
          <w:rFonts w:ascii="Verdana" w:hAnsi="Verdana"/>
          <w:sz w:val="16"/>
          <w:szCs w:val="16"/>
        </w:rPr>
      </w:pPr>
    </w:p>
  </w:footnote>
  <w:footnote w:id="6">
    <w:p w14:paraId="7672D883" w14:textId="77777777" w:rsidR="001A300C" w:rsidRPr="00D55A2A" w:rsidRDefault="001A300C" w:rsidP="00D35ED1">
      <w:pPr>
        <w:pStyle w:val="Textonotapie"/>
        <w:ind w:firstLine="708"/>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Corte Constitucional. Sentencia C-154 de 1997. Magistrado Ponente: Hernando Herrera Vergara.</w:t>
      </w:r>
    </w:p>
    <w:p w14:paraId="2EE91BBE" w14:textId="77777777" w:rsidR="001A300C" w:rsidRPr="00D55A2A" w:rsidRDefault="001A300C" w:rsidP="00D35ED1">
      <w:pPr>
        <w:pStyle w:val="Textonotapie"/>
        <w:ind w:firstLine="708"/>
        <w:rPr>
          <w:rFonts w:ascii="Verdana" w:hAnsi="Verdana"/>
          <w:sz w:val="16"/>
          <w:szCs w:val="16"/>
        </w:rPr>
      </w:pPr>
    </w:p>
  </w:footnote>
  <w:footnote w:id="7">
    <w:p w14:paraId="3FDA0F21"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B834D4A" w14:textId="77777777" w:rsidR="001A300C" w:rsidRPr="00D55A2A" w:rsidRDefault="001A300C" w:rsidP="00D35ED1">
      <w:pPr>
        <w:pStyle w:val="Textonotapie"/>
        <w:ind w:firstLine="708"/>
        <w:rPr>
          <w:rFonts w:ascii="Verdana" w:hAnsi="Verdana"/>
          <w:sz w:val="16"/>
          <w:szCs w:val="16"/>
          <w:lang w:val="es-ES"/>
        </w:rPr>
      </w:pPr>
    </w:p>
  </w:footnote>
  <w:footnote w:id="8">
    <w:p w14:paraId="6738E3BA"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 xml:space="preserve">Consejo de Estado. Sección Tercera. Subsección C. Sentencia del 2 de diciembre de 2013. </w:t>
      </w:r>
      <w:proofErr w:type="spellStart"/>
      <w:r w:rsidRPr="00D55A2A">
        <w:rPr>
          <w:rFonts w:ascii="Verdana" w:hAnsi="Verdana" w:cs="Arial"/>
          <w:color w:val="000000"/>
          <w:sz w:val="16"/>
          <w:szCs w:val="16"/>
          <w:lang w:val="es-ES"/>
        </w:rPr>
        <w:t>Exp</w:t>
      </w:r>
      <w:proofErr w:type="spellEnd"/>
      <w:r w:rsidRPr="00D55A2A">
        <w:rPr>
          <w:rFonts w:ascii="Verdana" w:hAnsi="Verdana" w:cs="Arial"/>
          <w:color w:val="000000"/>
          <w:sz w:val="16"/>
          <w:szCs w:val="16"/>
          <w:lang w:val="es-ES"/>
        </w:rPr>
        <w:t xml:space="preserve">. 41719. Consejero Ponente: Jaime Orlando </w:t>
      </w:r>
      <w:proofErr w:type="spellStart"/>
      <w:r w:rsidRPr="00D55A2A">
        <w:rPr>
          <w:rFonts w:ascii="Verdana" w:hAnsi="Verdana" w:cs="Arial"/>
          <w:color w:val="000000"/>
          <w:sz w:val="16"/>
          <w:szCs w:val="16"/>
          <w:lang w:val="es-ES"/>
        </w:rPr>
        <w:t>Santofimio</w:t>
      </w:r>
      <w:proofErr w:type="spellEnd"/>
      <w:r w:rsidRPr="00D55A2A">
        <w:rPr>
          <w:rFonts w:ascii="Verdana" w:hAnsi="Verdana" w:cs="Arial"/>
          <w:color w:val="000000"/>
          <w:sz w:val="16"/>
          <w:szCs w:val="16"/>
          <w:lang w:val="es-ES"/>
        </w:rPr>
        <w:t xml:space="preserve"> Gamboa.</w:t>
      </w:r>
    </w:p>
    <w:p w14:paraId="0C853A3A" w14:textId="77777777" w:rsidR="001A300C" w:rsidRPr="00D55A2A" w:rsidRDefault="001A300C" w:rsidP="00D35ED1">
      <w:pPr>
        <w:pStyle w:val="Textonotapie"/>
        <w:ind w:firstLine="708"/>
        <w:rPr>
          <w:rFonts w:ascii="Verdana" w:hAnsi="Verdana"/>
          <w:sz w:val="16"/>
          <w:szCs w:val="16"/>
          <w:lang w:val="es-ES"/>
        </w:rPr>
      </w:pPr>
    </w:p>
  </w:footnote>
  <w:footnote w:id="9">
    <w:p w14:paraId="6E178CDF" w14:textId="77777777" w:rsidR="001A300C" w:rsidRPr="00D55A2A" w:rsidRDefault="001A300C" w:rsidP="00D35ED1">
      <w:pPr>
        <w:pStyle w:val="Textonotapie"/>
        <w:ind w:firstLine="708"/>
        <w:rPr>
          <w:rFonts w:ascii="Verdana" w:hAnsi="Verdana"/>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Ibíd. </w:t>
      </w:r>
    </w:p>
  </w:footnote>
  <w:footnote w:id="10">
    <w:p w14:paraId="188443FF" w14:textId="77777777" w:rsidR="001A300C" w:rsidRPr="00D55A2A" w:rsidRDefault="001A300C" w:rsidP="00D35ED1">
      <w:pPr>
        <w:pStyle w:val="Textonotapie"/>
        <w:ind w:firstLine="708"/>
        <w:rPr>
          <w:rFonts w:ascii="Verdana" w:hAnsi="Verdana"/>
          <w:sz w:val="16"/>
          <w:szCs w:val="16"/>
        </w:rPr>
      </w:pPr>
      <w:r w:rsidRPr="00D55A2A">
        <w:rPr>
          <w:rStyle w:val="Refdenotaalpie"/>
          <w:rFonts w:ascii="Verdana" w:hAnsi="Verdana"/>
          <w:sz w:val="16"/>
          <w:szCs w:val="16"/>
        </w:rPr>
        <w:footnoteRef/>
      </w:r>
      <w:r w:rsidRPr="00D55A2A">
        <w:rPr>
          <w:rFonts w:ascii="Verdana" w:hAnsi="Verdana"/>
          <w:sz w:val="16"/>
          <w:szCs w:val="16"/>
        </w:rPr>
        <w:t xml:space="preserve"> Ibíd. </w:t>
      </w:r>
    </w:p>
    <w:p w14:paraId="25314037" w14:textId="77777777" w:rsidR="001A300C" w:rsidRPr="00D55A2A" w:rsidRDefault="001A300C" w:rsidP="00D35ED1">
      <w:pPr>
        <w:pStyle w:val="Textonotapie"/>
        <w:ind w:firstLine="708"/>
        <w:rPr>
          <w:rFonts w:ascii="Verdana" w:hAnsi="Verdana"/>
          <w:sz w:val="16"/>
          <w:szCs w:val="16"/>
          <w:lang w:val="es-ES"/>
        </w:rPr>
      </w:pPr>
    </w:p>
  </w:footnote>
  <w:footnote w:id="11">
    <w:p w14:paraId="6D7948C2"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 xml:space="preserve">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w:t>
      </w:r>
      <w:proofErr w:type="spellStart"/>
      <w:r w:rsidRPr="00D55A2A">
        <w:rPr>
          <w:rFonts w:ascii="Verdana" w:hAnsi="Verdana" w:cs="Arial"/>
          <w:color w:val="000000"/>
          <w:sz w:val="16"/>
          <w:szCs w:val="16"/>
          <w:lang w:val="es-ES"/>
        </w:rPr>
        <w:t>prefactibilidad</w:t>
      </w:r>
      <w:proofErr w:type="spellEnd"/>
      <w:r w:rsidRPr="00D55A2A">
        <w:rPr>
          <w:rFonts w:ascii="Verdana" w:hAnsi="Verdana" w:cs="Arial"/>
          <w:color w:val="000000"/>
          <w:sz w:val="16"/>
          <w:szCs w:val="16"/>
          <w:lang w:val="es-ES"/>
        </w:rPr>
        <w:t xml:space="preserve"> o factibilidad para programas o proyectos específicos, así como a las asesorías técnicas de coordinación, control y supervisión.</w:t>
      </w:r>
    </w:p>
    <w:p w14:paraId="60E91EF4"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6A5566CE"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6955E9D0" w14:textId="77777777" w:rsidR="001A300C" w:rsidRPr="00D55A2A" w:rsidRDefault="001A300C" w:rsidP="00D35ED1">
      <w:pPr>
        <w:pStyle w:val="Textonotapie"/>
        <w:ind w:firstLine="708"/>
        <w:rPr>
          <w:rFonts w:ascii="Verdana" w:hAnsi="Verdana"/>
          <w:sz w:val="16"/>
          <w:szCs w:val="16"/>
          <w:lang w:val="es-ES"/>
        </w:rPr>
      </w:pPr>
    </w:p>
  </w:footnote>
  <w:footnote w:id="12">
    <w:p w14:paraId="1FF7CFDE"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00EE426E"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1. La causal que invoca para contratar directamente.</w:t>
      </w:r>
    </w:p>
    <w:p w14:paraId="4F773413"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2. El objeto del contrato.</w:t>
      </w:r>
    </w:p>
    <w:p w14:paraId="2B15ACFF"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3. El presupuesto para la contratación y las condiciones que exigirá al contratista.</w:t>
      </w:r>
    </w:p>
    <w:p w14:paraId="799A8DBF"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4. El lugar en el cual los interesados pueden consultar los estudios y documentos previos.</w:t>
      </w:r>
    </w:p>
    <w:p w14:paraId="393CD3CB"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6D95F2E0" w14:textId="77777777" w:rsidR="001A300C" w:rsidRPr="00D55A2A" w:rsidRDefault="001A300C" w:rsidP="00D35ED1">
      <w:pPr>
        <w:pStyle w:val="Textonotapie"/>
        <w:ind w:firstLine="708"/>
        <w:rPr>
          <w:rFonts w:ascii="Verdana" w:hAnsi="Verdana"/>
          <w:sz w:val="16"/>
          <w:szCs w:val="16"/>
          <w:lang w:val="es-ES"/>
        </w:rPr>
      </w:pPr>
    </w:p>
  </w:footnote>
  <w:footnote w:id="13">
    <w:p w14:paraId="2C937D4D"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Esta norma expresa: “</w:t>
      </w:r>
      <w:r w:rsidRPr="00D55A2A">
        <w:rPr>
          <w:rFonts w:ascii="Verdana" w:hAnsi="Verdana" w:cs="Arial"/>
          <w:color w:val="000000"/>
          <w:sz w:val="16"/>
          <w:szCs w:val="16"/>
        </w:rPr>
        <w:t>P</w:t>
      </w:r>
      <w:r w:rsidRPr="00D55A2A">
        <w:rPr>
          <w:rFonts w:ascii="Verdana" w:hAnsi="Verdana" w:cs="Arial"/>
          <w:color w:val="000000"/>
          <w:sz w:val="16"/>
          <w:szCs w:val="16"/>
          <w:lang w:val="es-ES"/>
        </w:rPr>
        <w:t>ara el cumplimiento de los fines de la contratación, las entidades estatales al celebrar un contrato:</w:t>
      </w:r>
    </w:p>
    <w:p w14:paraId="313ACB9D"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w:t>
      </w:r>
    </w:p>
    <w:p w14:paraId="37A21B4E"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60FE4DEF"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Las entidades estatales podrán pactar estas cláusulas en los contratos de suministro y de prestación de servicios.</w:t>
      </w:r>
    </w:p>
    <w:p w14:paraId="1700B86C"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w:t>
      </w:r>
    </w:p>
    <w:p w14:paraId="11AFBE9C" w14:textId="77777777" w:rsidR="001A300C" w:rsidRPr="00D55A2A" w:rsidRDefault="001A300C" w:rsidP="00D35ED1">
      <w:pPr>
        <w:pStyle w:val="Textonotapie"/>
        <w:ind w:firstLine="708"/>
        <w:rPr>
          <w:rFonts w:ascii="Verdana" w:hAnsi="Verdana"/>
          <w:sz w:val="16"/>
          <w:szCs w:val="16"/>
        </w:rPr>
      </w:pPr>
    </w:p>
  </w:footnote>
  <w:footnote w:id="14">
    <w:p w14:paraId="1E302311" w14:textId="77777777" w:rsidR="001A300C" w:rsidRPr="00D55A2A" w:rsidRDefault="001A300C" w:rsidP="00D35ED1">
      <w:pPr>
        <w:pStyle w:val="Textonotapie"/>
        <w:ind w:firstLine="708"/>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37BE0616" w14:textId="77777777" w:rsidR="001A300C" w:rsidRPr="00D55A2A" w:rsidRDefault="001A300C" w:rsidP="00D35ED1">
      <w:pPr>
        <w:pStyle w:val="Textonotapie"/>
        <w:ind w:firstLine="708"/>
        <w:rPr>
          <w:rFonts w:ascii="Verdana" w:hAnsi="Verdana"/>
          <w:sz w:val="16"/>
          <w:szCs w:val="16"/>
        </w:rPr>
      </w:pPr>
    </w:p>
  </w:footnote>
  <w:footnote w:id="15">
    <w:p w14:paraId="0FFC5BB4" w14:textId="77777777" w:rsidR="001A300C" w:rsidRPr="00D55A2A" w:rsidRDefault="001A300C" w:rsidP="00D35ED1">
      <w:pPr>
        <w:pStyle w:val="Textonotapie"/>
        <w:ind w:firstLine="709"/>
        <w:jc w:val="both"/>
        <w:rPr>
          <w:rFonts w:ascii="Verdana" w:hAnsi="Verdana" w:cs="Arial"/>
          <w:color w:val="000000"/>
          <w:sz w:val="16"/>
          <w:szCs w:val="16"/>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F56B678" w14:textId="77777777" w:rsidR="001A300C" w:rsidRPr="00D55A2A" w:rsidRDefault="001A300C" w:rsidP="00D35ED1">
      <w:pPr>
        <w:pStyle w:val="Textonotapie"/>
        <w:ind w:firstLine="709"/>
        <w:jc w:val="both"/>
        <w:rPr>
          <w:rFonts w:ascii="Verdana" w:hAnsi="Verdana" w:cs="Arial"/>
          <w:color w:val="000000"/>
          <w:sz w:val="16"/>
          <w:szCs w:val="16"/>
        </w:rPr>
      </w:pPr>
      <w:r w:rsidRPr="00D55A2A">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CA30EA2" w14:textId="77777777" w:rsidR="001A300C" w:rsidRPr="00D55A2A" w:rsidRDefault="001A300C" w:rsidP="00D35ED1">
      <w:pPr>
        <w:pStyle w:val="Textonotapie"/>
        <w:ind w:firstLine="709"/>
        <w:jc w:val="both"/>
        <w:rPr>
          <w:rFonts w:ascii="Verdana" w:hAnsi="Verdana" w:cs="Arial"/>
          <w:color w:val="000000"/>
          <w:sz w:val="16"/>
          <w:szCs w:val="16"/>
        </w:rPr>
      </w:pPr>
      <w:r w:rsidRPr="00D55A2A">
        <w:rPr>
          <w:rFonts w:ascii="Verdana" w:hAnsi="Verdana" w:cs="Arial"/>
          <w:color w:val="000000"/>
          <w:sz w:val="16"/>
          <w:szCs w:val="16"/>
        </w:rPr>
        <w:t>[…]”.</w:t>
      </w:r>
    </w:p>
    <w:p w14:paraId="36752C0D" w14:textId="77777777" w:rsidR="001A300C" w:rsidRPr="00D55A2A" w:rsidRDefault="001A300C" w:rsidP="00D35ED1">
      <w:pPr>
        <w:pStyle w:val="Textonotapie"/>
        <w:ind w:firstLine="708"/>
        <w:rPr>
          <w:rFonts w:ascii="Verdana" w:hAnsi="Verdana"/>
          <w:sz w:val="16"/>
          <w:szCs w:val="16"/>
        </w:rPr>
      </w:pPr>
    </w:p>
  </w:footnote>
  <w:footnote w:id="16">
    <w:p w14:paraId="4827C856" w14:textId="77777777" w:rsidR="001A300C" w:rsidRPr="00D55A2A" w:rsidRDefault="001A300C" w:rsidP="00D35ED1">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393D6E60" w14:textId="77777777" w:rsidR="001A300C" w:rsidRPr="00D55A2A" w:rsidRDefault="001A300C" w:rsidP="00D35ED1">
      <w:pPr>
        <w:pStyle w:val="Textonotapie"/>
        <w:ind w:firstLine="708"/>
        <w:rPr>
          <w:rFonts w:ascii="Verdana" w:hAnsi="Verdana"/>
          <w:sz w:val="16"/>
          <w:szCs w:val="16"/>
          <w:lang w:val="es-ES"/>
        </w:rPr>
      </w:pPr>
    </w:p>
  </w:footnote>
  <w:footnote w:id="17">
    <w:p w14:paraId="04C01845" w14:textId="77777777" w:rsidR="001A300C" w:rsidRPr="00D55A2A" w:rsidRDefault="001A300C" w:rsidP="00D35ED1">
      <w:pPr>
        <w:pStyle w:val="Textonotapie"/>
        <w:ind w:firstLine="708"/>
        <w:jc w:val="both"/>
        <w:rPr>
          <w:rFonts w:ascii="Verdana" w:hAnsi="Verdana"/>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 xml:space="preserve">Así lo ha reconocido la doctrina: “Por otra parte, la reglamentación de la prestación de servicios comprende una paleta normativa que busca limitar la tergiversación de este tipo de contratos en beneficio de las </w:t>
      </w:r>
      <w:r w:rsidRPr="00D55A2A">
        <w:rPr>
          <w:rFonts w:ascii="Verdana" w:hAnsi="Verdana" w:cs="Arial"/>
          <w:i/>
          <w:color w:val="000000"/>
          <w:sz w:val="16"/>
          <w:szCs w:val="16"/>
          <w:lang w:val="es-ES"/>
        </w:rPr>
        <w:t>nóminas paralelas</w:t>
      </w:r>
      <w:r w:rsidRPr="00D55A2A">
        <w:rPr>
          <w:rFonts w:ascii="Verdana" w:hAnsi="Verdana" w:cs="Arial"/>
          <w:color w:val="000000"/>
          <w:sz w:val="16"/>
          <w:szCs w:val="16"/>
          <w:lang w:val="es-ES"/>
        </w:rPr>
        <w:t>, como práctica de substitución de los empleos públicos por prestadores de servicios, y las sanciones disciplinarias por entregar a contratistas el ejercicio permanente de funciones administrativas, que implican ejercicio de prerrogativas de poder público, complementadas en la responsabilidad fiscal y personal de los funcionarios” (BENAVIDES, José Luis. Contrato de prestación de servicios. Difícil delimitación frente al contrato realidad. En: Contratos público. Estudios. Bogotá: Universidad Externado de Colombia, 2014. pp. 311-312).</w:t>
      </w:r>
    </w:p>
  </w:footnote>
  <w:footnote w:id="18">
    <w:p w14:paraId="586FB5CE" w14:textId="77777777" w:rsidR="001A300C" w:rsidRPr="00D55A2A" w:rsidRDefault="001A300C" w:rsidP="00D35ED1">
      <w:pPr>
        <w:pStyle w:val="Textonotapie"/>
        <w:ind w:firstLine="708"/>
        <w:rPr>
          <w:sz w:val="16"/>
          <w:szCs w:val="16"/>
          <w:lang w:val="es-ES"/>
        </w:rPr>
      </w:pPr>
      <w:r w:rsidRPr="00D55A2A">
        <w:rPr>
          <w:rStyle w:val="Refdenotaalpie"/>
          <w:rFonts w:ascii="Verdana" w:hAnsi="Verdana"/>
          <w:sz w:val="16"/>
          <w:szCs w:val="16"/>
        </w:rPr>
        <w:footnoteRef/>
      </w:r>
      <w:r w:rsidRPr="00D55A2A">
        <w:rPr>
          <w:rFonts w:ascii="Verdana" w:hAnsi="Verdana"/>
          <w:sz w:val="16"/>
          <w:szCs w:val="16"/>
          <w:lang w:val="es-ES"/>
        </w:rPr>
        <w:t xml:space="preserve"> Auditoría General de la República. Concepto </w:t>
      </w:r>
      <w:r w:rsidRPr="00D55A2A">
        <w:rPr>
          <w:rFonts w:ascii="Verdana" w:eastAsia="Calibri" w:hAnsi="Verdana" w:cs="Arial"/>
          <w:color w:val="000000"/>
          <w:sz w:val="16"/>
          <w:szCs w:val="16"/>
          <w:lang w:val="es-CO"/>
        </w:rPr>
        <w:t xml:space="preserve">110.011.2025 del 11 de marzo de 2025. </w:t>
      </w:r>
    </w:p>
  </w:footnote>
  <w:footnote w:id="19">
    <w:p w14:paraId="509E7627" w14:textId="77777777" w:rsidR="001A300C" w:rsidRPr="00D55A2A" w:rsidRDefault="001A300C" w:rsidP="00D35ED1">
      <w:pPr>
        <w:pStyle w:val="Textonotapie"/>
        <w:ind w:firstLine="708"/>
        <w:jc w:val="both"/>
        <w:rPr>
          <w:rFonts w:ascii="Verdana" w:hAnsi="Verdana"/>
          <w:sz w:val="16"/>
          <w:szCs w:val="16"/>
          <w:lang w:val="es-CO"/>
        </w:rPr>
      </w:pPr>
      <w:r w:rsidRPr="00D55A2A">
        <w:rPr>
          <w:rStyle w:val="Refdenotaalpie"/>
          <w:rFonts w:ascii="Verdana" w:hAnsi="Verdana"/>
          <w:sz w:val="16"/>
          <w:szCs w:val="16"/>
        </w:rPr>
        <w:footnoteRef/>
      </w:r>
      <w:r w:rsidRPr="00D55A2A">
        <w:rPr>
          <w:rFonts w:ascii="Verdana" w:hAnsi="Verdana"/>
          <w:sz w:val="16"/>
          <w:szCs w:val="16"/>
          <w:lang w:val="es-CO"/>
        </w:rPr>
        <w:t xml:space="preserve"> “Artículo 35. Los gastos incluidos en el presupuesto para la vigencia fiscal 2025 se definen de la siguiente forma: […]</w:t>
      </w:r>
    </w:p>
    <w:p w14:paraId="6A279998" w14:textId="77777777" w:rsidR="001A300C" w:rsidRPr="00D55A2A" w:rsidRDefault="001A300C" w:rsidP="00D35ED1">
      <w:pPr>
        <w:pStyle w:val="Textonotapie"/>
        <w:ind w:firstLine="708"/>
        <w:jc w:val="both"/>
        <w:rPr>
          <w:rFonts w:ascii="Verdana" w:hAnsi="Verdana"/>
          <w:sz w:val="16"/>
          <w:szCs w:val="16"/>
          <w:lang w:val="es-CO"/>
        </w:rPr>
      </w:pPr>
      <w:r w:rsidRPr="00D55A2A">
        <w:rPr>
          <w:rFonts w:ascii="Verdana" w:hAnsi="Verdana"/>
          <w:sz w:val="16"/>
          <w:szCs w:val="16"/>
          <w:lang w:val="es-CO"/>
        </w:rPr>
        <w:t xml:space="preserve">02. ADQUISICIÓN DE BIENES Y SERVICIOS. </w:t>
      </w:r>
    </w:p>
    <w:p w14:paraId="0C3C5DD9" w14:textId="77777777" w:rsidR="001A300C" w:rsidRPr="00D55A2A" w:rsidRDefault="001A300C" w:rsidP="00D35ED1">
      <w:pPr>
        <w:pStyle w:val="Textonotapie"/>
        <w:ind w:firstLine="708"/>
        <w:jc w:val="both"/>
        <w:rPr>
          <w:rFonts w:ascii="Verdana" w:hAnsi="Verdana"/>
          <w:sz w:val="16"/>
          <w:szCs w:val="16"/>
          <w:lang w:val="es-CO"/>
        </w:rPr>
      </w:pPr>
      <w:r w:rsidRPr="00D55A2A">
        <w:rPr>
          <w:rFonts w:ascii="Verdana" w:hAnsi="Verdana"/>
          <w:sz w:val="16"/>
          <w:szCs w:val="16"/>
          <w:lang w:val="es-CO"/>
        </w:rPr>
        <w:t>Son los gastos asociados a la compra de bienes y a la contratación de servicios, suministrados por personas naturales o jurídicas, que son necesarios para el cumplimiento de las funciones asignadas por la Constitución Política y la ley al órgano del PGN.</w:t>
      </w:r>
    </w:p>
    <w:p w14:paraId="02E90A74" w14:textId="77777777" w:rsidR="001A300C" w:rsidRPr="00D55A2A" w:rsidRDefault="001A300C" w:rsidP="00D35ED1">
      <w:pPr>
        <w:pStyle w:val="Textonotapie"/>
        <w:ind w:firstLine="708"/>
        <w:jc w:val="both"/>
        <w:rPr>
          <w:rFonts w:ascii="Verdana" w:hAnsi="Verdana"/>
          <w:sz w:val="16"/>
          <w:szCs w:val="16"/>
          <w:lang w:val="es-CO"/>
        </w:rPr>
      </w:pPr>
      <w:r w:rsidRPr="00D55A2A">
        <w:rPr>
          <w:rFonts w:ascii="Verdana" w:hAnsi="Verdana"/>
          <w:sz w:val="16"/>
          <w:szCs w:val="16"/>
          <w:lang w:val="es-CO"/>
        </w:rPr>
        <w:t xml:space="preserve">La remuneración para la contratación de servicios, suministrados por personas naturales o jurídicas, no podrá pactarse por valor mensual superior a la remuneración total mensual establecida para el jefe de la entidad. </w:t>
      </w:r>
    </w:p>
    <w:p w14:paraId="4142B598" w14:textId="77777777" w:rsidR="001A300C" w:rsidRPr="00D55A2A" w:rsidRDefault="001A300C" w:rsidP="00D35ED1">
      <w:pPr>
        <w:pStyle w:val="Textonotapie"/>
        <w:ind w:firstLine="708"/>
        <w:jc w:val="both"/>
        <w:rPr>
          <w:rFonts w:ascii="Verdana" w:hAnsi="Verdana"/>
          <w:sz w:val="16"/>
          <w:szCs w:val="16"/>
          <w:lang w:val="es-CO"/>
        </w:rPr>
      </w:pPr>
      <w:r w:rsidRPr="00D55A2A">
        <w:rPr>
          <w:rFonts w:ascii="Verdana" w:hAnsi="Verdana"/>
          <w:sz w:val="16"/>
          <w:szCs w:val="16"/>
          <w:lang w:val="es-CO"/>
        </w:rPr>
        <w:t xml:space="preserve">Se entiende por remuneración total mensual del jefe de la entidad, la que corresponda a este en cada uno de dichos períodos, sin que en ningún caso puedan tenerse en consideración los factores prestacionales. </w:t>
      </w:r>
    </w:p>
    <w:p w14:paraId="373D5D91" w14:textId="77777777" w:rsidR="001A300C" w:rsidRPr="00D55A2A" w:rsidRDefault="001A300C" w:rsidP="00D35ED1">
      <w:pPr>
        <w:pStyle w:val="Textonotapie"/>
        <w:ind w:firstLine="708"/>
        <w:jc w:val="both"/>
        <w:rPr>
          <w:rFonts w:ascii="Verdana" w:hAnsi="Verdana"/>
          <w:sz w:val="16"/>
          <w:szCs w:val="16"/>
          <w:lang w:val="es-CO"/>
        </w:rPr>
      </w:pPr>
      <w:r w:rsidRPr="00D55A2A">
        <w:rPr>
          <w:rFonts w:ascii="Verdana" w:hAnsi="Verdana"/>
          <w:sz w:val="16"/>
          <w:szCs w:val="16"/>
          <w:lang w:val="es-CO"/>
        </w:rPr>
        <w:t>De manera excepcional, para aquellos eventos en los que se requiera contratar servicios altamente calificados, entendidos éstos como los de alto / nivel de especialidad, complejidad y detalle, podrán pactarse honorarios superiores a la remuneración total mensual establecida para el jefe de la entidad, los cuales no podrán exceder del valor total mensual de remuneración del jefe de la entidad incluidos los factores prestacionales y las contribuciones inherentes a la nómina, relacionadas con seguridad social y parafiscales a cargo del empleador. En estos eventos el Representante Legal de la entidad deberá certificar el cumplimiento de los siguientes aspectos: 1. Justificar la necesidad del servicio personal altamente calificado. 2. Indicar las características y calidades específicas, altamente calificadas, que reúne el contratista para la ejecución del contrato, y 3. Determinar las características de los productos y/o servicios que se espera obtener”.</w:t>
      </w:r>
    </w:p>
    <w:p w14:paraId="483B49E2" w14:textId="77777777" w:rsidR="001A300C" w:rsidRPr="004D4825" w:rsidRDefault="001A300C" w:rsidP="00D35ED1">
      <w:pPr>
        <w:pStyle w:val="Textonotapie"/>
        <w:ind w:firstLine="708"/>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1A300C" w:rsidRDefault="001A300C">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1A300C" w:rsidRDefault="001A300C">
    <w:pPr>
      <w:pStyle w:val="Encabezado"/>
    </w:pPr>
  </w:p>
  <w:p w14:paraId="3079FC11" w14:textId="77777777" w:rsidR="001A300C" w:rsidRDefault="001A300C" w:rsidP="004A305D">
    <w:pPr>
      <w:spacing w:after="0"/>
      <w:rPr>
        <w:rFonts w:ascii="Verdana" w:hAnsi="Verdana"/>
        <w:b/>
        <w:bCs/>
      </w:rPr>
    </w:pPr>
  </w:p>
  <w:p w14:paraId="5E18350A" w14:textId="705F7B76" w:rsidR="001A300C" w:rsidRPr="004A305D" w:rsidRDefault="001A300C" w:rsidP="00B01B1A">
    <w:pPr>
      <w:spacing w:after="0" w:line="120" w:lineRule="auto"/>
      <w:rPr>
        <w:rFonts w:ascii="Century Gothic" w:eastAsia="Geo" w:hAnsi="Century Gothic" w:cs="Geo"/>
        <w:sz w:val="16"/>
        <w:szCs w:val="16"/>
        <w:lang w:eastAsia="es-CO"/>
      </w:rPr>
    </w:pPr>
  </w:p>
  <w:p w14:paraId="1FD1C243" w14:textId="6D74A3CF" w:rsidR="001A300C" w:rsidRDefault="001A300C"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1.1pt;height:11.1pt" o:bullet="t">
        <v:imagedata r:id="rId1" o:title="mso1B13"/>
      </v:shape>
    </w:pict>
  </w:numPicBullet>
  <w:abstractNum w:abstractNumId="0" w15:restartNumberingAfterBreak="0">
    <w:nsid w:val="F0ECC198"/>
    <w:multiLevelType w:val="hybridMultilevel"/>
    <w:tmpl w:val="DD08AC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436BA5"/>
    <w:multiLevelType w:val="hybridMultilevel"/>
    <w:tmpl w:val="A082FB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2A91091"/>
    <w:multiLevelType w:val="hybridMultilevel"/>
    <w:tmpl w:val="9D788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11"/>
  </w:num>
  <w:num w:numId="2">
    <w:abstractNumId w:val="3"/>
  </w:num>
  <w:num w:numId="3">
    <w:abstractNumId w:val="8"/>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0"/>
  </w:num>
  <w:num w:numId="7">
    <w:abstractNumId w:val="10"/>
  </w:num>
  <w:num w:numId="8">
    <w:abstractNumId w:val="19"/>
  </w:num>
  <w:num w:numId="9">
    <w:abstractNumId w:val="12"/>
  </w:num>
  <w:num w:numId="10">
    <w:abstractNumId w:val="18"/>
  </w:num>
  <w:num w:numId="11">
    <w:abstractNumId w:val="13"/>
  </w:num>
  <w:num w:numId="12">
    <w:abstractNumId w:val="2"/>
  </w:num>
  <w:num w:numId="13">
    <w:abstractNumId w:val="5"/>
  </w:num>
  <w:num w:numId="14">
    <w:abstractNumId w:val="21"/>
  </w:num>
  <w:num w:numId="15">
    <w:abstractNumId w:val="17"/>
  </w:num>
  <w:num w:numId="1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6"/>
  </w:num>
  <w:num w:numId="19">
    <w:abstractNumId w:val="7"/>
  </w:num>
  <w:num w:numId="20">
    <w:abstractNumId w:val="14"/>
  </w:num>
  <w:num w:numId="21">
    <w:abstractNumId w:val="22"/>
  </w:num>
  <w:num w:numId="22">
    <w:abstractNumId w:val="9"/>
  </w:num>
  <w:num w:numId="23">
    <w:abstractNumId w:val="6"/>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9A2"/>
    <w:rsid w:val="000062F3"/>
    <w:rsid w:val="0000797D"/>
    <w:rsid w:val="0001328B"/>
    <w:rsid w:val="000224F2"/>
    <w:rsid w:val="00023C3E"/>
    <w:rsid w:val="0002653B"/>
    <w:rsid w:val="00036DF4"/>
    <w:rsid w:val="0004434A"/>
    <w:rsid w:val="0005281E"/>
    <w:rsid w:val="0005682C"/>
    <w:rsid w:val="00056D71"/>
    <w:rsid w:val="00061B2A"/>
    <w:rsid w:val="00062BAF"/>
    <w:rsid w:val="000630B9"/>
    <w:rsid w:val="000643B2"/>
    <w:rsid w:val="00065E80"/>
    <w:rsid w:val="0007022C"/>
    <w:rsid w:val="00071DE6"/>
    <w:rsid w:val="00073C9B"/>
    <w:rsid w:val="000754B0"/>
    <w:rsid w:val="00077439"/>
    <w:rsid w:val="000774B8"/>
    <w:rsid w:val="00082362"/>
    <w:rsid w:val="0008328D"/>
    <w:rsid w:val="0009387A"/>
    <w:rsid w:val="0009387B"/>
    <w:rsid w:val="000963C6"/>
    <w:rsid w:val="0009762F"/>
    <w:rsid w:val="000A31B9"/>
    <w:rsid w:val="000A3330"/>
    <w:rsid w:val="000A3D63"/>
    <w:rsid w:val="000A4338"/>
    <w:rsid w:val="000A683A"/>
    <w:rsid w:val="000A683E"/>
    <w:rsid w:val="000B19B9"/>
    <w:rsid w:val="000C2889"/>
    <w:rsid w:val="000C2CD7"/>
    <w:rsid w:val="000D0152"/>
    <w:rsid w:val="000D0334"/>
    <w:rsid w:val="000D3B29"/>
    <w:rsid w:val="000D71A6"/>
    <w:rsid w:val="000E06F4"/>
    <w:rsid w:val="000E4CE4"/>
    <w:rsid w:val="000E7EB0"/>
    <w:rsid w:val="000F26F4"/>
    <w:rsid w:val="000F6486"/>
    <w:rsid w:val="000F669F"/>
    <w:rsid w:val="00102D24"/>
    <w:rsid w:val="001063B3"/>
    <w:rsid w:val="00107ACA"/>
    <w:rsid w:val="001114A9"/>
    <w:rsid w:val="00111979"/>
    <w:rsid w:val="00116537"/>
    <w:rsid w:val="00120766"/>
    <w:rsid w:val="001240BD"/>
    <w:rsid w:val="00125105"/>
    <w:rsid w:val="00125386"/>
    <w:rsid w:val="00127233"/>
    <w:rsid w:val="001372FC"/>
    <w:rsid w:val="00143E81"/>
    <w:rsid w:val="00143FD9"/>
    <w:rsid w:val="00145047"/>
    <w:rsid w:val="00146C57"/>
    <w:rsid w:val="001473C3"/>
    <w:rsid w:val="00147AF0"/>
    <w:rsid w:val="001533CE"/>
    <w:rsid w:val="00161988"/>
    <w:rsid w:val="0016332F"/>
    <w:rsid w:val="001717E9"/>
    <w:rsid w:val="0017238A"/>
    <w:rsid w:val="0017389D"/>
    <w:rsid w:val="00180A30"/>
    <w:rsid w:val="00185EE9"/>
    <w:rsid w:val="00187F79"/>
    <w:rsid w:val="00197274"/>
    <w:rsid w:val="001A237A"/>
    <w:rsid w:val="001A26CF"/>
    <w:rsid w:val="001A2919"/>
    <w:rsid w:val="001A300C"/>
    <w:rsid w:val="001B2CFE"/>
    <w:rsid w:val="001C222E"/>
    <w:rsid w:val="001C22F9"/>
    <w:rsid w:val="001C5732"/>
    <w:rsid w:val="001D1C29"/>
    <w:rsid w:val="001E00DF"/>
    <w:rsid w:val="001E3C06"/>
    <w:rsid w:val="001E4177"/>
    <w:rsid w:val="001F4EFD"/>
    <w:rsid w:val="001F5E13"/>
    <w:rsid w:val="001F6D11"/>
    <w:rsid w:val="001F7D81"/>
    <w:rsid w:val="001F7DC6"/>
    <w:rsid w:val="00202886"/>
    <w:rsid w:val="00215CEF"/>
    <w:rsid w:val="00217A08"/>
    <w:rsid w:val="00220B77"/>
    <w:rsid w:val="00221D27"/>
    <w:rsid w:val="002277C0"/>
    <w:rsid w:val="0023233B"/>
    <w:rsid w:val="00237233"/>
    <w:rsid w:val="002421BB"/>
    <w:rsid w:val="00244398"/>
    <w:rsid w:val="00246A81"/>
    <w:rsid w:val="00251A5F"/>
    <w:rsid w:val="0025796E"/>
    <w:rsid w:val="002603E5"/>
    <w:rsid w:val="002638B2"/>
    <w:rsid w:val="002660F2"/>
    <w:rsid w:val="002664BB"/>
    <w:rsid w:val="002707A2"/>
    <w:rsid w:val="002835A6"/>
    <w:rsid w:val="002844ED"/>
    <w:rsid w:val="002951A0"/>
    <w:rsid w:val="002962BC"/>
    <w:rsid w:val="002A093D"/>
    <w:rsid w:val="002A0DD0"/>
    <w:rsid w:val="002A49AC"/>
    <w:rsid w:val="002A64FD"/>
    <w:rsid w:val="002A6BBF"/>
    <w:rsid w:val="002B1E57"/>
    <w:rsid w:val="002B1F7F"/>
    <w:rsid w:val="002B290B"/>
    <w:rsid w:val="002C110E"/>
    <w:rsid w:val="002C379A"/>
    <w:rsid w:val="002C542F"/>
    <w:rsid w:val="002C6D87"/>
    <w:rsid w:val="002C765E"/>
    <w:rsid w:val="002C7A84"/>
    <w:rsid w:val="002D13A1"/>
    <w:rsid w:val="002D3F0D"/>
    <w:rsid w:val="002E1D98"/>
    <w:rsid w:val="002E2C3F"/>
    <w:rsid w:val="002E4FD9"/>
    <w:rsid w:val="002E6F15"/>
    <w:rsid w:val="002F13FD"/>
    <w:rsid w:val="002F50A7"/>
    <w:rsid w:val="00302344"/>
    <w:rsid w:val="00303544"/>
    <w:rsid w:val="003039C1"/>
    <w:rsid w:val="00310DBE"/>
    <w:rsid w:val="0031430F"/>
    <w:rsid w:val="00320BBD"/>
    <w:rsid w:val="00322A85"/>
    <w:rsid w:val="00324168"/>
    <w:rsid w:val="0033032A"/>
    <w:rsid w:val="00331E9C"/>
    <w:rsid w:val="00334C6A"/>
    <w:rsid w:val="00336C05"/>
    <w:rsid w:val="00342512"/>
    <w:rsid w:val="00342675"/>
    <w:rsid w:val="00343512"/>
    <w:rsid w:val="003448F4"/>
    <w:rsid w:val="00345330"/>
    <w:rsid w:val="003528DF"/>
    <w:rsid w:val="00352C12"/>
    <w:rsid w:val="00354BCA"/>
    <w:rsid w:val="003630B7"/>
    <w:rsid w:val="003656B4"/>
    <w:rsid w:val="0036594E"/>
    <w:rsid w:val="003665EE"/>
    <w:rsid w:val="0037010E"/>
    <w:rsid w:val="003734F4"/>
    <w:rsid w:val="00374F5E"/>
    <w:rsid w:val="00377E3E"/>
    <w:rsid w:val="003815B3"/>
    <w:rsid w:val="003815E8"/>
    <w:rsid w:val="00392A49"/>
    <w:rsid w:val="003A26D1"/>
    <w:rsid w:val="003A3B30"/>
    <w:rsid w:val="003A779E"/>
    <w:rsid w:val="003B005A"/>
    <w:rsid w:val="003C3FA5"/>
    <w:rsid w:val="003D0344"/>
    <w:rsid w:val="003D064B"/>
    <w:rsid w:val="003D0F4D"/>
    <w:rsid w:val="003D5B0D"/>
    <w:rsid w:val="003E0499"/>
    <w:rsid w:val="003E40F2"/>
    <w:rsid w:val="003F1CE4"/>
    <w:rsid w:val="003F3941"/>
    <w:rsid w:val="00400676"/>
    <w:rsid w:val="004008A9"/>
    <w:rsid w:val="00406575"/>
    <w:rsid w:val="004069AB"/>
    <w:rsid w:val="00410906"/>
    <w:rsid w:val="00413B0A"/>
    <w:rsid w:val="0041655A"/>
    <w:rsid w:val="004229C2"/>
    <w:rsid w:val="00426FD7"/>
    <w:rsid w:val="0042722E"/>
    <w:rsid w:val="00427DA0"/>
    <w:rsid w:val="00440391"/>
    <w:rsid w:val="00442C7F"/>
    <w:rsid w:val="0044528D"/>
    <w:rsid w:val="00450920"/>
    <w:rsid w:val="00454D48"/>
    <w:rsid w:val="004554F9"/>
    <w:rsid w:val="0046004D"/>
    <w:rsid w:val="004633DE"/>
    <w:rsid w:val="00465E71"/>
    <w:rsid w:val="004734BD"/>
    <w:rsid w:val="00482608"/>
    <w:rsid w:val="00483749"/>
    <w:rsid w:val="00484809"/>
    <w:rsid w:val="00484BB1"/>
    <w:rsid w:val="004A0980"/>
    <w:rsid w:val="004A0B8B"/>
    <w:rsid w:val="004A1847"/>
    <w:rsid w:val="004A305D"/>
    <w:rsid w:val="004A3312"/>
    <w:rsid w:val="004A4BC3"/>
    <w:rsid w:val="004B740F"/>
    <w:rsid w:val="004C4B37"/>
    <w:rsid w:val="004D026D"/>
    <w:rsid w:val="004D4253"/>
    <w:rsid w:val="004D4825"/>
    <w:rsid w:val="004E221E"/>
    <w:rsid w:val="004E2892"/>
    <w:rsid w:val="004E4C0B"/>
    <w:rsid w:val="004E505B"/>
    <w:rsid w:val="004F21C4"/>
    <w:rsid w:val="004F3012"/>
    <w:rsid w:val="004F5559"/>
    <w:rsid w:val="004F685F"/>
    <w:rsid w:val="004F7EC9"/>
    <w:rsid w:val="005034BF"/>
    <w:rsid w:val="00504CBE"/>
    <w:rsid w:val="00514598"/>
    <w:rsid w:val="005163B5"/>
    <w:rsid w:val="00522EF1"/>
    <w:rsid w:val="0052543A"/>
    <w:rsid w:val="0052785C"/>
    <w:rsid w:val="00533E1B"/>
    <w:rsid w:val="00540C2D"/>
    <w:rsid w:val="00552502"/>
    <w:rsid w:val="005566E8"/>
    <w:rsid w:val="00560CB5"/>
    <w:rsid w:val="00564D68"/>
    <w:rsid w:val="00564F8B"/>
    <w:rsid w:val="00574122"/>
    <w:rsid w:val="00574867"/>
    <w:rsid w:val="00574A9B"/>
    <w:rsid w:val="00577D09"/>
    <w:rsid w:val="0058087F"/>
    <w:rsid w:val="00585309"/>
    <w:rsid w:val="00591460"/>
    <w:rsid w:val="00592628"/>
    <w:rsid w:val="00597C75"/>
    <w:rsid w:val="005A06AE"/>
    <w:rsid w:val="005A0868"/>
    <w:rsid w:val="005A0CFB"/>
    <w:rsid w:val="005A282F"/>
    <w:rsid w:val="005A2AC9"/>
    <w:rsid w:val="005B2CCE"/>
    <w:rsid w:val="005B58C1"/>
    <w:rsid w:val="005B6033"/>
    <w:rsid w:val="005C162D"/>
    <w:rsid w:val="005C3777"/>
    <w:rsid w:val="005C5AEE"/>
    <w:rsid w:val="005C5CDC"/>
    <w:rsid w:val="005D17C8"/>
    <w:rsid w:val="005D2B2B"/>
    <w:rsid w:val="005D476C"/>
    <w:rsid w:val="005D5F91"/>
    <w:rsid w:val="005D7B25"/>
    <w:rsid w:val="005E0372"/>
    <w:rsid w:val="005F7C43"/>
    <w:rsid w:val="00605A00"/>
    <w:rsid w:val="006074C9"/>
    <w:rsid w:val="00610812"/>
    <w:rsid w:val="00612CE7"/>
    <w:rsid w:val="006219F8"/>
    <w:rsid w:val="006258F6"/>
    <w:rsid w:val="0063165E"/>
    <w:rsid w:val="00632C08"/>
    <w:rsid w:val="00640340"/>
    <w:rsid w:val="00650FF7"/>
    <w:rsid w:val="00665D70"/>
    <w:rsid w:val="00671DAC"/>
    <w:rsid w:val="006747C7"/>
    <w:rsid w:val="006827AC"/>
    <w:rsid w:val="006859A3"/>
    <w:rsid w:val="00687A4F"/>
    <w:rsid w:val="006900D9"/>
    <w:rsid w:val="00695D4D"/>
    <w:rsid w:val="006A0008"/>
    <w:rsid w:val="006A10DF"/>
    <w:rsid w:val="006A3147"/>
    <w:rsid w:val="006B25DE"/>
    <w:rsid w:val="006C0240"/>
    <w:rsid w:val="006C5595"/>
    <w:rsid w:val="006D12F8"/>
    <w:rsid w:val="006F0D40"/>
    <w:rsid w:val="006F2501"/>
    <w:rsid w:val="00704D9B"/>
    <w:rsid w:val="00705E5F"/>
    <w:rsid w:val="00706C16"/>
    <w:rsid w:val="00711C85"/>
    <w:rsid w:val="0071458F"/>
    <w:rsid w:val="0071627C"/>
    <w:rsid w:val="00723A7F"/>
    <w:rsid w:val="007312C3"/>
    <w:rsid w:val="00737C53"/>
    <w:rsid w:val="00737DFA"/>
    <w:rsid w:val="00756841"/>
    <w:rsid w:val="0076130B"/>
    <w:rsid w:val="00762AA9"/>
    <w:rsid w:val="007649AB"/>
    <w:rsid w:val="00771D0C"/>
    <w:rsid w:val="0077241B"/>
    <w:rsid w:val="007833AC"/>
    <w:rsid w:val="00784D58"/>
    <w:rsid w:val="00786FBF"/>
    <w:rsid w:val="00790AB7"/>
    <w:rsid w:val="00791769"/>
    <w:rsid w:val="00796340"/>
    <w:rsid w:val="007A23EA"/>
    <w:rsid w:val="007A5189"/>
    <w:rsid w:val="007A73A8"/>
    <w:rsid w:val="007B0D88"/>
    <w:rsid w:val="007B268C"/>
    <w:rsid w:val="007B7171"/>
    <w:rsid w:val="007B73D6"/>
    <w:rsid w:val="007B7D02"/>
    <w:rsid w:val="007C07D7"/>
    <w:rsid w:val="007C0C0F"/>
    <w:rsid w:val="007C3DC2"/>
    <w:rsid w:val="007D0457"/>
    <w:rsid w:val="007D43C9"/>
    <w:rsid w:val="007E5497"/>
    <w:rsid w:val="007F28CA"/>
    <w:rsid w:val="007F367B"/>
    <w:rsid w:val="007F52A4"/>
    <w:rsid w:val="007F60FB"/>
    <w:rsid w:val="007F7B94"/>
    <w:rsid w:val="00802CA9"/>
    <w:rsid w:val="00804981"/>
    <w:rsid w:val="00806F5F"/>
    <w:rsid w:val="008078A9"/>
    <w:rsid w:val="008163D7"/>
    <w:rsid w:val="00820278"/>
    <w:rsid w:val="00834554"/>
    <w:rsid w:val="00834B31"/>
    <w:rsid w:val="00840ADC"/>
    <w:rsid w:val="00842987"/>
    <w:rsid w:val="00843BF7"/>
    <w:rsid w:val="008449B3"/>
    <w:rsid w:val="00846276"/>
    <w:rsid w:val="00850E23"/>
    <w:rsid w:val="00851137"/>
    <w:rsid w:val="00853978"/>
    <w:rsid w:val="0085432F"/>
    <w:rsid w:val="00864209"/>
    <w:rsid w:val="0087325B"/>
    <w:rsid w:val="00881ABA"/>
    <w:rsid w:val="008843B6"/>
    <w:rsid w:val="00886C89"/>
    <w:rsid w:val="00891928"/>
    <w:rsid w:val="00894B8B"/>
    <w:rsid w:val="008A00A4"/>
    <w:rsid w:val="008A446D"/>
    <w:rsid w:val="008A7A64"/>
    <w:rsid w:val="008A7F08"/>
    <w:rsid w:val="008B2F0E"/>
    <w:rsid w:val="008B517C"/>
    <w:rsid w:val="008B5A2E"/>
    <w:rsid w:val="008D180B"/>
    <w:rsid w:val="008D7227"/>
    <w:rsid w:val="008E1F92"/>
    <w:rsid w:val="008E7333"/>
    <w:rsid w:val="008E7B09"/>
    <w:rsid w:val="008F0EA7"/>
    <w:rsid w:val="008F7BB9"/>
    <w:rsid w:val="00904692"/>
    <w:rsid w:val="00910097"/>
    <w:rsid w:val="00911C7C"/>
    <w:rsid w:val="0091561E"/>
    <w:rsid w:val="00922FA8"/>
    <w:rsid w:val="00923EEF"/>
    <w:rsid w:val="009301F2"/>
    <w:rsid w:val="009341AF"/>
    <w:rsid w:val="009411F5"/>
    <w:rsid w:val="009419F9"/>
    <w:rsid w:val="009459BA"/>
    <w:rsid w:val="00953AA4"/>
    <w:rsid w:val="00955305"/>
    <w:rsid w:val="0095685E"/>
    <w:rsid w:val="009572D9"/>
    <w:rsid w:val="009600D2"/>
    <w:rsid w:val="00961409"/>
    <w:rsid w:val="00961B09"/>
    <w:rsid w:val="00962300"/>
    <w:rsid w:val="00965334"/>
    <w:rsid w:val="0097093E"/>
    <w:rsid w:val="00976025"/>
    <w:rsid w:val="009800BE"/>
    <w:rsid w:val="00982E41"/>
    <w:rsid w:val="00984649"/>
    <w:rsid w:val="009858BE"/>
    <w:rsid w:val="009A0DFA"/>
    <w:rsid w:val="009A3C2C"/>
    <w:rsid w:val="009A4A40"/>
    <w:rsid w:val="009A4D59"/>
    <w:rsid w:val="009B2D26"/>
    <w:rsid w:val="009B3595"/>
    <w:rsid w:val="009B780F"/>
    <w:rsid w:val="009C2DD0"/>
    <w:rsid w:val="009C3AC7"/>
    <w:rsid w:val="009C71FA"/>
    <w:rsid w:val="009C72E7"/>
    <w:rsid w:val="009D0555"/>
    <w:rsid w:val="009D3058"/>
    <w:rsid w:val="009D3A11"/>
    <w:rsid w:val="009D44C4"/>
    <w:rsid w:val="009D67FD"/>
    <w:rsid w:val="009D75BD"/>
    <w:rsid w:val="009E5A30"/>
    <w:rsid w:val="009E7C05"/>
    <w:rsid w:val="009F3831"/>
    <w:rsid w:val="009F3832"/>
    <w:rsid w:val="009F3A13"/>
    <w:rsid w:val="009F4AB2"/>
    <w:rsid w:val="009F73F7"/>
    <w:rsid w:val="00A00AC6"/>
    <w:rsid w:val="00A02465"/>
    <w:rsid w:val="00A03415"/>
    <w:rsid w:val="00A04A81"/>
    <w:rsid w:val="00A122D3"/>
    <w:rsid w:val="00A14D3D"/>
    <w:rsid w:val="00A17F13"/>
    <w:rsid w:val="00A20739"/>
    <w:rsid w:val="00A211D0"/>
    <w:rsid w:val="00A23361"/>
    <w:rsid w:val="00A24433"/>
    <w:rsid w:val="00A2443A"/>
    <w:rsid w:val="00A332DD"/>
    <w:rsid w:val="00A339A9"/>
    <w:rsid w:val="00A33C78"/>
    <w:rsid w:val="00A34B38"/>
    <w:rsid w:val="00A34D87"/>
    <w:rsid w:val="00A35538"/>
    <w:rsid w:val="00A37BC4"/>
    <w:rsid w:val="00A42050"/>
    <w:rsid w:val="00A43292"/>
    <w:rsid w:val="00A445C0"/>
    <w:rsid w:val="00A468D0"/>
    <w:rsid w:val="00A56FCA"/>
    <w:rsid w:val="00A6004A"/>
    <w:rsid w:val="00A60CE5"/>
    <w:rsid w:val="00A613C2"/>
    <w:rsid w:val="00A6349F"/>
    <w:rsid w:val="00A74DE6"/>
    <w:rsid w:val="00A76648"/>
    <w:rsid w:val="00A8086A"/>
    <w:rsid w:val="00A80F32"/>
    <w:rsid w:val="00A85BDD"/>
    <w:rsid w:val="00A87F7D"/>
    <w:rsid w:val="00A9244C"/>
    <w:rsid w:val="00A94D14"/>
    <w:rsid w:val="00AB0ADB"/>
    <w:rsid w:val="00AB3FD1"/>
    <w:rsid w:val="00AC0EAB"/>
    <w:rsid w:val="00AC4701"/>
    <w:rsid w:val="00AC49A2"/>
    <w:rsid w:val="00AC73C1"/>
    <w:rsid w:val="00AD73E2"/>
    <w:rsid w:val="00AE2631"/>
    <w:rsid w:val="00AF1BEC"/>
    <w:rsid w:val="00B009B8"/>
    <w:rsid w:val="00B01B1A"/>
    <w:rsid w:val="00B14E03"/>
    <w:rsid w:val="00B25814"/>
    <w:rsid w:val="00B26B98"/>
    <w:rsid w:val="00B35201"/>
    <w:rsid w:val="00B35ADC"/>
    <w:rsid w:val="00B37C24"/>
    <w:rsid w:val="00B40FBC"/>
    <w:rsid w:val="00B419C5"/>
    <w:rsid w:val="00B46F27"/>
    <w:rsid w:val="00B47FD7"/>
    <w:rsid w:val="00B51F75"/>
    <w:rsid w:val="00B53E27"/>
    <w:rsid w:val="00B558AF"/>
    <w:rsid w:val="00B57580"/>
    <w:rsid w:val="00B615BA"/>
    <w:rsid w:val="00B62D8B"/>
    <w:rsid w:val="00B72CD3"/>
    <w:rsid w:val="00B72FFF"/>
    <w:rsid w:val="00B76CEB"/>
    <w:rsid w:val="00B8257D"/>
    <w:rsid w:val="00B82B8B"/>
    <w:rsid w:val="00B86FE2"/>
    <w:rsid w:val="00B91186"/>
    <w:rsid w:val="00B93423"/>
    <w:rsid w:val="00B952A2"/>
    <w:rsid w:val="00BA2EF4"/>
    <w:rsid w:val="00BC0036"/>
    <w:rsid w:val="00BC05A6"/>
    <w:rsid w:val="00BC1DCC"/>
    <w:rsid w:val="00BC2561"/>
    <w:rsid w:val="00BC3D36"/>
    <w:rsid w:val="00BC4B34"/>
    <w:rsid w:val="00BD7F72"/>
    <w:rsid w:val="00BE03BC"/>
    <w:rsid w:val="00BE0A18"/>
    <w:rsid w:val="00BE522B"/>
    <w:rsid w:val="00BF1201"/>
    <w:rsid w:val="00BF1D4A"/>
    <w:rsid w:val="00BF230F"/>
    <w:rsid w:val="00C002E3"/>
    <w:rsid w:val="00C012CC"/>
    <w:rsid w:val="00C04FB3"/>
    <w:rsid w:val="00C147D0"/>
    <w:rsid w:val="00C159C1"/>
    <w:rsid w:val="00C16346"/>
    <w:rsid w:val="00C21B15"/>
    <w:rsid w:val="00C32523"/>
    <w:rsid w:val="00C330EB"/>
    <w:rsid w:val="00C371C9"/>
    <w:rsid w:val="00C40E9F"/>
    <w:rsid w:val="00C41481"/>
    <w:rsid w:val="00C418E1"/>
    <w:rsid w:val="00C42469"/>
    <w:rsid w:val="00C46686"/>
    <w:rsid w:val="00C46D91"/>
    <w:rsid w:val="00C47A07"/>
    <w:rsid w:val="00C47B74"/>
    <w:rsid w:val="00C57281"/>
    <w:rsid w:val="00C65D65"/>
    <w:rsid w:val="00C67703"/>
    <w:rsid w:val="00C7173F"/>
    <w:rsid w:val="00C730B6"/>
    <w:rsid w:val="00C754BE"/>
    <w:rsid w:val="00C76466"/>
    <w:rsid w:val="00C76B1C"/>
    <w:rsid w:val="00C855C4"/>
    <w:rsid w:val="00C915DD"/>
    <w:rsid w:val="00C91B94"/>
    <w:rsid w:val="00C92665"/>
    <w:rsid w:val="00CA2D2F"/>
    <w:rsid w:val="00CA67A1"/>
    <w:rsid w:val="00CA6A9D"/>
    <w:rsid w:val="00CA7F6B"/>
    <w:rsid w:val="00CB4C2B"/>
    <w:rsid w:val="00CB6357"/>
    <w:rsid w:val="00CC0626"/>
    <w:rsid w:val="00CC0FA3"/>
    <w:rsid w:val="00CC1B26"/>
    <w:rsid w:val="00CC49F7"/>
    <w:rsid w:val="00CC54DB"/>
    <w:rsid w:val="00CD019F"/>
    <w:rsid w:val="00CD087D"/>
    <w:rsid w:val="00CD41CB"/>
    <w:rsid w:val="00CD5EE0"/>
    <w:rsid w:val="00CE509A"/>
    <w:rsid w:val="00CE5414"/>
    <w:rsid w:val="00CE62FF"/>
    <w:rsid w:val="00CF241F"/>
    <w:rsid w:val="00CF7826"/>
    <w:rsid w:val="00D0157A"/>
    <w:rsid w:val="00D036D8"/>
    <w:rsid w:val="00D038ED"/>
    <w:rsid w:val="00D06D26"/>
    <w:rsid w:val="00D07F6D"/>
    <w:rsid w:val="00D10B75"/>
    <w:rsid w:val="00D13351"/>
    <w:rsid w:val="00D15E25"/>
    <w:rsid w:val="00D20368"/>
    <w:rsid w:val="00D22361"/>
    <w:rsid w:val="00D22598"/>
    <w:rsid w:val="00D26924"/>
    <w:rsid w:val="00D2758A"/>
    <w:rsid w:val="00D35ED1"/>
    <w:rsid w:val="00D413F6"/>
    <w:rsid w:val="00D4231B"/>
    <w:rsid w:val="00D423A2"/>
    <w:rsid w:val="00D520D8"/>
    <w:rsid w:val="00D52961"/>
    <w:rsid w:val="00D55048"/>
    <w:rsid w:val="00D552D5"/>
    <w:rsid w:val="00D55A2A"/>
    <w:rsid w:val="00D57FA4"/>
    <w:rsid w:val="00D62DE7"/>
    <w:rsid w:val="00D63AC2"/>
    <w:rsid w:val="00D665B4"/>
    <w:rsid w:val="00D7383B"/>
    <w:rsid w:val="00D7609E"/>
    <w:rsid w:val="00D81A63"/>
    <w:rsid w:val="00D81D25"/>
    <w:rsid w:val="00D85C60"/>
    <w:rsid w:val="00D94C40"/>
    <w:rsid w:val="00DA231B"/>
    <w:rsid w:val="00DA23A0"/>
    <w:rsid w:val="00DA4292"/>
    <w:rsid w:val="00DA5E37"/>
    <w:rsid w:val="00DA7F66"/>
    <w:rsid w:val="00DB186F"/>
    <w:rsid w:val="00DB42B2"/>
    <w:rsid w:val="00DC39FC"/>
    <w:rsid w:val="00DC4385"/>
    <w:rsid w:val="00DC484F"/>
    <w:rsid w:val="00DC4C27"/>
    <w:rsid w:val="00DC51BC"/>
    <w:rsid w:val="00DC793F"/>
    <w:rsid w:val="00DE4629"/>
    <w:rsid w:val="00DF11FD"/>
    <w:rsid w:val="00DF5254"/>
    <w:rsid w:val="00E12426"/>
    <w:rsid w:val="00E16408"/>
    <w:rsid w:val="00E20894"/>
    <w:rsid w:val="00E245AB"/>
    <w:rsid w:val="00E26239"/>
    <w:rsid w:val="00E2764C"/>
    <w:rsid w:val="00E27F2E"/>
    <w:rsid w:val="00E413EA"/>
    <w:rsid w:val="00E47F28"/>
    <w:rsid w:val="00E50AFE"/>
    <w:rsid w:val="00E52E49"/>
    <w:rsid w:val="00E577AC"/>
    <w:rsid w:val="00E578B6"/>
    <w:rsid w:val="00E61547"/>
    <w:rsid w:val="00E61702"/>
    <w:rsid w:val="00E744A7"/>
    <w:rsid w:val="00E75B66"/>
    <w:rsid w:val="00E75C92"/>
    <w:rsid w:val="00E761BC"/>
    <w:rsid w:val="00E76808"/>
    <w:rsid w:val="00E770CD"/>
    <w:rsid w:val="00E771DC"/>
    <w:rsid w:val="00E77478"/>
    <w:rsid w:val="00E77E1B"/>
    <w:rsid w:val="00E8013F"/>
    <w:rsid w:val="00E80363"/>
    <w:rsid w:val="00E847D2"/>
    <w:rsid w:val="00E85AA8"/>
    <w:rsid w:val="00E870E5"/>
    <w:rsid w:val="00E8772A"/>
    <w:rsid w:val="00E90F6B"/>
    <w:rsid w:val="00E91079"/>
    <w:rsid w:val="00E92C27"/>
    <w:rsid w:val="00E92E10"/>
    <w:rsid w:val="00EA0E3D"/>
    <w:rsid w:val="00EA1CD8"/>
    <w:rsid w:val="00EA393B"/>
    <w:rsid w:val="00EA39A5"/>
    <w:rsid w:val="00EA6F89"/>
    <w:rsid w:val="00EB2C4B"/>
    <w:rsid w:val="00EB3EFB"/>
    <w:rsid w:val="00EB7E00"/>
    <w:rsid w:val="00EC1A2C"/>
    <w:rsid w:val="00EC1FE1"/>
    <w:rsid w:val="00EC38A7"/>
    <w:rsid w:val="00EC669B"/>
    <w:rsid w:val="00ED042A"/>
    <w:rsid w:val="00ED0D4A"/>
    <w:rsid w:val="00EE1AA8"/>
    <w:rsid w:val="00EE3610"/>
    <w:rsid w:val="00EF26C3"/>
    <w:rsid w:val="00EF419E"/>
    <w:rsid w:val="00EF489F"/>
    <w:rsid w:val="00F11213"/>
    <w:rsid w:val="00F11BAA"/>
    <w:rsid w:val="00F177C1"/>
    <w:rsid w:val="00F21D6D"/>
    <w:rsid w:val="00F238F2"/>
    <w:rsid w:val="00F260AA"/>
    <w:rsid w:val="00F27B26"/>
    <w:rsid w:val="00F31EDC"/>
    <w:rsid w:val="00F33548"/>
    <w:rsid w:val="00F34D02"/>
    <w:rsid w:val="00F34E84"/>
    <w:rsid w:val="00F40BAD"/>
    <w:rsid w:val="00F462B3"/>
    <w:rsid w:val="00F5184B"/>
    <w:rsid w:val="00F55081"/>
    <w:rsid w:val="00F55168"/>
    <w:rsid w:val="00F5664F"/>
    <w:rsid w:val="00F61EC4"/>
    <w:rsid w:val="00F626C4"/>
    <w:rsid w:val="00F64D9E"/>
    <w:rsid w:val="00F666C4"/>
    <w:rsid w:val="00F74331"/>
    <w:rsid w:val="00F7684C"/>
    <w:rsid w:val="00F76AFC"/>
    <w:rsid w:val="00F80CBE"/>
    <w:rsid w:val="00F85198"/>
    <w:rsid w:val="00F939CB"/>
    <w:rsid w:val="00F9479C"/>
    <w:rsid w:val="00F965EE"/>
    <w:rsid w:val="00F97949"/>
    <w:rsid w:val="00FA1110"/>
    <w:rsid w:val="00FA358D"/>
    <w:rsid w:val="00FA47C0"/>
    <w:rsid w:val="00FB4425"/>
    <w:rsid w:val="00FB5615"/>
    <w:rsid w:val="00FB5DD1"/>
    <w:rsid w:val="00FB5F87"/>
    <w:rsid w:val="00FC07B5"/>
    <w:rsid w:val="00FC2B5D"/>
    <w:rsid w:val="00FC583B"/>
    <w:rsid w:val="00FD00E9"/>
    <w:rsid w:val="00FD03E3"/>
    <w:rsid w:val="00FE122A"/>
    <w:rsid w:val="00FE20E6"/>
    <w:rsid w:val="00FF02AF"/>
    <w:rsid w:val="00FF1187"/>
    <w:rsid w:val="00FF1449"/>
    <w:rsid w:val="00FF73E7"/>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B74"/>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0888845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73436057">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476987856">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15764677">
      <w:bodyDiv w:val="1"/>
      <w:marLeft w:val="0"/>
      <w:marRight w:val="0"/>
      <w:marTop w:val="0"/>
      <w:marBottom w:val="0"/>
      <w:divBdr>
        <w:top w:val="none" w:sz="0" w:space="0" w:color="auto"/>
        <w:left w:val="none" w:sz="0" w:space="0" w:color="auto"/>
        <w:bottom w:val="none" w:sz="0" w:space="0" w:color="auto"/>
        <w:right w:val="none" w:sz="0" w:space="0" w:color="auto"/>
      </w:divBdr>
    </w:div>
    <w:div w:id="1829396876">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nam02.safelinks.protection.outlook.com/?url=https%3A%2F%2Fwww.colombiacompra.gov.co%2Fcontent%2Fborrador-de-documentos-tipo-de-interventoria-de-obra-publica-de-infraestructura-de&amp;data=05%7C02%7Cgustavo.hinestroza%40colombiacompra.gov.co%7C096eca3fdcca424ff1c708dcf932f947%7C7b09041e245149d08cb179d5e3d8c1be%7C0%7C0%7C638659244559009305%7CUnknown%7CTWFpbGZsb3d8eyJWIjoiMC4wLjAwMDAiLCJQIjoiV2luMzIiLCJBTiI6Ik1haWwiLCJXVCI6Mn0%3D%7C0%7C%7C%7C&amp;sdata=tGFfBDNA2UfgZjTR6YetCGGZnlJ3HZEAOL1Y%2FgjLdQA%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juanroberto2709@gmail.com" TargetMode="External"/><Relationship Id="rId17" Type="http://schemas.openxmlformats.org/officeDocument/2006/relationships/hyperlink" Target="https://nam02.safelinks.protection.outlook.com/?url=https%3A%2F%2Fwww.colombiacompra.gov.co%2Fcontent%2Fborrador-de-documentos-tipo-de-consultoria-de-obra-publica-de-infraestructura-de-transporte&amp;data=05%7C02%7Cgustavo.hinestroza%40colombiacompra.gov.co%7C096eca3fdcca424ff1c708dcf932f947%7C7b09041e245149d08cb179d5e3d8c1be%7C0%7C0%7C638659244558969426%7CUnknown%7CTWFpbGZsb3d8eyJWIjoiMC4wLjAwMDAiLCJQIjoiV2luMzIiLCJBTiI6Ik1haWwiLCJXVCI6Mn0%3D%7C0%7C%7C%7C&amp;sdata=euNN%2Bobln1e4Sfw7QkQf2cxPj3R%2FsCFmoL55MX5p9SA%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jose.sanchez%40colombiacompra.gov.co%7Ceb0fd05604104aa4d3bc08dd4c4ad35e%7C7b09041e245149d08cb179d5e3d8c1be%7C0%7C0%7C638750606444366227%7CUnknown%7CTWFpbGZsb3d8eyJFbXB0eU1hcGkiOnRydWUsIlYiOiIwLjAuMDAwMCIsIlAiOiJXaW4zMiIsIkFOIjoiTWFpbCIsIldUIjoyfQ%3D%3D%7C0%7C%7C%7C&amp;sdata=9QXP%2FtGRh4ksN9Mq7dwuAwwQbJmXMyhaLjy9ViNGST8%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jose.sanchez%40colombiacompra.gov.co%7Ceb0fd05604104aa4d3bc08dd4c4ad35e%7C7b09041e245149d08cb179d5e3d8c1be%7C0%7C0%7C638750606444352370%7CUnknown%7CTWFpbGZsb3d8eyJFbXB0eU1hcGkiOnRydWUsIlYiOiIwLjAuMDAwMCIsIlAiOiJXaW4zMiIsIkFOIjoiTWFpbCIsIldUIjoyfQ%3D%3D%7C0%7C%7C%7C&amp;sdata=fRD0QVzSFRVrZt4kbVeEyxYb4cMGbhxKfR115F%2F83rc%3D&amp;reserved=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jose.sanchez%40colombiacompra.gov.co%7Ceb0fd05604104aa4d3bc08dd4c4ad35e%7C7b09041e245149d08cb179d5e3d8c1be%7C0%7C0%7C638750606444331455%7CUnknown%7CTWFpbGZsb3d8eyJFbXB0eU1hcGkiOnRydWUsIlYiOiIwLjAuMDAwMCIsIlAiOiJXaW4zMiIsIkFOIjoiTWFpbCIsIldUIjoyfQ%3D%3D%7C0%7C%7C%7C&amp;sdata=A4Rv4yPieCEbMtJ98dk1C9ixhvowiB6rmJenmMv9Lbo%3D&amp;reserved=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0ED80F-72C0-49B2-945E-09D95196E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22</Pages>
  <Words>7274</Words>
  <Characters>41464</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 CP </cp:lastModifiedBy>
  <cp:revision>11</cp:revision>
  <cp:lastPrinted>2025-02-25T15:45:00Z</cp:lastPrinted>
  <dcterms:created xsi:type="dcterms:W3CDTF">2025-03-21T23:03:00Z</dcterms:created>
  <dcterms:modified xsi:type="dcterms:W3CDTF">2025-03-27T23:48:00Z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