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9F265" w14:textId="79429D18" w:rsidR="00E22994" w:rsidRPr="00600250" w:rsidRDefault="00E22994" w:rsidP="00E22994">
      <w:pPr>
        <w:jc w:val="right"/>
        <w:rPr>
          <w:rFonts w:ascii="Arial" w:eastAsia="Calibri" w:hAnsi="Arial" w:cs="Arial"/>
          <w:b/>
          <w:color w:val="000000" w:themeColor="text1"/>
          <w:sz w:val="21"/>
          <w:szCs w:val="21"/>
        </w:rPr>
      </w:pPr>
      <w:bookmarkStart w:id="0" w:name="_Hlk29890381"/>
      <w:r w:rsidRPr="00600250">
        <w:rPr>
          <w:rFonts w:ascii="Arial" w:hAnsi="Arial" w:cs="Arial"/>
          <w:b/>
          <w:color w:val="000000" w:themeColor="text1"/>
          <w:sz w:val="16"/>
          <w:szCs w:val="16"/>
          <w:lang w:eastAsia="es-ES"/>
        </w:rPr>
        <w:t>CCE-DES-FM-17</w:t>
      </w:r>
    </w:p>
    <w:p w14:paraId="0AFFDB1E" w14:textId="77777777" w:rsidR="00E22994" w:rsidRPr="00B06BC7" w:rsidRDefault="00E22994" w:rsidP="00CB001D">
      <w:pPr>
        <w:jc w:val="both"/>
        <w:rPr>
          <w:rFonts w:ascii="Arial" w:eastAsia="Calibri" w:hAnsi="Arial" w:cs="Arial"/>
          <w:b/>
          <w:color w:val="000000" w:themeColor="text1"/>
          <w:sz w:val="16"/>
          <w:szCs w:val="16"/>
        </w:rPr>
      </w:pPr>
    </w:p>
    <w:p w14:paraId="228F01CD" w14:textId="34693652" w:rsidR="00CB001D" w:rsidRPr="00E629C8" w:rsidRDefault="00CB001D" w:rsidP="00CB001D">
      <w:pPr>
        <w:jc w:val="both"/>
        <w:rPr>
          <w:rFonts w:ascii="Arial" w:eastAsia="Calibri" w:hAnsi="Arial" w:cs="Arial"/>
          <w:b/>
          <w:color w:val="000000" w:themeColor="text1"/>
          <w:sz w:val="22"/>
        </w:rPr>
      </w:pPr>
      <w:r w:rsidRPr="00E629C8">
        <w:rPr>
          <w:rFonts w:ascii="Arial" w:eastAsia="Calibri" w:hAnsi="Arial" w:cs="Arial"/>
          <w:b/>
          <w:color w:val="000000" w:themeColor="text1"/>
          <w:sz w:val="22"/>
        </w:rPr>
        <w:t xml:space="preserve">CONTRATACIÓN CON ESAL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Contrato de colaboración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Objeto </w:t>
      </w:r>
      <w:r w:rsidR="0069365F">
        <w:rPr>
          <w:rFonts w:ascii="Arial" w:eastAsia="Calibri" w:hAnsi="Arial" w:cs="Arial"/>
          <w:b/>
          <w:color w:val="000000" w:themeColor="text1"/>
          <w:sz w:val="22"/>
        </w:rPr>
        <w:t>–</w:t>
      </w:r>
      <w:r w:rsidR="0069365F">
        <w:rPr>
          <w:rFonts w:ascii="Arial" w:eastAsia="Calibri" w:hAnsi="Arial" w:cs="Arial"/>
          <w:b/>
          <w:color w:val="000000" w:themeColor="text1"/>
          <w:sz w:val="22"/>
        </w:rPr>
        <w:t xml:space="preserve"> A</w:t>
      </w:r>
      <w:r w:rsidRPr="00E629C8">
        <w:rPr>
          <w:rFonts w:ascii="Arial" w:eastAsia="Calibri" w:hAnsi="Arial" w:cs="Arial"/>
          <w:b/>
          <w:color w:val="000000" w:themeColor="text1"/>
          <w:sz w:val="22"/>
        </w:rPr>
        <w:t xml:space="preserve">lcance </w:t>
      </w:r>
    </w:p>
    <w:p w14:paraId="6344D48F" w14:textId="77777777" w:rsidR="00CB001D" w:rsidRPr="00E629C8" w:rsidRDefault="00CB001D" w:rsidP="00CB001D">
      <w:pPr>
        <w:jc w:val="both"/>
        <w:rPr>
          <w:rFonts w:ascii="Arial" w:eastAsia="Calibri" w:hAnsi="Arial" w:cs="Arial"/>
          <w:bCs/>
          <w:color w:val="000000" w:themeColor="text1"/>
          <w:sz w:val="20"/>
          <w:szCs w:val="20"/>
        </w:rPr>
      </w:pPr>
    </w:p>
    <w:p w14:paraId="629B6FE7" w14:textId="77777777" w:rsidR="00CB001D" w:rsidRPr="00E629C8" w:rsidRDefault="00CB001D" w:rsidP="00CB001D">
      <w:pPr>
        <w:jc w:val="both"/>
        <w:rPr>
          <w:rFonts w:ascii="Arial" w:hAnsi="Arial" w:cs="Arial"/>
          <w:color w:val="000000" w:themeColor="text1"/>
          <w:sz w:val="20"/>
          <w:szCs w:val="20"/>
        </w:rPr>
      </w:pPr>
      <w:r w:rsidRPr="00E629C8">
        <w:rPr>
          <w:rFonts w:ascii="Arial" w:hAnsi="Arial" w:cs="Arial"/>
          <w:color w:val="000000" w:themeColor="text1"/>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0020D7B9" w14:textId="77777777" w:rsidR="00CB001D" w:rsidRPr="00E629C8" w:rsidRDefault="00CB001D" w:rsidP="00CB001D">
      <w:pPr>
        <w:jc w:val="both"/>
        <w:rPr>
          <w:rFonts w:ascii="Arial" w:hAnsi="Arial" w:cs="Arial"/>
          <w:color w:val="000000" w:themeColor="text1"/>
          <w:sz w:val="20"/>
          <w:szCs w:val="20"/>
        </w:rPr>
      </w:pPr>
    </w:p>
    <w:p w14:paraId="07008FC7" w14:textId="097446D6" w:rsidR="00CB001D" w:rsidRPr="00E629C8" w:rsidRDefault="00CB001D" w:rsidP="00CB001D">
      <w:pPr>
        <w:jc w:val="both"/>
        <w:rPr>
          <w:rFonts w:ascii="Arial" w:eastAsia="Calibri" w:hAnsi="Arial" w:cs="Arial"/>
          <w:b/>
          <w:color w:val="000000" w:themeColor="text1"/>
          <w:sz w:val="22"/>
        </w:rPr>
      </w:pPr>
      <w:r w:rsidRPr="00E629C8">
        <w:rPr>
          <w:rFonts w:ascii="Arial" w:eastAsia="Calibri" w:hAnsi="Arial" w:cs="Arial"/>
          <w:b/>
          <w:color w:val="000000" w:themeColor="text1"/>
          <w:sz w:val="22"/>
        </w:rPr>
        <w:t xml:space="preserve">DECRETO 92 de 2017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Criterios </w:t>
      </w:r>
      <w:r w:rsidR="00C47FA6" w:rsidRPr="006C15D5">
        <w:rPr>
          <w:rFonts w:ascii="Arial" w:eastAsia="Calibri" w:hAnsi="Arial" w:cs="Arial"/>
          <w:b/>
          <w:color w:val="000000" w:themeColor="text1"/>
          <w:sz w:val="22"/>
        </w:rPr>
        <w:t>–</w:t>
      </w:r>
      <w:r w:rsidR="00C47FA6">
        <w:rPr>
          <w:rFonts w:ascii="Arial" w:eastAsia="Calibri" w:hAnsi="Arial" w:cs="Arial"/>
          <w:b/>
          <w:color w:val="000000" w:themeColor="text1"/>
          <w:sz w:val="22"/>
        </w:rPr>
        <w:t xml:space="preserve"> A</w:t>
      </w:r>
      <w:r w:rsidRPr="00E629C8">
        <w:rPr>
          <w:rFonts w:ascii="Arial" w:eastAsia="Calibri" w:hAnsi="Arial" w:cs="Arial"/>
          <w:b/>
          <w:color w:val="000000" w:themeColor="text1"/>
          <w:sz w:val="22"/>
        </w:rPr>
        <w:t>plicación</w:t>
      </w:r>
    </w:p>
    <w:p w14:paraId="3B988848" w14:textId="77777777" w:rsidR="00CB001D" w:rsidRPr="00E629C8" w:rsidRDefault="00CB001D" w:rsidP="00CB001D">
      <w:pPr>
        <w:jc w:val="both"/>
        <w:rPr>
          <w:rFonts w:ascii="Arial" w:hAnsi="Arial" w:cs="Arial"/>
          <w:color w:val="000000" w:themeColor="text1"/>
          <w:sz w:val="20"/>
          <w:szCs w:val="20"/>
        </w:rPr>
      </w:pPr>
    </w:p>
    <w:p w14:paraId="65B102D8" w14:textId="04E917CB" w:rsidR="00CB001D" w:rsidRPr="00E629C8" w:rsidRDefault="00827DF6" w:rsidP="00CB001D">
      <w:pPr>
        <w:jc w:val="both"/>
        <w:rPr>
          <w:rFonts w:ascii="Arial" w:hAnsi="Arial" w:cs="Arial"/>
          <w:color w:val="000000" w:themeColor="text1"/>
          <w:sz w:val="20"/>
          <w:szCs w:val="20"/>
        </w:rPr>
      </w:pPr>
      <w:r w:rsidRPr="0E743003">
        <w:rPr>
          <w:rFonts w:ascii="Arial" w:hAnsi="Arial" w:cs="Arial"/>
          <w:color w:val="000000" w:themeColor="text1"/>
          <w:sz w:val="20"/>
          <w:szCs w:val="20"/>
        </w:rPr>
        <w:t xml:space="preserve">[…] </w:t>
      </w:r>
      <w:r w:rsidR="55013FF8" w:rsidRPr="0E743003">
        <w:rPr>
          <w:rFonts w:ascii="Arial" w:hAnsi="Arial" w:cs="Arial"/>
          <w:color w:val="000000" w:themeColor="text1"/>
          <w:sz w:val="20"/>
          <w:szCs w:val="20"/>
        </w:rPr>
        <w:t>n</w:t>
      </w:r>
      <w:r w:rsidR="00CB001D" w:rsidRPr="0E743003">
        <w:rPr>
          <w:rFonts w:ascii="Arial" w:hAnsi="Arial" w:cs="Arial"/>
          <w:color w:val="000000" w:themeColor="text1"/>
          <w:sz w:val="20"/>
          <w:szCs w:val="20"/>
        </w:rPr>
        <w:t>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52C6FB13" w14:textId="77777777" w:rsidR="00CB001D" w:rsidRPr="00600250" w:rsidRDefault="00CB001D" w:rsidP="00CB001D">
      <w:pPr>
        <w:jc w:val="both"/>
        <w:rPr>
          <w:rFonts w:ascii="Arial" w:hAnsi="Arial" w:cs="Arial"/>
          <w:color w:val="000000" w:themeColor="text1"/>
          <w:sz w:val="21"/>
          <w:szCs w:val="21"/>
        </w:rPr>
      </w:pPr>
    </w:p>
    <w:p w14:paraId="369AE33E" w14:textId="13C9D445" w:rsidR="00CB001D" w:rsidRPr="00E629C8" w:rsidRDefault="009A5C1B" w:rsidP="00CB001D">
      <w:pPr>
        <w:jc w:val="both"/>
        <w:rPr>
          <w:rFonts w:ascii="Arial" w:eastAsia="Calibri" w:hAnsi="Arial" w:cs="Arial"/>
          <w:b/>
          <w:color w:val="000000" w:themeColor="text1"/>
          <w:sz w:val="22"/>
        </w:rPr>
      </w:pPr>
      <w:r w:rsidRPr="00E629C8">
        <w:rPr>
          <w:rFonts w:ascii="Arial" w:eastAsia="Calibri" w:hAnsi="Arial" w:cs="Arial"/>
          <w:b/>
          <w:color w:val="000000" w:themeColor="text1"/>
          <w:sz w:val="22"/>
        </w:rPr>
        <w:t xml:space="preserve">CONVENIOS DE ASOCIACIÓN </w:t>
      </w:r>
      <w:r w:rsidR="00E629C8" w:rsidRPr="00E629C8">
        <w:rPr>
          <w:rFonts w:ascii="Arial" w:eastAsia="Calibri" w:hAnsi="Arial" w:cs="Arial"/>
          <w:b/>
          <w:color w:val="000000" w:themeColor="text1"/>
          <w:sz w:val="22"/>
        </w:rPr>
        <w:t xml:space="preserve">– </w:t>
      </w:r>
      <w:r w:rsidR="0069365F">
        <w:rPr>
          <w:rFonts w:ascii="Arial" w:eastAsia="Calibri" w:hAnsi="Arial" w:cs="Arial"/>
          <w:b/>
          <w:color w:val="000000" w:themeColor="text1"/>
          <w:sz w:val="22"/>
        </w:rPr>
        <w:t>Múltiples</w:t>
      </w:r>
      <w:r w:rsidR="00CB001D" w:rsidRPr="00E629C8">
        <w:rPr>
          <w:rFonts w:ascii="Arial" w:eastAsia="Calibri" w:hAnsi="Arial" w:cs="Arial"/>
          <w:b/>
          <w:color w:val="000000" w:themeColor="text1"/>
          <w:sz w:val="22"/>
        </w:rPr>
        <w:t xml:space="preserve"> sujet</w:t>
      </w:r>
      <w:r w:rsidR="00C47FA6">
        <w:rPr>
          <w:rFonts w:ascii="Arial" w:eastAsia="Calibri" w:hAnsi="Arial" w:cs="Arial"/>
          <w:b/>
          <w:color w:val="000000" w:themeColor="text1"/>
          <w:sz w:val="22"/>
        </w:rPr>
        <w:t xml:space="preserve">os </w:t>
      </w:r>
      <w:r w:rsidR="00C47FA6" w:rsidRPr="006C15D5">
        <w:rPr>
          <w:rFonts w:ascii="Arial" w:eastAsia="Calibri" w:hAnsi="Arial" w:cs="Arial"/>
          <w:b/>
          <w:color w:val="000000" w:themeColor="text1"/>
          <w:sz w:val="22"/>
        </w:rPr>
        <w:t>–</w:t>
      </w:r>
      <w:r w:rsidR="00C47FA6">
        <w:rPr>
          <w:rFonts w:ascii="Arial" w:eastAsia="Calibri" w:hAnsi="Arial" w:cs="Arial"/>
          <w:b/>
          <w:color w:val="000000" w:themeColor="text1"/>
          <w:sz w:val="22"/>
        </w:rPr>
        <w:t xml:space="preserve"> Lí</w:t>
      </w:r>
      <w:r w:rsidR="00C47FA6" w:rsidRPr="00E629C8">
        <w:rPr>
          <w:rFonts w:ascii="Arial" w:eastAsia="Calibri" w:hAnsi="Arial" w:cs="Arial"/>
          <w:b/>
          <w:color w:val="000000" w:themeColor="text1"/>
          <w:sz w:val="22"/>
        </w:rPr>
        <w:t>mites</w:t>
      </w:r>
      <w:r w:rsidR="00CB001D" w:rsidRPr="00E629C8">
        <w:rPr>
          <w:rFonts w:ascii="Arial" w:eastAsia="Calibri" w:hAnsi="Arial" w:cs="Arial"/>
          <w:b/>
          <w:color w:val="000000" w:themeColor="text1"/>
          <w:sz w:val="22"/>
        </w:rPr>
        <w:t xml:space="preserve"> legales</w:t>
      </w:r>
    </w:p>
    <w:p w14:paraId="6F0C851B" w14:textId="77777777" w:rsidR="00CB001D" w:rsidRPr="00600250" w:rsidRDefault="00CB001D" w:rsidP="00CB001D">
      <w:pPr>
        <w:jc w:val="both"/>
        <w:rPr>
          <w:rFonts w:ascii="Arial" w:hAnsi="Arial" w:cs="Arial"/>
          <w:color w:val="000000" w:themeColor="text1"/>
          <w:sz w:val="21"/>
          <w:szCs w:val="21"/>
        </w:rPr>
      </w:pPr>
    </w:p>
    <w:p w14:paraId="4E5B56DE" w14:textId="77777777" w:rsidR="00CB001D" w:rsidRPr="00E629C8" w:rsidRDefault="00CB001D" w:rsidP="00CB001D">
      <w:pPr>
        <w:pStyle w:val="Sinespaciado"/>
        <w:jc w:val="both"/>
        <w:rPr>
          <w:rFonts w:ascii="Arial" w:hAnsi="Arial" w:cs="Arial"/>
          <w:color w:val="000000" w:themeColor="text1"/>
          <w:sz w:val="20"/>
          <w:szCs w:val="20"/>
        </w:rPr>
      </w:pPr>
      <w:r w:rsidRPr="00E629C8">
        <w:rPr>
          <w:rFonts w:ascii="Arial" w:hAnsi="Arial" w:cs="Arial"/>
          <w:color w:val="000000" w:themeColor="text1"/>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21205872" w14:textId="77777777" w:rsidR="00CB001D" w:rsidRPr="00600250" w:rsidRDefault="00CB001D" w:rsidP="00CB001D">
      <w:pPr>
        <w:pStyle w:val="Sinespaciado"/>
        <w:ind w:firstLine="708"/>
        <w:jc w:val="both"/>
        <w:rPr>
          <w:rFonts w:ascii="Arial" w:hAnsi="Arial" w:cs="Arial"/>
          <w:color w:val="000000" w:themeColor="text1"/>
          <w:sz w:val="21"/>
          <w:szCs w:val="21"/>
        </w:rPr>
      </w:pPr>
    </w:p>
    <w:p w14:paraId="70EDC010" w14:textId="12E79407" w:rsidR="00CB001D" w:rsidRPr="00E629C8" w:rsidRDefault="00CB001D" w:rsidP="00CB001D">
      <w:pPr>
        <w:jc w:val="both"/>
        <w:rPr>
          <w:rFonts w:ascii="Arial" w:eastAsia="Calibri" w:hAnsi="Arial" w:cs="Arial"/>
          <w:b/>
          <w:color w:val="000000" w:themeColor="text1"/>
          <w:sz w:val="22"/>
        </w:rPr>
      </w:pPr>
      <w:r w:rsidRPr="00E629C8">
        <w:rPr>
          <w:rFonts w:ascii="Arial" w:eastAsia="Calibri" w:hAnsi="Arial" w:cs="Arial"/>
          <w:b/>
          <w:color w:val="000000" w:themeColor="text1"/>
          <w:sz w:val="22"/>
        </w:rPr>
        <w:t xml:space="preserve">CONTRATACIÓN CON ESAL </w:t>
      </w:r>
      <w:r w:rsidR="00E629C8" w:rsidRPr="00E629C8">
        <w:rPr>
          <w:rFonts w:ascii="Arial" w:eastAsia="Calibri" w:hAnsi="Arial" w:cs="Arial"/>
          <w:b/>
          <w:color w:val="000000" w:themeColor="text1"/>
          <w:sz w:val="22"/>
        </w:rPr>
        <w:t>–</w:t>
      </w:r>
      <w:r w:rsidR="0069365F">
        <w:rPr>
          <w:rFonts w:ascii="Arial" w:eastAsia="Calibri" w:hAnsi="Arial" w:cs="Arial"/>
          <w:b/>
          <w:color w:val="000000" w:themeColor="text1"/>
          <w:sz w:val="22"/>
        </w:rPr>
        <w:t xml:space="preserve"> Contrato</w:t>
      </w:r>
      <w:r w:rsidRPr="00E629C8">
        <w:rPr>
          <w:rFonts w:ascii="Arial" w:eastAsia="Calibri" w:hAnsi="Arial" w:cs="Arial"/>
          <w:b/>
          <w:color w:val="000000" w:themeColor="text1"/>
          <w:sz w:val="22"/>
        </w:rPr>
        <w:t xml:space="preserve"> de colaboración </w:t>
      </w:r>
      <w:r w:rsidR="0069365F">
        <w:rPr>
          <w:rFonts w:ascii="Arial" w:eastAsia="Calibri" w:hAnsi="Arial" w:cs="Arial"/>
          <w:b/>
          <w:color w:val="000000" w:themeColor="text1"/>
          <w:sz w:val="22"/>
        </w:rPr>
        <w:t>–</w:t>
      </w:r>
      <w:r w:rsidR="0069365F">
        <w:rPr>
          <w:rFonts w:ascii="Arial" w:eastAsia="Calibri" w:hAnsi="Arial" w:cs="Arial"/>
          <w:b/>
          <w:color w:val="000000" w:themeColor="text1"/>
          <w:sz w:val="22"/>
        </w:rPr>
        <w:t xml:space="preserve"> Objeto </w:t>
      </w:r>
      <w:r w:rsidR="0069365F">
        <w:rPr>
          <w:rFonts w:ascii="Arial" w:eastAsia="Calibri" w:hAnsi="Arial" w:cs="Arial"/>
          <w:b/>
          <w:color w:val="000000" w:themeColor="text1"/>
          <w:sz w:val="22"/>
        </w:rPr>
        <w:t>–</w:t>
      </w:r>
      <w:r w:rsidR="0069365F">
        <w:rPr>
          <w:rFonts w:ascii="Arial" w:eastAsia="Calibri" w:hAnsi="Arial" w:cs="Arial"/>
          <w:b/>
          <w:color w:val="000000" w:themeColor="text1"/>
          <w:sz w:val="22"/>
        </w:rPr>
        <w:t xml:space="preserve">  A</w:t>
      </w:r>
      <w:r w:rsidRPr="00E629C8">
        <w:rPr>
          <w:rFonts w:ascii="Arial" w:eastAsia="Calibri" w:hAnsi="Arial" w:cs="Arial"/>
          <w:b/>
          <w:color w:val="000000" w:themeColor="text1"/>
          <w:sz w:val="22"/>
        </w:rPr>
        <w:t>ctividades artísticas, culturales, deportivas</w:t>
      </w:r>
      <w:r w:rsidR="0069365F">
        <w:rPr>
          <w:rFonts w:ascii="Arial" w:eastAsia="Calibri" w:hAnsi="Arial" w:cs="Arial"/>
          <w:b/>
          <w:color w:val="000000" w:themeColor="text1"/>
          <w:sz w:val="22"/>
        </w:rPr>
        <w:t xml:space="preserve"> </w:t>
      </w:r>
      <w:r w:rsidR="0069365F">
        <w:rPr>
          <w:rFonts w:ascii="Arial" w:eastAsia="Calibri" w:hAnsi="Arial" w:cs="Arial"/>
          <w:b/>
          <w:color w:val="000000" w:themeColor="text1"/>
          <w:sz w:val="22"/>
        </w:rPr>
        <w:t>–</w:t>
      </w:r>
      <w:r w:rsidR="0069365F">
        <w:rPr>
          <w:rFonts w:ascii="Arial" w:eastAsia="Calibri" w:hAnsi="Arial" w:cs="Arial"/>
          <w:b/>
          <w:color w:val="000000" w:themeColor="text1"/>
          <w:sz w:val="22"/>
        </w:rPr>
        <w:t xml:space="preserve">  P</w:t>
      </w:r>
      <w:r w:rsidRPr="00E629C8">
        <w:rPr>
          <w:rFonts w:ascii="Arial" w:eastAsia="Calibri" w:hAnsi="Arial" w:cs="Arial"/>
          <w:b/>
          <w:color w:val="000000" w:themeColor="text1"/>
          <w:sz w:val="22"/>
        </w:rPr>
        <w:t xml:space="preserve">romoción de la diversidad étnica colombiana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Suspensión provisional</w:t>
      </w:r>
    </w:p>
    <w:p w14:paraId="6BEE1DEC" w14:textId="77777777" w:rsidR="00CB001D" w:rsidRPr="00600250" w:rsidRDefault="00CB001D" w:rsidP="00CB001D">
      <w:pPr>
        <w:jc w:val="both"/>
        <w:rPr>
          <w:rFonts w:ascii="Arial" w:hAnsi="Arial" w:cs="Arial"/>
          <w:color w:val="000000" w:themeColor="text1"/>
          <w:sz w:val="21"/>
          <w:szCs w:val="21"/>
        </w:rPr>
      </w:pPr>
    </w:p>
    <w:p w14:paraId="28FEC72B" w14:textId="4A2A271C" w:rsidR="00CB001D" w:rsidRPr="00E629C8" w:rsidRDefault="00827DF6" w:rsidP="00CB001D">
      <w:pPr>
        <w:jc w:val="both"/>
        <w:rPr>
          <w:rFonts w:ascii="Arial" w:eastAsia="Calibri" w:hAnsi="Arial" w:cs="Arial"/>
          <w:color w:val="000000" w:themeColor="text1"/>
          <w:sz w:val="20"/>
          <w:szCs w:val="20"/>
        </w:rPr>
      </w:pPr>
      <w:r w:rsidRPr="0E743003">
        <w:rPr>
          <w:rFonts w:ascii="Arial" w:eastAsia="Calibri" w:hAnsi="Arial" w:cs="Arial"/>
          <w:color w:val="000000" w:themeColor="text1"/>
          <w:sz w:val="20"/>
          <w:szCs w:val="20"/>
        </w:rPr>
        <w:t xml:space="preserve">[…] </w:t>
      </w:r>
      <w:r w:rsidR="5AF99282" w:rsidRPr="0E743003">
        <w:rPr>
          <w:rFonts w:ascii="Arial" w:eastAsia="Calibri" w:hAnsi="Arial" w:cs="Arial"/>
          <w:color w:val="000000" w:themeColor="text1"/>
          <w:sz w:val="20"/>
          <w:szCs w:val="20"/>
        </w:rPr>
        <w:t>h</w:t>
      </w:r>
      <w:r w:rsidR="00CB001D" w:rsidRPr="0E743003">
        <w:rPr>
          <w:rFonts w:ascii="Arial" w:eastAsia="Calibri" w:hAnsi="Arial" w:cs="Arial"/>
          <w:color w:val="000000" w:themeColor="text1"/>
          <w:sz w:val="20"/>
          <w:szCs w:val="20"/>
        </w:rPr>
        <w:t xml:space="preserve">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ibidem. Incluso, habría lugar a tener en cuenta las exigencias del inciso 2 del artículo 4 íbídem, claro está, siempre que </w:t>
      </w:r>
      <w:r w:rsidR="00CB001D" w:rsidRPr="0E743003">
        <w:rPr>
          <w:rFonts w:ascii="Arial" w:eastAsia="Calibri" w:hAnsi="Arial" w:cs="Arial"/>
          <w:color w:val="000000" w:themeColor="text1"/>
          <w:sz w:val="20"/>
          <w:szCs w:val="20"/>
        </w:rPr>
        <w:lastRenderedPageBreak/>
        <w:t>se configuren los supuestos de aplicación de dicha normativa, esto es, siempre que «exist[a] más de una entidad sin ánimo de lucro de reconocida idoneidad».</w:t>
      </w:r>
    </w:p>
    <w:p w14:paraId="512B8DC5" w14:textId="77777777" w:rsidR="00CB001D" w:rsidRPr="00600250" w:rsidRDefault="00CB001D" w:rsidP="00CB001D">
      <w:pPr>
        <w:pStyle w:val="Sinespaciado"/>
        <w:ind w:firstLine="708"/>
        <w:jc w:val="both"/>
        <w:rPr>
          <w:rFonts w:ascii="Arial" w:hAnsi="Arial" w:cs="Arial"/>
          <w:color w:val="000000" w:themeColor="text1"/>
          <w:sz w:val="21"/>
          <w:szCs w:val="21"/>
        </w:rPr>
      </w:pPr>
    </w:p>
    <w:p w14:paraId="0EEA8D8B" w14:textId="6B922F7A" w:rsidR="00CB001D" w:rsidRPr="00E629C8" w:rsidRDefault="00CB001D" w:rsidP="00CB001D">
      <w:pPr>
        <w:jc w:val="both"/>
        <w:rPr>
          <w:rFonts w:ascii="Arial" w:eastAsia="Calibri" w:hAnsi="Arial" w:cs="Arial"/>
          <w:b/>
          <w:color w:val="000000" w:themeColor="text1"/>
          <w:sz w:val="22"/>
        </w:rPr>
      </w:pPr>
      <w:r w:rsidRPr="00E629C8">
        <w:rPr>
          <w:rFonts w:ascii="Arial" w:eastAsia="Calibri" w:hAnsi="Arial" w:cs="Arial"/>
          <w:b/>
          <w:color w:val="000000" w:themeColor="text1"/>
          <w:sz w:val="22"/>
        </w:rPr>
        <w:t xml:space="preserve">DECRETO 92 DE 2017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Ámbito de aplicación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w:t>
      </w:r>
      <w:r w:rsidR="0069365F">
        <w:rPr>
          <w:rFonts w:ascii="Arial" w:eastAsia="Calibri" w:hAnsi="Arial" w:cs="Arial"/>
          <w:b/>
          <w:color w:val="000000" w:themeColor="text1"/>
          <w:sz w:val="22"/>
        </w:rPr>
        <w:t xml:space="preserve">Entidades habilitadas </w:t>
      </w:r>
    </w:p>
    <w:p w14:paraId="5744D234" w14:textId="77777777" w:rsidR="00CB001D" w:rsidRPr="00600250" w:rsidRDefault="00CB001D" w:rsidP="00CB001D">
      <w:pPr>
        <w:jc w:val="both"/>
        <w:rPr>
          <w:rFonts w:ascii="Arial" w:hAnsi="Arial" w:cs="Arial"/>
          <w:color w:val="000000" w:themeColor="text1"/>
          <w:sz w:val="21"/>
          <w:szCs w:val="21"/>
        </w:rPr>
      </w:pPr>
    </w:p>
    <w:p w14:paraId="06410463" w14:textId="76319F4A" w:rsidR="00CB001D" w:rsidRPr="00E629C8" w:rsidRDefault="00827DF6" w:rsidP="00CB001D">
      <w:pPr>
        <w:jc w:val="both"/>
        <w:rPr>
          <w:rFonts w:ascii="Arial" w:hAnsi="Arial" w:cs="Arial"/>
          <w:color w:val="000000" w:themeColor="text1"/>
          <w:sz w:val="20"/>
          <w:szCs w:val="20"/>
        </w:rPr>
      </w:pPr>
      <w:r>
        <w:rPr>
          <w:rFonts w:ascii="Arial" w:eastAsia="Calibri" w:hAnsi="Arial" w:cs="Arial"/>
          <w:color w:val="000000" w:themeColor="text1"/>
          <w:sz w:val="20"/>
          <w:szCs w:val="20"/>
        </w:rPr>
        <w:t xml:space="preserve">[…] </w:t>
      </w:r>
      <w:r w:rsidR="00CB001D" w:rsidRPr="00E629C8">
        <w:rPr>
          <w:rFonts w:ascii="Arial" w:eastAsia="Calibri" w:hAnsi="Arial" w:cs="Arial"/>
          <w:color w:val="000000" w:themeColor="text1"/>
          <w:sz w:val="20"/>
          <w:szCs w:val="20"/>
        </w:rPr>
        <w:t>A</w:t>
      </w:r>
      <w:r w:rsidR="00CB001D" w:rsidRPr="00E629C8">
        <w:rPr>
          <w:rFonts w:ascii="Arial" w:hAnsi="Arial" w:cs="Arial"/>
          <w:color w:val="000000" w:themeColor="text1"/>
          <w:sz w:val="20"/>
          <w:szCs w:val="20"/>
        </w:rPr>
        <w:t>tendiendo a una interpretación amplia el concepto «Gobierno», las entidades que pueden suscribir los negocios jurídicos a los que se refiere el artículo 355 de la Constitución son las que pertenecen a la Rama Ejecutiva del poder público, independientemente de su régimen general de contratación. En ese sentido, en el ámbito de aplicación no se encuentran incluidas las demás ramas del poder público, ni los entes autónomos, por lo que no pueden acudir a este régimen de contratación las ramas legislativa y judicial, ni los órganos de control y electoral.</w:t>
      </w:r>
    </w:p>
    <w:p w14:paraId="0752083C" w14:textId="77777777" w:rsidR="00CB001D" w:rsidRPr="00600250" w:rsidRDefault="00CB001D" w:rsidP="00CB001D">
      <w:pPr>
        <w:jc w:val="both"/>
        <w:rPr>
          <w:rFonts w:ascii="Arial" w:eastAsia="Calibri" w:hAnsi="Arial" w:cs="Arial"/>
          <w:b/>
          <w:color w:val="000000" w:themeColor="text1"/>
          <w:sz w:val="21"/>
          <w:szCs w:val="21"/>
        </w:rPr>
      </w:pPr>
    </w:p>
    <w:p w14:paraId="71129719" w14:textId="5467B09D" w:rsidR="00CB001D" w:rsidRPr="00E629C8" w:rsidRDefault="00CB001D" w:rsidP="00CB001D">
      <w:pPr>
        <w:jc w:val="both"/>
        <w:rPr>
          <w:rFonts w:ascii="Arial" w:eastAsia="Calibri" w:hAnsi="Arial" w:cs="Arial"/>
          <w:b/>
          <w:color w:val="000000" w:themeColor="text1"/>
          <w:sz w:val="22"/>
        </w:rPr>
      </w:pPr>
      <w:r w:rsidRPr="00E629C8">
        <w:rPr>
          <w:rFonts w:ascii="Arial" w:eastAsia="Calibri" w:hAnsi="Arial" w:cs="Arial"/>
          <w:b/>
          <w:color w:val="000000" w:themeColor="text1"/>
          <w:sz w:val="22"/>
        </w:rPr>
        <w:t xml:space="preserve">DECRETO 92 DE 2017 </w:t>
      </w:r>
      <w:bookmarkStart w:id="1" w:name="_Hlk39666823"/>
      <w:r w:rsidR="00E629C8" w:rsidRPr="00E629C8">
        <w:rPr>
          <w:rFonts w:ascii="Arial" w:eastAsia="Calibri" w:hAnsi="Arial" w:cs="Arial"/>
          <w:b/>
          <w:color w:val="000000" w:themeColor="text1"/>
          <w:sz w:val="22"/>
        </w:rPr>
        <w:t>–</w:t>
      </w:r>
      <w:bookmarkEnd w:id="1"/>
      <w:r w:rsidRPr="00E629C8">
        <w:rPr>
          <w:rFonts w:ascii="Arial" w:eastAsia="Calibri" w:hAnsi="Arial" w:cs="Arial"/>
          <w:b/>
          <w:color w:val="000000" w:themeColor="text1"/>
          <w:sz w:val="22"/>
        </w:rPr>
        <w:t xml:space="preserve"> Expresión «Gobierno» </w:t>
      </w:r>
      <w:r w:rsidR="00E629C8" w:rsidRPr="00E629C8">
        <w:rPr>
          <w:rFonts w:ascii="Arial" w:eastAsia="Calibri" w:hAnsi="Arial" w:cs="Arial"/>
          <w:b/>
          <w:color w:val="000000" w:themeColor="text1"/>
          <w:sz w:val="22"/>
        </w:rPr>
        <w:t>–</w:t>
      </w:r>
      <w:r w:rsidRPr="00E629C8">
        <w:rPr>
          <w:rFonts w:ascii="Arial" w:eastAsia="Calibri" w:hAnsi="Arial" w:cs="Arial"/>
          <w:b/>
          <w:color w:val="000000" w:themeColor="text1"/>
          <w:sz w:val="22"/>
        </w:rPr>
        <w:t xml:space="preserve"> Alcance</w:t>
      </w:r>
    </w:p>
    <w:p w14:paraId="713B87D9" w14:textId="77777777" w:rsidR="00CB001D" w:rsidRPr="00600250" w:rsidRDefault="00CB001D" w:rsidP="00CB001D">
      <w:pPr>
        <w:jc w:val="both"/>
        <w:rPr>
          <w:rFonts w:ascii="Arial" w:hAnsi="Arial" w:cs="Arial"/>
          <w:color w:val="000000" w:themeColor="text1"/>
          <w:sz w:val="21"/>
          <w:szCs w:val="21"/>
        </w:rPr>
      </w:pPr>
    </w:p>
    <w:p w14:paraId="1E66BD7F" w14:textId="07CD4572" w:rsidR="00827DF6" w:rsidRDefault="00827DF6" w:rsidP="00827DF6">
      <w:pPr>
        <w:jc w:val="both"/>
        <w:rPr>
          <w:rFonts w:ascii="Arial" w:hAnsi="Arial" w:cs="Arial"/>
          <w:color w:val="000000" w:themeColor="text1"/>
          <w:sz w:val="20"/>
          <w:szCs w:val="20"/>
        </w:rPr>
      </w:pPr>
      <w:r w:rsidRPr="0E743003">
        <w:rPr>
          <w:rFonts w:ascii="Arial" w:eastAsia="Calibri" w:hAnsi="Arial" w:cs="Arial"/>
          <w:color w:val="000000" w:themeColor="text1"/>
          <w:sz w:val="20"/>
          <w:szCs w:val="20"/>
        </w:rPr>
        <w:t xml:space="preserve">[…] </w:t>
      </w:r>
      <w:r w:rsidR="45D9D032" w:rsidRPr="0E743003">
        <w:rPr>
          <w:rFonts w:ascii="Arial" w:eastAsia="Calibri" w:hAnsi="Arial" w:cs="Arial"/>
          <w:color w:val="000000" w:themeColor="text1"/>
          <w:sz w:val="20"/>
          <w:szCs w:val="20"/>
        </w:rPr>
        <w:t>l</w:t>
      </w:r>
      <w:r w:rsidR="00CB001D" w:rsidRPr="0E743003">
        <w:rPr>
          <w:rFonts w:ascii="Arial" w:hAnsi="Arial" w:cs="Arial"/>
          <w:color w:val="000000" w:themeColor="text1"/>
          <w:sz w:val="20"/>
          <w:szCs w:val="20"/>
        </w:rPr>
        <w:t>a expresión «Gobierno» no debe asimilarse a la noción «Gobierno Nacional», en los términos del artículo 115 de la Constitución Política, pues dicha interpretación desconoce el texto y la finalidad del artículo 355 ibidem, pues esta última disposición, al referirse al «Gobierno», menciona los niveles nacional, departamental, distr</w:t>
      </w:r>
      <w:bookmarkStart w:id="2" w:name="_GoBack"/>
      <w:bookmarkEnd w:id="2"/>
      <w:r w:rsidR="00CB001D" w:rsidRPr="0E743003">
        <w:rPr>
          <w:rFonts w:ascii="Arial" w:hAnsi="Arial" w:cs="Arial"/>
          <w:color w:val="000000" w:themeColor="text1"/>
          <w:sz w:val="20"/>
          <w:szCs w:val="20"/>
        </w:rPr>
        <w:t>ital y municipal. Dicha lectura, entonces, restaría el ámbito de aplicación del artículo constitucional que permite celebrar negocios con las ESAL. Además, si la intención del constituyente fuera restringir estos negocios al «Gobierno Nacional», hubiera hecho referencia expresa a este, tal y como lo hizo en el último aparte del segundo inciso del artículo 355 ejusdem, en el que dispuso expresa y puntualmente que: «[e]l Gobierno Nacional reglamentará la materia» (Cursivas propias).</w:t>
      </w:r>
    </w:p>
    <w:p w14:paraId="68C5B401" w14:textId="03977644" w:rsidR="00827DF6" w:rsidRDefault="00827DF6" w:rsidP="00827DF6">
      <w:pPr>
        <w:jc w:val="both"/>
        <w:rPr>
          <w:rFonts w:ascii="Arial" w:hAnsi="Arial" w:cs="Arial"/>
          <w:color w:val="000000" w:themeColor="text1"/>
          <w:sz w:val="20"/>
          <w:szCs w:val="20"/>
        </w:rPr>
      </w:pPr>
    </w:p>
    <w:p w14:paraId="36D85E35" w14:textId="77777777" w:rsidR="00A24FD7" w:rsidRPr="00A24FD7" w:rsidRDefault="00A24FD7" w:rsidP="00A24FD7">
      <w:pPr>
        <w:pStyle w:val="Default"/>
        <w:rPr>
          <w:sz w:val="20"/>
          <w:szCs w:val="20"/>
        </w:rPr>
      </w:pPr>
    </w:p>
    <w:p w14:paraId="25A2D718" w14:textId="4F4880C5" w:rsidR="00A24FD7" w:rsidRPr="00A24FD7" w:rsidRDefault="00A24FD7" w:rsidP="00A24FD7">
      <w:pPr>
        <w:pStyle w:val="Default"/>
        <w:rPr>
          <w:sz w:val="22"/>
          <w:szCs w:val="22"/>
        </w:rPr>
      </w:pPr>
      <w:r w:rsidRPr="00A24FD7">
        <w:rPr>
          <w:sz w:val="22"/>
          <w:szCs w:val="22"/>
        </w:rPr>
        <w:t xml:space="preserve">Bogotá D.C., </w:t>
      </w:r>
      <w:r w:rsidRPr="00A24FD7">
        <w:rPr>
          <w:b/>
          <w:bCs/>
          <w:sz w:val="22"/>
          <w:szCs w:val="22"/>
        </w:rPr>
        <w:t xml:space="preserve">17/03/2020 Hora 23:45:34s </w:t>
      </w:r>
    </w:p>
    <w:p w14:paraId="02A657F2" w14:textId="73228444" w:rsidR="006C01CE" w:rsidRPr="00A24FD7" w:rsidRDefault="00A24FD7" w:rsidP="00A24FD7">
      <w:pPr>
        <w:jc w:val="right"/>
        <w:rPr>
          <w:rFonts w:ascii="Arial" w:eastAsia="Calibri" w:hAnsi="Arial" w:cs="Arial"/>
          <w:color w:val="000000" w:themeColor="text1"/>
          <w:sz w:val="22"/>
          <w:lang w:val="es-ES"/>
        </w:rPr>
      </w:pPr>
      <w:r w:rsidRPr="00A24FD7">
        <w:rPr>
          <w:rFonts w:ascii="Arial" w:hAnsi="Arial" w:cs="Arial"/>
          <w:b/>
          <w:bCs/>
          <w:sz w:val="22"/>
        </w:rPr>
        <w:t>N° Radicado: 2202013000002007</w:t>
      </w:r>
    </w:p>
    <w:p w14:paraId="161BC5D2" w14:textId="77777777" w:rsidR="00A24FD7" w:rsidRDefault="00A24FD7" w:rsidP="006C01CE">
      <w:pPr>
        <w:rPr>
          <w:rFonts w:ascii="Arial" w:eastAsia="Calibri" w:hAnsi="Arial" w:cs="Arial"/>
          <w:color w:val="000000" w:themeColor="text1"/>
          <w:sz w:val="22"/>
          <w:lang w:val="es-ES"/>
        </w:rPr>
      </w:pPr>
    </w:p>
    <w:p w14:paraId="428896E3" w14:textId="1321E35B" w:rsidR="006C01CE" w:rsidRPr="00600250" w:rsidRDefault="006C01CE" w:rsidP="006C01CE">
      <w:pPr>
        <w:rPr>
          <w:rFonts w:ascii="Arial" w:eastAsia="Calibri" w:hAnsi="Arial" w:cs="Arial"/>
          <w:color w:val="000000" w:themeColor="text1"/>
          <w:sz w:val="22"/>
          <w:lang w:val="es-ES"/>
        </w:rPr>
      </w:pPr>
      <w:r w:rsidRPr="00600250">
        <w:rPr>
          <w:rFonts w:ascii="Arial" w:eastAsia="Calibri" w:hAnsi="Arial" w:cs="Arial"/>
          <w:color w:val="000000" w:themeColor="text1"/>
          <w:sz w:val="22"/>
          <w:lang w:val="es-ES"/>
        </w:rPr>
        <w:t>Señor</w:t>
      </w:r>
    </w:p>
    <w:p w14:paraId="0D11503F" w14:textId="77777777" w:rsidR="006C01CE" w:rsidRPr="00600250" w:rsidRDefault="006C01CE" w:rsidP="006C01CE">
      <w:pPr>
        <w:spacing w:line="276" w:lineRule="auto"/>
        <w:rPr>
          <w:rFonts w:ascii="Arial" w:hAnsi="Arial" w:cs="Arial"/>
          <w:color w:val="000000" w:themeColor="text1"/>
          <w:sz w:val="22"/>
          <w:lang w:val="es-ES"/>
        </w:rPr>
      </w:pPr>
      <w:r w:rsidRPr="00600250">
        <w:rPr>
          <w:rFonts w:ascii="Arial" w:hAnsi="Arial" w:cs="Arial"/>
          <w:color w:val="000000" w:themeColor="text1"/>
          <w:sz w:val="22"/>
          <w:lang w:val="es-ES"/>
        </w:rPr>
        <w:t>Beatriz Eugenia Victoria</w:t>
      </w:r>
    </w:p>
    <w:p w14:paraId="6C4039D4" w14:textId="77777777" w:rsidR="006C01CE" w:rsidRPr="00600250" w:rsidRDefault="006C01CE" w:rsidP="006C01CE">
      <w:pPr>
        <w:rPr>
          <w:rFonts w:ascii="Arial" w:eastAsia="Calibri" w:hAnsi="Arial" w:cs="Arial"/>
          <w:color w:val="000000" w:themeColor="text1"/>
          <w:sz w:val="22"/>
          <w:lang w:val="es-ES"/>
        </w:rPr>
      </w:pPr>
      <w:r w:rsidRPr="00600250">
        <w:rPr>
          <w:rFonts w:ascii="Arial" w:eastAsia="Calibri" w:hAnsi="Arial" w:cs="Arial"/>
          <w:color w:val="000000" w:themeColor="text1"/>
          <w:sz w:val="22"/>
          <w:lang w:val="es-ES"/>
        </w:rPr>
        <w:t>Ciudad</w:t>
      </w:r>
    </w:p>
    <w:p w14:paraId="76F77C03" w14:textId="77777777" w:rsidR="006C01CE" w:rsidRPr="00600250" w:rsidRDefault="006C01CE" w:rsidP="006C01CE">
      <w:pPr>
        <w:jc w:val="center"/>
        <w:rPr>
          <w:rFonts w:ascii="Arial" w:eastAsia="Calibri" w:hAnsi="Arial" w:cs="Arial"/>
          <w:b/>
          <w:color w:val="000000" w:themeColor="text1"/>
          <w:sz w:val="22"/>
          <w:lang w:val="es-ES"/>
        </w:rPr>
      </w:pPr>
    </w:p>
    <w:p w14:paraId="0F5D84FD" w14:textId="313CCE9D" w:rsidR="006C01CE" w:rsidRPr="00600250" w:rsidRDefault="006C01CE" w:rsidP="006C01CE">
      <w:pPr>
        <w:jc w:val="center"/>
        <w:rPr>
          <w:rFonts w:ascii="Arial" w:eastAsia="Calibri" w:hAnsi="Arial" w:cs="Arial"/>
          <w:b/>
          <w:color w:val="000000" w:themeColor="text1"/>
          <w:sz w:val="22"/>
          <w:lang w:val="es-ES"/>
        </w:rPr>
      </w:pPr>
      <w:r w:rsidRPr="00600250">
        <w:rPr>
          <w:rFonts w:ascii="Arial" w:eastAsia="Calibri" w:hAnsi="Arial" w:cs="Arial"/>
          <w:b/>
          <w:color w:val="000000" w:themeColor="text1"/>
          <w:sz w:val="22"/>
          <w:lang w:val="es-ES"/>
        </w:rPr>
        <w:t xml:space="preserve">Concepto C – </w:t>
      </w:r>
      <w:r w:rsidR="0059438C" w:rsidRPr="00600250">
        <w:rPr>
          <w:rFonts w:ascii="Arial" w:eastAsia="Calibri" w:hAnsi="Arial" w:cs="Arial"/>
          <w:b/>
          <w:color w:val="000000" w:themeColor="text1"/>
          <w:sz w:val="22"/>
          <w:lang w:val="es-ES"/>
        </w:rPr>
        <w:t>228</w:t>
      </w:r>
      <w:r w:rsidRPr="00600250">
        <w:rPr>
          <w:rFonts w:ascii="Arial" w:eastAsia="Calibri" w:hAnsi="Arial" w:cs="Arial"/>
          <w:b/>
          <w:color w:val="000000" w:themeColor="text1"/>
          <w:sz w:val="22"/>
          <w:lang w:val="es-ES"/>
        </w:rPr>
        <w:t xml:space="preserve"> de 2020</w:t>
      </w:r>
    </w:p>
    <w:p w14:paraId="11C3A82B" w14:textId="77777777" w:rsidR="006C01CE" w:rsidRPr="00600250" w:rsidRDefault="006C01CE" w:rsidP="006C01CE">
      <w:pPr>
        <w:rPr>
          <w:rFonts w:ascii="Arial" w:eastAsia="Calibri" w:hAnsi="Arial" w:cs="Arial"/>
          <w:color w:val="000000" w:themeColor="text1"/>
          <w:sz w:val="22"/>
          <w:lang w:val="es-ES"/>
        </w:rPr>
      </w:pPr>
    </w:p>
    <w:p w14:paraId="1A172D53" w14:textId="77777777" w:rsidR="006C01CE" w:rsidRPr="00600250" w:rsidRDefault="006C01CE" w:rsidP="006C01CE">
      <w:pPr>
        <w:rPr>
          <w:rFonts w:ascii="Arial" w:eastAsia="Calibri" w:hAnsi="Arial" w:cs="Arial"/>
          <w:color w:val="000000" w:themeColor="text1"/>
          <w:sz w:val="22"/>
          <w:lang w:val="es-ES"/>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600250" w:rsidRPr="00600250" w14:paraId="5BE7B537" w14:textId="33F0FA4E" w:rsidTr="00340B07">
        <w:tc>
          <w:tcPr>
            <w:tcW w:w="2689" w:type="dxa"/>
            <w:hideMark/>
          </w:tcPr>
          <w:p w14:paraId="0632895F" w14:textId="77777777" w:rsidR="00340B07" w:rsidRPr="00600250" w:rsidRDefault="00340B07" w:rsidP="00F52FAB">
            <w:pPr>
              <w:rPr>
                <w:rFonts w:ascii="Arial" w:eastAsia="Calibri" w:hAnsi="Arial" w:cs="Arial"/>
                <w:color w:val="000000" w:themeColor="text1"/>
                <w:sz w:val="22"/>
                <w:lang w:val="es-ES"/>
              </w:rPr>
            </w:pPr>
            <w:r w:rsidRPr="00600250">
              <w:rPr>
                <w:rFonts w:ascii="Arial" w:eastAsia="Calibri" w:hAnsi="Arial" w:cs="Arial"/>
                <w:b/>
                <w:color w:val="000000" w:themeColor="text1"/>
                <w:sz w:val="22"/>
                <w:lang w:val="es-ES"/>
              </w:rPr>
              <w:t>Temas:</w:t>
            </w:r>
            <w:r w:rsidRPr="00600250">
              <w:rPr>
                <w:rFonts w:ascii="Arial" w:eastAsia="Calibri" w:hAnsi="Arial" w:cs="Arial"/>
                <w:color w:val="000000" w:themeColor="text1"/>
                <w:sz w:val="22"/>
                <w:lang w:val="es-ES"/>
              </w:rPr>
              <w:t xml:space="preserve">           </w:t>
            </w:r>
          </w:p>
          <w:p w14:paraId="5BCCA82C" w14:textId="77777777" w:rsidR="00340B07" w:rsidRPr="00600250" w:rsidRDefault="00340B07" w:rsidP="00F52FAB">
            <w:pPr>
              <w:rPr>
                <w:rFonts w:ascii="Arial" w:eastAsia="Calibri" w:hAnsi="Arial" w:cs="Arial"/>
                <w:color w:val="000000" w:themeColor="text1"/>
                <w:sz w:val="22"/>
                <w:lang w:val="es-ES"/>
              </w:rPr>
            </w:pPr>
            <w:r w:rsidRPr="00600250">
              <w:rPr>
                <w:rFonts w:ascii="Arial" w:eastAsia="Calibri" w:hAnsi="Arial" w:cs="Arial"/>
                <w:color w:val="000000" w:themeColor="text1"/>
                <w:sz w:val="22"/>
                <w:lang w:val="es-ES"/>
              </w:rPr>
              <w:t xml:space="preserve">                           </w:t>
            </w:r>
          </w:p>
        </w:tc>
        <w:tc>
          <w:tcPr>
            <w:tcW w:w="6237" w:type="dxa"/>
            <w:hideMark/>
          </w:tcPr>
          <w:p w14:paraId="555C95B2" w14:textId="179A5FD2" w:rsidR="00340B07" w:rsidRPr="00600250" w:rsidRDefault="00CB001D" w:rsidP="00C47FA6">
            <w:pPr>
              <w:jc w:val="both"/>
              <w:rPr>
                <w:rFonts w:ascii="Arial" w:eastAsia="Calibri" w:hAnsi="Arial" w:cs="Arial"/>
                <w:color w:val="000000" w:themeColor="text1"/>
                <w:sz w:val="22"/>
                <w:lang w:val="es-ES"/>
              </w:rPr>
            </w:pPr>
            <w:r w:rsidRPr="00600250">
              <w:rPr>
                <w:rFonts w:ascii="Arial" w:eastAsia="Calibri" w:hAnsi="Arial" w:cs="Arial"/>
                <w:bCs/>
                <w:color w:val="000000" w:themeColor="text1"/>
                <w:sz w:val="21"/>
                <w:szCs w:val="21"/>
              </w:rPr>
              <w:t>CONTRATACIÓN CON ESAL – Contrato de colaboración – Objeto y alcan</w:t>
            </w:r>
            <w:r w:rsidR="00C47FA6">
              <w:rPr>
                <w:rFonts w:ascii="Arial" w:eastAsia="Calibri" w:hAnsi="Arial" w:cs="Arial"/>
                <w:bCs/>
                <w:color w:val="000000" w:themeColor="text1"/>
                <w:sz w:val="21"/>
                <w:szCs w:val="21"/>
              </w:rPr>
              <w:t xml:space="preserve">ce – Multiplicidad de sujetos </w:t>
            </w:r>
            <w:r w:rsidR="00C47FA6" w:rsidRPr="00C47FA6">
              <w:rPr>
                <w:rFonts w:ascii="Arial" w:eastAsia="Calibri" w:hAnsi="Arial" w:cs="Arial"/>
                <w:bCs/>
                <w:color w:val="000000" w:themeColor="text1"/>
                <w:sz w:val="21"/>
                <w:szCs w:val="21"/>
              </w:rPr>
              <w:t>– L</w:t>
            </w:r>
            <w:r w:rsidRPr="00600250">
              <w:rPr>
                <w:rFonts w:ascii="Arial" w:eastAsia="Calibri" w:hAnsi="Arial" w:cs="Arial"/>
                <w:bCs/>
                <w:color w:val="000000" w:themeColor="text1"/>
                <w:sz w:val="21"/>
                <w:szCs w:val="21"/>
              </w:rPr>
              <w:t xml:space="preserve">ímites legales / DECRETO 92 de 2017 ― Criterios </w:t>
            </w:r>
            <w:r w:rsidR="00C47FA6" w:rsidRPr="00C47FA6">
              <w:rPr>
                <w:rFonts w:ascii="Arial" w:eastAsia="Calibri" w:hAnsi="Arial" w:cs="Arial"/>
                <w:bCs/>
                <w:color w:val="000000" w:themeColor="text1"/>
                <w:sz w:val="21"/>
                <w:szCs w:val="21"/>
              </w:rPr>
              <w:t xml:space="preserve">– </w:t>
            </w:r>
            <w:r w:rsidR="00C47FA6">
              <w:rPr>
                <w:rFonts w:ascii="Arial" w:eastAsia="Calibri" w:hAnsi="Arial" w:cs="Arial"/>
                <w:bCs/>
                <w:color w:val="000000" w:themeColor="text1"/>
                <w:sz w:val="21"/>
                <w:szCs w:val="21"/>
              </w:rPr>
              <w:t>A</w:t>
            </w:r>
            <w:r w:rsidRPr="00600250">
              <w:rPr>
                <w:rFonts w:ascii="Arial" w:eastAsia="Calibri" w:hAnsi="Arial" w:cs="Arial"/>
                <w:bCs/>
                <w:color w:val="000000" w:themeColor="text1"/>
                <w:sz w:val="21"/>
                <w:szCs w:val="21"/>
              </w:rPr>
              <w:t>plicación / CONTRATACIÓN CON ESAL ― Contratos de colaboración cuyo objeto corresponde a actividades artísticas, culturales, deportivas y de promoción de la diversidad étnica colombiana – Suspensión provisional / DECRETO 92 de 2017 ― Criterios que determinan su aplicación – Ámbito de aplicación ― Entidades habilitadas para aplicarlo – Expresión «Gobierno» – Alcance</w:t>
            </w:r>
          </w:p>
        </w:tc>
        <w:tc>
          <w:tcPr>
            <w:tcW w:w="6237" w:type="dxa"/>
          </w:tcPr>
          <w:p w14:paraId="3EBF3EBB" w14:textId="77777777" w:rsidR="00340B07" w:rsidRPr="00600250" w:rsidRDefault="00340B07" w:rsidP="00F52FAB">
            <w:pPr>
              <w:jc w:val="both"/>
              <w:rPr>
                <w:rFonts w:ascii="Arial" w:eastAsia="Calibri" w:hAnsi="Arial" w:cs="Arial"/>
                <w:color w:val="000000" w:themeColor="text1"/>
                <w:sz w:val="22"/>
                <w:lang w:val="es-ES"/>
              </w:rPr>
            </w:pPr>
          </w:p>
        </w:tc>
      </w:tr>
      <w:tr w:rsidR="00340B07" w:rsidRPr="00600250" w14:paraId="13709E3B" w14:textId="49D64ED8" w:rsidTr="00340B07">
        <w:tc>
          <w:tcPr>
            <w:tcW w:w="2689" w:type="dxa"/>
          </w:tcPr>
          <w:p w14:paraId="631FD9DE" w14:textId="77777777" w:rsidR="00340B07" w:rsidRPr="00600250" w:rsidRDefault="00340B07" w:rsidP="00F52FAB">
            <w:pPr>
              <w:rPr>
                <w:rFonts w:ascii="Arial" w:eastAsia="Calibri" w:hAnsi="Arial" w:cs="Arial"/>
                <w:b/>
                <w:color w:val="000000" w:themeColor="text1"/>
                <w:sz w:val="22"/>
                <w:lang w:val="es-ES"/>
              </w:rPr>
            </w:pPr>
            <w:r w:rsidRPr="00600250">
              <w:rPr>
                <w:rFonts w:ascii="Arial" w:eastAsia="Calibri" w:hAnsi="Arial" w:cs="Arial"/>
                <w:b/>
                <w:color w:val="000000" w:themeColor="text1"/>
                <w:sz w:val="22"/>
                <w:lang w:val="es-ES"/>
              </w:rPr>
              <w:t>Radicación:</w:t>
            </w:r>
            <w:r w:rsidRPr="00600250">
              <w:rPr>
                <w:rFonts w:ascii="Arial" w:eastAsia="Calibri" w:hAnsi="Arial" w:cs="Arial"/>
                <w:color w:val="000000" w:themeColor="text1"/>
                <w:sz w:val="22"/>
                <w:lang w:val="es-ES"/>
              </w:rPr>
              <w:t xml:space="preserve">                              </w:t>
            </w:r>
          </w:p>
        </w:tc>
        <w:tc>
          <w:tcPr>
            <w:tcW w:w="6237" w:type="dxa"/>
          </w:tcPr>
          <w:p w14:paraId="57F60026" w14:textId="77777777" w:rsidR="00340B07" w:rsidRPr="00600250" w:rsidRDefault="00340B07" w:rsidP="00F52FAB">
            <w:pPr>
              <w:jc w:val="both"/>
              <w:rPr>
                <w:rFonts w:ascii="Arial" w:eastAsia="Calibri" w:hAnsi="Arial" w:cs="Arial"/>
                <w:color w:val="000000" w:themeColor="text1"/>
                <w:sz w:val="22"/>
                <w:lang w:val="es-ES"/>
              </w:rPr>
            </w:pPr>
            <w:r w:rsidRPr="00600250">
              <w:rPr>
                <w:rFonts w:ascii="Arial" w:eastAsia="Calibri" w:hAnsi="Arial" w:cs="Arial"/>
                <w:color w:val="000000" w:themeColor="text1"/>
                <w:sz w:val="22"/>
                <w:lang w:val="es-ES"/>
              </w:rPr>
              <w:t xml:space="preserve">Respuesta a la consulta # </w:t>
            </w:r>
            <w:r w:rsidRPr="00600250">
              <w:rPr>
                <w:rFonts w:ascii="Arial" w:hAnsi="Arial" w:cs="Arial"/>
                <w:color w:val="000000" w:themeColor="text1"/>
                <w:sz w:val="22"/>
                <w:lang w:val="es-ES"/>
              </w:rPr>
              <w:t>4202012000000217</w:t>
            </w:r>
          </w:p>
        </w:tc>
        <w:tc>
          <w:tcPr>
            <w:tcW w:w="6237" w:type="dxa"/>
          </w:tcPr>
          <w:p w14:paraId="3D9B962D" w14:textId="77777777" w:rsidR="00340B07" w:rsidRPr="00600250" w:rsidRDefault="00340B07" w:rsidP="00F52FAB">
            <w:pPr>
              <w:jc w:val="both"/>
              <w:rPr>
                <w:rFonts w:ascii="Arial" w:eastAsia="Calibri" w:hAnsi="Arial" w:cs="Arial"/>
                <w:color w:val="000000" w:themeColor="text1"/>
                <w:sz w:val="22"/>
                <w:lang w:val="es-ES"/>
              </w:rPr>
            </w:pPr>
          </w:p>
        </w:tc>
      </w:tr>
    </w:tbl>
    <w:p w14:paraId="6272EA8A" w14:textId="4280BFC3" w:rsidR="006C01CE" w:rsidRDefault="006C01CE" w:rsidP="006C01CE">
      <w:pPr>
        <w:jc w:val="both"/>
        <w:rPr>
          <w:rFonts w:ascii="Arial" w:eastAsia="Calibri" w:hAnsi="Arial" w:cs="Arial"/>
          <w:color w:val="000000" w:themeColor="text1"/>
          <w:sz w:val="22"/>
          <w:lang w:val="es-ES"/>
        </w:rPr>
      </w:pPr>
    </w:p>
    <w:p w14:paraId="604977B3" w14:textId="77777777" w:rsidR="00A24FD7" w:rsidRPr="00600250" w:rsidRDefault="00A24FD7" w:rsidP="006C01CE">
      <w:pPr>
        <w:jc w:val="both"/>
        <w:rPr>
          <w:rFonts w:ascii="Arial" w:eastAsia="Calibri" w:hAnsi="Arial" w:cs="Arial"/>
          <w:color w:val="000000" w:themeColor="text1"/>
          <w:sz w:val="22"/>
          <w:lang w:val="es-ES"/>
        </w:rPr>
      </w:pPr>
    </w:p>
    <w:p w14:paraId="6D9C974E" w14:textId="77777777" w:rsidR="006C01CE" w:rsidRPr="00600250" w:rsidRDefault="006C01CE" w:rsidP="006C01CE">
      <w:pPr>
        <w:jc w:val="both"/>
        <w:rPr>
          <w:rFonts w:ascii="Arial" w:eastAsia="Calibri" w:hAnsi="Arial" w:cs="Arial"/>
          <w:color w:val="000000" w:themeColor="text1"/>
          <w:sz w:val="22"/>
          <w:lang w:val="es-ES"/>
        </w:rPr>
      </w:pPr>
    </w:p>
    <w:p w14:paraId="2B65901C" w14:textId="77777777" w:rsidR="006C01CE" w:rsidRPr="00600250" w:rsidRDefault="006C01CE" w:rsidP="006C01CE">
      <w:pPr>
        <w:rPr>
          <w:rFonts w:ascii="Arial" w:eastAsia="Calibri" w:hAnsi="Arial" w:cs="Arial"/>
          <w:color w:val="000000" w:themeColor="text1"/>
          <w:sz w:val="22"/>
          <w:lang w:val="es-ES"/>
        </w:rPr>
      </w:pPr>
      <w:r w:rsidRPr="00600250">
        <w:rPr>
          <w:rFonts w:ascii="Arial" w:eastAsia="Calibri" w:hAnsi="Arial" w:cs="Arial"/>
          <w:color w:val="000000" w:themeColor="text1"/>
          <w:sz w:val="22"/>
          <w:lang w:val="es-ES"/>
        </w:rPr>
        <w:lastRenderedPageBreak/>
        <w:t>Estimada señora,</w:t>
      </w:r>
    </w:p>
    <w:p w14:paraId="725656EA" w14:textId="77777777" w:rsidR="006C01CE" w:rsidRPr="00600250" w:rsidRDefault="006C01CE" w:rsidP="006C01CE">
      <w:pPr>
        <w:rPr>
          <w:rFonts w:ascii="Arial" w:eastAsia="Calibri" w:hAnsi="Arial" w:cs="Arial"/>
          <w:color w:val="000000" w:themeColor="text1"/>
          <w:sz w:val="22"/>
          <w:lang w:val="es-ES"/>
        </w:rPr>
      </w:pPr>
    </w:p>
    <w:p w14:paraId="7551398E" w14:textId="77777777" w:rsidR="006C01CE" w:rsidRPr="00600250" w:rsidRDefault="006C01CE" w:rsidP="006C01CE">
      <w:pPr>
        <w:spacing w:line="276" w:lineRule="auto"/>
        <w:ind w:right="49"/>
        <w:jc w:val="both"/>
        <w:rPr>
          <w:rFonts w:ascii="Arial" w:hAnsi="Arial" w:cs="Arial"/>
          <w:color w:val="000000" w:themeColor="text1"/>
          <w:sz w:val="22"/>
          <w:lang w:val="es-ES"/>
        </w:rPr>
      </w:pPr>
      <w:r w:rsidRPr="00600250">
        <w:rPr>
          <w:rFonts w:ascii="Arial" w:eastAsia="Calibri" w:hAnsi="Arial" w:cs="Arial"/>
          <w:color w:val="000000" w:themeColor="text1"/>
          <w:sz w:val="22"/>
          <w:lang w:val="es-ES"/>
        </w:rPr>
        <w:t xml:space="preserve">La Agencia Nacional de Contratación Pública – Colombia Compra Eficiente responde su consulta del </w:t>
      </w:r>
      <w:r w:rsidRPr="00600250">
        <w:rPr>
          <w:rFonts w:ascii="Arial" w:hAnsi="Arial" w:cs="Arial"/>
          <w:color w:val="000000" w:themeColor="text1"/>
          <w:sz w:val="22"/>
          <w:lang w:val="es-ES"/>
        </w:rPr>
        <w:t>14 de enero de 2020</w:t>
      </w:r>
      <w:r w:rsidRPr="00600250">
        <w:rPr>
          <w:rFonts w:ascii="Arial" w:eastAsia="Calibri" w:hAnsi="Arial" w:cs="Arial"/>
          <w:color w:val="000000" w:themeColor="text1"/>
          <w:sz w:val="22"/>
          <w:lang w:val="es-ES"/>
        </w:rPr>
        <w:t xml:space="preserve">, en ejercicio de la competencia otorgada por el numeral 8 del artículo 11 y el numeral 5 del artículo 3 del Decreto Ley 4170 de 2011. </w:t>
      </w:r>
    </w:p>
    <w:p w14:paraId="4819E1D0" w14:textId="77777777" w:rsidR="006C01CE" w:rsidRPr="00600250" w:rsidRDefault="006C01CE" w:rsidP="006C01CE">
      <w:pPr>
        <w:spacing w:line="276" w:lineRule="auto"/>
        <w:jc w:val="both"/>
        <w:rPr>
          <w:rFonts w:ascii="Arial" w:eastAsia="Calibri" w:hAnsi="Arial" w:cs="Arial"/>
          <w:color w:val="000000" w:themeColor="text1"/>
          <w:sz w:val="22"/>
          <w:lang w:val="es-ES"/>
        </w:rPr>
      </w:pPr>
    </w:p>
    <w:p w14:paraId="23F8D1B0" w14:textId="77777777" w:rsidR="006C01CE" w:rsidRPr="00600250" w:rsidRDefault="006C01CE" w:rsidP="006C01C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
        </w:rPr>
      </w:pPr>
      <w:r w:rsidRPr="00600250">
        <w:rPr>
          <w:rFonts w:ascii="Arial" w:eastAsia="Calibri" w:hAnsi="Arial" w:cs="Arial"/>
          <w:b/>
          <w:color w:val="000000" w:themeColor="text1"/>
          <w:sz w:val="22"/>
          <w:lang w:val="es-ES"/>
        </w:rPr>
        <w:t xml:space="preserve">Problema planteado </w:t>
      </w:r>
    </w:p>
    <w:p w14:paraId="1B9120B6" w14:textId="77777777" w:rsidR="006C01CE" w:rsidRPr="00600250" w:rsidRDefault="006C01CE" w:rsidP="006C01CE">
      <w:pPr>
        <w:tabs>
          <w:tab w:val="left" w:pos="426"/>
        </w:tabs>
        <w:spacing w:line="276" w:lineRule="auto"/>
        <w:jc w:val="both"/>
        <w:rPr>
          <w:rFonts w:ascii="Arial" w:eastAsia="Calibri" w:hAnsi="Arial" w:cs="Arial"/>
          <w:b/>
          <w:color w:val="000000" w:themeColor="text1"/>
          <w:sz w:val="22"/>
          <w:lang w:val="es-ES"/>
        </w:rPr>
      </w:pPr>
    </w:p>
    <w:p w14:paraId="29A09C71" w14:textId="6535047B" w:rsidR="006C01CE" w:rsidRPr="00600250" w:rsidRDefault="006C01CE" w:rsidP="006C01CE">
      <w:pPr>
        <w:spacing w:line="276" w:lineRule="auto"/>
        <w:jc w:val="both"/>
        <w:rPr>
          <w:rFonts w:ascii="Arial" w:hAnsi="Arial" w:cs="Arial"/>
          <w:color w:val="000000" w:themeColor="text1"/>
          <w:sz w:val="22"/>
          <w:lang w:val="es-ES"/>
        </w:rPr>
      </w:pPr>
      <w:r w:rsidRPr="00600250">
        <w:rPr>
          <w:rFonts w:ascii="Arial" w:eastAsia="Calibri" w:hAnsi="Arial" w:cs="Arial"/>
          <w:color w:val="000000" w:themeColor="text1"/>
          <w:sz w:val="22"/>
          <w:lang w:val="es-ES"/>
        </w:rPr>
        <w:t>Usted realizó la siguiente pregunta: «La consulta está relacionada con […] la forma de contratación para las ESAL que se encuentra (sic) excluidas en el Decreto 092 de 2017 (Mencionados en la Circular Única de Contratación de Colombia Compra Eficiente de abril de 2019). [¿En] Qué casos aplicaría la contratación directa si el apoyo a la gestión es para la prestación de servicios de atención sociosanitaria para población de protección constitucional[?]»</w:t>
      </w:r>
      <w:r w:rsidR="00E22994" w:rsidRPr="00600250">
        <w:rPr>
          <w:rFonts w:ascii="Arial" w:eastAsia="Calibri" w:hAnsi="Arial" w:cs="Arial"/>
          <w:color w:val="000000" w:themeColor="text1"/>
          <w:sz w:val="22"/>
          <w:lang w:val="es-ES"/>
        </w:rPr>
        <w:t xml:space="preserve">. </w:t>
      </w:r>
    </w:p>
    <w:p w14:paraId="119E68FB" w14:textId="77777777" w:rsidR="006C01CE" w:rsidRPr="00600250" w:rsidRDefault="006C01CE" w:rsidP="00E22994">
      <w:pPr>
        <w:tabs>
          <w:tab w:val="left" w:pos="426"/>
        </w:tabs>
        <w:spacing w:line="276" w:lineRule="auto"/>
        <w:jc w:val="both"/>
        <w:rPr>
          <w:rFonts w:ascii="Arial" w:eastAsia="Calibri" w:hAnsi="Arial" w:cs="Arial"/>
          <w:color w:val="000000" w:themeColor="text1"/>
          <w:sz w:val="22"/>
          <w:lang w:val="es-ES"/>
        </w:rPr>
      </w:pPr>
    </w:p>
    <w:p w14:paraId="201765D5" w14:textId="77777777" w:rsidR="00CB001D" w:rsidRPr="00600250" w:rsidRDefault="00CB001D" w:rsidP="00E22994">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600250">
        <w:rPr>
          <w:rFonts w:ascii="Arial" w:eastAsia="Calibri" w:hAnsi="Arial" w:cs="Arial"/>
          <w:b/>
          <w:color w:val="000000" w:themeColor="text1"/>
          <w:sz w:val="22"/>
        </w:rPr>
        <w:t>Consideraciones</w:t>
      </w:r>
    </w:p>
    <w:p w14:paraId="3CAA534D" w14:textId="77777777" w:rsidR="00CB001D" w:rsidRPr="00600250" w:rsidRDefault="00CB001D" w:rsidP="00E22994">
      <w:pPr>
        <w:pStyle w:val="Sinespaciado"/>
        <w:spacing w:line="276" w:lineRule="auto"/>
        <w:jc w:val="both"/>
        <w:rPr>
          <w:rFonts w:ascii="Arial" w:hAnsi="Arial" w:cs="Arial"/>
          <w:color w:val="000000" w:themeColor="text1"/>
          <w:sz w:val="22"/>
        </w:rPr>
      </w:pPr>
    </w:p>
    <w:p w14:paraId="6D4A9047" w14:textId="77777777" w:rsidR="00CB001D" w:rsidRPr="00600250" w:rsidRDefault="00CB001D" w:rsidP="00E22994">
      <w:pPr>
        <w:pStyle w:val="Sinespaciado"/>
        <w:tabs>
          <w:tab w:val="left" w:pos="426"/>
        </w:tabs>
        <w:spacing w:line="276" w:lineRule="auto"/>
        <w:jc w:val="both"/>
        <w:rPr>
          <w:rFonts w:ascii="Arial" w:hAnsi="Arial" w:cs="Arial"/>
          <w:b/>
          <w:bCs/>
          <w:i/>
          <w:iCs/>
          <w:color w:val="000000" w:themeColor="text1"/>
          <w:sz w:val="22"/>
        </w:rPr>
      </w:pPr>
      <w:r w:rsidRPr="00600250">
        <w:rPr>
          <w:rFonts w:ascii="Arial" w:hAnsi="Arial" w:cs="Arial"/>
          <w:b/>
          <w:bCs/>
          <w:color w:val="000000" w:themeColor="text1"/>
          <w:sz w:val="22"/>
        </w:rPr>
        <w:t>2.1.</w:t>
      </w:r>
      <w:r w:rsidRPr="00600250">
        <w:rPr>
          <w:rFonts w:ascii="Arial" w:hAnsi="Arial" w:cs="Arial"/>
          <w:b/>
          <w:bCs/>
          <w:color w:val="000000" w:themeColor="text1"/>
          <w:sz w:val="22"/>
        </w:rPr>
        <w:tab/>
        <w:t>Los artículos 355 de la Constitución Política y 96 de la Ley 489 de 1998</w:t>
      </w:r>
    </w:p>
    <w:p w14:paraId="608DF5CB" w14:textId="77777777" w:rsidR="00CB001D" w:rsidRPr="00600250" w:rsidRDefault="00CB001D" w:rsidP="00E22994">
      <w:pPr>
        <w:pStyle w:val="Sinespaciado"/>
        <w:spacing w:line="276" w:lineRule="auto"/>
        <w:jc w:val="both"/>
        <w:rPr>
          <w:rFonts w:ascii="Arial" w:hAnsi="Arial" w:cs="Arial"/>
          <w:i/>
          <w:iCs/>
          <w:color w:val="000000" w:themeColor="text1"/>
          <w:sz w:val="22"/>
        </w:rPr>
      </w:pPr>
    </w:p>
    <w:p w14:paraId="411B4C48" w14:textId="6FD10068" w:rsidR="00CB001D" w:rsidRPr="00600250" w:rsidRDefault="00CB001D" w:rsidP="00E22994">
      <w:pPr>
        <w:spacing w:line="276" w:lineRule="auto"/>
        <w:jc w:val="both"/>
        <w:rPr>
          <w:rFonts w:ascii="Arial" w:eastAsia="Calibri" w:hAnsi="Arial" w:cs="Arial"/>
          <w:color w:val="000000" w:themeColor="text1"/>
          <w:sz w:val="22"/>
        </w:rPr>
      </w:pPr>
      <w:r w:rsidRPr="00600250">
        <w:rPr>
          <w:rFonts w:ascii="Arial" w:eastAsia="Calibri" w:hAnsi="Arial" w:cs="Arial"/>
          <w:color w:val="000000" w:themeColor="text1"/>
          <w:sz w:val="22"/>
        </w:rPr>
        <w:t>La Agencia Nacional de Contratación Pública</w:t>
      </w:r>
      <w:r w:rsidR="00E22994" w:rsidRPr="00600250">
        <w:rPr>
          <w:rFonts w:ascii="Arial" w:eastAsia="Calibri" w:hAnsi="Arial" w:cs="Arial"/>
          <w:color w:val="000000" w:themeColor="text1"/>
          <w:sz w:val="22"/>
        </w:rPr>
        <w:t xml:space="preserve"> </w:t>
      </w:r>
      <w:r w:rsidRPr="00600250">
        <w:rPr>
          <w:rFonts w:ascii="Arial" w:eastAsia="Calibri" w:hAnsi="Arial" w:cs="Arial"/>
          <w:color w:val="000000" w:themeColor="text1"/>
          <w:sz w:val="22"/>
        </w:rPr>
        <w:t>―</w:t>
      </w:r>
      <w:r w:rsidR="00E22994" w:rsidRPr="00600250">
        <w:rPr>
          <w:rFonts w:ascii="Arial" w:eastAsia="Calibri" w:hAnsi="Arial" w:cs="Arial"/>
          <w:color w:val="000000" w:themeColor="text1"/>
          <w:sz w:val="22"/>
        </w:rPr>
        <w:t xml:space="preserve"> </w:t>
      </w:r>
      <w:r w:rsidRPr="00600250">
        <w:rPr>
          <w:rFonts w:ascii="Arial" w:eastAsia="Calibri" w:hAnsi="Arial" w:cs="Arial"/>
          <w:color w:val="000000" w:themeColor="text1"/>
          <w:sz w:val="22"/>
        </w:rPr>
        <w:t xml:space="preserve">Colombia Compra Eficiente se ha pronunciado en diferentes conceptos sobre la contratación con </w:t>
      </w:r>
      <w:r w:rsidRPr="00600250">
        <w:rPr>
          <w:rFonts w:ascii="Arial" w:hAnsi="Arial" w:cs="Arial"/>
          <w:color w:val="000000" w:themeColor="text1"/>
          <w:sz w:val="22"/>
        </w:rPr>
        <w:t>entidades privadas sin ánimo de lucro y de reconocida idoneidad</w:t>
      </w:r>
      <w:r w:rsidRPr="00600250">
        <w:rPr>
          <w:rFonts w:ascii="Arial" w:eastAsia="Calibri" w:hAnsi="Arial" w:cs="Arial"/>
          <w:color w:val="000000" w:themeColor="text1"/>
          <w:sz w:val="22"/>
        </w:rPr>
        <w:t xml:space="preserve"> </w:t>
      </w:r>
      <w:r w:rsidR="007C32A4" w:rsidRPr="00600250">
        <w:rPr>
          <w:rFonts w:ascii="Arial" w:hAnsi="Arial" w:cs="Arial"/>
          <w:color w:val="000000" w:themeColor="text1"/>
          <w:sz w:val="22"/>
        </w:rPr>
        <w:t>―en adelante</w:t>
      </w:r>
      <w:r w:rsidRPr="00600250">
        <w:rPr>
          <w:rFonts w:ascii="Arial" w:hAnsi="Arial" w:cs="Arial"/>
          <w:color w:val="000000" w:themeColor="text1"/>
          <w:sz w:val="22"/>
        </w:rPr>
        <w:t xml:space="preserve"> ESAL</w:t>
      </w:r>
      <w:r w:rsidR="007C32A4" w:rsidRPr="00600250">
        <w:rPr>
          <w:rFonts w:ascii="Arial" w:hAnsi="Arial" w:cs="Arial"/>
          <w:color w:val="000000" w:themeColor="text1"/>
          <w:sz w:val="22"/>
        </w:rPr>
        <w:t>―</w:t>
      </w:r>
      <w:r w:rsidRPr="00600250">
        <w:rPr>
          <w:rFonts w:ascii="Arial" w:eastAsia="Calibri" w:hAnsi="Arial" w:cs="Arial"/>
          <w:color w:val="000000" w:themeColor="text1"/>
          <w:sz w:val="22"/>
        </w:rPr>
        <w:t>, en los conceptos del 30 de agosto y el 20 de diciembre de 2019 ─Radicados Nos. 2201913000006394 y 2201913000009467─ y, recientemente, en los conceptos C-070</w:t>
      </w:r>
      <w:r w:rsidR="007C32A4" w:rsidRPr="00600250">
        <w:rPr>
          <w:rFonts w:ascii="Arial" w:eastAsia="Calibri" w:hAnsi="Arial" w:cs="Arial"/>
          <w:color w:val="000000" w:themeColor="text1"/>
          <w:sz w:val="22"/>
        </w:rPr>
        <w:t>,</w:t>
      </w:r>
      <w:r w:rsidRPr="00600250">
        <w:rPr>
          <w:rFonts w:ascii="Arial" w:eastAsia="Calibri" w:hAnsi="Arial" w:cs="Arial"/>
          <w:color w:val="000000" w:themeColor="text1"/>
          <w:sz w:val="22"/>
        </w:rPr>
        <w:t xml:space="preserve"> C-081</w:t>
      </w:r>
      <w:r w:rsidR="007C32A4" w:rsidRPr="00600250">
        <w:rPr>
          <w:rFonts w:ascii="Arial" w:eastAsia="Calibri" w:hAnsi="Arial" w:cs="Arial"/>
          <w:color w:val="000000" w:themeColor="text1"/>
          <w:sz w:val="22"/>
        </w:rPr>
        <w:t xml:space="preserve"> y C-094</w:t>
      </w:r>
      <w:r w:rsidRPr="00600250">
        <w:rPr>
          <w:rFonts w:ascii="Arial" w:eastAsia="Calibri" w:hAnsi="Arial" w:cs="Arial"/>
          <w:color w:val="000000" w:themeColor="text1"/>
          <w:sz w:val="22"/>
        </w:rPr>
        <w:t xml:space="preserve"> de marzo de 2020 ─Radicados Nos. 4202012000000478</w:t>
      </w:r>
      <w:r w:rsidR="007C32A4" w:rsidRPr="00600250">
        <w:rPr>
          <w:rFonts w:ascii="Arial" w:eastAsia="Calibri" w:hAnsi="Arial" w:cs="Arial"/>
          <w:color w:val="000000" w:themeColor="text1"/>
          <w:sz w:val="22"/>
        </w:rPr>
        <w:t>,</w:t>
      </w:r>
      <w:r w:rsidRPr="00600250">
        <w:rPr>
          <w:rFonts w:ascii="Arial" w:eastAsia="Calibri" w:hAnsi="Arial" w:cs="Arial"/>
          <w:color w:val="000000" w:themeColor="text1"/>
          <w:sz w:val="22"/>
        </w:rPr>
        <w:t xml:space="preserve"> 4202012000000585</w:t>
      </w:r>
      <w:r w:rsidR="007C32A4" w:rsidRPr="00600250">
        <w:rPr>
          <w:rFonts w:ascii="Arial" w:eastAsia="Calibri" w:hAnsi="Arial" w:cs="Arial"/>
          <w:color w:val="000000" w:themeColor="text1"/>
          <w:sz w:val="22"/>
        </w:rPr>
        <w:t xml:space="preserve"> y 4202013000000755</w:t>
      </w:r>
      <w:r w:rsidRPr="00600250">
        <w:rPr>
          <w:rFonts w:ascii="Arial" w:eastAsia="Calibri" w:hAnsi="Arial" w:cs="Arial"/>
          <w:color w:val="000000" w:themeColor="text1"/>
          <w:sz w:val="22"/>
        </w:rPr>
        <w:t>─, por lo que en esta ocasión se reiteran dichas consideraciones.</w:t>
      </w:r>
    </w:p>
    <w:p w14:paraId="4F4A3056" w14:textId="6AC5355E" w:rsidR="00CB001D" w:rsidRPr="00600250" w:rsidRDefault="00CB001D" w:rsidP="00CB001D">
      <w:pPr>
        <w:pStyle w:val="Sinespaciado"/>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el orden nacional, departamental, distrital y municipal podrán con sus propios recursos, contratar con ESAL con el fin de impulsar programas y actividades de interés público acordes con el plan nacional y los planes seccionales de desarrollo</w:t>
      </w:r>
      <w:r w:rsidRPr="00600250">
        <w:rPr>
          <w:rStyle w:val="Refdenotaalpie"/>
          <w:rFonts w:ascii="Arial" w:hAnsi="Arial" w:cs="Arial"/>
          <w:color w:val="000000" w:themeColor="text1"/>
          <w:sz w:val="22"/>
        </w:rPr>
        <w:footnoteReference w:id="1"/>
      </w:r>
      <w:r w:rsidRPr="00600250">
        <w:rPr>
          <w:rFonts w:ascii="Arial" w:hAnsi="Arial" w:cs="Arial"/>
          <w:color w:val="000000" w:themeColor="text1"/>
          <w:sz w:val="22"/>
        </w:rPr>
        <w:t>.</w:t>
      </w:r>
    </w:p>
    <w:p w14:paraId="6C2D2656" w14:textId="77777777" w:rsidR="00CB001D" w:rsidRPr="00600250" w:rsidRDefault="00CB001D" w:rsidP="00CB001D">
      <w:pPr>
        <w:spacing w:before="120"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Por otra parte, la Ley 489 de 1998, en el artículo 96</w:t>
      </w:r>
      <w:r w:rsidRPr="00600250">
        <w:rPr>
          <w:rStyle w:val="Refdenotaalpie"/>
          <w:rFonts w:ascii="Arial" w:eastAsia="Calibri" w:hAnsi="Arial" w:cs="Arial"/>
          <w:color w:val="000000" w:themeColor="text1"/>
          <w:sz w:val="22"/>
        </w:rPr>
        <w:footnoteReference w:id="2"/>
      </w:r>
      <w:r w:rsidRPr="00600250">
        <w:rPr>
          <w:rFonts w:ascii="Arial" w:eastAsia="Calibri" w:hAnsi="Arial" w:cs="Arial"/>
          <w:color w:val="000000" w:themeColor="text1"/>
          <w:sz w:val="22"/>
        </w:rPr>
        <w:t xml:space="preserve">, permite a las entidades públicas en general, es decir, cualquiera sea su naturaleza y orden administrativo, </w:t>
      </w:r>
      <w:r w:rsidRPr="00600250">
        <w:rPr>
          <w:rFonts w:ascii="Arial" w:eastAsia="Calibri" w:hAnsi="Arial" w:cs="Arial"/>
          <w:color w:val="000000" w:themeColor="text1"/>
          <w:sz w:val="22"/>
        </w:rPr>
        <w:lastRenderedPageBreak/>
        <w:t>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1B249BF1" w14:textId="77777777" w:rsidR="00CB001D" w:rsidRPr="00600250" w:rsidRDefault="00CB001D" w:rsidP="00CB001D">
      <w:pPr>
        <w:spacing w:before="120" w:line="276" w:lineRule="auto"/>
        <w:ind w:firstLine="708"/>
        <w:jc w:val="both"/>
        <w:rPr>
          <w:rFonts w:ascii="Arial" w:eastAsia="Calibri" w:hAnsi="Arial" w:cs="Arial"/>
          <w:color w:val="000000" w:themeColor="text1"/>
          <w:sz w:val="22"/>
        </w:rPr>
      </w:pPr>
      <w:r w:rsidRPr="00600250">
        <w:rPr>
          <w:rFonts w:ascii="Arial" w:hAnsi="Arial" w:cs="Arial"/>
          <w:color w:val="000000" w:themeColor="text1"/>
          <w:sz w:val="22"/>
        </w:rPr>
        <w:t>El Gobierno nacional, en desarrollo del artículo 355 de la Constitución, expidió el Decreto 92 de 2017, q</w:t>
      </w:r>
      <w:r w:rsidRPr="00600250">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2º del Decreto 92 de 2017, mientras que los segundos en los artículos 5, 6, 7 y 8 </w:t>
      </w:r>
      <w:r w:rsidRPr="00600250">
        <w:rPr>
          <w:rFonts w:ascii="Arial" w:eastAsia="Calibri" w:hAnsi="Arial" w:cs="Arial"/>
          <w:i/>
          <w:iCs/>
          <w:color w:val="000000" w:themeColor="text1"/>
          <w:sz w:val="22"/>
        </w:rPr>
        <w:t>ibidem</w:t>
      </w:r>
      <w:r w:rsidRPr="00600250">
        <w:rPr>
          <w:rFonts w:ascii="Arial" w:eastAsia="Calibri" w:hAnsi="Arial" w:cs="Arial"/>
          <w:color w:val="000000" w:themeColor="text1"/>
          <w:sz w:val="22"/>
        </w:rPr>
        <w:t xml:space="preserve">. Es posible diferenciar, pues, los </w:t>
      </w:r>
      <w:r w:rsidRPr="00600250">
        <w:rPr>
          <w:rFonts w:ascii="Arial" w:eastAsia="Calibri" w:hAnsi="Arial" w:cs="Arial"/>
          <w:i/>
          <w:iCs/>
          <w:color w:val="000000" w:themeColor="text1"/>
          <w:sz w:val="22"/>
        </w:rPr>
        <w:t>convenios de asociación</w:t>
      </w:r>
      <w:r w:rsidRPr="00600250">
        <w:rPr>
          <w:rFonts w:ascii="Arial" w:eastAsia="Calibri" w:hAnsi="Arial" w:cs="Arial"/>
          <w:color w:val="000000" w:themeColor="text1"/>
          <w:sz w:val="22"/>
        </w:rPr>
        <w:t xml:space="preserve">, regulados en el artículo 5, de los </w:t>
      </w:r>
      <w:r w:rsidRPr="00600250">
        <w:rPr>
          <w:rFonts w:ascii="Arial" w:eastAsia="Calibri" w:hAnsi="Arial" w:cs="Arial"/>
          <w:i/>
          <w:iCs/>
          <w:color w:val="000000" w:themeColor="text1"/>
          <w:sz w:val="22"/>
        </w:rPr>
        <w:t>contratos de colaboración</w:t>
      </w:r>
      <w:r w:rsidRPr="00600250">
        <w:rPr>
          <w:rFonts w:ascii="Arial" w:eastAsia="Calibri" w:hAnsi="Arial" w:cs="Arial"/>
          <w:color w:val="000000" w:themeColor="text1"/>
          <w:sz w:val="22"/>
        </w:rPr>
        <w:t>, establecidos en el artículo 2 del Decreto 92 de 2017</w:t>
      </w:r>
      <w:r w:rsidRPr="00600250">
        <w:rPr>
          <w:rStyle w:val="Refdenotaalpie"/>
          <w:rFonts w:ascii="Arial" w:eastAsia="Calibri" w:hAnsi="Arial" w:cs="Arial"/>
          <w:color w:val="000000" w:themeColor="text1"/>
          <w:sz w:val="22"/>
        </w:rPr>
        <w:footnoteReference w:id="3"/>
      </w:r>
      <w:r w:rsidRPr="00600250">
        <w:rPr>
          <w:rFonts w:ascii="Arial" w:eastAsia="Calibri" w:hAnsi="Arial" w:cs="Arial"/>
          <w:color w:val="000000" w:themeColor="text1"/>
          <w:sz w:val="22"/>
        </w:rPr>
        <w:t xml:space="preserve">. </w:t>
      </w:r>
    </w:p>
    <w:p w14:paraId="667F3933" w14:textId="77777777" w:rsidR="00CB001D" w:rsidRPr="00600250" w:rsidRDefault="00CB001D" w:rsidP="00CB001D">
      <w:pPr>
        <w:spacing w:before="120"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Los </w:t>
      </w:r>
      <w:r w:rsidRPr="00600250">
        <w:rPr>
          <w:rFonts w:ascii="Arial" w:eastAsia="Calibri" w:hAnsi="Arial" w:cs="Arial"/>
          <w:i/>
          <w:iCs/>
          <w:color w:val="000000" w:themeColor="text1"/>
          <w:sz w:val="22"/>
        </w:rPr>
        <w:t xml:space="preserve">contratos de colaboración </w:t>
      </w:r>
      <w:r w:rsidRPr="00600250">
        <w:rPr>
          <w:rFonts w:ascii="Arial" w:eastAsia="Calibri" w:hAnsi="Arial" w:cs="Arial"/>
          <w:color w:val="000000" w:themeColor="text1"/>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w:t>
      </w:r>
      <w:r w:rsidRPr="00600250">
        <w:rPr>
          <w:rFonts w:ascii="Arial" w:eastAsia="Calibri" w:hAnsi="Arial" w:cs="Arial"/>
          <w:color w:val="000000" w:themeColor="text1"/>
          <w:sz w:val="22"/>
        </w:rPr>
        <w:lastRenderedPageBreak/>
        <w:t>ejecuta obras en una relación conmutativa, las normas aplicables son las del Sistema de Compra Pública. Solo cuando se reúnan estas condiciones será procedente la celebración de contratos de colaboración, de lo contrario se deberá aplicar las normas del estatuto de contratación pública, adicionalmente se requiere de previa autorización expresa del representante legal de la entidad estatal.</w:t>
      </w:r>
    </w:p>
    <w:p w14:paraId="39C252C3" w14:textId="77777777" w:rsidR="00CB001D" w:rsidRPr="00600250" w:rsidRDefault="00CB001D" w:rsidP="00CB001D">
      <w:pPr>
        <w:pStyle w:val="Sinespaciado"/>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 xml:space="preserve">De otro lado, los </w:t>
      </w:r>
      <w:r w:rsidRPr="00600250">
        <w:rPr>
          <w:rFonts w:ascii="Arial" w:hAnsi="Arial" w:cs="Arial"/>
          <w:i/>
          <w:iCs/>
          <w:color w:val="000000" w:themeColor="text1"/>
          <w:sz w:val="22"/>
        </w:rPr>
        <w:t>convenios de asociación</w:t>
      </w:r>
      <w:r w:rsidRPr="00600250">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00250">
        <w:rPr>
          <w:rStyle w:val="Refdenotaalpie"/>
          <w:rFonts w:ascii="Arial" w:hAnsi="Arial" w:cs="Arial"/>
          <w:color w:val="000000" w:themeColor="text1"/>
          <w:sz w:val="22"/>
        </w:rPr>
        <w:footnoteReference w:id="4"/>
      </w:r>
      <w:r w:rsidRPr="00600250">
        <w:rPr>
          <w:rFonts w:ascii="Arial" w:hAnsi="Arial" w:cs="Arial"/>
          <w:color w:val="000000" w:themeColor="text1"/>
          <w:sz w:val="22"/>
        </w:rPr>
        <w:t>.</w:t>
      </w:r>
    </w:p>
    <w:p w14:paraId="6EEDD8A1" w14:textId="77777777" w:rsidR="00CB001D" w:rsidRPr="00600250" w:rsidRDefault="00CB001D" w:rsidP="00CB001D">
      <w:pPr>
        <w:pStyle w:val="Sinespaciado"/>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En estos convenios 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w:t>
      </w:r>
    </w:p>
    <w:p w14:paraId="359C97DE" w14:textId="77777777" w:rsidR="00CB001D" w:rsidRPr="00600250" w:rsidRDefault="00CB001D" w:rsidP="00CB001D">
      <w:pPr>
        <w:pStyle w:val="Sinespaciado"/>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El convenio de asociación no es conmutativo, y por tanto, la entidad no instruye al contratista para desarrollar los programas o actividades previstas, sino que se asocia con él para el cumplimiento de objetivos comunes</w:t>
      </w:r>
      <w:r w:rsidRPr="00600250">
        <w:rPr>
          <w:rStyle w:val="Refdenotaalpie"/>
          <w:rFonts w:ascii="Arial" w:hAnsi="Arial" w:cs="Arial"/>
          <w:color w:val="000000" w:themeColor="text1"/>
          <w:sz w:val="22"/>
        </w:rPr>
        <w:footnoteReference w:id="5"/>
      </w:r>
      <w:r w:rsidRPr="00600250">
        <w:rPr>
          <w:rFonts w:ascii="Arial" w:hAnsi="Arial" w:cs="Arial"/>
          <w:color w:val="000000" w:themeColor="text1"/>
          <w:sz w:val="22"/>
        </w:rPr>
        <w:t>.</w:t>
      </w:r>
    </w:p>
    <w:p w14:paraId="537AF165" w14:textId="77777777" w:rsidR="00CB001D" w:rsidRPr="00600250" w:rsidRDefault="00CB001D" w:rsidP="00CB001D">
      <w:pPr>
        <w:pStyle w:val="Sinespaciado"/>
        <w:spacing w:before="120" w:line="276" w:lineRule="auto"/>
        <w:ind w:firstLine="708"/>
        <w:jc w:val="both"/>
        <w:rPr>
          <w:rFonts w:ascii="Arial" w:eastAsia="Calibri" w:hAnsi="Arial" w:cs="Arial"/>
          <w:color w:val="000000" w:themeColor="text1"/>
          <w:sz w:val="22"/>
        </w:rPr>
      </w:pPr>
      <w:r w:rsidRPr="00600250">
        <w:rPr>
          <w:rFonts w:ascii="Arial" w:hAnsi="Arial" w:cs="Arial"/>
          <w:color w:val="000000" w:themeColor="text1"/>
          <w:sz w:val="22"/>
        </w:rPr>
        <w:t>L</w:t>
      </w:r>
      <w:r w:rsidRPr="00600250">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600250">
        <w:rPr>
          <w:rStyle w:val="Refdenotaalpie"/>
          <w:rFonts w:ascii="Arial" w:eastAsia="Calibri" w:hAnsi="Arial" w:cs="Arial"/>
          <w:color w:val="000000" w:themeColor="text1"/>
          <w:sz w:val="22"/>
        </w:rPr>
        <w:footnoteReference w:id="6"/>
      </w:r>
      <w:r w:rsidRPr="00600250">
        <w:rPr>
          <w:rFonts w:ascii="Arial" w:eastAsia="Calibri" w:hAnsi="Arial" w:cs="Arial"/>
          <w:color w:val="000000" w:themeColor="text1"/>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w:t>
      </w:r>
      <w:r w:rsidRPr="00600250">
        <w:rPr>
          <w:rFonts w:ascii="Arial" w:eastAsia="Calibri" w:hAnsi="Arial" w:cs="Arial"/>
          <w:color w:val="000000" w:themeColor="text1"/>
          <w:sz w:val="22"/>
        </w:rPr>
        <w:lastRenderedPageBreak/>
        <w:t>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600250">
        <w:rPr>
          <w:rStyle w:val="Refdenotaalpie"/>
          <w:rFonts w:ascii="Arial" w:eastAsia="Calibri" w:hAnsi="Arial" w:cs="Arial"/>
          <w:color w:val="000000" w:themeColor="text1"/>
          <w:sz w:val="22"/>
        </w:rPr>
        <w:footnoteReference w:id="7"/>
      </w:r>
      <w:r w:rsidRPr="00600250">
        <w:rPr>
          <w:rFonts w:ascii="Arial" w:eastAsia="Calibri" w:hAnsi="Arial" w:cs="Arial"/>
          <w:color w:val="000000" w:themeColor="text1"/>
          <w:sz w:val="22"/>
        </w:rPr>
        <w:t>.</w:t>
      </w:r>
    </w:p>
    <w:p w14:paraId="2E8B900D" w14:textId="77777777" w:rsidR="00CB001D" w:rsidRPr="00600250" w:rsidRDefault="00CB001D" w:rsidP="00CB001D">
      <w:pPr>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 xml:space="preserve">La noción «seleccionar de forma objetiva», contenida en la disposición </w:t>
      </w:r>
      <w:r w:rsidRPr="00600250">
        <w:rPr>
          <w:rFonts w:ascii="Arial" w:hAnsi="Arial" w:cs="Arial"/>
          <w:i/>
          <w:iCs/>
          <w:color w:val="000000" w:themeColor="text1"/>
          <w:sz w:val="22"/>
        </w:rPr>
        <w:t xml:space="preserve">sub examine </w:t>
      </w:r>
      <w:r w:rsidRPr="00600250">
        <w:rPr>
          <w:rFonts w:ascii="Arial" w:hAnsi="Arial" w:cs="Arial"/>
          <w:color w:val="000000" w:themeColor="text1"/>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Idoneidad», elaborado por esta entidad. 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92 de 2017.</w:t>
      </w:r>
    </w:p>
    <w:p w14:paraId="3B220CD4" w14:textId="77777777" w:rsidR="00CB001D" w:rsidRPr="00600250" w:rsidRDefault="00CB001D" w:rsidP="00CB001D">
      <w:pPr>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2452ED25" w14:textId="77777777" w:rsidR="00CB001D" w:rsidRPr="00600250" w:rsidRDefault="00CB001D" w:rsidP="00CB001D">
      <w:pPr>
        <w:spacing w:before="120"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Por otro lado, para el manejo financiero y presupuestal de los contratos del Decreto 92 de 2017, aplica lo mismo que para otros negocios jurídicos que celebre el Estado regulados por la Ley 80 de 1993. Se precisa que las entidades estatales pueden pactar las condiciones de desembolso que sean más convenientes, pues el inciso segundo del artículo 96 de la Ley 489 de 1998 dispone, sobre el convenio, que las partes «determinará[n] con precisión su objeto, término, obligaciones de las partes, aportes, </w:t>
      </w:r>
      <w:r w:rsidRPr="00600250">
        <w:rPr>
          <w:rFonts w:ascii="Arial" w:eastAsia="Calibri" w:hAnsi="Arial" w:cs="Arial"/>
          <w:color w:val="000000" w:themeColor="text1"/>
          <w:sz w:val="22"/>
        </w:rPr>
        <w:lastRenderedPageBreak/>
        <w:t>coordinación y todos aquellos aspectos que se consideren pertinentes». Con todo, la «Guía para la contratación con entidades privadas sin ánimo de lucro y de reconocida idoneidad”, expedida por Colombia Compra Eficiente, recomienda desembolsos condicionados, con el fin de evaluar el desempeño de la ESAL y la efectividad del programa de interés público:</w:t>
      </w:r>
    </w:p>
    <w:p w14:paraId="1C606CE6" w14:textId="77777777" w:rsidR="00CB001D" w:rsidRPr="00600250" w:rsidRDefault="00CB001D" w:rsidP="00CB001D">
      <w:pPr>
        <w:spacing w:line="276" w:lineRule="auto"/>
        <w:jc w:val="both"/>
        <w:rPr>
          <w:rFonts w:ascii="Arial" w:eastAsia="Calibri" w:hAnsi="Arial" w:cs="Arial"/>
          <w:color w:val="000000" w:themeColor="text1"/>
          <w:sz w:val="22"/>
        </w:rPr>
      </w:pPr>
    </w:p>
    <w:p w14:paraId="3A3E7FD5" w14:textId="77777777" w:rsidR="00CB001D" w:rsidRPr="00600250" w:rsidRDefault="00CB001D" w:rsidP="00CB001D">
      <w:pPr>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El artículo 355 de la Constitución Política también puede ser utilizado para implementar estrategias innovadoras de apoyo a causas sociales o para financiar actividades de las ESAL como los denominados «bonos de impacto social».  Esa herramienta de cooperación entre el sector público y el privado está diseñada para que las Entidades Estatales sólo desembolsen los recursos públicos cuando se obtengan resultados medibles y evaluables,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 asumen.</w:t>
      </w:r>
    </w:p>
    <w:p w14:paraId="0ABAE4C6" w14:textId="77777777" w:rsidR="00CB001D" w:rsidRPr="00600250" w:rsidRDefault="00CB001D" w:rsidP="00CB001D">
      <w:pPr>
        <w:pStyle w:val="Sinespaciado"/>
        <w:spacing w:line="276" w:lineRule="auto"/>
        <w:jc w:val="both"/>
        <w:rPr>
          <w:rFonts w:ascii="Arial" w:hAnsi="Arial" w:cs="Arial"/>
          <w:i/>
          <w:iCs/>
          <w:color w:val="000000" w:themeColor="text1"/>
          <w:sz w:val="22"/>
        </w:rPr>
      </w:pPr>
    </w:p>
    <w:p w14:paraId="3EE743F7" w14:textId="77777777" w:rsidR="00CB001D" w:rsidRPr="00600250" w:rsidRDefault="00CB001D" w:rsidP="00CB001D">
      <w:pPr>
        <w:pStyle w:val="Sinespaciado"/>
        <w:spacing w:line="276" w:lineRule="auto"/>
        <w:ind w:firstLine="708"/>
        <w:jc w:val="both"/>
        <w:rPr>
          <w:rFonts w:ascii="Arial" w:hAnsi="Arial" w:cs="Arial"/>
          <w:color w:val="000000" w:themeColor="text1"/>
          <w:sz w:val="22"/>
        </w:rPr>
      </w:pPr>
      <w:r w:rsidRPr="00600250">
        <w:rPr>
          <w:rFonts w:ascii="Arial" w:hAnsi="Arial" w:cs="Arial"/>
          <w:color w:val="000000" w:themeColor="text1"/>
          <w:sz w:val="22"/>
        </w:rPr>
        <w:t>Es importante aclarar que los negocios jurídicos que regula el Decreto 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92 de 2017»</w:t>
      </w:r>
      <w:r w:rsidRPr="00600250">
        <w:rPr>
          <w:rStyle w:val="Refdenotaalpie"/>
          <w:rFonts w:ascii="Arial" w:hAnsi="Arial" w:cs="Arial"/>
          <w:color w:val="000000" w:themeColor="text1"/>
          <w:sz w:val="22"/>
        </w:rPr>
        <w:footnoteReference w:id="8"/>
      </w:r>
      <w:r w:rsidRPr="00600250">
        <w:rPr>
          <w:rFonts w:ascii="Arial" w:hAnsi="Arial" w:cs="Arial"/>
          <w:color w:val="000000" w:themeColor="text1"/>
          <w:sz w:val="22"/>
        </w:rPr>
        <w:t>. Así lo consideró la Sala de Consulta y Servicio Civil del Consejo de Estado</w:t>
      </w:r>
      <w:r w:rsidRPr="00600250">
        <w:rPr>
          <w:rStyle w:val="Refdenotaalpie"/>
          <w:rFonts w:ascii="Arial" w:hAnsi="Arial" w:cs="Arial"/>
          <w:color w:val="000000" w:themeColor="text1"/>
          <w:sz w:val="22"/>
        </w:rPr>
        <w:footnoteReference w:id="9"/>
      </w:r>
      <w:r w:rsidRPr="00600250">
        <w:rPr>
          <w:rFonts w:ascii="Arial" w:hAnsi="Arial" w:cs="Arial"/>
          <w:color w:val="000000" w:themeColor="text1"/>
          <w:sz w:val="22"/>
        </w:rPr>
        <w:t>:</w:t>
      </w:r>
    </w:p>
    <w:p w14:paraId="492731DF" w14:textId="77777777" w:rsidR="00CB001D" w:rsidRPr="00600250" w:rsidRDefault="00CB001D" w:rsidP="00CB001D">
      <w:pPr>
        <w:pStyle w:val="Sinespaciado"/>
        <w:spacing w:line="276" w:lineRule="auto"/>
        <w:jc w:val="both"/>
        <w:rPr>
          <w:rFonts w:ascii="Arial" w:hAnsi="Arial" w:cs="Arial"/>
          <w:color w:val="000000" w:themeColor="text1"/>
          <w:sz w:val="22"/>
        </w:rPr>
      </w:pPr>
    </w:p>
    <w:p w14:paraId="7FB11B5D" w14:textId="77777777" w:rsidR="00CB001D" w:rsidRPr="00600250" w:rsidRDefault="00CB001D" w:rsidP="00CB001D">
      <w:pPr>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4873B971" w14:textId="77777777" w:rsidR="00CB001D" w:rsidRPr="00600250" w:rsidRDefault="00CB001D" w:rsidP="00CB001D">
      <w:pPr>
        <w:ind w:left="708" w:right="709"/>
        <w:jc w:val="both"/>
        <w:rPr>
          <w:rFonts w:ascii="Arial" w:eastAsia="Calibri" w:hAnsi="Arial" w:cs="Arial"/>
          <w:color w:val="000000" w:themeColor="text1"/>
          <w:sz w:val="21"/>
          <w:szCs w:val="21"/>
        </w:rPr>
      </w:pPr>
    </w:p>
    <w:p w14:paraId="1A9E0B3B" w14:textId="77777777" w:rsidR="00CB001D" w:rsidRPr="00600250" w:rsidRDefault="00CB001D" w:rsidP="00CB001D">
      <w:pPr>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lastRenderedPageBreak/>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3C218E7B" w14:textId="77777777" w:rsidR="00CB001D" w:rsidRPr="00600250" w:rsidRDefault="00CB001D" w:rsidP="00CB001D">
      <w:pPr>
        <w:spacing w:line="276" w:lineRule="auto"/>
        <w:jc w:val="both"/>
        <w:rPr>
          <w:rFonts w:ascii="Arial" w:eastAsia="Calibri" w:hAnsi="Arial" w:cs="Arial"/>
          <w:color w:val="000000" w:themeColor="text1"/>
          <w:sz w:val="22"/>
        </w:rPr>
      </w:pPr>
    </w:p>
    <w:p w14:paraId="6E63D96D" w14:textId="77777777" w:rsidR="00CB001D" w:rsidRPr="00600250" w:rsidRDefault="00CB001D" w:rsidP="00CB001D">
      <w:pPr>
        <w:spacing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Así lo reconoció la Corte Constitucional en la sentencia C-287 del 18 de abril de 2012, en la que sostuvo lo siguiente:</w:t>
      </w:r>
    </w:p>
    <w:p w14:paraId="07991526" w14:textId="77777777" w:rsidR="00CB001D" w:rsidRPr="00600250" w:rsidRDefault="00CB001D" w:rsidP="00CB001D">
      <w:pPr>
        <w:spacing w:line="276" w:lineRule="auto"/>
        <w:ind w:firstLine="708"/>
        <w:jc w:val="both"/>
        <w:rPr>
          <w:rFonts w:ascii="Arial" w:eastAsia="Calibri" w:hAnsi="Arial" w:cs="Arial"/>
          <w:color w:val="000000" w:themeColor="text1"/>
          <w:sz w:val="22"/>
        </w:rPr>
      </w:pPr>
    </w:p>
    <w:p w14:paraId="16CD11AC" w14:textId="77777777" w:rsidR="00CB001D" w:rsidRPr="00600250" w:rsidRDefault="00CB001D" w:rsidP="00CB001D">
      <w:pPr>
        <w:ind w:left="709"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42BB62B" w14:textId="77777777" w:rsidR="00CB001D" w:rsidRPr="00600250" w:rsidRDefault="00CB001D" w:rsidP="00CB001D">
      <w:pPr>
        <w:ind w:left="709" w:right="709"/>
        <w:jc w:val="both"/>
        <w:rPr>
          <w:rFonts w:ascii="Arial" w:eastAsia="Calibri" w:hAnsi="Arial" w:cs="Arial"/>
          <w:color w:val="000000" w:themeColor="text1"/>
          <w:sz w:val="21"/>
          <w:szCs w:val="21"/>
        </w:rPr>
      </w:pPr>
    </w:p>
    <w:p w14:paraId="2BF882CA" w14:textId="77777777" w:rsidR="00CB001D" w:rsidRPr="00600250" w:rsidRDefault="00CB001D" w:rsidP="00CB001D">
      <w:pPr>
        <w:ind w:left="709" w:right="709"/>
        <w:jc w:val="both"/>
        <w:rPr>
          <w:rFonts w:ascii="Arial" w:eastAsia="Calibri" w:hAnsi="Arial" w:cs="Arial"/>
          <w:color w:val="000000" w:themeColor="text1"/>
          <w:sz w:val="21"/>
          <w:szCs w:val="21"/>
        </w:rPr>
      </w:pPr>
      <w:r w:rsidRPr="00600250">
        <w:rPr>
          <w:rFonts w:ascii="Arial" w:eastAsia="Calibri" w:hAnsi="Arial"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600250">
        <w:rPr>
          <w:rFonts w:ascii="Arial" w:eastAsia="Calibri" w:hAnsi="Arial"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77BE39D3" w14:textId="77777777" w:rsidR="00CB001D" w:rsidRPr="00600250" w:rsidRDefault="00CB001D" w:rsidP="00CB001D">
      <w:pPr>
        <w:spacing w:line="276" w:lineRule="auto"/>
        <w:jc w:val="both"/>
        <w:rPr>
          <w:rFonts w:ascii="Arial" w:eastAsia="Calibri" w:hAnsi="Arial" w:cs="Arial"/>
          <w:color w:val="000000" w:themeColor="text1"/>
          <w:sz w:val="22"/>
        </w:rPr>
      </w:pPr>
    </w:p>
    <w:p w14:paraId="57BD4791"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14:paraId="136F5F85"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Los convenios de asociación no procuran utilidades para la ESAL, pues en dicho caso se trataría de un contrato en el que se debe remunerar al contratista por los servicios prestados, el cual, por eso mismo, tiene un régimen legal distinto.</w:t>
      </w:r>
    </w:p>
    <w:p w14:paraId="32B01CA0" w14:textId="77777777" w:rsidR="00CB001D" w:rsidRPr="00600250" w:rsidRDefault="00CB001D" w:rsidP="007C32A4">
      <w:pPr>
        <w:spacing w:line="276" w:lineRule="auto"/>
        <w:ind w:firstLine="708"/>
        <w:jc w:val="both"/>
        <w:rPr>
          <w:rFonts w:ascii="Arial" w:hAnsi="Arial" w:cs="Arial"/>
          <w:color w:val="000000" w:themeColor="text1"/>
          <w:sz w:val="22"/>
        </w:rPr>
      </w:pPr>
    </w:p>
    <w:p w14:paraId="2946FF84" w14:textId="77777777" w:rsidR="00CB001D" w:rsidRPr="00600250" w:rsidRDefault="00CB001D" w:rsidP="007C32A4">
      <w:pPr>
        <w:tabs>
          <w:tab w:val="left" w:pos="426"/>
        </w:tabs>
        <w:spacing w:line="276" w:lineRule="auto"/>
        <w:jc w:val="both"/>
        <w:rPr>
          <w:rFonts w:ascii="Arial" w:hAnsi="Arial" w:cs="Arial"/>
          <w:b/>
          <w:bCs/>
          <w:color w:val="000000" w:themeColor="text1"/>
          <w:sz w:val="22"/>
        </w:rPr>
      </w:pPr>
      <w:r w:rsidRPr="00600250">
        <w:rPr>
          <w:rFonts w:ascii="Arial" w:hAnsi="Arial" w:cs="Arial"/>
          <w:b/>
          <w:bCs/>
          <w:color w:val="000000" w:themeColor="text1"/>
          <w:sz w:val="22"/>
        </w:rPr>
        <w:t>2.2.</w:t>
      </w:r>
      <w:r w:rsidRPr="00600250">
        <w:rPr>
          <w:rFonts w:ascii="Arial" w:hAnsi="Arial" w:cs="Arial"/>
          <w:b/>
          <w:bCs/>
          <w:color w:val="000000" w:themeColor="text1"/>
          <w:sz w:val="22"/>
        </w:rPr>
        <w:tab/>
        <w:t>Ámbito de aplicación del Decreto 92 de 2017</w:t>
      </w:r>
    </w:p>
    <w:p w14:paraId="23C5392E" w14:textId="77777777" w:rsidR="00CB001D" w:rsidRPr="00600250" w:rsidRDefault="00CB001D" w:rsidP="007C32A4">
      <w:pPr>
        <w:spacing w:line="276" w:lineRule="auto"/>
        <w:jc w:val="both"/>
        <w:rPr>
          <w:rFonts w:ascii="Arial" w:hAnsi="Arial" w:cs="Arial"/>
          <w:b/>
          <w:bCs/>
          <w:color w:val="000000" w:themeColor="text1"/>
          <w:sz w:val="22"/>
        </w:rPr>
      </w:pPr>
    </w:p>
    <w:p w14:paraId="602F6576" w14:textId="77777777" w:rsidR="00CB001D" w:rsidRPr="00600250" w:rsidRDefault="00CB001D" w:rsidP="007C32A4">
      <w:pPr>
        <w:spacing w:after="120" w:line="276" w:lineRule="auto"/>
        <w:jc w:val="both"/>
        <w:rPr>
          <w:rFonts w:ascii="Arial" w:eastAsia="Calibri" w:hAnsi="Arial" w:cs="Arial"/>
          <w:color w:val="000000" w:themeColor="text1"/>
          <w:sz w:val="22"/>
        </w:rPr>
      </w:pPr>
      <w:r w:rsidRPr="00600250">
        <w:rPr>
          <w:rFonts w:ascii="Arial" w:eastAsia="Calibri" w:hAnsi="Arial" w:cs="Arial"/>
          <w:color w:val="000000" w:themeColor="text1"/>
          <w:sz w:val="22"/>
        </w:rPr>
        <w:t>La Agencia Nacional de Contratación Pública―Colombia Compra Eficiente se pronunció sobre el ámbito de aplicación del Decreto 92 de 2017, en el concepto del 12 de diciembre de 2019 ─Radicado No. 2201913000009196─, por lo que en esta ocasión se reiteran dichas consideraciones.</w:t>
      </w:r>
    </w:p>
    <w:p w14:paraId="15545236" w14:textId="77777777" w:rsidR="00CB001D" w:rsidRPr="00600250" w:rsidRDefault="00CB001D" w:rsidP="007C32A4">
      <w:pPr>
        <w:spacing w:after="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 xml:space="preserve">En los antecedentes del Decreto 92 de 2017 se señala que, «[d]e acuerdo con el inciso segundo del artículo 355 de la Constitución Política, el “Gobierno”, en los niveles nacional, departamental, distrital y municipal, podrá, con recursos de los respectivos presupuestos, celebrar contratos con [ESAL] y de reconocida idoneidad con el fin de impulsar programas y actividades de interés público acordes con el Plan Nacional y los planes seccionales de Desarrollo. Con todo, la expresión «Gobierno» no permite establecer cuáles son las entidades habilitadas para celebrar los negocios jurídicos que regula el Decreto 92 de 2017, en la medida en que no es claro si se hace referencia exclusiva al «Gobierno Nacional» o a las entidades que conforman la Rama Ejecutiva, así como tampoco es claro si se hace referencia a las entidades territoriales o a las entidades descentralizadas de este orden. Por esta razón, es necesario analizar el alcance de dicha expresión y, con fundamento en esto, responder la inquietud objeto del presente concepto. </w:t>
      </w:r>
    </w:p>
    <w:p w14:paraId="5EE29C22"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La reflexión conduce a examinar, en conjunto, el articulado de la Constitución Política. El artículo 115 ofrece una definición, de conformidad con la cual: «[…] [e]l Gobierno Nacional está formado por el Presidente de la República, los ministros del despacho y los directores de departamentos administrativos. El Presidente y el Ministro o Director de Departamento correspondientes, en cada negocio particular, constituyen el Gobierno […]». Se trata de un concepto especial que no equivale al de «Administración Pública», pues los sujetos que conforman una y otro son diferentes, al punto que la mayoría de las entidades que integran a la «Administración Pública» no pertenecen al «Gobierno Nacional». </w:t>
      </w:r>
    </w:p>
    <w:p w14:paraId="368CBF3C"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De admitirse el anterior sentido, esto es que la expresión «Gobierno» del Decreto 92 de 2017 significa «Gobierno Nacional», la suscripción de los negocios jurídicos referidos en el artículo 355 de la Constitución se limitaría a quienes forman parte del Gobierno Nacional, esto es al Presidente, sus ministros y los directores de departamento administrativo. Por lo tanto, ninguna otra entidad de la «Administración Pública», por ejemplo, una descentralizada del nivel central, o una territorial y sus descentralizadas, podría celebrar negocios jurídicos con ESAL, pues, se insiste, los únicos autorizados serían los referidos funcionarios, pero, además, solo podrían hacerlo en forma conjunta, no individualmente, pues es reunidos que forman el «Gobierno Nacional».</w:t>
      </w:r>
    </w:p>
    <w:p w14:paraId="50913670"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lastRenderedPageBreak/>
        <w:t xml:space="preserve">En la sentencia C-910 de 2007, la Corte Constitucional estudió la constitucionalidad del artículo 38, numeral 2, literal f –parcial–, de la Ley 489 de 1998. Para tales fines, distinguió entre «Gobierno» y «Administración Pública», señalando que el primero es la autoridad máxima de la Administración Pública, y reiterando lo dicho, en el sentido de que no todas las entidades que hacen parte de esta conforman el «Gobierno». En efecto, en la referida providencia el tribunal constitucional manifestó que: </w:t>
      </w:r>
    </w:p>
    <w:p w14:paraId="6DE25820" w14:textId="77777777" w:rsidR="00CB001D" w:rsidRPr="00600250" w:rsidRDefault="00CB001D" w:rsidP="00CB001D">
      <w:pPr>
        <w:spacing w:line="276" w:lineRule="auto"/>
        <w:jc w:val="both"/>
        <w:rPr>
          <w:rFonts w:ascii="Arial" w:eastAsia="Calibri" w:hAnsi="Arial" w:cs="Arial"/>
          <w:color w:val="000000" w:themeColor="text1"/>
          <w:sz w:val="22"/>
          <w:lang w:val="es-ES"/>
        </w:rPr>
      </w:pPr>
    </w:p>
    <w:p w14:paraId="1F5BC3FB" w14:textId="77777777" w:rsidR="00CB001D" w:rsidRPr="00600250" w:rsidRDefault="00CB001D" w:rsidP="00CB001D">
      <w:pPr>
        <w:ind w:left="708" w:right="758"/>
        <w:jc w:val="both"/>
        <w:rPr>
          <w:rFonts w:ascii="Arial" w:hAnsi="Arial" w:cs="Arial"/>
          <w:color w:val="000000" w:themeColor="text1"/>
          <w:sz w:val="21"/>
          <w:szCs w:val="21"/>
        </w:rPr>
      </w:pPr>
      <w:r w:rsidRPr="00600250">
        <w:rPr>
          <w:rFonts w:ascii="Arial" w:hAnsi="Arial" w:cs="Arial"/>
          <w:color w:val="000000" w:themeColor="text1"/>
          <w:sz w:val="21"/>
          <w:szCs w:val="21"/>
        </w:rPr>
        <w:t>Este plexo de normas superiores exige a la Corte estudiar si es posible entender que la Constitución distingue entre los conceptos de Rama Ejecutiva, Gobierno y Administración Pública. Sobre el particular encuentra lo siguiente:</w:t>
      </w:r>
    </w:p>
    <w:p w14:paraId="1E7A2D82" w14:textId="77777777" w:rsidR="00CB001D" w:rsidRPr="00600250" w:rsidRDefault="00CB001D" w:rsidP="00CB001D">
      <w:pPr>
        <w:ind w:left="708" w:right="758"/>
        <w:jc w:val="both"/>
        <w:rPr>
          <w:rFonts w:ascii="Arial" w:hAnsi="Arial" w:cs="Arial"/>
          <w:color w:val="000000" w:themeColor="text1"/>
          <w:sz w:val="21"/>
          <w:szCs w:val="21"/>
        </w:rPr>
      </w:pPr>
    </w:p>
    <w:p w14:paraId="503085FA" w14:textId="77777777" w:rsidR="00CB001D" w:rsidRPr="00600250" w:rsidRDefault="00CB001D" w:rsidP="00CB001D">
      <w:pPr>
        <w:ind w:left="708" w:right="758"/>
        <w:jc w:val="both"/>
        <w:rPr>
          <w:rFonts w:ascii="Arial" w:hAnsi="Arial" w:cs="Arial"/>
          <w:color w:val="000000" w:themeColor="text1"/>
          <w:sz w:val="21"/>
          <w:szCs w:val="21"/>
        </w:rPr>
      </w:pPr>
      <w:r w:rsidRPr="00600250">
        <w:rPr>
          <w:rFonts w:ascii="Arial" w:hAnsi="Arial" w:cs="Arial"/>
          <w:color w:val="000000" w:themeColor="text1"/>
          <w:sz w:val="21"/>
          <w:szCs w:val="21"/>
        </w:rPr>
        <w:t>Del artículo 115 puede inferirse que Gobierno es la cabeza de la Rama Ejecutiva y está conformado de manera general por el Presidente de la República, los ministros del despacho y los directores de departamentos administrativos; no obstante, para «cada negocio particular», el Presidente y el Ministro o Director de Departamento correspondientes constituyen el Gobierno. De esta manera, puede afirmarse que el Gobierno forma parte de la Rama Ejecutiva, como su cabeza, pero que no toda la Rama Ejecutiva conforma el Gobierno.</w:t>
      </w:r>
    </w:p>
    <w:p w14:paraId="7090B909" w14:textId="77777777" w:rsidR="00CB001D" w:rsidRPr="00600250" w:rsidRDefault="00CB001D" w:rsidP="00CB001D">
      <w:pPr>
        <w:ind w:left="708" w:right="758"/>
        <w:jc w:val="both"/>
        <w:rPr>
          <w:rFonts w:ascii="Arial" w:hAnsi="Arial" w:cs="Arial"/>
          <w:color w:val="000000" w:themeColor="text1"/>
          <w:sz w:val="21"/>
          <w:szCs w:val="21"/>
        </w:rPr>
      </w:pPr>
    </w:p>
    <w:p w14:paraId="7B1779B7" w14:textId="77777777" w:rsidR="00CB001D" w:rsidRPr="00600250" w:rsidRDefault="00CB001D" w:rsidP="00CB001D">
      <w:pPr>
        <w:ind w:left="708" w:right="758"/>
        <w:jc w:val="both"/>
        <w:rPr>
          <w:rFonts w:ascii="Arial" w:hAnsi="Arial" w:cs="Arial"/>
          <w:color w:val="000000" w:themeColor="text1"/>
          <w:sz w:val="21"/>
          <w:szCs w:val="21"/>
        </w:rPr>
      </w:pPr>
      <w:r w:rsidRPr="00600250">
        <w:rPr>
          <w:rFonts w:ascii="Arial" w:hAnsi="Arial" w:cs="Arial"/>
          <w:color w:val="000000" w:themeColor="text1"/>
          <w:sz w:val="21"/>
          <w:szCs w:val="21"/>
        </w:rPr>
        <w:t>El concepto de «Gobierno» y su distinción frente a las nociones de «Rama Ejecutiva» o de «Administración Pública» obedece a la índole política de la función propiamente gubernamental; en esta esfera de funciones, el Gobierno ejerce la dirección u orientación de toda la Rama Ejecutiva o de la Administración Pública, es decir, traza los rumbos y las metas hacia los cuales debe dirigirse su actividad. En cambio, las funciones no gubernamentales sino simplemente ejecutivas o administrativas carecen de este acento político. Así por ejemplo, las funciones presidenciales de inspección vigilancia y control son funciones de naturaleza administrativa, ya que por no involucrar el señalamiento de políticas, no corresponden a actos de gobierno. Ahora bien, tal diferencia funcional repercute en la estructura orgánica estatal y determina la precisión constitucional que marca la distinción entre Gobierno y Rama Ejecutiva o Administración.</w:t>
      </w:r>
    </w:p>
    <w:p w14:paraId="4EA54D9A" w14:textId="77777777" w:rsidR="00CB001D" w:rsidRPr="00600250" w:rsidRDefault="00CB001D" w:rsidP="00CB001D">
      <w:pPr>
        <w:spacing w:line="276" w:lineRule="auto"/>
        <w:jc w:val="both"/>
        <w:rPr>
          <w:rFonts w:ascii="Arial" w:eastAsia="Calibri" w:hAnsi="Arial" w:cs="Arial"/>
          <w:color w:val="000000" w:themeColor="text1"/>
          <w:sz w:val="22"/>
          <w:lang w:val="es-ES"/>
        </w:rPr>
      </w:pPr>
      <w:r w:rsidRPr="00600250">
        <w:rPr>
          <w:rFonts w:ascii="Arial" w:eastAsia="Calibri" w:hAnsi="Arial" w:cs="Arial"/>
          <w:color w:val="000000" w:themeColor="text1"/>
          <w:sz w:val="22"/>
          <w:lang w:val="es-ES"/>
        </w:rPr>
        <w:t xml:space="preserve"> </w:t>
      </w:r>
    </w:p>
    <w:p w14:paraId="369EEAFB"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Según esta providencia, el concepto «Gobierno» hace referencia al órgano que tiene a cargo la dirección de la «Administración Pública». Sin embargo, el «Gobierno Nacional» solo está conformado por el Presidente de la República, los ministros del despacho y los directores de departamento administrativo, en el ramo respectivo. En ese sentido, las demás entidades de la «Administración Pública», entre ellas las del sector descentralizado, hacen parte de la Rama Ejecutiva pero no del «Gobierno Nacional».</w:t>
      </w:r>
    </w:p>
    <w:p w14:paraId="09A97774"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Esta hipótesis interpretativa, sin embargo, debe descartarse al leer el artículo 1º del Decreto 092 de 2017, pues esta norma establece que las personas que pueden celebrar los negocios jurídicos </w:t>
      </w:r>
      <w:r w:rsidRPr="00600250">
        <w:rPr>
          <w:rFonts w:ascii="Arial" w:hAnsi="Arial" w:cs="Arial"/>
          <w:i/>
          <w:iCs/>
          <w:color w:val="000000" w:themeColor="text1"/>
          <w:sz w:val="22"/>
        </w:rPr>
        <w:t>sub examine</w:t>
      </w:r>
      <w:r w:rsidRPr="00600250">
        <w:rPr>
          <w:rFonts w:ascii="Arial" w:hAnsi="Arial" w:cs="Arial"/>
          <w:color w:val="000000" w:themeColor="text1"/>
          <w:sz w:val="22"/>
        </w:rPr>
        <w:t xml:space="preserve"> son todas las que conforman la Rama </w:t>
      </w:r>
      <w:r w:rsidRPr="00600250">
        <w:rPr>
          <w:rFonts w:ascii="Arial" w:hAnsi="Arial" w:cs="Arial"/>
          <w:color w:val="000000" w:themeColor="text1"/>
          <w:sz w:val="22"/>
        </w:rPr>
        <w:lastRenderedPageBreak/>
        <w:t xml:space="preserve">Ejecutiva, en el entendido que establece que: «[e]l objeto del […] decreto es reglamentar la forma como </w:t>
      </w:r>
      <w:r w:rsidRPr="00600250">
        <w:rPr>
          <w:rFonts w:ascii="Arial" w:hAnsi="Arial" w:cs="Arial"/>
          <w:i/>
          <w:iCs/>
          <w:color w:val="000000" w:themeColor="text1"/>
          <w:sz w:val="22"/>
        </w:rPr>
        <w:t>el Gobierno nacional, departamental, distrital y municipal</w:t>
      </w:r>
      <w:r w:rsidRPr="00600250">
        <w:rPr>
          <w:rFonts w:ascii="Arial" w:hAnsi="Arial" w:cs="Arial"/>
          <w:color w:val="000000" w:themeColor="text1"/>
          <w:sz w:val="22"/>
        </w:rPr>
        <w:t xml:space="preserve"> contrata con entidades privadas sin ánimo de lucro y de reconocida idoneidad […]» (cursivas propias). Esto quiere decir que los negocios jurídicos a los que se refiere el artículo 355 de la Constitución pueden ser suscritos, en general, por las entidades que conforman la «Administración Pública», incluidos ─pero no solo─ las que forman el «Gobierno Nacional». </w:t>
      </w:r>
    </w:p>
    <w:p w14:paraId="45584F91"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Una razón para considerar que la expresión «Gobierno» no debe asimilarse a la noción «Gobierno Nacional», en los términos del artículo 115 de la Constitución Política, es que dicha interpretación desconoce el texto y la finalidad del artículo 355 </w:t>
      </w:r>
      <w:r w:rsidRPr="00600250">
        <w:rPr>
          <w:rFonts w:ascii="Arial" w:hAnsi="Arial" w:cs="Arial"/>
          <w:i/>
          <w:iCs/>
          <w:color w:val="000000" w:themeColor="text1"/>
          <w:sz w:val="22"/>
        </w:rPr>
        <w:t>ibidem</w:t>
      </w:r>
      <w:r w:rsidRPr="00600250">
        <w:rPr>
          <w:rFonts w:ascii="Arial" w:hAnsi="Arial" w:cs="Arial"/>
          <w:color w:val="000000" w:themeColor="text1"/>
          <w:sz w:val="22"/>
        </w:rPr>
        <w:t xml:space="preserve">, pues esta última disposición, al referirse al «Gobierno», menciona los niveles nacional, departamental, distrital y municipal. Dicha lectura, entonces, restaría el ámbito de aplicación del artículo constitucional que permite celebrar negocios con las ESAL. Además, si la intención del constituyente fuera restringir estos negocios al «Gobierno Nacional», hubiera hecho referencia expresa a este, tal y como lo hizo en el último aparte del segundo inciso del artículo 355 </w:t>
      </w:r>
      <w:r w:rsidRPr="00600250">
        <w:rPr>
          <w:rFonts w:ascii="Arial" w:hAnsi="Arial" w:cs="Arial"/>
          <w:i/>
          <w:iCs/>
          <w:color w:val="000000" w:themeColor="text1"/>
          <w:sz w:val="22"/>
        </w:rPr>
        <w:t>ejusdem</w:t>
      </w:r>
      <w:r w:rsidRPr="00600250">
        <w:rPr>
          <w:rFonts w:ascii="Arial" w:hAnsi="Arial" w:cs="Arial"/>
          <w:color w:val="000000" w:themeColor="text1"/>
          <w:sz w:val="22"/>
        </w:rPr>
        <w:t xml:space="preserve">, en el que dispuso expresa y puntualmente que: «[e]l </w:t>
      </w:r>
      <w:r w:rsidRPr="00600250">
        <w:rPr>
          <w:rFonts w:ascii="Arial" w:hAnsi="Arial" w:cs="Arial"/>
          <w:i/>
          <w:iCs/>
          <w:color w:val="000000" w:themeColor="text1"/>
          <w:sz w:val="22"/>
        </w:rPr>
        <w:t>Gobierno Nacional</w:t>
      </w:r>
      <w:r w:rsidRPr="00600250">
        <w:rPr>
          <w:rFonts w:ascii="Arial" w:hAnsi="Arial" w:cs="Arial"/>
          <w:color w:val="000000" w:themeColor="text1"/>
          <w:sz w:val="22"/>
        </w:rPr>
        <w:t xml:space="preserve"> reglamentará la materia» (Cursivas propias).</w:t>
      </w:r>
    </w:p>
    <w:p w14:paraId="67F150E1"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Tampoco es posible entender que la expresión «Gobierno Nacional» se aplique por analogía al nivel territorial, para concluir que el alcalde y el gobernador junto con el Secretario de Despacho respectivo, constituyan ese órgano. Definitivamente no existe un equivalente semejante a nivel territorial. Sin embargo, si en gracia de discusión lo hubiera, tampoco sería adecuado aplicarlo para efectos de interpretar el artículo 355 de la Constitución porque, se insiste, ello desconocería su texto y su finalidad.</w:t>
      </w:r>
    </w:p>
    <w:p w14:paraId="2FB8B476"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La Corte Constitucional, en la sentencia C-011 de 1994, expresó que la interpretación de las normas jurídicas le impone al operador jurídico evitar seguir el entendimiento que conduzca al absurdo o a ideas contrarias a su finalidad, sino que se debe buscar «el sentido razonable de la disposición dentro de un contexto global del ordenamiento jurídico-constitucional conforme a una interpretación sistemática- finalística». En ese contexto,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finalística supone una lectura de la norma en sentido amplio, es decir, de tal forma que se entienda que todas las entidades que forman parte de la Rama Ejecutiva pueden celebrar contratos con ESAL para la ejecución de actividades de interés público, según las limitaciones y exigencias legales analizadas en el numeral 2.1. </w:t>
      </w:r>
      <w:r w:rsidRPr="00600250">
        <w:rPr>
          <w:rFonts w:ascii="Arial" w:hAnsi="Arial" w:cs="Arial"/>
          <w:i/>
          <w:iCs/>
          <w:color w:val="000000" w:themeColor="text1"/>
          <w:sz w:val="22"/>
        </w:rPr>
        <w:t>supra</w:t>
      </w:r>
      <w:r w:rsidRPr="00600250">
        <w:rPr>
          <w:rFonts w:ascii="Arial" w:hAnsi="Arial" w:cs="Arial"/>
          <w:color w:val="000000" w:themeColor="text1"/>
          <w:sz w:val="22"/>
        </w:rPr>
        <w:t xml:space="preserve">.  </w:t>
      </w:r>
    </w:p>
    <w:p w14:paraId="5BEFDBD9"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Fue por todo lo anterior, que en el Decreto 092 de 2017 se entendió ─como también se hizo en la «Guía para la contratación con entidades privadas sin ánimo de </w:t>
      </w:r>
      <w:r w:rsidRPr="00600250">
        <w:rPr>
          <w:rFonts w:ascii="Arial" w:hAnsi="Arial" w:cs="Arial"/>
          <w:color w:val="000000" w:themeColor="text1"/>
          <w:sz w:val="22"/>
        </w:rPr>
        <w:lastRenderedPageBreak/>
        <w:t>lucro y de reconocida idoneidad», expedida por Colombia Compra Eficiente─, que la expresión «Gobierno» en realidad se refiere a todas las entidades estatales que forman parte de la Rama Ejecutiva del poder público, en todos los órdenes y niveles ─nacional, departamental, distrital y municipal─. En efecto, la referida Guía expresa:</w:t>
      </w:r>
    </w:p>
    <w:p w14:paraId="1BD1EA87" w14:textId="77777777" w:rsidR="00CB001D" w:rsidRPr="00600250" w:rsidRDefault="00CB001D" w:rsidP="00CB001D">
      <w:pPr>
        <w:spacing w:before="120"/>
        <w:ind w:left="709" w:right="758"/>
        <w:jc w:val="both"/>
        <w:rPr>
          <w:rFonts w:ascii="Arial" w:hAnsi="Arial" w:cs="Arial"/>
          <w:color w:val="000000" w:themeColor="text1"/>
          <w:sz w:val="21"/>
          <w:szCs w:val="21"/>
        </w:rPr>
      </w:pPr>
    </w:p>
    <w:p w14:paraId="5F1EF696" w14:textId="77777777" w:rsidR="00CB001D" w:rsidRPr="00600250" w:rsidRDefault="00CB001D" w:rsidP="00CB001D">
      <w:pPr>
        <w:ind w:left="709" w:right="760"/>
        <w:jc w:val="both"/>
        <w:rPr>
          <w:rFonts w:ascii="Arial" w:hAnsi="Arial" w:cs="Arial"/>
          <w:color w:val="000000" w:themeColor="text1"/>
          <w:sz w:val="21"/>
          <w:szCs w:val="21"/>
        </w:rPr>
      </w:pPr>
      <w:r w:rsidRPr="00600250">
        <w:rPr>
          <w:rFonts w:ascii="Arial" w:hAnsi="Arial" w:cs="Arial"/>
          <w:color w:val="000000" w:themeColor="text1"/>
          <w:sz w:val="21"/>
          <w:szCs w:val="21"/>
        </w:rPr>
        <w:t>El Decreto 092 de 2017 fue expedido en virtud de la autorización contenida en el artículo 355 de la Constitución Política y su aplicación está restringida a: (i) la contratación con ESAL para impulsar programas y actividades de interés público acordes con los respectivos planes de desarrollo y (ii) la contratación a la cual por expresa disposición del legislador le es aplicable este régimen, como el caso del artículo 96 de la Ley 489 de 1998.</w:t>
      </w:r>
    </w:p>
    <w:p w14:paraId="41E6C583" w14:textId="77777777" w:rsidR="00CB001D" w:rsidRPr="00600250" w:rsidRDefault="00CB001D" w:rsidP="00CB001D">
      <w:pPr>
        <w:ind w:left="709" w:right="760"/>
        <w:jc w:val="both"/>
        <w:rPr>
          <w:rFonts w:ascii="Arial" w:hAnsi="Arial" w:cs="Arial"/>
          <w:color w:val="000000" w:themeColor="text1"/>
          <w:sz w:val="21"/>
          <w:szCs w:val="21"/>
        </w:rPr>
      </w:pPr>
    </w:p>
    <w:p w14:paraId="4D341771" w14:textId="77777777" w:rsidR="00CB001D" w:rsidRPr="00600250" w:rsidRDefault="00CB001D" w:rsidP="00CB001D">
      <w:pPr>
        <w:ind w:left="709" w:right="760"/>
        <w:jc w:val="both"/>
        <w:rPr>
          <w:rFonts w:ascii="Arial" w:hAnsi="Arial" w:cs="Arial"/>
          <w:color w:val="000000" w:themeColor="text1"/>
          <w:sz w:val="21"/>
          <w:szCs w:val="21"/>
        </w:rPr>
      </w:pPr>
      <w:r w:rsidRPr="00600250">
        <w:rPr>
          <w:rFonts w:ascii="Arial" w:hAnsi="Arial" w:cs="Arial"/>
          <w:color w:val="000000" w:themeColor="text1"/>
          <w:sz w:val="21"/>
          <w:szCs w:val="21"/>
        </w:rPr>
        <w:t>El Decreto 092 de 2017 es aplicable a los contratos entre las Entidades Estatales del gobierno nacional, departamental, distrital o municipal y ESAL independientemente de la denominación que las partes den al acto jurídico y de la parte que tuvo la iniciativa de celebrarlo. […]</w:t>
      </w:r>
    </w:p>
    <w:p w14:paraId="6274369F" w14:textId="77777777" w:rsidR="00CB001D" w:rsidRPr="00600250" w:rsidRDefault="00CB001D" w:rsidP="00CB001D">
      <w:pPr>
        <w:spacing w:line="276" w:lineRule="auto"/>
        <w:ind w:firstLine="709"/>
        <w:jc w:val="both"/>
        <w:rPr>
          <w:rFonts w:ascii="Arial" w:hAnsi="Arial" w:cs="Arial"/>
          <w:color w:val="000000" w:themeColor="text1"/>
          <w:sz w:val="22"/>
        </w:rPr>
      </w:pPr>
    </w:p>
    <w:p w14:paraId="1F60532C"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A esta conclusión se llega, se reitera, si se tiene en cuenta que el artículo 355 constitucional alude a los distintos niveles territoriales a los que aplica, esto es, al nacional, departamental, distrital y municipal, lo que da cuenta de que la comprensión del ámbito de aplicación del Decreto 92 de 2017 debe ser amplia y finalística y, por ende, que no se puede reducir a la noción «Gobierno Nacional», en los términos del artículo 115 </w:t>
      </w:r>
      <w:r w:rsidRPr="00600250">
        <w:rPr>
          <w:rFonts w:ascii="Arial" w:hAnsi="Arial" w:cs="Arial"/>
          <w:i/>
          <w:iCs/>
          <w:color w:val="000000" w:themeColor="text1"/>
          <w:sz w:val="22"/>
        </w:rPr>
        <w:t>ibidem</w:t>
      </w:r>
      <w:r w:rsidRPr="00600250">
        <w:rPr>
          <w:rFonts w:ascii="Arial" w:hAnsi="Arial" w:cs="Arial"/>
          <w:color w:val="000000" w:themeColor="text1"/>
          <w:sz w:val="22"/>
        </w:rPr>
        <w:t xml:space="preserve">. </w:t>
      </w:r>
    </w:p>
    <w:p w14:paraId="4D63778E"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 xml:space="preserve">En el caso de los </w:t>
      </w:r>
      <w:r w:rsidRPr="00600250">
        <w:rPr>
          <w:rFonts w:ascii="Arial" w:hAnsi="Arial" w:cs="Arial"/>
          <w:i/>
          <w:iCs/>
          <w:color w:val="000000" w:themeColor="text1"/>
          <w:sz w:val="22"/>
        </w:rPr>
        <w:t xml:space="preserve">convenios de asociación </w:t>
      </w:r>
      <w:r w:rsidRPr="00600250">
        <w:rPr>
          <w:rFonts w:ascii="Arial" w:hAnsi="Arial" w:cs="Arial"/>
          <w:color w:val="000000" w:themeColor="text1"/>
          <w:sz w:val="22"/>
        </w:rPr>
        <w:t xml:space="preserve">esta conclusión se hace más evidente, ya que dicha norma, al referirse a la posibilidad de celebrar dichos negocios jurídicos, se refiere a las entidades públicas de cualquier naturaleza y sin distingo de su «orden administrativo». </w:t>
      </w:r>
    </w:p>
    <w:p w14:paraId="7BEE61BE"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Finalmente, en relación con la conformación de la «Administración Pública» o Rama Ejecutiva del poder público, la jurisprudencia de la Corte Constitucional ha manifestado que aquella incluye sus organismos, pero no a las demás ramas y órganos autónomos consagrados en la Constitución</w:t>
      </w:r>
      <w:r w:rsidRPr="00600250">
        <w:rPr>
          <w:rFonts w:ascii="Arial" w:hAnsi="Arial" w:cs="Arial"/>
          <w:color w:val="000000" w:themeColor="text1"/>
          <w:vertAlign w:val="superscript"/>
        </w:rPr>
        <w:footnoteReference w:id="10"/>
      </w:r>
      <w:r w:rsidRPr="00600250">
        <w:rPr>
          <w:rFonts w:ascii="Arial" w:hAnsi="Arial" w:cs="Arial"/>
          <w:color w:val="000000" w:themeColor="text1"/>
          <w:sz w:val="22"/>
        </w:rPr>
        <w:t xml:space="preserve">. En este sentido, y de acuerdo con los artículos 115 de la Constitución Política, y los artículos 38 y 39 de la Ley 489 de 1998, la </w:t>
      </w:r>
      <w:r w:rsidRPr="00600250">
        <w:rPr>
          <w:rFonts w:ascii="Arial" w:hAnsi="Arial" w:cs="Arial"/>
          <w:color w:val="000000" w:themeColor="text1"/>
          <w:sz w:val="22"/>
        </w:rPr>
        <w:lastRenderedPageBreak/>
        <w:t xml:space="preserve">«Rama Ejecutiva» está conformada por las entidades y organismos centralizados y descentralizados por servicios, del orden nacional y territorial.  </w:t>
      </w:r>
    </w:p>
    <w:p w14:paraId="0328AA17"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En conclusión, atendiendo a una interpretación amplia del concepto «Gobierno», las entidades que pueden suscribir los negocios jurídicos a los que se refiere el artículo 355 de la Constitución son las que pertenecen a la Rama Ejecutiva del poder público, independientemente de su régimen general de contratación. En ese sentido, en el ámbito de aplicación no se encuentran incluidas las demás ramas del poder público, ni los entes autónomos, por lo que no pueden acudir a este régimen de contratación las ramas legislativa y judicial, ni los órganos de control y electoral. Eso fue lo que se quiso decir en el concepto del 12 de diciembre de 2019, dictado en el radicado No. 2201913000009196.</w:t>
      </w:r>
    </w:p>
    <w:p w14:paraId="4A11F5C5" w14:textId="77777777" w:rsidR="00CB001D" w:rsidRPr="00600250" w:rsidRDefault="00CB001D" w:rsidP="00CB001D">
      <w:pPr>
        <w:spacing w:before="120" w:line="276" w:lineRule="auto"/>
        <w:ind w:firstLine="708"/>
        <w:jc w:val="both"/>
        <w:rPr>
          <w:rFonts w:ascii="Arial" w:hAnsi="Arial" w:cs="Arial"/>
          <w:color w:val="000000" w:themeColor="text1"/>
          <w:sz w:val="22"/>
        </w:rPr>
      </w:pPr>
      <w:r w:rsidRPr="00600250">
        <w:rPr>
          <w:rFonts w:ascii="Arial" w:hAnsi="Arial" w:cs="Arial"/>
          <w:color w:val="000000" w:themeColor="text1"/>
          <w:sz w:val="22"/>
        </w:rPr>
        <w:t>Ahora bien, los artículos 38 y 68 de la Ley 489 de 1998 definen las entidades que hacen parte de la rama ejecutiva, indicando, el primero, la composición de la rama ejecutiva, y el segundo las entidades descentralizadas</w:t>
      </w:r>
      <w:r w:rsidRPr="00600250">
        <w:rPr>
          <w:rFonts w:ascii="Arial" w:hAnsi="Arial" w:cs="Arial"/>
          <w:color w:val="000000" w:themeColor="text1"/>
          <w:vertAlign w:val="superscript"/>
        </w:rPr>
        <w:footnoteReference w:id="11"/>
      </w:r>
      <w:r w:rsidRPr="00600250">
        <w:rPr>
          <w:rFonts w:ascii="Arial" w:hAnsi="Arial" w:cs="Arial"/>
          <w:color w:val="000000" w:themeColor="text1"/>
          <w:sz w:val="22"/>
        </w:rPr>
        <w:t xml:space="preserve">. Según lo expresado, las entidades que pertenecen son, en el sector central: a) la presidencia de la República; b) la vicepresidencia de la República; c) los consejos superiores de la administración; d) los ministerios y departamentos administrativos y e) las superintendencias y unidades administrativas especiales sin personería jurídica. En el sector descentralizado por servicios:  a) los establecimientos públicos; b) las empresas industriales y comerciales </w:t>
      </w:r>
      <w:r w:rsidRPr="00600250">
        <w:rPr>
          <w:rFonts w:ascii="Arial" w:hAnsi="Arial" w:cs="Arial"/>
          <w:color w:val="000000" w:themeColor="text1"/>
          <w:sz w:val="22"/>
        </w:rPr>
        <w:lastRenderedPageBreak/>
        <w:t xml:space="preserve">del Estado; c) las superintendencias y las unidades administrativas especiales con personería jurídica; d) </w:t>
      </w:r>
      <w:r w:rsidRPr="00600250">
        <w:rPr>
          <w:rFonts w:ascii="Arial" w:hAnsi="Arial" w:cs="Arial"/>
          <w:i/>
          <w:iCs/>
          <w:color w:val="000000" w:themeColor="text1"/>
          <w:sz w:val="22"/>
        </w:rPr>
        <w:t>las empresas sociales del Estado</w:t>
      </w:r>
      <w:r w:rsidRPr="00600250">
        <w:rPr>
          <w:rFonts w:ascii="Arial" w:hAnsi="Arial" w:cs="Arial"/>
          <w:color w:val="000000" w:themeColor="text1"/>
          <w:sz w:val="22"/>
        </w:rPr>
        <w:t xml:space="preserve"> y las empresas oficiales de servicios públicos domiciliarios; e) los institutos científicos y tecnológicos; f) las sociedades públicas y las sociedades de economía mixta y g) las demás entidades administrativas nacionales con personería jurídica que cree, organice o autorice la ley para que formen parte de la Rama Ejecutiva del Poder Público.</w:t>
      </w:r>
    </w:p>
    <w:p w14:paraId="2E0E5000" w14:textId="77777777" w:rsidR="00CB001D" w:rsidRPr="00600250" w:rsidRDefault="00CB001D" w:rsidP="00CB001D">
      <w:pPr>
        <w:spacing w:before="120" w:line="276" w:lineRule="auto"/>
        <w:ind w:firstLine="709"/>
        <w:jc w:val="both"/>
        <w:rPr>
          <w:rFonts w:ascii="Arial" w:hAnsi="Arial" w:cs="Arial"/>
          <w:color w:val="000000" w:themeColor="text1"/>
          <w:sz w:val="22"/>
        </w:rPr>
      </w:pPr>
      <w:r w:rsidRPr="00600250">
        <w:rPr>
          <w:rFonts w:ascii="Arial" w:hAnsi="Arial" w:cs="Arial"/>
          <w:color w:val="000000" w:themeColor="text1"/>
          <w:sz w:val="22"/>
        </w:rPr>
        <w:t>Estas son, pues, las entidades públicas habilitadas para suscribir, como contratantes, los negocios jurídicos referidos en el artículo 355 de la Constitución Política.</w:t>
      </w:r>
    </w:p>
    <w:p w14:paraId="761FDAC7" w14:textId="77777777" w:rsidR="00CB001D" w:rsidRPr="00600250" w:rsidRDefault="00CB001D" w:rsidP="00CB001D">
      <w:pPr>
        <w:spacing w:line="276" w:lineRule="auto"/>
        <w:jc w:val="both"/>
        <w:rPr>
          <w:rFonts w:ascii="Arial" w:hAnsi="Arial" w:cs="Arial"/>
          <w:b/>
          <w:bCs/>
          <w:color w:val="000000" w:themeColor="text1"/>
          <w:sz w:val="22"/>
        </w:rPr>
      </w:pPr>
    </w:p>
    <w:p w14:paraId="3F18E8C6" w14:textId="77777777" w:rsidR="00CB001D" w:rsidRPr="00600250" w:rsidRDefault="00CB001D" w:rsidP="00CB001D">
      <w:pPr>
        <w:tabs>
          <w:tab w:val="left" w:pos="426"/>
        </w:tabs>
        <w:spacing w:line="276" w:lineRule="auto"/>
        <w:jc w:val="both"/>
        <w:rPr>
          <w:rFonts w:ascii="Arial" w:hAnsi="Arial" w:cs="Arial"/>
          <w:b/>
          <w:bCs/>
          <w:color w:val="000000" w:themeColor="text1"/>
          <w:sz w:val="22"/>
        </w:rPr>
      </w:pPr>
      <w:r w:rsidRPr="00600250">
        <w:rPr>
          <w:rFonts w:ascii="Arial" w:hAnsi="Arial" w:cs="Arial"/>
          <w:b/>
          <w:bCs/>
          <w:color w:val="000000" w:themeColor="text1"/>
          <w:sz w:val="22"/>
        </w:rPr>
        <w:t>2.3.</w:t>
      </w:r>
      <w:r w:rsidRPr="00600250">
        <w:rPr>
          <w:rFonts w:ascii="Arial" w:hAnsi="Arial" w:cs="Arial"/>
          <w:b/>
          <w:bCs/>
          <w:color w:val="000000" w:themeColor="text1"/>
          <w:sz w:val="22"/>
        </w:rPr>
        <w:tab/>
        <w:t>Suspensión provisional de algunas normas del Decreto 92 de 2017</w:t>
      </w:r>
    </w:p>
    <w:p w14:paraId="39A6BDBC" w14:textId="77777777" w:rsidR="00CB001D" w:rsidRPr="00600250" w:rsidRDefault="00CB001D" w:rsidP="007C32A4">
      <w:pPr>
        <w:spacing w:line="276" w:lineRule="auto"/>
        <w:jc w:val="both"/>
        <w:rPr>
          <w:rFonts w:ascii="Arial" w:hAnsi="Arial" w:cs="Arial"/>
          <w:b/>
          <w:bCs/>
          <w:color w:val="000000" w:themeColor="text1"/>
          <w:sz w:val="22"/>
        </w:rPr>
      </w:pPr>
    </w:p>
    <w:p w14:paraId="4CC9ABEA" w14:textId="77777777" w:rsidR="00CB001D" w:rsidRPr="00600250" w:rsidRDefault="00CB001D" w:rsidP="007C32A4">
      <w:pPr>
        <w:spacing w:line="276" w:lineRule="auto"/>
        <w:jc w:val="both"/>
        <w:rPr>
          <w:rFonts w:ascii="Arial" w:hAnsi="Arial" w:cs="Arial"/>
          <w:color w:val="000000" w:themeColor="text1"/>
          <w:sz w:val="22"/>
        </w:rPr>
      </w:pPr>
      <w:r w:rsidRPr="00600250">
        <w:rPr>
          <w:rFonts w:ascii="Arial" w:hAnsi="Arial" w:cs="Arial"/>
          <w:color w:val="000000" w:themeColor="text1"/>
          <w:sz w:val="22"/>
        </w:rPr>
        <w:t xml:space="preserve">Esta entidad se pronunció respecto de la suspensión provisional del Decreto 92 de 2017, en el concepto No. </w:t>
      </w:r>
      <w:r w:rsidRPr="00600250">
        <w:rPr>
          <w:rFonts w:ascii="Arial" w:eastAsia="Calibri" w:hAnsi="Arial" w:cs="Arial"/>
          <w:color w:val="000000" w:themeColor="text1"/>
          <w:sz w:val="22"/>
        </w:rPr>
        <w:t>2201913000006512</w:t>
      </w:r>
      <w:r w:rsidRPr="00600250">
        <w:rPr>
          <w:rFonts w:ascii="Arial" w:hAnsi="Arial" w:cs="Arial"/>
          <w:color w:val="000000" w:themeColor="text1"/>
          <w:sz w:val="22"/>
        </w:rPr>
        <w:t xml:space="preserve"> del 3 de septiembre de 2019, cuyas consideraciones se reiteraron en los conceptos Nos. </w:t>
      </w:r>
      <w:r w:rsidRPr="00600250">
        <w:rPr>
          <w:rFonts w:ascii="Arial" w:eastAsia="Calibri" w:hAnsi="Arial" w:cs="Arial"/>
          <w:color w:val="000000" w:themeColor="text1"/>
          <w:sz w:val="22"/>
        </w:rPr>
        <w:t xml:space="preserve">2201913000006681 </w:t>
      </w:r>
      <w:r w:rsidRPr="00600250">
        <w:rPr>
          <w:rFonts w:ascii="Arial" w:hAnsi="Arial" w:cs="Arial"/>
          <w:color w:val="000000" w:themeColor="text1"/>
          <w:sz w:val="22"/>
        </w:rPr>
        <w:t xml:space="preserve">y 4201913000005551 del 9 de septiembre de 2019, 2201913000006843 del 16 de septiembre de 2019, </w:t>
      </w:r>
      <w:r w:rsidRPr="00600250">
        <w:rPr>
          <w:rFonts w:ascii="Arial" w:eastAsia="Calibri" w:hAnsi="Arial" w:cs="Arial"/>
          <w:color w:val="000000" w:themeColor="text1"/>
          <w:sz w:val="22"/>
        </w:rPr>
        <w:t xml:space="preserve">2201913000009198 del 12 de diciembre de 2019 y 2201913000009567 del 24 de diciembre de 2019. </w:t>
      </w:r>
      <w:r w:rsidRPr="00600250">
        <w:rPr>
          <w:rFonts w:ascii="Arial" w:hAnsi="Arial" w:cs="Arial"/>
          <w:color w:val="000000" w:themeColor="text1"/>
          <w:sz w:val="22"/>
        </w:rPr>
        <w:t>La tesis propuesta en estos conceptos es la que se expondrá a continuación.</w:t>
      </w:r>
    </w:p>
    <w:p w14:paraId="6FD508F2" w14:textId="77777777" w:rsidR="00CB001D" w:rsidRPr="00600250" w:rsidRDefault="00CB001D" w:rsidP="00CB001D">
      <w:pPr>
        <w:spacing w:before="120"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El Consejo de Estado, en el Auto del 6 de agosto de 2019 de la Sección Tercera, Subsección A, radicado No. 11001-03-26-000-2018-00113-00 (62.003), Consejero Ponente Carlos Alberto Zambrano Barrera, estudió la solicitud de suspensión provisional</w:t>
      </w:r>
      <w:r w:rsidRPr="00600250">
        <w:rPr>
          <w:rStyle w:val="Refdenotaalpie"/>
          <w:rFonts w:ascii="Arial" w:eastAsia="Calibri" w:hAnsi="Arial" w:cs="Arial"/>
          <w:color w:val="000000" w:themeColor="text1"/>
          <w:sz w:val="22"/>
        </w:rPr>
        <w:footnoteReference w:id="12"/>
      </w:r>
      <w:r w:rsidRPr="00600250">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92 de 2017. </w:t>
      </w:r>
    </w:p>
    <w:p w14:paraId="5AC51D0E" w14:textId="77777777" w:rsidR="00CB001D" w:rsidRPr="00600250" w:rsidRDefault="00CB001D" w:rsidP="00CB001D">
      <w:pPr>
        <w:spacing w:before="120"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La </w:t>
      </w:r>
      <w:r w:rsidRPr="00600250">
        <w:rPr>
          <w:rFonts w:ascii="Arial" w:eastAsia="Calibri" w:hAnsi="Arial" w:cs="Arial"/>
          <w:i/>
          <w:iCs/>
          <w:color w:val="000000" w:themeColor="text1"/>
          <w:sz w:val="22"/>
        </w:rPr>
        <w:t>primera</w:t>
      </w:r>
      <w:r w:rsidRPr="00600250">
        <w:rPr>
          <w:rFonts w:ascii="Arial" w:eastAsia="Calibri" w:hAnsi="Arial" w:cs="Arial"/>
          <w:color w:val="000000" w:themeColor="text1"/>
          <w:sz w:val="22"/>
        </w:rPr>
        <w:t xml:space="preserve"> norma que estudió el Consejo de Estado fue el inciso 2 del artículo 1 del Decreto 92 de 2017, el cual establece que la interpretación de las expresiones que se encuentran en mayúsculas en el Decreto 92 de 2017 se harían de conformidad con la guía que expida la Agencia Nacional de Contratación Pública</w:t>
      </w:r>
      <w:r w:rsidRPr="00600250">
        <w:rPr>
          <w:rStyle w:val="Refdenotaalpie"/>
          <w:rFonts w:ascii="Arial" w:eastAsia="Calibri" w:hAnsi="Arial" w:cs="Arial"/>
          <w:color w:val="000000" w:themeColor="text1"/>
          <w:sz w:val="22"/>
        </w:rPr>
        <w:footnoteReference w:id="13"/>
      </w:r>
      <w:r w:rsidRPr="00600250">
        <w:rPr>
          <w:rFonts w:ascii="Arial" w:eastAsia="Calibri" w:hAnsi="Arial" w:cs="Arial"/>
          <w:color w:val="000000" w:themeColor="text1"/>
          <w:sz w:val="22"/>
        </w:rPr>
        <w:t>. Señaló que esta disposición, así como el inciso segundo del artículo 3 del Decreto 92 de 2017</w:t>
      </w:r>
      <w:r w:rsidRPr="00600250">
        <w:rPr>
          <w:rStyle w:val="Refdenotaalpie"/>
          <w:rFonts w:ascii="Arial" w:eastAsia="Calibri" w:hAnsi="Arial" w:cs="Arial"/>
          <w:color w:val="000000" w:themeColor="text1"/>
          <w:sz w:val="22"/>
        </w:rPr>
        <w:footnoteReference w:id="14"/>
      </w:r>
      <w:r w:rsidRPr="00600250">
        <w:rPr>
          <w:rFonts w:ascii="Arial" w:eastAsia="Calibri" w:hAnsi="Arial" w:cs="Arial"/>
          <w:color w:val="000000" w:themeColor="text1"/>
          <w:sz w:val="22"/>
        </w:rPr>
        <w:t xml:space="preserve">, exceden </w:t>
      </w:r>
      <w:r w:rsidRPr="00600250">
        <w:rPr>
          <w:rFonts w:ascii="Arial" w:eastAsia="Calibri" w:hAnsi="Arial" w:cs="Arial"/>
          <w:color w:val="000000" w:themeColor="text1"/>
          <w:sz w:val="22"/>
        </w:rPr>
        <w:lastRenderedPageBreak/>
        <w:t xml:space="preserve">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56F886B7" w14:textId="77777777" w:rsidR="00CB001D" w:rsidRPr="00600250" w:rsidRDefault="00CB001D" w:rsidP="00CB001D">
      <w:pPr>
        <w:spacing w:line="276" w:lineRule="auto"/>
        <w:jc w:val="both"/>
        <w:rPr>
          <w:rFonts w:ascii="Arial" w:eastAsia="Calibri" w:hAnsi="Arial" w:cs="Arial"/>
          <w:color w:val="000000" w:themeColor="text1"/>
          <w:sz w:val="22"/>
        </w:rPr>
      </w:pPr>
    </w:p>
    <w:p w14:paraId="1754F226" w14:textId="77777777" w:rsidR="00CB001D" w:rsidRPr="00600250" w:rsidRDefault="00CB001D" w:rsidP="00CB001D">
      <w:pPr>
        <w:tabs>
          <w:tab w:val="left" w:pos="8789"/>
        </w:tabs>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30DA6336" w14:textId="77777777" w:rsidR="00CB001D" w:rsidRPr="00600250" w:rsidRDefault="00CB001D" w:rsidP="00CB001D">
      <w:pPr>
        <w:spacing w:line="276" w:lineRule="auto"/>
        <w:jc w:val="both"/>
        <w:rPr>
          <w:rFonts w:ascii="Arial" w:eastAsia="Calibri" w:hAnsi="Arial" w:cs="Arial"/>
          <w:color w:val="000000" w:themeColor="text1"/>
          <w:sz w:val="22"/>
        </w:rPr>
      </w:pPr>
    </w:p>
    <w:p w14:paraId="451CEC6D"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01A6FB53"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La </w:t>
      </w:r>
      <w:r w:rsidRPr="00600250">
        <w:rPr>
          <w:rFonts w:ascii="Arial" w:eastAsia="Calibri" w:hAnsi="Arial" w:cs="Arial"/>
          <w:i/>
          <w:iCs/>
          <w:color w:val="000000" w:themeColor="text1"/>
          <w:sz w:val="22"/>
        </w:rPr>
        <w:t>segunda</w:t>
      </w:r>
      <w:r w:rsidRPr="00600250">
        <w:rPr>
          <w:rFonts w:ascii="Arial" w:eastAsia="Calibri" w:hAnsi="Arial" w:cs="Arial"/>
          <w:color w:val="000000" w:themeColor="text1"/>
          <w:sz w:val="22"/>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600250">
        <w:rPr>
          <w:rStyle w:val="Refdenotaalpie"/>
          <w:rFonts w:ascii="Arial" w:hAnsi="Arial" w:cs="Arial"/>
          <w:color w:val="000000" w:themeColor="text1"/>
          <w:sz w:val="22"/>
        </w:rPr>
        <w:footnoteReference w:id="15"/>
      </w:r>
      <w:r w:rsidRPr="00600250">
        <w:rPr>
          <w:rFonts w:ascii="Arial" w:eastAsia="Calibri" w:hAnsi="Arial" w:cs="Arial"/>
          <w:color w:val="000000" w:themeColor="text1"/>
          <w:sz w:val="22"/>
        </w:rPr>
        <w:t xml:space="preserve">. En relación con esta norma, encontró </w:t>
      </w:r>
      <w:r w:rsidRPr="00600250">
        <w:rPr>
          <w:rFonts w:ascii="Arial" w:eastAsia="Calibri" w:hAnsi="Arial" w:cs="Arial"/>
          <w:color w:val="000000" w:themeColor="text1"/>
          <w:sz w:val="22"/>
        </w:rPr>
        <w:lastRenderedPageBreak/>
        <w:t xml:space="preserve">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7E045DF0" w14:textId="77777777" w:rsidR="00CB001D" w:rsidRPr="00600250" w:rsidRDefault="00CB001D" w:rsidP="00CB001D">
      <w:pPr>
        <w:spacing w:line="276" w:lineRule="auto"/>
        <w:jc w:val="both"/>
        <w:rPr>
          <w:rFonts w:ascii="Arial" w:eastAsia="Calibri" w:hAnsi="Arial" w:cs="Arial"/>
          <w:color w:val="000000" w:themeColor="text1"/>
          <w:sz w:val="22"/>
        </w:rPr>
      </w:pPr>
    </w:p>
    <w:p w14:paraId="0894C8A3" w14:textId="77777777" w:rsidR="00CB001D" w:rsidRPr="00600250" w:rsidRDefault="00CB001D" w:rsidP="00CB001D">
      <w:pPr>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4EE1CB63" w14:textId="77777777" w:rsidR="00CB001D" w:rsidRPr="00600250" w:rsidRDefault="00CB001D" w:rsidP="00CB001D">
      <w:pPr>
        <w:spacing w:line="276" w:lineRule="auto"/>
        <w:jc w:val="both"/>
        <w:rPr>
          <w:rFonts w:ascii="Arial" w:eastAsia="Calibri" w:hAnsi="Arial" w:cs="Arial"/>
          <w:color w:val="000000" w:themeColor="text1"/>
          <w:sz w:val="22"/>
        </w:rPr>
      </w:pPr>
    </w:p>
    <w:p w14:paraId="47447B51" w14:textId="77777777" w:rsidR="00CB001D" w:rsidRPr="00600250" w:rsidRDefault="00CB001D" w:rsidP="00CB001D">
      <w:pPr>
        <w:spacing w:line="276" w:lineRule="auto"/>
        <w:ind w:firstLine="708"/>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293BB0E9" w14:textId="77777777" w:rsidR="00CB001D" w:rsidRPr="00600250" w:rsidRDefault="00CB001D" w:rsidP="00CB001D">
      <w:pPr>
        <w:spacing w:line="276" w:lineRule="auto"/>
        <w:jc w:val="both"/>
        <w:rPr>
          <w:rFonts w:ascii="Arial" w:eastAsia="Calibri" w:hAnsi="Arial" w:cs="Arial"/>
          <w:color w:val="000000" w:themeColor="text1"/>
          <w:sz w:val="22"/>
        </w:rPr>
      </w:pPr>
    </w:p>
    <w:p w14:paraId="71FEB65B" w14:textId="77777777" w:rsidR="00CB001D" w:rsidRPr="00600250" w:rsidRDefault="00CB001D" w:rsidP="00CB001D">
      <w:pPr>
        <w:tabs>
          <w:tab w:val="left" w:pos="8080"/>
        </w:tabs>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53A6A77C" w14:textId="77777777" w:rsidR="00CB001D" w:rsidRPr="00600250" w:rsidRDefault="00CB001D" w:rsidP="00CB001D">
      <w:pPr>
        <w:spacing w:line="276" w:lineRule="auto"/>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 </w:t>
      </w:r>
    </w:p>
    <w:p w14:paraId="3B742593"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lastRenderedPageBreak/>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92 de 2017.</w:t>
      </w:r>
    </w:p>
    <w:p w14:paraId="71D256F6"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El Consejo de Estado, en </w:t>
      </w:r>
      <w:r w:rsidRPr="00600250">
        <w:rPr>
          <w:rFonts w:ascii="Arial" w:eastAsia="Calibri" w:hAnsi="Arial" w:cs="Arial"/>
          <w:i/>
          <w:iCs/>
          <w:color w:val="000000" w:themeColor="text1"/>
          <w:sz w:val="22"/>
        </w:rPr>
        <w:t>tercer</w:t>
      </w:r>
      <w:r w:rsidRPr="00600250">
        <w:rPr>
          <w:rFonts w:ascii="Arial" w:eastAsia="Calibri" w:hAnsi="Arial" w:cs="Arial"/>
          <w:color w:val="000000" w:themeColor="text1"/>
          <w:sz w:val="22"/>
        </w:rPr>
        <w:t xml:space="preserve"> lugar, examinó el literal c) y el inciso 5 del artículo 2 del Decreto</w:t>
      </w:r>
      <w:r w:rsidRPr="00600250">
        <w:rPr>
          <w:rStyle w:val="Refdenotaalpie"/>
          <w:rFonts w:ascii="Arial" w:eastAsia="Calibri" w:hAnsi="Arial" w:cs="Arial"/>
          <w:color w:val="000000" w:themeColor="text1"/>
          <w:sz w:val="22"/>
        </w:rPr>
        <w:footnoteReference w:id="16"/>
      </w:r>
      <w:r w:rsidRPr="00600250">
        <w:rPr>
          <w:rFonts w:ascii="Arial" w:eastAsia="Calibri" w:hAnsi="Arial" w:cs="Arial"/>
          <w:color w:val="000000" w:themeColor="text1"/>
          <w:sz w:val="22"/>
        </w:rPr>
        <w:t xml:space="preserve">, señalando que contraría la norma constitucional al condicionar que los contratos solo se pueden celebrar cuando no exista oferta en el mercado, sometiendo su celebración 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2D5EFE0D" w14:textId="77777777" w:rsidR="00CB001D" w:rsidRPr="00600250" w:rsidRDefault="00CB001D" w:rsidP="00CB001D">
      <w:pPr>
        <w:spacing w:line="276" w:lineRule="auto"/>
        <w:jc w:val="both"/>
        <w:rPr>
          <w:rFonts w:ascii="Arial" w:eastAsia="Calibri" w:hAnsi="Arial" w:cs="Arial"/>
          <w:color w:val="000000" w:themeColor="text1"/>
          <w:sz w:val="22"/>
        </w:rPr>
      </w:pPr>
    </w:p>
    <w:p w14:paraId="3044F4BE" w14:textId="77777777" w:rsidR="00CB001D" w:rsidRPr="00600250" w:rsidRDefault="00CB001D" w:rsidP="00CB001D">
      <w:pPr>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606DE374" w14:textId="77777777" w:rsidR="00CB001D" w:rsidRPr="00600250" w:rsidRDefault="00CB001D" w:rsidP="00CB001D">
      <w:pPr>
        <w:spacing w:line="276" w:lineRule="auto"/>
        <w:jc w:val="both"/>
        <w:rPr>
          <w:rFonts w:ascii="Arial" w:eastAsia="Calibri" w:hAnsi="Arial" w:cs="Arial"/>
          <w:color w:val="000000" w:themeColor="text1"/>
          <w:sz w:val="22"/>
        </w:rPr>
      </w:pPr>
    </w:p>
    <w:p w14:paraId="72BBCF73"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2A1267B7"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lastRenderedPageBreak/>
        <w:t xml:space="preserve">La </w:t>
      </w:r>
      <w:r w:rsidRPr="00600250">
        <w:rPr>
          <w:rFonts w:ascii="Arial" w:eastAsia="Calibri" w:hAnsi="Arial" w:cs="Arial"/>
          <w:i/>
          <w:iCs/>
          <w:color w:val="000000" w:themeColor="text1"/>
          <w:sz w:val="22"/>
        </w:rPr>
        <w:t>cuarta</w:t>
      </w:r>
      <w:r w:rsidRPr="00600250">
        <w:rPr>
          <w:rFonts w:ascii="Arial" w:eastAsia="Calibri" w:hAnsi="Arial" w:cs="Arial"/>
          <w:color w:val="000000" w:themeColor="text1"/>
          <w:sz w:val="22"/>
        </w:rPr>
        <w:t xml:space="preserve">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600250">
        <w:rPr>
          <w:rStyle w:val="Refdenotaalpie"/>
          <w:rFonts w:ascii="Arial" w:eastAsia="Calibri" w:hAnsi="Arial" w:cs="Arial"/>
          <w:color w:val="000000" w:themeColor="text1"/>
          <w:sz w:val="22"/>
        </w:rPr>
        <w:footnoteReference w:id="17"/>
      </w:r>
      <w:r w:rsidRPr="00600250">
        <w:rPr>
          <w:rFonts w:ascii="Arial" w:eastAsia="Calibri" w:hAnsi="Arial" w:cs="Arial"/>
          <w:color w:val="000000" w:themeColor="text1"/>
          <w:sz w:val="22"/>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1F21918D" w14:textId="77777777" w:rsidR="00CB001D" w:rsidRPr="00600250" w:rsidRDefault="00CB001D" w:rsidP="00CB001D">
      <w:pPr>
        <w:spacing w:line="276" w:lineRule="auto"/>
        <w:jc w:val="both"/>
        <w:rPr>
          <w:rFonts w:ascii="Arial" w:eastAsia="Calibri" w:hAnsi="Arial" w:cs="Arial"/>
          <w:color w:val="000000" w:themeColor="text1"/>
          <w:sz w:val="22"/>
        </w:rPr>
      </w:pPr>
    </w:p>
    <w:p w14:paraId="65D99F4B" w14:textId="77777777" w:rsidR="00CB001D" w:rsidRPr="00600250" w:rsidRDefault="00CB001D" w:rsidP="00CB001D">
      <w:pPr>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68C0EE9D" w14:textId="77777777" w:rsidR="00CB001D" w:rsidRPr="00600250" w:rsidRDefault="00CB001D" w:rsidP="007C32A4">
      <w:pPr>
        <w:spacing w:line="276" w:lineRule="auto"/>
        <w:jc w:val="both"/>
        <w:rPr>
          <w:rFonts w:ascii="Arial" w:eastAsia="Calibri" w:hAnsi="Arial" w:cs="Arial"/>
          <w:color w:val="000000" w:themeColor="text1"/>
          <w:sz w:val="22"/>
        </w:rPr>
      </w:pPr>
    </w:p>
    <w:p w14:paraId="4C8EEC3A" w14:textId="77777777" w:rsidR="00CB001D" w:rsidRPr="00600250" w:rsidRDefault="00CB001D" w:rsidP="007C32A4">
      <w:pPr>
        <w:spacing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22095C31"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En consecuencia, 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w:t>
      </w:r>
      <w:r w:rsidRPr="00600250">
        <w:rPr>
          <w:rFonts w:ascii="Arial" w:eastAsia="Calibri" w:hAnsi="Arial" w:cs="Arial"/>
          <w:i/>
          <w:iCs/>
          <w:color w:val="000000" w:themeColor="text1"/>
          <w:sz w:val="22"/>
        </w:rPr>
        <w:t>ibidem</w:t>
      </w:r>
      <w:r w:rsidRPr="00600250">
        <w:rPr>
          <w:rFonts w:ascii="Arial" w:eastAsia="Calibri" w:hAnsi="Arial" w:cs="Arial"/>
          <w:color w:val="000000" w:themeColor="text1"/>
          <w:sz w:val="22"/>
        </w:rPr>
        <w:t xml:space="preserve">. Incluso, habría lugar a tener en cuenta las exigencias  del inciso 2 del artículo 4 </w:t>
      </w:r>
      <w:r w:rsidRPr="00600250">
        <w:rPr>
          <w:rFonts w:ascii="Arial" w:eastAsia="Calibri" w:hAnsi="Arial" w:cs="Arial"/>
          <w:i/>
          <w:iCs/>
          <w:color w:val="000000" w:themeColor="text1"/>
          <w:sz w:val="22"/>
        </w:rPr>
        <w:t>íbídem</w:t>
      </w:r>
      <w:r w:rsidRPr="00600250">
        <w:rPr>
          <w:rFonts w:ascii="Arial" w:eastAsia="Calibri" w:hAnsi="Arial" w:cs="Arial"/>
          <w:color w:val="000000" w:themeColor="text1"/>
          <w:sz w:val="22"/>
        </w:rPr>
        <w:t>, claro está, siempre que se configuren los supuestos de aplicación de dicha normativa, esto es, siempre que «exist[a] más de una entidad sin ánimo de lucro de reconocida idoneidad».</w:t>
      </w:r>
    </w:p>
    <w:p w14:paraId="5C228596"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lastRenderedPageBreak/>
        <w:t xml:space="preserve">Por último, en </w:t>
      </w:r>
      <w:r w:rsidRPr="00600250">
        <w:rPr>
          <w:rFonts w:ascii="Arial" w:eastAsia="Calibri" w:hAnsi="Arial" w:cs="Arial"/>
          <w:i/>
          <w:iCs/>
          <w:color w:val="000000" w:themeColor="text1"/>
          <w:sz w:val="22"/>
        </w:rPr>
        <w:t xml:space="preserve">quinto </w:t>
      </w:r>
      <w:r w:rsidRPr="00600250">
        <w:rPr>
          <w:rFonts w:ascii="Arial" w:eastAsia="Calibri" w:hAnsi="Arial" w:cs="Arial"/>
          <w:color w:val="000000" w:themeColor="text1"/>
          <w:sz w:val="22"/>
        </w:rPr>
        <w:t xml:space="preserve">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336BB7C4"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hAnsi="Arial" w:cs="Arial"/>
          <w:color w:val="000000" w:themeColor="text1"/>
          <w:sz w:val="22"/>
        </w:rPr>
        <w:t>En este orden de ideas, la contratación con entidades sin ánimo de lucro se sigue rigiendo por el Decreto 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46759FBD"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Ahora, si se pretende realizar un </w:t>
      </w:r>
      <w:r w:rsidRPr="00600250">
        <w:rPr>
          <w:rFonts w:ascii="Arial" w:eastAsia="Calibri" w:hAnsi="Arial" w:cs="Arial"/>
          <w:i/>
          <w:iCs/>
          <w:color w:val="000000" w:themeColor="text1"/>
          <w:sz w:val="22"/>
        </w:rPr>
        <w:t>convenio de asociación</w:t>
      </w:r>
      <w:r w:rsidRPr="00600250">
        <w:rPr>
          <w:rFonts w:ascii="Arial" w:eastAsia="Calibri" w:hAnsi="Arial" w:cs="Arial"/>
          <w:color w:val="000000" w:themeColor="text1"/>
          <w:sz w:val="22"/>
        </w:rPr>
        <w:t xml:space="preserve"> con ESAL de reconocida idoneidad para el cumplimiento de las funciones que la ley les asigna a las entidades públicas, deberá aplicar lo dispuesto en el artículo 5 del Decreto 92 de 2017. </w:t>
      </w:r>
    </w:p>
    <w:p w14:paraId="297DDEB8"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Para los convenios de asociación, como se dijo, el artículo 5 del citado Decreto establece que el proceso para la selección de la ESAL debe estar sujeto a competencia, salvo en aquellos casos en que una entidad sin ánimo de lucro comprometa recursos en dinero por un valor igual o superior al 30% del valor total del convenio</w:t>
      </w:r>
      <w:r w:rsidRPr="00600250">
        <w:rPr>
          <w:rStyle w:val="Refdenotaalpie"/>
          <w:rFonts w:ascii="Arial" w:hAnsi="Arial" w:cs="Arial"/>
          <w:color w:val="000000" w:themeColor="text1"/>
          <w:sz w:val="20"/>
          <w:szCs w:val="20"/>
        </w:rPr>
        <w:footnoteReference w:id="18"/>
      </w:r>
      <w:r w:rsidRPr="00600250">
        <w:rPr>
          <w:rFonts w:ascii="Arial" w:eastAsia="Calibri" w:hAnsi="Arial" w:cs="Arial"/>
          <w:color w:val="000000" w:themeColor="text1"/>
          <w:sz w:val="22"/>
        </w:rPr>
        <w:t>, y siempre que la entidad estatal verifique previamente que no existe ninguna otra entidad sin ánimo de lucro que ofrezca aportes iguales o superiores al 30%.</w:t>
      </w:r>
    </w:p>
    <w:p w14:paraId="5CD5F024" w14:textId="77777777" w:rsidR="00CB001D" w:rsidRPr="00600250" w:rsidRDefault="00CB001D" w:rsidP="00CB001D">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lastRenderedPageBreak/>
        <w:t>Finalmente, el artículo 9 del Decreto 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600250">
        <w:rPr>
          <w:rStyle w:val="Refdenotaalpie"/>
          <w:rFonts w:ascii="Arial" w:eastAsia="Calibri" w:hAnsi="Arial" w:cs="Arial"/>
          <w:color w:val="000000" w:themeColor="text1"/>
          <w:sz w:val="22"/>
        </w:rPr>
        <w:footnoteReference w:id="19"/>
      </w:r>
      <w:r w:rsidRPr="00600250">
        <w:rPr>
          <w:rFonts w:ascii="Arial" w:eastAsia="Calibri" w:hAnsi="Arial" w:cs="Arial"/>
          <w:color w:val="000000" w:themeColor="text1"/>
          <w:sz w:val="22"/>
        </w:rPr>
        <w:t xml:space="preserve">. </w:t>
      </w:r>
    </w:p>
    <w:p w14:paraId="14195A23" w14:textId="77777777" w:rsidR="00CB001D" w:rsidRPr="00600250" w:rsidRDefault="00CB001D" w:rsidP="00CB001D">
      <w:pPr>
        <w:pStyle w:val="Prrafodelista"/>
        <w:tabs>
          <w:tab w:val="left" w:pos="284"/>
        </w:tabs>
        <w:spacing w:line="276" w:lineRule="auto"/>
        <w:ind w:left="0"/>
        <w:jc w:val="both"/>
        <w:rPr>
          <w:rFonts w:ascii="Arial" w:eastAsia="Calibri" w:hAnsi="Arial" w:cs="Arial"/>
          <w:b/>
          <w:color w:val="000000" w:themeColor="text1"/>
          <w:sz w:val="22"/>
          <w:lang w:val="es-ES"/>
        </w:rPr>
      </w:pPr>
    </w:p>
    <w:p w14:paraId="23CDF2EF" w14:textId="52F39D52" w:rsidR="006C01CE" w:rsidRPr="00600250" w:rsidRDefault="00CB001D" w:rsidP="00CB001D">
      <w:pPr>
        <w:pStyle w:val="Prrafodelista"/>
        <w:tabs>
          <w:tab w:val="left" w:pos="284"/>
        </w:tabs>
        <w:spacing w:line="276" w:lineRule="auto"/>
        <w:ind w:left="0"/>
        <w:jc w:val="both"/>
        <w:rPr>
          <w:rFonts w:ascii="Arial" w:eastAsia="Calibri" w:hAnsi="Arial" w:cs="Arial"/>
          <w:color w:val="000000" w:themeColor="text1"/>
          <w:sz w:val="22"/>
          <w:lang w:val="es-ES"/>
        </w:rPr>
      </w:pPr>
      <w:r w:rsidRPr="00600250">
        <w:rPr>
          <w:rFonts w:ascii="Arial" w:eastAsia="Calibri" w:hAnsi="Arial" w:cs="Arial"/>
          <w:b/>
          <w:color w:val="000000" w:themeColor="text1"/>
          <w:sz w:val="22"/>
          <w:lang w:val="es-ES"/>
        </w:rPr>
        <w:t xml:space="preserve">3. </w:t>
      </w:r>
      <w:r w:rsidR="006C01CE" w:rsidRPr="00600250">
        <w:rPr>
          <w:rFonts w:ascii="Arial" w:eastAsia="Calibri" w:hAnsi="Arial" w:cs="Arial"/>
          <w:b/>
          <w:color w:val="000000" w:themeColor="text1"/>
          <w:sz w:val="22"/>
          <w:lang w:val="es-ES"/>
        </w:rPr>
        <w:t>Respuesta</w:t>
      </w:r>
    </w:p>
    <w:p w14:paraId="2EED77AB" w14:textId="77777777" w:rsidR="006C01CE" w:rsidRPr="00600250" w:rsidRDefault="006C01CE" w:rsidP="006C01CE">
      <w:pPr>
        <w:spacing w:line="276" w:lineRule="auto"/>
        <w:ind w:left="709" w:right="709"/>
        <w:jc w:val="both"/>
        <w:rPr>
          <w:rFonts w:ascii="Arial" w:eastAsia="Calibri" w:hAnsi="Arial" w:cs="Arial"/>
          <w:color w:val="000000" w:themeColor="text1"/>
          <w:sz w:val="22"/>
          <w:lang w:val="es-ES"/>
        </w:rPr>
      </w:pPr>
    </w:p>
    <w:p w14:paraId="6714A17A" w14:textId="77777777" w:rsidR="006C01CE" w:rsidRPr="00600250" w:rsidRDefault="006C01CE" w:rsidP="006C01CE">
      <w:pPr>
        <w:pStyle w:val="Prrafodelista"/>
        <w:ind w:left="567" w:right="426"/>
        <w:jc w:val="both"/>
        <w:rPr>
          <w:rFonts w:ascii="Arial" w:hAnsi="Arial" w:cs="Arial"/>
          <w:color w:val="000000" w:themeColor="text1"/>
          <w:sz w:val="21"/>
          <w:szCs w:val="21"/>
          <w:lang w:val="es-ES"/>
        </w:rPr>
      </w:pPr>
      <w:r w:rsidRPr="00600250">
        <w:rPr>
          <w:rFonts w:ascii="Arial" w:hAnsi="Arial" w:cs="Arial"/>
          <w:color w:val="000000" w:themeColor="text1"/>
          <w:sz w:val="21"/>
          <w:szCs w:val="21"/>
          <w:lang w:val="es-ES"/>
        </w:rPr>
        <w:t>«La consulta está relacionada con la […] forma de contratación para las ESAL que se encuentra (sic) excluidas en el Decreto 092 de 2017 (Mencionados en la Circular Única de Contratación de Colombia Compra Eficiente de abril de 2019). [¿]Qué casos aplicaría la contratación directa si el apoyo a la gestión es para la prestación de servicios de atención sociosanitaria para población de protección constitucional[?]».</w:t>
      </w:r>
    </w:p>
    <w:p w14:paraId="1D83B4AB" w14:textId="77777777" w:rsidR="006C01CE" w:rsidRPr="00600250" w:rsidRDefault="006C01CE" w:rsidP="006C01CE">
      <w:pPr>
        <w:spacing w:line="276" w:lineRule="auto"/>
        <w:ind w:right="709"/>
        <w:jc w:val="both"/>
        <w:rPr>
          <w:rFonts w:ascii="Arial" w:eastAsia="Calibri" w:hAnsi="Arial" w:cs="Arial"/>
          <w:color w:val="000000" w:themeColor="text1"/>
          <w:sz w:val="21"/>
          <w:szCs w:val="21"/>
          <w:lang w:val="es-ES"/>
        </w:rPr>
      </w:pPr>
    </w:p>
    <w:p w14:paraId="60B6B473" w14:textId="0E40639D" w:rsidR="006C01CE" w:rsidRPr="00600250" w:rsidRDefault="006C01CE" w:rsidP="006C01CE">
      <w:pPr>
        <w:spacing w:line="276" w:lineRule="auto"/>
        <w:jc w:val="both"/>
        <w:rPr>
          <w:rFonts w:ascii="Arial" w:hAnsi="Arial" w:cs="Arial"/>
          <w:color w:val="000000" w:themeColor="text1"/>
          <w:sz w:val="22"/>
          <w:lang w:val="es-ES"/>
        </w:rPr>
      </w:pPr>
      <w:r w:rsidRPr="00600250">
        <w:rPr>
          <w:rFonts w:ascii="Arial" w:hAnsi="Arial" w:cs="Arial"/>
          <w:color w:val="000000" w:themeColor="text1"/>
          <w:sz w:val="22"/>
          <w:lang w:val="es-ES"/>
        </w:rPr>
        <w:t xml:space="preserve">Dentro de la Circular Externa Única proferida por Agencia Nacional de Contratación Pública – Colombia Compra Eficiente no se excluyó a ninguna ESAL de la aplicación del Decreto 092 de 2017. </w:t>
      </w:r>
      <w:r w:rsidR="007C32A4" w:rsidRPr="00600250">
        <w:rPr>
          <w:rFonts w:ascii="Arial" w:hAnsi="Arial" w:cs="Arial"/>
          <w:color w:val="000000" w:themeColor="text1"/>
          <w:sz w:val="22"/>
          <w:lang w:val="es-ES"/>
        </w:rPr>
        <w:t xml:space="preserve">Ahora bien, debe tenerse en cuenta que dicha Circular se expidió antes del auto de suspensión provisional del Consejo de Estado desarrollado </w:t>
      </w:r>
      <w:r w:rsidR="00041BEB" w:rsidRPr="00600250">
        <w:rPr>
          <w:rFonts w:ascii="Arial" w:hAnsi="Arial" w:cs="Arial"/>
          <w:color w:val="000000" w:themeColor="text1"/>
          <w:sz w:val="22"/>
          <w:lang w:val="es-ES"/>
        </w:rPr>
        <w:t>en las consideraciones</w:t>
      </w:r>
      <w:r w:rsidR="007C32A4" w:rsidRPr="00600250">
        <w:rPr>
          <w:rFonts w:ascii="Arial" w:hAnsi="Arial" w:cs="Arial"/>
          <w:color w:val="000000" w:themeColor="text1"/>
          <w:sz w:val="22"/>
          <w:lang w:val="es-ES"/>
        </w:rPr>
        <w:t xml:space="preserve">, de allí que en dicha guía se afirmara que: </w:t>
      </w:r>
    </w:p>
    <w:p w14:paraId="0B383CEA" w14:textId="07859342" w:rsidR="007C32A4" w:rsidRPr="00600250" w:rsidRDefault="007C32A4" w:rsidP="006C01CE">
      <w:pPr>
        <w:spacing w:line="276" w:lineRule="auto"/>
        <w:jc w:val="both"/>
        <w:rPr>
          <w:rFonts w:ascii="Arial" w:hAnsi="Arial" w:cs="Arial"/>
          <w:color w:val="000000" w:themeColor="text1"/>
          <w:sz w:val="22"/>
          <w:lang w:val="es-ES"/>
        </w:rPr>
      </w:pPr>
    </w:p>
    <w:p w14:paraId="2A6F11EF" w14:textId="67FFCBDE" w:rsidR="007C32A4" w:rsidRPr="00600250" w:rsidRDefault="007C32A4" w:rsidP="007C32A4">
      <w:pPr>
        <w:pStyle w:val="Prrafodelista"/>
        <w:ind w:left="567" w:right="426"/>
        <w:jc w:val="both"/>
        <w:rPr>
          <w:rFonts w:ascii="Arial" w:hAnsi="Arial" w:cs="Arial"/>
          <w:color w:val="000000" w:themeColor="text1"/>
          <w:sz w:val="21"/>
          <w:szCs w:val="21"/>
          <w:lang w:val="es-ES"/>
        </w:rPr>
      </w:pPr>
      <w:r w:rsidRPr="00600250">
        <w:rPr>
          <w:rFonts w:ascii="Arial" w:hAnsi="Arial" w:cs="Arial"/>
          <w:color w:val="000000" w:themeColor="text1"/>
          <w:sz w:val="21"/>
          <w:szCs w:val="21"/>
          <w:lang w:val="es-ES"/>
        </w:rPr>
        <w:t>El Decreto 092 de 2017 establece que la contratación autorizada por el artículo 355 de la Constitución Política sólo procede para promover los derechos de personas en situación de debilidad manifiesta o indefensión, los derechos de las minorías, el derecho a la educación, el derecho a la paz, las manifestaciones artísticas, culturales, deportivas y de promoción de la diversidad étnica colombiana.</w:t>
      </w:r>
    </w:p>
    <w:p w14:paraId="112D8A59" w14:textId="1179706C" w:rsidR="007C32A4" w:rsidRPr="00600250" w:rsidRDefault="007C32A4" w:rsidP="006C01CE">
      <w:pPr>
        <w:spacing w:line="276" w:lineRule="auto"/>
        <w:jc w:val="both"/>
        <w:rPr>
          <w:rFonts w:ascii="Arial" w:hAnsi="Arial" w:cs="Arial"/>
          <w:color w:val="000000" w:themeColor="text1"/>
          <w:sz w:val="22"/>
          <w:lang w:val="es-ES"/>
        </w:rPr>
      </w:pPr>
    </w:p>
    <w:p w14:paraId="54524CD1" w14:textId="5DBB273E" w:rsidR="00041BEB" w:rsidRPr="00600250" w:rsidRDefault="00041BEB" w:rsidP="00041BEB">
      <w:pPr>
        <w:spacing w:line="276" w:lineRule="auto"/>
        <w:ind w:firstLine="708"/>
        <w:jc w:val="both"/>
        <w:rPr>
          <w:rFonts w:ascii="Arial" w:eastAsia="Calibri" w:hAnsi="Arial" w:cs="Arial"/>
          <w:color w:val="000000" w:themeColor="text1"/>
          <w:sz w:val="22"/>
        </w:rPr>
      </w:pPr>
      <w:r w:rsidRPr="00600250">
        <w:rPr>
          <w:rFonts w:ascii="Arial" w:hAnsi="Arial" w:cs="Arial"/>
          <w:color w:val="000000" w:themeColor="text1"/>
          <w:sz w:val="22"/>
          <w:lang w:val="es-ES"/>
        </w:rPr>
        <w:t xml:space="preserve">No obstante, debe tenerse en cuenta que en dicho auto se </w:t>
      </w:r>
      <w:r w:rsidRPr="00600250">
        <w:rPr>
          <w:rFonts w:ascii="Arial" w:eastAsia="Calibri" w:hAnsi="Arial" w:cs="Arial"/>
          <w:color w:val="000000" w:themeColor="text1"/>
          <w:sz w:val="22"/>
        </w:rPr>
        <w:t xml:space="preserve">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limitaba el ámbito de aplicación que estableció el artículo 355 de la Constitución Política. Al respecto expresó: </w:t>
      </w:r>
    </w:p>
    <w:p w14:paraId="7459D88C" w14:textId="77777777" w:rsidR="00041BEB" w:rsidRPr="00600250" w:rsidRDefault="00041BEB" w:rsidP="00041BEB">
      <w:pPr>
        <w:spacing w:line="276" w:lineRule="auto"/>
        <w:jc w:val="both"/>
        <w:rPr>
          <w:rFonts w:ascii="Arial" w:eastAsia="Calibri" w:hAnsi="Arial" w:cs="Arial"/>
          <w:color w:val="000000" w:themeColor="text1"/>
          <w:sz w:val="22"/>
        </w:rPr>
      </w:pPr>
    </w:p>
    <w:p w14:paraId="35D55EE8" w14:textId="77777777" w:rsidR="00041BEB" w:rsidRPr="00600250" w:rsidRDefault="00041BEB" w:rsidP="00041BEB">
      <w:pPr>
        <w:tabs>
          <w:tab w:val="left" w:pos="8080"/>
        </w:tabs>
        <w:ind w:left="708" w:right="709"/>
        <w:jc w:val="both"/>
        <w:rPr>
          <w:rFonts w:ascii="Arial" w:eastAsia="Calibri" w:hAnsi="Arial" w:cs="Arial"/>
          <w:color w:val="000000" w:themeColor="text1"/>
          <w:sz w:val="21"/>
          <w:szCs w:val="21"/>
        </w:rPr>
      </w:pPr>
      <w:r w:rsidRPr="00600250">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w:t>
      </w:r>
      <w:r w:rsidRPr="00600250">
        <w:rPr>
          <w:rFonts w:ascii="Arial" w:eastAsia="Calibri" w:hAnsi="Arial" w:cs="Arial"/>
          <w:color w:val="000000" w:themeColor="text1"/>
          <w:sz w:val="21"/>
          <w:szCs w:val="21"/>
        </w:rPr>
        <w:lastRenderedPageBreak/>
        <w:t xml:space="preserve">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55A6C16C" w14:textId="77777777" w:rsidR="00041BEB" w:rsidRPr="00600250" w:rsidRDefault="00041BEB" w:rsidP="00935C46">
      <w:pPr>
        <w:spacing w:line="276" w:lineRule="auto"/>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 </w:t>
      </w:r>
    </w:p>
    <w:p w14:paraId="79572F96" w14:textId="44F8601F" w:rsidR="00041BEB" w:rsidRPr="00600250" w:rsidRDefault="00041BEB" w:rsidP="00935C46">
      <w:pPr>
        <w:spacing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w:t>
      </w:r>
      <w:r w:rsidR="00935C46" w:rsidRPr="00600250">
        <w:rPr>
          <w:rFonts w:ascii="Arial" w:eastAsia="Calibri" w:hAnsi="Arial" w:cs="Arial"/>
          <w:color w:val="000000" w:themeColor="text1"/>
          <w:sz w:val="22"/>
        </w:rPr>
        <w:t>convenios</w:t>
      </w:r>
      <w:r w:rsidRPr="00600250">
        <w:rPr>
          <w:rFonts w:ascii="Arial" w:eastAsia="Calibri" w:hAnsi="Arial" w:cs="Arial"/>
          <w:color w:val="000000" w:themeColor="text1"/>
          <w:sz w:val="22"/>
        </w:rPr>
        <w:t xml:space="preserve"> para los objetos específicos señalados </w:t>
      </w:r>
      <w:r w:rsidR="004303A5" w:rsidRPr="00600250">
        <w:rPr>
          <w:rFonts w:ascii="Arial" w:eastAsia="Calibri" w:hAnsi="Arial" w:cs="Arial"/>
          <w:color w:val="000000" w:themeColor="text1"/>
          <w:sz w:val="22"/>
        </w:rPr>
        <w:t xml:space="preserve">inicialmente </w:t>
      </w:r>
      <w:r w:rsidRPr="00600250">
        <w:rPr>
          <w:rFonts w:ascii="Arial" w:eastAsia="Calibri" w:hAnsi="Arial" w:cs="Arial"/>
          <w:color w:val="000000" w:themeColor="text1"/>
          <w:sz w:val="22"/>
        </w:rPr>
        <w:t>en el Decreto 92 de 2017, sino simplemente ser acordes con los planes nacionales o seccionales de desarrollo.</w:t>
      </w:r>
    </w:p>
    <w:p w14:paraId="195707A8" w14:textId="640DA788" w:rsidR="00041BEB" w:rsidRPr="00600250" w:rsidRDefault="00041BEB" w:rsidP="004303A5">
      <w:pPr>
        <w:spacing w:before="120" w:line="276" w:lineRule="auto"/>
        <w:ind w:firstLine="709"/>
        <w:jc w:val="both"/>
        <w:rPr>
          <w:rFonts w:ascii="Arial" w:eastAsia="Calibri" w:hAnsi="Arial" w:cs="Arial"/>
          <w:color w:val="000000" w:themeColor="text1"/>
          <w:sz w:val="22"/>
        </w:rPr>
      </w:pPr>
      <w:r w:rsidRPr="00600250">
        <w:rPr>
          <w:rFonts w:ascii="Arial" w:eastAsia="Calibri" w:hAnsi="Arial" w:cs="Arial"/>
          <w:color w:val="000000" w:themeColor="text1"/>
          <w:sz w:val="22"/>
        </w:rPr>
        <w:t>En tal sentido, actualmente la Circular Externa Única debe interpretarse conforme a la suspensión provisional de varias disposiciones del Decreto 92 de 2017</w:t>
      </w:r>
      <w:r w:rsidR="004303A5" w:rsidRPr="00600250">
        <w:rPr>
          <w:rFonts w:ascii="Arial" w:eastAsia="Calibri" w:hAnsi="Arial" w:cs="Arial"/>
          <w:color w:val="000000" w:themeColor="text1"/>
          <w:sz w:val="22"/>
        </w:rPr>
        <w:t>, en la forma en que se explicó en las consideraciones. Teniendo en cuenta lo anterior, es posible que la entidad</w:t>
      </w:r>
      <w:r w:rsidR="001E50F4" w:rsidRPr="00600250">
        <w:rPr>
          <w:rFonts w:ascii="Arial" w:eastAsia="Calibri" w:hAnsi="Arial" w:cs="Arial"/>
          <w:color w:val="000000" w:themeColor="text1"/>
          <w:sz w:val="22"/>
        </w:rPr>
        <w:t>,</w:t>
      </w:r>
      <w:r w:rsidR="004303A5" w:rsidRPr="00600250">
        <w:rPr>
          <w:rFonts w:ascii="Arial" w:eastAsia="Calibri" w:hAnsi="Arial" w:cs="Arial"/>
          <w:color w:val="000000" w:themeColor="text1"/>
          <w:sz w:val="22"/>
        </w:rPr>
        <w:t xml:space="preserve"> de acuerdo con su necesidad y la naturaleza del convenio a celebrar acuda a un convenio de asociación o a uno de colaboración, observando para su celebración los requisitos desarrollados en las consideraciones.</w:t>
      </w:r>
    </w:p>
    <w:p w14:paraId="24C7C434" w14:textId="77777777" w:rsidR="001E50F4" w:rsidRPr="00600250" w:rsidRDefault="001E50F4" w:rsidP="006C01CE">
      <w:pPr>
        <w:spacing w:line="276" w:lineRule="auto"/>
        <w:jc w:val="both"/>
        <w:rPr>
          <w:rFonts w:ascii="Arial" w:hAnsi="Arial" w:cs="Arial"/>
          <w:color w:val="000000" w:themeColor="text1"/>
          <w:sz w:val="22"/>
          <w:lang w:val="es-ES"/>
        </w:rPr>
      </w:pPr>
    </w:p>
    <w:p w14:paraId="20048B4B" w14:textId="7AE0FFF1" w:rsidR="006C01CE" w:rsidRPr="00600250" w:rsidRDefault="006C01CE" w:rsidP="006C01CE">
      <w:pPr>
        <w:spacing w:line="276" w:lineRule="auto"/>
        <w:jc w:val="both"/>
        <w:rPr>
          <w:rFonts w:ascii="Arial" w:hAnsi="Arial" w:cs="Arial"/>
          <w:color w:val="000000" w:themeColor="text1"/>
          <w:sz w:val="22"/>
          <w:lang w:val="es-ES"/>
        </w:rPr>
      </w:pPr>
      <w:r w:rsidRPr="00600250">
        <w:rPr>
          <w:rFonts w:ascii="Arial" w:hAnsi="Arial" w:cs="Arial"/>
          <w:color w:val="000000" w:themeColor="text1"/>
          <w:sz w:val="22"/>
          <w:lang w:val="es-ES"/>
        </w:rPr>
        <w:t>Este concepto tiene el alcance previsto en el artículo 28 del Código de Procedimiento Administrativo y de lo Contencioso Administrativo.</w:t>
      </w:r>
    </w:p>
    <w:p w14:paraId="696091BD" w14:textId="77777777" w:rsidR="006C01CE" w:rsidRPr="00B06BC7" w:rsidRDefault="006C01CE" w:rsidP="006C01CE">
      <w:pPr>
        <w:spacing w:line="276" w:lineRule="auto"/>
        <w:jc w:val="both"/>
        <w:rPr>
          <w:rFonts w:ascii="Arial" w:eastAsia="Calibri" w:hAnsi="Arial" w:cs="Arial"/>
          <w:color w:val="000000" w:themeColor="text1"/>
          <w:sz w:val="12"/>
          <w:szCs w:val="12"/>
          <w:lang w:val="es-ES"/>
        </w:rPr>
      </w:pPr>
    </w:p>
    <w:p w14:paraId="38C3E32A" w14:textId="77777777" w:rsidR="006C01CE" w:rsidRPr="00600250" w:rsidRDefault="006C01CE" w:rsidP="006C01CE">
      <w:pPr>
        <w:jc w:val="both"/>
        <w:rPr>
          <w:rFonts w:ascii="Arial" w:eastAsia="Calibri" w:hAnsi="Arial" w:cs="Arial"/>
          <w:color w:val="000000" w:themeColor="text1"/>
          <w:sz w:val="22"/>
          <w:lang w:val="es-ES"/>
        </w:rPr>
      </w:pPr>
    </w:p>
    <w:p w14:paraId="4DEEA47D" w14:textId="77777777" w:rsidR="006C01CE" w:rsidRPr="00600250" w:rsidRDefault="006C01CE" w:rsidP="006C01CE">
      <w:pPr>
        <w:jc w:val="both"/>
        <w:rPr>
          <w:rFonts w:ascii="Arial" w:eastAsia="Calibri" w:hAnsi="Arial" w:cs="Arial"/>
          <w:color w:val="000000" w:themeColor="text1"/>
          <w:sz w:val="22"/>
          <w:lang w:val="es-ES"/>
        </w:rPr>
      </w:pPr>
      <w:r w:rsidRPr="00600250">
        <w:rPr>
          <w:rFonts w:ascii="Arial"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5CA019AB" wp14:editId="0505A7F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2F50213">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B099D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7292E45" w14:textId="77777777" w:rsidR="006C01CE" w:rsidRPr="00600250" w:rsidRDefault="006C01CE" w:rsidP="006C01CE">
      <w:pPr>
        <w:rPr>
          <w:rFonts w:ascii="Arial" w:eastAsia="Times New Roman" w:hAnsi="Arial" w:cs="Arial"/>
          <w:color w:val="000000" w:themeColor="text1"/>
          <w:sz w:val="22"/>
          <w:lang w:val="es-ES" w:eastAsia="es-CO"/>
        </w:rPr>
      </w:pPr>
      <w:r w:rsidRPr="00600250">
        <w:rPr>
          <w:rFonts w:ascii="Arial" w:eastAsia="Times New Roman" w:hAnsi="Arial" w:cs="Arial"/>
          <w:color w:val="000000" w:themeColor="text1"/>
          <w:sz w:val="22"/>
          <w:lang w:val="es-ES" w:eastAsia="es-CO"/>
        </w:rPr>
        <w:t>Atentamente,</w:t>
      </w:r>
    </w:p>
    <w:p w14:paraId="61E0E541" w14:textId="3DAD7EE0" w:rsidR="006C01CE" w:rsidRDefault="00AA3A77" w:rsidP="006C01CE">
      <w:pPr>
        <w:jc w:val="center"/>
        <w:rPr>
          <w:rFonts w:ascii="Arial" w:eastAsia="Times New Roman" w:hAnsi="Arial" w:cs="Arial"/>
          <w:color w:val="000000" w:themeColor="text1"/>
          <w:sz w:val="22"/>
          <w:lang w:val="es-ES" w:eastAsia="es-CO"/>
        </w:rPr>
      </w:pPr>
      <w:r>
        <w:rPr>
          <w:noProof/>
          <w:lang w:val="en-US"/>
        </w:rPr>
        <w:drawing>
          <wp:inline distT="0" distB="0" distL="0" distR="0" wp14:anchorId="43E92154" wp14:editId="61B07811">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470A3EF" w14:textId="77777777" w:rsidR="00B06BC7" w:rsidRPr="00600250" w:rsidRDefault="00B06BC7" w:rsidP="006C01CE">
      <w:pPr>
        <w:jc w:val="center"/>
        <w:rPr>
          <w:rFonts w:ascii="Arial" w:eastAsia="Times New Roman" w:hAnsi="Arial" w:cs="Arial"/>
          <w:color w:val="000000" w:themeColor="text1"/>
          <w:sz w:val="22"/>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00250" w:rsidRPr="00600250" w14:paraId="065C490C" w14:textId="77777777" w:rsidTr="00A07F34">
        <w:trPr>
          <w:trHeight w:val="315"/>
        </w:trPr>
        <w:tc>
          <w:tcPr>
            <w:tcW w:w="812" w:type="dxa"/>
            <w:vAlign w:val="center"/>
          </w:tcPr>
          <w:bookmarkEnd w:id="0"/>
          <w:p w14:paraId="1B73AA25"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F530078"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Sebastián Ramírez Grisales</w:t>
            </w:r>
          </w:p>
          <w:p w14:paraId="6E45C9D1"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Contratista – Subdirección de Gestión Contractual</w:t>
            </w:r>
          </w:p>
        </w:tc>
      </w:tr>
      <w:tr w:rsidR="00600250" w:rsidRPr="00600250" w14:paraId="2A93DE79" w14:textId="77777777" w:rsidTr="00A07F34">
        <w:trPr>
          <w:trHeight w:val="330"/>
        </w:trPr>
        <w:tc>
          <w:tcPr>
            <w:tcW w:w="812" w:type="dxa"/>
            <w:vAlign w:val="center"/>
          </w:tcPr>
          <w:p w14:paraId="1D6AF70D"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Fabián Gonzalo Marín Cortés</w:t>
            </w:r>
          </w:p>
          <w:p w14:paraId="787B3B03"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Subdirector de Gestión Contractual</w:t>
            </w:r>
          </w:p>
        </w:tc>
      </w:tr>
      <w:tr w:rsidR="00827DF6" w:rsidRPr="00600250" w14:paraId="07F1531D" w14:textId="77777777" w:rsidTr="00A07F34">
        <w:trPr>
          <w:trHeight w:val="300"/>
        </w:trPr>
        <w:tc>
          <w:tcPr>
            <w:tcW w:w="812" w:type="dxa"/>
            <w:vAlign w:val="center"/>
          </w:tcPr>
          <w:p w14:paraId="05CA8F84"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Fabián Gonzalo Marín Cortés</w:t>
            </w:r>
          </w:p>
          <w:p w14:paraId="137844BA" w14:textId="77777777" w:rsidR="009A6A7A" w:rsidRPr="00600250" w:rsidRDefault="009A6A7A" w:rsidP="00A07F34">
            <w:pPr>
              <w:rPr>
                <w:rFonts w:ascii="Arial" w:eastAsia="Times New Roman" w:hAnsi="Arial" w:cs="Arial"/>
                <w:color w:val="000000" w:themeColor="text1"/>
                <w:sz w:val="16"/>
                <w:szCs w:val="16"/>
                <w:lang w:eastAsia="es-ES"/>
              </w:rPr>
            </w:pPr>
            <w:r w:rsidRPr="00600250">
              <w:rPr>
                <w:rFonts w:ascii="Arial" w:eastAsia="Times New Roman" w:hAnsi="Arial" w:cs="Arial"/>
                <w:color w:val="000000" w:themeColor="text1"/>
                <w:sz w:val="16"/>
                <w:szCs w:val="16"/>
                <w:lang w:eastAsia="es-ES"/>
              </w:rPr>
              <w:t>Subdirector de Gestión Contractual</w:t>
            </w:r>
          </w:p>
        </w:tc>
      </w:tr>
    </w:tbl>
    <w:p w14:paraId="7EBF297E" w14:textId="54C4C2D8" w:rsidR="007B0854" w:rsidRPr="00600250" w:rsidRDefault="007B0854" w:rsidP="00827DF6">
      <w:pPr>
        <w:rPr>
          <w:rFonts w:ascii="Arial" w:eastAsia="Times New Roman" w:hAnsi="Arial" w:cs="Arial"/>
          <w:color w:val="000000" w:themeColor="text1"/>
          <w:sz w:val="22"/>
          <w:lang w:eastAsia="es-CO"/>
        </w:rPr>
      </w:pPr>
    </w:p>
    <w:sectPr w:rsidR="007B0854" w:rsidRPr="00600250" w:rsidSect="00BA263D">
      <w:headerReference w:type="default" r:id="rId12"/>
      <w:footerReference w:type="default" r:id="rId13"/>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F3FA8" w14:textId="77777777" w:rsidR="00E818BA" w:rsidRDefault="00E818BA">
      <w:r>
        <w:separator/>
      </w:r>
    </w:p>
  </w:endnote>
  <w:endnote w:type="continuationSeparator" w:id="0">
    <w:p w14:paraId="6504E0A6" w14:textId="77777777" w:rsidR="00E818BA" w:rsidRDefault="00E8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84F5" w14:textId="77777777" w:rsidR="00CF4B11" w:rsidRDefault="00CF4B11" w:rsidP="00CF4B11">
    <w:pPr>
      <w:pStyle w:val="Sinespaciado"/>
      <w:jc w:val="right"/>
      <w:rPr>
        <w:rFonts w:ascii="Arial" w:hAnsi="Arial" w:cs="Arial"/>
        <w:sz w:val="18"/>
        <w:szCs w:val="18"/>
      </w:rPr>
    </w:pPr>
  </w:p>
  <w:p w14:paraId="3A7E92EE" w14:textId="39775465" w:rsidR="00CF4B11" w:rsidRPr="008217B7" w:rsidRDefault="00CF4B11"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9365F">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9365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4D78BD4" w14:textId="77777777" w:rsidR="00CF4B11" w:rsidRDefault="0E743003" w:rsidP="00CF4B11">
    <w:pPr>
      <w:pStyle w:val="Piedepgina"/>
      <w:jc w:val="center"/>
      <w:rPr>
        <w:lang w:val="es-ES"/>
      </w:rPr>
    </w:pPr>
    <w:r>
      <w:rPr>
        <w:noProof/>
        <w:lang w:val="en-US"/>
      </w:rPr>
      <w:drawing>
        <wp:inline distT="0" distB="0" distL="0" distR="0" wp14:anchorId="6E2FD469" wp14:editId="5B171191">
          <wp:extent cx="3700130" cy="519139"/>
          <wp:effectExtent l="0" t="0" r="0" b="0"/>
          <wp:docPr id="17775171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C1C15E9" w14:textId="77777777" w:rsidR="00CF4B11" w:rsidRDefault="00CF4B11" w:rsidP="00CF4B11">
    <w:pPr>
      <w:pStyle w:val="Piedepgina"/>
      <w:jc w:val="center"/>
      <w:rPr>
        <w:lang w:val="es-ES"/>
      </w:rPr>
    </w:pPr>
  </w:p>
  <w:p w14:paraId="5C8179F0" w14:textId="77777777" w:rsidR="00CF4B11" w:rsidRPr="007B0854" w:rsidRDefault="00CF4B11" w:rsidP="00CF4B1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66400" w14:textId="77777777" w:rsidR="00E818BA" w:rsidRDefault="00E818BA">
      <w:r>
        <w:separator/>
      </w:r>
    </w:p>
  </w:footnote>
  <w:footnote w:type="continuationSeparator" w:id="0">
    <w:p w14:paraId="0ED1F2D1" w14:textId="77777777" w:rsidR="00E818BA" w:rsidRDefault="00E818BA">
      <w:r>
        <w:continuationSeparator/>
      </w:r>
    </w:p>
  </w:footnote>
  <w:footnote w:id="1">
    <w:p w14:paraId="166A70DE"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0C78BBAF"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2">
    <w:p w14:paraId="0EC4E38C"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25A2377"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470F4926" w14:textId="77777777" w:rsidR="00CB001D" w:rsidRPr="00600250" w:rsidRDefault="00CB001D" w:rsidP="00CB001D">
      <w:pPr>
        <w:pStyle w:val="Textonotapie"/>
        <w:ind w:firstLine="708"/>
        <w:jc w:val="both"/>
        <w:rPr>
          <w:rFonts w:ascii="Arial" w:hAnsi="Arial" w:cs="Arial"/>
          <w:color w:val="000000" w:themeColor="text1"/>
          <w:sz w:val="19"/>
          <w:szCs w:val="19"/>
          <w:lang w:val="es-CO"/>
        </w:rPr>
      </w:pPr>
    </w:p>
  </w:footnote>
  <w:footnote w:id="3">
    <w:p w14:paraId="30760422"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3A895136"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4">
    <w:p w14:paraId="40FD5BAF"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Concepto del 3 de septiembre de 2019, emitido en el radicado No. 2201913000006512.</w:t>
      </w:r>
    </w:p>
    <w:p w14:paraId="52B324F6"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5">
    <w:p w14:paraId="3D9DC9C8"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Sobre la naturaleza de los convenios de asociación, se reitera lo expuesto en el concepto del 19 de noviembre de 2019, expedido en el radicado No. 2201913000008611.</w:t>
      </w:r>
    </w:p>
    <w:p w14:paraId="6952E461"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6">
    <w:p w14:paraId="2C105E91"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El numeral 16.9 de la Circular Externa Única de Colombia Compra Eficiente determina:</w:t>
      </w:r>
    </w:p>
    <w:p w14:paraId="0B08A7C9"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Fonts w:ascii="Arial" w:hAnsi="Arial" w:cs="Arial"/>
          <w:color w:val="000000" w:themeColor="text1"/>
          <w:sz w:val="19"/>
          <w:szCs w:val="19"/>
        </w:rPr>
        <w:t>«16.9 Uniones temporales y consorcios conformados por entidades sin ánimo de lucro</w:t>
      </w:r>
    </w:p>
    <w:p w14:paraId="66198BF4"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7D1B09D8"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7">
    <w:p w14:paraId="1155AD7D"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Concepto del 19 de noviembre de 2019, emitido en el radicado No. 2201913000008611.</w:t>
      </w:r>
    </w:p>
    <w:p w14:paraId="1EED5E5E"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8">
    <w:p w14:paraId="1349FA58"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Cfr. Concepto del 21 de agosto de 2019, dictado dentro del radicado No. 2201913000006047.</w:t>
      </w:r>
    </w:p>
    <w:p w14:paraId="1815AC4E"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9">
    <w:p w14:paraId="127FF7DE"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Concepto del 24 de febrero de 2005, con radicado No. 1626, C.P. Dra. Gloria Duque Hernández</w:t>
      </w:r>
    </w:p>
  </w:footnote>
  <w:footnote w:id="10">
    <w:p w14:paraId="5254B6B8" w14:textId="77777777" w:rsidR="00CB001D" w:rsidRPr="00600250" w:rsidRDefault="00CB001D" w:rsidP="00CB001D">
      <w:pPr>
        <w:pStyle w:val="Textonotapie"/>
        <w:ind w:firstLine="708"/>
        <w:jc w:val="both"/>
        <w:rPr>
          <w:rFonts w:ascii="Arial" w:eastAsia="Calibri"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w:t>
      </w:r>
      <w:r w:rsidRPr="00600250">
        <w:rPr>
          <w:rFonts w:ascii="Arial" w:eastAsia="Calibri" w:hAnsi="Arial" w:cs="Arial"/>
          <w:color w:val="000000" w:themeColor="text1"/>
          <w:sz w:val="19"/>
          <w:szCs w:val="19"/>
        </w:rPr>
        <w:t>Corte Constitucional, sentencia C-910 del 31 de octubre de 2007. Magistrado Ponente, Marco Gerardo Monroy Cabra: «La Corte no se ha ocupado todavía de definir de manera concreta el concepto de administración central. Sin embargo, en distintas sentencias ha establecido diferenciaciones, de las que se puede deducir que este concepto abarca todos los organismos de la Rama Ejecutiva nacional, pero no comprende las demás ramas ni los órganos autónomos que fueron consagrados en la Constitución. Así, por ejemplo, en la sentencia C-527 de 1994, M.P. Alejandro Martínez Caballero, se precisó que el numeral 14 del artículo 189 de la Carta no era aplicable a la Contraloría "debido a que es un órgano autónomo e independiente, excluido de la rama ejecutiva, la cual corresponde a la administración central».</w:t>
      </w:r>
    </w:p>
    <w:p w14:paraId="16F29E18"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11">
    <w:p w14:paraId="74A7ABBF" w14:textId="77777777" w:rsidR="00CB001D" w:rsidRPr="00600250" w:rsidRDefault="00CB001D" w:rsidP="00CB001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600250">
        <w:rPr>
          <w:rStyle w:val="Refdenotaalpie"/>
          <w:rFonts w:ascii="Arial" w:eastAsia="Calibri" w:hAnsi="Arial" w:cs="Arial"/>
          <w:color w:val="000000" w:themeColor="text1"/>
          <w:sz w:val="19"/>
          <w:szCs w:val="19"/>
        </w:rPr>
        <w:footnoteRef/>
      </w:r>
      <w:r w:rsidRPr="00600250">
        <w:rPr>
          <w:rFonts w:ascii="Arial" w:hAnsi="Arial" w:cs="Arial"/>
          <w:color w:val="000000" w:themeColor="text1"/>
          <w:sz w:val="19"/>
          <w:szCs w:val="19"/>
        </w:rPr>
        <w:t xml:space="preserve">  </w:t>
      </w:r>
      <w:r w:rsidRPr="00600250">
        <w:rPr>
          <w:rFonts w:ascii="Arial" w:eastAsia="Calibri" w:hAnsi="Arial" w:cs="Arial"/>
          <w:color w:val="000000" w:themeColor="text1"/>
          <w:sz w:val="19"/>
          <w:szCs w:val="19"/>
          <w:lang w:val="es-MX" w:eastAsia="en-US"/>
        </w:rPr>
        <w:t>El artículo 68 dispone que: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5F74C4F5" w14:textId="77777777" w:rsidR="00CB001D" w:rsidRPr="00600250" w:rsidRDefault="00CB001D" w:rsidP="00CB001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600250">
        <w:rPr>
          <w:rFonts w:ascii="Arial" w:eastAsia="Calibri" w:hAnsi="Arial" w:cs="Arial"/>
          <w:color w:val="000000" w:themeColor="text1"/>
          <w:sz w:val="19"/>
          <w:szCs w:val="19"/>
          <w:lang w:val="es-MX" w:eastAsia="en-US"/>
        </w:rPr>
        <w:t>»Las entidades descentralizadas se sujetan a las reglas señaladas en la Constitución Política, en la presente ley, en las leyes que las creen y determinen su estructura orgánica y a sus estatutos internos.</w:t>
      </w:r>
    </w:p>
    <w:p w14:paraId="1DB4CD89" w14:textId="77777777" w:rsidR="00CB001D" w:rsidRPr="00600250" w:rsidRDefault="00CB001D" w:rsidP="00CB001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600250">
        <w:rPr>
          <w:rFonts w:ascii="Arial" w:eastAsia="Calibri" w:hAnsi="Arial" w:cs="Arial"/>
          <w:color w:val="000000" w:themeColor="text1"/>
          <w:sz w:val="19"/>
          <w:szCs w:val="19"/>
          <w:lang w:val="es-MX" w:eastAsia="en-US"/>
        </w:rPr>
        <w:t>»Los organismos y entidades descentralizados, sujetos a regímenes especiales por mandato de la Constitución Política, se someterán a las disposiciones que para ellos establezca la respectiva ley.</w:t>
      </w:r>
    </w:p>
    <w:p w14:paraId="2B268DC9" w14:textId="77777777" w:rsidR="00CB001D" w:rsidRPr="00600250" w:rsidRDefault="00CB001D" w:rsidP="00CB001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600250">
        <w:rPr>
          <w:rFonts w:ascii="Arial" w:eastAsia="Calibri" w:hAnsi="Arial" w:cs="Arial"/>
          <w:color w:val="000000" w:themeColor="text1"/>
          <w:sz w:val="19"/>
          <w:szCs w:val="19"/>
          <w:lang w:val="es-MX" w:eastAsia="en-US"/>
        </w:rPr>
        <w:t>»PARÁGRAFO 1o. De conformidad con el inciso segundo del artículo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011A2B58" w14:textId="77777777" w:rsidR="00CB001D" w:rsidRPr="00600250" w:rsidRDefault="00CB001D" w:rsidP="00CB001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600250">
        <w:rPr>
          <w:rFonts w:ascii="Arial" w:eastAsia="Calibri" w:hAnsi="Arial" w:cs="Arial"/>
          <w:color w:val="000000" w:themeColor="text1"/>
          <w:sz w:val="19"/>
          <w:szCs w:val="19"/>
          <w:lang w:val="es-MX" w:eastAsia="en-US"/>
        </w:rPr>
        <w:t>»PARÁGRAFO 2o. Los organismos o entidades del Sector Descentralizado que tengan como objetivo desarrollar actividades científicas y tecnológicas, se sujetarán a la Legislación de Ciencia y Tecnología y su organización será determinada por el Gobierno Nacional.</w:t>
      </w:r>
    </w:p>
    <w:p w14:paraId="63FD81D8" w14:textId="77777777" w:rsidR="00CB001D" w:rsidRPr="00600250" w:rsidRDefault="00CB001D" w:rsidP="00CB001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600250">
        <w:rPr>
          <w:rFonts w:ascii="Arial" w:eastAsia="Calibri" w:hAnsi="Arial" w:cs="Arial"/>
          <w:color w:val="000000" w:themeColor="text1"/>
          <w:sz w:val="19"/>
          <w:szCs w:val="19"/>
          <w:lang w:val="es-MX" w:eastAsia="en-US"/>
        </w:rPr>
        <w:t>»PARÁGRAFO 3o. Lo dispuesto en el presente artículo no se aplica a las corporaciones civiles sin ánimo de lucro de derecho privado, vinculadas al Ministerio del Medio Ambiente, creadas por la Ley 99 de 1993”.</w:t>
      </w:r>
    </w:p>
    <w:p w14:paraId="0F6B2220" w14:textId="77777777" w:rsidR="00CB001D" w:rsidRPr="00600250" w:rsidRDefault="00CB001D" w:rsidP="00CB001D">
      <w:pPr>
        <w:pStyle w:val="Textonotapie"/>
        <w:jc w:val="both"/>
        <w:rPr>
          <w:rFonts w:ascii="Arial" w:eastAsia="Calibri" w:hAnsi="Arial" w:cs="Arial"/>
          <w:color w:val="000000" w:themeColor="text1"/>
          <w:sz w:val="19"/>
          <w:szCs w:val="19"/>
        </w:rPr>
      </w:pPr>
    </w:p>
  </w:footnote>
  <w:footnote w:id="12">
    <w:p w14:paraId="1C08DEB9"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1B55226C"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13">
    <w:p w14:paraId="2C163A17" w14:textId="77777777" w:rsidR="00CB001D" w:rsidRPr="00600250" w:rsidRDefault="00CB001D" w:rsidP="00CB001D">
      <w:pPr>
        <w:pStyle w:val="Textonotapie"/>
        <w:ind w:firstLine="708"/>
        <w:jc w:val="both"/>
        <w:rPr>
          <w:rFonts w:ascii="Arial" w:eastAsia="Calibri"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w:t>
      </w:r>
      <w:r w:rsidRPr="00600250">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6BBF4850"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14">
    <w:p w14:paraId="24461B9A"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w:t>
      </w:r>
      <w:r w:rsidRPr="00600250">
        <w:rPr>
          <w:rFonts w:ascii="Arial" w:eastAsia="Calibri" w:hAnsi="Arial" w:cs="Arial"/>
          <w:color w:val="000000" w:themeColor="text1"/>
          <w:sz w:val="19"/>
          <w:szCs w:val="19"/>
        </w:rPr>
        <w:t>Decreto 092 de 2017, artículo 3, inciso 2: «</w:t>
      </w:r>
      <w:r w:rsidRPr="00600250">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5">
    <w:p w14:paraId="309DA436" w14:textId="77777777" w:rsidR="00CB001D" w:rsidRPr="00600250" w:rsidRDefault="00CB001D" w:rsidP="00CB001D">
      <w:pPr>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2AB1671D" w14:textId="77777777" w:rsidR="00CB001D" w:rsidRPr="00600250" w:rsidRDefault="00CB001D" w:rsidP="00CB001D">
      <w:pPr>
        <w:ind w:firstLine="708"/>
        <w:jc w:val="both"/>
        <w:rPr>
          <w:rFonts w:ascii="Arial" w:hAnsi="Arial" w:cs="Arial"/>
          <w:color w:val="000000" w:themeColor="text1"/>
          <w:sz w:val="19"/>
          <w:szCs w:val="19"/>
        </w:rPr>
      </w:pPr>
    </w:p>
  </w:footnote>
  <w:footnote w:id="16">
    <w:p w14:paraId="72CD7F8D"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50A33105"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 w:id="17">
    <w:p w14:paraId="1F9C5CC4"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14:paraId="4C9F9DC6"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22749537" w14:textId="77777777" w:rsidR="00CB001D" w:rsidRPr="00600250" w:rsidRDefault="00CB001D" w:rsidP="00CB001D">
      <w:pPr>
        <w:pStyle w:val="Textonotapie"/>
        <w:jc w:val="both"/>
        <w:rPr>
          <w:rFonts w:ascii="Arial" w:hAnsi="Arial" w:cs="Arial"/>
          <w:color w:val="000000" w:themeColor="text1"/>
          <w:sz w:val="19"/>
          <w:szCs w:val="19"/>
          <w:lang w:val="es-ES"/>
        </w:rPr>
      </w:pPr>
    </w:p>
  </w:footnote>
  <w:footnote w:id="19">
    <w:p w14:paraId="6D8D221D" w14:textId="77777777" w:rsidR="00CB001D" w:rsidRPr="00600250" w:rsidRDefault="00CB001D" w:rsidP="00CB001D">
      <w:pPr>
        <w:pStyle w:val="Textonotapie"/>
        <w:ind w:firstLine="708"/>
        <w:jc w:val="both"/>
        <w:rPr>
          <w:rFonts w:ascii="Arial" w:hAnsi="Arial" w:cs="Arial"/>
          <w:color w:val="000000" w:themeColor="text1"/>
          <w:sz w:val="19"/>
          <w:szCs w:val="19"/>
        </w:rPr>
      </w:pPr>
      <w:r w:rsidRPr="00600250">
        <w:rPr>
          <w:rStyle w:val="Refdenotaalpie"/>
          <w:rFonts w:ascii="Arial" w:hAnsi="Arial" w:cs="Arial"/>
          <w:color w:val="000000" w:themeColor="text1"/>
          <w:sz w:val="19"/>
          <w:szCs w:val="19"/>
        </w:rPr>
        <w:footnoteRef/>
      </w:r>
      <w:r w:rsidRPr="00600250">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5A62A925" w14:textId="77777777" w:rsidR="00CB001D" w:rsidRPr="00600250" w:rsidRDefault="00CB001D" w:rsidP="00CB001D">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264" behindDoc="1" locked="0" layoutInCell="1" allowOverlap="1" wp14:anchorId="1A706351" wp14:editId="1976E692">
          <wp:simplePos x="0" y="0"/>
          <wp:positionH relativeFrom="margin">
            <wp:align>right</wp:align>
          </wp:positionH>
          <wp:positionV relativeFrom="paragraph">
            <wp:posOffset>534560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612B64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D91079"/>
    <w:multiLevelType w:val="hybridMultilevel"/>
    <w:tmpl w:val="52B8D43A"/>
    <w:lvl w:ilvl="0" w:tplc="240A0017">
      <w:start w:val="1"/>
      <w:numFmt w:val="lowerLetter"/>
      <w:lvlText w:val="%1)"/>
      <w:lvlJc w:val="left"/>
      <w:pPr>
        <w:ind w:left="2520" w:hanging="360"/>
      </w:pPr>
    </w:lvl>
    <w:lvl w:ilvl="1" w:tplc="040A0019" w:tentative="1">
      <w:start w:val="1"/>
      <w:numFmt w:val="lowerLetter"/>
      <w:lvlText w:val="%2."/>
      <w:lvlJc w:val="left"/>
      <w:pPr>
        <w:ind w:left="3240" w:hanging="360"/>
      </w:pPr>
    </w:lvl>
    <w:lvl w:ilvl="2" w:tplc="040A001B" w:tentative="1">
      <w:start w:val="1"/>
      <w:numFmt w:val="lowerRoman"/>
      <w:lvlText w:val="%3."/>
      <w:lvlJc w:val="right"/>
      <w:pPr>
        <w:ind w:left="3960" w:hanging="180"/>
      </w:pPr>
    </w:lvl>
    <w:lvl w:ilvl="3" w:tplc="040A000F" w:tentative="1">
      <w:start w:val="1"/>
      <w:numFmt w:val="decimal"/>
      <w:lvlText w:val="%4."/>
      <w:lvlJc w:val="left"/>
      <w:pPr>
        <w:ind w:left="4680" w:hanging="360"/>
      </w:pPr>
    </w:lvl>
    <w:lvl w:ilvl="4" w:tplc="040A0019" w:tentative="1">
      <w:start w:val="1"/>
      <w:numFmt w:val="lowerLetter"/>
      <w:lvlText w:val="%5."/>
      <w:lvlJc w:val="left"/>
      <w:pPr>
        <w:ind w:left="5400" w:hanging="360"/>
      </w:pPr>
    </w:lvl>
    <w:lvl w:ilvl="5" w:tplc="040A001B" w:tentative="1">
      <w:start w:val="1"/>
      <w:numFmt w:val="lowerRoman"/>
      <w:lvlText w:val="%6."/>
      <w:lvlJc w:val="right"/>
      <w:pPr>
        <w:ind w:left="6120" w:hanging="180"/>
      </w:pPr>
    </w:lvl>
    <w:lvl w:ilvl="6" w:tplc="040A000F" w:tentative="1">
      <w:start w:val="1"/>
      <w:numFmt w:val="decimal"/>
      <w:lvlText w:val="%7."/>
      <w:lvlJc w:val="left"/>
      <w:pPr>
        <w:ind w:left="6840" w:hanging="360"/>
      </w:pPr>
    </w:lvl>
    <w:lvl w:ilvl="7" w:tplc="040A0019" w:tentative="1">
      <w:start w:val="1"/>
      <w:numFmt w:val="lowerLetter"/>
      <w:lvlText w:val="%8."/>
      <w:lvlJc w:val="left"/>
      <w:pPr>
        <w:ind w:left="7560" w:hanging="360"/>
      </w:pPr>
    </w:lvl>
    <w:lvl w:ilvl="8" w:tplc="040A001B" w:tentative="1">
      <w:start w:val="1"/>
      <w:numFmt w:val="lowerRoman"/>
      <w:lvlText w:val="%9."/>
      <w:lvlJc w:val="right"/>
      <w:pPr>
        <w:ind w:left="82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41BEB"/>
    <w:rsid w:val="000942EB"/>
    <w:rsid w:val="000B103F"/>
    <w:rsid w:val="000C29B8"/>
    <w:rsid w:val="000E3679"/>
    <w:rsid w:val="000F14E8"/>
    <w:rsid w:val="00103915"/>
    <w:rsid w:val="00110765"/>
    <w:rsid w:val="00122B23"/>
    <w:rsid w:val="00126FA4"/>
    <w:rsid w:val="00137215"/>
    <w:rsid w:val="00137FFA"/>
    <w:rsid w:val="001428E9"/>
    <w:rsid w:val="00143610"/>
    <w:rsid w:val="00165FA9"/>
    <w:rsid w:val="0017139E"/>
    <w:rsid w:val="00177C61"/>
    <w:rsid w:val="00192A10"/>
    <w:rsid w:val="001A4E6A"/>
    <w:rsid w:val="001C167B"/>
    <w:rsid w:val="001C2A09"/>
    <w:rsid w:val="001E50F4"/>
    <w:rsid w:val="00224353"/>
    <w:rsid w:val="002327D7"/>
    <w:rsid w:val="00234B84"/>
    <w:rsid w:val="00265160"/>
    <w:rsid w:val="003033BA"/>
    <w:rsid w:val="00315E58"/>
    <w:rsid w:val="00322937"/>
    <w:rsid w:val="00332827"/>
    <w:rsid w:val="00340B07"/>
    <w:rsid w:val="0034680A"/>
    <w:rsid w:val="0035013E"/>
    <w:rsid w:val="00386456"/>
    <w:rsid w:val="003A581E"/>
    <w:rsid w:val="003B1CB8"/>
    <w:rsid w:val="003D5E59"/>
    <w:rsid w:val="00400B75"/>
    <w:rsid w:val="00427ED8"/>
    <w:rsid w:val="004303A5"/>
    <w:rsid w:val="004422D6"/>
    <w:rsid w:val="00482D27"/>
    <w:rsid w:val="0049364B"/>
    <w:rsid w:val="004A34D2"/>
    <w:rsid w:val="004D5CBF"/>
    <w:rsid w:val="0051074C"/>
    <w:rsid w:val="00513AF2"/>
    <w:rsid w:val="0053054B"/>
    <w:rsid w:val="0054413A"/>
    <w:rsid w:val="005564CA"/>
    <w:rsid w:val="005778C7"/>
    <w:rsid w:val="00585E81"/>
    <w:rsid w:val="0059438C"/>
    <w:rsid w:val="005D5DB2"/>
    <w:rsid w:val="00600250"/>
    <w:rsid w:val="006064EC"/>
    <w:rsid w:val="00622D34"/>
    <w:rsid w:val="00625A87"/>
    <w:rsid w:val="006331D5"/>
    <w:rsid w:val="00634FA9"/>
    <w:rsid w:val="00647CE7"/>
    <w:rsid w:val="00655371"/>
    <w:rsid w:val="006757DC"/>
    <w:rsid w:val="00682549"/>
    <w:rsid w:val="0069365F"/>
    <w:rsid w:val="00697665"/>
    <w:rsid w:val="006A7FD0"/>
    <w:rsid w:val="006C01CE"/>
    <w:rsid w:val="006D6823"/>
    <w:rsid w:val="006D7687"/>
    <w:rsid w:val="006E0572"/>
    <w:rsid w:val="006E4256"/>
    <w:rsid w:val="00705631"/>
    <w:rsid w:val="00721851"/>
    <w:rsid w:val="00742DD2"/>
    <w:rsid w:val="007438EF"/>
    <w:rsid w:val="0075647A"/>
    <w:rsid w:val="007634AD"/>
    <w:rsid w:val="0078122E"/>
    <w:rsid w:val="007B0854"/>
    <w:rsid w:val="007C32A4"/>
    <w:rsid w:val="007F72CB"/>
    <w:rsid w:val="008063DC"/>
    <w:rsid w:val="00827DF6"/>
    <w:rsid w:val="0083119B"/>
    <w:rsid w:val="00836EAB"/>
    <w:rsid w:val="0085092D"/>
    <w:rsid w:val="0087048F"/>
    <w:rsid w:val="00877591"/>
    <w:rsid w:val="0089774F"/>
    <w:rsid w:val="008E1C15"/>
    <w:rsid w:val="009047C5"/>
    <w:rsid w:val="00907CDD"/>
    <w:rsid w:val="00912287"/>
    <w:rsid w:val="00935C46"/>
    <w:rsid w:val="0095385A"/>
    <w:rsid w:val="0095613A"/>
    <w:rsid w:val="00991855"/>
    <w:rsid w:val="009A5C1B"/>
    <w:rsid w:val="009A6A7A"/>
    <w:rsid w:val="009F2A2F"/>
    <w:rsid w:val="00A24560"/>
    <w:rsid w:val="00A24FD7"/>
    <w:rsid w:val="00A34538"/>
    <w:rsid w:val="00A56AC1"/>
    <w:rsid w:val="00A734DB"/>
    <w:rsid w:val="00AA1526"/>
    <w:rsid w:val="00AA3A77"/>
    <w:rsid w:val="00AA442B"/>
    <w:rsid w:val="00AE3C2D"/>
    <w:rsid w:val="00AF0B66"/>
    <w:rsid w:val="00B031E8"/>
    <w:rsid w:val="00B06BC7"/>
    <w:rsid w:val="00B22E22"/>
    <w:rsid w:val="00B40BE9"/>
    <w:rsid w:val="00B525CB"/>
    <w:rsid w:val="00B63CB2"/>
    <w:rsid w:val="00BA263D"/>
    <w:rsid w:val="00BA4AC8"/>
    <w:rsid w:val="00BA70CC"/>
    <w:rsid w:val="00BC5335"/>
    <w:rsid w:val="00BD78FE"/>
    <w:rsid w:val="00C454DD"/>
    <w:rsid w:val="00C46D73"/>
    <w:rsid w:val="00C47FA6"/>
    <w:rsid w:val="00CB001D"/>
    <w:rsid w:val="00CC00CD"/>
    <w:rsid w:val="00CF3D72"/>
    <w:rsid w:val="00CF4B11"/>
    <w:rsid w:val="00CF5D6A"/>
    <w:rsid w:val="00D07E88"/>
    <w:rsid w:val="00D14EEC"/>
    <w:rsid w:val="00D16E39"/>
    <w:rsid w:val="00D53332"/>
    <w:rsid w:val="00D62035"/>
    <w:rsid w:val="00D72E9D"/>
    <w:rsid w:val="00D81422"/>
    <w:rsid w:val="00D82CE5"/>
    <w:rsid w:val="00D862D6"/>
    <w:rsid w:val="00D976D1"/>
    <w:rsid w:val="00DA5AB1"/>
    <w:rsid w:val="00DB3264"/>
    <w:rsid w:val="00DC53D2"/>
    <w:rsid w:val="00DC62E5"/>
    <w:rsid w:val="00DD735D"/>
    <w:rsid w:val="00DE3119"/>
    <w:rsid w:val="00DE3BDB"/>
    <w:rsid w:val="00DF236B"/>
    <w:rsid w:val="00E13AB8"/>
    <w:rsid w:val="00E22994"/>
    <w:rsid w:val="00E33B62"/>
    <w:rsid w:val="00E34798"/>
    <w:rsid w:val="00E42A8F"/>
    <w:rsid w:val="00E46364"/>
    <w:rsid w:val="00E6021F"/>
    <w:rsid w:val="00E629C8"/>
    <w:rsid w:val="00E7313C"/>
    <w:rsid w:val="00E818BA"/>
    <w:rsid w:val="00ED6853"/>
    <w:rsid w:val="00F023C8"/>
    <w:rsid w:val="00F8229E"/>
    <w:rsid w:val="00F82F1F"/>
    <w:rsid w:val="00F84899"/>
    <w:rsid w:val="00F859F0"/>
    <w:rsid w:val="00FD6E82"/>
    <w:rsid w:val="00FE141E"/>
    <w:rsid w:val="0E743003"/>
    <w:rsid w:val="45D9D032"/>
    <w:rsid w:val="55013FF8"/>
    <w:rsid w:val="5AF9928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Appelnotedebasde">
    <w:name w:val="Appel note de bas de..."/>
    <w:basedOn w:val="Normal"/>
    <w:link w:val="Refdenotaalpie"/>
    <w:uiPriority w:val="99"/>
    <w:rsid w:val="00CB001D"/>
    <w:pPr>
      <w:spacing w:after="160" w:line="240" w:lineRule="exact"/>
    </w:pPr>
    <w:rPr>
      <w:sz w:val="22"/>
      <w:vertAlign w:val="superscript"/>
      <w:lang w:val="es-CO"/>
    </w:rPr>
  </w:style>
  <w:style w:type="paragraph" w:customStyle="1" w:styleId="Default">
    <w:name w:val="Default"/>
    <w:rsid w:val="00A24FD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46782E3-2B22-4EE6-B07B-74DEB7A2A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B6681-51BA-4EF5-B1AF-681F1D256C6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0F0647D-8BA7-470B-B206-9E6F5933F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7897</Words>
  <Characters>45018</Characters>
  <Application>Microsoft Office Word</Application>
  <DocSecurity>0</DocSecurity>
  <Lines>375</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2020-08-06T22:09:00Z</dcterms:created>
  <dcterms:modified xsi:type="dcterms:W3CDTF">2020-08-06T22:09:00Z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