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185B6" w14:textId="77777777" w:rsidR="00A27318" w:rsidRPr="000254EF" w:rsidRDefault="00A27318" w:rsidP="000254EF">
      <w:pPr>
        <w:spacing w:line="240" w:lineRule="auto"/>
        <w:jc w:val="both"/>
        <w:rPr>
          <w:rFonts w:ascii="Century Gothic" w:eastAsia="Calibri" w:hAnsi="Century Gothic" w:cs="Arial"/>
          <w:b/>
          <w:bCs/>
          <w:sz w:val="20"/>
          <w:szCs w:val="20"/>
        </w:rPr>
      </w:pPr>
      <w:bookmarkStart w:id="0" w:name="_Hlk143780582"/>
      <w:r w:rsidRPr="000254EF">
        <w:rPr>
          <w:rFonts w:ascii="Century Gothic" w:eastAsia="Calibri" w:hAnsi="Century Gothic" w:cs="Arial"/>
          <w:b/>
          <w:bCs/>
          <w:sz w:val="20"/>
          <w:szCs w:val="20"/>
        </w:rPr>
        <w:t xml:space="preserve">ORGANISMOS INTERNACIONALES – Artículo 20 </w:t>
      </w:r>
      <w:r w:rsidRPr="000254EF">
        <w:rPr>
          <w:rFonts w:ascii="Century Gothic" w:eastAsia="Arial" w:hAnsi="Century Gothic" w:cs="Arial"/>
          <w:b/>
          <w:bCs/>
          <w:sz w:val="20"/>
          <w:szCs w:val="20"/>
          <w:lang w:val="es-MX"/>
        </w:rPr>
        <w:t>–</w:t>
      </w:r>
      <w:r w:rsidRPr="000254EF">
        <w:rPr>
          <w:rFonts w:ascii="Century Gothic" w:eastAsia="Calibri" w:hAnsi="Century Gothic" w:cs="Arial"/>
          <w:b/>
          <w:bCs/>
          <w:sz w:val="20"/>
          <w:szCs w:val="20"/>
        </w:rPr>
        <w:t xml:space="preserve"> Ley 1150 de 2007 –– Régimen aplicable – Libertad de elección </w:t>
      </w:r>
    </w:p>
    <w:p w14:paraId="5C5B8024" w14:textId="2E970D9F" w:rsidR="00F71D8E" w:rsidRPr="000254EF" w:rsidRDefault="00F71D8E" w:rsidP="000254EF">
      <w:pPr>
        <w:spacing w:line="240" w:lineRule="auto"/>
        <w:jc w:val="both"/>
        <w:rPr>
          <w:rFonts w:ascii="Century Gothic" w:eastAsia="Calibri" w:hAnsi="Century Gothic" w:cs="Arial"/>
          <w:b/>
          <w:bCs/>
          <w:sz w:val="20"/>
          <w:szCs w:val="20"/>
        </w:rPr>
      </w:pPr>
      <w:r w:rsidRPr="000254EF">
        <w:rPr>
          <w:rFonts w:ascii="Century Gothic" w:hAnsi="Century Gothic"/>
          <w:sz w:val="20"/>
          <w:szCs w:val="20"/>
        </w:rPr>
        <w:t>Para comprender el alcance del régimen aplicable a los contratos o convenios que se suscriban con organismos</w:t>
      </w:r>
      <w:r w:rsidRPr="000254EF">
        <w:rPr>
          <w:rFonts w:ascii="Century Gothic" w:hAnsi="Century Gothic"/>
          <w:sz w:val="20"/>
          <w:szCs w:val="20"/>
        </w:rPr>
        <w:t xml:space="preserve"> </w:t>
      </w:r>
      <w:r w:rsidRPr="000254EF">
        <w:rPr>
          <w:rFonts w:ascii="Century Gothic" w:hAnsi="Century Gothic"/>
          <w:sz w:val="20"/>
          <w:szCs w:val="20"/>
        </w:rPr>
        <w:t>internacionales, de acuerdo con la financiación de estos, resulta necesario analizar el artículo 20 de la Ley 1150 de 2007.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w:t>
      </w:r>
      <w:r w:rsidRPr="000254EF">
        <w:rPr>
          <w:rFonts w:ascii="Century Gothic" w:hAnsi="Century Gothic"/>
          <w:sz w:val="20"/>
          <w:szCs w:val="20"/>
        </w:rPr>
        <w:t xml:space="preserve"> </w:t>
      </w:r>
      <w:r w:rsidRPr="000254EF">
        <w:rPr>
          <w:rFonts w:ascii="Century Gothic" w:hAnsi="Century Gothic"/>
          <w:sz w:val="20"/>
          <w:szCs w:val="20"/>
        </w:rPr>
        <w:t>determine o establezca que los aportes del organismo internacional son inferiores al porcentaje señalado, el contrato o convenio debe someterse al EGCAP</w:t>
      </w:r>
      <w:r w:rsidRPr="000254EF">
        <w:rPr>
          <w:rFonts w:ascii="Century Gothic" w:hAnsi="Century Gothic"/>
          <w:sz w:val="20"/>
          <w:szCs w:val="20"/>
        </w:rPr>
        <w:t>.</w:t>
      </w:r>
    </w:p>
    <w:p w14:paraId="72734C16" w14:textId="77777777" w:rsidR="00A27318" w:rsidRPr="000254EF" w:rsidRDefault="00A27318" w:rsidP="000254EF">
      <w:pPr>
        <w:spacing w:line="240" w:lineRule="auto"/>
        <w:jc w:val="both"/>
        <w:rPr>
          <w:rFonts w:ascii="Century Gothic" w:hAnsi="Century Gothic" w:cs="Arial"/>
          <w:b/>
          <w:bCs/>
          <w:sz w:val="20"/>
          <w:szCs w:val="20"/>
          <w:lang w:val="es-ES_tradnl"/>
        </w:rPr>
      </w:pPr>
      <w:r w:rsidRPr="000254EF">
        <w:rPr>
          <w:rFonts w:ascii="Century Gothic" w:hAnsi="Century Gothic" w:cs="Arial"/>
          <w:b/>
          <w:bCs/>
          <w:sz w:val="20"/>
          <w:szCs w:val="20"/>
          <w:lang w:val="es-ES_tradnl"/>
        </w:rPr>
        <w:t>ORGAMISMOS INTERNACIONALES – Suscripción de contratos – Financiación – Aportes en especie – Procedencia</w:t>
      </w:r>
    </w:p>
    <w:p w14:paraId="3237D792" w14:textId="157E2F69" w:rsidR="00F71D8E" w:rsidRPr="000254EF" w:rsidRDefault="00F71D8E" w:rsidP="000254EF">
      <w:pPr>
        <w:spacing w:line="240" w:lineRule="auto"/>
        <w:jc w:val="both"/>
        <w:rPr>
          <w:rFonts w:ascii="Century Gothic" w:hAnsi="Century Gothic" w:cs="Arial"/>
          <w:b/>
          <w:bCs/>
          <w:sz w:val="20"/>
          <w:szCs w:val="20"/>
          <w:lang w:val="es-ES_tradnl"/>
        </w:rPr>
      </w:pPr>
      <w:r w:rsidRPr="000254EF">
        <w:rPr>
          <w:rFonts w:ascii="Century Gothic" w:hAnsi="Century Gothic"/>
          <w:sz w:val="20"/>
          <w:szCs w:val="20"/>
        </w:rPr>
        <w:t>En este sentido, los contratos o convenios</w:t>
      </w:r>
      <w:r w:rsidRPr="000254EF">
        <w:rPr>
          <w:rFonts w:ascii="Century Gothic" w:hAnsi="Century Gothic"/>
          <w:sz w:val="20"/>
          <w:szCs w:val="20"/>
        </w:rPr>
        <w:t xml:space="preserve"> </w:t>
      </w:r>
      <w:r w:rsidRPr="000254EF">
        <w:rPr>
          <w:rFonts w:ascii="Century Gothic" w:hAnsi="Century Gothic"/>
          <w:sz w:val="20"/>
          <w:szCs w:val="20"/>
        </w:rPr>
        <w:t>financiados en sumas</w:t>
      </w:r>
      <w:r w:rsidRPr="000254EF">
        <w:rPr>
          <w:rFonts w:ascii="Century Gothic" w:hAnsi="Century Gothic"/>
          <w:sz w:val="20"/>
          <w:szCs w:val="20"/>
        </w:rPr>
        <w:t xml:space="preserve"> </w:t>
      </w:r>
      <w:r w:rsidRPr="000254EF">
        <w:rPr>
          <w:rFonts w:ascii="Century Gothic" w:hAnsi="Century Gothic"/>
          <w:sz w:val="20"/>
          <w:szCs w:val="20"/>
        </w:rPr>
        <w:t>iguales o superiores al (50%) con fondos de los organismos de cooperación, asistencia o ayudas internacionales de que trata el inciso primero del artículo 20 de la Ley 1150 de 2007 y el artículo 2.2.1.2.4.4.1. del Decreto 1082 de 2015, admiten la financiación de estos contratos o convenios con aportes en sumas de dinero o en especie. Además, en el segundo caso, deberán cuantificarse en moneda colombiana, a efectos de poder establecer el régimen jurídico aplicable. En todo caso, reiterando que cuando se cumple dicho presupuesto se activa la posibilidad de someterlos a los</w:t>
      </w:r>
      <w:r w:rsidRPr="000254EF">
        <w:rPr>
          <w:rFonts w:ascii="Century Gothic" w:hAnsi="Century Gothic"/>
          <w:sz w:val="20"/>
          <w:szCs w:val="20"/>
        </w:rPr>
        <w:t xml:space="preserve"> </w:t>
      </w:r>
      <w:r w:rsidRPr="000254EF">
        <w:rPr>
          <w:rFonts w:ascii="Century Gothic" w:hAnsi="Century Gothic"/>
          <w:sz w:val="20"/>
          <w:szCs w:val="20"/>
        </w:rPr>
        <w:t>reglamentos de tales entidades;</w:t>
      </w:r>
      <w:r w:rsidRPr="000254EF">
        <w:rPr>
          <w:rFonts w:ascii="Century Gothic" w:hAnsi="Century Gothic"/>
          <w:sz w:val="20"/>
          <w:szCs w:val="20"/>
        </w:rPr>
        <w:t xml:space="preserve"> </w:t>
      </w:r>
      <w:r w:rsidRPr="000254EF">
        <w:rPr>
          <w:rFonts w:ascii="Century Gothic" w:hAnsi="Century Gothic"/>
          <w:sz w:val="20"/>
          <w:szCs w:val="20"/>
        </w:rPr>
        <w:t>sin perjuicio de que se opte por que se rijan por la Ley 80 de 1993, bajo el entendido de que se trata de una decisión discrecional, como se explicó anteriormente</w:t>
      </w:r>
      <w:r w:rsidRPr="000254EF">
        <w:rPr>
          <w:rFonts w:ascii="Century Gothic" w:hAnsi="Century Gothic"/>
          <w:sz w:val="20"/>
          <w:szCs w:val="20"/>
        </w:rPr>
        <w:t>.</w:t>
      </w:r>
    </w:p>
    <w:p w14:paraId="1F0B2BD5" w14:textId="79C7DC73" w:rsidR="00A27318" w:rsidRPr="000254EF" w:rsidRDefault="00A27318" w:rsidP="000254EF">
      <w:pPr>
        <w:spacing w:line="240" w:lineRule="auto"/>
        <w:jc w:val="both"/>
        <w:rPr>
          <w:rFonts w:ascii="Century Gothic" w:eastAsia="Calibri" w:hAnsi="Century Gothic" w:cs="Arial"/>
          <w:b/>
          <w:bCs/>
          <w:sz w:val="20"/>
          <w:szCs w:val="20"/>
        </w:rPr>
      </w:pPr>
      <w:r w:rsidRPr="000254EF">
        <w:rPr>
          <w:rFonts w:ascii="Century Gothic" w:eastAsia="Calibri" w:hAnsi="Century Gothic" w:cs="Arial"/>
          <w:b/>
          <w:bCs/>
          <w:sz w:val="20"/>
          <w:szCs w:val="20"/>
        </w:rPr>
        <w:t xml:space="preserve">ORGANISMOS INTERNACIONALES </w:t>
      </w:r>
      <w:r w:rsidR="000254EF" w:rsidRPr="000254EF">
        <w:rPr>
          <w:rFonts w:ascii="Century Gothic" w:eastAsia="Calibri" w:hAnsi="Century Gothic" w:cs="Arial"/>
          <w:b/>
          <w:bCs/>
          <w:sz w:val="20"/>
          <w:szCs w:val="20"/>
        </w:rPr>
        <w:t>–</w:t>
      </w:r>
      <w:r w:rsidRPr="000254EF">
        <w:rPr>
          <w:rFonts w:ascii="Century Gothic" w:eastAsia="Calibri" w:hAnsi="Century Gothic" w:cs="Arial"/>
          <w:b/>
          <w:bCs/>
          <w:sz w:val="20"/>
          <w:szCs w:val="20"/>
        </w:rPr>
        <w:t xml:space="preserve"> Contratación</w:t>
      </w:r>
      <w:r w:rsidR="000254EF" w:rsidRPr="000254EF">
        <w:rPr>
          <w:rFonts w:ascii="Century Gothic" w:eastAsia="Calibri" w:hAnsi="Century Gothic" w:cs="Arial"/>
          <w:b/>
          <w:bCs/>
          <w:sz w:val="20"/>
          <w:szCs w:val="20"/>
        </w:rPr>
        <w:t xml:space="preserve"> – Alcance de la reglamentación del artículo 2.2.83.4. del Decreto 603 de 2022</w:t>
      </w:r>
    </w:p>
    <w:p w14:paraId="1891B922" w14:textId="77777777" w:rsidR="000254EF" w:rsidRPr="000254EF" w:rsidRDefault="000254EF" w:rsidP="000254EF">
      <w:pPr>
        <w:spacing w:line="240" w:lineRule="auto"/>
        <w:jc w:val="both"/>
        <w:rPr>
          <w:rFonts w:ascii="Century Gothic" w:hAnsi="Century Gothic"/>
          <w:sz w:val="20"/>
          <w:szCs w:val="20"/>
        </w:rPr>
      </w:pPr>
      <w:r w:rsidRPr="000254EF">
        <w:rPr>
          <w:rFonts w:ascii="Century Gothic" w:hAnsi="Century Gothic"/>
          <w:sz w:val="20"/>
          <w:szCs w:val="20"/>
        </w:rPr>
        <w:t xml:space="preserve">Así las cosas, en respuesta a la pregunta objeto de su consulta, es imperioso concluir que el artículo 2.2.8.3.4 del Decreto 603 de 2022 reglamentó parcialmente lo establecido en el artículo 20 de la Ley 1150 de 2007, pues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 </w:t>
      </w:r>
    </w:p>
    <w:p w14:paraId="78502786" w14:textId="360929B4" w:rsidR="000254EF" w:rsidRPr="000254EF" w:rsidRDefault="000254EF" w:rsidP="000254EF">
      <w:pPr>
        <w:spacing w:line="240" w:lineRule="auto"/>
        <w:jc w:val="both"/>
        <w:rPr>
          <w:rFonts w:ascii="Century Gothic" w:hAnsi="Century Gothic"/>
          <w:sz w:val="20"/>
          <w:szCs w:val="20"/>
        </w:rPr>
      </w:pPr>
      <w:r w:rsidRPr="000254EF">
        <w:rPr>
          <w:rFonts w:ascii="Century Gothic" w:hAnsi="Century Gothic"/>
          <w:sz w:val="20"/>
          <w:szCs w:val="20"/>
        </w:rPr>
        <w:t xml:space="preserve">En este orden de ideas, las entidades estatales, en ejercicio de la autonomía de la voluntad, pueden suscribir convenios de cooperación internacional que involucre recursos del Presupuesto General de la Nación, siempre y cuando el 30% del valor del proyecto sea aportado en dinero por el organismo internacional, pues el reglamento, como se indicó, estableció un umbral para que las entidades estatales puedan realizar proyectos, iniciativas </w:t>
      </w:r>
      <w:r w:rsidRPr="000254EF">
        <w:rPr>
          <w:rFonts w:ascii="Century Gothic" w:hAnsi="Century Gothic"/>
          <w:sz w:val="20"/>
          <w:szCs w:val="20"/>
        </w:rPr>
        <w:lastRenderedPageBreak/>
        <w:t xml:space="preserve">o programas financiados con presupuesto general de la Nación en convenio con organismos internacionales. De modo que, si el socio cooperante cumple con este umbral, da lugar a suscribir el convenio. </w:t>
      </w:r>
    </w:p>
    <w:p w14:paraId="46B114B8" w14:textId="03874AE0" w:rsidR="000254EF" w:rsidRPr="000254EF" w:rsidRDefault="000254EF" w:rsidP="000254EF">
      <w:pPr>
        <w:spacing w:line="240" w:lineRule="auto"/>
        <w:jc w:val="both"/>
        <w:rPr>
          <w:rFonts w:ascii="Century Gothic" w:eastAsia="Calibri" w:hAnsi="Century Gothic" w:cs="Arial"/>
          <w:b/>
          <w:bCs/>
          <w:sz w:val="20"/>
          <w:szCs w:val="20"/>
        </w:rPr>
      </w:pPr>
      <w:r w:rsidRPr="000254EF">
        <w:rPr>
          <w:rFonts w:ascii="Century Gothic" w:hAnsi="Century Gothic"/>
          <w:sz w:val="20"/>
          <w:szCs w:val="20"/>
        </w:rPr>
        <w:t>Lo anterior en ningún momento afecta las reglas sobre el régimen de contratación que le sea aplicable al convenio financiados con presupuesto general de la Nación, esto es,</w:t>
      </w:r>
      <w:r w:rsidRPr="000254EF">
        <w:rPr>
          <w:rFonts w:ascii="Century Gothic" w:hAnsi="Century Gothic"/>
          <w:sz w:val="20"/>
          <w:szCs w:val="20"/>
        </w:rPr>
        <w:t xml:space="preserve"> </w:t>
      </w:r>
      <w:r w:rsidRPr="000254EF">
        <w:rPr>
          <w:rFonts w:ascii="Century Gothic" w:hAnsi="Century Gothic"/>
          <w:sz w:val="20"/>
          <w:szCs w:val="20"/>
        </w:rPr>
        <w:t>si está sometido</w:t>
      </w:r>
      <w:r w:rsidRPr="000254EF">
        <w:rPr>
          <w:rFonts w:ascii="Century Gothic" w:hAnsi="Century Gothic"/>
          <w:sz w:val="20"/>
          <w:szCs w:val="20"/>
        </w:rPr>
        <w:t xml:space="preserve"> </w:t>
      </w:r>
      <w:r w:rsidRPr="000254EF">
        <w:rPr>
          <w:rFonts w:ascii="Century Gothic" w:hAnsi="Century Gothic"/>
          <w:sz w:val="20"/>
          <w:szCs w:val="20"/>
        </w:rPr>
        <w:t>al Estatuto General de la Administración Pública o al régimen de contratación con el que contratan el organismo cooperante, pues ello aún se rige por las reglas de los establecido en el artículo 20 de la Ley 1150 de 2007 y en el artículo 2.2.1.2.4.4.1. del Decreto 1082 de 2015</w:t>
      </w:r>
      <w:r w:rsidRPr="000254EF">
        <w:rPr>
          <w:rFonts w:ascii="Century Gothic" w:hAnsi="Century Gothic"/>
          <w:sz w:val="20"/>
          <w:szCs w:val="20"/>
        </w:rPr>
        <w:t>.</w:t>
      </w:r>
    </w:p>
    <w:p w14:paraId="238ACDF0" w14:textId="77777777" w:rsidR="00A27318" w:rsidRPr="000254EF" w:rsidRDefault="00A27318" w:rsidP="000254EF">
      <w:pPr>
        <w:spacing w:line="240" w:lineRule="auto"/>
        <w:rPr>
          <w:rFonts w:ascii="Century Gothic" w:hAnsi="Century Gothic"/>
          <w:sz w:val="20"/>
          <w:szCs w:val="20"/>
        </w:rPr>
      </w:pPr>
      <w:r w:rsidRPr="000254EF">
        <w:rPr>
          <w:rFonts w:ascii="Century Gothic" w:hAnsi="Century Gothic"/>
          <w:sz w:val="20"/>
          <w:szCs w:val="20"/>
        </w:rPr>
        <w:br w:type="page"/>
      </w:r>
    </w:p>
    <w:p w14:paraId="3FE2184B" w14:textId="1F127E7A" w:rsidR="00E245AB" w:rsidRPr="006F7426" w:rsidRDefault="00A27318" w:rsidP="00E245AB">
      <w:pPr>
        <w:spacing w:after="0"/>
        <w:rPr>
          <w:rFonts w:ascii="Century Gothic" w:hAnsi="Century Gothic"/>
        </w:rPr>
      </w:pPr>
      <w:r w:rsidRPr="00A27318">
        <w:rPr>
          <w:rFonts w:ascii="Century Gothic" w:hAnsi="Century Gothic"/>
        </w:rPr>
        <w:drawing>
          <wp:anchor distT="0" distB="0" distL="114300" distR="114300" simplePos="0" relativeHeight="251658240" behindDoc="1" locked="0" layoutInCell="1" allowOverlap="1" wp14:anchorId="7E014E78" wp14:editId="101365F7">
            <wp:simplePos x="0" y="0"/>
            <wp:positionH relativeFrom="margin">
              <wp:align>right</wp:align>
            </wp:positionH>
            <wp:positionV relativeFrom="paragraph">
              <wp:posOffset>5666</wp:posOffset>
            </wp:positionV>
            <wp:extent cx="2728899" cy="794825"/>
            <wp:effectExtent l="0" t="0" r="0" b="5715"/>
            <wp:wrapNone/>
            <wp:docPr id="491488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88401" name=""/>
                    <pic:cNvPicPr/>
                  </pic:nvPicPr>
                  <pic:blipFill>
                    <a:blip r:embed="rId10">
                      <a:extLst>
                        <a:ext uri="{28A0092B-C50C-407E-A947-70E740481C1C}">
                          <a14:useLocalDpi xmlns:a14="http://schemas.microsoft.com/office/drawing/2010/main" val="0"/>
                        </a:ext>
                      </a:extLst>
                    </a:blip>
                    <a:stretch>
                      <a:fillRect/>
                    </a:stretch>
                  </pic:blipFill>
                  <pic:spPr>
                    <a:xfrm>
                      <a:off x="0" y="0"/>
                      <a:ext cx="2728899" cy="794825"/>
                    </a:xfrm>
                    <a:prstGeom prst="rect">
                      <a:avLst/>
                    </a:prstGeom>
                  </pic:spPr>
                </pic:pic>
              </a:graphicData>
            </a:graphic>
            <wp14:sizeRelH relativeFrom="margin">
              <wp14:pctWidth>0</wp14:pctWidth>
            </wp14:sizeRelH>
            <wp14:sizeRelV relativeFrom="margin">
              <wp14:pctHeight>0</wp14:pctHeight>
            </wp14:sizeRelV>
          </wp:anchor>
        </w:drawing>
      </w:r>
      <w:r w:rsidR="00E245AB" w:rsidRPr="006F7426">
        <w:rPr>
          <w:rFonts w:ascii="Century Gothic" w:hAnsi="Century Gothic"/>
        </w:rPr>
        <w:t xml:space="preserve">Bogotá D.C., </w:t>
      </w:r>
      <w:r>
        <w:rPr>
          <w:rFonts w:ascii="Century Gothic" w:hAnsi="Century Gothic"/>
        </w:rPr>
        <w:t>21 de septiembre de 2023</w:t>
      </w:r>
    </w:p>
    <w:p w14:paraId="5FCADBF9" w14:textId="2CB45770" w:rsidR="00E245AB" w:rsidRDefault="00E245AB" w:rsidP="00E245AB">
      <w:pPr>
        <w:spacing w:after="0"/>
        <w:rPr>
          <w:rFonts w:ascii="Century Gothic" w:hAnsi="Century Gothic"/>
        </w:rPr>
      </w:pPr>
    </w:p>
    <w:p w14:paraId="6F73E7D8" w14:textId="77777777" w:rsidR="006F7426" w:rsidRPr="006F7426" w:rsidRDefault="006F7426" w:rsidP="00E245AB">
      <w:pPr>
        <w:spacing w:after="0"/>
        <w:rPr>
          <w:rFonts w:ascii="Century Gothic" w:hAnsi="Century Gothic"/>
        </w:rPr>
      </w:pPr>
    </w:p>
    <w:bookmarkEnd w:id="0"/>
    <w:p w14:paraId="05BE6695" w14:textId="5FFEF681" w:rsidR="00A8598A" w:rsidRPr="006F7426" w:rsidRDefault="006F7426" w:rsidP="00A8598A">
      <w:pPr>
        <w:pStyle w:val="Sinespaciado"/>
        <w:rPr>
          <w:rFonts w:ascii="Century Gothic" w:hAnsi="Century Gothic" w:cs="Arial"/>
        </w:rPr>
      </w:pPr>
      <w:r>
        <w:rPr>
          <w:rFonts w:ascii="Century Gothic" w:hAnsi="Century Gothic" w:cs="Arial"/>
        </w:rPr>
        <w:t>Señor</w:t>
      </w:r>
    </w:p>
    <w:p w14:paraId="74721839" w14:textId="0044F52E" w:rsidR="00A8598A" w:rsidRPr="000236BE" w:rsidRDefault="00AC4ACD" w:rsidP="00A8598A">
      <w:pPr>
        <w:pStyle w:val="Sinespaciado"/>
        <w:rPr>
          <w:rFonts w:ascii="Century Gothic" w:hAnsi="Century Gothic" w:cs="Arial"/>
          <w:b/>
        </w:rPr>
      </w:pPr>
      <w:r w:rsidRPr="000236BE">
        <w:rPr>
          <w:rFonts w:ascii="Century Gothic" w:hAnsi="Century Gothic" w:cs="Arial"/>
          <w:b/>
        </w:rPr>
        <w:t>Fernando Mauricio Iglesias Gaona</w:t>
      </w:r>
    </w:p>
    <w:p w14:paraId="774D2B0B" w14:textId="349C035C" w:rsidR="00A8598A" w:rsidRDefault="005306C3" w:rsidP="00A8598A">
      <w:pPr>
        <w:jc w:val="both"/>
        <w:rPr>
          <w:rFonts w:ascii="Century Gothic" w:eastAsia="Calibri" w:hAnsi="Century Gothic" w:cs="Arial"/>
        </w:rPr>
      </w:pPr>
      <w:r>
        <w:rPr>
          <w:rFonts w:ascii="Century Gothic" w:eastAsia="Calibri" w:hAnsi="Century Gothic" w:cs="Arial"/>
        </w:rPr>
        <w:t>Neiva, Huila</w:t>
      </w:r>
    </w:p>
    <w:p w14:paraId="66793F6D" w14:textId="479963B3" w:rsidR="00A8598A" w:rsidRPr="006F7426" w:rsidRDefault="00A8598A" w:rsidP="00A8598A">
      <w:pPr>
        <w:jc w:val="both"/>
        <w:rPr>
          <w:rFonts w:ascii="Century Gothic" w:eastAsia="Calibri" w:hAnsi="Century Gothic" w:cs="Arial"/>
        </w:rPr>
      </w:pPr>
      <w:r w:rsidRPr="006F7426">
        <w:rPr>
          <w:rFonts w:ascii="Century Gothic" w:eastAsia="Calibri" w:hAnsi="Century Gothic" w:cs="Arial"/>
        </w:rPr>
        <w:t xml:space="preserve">                                            </w:t>
      </w:r>
      <w:r w:rsidRPr="006F7426">
        <w:rPr>
          <w:rFonts w:ascii="Century Gothic" w:eastAsia="Calibri" w:hAnsi="Century Gothic" w:cs="Arial"/>
          <w:b/>
        </w:rPr>
        <w:t xml:space="preserve">Concepto C – </w:t>
      </w:r>
      <w:r w:rsidR="005306C3">
        <w:rPr>
          <w:rFonts w:ascii="Century Gothic" w:eastAsia="Calibri" w:hAnsi="Century Gothic" w:cs="Arial"/>
          <w:b/>
        </w:rPr>
        <w:t>228</w:t>
      </w:r>
      <w:r w:rsidRPr="006F7426">
        <w:rPr>
          <w:rFonts w:ascii="Century Gothic" w:eastAsia="Calibri" w:hAnsi="Century Gothic" w:cs="Arial"/>
          <w:b/>
        </w:rPr>
        <w:t xml:space="preserve"> de 2023</w:t>
      </w: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8598A" w:rsidRPr="006F7426" w14:paraId="603D21C3" w14:textId="77777777" w:rsidTr="007527E0">
        <w:trPr>
          <w:trHeight w:val="485"/>
        </w:trPr>
        <w:tc>
          <w:tcPr>
            <w:tcW w:w="2689" w:type="dxa"/>
            <w:hideMark/>
          </w:tcPr>
          <w:p w14:paraId="5483314E" w14:textId="77777777" w:rsidR="00A8598A" w:rsidRPr="006F7426" w:rsidRDefault="00A8598A" w:rsidP="007527E0">
            <w:pPr>
              <w:contextualSpacing/>
              <w:rPr>
                <w:rFonts w:ascii="Century Gothic" w:eastAsia="Calibri" w:hAnsi="Century Gothic" w:cs="Arial"/>
                <w:noProof/>
                <w:lang w:val="es-ES_tradnl"/>
              </w:rPr>
            </w:pPr>
            <w:r w:rsidRPr="006F7426">
              <w:rPr>
                <w:rFonts w:ascii="Century Gothic" w:eastAsia="Calibri" w:hAnsi="Century Gothic" w:cs="Arial"/>
                <w:b/>
                <w:noProof/>
                <w:lang w:val="es-ES_tradnl"/>
              </w:rPr>
              <w:t>Temas:</w:t>
            </w:r>
            <w:r w:rsidRPr="006F7426">
              <w:rPr>
                <w:rFonts w:ascii="Century Gothic" w:eastAsia="Calibri" w:hAnsi="Century Gothic" w:cs="Arial"/>
                <w:noProof/>
                <w:lang w:val="es-ES_tradnl"/>
              </w:rPr>
              <w:t xml:space="preserve">        </w:t>
            </w:r>
          </w:p>
        </w:tc>
        <w:tc>
          <w:tcPr>
            <w:tcW w:w="6237" w:type="dxa"/>
            <w:hideMark/>
          </w:tcPr>
          <w:p w14:paraId="766A77D9" w14:textId="61E52165" w:rsidR="00A8598A" w:rsidRDefault="00A8598A" w:rsidP="007527E0">
            <w:pPr>
              <w:jc w:val="both"/>
              <w:rPr>
                <w:rFonts w:ascii="Century Gothic" w:eastAsia="Calibri" w:hAnsi="Century Gothic" w:cs="Arial"/>
              </w:rPr>
            </w:pPr>
            <w:r w:rsidRPr="006F7426">
              <w:rPr>
                <w:rFonts w:ascii="Century Gothic" w:eastAsia="Calibri" w:hAnsi="Century Gothic" w:cs="Arial"/>
              </w:rPr>
              <w:t xml:space="preserve">ORGANISMOS INTERNACIONALES – Artículo 20 </w:t>
            </w:r>
            <w:r w:rsidRPr="006F7426">
              <w:rPr>
                <w:rFonts w:ascii="Century Gothic" w:eastAsia="Arial" w:hAnsi="Century Gothic" w:cs="Arial"/>
                <w:lang w:val="es-MX"/>
              </w:rPr>
              <w:t>–</w:t>
            </w:r>
            <w:r w:rsidRPr="006F7426">
              <w:rPr>
                <w:rFonts w:ascii="Century Gothic" w:eastAsia="Calibri" w:hAnsi="Century Gothic" w:cs="Arial"/>
              </w:rPr>
              <w:t xml:space="preserve"> Ley 1150 de 2007 –– Régimen aplicable – Libertad de elección </w:t>
            </w:r>
            <w:r w:rsidRPr="006F7426">
              <w:rPr>
                <w:rFonts w:ascii="Century Gothic" w:eastAsia="Calibri" w:hAnsi="Century Gothic" w:cs="Arial"/>
                <w:lang w:val="es-ES_tradnl"/>
              </w:rPr>
              <w:t xml:space="preserve">/ </w:t>
            </w:r>
            <w:r w:rsidRPr="006F7426">
              <w:rPr>
                <w:rFonts w:ascii="Century Gothic" w:hAnsi="Century Gothic" w:cs="Arial"/>
                <w:lang w:val="es-ES_tradnl"/>
              </w:rPr>
              <w:t xml:space="preserve">ORGAMISMOS INTERNACIONALES – Suscripción de contratos – Financiación – Aportes en especie – Procedencia / </w:t>
            </w:r>
            <w:r w:rsidRPr="006F7426">
              <w:rPr>
                <w:rFonts w:ascii="Century Gothic" w:eastAsia="Calibri" w:hAnsi="Century Gothic" w:cs="Arial"/>
              </w:rPr>
              <w:t xml:space="preserve">ORGANISMOS INTERNACIONALES </w:t>
            </w:r>
            <w:r w:rsidR="000254EF">
              <w:rPr>
                <w:rFonts w:ascii="Century Gothic" w:eastAsia="Calibri" w:hAnsi="Century Gothic" w:cs="Arial"/>
              </w:rPr>
              <w:t>–</w:t>
            </w:r>
            <w:r w:rsidR="00287833">
              <w:rPr>
                <w:rFonts w:ascii="Century Gothic" w:eastAsia="Calibri" w:hAnsi="Century Gothic" w:cs="Arial"/>
              </w:rPr>
              <w:t xml:space="preserve"> Contratación</w:t>
            </w:r>
            <w:r w:rsidR="000254EF">
              <w:rPr>
                <w:rFonts w:ascii="Century Gothic" w:eastAsia="Calibri" w:hAnsi="Century Gothic" w:cs="Arial"/>
              </w:rPr>
              <w:t xml:space="preserve"> - </w:t>
            </w:r>
            <w:r w:rsidR="000254EF" w:rsidRPr="000254EF">
              <w:rPr>
                <w:rFonts w:ascii="Century Gothic" w:eastAsia="Calibri" w:hAnsi="Century Gothic" w:cs="Arial"/>
              </w:rPr>
              <w:t>Alcance de la reglamentación del artículo 2.2.83.4. del Decreto 603 de 2022</w:t>
            </w:r>
          </w:p>
          <w:p w14:paraId="48076F14" w14:textId="6B7AABFB" w:rsidR="00287833" w:rsidRPr="006F7426" w:rsidRDefault="00287833" w:rsidP="007527E0">
            <w:pPr>
              <w:jc w:val="both"/>
              <w:rPr>
                <w:rFonts w:ascii="Century Gothic" w:hAnsi="Century Gothic" w:cs="Arial"/>
                <w:bCs/>
                <w:sz w:val="20"/>
                <w:szCs w:val="20"/>
                <w:lang w:val="es-MX" w:eastAsia="x-none"/>
              </w:rPr>
            </w:pPr>
          </w:p>
        </w:tc>
      </w:tr>
      <w:tr w:rsidR="00A8598A" w:rsidRPr="006F7426" w14:paraId="58F1F425" w14:textId="77777777" w:rsidTr="007527E0">
        <w:trPr>
          <w:trHeight w:val="185"/>
        </w:trPr>
        <w:tc>
          <w:tcPr>
            <w:tcW w:w="2689" w:type="dxa"/>
          </w:tcPr>
          <w:p w14:paraId="24452B54" w14:textId="77777777" w:rsidR="00A8598A" w:rsidRPr="006F7426" w:rsidRDefault="00A8598A" w:rsidP="007527E0">
            <w:pPr>
              <w:contextualSpacing/>
              <w:rPr>
                <w:rFonts w:ascii="Century Gothic" w:eastAsia="Calibri" w:hAnsi="Century Gothic" w:cs="Arial"/>
                <w:b/>
                <w:noProof/>
                <w:lang w:val="es-ES_tradnl"/>
              </w:rPr>
            </w:pPr>
            <w:r w:rsidRPr="006F7426">
              <w:rPr>
                <w:rFonts w:ascii="Century Gothic" w:eastAsia="Calibri" w:hAnsi="Century Gothic" w:cs="Arial"/>
                <w:b/>
                <w:noProof/>
                <w:lang w:val="es-ES_tradnl"/>
              </w:rPr>
              <w:t>Radicación:</w:t>
            </w:r>
            <w:r w:rsidRPr="006F7426">
              <w:rPr>
                <w:rFonts w:ascii="Century Gothic" w:eastAsia="Calibri" w:hAnsi="Century Gothic" w:cs="Arial"/>
                <w:noProof/>
                <w:lang w:val="es-ES_tradnl"/>
              </w:rPr>
              <w:t xml:space="preserve">                              </w:t>
            </w:r>
          </w:p>
        </w:tc>
        <w:tc>
          <w:tcPr>
            <w:tcW w:w="6237" w:type="dxa"/>
          </w:tcPr>
          <w:p w14:paraId="0C9C082A" w14:textId="6DF257A5" w:rsidR="00A8598A" w:rsidRPr="006F7426" w:rsidRDefault="00A8598A" w:rsidP="007527E0">
            <w:pPr>
              <w:jc w:val="both"/>
              <w:rPr>
                <w:rFonts w:ascii="Century Gothic" w:eastAsia="Calibri" w:hAnsi="Century Gothic" w:cs="Arial"/>
                <w:noProof/>
                <w:lang w:val="es-ES_tradnl"/>
              </w:rPr>
            </w:pPr>
            <w:r w:rsidRPr="006F7426">
              <w:rPr>
                <w:rFonts w:ascii="Century Gothic" w:eastAsia="Calibri" w:hAnsi="Century Gothic" w:cs="Arial"/>
                <w:noProof/>
                <w:lang w:val="es-ES_tradnl"/>
              </w:rPr>
              <w:t xml:space="preserve">Respuesta a </w:t>
            </w:r>
            <w:r w:rsidR="00FE02E7">
              <w:rPr>
                <w:rFonts w:ascii="Century Gothic" w:eastAsia="Calibri" w:hAnsi="Century Gothic" w:cs="Arial"/>
                <w:noProof/>
                <w:lang w:val="es-ES_tradnl"/>
              </w:rPr>
              <w:t xml:space="preserve">la </w:t>
            </w:r>
            <w:r w:rsidRPr="006F7426">
              <w:rPr>
                <w:rFonts w:ascii="Century Gothic" w:eastAsia="Calibri" w:hAnsi="Century Gothic" w:cs="Arial"/>
                <w:noProof/>
                <w:lang w:val="es-ES_tradnl"/>
              </w:rPr>
              <w:t>petici</w:t>
            </w:r>
            <w:r w:rsidR="00FE02E7">
              <w:rPr>
                <w:rFonts w:ascii="Century Gothic" w:eastAsia="Calibri" w:hAnsi="Century Gothic" w:cs="Arial"/>
                <w:noProof/>
                <w:lang w:val="es-ES_tradnl"/>
              </w:rPr>
              <w:t>ón</w:t>
            </w:r>
            <w:r w:rsidRPr="006F7426">
              <w:rPr>
                <w:rFonts w:ascii="Century Gothic" w:eastAsia="Calibri" w:hAnsi="Century Gothic" w:cs="Arial"/>
                <w:noProof/>
                <w:lang w:val="es-ES_tradnl"/>
              </w:rPr>
              <w:t xml:space="preserve"> de consulta # </w:t>
            </w:r>
            <w:r w:rsidR="0066406B" w:rsidRPr="0066406B">
              <w:rPr>
                <w:rFonts w:ascii="Century Gothic" w:eastAsia="Calibri" w:hAnsi="Century Gothic" w:cs="Arial"/>
                <w:noProof/>
                <w:lang w:val="es-ES_tradnl"/>
              </w:rPr>
              <w:t>P20230801013823</w:t>
            </w:r>
          </w:p>
        </w:tc>
      </w:tr>
    </w:tbl>
    <w:p w14:paraId="553014D2" w14:textId="77777777" w:rsidR="00A8598A" w:rsidRPr="006F7426" w:rsidRDefault="00A8598A" w:rsidP="00A8598A">
      <w:pPr>
        <w:jc w:val="both"/>
        <w:rPr>
          <w:rFonts w:ascii="Century Gothic" w:eastAsia="Calibri" w:hAnsi="Century Gothic" w:cs="Arial"/>
        </w:rPr>
      </w:pPr>
    </w:p>
    <w:p w14:paraId="309B8CEA" w14:textId="06804D7F" w:rsidR="00A8598A" w:rsidRPr="006F7426" w:rsidRDefault="00A8598A" w:rsidP="00A8598A">
      <w:pPr>
        <w:spacing w:line="276" w:lineRule="auto"/>
        <w:jc w:val="both"/>
        <w:rPr>
          <w:rFonts w:ascii="Century Gothic" w:eastAsia="Calibri" w:hAnsi="Century Gothic" w:cs="Arial"/>
        </w:rPr>
      </w:pPr>
      <w:r w:rsidRPr="006F7426">
        <w:rPr>
          <w:rFonts w:ascii="Century Gothic" w:eastAsia="Calibri" w:hAnsi="Century Gothic" w:cs="Arial"/>
        </w:rPr>
        <w:t xml:space="preserve">Estimados </w:t>
      </w:r>
      <w:r w:rsidR="00E46284">
        <w:rPr>
          <w:rFonts w:ascii="Century Gothic" w:eastAsia="Calibri" w:hAnsi="Century Gothic" w:cs="Arial"/>
        </w:rPr>
        <w:t>señor Iglesias</w:t>
      </w:r>
      <w:r w:rsidRPr="006F7426">
        <w:rPr>
          <w:rFonts w:ascii="Century Gothic" w:eastAsia="Calibri" w:hAnsi="Century Gothic" w:cs="Arial"/>
        </w:rPr>
        <w:t>:</w:t>
      </w:r>
    </w:p>
    <w:p w14:paraId="5A79B191" w14:textId="71AA969F" w:rsidR="00A8598A" w:rsidRPr="006F7426" w:rsidRDefault="00A8598A" w:rsidP="00A8598A">
      <w:pPr>
        <w:spacing w:after="0" w:line="276" w:lineRule="auto"/>
        <w:ind w:right="51"/>
        <w:jc w:val="both"/>
        <w:rPr>
          <w:rFonts w:ascii="Century Gothic" w:eastAsia="Calibri" w:hAnsi="Century Gothic" w:cs="Arial"/>
        </w:rPr>
      </w:pPr>
      <w:r w:rsidRPr="006F7426">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a su consulta del </w:t>
      </w:r>
      <w:r w:rsidR="00D74D02">
        <w:rPr>
          <w:rFonts w:ascii="Century Gothic" w:eastAsia="Calibri" w:hAnsi="Century Gothic" w:cs="Arial"/>
        </w:rPr>
        <w:t xml:space="preserve">1 de agosto de </w:t>
      </w:r>
      <w:r w:rsidRPr="006F7426">
        <w:rPr>
          <w:rFonts w:ascii="Century Gothic" w:eastAsia="Calibri" w:hAnsi="Century Gothic" w:cs="Arial"/>
        </w:rPr>
        <w:t xml:space="preserve">2023. </w:t>
      </w:r>
    </w:p>
    <w:p w14:paraId="099DE93C" w14:textId="77777777" w:rsidR="00A8598A" w:rsidRPr="006F7426" w:rsidRDefault="00A8598A" w:rsidP="00A8598A">
      <w:pPr>
        <w:spacing w:after="0" w:line="276" w:lineRule="auto"/>
        <w:jc w:val="both"/>
        <w:rPr>
          <w:rFonts w:ascii="Century Gothic" w:eastAsia="Calibri" w:hAnsi="Century Gothic" w:cs="Arial"/>
        </w:rPr>
      </w:pPr>
    </w:p>
    <w:p w14:paraId="0A09694F" w14:textId="77777777" w:rsidR="00A8598A" w:rsidRPr="006F7426" w:rsidRDefault="00A8598A" w:rsidP="00A8598A">
      <w:pPr>
        <w:tabs>
          <w:tab w:val="left" w:pos="284"/>
        </w:tabs>
        <w:spacing w:after="0" w:line="276" w:lineRule="auto"/>
        <w:jc w:val="both"/>
        <w:rPr>
          <w:rFonts w:ascii="Century Gothic" w:eastAsia="Calibri" w:hAnsi="Century Gothic" w:cs="Arial"/>
          <w:b/>
        </w:rPr>
      </w:pPr>
      <w:r w:rsidRPr="006F7426">
        <w:rPr>
          <w:rFonts w:ascii="Century Gothic" w:eastAsia="Calibri" w:hAnsi="Century Gothic" w:cs="Arial"/>
          <w:b/>
        </w:rPr>
        <w:t xml:space="preserve">1. Problema planteado </w:t>
      </w:r>
    </w:p>
    <w:p w14:paraId="2619AC41" w14:textId="77777777" w:rsidR="00A8598A" w:rsidRPr="006F7426" w:rsidRDefault="00A8598A" w:rsidP="00A8598A">
      <w:pPr>
        <w:tabs>
          <w:tab w:val="left" w:pos="284"/>
        </w:tabs>
        <w:spacing w:after="0" w:line="276" w:lineRule="auto"/>
        <w:ind w:firstLine="709"/>
        <w:contextualSpacing/>
        <w:jc w:val="both"/>
        <w:rPr>
          <w:rFonts w:ascii="Century Gothic" w:eastAsia="Calibri" w:hAnsi="Century Gothic" w:cs="Arial"/>
          <w:b/>
        </w:rPr>
      </w:pPr>
    </w:p>
    <w:p w14:paraId="41F20810" w14:textId="0F77A9C1" w:rsidR="00A8598A" w:rsidRPr="006F7426" w:rsidRDefault="00A8598A" w:rsidP="00A8598A">
      <w:pPr>
        <w:spacing w:line="276" w:lineRule="auto"/>
        <w:jc w:val="both"/>
        <w:rPr>
          <w:rFonts w:ascii="Century Gothic" w:hAnsi="Century Gothic" w:cs="Arial"/>
          <w:lang w:val="es-ES_tradnl"/>
        </w:rPr>
      </w:pPr>
      <w:bookmarkStart w:id="1" w:name="_Hlk58917991"/>
      <w:bookmarkStart w:id="2" w:name="_Hlk56103000"/>
      <w:r w:rsidRPr="006F7426">
        <w:rPr>
          <w:rFonts w:ascii="Century Gothic" w:hAnsi="Century Gothic" w:cs="Arial"/>
          <w:lang w:val="es-ES_tradnl"/>
        </w:rPr>
        <w:t>En relación con los contratos que celebren las entidades con organismos internacionales en el marco del artículo 20 de la Ley 1150 de 2007, usted realiza la</w:t>
      </w:r>
      <w:r w:rsidR="00CA1966">
        <w:rPr>
          <w:rFonts w:ascii="Century Gothic" w:hAnsi="Century Gothic" w:cs="Arial"/>
          <w:lang w:val="es-ES_tradnl"/>
        </w:rPr>
        <w:t>s</w:t>
      </w:r>
      <w:r w:rsidRPr="006F7426">
        <w:rPr>
          <w:rFonts w:ascii="Century Gothic" w:hAnsi="Century Gothic" w:cs="Arial"/>
          <w:lang w:val="es-ES_tradnl"/>
        </w:rPr>
        <w:t xml:space="preserve"> siguiente</w:t>
      </w:r>
      <w:r w:rsidR="00CA1966">
        <w:rPr>
          <w:rFonts w:ascii="Century Gothic" w:hAnsi="Century Gothic" w:cs="Arial"/>
          <w:lang w:val="es-ES_tradnl"/>
        </w:rPr>
        <w:t>s</w:t>
      </w:r>
      <w:r w:rsidRPr="006F7426">
        <w:rPr>
          <w:rFonts w:ascii="Century Gothic" w:hAnsi="Century Gothic" w:cs="Arial"/>
          <w:lang w:val="es-ES_tradnl"/>
        </w:rPr>
        <w:t xml:space="preserve"> pregunta</w:t>
      </w:r>
      <w:r w:rsidR="00CA1966">
        <w:rPr>
          <w:rFonts w:ascii="Century Gothic" w:hAnsi="Century Gothic" w:cs="Arial"/>
          <w:lang w:val="es-ES_tradnl"/>
        </w:rPr>
        <w:t>s</w:t>
      </w:r>
      <w:r w:rsidRPr="006F7426">
        <w:rPr>
          <w:rFonts w:ascii="Century Gothic" w:hAnsi="Century Gothic" w:cs="Arial"/>
          <w:lang w:val="es-ES_tradnl"/>
        </w:rPr>
        <w:t xml:space="preserve">: </w:t>
      </w:r>
    </w:p>
    <w:p w14:paraId="368B1BE8" w14:textId="60C80568" w:rsidR="00A8598A" w:rsidRPr="006F7426" w:rsidRDefault="003E38EB" w:rsidP="00C5099E">
      <w:pPr>
        <w:autoSpaceDE w:val="0"/>
        <w:autoSpaceDN w:val="0"/>
        <w:adjustRightInd w:val="0"/>
        <w:ind w:left="709" w:right="616"/>
        <w:jc w:val="both"/>
        <w:rPr>
          <w:rFonts w:ascii="Century Gothic" w:eastAsia="Calibri" w:hAnsi="Century Gothic" w:cs="Arial"/>
          <w:sz w:val="21"/>
          <w:szCs w:val="21"/>
          <w:lang w:val="es-ES_tradnl" w:eastAsia="es-CO"/>
        </w:rPr>
      </w:pPr>
      <w:bookmarkStart w:id="3" w:name="_Hlk98832248"/>
      <w:bookmarkStart w:id="4" w:name="_Hlk94514883"/>
      <w:r>
        <w:rPr>
          <w:rFonts w:ascii="Century Gothic" w:eastAsia="Calibri" w:hAnsi="Century Gothic" w:cs="Arial"/>
          <w:sz w:val="21"/>
          <w:szCs w:val="21"/>
          <w:lang w:val="es-ES_tradnl" w:eastAsia="es-CO"/>
        </w:rPr>
        <w:t>“(…) a</w:t>
      </w:r>
      <w:r w:rsidR="00C5099E" w:rsidRPr="00C5099E">
        <w:t xml:space="preserve"> </w:t>
      </w:r>
      <w:r w:rsidR="00C5099E" w:rsidRPr="00C5099E">
        <w:rPr>
          <w:rFonts w:ascii="Century Gothic" w:hAnsi="Century Gothic" w:cs="Arial"/>
          <w:sz w:val="21"/>
          <w:szCs w:val="21"/>
        </w:rPr>
        <w:t xml:space="preserve">l momento de suscribir un convenio de </w:t>
      </w:r>
      <w:r w:rsidRPr="00C5099E">
        <w:rPr>
          <w:rFonts w:ascii="Century Gothic" w:hAnsi="Century Gothic" w:cs="Arial"/>
          <w:sz w:val="21"/>
          <w:szCs w:val="21"/>
        </w:rPr>
        <w:t>cooperación</w:t>
      </w:r>
      <w:r w:rsidR="00C5099E" w:rsidRPr="00C5099E">
        <w:rPr>
          <w:rFonts w:ascii="Century Gothic" w:hAnsi="Century Gothic" w:cs="Arial"/>
          <w:sz w:val="21"/>
          <w:szCs w:val="21"/>
        </w:rPr>
        <w:t xml:space="preserve"> internacional, las</w:t>
      </w:r>
      <w:r>
        <w:rPr>
          <w:rFonts w:ascii="Century Gothic" w:hAnsi="Century Gothic" w:cs="Arial"/>
          <w:sz w:val="21"/>
          <w:szCs w:val="21"/>
        </w:rPr>
        <w:t xml:space="preserve"> </w:t>
      </w:r>
      <w:r w:rsidR="00C5099E" w:rsidRPr="00C5099E">
        <w:rPr>
          <w:rFonts w:ascii="Century Gothic" w:hAnsi="Century Gothic" w:cs="Arial"/>
          <w:sz w:val="21"/>
          <w:szCs w:val="21"/>
        </w:rPr>
        <w:t>entidades estatales deben debe tener una contrapartida de recursos financieros mínimo</w:t>
      </w:r>
      <w:r>
        <w:rPr>
          <w:rFonts w:ascii="Century Gothic" w:hAnsi="Century Gothic" w:cs="Arial"/>
          <w:sz w:val="21"/>
          <w:szCs w:val="21"/>
        </w:rPr>
        <w:t xml:space="preserve"> </w:t>
      </w:r>
      <w:r w:rsidR="00C5099E" w:rsidRPr="00C5099E">
        <w:rPr>
          <w:rFonts w:ascii="Century Gothic" w:hAnsi="Century Gothic" w:cs="Arial"/>
          <w:sz w:val="21"/>
          <w:szCs w:val="21"/>
        </w:rPr>
        <w:t xml:space="preserve">del 30%, del socio de cooperación internacional?; </w:t>
      </w:r>
      <w:proofErr w:type="gramStart"/>
      <w:r w:rsidR="00C5099E" w:rsidRPr="00C5099E">
        <w:rPr>
          <w:rFonts w:ascii="Century Gothic" w:hAnsi="Century Gothic" w:cs="Arial"/>
          <w:sz w:val="21"/>
          <w:szCs w:val="21"/>
        </w:rPr>
        <w:t>O esa disposición normativa, que</w:t>
      </w:r>
      <w:r>
        <w:rPr>
          <w:rFonts w:ascii="Century Gothic" w:hAnsi="Century Gothic" w:cs="Arial"/>
          <w:sz w:val="21"/>
          <w:szCs w:val="21"/>
        </w:rPr>
        <w:t xml:space="preserve"> </w:t>
      </w:r>
      <w:r w:rsidR="00C5099E" w:rsidRPr="00C5099E">
        <w:rPr>
          <w:rFonts w:ascii="Century Gothic" w:hAnsi="Century Gothic" w:cs="Arial"/>
          <w:sz w:val="21"/>
          <w:szCs w:val="21"/>
        </w:rPr>
        <w:t xml:space="preserve">trata el Decreto 603 de 2022, no aplica a los procesos de </w:t>
      </w:r>
      <w:r w:rsidRPr="00C5099E">
        <w:rPr>
          <w:rFonts w:ascii="Century Gothic" w:hAnsi="Century Gothic" w:cs="Arial"/>
          <w:sz w:val="21"/>
          <w:szCs w:val="21"/>
        </w:rPr>
        <w:t>contratación</w:t>
      </w:r>
      <w:r w:rsidR="00C5099E" w:rsidRPr="00C5099E">
        <w:rPr>
          <w:rFonts w:ascii="Century Gothic" w:hAnsi="Century Gothic" w:cs="Arial"/>
          <w:sz w:val="21"/>
          <w:szCs w:val="21"/>
        </w:rPr>
        <w:t xml:space="preserve"> del artículo 20</w:t>
      </w:r>
      <w:r>
        <w:rPr>
          <w:rFonts w:ascii="Century Gothic" w:hAnsi="Century Gothic" w:cs="Arial"/>
          <w:sz w:val="21"/>
          <w:szCs w:val="21"/>
        </w:rPr>
        <w:t xml:space="preserve"> </w:t>
      </w:r>
      <w:r w:rsidR="00C5099E" w:rsidRPr="00C5099E">
        <w:rPr>
          <w:rFonts w:ascii="Century Gothic" w:hAnsi="Century Gothic" w:cs="Arial"/>
          <w:sz w:val="21"/>
          <w:szCs w:val="21"/>
        </w:rPr>
        <w:t>de la Ley 1150 de 2007?</w:t>
      </w:r>
      <w:proofErr w:type="gramEnd"/>
      <w:r>
        <w:rPr>
          <w:rFonts w:ascii="Century Gothic" w:eastAsia="Calibri" w:hAnsi="Century Gothic" w:cs="Arial"/>
          <w:sz w:val="21"/>
          <w:szCs w:val="21"/>
          <w:lang w:val="es-ES_tradnl" w:eastAsia="es-CO"/>
        </w:rPr>
        <w:t>”</w:t>
      </w:r>
      <w:bookmarkEnd w:id="3"/>
      <w:r>
        <w:rPr>
          <w:rFonts w:ascii="Century Gothic" w:eastAsia="Calibri" w:hAnsi="Century Gothic" w:cs="Arial"/>
          <w:sz w:val="21"/>
          <w:szCs w:val="21"/>
          <w:lang w:val="es-ES_tradnl" w:eastAsia="es-CO"/>
        </w:rPr>
        <w:t xml:space="preserve"> (Sic)</w:t>
      </w:r>
      <w:r w:rsidR="00A8598A" w:rsidRPr="006F7426">
        <w:rPr>
          <w:rFonts w:ascii="Century Gothic" w:eastAsia="Calibri" w:hAnsi="Century Gothic" w:cs="Arial"/>
          <w:sz w:val="21"/>
          <w:szCs w:val="21"/>
          <w:lang w:val="es-ES_tradnl" w:eastAsia="es-CO"/>
        </w:rPr>
        <w:t>.</w:t>
      </w:r>
      <w:bookmarkEnd w:id="4"/>
    </w:p>
    <w:bookmarkEnd w:id="1"/>
    <w:bookmarkEnd w:id="2"/>
    <w:p w14:paraId="72C72346" w14:textId="77777777" w:rsidR="003E38EB" w:rsidRDefault="003E38EB" w:rsidP="00A8598A">
      <w:pPr>
        <w:tabs>
          <w:tab w:val="left" w:pos="284"/>
        </w:tabs>
        <w:spacing w:line="276" w:lineRule="auto"/>
        <w:jc w:val="both"/>
        <w:rPr>
          <w:rFonts w:ascii="Century Gothic" w:eastAsia="Calibri" w:hAnsi="Century Gothic" w:cs="Arial"/>
          <w:b/>
        </w:rPr>
      </w:pPr>
    </w:p>
    <w:p w14:paraId="35780CC6" w14:textId="7C0F51EE" w:rsidR="00A8598A" w:rsidRPr="006F7426" w:rsidRDefault="00A8598A" w:rsidP="00A8598A">
      <w:pPr>
        <w:tabs>
          <w:tab w:val="left" w:pos="284"/>
        </w:tabs>
        <w:spacing w:line="276" w:lineRule="auto"/>
        <w:jc w:val="both"/>
        <w:rPr>
          <w:rFonts w:ascii="Century Gothic" w:eastAsia="Calibri" w:hAnsi="Century Gothic" w:cs="Arial"/>
          <w:b/>
        </w:rPr>
      </w:pPr>
      <w:r w:rsidRPr="006F7426">
        <w:rPr>
          <w:rFonts w:ascii="Century Gothic" w:eastAsia="Calibri" w:hAnsi="Century Gothic" w:cs="Arial"/>
          <w:b/>
        </w:rPr>
        <w:t>2. Consideraciones</w:t>
      </w:r>
    </w:p>
    <w:p w14:paraId="598EDF98" w14:textId="77777777" w:rsidR="00A8598A" w:rsidRPr="006F7426" w:rsidRDefault="00A8598A" w:rsidP="00A8598A">
      <w:pPr>
        <w:spacing w:after="120" w:line="276" w:lineRule="auto"/>
        <w:jc w:val="both"/>
        <w:rPr>
          <w:rFonts w:ascii="Century Gothic" w:eastAsia="Calibri" w:hAnsi="Century Gothic" w:cs="Arial"/>
          <w:bCs/>
        </w:rPr>
      </w:pPr>
      <w:r w:rsidRPr="006F7426">
        <w:rPr>
          <w:rFonts w:ascii="Century Gothic" w:eastAsia="Calibri" w:hAnsi="Century Gothic" w:cs="Arial"/>
          <w:bC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924B7FD" w14:textId="77777777" w:rsidR="00A8598A" w:rsidRPr="006F7426" w:rsidRDefault="00A8598A" w:rsidP="00A8598A">
      <w:pPr>
        <w:spacing w:after="120" w:line="276" w:lineRule="auto"/>
        <w:ind w:firstLine="709"/>
        <w:jc w:val="both"/>
        <w:rPr>
          <w:rFonts w:ascii="Century Gothic" w:eastAsia="Calibri" w:hAnsi="Century Gothic" w:cs="Arial"/>
          <w:lang w:val="es-ES"/>
        </w:rPr>
      </w:pPr>
      <w:bookmarkStart w:id="5" w:name="_Hlk61701014"/>
      <w:bookmarkStart w:id="6" w:name="_Hlk62136649"/>
      <w:r w:rsidRPr="006F7426">
        <w:rPr>
          <w:rFonts w:ascii="Century Gothic" w:eastAsia="Calibri" w:hAnsi="Century Gothic" w:cs="Arial"/>
          <w:lang w:val="es-ES"/>
        </w:rPr>
        <w:t xml:space="preserve">Es necesario tener en cuenta que </w:t>
      </w:r>
      <w:bookmarkStart w:id="7" w:name="_Hlk61026958"/>
      <w:r w:rsidRPr="006F7426">
        <w:rPr>
          <w:rFonts w:ascii="Century Gothic" w:eastAsia="Calibri"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F7426">
        <w:rPr>
          <w:rFonts w:ascii="Century Gothic" w:eastAsia="Calibri" w:hAnsi="Century Gothic" w:cs="Arial"/>
          <w:bCs/>
        </w:rPr>
        <w:t xml:space="preserve"> de todos los partícipes de la contratación estatal, ya sean reales o hipotéticos.</w:t>
      </w:r>
      <w:r w:rsidRPr="006F7426">
        <w:rPr>
          <w:rFonts w:ascii="Century Gothic" w:eastAsia="Calibri" w:hAnsi="Century Gothic"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F7426">
        <w:rPr>
          <w:rFonts w:ascii="Century Gothic" w:eastAsia="Calibri" w:hAnsi="Century Gothic" w:cs="Arial"/>
          <w:vertAlign w:val="superscript"/>
          <w:lang w:val="es-ES"/>
        </w:rPr>
        <w:footnoteReference w:id="2"/>
      </w:r>
      <w:r w:rsidRPr="006F7426">
        <w:rPr>
          <w:rFonts w:ascii="Century Gothic" w:eastAsia="Calibri" w:hAnsi="Century Gothic" w:cs="Arial"/>
          <w:lang w:val="es-ES"/>
        </w:rPr>
        <w:t xml:space="preserve">. </w:t>
      </w:r>
    </w:p>
    <w:p w14:paraId="70B342B8" w14:textId="3B1FB3D6" w:rsidR="00A8598A" w:rsidRPr="006F7426" w:rsidRDefault="00A8598A" w:rsidP="00A8598A">
      <w:pPr>
        <w:spacing w:after="120" w:line="276" w:lineRule="auto"/>
        <w:ind w:firstLine="709"/>
        <w:jc w:val="both"/>
        <w:rPr>
          <w:rFonts w:ascii="Century Gothic" w:eastAsia="Calibri" w:hAnsi="Century Gothic" w:cs="Arial"/>
          <w:color w:val="000000"/>
          <w:lang w:val="es-ES"/>
        </w:rPr>
      </w:pPr>
      <w:r w:rsidRPr="006F7426">
        <w:rPr>
          <w:rFonts w:ascii="Century Gothic" w:eastAsia="Calibri" w:hAnsi="Century Gothic" w:cs="Arial"/>
          <w:lang w:val="es-ES"/>
        </w:rPr>
        <w:t>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a la información concreta y a los documentos del procedimiento contractual donde surge la inquietud</w:t>
      </w:r>
      <w:bookmarkEnd w:id="7"/>
      <w:r w:rsidRPr="006F7426">
        <w:rPr>
          <w:rFonts w:ascii="Century Gothic" w:eastAsia="Calibri" w:hAnsi="Century Gothic"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bookmarkEnd w:id="6"/>
      <w:r w:rsidRPr="006F7426">
        <w:rPr>
          <w:rFonts w:ascii="Century Gothic" w:eastAsia="Calibri" w:hAnsi="Century Gothic" w:cs="Arial"/>
          <w:lang w:val="es-ES"/>
        </w:rPr>
        <w:t xml:space="preserve"> </w:t>
      </w:r>
      <w:r w:rsidRPr="006F7426">
        <w:rPr>
          <w:rFonts w:ascii="Century Gothic" w:eastAsia="Calibri" w:hAnsi="Century Gothic" w:cs="Arial"/>
          <w:color w:val="000000"/>
        </w:rPr>
        <w:t xml:space="preserve">Sin perjuicio de lo anterior, </w:t>
      </w:r>
      <w:r w:rsidRPr="006F7426">
        <w:rPr>
          <w:rFonts w:ascii="Century Gothic" w:eastAsia="Calibri" w:hAnsi="Century Gothic" w:cs="Arial"/>
          <w:color w:val="000000"/>
          <w:lang w:val="es-ES"/>
        </w:rPr>
        <w:t xml:space="preserve">la Subdirección –dentro de los límites de sus atribuciones, esto es, </w:t>
      </w:r>
      <w:bookmarkStart w:id="8" w:name="_Hlk61025408"/>
      <w:r w:rsidRPr="006F7426">
        <w:rPr>
          <w:rFonts w:ascii="Century Gothic" w:eastAsia="Calibri" w:hAnsi="Century Gothic" w:cs="Arial"/>
          <w:color w:val="000000"/>
          <w:lang w:val="es-ES"/>
        </w:rPr>
        <w:t>haciendo abstracción de casos particulares expuestos por cualquier peticionari</w:t>
      </w:r>
      <w:bookmarkEnd w:id="8"/>
      <w:r w:rsidRPr="006F7426">
        <w:rPr>
          <w:rFonts w:ascii="Century Gothic" w:eastAsia="Calibri" w:hAnsi="Century Gothic" w:cs="Arial"/>
          <w:color w:val="000000"/>
          <w:lang w:val="es-ES"/>
        </w:rPr>
        <w:t>o– resolverá la consulta conforme a las normas generales en materia de contratación estatal</w:t>
      </w:r>
      <w:r w:rsidR="00895BC4">
        <w:rPr>
          <w:rFonts w:ascii="Century Gothic" w:eastAsia="Calibri" w:hAnsi="Century Gothic" w:cs="Arial"/>
          <w:color w:val="000000"/>
          <w:lang w:val="es-ES"/>
        </w:rPr>
        <w:t xml:space="preserve"> para lo cual analizará los siguientes temas: i) c</w:t>
      </w:r>
      <w:r w:rsidR="00895BC4" w:rsidRPr="00895BC4">
        <w:rPr>
          <w:rFonts w:ascii="Century Gothic" w:eastAsia="Calibri" w:hAnsi="Century Gothic" w:cs="Arial"/>
          <w:color w:val="000000"/>
          <w:lang w:val="es-ES"/>
        </w:rPr>
        <w:t>ontratos o convenios con organismos internacionales</w:t>
      </w:r>
      <w:r w:rsidR="00895BC4">
        <w:rPr>
          <w:rFonts w:ascii="Century Gothic" w:eastAsia="Calibri" w:hAnsi="Century Gothic" w:cs="Arial"/>
          <w:color w:val="000000"/>
          <w:lang w:val="es-ES"/>
        </w:rPr>
        <w:t xml:space="preserve">; </w:t>
      </w:r>
      <w:proofErr w:type="spellStart"/>
      <w:r w:rsidR="00895BC4">
        <w:rPr>
          <w:rFonts w:ascii="Century Gothic" w:eastAsia="Calibri" w:hAnsi="Century Gothic" w:cs="Arial"/>
          <w:color w:val="000000"/>
          <w:lang w:val="es-ES"/>
        </w:rPr>
        <w:t>ii</w:t>
      </w:r>
      <w:proofErr w:type="spellEnd"/>
      <w:r w:rsidR="00895BC4">
        <w:rPr>
          <w:rFonts w:ascii="Century Gothic" w:eastAsia="Calibri" w:hAnsi="Century Gothic" w:cs="Arial"/>
          <w:color w:val="000000"/>
          <w:lang w:val="es-ES"/>
        </w:rPr>
        <w:t>) c</w:t>
      </w:r>
      <w:r w:rsidR="00895BC4" w:rsidRPr="00895BC4">
        <w:rPr>
          <w:rFonts w:ascii="Century Gothic" w:eastAsia="Calibri" w:hAnsi="Century Gothic" w:cs="Arial"/>
          <w:color w:val="000000"/>
          <w:lang w:val="es-ES"/>
        </w:rPr>
        <w:t>ontratación financiada con recursos de organismos multilaterales de crédito y sujeción a los reglamentos internos de dichas instituciones</w:t>
      </w:r>
      <w:r w:rsidR="00895BC4">
        <w:rPr>
          <w:rFonts w:ascii="Century Gothic" w:eastAsia="Calibri" w:hAnsi="Century Gothic" w:cs="Arial"/>
          <w:color w:val="000000"/>
          <w:lang w:val="es-ES"/>
        </w:rPr>
        <w:t xml:space="preserve">; y, </w:t>
      </w:r>
      <w:proofErr w:type="spellStart"/>
      <w:r w:rsidR="00895BC4">
        <w:rPr>
          <w:rFonts w:ascii="Century Gothic" w:eastAsia="Calibri" w:hAnsi="Century Gothic" w:cs="Arial"/>
          <w:color w:val="000000"/>
          <w:lang w:val="es-ES"/>
        </w:rPr>
        <w:t>iii</w:t>
      </w:r>
      <w:proofErr w:type="spellEnd"/>
      <w:r w:rsidR="00895BC4">
        <w:rPr>
          <w:rFonts w:ascii="Century Gothic" w:eastAsia="Calibri" w:hAnsi="Century Gothic" w:cs="Arial"/>
          <w:color w:val="000000"/>
          <w:lang w:val="es-ES"/>
        </w:rPr>
        <w:t>) a</w:t>
      </w:r>
      <w:r w:rsidR="00895BC4" w:rsidRPr="00895BC4">
        <w:rPr>
          <w:rFonts w:ascii="Century Gothic" w:eastAsia="Calibri" w:hAnsi="Century Gothic" w:cs="Arial"/>
          <w:color w:val="000000"/>
          <w:lang w:val="es-ES"/>
        </w:rPr>
        <w:t>lcance de la reglamentación del artículo 2.2.8.3.4. del Decreto 603 de 2022</w:t>
      </w:r>
      <w:r w:rsidR="00895BC4">
        <w:rPr>
          <w:rFonts w:ascii="Century Gothic" w:eastAsia="Calibri" w:hAnsi="Century Gothic" w:cs="Arial"/>
          <w:color w:val="000000"/>
          <w:lang w:val="es-ES"/>
        </w:rPr>
        <w:t>.</w:t>
      </w:r>
    </w:p>
    <w:p w14:paraId="28137692" w14:textId="512A1652" w:rsidR="00A8598A" w:rsidRPr="006F7426" w:rsidRDefault="00A8598A" w:rsidP="00A8598A">
      <w:pPr>
        <w:tabs>
          <w:tab w:val="left" w:pos="8789"/>
        </w:tabs>
        <w:spacing w:after="120" w:line="276" w:lineRule="auto"/>
        <w:ind w:firstLine="709"/>
        <w:jc w:val="both"/>
        <w:rPr>
          <w:rFonts w:ascii="Century Gothic" w:hAnsi="Century Gothic" w:cs="Arial"/>
          <w:lang w:val="es-ES"/>
        </w:rPr>
      </w:pPr>
      <w:r w:rsidRPr="006F7426">
        <w:rPr>
          <w:rFonts w:ascii="Century Gothic" w:hAnsi="Century Gothic" w:cs="Arial"/>
          <w:lang w:val="es-ES_tradnl"/>
        </w:rPr>
        <w:t>La Agencia Nacional de Contratación Pública – Colombia Compra Eficiente</w:t>
      </w:r>
      <w:r w:rsidRPr="006F7426">
        <w:rPr>
          <w:rStyle w:val="normaltextrun"/>
          <w:rFonts w:ascii="Century Gothic" w:hAnsi="Century Gothic" w:cs="Arial"/>
          <w:shd w:val="clear" w:color="auto" w:fill="FFFFFF"/>
        </w:rPr>
        <w:t>,</w:t>
      </w:r>
      <w:r w:rsidRPr="006F7426">
        <w:rPr>
          <w:rFonts w:ascii="Century Gothic" w:hAnsi="Century Gothic" w:cs="Arial"/>
          <w:shd w:val="clear" w:color="auto" w:fill="FFFFFF"/>
        </w:rPr>
        <w:t xml:space="preserve"> en los Conceptos C-185</w:t>
      </w:r>
      <w:r w:rsidRPr="006F7426">
        <w:rPr>
          <w:rFonts w:ascii="Century Gothic" w:eastAsia="Calibri" w:hAnsi="Century Gothic" w:cs="Arial"/>
          <w:lang w:val="es-ES"/>
        </w:rPr>
        <w:t xml:space="preserve"> del 13 de abril de 2020,</w:t>
      </w:r>
      <w:r w:rsidRPr="006F7426">
        <w:rPr>
          <w:rFonts w:ascii="Century Gothic" w:hAnsi="Century Gothic" w:cs="Arial"/>
          <w:shd w:val="clear" w:color="auto" w:fill="FFFFFF"/>
        </w:rPr>
        <w:t xml:space="preserve"> C-374 del 23 de julio de 2020, C-680 del 18 de noviembre de 2020, C-771 de 13 de enero de 2021, C-781 del 19 de enero de 2021, C-377 del 28 de julio de 2021, C-049 de 8 de marzo de 2021 y C-461 de 19 de julio de 2021, C-367 de 25 de abril de 2022, C-461 de 2 de junio de 2022, </w:t>
      </w:r>
      <w:r w:rsidR="00946B9E">
        <w:rPr>
          <w:rFonts w:ascii="Century Gothic" w:hAnsi="Century Gothic" w:cs="Arial"/>
          <w:shd w:val="clear" w:color="auto" w:fill="FFFFFF"/>
        </w:rPr>
        <w:t xml:space="preserve">C- </w:t>
      </w:r>
      <w:r w:rsidR="00D93626">
        <w:rPr>
          <w:rFonts w:ascii="Century Gothic" w:hAnsi="Century Gothic" w:cs="Arial"/>
          <w:shd w:val="clear" w:color="auto" w:fill="FFFFFF"/>
        </w:rPr>
        <w:t xml:space="preserve">012 de </w:t>
      </w:r>
      <w:r w:rsidR="00D52900">
        <w:rPr>
          <w:rFonts w:ascii="Century Gothic" w:hAnsi="Century Gothic" w:cs="Arial"/>
          <w:shd w:val="clear" w:color="auto" w:fill="FFFFFF"/>
        </w:rPr>
        <w:t>7 de marzo de 2023, C-039</w:t>
      </w:r>
      <w:r w:rsidR="00BA0EAF">
        <w:rPr>
          <w:rFonts w:ascii="Century Gothic" w:hAnsi="Century Gothic" w:cs="Arial"/>
          <w:shd w:val="clear" w:color="auto" w:fill="FFFFFF"/>
        </w:rPr>
        <w:t xml:space="preserve"> de 29 de marzo de 2023 </w:t>
      </w:r>
      <w:r w:rsidRPr="006F7426">
        <w:rPr>
          <w:rFonts w:ascii="Century Gothic" w:hAnsi="Century Gothic" w:cs="Arial"/>
          <w:shd w:val="clear" w:color="auto" w:fill="FFFFFF"/>
        </w:rPr>
        <w:t>estudió el contenido del artículo 20 de la Ley 1150 de 2007</w:t>
      </w:r>
      <w:r w:rsidR="00BA0EAF">
        <w:rPr>
          <w:rFonts w:ascii="Century Gothic" w:hAnsi="Century Gothic" w:cs="Arial"/>
          <w:shd w:val="clear" w:color="auto" w:fill="FFFFFF"/>
        </w:rPr>
        <w:t xml:space="preserve"> y la viabilidad de la contratación con organismos internacionales. Algunas de las consideraciones de estos conceptos </w:t>
      </w:r>
      <w:r w:rsidR="00AD5C1E">
        <w:rPr>
          <w:rFonts w:ascii="Century Gothic" w:hAnsi="Century Gothic" w:cs="Arial"/>
          <w:shd w:val="clear" w:color="auto" w:fill="FFFFFF"/>
        </w:rPr>
        <w:t>se reiteran a continuación y se complementan en lo pertinente</w:t>
      </w:r>
      <w:r w:rsidRPr="006F7426">
        <w:rPr>
          <w:rFonts w:ascii="Century Gothic" w:hAnsi="Century Gothic" w:cs="Arial"/>
          <w:shd w:val="clear" w:color="auto" w:fill="FFFFFF"/>
        </w:rPr>
        <w:t>.</w:t>
      </w:r>
    </w:p>
    <w:p w14:paraId="0DB87DE8" w14:textId="77777777" w:rsidR="00A8598A" w:rsidRPr="006F7426" w:rsidRDefault="00A8598A" w:rsidP="00A8598A">
      <w:pPr>
        <w:tabs>
          <w:tab w:val="left" w:pos="426"/>
        </w:tabs>
        <w:spacing w:after="120" w:line="276" w:lineRule="auto"/>
        <w:jc w:val="both"/>
        <w:rPr>
          <w:rFonts w:ascii="Century Gothic" w:eastAsia="Calibri" w:hAnsi="Century Gothic" w:cs="Arial"/>
          <w:bCs/>
          <w:lang w:val="es-ES_tradnl" w:eastAsia="x-none"/>
        </w:rPr>
      </w:pPr>
      <w:r w:rsidRPr="006F7426">
        <w:rPr>
          <w:rFonts w:ascii="Century Gothic" w:eastAsia="Calibri" w:hAnsi="Century Gothic" w:cs="Arial"/>
          <w:b/>
          <w:bCs/>
          <w:lang w:val="es-ES_tradnl"/>
        </w:rPr>
        <w:t>2.1.</w:t>
      </w:r>
      <w:r w:rsidRPr="006F7426">
        <w:rPr>
          <w:rFonts w:ascii="Century Gothic" w:eastAsia="Calibri" w:hAnsi="Century Gothic" w:cs="Arial"/>
          <w:b/>
          <w:bCs/>
        </w:rPr>
        <w:t xml:space="preserve"> </w:t>
      </w:r>
      <w:r w:rsidRPr="006F7426">
        <w:rPr>
          <w:rFonts w:ascii="Century Gothic" w:hAnsi="Century Gothic" w:cs="Arial"/>
          <w:b/>
          <w:bCs/>
        </w:rPr>
        <w:t xml:space="preserve">Contratos o convenios con organismos internacionales </w:t>
      </w:r>
    </w:p>
    <w:p w14:paraId="79C2EFF7" w14:textId="77777777" w:rsidR="00A8598A" w:rsidRPr="006F7426" w:rsidRDefault="00A8598A" w:rsidP="00A8598A">
      <w:pPr>
        <w:spacing w:after="120" w:line="276" w:lineRule="auto"/>
        <w:jc w:val="both"/>
        <w:rPr>
          <w:rFonts w:ascii="Century Gothic" w:hAnsi="Century Gothic" w:cs="Arial"/>
          <w:lang w:val="es-ES"/>
        </w:rPr>
      </w:pPr>
      <w:bookmarkStart w:id="9" w:name="_Hlk99449041"/>
      <w:r w:rsidRPr="006F7426">
        <w:rPr>
          <w:rFonts w:ascii="Century Gothic" w:hAnsi="Century Gothic"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6F7426">
        <w:rPr>
          <w:rStyle w:val="Refdenotaalpie"/>
          <w:rFonts w:ascii="Century Gothic" w:hAnsi="Century Gothic" w:cs="Arial"/>
        </w:rPr>
        <w:footnoteReference w:id="3"/>
      </w:r>
      <w:r w:rsidRPr="006F7426">
        <w:rPr>
          <w:rFonts w:ascii="Century Gothic" w:hAnsi="Century Gothic" w:cs="Arial"/>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67CC9E5" w14:textId="77777777" w:rsidR="00A8598A" w:rsidRPr="006F7426" w:rsidRDefault="00A8598A" w:rsidP="00A8598A">
      <w:pPr>
        <w:pStyle w:val="Prrafodelista"/>
        <w:snapToGrid w:val="0"/>
        <w:spacing w:before="120" w:after="120" w:line="276" w:lineRule="auto"/>
        <w:ind w:left="0" w:firstLine="709"/>
        <w:contextualSpacing w:val="0"/>
        <w:jc w:val="both"/>
        <w:rPr>
          <w:rFonts w:ascii="Century Gothic" w:eastAsia="Calibri" w:hAnsi="Century Gothic" w:cs="Arial"/>
        </w:rPr>
      </w:pPr>
      <w:bookmarkStart w:id="10" w:name="_Hlk99449078"/>
      <w:bookmarkStart w:id="11" w:name="_Hlk102401362"/>
      <w:bookmarkEnd w:id="9"/>
      <w:r w:rsidRPr="006F7426">
        <w:rPr>
          <w:rFonts w:ascii="Century Gothic" w:eastAsia="Calibri" w:hAnsi="Century Gothic" w:cs="Arial"/>
        </w:rPr>
        <w:t>El artículo 13 de la Ley 80 de 1993 regula de forma general el régimen aplicable a los contratos que celebren las entidades referidas en el artículo segundo del estatuto</w:t>
      </w:r>
      <w:r w:rsidRPr="006F7426">
        <w:rPr>
          <w:rStyle w:val="Refdenotaalpie"/>
          <w:rFonts w:ascii="Century Gothic" w:hAnsi="Century Gothic" w:cs="Arial"/>
        </w:rPr>
        <w:footnoteReference w:id="4"/>
      </w:r>
      <w:r w:rsidRPr="006F7426">
        <w:rPr>
          <w:rFonts w:ascii="Century Gothic" w:eastAsia="Calibri" w:hAnsi="Century Gothic" w:cs="Arial"/>
        </w:rPr>
        <w:t>,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w:t>
      </w:r>
      <w:bookmarkEnd w:id="10"/>
      <w:bookmarkEnd w:id="11"/>
    </w:p>
    <w:p w14:paraId="3C5A3713" w14:textId="77777777" w:rsidR="00A8598A" w:rsidRPr="006F7426" w:rsidRDefault="00A8598A" w:rsidP="00A8598A">
      <w:pPr>
        <w:pStyle w:val="Prrafodelista"/>
        <w:snapToGrid w:val="0"/>
        <w:spacing w:after="120" w:line="276" w:lineRule="auto"/>
        <w:ind w:left="0" w:firstLine="709"/>
        <w:contextualSpacing w:val="0"/>
        <w:jc w:val="both"/>
        <w:rPr>
          <w:rFonts w:ascii="Century Gothic" w:eastAsia="Calibri" w:hAnsi="Century Gothic" w:cs="Arial"/>
        </w:rPr>
      </w:pPr>
      <w:r w:rsidRPr="006F7426">
        <w:rPr>
          <w:rFonts w:ascii="Century Gothic" w:eastAsia="Calibri" w:hAnsi="Century Gothic" w:cs="Arial"/>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6BFFA86B" w14:textId="2F8A0895" w:rsidR="00A8598A" w:rsidRPr="006F7426" w:rsidRDefault="003E38EB" w:rsidP="00A8598A">
      <w:pPr>
        <w:pStyle w:val="Prrafodelista"/>
        <w:spacing w:after="0" w:line="240" w:lineRule="auto"/>
        <w:ind w:left="709" w:right="709"/>
        <w:jc w:val="both"/>
        <w:rPr>
          <w:rFonts w:ascii="Century Gothic" w:eastAsia="MS Mincho" w:hAnsi="Century Gothic" w:cs="Arial"/>
          <w:sz w:val="21"/>
          <w:szCs w:val="21"/>
          <w:lang w:eastAsia="es-ES"/>
        </w:rPr>
      </w:pPr>
      <w:r>
        <w:rPr>
          <w:rFonts w:ascii="Century Gothic" w:eastAsia="MS Mincho" w:hAnsi="Century Gothic" w:cs="Arial"/>
          <w:sz w:val="21"/>
          <w:szCs w:val="21"/>
          <w:lang w:eastAsia="es-ES"/>
        </w:rPr>
        <w:t>“</w:t>
      </w:r>
      <w:r w:rsidR="00A8598A" w:rsidRPr="006F7426">
        <w:rPr>
          <w:rFonts w:ascii="Century Gothic" w:eastAsia="MS Mincho" w:hAnsi="Century Gothic"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00A8598A" w:rsidRPr="006F7426">
        <w:rPr>
          <w:rFonts w:ascii="Century Gothic" w:eastAsia="MS Mincho" w:hAnsi="Century Gothic" w:cs="Arial"/>
          <w:sz w:val="21"/>
          <w:szCs w:val="21"/>
          <w:lang w:eastAsia="es-ES"/>
        </w:rPr>
        <w:t>ii</w:t>
      </w:r>
      <w:proofErr w:type="spellEnd"/>
      <w:r w:rsidR="00A8598A" w:rsidRPr="006F7426">
        <w:rPr>
          <w:rFonts w:ascii="Century Gothic" w:eastAsia="MS Mincho" w:hAnsi="Century Gothic"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00A8598A" w:rsidRPr="006F7426">
        <w:rPr>
          <w:rFonts w:ascii="Century Gothic" w:eastAsia="MS Mincho" w:hAnsi="Century Gothic" w:cs="Arial"/>
          <w:sz w:val="21"/>
          <w:szCs w:val="21"/>
          <w:lang w:eastAsia="es-ES"/>
        </w:rPr>
        <w:t>iii</w:t>
      </w:r>
      <w:proofErr w:type="spellEnd"/>
      <w:r w:rsidR="00A8598A" w:rsidRPr="006F7426">
        <w:rPr>
          <w:rFonts w:ascii="Century Gothic" w:eastAsia="MS Mincho" w:hAnsi="Century Gothic" w:cs="Arial"/>
          <w:sz w:val="21"/>
          <w:szCs w:val="21"/>
          <w:lang w:eastAsia="es-ES"/>
        </w:rPr>
        <w:t xml:space="preserve">) a) los contratos financiados con fondos de organismos multilaterales de crédito y b) aquellos celebrados con personas extranjeras de derecho público u organismos de cooperación, asistencia o ayudas internacionales, los cuales </w:t>
      </w:r>
      <w:r>
        <w:rPr>
          <w:rFonts w:ascii="Century Gothic" w:eastAsia="MS Mincho" w:hAnsi="Century Gothic" w:cs="Arial"/>
          <w:sz w:val="21"/>
          <w:szCs w:val="21"/>
          <w:lang w:eastAsia="es-ES"/>
        </w:rPr>
        <w:t>“</w:t>
      </w:r>
      <w:r w:rsidR="00A8598A" w:rsidRPr="006F7426">
        <w:rPr>
          <w:rFonts w:ascii="Century Gothic" w:eastAsia="MS Mincho" w:hAnsi="Century Gothic" w:cs="Arial"/>
          <w:sz w:val="21"/>
          <w:szCs w:val="21"/>
          <w:lang w:eastAsia="es-ES"/>
        </w:rPr>
        <w:t>podrán someterse a los reglamentos de tales entidades en todo lo relacionado con procedimientos de formación y adjudicación y cláusulas especiales de ejecución, cumplimiento, pagos y ajustes</w:t>
      </w:r>
      <w:r>
        <w:rPr>
          <w:rFonts w:ascii="Century Gothic" w:eastAsia="MS Mincho" w:hAnsi="Century Gothic" w:cs="Arial"/>
          <w:sz w:val="21"/>
          <w:szCs w:val="21"/>
          <w:lang w:eastAsia="es-ES"/>
        </w:rPr>
        <w:t>”</w:t>
      </w:r>
      <w:r w:rsidR="00A8598A" w:rsidRPr="006F7426">
        <w:rPr>
          <w:rStyle w:val="Refdenotaalpie"/>
          <w:rFonts w:ascii="Century Gothic" w:hAnsi="Century Gothic" w:cs="Arial"/>
          <w:sz w:val="21"/>
          <w:szCs w:val="21"/>
        </w:rPr>
        <w:footnoteReference w:id="5"/>
      </w:r>
      <w:r w:rsidR="00A8598A" w:rsidRPr="006F7426">
        <w:rPr>
          <w:rFonts w:ascii="Century Gothic" w:eastAsia="MS Mincho" w:hAnsi="Century Gothic" w:cs="Arial"/>
          <w:sz w:val="21"/>
          <w:szCs w:val="21"/>
          <w:lang w:eastAsia="es-ES"/>
        </w:rPr>
        <w:t xml:space="preserve">. </w:t>
      </w:r>
    </w:p>
    <w:p w14:paraId="49ED0CE1" w14:textId="77777777" w:rsidR="00A8598A" w:rsidRPr="006F7426" w:rsidRDefault="00A8598A" w:rsidP="00A8598A">
      <w:pPr>
        <w:pStyle w:val="Prrafodelista"/>
        <w:spacing w:after="0" w:line="240" w:lineRule="auto"/>
        <w:ind w:left="709" w:right="709"/>
        <w:jc w:val="both"/>
        <w:rPr>
          <w:rFonts w:ascii="Century Gothic" w:eastAsia="MS Mincho" w:hAnsi="Century Gothic" w:cs="Arial"/>
          <w:sz w:val="21"/>
          <w:szCs w:val="21"/>
          <w:lang w:eastAsia="es-ES"/>
        </w:rPr>
      </w:pPr>
    </w:p>
    <w:p w14:paraId="2613DEE5" w14:textId="5F0749C5"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6F7426">
        <w:rPr>
          <w:rStyle w:val="Refdenotaalpie"/>
          <w:rFonts w:ascii="Century Gothic" w:eastAsia="Calibri" w:hAnsi="Century Gothic" w:cs="Arial"/>
        </w:rPr>
        <w:footnoteReference w:id="6"/>
      </w:r>
      <w:r w:rsidRPr="006F7426">
        <w:rPr>
          <w:rFonts w:ascii="Century Gothic" w:eastAsia="Calibri" w:hAnsi="Century Gothic"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w:t>
      </w:r>
      <w:r w:rsidR="003E38EB">
        <w:rPr>
          <w:rFonts w:ascii="Century Gothic" w:eastAsia="Calibri" w:hAnsi="Century Gothic" w:cs="Arial"/>
          <w:lang w:val="es-ES"/>
        </w:rPr>
        <w:t>“</w:t>
      </w:r>
      <w:r w:rsidRPr="006F7426">
        <w:rPr>
          <w:rFonts w:ascii="Century Gothic" w:eastAsia="Calibri" w:hAnsi="Century Gothic" w:cs="Arial"/>
          <w:lang w:val="es-ES"/>
        </w:rPr>
        <w:t>podrán</w:t>
      </w:r>
      <w:r w:rsidR="003E38EB">
        <w:rPr>
          <w:rFonts w:ascii="Century Gothic" w:eastAsia="Calibri" w:hAnsi="Century Gothic" w:cs="Arial"/>
          <w:lang w:val="es-ES"/>
        </w:rPr>
        <w:t>”</w:t>
      </w:r>
      <w:r w:rsidRPr="006F7426">
        <w:rPr>
          <w:rFonts w:ascii="Century Gothic" w:eastAsia="Calibri" w:hAnsi="Century Gothic" w:cs="Arial"/>
          <w:lang w:val="es-ES"/>
        </w:rPr>
        <w:t xml:space="preserve"> ser sometidos a los reglamentos de tales entidades, en lo que tiene que ver con el inciso primero de dicho artículo. </w:t>
      </w:r>
    </w:p>
    <w:p w14:paraId="635AB1C9" w14:textId="4E2792F3"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6F7426">
        <w:rPr>
          <w:rStyle w:val="Refdenotaalpie"/>
          <w:rFonts w:ascii="Century Gothic" w:eastAsia="Calibri" w:hAnsi="Century Gothic" w:cs="Arial"/>
        </w:rPr>
        <w:footnoteReference w:id="7"/>
      </w:r>
      <w:r w:rsidRPr="006F7426">
        <w:rPr>
          <w:rFonts w:ascii="Century Gothic" w:eastAsia="Calibri" w:hAnsi="Century Gothic" w:cs="Arial"/>
          <w:lang w:val="es-ES"/>
        </w:rPr>
        <w:t xml:space="preserve">. De conformidad con este artículo, en lo que tiene que ver con el </w:t>
      </w:r>
      <w:r w:rsidRPr="006F7426">
        <w:rPr>
          <w:rFonts w:ascii="Century Gothic" w:eastAsia="Calibri" w:hAnsi="Century Gothic" w:cs="Arial"/>
          <w:i/>
          <w:iCs/>
          <w:lang w:val="es-ES"/>
        </w:rPr>
        <w:t>inciso primero</w:t>
      </w:r>
      <w:r w:rsidRPr="006F7426">
        <w:rPr>
          <w:rFonts w:ascii="Century Gothic" w:eastAsia="Calibri" w:hAnsi="Century Gothic" w:cs="Arial"/>
          <w:lang w:val="es-ES"/>
        </w:rPr>
        <w:t>,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En línea con lo anterior, el artículo 2.2.1.2.4.4.1.</w:t>
      </w:r>
      <w:r w:rsidR="006E16D0">
        <w:rPr>
          <w:rFonts w:ascii="Century Gothic" w:eastAsia="Calibri" w:hAnsi="Century Gothic" w:cs="Arial"/>
          <w:lang w:val="es-ES"/>
        </w:rPr>
        <w:t xml:space="preserve"> </w:t>
      </w:r>
      <w:r w:rsidRPr="006F7426">
        <w:rPr>
          <w:rFonts w:ascii="Century Gothic" w:eastAsia="Calibri" w:hAnsi="Century Gothic" w:cs="Arial"/>
          <w:lang w:val="es-ES"/>
        </w:rPr>
        <w:t xml:space="preserve">del Decreto 1082 de 2015 reglamentó el artículo 20 de la Ley 1150 de 2007, en el que se señaló lo siguiente: </w:t>
      </w:r>
    </w:p>
    <w:p w14:paraId="29634782" w14:textId="5F3D577B" w:rsidR="00A8598A" w:rsidRPr="006F7426" w:rsidRDefault="003E38EB" w:rsidP="00A8598A">
      <w:pPr>
        <w:spacing w:after="120" w:line="240" w:lineRule="auto"/>
        <w:ind w:left="709" w:right="709"/>
        <w:jc w:val="both"/>
        <w:rPr>
          <w:rFonts w:ascii="Century Gothic" w:hAnsi="Century Gothic" w:cs="Arial"/>
          <w:sz w:val="21"/>
          <w:szCs w:val="21"/>
          <w:lang w:eastAsia="es-CO"/>
        </w:rPr>
      </w:pPr>
      <w:r w:rsidRPr="006E16D0">
        <w:rPr>
          <w:rFonts w:ascii="Century Gothic" w:hAnsi="Century Gothic" w:cs="Arial"/>
          <w:sz w:val="21"/>
          <w:szCs w:val="21"/>
          <w:lang w:eastAsia="es-CO"/>
        </w:rPr>
        <w:t>“</w:t>
      </w:r>
      <w:r w:rsidR="00A8598A" w:rsidRPr="006E16D0">
        <w:rPr>
          <w:rFonts w:ascii="Century Gothic" w:hAnsi="Century Gothic" w:cs="Arial"/>
          <w:sz w:val="21"/>
          <w:szCs w:val="21"/>
          <w:lang w:eastAsia="es-CO"/>
        </w:rPr>
        <w:t>Artículo 2.2.1.2.4.4.</w:t>
      </w:r>
      <w:proofErr w:type="gramStart"/>
      <w:r w:rsidR="00A8598A" w:rsidRPr="006E16D0">
        <w:rPr>
          <w:rFonts w:ascii="Century Gothic" w:hAnsi="Century Gothic" w:cs="Arial"/>
          <w:sz w:val="21"/>
          <w:szCs w:val="21"/>
          <w:lang w:eastAsia="es-CO"/>
        </w:rPr>
        <w:t>1.</w:t>
      </w:r>
      <w:r w:rsidR="00A8598A" w:rsidRPr="006E16D0">
        <w:rPr>
          <w:rFonts w:ascii="Century Gothic" w:hAnsi="Century Gothic" w:cs="Arial"/>
          <w:i/>
          <w:iCs/>
          <w:sz w:val="21"/>
          <w:szCs w:val="21"/>
          <w:lang w:eastAsia="es-CO"/>
        </w:rPr>
        <w:t>Régimen</w:t>
      </w:r>
      <w:proofErr w:type="gramEnd"/>
      <w:r w:rsidR="00A8598A" w:rsidRPr="006E16D0">
        <w:rPr>
          <w:rFonts w:ascii="Century Gothic" w:hAnsi="Century Gothic" w:cs="Arial"/>
          <w:i/>
          <w:iCs/>
          <w:sz w:val="21"/>
          <w:szCs w:val="21"/>
          <w:lang w:eastAsia="es-CO"/>
        </w:rPr>
        <w:t xml:space="preserve"> aplicable a los contratos o convenios de cooperación Internacional.</w:t>
      </w:r>
      <w:r w:rsidR="00A8598A" w:rsidRPr="006F7426">
        <w:rPr>
          <w:rFonts w:ascii="Century Gothic" w:hAnsi="Century Gothic" w:cs="Arial"/>
          <w:b/>
          <w:bCs/>
          <w:i/>
          <w:iCs/>
          <w:sz w:val="21"/>
          <w:szCs w:val="21"/>
          <w:lang w:eastAsia="es-CO"/>
        </w:rPr>
        <w:t> </w:t>
      </w:r>
      <w:r w:rsidR="00A8598A" w:rsidRPr="006F7426">
        <w:rPr>
          <w:rFonts w:ascii="Century Gothic" w:hAnsi="Century Gothic" w:cs="Arial"/>
          <w:sz w:val="21"/>
          <w:szCs w:val="21"/>
          <w:lang w:eastAsia="es-CO"/>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60BB17BF" w14:textId="77777777" w:rsidR="00A8598A" w:rsidRPr="006F7426" w:rsidRDefault="00A8598A" w:rsidP="00A8598A">
      <w:pPr>
        <w:spacing w:after="120" w:line="240" w:lineRule="auto"/>
        <w:ind w:left="709" w:right="709"/>
        <w:jc w:val="both"/>
        <w:rPr>
          <w:rFonts w:ascii="Century Gothic" w:hAnsi="Century Gothic" w:cs="Arial"/>
          <w:sz w:val="21"/>
          <w:szCs w:val="21"/>
          <w:lang w:eastAsia="es-CO"/>
        </w:rPr>
      </w:pPr>
      <w:r w:rsidRPr="006F7426">
        <w:rPr>
          <w:rFonts w:ascii="Century Gothic" w:hAnsi="Century Gothic" w:cs="Arial"/>
          <w:sz w:val="21"/>
          <w:szCs w:val="21"/>
          <w:lang w:eastAsia="es-CO"/>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p>
    <w:p w14:paraId="048AEC35" w14:textId="77777777" w:rsidR="00A8598A" w:rsidRPr="006F7426" w:rsidRDefault="00A8598A" w:rsidP="00A8598A">
      <w:pPr>
        <w:spacing w:after="120" w:line="240" w:lineRule="auto"/>
        <w:ind w:left="709" w:right="709"/>
        <w:jc w:val="both"/>
        <w:rPr>
          <w:rFonts w:ascii="Century Gothic" w:hAnsi="Century Gothic" w:cs="Arial"/>
          <w:sz w:val="21"/>
          <w:szCs w:val="21"/>
          <w:lang w:eastAsia="es-CO"/>
        </w:rPr>
      </w:pPr>
      <w:r w:rsidRPr="006F7426">
        <w:rPr>
          <w:rFonts w:ascii="Century Gothic" w:hAnsi="Century Gothic" w:cs="Arial"/>
          <w:sz w:val="21"/>
          <w:szCs w:val="21"/>
          <w:lang w:eastAsia="es-CO"/>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60945D5B" w14:textId="77777777" w:rsidR="00A8598A" w:rsidRPr="006F7426" w:rsidRDefault="00A8598A" w:rsidP="00A8598A">
      <w:pPr>
        <w:spacing w:after="120" w:line="240" w:lineRule="auto"/>
        <w:ind w:left="709" w:right="709"/>
        <w:jc w:val="both"/>
        <w:rPr>
          <w:rFonts w:ascii="Century Gothic" w:hAnsi="Century Gothic" w:cs="Arial"/>
          <w:sz w:val="21"/>
          <w:szCs w:val="21"/>
          <w:lang w:eastAsia="es-CO"/>
        </w:rPr>
      </w:pPr>
      <w:r w:rsidRPr="006F7426">
        <w:rPr>
          <w:rFonts w:ascii="Century Gothic" w:hAnsi="Century Gothic" w:cs="Arial"/>
          <w:sz w:val="21"/>
          <w:szCs w:val="21"/>
          <w:lang w:eastAsia="es-CO"/>
        </w:rPr>
        <w:t>Los recursos generados en desarrollo de los contratos o convenios financiados con fondos de los organismos de cooperación, asistencia o ayudas internacionales no deben ser tenidos en cuenta para determinar los porcentajes de los aportes de las partes.</w:t>
      </w:r>
    </w:p>
    <w:p w14:paraId="36CE5D6D" w14:textId="77777777" w:rsidR="00A8598A" w:rsidRPr="006F7426" w:rsidRDefault="00A8598A" w:rsidP="00A8598A">
      <w:pPr>
        <w:spacing w:after="120" w:line="240" w:lineRule="auto"/>
        <w:ind w:left="709" w:right="709"/>
        <w:jc w:val="both"/>
        <w:rPr>
          <w:rFonts w:ascii="Century Gothic" w:hAnsi="Century Gothic" w:cs="Arial"/>
          <w:sz w:val="21"/>
          <w:szCs w:val="21"/>
          <w:lang w:eastAsia="es-CO"/>
        </w:rPr>
      </w:pPr>
      <w:r w:rsidRPr="006F7426">
        <w:rPr>
          <w:rFonts w:ascii="Century Gothic" w:hAnsi="Century Gothic" w:cs="Arial"/>
          <w:sz w:val="21"/>
          <w:szCs w:val="21"/>
          <w:lang w:eastAsia="es-CO"/>
        </w:rPr>
        <w:t>Los contratos o convenios financiados con fondos de los organismos multilaterales de crédito, entes gubernamentales extranjeros o personas extranjeras de derecho público, así como aquellos a los que se refiere el inciso 2 del artículo 20 de la </w:t>
      </w:r>
      <w:hyperlink r:id="rId11" w:history="1">
        <w:r w:rsidRPr="006F7426">
          <w:rPr>
            <w:rFonts w:ascii="Century Gothic" w:hAnsi="Century Gothic" w:cs="Arial"/>
            <w:sz w:val="21"/>
            <w:szCs w:val="21"/>
            <w:lang w:eastAsia="es-CO"/>
          </w:rPr>
          <w:t>Ley 1150 de 2007</w:t>
        </w:r>
      </w:hyperlink>
      <w:r w:rsidRPr="006F7426">
        <w:rPr>
          <w:rFonts w:ascii="Century Gothic" w:hAnsi="Century Gothic" w:cs="Arial"/>
          <w:sz w:val="21"/>
          <w:szCs w:val="21"/>
          <w:lang w:eastAsia="es-CO"/>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12" w:history="1">
        <w:r w:rsidRPr="006F7426">
          <w:rPr>
            <w:rFonts w:ascii="Century Gothic" w:hAnsi="Century Gothic" w:cs="Arial"/>
            <w:sz w:val="21"/>
            <w:szCs w:val="21"/>
            <w:lang w:eastAsia="es-CO"/>
          </w:rPr>
          <w:t> Ley 1150 de 2007</w:t>
        </w:r>
      </w:hyperlink>
      <w:r w:rsidRPr="006F7426">
        <w:rPr>
          <w:rFonts w:ascii="Century Gothic" w:hAnsi="Century Gothic" w:cs="Arial"/>
          <w:sz w:val="21"/>
          <w:szCs w:val="21"/>
          <w:lang w:eastAsia="es-CO"/>
        </w:rPr>
        <w:t>.</w:t>
      </w:r>
    </w:p>
    <w:p w14:paraId="25E2F19F" w14:textId="3A5A62E2" w:rsidR="00A8598A" w:rsidRPr="006F7426" w:rsidRDefault="00A8598A" w:rsidP="00A8598A">
      <w:pPr>
        <w:spacing w:after="0" w:line="240" w:lineRule="auto"/>
        <w:ind w:left="709" w:right="709"/>
        <w:jc w:val="both"/>
        <w:rPr>
          <w:rFonts w:ascii="Century Gothic" w:hAnsi="Century Gothic" w:cs="Arial"/>
          <w:sz w:val="21"/>
          <w:szCs w:val="21"/>
          <w:lang w:eastAsia="es-CO"/>
        </w:rPr>
      </w:pPr>
      <w:r w:rsidRPr="006F7426">
        <w:rPr>
          <w:rFonts w:ascii="Century Gothic" w:hAnsi="Century Gothic" w:cs="Arial"/>
          <w:sz w:val="21"/>
          <w:szCs w:val="21"/>
          <w:lang w:eastAsia="es-CO"/>
        </w:rPr>
        <w:t>Los contratos con personas extranjeras de derecho público se deben celebrar y ejecutar según se acuerde entre las partes</w:t>
      </w:r>
      <w:r w:rsidR="003E38EB">
        <w:rPr>
          <w:rFonts w:ascii="Century Gothic" w:hAnsi="Century Gothic" w:cs="Arial"/>
          <w:sz w:val="21"/>
          <w:szCs w:val="21"/>
          <w:lang w:eastAsia="es-CO"/>
        </w:rPr>
        <w:t>”</w:t>
      </w:r>
      <w:r w:rsidRPr="006F7426">
        <w:rPr>
          <w:rFonts w:ascii="Century Gothic" w:hAnsi="Century Gothic" w:cs="Arial"/>
          <w:sz w:val="21"/>
          <w:szCs w:val="21"/>
          <w:lang w:eastAsia="es-CO"/>
        </w:rPr>
        <w:t>.</w:t>
      </w:r>
    </w:p>
    <w:p w14:paraId="0E5C1E22" w14:textId="77777777" w:rsidR="00A8598A" w:rsidRPr="006F7426" w:rsidRDefault="00A8598A" w:rsidP="00A8598A">
      <w:pPr>
        <w:spacing w:after="0" w:line="240" w:lineRule="auto"/>
        <w:ind w:left="709" w:right="709"/>
        <w:jc w:val="both"/>
        <w:rPr>
          <w:rFonts w:ascii="Century Gothic" w:hAnsi="Century Gothic" w:cs="Arial"/>
          <w:sz w:val="21"/>
          <w:szCs w:val="21"/>
          <w:lang w:eastAsia="es-CO"/>
        </w:rPr>
      </w:pPr>
    </w:p>
    <w:p w14:paraId="7EFCA8C2" w14:textId="11377829"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 xml:space="preserve">Se observa que la norma transcrita, en armonía con el inciso primero del artículo 20 de la Ley 1150 de 2007, estableció una posible exclusión de la aplicación de la Ley 80 de 1993 en relación con contratos financiados con recursos de organismos de cooperación, asistencia o ayudas internacionales, cuando se financien en más del 50% con fondos del organismo correspondiente. El criterio que permite establecer la procedencia de la aplicación de las reglas contractuales de los organismos internacionales es el porcentaje de financiación de la fuente de recurso de los organismos internacionales. Sin embargo, aunque esta redacción parece clara, al momento de aplicar la regla precedente surge un interrogante en relación con el alcance del término </w:t>
      </w:r>
      <w:r w:rsidR="003E38EB">
        <w:rPr>
          <w:rFonts w:ascii="Century Gothic" w:eastAsia="Calibri" w:hAnsi="Century Gothic" w:cs="Arial"/>
          <w:lang w:val="es-ES"/>
        </w:rPr>
        <w:t>“</w:t>
      </w:r>
      <w:r w:rsidRPr="006F7426">
        <w:rPr>
          <w:rFonts w:ascii="Century Gothic" w:eastAsia="Calibri" w:hAnsi="Century Gothic" w:cs="Arial"/>
          <w:lang w:val="es-ES"/>
        </w:rPr>
        <w:t>fondo</w:t>
      </w:r>
      <w:r w:rsidR="003E38EB">
        <w:rPr>
          <w:rFonts w:ascii="Century Gothic" w:eastAsia="Calibri" w:hAnsi="Century Gothic" w:cs="Arial"/>
          <w:lang w:val="es-ES"/>
        </w:rPr>
        <w:t>”</w:t>
      </w:r>
      <w:r w:rsidRPr="006F7426">
        <w:rPr>
          <w:rFonts w:ascii="Century Gothic" w:eastAsia="Calibri" w:hAnsi="Century Gothic" w:cs="Arial"/>
          <w:lang w:val="es-ES"/>
        </w:rPr>
        <w:t xml:space="preserve"> que se emplea como criterio para habilitar la posible aplicación de las normas de los organismos referidos, pues el artículo 20 de la Ley 1150 de 2007 ni en el artículo 2.2.1.2.4.4.1 del Decreto 1082 de 2015, define de forma clara qué entender por fondos y que tipo de bienes los conforman. </w:t>
      </w:r>
    </w:p>
    <w:p w14:paraId="3DE31356" w14:textId="1E08CF2E"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 xml:space="preserve">Teniendo en cuenta lo anterior, </w:t>
      </w:r>
      <w:bookmarkStart w:id="12" w:name="_Hlk109120820"/>
      <w:r w:rsidRPr="006F7426">
        <w:rPr>
          <w:rFonts w:ascii="Century Gothic" w:eastAsia="Calibri" w:hAnsi="Century Gothic" w:cs="Arial"/>
          <w:lang w:val="es-ES"/>
        </w:rPr>
        <w:t>partiendo de la aplicación del artículo 27 del Código Civil</w:t>
      </w:r>
      <w:r w:rsidRPr="006F7426">
        <w:rPr>
          <w:rStyle w:val="Refdenotaalpie"/>
          <w:rFonts w:ascii="Century Gothic" w:eastAsia="Calibri" w:hAnsi="Century Gothic" w:cs="Arial"/>
          <w:lang w:val="es-ES"/>
        </w:rPr>
        <w:footnoteReference w:id="8"/>
      </w:r>
      <w:r w:rsidRPr="006F7426">
        <w:rPr>
          <w:rFonts w:ascii="Century Gothic" w:eastAsia="Calibri" w:hAnsi="Century Gothic" w:cs="Arial"/>
          <w:lang w:val="es-ES"/>
        </w:rPr>
        <w:t xml:space="preserve">, que establece la interpretación gramatical como uno de los criterios de interpretación de la ley, en virtud del cual </w:t>
      </w:r>
      <w:r w:rsidR="003E38EB">
        <w:rPr>
          <w:rFonts w:ascii="Century Gothic" w:eastAsia="Calibri" w:hAnsi="Century Gothic" w:cs="Arial"/>
          <w:lang w:val="es-ES"/>
        </w:rPr>
        <w:t>“</w:t>
      </w:r>
      <w:r w:rsidRPr="006F7426">
        <w:rPr>
          <w:rFonts w:ascii="Century Gothic" w:eastAsia="Calibri" w:hAnsi="Century Gothic" w:cs="Arial"/>
          <w:lang w:val="es-ES"/>
        </w:rPr>
        <w:t>cuando el sentido de la ley no sea claro, no se desatenderá su tenor literal a pretexto de consultar su espíritu</w:t>
      </w:r>
      <w:r w:rsidR="003E38EB">
        <w:rPr>
          <w:rFonts w:ascii="Century Gothic" w:eastAsia="Calibri" w:hAnsi="Century Gothic" w:cs="Arial"/>
          <w:lang w:val="es-ES"/>
        </w:rPr>
        <w:t>”</w:t>
      </w:r>
      <w:r w:rsidRPr="006F7426">
        <w:rPr>
          <w:rFonts w:ascii="Century Gothic" w:eastAsia="Calibri" w:hAnsi="Century Gothic" w:cs="Arial"/>
          <w:lang w:val="es-ES"/>
        </w:rPr>
        <w:t xml:space="preserve">, el término </w:t>
      </w:r>
      <w:r w:rsidR="003E38EB">
        <w:rPr>
          <w:rFonts w:ascii="Century Gothic" w:eastAsia="Calibri" w:hAnsi="Century Gothic" w:cs="Arial"/>
          <w:lang w:val="es-ES"/>
        </w:rPr>
        <w:t>“</w:t>
      </w:r>
      <w:r w:rsidRPr="006F7426">
        <w:rPr>
          <w:rFonts w:ascii="Century Gothic" w:eastAsia="Calibri" w:hAnsi="Century Gothic" w:cs="Arial"/>
          <w:lang w:val="es-ES"/>
        </w:rPr>
        <w:t>fondo</w:t>
      </w:r>
      <w:r w:rsidR="003E38EB">
        <w:rPr>
          <w:rFonts w:ascii="Century Gothic" w:eastAsia="Calibri" w:hAnsi="Century Gothic" w:cs="Arial"/>
          <w:lang w:val="es-ES"/>
        </w:rPr>
        <w:t>”</w:t>
      </w:r>
      <w:r w:rsidRPr="006F7426">
        <w:rPr>
          <w:rFonts w:ascii="Century Gothic" w:eastAsia="Calibri" w:hAnsi="Century Gothic" w:cs="Arial"/>
          <w:lang w:val="es-ES"/>
        </w:rPr>
        <w:t xml:space="preserve"> es definido en el Diccionario de la Lengua Española como </w:t>
      </w:r>
      <w:r w:rsidR="003E38EB">
        <w:rPr>
          <w:rFonts w:ascii="Century Gothic" w:eastAsia="Calibri" w:hAnsi="Century Gothic" w:cs="Arial"/>
          <w:lang w:val="es-ES"/>
        </w:rPr>
        <w:t>“</w:t>
      </w:r>
      <w:r w:rsidRPr="006F7426">
        <w:rPr>
          <w:rFonts w:ascii="Century Gothic" w:eastAsia="Calibri" w:hAnsi="Century Gothic" w:cs="Arial"/>
          <w:lang w:val="es-ES"/>
        </w:rPr>
        <w:t>7. Caudal o conjunto de bienes que posee una persona o comunidad</w:t>
      </w:r>
      <w:r w:rsidR="003E38EB">
        <w:rPr>
          <w:rFonts w:ascii="Century Gothic" w:eastAsia="Calibri" w:hAnsi="Century Gothic" w:cs="Arial"/>
          <w:lang w:val="es-ES"/>
        </w:rPr>
        <w:t>”</w:t>
      </w:r>
      <w:r w:rsidRPr="006F7426">
        <w:rPr>
          <w:rFonts w:ascii="Century Gothic" w:eastAsia="Calibri" w:hAnsi="Century Gothic" w:cs="Arial"/>
          <w:lang w:val="es-ES"/>
        </w:rPr>
        <w:t xml:space="preserve"> o </w:t>
      </w:r>
      <w:r w:rsidR="003E38EB">
        <w:rPr>
          <w:rFonts w:ascii="Century Gothic" w:eastAsia="Calibri" w:hAnsi="Century Gothic" w:cs="Arial"/>
          <w:lang w:val="es-ES"/>
        </w:rPr>
        <w:t>“</w:t>
      </w:r>
      <w:r w:rsidRPr="006F7426">
        <w:rPr>
          <w:rFonts w:ascii="Century Gothic" w:eastAsia="Calibri" w:hAnsi="Century Gothic" w:cs="Arial"/>
          <w:lang w:val="es-ES"/>
        </w:rPr>
        <w:t>23. m. Der. Conjunto de recursos destinado a un objeto determinado</w:t>
      </w:r>
      <w:r w:rsidR="003E38EB">
        <w:rPr>
          <w:rFonts w:ascii="Century Gothic" w:eastAsia="Calibri" w:hAnsi="Century Gothic" w:cs="Arial"/>
          <w:lang w:val="es-ES"/>
        </w:rPr>
        <w:t>”</w:t>
      </w:r>
      <w:r w:rsidRPr="006F7426">
        <w:rPr>
          <w:rFonts w:ascii="Century Gothic" w:eastAsia="Calibri" w:hAnsi="Century Gothic" w:cs="Arial"/>
          <w:lang w:val="es-ES"/>
        </w:rPr>
        <w:t xml:space="preserve">. En este sentido, vale la pena resaltar que la definición se refiere a un </w:t>
      </w:r>
      <w:r w:rsidR="003E38EB">
        <w:rPr>
          <w:rFonts w:ascii="Century Gothic" w:eastAsia="Calibri" w:hAnsi="Century Gothic" w:cs="Arial"/>
          <w:lang w:val="es-ES"/>
        </w:rPr>
        <w:t>“</w:t>
      </w:r>
      <w:r w:rsidRPr="006F7426">
        <w:rPr>
          <w:rFonts w:ascii="Century Gothic" w:eastAsia="Calibri" w:hAnsi="Century Gothic" w:cs="Arial"/>
          <w:i/>
          <w:iCs/>
          <w:lang w:val="es-ES"/>
        </w:rPr>
        <w:t>conjunto</w:t>
      </w:r>
      <w:r w:rsidRPr="006F7426">
        <w:rPr>
          <w:rFonts w:ascii="Century Gothic" w:eastAsia="Calibri" w:hAnsi="Century Gothic" w:cs="Arial"/>
          <w:lang w:val="es-ES"/>
        </w:rPr>
        <w:t xml:space="preserve"> </w:t>
      </w:r>
      <w:r w:rsidRPr="006F7426">
        <w:rPr>
          <w:rFonts w:ascii="Century Gothic" w:eastAsia="Calibri" w:hAnsi="Century Gothic" w:cs="Arial"/>
          <w:i/>
          <w:iCs/>
          <w:lang w:val="es-ES"/>
        </w:rPr>
        <w:t>de bienes</w:t>
      </w:r>
      <w:r w:rsidR="003E38EB">
        <w:rPr>
          <w:rFonts w:ascii="Century Gothic" w:eastAsia="Calibri" w:hAnsi="Century Gothic" w:cs="Arial"/>
          <w:lang w:val="es-ES"/>
        </w:rPr>
        <w:t>”</w:t>
      </w:r>
      <w:r w:rsidRPr="006F7426">
        <w:rPr>
          <w:rFonts w:ascii="Century Gothic" w:eastAsia="Calibri" w:hAnsi="Century Gothic" w:cs="Arial"/>
          <w:lang w:val="es-ES"/>
        </w:rPr>
        <w:t xml:space="preserve"> o </w:t>
      </w:r>
      <w:r w:rsidR="003E38EB">
        <w:rPr>
          <w:rFonts w:ascii="Century Gothic" w:eastAsia="Calibri" w:hAnsi="Century Gothic" w:cs="Arial"/>
          <w:lang w:val="es-ES"/>
        </w:rPr>
        <w:t>“</w:t>
      </w:r>
      <w:r w:rsidRPr="006F7426">
        <w:rPr>
          <w:rFonts w:ascii="Century Gothic" w:eastAsia="Calibri" w:hAnsi="Century Gothic" w:cs="Arial"/>
          <w:i/>
          <w:iCs/>
          <w:lang w:val="es-ES"/>
        </w:rPr>
        <w:t>conjunto de recursos</w:t>
      </w:r>
      <w:r w:rsidR="003E38EB">
        <w:rPr>
          <w:rFonts w:ascii="Century Gothic" w:eastAsia="Calibri" w:hAnsi="Century Gothic" w:cs="Arial"/>
          <w:i/>
          <w:iCs/>
          <w:lang w:val="es-ES"/>
        </w:rPr>
        <w:t>”</w:t>
      </w:r>
      <w:r w:rsidRPr="006F7426">
        <w:rPr>
          <w:rFonts w:ascii="Century Gothic" w:eastAsia="Calibri" w:hAnsi="Century Gothic" w:cs="Arial"/>
          <w:lang w:val="es-ES"/>
        </w:rPr>
        <w:t>, lo que permite inferir que los fondos se componen por una universalidad o pluralidad de bienes, y en relación con la composición del conjunto de bienes, la definición es genérica pues no establece ninguna particularidad en relación con la naturaleza de los mismos. De manera que, para efectos del artículo 20 de la Ley 1150 de 2007, esta Agencia considera que los fondos de organismos internacionales son el conjunto de bienes o recursos de titularidad de estos organismos.</w:t>
      </w:r>
      <w:bookmarkEnd w:id="12"/>
      <w:r w:rsidRPr="006F7426">
        <w:rPr>
          <w:rFonts w:ascii="Century Gothic" w:eastAsia="Calibri" w:hAnsi="Century Gothic" w:cs="Arial"/>
          <w:lang w:val="es-ES"/>
        </w:rPr>
        <w:t xml:space="preserve">  </w:t>
      </w:r>
    </w:p>
    <w:p w14:paraId="4B69A3A2" w14:textId="7AD57C8F"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 xml:space="preserve">Aplicadas estas precisiones al término </w:t>
      </w:r>
      <w:r w:rsidR="003E38EB">
        <w:rPr>
          <w:rFonts w:ascii="Century Gothic" w:eastAsia="Calibri" w:hAnsi="Century Gothic" w:cs="Arial"/>
          <w:lang w:val="es-ES"/>
        </w:rPr>
        <w:t>“</w:t>
      </w:r>
      <w:r w:rsidRPr="006F7426">
        <w:rPr>
          <w:rFonts w:ascii="Century Gothic" w:eastAsia="Calibri" w:hAnsi="Century Gothic" w:cs="Arial"/>
          <w:lang w:val="es-ES"/>
        </w:rPr>
        <w:t>fondos</w:t>
      </w:r>
      <w:r w:rsidR="003E38EB">
        <w:rPr>
          <w:rFonts w:ascii="Century Gothic" w:eastAsia="Calibri" w:hAnsi="Century Gothic" w:cs="Arial"/>
          <w:lang w:val="es-ES"/>
        </w:rPr>
        <w:t>”</w:t>
      </w:r>
      <w:r w:rsidRPr="006F7426">
        <w:rPr>
          <w:rFonts w:ascii="Century Gothic" w:eastAsia="Calibri" w:hAnsi="Century Gothic" w:cs="Arial"/>
          <w:lang w:val="es-ES"/>
        </w:rPr>
        <w:t xml:space="preserve"> utilizado en el artículo 20 de la Ley 1150 de 2007 y el artículo </w:t>
      </w:r>
      <w:r w:rsidRPr="006F7426">
        <w:rPr>
          <w:rFonts w:ascii="Century Gothic" w:hAnsi="Century Gothic" w:cs="Arial"/>
          <w:lang w:eastAsia="es-CO"/>
        </w:rPr>
        <w:t>2.2.1.2.4.4.1.</w:t>
      </w:r>
      <w:r w:rsidR="003D3B1B">
        <w:rPr>
          <w:rFonts w:ascii="Century Gothic" w:hAnsi="Century Gothic" w:cs="Arial"/>
          <w:lang w:eastAsia="es-CO"/>
        </w:rPr>
        <w:t xml:space="preserve"> </w:t>
      </w:r>
      <w:r w:rsidRPr="006F7426">
        <w:rPr>
          <w:rFonts w:ascii="Century Gothic" w:hAnsi="Century Gothic" w:cs="Arial"/>
          <w:lang w:eastAsia="es-CO"/>
        </w:rPr>
        <w:t xml:space="preserve">del Decreto 1082 de 2015, </w:t>
      </w:r>
      <w:r w:rsidRPr="006F7426">
        <w:rPr>
          <w:rFonts w:ascii="Century Gothic" w:eastAsia="Calibri" w:hAnsi="Century Gothic" w:cs="Arial"/>
          <w:lang w:val="es-ES"/>
        </w:rPr>
        <w:t>surge el interrogante del tipo de bienes que, conforme con lo preceptuado en estas disposiciones, componen la universalidad de bienes que conforman dicho caudal. Al respecto es importante enfatizar en que estas normas no determinan con alto grado de precisión la naturaleza de los bienes que componen los fondos, por lo cual, admiten dos interpretaciones, la primera, que se conforman por sumas dinerarias únicamente, y una segunda, que además de sumas líquidas de dinero también incluyen aportes en especie.</w:t>
      </w:r>
    </w:p>
    <w:p w14:paraId="2EB74C14" w14:textId="6B657CF3" w:rsidR="00A8598A" w:rsidRPr="006F7426" w:rsidRDefault="00A8598A" w:rsidP="00A8598A">
      <w:pPr>
        <w:spacing w:after="120" w:line="276" w:lineRule="auto"/>
        <w:ind w:firstLine="709"/>
        <w:jc w:val="both"/>
        <w:rPr>
          <w:rFonts w:ascii="Century Gothic" w:hAnsi="Century Gothic" w:cs="Arial"/>
          <w:lang w:eastAsia="es-CO"/>
        </w:rPr>
      </w:pPr>
      <w:r w:rsidRPr="006F7426">
        <w:rPr>
          <w:rFonts w:ascii="Century Gothic" w:hAnsi="Century Gothic" w:cs="Arial"/>
          <w:lang w:eastAsia="es-CO"/>
        </w:rPr>
        <w:t xml:space="preserve">La Agencia Nacional de Contratación Pública – Colombia Compra Eficiente, dada la dualidad de interpretaciones señaladas precedentemente, considera más adecuada la tesis según la cual es admisible que los aportes con que se financien los convenios o contratos con fondos de organismos internacionales de que trata el artículo 20 de la Ley 1150 de 2007 y el </w:t>
      </w:r>
      <w:r w:rsidRPr="006F7426">
        <w:rPr>
          <w:rFonts w:ascii="Century Gothic" w:eastAsia="Calibri" w:hAnsi="Century Gothic" w:cs="Arial"/>
          <w:lang w:val="es-ES"/>
        </w:rPr>
        <w:t xml:space="preserve">artículo </w:t>
      </w:r>
      <w:r w:rsidRPr="006F7426">
        <w:rPr>
          <w:rFonts w:ascii="Century Gothic" w:hAnsi="Century Gothic" w:cs="Arial"/>
          <w:lang w:eastAsia="es-CO"/>
        </w:rPr>
        <w:t>2.2.1.2.4.4.1.</w:t>
      </w:r>
      <w:r w:rsidR="00FA1178">
        <w:rPr>
          <w:rFonts w:ascii="Century Gothic" w:hAnsi="Century Gothic" w:cs="Arial"/>
          <w:lang w:eastAsia="es-CO"/>
        </w:rPr>
        <w:t xml:space="preserve"> </w:t>
      </w:r>
      <w:r w:rsidRPr="006F7426">
        <w:rPr>
          <w:rFonts w:ascii="Century Gothic" w:hAnsi="Century Gothic" w:cs="Arial"/>
          <w:lang w:eastAsia="es-CO"/>
        </w:rPr>
        <w:t xml:space="preserve">del Decreto 1082 de 2015 se hagan en sumas de dinero o en especie. Lo anterior porque, en primer lugar, el parágrafo 3 del artículo 20 de la Ley 1150 de 2007 señala que </w:t>
      </w:r>
      <w:r w:rsidR="003E38EB">
        <w:rPr>
          <w:rFonts w:ascii="Century Gothic" w:eastAsia="Calibri" w:hAnsi="Century Gothic" w:cs="Arial"/>
          <w:lang w:val="es-ES"/>
        </w:rPr>
        <w:t>“</w:t>
      </w:r>
      <w:r w:rsidRPr="006F7426">
        <w:rPr>
          <w:rFonts w:ascii="Century Gothic" w:eastAsia="Calibri" w:hAnsi="Century Gothic" w:cs="Arial"/>
          <w:lang w:val="es-ES"/>
        </w:rPr>
        <w:t>en todo proyecto de cooperación que involucre recursos estatales se deberán cuantificar en moneda nacional, los aportes en especie de la entidad, organización o persona cooperante, así como los del ente nacional colombiano […]</w:t>
      </w:r>
      <w:r w:rsidR="003E38EB">
        <w:rPr>
          <w:rFonts w:ascii="Century Gothic" w:eastAsia="Calibri" w:hAnsi="Century Gothic" w:cs="Arial"/>
          <w:lang w:val="es-ES"/>
        </w:rPr>
        <w:t>”</w:t>
      </w:r>
      <w:r w:rsidRPr="006F7426">
        <w:rPr>
          <w:rFonts w:ascii="Century Gothic" w:eastAsia="Calibri" w:hAnsi="Century Gothic" w:cs="Arial"/>
          <w:lang w:val="es-ES"/>
        </w:rPr>
        <w:t>. De lo cual se infiere que los organismos internacionales pueden realizar aportes en especie, dado que la norma estableció el deber de cuantificarlos en moneda nacional, lo que además facilita definir el monto de los aportes.</w:t>
      </w:r>
    </w:p>
    <w:p w14:paraId="48EE6705" w14:textId="69C5A807" w:rsidR="00A8598A" w:rsidRPr="006F7426" w:rsidRDefault="00A8598A" w:rsidP="00A8598A">
      <w:pPr>
        <w:spacing w:after="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 xml:space="preserve">Además de lo anterior, la doctrina ha prohijado esta tesis, puesto que, a pesar de que no se define el alcance del término </w:t>
      </w:r>
      <w:r w:rsidR="003E38EB">
        <w:rPr>
          <w:rFonts w:ascii="Century Gothic" w:eastAsia="Calibri" w:hAnsi="Century Gothic" w:cs="Arial"/>
          <w:lang w:val="es-ES"/>
        </w:rPr>
        <w:t>“</w:t>
      </w:r>
      <w:r w:rsidRPr="006F7426">
        <w:rPr>
          <w:rFonts w:ascii="Century Gothic" w:eastAsia="Calibri" w:hAnsi="Century Gothic" w:cs="Arial"/>
          <w:lang w:val="es-ES"/>
        </w:rPr>
        <w:t>fondo</w:t>
      </w:r>
      <w:r w:rsidR="003E38EB">
        <w:rPr>
          <w:rFonts w:ascii="Century Gothic" w:eastAsia="Calibri" w:hAnsi="Century Gothic" w:cs="Arial"/>
          <w:lang w:val="es-ES"/>
        </w:rPr>
        <w:t>”</w:t>
      </w:r>
      <w:r w:rsidRPr="006F7426">
        <w:rPr>
          <w:rFonts w:ascii="Century Gothic" w:eastAsia="Calibri" w:hAnsi="Century Gothic" w:cs="Arial"/>
          <w:lang w:val="es-ES"/>
        </w:rPr>
        <w:t xml:space="preserve">, es clara en establecer que los aportes pueden ser en sumas de dinero o en especie, y en este último caso se debe cuantificar el valor de los aportes en especie en moneda colombiana. Puntualmente se señaló: </w:t>
      </w:r>
    </w:p>
    <w:p w14:paraId="7CF2F6CA" w14:textId="77777777" w:rsidR="00A8598A" w:rsidRPr="006F7426" w:rsidRDefault="00A8598A" w:rsidP="00A8598A">
      <w:pPr>
        <w:spacing w:after="0" w:line="276" w:lineRule="auto"/>
        <w:ind w:firstLine="709"/>
        <w:jc w:val="both"/>
        <w:rPr>
          <w:rFonts w:ascii="Century Gothic" w:eastAsia="Calibri" w:hAnsi="Century Gothic" w:cs="Arial"/>
          <w:lang w:val="es-ES"/>
        </w:rPr>
      </w:pPr>
    </w:p>
    <w:p w14:paraId="0FF2AAA2" w14:textId="5267E18C" w:rsidR="00A8598A" w:rsidRPr="006F7426" w:rsidRDefault="003E38EB" w:rsidP="00A8598A">
      <w:pPr>
        <w:spacing w:after="0" w:line="240" w:lineRule="auto"/>
        <w:ind w:left="709" w:right="709"/>
        <w:jc w:val="both"/>
        <w:rPr>
          <w:rFonts w:ascii="Century Gothic" w:eastAsia="Calibri" w:hAnsi="Century Gothic" w:cs="Arial"/>
          <w:sz w:val="21"/>
          <w:szCs w:val="21"/>
          <w:lang w:val="es-ES"/>
        </w:rPr>
      </w:pPr>
      <w:bookmarkStart w:id="14" w:name="_Hlk109121449"/>
      <w:r>
        <w:rPr>
          <w:rFonts w:ascii="Century Gothic" w:eastAsia="Calibri" w:hAnsi="Century Gothic" w:cs="Arial"/>
          <w:sz w:val="21"/>
          <w:szCs w:val="21"/>
          <w:lang w:val="es-ES"/>
        </w:rPr>
        <w:t>“</w:t>
      </w:r>
      <w:r w:rsidR="00A8598A" w:rsidRPr="006F7426">
        <w:rPr>
          <w:rFonts w:ascii="Century Gothic" w:eastAsia="Calibri" w:hAnsi="Century Gothic" w:cs="Arial"/>
          <w:sz w:val="21"/>
          <w:szCs w:val="21"/>
          <w:lang w:val="es-ES"/>
        </w:rPr>
        <w:t xml:space="preserve">La modificación insertada es muy clara en el sentido de que se admite contratar con organismos de cooperación, asistencia o ayudas internacionales de manera directa para que se ejecute un contrato no sometido a la Ley 80 sino a sus reglamentos internos, si y solo sí los recursos provenientes para su </w:t>
      </w:r>
      <w:proofErr w:type="gramStart"/>
      <w:r w:rsidR="00A8598A" w:rsidRPr="006F7426">
        <w:rPr>
          <w:rFonts w:ascii="Century Gothic" w:eastAsia="Calibri" w:hAnsi="Century Gothic" w:cs="Arial"/>
          <w:sz w:val="21"/>
          <w:szCs w:val="21"/>
          <w:lang w:val="es-ES"/>
        </w:rPr>
        <w:t>pago,</w:t>
      </w:r>
      <w:proofErr w:type="gramEnd"/>
      <w:r w:rsidR="00A8598A" w:rsidRPr="006F7426">
        <w:rPr>
          <w:rFonts w:ascii="Century Gothic" w:eastAsia="Calibri" w:hAnsi="Century Gothic" w:cs="Arial"/>
          <w:sz w:val="21"/>
          <w:szCs w:val="21"/>
          <w:lang w:val="es-ES"/>
        </w:rPr>
        <w:t xml:space="preserve"> sean del propio organismo en por lo menos más del 50% de su valor. </w:t>
      </w:r>
      <w:r w:rsidR="00A8598A" w:rsidRPr="006F7426">
        <w:rPr>
          <w:rFonts w:ascii="Century Gothic" w:eastAsia="Calibri" w:hAnsi="Century Gothic" w:cs="Arial"/>
          <w:i/>
          <w:iCs/>
          <w:sz w:val="21"/>
          <w:szCs w:val="21"/>
          <w:lang w:val="es-ES"/>
        </w:rPr>
        <w:t>Con tal fin, se deben cuantificar en moneda colombiana incluso los aportes que se hagan en especie</w:t>
      </w:r>
      <w:bookmarkEnd w:id="14"/>
      <w:r>
        <w:rPr>
          <w:rFonts w:ascii="Century Gothic" w:eastAsia="Calibri" w:hAnsi="Century Gothic" w:cs="Arial"/>
          <w:i/>
          <w:iCs/>
          <w:sz w:val="21"/>
          <w:szCs w:val="21"/>
          <w:lang w:val="es-ES"/>
        </w:rPr>
        <w:t>”</w:t>
      </w:r>
      <w:r w:rsidR="00A8598A" w:rsidRPr="006F7426">
        <w:rPr>
          <w:rStyle w:val="Refdenotaalpie"/>
          <w:rFonts w:ascii="Century Gothic" w:eastAsia="Calibri" w:hAnsi="Century Gothic" w:cs="Arial"/>
          <w:sz w:val="21"/>
          <w:szCs w:val="21"/>
          <w:lang w:val="es-ES"/>
        </w:rPr>
        <w:footnoteReference w:id="9"/>
      </w:r>
      <w:r w:rsidR="00A8598A" w:rsidRPr="006F7426">
        <w:rPr>
          <w:rFonts w:ascii="Century Gothic" w:eastAsia="Calibri" w:hAnsi="Century Gothic" w:cs="Arial"/>
          <w:sz w:val="21"/>
          <w:szCs w:val="21"/>
          <w:lang w:val="es-ES"/>
        </w:rPr>
        <w:t>.</w:t>
      </w:r>
    </w:p>
    <w:p w14:paraId="6B88B714" w14:textId="77777777" w:rsidR="00A8598A" w:rsidRPr="006F7426" w:rsidRDefault="00A8598A" w:rsidP="00A8598A">
      <w:pPr>
        <w:spacing w:after="0" w:line="240" w:lineRule="auto"/>
        <w:ind w:left="709" w:right="709"/>
        <w:jc w:val="both"/>
        <w:rPr>
          <w:rFonts w:ascii="Century Gothic" w:eastAsia="Calibri" w:hAnsi="Century Gothic" w:cs="Arial"/>
          <w:b/>
          <w:bCs/>
          <w:sz w:val="21"/>
          <w:szCs w:val="21"/>
          <w:lang w:val="es-ES"/>
        </w:rPr>
      </w:pPr>
    </w:p>
    <w:p w14:paraId="76E47D3D" w14:textId="3FDEE54D" w:rsidR="00A8598A" w:rsidRPr="006F7426" w:rsidRDefault="00A8598A" w:rsidP="00A8598A">
      <w:pPr>
        <w:spacing w:after="120" w:line="276" w:lineRule="auto"/>
        <w:ind w:firstLine="709"/>
        <w:jc w:val="both"/>
        <w:rPr>
          <w:rFonts w:ascii="Century Gothic" w:eastAsia="Calibri" w:hAnsi="Century Gothic" w:cs="Arial"/>
          <w:lang w:val="es-ES"/>
        </w:rPr>
      </w:pPr>
      <w:r w:rsidRPr="006F7426">
        <w:rPr>
          <w:rFonts w:ascii="Century Gothic" w:eastAsia="Calibri" w:hAnsi="Century Gothic" w:cs="Arial"/>
          <w:lang w:val="es-ES"/>
        </w:rPr>
        <w:t>En este sentido, los contratos o convenios financiados en sumas iguales o superiores al (50%) con fondos de los organismos de cooperación, asistencia o ayudas internacionales</w:t>
      </w:r>
      <w:r w:rsidRPr="006F7426" w:rsidDel="009D32C3">
        <w:rPr>
          <w:rFonts w:ascii="Century Gothic" w:eastAsia="Calibri" w:hAnsi="Century Gothic" w:cs="Arial"/>
          <w:lang w:val="es-ES"/>
        </w:rPr>
        <w:t xml:space="preserve"> </w:t>
      </w:r>
      <w:r w:rsidRPr="006F7426">
        <w:rPr>
          <w:rFonts w:ascii="Century Gothic" w:eastAsia="Calibri" w:hAnsi="Century Gothic" w:cs="Arial"/>
          <w:lang w:val="es-ES"/>
        </w:rPr>
        <w:t>de que trata el inciso primero del artículo 20 de la Ley 1150 de 2007 y el artículo 2.2.1.2.4.4.1. del Decreto 1082 de 2015, admiten la financiación de estos contratos o convenios con aportes en sumas de dinero o en especie. Además, en el segundo caso, deberán cuantificarse en moneda colombiana, a efectos de poder establecer el régimen jurídico aplicable. En todo caso, reiterando que cuando se cumple dicho presupuesto se activa la posibilidad de someterlos a los reglamentos de tales entidades; sin perjuicio de que se opte por que se rijan por la Ley</w:t>
      </w:r>
      <w:r w:rsidR="002027A4">
        <w:rPr>
          <w:rFonts w:ascii="Century Gothic" w:eastAsia="Calibri" w:hAnsi="Century Gothic" w:cs="Arial"/>
          <w:lang w:val="es-ES"/>
        </w:rPr>
        <w:t xml:space="preserve"> </w:t>
      </w:r>
      <w:r w:rsidRPr="006F7426">
        <w:rPr>
          <w:rFonts w:ascii="Century Gothic" w:eastAsia="Calibri" w:hAnsi="Century Gothic" w:cs="Arial"/>
          <w:lang w:val="es-ES"/>
        </w:rPr>
        <w:t>80 de 1993, bajo el entendido de que se trata de una decisión discrecional, como se explicó anteriormente.</w:t>
      </w:r>
    </w:p>
    <w:p w14:paraId="36A57A7B" w14:textId="77777777" w:rsidR="00A8598A" w:rsidRPr="006F7426" w:rsidRDefault="00A8598A" w:rsidP="00A8598A">
      <w:pPr>
        <w:spacing w:after="0" w:line="276" w:lineRule="auto"/>
        <w:ind w:firstLine="709"/>
        <w:jc w:val="both"/>
        <w:rPr>
          <w:rFonts w:ascii="Century Gothic" w:hAnsi="Century Gothic" w:cs="Arial"/>
        </w:rPr>
      </w:pPr>
      <w:r w:rsidRPr="006F7426">
        <w:rPr>
          <w:rFonts w:ascii="Century Gothic" w:hAnsi="Century Gothic" w:cs="Arial"/>
          <w:lang w:val="es-ES"/>
        </w:rPr>
        <w:t>De conformidad con lo expuesto, se concluye que</w:t>
      </w:r>
      <w:bookmarkStart w:id="15" w:name="_Hlk104224197"/>
      <w:r w:rsidRPr="006F7426">
        <w:rPr>
          <w:rFonts w:ascii="Century Gothic" w:hAnsi="Century Gothic" w:cs="Arial"/>
          <w:lang w:val="es-ES_tradnl"/>
        </w:rPr>
        <w:t xml:space="preserve"> los contratos o convenios financiados con fondos de organismos internacionales previstos en el inciso primero del artículo 20 de la Ley 1150 de 2007 puede ser financiados con aportes en sumas liquidas de dinero o en especie, pues el parágrafo 3 de la misma disposición así lo permite al establecer la obligación de cuantificar en moneda colombiana los aportes en especie realizados por estos organismos y, en caso de que supere el 50% de la totalidad del presupuesto de la contratación</w:t>
      </w:r>
      <w:bookmarkEnd w:id="15"/>
      <w:r w:rsidRPr="006F7426">
        <w:rPr>
          <w:rFonts w:ascii="Century Gothic" w:hAnsi="Century Gothic" w:cs="Arial"/>
          <w:lang w:val="es-ES_tradnl"/>
        </w:rPr>
        <w:t xml:space="preserve">, la entidad podrá someter el convenio o contrato a las reglas de contratación del referido organismo. </w:t>
      </w:r>
      <w:r w:rsidRPr="006F7426">
        <w:rPr>
          <w:rFonts w:ascii="Century Gothic" w:hAnsi="Century Gothic" w:cs="Arial"/>
        </w:rPr>
        <w:t xml:space="preserve"> </w:t>
      </w:r>
    </w:p>
    <w:p w14:paraId="05589B20" w14:textId="77777777" w:rsidR="00A8598A" w:rsidRPr="006F7426" w:rsidRDefault="00A8598A" w:rsidP="00A8598A">
      <w:pPr>
        <w:spacing w:after="0" w:line="276" w:lineRule="auto"/>
        <w:ind w:firstLine="709"/>
        <w:jc w:val="both"/>
        <w:rPr>
          <w:rFonts w:ascii="Century Gothic" w:hAnsi="Century Gothic" w:cs="Arial"/>
        </w:rPr>
      </w:pPr>
    </w:p>
    <w:p w14:paraId="3343D751" w14:textId="77777777" w:rsidR="00A8598A" w:rsidRPr="006F7426" w:rsidRDefault="00A8598A" w:rsidP="00A8598A">
      <w:pPr>
        <w:spacing w:after="0" w:line="276" w:lineRule="auto"/>
        <w:jc w:val="both"/>
        <w:rPr>
          <w:rFonts w:ascii="Century Gothic" w:hAnsi="Century Gothic" w:cs="Arial"/>
          <w:b/>
          <w:bCs/>
          <w:color w:val="000000" w:themeColor="text1"/>
          <w:lang w:val="es-ES_tradnl"/>
        </w:rPr>
      </w:pPr>
      <w:r w:rsidRPr="006F7426">
        <w:rPr>
          <w:rFonts w:ascii="Century Gothic" w:hAnsi="Century Gothic" w:cs="Arial"/>
          <w:b/>
          <w:bCs/>
        </w:rPr>
        <w:t xml:space="preserve">2.2.  </w:t>
      </w:r>
      <w:bookmarkStart w:id="16" w:name="_Hlk146180031"/>
      <w:r w:rsidRPr="006F7426">
        <w:rPr>
          <w:rFonts w:ascii="Century Gothic" w:hAnsi="Century Gothic" w:cs="Arial"/>
          <w:b/>
          <w:bCs/>
          <w:color w:val="000000" w:themeColor="text1"/>
          <w:lang w:val="es-ES_tradnl"/>
        </w:rPr>
        <w:t>Contratación financiada con recursos de organismos multilaterales de crédito y sujeción a los reglamentos internos de dichas instituciones</w:t>
      </w:r>
      <w:bookmarkEnd w:id="16"/>
    </w:p>
    <w:p w14:paraId="4CA81D36" w14:textId="77777777" w:rsidR="00A8598A" w:rsidRPr="006F7426" w:rsidRDefault="00A8598A" w:rsidP="00A8598A">
      <w:pPr>
        <w:spacing w:after="0" w:line="276" w:lineRule="auto"/>
        <w:jc w:val="both"/>
        <w:rPr>
          <w:rFonts w:ascii="Century Gothic" w:hAnsi="Century Gothic" w:cs="Arial"/>
          <w:b/>
          <w:bCs/>
        </w:rPr>
      </w:pPr>
    </w:p>
    <w:p w14:paraId="687571D6" w14:textId="77777777" w:rsidR="00A8598A" w:rsidRPr="006F7426" w:rsidRDefault="00A8598A" w:rsidP="00A8598A">
      <w:pPr>
        <w:spacing w:line="276" w:lineRule="auto"/>
        <w:jc w:val="both"/>
        <w:rPr>
          <w:rFonts w:ascii="Century Gothic" w:eastAsia="Calibri" w:hAnsi="Century Gothic" w:cs="Arial"/>
          <w:color w:val="000000" w:themeColor="text1"/>
          <w:lang w:val="es-ES_tradnl"/>
        </w:rPr>
      </w:pPr>
      <w:r w:rsidRPr="006F7426">
        <w:rPr>
          <w:rFonts w:ascii="Century Gothic" w:eastAsia="Calibri" w:hAnsi="Century Gothic" w:cs="Arial"/>
          <w:color w:val="000000" w:themeColor="text1"/>
          <w:lang w:val="es-ES_tradnl"/>
        </w:rPr>
        <w:t xml:space="preserve">La norma establece un segundo criterio, en el </w:t>
      </w:r>
      <w:r w:rsidRPr="006F7426">
        <w:rPr>
          <w:rFonts w:ascii="Century Gothic" w:eastAsia="Calibri" w:hAnsi="Century Gothic" w:cs="Arial"/>
          <w:i/>
          <w:iCs/>
          <w:color w:val="000000" w:themeColor="text1"/>
          <w:lang w:val="es-ES_tradnl"/>
        </w:rPr>
        <w:t>inciso segundo,</w:t>
      </w:r>
      <w:r w:rsidRPr="006F7426">
        <w:rPr>
          <w:rFonts w:ascii="Century Gothic" w:eastAsia="Calibri" w:hAnsi="Century Gothic" w:cs="Arial"/>
          <w:color w:val="000000" w:themeColor="text1"/>
          <w:lang w:val="es-ES_tradnl"/>
        </w:rPr>
        <w:t xml:space="preserve"> para determinar la posibilidad de aplicar los reglamentos de los organismos internacionales. Este segundo criterio depende del objeto del convenio o contrato a celebrar, de manera que en dichos casos se </w:t>
      </w:r>
      <w:r w:rsidRPr="006F7426">
        <w:rPr>
          <w:rFonts w:ascii="Century Gothic" w:eastAsia="Calibri" w:hAnsi="Century Gothic" w:cs="Arial"/>
          <w:i/>
          <w:iCs/>
          <w:color w:val="000000" w:themeColor="text1"/>
          <w:lang w:val="es-ES_tradnl"/>
        </w:rPr>
        <w:t>puede</w:t>
      </w:r>
      <w:r w:rsidRPr="006F7426">
        <w:rPr>
          <w:rFonts w:ascii="Century Gothic" w:eastAsia="Calibri" w:hAnsi="Century Gothic" w:cs="Arial"/>
          <w:color w:val="000000" w:themeColor="text1"/>
          <w:lang w:val="es-ES_tradnl"/>
        </w:rPr>
        <w:t xml:space="preserve"> pactar el sometimiento a los reglamentos de estas entidades. En tal sentido, los otros supuestos en que es posible someter el régimen contractual a los reglamentos de los organismos internacionales son los siguientes: </w:t>
      </w:r>
    </w:p>
    <w:p w14:paraId="7C9D1B0B" w14:textId="77777777" w:rsidR="00A8598A" w:rsidRPr="006F7426" w:rsidRDefault="00A8598A" w:rsidP="00A8598A">
      <w:pPr>
        <w:spacing w:before="120" w:after="120" w:line="276" w:lineRule="auto"/>
        <w:ind w:firstLine="709"/>
        <w:jc w:val="both"/>
        <w:rPr>
          <w:rFonts w:ascii="Century Gothic" w:eastAsia="Calibri" w:hAnsi="Century Gothic" w:cs="Arial"/>
          <w:color w:val="000000" w:themeColor="text1"/>
          <w:lang w:val="es-ES_tradnl"/>
        </w:rPr>
      </w:pPr>
      <w:r w:rsidRPr="006F7426">
        <w:rPr>
          <w:rFonts w:ascii="Century Gothic" w:eastAsia="Calibri" w:hAnsi="Century Gothic" w:cs="Arial"/>
          <w:color w:val="000000" w:themeColor="text1"/>
          <w:lang w:val="es-ES_tradnl"/>
        </w:rPr>
        <w:t xml:space="preserve">i) Desarrollo de programas de promoción, prevención y atención en salud. </w:t>
      </w:r>
    </w:p>
    <w:p w14:paraId="32238250"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proofErr w:type="spellStart"/>
      <w:r w:rsidRPr="006F7426">
        <w:rPr>
          <w:rFonts w:ascii="Century Gothic" w:hAnsi="Century Gothic" w:cs="Arial"/>
          <w:color w:val="000000" w:themeColor="text1"/>
          <w:lang w:val="es-ES_tradnl"/>
        </w:rPr>
        <w:t>ii</w:t>
      </w:r>
      <w:proofErr w:type="spellEnd"/>
      <w:r w:rsidRPr="006F7426">
        <w:rPr>
          <w:rFonts w:ascii="Century Gothic" w:hAnsi="Century Gothic" w:cs="Arial"/>
          <w:color w:val="000000" w:themeColor="text1"/>
          <w:lang w:val="es-ES_tradnl"/>
        </w:rPr>
        <w:t>) Contratos y convenios necesarios para la operación de la OIT.</w:t>
      </w:r>
    </w:p>
    <w:p w14:paraId="174B00B8"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proofErr w:type="spellStart"/>
      <w:r w:rsidRPr="006F7426">
        <w:rPr>
          <w:rFonts w:ascii="Century Gothic" w:hAnsi="Century Gothic" w:cs="Arial"/>
          <w:color w:val="000000" w:themeColor="text1"/>
          <w:lang w:val="es-ES_tradnl"/>
        </w:rPr>
        <w:t>iii</w:t>
      </w:r>
      <w:proofErr w:type="spellEnd"/>
      <w:r w:rsidRPr="006F7426">
        <w:rPr>
          <w:rFonts w:ascii="Century Gothic" w:hAnsi="Century Gothic" w:cs="Arial"/>
          <w:color w:val="000000" w:themeColor="text1"/>
          <w:lang w:val="es-ES_tradnl"/>
        </w:rPr>
        <w:t>) Contratos y convenios que se ejecuten en desarrollo del sistema integrado de monitoreo de cultivos ilícitos.</w:t>
      </w:r>
    </w:p>
    <w:p w14:paraId="33675B86"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proofErr w:type="spellStart"/>
      <w:r w:rsidRPr="006F7426">
        <w:rPr>
          <w:rFonts w:ascii="Century Gothic" w:hAnsi="Century Gothic" w:cs="Arial"/>
          <w:color w:val="000000" w:themeColor="text1"/>
          <w:lang w:val="es-ES_tradnl"/>
        </w:rPr>
        <w:t>iv</w:t>
      </w:r>
      <w:proofErr w:type="spellEnd"/>
      <w:r w:rsidRPr="006F7426">
        <w:rPr>
          <w:rFonts w:ascii="Century Gothic" w:hAnsi="Century Gothic" w:cs="Arial"/>
          <w:color w:val="000000" w:themeColor="text1"/>
          <w:lang w:val="es-ES_tradnl"/>
        </w:rPr>
        <w:t>) Contratos y convenios para la operación del programa mundial de alimentos.</w:t>
      </w:r>
    </w:p>
    <w:p w14:paraId="1F2F04DD"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v) Contratos y convenios para el desarrollo de programas de apoyo educativo a población desplazada y vulnerable adelantados por la Unesco y la OIM.</w:t>
      </w:r>
    </w:p>
    <w:p w14:paraId="69DA5C50"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vi) Los contratos o convenios financiados con fondos de los organismos multilaterales de crédito y entes gubernamentales extranjeros. </w:t>
      </w:r>
    </w:p>
    <w:p w14:paraId="79145495" w14:textId="77777777" w:rsidR="00A8598A" w:rsidRPr="006F7426" w:rsidRDefault="00A8598A" w:rsidP="00A8598A">
      <w:pPr>
        <w:spacing w:after="120" w:line="276" w:lineRule="auto"/>
        <w:ind w:firstLine="709"/>
        <w:jc w:val="both"/>
        <w:rPr>
          <w:rFonts w:ascii="Century Gothic" w:eastAsia="Calibri" w:hAnsi="Century Gothic" w:cs="Arial"/>
          <w:color w:val="000000" w:themeColor="text1"/>
          <w:lang w:val="es-ES_tradnl"/>
        </w:rPr>
      </w:pPr>
      <w:r w:rsidRPr="006F7426">
        <w:rPr>
          <w:rFonts w:ascii="Century Gothic" w:eastAsia="Calibri" w:hAnsi="Century Gothic" w:cs="Arial"/>
          <w:color w:val="000000" w:themeColor="text1"/>
          <w:lang w:val="es-ES_tradnl"/>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2 regímenes indicados. Al respecto, en el concepto C-374 del 27 de julio de 2020, esta Agencia – después de analizar el artículo 20 de la Ley 1150 de 2007– concluyó que:</w:t>
      </w:r>
    </w:p>
    <w:p w14:paraId="1BFDCB12" w14:textId="3F401594" w:rsidR="00A8598A" w:rsidRPr="006F7426" w:rsidRDefault="003E38EB" w:rsidP="00A8598A">
      <w:pPr>
        <w:spacing w:after="0" w:line="240" w:lineRule="auto"/>
        <w:ind w:left="709" w:right="709"/>
        <w:jc w:val="both"/>
        <w:rPr>
          <w:rFonts w:ascii="Century Gothic" w:eastAsia="Calibri" w:hAnsi="Century Gothic" w:cs="Arial"/>
          <w:color w:val="000000" w:themeColor="text1"/>
          <w:sz w:val="21"/>
          <w:szCs w:val="21"/>
          <w:lang w:val="es-ES_tradnl"/>
        </w:rPr>
      </w:pPr>
      <w:r>
        <w:rPr>
          <w:rFonts w:ascii="Century Gothic" w:eastAsia="Calibri" w:hAnsi="Century Gothic" w:cs="Arial"/>
          <w:color w:val="000000" w:themeColor="text1"/>
          <w:sz w:val="21"/>
          <w:szCs w:val="21"/>
          <w:lang w:val="es-ES_tradnl"/>
        </w:rPr>
        <w:t>“</w:t>
      </w:r>
      <w:r w:rsidR="00A8598A" w:rsidRPr="006F7426">
        <w:rPr>
          <w:rFonts w:ascii="Century Gothic" w:eastAsia="Calibri" w:hAnsi="Century Gothic" w:cs="Arial"/>
          <w:color w:val="000000" w:themeColor="text1"/>
          <w:sz w:val="21"/>
          <w:szCs w:val="21"/>
          <w:lang w:val="es-ES_tradnl"/>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Pr>
          <w:rFonts w:ascii="Century Gothic" w:eastAsia="Calibri" w:hAnsi="Century Gothic" w:cs="Arial"/>
          <w:color w:val="000000" w:themeColor="text1"/>
          <w:sz w:val="21"/>
          <w:szCs w:val="21"/>
          <w:lang w:val="es-ES_tradnl"/>
        </w:rPr>
        <w:t>”</w:t>
      </w:r>
      <w:r w:rsidR="00A8598A" w:rsidRPr="006F7426">
        <w:rPr>
          <w:rFonts w:ascii="Century Gothic" w:eastAsia="Calibri" w:hAnsi="Century Gothic" w:cs="Arial"/>
          <w:color w:val="000000" w:themeColor="text1"/>
          <w:sz w:val="21"/>
          <w:szCs w:val="21"/>
          <w:lang w:val="es-ES_tradnl"/>
        </w:rPr>
        <w:t>.</w:t>
      </w:r>
    </w:p>
    <w:p w14:paraId="72643D97" w14:textId="77777777" w:rsidR="00A8598A" w:rsidRPr="006F7426" w:rsidRDefault="00A8598A" w:rsidP="00A8598A">
      <w:pPr>
        <w:spacing w:after="0" w:line="240" w:lineRule="auto"/>
        <w:ind w:left="709" w:right="709"/>
        <w:jc w:val="both"/>
        <w:rPr>
          <w:rFonts w:ascii="Century Gothic" w:eastAsia="Calibri" w:hAnsi="Century Gothic" w:cs="Arial"/>
          <w:color w:val="000000" w:themeColor="text1"/>
          <w:sz w:val="21"/>
          <w:szCs w:val="21"/>
          <w:lang w:val="es-ES_tradnl"/>
        </w:rPr>
      </w:pPr>
    </w:p>
    <w:p w14:paraId="0A9BB1B6" w14:textId="4EEF8603" w:rsidR="00A8598A" w:rsidRPr="006F7426" w:rsidRDefault="00A8598A" w:rsidP="00A8598A">
      <w:pPr>
        <w:spacing w:line="276" w:lineRule="auto"/>
        <w:ind w:firstLine="70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El segundo inciso del artículo 20 de la Ley 1150 de 2007 establece que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los contratos o convenios financiados con fondos de los organismos multilaterales de crédito […], podrán someterse a los reglamentos de tales entidades</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Esto significa que, aunque no sea obligatorio, es posible que el régimen al que se vinculen las partes del contrato respectivo sean las directrices internas de dichos organismos, independientemente de la cuantía de los recursos provenientes de los fondos de los organismos multilaterales de crédito, pues el inciso al que se ha hecho referencia no condiciona la posibilidad de someterse a tales reglamentos a un porcentaje específico. Así lo reitera el inciso quinto del artículo 2.2.1.2.4.4.1. del Decreto 1082 de 2015, cuando establece:</w:t>
      </w:r>
    </w:p>
    <w:p w14:paraId="11FD3D4E" w14:textId="34847487" w:rsidR="00A8598A" w:rsidRPr="006F7426" w:rsidRDefault="003E38EB" w:rsidP="00A8598A">
      <w:pPr>
        <w:spacing w:after="0"/>
        <w:ind w:left="709" w:right="709"/>
        <w:jc w:val="both"/>
        <w:rPr>
          <w:rFonts w:ascii="Century Gothic" w:hAnsi="Century Gothic" w:cs="Arial"/>
          <w:color w:val="000000" w:themeColor="text1"/>
          <w:sz w:val="21"/>
          <w:szCs w:val="21"/>
          <w:lang w:val="es-ES_tradnl"/>
        </w:rPr>
      </w:pPr>
      <w:r>
        <w:rPr>
          <w:rFonts w:ascii="Century Gothic" w:hAnsi="Century Gothic" w:cs="Arial"/>
          <w:color w:val="000000" w:themeColor="text1"/>
          <w:sz w:val="21"/>
          <w:szCs w:val="21"/>
          <w:lang w:val="es-ES_tradnl"/>
        </w:rPr>
        <w:t>“</w:t>
      </w:r>
      <w:r w:rsidR="00A8598A" w:rsidRPr="006F7426">
        <w:rPr>
          <w:rFonts w:ascii="Century Gothic" w:hAnsi="Century Gothic" w:cs="Arial"/>
          <w:color w:val="000000" w:themeColor="text1"/>
          <w:sz w:val="21"/>
          <w:szCs w:val="21"/>
          <w:lang w:val="es-ES_tradnl"/>
        </w:rPr>
        <w:t>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2007</w:t>
      </w:r>
      <w:r>
        <w:rPr>
          <w:rFonts w:ascii="Century Gothic" w:hAnsi="Century Gothic" w:cs="Arial"/>
          <w:color w:val="000000" w:themeColor="text1"/>
          <w:sz w:val="21"/>
          <w:szCs w:val="21"/>
          <w:lang w:val="es-ES_tradnl"/>
        </w:rPr>
        <w:t>”</w:t>
      </w:r>
      <w:r w:rsidR="00A8598A" w:rsidRPr="006F7426">
        <w:rPr>
          <w:rFonts w:ascii="Century Gothic" w:hAnsi="Century Gothic" w:cs="Arial"/>
          <w:color w:val="000000" w:themeColor="text1"/>
          <w:sz w:val="21"/>
          <w:szCs w:val="21"/>
          <w:lang w:val="es-ES_tradnl"/>
        </w:rPr>
        <w:t>.</w:t>
      </w:r>
    </w:p>
    <w:p w14:paraId="3B2596ED" w14:textId="77777777" w:rsidR="00A8598A" w:rsidRPr="006F7426" w:rsidRDefault="00A8598A" w:rsidP="00A8598A">
      <w:pPr>
        <w:spacing w:after="0"/>
        <w:ind w:left="851" w:right="851"/>
        <w:jc w:val="both"/>
        <w:rPr>
          <w:rFonts w:ascii="Century Gothic" w:hAnsi="Century Gothic" w:cs="Arial"/>
          <w:color w:val="000000" w:themeColor="text1"/>
          <w:sz w:val="21"/>
          <w:szCs w:val="21"/>
          <w:lang w:val="es-ES_tradnl"/>
        </w:rPr>
      </w:pPr>
    </w:p>
    <w:p w14:paraId="2C1BE7C7" w14:textId="6F301A65" w:rsidR="00A8598A" w:rsidRPr="006F7426" w:rsidRDefault="00A8598A" w:rsidP="00A8598A">
      <w:pPr>
        <w:spacing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En concepto con radicado 4201714000006964 del 16 de julio de 2018, esta Subdirección ratificó dicha postura, indicando que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los contratos o convenios financiados con fondos de organismos multilaterales de crédito podrán someterse a sus reglamentos, sin que sea relevante el porcentaje del aporte realizado por ellos, serán sus reglamentos y políticas los encargados de establecer todo lo relacionado con procedimientos de selección, adjudicación, cláusulas especiales de ejecución, cumplimiento, pagos y ajustes, sin violar los fines estatales ni el deber de aplicar el Estatuto de la Contratación Pública</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w:t>
      </w:r>
    </w:p>
    <w:p w14:paraId="4597836D" w14:textId="544ACAE4"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Esta interpretación es acorde con lo expresado por la doctrina. En efecto, para José Luis Benavides, uno de los factores más influyentes en la regulación de los contratos públicos en la actualidad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proviene de la banca multilateral, en particular, para los países latinoamericanos, del Banco Mundial y del Banco Interamericano de Desarrollo</w:t>
      </w:r>
      <w:r w:rsidR="003E38EB">
        <w:rPr>
          <w:rFonts w:ascii="Century Gothic" w:hAnsi="Century Gothic" w:cs="Arial"/>
          <w:color w:val="000000" w:themeColor="text1"/>
          <w:lang w:val="es-ES_tradnl"/>
        </w:rPr>
        <w:t>”</w:t>
      </w:r>
      <w:r w:rsidRPr="006F7426">
        <w:rPr>
          <w:rStyle w:val="Refdenotaalpie"/>
          <w:rFonts w:ascii="Century Gothic" w:hAnsi="Century Gothic" w:cs="Arial"/>
          <w:color w:val="000000" w:themeColor="text1"/>
          <w:lang w:val="es-ES_tradnl"/>
        </w:rPr>
        <w:footnoteReference w:id="10"/>
      </w:r>
      <w:r w:rsidRPr="006F7426">
        <w:rPr>
          <w:rFonts w:ascii="Century Gothic" w:hAnsi="Century Gothic" w:cs="Arial"/>
          <w:color w:val="000000" w:themeColor="text1"/>
          <w:lang w:val="es-ES_tradnl"/>
        </w:rPr>
        <w:t>. Al respecto, el autor mencionado señala:</w:t>
      </w:r>
    </w:p>
    <w:p w14:paraId="6099C709" w14:textId="11DE5D99" w:rsidR="00A8598A" w:rsidRPr="006F7426" w:rsidRDefault="003E38EB" w:rsidP="00A8598A">
      <w:pPr>
        <w:ind w:left="709" w:right="709"/>
        <w:jc w:val="both"/>
        <w:rPr>
          <w:rFonts w:ascii="Century Gothic" w:hAnsi="Century Gothic" w:cs="Arial"/>
          <w:color w:val="000000" w:themeColor="text1"/>
          <w:sz w:val="21"/>
          <w:szCs w:val="21"/>
          <w:lang w:val="es-ES_tradnl"/>
        </w:rPr>
      </w:pPr>
      <w:r>
        <w:rPr>
          <w:rFonts w:ascii="Century Gothic" w:hAnsi="Century Gothic" w:cs="Arial"/>
          <w:color w:val="000000" w:themeColor="text1"/>
          <w:sz w:val="21"/>
          <w:szCs w:val="21"/>
          <w:lang w:val="es-ES_tradnl"/>
        </w:rPr>
        <w:t>“</w:t>
      </w:r>
      <w:r w:rsidR="00A8598A" w:rsidRPr="006F7426">
        <w:rPr>
          <w:rFonts w:ascii="Century Gothic" w:hAnsi="Century Gothic" w:cs="Arial"/>
          <w:color w:val="000000" w:themeColor="text1"/>
          <w:sz w:val="21"/>
          <w:szCs w:val="21"/>
          <w:lang w:val="es-ES_tradnl"/>
        </w:rPr>
        <w:t>[…], el Banco Interamericano de Desarrollo (BID) financia, como el Banco mundial, muchos proyectos gubernamentales que se desarrollan mediante la contratación pública. El BID impone igualmente sus reglamentos de contratación, ejerciendo una importante influencia sobre los regímenes internos de contratación, y también estuvo muy presente en los proyectos de participación privada en los proyectos de infraestructura bajo los distintos modelos de concesión, después de los años noventa</w:t>
      </w:r>
      <w:r>
        <w:rPr>
          <w:rFonts w:ascii="Century Gothic" w:hAnsi="Century Gothic" w:cs="Arial"/>
          <w:color w:val="000000" w:themeColor="text1"/>
          <w:sz w:val="21"/>
          <w:szCs w:val="21"/>
          <w:lang w:val="es-ES_tradnl"/>
        </w:rPr>
        <w:t>”</w:t>
      </w:r>
      <w:r w:rsidR="00A8598A" w:rsidRPr="006F7426">
        <w:rPr>
          <w:rStyle w:val="Refdenotaalpie"/>
          <w:rFonts w:ascii="Century Gothic" w:hAnsi="Century Gothic" w:cs="Arial"/>
          <w:color w:val="000000" w:themeColor="text1"/>
          <w:sz w:val="21"/>
          <w:szCs w:val="21"/>
          <w:lang w:val="es-ES_tradnl"/>
        </w:rPr>
        <w:footnoteReference w:id="11"/>
      </w:r>
      <w:r w:rsidR="00A8598A" w:rsidRPr="006F7426">
        <w:rPr>
          <w:rFonts w:ascii="Century Gothic" w:hAnsi="Century Gothic" w:cs="Arial"/>
          <w:color w:val="000000" w:themeColor="text1"/>
          <w:sz w:val="21"/>
          <w:szCs w:val="21"/>
          <w:lang w:val="es-ES_tradnl"/>
        </w:rPr>
        <w:t>.</w:t>
      </w:r>
    </w:p>
    <w:p w14:paraId="06758754" w14:textId="57152863" w:rsidR="00A8598A" w:rsidRPr="006F7426" w:rsidRDefault="00A8598A" w:rsidP="00A8598A">
      <w:pPr>
        <w:tabs>
          <w:tab w:val="left" w:pos="489"/>
        </w:tabs>
        <w:spacing w:after="120" w:line="276" w:lineRule="auto"/>
        <w:ind w:firstLine="48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ab/>
      </w:r>
      <w:r w:rsidRPr="006F7426">
        <w:rPr>
          <w:rFonts w:ascii="Century Gothic" w:hAnsi="Century Gothic" w:cs="Arial"/>
          <w:color w:val="000000" w:themeColor="text1"/>
          <w:lang w:val="es-ES_tradnl"/>
        </w:rPr>
        <w:tab/>
        <w:t xml:space="preserve">Por su parte, un sector de la doctrina explica que el segundo inciso del artículo 20 de la Ley 1150 de 2007 permite que las entidades estatales que en principio se encuentran sometidas al Estatuto General de Contratación de la Administración Pública se rijan por los reglamentos de los organismos multilaterales de créditos. En tal sentido, señala que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La excepción bajo análisis abarca la contratación que haga una entidad regida por las Leyes 80 de 1993 y 1150 de 2007 […], que va a pagar los contratos que celebre con recursos que haya obtenido de un crédito con un organismo multilateral de crédito</w:t>
      </w:r>
      <w:r w:rsidR="003E38EB">
        <w:rPr>
          <w:rFonts w:ascii="Century Gothic" w:hAnsi="Century Gothic" w:cs="Arial"/>
          <w:color w:val="000000" w:themeColor="text1"/>
          <w:lang w:val="es-ES_tradnl"/>
        </w:rPr>
        <w:t>”</w:t>
      </w:r>
      <w:r w:rsidRPr="006F7426">
        <w:rPr>
          <w:rStyle w:val="Refdenotaalpie"/>
          <w:rFonts w:ascii="Century Gothic" w:hAnsi="Century Gothic" w:cs="Arial"/>
          <w:color w:val="000000" w:themeColor="text1"/>
          <w:lang w:val="es-ES_tradnl"/>
        </w:rPr>
        <w:footnoteReference w:id="12"/>
      </w:r>
      <w:r w:rsidRPr="006F7426">
        <w:rPr>
          <w:rFonts w:ascii="Century Gothic" w:hAnsi="Century Gothic" w:cs="Arial"/>
          <w:color w:val="000000" w:themeColor="text1"/>
          <w:lang w:val="es-ES_tradnl"/>
        </w:rPr>
        <w:t>. Además, comenta que esta remisión efectuada por la Ley 1150 de 2007 a los reglamentos de dichos organismos es integral, en el sentido de que cuando las partes del contrato se someten a dicha normativa, las disposiciones reguladas en los reglamentos prevalecen sobre las del Estatuto General de Contratación de la Administración Pública</w:t>
      </w:r>
      <w:r w:rsidRPr="006F7426">
        <w:rPr>
          <w:rStyle w:val="Refdenotaalpie"/>
          <w:rFonts w:ascii="Century Gothic" w:hAnsi="Century Gothic" w:cs="Arial"/>
          <w:color w:val="000000" w:themeColor="text1"/>
          <w:lang w:val="es-ES_tradnl"/>
        </w:rPr>
        <w:footnoteReference w:id="13"/>
      </w:r>
      <w:r w:rsidRPr="006F7426">
        <w:rPr>
          <w:rFonts w:ascii="Century Gothic" w:hAnsi="Century Gothic" w:cs="Arial"/>
          <w:color w:val="000000" w:themeColor="text1"/>
          <w:lang w:val="es-ES_tradnl"/>
        </w:rPr>
        <w:t>.</w:t>
      </w:r>
    </w:p>
    <w:p w14:paraId="65D559EF" w14:textId="66C306B8" w:rsidR="00A8598A" w:rsidRPr="006F7426" w:rsidRDefault="00A8598A" w:rsidP="00A8598A">
      <w:pPr>
        <w:spacing w:before="120" w:after="120" w:line="276" w:lineRule="auto"/>
        <w:ind w:firstLine="70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En consecuencia, no cabe duda de que la banca multilateral ejerce una marcada influencia sobre la regulación de la contratación pública, puesto que las entidades estatales pueden someterse a los reglamentos de dichas instituciones. Dentro de los principales organismos multilaterales de crédito para los países de América Latina y del Caribe se encuentra el Banco Interamericano de Desarrollo –BID–. En efecto, el BID es un organismo que tiene dentro de sus fines promover el desarrollo de los países de la región, a través de la financiación de proyectos que permitan la integración comercial, la reducción de la pobreza, el crecimiento sostenible, entre otros objetivos. Bajo esta perspectiva,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xml:space="preserve">El BID financia programas de cooperación técnica para el fortalecimiento institucional, transferencia de conocimientos y estudios, incluyendo diagnósticos, estudios de </w:t>
      </w:r>
      <w:proofErr w:type="spellStart"/>
      <w:r w:rsidRPr="006F7426">
        <w:rPr>
          <w:rFonts w:ascii="Century Gothic" w:hAnsi="Century Gothic" w:cs="Arial"/>
          <w:color w:val="000000" w:themeColor="text1"/>
          <w:lang w:val="es-ES_tradnl"/>
        </w:rPr>
        <w:t>preinversión</w:t>
      </w:r>
      <w:proofErr w:type="spellEnd"/>
      <w:r w:rsidRPr="006F7426">
        <w:rPr>
          <w:rFonts w:ascii="Century Gothic" w:hAnsi="Century Gothic" w:cs="Arial"/>
          <w:color w:val="000000" w:themeColor="text1"/>
          <w:lang w:val="es-ES_tradnl"/>
        </w:rPr>
        <w:t xml:space="preserve"> y sectoriales que apoyan la formulación y preparación de proyectos. Los programas pueden ser destinados a proyectos específicos de un solo país o para el comercio, la integración o iniciativas regionales</w:t>
      </w:r>
      <w:r w:rsidR="003E38EB">
        <w:rPr>
          <w:rFonts w:ascii="Century Gothic" w:hAnsi="Century Gothic" w:cs="Arial"/>
          <w:color w:val="000000" w:themeColor="text1"/>
          <w:lang w:val="es-ES_tradnl"/>
        </w:rPr>
        <w:t>”</w:t>
      </w:r>
      <w:r w:rsidRPr="006F7426">
        <w:rPr>
          <w:rStyle w:val="Refdenotaalpie"/>
          <w:rFonts w:ascii="Century Gothic" w:hAnsi="Century Gothic" w:cs="Arial"/>
          <w:color w:val="000000" w:themeColor="text1"/>
          <w:lang w:val="es-ES_tradnl"/>
        </w:rPr>
        <w:footnoteReference w:id="14"/>
      </w:r>
      <w:r w:rsidRPr="006F7426">
        <w:rPr>
          <w:rFonts w:ascii="Century Gothic" w:hAnsi="Century Gothic" w:cs="Arial"/>
          <w:color w:val="000000" w:themeColor="text1"/>
          <w:lang w:val="es-ES_tradnl"/>
        </w:rPr>
        <w:t>.</w:t>
      </w:r>
    </w:p>
    <w:p w14:paraId="44E81D69" w14:textId="77777777" w:rsidR="00A8598A" w:rsidRPr="006F7426" w:rsidRDefault="00A8598A" w:rsidP="00A8598A">
      <w:pPr>
        <w:spacing w:before="120" w:after="120" w:line="276" w:lineRule="auto"/>
        <w:ind w:firstLine="70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El segundo inciso del artículo 20 de la Ley 1150 de 2007 permite que las entidades estatales celebren convenios con las personas extranjeras de derecho público u organismos de derecho internacional –para los objetos contractuales señalados en dicha norma–, pudiendo someterse en tales casos a los reglamentos de dichas instituciones. El legislador no distinguió los aspectos sobre los cuales es factible aplicar los reglamentos de estos organismos internacionales. En consecuencia, ante dicho silencio, debe entenderse que dentro de la remisión también cabe el procedimiento de celebración del contrato. Esto significa que las entidades estatales pueden contratar siguiendo los procedimientos establecidos en los reglamentos de los organismos internacionales a los que alude el citado artículo 20 y no los previstos en el Estatuto General de Contratación de la Administración Pública. </w:t>
      </w:r>
    </w:p>
    <w:p w14:paraId="17BD1B17" w14:textId="07759242" w:rsidR="00A8598A" w:rsidRPr="006F7426" w:rsidRDefault="00A8598A" w:rsidP="00A8598A">
      <w:pPr>
        <w:spacing w:before="120" w:after="120" w:line="276" w:lineRule="auto"/>
        <w:ind w:firstLine="70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Por otro lado, el mencionado artículo permite que las entidades estatales sujeten los contratos financiados con fondos de los organismos multilaterales de crédito los reglamentos de aquellos. De este modo, en sentencia del 26 de agosto de 2015, el Consejo de Estado señaló que para celebrar los contratos financiados con préstamos de organismos multilaterales de crédito las entidades estatales pueden acoger los documentos estándar de licitación de dichos organismos,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apartándose de la estructura del procedimiento licitatorio determinada en el artículo 30 de la Ley 80 de 1993 y en los decretos reglamentarios del referido procedimiento</w:t>
      </w:r>
      <w:r w:rsidR="003E38EB">
        <w:rPr>
          <w:rFonts w:ascii="Century Gothic" w:hAnsi="Century Gothic" w:cs="Arial"/>
          <w:color w:val="000000" w:themeColor="text1"/>
          <w:lang w:val="es-ES_tradnl"/>
        </w:rPr>
        <w:t>”</w:t>
      </w:r>
      <w:r w:rsidRPr="006F7426">
        <w:rPr>
          <w:rStyle w:val="Refdenotaalpie"/>
          <w:rFonts w:ascii="Century Gothic" w:hAnsi="Century Gothic" w:cs="Arial"/>
          <w:color w:val="000000" w:themeColor="text1"/>
          <w:lang w:val="es-ES_tradnl"/>
        </w:rPr>
        <w:footnoteReference w:id="15"/>
      </w:r>
      <w:r w:rsidRPr="006F7426">
        <w:rPr>
          <w:rFonts w:ascii="Century Gothic" w:hAnsi="Century Gothic" w:cs="Arial"/>
          <w:color w:val="000000" w:themeColor="text1"/>
          <w:lang w:val="es-ES_tradnl"/>
        </w:rPr>
        <w:t xml:space="preserve">, </w:t>
      </w:r>
      <w:r w:rsidR="003E38EB">
        <w:rPr>
          <w:rFonts w:ascii="Century Gothic" w:hAnsi="Century Gothic" w:cs="Arial"/>
          <w:color w:val="000000" w:themeColor="text1"/>
          <w:lang w:val="es-ES_tradnl"/>
        </w:rPr>
        <w:t>“</w:t>
      </w:r>
      <w:r w:rsidRPr="006F7426">
        <w:rPr>
          <w:rFonts w:ascii="Century Gothic" w:hAnsi="Century Gothic" w:cs="Arial"/>
          <w:color w:val="000000" w:themeColor="text1"/>
          <w:lang w:val="es-ES_tradnl"/>
        </w:rPr>
        <w:t>[…] pero las entidades estales contratantes no quedan eximidas de cumplir con los principios establecidos en la Constitución Política, en el estatuto de contratación nacional y en las normas legales de carácter imperativo, como por ejemplo, las establecidas para la ejecución del gasto que se encuentre a cargo de la respectiva entidad, según lo indicó la sentencia C- 249 de 2004 emanada de la Corte Constitucional</w:t>
      </w:r>
      <w:r w:rsidR="003E38EB">
        <w:rPr>
          <w:rFonts w:ascii="Century Gothic" w:hAnsi="Century Gothic" w:cs="Arial"/>
          <w:color w:val="000000" w:themeColor="text1"/>
          <w:lang w:val="es-ES_tradnl"/>
        </w:rPr>
        <w:t>”</w:t>
      </w:r>
      <w:r w:rsidRPr="006F7426">
        <w:rPr>
          <w:rStyle w:val="Refdenotaalpie"/>
          <w:rFonts w:ascii="Century Gothic" w:hAnsi="Century Gothic" w:cs="Arial"/>
          <w:color w:val="000000" w:themeColor="text1"/>
          <w:lang w:val="es-ES_tradnl"/>
        </w:rPr>
        <w:footnoteReference w:id="16"/>
      </w:r>
      <w:r w:rsidRPr="006F7426">
        <w:rPr>
          <w:rFonts w:ascii="Century Gothic" w:hAnsi="Century Gothic" w:cs="Arial"/>
          <w:color w:val="000000" w:themeColor="text1"/>
          <w:lang w:val="es-ES_tradnl"/>
        </w:rPr>
        <w:t>.</w:t>
      </w:r>
    </w:p>
    <w:p w14:paraId="4CC501F1" w14:textId="77777777" w:rsidR="00A8598A" w:rsidRPr="006F7426" w:rsidRDefault="00A8598A" w:rsidP="00A8598A">
      <w:pPr>
        <w:widowControl w:val="0"/>
        <w:spacing w:before="120" w:after="120" w:line="276" w:lineRule="auto"/>
        <w:ind w:firstLine="488"/>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Asimismo, la Sala de Consulta y Servicio Civil, en concepto del 25 de septiembre de 2018, explicó el alcance de la remisión a los reglamentos de los organismos multilaterales de crédito, en los siguientes términos:</w:t>
      </w:r>
    </w:p>
    <w:p w14:paraId="3CE86A6B" w14:textId="4287FB9F" w:rsidR="00A8598A" w:rsidRPr="006F7426" w:rsidRDefault="003E38EB"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r>
        <w:rPr>
          <w:rFonts w:ascii="Century Gothic" w:hAnsi="Century Gothic" w:cs="Arial"/>
          <w:bCs/>
          <w:color w:val="000000" w:themeColor="text1"/>
          <w:sz w:val="21"/>
          <w:szCs w:val="21"/>
          <w:lang w:val="es-ES_tradnl"/>
        </w:rPr>
        <w:t>“</w:t>
      </w:r>
      <w:r w:rsidR="00A8598A" w:rsidRPr="006F7426">
        <w:rPr>
          <w:rFonts w:ascii="Century Gothic" w:hAnsi="Century Gothic" w:cs="Arial"/>
          <w:bCs/>
          <w:color w:val="000000" w:themeColor="text1"/>
          <w:sz w:val="21"/>
          <w:szCs w:val="21"/>
          <w:lang w:val="es-ES_tradnl"/>
        </w:rPr>
        <w:t xml:space="preserve">i) De acuerdo con lo previsto en el art. 20 de la Ley 1150 de 2007, los contratos financiados con recursos provenientes de organismos multilaterales de crédito pueden someterse a los reglamentos de tales organismos. </w:t>
      </w:r>
    </w:p>
    <w:p w14:paraId="3B476BFB"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p>
    <w:p w14:paraId="3E063F3F"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r w:rsidRPr="006F7426">
        <w:rPr>
          <w:rFonts w:ascii="Century Gothic" w:hAnsi="Century Gothic" w:cs="Arial"/>
          <w:bCs/>
          <w:color w:val="000000" w:themeColor="text1"/>
          <w:sz w:val="21"/>
          <w:szCs w:val="21"/>
          <w:lang w:val="es-ES_tradnl"/>
        </w:rPr>
        <w:t xml:space="preserve">De ser así, el </w:t>
      </w:r>
      <w:r w:rsidRPr="006F7426">
        <w:rPr>
          <w:rFonts w:ascii="Century Gothic" w:hAnsi="Century Gothic" w:cs="Arial"/>
          <w:bCs/>
          <w:color w:val="000000" w:themeColor="text1"/>
          <w:sz w:val="21"/>
          <w:szCs w:val="21"/>
          <w:shd w:val="clear" w:color="auto" w:fill="FFFFFF"/>
          <w:lang w:val="es-ES_tradnl"/>
        </w:rPr>
        <w:t xml:space="preserve">Estatuto de Contratación Pública no será aplicable a los procesos de selección, a la celebración y a la ejecución de estos contratos, </w:t>
      </w:r>
      <w:r w:rsidRPr="006F7426">
        <w:rPr>
          <w:rFonts w:ascii="Century Gothic" w:hAnsi="Century Gothic" w:cs="Arial"/>
          <w:bCs/>
          <w:color w:val="000000" w:themeColor="text1"/>
          <w:sz w:val="21"/>
          <w:szCs w:val="21"/>
          <w:lang w:val="es-ES_tradnl"/>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10B51D2B"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p>
    <w:p w14:paraId="0F2CC6D4"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proofErr w:type="spellStart"/>
      <w:r w:rsidRPr="006F7426">
        <w:rPr>
          <w:rFonts w:ascii="Century Gothic" w:hAnsi="Century Gothic" w:cs="Arial"/>
          <w:bCs/>
          <w:color w:val="000000" w:themeColor="text1"/>
          <w:sz w:val="21"/>
          <w:szCs w:val="21"/>
          <w:lang w:val="es-ES_tradnl"/>
        </w:rPr>
        <w:t>ii</w:t>
      </w:r>
      <w:proofErr w:type="spellEnd"/>
      <w:r w:rsidRPr="006F7426">
        <w:rPr>
          <w:rFonts w:ascii="Century Gothic" w:hAnsi="Century Gothic" w:cs="Arial"/>
          <w:bCs/>
          <w:color w:val="000000" w:themeColor="text1"/>
          <w:sz w:val="21"/>
          <w:szCs w:val="21"/>
          <w:lang w:val="es-ES_tradnl"/>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43D45C14"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p>
    <w:p w14:paraId="44DD336C" w14:textId="77777777" w:rsidR="00A8598A" w:rsidRPr="006F7426" w:rsidRDefault="00A8598A" w:rsidP="00A8598A">
      <w:pPr>
        <w:autoSpaceDE w:val="0"/>
        <w:autoSpaceDN w:val="0"/>
        <w:adjustRightInd w:val="0"/>
        <w:spacing w:after="0" w:line="240" w:lineRule="auto"/>
        <w:ind w:left="708" w:right="709"/>
        <w:jc w:val="both"/>
        <w:rPr>
          <w:rFonts w:ascii="Century Gothic" w:hAnsi="Century Gothic" w:cs="Arial"/>
          <w:bCs/>
          <w:color w:val="000000" w:themeColor="text1"/>
          <w:sz w:val="21"/>
          <w:szCs w:val="21"/>
          <w:lang w:val="es-ES_tradnl"/>
        </w:rPr>
      </w:pPr>
      <w:r w:rsidRPr="006F7426">
        <w:rPr>
          <w:rFonts w:ascii="Century Gothic" w:hAnsi="Century Gothic" w:cs="Arial"/>
          <w:bCs/>
          <w:color w:val="000000" w:themeColor="text1"/>
          <w:sz w:val="21"/>
          <w:szCs w:val="21"/>
          <w:lang w:val="es-ES_tradnl"/>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750A8D00" w14:textId="77777777" w:rsidR="00A8598A" w:rsidRPr="006F7426" w:rsidRDefault="00A8598A" w:rsidP="00A8598A">
      <w:pPr>
        <w:autoSpaceDE w:val="0"/>
        <w:autoSpaceDN w:val="0"/>
        <w:adjustRightInd w:val="0"/>
        <w:spacing w:line="240" w:lineRule="auto"/>
        <w:ind w:left="709" w:right="709"/>
        <w:jc w:val="both"/>
        <w:rPr>
          <w:rFonts w:ascii="Century Gothic" w:hAnsi="Century Gothic" w:cs="Arial"/>
          <w:bCs/>
          <w:color w:val="000000" w:themeColor="text1"/>
          <w:sz w:val="21"/>
          <w:szCs w:val="21"/>
          <w:lang w:val="es-ES_tradnl"/>
        </w:rPr>
      </w:pPr>
      <w:r w:rsidRPr="006F7426">
        <w:rPr>
          <w:rFonts w:ascii="Century Gothic" w:hAnsi="Century Gothic" w:cs="Arial"/>
          <w:bCs/>
          <w:color w:val="000000" w:themeColor="text1"/>
          <w:sz w:val="21"/>
          <w:szCs w:val="21"/>
          <w:lang w:val="es-ES_tradnl"/>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30D01FE1" w14:textId="77777777" w:rsidR="00A8598A" w:rsidRPr="006F7426" w:rsidRDefault="00A8598A" w:rsidP="00A8598A">
      <w:pPr>
        <w:autoSpaceDE w:val="0"/>
        <w:autoSpaceDN w:val="0"/>
        <w:adjustRightInd w:val="0"/>
        <w:spacing w:line="240" w:lineRule="auto"/>
        <w:ind w:left="709" w:right="709"/>
        <w:jc w:val="both"/>
        <w:rPr>
          <w:rFonts w:ascii="Century Gothic" w:hAnsi="Century Gothic" w:cs="Arial"/>
          <w:bCs/>
          <w:color w:val="000000" w:themeColor="text1"/>
          <w:sz w:val="21"/>
          <w:szCs w:val="21"/>
          <w:lang w:val="es-ES_tradnl"/>
        </w:rPr>
      </w:pPr>
      <w:proofErr w:type="spellStart"/>
      <w:r w:rsidRPr="006F7426">
        <w:rPr>
          <w:rFonts w:ascii="Century Gothic" w:hAnsi="Century Gothic" w:cs="Arial"/>
          <w:bCs/>
          <w:color w:val="000000" w:themeColor="text1"/>
          <w:sz w:val="21"/>
          <w:szCs w:val="21"/>
          <w:lang w:val="es-ES_tradnl"/>
        </w:rPr>
        <w:t>iii</w:t>
      </w:r>
      <w:proofErr w:type="spellEnd"/>
      <w:r w:rsidRPr="006F7426">
        <w:rPr>
          <w:rFonts w:ascii="Century Gothic" w:hAnsi="Century Gothic" w:cs="Arial"/>
          <w:bCs/>
          <w:color w:val="000000" w:themeColor="text1"/>
          <w:sz w:val="21"/>
          <w:szCs w:val="21"/>
          <w:lang w:val="es-ES_tradnl"/>
        </w:rPr>
        <w:t xml:space="preserve">)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y, entre otras obligaciones, a la obtener </w:t>
      </w:r>
      <w:r w:rsidRPr="006F7426">
        <w:rPr>
          <w:rFonts w:ascii="Century Gothic" w:hAnsi="Century Gothic" w:cs="Arial"/>
          <w:bCs/>
          <w:color w:val="000000" w:themeColor="text1"/>
          <w:sz w:val="21"/>
          <w:szCs w:val="21"/>
          <w:lang w:val="es-ES_tradnl" w:eastAsia="es-ES"/>
        </w:rPr>
        <w:t xml:space="preserve">el certificado de disponibilidad presupuestal, en cumplimiento del régimen presupuestal analizado en este concepto. </w:t>
      </w:r>
    </w:p>
    <w:p w14:paraId="3B63BD5A" w14:textId="62C85175" w:rsidR="00A8598A" w:rsidRPr="006F7426" w:rsidRDefault="00A8598A" w:rsidP="00A8598A">
      <w:pPr>
        <w:autoSpaceDE w:val="0"/>
        <w:autoSpaceDN w:val="0"/>
        <w:adjustRightInd w:val="0"/>
        <w:spacing w:line="240" w:lineRule="auto"/>
        <w:ind w:left="709" w:right="709"/>
        <w:jc w:val="both"/>
        <w:rPr>
          <w:rFonts w:ascii="Century Gothic" w:hAnsi="Century Gothic" w:cs="Arial"/>
          <w:bCs/>
          <w:color w:val="000000" w:themeColor="text1"/>
          <w:sz w:val="21"/>
          <w:szCs w:val="21"/>
          <w:lang w:val="es-ES_tradnl"/>
        </w:rPr>
      </w:pPr>
      <w:r w:rsidRPr="006F7426">
        <w:rPr>
          <w:rFonts w:ascii="Century Gothic" w:hAnsi="Century Gothic" w:cs="Arial"/>
          <w:bCs/>
          <w:color w:val="000000" w:themeColor="text1"/>
          <w:sz w:val="21"/>
          <w:szCs w:val="21"/>
          <w:lang w:val="es-ES_tradnl" w:eastAsia="es-ES"/>
        </w:rPr>
        <w:t xml:space="preserve">Ahora bien, en cuanto a la oportunidad para expedir </w:t>
      </w:r>
      <w:r w:rsidRPr="006F7426">
        <w:rPr>
          <w:rFonts w:ascii="Century Gothic" w:hAnsi="Century Gothic" w:cs="Arial"/>
          <w:bCs/>
          <w:color w:val="000000" w:themeColor="text1"/>
          <w:sz w:val="21"/>
          <w:szCs w:val="21"/>
          <w:lang w:val="es-ES_tradnl"/>
        </w:rPr>
        <w:t>el certificado de disponibilidad, tanto el EOP, en su art. 71, como el art. 25 de la Ley 80 de 1993, consagran que este certificado debe expedirse en forma previa a la expedición del acto administrativo que afecte la apropiación presupuestal, como pueden ser los actos expedidos al inicio del proceso de contratación</w:t>
      </w:r>
      <w:r w:rsidR="003E38EB">
        <w:rPr>
          <w:rFonts w:ascii="Century Gothic" w:hAnsi="Century Gothic" w:cs="Arial"/>
          <w:bCs/>
          <w:color w:val="000000" w:themeColor="text1"/>
          <w:sz w:val="21"/>
          <w:szCs w:val="21"/>
          <w:lang w:val="es-ES_tradnl"/>
        </w:rPr>
        <w:t>”</w:t>
      </w:r>
      <w:r w:rsidRPr="006F7426">
        <w:rPr>
          <w:rStyle w:val="Refdenotaalpie"/>
          <w:rFonts w:ascii="Century Gothic" w:hAnsi="Century Gothic" w:cs="Arial"/>
          <w:bCs/>
          <w:color w:val="000000" w:themeColor="text1"/>
          <w:sz w:val="21"/>
          <w:szCs w:val="21"/>
          <w:lang w:val="es-ES_tradnl"/>
        </w:rPr>
        <w:footnoteReference w:id="17"/>
      </w:r>
      <w:r w:rsidRPr="006F7426">
        <w:rPr>
          <w:rFonts w:ascii="Century Gothic" w:hAnsi="Century Gothic" w:cs="Arial"/>
          <w:bCs/>
          <w:color w:val="000000" w:themeColor="text1"/>
          <w:sz w:val="21"/>
          <w:szCs w:val="21"/>
          <w:lang w:val="es-ES_tradnl"/>
        </w:rPr>
        <w:t>.</w:t>
      </w:r>
    </w:p>
    <w:p w14:paraId="7C63EB86" w14:textId="77777777" w:rsidR="00A8598A" w:rsidRPr="006F7426" w:rsidRDefault="00A8598A" w:rsidP="00A8598A">
      <w:pPr>
        <w:autoSpaceDE w:val="0"/>
        <w:autoSpaceDN w:val="0"/>
        <w:adjustRightInd w:val="0"/>
        <w:spacing w:after="120" w:line="276" w:lineRule="auto"/>
        <w:ind w:firstLine="709"/>
        <w:jc w:val="both"/>
        <w:rPr>
          <w:rFonts w:ascii="Century Gothic" w:eastAsia="MS Mincho" w:hAnsi="Century Gothic" w:cs="Arial"/>
          <w:color w:val="000000" w:themeColor="text1"/>
          <w:lang w:val="es-ES_tradnl" w:eastAsia="es-ES"/>
        </w:rPr>
      </w:pPr>
      <w:r w:rsidRPr="006F7426">
        <w:rPr>
          <w:rFonts w:ascii="Century Gothic" w:hAnsi="Century Gothic" w:cs="Arial"/>
          <w:color w:val="000000" w:themeColor="text1"/>
          <w:lang w:val="es-ES_tradnl" w:eastAsia="es-ES"/>
        </w:rPr>
        <w:t>Es importante recordar que la regla transcrita fue originalmente contemplada por el derogado artículo 13, numeral 4 de la Ley 80 de 1993</w:t>
      </w:r>
      <w:r w:rsidRPr="006F7426">
        <w:rPr>
          <w:rStyle w:val="Refdenotaalpie"/>
          <w:rFonts w:ascii="Century Gothic" w:hAnsi="Century Gothic" w:cs="Arial"/>
          <w:color w:val="000000" w:themeColor="text1"/>
          <w:lang w:val="es-ES_tradnl" w:eastAsia="es-ES"/>
        </w:rPr>
        <w:footnoteReference w:id="18"/>
      </w:r>
      <w:r w:rsidRPr="006F7426">
        <w:rPr>
          <w:rFonts w:ascii="Century Gothic" w:hAnsi="Century Gothic" w:cs="Arial"/>
          <w:color w:val="000000" w:themeColor="text1"/>
          <w:lang w:val="es-ES_tradnl" w:eastAsia="es-ES"/>
        </w:rPr>
        <w:t xml:space="preserve">, el cual fue objeto de análisis por parte de la Corte Constitucional en la sentencia C-249 de 2004. En esta decisión judicial, el alto tribunal </w:t>
      </w:r>
      <w:r w:rsidRPr="006F7426">
        <w:rPr>
          <w:rFonts w:ascii="Century Gothic" w:eastAsia="MS Mincho" w:hAnsi="Century Gothic" w:cs="Arial"/>
          <w:color w:val="000000" w:themeColor="text1"/>
          <w:lang w:val="es-ES_tradnl" w:eastAsia="es-ES"/>
        </w:rPr>
        <w:t xml:space="preserve">enfatizó que este precepto solo podía ser aplicado por la Administración Pública cuando los ingresos o fondos provengan de empréstitos o donaciones de organismos internacionales, lo que lo hace enteramente improcedente cuando se trata de recursos que se encuentran en el presupuesto general de la Nación o de los entes territoriales. </w:t>
      </w:r>
    </w:p>
    <w:p w14:paraId="204F7EF9" w14:textId="30E67F9C"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En estos términos la regla de interpretación que fijó la Corte Constitucional en la Sentencia en </w:t>
      </w:r>
      <w:r w:rsidR="00C43191" w:rsidRPr="006F7426">
        <w:rPr>
          <w:rFonts w:ascii="Century Gothic" w:hAnsi="Century Gothic" w:cs="Arial"/>
          <w:color w:val="000000" w:themeColor="text1"/>
          <w:lang w:val="es-ES_tradnl"/>
        </w:rPr>
        <w:t>comento</w:t>
      </w:r>
      <w:r w:rsidRPr="006F7426">
        <w:rPr>
          <w:rFonts w:ascii="Century Gothic" w:hAnsi="Century Gothic" w:cs="Arial"/>
          <w:color w:val="000000" w:themeColor="text1"/>
          <w:lang w:val="es-ES_tradnl"/>
        </w:rPr>
        <w:t xml:space="preserve"> es clara, al señalar que siempre que se esté en presencia de contratos que se financian con recursos que provengan del organismo internacional, es viable optar por la aplicación de los reglamentos de tales entidades internacionales. </w:t>
      </w:r>
      <w:r w:rsidRPr="006F7426">
        <w:rPr>
          <w:rFonts w:ascii="Century Gothic" w:hAnsi="Century Gothic" w:cs="Arial"/>
          <w:i/>
          <w:iCs/>
          <w:color w:val="000000" w:themeColor="text1"/>
          <w:lang w:val="es-ES_tradnl"/>
        </w:rPr>
        <w:t>Contrario sensu</w:t>
      </w:r>
      <w:r w:rsidRPr="006F7426">
        <w:rPr>
          <w:rFonts w:ascii="Century Gothic" w:hAnsi="Century Gothic" w:cs="Arial"/>
          <w:color w:val="000000" w:themeColor="text1"/>
          <w:lang w:val="es-ES_tradnl"/>
        </w:rPr>
        <w:t>, cuando se trate de contratos que se financian con recursos del presupuesto general de la nación, se deberá aplicar el Estatuto General de Contratación Pública.</w:t>
      </w:r>
    </w:p>
    <w:p w14:paraId="24C6E3B6" w14:textId="77777777" w:rsidR="00A8598A" w:rsidRPr="006F7426" w:rsidRDefault="00A8598A" w:rsidP="00A8598A">
      <w:pPr>
        <w:spacing w:before="120" w:after="120" w:line="276" w:lineRule="auto"/>
        <w:ind w:firstLine="709"/>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De conformidad con lo expuesto, se concluye que los contratos o convenios que son financiados en su totalidad o en sumas iguales o superiores al cincuenta por ciento con fondos de los organismos de cooperación, asistencia o ayudas internacionales, pueden someterse a los reglamentos de tales entidades y en consecuencia sustraerse de la aplicación del Estatuto General de Contratación. Además, es importante destacar que la posibilidad de inaplicar las normas nacionales de contratación pública a los contratos financiados con recursos provenientes de organismos multilaterales de crédito es de naturaleza excepcional y, por tanto, de aplicación restrictiva.</w:t>
      </w:r>
    </w:p>
    <w:p w14:paraId="7D1A7B01" w14:textId="77777777" w:rsidR="00A8598A" w:rsidRPr="006F7426" w:rsidRDefault="00A8598A" w:rsidP="00A8598A">
      <w:pPr>
        <w:spacing w:after="120" w:line="276" w:lineRule="auto"/>
        <w:jc w:val="both"/>
        <w:rPr>
          <w:rFonts w:ascii="Century Gothic" w:hAnsi="Century Gothic" w:cs="Arial"/>
          <w:b/>
          <w:bCs/>
        </w:rPr>
      </w:pPr>
      <w:r w:rsidRPr="006F7426">
        <w:rPr>
          <w:rFonts w:ascii="Century Gothic" w:hAnsi="Century Gothic" w:cs="Arial"/>
          <w:b/>
          <w:bCs/>
        </w:rPr>
        <w:t>2.3. Alcance de la reglamentación del artículo 2.2.8.3.4. del Decreto 603 de 2022</w:t>
      </w:r>
    </w:p>
    <w:p w14:paraId="7BEDD6E9" w14:textId="5CC971DA" w:rsidR="00A8598A" w:rsidRPr="00C43191" w:rsidRDefault="00A8598A" w:rsidP="00A8598A">
      <w:pPr>
        <w:spacing w:after="120" w:line="276" w:lineRule="auto"/>
        <w:jc w:val="both"/>
        <w:rPr>
          <w:rStyle w:val="Textoennegrita"/>
          <w:rFonts w:ascii="Century Gothic" w:hAnsi="Century Gothic" w:cs="Arial"/>
          <w:b w:val="0"/>
          <w:bCs w:val="0"/>
          <w:color w:val="333333"/>
          <w:shd w:val="clear" w:color="auto" w:fill="FFFFFF"/>
        </w:rPr>
      </w:pPr>
      <w:r w:rsidRPr="006F7426">
        <w:rPr>
          <w:rFonts w:ascii="Century Gothic" w:hAnsi="Century Gothic" w:cs="Arial"/>
        </w:rPr>
        <w:t>Mediante el Decreto 603 de 2022</w:t>
      </w:r>
      <w:r w:rsidRPr="006F7426">
        <w:rPr>
          <w:rFonts w:ascii="Century Gothic" w:hAnsi="Century Gothic" w:cs="Arial"/>
          <w:b/>
          <w:bCs/>
        </w:rPr>
        <w:t xml:space="preserve"> </w:t>
      </w:r>
      <w:r w:rsidR="003E38EB">
        <w:rPr>
          <w:rFonts w:ascii="Century Gothic" w:eastAsia="Calibri" w:hAnsi="Century Gothic" w:cs="Arial"/>
          <w:b/>
          <w:bCs/>
          <w:sz w:val="21"/>
          <w:szCs w:val="21"/>
          <w:lang w:val="es-ES_tradnl" w:eastAsia="es-CO"/>
        </w:rPr>
        <w:t>“</w:t>
      </w:r>
      <w:r w:rsidRPr="00C43191">
        <w:rPr>
          <w:rStyle w:val="Textoennegrita"/>
          <w:rFonts w:ascii="Century Gothic" w:hAnsi="Century Gothic" w:cs="Arial"/>
          <w:b w:val="0"/>
          <w:bCs w:val="0"/>
          <w:i/>
          <w:iCs/>
          <w:color w:val="333333"/>
          <w:shd w:val="clear" w:color="auto" w:fill="FFFFFF"/>
        </w:rPr>
        <w:t>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w:t>
      </w:r>
      <w:r w:rsidR="003E38EB" w:rsidRPr="00C43191">
        <w:rPr>
          <w:rStyle w:val="Textoennegrita"/>
          <w:rFonts w:ascii="Century Gothic" w:hAnsi="Century Gothic" w:cs="Arial"/>
          <w:b w:val="0"/>
          <w:bCs w:val="0"/>
          <w:i/>
          <w:iCs/>
          <w:color w:val="333333"/>
          <w:shd w:val="clear" w:color="auto" w:fill="FFFFFF"/>
        </w:rPr>
        <w:t>”</w:t>
      </w:r>
      <w:r w:rsidRPr="00C43191">
        <w:rPr>
          <w:rStyle w:val="Textoennegrita"/>
          <w:rFonts w:ascii="Century Gothic" w:hAnsi="Century Gothic" w:cs="Arial"/>
          <w:b w:val="0"/>
          <w:bCs w:val="0"/>
          <w:i/>
          <w:iCs/>
          <w:color w:val="333333"/>
          <w:shd w:val="clear" w:color="auto" w:fill="FFFFFF"/>
        </w:rPr>
        <w:t xml:space="preserve">, </w:t>
      </w:r>
      <w:r w:rsidRPr="00C43191">
        <w:rPr>
          <w:rStyle w:val="Textoennegrita"/>
          <w:rFonts w:ascii="Century Gothic" w:hAnsi="Century Gothic" w:cs="Arial"/>
          <w:b w:val="0"/>
          <w:bCs w:val="0"/>
          <w:color w:val="333333"/>
          <w:shd w:val="clear" w:color="auto" w:fill="FFFFFF"/>
        </w:rPr>
        <w:t xml:space="preserve">estableció algunos lineamientos para la cooperación internacional en Colombia, determinando en sus artículos 2.2.8.3.1. a 2.2.8.3.5, el  objetivo (artículo 2.2.8.3.1), naturaleza (2.2.8.3.2), efectividad (2.2.8.3.3.) y participación de socios (artículo 2.2.8.3.4) y destinación (artículos  2.2.8.3.5). En lo que se refiere a la participación de los socios, estableció lo siguiente: </w:t>
      </w:r>
    </w:p>
    <w:p w14:paraId="6E5AAB18" w14:textId="3CD45228" w:rsidR="00A8598A" w:rsidRPr="006F7426" w:rsidRDefault="003E38EB" w:rsidP="00A8598A">
      <w:pPr>
        <w:shd w:val="clear" w:color="auto" w:fill="FFFFFF"/>
        <w:spacing w:after="100" w:afterAutospacing="1" w:line="240" w:lineRule="auto"/>
        <w:ind w:left="709" w:right="709"/>
        <w:jc w:val="both"/>
        <w:rPr>
          <w:rFonts w:ascii="Century Gothic" w:hAnsi="Century Gothic" w:cs="Arial"/>
          <w:sz w:val="21"/>
          <w:szCs w:val="21"/>
        </w:rPr>
      </w:pPr>
      <w:r w:rsidRPr="00756287">
        <w:rPr>
          <w:rStyle w:val="Textoennegrita"/>
          <w:rFonts w:ascii="Century Gothic" w:hAnsi="Century Gothic" w:cs="Arial"/>
          <w:b w:val="0"/>
          <w:bCs w:val="0"/>
          <w:sz w:val="21"/>
          <w:szCs w:val="21"/>
        </w:rPr>
        <w:t>“</w:t>
      </w:r>
      <w:r w:rsidR="00A8598A" w:rsidRPr="00756287">
        <w:rPr>
          <w:rStyle w:val="Textoennegrita"/>
          <w:rFonts w:ascii="Century Gothic" w:hAnsi="Century Gothic" w:cs="Arial"/>
          <w:b w:val="0"/>
          <w:bCs w:val="0"/>
          <w:sz w:val="21"/>
          <w:szCs w:val="21"/>
        </w:rPr>
        <w:t>Artículo</w:t>
      </w:r>
      <w:r w:rsidR="00756287">
        <w:rPr>
          <w:rStyle w:val="Textoennegrita"/>
          <w:rFonts w:ascii="Century Gothic" w:hAnsi="Century Gothic" w:cs="Arial"/>
          <w:b w:val="0"/>
          <w:bCs w:val="0"/>
          <w:sz w:val="21"/>
          <w:szCs w:val="21"/>
        </w:rPr>
        <w:t xml:space="preserve"> </w:t>
      </w:r>
      <w:r w:rsidR="00A8598A" w:rsidRPr="00756287">
        <w:rPr>
          <w:rFonts w:ascii="Century Gothic" w:hAnsi="Century Gothic" w:cs="Arial"/>
          <w:sz w:val="21"/>
          <w:szCs w:val="21"/>
        </w:rPr>
        <w:t>2.2.8.3.4</w:t>
      </w:r>
      <w:r w:rsidR="00A8598A" w:rsidRPr="00756287">
        <w:rPr>
          <w:rStyle w:val="Textoennegrita"/>
          <w:rFonts w:ascii="Century Gothic" w:hAnsi="Century Gothic" w:cs="Arial"/>
          <w:sz w:val="21"/>
          <w:szCs w:val="21"/>
        </w:rPr>
        <w:t>.</w:t>
      </w:r>
      <w:r w:rsidR="00A8598A" w:rsidRPr="00756287">
        <w:rPr>
          <w:rStyle w:val="Textoennegrita"/>
          <w:rFonts w:ascii="Century Gothic" w:hAnsi="Century Gothic" w:cs="Arial"/>
          <w:b w:val="0"/>
          <w:bCs w:val="0"/>
          <w:sz w:val="21"/>
          <w:szCs w:val="21"/>
        </w:rPr>
        <w:t xml:space="preserve"> Participación de los Socios de la cooperación Internacional</w:t>
      </w:r>
      <w:r w:rsidR="00A8598A" w:rsidRPr="006F7426">
        <w:rPr>
          <w:rStyle w:val="Textoennegrita"/>
          <w:rFonts w:ascii="Century Gothic" w:hAnsi="Century Gothic" w:cs="Arial"/>
          <w:sz w:val="21"/>
          <w:szCs w:val="21"/>
        </w:rPr>
        <w:t>.</w:t>
      </w:r>
      <w:r w:rsidR="00757AE7">
        <w:rPr>
          <w:rFonts w:ascii="Century Gothic" w:hAnsi="Century Gothic" w:cs="Arial"/>
          <w:sz w:val="21"/>
          <w:szCs w:val="21"/>
        </w:rPr>
        <w:t xml:space="preserve"> </w:t>
      </w:r>
      <w:r w:rsidR="00A8598A" w:rsidRPr="006F7426">
        <w:rPr>
          <w:rFonts w:ascii="Century Gothic" w:hAnsi="Century Gothic" w:cs="Arial"/>
          <w:sz w:val="21"/>
          <w:szCs w:val="21"/>
        </w:rPr>
        <w:t xml:space="preserve">Todo proyecto, programa y/o iniciativa de cooperación internacional que sea implementada por un socio de cooperación internacional y que involucre recursos del Presupuesto General de la Nación, debe tener una contrapartida de </w:t>
      </w:r>
      <w:r w:rsidR="00A8598A" w:rsidRPr="006F7426">
        <w:rPr>
          <w:rFonts w:ascii="Century Gothic" w:hAnsi="Century Gothic" w:cs="Arial"/>
          <w:i/>
          <w:iCs/>
          <w:sz w:val="21"/>
          <w:szCs w:val="21"/>
          <w:u w:val="single"/>
        </w:rPr>
        <w:t>recursos</w:t>
      </w:r>
      <w:r w:rsidR="00A8598A" w:rsidRPr="006F7426">
        <w:rPr>
          <w:rFonts w:ascii="Century Gothic" w:hAnsi="Century Gothic" w:cs="Arial"/>
          <w:sz w:val="21"/>
          <w:szCs w:val="21"/>
          <w:u w:val="single"/>
        </w:rPr>
        <w:t xml:space="preserve"> </w:t>
      </w:r>
      <w:r w:rsidR="00A8598A" w:rsidRPr="006F7426">
        <w:rPr>
          <w:rFonts w:ascii="Century Gothic" w:hAnsi="Century Gothic" w:cs="Arial"/>
          <w:i/>
          <w:iCs/>
          <w:sz w:val="21"/>
          <w:szCs w:val="21"/>
          <w:u w:val="single"/>
        </w:rPr>
        <w:t>financieros</w:t>
      </w:r>
      <w:r w:rsidR="00A8598A" w:rsidRPr="006F7426">
        <w:rPr>
          <w:rFonts w:ascii="Century Gothic" w:hAnsi="Century Gothic" w:cs="Arial"/>
          <w:sz w:val="21"/>
          <w:szCs w:val="21"/>
        </w:rPr>
        <w:t xml:space="preserve"> mínimo del 30%, del socio de cooperación internacional.</w:t>
      </w:r>
    </w:p>
    <w:p w14:paraId="27629AB3" w14:textId="6BB5658A" w:rsidR="00A8598A" w:rsidRPr="006F7426" w:rsidRDefault="00A8598A" w:rsidP="00A8598A">
      <w:pPr>
        <w:shd w:val="clear" w:color="auto" w:fill="FFFFFF"/>
        <w:spacing w:after="0" w:line="240" w:lineRule="auto"/>
        <w:ind w:left="709" w:right="709"/>
        <w:jc w:val="both"/>
        <w:rPr>
          <w:rStyle w:val="Textoennegrita"/>
          <w:rFonts w:ascii="Century Gothic" w:hAnsi="Century Gothic" w:cs="Arial"/>
          <w:b w:val="0"/>
          <w:bCs w:val="0"/>
          <w:sz w:val="21"/>
          <w:szCs w:val="21"/>
        </w:rPr>
      </w:pPr>
      <w:r w:rsidRPr="00757AE7">
        <w:rPr>
          <w:rStyle w:val="Textoennegrita"/>
          <w:rFonts w:ascii="Century Gothic" w:hAnsi="Century Gothic" w:cs="Arial"/>
          <w:b w:val="0"/>
          <w:bCs w:val="0"/>
          <w:sz w:val="21"/>
          <w:szCs w:val="21"/>
        </w:rPr>
        <w:t>Parágrafo.</w:t>
      </w:r>
      <w:r w:rsidR="00757AE7">
        <w:rPr>
          <w:rStyle w:val="Textoennegrita"/>
          <w:rFonts w:ascii="Century Gothic" w:hAnsi="Century Gothic" w:cs="Arial"/>
          <w:sz w:val="21"/>
          <w:szCs w:val="21"/>
        </w:rPr>
        <w:t xml:space="preserve"> </w:t>
      </w:r>
      <w:r w:rsidRPr="006F7426">
        <w:rPr>
          <w:rFonts w:ascii="Century Gothic" w:hAnsi="Century Gothic" w:cs="Arial"/>
          <w:sz w:val="21"/>
          <w:szCs w:val="21"/>
        </w:rPr>
        <w:t>Cuando más del 40% del financiamiento proviene del Presupuesto Nacional, el Socio de Cooperación internacional debe presentar estados financieros detallados o documento equivalente, a la entidad nacional o territorial líder del proyecto</w:t>
      </w:r>
      <w:r w:rsidR="003E38EB">
        <w:rPr>
          <w:rFonts w:ascii="Century Gothic" w:hAnsi="Century Gothic" w:cs="Arial"/>
          <w:sz w:val="21"/>
          <w:szCs w:val="21"/>
        </w:rPr>
        <w:t>”</w:t>
      </w:r>
      <w:r w:rsidRPr="006F7426">
        <w:rPr>
          <w:rStyle w:val="Textoennegrita"/>
          <w:rFonts w:ascii="Century Gothic" w:hAnsi="Century Gothic" w:cs="Arial"/>
          <w:sz w:val="21"/>
          <w:szCs w:val="21"/>
        </w:rPr>
        <w:t xml:space="preserve"> </w:t>
      </w:r>
      <w:r w:rsidRPr="00757AE7">
        <w:rPr>
          <w:rStyle w:val="Textoennegrita"/>
          <w:rFonts w:ascii="Century Gothic" w:hAnsi="Century Gothic" w:cs="Arial"/>
          <w:b w:val="0"/>
          <w:bCs w:val="0"/>
          <w:i/>
          <w:iCs/>
          <w:sz w:val="21"/>
          <w:szCs w:val="21"/>
        </w:rPr>
        <w:t>(Énfasis fuera del texto)</w:t>
      </w:r>
      <w:r w:rsidRPr="006F7426">
        <w:rPr>
          <w:rStyle w:val="Textoennegrita"/>
          <w:rFonts w:ascii="Century Gothic" w:hAnsi="Century Gothic" w:cs="Arial"/>
          <w:sz w:val="21"/>
          <w:szCs w:val="21"/>
        </w:rPr>
        <w:t xml:space="preserve"> </w:t>
      </w:r>
    </w:p>
    <w:p w14:paraId="0CD59CEC" w14:textId="77777777" w:rsidR="00A8598A" w:rsidRPr="006F7426" w:rsidRDefault="00A8598A" w:rsidP="00A8598A">
      <w:pPr>
        <w:shd w:val="clear" w:color="auto" w:fill="FFFFFF"/>
        <w:spacing w:after="0" w:line="240" w:lineRule="auto"/>
        <w:ind w:left="709" w:right="709"/>
        <w:jc w:val="both"/>
        <w:rPr>
          <w:rStyle w:val="Textoennegrita"/>
          <w:rFonts w:ascii="Century Gothic" w:hAnsi="Century Gothic" w:cs="Arial"/>
          <w:b w:val="0"/>
          <w:bCs w:val="0"/>
          <w:sz w:val="21"/>
          <w:szCs w:val="21"/>
        </w:rPr>
      </w:pPr>
    </w:p>
    <w:p w14:paraId="79F1BFAE" w14:textId="5A84413D" w:rsidR="00A8598A" w:rsidRPr="002D258B" w:rsidRDefault="00A8598A" w:rsidP="00A8598A">
      <w:pPr>
        <w:shd w:val="clear" w:color="auto" w:fill="FFFFFF"/>
        <w:spacing w:after="120" w:line="276" w:lineRule="auto"/>
        <w:ind w:firstLine="709"/>
        <w:jc w:val="both"/>
        <w:rPr>
          <w:rStyle w:val="Textoennegrita"/>
          <w:rFonts w:ascii="Century Gothic" w:hAnsi="Century Gothic" w:cs="Arial"/>
          <w:b w:val="0"/>
          <w:bCs w:val="0"/>
          <w:color w:val="333333"/>
          <w:shd w:val="clear" w:color="auto" w:fill="FFFFFF"/>
        </w:rPr>
      </w:pPr>
      <w:r w:rsidRPr="002D258B">
        <w:rPr>
          <w:rStyle w:val="Textoennegrita"/>
          <w:rFonts w:ascii="Century Gothic" w:hAnsi="Century Gothic" w:cs="Arial"/>
          <w:b w:val="0"/>
          <w:bCs w:val="0"/>
          <w:color w:val="333333"/>
          <w:shd w:val="clear" w:color="auto" w:fill="FFFFFF"/>
        </w:rPr>
        <w:t>La norma estableció los lineamientos para la ejecución de proyectos, programas o iniciativas</w:t>
      </w:r>
      <w:r w:rsidRPr="002D258B">
        <w:rPr>
          <w:rStyle w:val="Textoennegrita"/>
          <w:rFonts w:ascii="Century Gothic" w:hAnsi="Century Gothic" w:cs="Arial"/>
          <w:b w:val="0"/>
          <w:bCs w:val="0"/>
        </w:rPr>
        <w:t xml:space="preserve"> de cooperación internacional en los que se involucren recursos del Presupuesto General de la Nación, precisando que los socios de cooperación internacional que pretendan ejecutar dichos </w:t>
      </w:r>
      <w:r w:rsidRPr="002D258B">
        <w:rPr>
          <w:rStyle w:val="Textoennegrita"/>
          <w:rFonts w:ascii="Century Gothic" w:hAnsi="Century Gothic" w:cs="Arial"/>
          <w:b w:val="0"/>
          <w:bCs w:val="0"/>
          <w:color w:val="333333"/>
          <w:shd w:val="clear" w:color="auto" w:fill="FFFFFF"/>
        </w:rPr>
        <w:t xml:space="preserve">proyectos </w:t>
      </w:r>
      <w:r w:rsidR="002D258B" w:rsidRPr="002D258B">
        <w:rPr>
          <w:rStyle w:val="Textoennegrita"/>
          <w:rFonts w:ascii="Century Gothic" w:hAnsi="Century Gothic" w:cs="Arial"/>
          <w:b w:val="0"/>
          <w:bCs w:val="0"/>
          <w:color w:val="333333"/>
          <w:shd w:val="clear" w:color="auto" w:fill="FFFFFF"/>
        </w:rPr>
        <w:t>deben</w:t>
      </w:r>
      <w:r w:rsidRPr="002D258B">
        <w:rPr>
          <w:rStyle w:val="Textoennegrita"/>
          <w:rFonts w:ascii="Century Gothic" w:hAnsi="Century Gothic" w:cs="Arial"/>
          <w:b w:val="0"/>
          <w:bCs w:val="0"/>
          <w:color w:val="333333"/>
          <w:shd w:val="clear" w:color="auto" w:fill="FFFFFF"/>
        </w:rPr>
        <w:t xml:space="preserve"> aportar una contrapartida de mínimo el 30% de recursos financieros. De lo anterior entonces, se encuentra que esta norma reglamentó parcialmente el artículo 20 de la Ley 1150 de 2007, pero para su correcto entendimiento, es necesario determinar el alcance del concepto </w:t>
      </w:r>
      <w:r w:rsidR="003E38EB" w:rsidRPr="002D258B">
        <w:rPr>
          <w:rStyle w:val="Textoennegrita"/>
          <w:rFonts w:ascii="Century Gothic" w:hAnsi="Century Gothic" w:cs="Arial"/>
          <w:b w:val="0"/>
          <w:bCs w:val="0"/>
          <w:color w:val="333333"/>
          <w:shd w:val="clear" w:color="auto" w:fill="FFFFFF"/>
        </w:rPr>
        <w:t>“</w:t>
      </w:r>
      <w:r w:rsidRPr="002D258B">
        <w:rPr>
          <w:rStyle w:val="Textoennegrita"/>
          <w:rFonts w:ascii="Century Gothic" w:hAnsi="Century Gothic" w:cs="Arial"/>
          <w:b w:val="0"/>
          <w:bCs w:val="0"/>
          <w:color w:val="333333"/>
          <w:shd w:val="clear" w:color="auto" w:fill="FFFFFF"/>
        </w:rPr>
        <w:t>recursos financieros</w:t>
      </w:r>
      <w:r w:rsidR="003E38EB" w:rsidRPr="002D258B">
        <w:rPr>
          <w:rStyle w:val="Textoennegrita"/>
          <w:rFonts w:ascii="Century Gothic" w:hAnsi="Century Gothic" w:cs="Arial"/>
          <w:b w:val="0"/>
          <w:bCs w:val="0"/>
          <w:color w:val="333333"/>
          <w:shd w:val="clear" w:color="auto" w:fill="FFFFFF"/>
        </w:rPr>
        <w:t>”</w:t>
      </w:r>
      <w:r w:rsidRPr="002D258B">
        <w:rPr>
          <w:rStyle w:val="Textoennegrita"/>
          <w:rFonts w:ascii="Century Gothic" w:hAnsi="Century Gothic" w:cs="Arial"/>
          <w:b w:val="0"/>
          <w:bCs w:val="0"/>
          <w:color w:val="333333"/>
          <w:shd w:val="clear" w:color="auto" w:fill="FFFFFF"/>
        </w:rPr>
        <w:t>.</w:t>
      </w:r>
    </w:p>
    <w:p w14:paraId="4A536E05" w14:textId="7D1BB644" w:rsidR="00A8598A" w:rsidRPr="00000F7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000F71">
        <w:rPr>
          <w:rStyle w:val="Textoennegrita"/>
          <w:rFonts w:ascii="Century Gothic" w:hAnsi="Century Gothic" w:cs="Arial"/>
          <w:b w:val="0"/>
          <w:bCs w:val="0"/>
        </w:rPr>
        <w:t xml:space="preserve">Frente al particular, es importante precisar que el Estatuto General de Contratación de la Administración Pública no definió el concepto </w:t>
      </w:r>
      <w:r w:rsidR="003E38EB" w:rsidRPr="00000F71">
        <w:rPr>
          <w:rStyle w:val="Textoennegrita"/>
          <w:rFonts w:ascii="Century Gothic" w:hAnsi="Century Gothic" w:cs="Arial"/>
          <w:b w:val="0"/>
          <w:bCs w:val="0"/>
          <w:color w:val="333333"/>
          <w:shd w:val="clear" w:color="auto" w:fill="FFFFFF"/>
        </w:rPr>
        <w:t>“</w:t>
      </w:r>
      <w:r w:rsidRPr="00000F71">
        <w:rPr>
          <w:rStyle w:val="Textoennegrita"/>
          <w:rFonts w:ascii="Century Gothic" w:hAnsi="Century Gothic" w:cs="Arial"/>
          <w:b w:val="0"/>
          <w:bCs w:val="0"/>
          <w:color w:val="333333"/>
          <w:shd w:val="clear" w:color="auto" w:fill="FFFFFF"/>
        </w:rPr>
        <w:t>recursos financieros</w:t>
      </w:r>
      <w:r w:rsidR="003E38EB" w:rsidRPr="00000F71">
        <w:rPr>
          <w:rStyle w:val="Textoennegrita"/>
          <w:rFonts w:ascii="Century Gothic" w:hAnsi="Century Gothic" w:cs="Arial"/>
          <w:b w:val="0"/>
          <w:bCs w:val="0"/>
          <w:color w:val="333333"/>
          <w:shd w:val="clear" w:color="auto" w:fill="FFFFFF"/>
        </w:rPr>
        <w:t>”</w:t>
      </w:r>
      <w:r w:rsidRPr="00000F71">
        <w:rPr>
          <w:rStyle w:val="Textoennegrita"/>
          <w:rFonts w:ascii="Century Gothic" w:hAnsi="Century Gothic" w:cs="Arial"/>
          <w:b w:val="0"/>
          <w:bCs w:val="0"/>
        </w:rPr>
        <w:t xml:space="preserve">, no obstante, el programa </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rPr>
        <w:t>Gerencia de recursos físicos y financieros</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vertAlign w:val="superscript"/>
        </w:rPr>
        <w:footnoteReference w:id="19"/>
      </w:r>
      <w:r w:rsidRPr="00000F71">
        <w:rPr>
          <w:rStyle w:val="Textoennegrita"/>
          <w:rFonts w:ascii="Century Gothic" w:hAnsi="Century Gothic" w:cs="Arial"/>
          <w:b w:val="0"/>
          <w:bCs w:val="0"/>
          <w:vertAlign w:val="superscript"/>
        </w:rPr>
        <w:t xml:space="preserve"> </w:t>
      </w:r>
      <w:r w:rsidRPr="00000F71">
        <w:rPr>
          <w:rStyle w:val="Textoennegrita"/>
          <w:rFonts w:ascii="Century Gothic" w:hAnsi="Century Gothic" w:cs="Arial"/>
          <w:b w:val="0"/>
          <w:bCs w:val="0"/>
        </w:rPr>
        <w:t xml:space="preserve">de la Escuela Superior de Administración Pública trae una aproximación a la definición de los recursos financieros del Estado, según el cual son </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rPr>
        <w:t>todos aquellos recursos económicos que le permiten al sector público desarrollar sus actividades. El estudio de las operaciones propias para la consecución y administración de dichos recursos corresponde a las Finanzas Públicas</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rPr>
        <w:t xml:space="preserve"> y precisa que estos recursos se clasifican, a su vez, en ingresos corrientes, contribuciones parafiscales y recursos de capital. </w:t>
      </w:r>
    </w:p>
    <w:p w14:paraId="7DB0A0BC" w14:textId="7A42988D" w:rsidR="00A8598A" w:rsidRPr="00000F7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000F71">
        <w:rPr>
          <w:rStyle w:val="Textoennegrita"/>
          <w:rFonts w:ascii="Century Gothic" w:hAnsi="Century Gothic" w:cs="Arial"/>
          <w:b w:val="0"/>
          <w:bCs w:val="0"/>
        </w:rPr>
        <w:t>Estas tres categorías, a diferencia de lo señalado en relación con la definición de recursos financieros, fueron definidas por el legislador. De un lado, los</w:t>
      </w:r>
      <w:r w:rsidRPr="00000F71">
        <w:rPr>
          <w:rStyle w:val="Textoennegrita"/>
          <w:rFonts w:ascii="Century Gothic" w:hAnsi="Century Gothic" w:cs="Arial"/>
          <w:b w:val="0"/>
          <w:bCs w:val="0"/>
          <w:i/>
          <w:iCs/>
        </w:rPr>
        <w:t xml:space="preserve"> ingresos corrientes</w:t>
      </w:r>
      <w:r w:rsidRPr="00000F71">
        <w:rPr>
          <w:rStyle w:val="Textoennegrita"/>
          <w:rFonts w:ascii="Century Gothic" w:hAnsi="Century Gothic" w:cs="Arial"/>
          <w:b w:val="0"/>
          <w:bCs w:val="0"/>
        </w:rPr>
        <w:t xml:space="preserve"> corresponden a los </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rPr>
        <w:t>ingresos que recaudan los establecimientos por bienes y servicios y los tributos que reciben por norma legal</w:t>
      </w:r>
      <w:r w:rsidR="003E38EB" w:rsidRPr="00000F71">
        <w:rPr>
          <w:rStyle w:val="Textoennegrita"/>
          <w:rFonts w:ascii="Century Gothic" w:hAnsi="Century Gothic" w:cs="Arial"/>
          <w:b w:val="0"/>
          <w:bCs w:val="0"/>
        </w:rPr>
        <w:t>”</w:t>
      </w:r>
      <w:r w:rsidRPr="00000F71">
        <w:rPr>
          <w:rStyle w:val="Refdenotaalpie"/>
          <w:rFonts w:ascii="Century Gothic" w:hAnsi="Century Gothic" w:cs="Arial"/>
          <w:b/>
          <w:bCs/>
        </w:rPr>
        <w:footnoteReference w:id="20"/>
      </w:r>
      <w:r w:rsidRPr="00000F71">
        <w:rPr>
          <w:rStyle w:val="Textoennegrita"/>
          <w:rFonts w:ascii="Century Gothic" w:hAnsi="Century Gothic" w:cs="Arial"/>
          <w:b w:val="0"/>
          <w:bCs w:val="0"/>
        </w:rPr>
        <w:t xml:space="preserve">. El artículo 27 del Decreto 111 de 1996 señala que se </w:t>
      </w:r>
      <w:r w:rsidR="001648BF" w:rsidRPr="00000F71">
        <w:rPr>
          <w:rStyle w:val="Textoennegrita"/>
          <w:rFonts w:ascii="Century Gothic" w:hAnsi="Century Gothic" w:cs="Arial"/>
          <w:b w:val="0"/>
          <w:bCs w:val="0"/>
        </w:rPr>
        <w:t>clasifican</w:t>
      </w:r>
      <w:r w:rsidRPr="00000F71">
        <w:rPr>
          <w:rStyle w:val="Textoennegrita"/>
          <w:rFonts w:ascii="Century Gothic" w:hAnsi="Century Gothic" w:cs="Arial"/>
          <w:b w:val="0"/>
          <w:bCs w:val="0"/>
        </w:rPr>
        <w:t xml:space="preserve"> en ingresos tributarios y no tributarios. Entendiendo por tributarios los impuestos y por no tributarios las tasas y multas</w:t>
      </w:r>
      <w:r w:rsidRPr="00000F71">
        <w:rPr>
          <w:rStyle w:val="Refdenotaalpie"/>
          <w:rFonts w:ascii="Century Gothic" w:hAnsi="Century Gothic" w:cs="Arial"/>
          <w:b/>
          <w:bCs/>
        </w:rPr>
        <w:footnoteReference w:id="21"/>
      </w:r>
      <w:r w:rsidRPr="00000F71">
        <w:rPr>
          <w:rStyle w:val="Textoennegrita"/>
          <w:rFonts w:ascii="Century Gothic" w:hAnsi="Century Gothic" w:cs="Arial"/>
          <w:b w:val="0"/>
          <w:bCs w:val="0"/>
        </w:rPr>
        <w:t xml:space="preserve">. </w:t>
      </w:r>
    </w:p>
    <w:p w14:paraId="7C135437" w14:textId="70F23D36" w:rsidR="00A8598A" w:rsidRPr="00000F7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000F71">
        <w:rPr>
          <w:rStyle w:val="Textoennegrita"/>
          <w:rFonts w:ascii="Century Gothic" w:hAnsi="Century Gothic" w:cs="Arial"/>
          <w:b w:val="0"/>
          <w:bCs w:val="0"/>
        </w:rPr>
        <w:t xml:space="preserve"> Por su parte, las </w:t>
      </w:r>
      <w:r w:rsidRPr="00000F71">
        <w:rPr>
          <w:rStyle w:val="Textoennegrita"/>
          <w:rFonts w:ascii="Century Gothic" w:hAnsi="Century Gothic" w:cs="Arial"/>
          <w:b w:val="0"/>
          <w:bCs w:val="0"/>
          <w:i/>
          <w:iCs/>
        </w:rPr>
        <w:t>contribuciones parafiscales</w:t>
      </w:r>
      <w:r w:rsidRPr="00000F71">
        <w:rPr>
          <w:rStyle w:val="Textoennegrita"/>
          <w:rFonts w:ascii="Century Gothic" w:hAnsi="Century Gothic" w:cs="Arial"/>
          <w:b w:val="0"/>
          <w:bCs w:val="0"/>
        </w:rPr>
        <w:t xml:space="preserve"> son </w:t>
      </w:r>
      <w:r w:rsidR="003E38EB" w:rsidRPr="00000F71">
        <w:rPr>
          <w:rStyle w:val="Textoennegrita"/>
          <w:rFonts w:ascii="Century Gothic" w:hAnsi="Century Gothic" w:cs="Arial"/>
          <w:b w:val="0"/>
          <w:bCs w:val="0"/>
        </w:rPr>
        <w:t>“</w:t>
      </w:r>
      <w:r w:rsidRPr="00000F71">
        <w:rPr>
          <w:rStyle w:val="Textoennegrita"/>
          <w:rFonts w:ascii="Century Gothic" w:hAnsi="Century Gothic" w:cs="Arial"/>
          <w:b w:val="0"/>
          <w:bCs w:val="0"/>
        </w:rPr>
        <w:t>una institución intermedia entre la tasa administrativa y el impuesto. Se trata de pagos que deben hacer los usuarios de ciertos organismos públicos o semipúblicos para asegurar el financiamiento de estas entidades de manera autónoma</w:t>
      </w:r>
      <w:r w:rsidR="003E38EB" w:rsidRPr="00000F71">
        <w:rPr>
          <w:rStyle w:val="Textoennegrita"/>
          <w:rFonts w:ascii="Century Gothic" w:hAnsi="Century Gothic" w:cs="Arial"/>
          <w:b w:val="0"/>
          <w:bCs w:val="0"/>
        </w:rPr>
        <w:t>”</w:t>
      </w:r>
      <w:r w:rsidRPr="00000F71">
        <w:rPr>
          <w:rStyle w:val="Refdenotaalpie"/>
          <w:rFonts w:ascii="Century Gothic" w:hAnsi="Century Gothic" w:cs="Arial"/>
          <w:b/>
          <w:bCs/>
        </w:rPr>
        <w:footnoteReference w:id="22"/>
      </w:r>
      <w:r w:rsidRPr="00000F71">
        <w:rPr>
          <w:rStyle w:val="Textoennegrita"/>
          <w:rFonts w:ascii="Century Gothic" w:hAnsi="Century Gothic" w:cs="Arial"/>
          <w:b w:val="0"/>
          <w:bCs w:val="0"/>
        </w:rPr>
        <w:t>. El artículo 28 del Decreto 111 de 1996, las define como los gravámenes obligatorios definidos en la Ley, utilizados para beneficio de un sector específico que afectan al grupo social y económico del referido sector</w:t>
      </w:r>
      <w:r w:rsidRPr="00000F71">
        <w:rPr>
          <w:rStyle w:val="Refdenotaalpie"/>
          <w:rFonts w:ascii="Century Gothic" w:hAnsi="Century Gothic" w:cs="Arial"/>
          <w:b/>
          <w:bCs/>
        </w:rPr>
        <w:footnoteReference w:id="23"/>
      </w:r>
      <w:r w:rsidRPr="00000F71">
        <w:rPr>
          <w:rStyle w:val="Textoennegrita"/>
          <w:rFonts w:ascii="Century Gothic" w:hAnsi="Century Gothic" w:cs="Arial"/>
          <w:b w:val="0"/>
          <w:bCs w:val="0"/>
        </w:rPr>
        <w:t>.</w:t>
      </w:r>
    </w:p>
    <w:p w14:paraId="0C92AF01" w14:textId="54280384" w:rsidR="00A8598A" w:rsidRPr="00A355F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A355F1">
        <w:rPr>
          <w:rStyle w:val="Textoennegrita"/>
          <w:rFonts w:ascii="Century Gothic" w:hAnsi="Century Gothic" w:cs="Arial"/>
          <w:b w:val="0"/>
          <w:bCs w:val="0"/>
        </w:rPr>
        <w:t xml:space="preserve">Los </w:t>
      </w:r>
      <w:r w:rsidRPr="00A355F1">
        <w:rPr>
          <w:rStyle w:val="Textoennegrita"/>
          <w:rFonts w:ascii="Century Gothic" w:hAnsi="Century Gothic" w:cs="Arial"/>
          <w:b w:val="0"/>
          <w:bCs w:val="0"/>
          <w:i/>
          <w:iCs/>
        </w:rPr>
        <w:t xml:space="preserve">recursos de capital </w:t>
      </w:r>
      <w:r w:rsidRPr="00A355F1">
        <w:rPr>
          <w:rStyle w:val="Textoennegrita"/>
          <w:rFonts w:ascii="Century Gothic" w:hAnsi="Century Gothic" w:cs="Arial"/>
          <w:b w:val="0"/>
          <w:bCs w:val="0"/>
        </w:rPr>
        <w:t xml:space="preserve">son </w:t>
      </w:r>
      <w:r w:rsidR="003E38EB" w:rsidRPr="00A355F1">
        <w:rPr>
          <w:rStyle w:val="Textoennegrita"/>
          <w:rFonts w:ascii="Century Gothic" w:hAnsi="Century Gothic" w:cs="Arial"/>
          <w:b w:val="0"/>
          <w:bCs w:val="0"/>
        </w:rPr>
        <w:t>“</w:t>
      </w:r>
      <w:r w:rsidRPr="00A355F1">
        <w:rPr>
          <w:rStyle w:val="Textoennegrita"/>
          <w:rFonts w:ascii="Century Gothic" w:hAnsi="Century Gothic" w:cs="Arial"/>
          <w:b w:val="0"/>
          <w:bCs w:val="0"/>
        </w:rPr>
        <w:t>los recursos que se obtienen del crédito interno, del crédito externo, los que se generan como recursos del balance, los rendimientos financieros, las donaciones y otros recursos esporádicos</w:t>
      </w:r>
      <w:r w:rsidR="003E38EB" w:rsidRPr="00A355F1">
        <w:rPr>
          <w:rStyle w:val="Textoennegrita"/>
          <w:rFonts w:ascii="Century Gothic" w:hAnsi="Century Gothic" w:cs="Arial"/>
          <w:b w:val="0"/>
          <w:bCs w:val="0"/>
        </w:rPr>
        <w:t>”</w:t>
      </w:r>
      <w:r w:rsidRPr="00A355F1">
        <w:rPr>
          <w:rStyle w:val="Refdenotaalpie"/>
          <w:rFonts w:ascii="Century Gothic" w:hAnsi="Century Gothic" w:cs="Arial"/>
          <w:b/>
          <w:bCs/>
        </w:rPr>
        <w:footnoteReference w:id="24"/>
      </w:r>
      <w:r w:rsidRPr="00A355F1">
        <w:rPr>
          <w:rStyle w:val="Textoennegrita"/>
          <w:rFonts w:ascii="Century Gothic" w:hAnsi="Century Gothic" w:cs="Arial"/>
          <w:b w:val="0"/>
          <w:bCs w:val="0"/>
        </w:rPr>
        <w:t xml:space="preserve">. El artículo 31 del referido Decreto señala que comprenden </w:t>
      </w:r>
      <w:r w:rsidR="003E38EB" w:rsidRPr="00A355F1">
        <w:rPr>
          <w:rStyle w:val="Textoennegrita"/>
          <w:rFonts w:ascii="Century Gothic" w:hAnsi="Century Gothic" w:cs="Arial"/>
          <w:b w:val="0"/>
          <w:bCs w:val="0"/>
        </w:rPr>
        <w:t>“</w:t>
      </w:r>
      <w:r w:rsidRPr="00A355F1">
        <w:rPr>
          <w:rStyle w:val="Textoennegrita"/>
          <w:rFonts w:ascii="Century Gothic" w:hAnsi="Century Gothic" w:cs="Arial"/>
          <w:b w:val="0"/>
          <w:bCs w:val="0"/>
        </w:rPr>
        <w:t>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y las utilidades del Banco de la República, descontadas las reservas de estabilización cambiaria y monetaria</w:t>
      </w:r>
      <w:r w:rsidR="003E38EB" w:rsidRPr="00A355F1">
        <w:rPr>
          <w:rStyle w:val="Textoennegrita"/>
          <w:rFonts w:ascii="Century Gothic" w:hAnsi="Century Gothic" w:cs="Arial"/>
          <w:b w:val="0"/>
          <w:bCs w:val="0"/>
        </w:rPr>
        <w:t>”</w:t>
      </w:r>
      <w:r w:rsidRPr="00A355F1">
        <w:rPr>
          <w:rStyle w:val="Refdenotaalpie"/>
          <w:rFonts w:ascii="Century Gothic" w:hAnsi="Century Gothic" w:cs="Arial"/>
          <w:b/>
          <w:bCs/>
        </w:rPr>
        <w:footnoteReference w:id="25"/>
      </w:r>
      <w:r w:rsidRPr="00A355F1">
        <w:rPr>
          <w:rStyle w:val="Textoennegrita"/>
          <w:rFonts w:ascii="Century Gothic" w:hAnsi="Century Gothic" w:cs="Arial"/>
          <w:b w:val="0"/>
          <w:bCs w:val="0"/>
        </w:rPr>
        <w:t>.</w:t>
      </w:r>
    </w:p>
    <w:p w14:paraId="725077ED" w14:textId="77777777" w:rsidR="00A8598A" w:rsidRPr="00A355F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A355F1">
        <w:rPr>
          <w:rStyle w:val="Textoennegrita"/>
          <w:rFonts w:ascii="Century Gothic" w:hAnsi="Century Gothic" w:cs="Arial"/>
          <w:b w:val="0"/>
          <w:bCs w:val="0"/>
        </w:rPr>
        <w:t xml:space="preserve">Además, el Estatuto Orgánico del Presupuesto preceptuó que las tipologías referidas componen el presupuesto de rentas del presupuesto general de la Nación, en los términos que se expresan a continuación:  </w:t>
      </w:r>
    </w:p>
    <w:p w14:paraId="1415B2A4" w14:textId="4AF5FF6E" w:rsidR="00A8598A" w:rsidRPr="006F7426" w:rsidRDefault="003E38EB" w:rsidP="00A8598A">
      <w:pPr>
        <w:shd w:val="clear" w:color="auto" w:fill="FFFFFF"/>
        <w:spacing w:after="120" w:line="240" w:lineRule="auto"/>
        <w:ind w:left="709" w:right="709"/>
        <w:jc w:val="both"/>
        <w:rPr>
          <w:rFonts w:ascii="Century Gothic" w:hAnsi="Century Gothic" w:cs="Arial"/>
          <w:sz w:val="21"/>
          <w:szCs w:val="21"/>
        </w:rPr>
      </w:pPr>
      <w:r w:rsidRPr="00A355F1">
        <w:rPr>
          <w:rStyle w:val="Textoennegrita"/>
          <w:rFonts w:ascii="Century Gothic" w:hAnsi="Century Gothic" w:cs="Arial"/>
          <w:b w:val="0"/>
          <w:bCs w:val="0"/>
          <w:color w:val="333333"/>
          <w:sz w:val="21"/>
          <w:szCs w:val="21"/>
        </w:rPr>
        <w:t>“</w:t>
      </w:r>
      <w:r w:rsidR="00A8598A" w:rsidRPr="00A355F1">
        <w:rPr>
          <w:rStyle w:val="Textoennegrita"/>
          <w:rFonts w:ascii="Century Gothic" w:hAnsi="Century Gothic" w:cs="Arial"/>
          <w:b w:val="0"/>
          <w:bCs w:val="0"/>
          <w:color w:val="333333"/>
          <w:sz w:val="21"/>
          <w:szCs w:val="21"/>
        </w:rPr>
        <w:t>Artículo 11.</w:t>
      </w:r>
      <w:r w:rsidR="00A355F1">
        <w:rPr>
          <w:rFonts w:ascii="Century Gothic" w:hAnsi="Century Gothic" w:cs="Arial"/>
          <w:color w:val="333333"/>
          <w:sz w:val="21"/>
          <w:szCs w:val="21"/>
        </w:rPr>
        <w:t xml:space="preserve"> </w:t>
      </w:r>
      <w:r w:rsidR="00A8598A" w:rsidRPr="006F7426">
        <w:rPr>
          <w:rFonts w:ascii="Century Gothic" w:hAnsi="Century Gothic" w:cs="Arial"/>
          <w:color w:val="333333"/>
          <w:sz w:val="21"/>
          <w:szCs w:val="21"/>
        </w:rPr>
        <w:t>El presupuesto general de la Nación se compone de las siguientes partes:</w:t>
      </w:r>
    </w:p>
    <w:p w14:paraId="1F72F4A7" w14:textId="2ACEDB6D" w:rsidR="00A8598A" w:rsidRPr="006F7426" w:rsidRDefault="00A8598A" w:rsidP="00A8598A">
      <w:pPr>
        <w:pStyle w:val="NormalWeb"/>
        <w:shd w:val="clear" w:color="auto" w:fill="FFFFFF"/>
        <w:spacing w:before="0" w:beforeAutospacing="0" w:after="120" w:afterAutospacing="0"/>
        <w:ind w:left="709" w:right="709"/>
        <w:jc w:val="both"/>
        <w:rPr>
          <w:rFonts w:ascii="Century Gothic" w:hAnsi="Century Gothic" w:cs="Arial"/>
          <w:color w:val="333333"/>
          <w:sz w:val="21"/>
          <w:szCs w:val="21"/>
        </w:rPr>
      </w:pPr>
      <w:r w:rsidRPr="006F7426">
        <w:rPr>
          <w:rFonts w:ascii="Century Gothic" w:hAnsi="Century Gothic" w:cs="Arial"/>
          <w:color w:val="333333"/>
          <w:sz w:val="21"/>
          <w:szCs w:val="21"/>
        </w:rPr>
        <w:t>a) El presupuesto de rentas 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w:t>
      </w:r>
      <w:r w:rsidR="003E38EB">
        <w:rPr>
          <w:rFonts w:ascii="Century Gothic" w:hAnsi="Century Gothic" w:cs="Arial"/>
          <w:color w:val="333333"/>
          <w:sz w:val="21"/>
          <w:szCs w:val="21"/>
        </w:rPr>
        <w:t>”</w:t>
      </w:r>
      <w:r w:rsidRPr="006F7426">
        <w:rPr>
          <w:rFonts w:ascii="Century Gothic" w:hAnsi="Century Gothic" w:cs="Arial"/>
          <w:color w:val="333333"/>
          <w:sz w:val="21"/>
          <w:szCs w:val="21"/>
        </w:rPr>
        <w:t xml:space="preserve">. </w:t>
      </w:r>
    </w:p>
    <w:p w14:paraId="1820718E" w14:textId="5A54F32E" w:rsidR="00A8598A" w:rsidRPr="00A355F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A355F1">
        <w:rPr>
          <w:rStyle w:val="Textoennegrita"/>
          <w:rFonts w:ascii="Century Gothic" w:hAnsi="Century Gothic" w:cs="Arial"/>
          <w:b w:val="0"/>
          <w:bCs w:val="0"/>
        </w:rPr>
        <w:t>De las aproximaciones conceptuales anteriores, se encuentra que los ingresos corrientes, contribuciones parafiscales y recursos de capital hacen parte del presupuesto de rentas del presupuesto general de la nación, y</w:t>
      </w:r>
      <w:r w:rsidR="00A355F1" w:rsidRPr="00A355F1">
        <w:rPr>
          <w:rStyle w:val="Textoennegrita"/>
          <w:rFonts w:ascii="Century Gothic" w:hAnsi="Century Gothic" w:cs="Arial"/>
          <w:b w:val="0"/>
          <w:bCs w:val="0"/>
        </w:rPr>
        <w:t>,</w:t>
      </w:r>
      <w:r w:rsidRPr="00A355F1">
        <w:rPr>
          <w:rStyle w:val="Textoennegrita"/>
          <w:rFonts w:ascii="Century Gothic" w:hAnsi="Century Gothic" w:cs="Arial"/>
          <w:b w:val="0"/>
          <w:bCs w:val="0"/>
        </w:rPr>
        <w:t xml:space="preserve"> además, se puede inferir que constituyen partidas dinerarias. Por tanto, esta Agencia considera que, conforme a lo establecido en el artículo 40 de la Ley 1150 de 2007 no existe una definición de recursos financieros. Tampoco el reglamento analizado, esto es, el artículo 2.2.8.3.4. del Decreto 603 de 2022 trae una definición de lo que debe entenderse por recursos financieros.  </w:t>
      </w:r>
    </w:p>
    <w:p w14:paraId="2FB1019F" w14:textId="77777777" w:rsidR="00A8598A" w:rsidRPr="00A355F1"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A355F1">
        <w:rPr>
          <w:rStyle w:val="Textoennegrita"/>
          <w:rFonts w:ascii="Century Gothic" w:hAnsi="Century Gothic" w:cs="Arial"/>
          <w:b w:val="0"/>
          <w:bCs w:val="0"/>
        </w:rPr>
        <w:t xml:space="preserve">Sin embargo, de los conceptos precitados puede concluirse que, los recursos financieros del Estado constituyen aquellos ingresos que tienen liquidez.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 o que pueden constituirse en dinero.  </w:t>
      </w:r>
    </w:p>
    <w:p w14:paraId="3497EA9B" w14:textId="77777777" w:rsidR="00A8598A" w:rsidRPr="006F7426" w:rsidRDefault="00A8598A" w:rsidP="00A8598A">
      <w:pPr>
        <w:autoSpaceDE w:val="0"/>
        <w:autoSpaceDN w:val="0"/>
        <w:adjustRightInd w:val="0"/>
        <w:spacing w:after="120" w:line="276" w:lineRule="auto"/>
        <w:ind w:firstLine="708"/>
        <w:jc w:val="both"/>
        <w:rPr>
          <w:rStyle w:val="Textoennegrita"/>
          <w:rFonts w:ascii="Century Gothic" w:hAnsi="Century Gothic" w:cs="Arial"/>
          <w:b w:val="0"/>
          <w:bCs w:val="0"/>
        </w:rPr>
      </w:pPr>
      <w:r w:rsidRPr="006F7426">
        <w:rPr>
          <w:rFonts w:ascii="Century Gothic" w:hAnsi="Century Gothic" w:cs="ArialMT"/>
        </w:rPr>
        <w:t>Si se contrasta esta primera conclusión, esto es, la relativa a que los recursos financieros son sumas liquidas de dinero, con lo dispuesto en el parágrafo tercero del artículo 20 de la Ley 1150 de 2007 y en el artículo 2.2.1.2.4.4.1 del Decreto 1082 de 2015, se tiene que, a diferencia de tales disposiciones, para efectos del cálculo del umbral establecido en el artículo 2.2.8.3.4 del Decreto 603 de 2022 no resultan relevantes los aportes en especie. Esto comoquiera que esta última disposición es clara al señalar que solo resulta aplicable a recursos financieros, mientras que el parágrafo tercero del artículo 20 de la Ley 1150 de 2007, referido señala que los aportes en especie deben ser monetizados.</w:t>
      </w:r>
    </w:p>
    <w:p w14:paraId="43101ED7" w14:textId="77777777" w:rsidR="00A8598A" w:rsidRPr="0057713C"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57713C">
        <w:rPr>
          <w:rStyle w:val="Textoennegrita"/>
          <w:rFonts w:ascii="Century Gothic" w:hAnsi="Century Gothic" w:cs="Arial"/>
          <w:b w:val="0"/>
          <w:bCs w:val="0"/>
        </w:rPr>
        <w:t>Así las cosas, en respuesta a la pregunta objeto de su consulta, es imperioso concluir que el artículo 2.2.8.3.4 del Decreto 603 de 2022 reglamentó parcialmente lo establecido en el artículo 20 de la Ley 1150 de 2007, pues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14:paraId="5C7BF279" w14:textId="134E1C12" w:rsidR="00A8598A" w:rsidRPr="008D2363"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8D2363">
        <w:rPr>
          <w:rStyle w:val="Textoennegrita"/>
          <w:rFonts w:ascii="Century Gothic" w:hAnsi="Century Gothic" w:cs="Arial"/>
          <w:b w:val="0"/>
          <w:bCs w:val="0"/>
        </w:rPr>
        <w:t>En este orden</w:t>
      </w:r>
      <w:r w:rsidR="0057713C" w:rsidRPr="008D2363">
        <w:rPr>
          <w:rStyle w:val="Textoennegrita"/>
          <w:rFonts w:ascii="Century Gothic" w:hAnsi="Century Gothic" w:cs="Arial"/>
          <w:b w:val="0"/>
          <w:bCs w:val="0"/>
        </w:rPr>
        <w:t xml:space="preserve"> de ideas</w:t>
      </w:r>
      <w:r w:rsidRPr="008D2363">
        <w:rPr>
          <w:rStyle w:val="Textoennegrita"/>
          <w:rFonts w:ascii="Century Gothic" w:hAnsi="Century Gothic" w:cs="Arial"/>
          <w:b w:val="0"/>
          <w:bCs w:val="0"/>
        </w:rPr>
        <w:t xml:space="preserve">, </w:t>
      </w:r>
      <w:r w:rsidR="0057713C" w:rsidRPr="008D2363">
        <w:rPr>
          <w:rStyle w:val="Textoennegrita"/>
          <w:rFonts w:ascii="Century Gothic" w:hAnsi="Century Gothic" w:cs="Arial"/>
          <w:b w:val="0"/>
          <w:bCs w:val="0"/>
        </w:rPr>
        <w:t xml:space="preserve">las </w:t>
      </w:r>
      <w:r w:rsidR="00D07892" w:rsidRPr="008D2363">
        <w:rPr>
          <w:rStyle w:val="Textoennegrita"/>
          <w:rFonts w:ascii="Century Gothic" w:hAnsi="Century Gothic" w:cs="Arial"/>
          <w:b w:val="0"/>
          <w:bCs w:val="0"/>
        </w:rPr>
        <w:t>e</w:t>
      </w:r>
      <w:r w:rsidR="0057713C" w:rsidRPr="008D2363">
        <w:rPr>
          <w:rStyle w:val="Textoennegrita"/>
          <w:rFonts w:ascii="Century Gothic" w:hAnsi="Century Gothic" w:cs="Arial"/>
          <w:b w:val="0"/>
          <w:bCs w:val="0"/>
        </w:rPr>
        <w:t xml:space="preserve">ntidades </w:t>
      </w:r>
      <w:r w:rsidR="00D07892" w:rsidRPr="008D2363">
        <w:rPr>
          <w:rStyle w:val="Textoennegrita"/>
          <w:rFonts w:ascii="Century Gothic" w:hAnsi="Century Gothic" w:cs="Arial"/>
          <w:b w:val="0"/>
          <w:bCs w:val="0"/>
        </w:rPr>
        <w:t>estatales</w:t>
      </w:r>
      <w:r w:rsidRPr="008D2363">
        <w:rPr>
          <w:rStyle w:val="Textoennegrita"/>
          <w:rFonts w:ascii="Century Gothic" w:hAnsi="Century Gothic" w:cs="Arial"/>
          <w:b w:val="0"/>
          <w:bCs w:val="0"/>
        </w:rPr>
        <w:t>, en ejercicio de la autonomía de la voluntad, puede</w:t>
      </w:r>
      <w:r w:rsidR="00C60932" w:rsidRPr="008D2363">
        <w:rPr>
          <w:rStyle w:val="Textoennegrita"/>
          <w:rFonts w:ascii="Century Gothic" w:hAnsi="Century Gothic" w:cs="Arial"/>
          <w:b w:val="0"/>
          <w:bCs w:val="0"/>
        </w:rPr>
        <w:t>n suscribir con</w:t>
      </w:r>
      <w:r w:rsidR="008D2363">
        <w:rPr>
          <w:rStyle w:val="Textoennegrita"/>
          <w:rFonts w:ascii="Century Gothic" w:hAnsi="Century Gothic" w:cs="Arial"/>
          <w:b w:val="0"/>
          <w:bCs w:val="0"/>
        </w:rPr>
        <w:t>venios</w:t>
      </w:r>
      <w:r w:rsidR="00C60932" w:rsidRPr="008D2363">
        <w:rPr>
          <w:rStyle w:val="Textoennegrita"/>
          <w:rFonts w:ascii="Century Gothic" w:hAnsi="Century Gothic" w:cs="Arial"/>
          <w:b w:val="0"/>
          <w:bCs w:val="0"/>
        </w:rPr>
        <w:t xml:space="preserve"> de cooperación internacional</w:t>
      </w:r>
      <w:r w:rsidR="00C30B36" w:rsidRPr="008D2363">
        <w:rPr>
          <w:rStyle w:val="Textoennegrita"/>
          <w:rFonts w:ascii="Century Gothic" w:hAnsi="Century Gothic" w:cs="Arial"/>
          <w:b w:val="0"/>
          <w:bCs w:val="0"/>
        </w:rPr>
        <w:t xml:space="preserve"> </w:t>
      </w:r>
      <w:r w:rsidR="00C30B36" w:rsidRPr="008D2363">
        <w:rPr>
          <w:rFonts w:ascii="Century Gothic" w:hAnsi="Century Gothic" w:cs="Arial"/>
        </w:rPr>
        <w:t>que involucre recursos del Presupuesto General de la Nación</w:t>
      </w:r>
      <w:r w:rsidRPr="008D2363">
        <w:rPr>
          <w:rStyle w:val="Textoennegrita"/>
          <w:rFonts w:ascii="Century Gothic" w:hAnsi="Century Gothic" w:cs="Arial"/>
          <w:b w:val="0"/>
          <w:bCs w:val="0"/>
        </w:rPr>
        <w:t xml:space="preserve">, siempre </w:t>
      </w:r>
      <w:r w:rsidR="008D2363" w:rsidRPr="008D2363">
        <w:rPr>
          <w:rStyle w:val="Textoennegrita"/>
          <w:rFonts w:ascii="Century Gothic" w:hAnsi="Century Gothic" w:cs="Arial"/>
          <w:b w:val="0"/>
          <w:bCs w:val="0"/>
        </w:rPr>
        <w:t xml:space="preserve">y cuando </w:t>
      </w:r>
      <w:r w:rsidRPr="008D2363">
        <w:rPr>
          <w:rStyle w:val="Textoennegrita"/>
          <w:rFonts w:ascii="Century Gothic" w:hAnsi="Century Gothic" w:cs="Arial"/>
          <w:b w:val="0"/>
          <w:bCs w:val="0"/>
        </w:rPr>
        <w:t xml:space="preserve">el 30% del valor del proyecto sea aportado </w:t>
      </w:r>
      <w:r w:rsidR="008D2363" w:rsidRPr="008D2363">
        <w:rPr>
          <w:rStyle w:val="Textoennegrita"/>
          <w:rFonts w:ascii="Century Gothic" w:hAnsi="Century Gothic" w:cs="Arial"/>
          <w:b w:val="0"/>
          <w:bCs w:val="0"/>
        </w:rPr>
        <w:t xml:space="preserve">en dinero </w:t>
      </w:r>
      <w:r w:rsidRPr="008D2363">
        <w:rPr>
          <w:rStyle w:val="Textoennegrita"/>
          <w:rFonts w:ascii="Century Gothic" w:hAnsi="Century Gothic" w:cs="Arial"/>
          <w:b w:val="0"/>
          <w:bCs w:val="0"/>
        </w:rPr>
        <w:t xml:space="preserve">por el organismo internacional, pues el reglamento, como se indicó, estableció un umbral para que las entidades estatales puedan realizar proyectos, iniciativas o programas financiados con presupuesto general de la Nación en convenio con organismos internacionales. De modo que, si el socio cooperante cumple con este umbral, da lugar a suscribir el convenio. </w:t>
      </w:r>
    </w:p>
    <w:p w14:paraId="7627B5C7" w14:textId="4396DE06" w:rsidR="006800BB" w:rsidRPr="006800BB" w:rsidRDefault="008D2363" w:rsidP="006800BB">
      <w:pPr>
        <w:shd w:val="clear" w:color="auto" w:fill="FFFFFF"/>
        <w:spacing w:after="120" w:line="276" w:lineRule="auto"/>
        <w:ind w:firstLine="709"/>
        <w:jc w:val="both"/>
        <w:rPr>
          <w:rStyle w:val="Textoennegrita"/>
          <w:rFonts w:ascii="Century Gothic" w:hAnsi="Century Gothic" w:cs="Arial"/>
          <w:b w:val="0"/>
          <w:bCs w:val="0"/>
          <w:color w:val="000000" w:themeColor="text1"/>
          <w:lang w:val="es-ES_tradnl"/>
        </w:rPr>
      </w:pPr>
      <w:r>
        <w:rPr>
          <w:rStyle w:val="Textoennegrita"/>
          <w:rFonts w:ascii="Century Gothic" w:hAnsi="Century Gothic" w:cs="Arial"/>
          <w:b w:val="0"/>
          <w:bCs w:val="0"/>
        </w:rPr>
        <w:t>Lo anterior en ningún momento afecta las reglas sobre el régimen de contratación</w:t>
      </w:r>
      <w:r w:rsidR="005B595B">
        <w:rPr>
          <w:rStyle w:val="Textoennegrita"/>
          <w:rFonts w:ascii="Century Gothic" w:hAnsi="Century Gothic" w:cs="Arial"/>
          <w:b w:val="0"/>
          <w:bCs w:val="0"/>
        </w:rPr>
        <w:t xml:space="preserve"> </w:t>
      </w:r>
      <w:r>
        <w:rPr>
          <w:rStyle w:val="Textoennegrita"/>
          <w:rFonts w:ascii="Century Gothic" w:hAnsi="Century Gothic" w:cs="Arial"/>
          <w:b w:val="0"/>
          <w:bCs w:val="0"/>
        </w:rPr>
        <w:t xml:space="preserve">que le sea aplicable </w:t>
      </w:r>
      <w:r w:rsidR="008D5A5B">
        <w:rPr>
          <w:rStyle w:val="Textoennegrita"/>
          <w:rFonts w:ascii="Century Gothic" w:hAnsi="Century Gothic" w:cs="Arial"/>
          <w:b w:val="0"/>
          <w:bCs w:val="0"/>
        </w:rPr>
        <w:t>al convenio</w:t>
      </w:r>
      <w:r w:rsidR="006800BB">
        <w:rPr>
          <w:rStyle w:val="Textoennegrita"/>
          <w:rFonts w:ascii="Century Gothic" w:hAnsi="Century Gothic" w:cs="Arial"/>
          <w:b w:val="0"/>
          <w:bCs w:val="0"/>
        </w:rPr>
        <w:t xml:space="preserve"> </w:t>
      </w:r>
      <w:r w:rsidR="006800BB" w:rsidRPr="008D2363">
        <w:rPr>
          <w:rStyle w:val="Textoennegrita"/>
          <w:rFonts w:ascii="Century Gothic" w:hAnsi="Century Gothic" w:cs="Arial"/>
          <w:b w:val="0"/>
          <w:bCs w:val="0"/>
        </w:rPr>
        <w:t>financiados con presupuesto general de la Nación</w:t>
      </w:r>
      <w:r w:rsidR="008D5A5B">
        <w:rPr>
          <w:rStyle w:val="Textoennegrita"/>
          <w:rFonts w:ascii="Century Gothic" w:hAnsi="Century Gothic" w:cs="Arial"/>
          <w:b w:val="0"/>
          <w:bCs w:val="0"/>
        </w:rPr>
        <w:t xml:space="preserve">, </w:t>
      </w:r>
      <w:r w:rsidR="005B595B">
        <w:rPr>
          <w:rStyle w:val="Textoennegrita"/>
          <w:rFonts w:ascii="Century Gothic" w:hAnsi="Century Gothic" w:cs="Arial"/>
          <w:b w:val="0"/>
          <w:bCs w:val="0"/>
        </w:rPr>
        <w:t>esto es, si está sometido al Estatuto General de la Administración Pública o</w:t>
      </w:r>
      <w:r w:rsidR="00CF7F5C">
        <w:rPr>
          <w:rStyle w:val="Textoennegrita"/>
          <w:rFonts w:ascii="Century Gothic" w:hAnsi="Century Gothic" w:cs="Arial"/>
          <w:b w:val="0"/>
          <w:bCs w:val="0"/>
        </w:rPr>
        <w:t xml:space="preserve"> al régimen de contratación con el que contratan el organismo cooperante, </w:t>
      </w:r>
      <w:r w:rsidR="008D5A5B">
        <w:rPr>
          <w:rStyle w:val="Textoennegrita"/>
          <w:rFonts w:ascii="Century Gothic" w:hAnsi="Century Gothic" w:cs="Arial"/>
          <w:b w:val="0"/>
          <w:bCs w:val="0"/>
        </w:rPr>
        <w:t>pues ello aún se rige por l</w:t>
      </w:r>
      <w:r w:rsidR="00CF7F5C">
        <w:rPr>
          <w:rStyle w:val="Textoennegrita"/>
          <w:rFonts w:ascii="Century Gothic" w:hAnsi="Century Gothic" w:cs="Arial"/>
          <w:b w:val="0"/>
          <w:bCs w:val="0"/>
        </w:rPr>
        <w:t>as reglas de</w:t>
      </w:r>
      <w:r w:rsidR="00EE0716">
        <w:rPr>
          <w:rStyle w:val="Textoennegrita"/>
          <w:rFonts w:ascii="Century Gothic" w:hAnsi="Century Gothic" w:cs="Arial"/>
          <w:b w:val="0"/>
          <w:bCs w:val="0"/>
        </w:rPr>
        <w:t xml:space="preserve"> los </w:t>
      </w:r>
      <w:r w:rsidR="008D5A5B">
        <w:rPr>
          <w:rStyle w:val="Textoennegrita"/>
          <w:rFonts w:ascii="Century Gothic" w:hAnsi="Century Gothic" w:cs="Arial"/>
          <w:b w:val="0"/>
          <w:bCs w:val="0"/>
        </w:rPr>
        <w:t xml:space="preserve">establecido en el artículo 20 de la Ley 1150 de </w:t>
      </w:r>
      <w:r w:rsidR="00CF7F5C">
        <w:rPr>
          <w:rStyle w:val="Textoennegrita"/>
          <w:rFonts w:ascii="Century Gothic" w:hAnsi="Century Gothic" w:cs="Arial"/>
          <w:b w:val="0"/>
          <w:bCs w:val="0"/>
        </w:rPr>
        <w:t>2007</w:t>
      </w:r>
      <w:r w:rsidR="00EE0716">
        <w:rPr>
          <w:rStyle w:val="Textoennegrita"/>
          <w:rFonts w:ascii="Century Gothic" w:hAnsi="Century Gothic" w:cs="Arial"/>
          <w:b w:val="0"/>
          <w:bCs w:val="0"/>
        </w:rPr>
        <w:t xml:space="preserve"> y en el </w:t>
      </w:r>
      <w:r w:rsidR="00EE0716" w:rsidRPr="006F7426">
        <w:rPr>
          <w:rFonts w:ascii="Century Gothic" w:hAnsi="Century Gothic" w:cs="Arial"/>
          <w:color w:val="000000" w:themeColor="text1"/>
          <w:lang w:val="es-ES_tradnl"/>
        </w:rPr>
        <w:t xml:space="preserve">artículo </w:t>
      </w:r>
      <w:bookmarkStart w:id="17" w:name="_Hlk146187072"/>
      <w:r w:rsidR="00EE0716" w:rsidRPr="006F7426">
        <w:rPr>
          <w:rFonts w:ascii="Century Gothic" w:hAnsi="Century Gothic" w:cs="Arial"/>
          <w:color w:val="000000" w:themeColor="text1"/>
          <w:lang w:val="es-ES_tradnl"/>
        </w:rPr>
        <w:t>2.2.1.2.4.4.1. del Decreto 1082 de 2015</w:t>
      </w:r>
      <w:r w:rsidR="00EE0716">
        <w:rPr>
          <w:rFonts w:ascii="Century Gothic" w:hAnsi="Century Gothic" w:cs="Arial"/>
          <w:color w:val="000000" w:themeColor="text1"/>
          <w:lang w:val="es-ES_tradnl"/>
        </w:rPr>
        <w:t>.</w:t>
      </w:r>
    </w:p>
    <w:bookmarkEnd w:id="17"/>
    <w:p w14:paraId="1A11FA08" w14:textId="77777777" w:rsidR="00A8598A" w:rsidRPr="006F7426" w:rsidRDefault="00A8598A" w:rsidP="00A8598A">
      <w:pPr>
        <w:spacing w:line="276" w:lineRule="auto"/>
        <w:jc w:val="both"/>
        <w:rPr>
          <w:rFonts w:ascii="Century Gothic" w:eastAsia="Calibri" w:hAnsi="Century Gothic" w:cs="Arial"/>
          <w:b/>
        </w:rPr>
      </w:pPr>
      <w:r w:rsidRPr="006F7426">
        <w:rPr>
          <w:rFonts w:ascii="Century Gothic" w:eastAsia="Calibri" w:hAnsi="Century Gothic" w:cs="Arial"/>
          <w:b/>
        </w:rPr>
        <w:t xml:space="preserve">3. Respuesta </w:t>
      </w:r>
    </w:p>
    <w:p w14:paraId="3CF0080A" w14:textId="77777777" w:rsidR="006800BB" w:rsidRPr="006F7426" w:rsidRDefault="006800BB" w:rsidP="006800BB">
      <w:pPr>
        <w:autoSpaceDE w:val="0"/>
        <w:autoSpaceDN w:val="0"/>
        <w:adjustRightInd w:val="0"/>
        <w:ind w:left="709" w:right="616"/>
        <w:jc w:val="both"/>
        <w:rPr>
          <w:rFonts w:ascii="Century Gothic" w:eastAsia="Calibri" w:hAnsi="Century Gothic" w:cs="Arial"/>
          <w:sz w:val="21"/>
          <w:szCs w:val="21"/>
          <w:lang w:val="es-ES_tradnl" w:eastAsia="es-CO"/>
        </w:rPr>
      </w:pPr>
      <w:r>
        <w:rPr>
          <w:rFonts w:ascii="Century Gothic" w:eastAsia="Calibri" w:hAnsi="Century Gothic" w:cs="Arial"/>
          <w:sz w:val="21"/>
          <w:szCs w:val="21"/>
          <w:lang w:val="es-ES_tradnl" w:eastAsia="es-CO"/>
        </w:rPr>
        <w:t>“(…) a</w:t>
      </w:r>
      <w:r w:rsidRPr="00C5099E">
        <w:t xml:space="preserve"> </w:t>
      </w:r>
      <w:r w:rsidRPr="00C5099E">
        <w:rPr>
          <w:rFonts w:ascii="Century Gothic" w:hAnsi="Century Gothic" w:cs="Arial"/>
          <w:sz w:val="21"/>
          <w:szCs w:val="21"/>
        </w:rPr>
        <w:t>l momento de suscribir un convenio de cooperación internacional, las</w:t>
      </w:r>
      <w:r>
        <w:rPr>
          <w:rFonts w:ascii="Century Gothic" w:hAnsi="Century Gothic" w:cs="Arial"/>
          <w:sz w:val="21"/>
          <w:szCs w:val="21"/>
        </w:rPr>
        <w:t xml:space="preserve"> </w:t>
      </w:r>
      <w:r w:rsidRPr="00C5099E">
        <w:rPr>
          <w:rFonts w:ascii="Century Gothic" w:hAnsi="Century Gothic" w:cs="Arial"/>
          <w:sz w:val="21"/>
          <w:szCs w:val="21"/>
        </w:rPr>
        <w:t>entidades estatales deben debe tener una contrapartida de recursos financieros mínimo</w:t>
      </w:r>
      <w:r>
        <w:rPr>
          <w:rFonts w:ascii="Century Gothic" w:hAnsi="Century Gothic" w:cs="Arial"/>
          <w:sz w:val="21"/>
          <w:szCs w:val="21"/>
        </w:rPr>
        <w:t xml:space="preserve"> </w:t>
      </w:r>
      <w:r w:rsidRPr="00C5099E">
        <w:rPr>
          <w:rFonts w:ascii="Century Gothic" w:hAnsi="Century Gothic" w:cs="Arial"/>
          <w:sz w:val="21"/>
          <w:szCs w:val="21"/>
        </w:rPr>
        <w:t xml:space="preserve">del 30%, del socio de cooperación internacional?; </w:t>
      </w:r>
      <w:proofErr w:type="gramStart"/>
      <w:r w:rsidRPr="00C5099E">
        <w:rPr>
          <w:rFonts w:ascii="Century Gothic" w:hAnsi="Century Gothic" w:cs="Arial"/>
          <w:sz w:val="21"/>
          <w:szCs w:val="21"/>
        </w:rPr>
        <w:t>O esa disposición normativa, que</w:t>
      </w:r>
      <w:r>
        <w:rPr>
          <w:rFonts w:ascii="Century Gothic" w:hAnsi="Century Gothic" w:cs="Arial"/>
          <w:sz w:val="21"/>
          <w:szCs w:val="21"/>
        </w:rPr>
        <w:t xml:space="preserve"> </w:t>
      </w:r>
      <w:r w:rsidRPr="00C5099E">
        <w:rPr>
          <w:rFonts w:ascii="Century Gothic" w:hAnsi="Century Gothic" w:cs="Arial"/>
          <w:sz w:val="21"/>
          <w:szCs w:val="21"/>
        </w:rPr>
        <w:t>trata el Decreto 603 de 2022, no aplica a los procesos de contratación del artículo 20</w:t>
      </w:r>
      <w:r>
        <w:rPr>
          <w:rFonts w:ascii="Century Gothic" w:hAnsi="Century Gothic" w:cs="Arial"/>
          <w:sz w:val="21"/>
          <w:szCs w:val="21"/>
        </w:rPr>
        <w:t xml:space="preserve"> </w:t>
      </w:r>
      <w:r w:rsidRPr="00C5099E">
        <w:rPr>
          <w:rFonts w:ascii="Century Gothic" w:hAnsi="Century Gothic" w:cs="Arial"/>
          <w:sz w:val="21"/>
          <w:szCs w:val="21"/>
        </w:rPr>
        <w:t>de la Ley 1150 de 2007?</w:t>
      </w:r>
      <w:proofErr w:type="gramEnd"/>
      <w:r>
        <w:rPr>
          <w:rFonts w:ascii="Century Gothic" w:eastAsia="Calibri" w:hAnsi="Century Gothic" w:cs="Arial"/>
          <w:sz w:val="21"/>
          <w:szCs w:val="21"/>
          <w:lang w:val="es-ES_tradnl" w:eastAsia="es-CO"/>
        </w:rPr>
        <w:t>” (Sic)</w:t>
      </w:r>
      <w:r w:rsidRPr="006F7426">
        <w:rPr>
          <w:rFonts w:ascii="Century Gothic" w:eastAsia="Calibri" w:hAnsi="Century Gothic" w:cs="Arial"/>
          <w:sz w:val="21"/>
          <w:szCs w:val="21"/>
          <w:lang w:val="es-ES_tradnl" w:eastAsia="es-CO"/>
        </w:rPr>
        <w:t>.</w:t>
      </w:r>
    </w:p>
    <w:p w14:paraId="7D321399" w14:textId="77777777" w:rsidR="00A8598A" w:rsidRPr="006F7426" w:rsidRDefault="00A8598A" w:rsidP="00A8598A">
      <w:pPr>
        <w:spacing w:after="0" w:line="240" w:lineRule="auto"/>
        <w:ind w:left="709" w:right="709"/>
        <w:jc w:val="both"/>
        <w:rPr>
          <w:rFonts w:ascii="Century Gothic" w:eastAsia="Calibri" w:hAnsi="Century Gothic" w:cs="Arial"/>
          <w:sz w:val="21"/>
          <w:szCs w:val="21"/>
          <w:lang w:val="es-ES_tradnl" w:eastAsia="es-CO"/>
        </w:rPr>
      </w:pPr>
    </w:p>
    <w:p w14:paraId="0526E2E0" w14:textId="461D27DB" w:rsidR="00A8598A" w:rsidRPr="006F7426" w:rsidRDefault="00A8598A" w:rsidP="00A8598A">
      <w:pPr>
        <w:spacing w:after="120" w:line="276" w:lineRule="auto"/>
        <w:jc w:val="both"/>
        <w:rPr>
          <w:rFonts w:ascii="Century Gothic" w:hAnsi="Century Gothic" w:cs="Arial"/>
          <w:color w:val="000000" w:themeColor="text1"/>
          <w:lang w:val="es-ES_tradnl"/>
        </w:rPr>
      </w:pPr>
      <w:r w:rsidRPr="006F7426">
        <w:rPr>
          <w:rFonts w:ascii="Century Gothic" w:hAnsi="Century Gothic" w:cs="Arial"/>
          <w:color w:val="000000" w:themeColor="text1"/>
          <w:lang w:val="es-ES_tradnl"/>
        </w:rPr>
        <w:t xml:space="preserve">De acuerdo con lo expuesto, </w:t>
      </w:r>
      <w:r w:rsidR="00957E2F">
        <w:rPr>
          <w:rFonts w:ascii="Century Gothic" w:hAnsi="Century Gothic" w:cs="Arial"/>
          <w:color w:val="000000" w:themeColor="text1"/>
          <w:lang w:val="es-ES_tradnl"/>
        </w:rPr>
        <w:t>los</w:t>
      </w:r>
      <w:r w:rsidRPr="006F7426">
        <w:rPr>
          <w:rFonts w:ascii="Century Gothic" w:hAnsi="Century Gothic" w:cs="Arial"/>
          <w:color w:val="000000" w:themeColor="text1"/>
          <w:lang w:val="es-ES_tradnl"/>
        </w:rPr>
        <w:t xml:space="preserve"> artículo</w:t>
      </w:r>
      <w:r w:rsidR="00957E2F">
        <w:rPr>
          <w:rFonts w:ascii="Century Gothic" w:hAnsi="Century Gothic" w:cs="Arial"/>
          <w:color w:val="000000" w:themeColor="text1"/>
          <w:lang w:val="es-ES_tradnl"/>
        </w:rPr>
        <w:t>s</w:t>
      </w:r>
      <w:r w:rsidRPr="006F7426">
        <w:rPr>
          <w:rFonts w:ascii="Century Gothic" w:hAnsi="Century Gothic" w:cs="Arial"/>
          <w:color w:val="000000" w:themeColor="text1"/>
          <w:lang w:val="es-ES_tradnl"/>
        </w:rPr>
        <w:t xml:space="preserve"> 20 de la Ley 1150 de 2007 </w:t>
      </w:r>
      <w:r w:rsidR="00957E2F">
        <w:rPr>
          <w:rFonts w:ascii="Century Gothic" w:hAnsi="Century Gothic" w:cs="Arial"/>
          <w:color w:val="000000" w:themeColor="text1"/>
          <w:lang w:val="es-ES_tradnl"/>
        </w:rPr>
        <w:t xml:space="preserve">y </w:t>
      </w:r>
      <w:r w:rsidR="00957E2F" w:rsidRPr="00957E2F">
        <w:rPr>
          <w:rFonts w:ascii="Century Gothic" w:hAnsi="Century Gothic" w:cs="Arial"/>
          <w:color w:val="000000" w:themeColor="text1"/>
          <w:lang w:val="es-ES_tradnl"/>
        </w:rPr>
        <w:t>2.2.1.2.4.4.1. del Decreto 1082 de 2015</w:t>
      </w:r>
      <w:r w:rsidR="00957E2F">
        <w:rPr>
          <w:rFonts w:ascii="Century Gothic" w:hAnsi="Century Gothic" w:cs="Arial"/>
          <w:color w:val="000000" w:themeColor="text1"/>
          <w:lang w:val="es-ES_tradnl"/>
        </w:rPr>
        <w:t xml:space="preserve">, </w:t>
      </w:r>
      <w:r w:rsidR="005179FE">
        <w:rPr>
          <w:rFonts w:ascii="Century Gothic" w:hAnsi="Century Gothic" w:cs="Arial"/>
          <w:color w:val="000000" w:themeColor="text1"/>
          <w:lang w:val="es-ES_tradnl"/>
        </w:rPr>
        <w:t>contemplan el marco</w:t>
      </w:r>
      <w:r w:rsidR="009261EA">
        <w:rPr>
          <w:rFonts w:ascii="Century Gothic" w:hAnsi="Century Gothic" w:cs="Arial"/>
          <w:color w:val="000000" w:themeColor="text1"/>
          <w:lang w:val="es-ES_tradnl"/>
        </w:rPr>
        <w:t xml:space="preserve"> jurídico</w:t>
      </w:r>
      <w:r w:rsidR="005179FE">
        <w:rPr>
          <w:rFonts w:ascii="Century Gothic" w:hAnsi="Century Gothic" w:cs="Arial"/>
          <w:color w:val="000000" w:themeColor="text1"/>
          <w:lang w:val="es-ES_tradnl"/>
        </w:rPr>
        <w:t xml:space="preserve"> que </w:t>
      </w:r>
      <w:r w:rsidRPr="006F7426">
        <w:rPr>
          <w:rFonts w:ascii="Century Gothic" w:hAnsi="Century Gothic" w:cs="Arial"/>
          <w:color w:val="000000" w:themeColor="text1"/>
          <w:lang w:val="es-ES_tradnl"/>
        </w:rPr>
        <w:t xml:space="preserve">permite </w:t>
      </w:r>
      <w:r w:rsidR="005179FE">
        <w:rPr>
          <w:rFonts w:ascii="Century Gothic" w:hAnsi="Century Gothic" w:cs="Arial"/>
          <w:color w:val="000000" w:themeColor="text1"/>
          <w:lang w:val="es-ES_tradnl"/>
        </w:rPr>
        <w:t>a</w:t>
      </w:r>
      <w:r w:rsidRPr="006F7426">
        <w:rPr>
          <w:rFonts w:ascii="Century Gothic" w:hAnsi="Century Gothic" w:cs="Arial"/>
          <w:color w:val="000000" w:themeColor="text1"/>
          <w:lang w:val="es-ES_tradnl"/>
        </w:rPr>
        <w:t xml:space="preserve"> las entidades estatales </w:t>
      </w:r>
      <w:r w:rsidR="005179FE" w:rsidRPr="006F7426">
        <w:rPr>
          <w:rFonts w:ascii="Century Gothic" w:hAnsi="Century Gothic" w:cs="Arial"/>
          <w:color w:val="000000" w:themeColor="text1"/>
          <w:lang w:val="es-ES_tradnl"/>
        </w:rPr>
        <w:t>celeb</w:t>
      </w:r>
      <w:r w:rsidR="005179FE">
        <w:rPr>
          <w:rFonts w:ascii="Century Gothic" w:hAnsi="Century Gothic" w:cs="Arial"/>
          <w:color w:val="000000" w:themeColor="text1"/>
          <w:lang w:val="es-ES_tradnl"/>
        </w:rPr>
        <w:t>rar</w:t>
      </w:r>
      <w:r w:rsidRPr="006F7426">
        <w:rPr>
          <w:rFonts w:ascii="Century Gothic" w:hAnsi="Century Gothic" w:cs="Arial"/>
          <w:color w:val="000000" w:themeColor="text1"/>
          <w:lang w:val="es-ES_tradnl"/>
        </w:rPr>
        <w:t xml:space="preserve"> convenios con personas extranjeras de derecho público u organismos internacional</w:t>
      </w:r>
      <w:r w:rsidR="00D171B4">
        <w:rPr>
          <w:rFonts w:ascii="Century Gothic" w:hAnsi="Century Gothic" w:cs="Arial"/>
          <w:color w:val="000000" w:themeColor="text1"/>
          <w:lang w:val="es-ES_tradnl"/>
        </w:rPr>
        <w:t>es</w:t>
      </w:r>
      <w:r w:rsidR="004A789E">
        <w:rPr>
          <w:rFonts w:ascii="Century Gothic" w:hAnsi="Century Gothic" w:cs="Arial"/>
          <w:color w:val="000000" w:themeColor="text1"/>
          <w:lang w:val="es-ES_tradnl"/>
        </w:rPr>
        <w:t xml:space="preserve">, </w:t>
      </w:r>
      <w:r w:rsidRPr="006F7426">
        <w:rPr>
          <w:rFonts w:ascii="Century Gothic" w:hAnsi="Century Gothic" w:cs="Arial"/>
          <w:color w:val="000000" w:themeColor="text1"/>
          <w:lang w:val="es-ES_tradnl"/>
        </w:rPr>
        <w:t xml:space="preserve">pudiendo someterse </w:t>
      </w:r>
      <w:r w:rsidR="00982087">
        <w:rPr>
          <w:rFonts w:ascii="Century Gothic" w:hAnsi="Century Gothic" w:cs="Arial"/>
          <w:color w:val="000000" w:themeColor="text1"/>
          <w:lang w:val="es-ES_tradnl"/>
        </w:rPr>
        <w:t>al régimen de contratación</w:t>
      </w:r>
      <w:r w:rsidRPr="006F7426">
        <w:rPr>
          <w:rFonts w:ascii="Century Gothic" w:hAnsi="Century Gothic" w:cs="Arial"/>
          <w:color w:val="000000" w:themeColor="text1"/>
          <w:lang w:val="es-ES_tradnl"/>
        </w:rPr>
        <w:t xml:space="preserve"> d</w:t>
      </w:r>
      <w:r w:rsidR="004A789E">
        <w:rPr>
          <w:rFonts w:ascii="Century Gothic" w:hAnsi="Century Gothic" w:cs="Arial"/>
          <w:color w:val="000000" w:themeColor="text1"/>
          <w:lang w:val="es-ES_tradnl"/>
        </w:rPr>
        <w:t>el cooperante internacional, siempre y cuando cumpla</w:t>
      </w:r>
      <w:r w:rsidR="00BC6DB3">
        <w:rPr>
          <w:rFonts w:ascii="Century Gothic" w:hAnsi="Century Gothic" w:cs="Arial"/>
          <w:color w:val="000000" w:themeColor="text1"/>
          <w:lang w:val="es-ES_tradnl"/>
        </w:rPr>
        <w:t>n</w:t>
      </w:r>
      <w:r w:rsidR="004A789E">
        <w:rPr>
          <w:rFonts w:ascii="Century Gothic" w:hAnsi="Century Gothic" w:cs="Arial"/>
          <w:color w:val="000000" w:themeColor="text1"/>
          <w:lang w:val="es-ES_tradnl"/>
        </w:rPr>
        <w:t xml:space="preserve"> con los diferentes supuestos establecidos en la</w:t>
      </w:r>
      <w:r w:rsidR="003E7936">
        <w:rPr>
          <w:rFonts w:ascii="Century Gothic" w:hAnsi="Century Gothic" w:cs="Arial"/>
          <w:color w:val="000000" w:themeColor="text1"/>
          <w:lang w:val="es-ES_tradnl"/>
        </w:rPr>
        <w:t>s</w:t>
      </w:r>
      <w:r w:rsidR="004A789E">
        <w:rPr>
          <w:rFonts w:ascii="Century Gothic" w:hAnsi="Century Gothic" w:cs="Arial"/>
          <w:color w:val="000000" w:themeColor="text1"/>
          <w:lang w:val="es-ES_tradnl"/>
        </w:rPr>
        <w:t xml:space="preserve"> citada norma</w:t>
      </w:r>
      <w:r w:rsidR="003E7936">
        <w:rPr>
          <w:rFonts w:ascii="Century Gothic" w:hAnsi="Century Gothic" w:cs="Arial"/>
          <w:color w:val="000000" w:themeColor="text1"/>
          <w:lang w:val="es-ES_tradnl"/>
        </w:rPr>
        <w:t>s</w:t>
      </w:r>
      <w:r w:rsidRPr="006F7426">
        <w:rPr>
          <w:rFonts w:ascii="Century Gothic" w:hAnsi="Century Gothic" w:cs="Arial"/>
          <w:color w:val="000000" w:themeColor="text1"/>
          <w:lang w:val="es-ES_tradnl"/>
        </w:rPr>
        <w:t xml:space="preserve">. </w:t>
      </w:r>
    </w:p>
    <w:p w14:paraId="27935879" w14:textId="2B2C55A7" w:rsidR="008722BD" w:rsidRDefault="00A8598A" w:rsidP="008722BD">
      <w:pPr>
        <w:shd w:val="clear" w:color="auto" w:fill="FFFFFF"/>
        <w:spacing w:after="120" w:line="276" w:lineRule="auto"/>
        <w:ind w:firstLine="709"/>
        <w:jc w:val="both"/>
        <w:rPr>
          <w:rFonts w:ascii="Century Gothic" w:hAnsi="Century Gothic" w:cs="Arial"/>
        </w:rPr>
      </w:pPr>
      <w:r w:rsidRPr="003F4BCE">
        <w:rPr>
          <w:rFonts w:ascii="Century Gothic" w:hAnsi="Century Gothic" w:cs="Arial"/>
          <w:color w:val="000000" w:themeColor="text1"/>
          <w:lang w:val="es-ES_tradnl"/>
        </w:rPr>
        <w:t xml:space="preserve">Por otro lado, </w:t>
      </w:r>
      <w:r w:rsidR="003E7936" w:rsidRPr="003F4BCE">
        <w:rPr>
          <w:rFonts w:ascii="Century Gothic" w:hAnsi="Century Gothic" w:cs="Arial"/>
          <w:color w:val="000000" w:themeColor="text1"/>
          <w:lang w:val="es-ES_tradnl"/>
        </w:rPr>
        <w:t>el</w:t>
      </w:r>
      <w:r w:rsidR="003E7936" w:rsidRPr="003F4BCE">
        <w:rPr>
          <w:rFonts w:ascii="Century Gothic" w:hAnsi="Century Gothic" w:cs="Arial"/>
          <w:b/>
          <w:bCs/>
          <w:color w:val="000000" w:themeColor="text1"/>
          <w:lang w:val="es-ES_tradnl"/>
        </w:rPr>
        <w:t xml:space="preserve"> </w:t>
      </w:r>
      <w:r w:rsidRPr="003F4BCE">
        <w:rPr>
          <w:rStyle w:val="Textoennegrita"/>
          <w:rFonts w:ascii="Century Gothic" w:hAnsi="Century Gothic" w:cs="Arial"/>
          <w:b w:val="0"/>
          <w:bCs w:val="0"/>
        </w:rPr>
        <w:t>artículo 2.2.8.3.4. del Decreto 603 de 2022</w:t>
      </w:r>
      <w:r w:rsidR="003E7936" w:rsidRPr="003F4BCE">
        <w:rPr>
          <w:rStyle w:val="Textoennegrita"/>
          <w:rFonts w:ascii="Century Gothic" w:hAnsi="Century Gothic" w:cs="Arial"/>
          <w:b w:val="0"/>
          <w:bCs w:val="0"/>
        </w:rPr>
        <w:t xml:space="preserve"> incorporó una regla especial </w:t>
      </w:r>
      <w:r w:rsidR="00072CA6" w:rsidRPr="003F4BCE">
        <w:rPr>
          <w:rStyle w:val="Textoennegrita"/>
          <w:rFonts w:ascii="Century Gothic" w:hAnsi="Century Gothic" w:cs="Arial"/>
          <w:b w:val="0"/>
          <w:bCs w:val="0"/>
        </w:rPr>
        <w:t>para</w:t>
      </w:r>
      <w:r w:rsidR="003E7936" w:rsidRPr="003F4BCE">
        <w:rPr>
          <w:rStyle w:val="Textoennegrita"/>
          <w:rFonts w:ascii="Century Gothic" w:hAnsi="Century Gothic" w:cs="Arial"/>
          <w:b w:val="0"/>
          <w:bCs w:val="0"/>
        </w:rPr>
        <w:t xml:space="preserve"> tener en cuenta </w:t>
      </w:r>
      <w:r w:rsidR="00825F16" w:rsidRPr="003F4BCE">
        <w:rPr>
          <w:rStyle w:val="Textoennegrita"/>
          <w:rFonts w:ascii="Century Gothic" w:hAnsi="Century Gothic" w:cs="Arial"/>
          <w:b w:val="0"/>
          <w:bCs w:val="0"/>
        </w:rPr>
        <w:t>por</w:t>
      </w:r>
      <w:r w:rsidR="00072CA6">
        <w:rPr>
          <w:rStyle w:val="Textoennegrita"/>
          <w:rFonts w:ascii="Century Gothic" w:hAnsi="Century Gothic" w:cs="Arial"/>
          <w:b w:val="0"/>
          <w:bCs w:val="0"/>
        </w:rPr>
        <w:t xml:space="preserve"> parte de</w:t>
      </w:r>
      <w:r w:rsidR="00825F16" w:rsidRPr="003F4BCE">
        <w:rPr>
          <w:rStyle w:val="Textoennegrita"/>
          <w:rFonts w:ascii="Century Gothic" w:hAnsi="Century Gothic" w:cs="Arial"/>
          <w:b w:val="0"/>
          <w:bCs w:val="0"/>
        </w:rPr>
        <w:t xml:space="preserve"> las entidades estatales cuando deseen celebrar convenios de cooperación internacional que </w:t>
      </w:r>
      <w:r w:rsidR="00825F16" w:rsidRPr="003F4BCE">
        <w:rPr>
          <w:rFonts w:ascii="Century Gothic" w:hAnsi="Century Gothic" w:cs="Arial"/>
        </w:rPr>
        <w:t xml:space="preserve">involucre recursos del Presupuesto General de la Nación, </w:t>
      </w:r>
      <w:r w:rsidR="003F4BCE">
        <w:rPr>
          <w:rFonts w:ascii="Century Gothic" w:hAnsi="Century Gothic" w:cs="Arial"/>
        </w:rPr>
        <w:t xml:space="preserve">pues sólo </w:t>
      </w:r>
      <w:r w:rsidR="00825F16" w:rsidRPr="003F4BCE">
        <w:rPr>
          <w:rFonts w:ascii="Century Gothic" w:hAnsi="Century Gothic" w:cs="Arial"/>
        </w:rPr>
        <w:t>en esos caso</w:t>
      </w:r>
      <w:r w:rsidR="002370CB">
        <w:rPr>
          <w:rFonts w:ascii="Century Gothic" w:hAnsi="Century Gothic" w:cs="Arial"/>
        </w:rPr>
        <w:t>s</w:t>
      </w:r>
      <w:r w:rsidR="00825F16" w:rsidRPr="003F4BCE">
        <w:rPr>
          <w:rFonts w:ascii="Century Gothic" w:hAnsi="Century Gothic" w:cs="Arial"/>
        </w:rPr>
        <w:t xml:space="preserve">, </w:t>
      </w:r>
      <w:r w:rsidR="00A74BB1" w:rsidRPr="003F4BCE">
        <w:rPr>
          <w:rFonts w:ascii="Century Gothic" w:hAnsi="Century Gothic" w:cs="Arial"/>
        </w:rPr>
        <w:t>la norma</w:t>
      </w:r>
      <w:r w:rsidR="00825F16" w:rsidRPr="003F4BCE">
        <w:rPr>
          <w:rFonts w:ascii="Century Gothic" w:hAnsi="Century Gothic" w:cs="Arial"/>
        </w:rPr>
        <w:t xml:space="preserve"> trae </w:t>
      </w:r>
      <w:r w:rsidR="002370CB">
        <w:rPr>
          <w:rFonts w:ascii="Century Gothic" w:hAnsi="Century Gothic" w:cs="Arial"/>
        </w:rPr>
        <w:t xml:space="preserve">consigo la prohibición de celebrar </w:t>
      </w:r>
      <w:r w:rsidR="00A23ED5">
        <w:rPr>
          <w:rFonts w:ascii="Century Gothic" w:hAnsi="Century Gothic" w:cs="Arial"/>
        </w:rPr>
        <w:t xml:space="preserve">por parte de Entidades Estatales dichos convenios, si el </w:t>
      </w:r>
      <w:r w:rsidR="00556AB1" w:rsidRPr="003F4BCE">
        <w:rPr>
          <w:rFonts w:ascii="Century Gothic" w:hAnsi="Century Gothic" w:cs="Arial"/>
        </w:rPr>
        <w:t xml:space="preserve">cooperante internacional </w:t>
      </w:r>
      <w:r w:rsidR="00A23ED5">
        <w:rPr>
          <w:rFonts w:ascii="Century Gothic" w:hAnsi="Century Gothic" w:cs="Arial"/>
        </w:rPr>
        <w:t xml:space="preserve">no </w:t>
      </w:r>
      <w:r w:rsidR="00556AB1" w:rsidRPr="003F4BCE">
        <w:rPr>
          <w:rFonts w:ascii="Century Gothic" w:hAnsi="Century Gothic" w:cs="Arial"/>
        </w:rPr>
        <w:t>aporta un mínimo del</w:t>
      </w:r>
      <w:r w:rsidR="00556AB1" w:rsidRPr="003F4BCE">
        <w:rPr>
          <w:rFonts w:ascii="Century Gothic" w:hAnsi="Century Gothic" w:cs="Arial"/>
          <w:b/>
          <w:bCs/>
        </w:rPr>
        <w:t xml:space="preserve"> </w:t>
      </w:r>
      <w:r w:rsidR="00CF2C73" w:rsidRPr="003F4BCE">
        <w:rPr>
          <w:rStyle w:val="Textoennegrita"/>
          <w:rFonts w:ascii="Century Gothic" w:hAnsi="Century Gothic" w:cs="Arial"/>
          <w:b w:val="0"/>
          <w:bCs w:val="0"/>
        </w:rPr>
        <w:t>30% de</w:t>
      </w:r>
      <w:r w:rsidRPr="003F4BCE">
        <w:rPr>
          <w:rStyle w:val="Textoennegrita"/>
          <w:rFonts w:ascii="Century Gothic" w:hAnsi="Century Gothic" w:cs="Arial"/>
          <w:b w:val="0"/>
          <w:bCs w:val="0"/>
        </w:rPr>
        <w:t xml:space="preserve"> </w:t>
      </w:r>
      <w:r w:rsidR="00556AB1" w:rsidRPr="003F4BCE">
        <w:rPr>
          <w:rStyle w:val="Textoennegrita"/>
          <w:rFonts w:ascii="Century Gothic" w:hAnsi="Century Gothic" w:cs="Arial"/>
          <w:b w:val="0"/>
          <w:bCs w:val="0"/>
        </w:rPr>
        <w:t xml:space="preserve">los </w:t>
      </w:r>
      <w:r w:rsidRPr="003F4BCE">
        <w:rPr>
          <w:rStyle w:val="Textoennegrita"/>
          <w:rFonts w:ascii="Century Gothic" w:hAnsi="Century Gothic" w:cs="Arial"/>
          <w:b w:val="0"/>
          <w:bCs w:val="0"/>
        </w:rPr>
        <w:t>recursos financieros</w:t>
      </w:r>
      <w:r w:rsidR="00CF2C73" w:rsidRPr="003F4BCE">
        <w:rPr>
          <w:rStyle w:val="Textoennegrita"/>
          <w:rFonts w:ascii="Century Gothic" w:hAnsi="Century Gothic" w:cs="Arial"/>
          <w:b w:val="0"/>
          <w:bCs w:val="0"/>
        </w:rPr>
        <w:t xml:space="preserve"> </w:t>
      </w:r>
      <w:r w:rsidR="00A23ED5">
        <w:rPr>
          <w:rStyle w:val="Textoennegrita"/>
          <w:rFonts w:ascii="Century Gothic" w:hAnsi="Century Gothic" w:cs="Arial"/>
          <w:b w:val="0"/>
          <w:bCs w:val="0"/>
        </w:rPr>
        <w:t xml:space="preserve">del proyecto </w:t>
      </w:r>
      <w:r w:rsidR="00A23ED5" w:rsidRPr="00A23ED5">
        <w:rPr>
          <w:rStyle w:val="Textoennegrita"/>
          <w:rFonts w:ascii="Century Gothic" w:hAnsi="Century Gothic" w:cs="Arial"/>
          <w:b w:val="0"/>
          <w:bCs w:val="0"/>
        </w:rPr>
        <w:t xml:space="preserve">programa y/o iniciativa </w:t>
      </w:r>
      <w:r w:rsidR="004D6386">
        <w:rPr>
          <w:rStyle w:val="Textoennegrita"/>
          <w:rFonts w:ascii="Century Gothic" w:hAnsi="Century Gothic" w:cs="Arial"/>
          <w:b w:val="0"/>
          <w:bCs w:val="0"/>
        </w:rPr>
        <w:t xml:space="preserve">objeto de la </w:t>
      </w:r>
      <w:r w:rsidR="00A23ED5">
        <w:rPr>
          <w:rStyle w:val="Textoennegrita"/>
          <w:rFonts w:ascii="Century Gothic" w:hAnsi="Century Gothic" w:cs="Arial"/>
          <w:b w:val="0"/>
          <w:bCs w:val="0"/>
        </w:rPr>
        <w:t>cooperación</w:t>
      </w:r>
      <w:r w:rsidR="004D6386">
        <w:rPr>
          <w:rStyle w:val="Textoennegrita"/>
          <w:rFonts w:ascii="Century Gothic" w:hAnsi="Century Gothic" w:cs="Arial"/>
          <w:b w:val="0"/>
          <w:bCs w:val="0"/>
        </w:rPr>
        <w:t xml:space="preserve"> a celebrar</w:t>
      </w:r>
      <w:r w:rsidR="008722BD">
        <w:rPr>
          <w:rStyle w:val="Textoennegrita"/>
          <w:rFonts w:ascii="Century Gothic" w:hAnsi="Century Gothic" w:cs="Arial"/>
          <w:b w:val="0"/>
          <w:bCs w:val="0"/>
        </w:rPr>
        <w:t>.</w:t>
      </w:r>
      <w:r w:rsidR="00930569" w:rsidRPr="003F4BCE">
        <w:rPr>
          <w:rStyle w:val="Textoennegrita"/>
          <w:rFonts w:ascii="Century Gothic" w:hAnsi="Century Gothic" w:cs="Arial"/>
          <w:b w:val="0"/>
          <w:bCs w:val="0"/>
        </w:rPr>
        <w:t xml:space="preserve"> </w:t>
      </w:r>
      <w:r w:rsidR="008722BD">
        <w:rPr>
          <w:rStyle w:val="Textoennegrita"/>
          <w:rFonts w:ascii="Century Gothic" w:hAnsi="Century Gothic" w:cs="Arial"/>
          <w:b w:val="0"/>
          <w:bCs w:val="0"/>
        </w:rPr>
        <w:t xml:space="preserve">Por lo tanto, es importante aclarar que esta normas en principio, no inaplica o </w:t>
      </w:r>
      <w:r w:rsidR="00D803A4">
        <w:rPr>
          <w:rStyle w:val="Textoennegrita"/>
          <w:rFonts w:ascii="Century Gothic" w:hAnsi="Century Gothic" w:cs="Arial"/>
          <w:b w:val="0"/>
          <w:bCs w:val="0"/>
        </w:rPr>
        <w:t xml:space="preserve">se </w:t>
      </w:r>
      <w:r w:rsidR="008722BD">
        <w:rPr>
          <w:rStyle w:val="Textoennegrita"/>
          <w:rFonts w:ascii="Century Gothic" w:hAnsi="Century Gothic" w:cs="Arial"/>
          <w:b w:val="0"/>
          <w:bCs w:val="0"/>
        </w:rPr>
        <w:t>contradice</w:t>
      </w:r>
      <w:r w:rsidR="00D803A4">
        <w:rPr>
          <w:rStyle w:val="Textoennegrita"/>
          <w:rFonts w:ascii="Century Gothic" w:hAnsi="Century Gothic" w:cs="Arial"/>
          <w:b w:val="0"/>
          <w:bCs w:val="0"/>
        </w:rPr>
        <w:t xml:space="preserve"> con los artículos </w:t>
      </w:r>
      <w:r w:rsidR="00D803A4" w:rsidRPr="006F7426">
        <w:rPr>
          <w:rFonts w:ascii="Century Gothic" w:hAnsi="Century Gothic" w:cs="Arial"/>
          <w:color w:val="000000" w:themeColor="text1"/>
          <w:lang w:val="es-ES_tradnl"/>
        </w:rPr>
        <w:t xml:space="preserve">20 de la Ley 1150 de 2007 </w:t>
      </w:r>
      <w:r w:rsidR="00D803A4">
        <w:rPr>
          <w:rFonts w:ascii="Century Gothic" w:hAnsi="Century Gothic" w:cs="Arial"/>
          <w:color w:val="000000" w:themeColor="text1"/>
          <w:lang w:val="es-ES_tradnl"/>
        </w:rPr>
        <w:t xml:space="preserve">y </w:t>
      </w:r>
      <w:r w:rsidR="00D803A4" w:rsidRPr="00957E2F">
        <w:rPr>
          <w:rFonts w:ascii="Century Gothic" w:hAnsi="Century Gothic" w:cs="Arial"/>
          <w:color w:val="000000" w:themeColor="text1"/>
          <w:lang w:val="es-ES_tradnl"/>
        </w:rPr>
        <w:t>2.2.1.2.4.4.1. del Decreto 1082 de 2015</w:t>
      </w:r>
      <w:r w:rsidR="00D803A4">
        <w:rPr>
          <w:rStyle w:val="Textoennegrita"/>
          <w:rFonts w:ascii="Century Gothic" w:hAnsi="Century Gothic" w:cs="Arial"/>
          <w:b w:val="0"/>
          <w:bCs w:val="0"/>
        </w:rPr>
        <w:t>,</w:t>
      </w:r>
      <w:r w:rsidR="008722BD">
        <w:rPr>
          <w:rStyle w:val="Textoennegrita"/>
          <w:rFonts w:ascii="Century Gothic" w:hAnsi="Century Gothic" w:cs="Arial"/>
          <w:b w:val="0"/>
          <w:bCs w:val="0"/>
        </w:rPr>
        <w:t xml:space="preserve"> por </w:t>
      </w:r>
      <w:r w:rsidR="004D6386">
        <w:rPr>
          <w:rStyle w:val="Textoennegrita"/>
          <w:rFonts w:ascii="Century Gothic" w:hAnsi="Century Gothic" w:cs="Arial"/>
          <w:b w:val="0"/>
          <w:bCs w:val="0"/>
        </w:rPr>
        <w:t>el</w:t>
      </w:r>
      <w:r w:rsidR="008722BD">
        <w:rPr>
          <w:rStyle w:val="Textoennegrita"/>
          <w:rFonts w:ascii="Century Gothic" w:hAnsi="Century Gothic" w:cs="Arial"/>
          <w:b w:val="0"/>
          <w:bCs w:val="0"/>
        </w:rPr>
        <w:t xml:space="preserve"> </w:t>
      </w:r>
      <w:r w:rsidR="001C595C">
        <w:rPr>
          <w:rStyle w:val="Textoennegrita"/>
          <w:rFonts w:ascii="Century Gothic" w:hAnsi="Century Gothic" w:cs="Arial"/>
          <w:b w:val="0"/>
          <w:bCs w:val="0"/>
        </w:rPr>
        <w:t>contrario,</w:t>
      </w:r>
      <w:r w:rsidR="008722BD">
        <w:rPr>
          <w:rStyle w:val="Textoennegrita"/>
          <w:rFonts w:ascii="Century Gothic" w:hAnsi="Century Gothic" w:cs="Arial"/>
          <w:b w:val="0"/>
          <w:bCs w:val="0"/>
        </w:rPr>
        <w:t xml:space="preserve"> se complementan, siempre y cuando se trate de convenios de cooperación </w:t>
      </w:r>
      <w:r w:rsidR="00E56406">
        <w:rPr>
          <w:rStyle w:val="Textoennegrita"/>
          <w:rFonts w:ascii="Century Gothic" w:hAnsi="Century Gothic" w:cs="Arial"/>
          <w:b w:val="0"/>
          <w:bCs w:val="0"/>
        </w:rPr>
        <w:t xml:space="preserve">internacional </w:t>
      </w:r>
      <w:r w:rsidR="008722BD">
        <w:rPr>
          <w:rStyle w:val="Textoennegrita"/>
          <w:rFonts w:ascii="Century Gothic" w:hAnsi="Century Gothic" w:cs="Arial"/>
          <w:b w:val="0"/>
          <w:bCs w:val="0"/>
        </w:rPr>
        <w:t xml:space="preserve">que involucren </w:t>
      </w:r>
      <w:r w:rsidR="008722BD" w:rsidRPr="003F4BCE">
        <w:rPr>
          <w:rFonts w:ascii="Century Gothic" w:hAnsi="Century Gothic" w:cs="Arial"/>
        </w:rPr>
        <w:t>recursos del Presupuesto General de la Nación</w:t>
      </w:r>
      <w:r w:rsidR="00933F81">
        <w:rPr>
          <w:rFonts w:ascii="Century Gothic" w:hAnsi="Century Gothic" w:cs="Arial"/>
        </w:rPr>
        <w:t xml:space="preserve">. En </w:t>
      </w:r>
      <w:r w:rsidR="00D803A4">
        <w:rPr>
          <w:rFonts w:ascii="Century Gothic" w:hAnsi="Century Gothic" w:cs="Arial"/>
        </w:rPr>
        <w:t>consecuencia</w:t>
      </w:r>
      <w:r w:rsidR="00BA3AC3">
        <w:rPr>
          <w:rFonts w:ascii="Century Gothic" w:hAnsi="Century Gothic" w:cs="Arial"/>
        </w:rPr>
        <w:t xml:space="preserve">, cuando se trate de </w:t>
      </w:r>
      <w:r w:rsidR="001C595C">
        <w:rPr>
          <w:rFonts w:ascii="Century Gothic" w:hAnsi="Century Gothic" w:cs="Arial"/>
        </w:rPr>
        <w:t xml:space="preserve">convenios de cooperación internacional que no impliquen la ejecución de </w:t>
      </w:r>
      <w:r w:rsidR="00D803A4" w:rsidRPr="003F4BCE">
        <w:rPr>
          <w:rFonts w:ascii="Century Gothic" w:hAnsi="Century Gothic" w:cs="Arial"/>
        </w:rPr>
        <w:t>recursos del Presupuesto General de la Nación</w:t>
      </w:r>
      <w:r w:rsidR="00B50F9A">
        <w:rPr>
          <w:rFonts w:ascii="Century Gothic" w:hAnsi="Century Gothic" w:cs="Arial"/>
        </w:rPr>
        <w:t>,</w:t>
      </w:r>
      <w:r w:rsidR="001C595C">
        <w:rPr>
          <w:rFonts w:ascii="Century Gothic" w:hAnsi="Century Gothic" w:cs="Arial"/>
        </w:rPr>
        <w:t xml:space="preserve"> el </w:t>
      </w:r>
      <w:r w:rsidR="00D2770F">
        <w:rPr>
          <w:rFonts w:ascii="Century Gothic" w:hAnsi="Century Gothic" w:cs="Arial"/>
        </w:rPr>
        <w:t xml:space="preserve">contenido del </w:t>
      </w:r>
      <w:r w:rsidR="001C595C" w:rsidRPr="003F4BCE">
        <w:rPr>
          <w:rStyle w:val="Textoennegrita"/>
          <w:rFonts w:ascii="Century Gothic" w:hAnsi="Century Gothic" w:cs="Arial"/>
          <w:b w:val="0"/>
          <w:bCs w:val="0"/>
        </w:rPr>
        <w:t>artículo 2.2.8.3.4. del Decreto 603 de 2022</w:t>
      </w:r>
      <w:r w:rsidR="001C595C">
        <w:rPr>
          <w:rStyle w:val="Textoennegrita"/>
          <w:rFonts w:ascii="Century Gothic" w:hAnsi="Century Gothic" w:cs="Arial"/>
          <w:b w:val="0"/>
          <w:bCs w:val="0"/>
        </w:rPr>
        <w:t xml:space="preserve"> no le es aplicable.</w:t>
      </w:r>
    </w:p>
    <w:p w14:paraId="6263294E" w14:textId="7F845689" w:rsidR="008722BD" w:rsidRPr="006800BB" w:rsidRDefault="00215FB5" w:rsidP="008722BD">
      <w:pPr>
        <w:shd w:val="clear" w:color="auto" w:fill="FFFFFF"/>
        <w:spacing w:after="120" w:line="276" w:lineRule="auto"/>
        <w:ind w:firstLine="709"/>
        <w:jc w:val="both"/>
        <w:rPr>
          <w:rStyle w:val="Textoennegrita"/>
          <w:rFonts w:ascii="Century Gothic" w:hAnsi="Century Gothic" w:cs="Arial"/>
          <w:b w:val="0"/>
          <w:bCs w:val="0"/>
          <w:color w:val="000000" w:themeColor="text1"/>
          <w:lang w:val="es-ES_tradnl"/>
        </w:rPr>
      </w:pPr>
      <w:r>
        <w:rPr>
          <w:rStyle w:val="Textoennegrita"/>
          <w:rFonts w:ascii="Century Gothic" w:hAnsi="Century Gothic" w:cs="Arial"/>
          <w:b w:val="0"/>
          <w:bCs w:val="0"/>
        </w:rPr>
        <w:t>Ahora bien, es importante aclarar que</w:t>
      </w:r>
      <w:r w:rsidR="00E337F3">
        <w:rPr>
          <w:rStyle w:val="Textoennegrita"/>
          <w:rFonts w:ascii="Century Gothic" w:hAnsi="Century Gothic" w:cs="Arial"/>
          <w:b w:val="0"/>
          <w:bCs w:val="0"/>
        </w:rPr>
        <w:t xml:space="preserve"> </w:t>
      </w:r>
      <w:r w:rsidR="00E337F3">
        <w:rPr>
          <w:rFonts w:ascii="Century Gothic" w:hAnsi="Century Gothic" w:cs="Arial"/>
        </w:rPr>
        <w:t xml:space="preserve">el porcentaje mínimo </w:t>
      </w:r>
      <w:r w:rsidR="00B2137D">
        <w:rPr>
          <w:rFonts w:ascii="Century Gothic" w:hAnsi="Century Gothic" w:cs="Arial"/>
        </w:rPr>
        <w:t xml:space="preserve">de los recursos financieros del cooperante internacional </w:t>
      </w:r>
      <w:r w:rsidR="00E337F3">
        <w:rPr>
          <w:rFonts w:ascii="Century Gothic" w:hAnsi="Century Gothic" w:cs="Arial"/>
        </w:rPr>
        <w:t xml:space="preserve">contenido en </w:t>
      </w:r>
      <w:r w:rsidR="00B2137D">
        <w:rPr>
          <w:rFonts w:ascii="Century Gothic" w:hAnsi="Century Gothic" w:cs="Arial"/>
        </w:rPr>
        <w:t>el artículo</w:t>
      </w:r>
      <w:r w:rsidR="00E337F3" w:rsidRPr="003F4BCE">
        <w:rPr>
          <w:rStyle w:val="Textoennegrita"/>
          <w:rFonts w:ascii="Century Gothic" w:hAnsi="Century Gothic" w:cs="Arial"/>
          <w:b w:val="0"/>
          <w:bCs w:val="0"/>
        </w:rPr>
        <w:t xml:space="preserve"> 2.2.8.3.4. del Decreto 603 de 2022</w:t>
      </w:r>
      <w:r w:rsidR="00E337F3">
        <w:rPr>
          <w:rStyle w:val="Textoennegrita"/>
          <w:rFonts w:ascii="Century Gothic" w:hAnsi="Century Gothic" w:cs="Arial"/>
          <w:b w:val="0"/>
          <w:bCs w:val="0"/>
        </w:rPr>
        <w:t>, en nin</w:t>
      </w:r>
      <w:r w:rsidR="00B2137D">
        <w:rPr>
          <w:rStyle w:val="Textoennegrita"/>
          <w:rFonts w:ascii="Century Gothic" w:hAnsi="Century Gothic" w:cs="Arial"/>
          <w:b w:val="0"/>
          <w:bCs w:val="0"/>
        </w:rPr>
        <w:t xml:space="preserve">gún </w:t>
      </w:r>
      <w:r w:rsidR="008722BD">
        <w:rPr>
          <w:rStyle w:val="Textoennegrita"/>
          <w:rFonts w:ascii="Century Gothic" w:hAnsi="Century Gothic" w:cs="Arial"/>
          <w:b w:val="0"/>
          <w:bCs w:val="0"/>
        </w:rPr>
        <w:t xml:space="preserve">momento afecta las reglas sobre el régimen de contratación que le sea aplicable al convenio </w:t>
      </w:r>
      <w:r w:rsidR="008722BD" w:rsidRPr="008D2363">
        <w:rPr>
          <w:rStyle w:val="Textoennegrita"/>
          <w:rFonts w:ascii="Century Gothic" w:hAnsi="Century Gothic" w:cs="Arial"/>
          <w:b w:val="0"/>
          <w:bCs w:val="0"/>
        </w:rPr>
        <w:t>financiados con presupuesto general de la Nación</w:t>
      </w:r>
      <w:r w:rsidR="008722BD">
        <w:rPr>
          <w:rStyle w:val="Textoennegrita"/>
          <w:rFonts w:ascii="Century Gothic" w:hAnsi="Century Gothic" w:cs="Arial"/>
          <w:b w:val="0"/>
          <w:bCs w:val="0"/>
        </w:rPr>
        <w:t xml:space="preserve">, esto es, si está sometido al Estatuto General de la Administración Pública o al régimen de contratación con el que contratan el organismo cooperante, pues ello aún se rige por las reglas de los establecido en el artículo 20 de la Ley 1150 de 2007 y en el </w:t>
      </w:r>
      <w:r w:rsidR="008722BD" w:rsidRPr="006F7426">
        <w:rPr>
          <w:rFonts w:ascii="Century Gothic" w:hAnsi="Century Gothic" w:cs="Arial"/>
          <w:color w:val="000000" w:themeColor="text1"/>
          <w:lang w:val="es-ES_tradnl"/>
        </w:rPr>
        <w:t>artículo 2.2.1.2.4.4.1. del Decreto 1082 de 2015</w:t>
      </w:r>
      <w:r w:rsidR="00D803A4">
        <w:rPr>
          <w:rFonts w:ascii="Century Gothic" w:hAnsi="Century Gothic" w:cs="Arial"/>
          <w:color w:val="000000" w:themeColor="text1"/>
          <w:lang w:val="es-ES_tradnl"/>
        </w:rPr>
        <w:t xml:space="preserve"> explicadas en la parte considerativa de este concepto</w:t>
      </w:r>
      <w:r w:rsidR="008722BD">
        <w:rPr>
          <w:rFonts w:ascii="Century Gothic" w:hAnsi="Century Gothic" w:cs="Arial"/>
          <w:color w:val="000000" w:themeColor="text1"/>
          <w:lang w:val="es-ES_tradnl"/>
        </w:rPr>
        <w:t>.</w:t>
      </w:r>
    </w:p>
    <w:p w14:paraId="07E8624A" w14:textId="72FA8C5A" w:rsidR="00A8598A" w:rsidRPr="00B84993" w:rsidRDefault="00A8598A" w:rsidP="00A8598A">
      <w:pPr>
        <w:shd w:val="clear" w:color="auto" w:fill="FFFFFF"/>
        <w:spacing w:after="120" w:line="276" w:lineRule="auto"/>
        <w:ind w:firstLine="709"/>
        <w:jc w:val="both"/>
        <w:rPr>
          <w:rStyle w:val="Textoennegrita"/>
          <w:rFonts w:ascii="Century Gothic" w:hAnsi="Century Gothic" w:cs="Arial"/>
          <w:b w:val="0"/>
          <w:bCs w:val="0"/>
        </w:rPr>
      </w:pPr>
      <w:r w:rsidRPr="00B84993">
        <w:rPr>
          <w:rStyle w:val="Textoennegrita"/>
          <w:rFonts w:ascii="Century Gothic" w:hAnsi="Century Gothic" w:cs="Arial"/>
          <w:b w:val="0"/>
          <w:bCs w:val="0"/>
        </w:rPr>
        <w:t>De esta manera es forzoso concluir que el artículo 2.2.8.3.4 del Decreto 603 de 2022 reglamentó parcialmente lo establecido en el artículo 20 de la Ley 1150 de 2007, pues el tope del 30% establecido en la norma precitada, determin</w:t>
      </w:r>
      <w:r w:rsidR="000E71E6">
        <w:rPr>
          <w:rStyle w:val="Textoennegrita"/>
          <w:rFonts w:ascii="Century Gothic" w:hAnsi="Century Gothic" w:cs="Arial"/>
          <w:b w:val="0"/>
          <w:bCs w:val="0"/>
        </w:rPr>
        <w:t>ó</w:t>
      </w:r>
      <w:r w:rsidRPr="00B84993">
        <w:rPr>
          <w:rStyle w:val="Textoennegrita"/>
          <w:rFonts w:ascii="Century Gothic" w:hAnsi="Century Gothic" w:cs="Arial"/>
          <w:b w:val="0"/>
          <w:bCs w:val="0"/>
        </w:rPr>
        <w:t xml:space="preserve"> las condiciones de participación de los socios cooperantes </w:t>
      </w:r>
      <w:r w:rsidR="00FC5B83">
        <w:rPr>
          <w:rStyle w:val="Textoennegrita"/>
          <w:rFonts w:ascii="Century Gothic" w:hAnsi="Century Gothic" w:cs="Arial"/>
          <w:b w:val="0"/>
          <w:bCs w:val="0"/>
        </w:rPr>
        <w:t>en</w:t>
      </w:r>
      <w:r w:rsidR="00A71962">
        <w:rPr>
          <w:rStyle w:val="Textoennegrita"/>
          <w:rFonts w:ascii="Century Gothic" w:hAnsi="Century Gothic" w:cs="Arial"/>
          <w:b w:val="0"/>
          <w:bCs w:val="0"/>
        </w:rPr>
        <w:t xml:space="preserve"> convenios de cooperación internacional</w:t>
      </w:r>
      <w:r w:rsidR="00FC5B83">
        <w:rPr>
          <w:rStyle w:val="Textoennegrita"/>
          <w:rFonts w:ascii="Century Gothic" w:hAnsi="Century Gothic" w:cs="Arial"/>
          <w:b w:val="0"/>
          <w:bCs w:val="0"/>
        </w:rPr>
        <w:t xml:space="preserve"> </w:t>
      </w:r>
      <w:r w:rsidR="00C1771D">
        <w:rPr>
          <w:rStyle w:val="Textoennegrita"/>
          <w:rFonts w:ascii="Century Gothic" w:hAnsi="Century Gothic" w:cs="Arial"/>
          <w:b w:val="0"/>
          <w:bCs w:val="0"/>
        </w:rPr>
        <w:t xml:space="preserve">donde las entidades estatales pretendan ejecutar </w:t>
      </w:r>
      <w:r w:rsidR="00FC5B83" w:rsidRPr="003F4BCE">
        <w:rPr>
          <w:rFonts w:ascii="Century Gothic" w:hAnsi="Century Gothic" w:cs="Arial"/>
        </w:rPr>
        <w:t>recursos del Presupuesto General de la Nación</w:t>
      </w:r>
      <w:r w:rsidR="004A0A60">
        <w:rPr>
          <w:rStyle w:val="Textoennegrita"/>
          <w:rFonts w:ascii="Century Gothic" w:hAnsi="Century Gothic" w:cs="Arial"/>
          <w:b w:val="0"/>
          <w:bCs w:val="0"/>
        </w:rPr>
        <w:t>.</w:t>
      </w:r>
      <w:r w:rsidR="0026589E">
        <w:rPr>
          <w:rStyle w:val="Textoennegrita"/>
          <w:rFonts w:ascii="Century Gothic" w:hAnsi="Century Gothic" w:cs="Arial"/>
          <w:b w:val="0"/>
          <w:bCs w:val="0"/>
        </w:rPr>
        <w:t xml:space="preserve"> </w:t>
      </w:r>
      <w:r w:rsidRPr="00B84993">
        <w:rPr>
          <w:rStyle w:val="Textoennegrita"/>
          <w:rFonts w:ascii="Century Gothic" w:hAnsi="Century Gothic" w:cs="Arial"/>
          <w:b w:val="0"/>
          <w:bCs w:val="0"/>
        </w:rPr>
        <w:t>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14:paraId="720D8C4D" w14:textId="2F5B9341" w:rsidR="00E02C20" w:rsidRPr="008D2363" w:rsidRDefault="00E02C20" w:rsidP="00E02C20">
      <w:pPr>
        <w:shd w:val="clear" w:color="auto" w:fill="FFFFFF"/>
        <w:spacing w:after="120" w:line="276" w:lineRule="auto"/>
        <w:ind w:firstLine="709"/>
        <w:jc w:val="both"/>
        <w:rPr>
          <w:rStyle w:val="Textoennegrita"/>
          <w:rFonts w:ascii="Century Gothic" w:hAnsi="Century Gothic" w:cs="Arial"/>
          <w:b w:val="0"/>
          <w:bCs w:val="0"/>
        </w:rPr>
      </w:pPr>
      <w:r w:rsidRPr="008D2363">
        <w:rPr>
          <w:rStyle w:val="Textoennegrita"/>
          <w:rFonts w:ascii="Century Gothic" w:hAnsi="Century Gothic" w:cs="Arial"/>
          <w:b w:val="0"/>
          <w:bCs w:val="0"/>
        </w:rPr>
        <w:t>En este orden de ideas, las entidades estatales, en ejercicio de la autonomía de la voluntad, pueden suscribir con</w:t>
      </w:r>
      <w:r>
        <w:rPr>
          <w:rStyle w:val="Textoennegrita"/>
          <w:rFonts w:ascii="Century Gothic" w:hAnsi="Century Gothic" w:cs="Arial"/>
          <w:b w:val="0"/>
          <w:bCs w:val="0"/>
        </w:rPr>
        <w:t>venios</w:t>
      </w:r>
      <w:r w:rsidRPr="008D2363">
        <w:rPr>
          <w:rStyle w:val="Textoennegrita"/>
          <w:rFonts w:ascii="Century Gothic" w:hAnsi="Century Gothic" w:cs="Arial"/>
          <w:b w:val="0"/>
          <w:bCs w:val="0"/>
        </w:rPr>
        <w:t xml:space="preserve"> de cooperación internacional </w:t>
      </w:r>
      <w:r w:rsidRPr="008D2363">
        <w:rPr>
          <w:rFonts w:ascii="Century Gothic" w:hAnsi="Century Gothic" w:cs="Arial"/>
        </w:rPr>
        <w:t>que involucre recursos del Presupuesto General de la Nación</w:t>
      </w:r>
      <w:r w:rsidRPr="008D2363">
        <w:rPr>
          <w:rStyle w:val="Textoennegrita"/>
          <w:rFonts w:ascii="Century Gothic" w:hAnsi="Century Gothic" w:cs="Arial"/>
          <w:b w:val="0"/>
          <w:bCs w:val="0"/>
        </w:rPr>
        <w:t xml:space="preserve">, siempre y cuando el 30% del valor del proyecto sea aportado en dinero por el organismo internacional, pues el reglamento, como se indicó, estableció un umbral para que las entidades estatales puedan </w:t>
      </w:r>
      <w:r w:rsidR="00B84993">
        <w:rPr>
          <w:rStyle w:val="Textoennegrita"/>
          <w:rFonts w:ascii="Century Gothic" w:hAnsi="Century Gothic" w:cs="Arial"/>
          <w:b w:val="0"/>
          <w:bCs w:val="0"/>
        </w:rPr>
        <w:t xml:space="preserve">suscribir dichos </w:t>
      </w:r>
      <w:r w:rsidRPr="008D2363">
        <w:rPr>
          <w:rStyle w:val="Textoennegrita"/>
          <w:rFonts w:ascii="Century Gothic" w:hAnsi="Century Gothic" w:cs="Arial"/>
          <w:b w:val="0"/>
          <w:bCs w:val="0"/>
        </w:rPr>
        <w:t>convenio</w:t>
      </w:r>
      <w:r w:rsidR="00B84993">
        <w:rPr>
          <w:rStyle w:val="Textoennegrita"/>
          <w:rFonts w:ascii="Century Gothic" w:hAnsi="Century Gothic" w:cs="Arial"/>
          <w:b w:val="0"/>
          <w:bCs w:val="0"/>
        </w:rPr>
        <w:t>s</w:t>
      </w:r>
      <w:r w:rsidRPr="008D2363">
        <w:rPr>
          <w:rStyle w:val="Textoennegrita"/>
          <w:rFonts w:ascii="Century Gothic" w:hAnsi="Century Gothic" w:cs="Arial"/>
          <w:b w:val="0"/>
          <w:bCs w:val="0"/>
        </w:rPr>
        <w:t xml:space="preserve"> con organismos internacionales. </w:t>
      </w:r>
    </w:p>
    <w:p w14:paraId="665C5DA7" w14:textId="77777777" w:rsidR="006F7426" w:rsidRPr="006F7426" w:rsidRDefault="006F7426" w:rsidP="00DD1DBB">
      <w:pPr>
        <w:shd w:val="clear" w:color="auto" w:fill="FFFFFF" w:themeFill="background1"/>
        <w:spacing w:line="276" w:lineRule="auto"/>
        <w:jc w:val="both"/>
        <w:textAlignment w:val="baseline"/>
        <w:rPr>
          <w:rFonts w:ascii="Century Gothic" w:hAnsi="Century Gothic" w:cs="Arial"/>
          <w:color w:val="000000" w:themeColor="text1"/>
          <w:lang w:eastAsia="es-MX"/>
        </w:rPr>
      </w:pPr>
      <w:r w:rsidRPr="006F7426">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9CD538" w14:textId="77777777" w:rsidR="00A8598A" w:rsidRPr="006F7426" w:rsidRDefault="00A8598A" w:rsidP="00A8598A">
      <w:pPr>
        <w:spacing w:before="120" w:line="276" w:lineRule="auto"/>
        <w:jc w:val="both"/>
        <w:rPr>
          <w:rFonts w:ascii="Century Gothic" w:hAnsi="Century Gothic" w:cs="Arial"/>
        </w:rPr>
      </w:pPr>
    </w:p>
    <w:p w14:paraId="57ACB6A2" w14:textId="77777777" w:rsidR="00A8598A" w:rsidRPr="006F7426" w:rsidRDefault="00A8598A" w:rsidP="00A8598A">
      <w:pPr>
        <w:pStyle w:val="NormalWeb"/>
        <w:spacing w:before="0" w:beforeAutospacing="0" w:after="0" w:afterAutospacing="0" w:line="276" w:lineRule="auto"/>
        <w:jc w:val="both"/>
        <w:rPr>
          <w:rFonts w:ascii="Century Gothic" w:hAnsi="Century Gothic" w:cs="Arial"/>
          <w:sz w:val="22"/>
          <w:szCs w:val="22"/>
          <w:lang w:val="es-ES_tradnl"/>
        </w:rPr>
      </w:pPr>
      <w:r w:rsidRPr="006F7426">
        <w:rPr>
          <w:rFonts w:ascii="Century Gothic" w:hAnsi="Century Gothic" w:cs="Arial"/>
          <w:sz w:val="22"/>
          <w:szCs w:val="22"/>
          <w:lang w:val="es-ES_tradnl"/>
        </w:rPr>
        <w:t>Atentamente,</w:t>
      </w:r>
    </w:p>
    <w:p w14:paraId="17E75745" w14:textId="0816C82E" w:rsidR="00A8598A" w:rsidRPr="006F7426" w:rsidRDefault="001D1917" w:rsidP="00A8598A">
      <w:pPr>
        <w:spacing w:after="200" w:line="276" w:lineRule="auto"/>
        <w:jc w:val="center"/>
        <w:rPr>
          <w:rFonts w:ascii="Century Gothic" w:hAnsi="Century Gothic" w:cs="Arial"/>
          <w:color w:val="000000"/>
          <w:sz w:val="18"/>
          <w:szCs w:val="20"/>
          <w:lang w:val="es-MX" w:eastAsia="es-CO"/>
        </w:rPr>
      </w:pPr>
      <w:r w:rsidRPr="001B7209">
        <w:rPr>
          <w:rFonts w:ascii="Century Gothic" w:hAnsi="Century Gothic"/>
          <w:noProof/>
        </w:rPr>
        <w:drawing>
          <wp:inline distT="0" distB="0" distL="0" distR="0" wp14:anchorId="5EB83AD0" wp14:editId="5CB52C6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57"/>
      </w:tblGrid>
      <w:tr w:rsidR="00A8598A" w:rsidRPr="006F7426" w14:paraId="730BA53B" w14:textId="77777777" w:rsidTr="00DD1DBB">
        <w:trPr>
          <w:trHeight w:val="315"/>
        </w:trPr>
        <w:tc>
          <w:tcPr>
            <w:tcW w:w="855" w:type="dxa"/>
            <w:vAlign w:val="center"/>
            <w:hideMark/>
          </w:tcPr>
          <w:p w14:paraId="210BB38E"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Elaboró:</w:t>
            </w:r>
          </w:p>
        </w:tc>
        <w:tc>
          <w:tcPr>
            <w:tcW w:w="4957" w:type="dxa"/>
            <w:tcBorders>
              <w:top w:val="nil"/>
              <w:left w:val="nil"/>
              <w:bottom w:val="dotted" w:sz="4" w:space="0" w:color="7F7F7F"/>
              <w:right w:val="nil"/>
            </w:tcBorders>
            <w:vAlign w:val="center"/>
            <w:hideMark/>
          </w:tcPr>
          <w:p w14:paraId="58F41EFC" w14:textId="7B572A90" w:rsidR="00A8598A" w:rsidRPr="006F7426" w:rsidRDefault="009150D3" w:rsidP="007527E0">
            <w:pPr>
              <w:rPr>
                <w:rFonts w:ascii="Century Gothic" w:hAnsi="Century Gothic" w:cs="Arial"/>
                <w:sz w:val="16"/>
                <w:szCs w:val="16"/>
                <w:lang w:eastAsia="es-ES"/>
              </w:rPr>
            </w:pPr>
            <w:r w:rsidRPr="006F7426">
              <w:rPr>
                <w:rFonts w:ascii="Century Gothic" w:hAnsi="Century Gothic" w:cs="Arial"/>
                <w:sz w:val="16"/>
                <w:szCs w:val="16"/>
                <w:lang w:eastAsia="es-ES"/>
              </w:rPr>
              <w:t>Any Alejandra Tovar Castillo</w:t>
            </w:r>
          </w:p>
          <w:p w14:paraId="28557F91"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sz w:val="16"/>
                <w:szCs w:val="16"/>
                <w:lang w:eastAsia="es-ES"/>
              </w:rPr>
              <w:t>Contratista de la Subdirección de Gestión Contractual</w:t>
            </w:r>
            <w:r w:rsidRPr="006F7426" w:rsidDel="004628B9">
              <w:rPr>
                <w:rFonts w:ascii="Century Gothic" w:hAnsi="Century Gothic" w:cs="Arial"/>
                <w:color w:val="000000"/>
                <w:sz w:val="16"/>
                <w:szCs w:val="16"/>
                <w:lang w:eastAsia="es-ES"/>
              </w:rPr>
              <w:t xml:space="preserve"> </w:t>
            </w:r>
          </w:p>
        </w:tc>
      </w:tr>
      <w:tr w:rsidR="00A8598A" w:rsidRPr="006F7426" w14:paraId="617ACB35" w14:textId="77777777" w:rsidTr="00DD1DBB">
        <w:trPr>
          <w:trHeight w:val="330"/>
        </w:trPr>
        <w:tc>
          <w:tcPr>
            <w:tcW w:w="855" w:type="dxa"/>
            <w:vAlign w:val="center"/>
            <w:hideMark/>
          </w:tcPr>
          <w:p w14:paraId="20CEB42F"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Revisó:</w:t>
            </w:r>
          </w:p>
        </w:tc>
        <w:tc>
          <w:tcPr>
            <w:tcW w:w="4957" w:type="dxa"/>
            <w:tcBorders>
              <w:top w:val="dotted" w:sz="4" w:space="0" w:color="7F7F7F"/>
              <w:left w:val="nil"/>
              <w:bottom w:val="dotted" w:sz="4" w:space="0" w:color="7F7F7F"/>
              <w:right w:val="nil"/>
            </w:tcBorders>
            <w:vAlign w:val="center"/>
            <w:hideMark/>
          </w:tcPr>
          <w:p w14:paraId="34E32A58"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Alejandro Sarmiento Cantillo</w:t>
            </w:r>
          </w:p>
          <w:p w14:paraId="09DC3F73"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Gestor T1-15 de la Subdirección de Gestión Contractual</w:t>
            </w:r>
          </w:p>
        </w:tc>
      </w:tr>
      <w:tr w:rsidR="00A8598A" w:rsidRPr="006F7426" w14:paraId="31C30814" w14:textId="77777777" w:rsidTr="00DD1DBB">
        <w:trPr>
          <w:trHeight w:val="300"/>
        </w:trPr>
        <w:tc>
          <w:tcPr>
            <w:tcW w:w="855" w:type="dxa"/>
            <w:vAlign w:val="center"/>
            <w:hideMark/>
          </w:tcPr>
          <w:p w14:paraId="3ED2A571"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Aprobó:</w:t>
            </w:r>
          </w:p>
        </w:tc>
        <w:tc>
          <w:tcPr>
            <w:tcW w:w="4957" w:type="dxa"/>
            <w:tcBorders>
              <w:top w:val="dotted" w:sz="4" w:space="0" w:color="7F7F7F"/>
              <w:left w:val="nil"/>
              <w:bottom w:val="dotted" w:sz="4" w:space="0" w:color="7F7F7F"/>
              <w:right w:val="nil"/>
            </w:tcBorders>
            <w:vAlign w:val="center"/>
            <w:hideMark/>
          </w:tcPr>
          <w:p w14:paraId="3221BD30"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 xml:space="preserve">Nohelia del Carmen </w:t>
            </w:r>
            <w:proofErr w:type="spellStart"/>
            <w:r w:rsidRPr="006F7426">
              <w:rPr>
                <w:rFonts w:ascii="Century Gothic" w:hAnsi="Century Gothic" w:cs="Arial"/>
                <w:color w:val="000000"/>
                <w:sz w:val="16"/>
                <w:szCs w:val="16"/>
                <w:lang w:eastAsia="es-ES"/>
              </w:rPr>
              <w:t>Zawady</w:t>
            </w:r>
            <w:proofErr w:type="spellEnd"/>
            <w:r w:rsidRPr="006F7426">
              <w:rPr>
                <w:rFonts w:ascii="Century Gothic" w:hAnsi="Century Gothic" w:cs="Arial"/>
                <w:color w:val="000000"/>
                <w:sz w:val="16"/>
                <w:szCs w:val="16"/>
                <w:lang w:eastAsia="es-ES"/>
              </w:rPr>
              <w:t xml:space="preserve"> Palacio</w:t>
            </w:r>
          </w:p>
          <w:p w14:paraId="5363ABCF" w14:textId="77777777" w:rsidR="00A8598A" w:rsidRPr="006F7426" w:rsidRDefault="00A8598A" w:rsidP="007527E0">
            <w:pPr>
              <w:rPr>
                <w:rFonts w:ascii="Century Gothic" w:hAnsi="Century Gothic" w:cs="Arial"/>
                <w:color w:val="000000"/>
                <w:sz w:val="16"/>
                <w:szCs w:val="16"/>
                <w:lang w:eastAsia="es-ES"/>
              </w:rPr>
            </w:pPr>
            <w:r w:rsidRPr="006F7426">
              <w:rPr>
                <w:rFonts w:ascii="Century Gothic" w:hAnsi="Century Gothic" w:cs="Arial"/>
                <w:color w:val="000000"/>
                <w:sz w:val="16"/>
                <w:szCs w:val="16"/>
                <w:lang w:eastAsia="es-ES"/>
              </w:rPr>
              <w:t xml:space="preserve">Subdirectora de Gestión Contractual </w:t>
            </w:r>
          </w:p>
        </w:tc>
      </w:tr>
    </w:tbl>
    <w:p w14:paraId="0F293BF4" w14:textId="7BBFAB11" w:rsidR="00127233" w:rsidRPr="006F7426" w:rsidRDefault="00127233" w:rsidP="00665D70">
      <w:pPr>
        <w:spacing w:after="0"/>
        <w:jc w:val="both"/>
        <w:rPr>
          <w:rFonts w:ascii="Century Gothic" w:hAnsi="Century Gothic"/>
        </w:rPr>
      </w:pPr>
    </w:p>
    <w:sectPr w:rsidR="00127233" w:rsidRPr="006F7426" w:rsidSect="002E4FD9">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99776" w14:textId="77777777" w:rsidR="001C51DD" w:rsidRDefault="001C51DD" w:rsidP="004A1847">
      <w:pPr>
        <w:spacing w:after="0" w:line="240" w:lineRule="auto"/>
      </w:pPr>
      <w:r>
        <w:separator/>
      </w:r>
    </w:p>
  </w:endnote>
  <w:endnote w:type="continuationSeparator" w:id="0">
    <w:p w14:paraId="55399FD5" w14:textId="77777777" w:rsidR="001C51DD" w:rsidRDefault="001C51DD" w:rsidP="004A1847">
      <w:pPr>
        <w:spacing w:after="0" w:line="240" w:lineRule="auto"/>
      </w:pPr>
      <w:r>
        <w:continuationSeparator/>
      </w:r>
    </w:p>
  </w:endnote>
  <w:endnote w:type="continuationNotice" w:id="1">
    <w:p w14:paraId="37B2E16F" w14:textId="77777777" w:rsidR="001C51DD" w:rsidRDefault="001C51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C69B2" w14:textId="77777777" w:rsidR="001C51DD" w:rsidRDefault="001C51DD" w:rsidP="004A1847">
      <w:pPr>
        <w:spacing w:after="0" w:line="240" w:lineRule="auto"/>
      </w:pPr>
      <w:r>
        <w:separator/>
      </w:r>
    </w:p>
  </w:footnote>
  <w:footnote w:type="continuationSeparator" w:id="0">
    <w:p w14:paraId="1253A6F6" w14:textId="77777777" w:rsidR="001C51DD" w:rsidRDefault="001C51DD" w:rsidP="004A1847">
      <w:pPr>
        <w:spacing w:after="0" w:line="240" w:lineRule="auto"/>
      </w:pPr>
      <w:r>
        <w:continuationSeparator/>
      </w:r>
    </w:p>
  </w:footnote>
  <w:footnote w:type="continuationNotice" w:id="1">
    <w:p w14:paraId="57C3EAE3" w14:textId="77777777" w:rsidR="001C51DD" w:rsidRDefault="001C51DD">
      <w:pPr>
        <w:spacing w:after="0" w:line="240" w:lineRule="auto"/>
      </w:pPr>
    </w:p>
  </w:footnote>
  <w:footnote w:id="2">
    <w:p w14:paraId="39A3FCF8" w14:textId="128934C3"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La Agencia Nacional de Contratación Pública </w:t>
      </w:r>
      <w:r w:rsidRPr="003E38EB">
        <w:rPr>
          <w:rFonts w:ascii="Arial" w:hAnsi="Arial" w:cs="Arial"/>
          <w:sz w:val="16"/>
          <w:szCs w:val="16"/>
        </w:rPr>
        <w:t>‒</w:t>
      </w:r>
      <w:r w:rsidRPr="003E38EB">
        <w:rPr>
          <w:rFonts w:ascii="Century Gothic" w:hAnsi="Century Gothic" w:cs="Arial"/>
          <w:sz w:val="16"/>
          <w:szCs w:val="16"/>
        </w:rPr>
        <w:t xml:space="preserve"> Colombia Compra Eficiente fue creada por el Decreto Ley 4170 de 2011. Su objetivo es servir como ente rector de la pol</w:t>
      </w:r>
      <w:r w:rsidRPr="003E38EB">
        <w:rPr>
          <w:rFonts w:ascii="Century Gothic" w:hAnsi="Century Gothic" w:cs="Century Gothic"/>
          <w:sz w:val="16"/>
          <w:szCs w:val="16"/>
        </w:rPr>
        <w:t>í</w:t>
      </w:r>
      <w:r w:rsidRPr="003E38EB">
        <w:rPr>
          <w:rFonts w:ascii="Century Gothic" w:hAnsi="Century Gothic" w:cs="Arial"/>
          <w:sz w:val="16"/>
          <w:szCs w:val="16"/>
        </w:rPr>
        <w:t>tica de compras y contrataci</w:t>
      </w:r>
      <w:r w:rsidRPr="003E38EB">
        <w:rPr>
          <w:rFonts w:ascii="Century Gothic" w:hAnsi="Century Gothic" w:cs="Century Gothic"/>
          <w:sz w:val="16"/>
          <w:szCs w:val="16"/>
        </w:rPr>
        <w:t>ó</w:t>
      </w:r>
      <w:r w:rsidRPr="003E38EB">
        <w:rPr>
          <w:rFonts w:ascii="Century Gothic" w:hAnsi="Century Gothic" w:cs="Arial"/>
          <w:sz w:val="16"/>
          <w:szCs w:val="16"/>
        </w:rPr>
        <w:t xml:space="preserve">n del Estado. Para tales fines, como </w:t>
      </w:r>
      <w:r w:rsidRPr="003E38EB">
        <w:rPr>
          <w:rFonts w:ascii="Century Gothic" w:hAnsi="Century Gothic" w:cs="Century Gothic"/>
          <w:sz w:val="16"/>
          <w:szCs w:val="16"/>
        </w:rPr>
        <w:t>ó</w:t>
      </w:r>
      <w:r w:rsidRPr="003E38EB">
        <w:rPr>
          <w:rFonts w:ascii="Century Gothic" w:hAnsi="Century Gothic" w:cs="Arial"/>
          <w:sz w:val="16"/>
          <w:szCs w:val="16"/>
        </w:rPr>
        <w:t>rgano t</w:t>
      </w:r>
      <w:r w:rsidRPr="003E38EB">
        <w:rPr>
          <w:rFonts w:ascii="Century Gothic" w:hAnsi="Century Gothic" w:cs="Century Gothic"/>
          <w:sz w:val="16"/>
          <w:szCs w:val="16"/>
        </w:rPr>
        <w:t>é</w:t>
      </w:r>
      <w:r w:rsidRPr="003E38EB">
        <w:rPr>
          <w:rFonts w:ascii="Century Gothic" w:hAnsi="Century Gothic" w:cs="Arial"/>
          <w:sz w:val="16"/>
          <w:szCs w:val="16"/>
        </w:rPr>
        <w:t>cnico especializado, le corresponde formular pol</w:t>
      </w:r>
      <w:r w:rsidRPr="003E38EB">
        <w:rPr>
          <w:rFonts w:ascii="Century Gothic" w:hAnsi="Century Gothic" w:cs="Century Gothic"/>
          <w:sz w:val="16"/>
          <w:szCs w:val="16"/>
        </w:rPr>
        <w:t>í</w:t>
      </w:r>
      <w:r w:rsidRPr="003E38EB">
        <w:rPr>
          <w:rFonts w:ascii="Century Gothic" w:hAnsi="Century Gothic" w:cs="Arial"/>
          <w:sz w:val="16"/>
          <w:szCs w:val="16"/>
        </w:rPr>
        <w:t>ticas p</w:t>
      </w:r>
      <w:r w:rsidRPr="003E38EB">
        <w:rPr>
          <w:rFonts w:ascii="Century Gothic" w:hAnsi="Century Gothic" w:cs="Century Gothic"/>
          <w:sz w:val="16"/>
          <w:szCs w:val="16"/>
        </w:rPr>
        <w:t>ú</w:t>
      </w:r>
      <w:r w:rsidRPr="003E38EB">
        <w:rPr>
          <w:rFonts w:ascii="Century Gothic" w:hAnsi="Century Gothic" w:cs="Arial"/>
          <w:sz w:val="16"/>
          <w:szCs w:val="16"/>
        </w:rPr>
        <w:t>blicas y normas y unificar los procesos de contrataci</w:t>
      </w:r>
      <w:r w:rsidRPr="003E38EB">
        <w:rPr>
          <w:rFonts w:ascii="Century Gothic" w:hAnsi="Century Gothic" w:cs="Century Gothic"/>
          <w:sz w:val="16"/>
          <w:szCs w:val="16"/>
        </w:rPr>
        <w:t>ó</w:t>
      </w:r>
      <w:r w:rsidRPr="003E38EB">
        <w:rPr>
          <w:rFonts w:ascii="Century Gothic" w:hAnsi="Century Gothic" w:cs="Arial"/>
          <w:sz w:val="16"/>
          <w:szCs w:val="16"/>
        </w:rPr>
        <w:t>n estatal, con el fin de lograr una mayor eficiencia, transparencia y optimizaci</w:t>
      </w:r>
      <w:r w:rsidRPr="003E38EB">
        <w:rPr>
          <w:rFonts w:ascii="Century Gothic" w:hAnsi="Century Gothic" w:cs="Century Gothic"/>
          <w:sz w:val="16"/>
          <w:szCs w:val="16"/>
        </w:rPr>
        <w:t>ó</w:t>
      </w:r>
      <w:r w:rsidRPr="003E38EB">
        <w:rPr>
          <w:rFonts w:ascii="Century Gothic" w:hAnsi="Century Gothic" w:cs="Arial"/>
          <w:sz w:val="16"/>
          <w:szCs w:val="16"/>
        </w:rPr>
        <w:t>n de los recursos del Estado. El art</w:t>
      </w:r>
      <w:r w:rsidRPr="003E38EB">
        <w:rPr>
          <w:rFonts w:ascii="Century Gothic" w:hAnsi="Century Gothic" w:cs="Century Gothic"/>
          <w:sz w:val="16"/>
          <w:szCs w:val="16"/>
        </w:rPr>
        <w:t>í</w:t>
      </w:r>
      <w:r w:rsidRPr="003E38EB">
        <w:rPr>
          <w:rFonts w:ascii="Century Gothic" w:hAnsi="Century Gothic" w:cs="Arial"/>
          <w:sz w:val="16"/>
          <w:szCs w:val="16"/>
        </w:rPr>
        <w:t xml:space="preserve">culo 3 </w:t>
      </w:r>
      <w:r w:rsidRPr="003E38EB">
        <w:rPr>
          <w:rFonts w:ascii="Century Gothic" w:hAnsi="Century Gothic" w:cs="Arial"/>
          <w:i/>
          <w:iCs/>
          <w:sz w:val="16"/>
          <w:szCs w:val="16"/>
        </w:rPr>
        <w:t xml:space="preserve">ibidem </w:t>
      </w:r>
      <w:r w:rsidRPr="003E38EB">
        <w:rPr>
          <w:rFonts w:ascii="Century Gothic" w:hAnsi="Century Gothic" w:cs="Arial"/>
          <w:sz w:val="16"/>
          <w:szCs w:val="16"/>
        </w:rPr>
        <w:t xml:space="preserve">señala, de manera precisa, las funciones de Colombia Compra Eficiente. Concretamente, el numeral 5º de este artículo establece que le corresponde a esta entidad: </w:t>
      </w:r>
      <w:r w:rsidR="003E38EB">
        <w:rPr>
          <w:rFonts w:ascii="Century Gothic" w:hAnsi="Century Gothic" w:cs="Arial"/>
          <w:sz w:val="16"/>
          <w:szCs w:val="16"/>
        </w:rPr>
        <w:t>“</w:t>
      </w:r>
      <w:r w:rsidRPr="003E38EB">
        <w:rPr>
          <w:rFonts w:ascii="Century Gothic" w:hAnsi="Century Gothic" w:cs="Arial"/>
          <w:sz w:val="16"/>
          <w:szCs w:val="16"/>
        </w:rPr>
        <w:t>[a]bsolver consultas sobre la aplicación de normas de carácter general y expedir circulares externas en materia de compras y contratación pública</w:t>
      </w:r>
      <w:r w:rsidR="003E38EB">
        <w:rPr>
          <w:rFonts w:ascii="Century Gothic" w:hAnsi="Century Gothic" w:cs="Arial"/>
          <w:sz w:val="16"/>
          <w:szCs w:val="16"/>
        </w:rPr>
        <w:t>”</w:t>
      </w:r>
      <w:r w:rsidRPr="003E38EB">
        <w:rPr>
          <w:rFonts w:ascii="Century Gothic" w:hAnsi="Century Gothic" w:cs="Arial"/>
          <w:sz w:val="16"/>
          <w:szCs w:val="16"/>
        </w:rPr>
        <w:t xml:space="preserve">. Seguidamente, el numeral 8º del artículo 11 ibidem señala que es función de la Subdirección de Gestión Contractual: </w:t>
      </w:r>
      <w:r w:rsidR="003E38EB">
        <w:rPr>
          <w:rFonts w:ascii="Century Gothic" w:hAnsi="Century Gothic" w:cs="Arial"/>
          <w:sz w:val="16"/>
          <w:szCs w:val="16"/>
        </w:rPr>
        <w:t>“</w:t>
      </w:r>
      <w:r w:rsidRPr="003E38EB">
        <w:rPr>
          <w:rFonts w:ascii="Century Gothic" w:hAnsi="Century Gothic" w:cs="Arial"/>
          <w:sz w:val="16"/>
          <w:szCs w:val="16"/>
        </w:rPr>
        <w:t>[a]bsolver consultas sobre la aplicación de normas de carácter general</w:t>
      </w:r>
      <w:r w:rsidR="003E38EB">
        <w:rPr>
          <w:rFonts w:ascii="Century Gothic" w:hAnsi="Century Gothic" w:cs="Arial"/>
          <w:sz w:val="16"/>
          <w:szCs w:val="16"/>
        </w:rPr>
        <w:t>”</w:t>
      </w:r>
      <w:r w:rsidRPr="003E38EB">
        <w:rPr>
          <w:rFonts w:ascii="Century Gothic" w:hAnsi="Century Gothic" w:cs="Arial"/>
          <w:sz w:val="16"/>
          <w:szCs w:val="16"/>
        </w:rPr>
        <w:t>.</w:t>
      </w:r>
    </w:p>
    <w:p w14:paraId="632C764E" w14:textId="77777777" w:rsidR="00A8598A" w:rsidRPr="003E38EB" w:rsidRDefault="00A8598A" w:rsidP="00A8598A">
      <w:pPr>
        <w:pStyle w:val="Textonotapie"/>
        <w:ind w:firstLine="709"/>
        <w:jc w:val="both"/>
        <w:rPr>
          <w:rFonts w:ascii="Century Gothic" w:hAnsi="Century Gothic" w:cs="Arial"/>
          <w:sz w:val="16"/>
          <w:szCs w:val="16"/>
          <w:lang w:val="es-ES"/>
        </w:rPr>
      </w:pPr>
    </w:p>
  </w:footnote>
  <w:footnote w:id="3">
    <w:p w14:paraId="3BC381BA" w14:textId="77777777" w:rsidR="00A8598A" w:rsidRPr="003E38EB" w:rsidRDefault="00A8598A" w:rsidP="00A8598A">
      <w:pPr>
        <w:pStyle w:val="Textonotapie"/>
        <w:ind w:firstLine="709"/>
        <w:jc w:val="both"/>
        <w:rPr>
          <w:rFonts w:ascii="Century Gothic" w:hAnsi="Century Gothic" w:cs="Arial"/>
          <w:color w:val="000000" w:themeColor="text1"/>
          <w:sz w:val="16"/>
          <w:szCs w:val="16"/>
          <w:lang w:val="es-CO"/>
        </w:rPr>
      </w:pPr>
      <w:r w:rsidRPr="003E38EB">
        <w:rPr>
          <w:rStyle w:val="Refdenotaalpie"/>
          <w:rFonts w:ascii="Century Gothic" w:hAnsi="Century Gothic" w:cs="Arial"/>
          <w:sz w:val="16"/>
          <w:szCs w:val="16"/>
        </w:rPr>
        <w:footnoteRef/>
      </w:r>
      <w:r w:rsidRPr="003E38EB">
        <w:rPr>
          <w:rFonts w:ascii="Century Gothic" w:hAnsi="Century Gothic" w:cs="Arial"/>
          <w:color w:val="000000" w:themeColor="text1"/>
          <w:sz w:val="16"/>
          <w:szCs w:val="16"/>
          <w:lang w:val="es-CO"/>
        </w:rPr>
        <w:t xml:space="preserve"> FIGUEROA U. Organismos internacionales. 2ª edición. Santiago de Chile: Editorial RIL editores, 2010.</w:t>
      </w:r>
    </w:p>
  </w:footnote>
  <w:footnote w:id="4">
    <w:p w14:paraId="56548BEB" w14:textId="45AEF043" w:rsidR="00A8598A" w:rsidRPr="003E38EB" w:rsidRDefault="00A8598A" w:rsidP="00A8598A">
      <w:pPr>
        <w:pStyle w:val="NormalWeb"/>
        <w:spacing w:before="0" w:beforeAutospacing="0" w:after="0" w:afterAutospacing="0"/>
        <w:ind w:firstLine="709"/>
        <w:jc w:val="both"/>
        <w:rPr>
          <w:rFonts w:ascii="Century Gothic" w:hAnsi="Century Gothic" w:cs="Arial"/>
          <w:color w:val="000000" w:themeColor="text1"/>
          <w:sz w:val="16"/>
          <w:szCs w:val="16"/>
        </w:rPr>
      </w:pPr>
      <w:r w:rsidRPr="003E38EB">
        <w:rPr>
          <w:rStyle w:val="Refdenotaalpie"/>
          <w:rFonts w:ascii="Century Gothic" w:hAnsi="Century Gothic" w:cs="Arial"/>
          <w:sz w:val="16"/>
          <w:szCs w:val="16"/>
        </w:rPr>
        <w:footnoteRef/>
      </w:r>
      <w:r w:rsidRPr="003E38EB">
        <w:rPr>
          <w:rFonts w:ascii="Century Gothic" w:hAnsi="Century Gothic" w:cs="Arial"/>
          <w:color w:val="000000" w:themeColor="text1"/>
          <w:sz w:val="16"/>
          <w:szCs w:val="16"/>
        </w:rPr>
        <w:t xml:space="preserve"> Ley 80 de 1993: </w:t>
      </w:r>
      <w:r w:rsidR="003E38EB">
        <w:rPr>
          <w:rFonts w:ascii="Century Gothic" w:hAnsi="Century Gothic" w:cs="Arial"/>
          <w:color w:val="000000" w:themeColor="text1"/>
          <w:sz w:val="16"/>
          <w:szCs w:val="16"/>
        </w:rPr>
        <w:t>“</w:t>
      </w:r>
      <w:r w:rsidRPr="003E38EB">
        <w:rPr>
          <w:rFonts w:ascii="Century Gothic" w:hAnsi="Century Gothic" w:cs="Arial"/>
          <w:color w:val="000000" w:themeColor="text1"/>
          <w:sz w:val="16"/>
          <w:szCs w:val="16"/>
        </w:rPr>
        <w:t>Artículo 13. De la normatividad aplicable a los contratos estatales. Los contratos que celebren las entidades a que se refiere el artículo </w:t>
      </w:r>
      <w:hyperlink r:id="rId1" w:anchor="2" w:history="1">
        <w:r w:rsidRPr="003E38EB">
          <w:rPr>
            <w:rStyle w:val="Hipervnculo"/>
            <w:rFonts w:ascii="Century Gothic" w:eastAsiaTheme="majorEastAsia" w:hAnsi="Century Gothic" w:cs="Arial"/>
            <w:color w:val="000000" w:themeColor="text1"/>
            <w:sz w:val="16"/>
            <w:szCs w:val="16"/>
          </w:rPr>
          <w:t>2</w:t>
        </w:r>
      </w:hyperlink>
      <w:r w:rsidRPr="003E38EB">
        <w:rPr>
          <w:rFonts w:ascii="Century Gothic" w:hAnsi="Century Gothic" w:cs="Arial"/>
          <w:color w:val="000000" w:themeColor="text1"/>
          <w:sz w:val="16"/>
          <w:szCs w:val="16"/>
        </w:rPr>
        <w:t>o. del presente estatuto se regirán por las disposiciones comerciales y civiles pertinentes, salvo en las materias particularmente reguladas en esta ley.</w:t>
      </w:r>
    </w:p>
    <w:p w14:paraId="04889DED" w14:textId="1B1A7667"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Los contratos celebrados en el exterior se podrán regir en su ejecución por las reglas del país en donde se hayan suscrito, a menos que deban cumplirse en Colombia</w:t>
      </w:r>
      <w:r>
        <w:rPr>
          <w:rFonts w:ascii="Century Gothic" w:hAnsi="Century Gothic" w:cs="Arial"/>
          <w:color w:val="000000" w:themeColor="text1"/>
          <w:sz w:val="16"/>
          <w:szCs w:val="16"/>
        </w:rPr>
        <w:t>”</w:t>
      </w:r>
    </w:p>
    <w:p w14:paraId="081F41A0" w14:textId="078C5F06"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Los contratos que se celebren en Colombia y deban ejecutarse o cumplirse en el extranjero, podrán someterse a la ley extranjera</w:t>
      </w: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w:t>
      </w:r>
    </w:p>
    <w:p w14:paraId="32255744" w14:textId="77777777" w:rsidR="00A8598A" w:rsidRPr="003E38EB" w:rsidRDefault="00A8598A" w:rsidP="00A8598A">
      <w:pPr>
        <w:pStyle w:val="NormalWeb"/>
        <w:spacing w:before="0" w:beforeAutospacing="0" w:after="0" w:afterAutospacing="0"/>
        <w:ind w:firstLine="709"/>
        <w:jc w:val="both"/>
        <w:rPr>
          <w:rFonts w:ascii="Century Gothic" w:hAnsi="Century Gothic" w:cs="Arial"/>
          <w:color w:val="000000" w:themeColor="text1"/>
          <w:sz w:val="16"/>
          <w:szCs w:val="16"/>
        </w:rPr>
      </w:pPr>
    </w:p>
  </w:footnote>
  <w:footnote w:id="5">
    <w:p w14:paraId="5D9191C2" w14:textId="77777777" w:rsidR="00A8598A" w:rsidRPr="003E38EB" w:rsidRDefault="00A8598A" w:rsidP="00A8598A">
      <w:pPr>
        <w:pStyle w:val="Textonotapie"/>
        <w:ind w:firstLine="709"/>
        <w:jc w:val="both"/>
        <w:rPr>
          <w:rFonts w:ascii="Century Gothic" w:hAnsi="Century Gothic" w:cs="Arial"/>
          <w:color w:val="000000" w:themeColor="text1"/>
          <w:sz w:val="16"/>
          <w:szCs w:val="16"/>
          <w:lang w:val="es-ES_tradnl"/>
        </w:rPr>
      </w:pPr>
      <w:r w:rsidRPr="003E38EB">
        <w:rPr>
          <w:rStyle w:val="Refdenotaalpie"/>
          <w:rFonts w:ascii="Century Gothic" w:hAnsi="Century Gothic" w:cs="Arial"/>
          <w:sz w:val="16"/>
          <w:szCs w:val="16"/>
        </w:rPr>
        <w:footnoteRef/>
      </w:r>
      <w:r w:rsidRPr="003E38EB">
        <w:rPr>
          <w:rFonts w:ascii="Century Gothic" w:hAnsi="Century Gothic" w:cs="Arial"/>
          <w:color w:val="000000" w:themeColor="text1"/>
          <w:sz w:val="16"/>
          <w:szCs w:val="16"/>
        </w:rPr>
        <w:t xml:space="preserve"> Consejo de Estado. Sección Tercera, Subsección C. Sentencia del 26 de noviembre de 2015. </w:t>
      </w:r>
      <w:r w:rsidRPr="003E38EB">
        <w:rPr>
          <w:rFonts w:ascii="Century Gothic" w:hAnsi="Century Gothic" w:cs="Arial"/>
          <w:color w:val="000000" w:themeColor="text1"/>
          <w:sz w:val="16"/>
          <w:szCs w:val="16"/>
          <w:lang w:val="es-ES_tradnl"/>
        </w:rPr>
        <w:t xml:space="preserve">Exp. </w:t>
      </w:r>
      <w:r w:rsidRPr="003E38EB">
        <w:rPr>
          <w:rFonts w:ascii="Century Gothic" w:hAnsi="Century Gothic" w:cs="Arial"/>
          <w:color w:val="000000" w:themeColor="text1"/>
          <w:sz w:val="16"/>
          <w:szCs w:val="16"/>
          <w:lang w:val="es-CO"/>
        </w:rPr>
        <w:t xml:space="preserve">54.069. C.P Jaime Orlando Santofimio Gamboa. </w:t>
      </w:r>
    </w:p>
  </w:footnote>
  <w:footnote w:id="6">
    <w:p w14:paraId="3491B950" w14:textId="65459DC5" w:rsidR="00A8598A" w:rsidRPr="003E38EB" w:rsidRDefault="00A8598A" w:rsidP="00A8598A">
      <w:pPr>
        <w:pStyle w:val="Textonotapie"/>
        <w:ind w:firstLine="709"/>
        <w:jc w:val="both"/>
        <w:rPr>
          <w:rFonts w:ascii="Century Gothic" w:hAnsi="Century Gothic" w:cs="Arial"/>
          <w:color w:val="000000" w:themeColor="text1"/>
          <w:sz w:val="16"/>
          <w:szCs w:val="16"/>
          <w:lang w:eastAsia="es-CO"/>
        </w:rPr>
      </w:pPr>
      <w:r w:rsidRPr="003E38EB">
        <w:rPr>
          <w:rStyle w:val="Refdenotaalpie"/>
          <w:rFonts w:ascii="Century Gothic" w:hAnsi="Century Gothic" w:cs="Arial"/>
          <w:sz w:val="16"/>
          <w:szCs w:val="16"/>
        </w:rPr>
        <w:footnoteRef/>
      </w:r>
      <w:r w:rsidRPr="003E38EB">
        <w:rPr>
          <w:rFonts w:ascii="Century Gothic" w:hAnsi="Century Gothic" w:cs="Arial"/>
          <w:color w:val="000000" w:themeColor="text1"/>
          <w:sz w:val="16"/>
          <w:szCs w:val="16"/>
        </w:rPr>
        <w:t xml:space="preserve"> </w:t>
      </w:r>
      <w:r w:rsidR="003E38EB">
        <w:rPr>
          <w:rFonts w:ascii="Century Gothic" w:hAnsi="Century Gothic" w:cs="Arial"/>
          <w:color w:val="000000" w:themeColor="text1"/>
          <w:sz w:val="16"/>
          <w:szCs w:val="16"/>
          <w:lang w:eastAsia="es-CO"/>
        </w:rPr>
        <w:t>“</w:t>
      </w:r>
      <w:r w:rsidRPr="003E38EB">
        <w:rPr>
          <w:rFonts w:ascii="Century Gothic" w:hAnsi="Century Gothic"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w:t>
      </w:r>
      <w:r w:rsidR="003E38EB">
        <w:rPr>
          <w:rFonts w:ascii="Century Gothic" w:hAnsi="Century Gothic" w:cs="Arial"/>
          <w:color w:val="000000" w:themeColor="text1"/>
          <w:sz w:val="16"/>
          <w:szCs w:val="16"/>
          <w:lang w:eastAsia="es-CO"/>
        </w:rPr>
        <w:t>”</w:t>
      </w:r>
      <w:r w:rsidRPr="003E38EB">
        <w:rPr>
          <w:rFonts w:ascii="Century Gothic" w:hAnsi="Century Gothic" w:cs="Arial"/>
          <w:color w:val="000000" w:themeColor="text1"/>
          <w:sz w:val="16"/>
          <w:szCs w:val="16"/>
          <w:lang w:eastAsia="es-CO"/>
        </w:rPr>
        <w:t>. (Derogado por el artículo 32 de la Ley 1150 de 2007).</w:t>
      </w:r>
    </w:p>
  </w:footnote>
  <w:footnote w:id="7">
    <w:p w14:paraId="557EF2E0" w14:textId="53847278" w:rsidR="00A8598A" w:rsidRPr="003E38EB" w:rsidRDefault="00A8598A" w:rsidP="00A8598A">
      <w:pPr>
        <w:pStyle w:val="NormalWeb"/>
        <w:spacing w:before="0" w:beforeAutospacing="0" w:after="0" w:afterAutospacing="0"/>
        <w:ind w:firstLine="709"/>
        <w:jc w:val="both"/>
        <w:rPr>
          <w:rFonts w:ascii="Century Gothic" w:hAnsi="Century Gothic" w:cs="Arial"/>
          <w:color w:val="000000" w:themeColor="text1"/>
          <w:sz w:val="16"/>
          <w:szCs w:val="16"/>
        </w:rPr>
      </w:pPr>
      <w:r w:rsidRPr="003E38EB">
        <w:rPr>
          <w:rStyle w:val="Refdenotaalpie"/>
          <w:rFonts w:ascii="Century Gothic" w:hAnsi="Century Gothic" w:cs="Arial"/>
          <w:sz w:val="16"/>
          <w:szCs w:val="16"/>
        </w:rPr>
        <w:footnoteRef/>
      </w:r>
      <w:r w:rsidRPr="003E38EB">
        <w:rPr>
          <w:rFonts w:ascii="Century Gothic" w:hAnsi="Century Gothic" w:cs="Arial"/>
          <w:color w:val="000000" w:themeColor="text1"/>
          <w:sz w:val="16"/>
          <w:szCs w:val="16"/>
        </w:rPr>
        <w:t xml:space="preserve"> Ley 1150 de 2007. </w:t>
      </w:r>
      <w:r w:rsidR="003E38EB">
        <w:rPr>
          <w:rFonts w:ascii="Century Gothic" w:hAnsi="Century Gothic" w:cs="Arial"/>
          <w:color w:val="000000" w:themeColor="text1"/>
          <w:sz w:val="16"/>
          <w:szCs w:val="16"/>
        </w:rPr>
        <w:t>“</w:t>
      </w:r>
      <w:r w:rsidRPr="003E38EB">
        <w:rPr>
          <w:rFonts w:ascii="Century Gothic" w:hAnsi="Century Gothic" w:cs="Arial"/>
          <w:color w:val="000000" w:themeColor="text1"/>
          <w:sz w:val="16"/>
          <w:szCs w:val="16"/>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023859CA" w14:textId="50965F28"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46D948C3" w14:textId="6AD1FF2D"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Las entidades estatales no podrán celebrar contratos o convenios para la administración o gerencia de sus recursos propios o de aquellos que les asignen los presupuestos públicos, con organismos de cooperación, asistencia o ayuda internacional.</w:t>
      </w:r>
    </w:p>
    <w:p w14:paraId="18C94B65" w14:textId="0907EB93"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Style w:val="baj"/>
          <w:rFonts w:ascii="Century Gothic" w:hAnsi="Century Gothic" w:cs="Arial"/>
          <w:color w:val="000000" w:themeColor="text1"/>
          <w:sz w:val="16"/>
          <w:szCs w:val="16"/>
        </w:rPr>
        <w:t>PARÁGRAFO 1o.</w:t>
      </w:r>
      <w:r w:rsidR="00A8598A" w:rsidRPr="003E38EB">
        <w:rPr>
          <w:rFonts w:ascii="Century Gothic" w:hAnsi="Century Gothic" w:cs="Arial"/>
          <w:color w:val="000000" w:themeColor="text1"/>
          <w:sz w:val="16"/>
          <w:szCs w:val="16"/>
        </w:rPr>
        <w:t> Los contratos o acuerdos celebrados con personas extranjeras de derecho público, podrán someterse a las reglas de tales organismos.</w:t>
      </w:r>
    </w:p>
    <w:p w14:paraId="7D5E110B" w14:textId="66185C23"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Style w:val="baj"/>
          <w:rFonts w:ascii="Century Gothic" w:hAnsi="Century Gothic" w:cs="Arial"/>
          <w:color w:val="000000" w:themeColor="text1"/>
          <w:sz w:val="16"/>
          <w:szCs w:val="16"/>
        </w:rPr>
        <w:t>PARÁGRAFO 2o.</w:t>
      </w:r>
      <w:r w:rsidR="00A8598A" w:rsidRPr="003E38EB">
        <w:rPr>
          <w:rFonts w:ascii="Century Gothic" w:hAnsi="Century Gothic" w:cs="Arial"/>
          <w:color w:val="000000" w:themeColor="text1"/>
          <w:sz w:val="16"/>
          <w:szCs w:val="16"/>
        </w:rPr>
        <w:t> Las entidades estatales tendrán la obligación de reportar la información a los organismos de control y al Secop relativa a la ejecución de los contratos a los que se refiere el presente artículo.</w:t>
      </w:r>
    </w:p>
    <w:p w14:paraId="1CC0CB69" w14:textId="7D3F6882"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Style w:val="baj"/>
          <w:rFonts w:ascii="Century Gothic" w:hAnsi="Century Gothic" w:cs="Arial"/>
          <w:color w:val="000000" w:themeColor="text1"/>
          <w:sz w:val="16"/>
          <w:szCs w:val="16"/>
        </w:rPr>
        <w:t>PARÁGRAFO 3o.</w:t>
      </w:r>
      <w:r w:rsidR="00A8598A" w:rsidRPr="003E38EB">
        <w:rPr>
          <w:rFonts w:ascii="Century Gothic" w:hAnsi="Century Gothic" w:cs="Arial"/>
          <w:color w:val="000000" w:themeColor="text1"/>
          <w:sz w:val="16"/>
          <w:szCs w:val="16"/>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w:t>
      </w:r>
    </w:p>
  </w:footnote>
  <w:footnote w:id="8">
    <w:p w14:paraId="2B482ABA" w14:textId="74CB17D3" w:rsidR="00A8598A" w:rsidRPr="003E38EB" w:rsidRDefault="00A8598A" w:rsidP="00A8598A">
      <w:pPr>
        <w:pStyle w:val="NormalWeb"/>
        <w:spacing w:before="0" w:beforeAutospacing="0" w:after="0" w:afterAutospacing="0"/>
        <w:ind w:firstLine="709"/>
        <w:jc w:val="both"/>
        <w:rPr>
          <w:rFonts w:ascii="Century Gothic" w:hAnsi="Century Gothic" w:cs="Arial"/>
          <w:color w:val="000000" w:themeColor="text1"/>
          <w:sz w:val="16"/>
          <w:szCs w:val="16"/>
        </w:rPr>
      </w:pPr>
      <w:r w:rsidRPr="003E38EB">
        <w:rPr>
          <w:rFonts w:ascii="Century Gothic" w:hAnsi="Century Gothic" w:cs="Arial"/>
          <w:color w:val="000000" w:themeColor="text1"/>
          <w:sz w:val="16"/>
          <w:szCs w:val="16"/>
        </w:rPr>
        <w:footnoteRef/>
      </w:r>
      <w:r w:rsidRPr="003E38EB">
        <w:rPr>
          <w:rFonts w:ascii="Century Gothic" w:hAnsi="Century Gothic" w:cs="Arial"/>
          <w:color w:val="000000" w:themeColor="text1"/>
          <w:sz w:val="16"/>
          <w:szCs w:val="16"/>
        </w:rPr>
        <w:t xml:space="preserve"> Código Civil </w:t>
      </w:r>
      <w:bookmarkStart w:id="13" w:name="27"/>
      <w:r w:rsidR="003E38EB">
        <w:rPr>
          <w:rFonts w:ascii="Century Gothic" w:hAnsi="Century Gothic" w:cs="Arial"/>
          <w:color w:val="000000" w:themeColor="text1"/>
          <w:sz w:val="16"/>
          <w:szCs w:val="16"/>
        </w:rPr>
        <w:t>“</w:t>
      </w:r>
      <w:r w:rsidRPr="003E38EB">
        <w:rPr>
          <w:rFonts w:ascii="Century Gothic" w:hAnsi="Century Gothic" w:cs="Arial"/>
          <w:color w:val="000000" w:themeColor="text1"/>
          <w:sz w:val="16"/>
          <w:szCs w:val="16"/>
        </w:rPr>
        <w:t>Artículo 27. [Interpretación gramatical].</w:t>
      </w:r>
      <w:bookmarkEnd w:id="13"/>
      <w:r w:rsidRPr="003E38EB">
        <w:rPr>
          <w:rFonts w:ascii="Century Gothic" w:hAnsi="Century Gothic" w:cs="Arial"/>
          <w:color w:val="000000" w:themeColor="text1"/>
          <w:sz w:val="16"/>
          <w:szCs w:val="16"/>
        </w:rPr>
        <w:t> Cuando el sentido de la ley sea claro, no se desatenderá su tenor literal a pretexto de consultar su espíritu.</w:t>
      </w:r>
    </w:p>
    <w:p w14:paraId="0A9BE229" w14:textId="11D80D4F" w:rsidR="00A8598A" w:rsidRPr="003E38EB" w:rsidRDefault="003E38EB" w:rsidP="00A8598A">
      <w:pPr>
        <w:pStyle w:val="NormalWeb"/>
        <w:spacing w:before="0" w:beforeAutospacing="0" w:after="0" w:afterAutospacing="0"/>
        <w:ind w:firstLine="709"/>
        <w:jc w:val="both"/>
        <w:rPr>
          <w:rFonts w:ascii="Century Gothic" w:hAnsi="Century Gothic" w:cs="Arial"/>
          <w:color w:val="000000" w:themeColor="text1"/>
          <w:sz w:val="16"/>
          <w:szCs w:val="16"/>
        </w:rPr>
      </w:pP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Pero bien se puede, para interpretar una expresión oscura de la ley, recurrir a su intención o espíritu, claramente manifestados en ella misma o en la historia fidedigna de su establecimiento</w:t>
      </w:r>
      <w:r>
        <w:rPr>
          <w:rFonts w:ascii="Century Gothic" w:hAnsi="Century Gothic" w:cs="Arial"/>
          <w:color w:val="000000" w:themeColor="text1"/>
          <w:sz w:val="16"/>
          <w:szCs w:val="16"/>
        </w:rPr>
        <w:t>”</w:t>
      </w:r>
      <w:r w:rsidR="00A8598A" w:rsidRPr="003E38EB">
        <w:rPr>
          <w:rFonts w:ascii="Century Gothic" w:hAnsi="Century Gothic" w:cs="Arial"/>
          <w:color w:val="000000" w:themeColor="text1"/>
          <w:sz w:val="16"/>
          <w:szCs w:val="16"/>
        </w:rPr>
        <w:t>.</w:t>
      </w:r>
    </w:p>
    <w:p w14:paraId="19400867" w14:textId="77777777" w:rsidR="00A8598A" w:rsidRPr="003E38EB" w:rsidRDefault="00A8598A" w:rsidP="00A8598A">
      <w:pPr>
        <w:pStyle w:val="Textonotapie"/>
        <w:ind w:firstLine="709"/>
        <w:jc w:val="both"/>
        <w:rPr>
          <w:rFonts w:ascii="Century Gothic" w:hAnsi="Century Gothic" w:cs="Arial"/>
          <w:sz w:val="16"/>
          <w:szCs w:val="16"/>
        </w:rPr>
      </w:pPr>
    </w:p>
  </w:footnote>
  <w:footnote w:id="9">
    <w:p w14:paraId="488F1229"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DÁVILA VINUEZA, Luis Guillermo. </w:t>
      </w:r>
      <w:r w:rsidRPr="003E38EB">
        <w:rPr>
          <w:rFonts w:ascii="Century Gothic" w:hAnsi="Century Gothic" w:cs="Arial"/>
          <w:i/>
          <w:iCs/>
          <w:sz w:val="16"/>
          <w:szCs w:val="16"/>
        </w:rPr>
        <w:t xml:space="preserve">Régimen jurídico de la Contratación Estatal. </w:t>
      </w:r>
      <w:r w:rsidRPr="003E38EB">
        <w:rPr>
          <w:rFonts w:ascii="Century Gothic" w:hAnsi="Century Gothic" w:cs="Arial"/>
          <w:sz w:val="16"/>
          <w:szCs w:val="16"/>
        </w:rPr>
        <w:t xml:space="preserve">3ª Ed. Bogotá: Legis. 2016. p. 59. </w:t>
      </w:r>
    </w:p>
  </w:footnote>
  <w:footnote w:id="10">
    <w:p w14:paraId="33B89852"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BENAVIDES, José Luis. La internacionalización de los contratos públicos. En: Contratos públicos. Estudios. Bogotá: Universidad Externado de Colombia, 2014, pp. 41-42.</w:t>
      </w:r>
    </w:p>
    <w:p w14:paraId="4BB84B12" w14:textId="77777777" w:rsidR="00A8598A" w:rsidRPr="003E38EB" w:rsidRDefault="00A8598A" w:rsidP="00A8598A">
      <w:pPr>
        <w:pStyle w:val="Textonotapie"/>
        <w:ind w:firstLine="709"/>
        <w:jc w:val="both"/>
        <w:rPr>
          <w:rFonts w:ascii="Century Gothic" w:hAnsi="Century Gothic" w:cs="Arial"/>
          <w:sz w:val="16"/>
          <w:szCs w:val="16"/>
          <w:lang w:val="es-ES"/>
        </w:rPr>
      </w:pPr>
    </w:p>
  </w:footnote>
  <w:footnote w:id="11">
    <w:p w14:paraId="7824BDBD" w14:textId="77777777" w:rsidR="00A8598A" w:rsidRPr="003E38EB" w:rsidRDefault="00A8598A" w:rsidP="00A8598A">
      <w:pPr>
        <w:pStyle w:val="Textonotapie"/>
        <w:ind w:firstLine="709"/>
        <w:jc w:val="both"/>
        <w:rPr>
          <w:rFonts w:ascii="Century Gothic" w:hAnsi="Century Gothic" w:cs="Arial"/>
          <w:sz w:val="16"/>
          <w:szCs w:val="16"/>
          <w:lang w:val="es-ES"/>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w:t>
      </w:r>
      <w:r w:rsidRPr="003E38EB">
        <w:rPr>
          <w:rFonts w:ascii="Century Gothic" w:hAnsi="Century Gothic" w:cs="Arial"/>
          <w:sz w:val="16"/>
          <w:szCs w:val="16"/>
          <w:lang w:val="es-ES"/>
        </w:rPr>
        <w:t>Ibíd., p. 54.</w:t>
      </w:r>
    </w:p>
    <w:p w14:paraId="348FF173" w14:textId="77777777" w:rsidR="00A8598A" w:rsidRPr="003E38EB" w:rsidRDefault="00A8598A" w:rsidP="00A8598A">
      <w:pPr>
        <w:pStyle w:val="Textonotapie"/>
        <w:ind w:firstLine="709"/>
        <w:jc w:val="both"/>
        <w:rPr>
          <w:rFonts w:ascii="Century Gothic" w:hAnsi="Century Gothic" w:cs="Arial"/>
          <w:sz w:val="16"/>
          <w:szCs w:val="16"/>
          <w:lang w:val="es-ES"/>
        </w:rPr>
      </w:pPr>
    </w:p>
  </w:footnote>
  <w:footnote w:id="12">
    <w:p w14:paraId="112E90F0" w14:textId="77777777" w:rsidR="00A8598A" w:rsidRPr="003E38EB" w:rsidRDefault="00A8598A" w:rsidP="00A8598A">
      <w:pPr>
        <w:pStyle w:val="Textonotapie"/>
        <w:ind w:firstLine="709"/>
        <w:jc w:val="both"/>
        <w:rPr>
          <w:rFonts w:ascii="Century Gothic" w:hAnsi="Century Gothic" w:cs="Arial"/>
          <w:sz w:val="16"/>
          <w:szCs w:val="16"/>
          <w:lang w:val="en-US"/>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w:t>
      </w:r>
      <w:r w:rsidRPr="003E38EB">
        <w:rPr>
          <w:rFonts w:ascii="Century Gothic" w:hAnsi="Century Gothic" w:cs="Arial"/>
          <w:sz w:val="16"/>
          <w:szCs w:val="16"/>
          <w:lang w:val="es-ES"/>
        </w:rPr>
        <w:t xml:space="preserve">DÁVILA VINUEZA, Luis Guillermo. Régimen jurídico de la contratación estatal. </w:t>
      </w:r>
      <w:r w:rsidRPr="003E38EB">
        <w:rPr>
          <w:rFonts w:ascii="Century Gothic" w:hAnsi="Century Gothic" w:cs="Arial"/>
          <w:sz w:val="16"/>
          <w:szCs w:val="16"/>
          <w:lang w:val="en-US"/>
        </w:rPr>
        <w:t>2ª ed. Bogotá: Legis, 2006, p. 53.</w:t>
      </w:r>
    </w:p>
    <w:p w14:paraId="427AF797" w14:textId="77777777" w:rsidR="00A8598A" w:rsidRPr="003E38EB" w:rsidRDefault="00A8598A" w:rsidP="00A8598A">
      <w:pPr>
        <w:pStyle w:val="Textonotapie"/>
        <w:ind w:firstLine="709"/>
        <w:jc w:val="both"/>
        <w:rPr>
          <w:rFonts w:ascii="Century Gothic" w:hAnsi="Century Gothic" w:cs="Arial"/>
          <w:sz w:val="16"/>
          <w:szCs w:val="16"/>
          <w:lang w:val="en-US"/>
        </w:rPr>
      </w:pPr>
    </w:p>
  </w:footnote>
  <w:footnote w:id="13">
    <w:p w14:paraId="027942BC" w14:textId="77777777" w:rsidR="00A8598A" w:rsidRPr="003E38EB" w:rsidRDefault="00A8598A" w:rsidP="00A8598A">
      <w:pPr>
        <w:pStyle w:val="Textonotapie"/>
        <w:ind w:firstLine="709"/>
        <w:jc w:val="both"/>
        <w:rPr>
          <w:rFonts w:ascii="Century Gothic" w:hAnsi="Century Gothic" w:cs="Arial"/>
          <w:sz w:val="16"/>
          <w:szCs w:val="16"/>
          <w:lang w:val="en-US"/>
        </w:rPr>
      </w:pPr>
      <w:r w:rsidRPr="003E38EB">
        <w:rPr>
          <w:rStyle w:val="Refdenotaalpie"/>
          <w:rFonts w:ascii="Century Gothic" w:hAnsi="Century Gothic" w:cs="Arial"/>
          <w:sz w:val="16"/>
          <w:szCs w:val="16"/>
        </w:rPr>
        <w:footnoteRef/>
      </w:r>
      <w:r w:rsidRPr="003E38EB">
        <w:rPr>
          <w:rFonts w:ascii="Century Gothic" w:hAnsi="Century Gothic" w:cs="Arial"/>
          <w:sz w:val="16"/>
          <w:szCs w:val="16"/>
          <w:lang w:val="en-US"/>
        </w:rPr>
        <w:t xml:space="preserve"> Ibíd., p. 53.</w:t>
      </w:r>
    </w:p>
    <w:p w14:paraId="0101E8D6" w14:textId="77777777" w:rsidR="00A8598A" w:rsidRPr="003E38EB" w:rsidRDefault="00A8598A" w:rsidP="00A8598A">
      <w:pPr>
        <w:pStyle w:val="Textonotapie"/>
        <w:ind w:firstLine="709"/>
        <w:jc w:val="both"/>
        <w:rPr>
          <w:rFonts w:ascii="Century Gothic" w:hAnsi="Century Gothic" w:cs="Arial"/>
          <w:sz w:val="16"/>
          <w:szCs w:val="16"/>
          <w:lang w:val="en-US"/>
        </w:rPr>
      </w:pPr>
    </w:p>
  </w:footnote>
  <w:footnote w:id="14">
    <w:p w14:paraId="414E189C" w14:textId="77777777" w:rsidR="00A8598A" w:rsidRPr="003E38EB" w:rsidRDefault="00A8598A" w:rsidP="00A8598A">
      <w:pPr>
        <w:pStyle w:val="Textonotapie"/>
        <w:ind w:firstLine="709"/>
        <w:jc w:val="both"/>
        <w:rPr>
          <w:rFonts w:ascii="Century Gothic" w:hAnsi="Century Gothic" w:cs="Arial"/>
          <w:sz w:val="16"/>
          <w:szCs w:val="16"/>
          <w:lang w:val="en-US"/>
        </w:rPr>
      </w:pPr>
      <w:r w:rsidRPr="003E38EB">
        <w:rPr>
          <w:rStyle w:val="Refdenotaalpie"/>
          <w:rFonts w:ascii="Century Gothic" w:hAnsi="Century Gothic" w:cs="Arial"/>
          <w:sz w:val="16"/>
          <w:szCs w:val="16"/>
        </w:rPr>
        <w:footnoteRef/>
      </w:r>
      <w:r w:rsidRPr="003E38EB">
        <w:rPr>
          <w:rFonts w:ascii="Century Gothic" w:hAnsi="Century Gothic" w:cs="Arial"/>
          <w:sz w:val="16"/>
          <w:szCs w:val="16"/>
          <w:lang w:val="en-US"/>
        </w:rPr>
        <w:t xml:space="preserve"> En:</w:t>
      </w:r>
    </w:p>
    <w:p w14:paraId="6C12F25A" w14:textId="77777777" w:rsidR="00A8598A" w:rsidRPr="003E38EB" w:rsidRDefault="00A8598A" w:rsidP="00A8598A">
      <w:pPr>
        <w:pStyle w:val="Textonotapie"/>
        <w:ind w:firstLine="709"/>
        <w:jc w:val="both"/>
        <w:rPr>
          <w:rFonts w:ascii="Century Gothic" w:hAnsi="Century Gothic" w:cs="Arial"/>
          <w:sz w:val="16"/>
          <w:szCs w:val="16"/>
          <w:lang w:val="en-US"/>
        </w:rPr>
      </w:pPr>
      <w:r w:rsidRPr="003E38EB">
        <w:rPr>
          <w:rFonts w:ascii="Century Gothic" w:hAnsi="Century Gothic" w:cs="Arial"/>
          <w:sz w:val="16"/>
          <w:szCs w:val="16"/>
          <w:lang w:val="en-US"/>
        </w:rPr>
        <w:t>https://www.iadb.org/es/cooperaciontecnica#:~:text=El%20BID%20financia%20programas%20de,formulaci%C3%B3n%20y%20preparaci%C3%B3n%20de%20proyectos.</w:t>
      </w:r>
    </w:p>
  </w:footnote>
  <w:footnote w:id="15">
    <w:p w14:paraId="2DE8640D"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Consejo de Estado. Sección Tercera. Subsección A. Sentencia del 26 de agosto de 2015. Consejero Ponente: Hernán Andrade Rincón. Expediente: 38.691.</w:t>
      </w:r>
    </w:p>
    <w:p w14:paraId="47531C37" w14:textId="77777777" w:rsidR="00A8598A" w:rsidRPr="003E38EB" w:rsidRDefault="00A8598A" w:rsidP="00A8598A">
      <w:pPr>
        <w:pStyle w:val="Textonotapie"/>
        <w:ind w:firstLine="709"/>
        <w:jc w:val="both"/>
        <w:rPr>
          <w:rFonts w:ascii="Century Gothic" w:hAnsi="Century Gothic" w:cs="Arial"/>
          <w:sz w:val="16"/>
          <w:szCs w:val="16"/>
          <w:lang w:val="es-ES"/>
        </w:rPr>
      </w:pPr>
    </w:p>
  </w:footnote>
  <w:footnote w:id="16">
    <w:p w14:paraId="5A6E4D7C" w14:textId="77777777" w:rsidR="00A8598A" w:rsidRPr="003E38EB" w:rsidRDefault="00A8598A" w:rsidP="00A8598A">
      <w:pPr>
        <w:pStyle w:val="Textonotapie"/>
        <w:ind w:firstLine="709"/>
        <w:jc w:val="both"/>
        <w:rPr>
          <w:rFonts w:ascii="Century Gothic" w:hAnsi="Century Gothic" w:cs="Arial"/>
          <w:sz w:val="16"/>
          <w:szCs w:val="16"/>
          <w:lang w:val="es-ES"/>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w:t>
      </w:r>
      <w:r w:rsidRPr="003E38EB">
        <w:rPr>
          <w:rFonts w:ascii="Century Gothic" w:hAnsi="Century Gothic" w:cs="Arial"/>
          <w:sz w:val="16"/>
          <w:szCs w:val="16"/>
          <w:lang w:val="es-ES"/>
        </w:rPr>
        <w:t>Ibíd.</w:t>
      </w:r>
    </w:p>
  </w:footnote>
  <w:footnote w:id="17">
    <w:p w14:paraId="549F7047" w14:textId="77777777" w:rsidR="00A8598A" w:rsidRPr="003E38EB" w:rsidRDefault="00A8598A" w:rsidP="00A8598A">
      <w:pPr>
        <w:pStyle w:val="Textonotapie"/>
        <w:ind w:firstLine="709"/>
        <w:jc w:val="both"/>
        <w:rPr>
          <w:rFonts w:ascii="Century Gothic" w:hAnsi="Century Gothic" w:cs="Arial"/>
          <w:color w:val="000000"/>
          <w:sz w:val="16"/>
          <w:szCs w:val="16"/>
          <w:lang w:val="es-ES_tradnl"/>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Consejo de Estado. Sala de Consulta y Servicio Civil. Concepto del 25 de septiembre de 2018. Consejero Ponente: Edgar González López. Radicado: </w:t>
      </w:r>
      <w:r w:rsidRPr="003E38EB">
        <w:rPr>
          <w:rFonts w:ascii="Century Gothic" w:hAnsi="Century Gothic" w:cs="Arial"/>
          <w:color w:val="000000"/>
          <w:sz w:val="16"/>
          <w:szCs w:val="16"/>
          <w:lang w:val="es-ES_tradnl"/>
        </w:rPr>
        <w:t>11001-03-06-000-2018-00129-00(2389).</w:t>
      </w:r>
    </w:p>
    <w:p w14:paraId="03A332A8" w14:textId="77777777" w:rsidR="00A8598A" w:rsidRPr="003E38EB" w:rsidRDefault="00A8598A" w:rsidP="00A8598A">
      <w:pPr>
        <w:pStyle w:val="Textonotapie"/>
        <w:ind w:firstLine="709"/>
        <w:jc w:val="both"/>
        <w:rPr>
          <w:rFonts w:ascii="Century Gothic" w:hAnsi="Century Gothic" w:cs="Arial"/>
          <w:sz w:val="16"/>
          <w:szCs w:val="16"/>
        </w:rPr>
      </w:pPr>
    </w:p>
  </w:footnote>
  <w:footnote w:id="18">
    <w:p w14:paraId="26DB08DC" w14:textId="77777777" w:rsidR="00A8598A" w:rsidRPr="003E38EB" w:rsidRDefault="00A8598A" w:rsidP="00A8598A">
      <w:pPr>
        <w:pStyle w:val="bodytext21"/>
        <w:spacing w:before="0" w:beforeAutospacing="0" w:after="0" w:afterAutospacing="0"/>
        <w:ind w:firstLine="709"/>
        <w:jc w:val="both"/>
        <w:rPr>
          <w:rFonts w:ascii="Century Gothic" w:hAnsi="Century Gothic" w:cs="Arial"/>
          <w:sz w:val="16"/>
          <w:szCs w:val="16"/>
          <w:lang w:val="es-ES"/>
        </w:rPr>
      </w:pPr>
      <w:r w:rsidRPr="003E38EB">
        <w:rPr>
          <w:rFonts w:ascii="Century Gothic" w:hAnsi="Century Gothic" w:cs="Arial"/>
          <w:sz w:val="16"/>
          <w:szCs w:val="16"/>
          <w:vertAlign w:val="superscript"/>
        </w:rPr>
        <w:footnoteRef/>
      </w:r>
      <w:r w:rsidRPr="003E38EB">
        <w:rPr>
          <w:rFonts w:ascii="Century Gothic" w:hAnsi="Century Gothic" w:cs="Arial"/>
          <w:sz w:val="16"/>
          <w:szCs w:val="16"/>
          <w:vertAlign w:val="superscript"/>
        </w:rPr>
        <w:t xml:space="preserve"> </w:t>
      </w:r>
      <w:r w:rsidRPr="003E38EB">
        <w:rPr>
          <w:rFonts w:ascii="Century Gothic" w:hAnsi="Century Gothic" w:cs="Arial"/>
          <w:sz w:val="16"/>
          <w:szCs w:val="16"/>
          <w:lang w:val="es-ES"/>
        </w:rPr>
        <w:t>Esta norma fue expresamente derogada por el art. 32 de la Ley 1150 de 2007.</w:t>
      </w:r>
    </w:p>
  </w:footnote>
  <w:footnote w:id="19">
    <w:p w14:paraId="3BEFB1BF"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Gerencia de Recursos Físicos y Financieros. Programa Administración pública territorial. Escuela Superior de Administración Pública. Bogotá. 2008. Pág. 22.</w:t>
      </w:r>
    </w:p>
  </w:footnote>
  <w:footnote w:id="20">
    <w:p w14:paraId="7582AD59"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ROMERO ROMERO, Enrique. </w:t>
      </w:r>
      <w:r w:rsidRPr="003E38EB">
        <w:rPr>
          <w:rFonts w:ascii="Century Gothic" w:hAnsi="Century Gothic" w:cs="Arial"/>
          <w:i/>
          <w:iCs/>
          <w:sz w:val="16"/>
          <w:szCs w:val="16"/>
        </w:rPr>
        <w:t xml:space="preserve">Presupuesto Público y Contabilidad Gubernamental.ECOE ediciones. </w:t>
      </w:r>
      <w:r w:rsidRPr="003E38EB">
        <w:rPr>
          <w:rFonts w:ascii="Century Gothic" w:hAnsi="Century Gothic" w:cs="Arial"/>
          <w:sz w:val="16"/>
          <w:szCs w:val="16"/>
        </w:rPr>
        <w:t xml:space="preserve">Quinta Edición. Bogotá. 2013. </w:t>
      </w:r>
    </w:p>
    <w:p w14:paraId="31411BAE" w14:textId="77777777" w:rsidR="00A8598A" w:rsidRPr="003E38EB" w:rsidRDefault="00A8598A" w:rsidP="00A8598A">
      <w:pPr>
        <w:pStyle w:val="Textonotapie"/>
        <w:ind w:firstLine="709"/>
        <w:jc w:val="both"/>
        <w:rPr>
          <w:rFonts w:ascii="Century Gothic" w:hAnsi="Century Gothic" w:cs="Arial"/>
          <w:sz w:val="16"/>
          <w:szCs w:val="16"/>
        </w:rPr>
      </w:pPr>
    </w:p>
  </w:footnote>
  <w:footnote w:id="21">
    <w:p w14:paraId="29CFAEDD"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22">
    <w:p w14:paraId="1F742728" w14:textId="77777777" w:rsidR="00A8598A" w:rsidRPr="003E38EB" w:rsidRDefault="00A8598A" w:rsidP="00A8598A">
      <w:pPr>
        <w:pStyle w:val="Textonotapie"/>
        <w:ind w:firstLine="709"/>
        <w:jc w:val="both"/>
        <w:rPr>
          <w:rFonts w:ascii="Century Gothic" w:hAnsi="Century Gothic" w:cs="Arial"/>
          <w:sz w:val="16"/>
          <w:szCs w:val="16"/>
        </w:rPr>
      </w:pPr>
    </w:p>
    <w:p w14:paraId="460EFF53" w14:textId="77777777"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RESTREPO, Juan Camilo. </w:t>
      </w:r>
      <w:r w:rsidRPr="003E38EB">
        <w:rPr>
          <w:rFonts w:ascii="Century Gothic" w:hAnsi="Century Gothic" w:cs="Arial"/>
          <w:i/>
          <w:iCs/>
          <w:sz w:val="16"/>
          <w:szCs w:val="16"/>
        </w:rPr>
        <w:t>Hacienda Pública.</w:t>
      </w:r>
      <w:r w:rsidRPr="003E38EB">
        <w:rPr>
          <w:rFonts w:ascii="Century Gothic" w:hAnsi="Century Gothic" w:cs="Arial"/>
          <w:sz w:val="16"/>
          <w:szCs w:val="16"/>
        </w:rPr>
        <w:t xml:space="preserve"> Ed. Universidad Externado de Colombia. Decimo primera Edición. Bogotá. 2020. </w:t>
      </w:r>
    </w:p>
  </w:footnote>
  <w:footnote w:id="23">
    <w:p w14:paraId="4865EC2B" w14:textId="77777777" w:rsidR="00A8598A" w:rsidRPr="003E38EB" w:rsidRDefault="00A8598A" w:rsidP="00A8598A">
      <w:pPr>
        <w:pStyle w:val="Textonotapie"/>
        <w:ind w:firstLine="709"/>
        <w:jc w:val="both"/>
        <w:rPr>
          <w:rFonts w:ascii="Century Gothic" w:hAnsi="Century Gothic" w:cs="Arial"/>
          <w:sz w:val="16"/>
          <w:szCs w:val="16"/>
        </w:rPr>
      </w:pPr>
    </w:p>
    <w:p w14:paraId="0921FF5F" w14:textId="66D9B1C8" w:rsidR="00A8598A" w:rsidRPr="003E38EB" w:rsidRDefault="00A8598A" w:rsidP="00A8598A">
      <w:pPr>
        <w:pStyle w:val="Textonotapie"/>
        <w:ind w:firstLine="709"/>
        <w:jc w:val="both"/>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w:t>
      </w:r>
      <w:r w:rsidR="003E38EB">
        <w:rPr>
          <w:rFonts w:ascii="Century Gothic" w:hAnsi="Century Gothic" w:cs="Arial"/>
          <w:sz w:val="16"/>
          <w:szCs w:val="16"/>
        </w:rPr>
        <w:t>“</w:t>
      </w:r>
      <w:r w:rsidRPr="003E38EB">
        <w:rPr>
          <w:rFonts w:ascii="Century Gothic" w:hAnsi="Century Gothic" w:cs="Arial"/>
          <w:sz w:val="16"/>
          <w:szCs w:val="16"/>
        </w:rPr>
        <w:t>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14:paraId="784E9981" w14:textId="4A56B5E5" w:rsidR="00A8598A" w:rsidRPr="003E38EB" w:rsidRDefault="003E38EB" w:rsidP="00A8598A">
      <w:pPr>
        <w:pStyle w:val="Textonotapie"/>
        <w:ind w:firstLine="709"/>
        <w:jc w:val="both"/>
        <w:rPr>
          <w:rFonts w:ascii="Century Gothic" w:hAnsi="Century Gothic" w:cs="Arial"/>
          <w:sz w:val="16"/>
          <w:szCs w:val="16"/>
        </w:rPr>
      </w:pPr>
      <w:r>
        <w:rPr>
          <w:rFonts w:ascii="Century Gothic" w:hAnsi="Century Gothic" w:cs="Arial"/>
          <w:sz w:val="16"/>
          <w:szCs w:val="16"/>
        </w:rPr>
        <w:t>“</w:t>
      </w:r>
      <w:r w:rsidR="00A8598A" w:rsidRPr="003E38EB">
        <w:rPr>
          <w:rFonts w:ascii="Century Gothic" w:hAnsi="Century Gothic" w:cs="Arial"/>
          <w:sz w:val="16"/>
          <w:szCs w:val="16"/>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r>
        <w:rPr>
          <w:rFonts w:ascii="Century Gothic" w:hAnsi="Century Gothic" w:cs="Arial"/>
          <w:sz w:val="16"/>
          <w:szCs w:val="16"/>
        </w:rPr>
        <w:t>”</w:t>
      </w:r>
      <w:r w:rsidR="00A8598A" w:rsidRPr="003E38EB">
        <w:rPr>
          <w:rFonts w:ascii="Century Gothic" w:hAnsi="Century Gothic" w:cs="Arial"/>
          <w:sz w:val="16"/>
          <w:szCs w:val="16"/>
        </w:rPr>
        <w:t>.</w:t>
      </w:r>
    </w:p>
  </w:footnote>
  <w:footnote w:id="24">
    <w:p w14:paraId="7A63DA54" w14:textId="77777777" w:rsidR="00A8598A" w:rsidRPr="003E38EB" w:rsidRDefault="00A8598A" w:rsidP="00A8598A">
      <w:pPr>
        <w:pStyle w:val="Textonotapie"/>
        <w:ind w:firstLine="709"/>
        <w:jc w:val="both"/>
        <w:rPr>
          <w:rFonts w:ascii="Century Gothic" w:hAnsi="Century Gothic" w:cs="Arial"/>
          <w:sz w:val="16"/>
          <w:szCs w:val="16"/>
        </w:rPr>
      </w:pPr>
    </w:p>
    <w:p w14:paraId="63BBBB14" w14:textId="77777777" w:rsidR="00A8598A" w:rsidRPr="003E38EB" w:rsidRDefault="00A8598A" w:rsidP="00A8598A">
      <w:pPr>
        <w:pStyle w:val="Textonotapie"/>
        <w:ind w:firstLine="709"/>
        <w:jc w:val="both"/>
        <w:rPr>
          <w:rFonts w:ascii="Century Gothic" w:hAnsi="Century Gothic" w:cs="Arial"/>
          <w:i/>
          <w:iCs/>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w:t>
      </w:r>
      <w:r w:rsidRPr="003E38EB">
        <w:rPr>
          <w:rFonts w:ascii="Century Gothic" w:hAnsi="Century Gothic" w:cs="Arial"/>
          <w:i/>
          <w:iCs/>
          <w:sz w:val="16"/>
          <w:szCs w:val="16"/>
        </w:rPr>
        <w:t xml:space="preserve">Ibíd. </w:t>
      </w:r>
    </w:p>
  </w:footnote>
  <w:footnote w:id="25">
    <w:p w14:paraId="3404E421" w14:textId="77777777" w:rsidR="00A8598A" w:rsidRPr="003E38EB" w:rsidRDefault="00A8598A" w:rsidP="00A8598A">
      <w:pPr>
        <w:pStyle w:val="Textonotapie"/>
        <w:ind w:firstLine="708"/>
        <w:rPr>
          <w:rFonts w:ascii="Century Gothic" w:hAnsi="Century Gothic" w:cs="Arial"/>
          <w:sz w:val="16"/>
          <w:szCs w:val="16"/>
        </w:rPr>
      </w:pPr>
      <w:r w:rsidRPr="003E38EB">
        <w:rPr>
          <w:rStyle w:val="Refdenotaalpie"/>
          <w:rFonts w:ascii="Century Gothic" w:hAnsi="Century Gothic" w:cs="Arial"/>
          <w:sz w:val="16"/>
          <w:szCs w:val="16"/>
        </w:rPr>
        <w:footnoteRef/>
      </w:r>
      <w:r w:rsidRPr="003E38EB">
        <w:rPr>
          <w:rFonts w:ascii="Century Gothic" w:hAnsi="Century Gothic" w:cs="Arial"/>
          <w:sz w:val="16"/>
          <w:szCs w:val="16"/>
        </w:rPr>
        <w:t xml:space="preserve"> Artículo 27 del Decreto 111 de 1996.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1"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DE2031"/>
    <w:multiLevelType w:val="hybridMultilevel"/>
    <w:tmpl w:val="065C3D1C"/>
    <w:lvl w:ilvl="0" w:tplc="27F099D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1"/>
  </w:num>
  <w:num w:numId="7" w16cid:durableId="1946422806">
    <w:abstractNumId w:val="4"/>
  </w:num>
  <w:num w:numId="8" w16cid:durableId="152644682">
    <w:abstractNumId w:val="10"/>
  </w:num>
  <w:num w:numId="9" w16cid:durableId="1317221377">
    <w:abstractNumId w:val="6"/>
  </w:num>
  <w:num w:numId="10" w16cid:durableId="1471245386">
    <w:abstractNumId w:val="9"/>
  </w:num>
  <w:num w:numId="11" w16cid:durableId="289172385">
    <w:abstractNumId w:val="7"/>
  </w:num>
  <w:num w:numId="12" w16cid:durableId="1470781324">
    <w:abstractNumId w:val="0"/>
  </w:num>
  <w:num w:numId="13" w16cid:durableId="1512908409">
    <w:abstractNumId w:val="2"/>
  </w:num>
  <w:num w:numId="14" w16cid:durableId="895897244">
    <w:abstractNumId w:val="12"/>
  </w:num>
  <w:num w:numId="15" w16cid:durableId="390349800">
    <w:abstractNumId w:val="8"/>
  </w:num>
  <w:num w:numId="16" w16cid:durableId="17390154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F71"/>
    <w:rsid w:val="00004E30"/>
    <w:rsid w:val="000236BE"/>
    <w:rsid w:val="000254EF"/>
    <w:rsid w:val="00056789"/>
    <w:rsid w:val="00061B2A"/>
    <w:rsid w:val="00072CA6"/>
    <w:rsid w:val="00082362"/>
    <w:rsid w:val="000A683E"/>
    <w:rsid w:val="000B19B9"/>
    <w:rsid w:val="000D0334"/>
    <w:rsid w:val="000E71E6"/>
    <w:rsid w:val="000F6486"/>
    <w:rsid w:val="001045D9"/>
    <w:rsid w:val="00125105"/>
    <w:rsid w:val="00127233"/>
    <w:rsid w:val="001648BF"/>
    <w:rsid w:val="00183526"/>
    <w:rsid w:val="001A35A0"/>
    <w:rsid w:val="001C51DD"/>
    <w:rsid w:val="001C595C"/>
    <w:rsid w:val="001D1917"/>
    <w:rsid w:val="001E4177"/>
    <w:rsid w:val="001F7DC6"/>
    <w:rsid w:val="002027A4"/>
    <w:rsid w:val="00215FB5"/>
    <w:rsid w:val="002161E2"/>
    <w:rsid w:val="002370CB"/>
    <w:rsid w:val="002421BB"/>
    <w:rsid w:val="0026589E"/>
    <w:rsid w:val="002707A2"/>
    <w:rsid w:val="00287833"/>
    <w:rsid w:val="002951A0"/>
    <w:rsid w:val="002962BC"/>
    <w:rsid w:val="002A093D"/>
    <w:rsid w:val="002A0DD0"/>
    <w:rsid w:val="002A49AC"/>
    <w:rsid w:val="002A64FD"/>
    <w:rsid w:val="002C7A84"/>
    <w:rsid w:val="002D258B"/>
    <w:rsid w:val="002E4FD9"/>
    <w:rsid w:val="00322A85"/>
    <w:rsid w:val="003448F4"/>
    <w:rsid w:val="00374F5E"/>
    <w:rsid w:val="00377E3E"/>
    <w:rsid w:val="0039075F"/>
    <w:rsid w:val="003A3CE4"/>
    <w:rsid w:val="003A779E"/>
    <w:rsid w:val="003D0F4D"/>
    <w:rsid w:val="003D3B1B"/>
    <w:rsid w:val="003D5B0D"/>
    <w:rsid w:val="003E0499"/>
    <w:rsid w:val="003E38EB"/>
    <w:rsid w:val="003E7936"/>
    <w:rsid w:val="003F3941"/>
    <w:rsid w:val="003F4BCE"/>
    <w:rsid w:val="00406575"/>
    <w:rsid w:val="0042722E"/>
    <w:rsid w:val="004A0A60"/>
    <w:rsid w:val="004A1847"/>
    <w:rsid w:val="004A305D"/>
    <w:rsid w:val="004A789E"/>
    <w:rsid w:val="004B2DAF"/>
    <w:rsid w:val="004D6386"/>
    <w:rsid w:val="004F21C4"/>
    <w:rsid w:val="004F685F"/>
    <w:rsid w:val="005179FE"/>
    <w:rsid w:val="005306C3"/>
    <w:rsid w:val="005566E8"/>
    <w:rsid w:val="00556AB1"/>
    <w:rsid w:val="00574867"/>
    <w:rsid w:val="0057713C"/>
    <w:rsid w:val="00591460"/>
    <w:rsid w:val="005A2340"/>
    <w:rsid w:val="005B036C"/>
    <w:rsid w:val="005B595B"/>
    <w:rsid w:val="005C3777"/>
    <w:rsid w:val="005C5CDC"/>
    <w:rsid w:val="005D476C"/>
    <w:rsid w:val="006219F8"/>
    <w:rsid w:val="0066406B"/>
    <w:rsid w:val="00665D70"/>
    <w:rsid w:val="006800BB"/>
    <w:rsid w:val="006900D9"/>
    <w:rsid w:val="006E16D0"/>
    <w:rsid w:val="006F7426"/>
    <w:rsid w:val="00706C16"/>
    <w:rsid w:val="00756287"/>
    <w:rsid w:val="007562E8"/>
    <w:rsid w:val="00756841"/>
    <w:rsid w:val="00757AE7"/>
    <w:rsid w:val="007649AB"/>
    <w:rsid w:val="00771D0C"/>
    <w:rsid w:val="007833AC"/>
    <w:rsid w:val="007B268C"/>
    <w:rsid w:val="007B7171"/>
    <w:rsid w:val="007C3DC2"/>
    <w:rsid w:val="007E5497"/>
    <w:rsid w:val="00806F5F"/>
    <w:rsid w:val="00820278"/>
    <w:rsid w:val="00825F16"/>
    <w:rsid w:val="00862248"/>
    <w:rsid w:val="008722BD"/>
    <w:rsid w:val="008843B6"/>
    <w:rsid w:val="00891928"/>
    <w:rsid w:val="00895BC4"/>
    <w:rsid w:val="008A446D"/>
    <w:rsid w:val="008C4ECF"/>
    <w:rsid w:val="008D180B"/>
    <w:rsid w:val="008D2363"/>
    <w:rsid w:val="008D5A5B"/>
    <w:rsid w:val="008F0EA7"/>
    <w:rsid w:val="009150D3"/>
    <w:rsid w:val="00923EEF"/>
    <w:rsid w:val="009261EA"/>
    <w:rsid w:val="00930569"/>
    <w:rsid w:val="00933F81"/>
    <w:rsid w:val="009419F9"/>
    <w:rsid w:val="00946B9E"/>
    <w:rsid w:val="009512D5"/>
    <w:rsid w:val="00957E2F"/>
    <w:rsid w:val="00961B09"/>
    <w:rsid w:val="00965334"/>
    <w:rsid w:val="0097093E"/>
    <w:rsid w:val="00982087"/>
    <w:rsid w:val="00987FD2"/>
    <w:rsid w:val="009B2291"/>
    <w:rsid w:val="009C71FA"/>
    <w:rsid w:val="009C72E7"/>
    <w:rsid w:val="009D32FD"/>
    <w:rsid w:val="009F3A13"/>
    <w:rsid w:val="00A122D3"/>
    <w:rsid w:val="00A17F13"/>
    <w:rsid w:val="00A20739"/>
    <w:rsid w:val="00A23ED5"/>
    <w:rsid w:val="00A27318"/>
    <w:rsid w:val="00A33C78"/>
    <w:rsid w:val="00A355F1"/>
    <w:rsid w:val="00A666E6"/>
    <w:rsid w:val="00A71962"/>
    <w:rsid w:val="00A74BB1"/>
    <w:rsid w:val="00A8598A"/>
    <w:rsid w:val="00A87078"/>
    <w:rsid w:val="00A97A4A"/>
    <w:rsid w:val="00AB02C6"/>
    <w:rsid w:val="00AB0ADB"/>
    <w:rsid w:val="00AC4ACD"/>
    <w:rsid w:val="00AD5C1E"/>
    <w:rsid w:val="00B2137D"/>
    <w:rsid w:val="00B50F9A"/>
    <w:rsid w:val="00B658C7"/>
    <w:rsid w:val="00B72CD3"/>
    <w:rsid w:val="00B72FFF"/>
    <w:rsid w:val="00B84993"/>
    <w:rsid w:val="00BA0EAF"/>
    <w:rsid w:val="00BA3AC3"/>
    <w:rsid w:val="00BC3D36"/>
    <w:rsid w:val="00BC6DB3"/>
    <w:rsid w:val="00BD7F72"/>
    <w:rsid w:val="00C02374"/>
    <w:rsid w:val="00C04FB3"/>
    <w:rsid w:val="00C1771D"/>
    <w:rsid w:val="00C30B36"/>
    <w:rsid w:val="00C330EB"/>
    <w:rsid w:val="00C43191"/>
    <w:rsid w:val="00C5099E"/>
    <w:rsid w:val="00C60932"/>
    <w:rsid w:val="00C754BE"/>
    <w:rsid w:val="00C76B1C"/>
    <w:rsid w:val="00C84256"/>
    <w:rsid w:val="00C85B0C"/>
    <w:rsid w:val="00CA1966"/>
    <w:rsid w:val="00CB6357"/>
    <w:rsid w:val="00CC1B26"/>
    <w:rsid w:val="00CF2C73"/>
    <w:rsid w:val="00CF7F5C"/>
    <w:rsid w:val="00D07892"/>
    <w:rsid w:val="00D171B4"/>
    <w:rsid w:val="00D23267"/>
    <w:rsid w:val="00D2770F"/>
    <w:rsid w:val="00D423A2"/>
    <w:rsid w:val="00D52900"/>
    <w:rsid w:val="00D558B7"/>
    <w:rsid w:val="00D63AC2"/>
    <w:rsid w:val="00D7383B"/>
    <w:rsid w:val="00D74D02"/>
    <w:rsid w:val="00D803A4"/>
    <w:rsid w:val="00D93626"/>
    <w:rsid w:val="00DA231B"/>
    <w:rsid w:val="00DD1DBB"/>
    <w:rsid w:val="00DF5254"/>
    <w:rsid w:val="00E02C20"/>
    <w:rsid w:val="00E16408"/>
    <w:rsid w:val="00E20894"/>
    <w:rsid w:val="00E245AB"/>
    <w:rsid w:val="00E2764C"/>
    <w:rsid w:val="00E27F2E"/>
    <w:rsid w:val="00E337F3"/>
    <w:rsid w:val="00E46284"/>
    <w:rsid w:val="00E50AFE"/>
    <w:rsid w:val="00E56406"/>
    <w:rsid w:val="00E771DC"/>
    <w:rsid w:val="00E8772A"/>
    <w:rsid w:val="00E90F6B"/>
    <w:rsid w:val="00E92C27"/>
    <w:rsid w:val="00E97D30"/>
    <w:rsid w:val="00EA0E3D"/>
    <w:rsid w:val="00EA72C4"/>
    <w:rsid w:val="00EE0716"/>
    <w:rsid w:val="00EE1AA8"/>
    <w:rsid w:val="00F31EDC"/>
    <w:rsid w:val="00F462B3"/>
    <w:rsid w:val="00F5664F"/>
    <w:rsid w:val="00F666C4"/>
    <w:rsid w:val="00F71D8E"/>
    <w:rsid w:val="00F76958"/>
    <w:rsid w:val="00F76AFC"/>
    <w:rsid w:val="00F93833"/>
    <w:rsid w:val="00FA1178"/>
    <w:rsid w:val="00FB5DD1"/>
    <w:rsid w:val="00FC04AF"/>
    <w:rsid w:val="00FC2B5D"/>
    <w:rsid w:val="00FC5B83"/>
    <w:rsid w:val="00FE02E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8598A"/>
    <w:rPr>
      <w:rFonts w:ascii="Geomanist Light" w:hAnsi="Geomanist Light"/>
      <w:lang w:val="es-ES"/>
    </w:rPr>
  </w:style>
  <w:style w:type="paragraph" w:customStyle="1" w:styleId="Appelnotedebasde">
    <w:name w:val="Appel note de bas de..."/>
    <w:basedOn w:val="Normal"/>
    <w:link w:val="Refdenotaalpie"/>
    <w:rsid w:val="00A8598A"/>
    <w:pPr>
      <w:spacing w:line="240" w:lineRule="exact"/>
    </w:pPr>
    <w:rPr>
      <w:vertAlign w:val="superscript"/>
    </w:rPr>
  </w:style>
  <w:style w:type="character" w:customStyle="1" w:styleId="NormalWebCar">
    <w:name w:val="Normal (Web) Car"/>
    <w:link w:val="NormalWeb"/>
    <w:uiPriority w:val="99"/>
    <w:rsid w:val="00A8598A"/>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rsid w:val="00A85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A8598A"/>
  </w:style>
  <w:style w:type="paragraph" w:styleId="Sinespaciado">
    <w:name w:val="No Spacing"/>
    <w:uiPriority w:val="1"/>
    <w:qFormat/>
    <w:rsid w:val="00A8598A"/>
    <w:pPr>
      <w:spacing w:after="0" w:line="240" w:lineRule="auto"/>
    </w:pPr>
  </w:style>
  <w:style w:type="character" w:styleId="Textoennegrita">
    <w:name w:val="Strong"/>
    <w:basedOn w:val="Fuentedeprrafopredeter"/>
    <w:uiPriority w:val="22"/>
    <w:qFormat/>
    <w:rsid w:val="00A8598A"/>
    <w:rPr>
      <w:b/>
      <w:bCs/>
    </w:rPr>
  </w:style>
  <w:style w:type="paragraph" w:customStyle="1" w:styleId="bodytext21">
    <w:name w:val="bodytext21"/>
    <w:basedOn w:val="Normal"/>
    <w:rsid w:val="00A8598A"/>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1150_2007.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D9DAFBC-5EE8-4A26-86B2-98D7D35936B4}"/>
</file>

<file path=docProps/app.xml><?xml version="1.0" encoding="utf-8"?>
<Properties xmlns="http://schemas.openxmlformats.org/officeDocument/2006/extended-properties" xmlns:vt="http://schemas.openxmlformats.org/officeDocument/2006/docPropsVTypes">
  <Template>Normal</Template>
  <TotalTime>504</TotalTime>
  <Pages>23</Pages>
  <Words>7825</Words>
  <Characters>43043</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50767</CharactersWithSpaces>
  <SharedDoc>false</SharedDoc>
  <HLinks>
    <vt:vector size="18" baseType="variant">
      <vt:variant>
        <vt:i4>3276839</vt:i4>
      </vt:variant>
      <vt:variant>
        <vt:i4>3</vt:i4>
      </vt:variant>
      <vt:variant>
        <vt:i4>0</vt:i4>
      </vt:variant>
      <vt:variant>
        <vt:i4>5</vt:i4>
      </vt:variant>
      <vt:variant>
        <vt:lpwstr>http://www.secretariasenado.gov.co/senado/basedoc/ley_1150_2007.html</vt:lpwstr>
      </vt:variant>
      <vt:variant>
        <vt:lpwstr/>
      </vt:variant>
      <vt:variant>
        <vt:i4>3276839</vt:i4>
      </vt:variant>
      <vt:variant>
        <vt:i4>0</vt:i4>
      </vt:variant>
      <vt:variant>
        <vt:i4>0</vt:i4>
      </vt:variant>
      <vt:variant>
        <vt:i4>5</vt:i4>
      </vt:variant>
      <vt:variant>
        <vt:lpwstr>http://www.secretariasenado.gov.co/senado/basedoc/ley_1150_2007.html</vt:lpwstr>
      </vt:variant>
      <vt:variant>
        <vt:lpwstr/>
      </vt:variant>
      <vt:variant>
        <vt:i4>3735572</vt:i4>
      </vt:variant>
      <vt:variant>
        <vt:i4>0</vt:i4>
      </vt:variant>
      <vt:variant>
        <vt:i4>0</vt:i4>
      </vt:variant>
      <vt:variant>
        <vt:i4>5</vt:i4>
      </vt:variant>
      <vt:variant>
        <vt:lpwstr>http://www.secretariasenado.gov.co/senado/basedoc/ley_0080_1993.html</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4</cp:revision>
  <cp:lastPrinted>2023-01-10T21:18:00Z</cp:lastPrinted>
  <dcterms:created xsi:type="dcterms:W3CDTF">2023-09-21T21:54:00Z</dcterms:created>
  <dcterms:modified xsi:type="dcterms:W3CDTF">2023-11-28T04:52:00Z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