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54941" w14:textId="77777777" w:rsidR="00041E29" w:rsidRPr="00DD2D97" w:rsidRDefault="00041E29" w:rsidP="00041E29">
      <w:pPr>
        <w:jc w:val="right"/>
        <w:rPr>
          <w:rFonts w:ascii="Arial" w:eastAsia="Calibri" w:hAnsi="Arial" w:cs="Arial"/>
          <w:b/>
          <w:color w:val="000000" w:themeColor="text1"/>
          <w:sz w:val="20"/>
          <w:szCs w:val="20"/>
          <w:lang w:val="es-ES_tradnl"/>
        </w:rPr>
      </w:pPr>
      <w:bookmarkStart w:id="0" w:name="_Hlk28946138"/>
      <w:bookmarkStart w:id="1" w:name="_Hlk29548183"/>
      <w:r w:rsidRPr="00DD2D97">
        <w:rPr>
          <w:rFonts w:ascii="Arial" w:hAnsi="Arial" w:cs="Arial"/>
          <w:bCs/>
          <w:color w:val="000000" w:themeColor="text1"/>
          <w:sz w:val="16"/>
          <w:szCs w:val="16"/>
          <w:lang w:val="es-ES_tradnl" w:eastAsia="es-ES"/>
        </w:rPr>
        <w:t>CCE-DES-FM-17</w:t>
      </w:r>
      <w:bookmarkEnd w:id="0"/>
      <w:bookmarkEnd w:id="1"/>
    </w:p>
    <w:p w14:paraId="4CA82BAA" w14:textId="77777777" w:rsidR="00041E29" w:rsidRPr="00DD2D97" w:rsidRDefault="00041E29" w:rsidP="00041E29">
      <w:pPr>
        <w:jc w:val="both"/>
        <w:rPr>
          <w:rFonts w:ascii="Arial" w:eastAsia="Calibri" w:hAnsi="Arial" w:cs="Arial"/>
          <w:b/>
          <w:color w:val="000000" w:themeColor="text1"/>
          <w:sz w:val="22"/>
          <w:lang w:val="es-ES_tradnl"/>
        </w:rPr>
      </w:pPr>
    </w:p>
    <w:p w14:paraId="6A9FE5B5" w14:textId="77777777" w:rsidR="00041E29" w:rsidRPr="00C22EDD" w:rsidRDefault="00041E29" w:rsidP="00041E29">
      <w:pPr>
        <w:jc w:val="both"/>
        <w:rPr>
          <w:rFonts w:ascii="Arial" w:hAnsi="Arial" w:cs="Arial"/>
          <w:b/>
          <w:sz w:val="22"/>
          <w:szCs w:val="22"/>
          <w:lang w:val="es-ES_tradnl" w:eastAsia="es-ES"/>
        </w:rPr>
      </w:pPr>
      <w:bookmarkStart w:id="2" w:name="_Hlk72913412"/>
      <w:r w:rsidRPr="00C22EDD">
        <w:rPr>
          <w:rFonts w:ascii="Arial" w:hAnsi="Arial" w:cs="Arial"/>
          <w:b/>
          <w:sz w:val="22"/>
          <w:szCs w:val="22"/>
          <w:lang w:val="es-ES_tradnl" w:eastAsia="es-ES"/>
        </w:rPr>
        <w:t>PRINCIPIO DE PUBLICIDAD – Democracia – Estado social de Derecho – Fundamento axiológico</w:t>
      </w:r>
    </w:p>
    <w:p w14:paraId="133C3F80" w14:textId="77777777" w:rsidR="00041E29" w:rsidRPr="00C22EDD" w:rsidRDefault="00041E29" w:rsidP="00041E29">
      <w:pPr>
        <w:jc w:val="both"/>
        <w:rPr>
          <w:rFonts w:ascii="Arial" w:hAnsi="Arial" w:cs="Arial"/>
          <w:noProof/>
          <w:color w:val="000000" w:themeColor="text1"/>
          <w:sz w:val="22"/>
          <w:lang w:val="es-ES_tradnl"/>
        </w:rPr>
      </w:pPr>
    </w:p>
    <w:p w14:paraId="095CD6D0" w14:textId="77777777" w:rsidR="00041E29" w:rsidRPr="00C22EDD" w:rsidRDefault="00041E29" w:rsidP="00041E29">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0"/>
          <w:szCs w:val="20"/>
          <w:lang w:val="es-ES_tradnl"/>
        </w:rPr>
        <w:t>publicidad</w:t>
      </w:r>
      <w:r w:rsidRPr="00C22EDD">
        <w:rPr>
          <w:rFonts w:ascii="Arial" w:eastAsia="Calibri" w:hAnsi="Arial" w:cs="Arial"/>
          <w:color w:val="000000" w:themeColor="text1"/>
          <w:sz w:val="20"/>
          <w:szCs w:val="20"/>
          <w:lang w:val="es-ES_tradn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49A99DB6" w14:textId="77777777" w:rsidR="00041E29" w:rsidRPr="00C22EDD" w:rsidRDefault="00041E29" w:rsidP="00041E29">
      <w:pPr>
        <w:jc w:val="both"/>
        <w:rPr>
          <w:rFonts w:ascii="Arial" w:hAnsi="Arial" w:cs="Arial"/>
          <w:sz w:val="20"/>
          <w:szCs w:val="20"/>
          <w:lang w:val="es-ES_tradnl" w:eastAsia="es-ES"/>
        </w:rPr>
      </w:pPr>
    </w:p>
    <w:p w14:paraId="0B143925" w14:textId="77777777" w:rsidR="00041E29" w:rsidRPr="00C22EDD" w:rsidRDefault="00041E29" w:rsidP="00041E29">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Entidades exceptuadas – Información oficial – Auto del 25 de febrero de 2021 – Efectos</w:t>
      </w:r>
    </w:p>
    <w:p w14:paraId="21E0F4BE" w14:textId="77777777" w:rsidR="00041E29" w:rsidRPr="00C22EDD" w:rsidRDefault="00041E29" w:rsidP="00041E29">
      <w:pPr>
        <w:jc w:val="both"/>
        <w:rPr>
          <w:rFonts w:ascii="Arial" w:hAnsi="Arial" w:cs="Arial"/>
          <w:sz w:val="20"/>
          <w:szCs w:val="20"/>
          <w:lang w:val="es-ES_tradnl" w:eastAsia="es-ES"/>
        </w:rPr>
      </w:pPr>
    </w:p>
    <w:p w14:paraId="4E19EE9F" w14:textId="77777777" w:rsidR="00041E29" w:rsidRPr="00C22EDD" w:rsidRDefault="00041E29" w:rsidP="00041E29">
      <w:pPr>
        <w:jc w:val="both"/>
        <w:rPr>
          <w:rFonts w:ascii="Arial" w:hAnsi="Arial" w:cs="Arial"/>
          <w:color w:val="000000" w:themeColor="text1"/>
          <w:sz w:val="20"/>
          <w:szCs w:val="20"/>
          <w:lang w:val="es-ES_tradnl"/>
        </w:rPr>
      </w:pPr>
      <w:r w:rsidRPr="00C22EDD">
        <w:rPr>
          <w:rFonts w:ascii="Arial" w:hAnsi="Arial" w:cs="Arial"/>
          <w:color w:val="000000" w:themeColor="text1"/>
          <w:sz w:val="20"/>
          <w:szCs w:val="20"/>
          <w:lang w:val="es-ES_tradnl"/>
        </w:rPr>
        <w:t xml:space="preserve">[…], en el auto bajo análisis la Sección Tercera admite que a las entidades exceptuadas de la aplicación del Estatuto General de Contratación de la Administración Pública </w:t>
      </w:r>
      <w:r w:rsidRPr="00C22EDD">
        <w:rPr>
          <w:rFonts w:ascii="Arial" w:hAnsi="Arial" w:cs="Arial"/>
          <w:i/>
          <w:iCs/>
          <w:color w:val="000000" w:themeColor="text1"/>
          <w:sz w:val="20"/>
          <w:szCs w:val="20"/>
          <w:lang w:val="es-ES_tradnl"/>
        </w:rPr>
        <w:t>sí</w:t>
      </w:r>
      <w:r w:rsidRPr="00C22EDD">
        <w:rPr>
          <w:rFonts w:ascii="Arial" w:hAnsi="Arial" w:cs="Arial"/>
          <w:color w:val="000000" w:themeColor="text1"/>
          <w:sz w:val="20"/>
          <w:szCs w:val="20"/>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C22EDD">
        <w:rPr>
          <w:rFonts w:ascii="Arial" w:hAnsi="Arial" w:cs="Arial"/>
          <w:color w:val="000000" w:themeColor="text1"/>
          <w:sz w:val="20"/>
          <w:szCs w:val="20"/>
          <w:lang w:val="es-ES_tradnl"/>
        </w:rPr>
        <w:t>Nº</w:t>
      </w:r>
      <w:proofErr w:type="spellEnd"/>
      <w:r w:rsidRPr="00C22EDD">
        <w:rPr>
          <w:rFonts w:ascii="Arial" w:hAnsi="Arial" w:cs="Arial"/>
          <w:color w:val="000000" w:themeColor="text1"/>
          <w:sz w:val="20"/>
          <w:szCs w:val="20"/>
          <w:lang w:val="es-ES_tradnl"/>
        </w:rPr>
        <w:t xml:space="preserve">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y no la Agencia mediante una circular.</w:t>
      </w:r>
    </w:p>
    <w:p w14:paraId="53E41C2F" w14:textId="77777777" w:rsidR="00041E29" w:rsidRPr="00C22EDD" w:rsidRDefault="00041E29" w:rsidP="00041E29">
      <w:pPr>
        <w:jc w:val="both"/>
        <w:rPr>
          <w:rFonts w:ascii="Arial" w:hAnsi="Arial" w:cs="Arial"/>
          <w:color w:val="000000" w:themeColor="text1"/>
          <w:sz w:val="20"/>
          <w:szCs w:val="20"/>
          <w:lang w:val="es-ES_tradnl"/>
        </w:rPr>
      </w:pPr>
    </w:p>
    <w:p w14:paraId="711A096B" w14:textId="77777777" w:rsidR="00041E29" w:rsidRPr="00C22EDD" w:rsidRDefault="00041E29" w:rsidP="00041E29">
      <w:pPr>
        <w:jc w:val="both"/>
        <w:rPr>
          <w:rFonts w:ascii="Arial" w:hAnsi="Arial" w:cs="Arial"/>
          <w:sz w:val="20"/>
          <w:szCs w:val="20"/>
          <w:lang w:val="es-ES_tradnl"/>
        </w:rPr>
      </w:pPr>
      <w:r w:rsidRPr="00C22EDD">
        <w:rPr>
          <w:rFonts w:ascii="Arial" w:hAnsi="Arial" w:cs="Arial"/>
          <w:color w:val="000000" w:themeColor="text1"/>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C22EDD">
        <w:rPr>
          <w:rFonts w:ascii="Arial" w:hAnsi="Arial" w:cs="Arial"/>
          <w:sz w:val="20"/>
          <w:szCs w:val="20"/>
          <w:lang w:val="es-ES_tradnl"/>
        </w:rPr>
        <w:t>No hay duda de que el literal c) del artículo 3o pertenece a este grupo de normas. Expresamente establece que ese aparte del artículo se aplica a la “</w:t>
      </w:r>
      <w:r w:rsidRPr="00C22EDD">
        <w:rPr>
          <w:rFonts w:ascii="Arial" w:hAnsi="Arial" w:cs="Arial"/>
          <w:i/>
          <w:iCs/>
          <w:sz w:val="20"/>
          <w:szCs w:val="20"/>
          <w:lang w:val="es-ES_tradnl"/>
        </w:rPr>
        <w:t>contratación realizada con dineros públicos</w:t>
      </w:r>
      <w:r w:rsidRPr="00C22EDD">
        <w:rPr>
          <w:rFonts w:ascii="Arial" w:hAnsi="Arial" w:cs="Arial"/>
          <w:sz w:val="20"/>
          <w:szCs w:val="20"/>
          <w:lang w:val="es-ES_tradnl"/>
        </w:rPr>
        <w:t xml:space="preserve">”. Para su aplicación resulta irrelevante el régimen contractual del contrato. La publicación de la información oficial de la contratación debe realizarse si los negocios jurídicos adelantados fueron financiados con recursos públicos». </w:t>
      </w:r>
    </w:p>
    <w:p w14:paraId="0EE83F9E" w14:textId="77777777" w:rsidR="00041E29" w:rsidRPr="00C22EDD" w:rsidRDefault="00041E29" w:rsidP="00041E29">
      <w:pPr>
        <w:jc w:val="both"/>
        <w:rPr>
          <w:rFonts w:ascii="Arial" w:hAnsi="Arial" w:cs="Arial"/>
          <w:sz w:val="20"/>
          <w:szCs w:val="20"/>
          <w:lang w:val="es-ES_tradnl" w:eastAsia="es-ES"/>
        </w:rPr>
      </w:pPr>
    </w:p>
    <w:p w14:paraId="7EDD39AE" w14:textId="77777777" w:rsidR="00041E29" w:rsidRPr="00C22EDD" w:rsidRDefault="00041E29" w:rsidP="00041E29">
      <w:pPr>
        <w:jc w:val="both"/>
        <w:rPr>
          <w:rFonts w:ascii="Arial" w:hAnsi="Arial" w:cs="Arial"/>
          <w:b/>
          <w:sz w:val="22"/>
          <w:szCs w:val="22"/>
          <w:lang w:val="es-ES_tradnl" w:eastAsia="es-ES"/>
        </w:rPr>
      </w:pPr>
      <w:r w:rsidRPr="00C22EDD">
        <w:rPr>
          <w:rFonts w:ascii="Arial" w:hAnsi="Arial" w:cs="Arial"/>
          <w:b/>
          <w:sz w:val="22"/>
          <w:szCs w:val="22"/>
          <w:lang w:val="es-ES_tradnl" w:eastAsia="es-ES"/>
        </w:rPr>
        <w:lastRenderedPageBreak/>
        <w:t>SECOP – Entidades exceptuadas – Publicidad – Documentos – Información oficial – Concepto CU-003</w:t>
      </w:r>
    </w:p>
    <w:p w14:paraId="07FACBA4" w14:textId="77777777" w:rsidR="00041E29" w:rsidRPr="00C22EDD" w:rsidRDefault="00041E29" w:rsidP="00041E29">
      <w:pPr>
        <w:jc w:val="both"/>
        <w:rPr>
          <w:rFonts w:ascii="Arial" w:hAnsi="Arial" w:cs="Arial"/>
          <w:b/>
          <w:sz w:val="22"/>
          <w:szCs w:val="22"/>
          <w:lang w:val="es-ES_tradnl" w:eastAsia="es-ES"/>
        </w:rPr>
      </w:pPr>
    </w:p>
    <w:p w14:paraId="3B62F6C5" w14:textId="77777777" w:rsidR="00041E29" w:rsidRPr="00C22EDD" w:rsidRDefault="00041E29" w:rsidP="00041E29">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0"/>
          <w:szCs w:val="20"/>
          <w:lang w:val="es-ES_tradnl"/>
        </w:rPr>
        <w:t>sujeto obligado</w:t>
      </w:r>
      <w:r w:rsidRPr="00C22EDD">
        <w:rPr>
          <w:rFonts w:ascii="Arial" w:eastAsia="Calibri" w:hAnsi="Arial" w:cs="Arial"/>
          <w:color w:val="000000" w:themeColor="text1"/>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5EA1B324" w14:textId="77777777" w:rsidR="00041E29" w:rsidRPr="00C22EDD" w:rsidRDefault="00041E29" w:rsidP="00041E29">
      <w:pPr>
        <w:jc w:val="both"/>
        <w:rPr>
          <w:rFonts w:ascii="Arial" w:eastAsia="Calibri" w:hAnsi="Arial" w:cs="Arial"/>
          <w:color w:val="000000" w:themeColor="text1"/>
          <w:sz w:val="20"/>
          <w:szCs w:val="20"/>
          <w:lang w:val="es-ES_tradnl"/>
        </w:rPr>
      </w:pPr>
    </w:p>
    <w:p w14:paraId="7C62422B" w14:textId="77777777" w:rsidR="00041E29" w:rsidRPr="00C22EDD" w:rsidRDefault="00041E29" w:rsidP="00041E29">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sidRPr="00C22EDD">
        <w:rPr>
          <w:rFonts w:ascii="Arial" w:hAnsi="Arial" w:cs="Arial"/>
          <w:sz w:val="20"/>
          <w:szCs w:val="20"/>
          <w:lang w:val="es-ES_tradnl"/>
        </w:rPr>
        <w:t xml:space="preserve">artículo </w:t>
      </w:r>
      <w:r w:rsidRPr="00C22EDD">
        <w:rPr>
          <w:rFonts w:ascii="Arial" w:eastAsia="Calibri" w:hAnsi="Arial" w:cs="Arial"/>
          <w:color w:val="000000" w:themeColor="text1"/>
          <w:sz w:val="20"/>
          <w:szCs w:val="20"/>
          <w:lang w:val="es-ES_tradnl"/>
        </w:rPr>
        <w:t>2.1.1.2.1.10. del Decreto 1081 de 2015– consagra la obligación que tienen las entidades estatales de publicar en el SECOP el Plan Anual de Adquisiciones.</w:t>
      </w:r>
    </w:p>
    <w:p w14:paraId="60916082" w14:textId="77777777" w:rsidR="00041E29" w:rsidRPr="00C22EDD" w:rsidRDefault="00041E29" w:rsidP="00041E29">
      <w:pPr>
        <w:jc w:val="both"/>
        <w:rPr>
          <w:rFonts w:ascii="Arial" w:hAnsi="Arial" w:cs="Arial"/>
          <w:sz w:val="20"/>
          <w:szCs w:val="20"/>
          <w:lang w:val="es-ES_tradnl" w:eastAsia="es-ES"/>
        </w:rPr>
      </w:pPr>
    </w:p>
    <w:p w14:paraId="443042DA" w14:textId="77777777" w:rsidR="00041E29" w:rsidRPr="00C22EDD" w:rsidRDefault="00041E29" w:rsidP="00041E29">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Auto del 25 de febrero de 2021 – Publicidad – Mandato vigente</w:t>
      </w:r>
    </w:p>
    <w:bookmarkEnd w:id="2"/>
    <w:p w14:paraId="0A81870E" w14:textId="77777777" w:rsidR="00041E29" w:rsidRPr="00C22EDD" w:rsidRDefault="00041E29" w:rsidP="00041E29">
      <w:pPr>
        <w:jc w:val="both"/>
        <w:rPr>
          <w:rFonts w:ascii="Arial" w:hAnsi="Arial" w:cs="Arial"/>
          <w:sz w:val="20"/>
          <w:szCs w:val="20"/>
          <w:lang w:val="es-ES_tradnl" w:eastAsia="es-ES"/>
        </w:rPr>
      </w:pPr>
    </w:p>
    <w:p w14:paraId="2626E01B" w14:textId="77777777" w:rsidR="00041E29" w:rsidRDefault="00041E29" w:rsidP="00041E29">
      <w:pPr>
        <w:jc w:val="both"/>
        <w:rPr>
          <w:rFonts w:ascii="Arial" w:hAnsi="Arial" w:cs="Arial"/>
          <w:color w:val="000000" w:themeColor="text1"/>
          <w:sz w:val="20"/>
          <w:szCs w:val="20"/>
          <w:lang w:val="es-ES_tradnl"/>
        </w:rPr>
      </w:pPr>
      <w:r w:rsidRPr="00DE4D2A">
        <w:rPr>
          <w:rFonts w:ascii="Arial" w:hAnsi="Arial" w:cs="Arial"/>
          <w:color w:val="000000" w:themeColor="text1"/>
          <w:sz w:val="20"/>
          <w:szCs w:val="20"/>
          <w:lang w:val="es-ES_tradnl" w:eastAsia="es-CO"/>
        </w:rPr>
        <w:t>[…]</w:t>
      </w:r>
      <w:r w:rsidRPr="004353C9">
        <w:rPr>
          <w:rFonts w:ascii="Arial" w:hAnsi="Arial" w:cs="Arial"/>
          <w:color w:val="000000" w:themeColor="text1"/>
          <w:sz w:val="20"/>
          <w:szCs w:val="20"/>
          <w:lang w:val="es-ES_tradnl" w:eastAsia="es-CO"/>
        </w:rPr>
        <w:t xml:space="preserve">No </w:t>
      </w:r>
      <w:r w:rsidRPr="00D66932">
        <w:rPr>
          <w:rFonts w:ascii="Arial" w:hAnsi="Arial" w:cs="Arial"/>
          <w:color w:val="000000" w:themeColor="text1"/>
          <w:sz w:val="20"/>
          <w:szCs w:val="20"/>
          <w:lang w:val="es-ES_tradnl"/>
        </w:rPr>
        <w:t xml:space="preserve">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D66932">
        <w:rPr>
          <w:rFonts w:ascii="Arial" w:hAnsi="Arial" w:cs="Arial"/>
          <w:i/>
          <w:iCs/>
          <w:color w:val="000000" w:themeColor="text1"/>
          <w:sz w:val="20"/>
          <w:szCs w:val="20"/>
          <w:lang w:val="es-ES_tradnl"/>
        </w:rPr>
        <w:t>sujetos obligados</w:t>
      </w:r>
      <w:r w:rsidRPr="00D66932">
        <w:rPr>
          <w:rFonts w:ascii="Arial" w:hAnsi="Arial" w:cs="Arial"/>
          <w:color w:val="000000" w:themeColor="text1"/>
          <w:sz w:val="20"/>
          <w:szCs w:val="20"/>
          <w:lang w:val="es-ES_tradnl"/>
        </w:rPr>
        <w:t xml:space="preserve"> a garantizar el derecho de acceso a la información y a los documentos públicos, deben publicar en el SECOP los documentos a los que se refiere el literal e), del artículo 9 y el </w:t>
      </w:r>
      <w:r w:rsidRPr="00D66932">
        <w:rPr>
          <w:rFonts w:ascii="Arial" w:eastAsia="Calibri" w:hAnsi="Arial" w:cs="Arial"/>
          <w:color w:val="000000" w:themeColor="text1"/>
          <w:sz w:val="20"/>
          <w:szCs w:val="20"/>
          <w:lang w:val="es-ES_tradnl"/>
        </w:rPr>
        <w:t>literal g), del artículo 11, de la Ley 1712 de 2014, como los artículos 7 al 10 del Decreto 103 de 2015 –compilado en los artículos 2.1.1.1.1. al 2.1.1.6.1. del Decreto 1081 de 2015–</w:t>
      </w:r>
      <w:r w:rsidRPr="00D66932">
        <w:rPr>
          <w:rFonts w:ascii="Arial" w:hAnsi="Arial" w:cs="Arial"/>
          <w:color w:val="000000" w:themeColor="text1"/>
          <w:sz w:val="20"/>
          <w:szCs w:val="20"/>
          <w:lang w:val="es-ES_tradnl"/>
        </w:rPr>
        <w:t xml:space="preserve">. Cuarto, porque, el auto del 25 de febrero de 2021 no suspende todo el contenido de las </w:t>
      </w:r>
      <w:r w:rsidRPr="00D66932">
        <w:rPr>
          <w:rFonts w:ascii="Arial" w:hAnsi="Arial" w:cs="Arial"/>
          <w:sz w:val="20"/>
          <w:szCs w:val="20"/>
          <w:lang w:val="es-ES_tradnl"/>
        </w:rPr>
        <w:t xml:space="preserve">circulares </w:t>
      </w:r>
      <w:r w:rsidRPr="00D66932">
        <w:rPr>
          <w:rFonts w:ascii="Arial" w:eastAsia="Arial" w:hAnsi="Arial" w:cs="Arial"/>
          <w:sz w:val="20"/>
          <w:szCs w:val="20"/>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D66932">
        <w:rPr>
          <w:rFonts w:ascii="Arial" w:hAnsi="Arial" w:cs="Arial"/>
          <w:bCs/>
          <w:color w:val="000000" w:themeColor="text1"/>
          <w:sz w:val="20"/>
          <w:szCs w:val="20"/>
          <w:lang w:val="es-ES_tradnl"/>
        </w:rPr>
        <w:t>No. 23 del 16 de marzo de 2017 y No. 007 de 2020, así como de la Circular Externa Única –actualizada el 16 de abril de 2019–, las cuales se encuentran vigentes.</w:t>
      </w:r>
      <w:r w:rsidRPr="00D66932">
        <w:rPr>
          <w:rFonts w:ascii="Arial" w:hAnsi="Arial" w:cs="Arial"/>
          <w:color w:val="000000" w:themeColor="text1"/>
          <w:sz w:val="20"/>
          <w:szCs w:val="20"/>
          <w:lang w:val="es-ES_tradnl"/>
        </w:rPr>
        <w:t xml:space="preserve"> </w:t>
      </w:r>
    </w:p>
    <w:p w14:paraId="3C70323E" w14:textId="77777777" w:rsidR="00041E29" w:rsidRDefault="00041E29" w:rsidP="00041E29">
      <w:pPr>
        <w:jc w:val="both"/>
        <w:rPr>
          <w:rFonts w:ascii="Arial" w:hAnsi="Arial" w:cs="Arial"/>
          <w:color w:val="000000" w:themeColor="text1"/>
          <w:sz w:val="20"/>
          <w:szCs w:val="20"/>
          <w:lang w:val="es-ES_tradnl"/>
        </w:rPr>
      </w:pPr>
    </w:p>
    <w:p w14:paraId="37444479" w14:textId="77777777" w:rsidR="00041E29" w:rsidRPr="00D66932" w:rsidRDefault="00041E29" w:rsidP="00041E29">
      <w:pPr>
        <w:jc w:val="both"/>
        <w:rPr>
          <w:rFonts w:ascii="Arial" w:hAnsi="Arial" w:cs="Arial"/>
          <w:color w:val="000000" w:themeColor="text1"/>
          <w:sz w:val="20"/>
          <w:szCs w:val="20"/>
          <w:lang w:val="es-ES_tradnl" w:eastAsia="es-CO"/>
        </w:rPr>
      </w:pPr>
    </w:p>
    <w:p w14:paraId="16718FE1" w14:textId="77777777" w:rsidR="005E5036" w:rsidRDefault="005E5036" w:rsidP="00041E29">
      <w:pPr>
        <w:spacing w:after="160" w:line="259" w:lineRule="auto"/>
        <w:rPr>
          <w:rFonts w:ascii="Arial" w:hAnsi="Arial" w:cs="Arial"/>
          <w:noProof/>
          <w:color w:val="000000" w:themeColor="text1"/>
          <w:sz w:val="22"/>
          <w:lang w:val="es-ES_tradnl"/>
        </w:rPr>
      </w:pPr>
    </w:p>
    <w:p w14:paraId="07DD7B25" w14:textId="77777777" w:rsidR="005E5036" w:rsidRDefault="005E5036" w:rsidP="00041E29">
      <w:pPr>
        <w:spacing w:after="160" w:line="259" w:lineRule="auto"/>
        <w:rPr>
          <w:rFonts w:ascii="Arial" w:hAnsi="Arial" w:cs="Arial"/>
          <w:noProof/>
          <w:color w:val="000000" w:themeColor="text1"/>
          <w:sz w:val="22"/>
          <w:lang w:val="es-ES_tradnl"/>
        </w:rPr>
      </w:pPr>
    </w:p>
    <w:p w14:paraId="3C4DC39A" w14:textId="74F165A6" w:rsidR="00830320" w:rsidRDefault="00830320" w:rsidP="00830320">
      <w:pPr>
        <w:spacing w:after="160" w:line="259" w:lineRule="auto"/>
        <w:jc w:val="right"/>
        <w:rPr>
          <w:rFonts w:ascii="Arial" w:hAnsi="Arial" w:cs="Arial"/>
          <w:noProof/>
          <w:color w:val="000000" w:themeColor="text1"/>
          <w:sz w:val="22"/>
          <w:lang w:val="es-ES_tradnl"/>
        </w:rPr>
      </w:pPr>
      <w:r>
        <w:rPr>
          <w:noProof/>
        </w:rPr>
        <w:lastRenderedPageBreak/>
        <w:drawing>
          <wp:inline distT="0" distB="0" distL="0" distR="0" wp14:anchorId="6BD5970D" wp14:editId="7C10B066">
            <wp:extent cx="2047875" cy="6477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47875" cy="647700"/>
                    </a:xfrm>
                    <a:prstGeom prst="rect">
                      <a:avLst/>
                    </a:prstGeom>
                  </pic:spPr>
                </pic:pic>
              </a:graphicData>
            </a:graphic>
          </wp:inline>
        </w:drawing>
      </w:r>
    </w:p>
    <w:p w14:paraId="5103A887" w14:textId="614557FF" w:rsidR="00041E29" w:rsidRPr="00DD2D97" w:rsidRDefault="00041E29" w:rsidP="00041E29">
      <w:pPr>
        <w:spacing w:after="160" w:line="259" w:lineRule="auto"/>
        <w:rPr>
          <w:rFonts w:ascii="Arial" w:eastAsia="Calibri" w:hAnsi="Arial" w:cs="Arial"/>
          <w:bCs/>
          <w:color w:val="000000" w:themeColor="text1"/>
          <w:sz w:val="20"/>
          <w:szCs w:val="20"/>
          <w:lang w:val="es-ES_tradnl"/>
        </w:rPr>
      </w:pPr>
      <w:r w:rsidRPr="00DD2D97">
        <w:rPr>
          <w:rFonts w:ascii="Arial" w:hAnsi="Arial" w:cs="Arial"/>
          <w:noProof/>
          <w:color w:val="000000" w:themeColor="text1"/>
          <w:sz w:val="22"/>
          <w:lang w:val="es-ES_tradnl"/>
        </w:rPr>
        <w:t xml:space="preserve">Bogotá D.C., </w:t>
      </w:r>
    </w:p>
    <w:p w14:paraId="14652354" w14:textId="77777777" w:rsidR="00041E29" w:rsidRPr="006F4713" w:rsidRDefault="00041E29" w:rsidP="00041E29">
      <w:pPr>
        <w:jc w:val="right"/>
      </w:pPr>
      <w:r w:rsidRPr="006F4713">
        <w:fldChar w:fldCharType="begin"/>
      </w:r>
      <w:r>
        <w:instrText xml:space="preserve"> INCLUDEPICTURE "C:\\var\\folders\\5l\\v1rdjm0x1x9416lmbj7_vjt40000gn\\T\\com.microsoft.Word\\WebArchiveCopyPasteTempFiles\\page1image3851712" \* MERGEFORMAT </w:instrText>
      </w:r>
      <w:r w:rsidRPr="006F4713">
        <w:fldChar w:fldCharType="end"/>
      </w:r>
    </w:p>
    <w:p w14:paraId="070910A8" w14:textId="77777777" w:rsidR="00041E29" w:rsidRPr="00DD2D97" w:rsidRDefault="00041E29" w:rsidP="00041E29">
      <w:pPr>
        <w:jc w:val="both"/>
        <w:rPr>
          <w:rFonts w:ascii="Arial" w:hAnsi="Arial" w:cs="Arial"/>
          <w:b/>
          <w:color w:val="000000" w:themeColor="text1"/>
          <w:sz w:val="22"/>
          <w:lang w:val="es-ES_tradnl"/>
        </w:rPr>
      </w:pPr>
    </w:p>
    <w:p w14:paraId="01D0A6EC" w14:textId="77777777" w:rsidR="00041E29" w:rsidRPr="00DD2D97" w:rsidRDefault="00041E29" w:rsidP="00041E29">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Señor</w:t>
      </w:r>
    </w:p>
    <w:p w14:paraId="3CA04D74" w14:textId="77777777" w:rsidR="00041E29" w:rsidRPr="00DD2D97" w:rsidRDefault="00041E29" w:rsidP="00041E29">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Juan Pablo Sánchez Barroso</w:t>
      </w:r>
    </w:p>
    <w:p w14:paraId="6CC82AF0" w14:textId="77777777" w:rsidR="00041E29" w:rsidRPr="00DD2D97" w:rsidRDefault="00041E29" w:rsidP="00041E29">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56243B30" w14:textId="77777777" w:rsidR="00041E29" w:rsidRPr="00DD2D97" w:rsidRDefault="00041E29" w:rsidP="00041E29">
      <w:pPr>
        <w:jc w:val="both"/>
        <w:rPr>
          <w:rFonts w:ascii="Arial" w:eastAsia="Calibri" w:hAnsi="Arial" w:cs="Arial"/>
          <w:color w:val="000000" w:themeColor="text1"/>
          <w:sz w:val="22"/>
          <w:lang w:val="es-ES_tradnl"/>
        </w:rPr>
      </w:pPr>
    </w:p>
    <w:p w14:paraId="46FF7FF9" w14:textId="77777777" w:rsidR="00041E29" w:rsidRPr="00DD2D97" w:rsidRDefault="00041E29" w:rsidP="00041E29">
      <w:pPr>
        <w:jc w:val="both"/>
        <w:rPr>
          <w:rFonts w:ascii="Arial" w:eastAsia="Calibri" w:hAnsi="Arial" w:cs="Arial"/>
          <w:color w:val="000000" w:themeColor="text1"/>
          <w:sz w:val="22"/>
          <w:lang w:val="es-ES_tradnl"/>
        </w:rPr>
      </w:pPr>
    </w:p>
    <w:p w14:paraId="52DD3DA3" w14:textId="77777777" w:rsidR="00041E29" w:rsidRPr="00DD2D97" w:rsidRDefault="00041E29" w:rsidP="00041E29">
      <w:pPr>
        <w:jc w:val="center"/>
        <w:rPr>
          <w:rFonts w:ascii="Arial" w:eastAsia="Calibri" w:hAnsi="Arial" w:cs="Arial"/>
          <w:b/>
          <w:bCs/>
          <w:color w:val="000000" w:themeColor="text1"/>
          <w:sz w:val="22"/>
          <w:lang w:val="es-ES_tradnl"/>
        </w:rPr>
      </w:pPr>
      <w:r w:rsidRPr="0058385E">
        <w:rPr>
          <w:rFonts w:ascii="Arial" w:eastAsia="Calibri" w:hAnsi="Arial" w:cs="Arial"/>
          <w:b/>
          <w:bCs/>
          <w:color w:val="000000" w:themeColor="text1"/>
          <w:sz w:val="22"/>
          <w:lang w:val="es-ES_tradnl"/>
        </w:rPr>
        <w:t xml:space="preserve">Concepto C ‒ </w:t>
      </w:r>
      <w:r>
        <w:rPr>
          <w:rFonts w:ascii="Arial" w:eastAsia="Calibri" w:hAnsi="Arial" w:cs="Arial"/>
          <w:b/>
          <w:bCs/>
          <w:color w:val="000000" w:themeColor="text1"/>
          <w:sz w:val="22"/>
          <w:lang w:val="es-ES_tradnl"/>
        </w:rPr>
        <w:t>229</w:t>
      </w:r>
      <w:r w:rsidRPr="0058385E">
        <w:rPr>
          <w:rFonts w:ascii="Arial" w:eastAsia="Calibri" w:hAnsi="Arial" w:cs="Arial"/>
          <w:b/>
          <w:bCs/>
          <w:color w:val="000000" w:themeColor="text1"/>
          <w:sz w:val="22"/>
          <w:lang w:val="es-ES_tradnl"/>
        </w:rPr>
        <w:t xml:space="preserve"> de 2021</w:t>
      </w:r>
    </w:p>
    <w:p w14:paraId="0C926950" w14:textId="77777777" w:rsidR="00041E29" w:rsidRPr="00DD2D97" w:rsidRDefault="00041E29" w:rsidP="00041E29">
      <w:pPr>
        <w:jc w:val="both"/>
        <w:rPr>
          <w:rFonts w:ascii="Arial" w:eastAsia="Calibri" w:hAnsi="Arial" w:cs="Arial"/>
          <w:color w:val="000000" w:themeColor="text1"/>
          <w:sz w:val="22"/>
          <w:lang w:val="es-ES_tradnl"/>
        </w:rPr>
      </w:pPr>
    </w:p>
    <w:p w14:paraId="67DEE665" w14:textId="77777777" w:rsidR="00041E29" w:rsidRPr="00DD2D97" w:rsidRDefault="00041E29" w:rsidP="00041E29">
      <w:pPr>
        <w:jc w:val="both"/>
        <w:rPr>
          <w:rFonts w:ascii="Arial" w:eastAsia="Calibri" w:hAnsi="Arial" w:cs="Arial"/>
          <w:color w:val="000000" w:themeColor="text1"/>
          <w:sz w:val="22"/>
          <w:lang w:val="es-ES_tradnl"/>
        </w:rPr>
      </w:pPr>
    </w:p>
    <w:p w14:paraId="6D39A3B4" w14:textId="77777777" w:rsidR="00041E29" w:rsidRPr="00DD2D97" w:rsidRDefault="00041E29" w:rsidP="00041E29">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41E29" w:rsidRPr="00DD2D97" w14:paraId="4ECE3420" w14:textId="77777777" w:rsidTr="00D60C40">
        <w:tc>
          <w:tcPr>
            <w:tcW w:w="2689" w:type="dxa"/>
          </w:tcPr>
          <w:p w14:paraId="574A29A0" w14:textId="77777777" w:rsidR="00041E29" w:rsidRPr="00DD2D97" w:rsidRDefault="00041E29" w:rsidP="00D60C40">
            <w:pPr>
              <w:jc w:val="both"/>
              <w:rPr>
                <w:rFonts w:ascii="Arial" w:eastAsia="Calibri" w:hAnsi="Arial" w:cs="Arial"/>
                <w:color w:val="000000" w:themeColor="text1"/>
                <w:sz w:val="22"/>
                <w:lang w:val="es-ES_tradnl"/>
              </w:rPr>
            </w:pPr>
            <w:r w:rsidRPr="00DD2D97">
              <w:rPr>
                <w:rFonts w:ascii="Arial" w:eastAsia="Calibri" w:hAnsi="Arial" w:cs="Arial"/>
                <w:b/>
                <w:color w:val="000000" w:themeColor="text1"/>
                <w:sz w:val="22"/>
                <w:lang w:val="es-ES_tradnl"/>
              </w:rPr>
              <w:t>Temas:</w:t>
            </w:r>
            <w:r w:rsidRPr="00DD2D97">
              <w:rPr>
                <w:rFonts w:ascii="Arial" w:eastAsia="Calibri" w:hAnsi="Arial" w:cs="Arial"/>
                <w:color w:val="000000" w:themeColor="text1"/>
                <w:sz w:val="22"/>
                <w:lang w:val="es-ES_tradnl"/>
              </w:rPr>
              <w:t xml:space="preserve">                                      </w:t>
            </w:r>
          </w:p>
        </w:tc>
        <w:tc>
          <w:tcPr>
            <w:tcW w:w="6237" w:type="dxa"/>
          </w:tcPr>
          <w:p w14:paraId="532BB511" w14:textId="77777777" w:rsidR="00041E29" w:rsidRPr="00971528" w:rsidRDefault="00041E29" w:rsidP="00D60C40">
            <w:pPr>
              <w:jc w:val="both"/>
              <w:rPr>
                <w:rFonts w:ascii="Arial" w:eastAsia="Calibri" w:hAnsi="Arial" w:cs="Arial"/>
                <w:b/>
                <w:bCs/>
                <w:color w:val="000000" w:themeColor="text1"/>
                <w:sz w:val="22"/>
              </w:rPr>
            </w:pPr>
            <w:r w:rsidRPr="00C22EDD">
              <w:rPr>
                <w:rFonts w:ascii="Arial" w:eastAsia="Calibri" w:hAnsi="Arial" w:cs="Arial"/>
                <w:color w:val="000000" w:themeColor="text1"/>
                <w:sz w:val="22"/>
                <w:lang w:val="es-ES_tradnl"/>
              </w:rPr>
              <w:t>PRINCIPIO DE PUBLICIDAD – Democracia – Estado social de Derecho – Fundamento axiológico / SECOP – Entidades exceptuadas – Información oficial – Auto del 25 de febrero de 2021 – Efectos / SECOP – Entidades exceptuadas – Publicidad – Documentos – Información oficial – Concepto CU-003 / SECOP – Auto del 25 de febrero de 2021 – Publicidad – Mandato vigen</w:t>
            </w:r>
            <w:r w:rsidRPr="00971528">
              <w:rPr>
                <w:rFonts w:ascii="Arial" w:eastAsia="Calibri" w:hAnsi="Arial" w:cs="Arial"/>
                <w:color w:val="000000" w:themeColor="text1"/>
                <w:sz w:val="22"/>
                <w:lang w:val="es-ES_tradnl"/>
              </w:rPr>
              <w:t xml:space="preserve">te </w:t>
            </w:r>
          </w:p>
        </w:tc>
      </w:tr>
      <w:tr w:rsidR="00041E29" w:rsidRPr="00DD2D97" w14:paraId="32C7FE9D" w14:textId="77777777" w:rsidTr="00D60C40">
        <w:tc>
          <w:tcPr>
            <w:tcW w:w="2689" w:type="dxa"/>
          </w:tcPr>
          <w:p w14:paraId="57B29F7E" w14:textId="77777777" w:rsidR="00041E29" w:rsidRPr="00DD2D97" w:rsidRDefault="00041E29" w:rsidP="00D60C40">
            <w:pPr>
              <w:spacing w:before="12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Radicación:</w:t>
            </w:r>
            <w:r w:rsidRPr="00DD2D97">
              <w:rPr>
                <w:rFonts w:ascii="Arial" w:eastAsia="Calibri" w:hAnsi="Arial" w:cs="Arial"/>
                <w:color w:val="000000" w:themeColor="text1"/>
                <w:sz w:val="22"/>
                <w:lang w:val="es-ES_tradnl"/>
              </w:rPr>
              <w:t xml:space="preserve">                              </w:t>
            </w:r>
          </w:p>
        </w:tc>
        <w:tc>
          <w:tcPr>
            <w:tcW w:w="6237" w:type="dxa"/>
          </w:tcPr>
          <w:p w14:paraId="7A9D85E1" w14:textId="77777777" w:rsidR="00041E29" w:rsidRPr="00DD2D97" w:rsidRDefault="00041E29" w:rsidP="00D60C40">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Respuesta a consulta # </w:t>
            </w:r>
            <w:r w:rsidRPr="00041E29">
              <w:rPr>
                <w:rFonts w:ascii="Arial" w:eastAsia="Calibri" w:hAnsi="Arial" w:cs="Arial"/>
                <w:color w:val="000000" w:themeColor="text1"/>
                <w:sz w:val="22"/>
                <w:lang w:val="es-ES_tradnl"/>
              </w:rPr>
              <w:t>P20210412002929</w:t>
            </w:r>
          </w:p>
          <w:p w14:paraId="0825F22B" w14:textId="77777777" w:rsidR="00041E29" w:rsidRPr="00DD2D97" w:rsidRDefault="00041E29" w:rsidP="00D60C40">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 </w:t>
            </w:r>
          </w:p>
        </w:tc>
      </w:tr>
    </w:tbl>
    <w:p w14:paraId="3D7FA035" w14:textId="6E55F19E" w:rsidR="00041E29" w:rsidRPr="00DD2D97" w:rsidRDefault="00041E29" w:rsidP="00041E29">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Estimado señor:</w:t>
      </w:r>
    </w:p>
    <w:p w14:paraId="6431DC8E" w14:textId="77777777" w:rsidR="00041E29" w:rsidRPr="00DD2D97" w:rsidRDefault="00041E29" w:rsidP="00041E29">
      <w:pPr>
        <w:jc w:val="both"/>
        <w:rPr>
          <w:rFonts w:ascii="Arial" w:eastAsia="Calibri" w:hAnsi="Arial" w:cs="Arial"/>
          <w:color w:val="000000" w:themeColor="text1"/>
          <w:sz w:val="22"/>
          <w:lang w:val="es-ES_tradnl"/>
        </w:rPr>
      </w:pPr>
    </w:p>
    <w:p w14:paraId="67E7227A" w14:textId="77777777" w:rsidR="00041E29" w:rsidRPr="00DD2D97" w:rsidRDefault="00041E29" w:rsidP="00041E29">
      <w:pPr>
        <w:spacing w:line="276" w:lineRule="auto"/>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sz w:val="22"/>
          <w:lang w:val="es-ES_tradnl"/>
        </w:rPr>
        <w:t>12</w:t>
      </w:r>
      <w:r w:rsidRPr="00DD2D97">
        <w:rPr>
          <w:rFonts w:ascii="Arial" w:eastAsia="Calibri" w:hAnsi="Arial" w:cs="Arial"/>
          <w:color w:val="000000" w:themeColor="text1"/>
          <w:sz w:val="22"/>
          <w:lang w:val="es-ES_tradnl"/>
        </w:rPr>
        <w:t xml:space="preserve"> de </w:t>
      </w:r>
      <w:r>
        <w:rPr>
          <w:rFonts w:ascii="Arial" w:eastAsia="Calibri" w:hAnsi="Arial" w:cs="Arial"/>
          <w:color w:val="000000" w:themeColor="text1"/>
          <w:sz w:val="22"/>
          <w:lang w:val="es-ES_tradnl"/>
        </w:rPr>
        <w:t xml:space="preserve">abril </w:t>
      </w:r>
      <w:r w:rsidRPr="00DD2D97">
        <w:rPr>
          <w:rFonts w:ascii="Arial" w:eastAsia="Calibri" w:hAnsi="Arial" w:cs="Arial"/>
          <w:color w:val="000000" w:themeColor="text1"/>
          <w:sz w:val="22"/>
          <w:lang w:val="es-ES_tradnl"/>
        </w:rPr>
        <w:t>del 2021.</w:t>
      </w:r>
    </w:p>
    <w:p w14:paraId="29229BEE" w14:textId="77777777" w:rsidR="00041E29" w:rsidRPr="00DD2D97" w:rsidRDefault="00041E29" w:rsidP="00041E29">
      <w:pPr>
        <w:spacing w:line="276" w:lineRule="auto"/>
        <w:jc w:val="both"/>
        <w:rPr>
          <w:rFonts w:ascii="Arial" w:eastAsia="Calibri" w:hAnsi="Arial" w:cs="Arial"/>
          <w:b/>
          <w:color w:val="000000" w:themeColor="text1"/>
          <w:sz w:val="22"/>
          <w:lang w:val="es-ES_tradnl"/>
        </w:rPr>
      </w:pPr>
    </w:p>
    <w:p w14:paraId="2FC4CBBC" w14:textId="77777777" w:rsidR="00041E29" w:rsidRPr="00DD2D97" w:rsidRDefault="00041E29" w:rsidP="00041E29">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 xml:space="preserve">Problema planteado </w:t>
      </w:r>
    </w:p>
    <w:p w14:paraId="2BC8AFB5" w14:textId="77777777" w:rsidR="00041E29" w:rsidRPr="00DD2D97" w:rsidRDefault="00041E29" w:rsidP="00041E29">
      <w:pPr>
        <w:tabs>
          <w:tab w:val="left" w:pos="426"/>
        </w:tabs>
        <w:spacing w:line="276" w:lineRule="auto"/>
        <w:jc w:val="both"/>
        <w:rPr>
          <w:rFonts w:ascii="Arial" w:eastAsia="Calibri" w:hAnsi="Arial" w:cs="Arial"/>
          <w:b/>
          <w:color w:val="000000" w:themeColor="text1"/>
          <w:sz w:val="22"/>
          <w:lang w:val="es-ES_tradnl"/>
        </w:rPr>
      </w:pPr>
    </w:p>
    <w:p w14:paraId="4D098660" w14:textId="77777777" w:rsidR="00041E29" w:rsidRPr="00DD2D97" w:rsidRDefault="00041E29" w:rsidP="00041E29">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 xml:space="preserve">Usted formula la siguiente consulta: </w:t>
      </w:r>
    </w:p>
    <w:p w14:paraId="0174DFA1" w14:textId="77777777" w:rsidR="00041E29" w:rsidRPr="00DD2D97" w:rsidRDefault="00041E29" w:rsidP="00041E29">
      <w:pPr>
        <w:spacing w:line="276" w:lineRule="auto"/>
        <w:jc w:val="both"/>
        <w:rPr>
          <w:rFonts w:ascii="Arial" w:hAnsi="Arial" w:cs="Arial"/>
          <w:color w:val="000000" w:themeColor="text1"/>
          <w:sz w:val="22"/>
          <w:lang w:val="es-ES_tradnl"/>
        </w:rPr>
      </w:pPr>
    </w:p>
    <w:p w14:paraId="7BB3D34A" w14:textId="77777777" w:rsidR="00041E29" w:rsidRDefault="00041E29" w:rsidP="00041E29">
      <w:pPr>
        <w:ind w:left="709" w:right="709"/>
        <w:jc w:val="both"/>
        <w:rPr>
          <w:rFonts w:ascii="Arial" w:hAnsi="Arial" w:cs="Arial"/>
          <w:color w:val="000000" w:themeColor="text1"/>
          <w:sz w:val="22"/>
          <w:lang w:val="es-ES_tradnl"/>
        </w:rPr>
      </w:pPr>
      <w:r w:rsidRPr="00DD2D97">
        <w:rPr>
          <w:rFonts w:ascii="Arial" w:hAnsi="Arial" w:cs="Arial"/>
          <w:color w:val="000000" w:themeColor="text1"/>
          <w:sz w:val="21"/>
          <w:szCs w:val="21"/>
          <w:lang w:val="es-ES_tradnl"/>
        </w:rPr>
        <w:t>«</w:t>
      </w:r>
      <w:bookmarkStart w:id="3" w:name="_Hlk70359962"/>
      <w:r w:rsidRPr="00041E29">
        <w:rPr>
          <w:rFonts w:ascii="Arial" w:hAnsi="Arial" w:cs="Arial"/>
          <w:color w:val="000000" w:themeColor="text1"/>
          <w:sz w:val="21"/>
          <w:szCs w:val="21"/>
          <w:lang w:val="es-ES_tradnl"/>
        </w:rPr>
        <w:t>Con toda atención, de conformidad al auto de fecha 25 de febrero de 2021 de la Sala de lo Contencioso Administrativo de la Sección Tercera Subsección B del Consejo de Estado, me permito solicitar se aclare que es obligatorio publicar frente a la actividad contractual de las entidades de régimen especial que actúan como particulares y que no están regidas por la Ley 80 de 1993 y demás normas que la modifican y complementan</w:t>
      </w:r>
      <w:r w:rsidRPr="00C22EDD">
        <w:rPr>
          <w:rFonts w:ascii="Arial" w:eastAsia="Calibri" w:hAnsi="Arial" w:cs="Arial"/>
          <w:color w:val="000000" w:themeColor="text1"/>
          <w:sz w:val="22"/>
          <w:lang w:val="es-ES_tradnl"/>
        </w:rPr>
        <w:t>»</w:t>
      </w:r>
      <w:r w:rsidRPr="007C32D7">
        <w:rPr>
          <w:rFonts w:ascii="Arial" w:hAnsi="Arial" w:cs="Arial"/>
          <w:color w:val="000000" w:themeColor="text1"/>
          <w:sz w:val="21"/>
          <w:szCs w:val="21"/>
          <w:lang w:val="es-ES_tradnl"/>
        </w:rPr>
        <w:t>.</w:t>
      </w:r>
    </w:p>
    <w:p w14:paraId="3CBDB9BE" w14:textId="77777777" w:rsidR="00041E29" w:rsidRPr="00DD2D97" w:rsidRDefault="00041E29" w:rsidP="00041E29">
      <w:pPr>
        <w:ind w:left="709" w:right="709"/>
        <w:jc w:val="both"/>
        <w:rPr>
          <w:rFonts w:ascii="Arial" w:hAnsi="Arial" w:cs="Arial"/>
          <w:color w:val="000000" w:themeColor="text1"/>
          <w:sz w:val="22"/>
          <w:lang w:val="es-ES_tradnl"/>
        </w:rPr>
      </w:pPr>
    </w:p>
    <w:bookmarkEnd w:id="3"/>
    <w:p w14:paraId="558B76C7" w14:textId="77777777" w:rsidR="00041E29" w:rsidRPr="00DD2D97" w:rsidRDefault="00041E29" w:rsidP="00041E29">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Consideraciones</w:t>
      </w:r>
    </w:p>
    <w:p w14:paraId="62589871" w14:textId="77777777" w:rsidR="00041E29" w:rsidRPr="00DD2D97" w:rsidRDefault="00041E29" w:rsidP="00041E29">
      <w:pPr>
        <w:spacing w:line="276" w:lineRule="auto"/>
        <w:jc w:val="both"/>
        <w:rPr>
          <w:rFonts w:ascii="Arial" w:eastAsia="Calibri" w:hAnsi="Arial" w:cs="Arial"/>
          <w:color w:val="000000" w:themeColor="text1"/>
          <w:sz w:val="22"/>
          <w:szCs w:val="22"/>
          <w:lang w:val="es-ES_tradnl"/>
        </w:rPr>
      </w:pPr>
    </w:p>
    <w:p w14:paraId="7BDD1352" w14:textId="77777777" w:rsidR="00041E29" w:rsidRPr="00DD2D97" w:rsidRDefault="00041E29" w:rsidP="00041E29">
      <w:pPr>
        <w:spacing w:line="276" w:lineRule="auto"/>
        <w:jc w:val="both"/>
        <w:rPr>
          <w:rFonts w:ascii="Arial" w:eastAsia="Calibri" w:hAnsi="Arial" w:cs="Arial"/>
          <w:color w:val="000000" w:themeColor="text1"/>
          <w:sz w:val="22"/>
          <w:lang w:val="es-ES_tradnl"/>
        </w:rPr>
      </w:pPr>
      <w:r w:rsidRPr="00DD2D97">
        <w:rPr>
          <w:rFonts w:ascii="Arial" w:eastAsia="Calibri" w:hAnsi="Arial" w:cs="Arial"/>
          <w:bCs/>
          <w:color w:val="000000" w:themeColor="text1"/>
          <w:sz w:val="22"/>
          <w:lang w:val="es-ES_tradnl"/>
        </w:rPr>
        <w:t xml:space="preserve">Para responder la consulta se analizarán los siguientes temas: i) fundamento axiológico de la publicidad de la información oficial de la contratación estatal en el Sistema Electrónico </w:t>
      </w:r>
      <w:r>
        <w:rPr>
          <w:rFonts w:ascii="Arial" w:eastAsia="Calibri" w:hAnsi="Arial" w:cs="Arial"/>
          <w:bCs/>
          <w:color w:val="000000" w:themeColor="text1"/>
          <w:sz w:val="22"/>
          <w:lang w:val="es-ES_tradnl"/>
        </w:rPr>
        <w:t>para la</w:t>
      </w:r>
      <w:r w:rsidRPr="00DD2D97">
        <w:rPr>
          <w:rFonts w:ascii="Arial" w:eastAsia="Calibri" w:hAnsi="Arial" w:cs="Arial"/>
          <w:bCs/>
          <w:color w:val="000000" w:themeColor="text1"/>
          <w:sz w:val="22"/>
          <w:lang w:val="es-ES_tradnl"/>
        </w:rPr>
        <w:t xml:space="preserve"> Contratación Pública –SECOP–, </w:t>
      </w:r>
      <w:proofErr w:type="spellStart"/>
      <w:r w:rsidRPr="00DD2D97">
        <w:rPr>
          <w:rFonts w:ascii="Arial" w:eastAsia="Calibri" w:hAnsi="Arial" w:cs="Arial"/>
          <w:bCs/>
          <w:color w:val="000000" w:themeColor="text1"/>
          <w:sz w:val="22"/>
          <w:lang w:val="es-ES_tradnl"/>
        </w:rPr>
        <w:t>ii</w:t>
      </w:r>
      <w:proofErr w:type="spellEnd"/>
      <w:r w:rsidRPr="00DD2D97">
        <w:rPr>
          <w:rFonts w:ascii="Arial" w:eastAsia="Calibri" w:hAnsi="Arial" w:cs="Arial"/>
          <w:bCs/>
          <w:color w:val="000000" w:themeColor="text1"/>
          <w:sz w:val="22"/>
          <w:lang w:val="es-ES_tradnl"/>
        </w:rPr>
        <w:t xml:space="preserve">) efectos del auto del Consejo de Estado del 25 de febrero de 2021 sobre la publicación en el SECOP por parte de las entidades estatales con régimen especial de contratación y </w:t>
      </w:r>
      <w:proofErr w:type="spellStart"/>
      <w:r w:rsidRPr="00DD2D97">
        <w:rPr>
          <w:rFonts w:ascii="Arial" w:eastAsia="Calibri" w:hAnsi="Arial" w:cs="Arial"/>
          <w:bCs/>
          <w:color w:val="000000" w:themeColor="text1"/>
          <w:sz w:val="22"/>
          <w:lang w:val="es-ES_tradnl"/>
        </w:rPr>
        <w:t>iii</w:t>
      </w:r>
      <w:proofErr w:type="spellEnd"/>
      <w:r w:rsidRPr="00DD2D97">
        <w:rPr>
          <w:rFonts w:ascii="Arial" w:eastAsia="Calibri" w:hAnsi="Arial" w:cs="Arial"/>
          <w:bCs/>
          <w:color w:val="000000" w:themeColor="text1"/>
          <w:sz w:val="22"/>
          <w:lang w:val="es-ES_tradnl"/>
        </w:rPr>
        <w:t>) documentos que deben publicar en el SECOP las entidades estatales que, por regla general, se rigen por el derecho privado en su actividad contractual.</w:t>
      </w:r>
    </w:p>
    <w:p w14:paraId="55C854FE" w14:textId="74A8CCAF" w:rsidR="00041E29" w:rsidRDefault="00041E29" w:rsidP="00830320">
      <w:pPr>
        <w:spacing w:before="120" w:after="120" w:line="276" w:lineRule="auto"/>
        <w:ind w:firstLine="709"/>
        <w:jc w:val="both"/>
        <w:rPr>
          <w:rFonts w:ascii="Arial" w:eastAsia="Calibri" w:hAnsi="Arial" w:cs="Arial"/>
          <w:color w:val="1A1A1A" w:themeColor="background1" w:themeShade="1A"/>
          <w:sz w:val="22"/>
        </w:rPr>
      </w:pPr>
      <w:r w:rsidRPr="00DD2D97">
        <w:rPr>
          <w:rFonts w:ascii="Arial" w:eastAsia="Calibri" w:hAnsi="Arial" w:cs="Arial"/>
          <w:bCs/>
          <w:color w:val="000000" w:themeColor="text1"/>
          <w:sz w:val="22"/>
          <w:lang w:val="es-ES_tradnl"/>
        </w:rPr>
        <w:t xml:space="preserve">La Agencia Nacional de Contratación Pública –Colombia Compra Eficiente– unificó su doctrina sobre el deber de las entidades exceptuadas del Estatuto General de Contratación de la Administración Pública –o con régimen especial– de publicar sus actuaciones contractuales en el SECOP, en el concepto CU-003 del 15 de enero de 2020.  Este concepto se reiterará a continuación, porque, como se explicará, no es contrario al contenido del auto del Consejo de Estado del 25 de febrero de 2021, que motiva la formulación de la consulta. </w:t>
      </w:r>
    </w:p>
    <w:p w14:paraId="01717203" w14:textId="7C8C3F36" w:rsidR="00041E29" w:rsidRPr="00D307CD" w:rsidRDefault="00041E29" w:rsidP="00041E29">
      <w:pPr>
        <w:spacing w:line="276" w:lineRule="auto"/>
        <w:ind w:firstLine="708"/>
        <w:jc w:val="both"/>
        <w:rPr>
          <w:rFonts w:ascii="Arial" w:hAnsi="Arial" w:cs="Arial"/>
          <w:color w:val="1A1A1A" w:themeColor="background1" w:themeShade="1A"/>
          <w:sz w:val="22"/>
        </w:rPr>
      </w:pPr>
      <w:r>
        <w:rPr>
          <w:rFonts w:ascii="Arial" w:eastAsia="Calibri" w:hAnsi="Arial" w:cs="Arial"/>
          <w:color w:val="1A1A1A" w:themeColor="background1" w:themeShade="1A"/>
          <w:sz w:val="22"/>
        </w:rPr>
        <w:t>Adicionalmente, p</w:t>
      </w:r>
      <w:r w:rsidRPr="0091437B">
        <w:rPr>
          <w:rFonts w:ascii="Arial" w:eastAsia="Calibri" w:hAnsi="Arial" w:cs="Arial"/>
          <w:color w:val="1A1A1A" w:themeColor="background1" w:themeShade="1A"/>
          <w:sz w:val="22"/>
        </w:rPr>
        <w:t xml:space="preserve">ara desarrollar </w:t>
      </w:r>
      <w:r>
        <w:rPr>
          <w:rFonts w:ascii="Arial" w:eastAsia="Calibri" w:hAnsi="Arial" w:cs="Arial"/>
          <w:color w:val="1A1A1A" w:themeColor="background1" w:themeShade="1A"/>
          <w:sz w:val="22"/>
        </w:rPr>
        <w:t>el</w:t>
      </w:r>
      <w:r w:rsidRPr="0091437B">
        <w:rPr>
          <w:rFonts w:ascii="Arial" w:eastAsia="Calibri" w:hAnsi="Arial" w:cs="Arial"/>
          <w:color w:val="1A1A1A" w:themeColor="background1" w:themeShade="1A"/>
          <w:sz w:val="22"/>
        </w:rPr>
        <w:t xml:space="preserve"> problema planteado</w:t>
      </w:r>
      <w:r>
        <w:rPr>
          <w:rFonts w:ascii="Arial" w:eastAsia="Calibri" w:hAnsi="Arial" w:cs="Arial"/>
          <w:color w:val="1A1A1A" w:themeColor="background1" w:themeShade="1A"/>
          <w:sz w:val="22"/>
        </w:rPr>
        <w:t>,</w:t>
      </w:r>
      <w:r w:rsidRPr="0091437B">
        <w:rPr>
          <w:rFonts w:ascii="Arial" w:eastAsia="Calibri" w:hAnsi="Arial" w:cs="Arial"/>
          <w:color w:val="1A1A1A" w:themeColor="background1" w:themeShade="1A"/>
          <w:sz w:val="22"/>
        </w:rPr>
        <w:t xml:space="preserve"> se explicará</w:t>
      </w:r>
      <w:r>
        <w:rPr>
          <w:rFonts w:ascii="Arial" w:eastAsia="Calibri" w:hAnsi="Arial" w:cs="Arial"/>
          <w:color w:val="1A1A1A" w:themeColor="background1" w:themeShade="1A"/>
          <w:sz w:val="22"/>
        </w:rPr>
        <w:t xml:space="preserve"> el deber de publicidad de la información contractual en el SECOP</w:t>
      </w:r>
      <w:r w:rsidRPr="0091437B">
        <w:rPr>
          <w:rFonts w:ascii="Arial" w:eastAsia="Calibri" w:hAnsi="Arial" w:cs="Arial"/>
          <w:color w:val="1A1A1A" w:themeColor="background1" w:themeShade="1A"/>
          <w:sz w:val="22"/>
        </w:rPr>
        <w:t xml:space="preserve">. </w:t>
      </w:r>
      <w:r w:rsidRPr="0091437B">
        <w:rPr>
          <w:rFonts w:ascii="Arial" w:eastAsia="Calibri" w:hAnsi="Arial" w:cs="Arial"/>
          <w:bCs/>
          <w:color w:val="1A1A1A" w:themeColor="background1" w:themeShade="1A"/>
          <w:sz w:val="22"/>
        </w:rPr>
        <w:t xml:space="preserve">La Agencia Nacional de Contratación Pública estudió este tema en la consulta No. </w:t>
      </w:r>
      <w:r w:rsidRPr="00E26D3C">
        <w:rPr>
          <w:rFonts w:ascii="Arial" w:eastAsia="Calibri" w:hAnsi="Arial" w:cs="Arial"/>
          <w:bCs/>
          <w:color w:val="1A1A1A" w:themeColor="background1" w:themeShade="1A"/>
          <w:sz w:val="22"/>
        </w:rPr>
        <w:t xml:space="preserve">4201913000005397 del 9 de agosto de 2019 y reiteró la posición en los siguientes conceptos: 4201912000006611 del 25 de septiembre de 2019, </w:t>
      </w:r>
      <w:r w:rsidRPr="00E26D3C">
        <w:rPr>
          <w:rFonts w:ascii="Arial" w:hAnsi="Arial" w:cs="Arial"/>
          <w:sz w:val="22"/>
        </w:rPr>
        <w:t>4201913000006847</w:t>
      </w:r>
      <w:r w:rsidRPr="00E26D3C">
        <w:rPr>
          <w:rFonts w:ascii="Arial" w:hAnsi="Arial" w:cs="Arial"/>
          <w:color w:val="1A1A1A" w:themeColor="background1" w:themeShade="1A"/>
          <w:sz w:val="22"/>
        </w:rPr>
        <w:t xml:space="preserve"> del 4 de octubre de 2019, </w:t>
      </w:r>
      <w:r w:rsidRPr="00E26D3C">
        <w:rPr>
          <w:rFonts w:ascii="Arial" w:eastAsia="Calibri" w:hAnsi="Arial" w:cs="Arial"/>
          <w:bCs/>
          <w:color w:val="1A1A1A" w:themeColor="background1" w:themeShade="1A"/>
          <w:sz w:val="22"/>
        </w:rPr>
        <w:t>4201912000007762 del 18 de noviembre de 2019</w:t>
      </w:r>
      <w:r>
        <w:rPr>
          <w:rFonts w:ascii="Arial" w:eastAsia="Calibri" w:hAnsi="Arial" w:cs="Arial"/>
          <w:bCs/>
          <w:color w:val="1A1A1A" w:themeColor="background1" w:themeShade="1A"/>
          <w:sz w:val="22"/>
        </w:rPr>
        <w:t xml:space="preserve"> y</w:t>
      </w:r>
      <w:r w:rsidRPr="00E26D3C">
        <w:rPr>
          <w:rFonts w:ascii="Arial" w:eastAsia="Calibri" w:hAnsi="Arial" w:cs="Arial"/>
          <w:bCs/>
          <w:color w:val="1A1A1A" w:themeColor="background1" w:themeShade="1A"/>
          <w:sz w:val="22"/>
        </w:rPr>
        <w:t xml:space="preserve"> 4201912000007828 del 13 de noviembre de 2019</w:t>
      </w:r>
      <w:r>
        <w:rPr>
          <w:rFonts w:ascii="Arial" w:eastAsia="Calibri" w:hAnsi="Arial" w:cs="Arial"/>
          <w:bCs/>
          <w:color w:val="1A1A1A" w:themeColor="background1" w:themeShade="1A"/>
          <w:sz w:val="22"/>
        </w:rPr>
        <w:t>. Las tesis expuestas en los anteriores conceptos fueron unificadas en el concepto</w:t>
      </w:r>
      <w:r w:rsidRPr="00E26D3C">
        <w:rPr>
          <w:rFonts w:ascii="Arial" w:eastAsia="Calibri" w:hAnsi="Arial" w:cs="Arial"/>
          <w:bCs/>
          <w:color w:val="1A1A1A" w:themeColor="background1" w:themeShade="1A"/>
          <w:sz w:val="22"/>
        </w:rPr>
        <w:t xml:space="preserve"> CU-003 del 15 de enero de 2020</w:t>
      </w:r>
      <w:r>
        <w:rPr>
          <w:rFonts w:ascii="Arial" w:eastAsia="Calibri" w:hAnsi="Arial" w:cs="Arial"/>
          <w:bCs/>
          <w:color w:val="1A1A1A" w:themeColor="background1" w:themeShade="1A"/>
          <w:sz w:val="22"/>
        </w:rPr>
        <w:t xml:space="preserve">. </w:t>
      </w:r>
      <w:r w:rsidRPr="005C29B6">
        <w:rPr>
          <w:rFonts w:ascii="Arial" w:hAnsi="Arial" w:cs="Arial"/>
          <w:color w:val="1A1A1A" w:themeColor="background1" w:themeShade="1A"/>
          <w:sz w:val="22"/>
        </w:rPr>
        <w:t>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w:t>
      </w:r>
      <w:r>
        <w:rPr>
          <w:rFonts w:ascii="Arial" w:hAnsi="Arial" w:cs="Arial"/>
          <w:color w:val="1A1A1A" w:themeColor="background1" w:themeShade="1A"/>
          <w:sz w:val="22"/>
        </w:rPr>
        <w:t xml:space="preserve">, </w:t>
      </w:r>
      <w:r w:rsidRPr="005C29B6">
        <w:rPr>
          <w:rFonts w:ascii="Arial" w:hAnsi="Arial" w:cs="Arial"/>
          <w:color w:val="1A1A1A" w:themeColor="background1" w:themeShade="1A"/>
          <w:sz w:val="22"/>
        </w:rPr>
        <w:t>C-680 de 18 de noviembre de 2020</w:t>
      </w:r>
      <w:r>
        <w:rPr>
          <w:rFonts w:ascii="Arial" w:hAnsi="Arial" w:cs="Arial"/>
          <w:color w:val="1A1A1A" w:themeColor="background1" w:themeShade="1A"/>
          <w:sz w:val="22"/>
        </w:rPr>
        <w:t xml:space="preserve"> y C-780 del 18 de enero de 2021. </w:t>
      </w:r>
      <w:r w:rsidR="00C82E07">
        <w:rPr>
          <w:rFonts w:ascii="Arial" w:hAnsi="Arial" w:cs="Arial"/>
          <w:color w:val="1A1A1A" w:themeColor="background1" w:themeShade="1A"/>
          <w:sz w:val="22"/>
        </w:rPr>
        <w:t xml:space="preserve">Finalmente, como consecuencia del </w:t>
      </w:r>
      <w:r w:rsidR="00C82E07" w:rsidRPr="00DD2D97">
        <w:rPr>
          <w:rFonts w:ascii="Arial" w:eastAsia="Calibri" w:hAnsi="Arial" w:cs="Arial"/>
          <w:bCs/>
          <w:color w:val="000000" w:themeColor="text1"/>
          <w:sz w:val="22"/>
          <w:lang w:val="es-ES_tradnl"/>
        </w:rPr>
        <w:t>auto del Consejo de Estado del 25 de febrero de 2021</w:t>
      </w:r>
      <w:r w:rsidR="00AE2E9D">
        <w:rPr>
          <w:rFonts w:ascii="Arial" w:eastAsia="Calibri" w:hAnsi="Arial" w:cs="Arial"/>
          <w:bCs/>
          <w:color w:val="000000" w:themeColor="text1"/>
          <w:sz w:val="22"/>
          <w:lang w:val="es-ES_tradnl"/>
        </w:rPr>
        <w:t>, al que alude el peticionario,</w:t>
      </w:r>
      <w:r w:rsidR="00C82E07">
        <w:rPr>
          <w:rFonts w:ascii="Arial" w:eastAsia="Calibri" w:hAnsi="Arial" w:cs="Arial"/>
          <w:bCs/>
          <w:color w:val="000000" w:themeColor="text1"/>
          <w:sz w:val="22"/>
          <w:lang w:val="es-ES_tradnl"/>
        </w:rPr>
        <w:t xml:space="preserve"> se expidi</w:t>
      </w:r>
      <w:r w:rsidR="004E4B72">
        <w:rPr>
          <w:rFonts w:ascii="Arial" w:eastAsia="Calibri" w:hAnsi="Arial" w:cs="Arial"/>
          <w:bCs/>
          <w:color w:val="000000" w:themeColor="text1"/>
          <w:sz w:val="22"/>
          <w:lang w:val="es-ES_tradnl"/>
        </w:rPr>
        <w:t>eron</w:t>
      </w:r>
      <w:r w:rsidR="00C82E07">
        <w:rPr>
          <w:rFonts w:ascii="Arial" w:eastAsia="Calibri" w:hAnsi="Arial" w:cs="Arial"/>
          <w:bCs/>
          <w:color w:val="000000" w:themeColor="text1"/>
          <w:sz w:val="22"/>
          <w:lang w:val="es-ES_tradnl"/>
        </w:rPr>
        <w:t xml:space="preserve"> </w:t>
      </w:r>
      <w:r w:rsidR="004E4B72">
        <w:rPr>
          <w:rFonts w:ascii="Arial" w:eastAsia="Calibri" w:hAnsi="Arial" w:cs="Arial"/>
          <w:bCs/>
          <w:color w:val="000000" w:themeColor="text1"/>
          <w:sz w:val="22"/>
          <w:lang w:val="es-ES_tradnl"/>
        </w:rPr>
        <w:t>los</w:t>
      </w:r>
      <w:r w:rsidR="00C82E07">
        <w:rPr>
          <w:rFonts w:ascii="Arial" w:eastAsia="Calibri" w:hAnsi="Arial" w:cs="Arial"/>
          <w:bCs/>
          <w:color w:val="000000" w:themeColor="text1"/>
          <w:sz w:val="22"/>
          <w:lang w:val="es-ES_tradnl"/>
        </w:rPr>
        <w:t xml:space="preserve"> concepto</w:t>
      </w:r>
      <w:r w:rsidR="004E4B72">
        <w:rPr>
          <w:rFonts w:ascii="Arial" w:eastAsia="Calibri" w:hAnsi="Arial" w:cs="Arial"/>
          <w:bCs/>
          <w:color w:val="000000" w:themeColor="text1"/>
          <w:sz w:val="22"/>
          <w:lang w:val="es-ES_tradnl"/>
        </w:rPr>
        <w:t xml:space="preserve">s C–094, </w:t>
      </w:r>
      <w:r w:rsidR="00C82E07">
        <w:rPr>
          <w:rFonts w:ascii="Arial" w:eastAsia="Calibri" w:hAnsi="Arial" w:cs="Arial"/>
          <w:bCs/>
          <w:color w:val="000000" w:themeColor="text1"/>
          <w:sz w:val="22"/>
          <w:lang w:val="es-ES_tradnl"/>
        </w:rPr>
        <w:t xml:space="preserve">C-137 </w:t>
      </w:r>
      <w:r w:rsidR="004E4B72">
        <w:rPr>
          <w:rFonts w:ascii="Arial" w:eastAsia="Calibri" w:hAnsi="Arial" w:cs="Arial"/>
          <w:bCs/>
          <w:color w:val="000000" w:themeColor="text1"/>
          <w:sz w:val="22"/>
          <w:lang w:val="es-ES_tradnl"/>
        </w:rPr>
        <w:t xml:space="preserve">y C-172, todos del </w:t>
      </w:r>
      <w:r w:rsidR="00C82E07">
        <w:rPr>
          <w:rFonts w:ascii="Arial" w:hAnsi="Arial" w:cs="Arial"/>
          <w:color w:val="1A1A1A" w:themeColor="background1" w:themeShade="1A"/>
          <w:sz w:val="22"/>
        </w:rPr>
        <w:t xml:space="preserve">13 de abril de 2021. </w:t>
      </w:r>
      <w:r w:rsidRPr="00E26D3C">
        <w:rPr>
          <w:rFonts w:ascii="Arial" w:eastAsia="Calibri" w:hAnsi="Arial" w:cs="Arial"/>
          <w:color w:val="1A1A1A" w:themeColor="background1" w:themeShade="1A"/>
          <w:sz w:val="22"/>
        </w:rPr>
        <w:t>La tesis de estos conceptos se reitera a continuación:</w:t>
      </w:r>
      <w:r w:rsidRPr="0091437B">
        <w:rPr>
          <w:rFonts w:ascii="Arial" w:hAnsi="Arial" w:cs="Arial"/>
          <w:color w:val="1A1A1A" w:themeColor="background1" w:themeShade="1A"/>
          <w:sz w:val="22"/>
        </w:rPr>
        <w:t xml:space="preserve"> </w:t>
      </w:r>
    </w:p>
    <w:p w14:paraId="782F997B" w14:textId="77777777" w:rsidR="00041E29" w:rsidRPr="00DD2D97" w:rsidRDefault="00041E29" w:rsidP="00041E29">
      <w:pPr>
        <w:spacing w:line="276" w:lineRule="auto"/>
        <w:jc w:val="both"/>
        <w:rPr>
          <w:rFonts w:ascii="Arial" w:hAnsi="Arial" w:cs="Arial"/>
          <w:b/>
          <w:bCs/>
          <w:color w:val="000000" w:themeColor="text1"/>
          <w:sz w:val="22"/>
          <w:lang w:val="es-ES_tradnl"/>
        </w:rPr>
      </w:pPr>
    </w:p>
    <w:p w14:paraId="551FECF5" w14:textId="77777777" w:rsidR="00041E29" w:rsidRPr="00C22EDD" w:rsidRDefault="00041E29" w:rsidP="00041E29">
      <w:pPr>
        <w:tabs>
          <w:tab w:val="left" w:pos="426"/>
        </w:tabs>
        <w:spacing w:line="276" w:lineRule="auto"/>
        <w:jc w:val="both"/>
        <w:rPr>
          <w:rFonts w:ascii="Arial" w:eastAsia="Calibri" w:hAnsi="Arial" w:cs="Arial"/>
          <w:b/>
          <w:color w:val="000000" w:themeColor="text1"/>
          <w:sz w:val="22"/>
          <w:lang w:val="es-ES_tradnl"/>
        </w:rPr>
      </w:pPr>
      <w:bookmarkStart w:id="4" w:name="_Hlk69128905"/>
      <w:r w:rsidRPr="00C22EDD">
        <w:rPr>
          <w:rFonts w:ascii="Arial" w:eastAsia="Calibri" w:hAnsi="Arial" w:cs="Arial"/>
          <w:b/>
          <w:color w:val="000000" w:themeColor="text1"/>
          <w:sz w:val="22"/>
          <w:lang w:val="es-ES_tradnl"/>
        </w:rPr>
        <w:lastRenderedPageBreak/>
        <w:t xml:space="preserve">2.1. Fundamento axiológico de la publicidad de la información oficial de la contratación estatal en el Sistema Electrónico </w:t>
      </w:r>
      <w:r>
        <w:rPr>
          <w:rFonts w:ascii="Arial" w:eastAsia="Calibri" w:hAnsi="Arial" w:cs="Arial"/>
          <w:b/>
          <w:color w:val="000000" w:themeColor="text1"/>
          <w:sz w:val="22"/>
          <w:lang w:val="es-ES_tradnl"/>
        </w:rPr>
        <w:t>para la</w:t>
      </w:r>
      <w:r w:rsidRPr="00C22EDD">
        <w:rPr>
          <w:rFonts w:ascii="Arial" w:eastAsia="Calibri" w:hAnsi="Arial" w:cs="Arial"/>
          <w:b/>
          <w:color w:val="000000" w:themeColor="text1"/>
          <w:sz w:val="22"/>
          <w:lang w:val="es-ES_tradnl"/>
        </w:rPr>
        <w:t xml:space="preserve"> Contratación Pública –SECOP–</w:t>
      </w:r>
    </w:p>
    <w:p w14:paraId="44D26053" w14:textId="77777777" w:rsidR="00041E29" w:rsidRPr="00C22EDD" w:rsidRDefault="00041E29" w:rsidP="00041E29">
      <w:pPr>
        <w:pStyle w:val="Prrafodelista"/>
        <w:spacing w:line="276" w:lineRule="auto"/>
        <w:ind w:left="0" w:firstLine="709"/>
        <w:jc w:val="both"/>
        <w:rPr>
          <w:rFonts w:ascii="Arial" w:eastAsia="Calibri" w:hAnsi="Arial" w:cs="Arial"/>
          <w:b/>
          <w:color w:val="000000" w:themeColor="text1"/>
          <w:sz w:val="22"/>
          <w:lang w:val="es-ES_tradnl"/>
        </w:rPr>
      </w:pPr>
    </w:p>
    <w:p w14:paraId="55C62A84" w14:textId="77777777" w:rsidR="00041E29" w:rsidRPr="00C22EDD" w:rsidRDefault="00041E29" w:rsidP="00041E29">
      <w:pPr>
        <w:spacing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2"/>
          <w:lang w:val="es-ES_tradnl"/>
        </w:rPr>
        <w:t>publicidad</w:t>
      </w:r>
      <w:r w:rsidRPr="00C22EDD">
        <w:rPr>
          <w:rFonts w:ascii="Arial" w:eastAsia="Calibri" w:hAnsi="Arial" w:cs="Arial"/>
          <w:color w:val="000000" w:themeColor="text1"/>
          <w:sz w:val="22"/>
          <w:lang w:val="es-ES_tradn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C22EDD">
        <w:rPr>
          <w:rStyle w:val="Refdenotaalpie"/>
          <w:rFonts w:ascii="Arial" w:eastAsia="Calibri" w:hAnsi="Arial" w:cs="Arial"/>
          <w:color w:val="000000" w:themeColor="text1"/>
          <w:sz w:val="22"/>
          <w:lang w:val="es-ES_tradnl"/>
        </w:rPr>
        <w:footnoteReference w:id="1"/>
      </w:r>
      <w:r w:rsidRPr="00C22EDD">
        <w:rPr>
          <w:rFonts w:ascii="Arial" w:eastAsia="Calibri" w:hAnsi="Arial" w:cs="Arial"/>
          <w:color w:val="000000" w:themeColor="text1"/>
          <w:sz w:val="22"/>
          <w:lang w:val="es-ES_tradnl"/>
        </w:rPr>
        <w:t>.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indica:</w:t>
      </w:r>
    </w:p>
    <w:p w14:paraId="2E59E60B" w14:textId="77777777" w:rsidR="00041E29" w:rsidRPr="00C22EDD" w:rsidRDefault="00041E29" w:rsidP="00041E29">
      <w:pPr>
        <w:ind w:firstLine="709"/>
        <w:jc w:val="both"/>
        <w:rPr>
          <w:rFonts w:ascii="Arial" w:eastAsia="Calibri" w:hAnsi="Arial" w:cs="Arial"/>
          <w:color w:val="000000" w:themeColor="text1"/>
          <w:sz w:val="22"/>
          <w:lang w:val="es-ES_tradnl"/>
        </w:rPr>
      </w:pPr>
    </w:p>
    <w:p w14:paraId="49DAF08A"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F4AAEFA"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p>
    <w:p w14:paraId="1F27ACA6" w14:textId="77777777" w:rsidR="00041E29" w:rsidRPr="00C22EDD" w:rsidRDefault="00041E29" w:rsidP="00041E29">
      <w:pPr>
        <w:tabs>
          <w:tab w:val="left" w:pos="3885"/>
          <w:tab w:val="left" w:pos="8222"/>
        </w:tabs>
        <w:ind w:left="709" w:right="709"/>
        <w:jc w:val="both"/>
        <w:rPr>
          <w:rFonts w:ascii="Arial" w:hAnsi="Arial" w:cs="Arial"/>
          <w:color w:val="000000" w:themeColor="text1"/>
          <w:sz w:val="22"/>
          <w:lang w:val="es-ES_tradnl"/>
        </w:rPr>
      </w:pPr>
      <w:r w:rsidRPr="00C22EDD">
        <w:rPr>
          <w:rFonts w:ascii="Arial" w:hAnsi="Arial" w:cs="Arial"/>
          <w:color w:val="000000" w:themeColor="text1"/>
          <w:sz w:val="21"/>
          <w:szCs w:val="21"/>
          <w:lang w:val="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22EDD">
        <w:rPr>
          <w:rStyle w:val="Refdenotaalpie"/>
          <w:rFonts w:ascii="Arial" w:eastAsia="Calibri" w:hAnsi="Arial" w:cs="Arial"/>
          <w:color w:val="000000" w:themeColor="text1"/>
          <w:sz w:val="21"/>
          <w:szCs w:val="21"/>
          <w:lang w:val="es-ES_tradnl"/>
        </w:rPr>
        <w:footnoteReference w:id="2"/>
      </w:r>
      <w:r w:rsidRPr="00C22EDD">
        <w:rPr>
          <w:rFonts w:ascii="Arial" w:eastAsia="Calibri" w:hAnsi="Arial" w:cs="Arial"/>
          <w:color w:val="000000" w:themeColor="text1"/>
          <w:sz w:val="21"/>
          <w:szCs w:val="21"/>
          <w:lang w:val="es-ES_tradnl"/>
        </w:rPr>
        <w:t>.</w:t>
      </w:r>
    </w:p>
    <w:p w14:paraId="501731A6" w14:textId="77777777" w:rsidR="00041E29" w:rsidRPr="00C22EDD" w:rsidRDefault="00041E29" w:rsidP="00041E29">
      <w:pPr>
        <w:spacing w:line="276" w:lineRule="auto"/>
        <w:ind w:right="709"/>
        <w:jc w:val="both"/>
        <w:rPr>
          <w:rFonts w:ascii="Arial" w:eastAsia="Calibri" w:hAnsi="Arial" w:cs="Arial"/>
          <w:color w:val="000000" w:themeColor="text1"/>
          <w:sz w:val="22"/>
          <w:lang w:val="es-ES_tradnl"/>
        </w:rPr>
      </w:pPr>
    </w:p>
    <w:p w14:paraId="24D882E0" w14:textId="77777777" w:rsidR="00041E29" w:rsidRPr="00C22EDD" w:rsidRDefault="00041E29" w:rsidP="00041E29">
      <w:pPr>
        <w:spacing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El principio de publicidad impone a las autoridades administrativas el deber de dar a conocer sus actos, contratos y decisiones, para que se divulguen y eventualmente se controlen dichas actuaciones. Es por e</w:t>
      </w:r>
      <w:r>
        <w:rPr>
          <w:rFonts w:ascii="Arial" w:eastAsia="Calibri" w:hAnsi="Arial" w:cs="Arial"/>
          <w:color w:val="000000" w:themeColor="text1"/>
          <w:sz w:val="22"/>
          <w:lang w:val="es-ES_tradnl"/>
        </w:rPr>
        <w:t>s</w:t>
      </w:r>
      <w:r w:rsidRPr="00C22EDD">
        <w:rPr>
          <w:rFonts w:ascii="Arial" w:eastAsia="Calibri" w:hAnsi="Arial" w:cs="Arial"/>
          <w:color w:val="000000" w:themeColor="text1"/>
          <w:sz w:val="22"/>
          <w:lang w:val="es-ES_tradnl"/>
        </w:rPr>
        <w:t xml:space="preserve">o que, en la contratación estatal, el literal c) del artículo 3 de la Ley 1150 de 2007 establece el Sistema Electrónico para la Contratación Pública –SECOP– como un mecanismo que «contará con la información oficial de la </w:t>
      </w:r>
      <w:r w:rsidRPr="00C22EDD">
        <w:rPr>
          <w:rFonts w:ascii="Arial" w:eastAsia="Calibri" w:hAnsi="Arial" w:cs="Arial"/>
          <w:color w:val="000000" w:themeColor="text1"/>
          <w:sz w:val="22"/>
          <w:lang w:val="es-ES_tradnl"/>
        </w:rPr>
        <w:lastRenderedPageBreak/>
        <w:t>contratación realizada con dineros públicos, para lo cual establecerá los patrones a que haya lugar y se encargará de su difusión a través de canales electrónicos»</w:t>
      </w:r>
      <w:r w:rsidRPr="00C22EDD">
        <w:rPr>
          <w:rStyle w:val="Refdenotaalpie"/>
          <w:rFonts w:ascii="Arial" w:eastAsia="Calibri" w:hAnsi="Arial" w:cs="Arial"/>
          <w:color w:val="000000" w:themeColor="text1"/>
          <w:sz w:val="22"/>
          <w:lang w:val="es-ES_tradnl"/>
        </w:rPr>
        <w:footnoteReference w:id="3"/>
      </w:r>
      <w:r w:rsidRPr="00C22EDD">
        <w:rPr>
          <w:rFonts w:ascii="Arial" w:eastAsia="Calibri" w:hAnsi="Arial" w:cs="Arial"/>
          <w:color w:val="000000" w:themeColor="text1"/>
          <w:sz w:val="22"/>
          <w:lang w:val="es-ES_tradnl"/>
        </w:rPr>
        <w:t xml:space="preserve">. </w:t>
      </w:r>
    </w:p>
    <w:p w14:paraId="21218F7D"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color w:val="000000" w:themeColor="text1"/>
          <w:sz w:val="22"/>
          <w:lang w:val="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2EDD">
        <w:rPr>
          <w:rStyle w:val="Refdenotaalpie"/>
          <w:rFonts w:ascii="Arial" w:hAnsi="Arial" w:cs="Arial"/>
          <w:color w:val="000000" w:themeColor="text1"/>
          <w:sz w:val="22"/>
          <w:lang w:val="es-ES_tradnl"/>
        </w:rPr>
        <w:footnoteReference w:id="4"/>
      </w:r>
      <w:r w:rsidRPr="00C22EDD">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legales. </w:t>
      </w:r>
      <w:r w:rsidRPr="00C22EDD">
        <w:rPr>
          <w:rFonts w:ascii="Arial" w:eastAsiaTheme="minorHAnsi" w:hAnsi="Arial" w:cs="Arial"/>
          <w:color w:val="000000" w:themeColor="text1"/>
          <w:sz w:val="22"/>
          <w:szCs w:val="22"/>
          <w:lang w:val="es-ES_tradnl" w:eastAsia="en-US"/>
        </w:rPr>
        <w:t>La ley estatutaria citada establece, en el literal e) del artículo 9, que los sujetos obligados, que son todas las entidades públicas</w:t>
      </w:r>
      <w:r w:rsidRPr="00C22EDD">
        <w:rPr>
          <w:rStyle w:val="Refdenotaalpie"/>
          <w:rFonts w:ascii="Arial" w:eastAsiaTheme="minorHAnsi" w:hAnsi="Arial" w:cs="Arial"/>
          <w:color w:val="000000" w:themeColor="text1"/>
          <w:sz w:val="22"/>
          <w:szCs w:val="22"/>
          <w:lang w:val="es-ES_tradnl" w:eastAsia="en-US"/>
        </w:rPr>
        <w:footnoteReference w:id="5"/>
      </w:r>
      <w:r w:rsidRPr="00C22EDD">
        <w:rPr>
          <w:rFonts w:ascii="Arial" w:eastAsiaTheme="minorHAnsi" w:hAnsi="Arial" w:cs="Arial"/>
          <w:color w:val="000000" w:themeColor="text1"/>
          <w:sz w:val="22"/>
          <w:szCs w:val="22"/>
          <w:lang w:val="es-ES_tradnl" w:eastAsia="en-US"/>
        </w:rPr>
        <w:t>, deben publicar la información relativa a su contratación. Esta obligación fue desarrollada por el Decreto Único Reglamentario 1081 de 2015</w:t>
      </w:r>
      <w:r w:rsidRPr="00C22EDD">
        <w:rPr>
          <w:rStyle w:val="Refdenotaalpie"/>
          <w:rFonts w:ascii="Arial" w:eastAsiaTheme="minorHAnsi" w:hAnsi="Arial" w:cs="Arial"/>
          <w:color w:val="000000" w:themeColor="text1"/>
          <w:sz w:val="22"/>
          <w:szCs w:val="22"/>
          <w:lang w:val="es-ES_tradnl" w:eastAsia="en-US"/>
        </w:rPr>
        <w:footnoteReference w:id="6"/>
      </w:r>
      <w:r w:rsidRPr="00C22EDD">
        <w:rPr>
          <w:rFonts w:ascii="Arial" w:eastAsiaTheme="minorHAnsi" w:hAnsi="Arial" w:cs="Arial"/>
          <w:color w:val="000000" w:themeColor="text1"/>
          <w:sz w:val="22"/>
          <w:szCs w:val="22"/>
          <w:lang w:val="es-ES_tradnl" w:eastAsia="en-US"/>
        </w:rPr>
        <w:t xml:space="preserve">, el cual dispuso que la publicación de la información </w:t>
      </w:r>
      <w:r w:rsidRPr="00C22EDD">
        <w:rPr>
          <w:rFonts w:ascii="Arial" w:eastAsiaTheme="minorHAnsi" w:hAnsi="Arial" w:cs="Arial"/>
          <w:color w:val="000000" w:themeColor="text1"/>
          <w:sz w:val="22"/>
          <w:szCs w:val="22"/>
          <w:lang w:val="es-ES_tradnl" w:eastAsia="en-US"/>
        </w:rPr>
        <w:lastRenderedPageBreak/>
        <w:t xml:space="preserve">contractual de los sujetos obligados, que contratan con cargo a recursos públicos, debe hacerse en el Sistema Electrónico </w:t>
      </w:r>
      <w:r>
        <w:rPr>
          <w:rFonts w:ascii="Arial" w:eastAsiaTheme="minorHAnsi" w:hAnsi="Arial" w:cs="Arial"/>
          <w:color w:val="000000" w:themeColor="text1"/>
          <w:sz w:val="22"/>
          <w:szCs w:val="22"/>
          <w:lang w:val="es-ES_tradnl" w:eastAsia="en-US"/>
        </w:rPr>
        <w:t>para la</w:t>
      </w:r>
      <w:r w:rsidRPr="00C22EDD">
        <w:rPr>
          <w:rFonts w:ascii="Arial" w:eastAsiaTheme="minorHAnsi" w:hAnsi="Arial" w:cs="Arial"/>
          <w:color w:val="000000" w:themeColor="text1"/>
          <w:sz w:val="22"/>
          <w:szCs w:val="22"/>
          <w:lang w:val="es-ES_tradnl" w:eastAsia="en-US"/>
        </w:rPr>
        <w:t xml:space="preserve"> Contratación Pública ─</w:t>
      </w:r>
      <w:r w:rsidRPr="00C22EDD">
        <w:rPr>
          <w:rFonts w:ascii="Arial" w:eastAsiaTheme="minorHAnsi" w:hAnsi="Arial" w:cs="Arial"/>
          <w:color w:val="000000" w:themeColor="text1"/>
          <w:sz w:val="22"/>
          <w:szCs w:val="22"/>
          <w:lang w:val="es-ES_tradnl" w:eastAsia="en-US"/>
        </w:rPr>
        <w:softHyphen/>
        <w:t xml:space="preserve"> </w:t>
      </w:r>
      <w:r w:rsidRPr="00C22EDD">
        <w:rPr>
          <w:rFonts w:ascii="Arial" w:eastAsiaTheme="minorHAnsi" w:hAnsi="Arial" w:cs="Arial"/>
          <w:color w:val="000000" w:themeColor="text1"/>
          <w:sz w:val="22"/>
          <w:szCs w:val="22"/>
          <w:lang w:val="es-ES_tradnl" w:eastAsia="en-US"/>
        </w:rPr>
        <w:softHyphen/>
        <w:t>SECOP–.</w:t>
      </w:r>
    </w:p>
    <w:p w14:paraId="1F8A6629"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C22EDD">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2EDD">
        <w:rPr>
          <w:rStyle w:val="Refdenotaalpie"/>
          <w:rFonts w:ascii="Arial" w:eastAsia="Calibri" w:hAnsi="Arial" w:cs="Arial"/>
          <w:color w:val="000000" w:themeColor="text1"/>
          <w:sz w:val="22"/>
          <w:lang w:val="es-ES_tradnl"/>
        </w:rPr>
        <w:footnoteReference w:id="7"/>
      </w:r>
      <w:r w:rsidRPr="00C22EDD">
        <w:rPr>
          <w:rFonts w:ascii="Arial" w:eastAsia="Calibri" w:hAnsi="Arial" w:cs="Arial"/>
          <w:color w:val="000000" w:themeColor="text1"/>
          <w:sz w:val="22"/>
          <w:lang w:val="es-ES_tradnl"/>
        </w:rPr>
        <w:t>.</w:t>
      </w:r>
    </w:p>
    <w:p w14:paraId="1B7DEBC5"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C22EDD">
        <w:rPr>
          <w:rStyle w:val="Refdenotaalpie"/>
          <w:rFonts w:ascii="Arial" w:hAnsi="Arial" w:cs="Arial"/>
          <w:color w:val="000000" w:themeColor="text1"/>
          <w:sz w:val="22"/>
          <w:lang w:val="es-ES_tradnl"/>
        </w:rPr>
        <w:footnoteReference w:id="8"/>
      </w:r>
      <w:r w:rsidRPr="00C22EDD">
        <w:rPr>
          <w:rFonts w:ascii="Arial" w:hAnsi="Arial" w:cs="Arial"/>
          <w:color w:val="000000" w:themeColor="text1"/>
          <w:sz w:val="22"/>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48CA92DF"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El debate sobre la obligatoriedad o no de publicar en el SECOP, para las entidades con régimen especial de contratación, había sido definido, al menos de manera preliminar, por el Consejo de Estado. </w:t>
      </w:r>
      <w:r>
        <w:rPr>
          <w:rFonts w:ascii="Arial" w:hAnsi="Arial" w:cs="Arial"/>
          <w:color w:val="000000" w:themeColor="text1"/>
          <w:sz w:val="22"/>
          <w:lang w:val="es-ES_tradnl"/>
        </w:rPr>
        <w:t>En este sentido, l</w:t>
      </w:r>
      <w:r w:rsidRPr="00C22EDD">
        <w:rPr>
          <w:rFonts w:ascii="Arial" w:hAnsi="Arial" w:cs="Arial"/>
          <w:color w:val="000000" w:themeColor="text1"/>
          <w:sz w:val="22"/>
          <w:lang w:val="es-ES_tradnl"/>
        </w:rPr>
        <w:t>a Sección Tercera, Subsección C, en el Auto del 14 de agosto de 2017</w:t>
      </w:r>
      <w:r w:rsidRPr="00C22EDD">
        <w:rPr>
          <w:rStyle w:val="Refdenotaalpie"/>
          <w:rFonts w:ascii="Arial" w:hAnsi="Arial" w:cs="Arial"/>
          <w:color w:val="000000" w:themeColor="text1"/>
          <w:sz w:val="22"/>
          <w:lang w:val="es-ES_tradnl"/>
        </w:rPr>
        <w:footnoteReference w:id="9"/>
      </w:r>
      <w:r w:rsidRPr="00C22EDD">
        <w:rPr>
          <w:rFonts w:ascii="Arial" w:hAnsi="Arial" w:cs="Arial"/>
          <w:color w:val="000000" w:themeColor="text1"/>
          <w:sz w:val="22"/>
          <w:lang w:val="es-ES_tradnl"/>
        </w:rPr>
        <w:t>, expresó que la obligación prevista en la Circular Externa No. 1 se ajusta a la normativa superior, en los siguientes términos:</w:t>
      </w:r>
    </w:p>
    <w:p w14:paraId="1E715898" w14:textId="77777777" w:rsidR="00041E29" w:rsidRPr="00C22EDD" w:rsidRDefault="00041E29" w:rsidP="00041E29">
      <w:pPr>
        <w:spacing w:line="276" w:lineRule="auto"/>
        <w:jc w:val="both"/>
        <w:rPr>
          <w:rFonts w:ascii="Arial" w:hAnsi="Arial" w:cs="Arial"/>
          <w:color w:val="000000" w:themeColor="text1"/>
          <w:sz w:val="22"/>
          <w:lang w:val="es-ES_tradnl"/>
        </w:rPr>
      </w:pPr>
    </w:p>
    <w:p w14:paraId="7D60820D"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7A6A2DD2"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p>
    <w:p w14:paraId="566CD04B"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277FA297"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p>
    <w:p w14:paraId="668D506C"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p>
    <w:p w14:paraId="565329B5" w14:textId="77777777" w:rsidR="00041E29" w:rsidRPr="00C22EDD" w:rsidRDefault="00041E29" w:rsidP="00041E29">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22EDD">
        <w:rPr>
          <w:rStyle w:val="Refdenotaalpie"/>
          <w:rFonts w:ascii="Arial" w:hAnsi="Arial" w:cs="Arial"/>
          <w:color w:val="000000" w:themeColor="text1"/>
          <w:sz w:val="21"/>
          <w:szCs w:val="21"/>
          <w:lang w:val="es-ES_tradnl"/>
        </w:rPr>
        <w:footnoteReference w:id="10"/>
      </w:r>
      <w:r>
        <w:rPr>
          <w:rFonts w:ascii="Arial" w:hAnsi="Arial" w:cs="Arial"/>
          <w:color w:val="000000" w:themeColor="text1"/>
          <w:sz w:val="21"/>
          <w:szCs w:val="21"/>
          <w:lang w:val="es-ES_tradnl"/>
        </w:rPr>
        <w:t>.</w:t>
      </w:r>
    </w:p>
    <w:p w14:paraId="4F73E2DD" w14:textId="77777777" w:rsidR="00041E29" w:rsidRPr="00C22EDD" w:rsidRDefault="00041E29" w:rsidP="00041E29">
      <w:pPr>
        <w:tabs>
          <w:tab w:val="left" w:pos="3885"/>
        </w:tabs>
        <w:spacing w:line="276" w:lineRule="auto"/>
        <w:ind w:left="709" w:right="709"/>
        <w:jc w:val="both"/>
        <w:rPr>
          <w:rFonts w:ascii="Arial" w:eastAsia="Calibri" w:hAnsi="Arial" w:cs="Arial"/>
          <w:color w:val="000000" w:themeColor="text1"/>
          <w:sz w:val="22"/>
          <w:lang w:val="es-ES_tradnl"/>
        </w:rPr>
      </w:pPr>
    </w:p>
    <w:p w14:paraId="2BD31785" w14:textId="77777777" w:rsidR="00041E29" w:rsidRPr="00C22EDD" w:rsidRDefault="00041E29" w:rsidP="00041E29">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Adicionalmente, el deber de hacer pública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5C3A1DFC" w14:textId="77777777" w:rsidR="00041E29" w:rsidRPr="00C22EDD" w:rsidRDefault="00041E29" w:rsidP="00041E29">
      <w:pPr>
        <w:ind w:leftChars="709" w:left="1702" w:right="709" w:firstLine="2"/>
        <w:jc w:val="both"/>
        <w:rPr>
          <w:rFonts w:ascii="Arial" w:hAnsi="Arial" w:cs="Arial"/>
          <w:color w:val="000000" w:themeColor="text1"/>
          <w:sz w:val="21"/>
          <w:szCs w:val="21"/>
          <w:lang w:val="es-ES_tradnl"/>
        </w:rPr>
      </w:pPr>
    </w:p>
    <w:p w14:paraId="3C9D3021" w14:textId="77777777" w:rsidR="00041E29" w:rsidRPr="00C22EDD" w:rsidRDefault="00041E29" w:rsidP="00041E29">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w:t>
      </w:r>
      <w:r w:rsidRPr="00C22EDD">
        <w:rPr>
          <w:rFonts w:ascii="Arial" w:hAnsi="Arial" w:cs="Arial"/>
          <w:color w:val="000000" w:themeColor="text1"/>
          <w:sz w:val="21"/>
          <w:szCs w:val="21"/>
          <w:lang w:val="es-ES_tradnl"/>
        </w:rPr>
        <w:lastRenderedPageBreak/>
        <w:t>que no se estructura ese deber informativo en relación a los negocios que celebren con cargo a recursos de otra índole</w:t>
      </w:r>
      <w:r w:rsidRPr="00C22EDD">
        <w:rPr>
          <w:rStyle w:val="Refdenotaalpie"/>
          <w:rFonts w:ascii="Arial" w:hAnsi="Arial" w:cs="Arial"/>
          <w:color w:val="000000" w:themeColor="text1"/>
          <w:sz w:val="21"/>
          <w:szCs w:val="21"/>
          <w:lang w:val="es-ES_tradnl"/>
        </w:rPr>
        <w:footnoteReference w:id="11"/>
      </w:r>
      <w:r w:rsidRPr="00C22EDD">
        <w:rPr>
          <w:rFonts w:ascii="Arial" w:hAnsi="Arial" w:cs="Arial"/>
          <w:color w:val="000000" w:themeColor="text1"/>
          <w:sz w:val="21"/>
          <w:szCs w:val="21"/>
          <w:lang w:val="es-ES_tradnl"/>
        </w:rPr>
        <w:t>.</w:t>
      </w:r>
    </w:p>
    <w:p w14:paraId="754C24D2" w14:textId="77777777" w:rsidR="00041E29" w:rsidRPr="00C22EDD" w:rsidRDefault="00041E29" w:rsidP="00041E29">
      <w:pPr>
        <w:spacing w:line="276" w:lineRule="auto"/>
        <w:ind w:leftChars="709" w:left="1702" w:right="709"/>
        <w:jc w:val="both"/>
        <w:rPr>
          <w:rFonts w:ascii="Arial" w:hAnsi="Arial" w:cs="Arial"/>
          <w:color w:val="000000" w:themeColor="text1"/>
          <w:sz w:val="21"/>
          <w:szCs w:val="21"/>
          <w:lang w:val="es-ES_tradnl"/>
        </w:rPr>
      </w:pPr>
    </w:p>
    <w:p w14:paraId="052D8D65" w14:textId="77777777" w:rsidR="00041E29" w:rsidRPr="00C22EDD" w:rsidRDefault="00041E29" w:rsidP="00041E29">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Nótese, entonces, que en ese momento el Consejo de Estado asumió como criterio para determinar la obligatoriedad de publicar en el SECOP que la contratación se realizara con recursos públicos, conclusión que extrajo del literal c) del artículo 3 de la Ley 1150 de 2007. Así, </w:t>
      </w:r>
      <w:r>
        <w:rPr>
          <w:rFonts w:ascii="Arial" w:hAnsi="Arial" w:cs="Arial"/>
          <w:color w:val="000000" w:themeColor="text1"/>
          <w:sz w:val="22"/>
          <w:lang w:val="es-ES_tradnl"/>
        </w:rPr>
        <w:t>la decisión judicial citada vino a reforzar la obligación de publicar en el SECOP, mandato que además está expresamente consagrado en</w:t>
      </w:r>
      <w:r w:rsidRPr="00C22EDD">
        <w:rPr>
          <w:rFonts w:ascii="Arial" w:hAnsi="Arial" w:cs="Arial"/>
          <w:color w:val="000000" w:themeColor="text1"/>
          <w:sz w:val="22"/>
          <w:lang w:val="es-ES_tradnl"/>
        </w:rPr>
        <w:t xml:space="preserve"> las Leyes 1150 de 2007, 1712 de 2014 y la Circular Externa Única. </w:t>
      </w:r>
    </w:p>
    <w:p w14:paraId="3F960DF8" w14:textId="77777777" w:rsidR="00041E29" w:rsidRPr="00C22EDD" w:rsidRDefault="00041E29" w:rsidP="00041E29">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7AA2B85C" w14:textId="77777777" w:rsidR="00041E29" w:rsidRPr="00C22EDD" w:rsidRDefault="00041E29" w:rsidP="00041E29">
      <w:pPr>
        <w:spacing w:line="276" w:lineRule="auto"/>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2.2. Efectos del auto del Consejo de Estado del 25 de febrero de 2021 sobre la publicación en el SECOP por parte de las entidades estatales con régimen especial de contratación</w:t>
      </w:r>
    </w:p>
    <w:p w14:paraId="4F879662" w14:textId="77777777" w:rsidR="00041E29" w:rsidRPr="00C22EDD" w:rsidRDefault="00041E29" w:rsidP="00041E29">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1FA11C46" w14:textId="77777777" w:rsidR="00041E29" w:rsidRPr="00C22EDD" w:rsidRDefault="00041E29" w:rsidP="00041E29">
      <w:pPr>
        <w:pStyle w:val="Prrafodelista"/>
        <w:tabs>
          <w:tab w:val="left" w:pos="284"/>
          <w:tab w:val="left" w:pos="426"/>
        </w:tabs>
        <w:spacing w:line="276" w:lineRule="auto"/>
        <w:ind w:left="0"/>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El 25 de febrero de 2021 la Sección Tercera del Consejo de Estado expidió un auto</w:t>
      </w:r>
      <w:r w:rsidRPr="00C22EDD">
        <w:rPr>
          <w:rStyle w:val="Refdenotaalpie"/>
          <w:rFonts w:ascii="Arial" w:hAnsi="Arial" w:cs="Arial"/>
          <w:bCs/>
          <w:color w:val="000000" w:themeColor="text1"/>
          <w:sz w:val="22"/>
          <w:lang w:val="es-ES_tradnl"/>
        </w:rPr>
        <w:footnoteReference w:id="12"/>
      </w:r>
      <w:r w:rsidRPr="00C22EDD">
        <w:rPr>
          <w:rFonts w:ascii="Arial" w:hAnsi="Arial" w:cs="Arial"/>
          <w:bCs/>
          <w:color w:val="000000" w:themeColor="text1"/>
          <w:sz w:val="22"/>
          <w:lang w:val="es-ES_tradnl"/>
        </w:rPr>
        <w:t xml:space="preserve"> mediante el cual decretó la suspensión provisional de algunos apartes de las circulares externas No. 1 del 21 de junio de 2013 y No. 20 del 27 de agosto de 2015. Teniendo en cuenta que esta decisión judicial</w:t>
      </w:r>
      <w:r>
        <w:rPr>
          <w:rFonts w:ascii="Arial" w:hAnsi="Arial" w:cs="Arial"/>
          <w:bCs/>
          <w:color w:val="000000" w:themeColor="text1"/>
          <w:sz w:val="22"/>
          <w:lang w:val="es-ES_tradnl"/>
        </w:rPr>
        <w:t xml:space="preserve"> es</w:t>
      </w:r>
      <w:r w:rsidRPr="00C22EDD">
        <w:rPr>
          <w:rFonts w:ascii="Arial" w:hAnsi="Arial" w:cs="Arial"/>
          <w:bCs/>
          <w:color w:val="000000" w:themeColor="text1"/>
          <w:sz w:val="22"/>
          <w:lang w:val="es-ES_tradnl"/>
        </w:rPr>
        <w:t xml:space="preserve"> la razón que motiva la presente consulta, se efectuará una síntesis de la providencia y de los argumentos en los que se apoya el Consejo de Estado. </w:t>
      </w:r>
      <w:r>
        <w:rPr>
          <w:rFonts w:ascii="Arial" w:hAnsi="Arial" w:cs="Arial"/>
          <w:bCs/>
          <w:color w:val="000000" w:themeColor="text1"/>
          <w:sz w:val="22"/>
          <w:lang w:val="es-ES_tradnl"/>
        </w:rPr>
        <w:t>Sin embargo</w:t>
      </w:r>
      <w:r w:rsidRPr="00C22EDD">
        <w:rPr>
          <w:rFonts w:ascii="Arial" w:hAnsi="Arial" w:cs="Arial"/>
          <w:bCs/>
          <w:color w:val="000000" w:themeColor="text1"/>
          <w:sz w:val="22"/>
          <w:lang w:val="es-ES_tradnl"/>
        </w:rPr>
        <w:t xml:space="preserve">, antes de proceder con ello, es importante hacer tres aclaraciones importantes: </w:t>
      </w:r>
    </w:p>
    <w:p w14:paraId="02C667C6" w14:textId="77777777" w:rsidR="00041E29" w:rsidRPr="00C22EDD" w:rsidRDefault="00041E29" w:rsidP="00041E2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primera es que la suspensión provisional es una medida cautelar consagrada en el artículo 238 de la Constitución Política</w:t>
      </w:r>
      <w:r w:rsidRPr="00C22EDD">
        <w:rPr>
          <w:rStyle w:val="Refdenotaalpie"/>
          <w:rFonts w:ascii="Arial" w:hAnsi="Arial" w:cs="Arial"/>
          <w:bCs/>
          <w:color w:val="000000" w:themeColor="text1"/>
          <w:sz w:val="22"/>
          <w:lang w:val="es-ES_tradnl"/>
        </w:rPr>
        <w:footnoteReference w:id="13"/>
      </w:r>
      <w:r w:rsidRPr="00C22EDD">
        <w:rPr>
          <w:rFonts w:ascii="Arial" w:hAnsi="Arial" w:cs="Arial"/>
          <w:bCs/>
          <w:color w:val="000000" w:themeColor="text1"/>
          <w:sz w:val="22"/>
          <w:lang w:val="es-ES_tradnl"/>
        </w:rPr>
        <w:t xml:space="preserve"> y en el artículo 230, numeral 3 de la Ley 1437 de 2011</w:t>
      </w:r>
      <w:r w:rsidRPr="00C22EDD">
        <w:rPr>
          <w:rStyle w:val="Refdenotaalpie"/>
          <w:rFonts w:ascii="Arial" w:hAnsi="Arial" w:cs="Arial"/>
          <w:bCs/>
          <w:color w:val="000000" w:themeColor="text1"/>
          <w:sz w:val="22"/>
          <w:lang w:val="es-ES_tradnl"/>
        </w:rPr>
        <w:footnoteReference w:id="14"/>
      </w:r>
      <w:r w:rsidRPr="00C22EDD">
        <w:rPr>
          <w:rFonts w:ascii="Arial" w:hAnsi="Arial" w:cs="Arial"/>
          <w:bCs/>
          <w:color w:val="000000" w:themeColor="text1"/>
          <w:sz w:val="22"/>
          <w:lang w:val="es-ES_tradnl"/>
        </w:rPr>
        <w:t>, que genera –al menos mientras se expide la sentencia– la pérdida de fuerza ejecutoria de los actos administrativos</w:t>
      </w:r>
      <w:r w:rsidRPr="00C22EDD">
        <w:rPr>
          <w:rStyle w:val="Refdenotaalpie"/>
          <w:rFonts w:ascii="Arial" w:hAnsi="Arial" w:cs="Arial"/>
          <w:bCs/>
          <w:color w:val="000000" w:themeColor="text1"/>
          <w:sz w:val="22"/>
          <w:lang w:val="es-ES_tradnl"/>
        </w:rPr>
        <w:footnoteReference w:id="15"/>
      </w:r>
      <w:r w:rsidRPr="00C22EDD">
        <w:rPr>
          <w:rFonts w:ascii="Arial" w:hAnsi="Arial" w:cs="Arial"/>
          <w:bCs/>
          <w:color w:val="000000" w:themeColor="text1"/>
          <w:sz w:val="22"/>
          <w:lang w:val="es-ES_tradnl"/>
        </w:rPr>
        <w:t xml:space="preserve">, pero no la pérdida de su presunción de legalidad, </w:t>
      </w:r>
      <w:r w:rsidRPr="00C22EDD">
        <w:rPr>
          <w:rFonts w:ascii="Arial" w:hAnsi="Arial" w:cs="Arial"/>
          <w:bCs/>
          <w:color w:val="000000" w:themeColor="text1"/>
          <w:sz w:val="22"/>
          <w:lang w:val="es-ES_tradnl"/>
        </w:rPr>
        <w:lastRenderedPageBreak/>
        <w:t xml:space="preserve">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1087CF34" w14:textId="77777777" w:rsidR="00041E29" w:rsidRPr="00C22EDD" w:rsidRDefault="00041E29" w:rsidP="00041E2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La segunda precisión es que en el auto que se comentará a continuación, no se declara la suspensión provisional de todo el contenido de las circulares externas No. 1 del 21 de junio de 2013 y No. 20 del 27 de agosto de 2015, sino solo de algunos apartes que utilizan la expresión «actividad contractual», lo que por supuesto, exige determinar en qué estado queda la obligación de las entidades estatales con régimen especial de contratación de publicar la documentación contractual en el SECOP. </w:t>
      </w:r>
    </w:p>
    <w:p w14:paraId="4524C12E" w14:textId="77777777" w:rsidR="00041E29" w:rsidRPr="00C22EDD" w:rsidRDefault="00041E29" w:rsidP="00041E2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tercera salvedad es que la Circular Externa Única –actualizada el 16 de abril de 2019–</w:t>
      </w:r>
      <w:r w:rsidRPr="00C22EDD">
        <w:rPr>
          <w:rStyle w:val="Refdenotaalpie"/>
          <w:rFonts w:ascii="Arial" w:hAnsi="Arial" w:cs="Arial"/>
          <w:bCs/>
          <w:color w:val="000000" w:themeColor="text1"/>
          <w:sz w:val="22"/>
          <w:lang w:val="es-ES_tradnl"/>
        </w:rPr>
        <w:footnoteReference w:id="16"/>
      </w:r>
      <w:r w:rsidRPr="00C22EDD">
        <w:rPr>
          <w:rFonts w:ascii="Arial" w:hAnsi="Arial" w:cs="Arial"/>
          <w:bCs/>
          <w:color w:val="000000" w:themeColor="text1"/>
          <w:sz w:val="22"/>
          <w:lang w:val="es-ES_tradnl"/>
        </w:rPr>
        <w:t xml:space="preserve">, la Circular No. 007 de 2020 </w:t>
      </w:r>
      <w:r w:rsidRPr="00C22EDD">
        <w:rPr>
          <w:rFonts w:ascii="Arial" w:hAnsi="Arial" w:cs="Arial"/>
          <w:bCs/>
          <w:color w:val="000000" w:themeColor="text1"/>
          <w:sz w:val="22"/>
          <w:lang w:val="es-ES_tradnl"/>
        </w:rPr>
        <w:softHyphen/>
        <w:t>–sobre actualización y diligenciamiento de información en el Sistema Electrónico para la Contratación Pública – SECOP–</w:t>
      </w:r>
      <w:r w:rsidRPr="00C22EDD">
        <w:rPr>
          <w:rStyle w:val="Refdenotaalpie"/>
          <w:rFonts w:ascii="Arial" w:hAnsi="Arial" w:cs="Arial"/>
          <w:bCs/>
          <w:color w:val="000000" w:themeColor="text1"/>
          <w:sz w:val="22"/>
          <w:lang w:val="es-ES_tradnl"/>
        </w:rPr>
        <w:footnoteReference w:id="17"/>
      </w:r>
      <w:r w:rsidRPr="00C22EDD">
        <w:rPr>
          <w:rFonts w:ascii="Arial" w:hAnsi="Arial" w:cs="Arial"/>
          <w:bCs/>
          <w:color w:val="000000" w:themeColor="text1"/>
          <w:sz w:val="22"/>
          <w:lang w:val="es-ES_tradnl"/>
        </w:rPr>
        <w:t xml:space="preserve"> y la Circular </w:t>
      </w:r>
      <w:proofErr w:type="spellStart"/>
      <w:r w:rsidRPr="00C22EDD">
        <w:rPr>
          <w:rFonts w:ascii="Arial" w:hAnsi="Arial" w:cs="Arial"/>
          <w:bCs/>
          <w:color w:val="000000" w:themeColor="text1"/>
          <w:sz w:val="22"/>
          <w:lang w:val="es-ES_tradnl"/>
        </w:rPr>
        <w:t>Nº</w:t>
      </w:r>
      <w:proofErr w:type="spellEnd"/>
      <w:r w:rsidRPr="00C22EDD">
        <w:rPr>
          <w:rFonts w:ascii="Arial" w:hAnsi="Arial" w:cs="Arial"/>
          <w:bCs/>
          <w:color w:val="000000" w:themeColor="text1"/>
          <w:sz w:val="22"/>
          <w:lang w:val="es-ES_tradnl"/>
        </w:rPr>
        <w:t xml:space="preserve"> 23 del 16 de marzo de 2017 –sobre la calidad y oportunidad de la información del Sistema de Compra Pública disponible en el SECOP–</w:t>
      </w:r>
      <w:r w:rsidRPr="00C22EDD">
        <w:rPr>
          <w:rStyle w:val="Refdenotaalpie"/>
          <w:rFonts w:ascii="Arial" w:hAnsi="Arial" w:cs="Arial"/>
          <w:bCs/>
          <w:color w:val="000000" w:themeColor="text1"/>
          <w:sz w:val="22"/>
          <w:lang w:val="es-ES_tradnl"/>
        </w:rPr>
        <w:footnoteReference w:id="18"/>
      </w:r>
      <w:r w:rsidRPr="00C22EDD">
        <w:rPr>
          <w:rFonts w:ascii="Arial" w:hAnsi="Arial" w:cs="Arial"/>
          <w:bCs/>
          <w:color w:val="000000" w:themeColor="text1"/>
          <w:sz w:val="22"/>
          <w:lang w:val="es-ES_tradnl"/>
        </w:rPr>
        <w:t xml:space="preserve">, permanecen vigentes, pues no fueron tampoco suspendidas por dicho auto. Como se verá, no </w:t>
      </w:r>
      <w:proofErr w:type="gramStart"/>
      <w:r w:rsidRPr="00C22EDD">
        <w:rPr>
          <w:rFonts w:ascii="Arial" w:hAnsi="Arial" w:cs="Arial"/>
          <w:bCs/>
          <w:color w:val="000000" w:themeColor="text1"/>
          <w:sz w:val="22"/>
          <w:lang w:val="es-ES_tradnl"/>
        </w:rPr>
        <w:t>obstante</w:t>
      </w:r>
      <w:proofErr w:type="gramEnd"/>
      <w:r w:rsidRPr="00C22EDD">
        <w:rPr>
          <w:rFonts w:ascii="Arial" w:hAnsi="Arial" w:cs="Arial"/>
          <w:bCs/>
          <w:color w:val="000000" w:themeColor="text1"/>
          <w:sz w:val="22"/>
          <w:lang w:val="es-ES_tradnl"/>
        </w:rPr>
        <w:t xml:space="preserve"> la suspensión provisional de los apartes de las circulares externas No. 1 del 21 de junio de 2013 y No. 20 del 27 de agosto de 2015, las otras circulares mencionadas, que no fueron suspendidas, continúan estableciendo directrices sobre la publicación de los documentos de la contratación en el SECOP para las entidades estatales que contratan con recursos públicos, incluidas aquellas que tienen régimen especial. Este deber se sustenta no solo en dichas circulares, sino</w:t>
      </w:r>
      <w:r>
        <w:rPr>
          <w:rFonts w:ascii="Arial" w:hAnsi="Arial" w:cs="Arial"/>
          <w:bCs/>
          <w:color w:val="000000" w:themeColor="text1"/>
          <w:sz w:val="22"/>
          <w:lang w:val="es-ES_tradnl"/>
        </w:rPr>
        <w:t>, especialmente,</w:t>
      </w:r>
      <w:r w:rsidRPr="00C22EDD">
        <w:rPr>
          <w:rFonts w:ascii="Arial" w:hAnsi="Arial" w:cs="Arial"/>
          <w:bCs/>
          <w:color w:val="000000" w:themeColor="text1"/>
          <w:sz w:val="22"/>
          <w:lang w:val="es-ES_tradnl"/>
        </w:rPr>
        <w:t xml:space="preserve"> en normas de rango constitucional, legal y reglamentario, como las señaladas en los numerales 2.1. y 2.3. de este concepto. Hechas estas aclaraciones, se comentará el auto del 25 de febrero de 2021.</w:t>
      </w:r>
    </w:p>
    <w:p w14:paraId="2E13D089"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En ejercicio del medio de control de nulidad simple, dos empresas prestadoras de servicios públicos domiciliarios interpusieron demandas en contra de la Agencia Nacional </w:t>
      </w:r>
      <w:r w:rsidRPr="00C22EDD">
        <w:rPr>
          <w:rFonts w:ascii="Arial" w:hAnsi="Arial" w:cs="Arial"/>
          <w:color w:val="000000" w:themeColor="text1"/>
          <w:sz w:val="22"/>
          <w:lang w:val="es-ES_tradnl"/>
        </w:rPr>
        <w:lastRenderedPageBreak/>
        <w:t>de Contratación Pública – Colombia Compra Eficiente, para que se declarara la nulidad de las circulares externas No. 1 de 21 de junio de 2013 y No. 20 de 27 de agosto de 2015, considerando que dichas circulares se expidieron con falta de competencia e inobservancia 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4933F4E8"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Luego de verificar las condiciones de procedencia de la medida cautelar solicitada, en el auto del 25 de febrero de 2021 la Sección Tercera del Consejo de Estado decreta la suspensión provisional de los apartes de las mencionadas circulares que establecen que dichas entidades deben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Los argumentos en los que se apoya el alto tribunal para suspender provisionalmente tales expresiones son básicamente dos: «(i) las circulares se expidieron por fuera del ámbito de competencia de Colombia Compra Eficiente; y (</w:t>
      </w:r>
      <w:proofErr w:type="spellStart"/>
      <w:r w:rsidRPr="00C22EDD">
        <w:rPr>
          <w:rFonts w:ascii="Arial" w:hAnsi="Arial" w:cs="Arial"/>
          <w:color w:val="000000" w:themeColor="text1"/>
          <w:sz w:val="22"/>
          <w:lang w:val="es-ES_tradnl"/>
        </w:rPr>
        <w:t>ii</w:t>
      </w:r>
      <w:proofErr w:type="spellEnd"/>
      <w:r w:rsidRPr="00C22EDD">
        <w:rPr>
          <w:rFonts w:ascii="Arial" w:hAnsi="Arial" w:cs="Arial"/>
          <w:color w:val="000000" w:themeColor="text1"/>
          <w:sz w:val="22"/>
          <w:lang w:val="es-ES_tradnl"/>
        </w:rPr>
        <w:t>) las Circulares Externas No. 1 de 21 de junio de 2013 y 20 de 27 de agosto de 2015 contrarían lo previsto en el artículo 3o de la Ley 1150 de 2007»</w:t>
      </w:r>
      <w:r w:rsidRPr="00C22EDD">
        <w:rPr>
          <w:rStyle w:val="Refdenotaalpie"/>
          <w:rFonts w:ascii="Arial" w:hAnsi="Arial" w:cs="Arial"/>
          <w:color w:val="000000" w:themeColor="text1"/>
          <w:sz w:val="22"/>
          <w:lang w:val="es-ES_tradnl"/>
        </w:rPr>
        <w:footnoteReference w:id="19"/>
      </w:r>
      <w:r w:rsidRPr="00C22EDD">
        <w:rPr>
          <w:rFonts w:ascii="Arial" w:hAnsi="Arial" w:cs="Arial"/>
          <w:color w:val="000000" w:themeColor="text1"/>
          <w:sz w:val="22"/>
          <w:lang w:val="es-ES_tradnl"/>
        </w:rPr>
        <w:t xml:space="preserve">. </w:t>
      </w:r>
      <w:r>
        <w:rPr>
          <w:rFonts w:ascii="Arial" w:hAnsi="Arial" w:cs="Arial"/>
          <w:color w:val="000000" w:themeColor="text1"/>
          <w:sz w:val="22"/>
          <w:lang w:val="es-ES_tradnl"/>
        </w:rPr>
        <w:t>La providencia</w:t>
      </w:r>
      <w:r w:rsidRPr="00C22EDD">
        <w:rPr>
          <w:rFonts w:ascii="Arial" w:hAnsi="Arial" w:cs="Arial"/>
          <w:color w:val="000000" w:themeColor="text1"/>
          <w:sz w:val="22"/>
          <w:lang w:val="es-ES_tradnl"/>
        </w:rPr>
        <w:t>, además, indica que se aparta del auto de la Sección Tercera del 14 de agosto de 201</w:t>
      </w:r>
      <w:r>
        <w:rPr>
          <w:rFonts w:ascii="Arial" w:hAnsi="Arial" w:cs="Arial"/>
          <w:color w:val="000000" w:themeColor="text1"/>
          <w:sz w:val="22"/>
          <w:lang w:val="es-ES_tradnl"/>
        </w:rPr>
        <w:t>7</w:t>
      </w:r>
      <w:r w:rsidRPr="00C22EDD">
        <w:rPr>
          <w:rFonts w:ascii="Arial" w:hAnsi="Arial" w:cs="Arial"/>
          <w:color w:val="000000" w:themeColor="text1"/>
          <w:sz w:val="22"/>
          <w:lang w:val="es-ES_tradnl"/>
        </w:rPr>
        <w:t>, que había negado la suspensión provisional de la circular externa No. 1 de 21 de junio de 2013, por considerar que no hace un análisis adecuado sobre la viabilidad de dicha medida y porque no existe en él cosa juzgada.</w:t>
      </w:r>
    </w:p>
    <w:p w14:paraId="694739A7"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C22EDD">
        <w:rPr>
          <w:rFonts w:ascii="Arial" w:hAnsi="Arial" w:cs="Arial"/>
          <w:i/>
          <w:iCs/>
          <w:color w:val="000000" w:themeColor="text1"/>
          <w:sz w:val="22"/>
          <w:lang w:val="es-ES_tradnl"/>
        </w:rPr>
        <w:t>información oficial</w:t>
      </w:r>
      <w:r w:rsidRPr="00C22EDD">
        <w:rPr>
          <w:rFonts w:ascii="Arial" w:hAnsi="Arial" w:cs="Arial"/>
          <w:color w:val="000000" w:themeColor="text1"/>
          <w:sz w:val="22"/>
          <w:lang w:val="es-ES_tradnl"/>
        </w:rPr>
        <w:t xml:space="preserve"> de la contratación realizada con dineros públicos, […]» (cursiva fuera de texto), la expresión «información contractual» no se puede entender, para las entidades estatales que en la 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w:t>
      </w:r>
      <w:r>
        <w:rPr>
          <w:rFonts w:ascii="Arial" w:hAnsi="Arial" w:cs="Arial"/>
          <w:color w:val="000000" w:themeColor="text1"/>
          <w:sz w:val="22"/>
          <w:lang w:val="es-ES_tradnl"/>
        </w:rPr>
        <w:t xml:space="preserve"> ‒en adelante también EGCAP‒</w:t>
      </w:r>
      <w:r w:rsidRPr="00C22EDD">
        <w:rPr>
          <w:rFonts w:ascii="Arial" w:hAnsi="Arial" w:cs="Arial"/>
          <w:color w:val="000000" w:themeColor="text1"/>
          <w:sz w:val="22"/>
          <w:lang w:val="es-ES_tradnl"/>
        </w:rPr>
        <w:t>. En consecuencia, para el Consejo de Estado, Colombia Compra eficiente ejerció una potestad reglamentaria sobre el mencionado literal de la Ley 1150 de 2007, para la cual carec</w:t>
      </w:r>
      <w:r>
        <w:rPr>
          <w:rFonts w:ascii="Arial" w:hAnsi="Arial" w:cs="Arial"/>
          <w:color w:val="000000" w:themeColor="text1"/>
          <w:sz w:val="22"/>
          <w:lang w:val="es-ES_tradnl"/>
        </w:rPr>
        <w:t>ía</w:t>
      </w:r>
      <w:r w:rsidRPr="00C22EDD">
        <w:rPr>
          <w:rFonts w:ascii="Arial" w:hAnsi="Arial" w:cs="Arial"/>
          <w:color w:val="000000" w:themeColor="text1"/>
          <w:sz w:val="22"/>
          <w:lang w:val="es-ES_tradnl"/>
        </w:rPr>
        <w:t xml:space="preserve"> de competencia.</w:t>
      </w:r>
    </w:p>
    <w:p w14:paraId="6C7B9F8C"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lastRenderedPageBreak/>
        <w:t xml:space="preserve">No </w:t>
      </w:r>
      <w:proofErr w:type="gramStart"/>
      <w:r w:rsidRPr="00C22EDD">
        <w:rPr>
          <w:rFonts w:ascii="Arial" w:hAnsi="Arial" w:cs="Arial"/>
          <w:color w:val="000000" w:themeColor="text1"/>
          <w:sz w:val="22"/>
          <w:lang w:val="es-ES_tradnl"/>
        </w:rPr>
        <w:t>obstante</w:t>
      </w:r>
      <w:proofErr w:type="gramEnd"/>
      <w:r w:rsidRPr="00C22EDD">
        <w:rPr>
          <w:rFonts w:ascii="Arial" w:hAnsi="Arial" w:cs="Arial"/>
          <w:color w:val="000000" w:themeColor="text1"/>
          <w:sz w:val="22"/>
          <w:lang w:val="es-ES_tradnl"/>
        </w:rPr>
        <w:t xml:space="preserve"> lo anterior, en el auto bajo análisis la Sección Tercera admite que a las entidades exceptuadas de la aplicación del Estatuto General de Contratación de la Administración Pública </w:t>
      </w:r>
      <w:r w:rsidRPr="00C22EDD">
        <w:rPr>
          <w:rFonts w:ascii="Arial" w:hAnsi="Arial" w:cs="Arial"/>
          <w:i/>
          <w:iCs/>
          <w:color w:val="000000" w:themeColor="text1"/>
          <w:sz w:val="22"/>
          <w:lang w:val="es-ES_tradnl"/>
        </w:rPr>
        <w:t>sí</w:t>
      </w:r>
      <w:r w:rsidRPr="00C22EDD">
        <w:rPr>
          <w:rFonts w:ascii="Arial" w:hAnsi="Arial" w:cs="Arial"/>
          <w:color w:val="000000" w:themeColor="text1"/>
          <w:sz w:val="22"/>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C22EDD">
        <w:rPr>
          <w:rFonts w:ascii="Arial" w:hAnsi="Arial" w:cs="Arial"/>
          <w:color w:val="000000" w:themeColor="text1"/>
          <w:sz w:val="22"/>
          <w:lang w:val="es-ES_tradnl"/>
        </w:rPr>
        <w:t>Nº</w:t>
      </w:r>
      <w:proofErr w:type="spellEnd"/>
      <w:r w:rsidRPr="00C22EDD">
        <w:rPr>
          <w:rFonts w:ascii="Arial" w:hAnsi="Arial" w:cs="Arial"/>
          <w:color w:val="000000" w:themeColor="text1"/>
          <w:sz w:val="22"/>
          <w:lang w:val="es-ES_tradnl"/>
        </w:rPr>
        <w:t xml:space="preserve">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Pr="00C22EDD">
        <w:rPr>
          <w:rStyle w:val="Refdenotaalpie"/>
          <w:rFonts w:ascii="Arial" w:hAnsi="Arial" w:cs="Arial"/>
          <w:color w:val="000000" w:themeColor="text1"/>
          <w:sz w:val="22"/>
          <w:lang w:val="es-ES_tradnl"/>
        </w:rPr>
        <w:footnoteReference w:id="20"/>
      </w:r>
      <w:r w:rsidRPr="00C22EDD">
        <w:rPr>
          <w:rFonts w:ascii="Arial" w:hAnsi="Arial" w:cs="Arial"/>
          <w:color w:val="000000" w:themeColor="text1"/>
          <w:sz w:val="22"/>
          <w:lang w:val="es-ES_tradnl"/>
        </w:rPr>
        <w:t>. Para el Consejo de Estado, quien debe decir qué debe entenderse por la expresión «información oficial de la contratación» es el legislador o a lo sumo el gobierno nacional, a través de un decreto reglamentario, y no la Agencia mediante una circular.</w:t>
      </w:r>
    </w:p>
    <w:p w14:paraId="5DA49C91" w14:textId="77777777" w:rsidR="00041E29" w:rsidRPr="00C22EDD" w:rsidRDefault="00041E29" w:rsidP="00041E29">
      <w:pPr>
        <w:spacing w:before="120" w:line="276" w:lineRule="auto"/>
        <w:ind w:firstLine="709"/>
        <w:jc w:val="both"/>
        <w:rPr>
          <w:rFonts w:ascii="Arial" w:hAnsi="Arial" w:cs="Arial"/>
          <w:sz w:val="22"/>
          <w:szCs w:val="22"/>
          <w:lang w:val="es-ES_tradnl"/>
        </w:rPr>
      </w:pPr>
      <w:r w:rsidRPr="00C22EDD">
        <w:rPr>
          <w:rFonts w:ascii="Arial" w:hAnsi="Arial" w:cs="Arial"/>
          <w:color w:val="000000" w:themeColor="text1"/>
          <w:sz w:val="22"/>
          <w:szCs w:val="22"/>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C22EDD">
        <w:rPr>
          <w:rFonts w:ascii="Arial" w:hAnsi="Arial" w:cs="Arial"/>
          <w:sz w:val="22"/>
          <w:szCs w:val="22"/>
          <w:lang w:val="es-ES_tradnl"/>
        </w:rPr>
        <w:t>No hay duda de que el literal c) del artículo 3o pertenece a este grupo de normas. Expresamente establece que ese aparte del artículo se aplica a la “</w:t>
      </w:r>
      <w:r w:rsidRPr="00C22EDD">
        <w:rPr>
          <w:rFonts w:ascii="Arial" w:hAnsi="Arial" w:cs="Arial"/>
          <w:i/>
          <w:iCs/>
          <w:sz w:val="22"/>
          <w:szCs w:val="22"/>
          <w:lang w:val="es-ES_tradnl"/>
        </w:rPr>
        <w:t>contratación realizada con dineros públicos</w:t>
      </w:r>
      <w:r w:rsidRPr="00C22EDD">
        <w:rPr>
          <w:rFonts w:ascii="Arial" w:hAnsi="Arial" w:cs="Arial"/>
          <w:sz w:val="22"/>
          <w:szCs w:val="22"/>
          <w:lang w:val="es-ES_tradnl"/>
        </w:rPr>
        <w:t>”. Para su aplicación resulta irrelevante el régimen contractual del contrato. La publicación de la información oficial de la contratación debe realizarse si los negocios jurídicos adelantados fueron financiados con recursos públicos»</w:t>
      </w:r>
      <w:r w:rsidRPr="00C22EDD">
        <w:rPr>
          <w:rStyle w:val="Refdenotaalpie"/>
          <w:rFonts w:ascii="Arial" w:hAnsi="Arial" w:cs="Arial"/>
          <w:sz w:val="22"/>
          <w:szCs w:val="22"/>
          <w:lang w:val="es-ES_tradnl"/>
        </w:rPr>
        <w:footnoteReference w:id="21"/>
      </w:r>
      <w:r w:rsidRPr="00C22EDD">
        <w:rPr>
          <w:rFonts w:ascii="Arial" w:hAnsi="Arial" w:cs="Arial"/>
          <w:sz w:val="22"/>
          <w:szCs w:val="22"/>
          <w:lang w:val="es-ES_tradnl"/>
        </w:rPr>
        <w:t xml:space="preserve">. </w:t>
      </w:r>
    </w:p>
    <w:p w14:paraId="0F17574C" w14:textId="77777777" w:rsidR="00041E29" w:rsidRPr="00C22EDD" w:rsidRDefault="00041E29" w:rsidP="00041E29">
      <w:pPr>
        <w:spacing w:before="120"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El Consejo de Estado admite, por tanto, </w:t>
      </w:r>
      <w:r>
        <w:rPr>
          <w:rFonts w:ascii="Arial" w:hAnsi="Arial" w:cs="Arial"/>
          <w:sz w:val="22"/>
          <w:szCs w:val="22"/>
          <w:lang w:val="es-ES_tradnl"/>
        </w:rPr>
        <w:t xml:space="preserve">en armonía con lo sostenido por esta Agencia, </w:t>
      </w:r>
      <w:r w:rsidRPr="00C22EDD">
        <w:rPr>
          <w:rFonts w:ascii="Arial" w:hAnsi="Arial" w:cs="Arial"/>
          <w:sz w:val="22"/>
          <w:szCs w:val="22"/>
          <w:lang w:val="es-ES_tradnl"/>
        </w:rPr>
        <w:t xml:space="preserve">que el mandato de publicar la «información oficial de la contratación» se predica de la contratación </w:t>
      </w:r>
      <w:r w:rsidRPr="00C22EDD">
        <w:rPr>
          <w:rFonts w:ascii="Arial" w:hAnsi="Arial" w:cs="Arial"/>
          <w:i/>
          <w:iCs/>
          <w:sz w:val="22"/>
          <w:szCs w:val="22"/>
          <w:lang w:val="es-ES_tradnl"/>
        </w:rPr>
        <w:t>con recursos públicos</w:t>
      </w:r>
      <w:r w:rsidRPr="00C22EDD">
        <w:rPr>
          <w:rFonts w:ascii="Arial" w:hAnsi="Arial" w:cs="Arial"/>
          <w:sz w:val="22"/>
          <w:szCs w:val="22"/>
          <w:lang w:val="es-ES_tradnl"/>
        </w:rPr>
        <w:t>, independientemente de si es adelantada por una entidad estatal sometida o exceptuada del Estatuto General de Contratación de la Administración Pública</w:t>
      </w:r>
      <w:r>
        <w:rPr>
          <w:rFonts w:ascii="Arial" w:hAnsi="Arial" w:cs="Arial"/>
          <w:sz w:val="22"/>
          <w:szCs w:val="22"/>
          <w:lang w:val="es-ES_tradnl"/>
        </w:rPr>
        <w:t xml:space="preserve"> ‒EGCAP‒</w:t>
      </w:r>
      <w:r w:rsidRPr="00C22EDD">
        <w:rPr>
          <w:rFonts w:ascii="Arial" w:hAnsi="Arial" w:cs="Arial"/>
          <w:sz w:val="22"/>
          <w:szCs w:val="22"/>
          <w:lang w:val="es-ES_tradnl"/>
        </w:rPr>
        <w:t xml:space="preserve">. Sin embargo, aclara que el alcance de dicha obligación no es igual para las entidades que se rigen </w:t>
      </w:r>
      <w:r>
        <w:rPr>
          <w:rFonts w:ascii="Arial" w:hAnsi="Arial" w:cs="Arial"/>
          <w:sz w:val="22"/>
          <w:szCs w:val="22"/>
          <w:lang w:val="es-ES_tradnl"/>
        </w:rPr>
        <w:t xml:space="preserve">por </w:t>
      </w:r>
      <w:r w:rsidRPr="00C22EDD">
        <w:rPr>
          <w:rFonts w:ascii="Arial" w:hAnsi="Arial" w:cs="Arial"/>
          <w:sz w:val="22"/>
          <w:szCs w:val="22"/>
          <w:lang w:val="es-ES_tradnl"/>
        </w:rPr>
        <w:t xml:space="preserve">la Ley 80 de 1993 y demás normas complementarias, que para las que aplican el derecho privado o cuentan con un régimen especial. Al respecto, afirma que mientras que una entidad sometida al </w:t>
      </w:r>
      <w:r>
        <w:rPr>
          <w:rFonts w:ascii="Arial" w:hAnsi="Arial" w:cs="Arial"/>
          <w:sz w:val="22"/>
          <w:szCs w:val="22"/>
          <w:lang w:val="es-ES_tradnl"/>
        </w:rPr>
        <w:t>EGCAP</w:t>
      </w:r>
      <w:r w:rsidRPr="00C22EDD">
        <w:rPr>
          <w:rFonts w:ascii="Arial" w:hAnsi="Arial" w:cs="Arial"/>
          <w:sz w:val="22"/>
          <w:szCs w:val="22"/>
          <w:lang w:val="es-ES_tradnl"/>
        </w:rPr>
        <w:t xml:space="preserve"> debe publicar «todos los actos relacionados con la actividad contractual», esto mismo no lo exige el artículo 3 de la Ley 1150 de 2007 para las entidades exceptuadas de dicho Estatuto. </w:t>
      </w:r>
      <w:r w:rsidRPr="00C22EDD">
        <w:rPr>
          <w:rFonts w:ascii="Arial" w:hAnsi="Arial" w:cs="Arial"/>
          <w:sz w:val="22"/>
          <w:szCs w:val="22"/>
          <w:lang w:val="es-ES_tradnl"/>
        </w:rPr>
        <w:lastRenderedPageBreak/>
        <w:t>Según el alto tribunal, esta interpretación es acorde con los principio</w:t>
      </w:r>
      <w:r>
        <w:rPr>
          <w:rFonts w:ascii="Arial" w:hAnsi="Arial" w:cs="Arial"/>
          <w:sz w:val="22"/>
          <w:szCs w:val="22"/>
          <w:lang w:val="es-ES_tradnl"/>
        </w:rPr>
        <w:t>s</w:t>
      </w:r>
      <w:r w:rsidRPr="00C22EDD">
        <w:rPr>
          <w:rFonts w:ascii="Arial" w:hAnsi="Arial" w:cs="Arial"/>
          <w:sz w:val="22"/>
          <w:szCs w:val="22"/>
          <w:lang w:val="es-ES_tradnl"/>
        </w:rPr>
        <w:t xml:space="preserve"> de publicidad y de la gestión fiscal, consagrados en los artículo 209 y 267 de la Constitución, respectivamente, así como con los principios de igualdad y de libertad de empresa previstos en los artículos 13 y 333 de la misma Carta, en la medida en que, como la mayoría de las entidades 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0D7CB250"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hAnsi="Arial" w:cs="Arial"/>
          <w:sz w:val="22"/>
          <w:szCs w:val="22"/>
          <w:lang w:val="es-ES_tradnl"/>
        </w:rPr>
        <w:t xml:space="preserve">Sin embargo, como se indicó al inicio de este numeral, en el auto del 25 de febrero de 2021 no se decreta la suspensión provisional de todo el contenido de las circulares </w:t>
      </w:r>
      <w:r w:rsidRPr="00C22EDD">
        <w:rPr>
          <w:rFonts w:ascii="Arial" w:hAnsi="Arial" w:cs="Arial"/>
          <w:color w:val="000000" w:themeColor="text1"/>
          <w:sz w:val="22"/>
          <w:lang w:val="es-ES_tradnl"/>
        </w:rPr>
        <w:t xml:space="preserve">No. 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C22EDD">
        <w:rPr>
          <w:rFonts w:ascii="Arial" w:hAnsi="Arial" w:cs="Arial"/>
          <w:i/>
          <w:iCs/>
          <w:color w:val="000000" w:themeColor="text1"/>
          <w:sz w:val="22"/>
          <w:lang w:val="es-ES_tradnl"/>
        </w:rPr>
        <w:t>quedaron vigentes</w:t>
      </w:r>
      <w:r w:rsidRPr="00C22EDD">
        <w:rPr>
          <w:rFonts w:ascii="Arial" w:hAnsi="Arial" w:cs="Arial"/>
          <w:color w:val="000000" w:themeColor="text1"/>
          <w:sz w:val="22"/>
          <w:lang w:val="es-ES_tradnl"/>
        </w:rPr>
        <w:t>, redactadas en los siguientes términos –solo hay que entender suspendidas las expresiones tachadas–:</w:t>
      </w:r>
    </w:p>
    <w:p w14:paraId="03D16748" w14:textId="77777777" w:rsidR="00041E29" w:rsidRPr="00C22EDD" w:rsidRDefault="00041E29" w:rsidP="00041E29">
      <w:pPr>
        <w:ind w:left="709" w:right="709"/>
        <w:jc w:val="both"/>
        <w:rPr>
          <w:rFonts w:ascii="Arial" w:hAnsi="Arial" w:cs="Arial"/>
          <w:color w:val="000000" w:themeColor="text1"/>
          <w:sz w:val="21"/>
          <w:szCs w:val="21"/>
          <w:lang w:val="es-ES_tradnl"/>
        </w:rPr>
      </w:pPr>
    </w:p>
    <w:p w14:paraId="1373DBD3" w14:textId="77777777" w:rsidR="00041E29" w:rsidRPr="00C22EDD" w:rsidRDefault="00041E29" w:rsidP="00041E29">
      <w:pPr>
        <w:widowControl w:val="0"/>
        <w:ind w:left="709" w:right="709"/>
        <w:jc w:val="both"/>
        <w:rPr>
          <w:rFonts w:ascii="Arial" w:eastAsia="Arial" w:hAnsi="Arial" w:cs="Arial"/>
          <w:sz w:val="21"/>
          <w:szCs w:val="21"/>
          <w:lang w:val="es-ES_tradnl"/>
        </w:rPr>
      </w:pPr>
      <w:r w:rsidRPr="00C22EDD">
        <w:rPr>
          <w:rFonts w:ascii="Arial" w:eastAsia="Arial" w:hAnsi="Arial" w:cs="Arial"/>
          <w:sz w:val="21"/>
          <w:szCs w:val="21"/>
          <w:lang w:val="es-ES_tradnl"/>
        </w:rPr>
        <w:t>Circular Externa No. 1 del 21 de junio de 2013:</w:t>
      </w:r>
    </w:p>
    <w:p w14:paraId="5EC4D6A3" w14:textId="77777777" w:rsidR="00041E29" w:rsidRPr="00C22EDD" w:rsidRDefault="00041E29" w:rsidP="00041E29">
      <w:pPr>
        <w:widowControl w:val="0"/>
        <w:ind w:left="709" w:right="709"/>
        <w:jc w:val="both"/>
        <w:rPr>
          <w:rFonts w:ascii="Arial" w:eastAsia="Arial" w:hAnsi="Arial" w:cs="Arial"/>
          <w:sz w:val="21"/>
          <w:szCs w:val="21"/>
          <w:lang w:val="es-ES_tradnl"/>
        </w:rPr>
      </w:pPr>
    </w:p>
    <w:p w14:paraId="406B12C4"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&lt;&lt;Para: Entidades que contratan con recursos públicos</w:t>
      </w:r>
    </w:p>
    <w:p w14:paraId="66BBC417"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en el SECOP</w:t>
      </w:r>
    </w:p>
    <w:p w14:paraId="4C5E8CDB" w14:textId="77777777" w:rsidR="00041E29" w:rsidRPr="00C22EDD" w:rsidRDefault="00041E29" w:rsidP="00041E29">
      <w:pPr>
        <w:widowControl w:val="0"/>
        <w:ind w:left="709" w:right="709"/>
        <w:jc w:val="both"/>
        <w:rPr>
          <w:rFonts w:ascii="Arial" w:eastAsia="Arial" w:hAnsi="Arial" w:cs="Arial"/>
          <w:i/>
          <w:sz w:val="21"/>
          <w:szCs w:val="21"/>
          <w:lang w:val="es-ES_tradnl"/>
        </w:rPr>
      </w:pPr>
    </w:p>
    <w:p w14:paraId="624E99FA"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Sistema Electrónico para la Contratación Pública -SECOP-.</w:t>
      </w:r>
    </w:p>
    <w:p w14:paraId="7C7605A6" w14:textId="77777777" w:rsidR="00041E29" w:rsidRPr="00C22EDD" w:rsidRDefault="00041E29" w:rsidP="00041E29">
      <w:pPr>
        <w:widowControl w:val="0"/>
        <w:ind w:left="709" w:right="709"/>
        <w:jc w:val="both"/>
        <w:rPr>
          <w:rFonts w:ascii="Arial" w:eastAsia="Arial" w:hAnsi="Arial" w:cs="Arial"/>
          <w:i/>
          <w:sz w:val="21"/>
          <w:szCs w:val="21"/>
          <w:lang w:val="es-ES_tradnl"/>
        </w:rPr>
      </w:pPr>
    </w:p>
    <w:p w14:paraId="56C3BED8"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contratan con cargo a recursos públicos están obligadas a publicar oportunamente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que se ejecute con cargo a recursos públicos.</w:t>
      </w:r>
    </w:p>
    <w:p w14:paraId="2E7D42F4" w14:textId="77777777" w:rsidR="00041E29" w:rsidRPr="00C22EDD" w:rsidRDefault="00041E29" w:rsidP="00041E29">
      <w:pPr>
        <w:widowControl w:val="0"/>
        <w:ind w:left="709" w:right="709"/>
        <w:jc w:val="both"/>
        <w:rPr>
          <w:rFonts w:ascii="Arial" w:eastAsia="Arial" w:hAnsi="Arial" w:cs="Arial"/>
          <w:i/>
          <w:sz w:val="21"/>
          <w:szCs w:val="21"/>
          <w:lang w:val="es-ES_tradnl"/>
        </w:rPr>
      </w:pPr>
    </w:p>
    <w:p w14:paraId="167E665B"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0A297120" w14:textId="77777777" w:rsidR="00041E29" w:rsidRPr="00C22EDD" w:rsidRDefault="00041E29" w:rsidP="00041E29">
      <w:pPr>
        <w:widowControl w:val="0"/>
        <w:ind w:left="709" w:right="709"/>
        <w:jc w:val="both"/>
        <w:rPr>
          <w:rFonts w:ascii="Arial" w:eastAsia="Arial" w:hAnsi="Arial" w:cs="Arial"/>
          <w:i/>
          <w:sz w:val="21"/>
          <w:szCs w:val="21"/>
          <w:lang w:val="es-ES_tradnl"/>
        </w:rPr>
      </w:pPr>
    </w:p>
    <w:p w14:paraId="72E597B6"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lastRenderedPageBreak/>
        <w:t xml:space="preserve">Las entidades que contraten de acuerdo con regímenes especiales deben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xml:space="preserve"> en el SECOP utilizando la clasificación "régimen especial".</w:t>
      </w:r>
    </w:p>
    <w:p w14:paraId="6CFA1F12" w14:textId="77777777" w:rsidR="00041E29" w:rsidRPr="00C22EDD" w:rsidRDefault="00041E29" w:rsidP="00041E29">
      <w:pPr>
        <w:widowControl w:val="0"/>
        <w:ind w:left="709" w:right="709"/>
        <w:jc w:val="both"/>
        <w:rPr>
          <w:rFonts w:ascii="Arial" w:eastAsia="Arial" w:hAnsi="Arial" w:cs="Arial"/>
          <w:i/>
          <w:sz w:val="21"/>
          <w:szCs w:val="21"/>
          <w:lang w:val="es-ES_tradnl"/>
        </w:rPr>
      </w:pPr>
    </w:p>
    <w:p w14:paraId="5286DC6A" w14:textId="77777777" w:rsidR="00041E29" w:rsidRPr="00C22EDD" w:rsidRDefault="00041E29" w:rsidP="00041E29">
      <w:pPr>
        <w:ind w:left="709" w:right="709"/>
        <w:jc w:val="both"/>
        <w:rPr>
          <w:rFonts w:ascii="Arial" w:eastAsia="Arial" w:hAnsi="Arial" w:cs="Arial"/>
          <w:sz w:val="21"/>
          <w:szCs w:val="21"/>
          <w:lang w:val="es-ES_tradnl"/>
        </w:rPr>
      </w:pPr>
      <w:r w:rsidRPr="00C22EDD">
        <w:rPr>
          <w:rFonts w:ascii="Arial" w:eastAsia="Arial" w:hAnsi="Arial" w:cs="Arial"/>
          <w:i/>
          <w:sz w:val="21"/>
          <w:szCs w:val="21"/>
          <w:lang w:val="es-ES_tradnl"/>
        </w:rPr>
        <w:t xml:space="preserve">En http://www.colombiacompra.gov.co/es/compradores está publicado el instructivo para obtener el permiso para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Si tiene dudas sobre el particular comuníquese en Bogotá al 5953525 opción 5 y para el resto del país al 018000952525 opción 5.&gt;&gt;</w:t>
      </w:r>
    </w:p>
    <w:p w14:paraId="1AC2B77C" w14:textId="77777777" w:rsidR="00041E29" w:rsidRPr="00C22EDD" w:rsidRDefault="00041E29" w:rsidP="00041E29">
      <w:pPr>
        <w:widowControl w:val="0"/>
        <w:ind w:left="709" w:right="709"/>
        <w:jc w:val="both"/>
        <w:rPr>
          <w:rFonts w:ascii="Arial" w:eastAsia="Arial" w:hAnsi="Arial" w:cs="Arial"/>
          <w:sz w:val="21"/>
          <w:szCs w:val="21"/>
          <w:lang w:val="es-ES_tradnl"/>
        </w:rPr>
      </w:pPr>
    </w:p>
    <w:p w14:paraId="3B05D5E1" w14:textId="77777777" w:rsidR="00041E29" w:rsidRPr="00C22EDD" w:rsidRDefault="00041E29" w:rsidP="00041E29">
      <w:pPr>
        <w:widowControl w:val="0"/>
        <w:ind w:left="709" w:right="709"/>
        <w:jc w:val="both"/>
        <w:rPr>
          <w:rFonts w:ascii="Arial" w:eastAsia="Arial" w:hAnsi="Arial" w:cs="Arial"/>
          <w:sz w:val="21"/>
          <w:szCs w:val="21"/>
          <w:u w:val="single"/>
          <w:lang w:val="es-ES_tradnl"/>
        </w:rPr>
      </w:pPr>
      <w:r w:rsidRPr="00C22EDD">
        <w:rPr>
          <w:rFonts w:ascii="Arial" w:eastAsia="Arial" w:hAnsi="Arial" w:cs="Arial"/>
          <w:sz w:val="21"/>
          <w:szCs w:val="21"/>
          <w:u w:val="single"/>
          <w:lang w:val="es-ES_tradnl"/>
        </w:rPr>
        <w:t>Circular Externa No. 20 del 27 de agosto de 2015:</w:t>
      </w:r>
    </w:p>
    <w:p w14:paraId="69EAFDAA" w14:textId="77777777" w:rsidR="00041E29" w:rsidRPr="00C22EDD" w:rsidRDefault="00041E29" w:rsidP="00041E29">
      <w:pPr>
        <w:widowControl w:val="0"/>
        <w:ind w:left="709" w:right="709"/>
        <w:jc w:val="both"/>
        <w:rPr>
          <w:rFonts w:ascii="Arial" w:eastAsia="Arial" w:hAnsi="Arial" w:cs="Arial"/>
          <w:sz w:val="21"/>
          <w:szCs w:val="21"/>
          <w:lang w:val="es-ES_tradnl"/>
        </w:rPr>
      </w:pPr>
    </w:p>
    <w:p w14:paraId="7712564B"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&lt;&lt;Para: Entidades que contratan con recursos públicos </w:t>
      </w:r>
    </w:p>
    <w:p w14:paraId="15857EE6"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3D61F693" w14:textId="77777777" w:rsidR="00041E29" w:rsidRPr="00C22EDD" w:rsidRDefault="00041E29" w:rsidP="00041E29">
      <w:pPr>
        <w:ind w:left="709" w:right="709"/>
        <w:jc w:val="both"/>
        <w:rPr>
          <w:rFonts w:ascii="Arial" w:eastAsia="Arial" w:hAnsi="Arial" w:cs="Arial"/>
          <w:i/>
          <w:sz w:val="21"/>
          <w:szCs w:val="21"/>
          <w:lang w:val="es-ES_tradnl"/>
        </w:rPr>
      </w:pPr>
    </w:p>
    <w:p w14:paraId="723D4801"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34005011" w14:textId="77777777" w:rsidR="00041E29" w:rsidRPr="00C22EDD" w:rsidRDefault="00041E29" w:rsidP="00041E29">
      <w:pPr>
        <w:ind w:left="709" w:right="709"/>
        <w:jc w:val="both"/>
        <w:rPr>
          <w:rFonts w:ascii="Arial" w:eastAsia="Arial" w:hAnsi="Arial" w:cs="Arial"/>
          <w:i/>
          <w:sz w:val="21"/>
          <w:szCs w:val="21"/>
          <w:lang w:val="es-ES_tradnl"/>
        </w:rPr>
      </w:pPr>
    </w:p>
    <w:p w14:paraId="0B0C5FD7"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C22EDD">
        <w:rPr>
          <w:rFonts w:ascii="Arial" w:eastAsia="Arial" w:hAnsi="Arial" w:cs="Arial"/>
          <w:i/>
          <w:strike/>
          <w:sz w:val="21"/>
          <w:szCs w:val="21"/>
          <w:lang w:val="es-ES_tradnl"/>
        </w:rPr>
        <w:t>de su actividad contractual</w:t>
      </w:r>
      <w:r w:rsidRPr="00C22EDD">
        <w:rPr>
          <w:rFonts w:ascii="Arial" w:eastAsia="Arial" w:hAnsi="Arial" w:cs="Arial"/>
          <w:i/>
          <w:sz w:val="21"/>
          <w:szCs w:val="21"/>
          <w:lang w:val="es-ES_tradnl"/>
        </w:rPr>
        <w:t xml:space="preserve">. La información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74C56F67" w14:textId="77777777" w:rsidR="00041E29" w:rsidRPr="00C22EDD" w:rsidRDefault="00041E29" w:rsidP="00041E29">
      <w:pPr>
        <w:ind w:left="709" w:right="709"/>
        <w:jc w:val="both"/>
        <w:rPr>
          <w:rFonts w:ascii="Arial" w:eastAsia="Arial" w:hAnsi="Arial" w:cs="Arial"/>
          <w:i/>
          <w:sz w:val="21"/>
          <w:szCs w:val="21"/>
          <w:lang w:val="es-ES_tradnl"/>
        </w:rPr>
      </w:pPr>
    </w:p>
    <w:p w14:paraId="554FBA61" w14:textId="77777777" w:rsidR="00041E29" w:rsidRPr="00C22EDD" w:rsidRDefault="00041E29" w:rsidP="00041E29">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SECOP utilizando la clasificación "régimen especial”.&gt;&gt;</w:t>
      </w:r>
    </w:p>
    <w:p w14:paraId="6EADEDBB" w14:textId="77777777" w:rsidR="00041E29" w:rsidRPr="00C22EDD" w:rsidRDefault="00041E29" w:rsidP="00041E29">
      <w:pPr>
        <w:ind w:right="709"/>
        <w:jc w:val="both"/>
        <w:rPr>
          <w:rFonts w:ascii="Arial" w:hAnsi="Arial" w:cs="Arial"/>
          <w:color w:val="000000" w:themeColor="text1"/>
          <w:sz w:val="21"/>
          <w:szCs w:val="21"/>
          <w:lang w:val="es-ES_tradnl"/>
        </w:rPr>
      </w:pPr>
    </w:p>
    <w:p w14:paraId="21861E9D" w14:textId="77777777" w:rsidR="00041E29" w:rsidRPr="00C22EDD" w:rsidRDefault="00041E29" w:rsidP="00041E29">
      <w:pPr>
        <w:spacing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Dicha obligación se fundamenta, entre otros, en los siguientes </w:t>
      </w:r>
      <w:r w:rsidRPr="00C22EDD">
        <w:rPr>
          <w:rFonts w:ascii="Arial" w:hAnsi="Arial" w:cs="Arial"/>
          <w:sz w:val="22"/>
          <w:szCs w:val="22"/>
          <w:lang w:val="es-ES_tradnl"/>
        </w:rPr>
        <w:lastRenderedPageBreak/>
        <w:t xml:space="preserve">enunciados normativos: i) los artículos 74 y 209 de la Constitución, </w:t>
      </w:r>
      <w:proofErr w:type="spellStart"/>
      <w:r w:rsidRPr="00C22EDD">
        <w:rPr>
          <w:rFonts w:ascii="Arial" w:hAnsi="Arial" w:cs="Arial"/>
          <w:sz w:val="22"/>
          <w:szCs w:val="22"/>
          <w:lang w:val="es-ES_tradnl"/>
        </w:rPr>
        <w:t>ii</w:t>
      </w:r>
      <w:proofErr w:type="spellEnd"/>
      <w:r w:rsidRPr="00C22EDD">
        <w:rPr>
          <w:rFonts w:ascii="Arial" w:hAnsi="Arial" w:cs="Arial"/>
          <w:sz w:val="22"/>
          <w:szCs w:val="22"/>
          <w:lang w:val="es-ES_tradnl"/>
        </w:rPr>
        <w:t xml:space="preserve">) el artículo 3, literal c) de la Ley 1150 de 2007, </w:t>
      </w:r>
      <w:proofErr w:type="spellStart"/>
      <w:r w:rsidRPr="00C22EDD">
        <w:rPr>
          <w:rFonts w:ascii="Arial" w:hAnsi="Arial" w:cs="Arial"/>
          <w:sz w:val="22"/>
          <w:szCs w:val="22"/>
          <w:lang w:val="es-ES_tradnl"/>
        </w:rPr>
        <w:t>iii</w:t>
      </w:r>
      <w:proofErr w:type="spellEnd"/>
      <w:r w:rsidRPr="00C22EDD">
        <w:rPr>
          <w:rFonts w:ascii="Arial" w:hAnsi="Arial" w:cs="Arial"/>
          <w:sz w:val="22"/>
          <w:szCs w:val="22"/>
          <w:lang w:val="es-ES_tradnl"/>
        </w:rPr>
        <w:t>) los artículos 3</w:t>
      </w:r>
      <w:r>
        <w:rPr>
          <w:rFonts w:ascii="Arial" w:hAnsi="Arial" w:cs="Arial"/>
          <w:sz w:val="22"/>
          <w:szCs w:val="22"/>
          <w:lang w:val="es-ES_tradnl"/>
        </w:rPr>
        <w:t>, 9, literal e) y</w:t>
      </w:r>
      <w:r w:rsidRPr="00C22EDD">
        <w:rPr>
          <w:rFonts w:ascii="Arial" w:hAnsi="Arial" w:cs="Arial"/>
          <w:sz w:val="22"/>
          <w:szCs w:val="22"/>
          <w:lang w:val="es-ES_tradnl"/>
        </w:rPr>
        <w:t xml:space="preserve"> 11, literal g), de la Ley 1712 de 2014, </w:t>
      </w:r>
      <w:proofErr w:type="spellStart"/>
      <w:r w:rsidRPr="00C22EDD">
        <w:rPr>
          <w:rFonts w:ascii="Arial" w:hAnsi="Arial" w:cs="Arial"/>
          <w:sz w:val="22"/>
          <w:szCs w:val="22"/>
          <w:lang w:val="es-ES_tradnl"/>
        </w:rPr>
        <w:t>iv</w:t>
      </w:r>
      <w:proofErr w:type="spellEnd"/>
      <w:r w:rsidRPr="00C22EDD">
        <w:rPr>
          <w:rFonts w:ascii="Arial" w:hAnsi="Arial" w:cs="Arial"/>
          <w:sz w:val="22"/>
          <w:szCs w:val="22"/>
          <w:lang w:val="es-ES_tradnl"/>
        </w:rPr>
        <w:t xml:space="preserve">) </w:t>
      </w:r>
      <w:r w:rsidRPr="00C22EDD">
        <w:rPr>
          <w:rFonts w:ascii="Arial" w:eastAsia="Calibri" w:hAnsi="Arial" w:cs="Arial"/>
          <w:color w:val="000000" w:themeColor="text1"/>
          <w:sz w:val="22"/>
          <w:lang w:val="es-ES_tradnl"/>
        </w:rPr>
        <w:t xml:space="preserve">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w:t>
      </w:r>
      <w:r w:rsidRPr="00C22EDD">
        <w:rPr>
          <w:rFonts w:ascii="Arial" w:hAnsi="Arial" w:cs="Arial"/>
          <w:sz w:val="22"/>
          <w:szCs w:val="22"/>
          <w:lang w:val="es-ES_tradnl"/>
        </w:rPr>
        <w:t xml:space="preserve"> y v) las circulares </w:t>
      </w:r>
      <w:r w:rsidRPr="00C22EDD">
        <w:rPr>
          <w:rFonts w:ascii="Arial" w:eastAsia="Arial" w:hAnsi="Arial" w:cs="Arial"/>
          <w:sz w:val="22"/>
          <w:szCs w:val="22"/>
          <w:lang w:val="es-ES_tradnl"/>
        </w:rPr>
        <w:t xml:space="preserve">No. 1 del 21 de junio de 2013, No. 20 del 27 de agosto de 2015, </w:t>
      </w:r>
      <w:r w:rsidRPr="00C22EDD">
        <w:rPr>
          <w:rFonts w:ascii="Arial" w:hAnsi="Arial" w:cs="Arial"/>
          <w:bCs/>
          <w:color w:val="000000" w:themeColor="text1"/>
          <w:sz w:val="22"/>
          <w:szCs w:val="22"/>
          <w:lang w:val="es-ES_tradnl"/>
        </w:rPr>
        <w:t>No. 23 del 16 de marzo de 2017, No. 007 de 2020 y la Circular Externa Única –actualizada el 16 de abril de 2019–</w:t>
      </w:r>
      <w:r w:rsidRPr="00C22EDD">
        <w:rPr>
          <w:rStyle w:val="Refdenotaalpie"/>
          <w:rFonts w:ascii="Arial" w:hAnsi="Arial" w:cs="Arial"/>
          <w:bCs/>
          <w:color w:val="000000" w:themeColor="text1"/>
          <w:sz w:val="22"/>
          <w:szCs w:val="22"/>
          <w:lang w:val="es-ES_tradnl"/>
        </w:rPr>
        <w:footnoteReference w:id="22"/>
      </w:r>
      <w:r w:rsidRPr="00C22EDD">
        <w:rPr>
          <w:rFonts w:ascii="Arial" w:hAnsi="Arial" w:cs="Arial"/>
          <w:bCs/>
          <w:color w:val="000000" w:themeColor="text1"/>
          <w:sz w:val="22"/>
          <w:szCs w:val="22"/>
          <w:lang w:val="es-ES_tradnl"/>
        </w:rPr>
        <w:t>, de la Agencia Nacional de Contratación Pública – Colombia Compra Eficiente.</w:t>
      </w:r>
    </w:p>
    <w:p w14:paraId="3151344B" w14:textId="77777777" w:rsidR="00041E29" w:rsidRPr="00C22EDD" w:rsidRDefault="00041E29" w:rsidP="00041E29">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Ahora, en lo que respecta al contenido o alcance de la expresión «información oficial de la contratación», empleada por el Congreso de la República en el artículo 3, literal c) de la Ley 1150 de 2007, </w:t>
      </w:r>
      <w:r>
        <w:rPr>
          <w:rFonts w:ascii="Arial" w:hAnsi="Arial" w:cs="Arial"/>
          <w:bCs/>
          <w:color w:val="000000" w:themeColor="text1"/>
          <w:sz w:val="22"/>
          <w:lang w:val="es-ES_tradnl"/>
        </w:rPr>
        <w:t>la Agencia Nacional de Contratación Pública</w:t>
      </w:r>
      <w:r w:rsidRPr="00C22EDD">
        <w:rPr>
          <w:rFonts w:ascii="Arial" w:hAnsi="Arial" w:cs="Arial"/>
          <w:bCs/>
          <w:color w:val="000000" w:themeColor="text1"/>
          <w:sz w:val="22"/>
          <w:lang w:val="es-ES_tradnl"/>
        </w:rPr>
        <w:t xml:space="preserve"> considera que el auto del 25 de febrero de 2021 no afecta la interpretación adoptada </w:t>
      </w:r>
      <w:r>
        <w:rPr>
          <w:rFonts w:ascii="Arial" w:hAnsi="Arial" w:cs="Arial"/>
          <w:bCs/>
          <w:color w:val="000000" w:themeColor="text1"/>
          <w:sz w:val="22"/>
          <w:lang w:val="es-ES_tradnl"/>
        </w:rPr>
        <w:t xml:space="preserve">por esta misma Agencia </w:t>
      </w:r>
      <w:r w:rsidRPr="00C22EDD">
        <w:rPr>
          <w:rFonts w:ascii="Arial" w:hAnsi="Arial" w:cs="Arial"/>
          <w:bCs/>
          <w:color w:val="000000" w:themeColor="text1"/>
          <w:sz w:val="22"/>
          <w:lang w:val="es-ES_tradnl"/>
        </w:rPr>
        <w:t>en el Concepto CU-003 del 15 de enero de 2020 y, en consecuencia, mantendrá los argumentos que allí se expusieron y que a continuación se reproducirán. Pero, antes de eso, se explica por qué el referido auto no se aparta de la interpretación que en el siguiente numeral de este concepto reiterará la Subdirección de Gestión Contractual:</w:t>
      </w:r>
    </w:p>
    <w:p w14:paraId="134FF11F"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bCs/>
          <w:color w:val="000000" w:themeColor="text1"/>
          <w:sz w:val="22"/>
          <w:lang w:val="es-ES_tradnl"/>
        </w:rPr>
        <w:t xml:space="preserve">a) En dicha providencia se dice 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pública. Esta habilitación se encuentra en </w:t>
      </w:r>
      <w:r w:rsidRPr="00C22EDD">
        <w:rPr>
          <w:rFonts w:ascii="Arial" w:eastAsia="Calibri" w:hAnsi="Arial" w:cs="Arial"/>
          <w:color w:val="000000" w:themeColor="text1"/>
          <w:sz w:val="22"/>
          <w:lang w:val="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 no es un reglamento, sino que es un criterio doctrinario o auxiliar, según el efecto que a aquellos les confiere el segundo inciso del artículo 230 de la Constitución Política y el artículo 28 de la Ley 1437 de 2011.</w:t>
      </w:r>
    </w:p>
    <w:p w14:paraId="7CE1FDDC"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b) En el auto del 25 de febrero de 2021 la Sección Tercera del Consejo de Estado señala que las entidades exceptuadas del Estatuto General de Contratación de la </w:t>
      </w:r>
      <w:r w:rsidRPr="00C22EDD">
        <w:rPr>
          <w:rFonts w:ascii="Arial" w:eastAsia="Calibri" w:hAnsi="Arial" w:cs="Arial"/>
          <w:color w:val="000000" w:themeColor="text1"/>
          <w:sz w:val="22"/>
          <w:lang w:val="es-ES_tradnl"/>
        </w:rPr>
        <w:lastRenderedPageBreak/>
        <w:t xml:space="preserve">Administración Pública –es decir, las que cuentan con un régimen especial, 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w:t>
      </w:r>
      <w:r>
        <w:rPr>
          <w:rFonts w:ascii="Arial" w:eastAsia="Calibri" w:hAnsi="Arial" w:cs="Arial"/>
          <w:color w:val="000000" w:themeColor="text1"/>
          <w:sz w:val="22"/>
          <w:lang w:val="es-ES_tradnl"/>
        </w:rPr>
        <w:t>contratación</w:t>
      </w:r>
      <w:r w:rsidRPr="00C22EDD">
        <w:rPr>
          <w:rFonts w:ascii="Arial" w:eastAsia="Calibri" w:hAnsi="Arial" w:cs="Arial"/>
          <w:color w:val="000000" w:themeColor="text1"/>
          <w:sz w:val="22"/>
          <w:lang w:val="es-ES_tradnl"/>
        </w:rPr>
        <w:t>, que no son los mismos que aquellos que deben publicar las que se rigen por la Ley 80 de 1993 y demás disposiciones complementarias de esta.</w:t>
      </w:r>
    </w:p>
    <w:p w14:paraId="04D4EBB1" w14:textId="77777777" w:rsidR="00041E29" w:rsidRPr="00C22EDD" w:rsidRDefault="00041E29" w:rsidP="00041E29">
      <w:pPr>
        <w:spacing w:before="120" w:line="276" w:lineRule="auto"/>
        <w:ind w:firstLine="709"/>
        <w:jc w:val="both"/>
        <w:rPr>
          <w:rFonts w:ascii="Arial" w:hAnsi="Arial" w:cs="Arial"/>
          <w:bCs/>
          <w:color w:val="000000" w:themeColor="text1"/>
          <w:sz w:val="22"/>
          <w:lang w:val="es-ES_tradnl"/>
        </w:rPr>
      </w:pPr>
      <w:r w:rsidRPr="00C22EDD">
        <w:rPr>
          <w:rFonts w:ascii="Arial" w:eastAsia="Calibri" w:hAnsi="Arial" w:cs="Arial"/>
          <w:color w:val="000000" w:themeColor="text1"/>
          <w:sz w:val="22"/>
          <w:lang w:val="es-ES_tradnl"/>
        </w:rPr>
        <w:t xml:space="preserve">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literal g) de la Ley 1712 de 2014 y en 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 Es decir, la Agencia respetó el régimen legal y reglamentario que en la actualidad desarrolla el derecho de transparencia y de acceso a la información pública. Por ende, el auto del Consejo de Estado del 25 de febrero de 2021 no </w:t>
      </w:r>
      <w:r>
        <w:rPr>
          <w:rFonts w:ascii="Arial" w:eastAsia="Calibri" w:hAnsi="Arial" w:cs="Arial"/>
          <w:color w:val="000000" w:themeColor="text1"/>
          <w:sz w:val="22"/>
          <w:lang w:val="es-ES_tradnl"/>
        </w:rPr>
        <w:t>es contrario a la interpretación aquí expuesta</w:t>
      </w:r>
      <w:r w:rsidRPr="00C22EDD">
        <w:rPr>
          <w:rFonts w:ascii="Arial" w:eastAsia="Calibri" w:hAnsi="Arial" w:cs="Arial"/>
          <w:color w:val="000000" w:themeColor="text1"/>
          <w:sz w:val="22"/>
          <w:lang w:val="es-ES_tradnl"/>
        </w:rPr>
        <w:t>.</w:t>
      </w:r>
    </w:p>
    <w:p w14:paraId="7762A80F" w14:textId="77777777" w:rsidR="00041E29" w:rsidRPr="00C22EDD" w:rsidRDefault="00041E29" w:rsidP="00041E29">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  </w:t>
      </w:r>
    </w:p>
    <w:p w14:paraId="1ED64196" w14:textId="77777777" w:rsidR="00041E29" w:rsidRPr="00C22EDD" w:rsidRDefault="00041E29" w:rsidP="00041E29">
      <w:pPr>
        <w:pStyle w:val="Prrafodelista"/>
        <w:tabs>
          <w:tab w:val="left" w:pos="284"/>
          <w:tab w:val="left" w:pos="426"/>
        </w:tabs>
        <w:spacing w:line="276" w:lineRule="auto"/>
        <w:ind w:left="0"/>
        <w:jc w:val="both"/>
        <w:rPr>
          <w:rFonts w:ascii="Arial" w:hAnsi="Arial" w:cs="Arial"/>
          <w:b/>
          <w:color w:val="000000" w:themeColor="text1"/>
          <w:sz w:val="22"/>
          <w:lang w:val="es-ES_tradnl"/>
        </w:rPr>
      </w:pPr>
      <w:r w:rsidRPr="00C22EDD">
        <w:rPr>
          <w:rFonts w:ascii="Arial" w:hAnsi="Arial" w:cs="Arial"/>
          <w:b/>
          <w:color w:val="000000" w:themeColor="text1"/>
          <w:sz w:val="22"/>
          <w:lang w:val="es-ES_tradnl"/>
        </w:rPr>
        <w:t xml:space="preserve">2.3. Documentos que deben publicar en el SECOP las entidades estatales de régimen especial. Reiteración del concepto CU-003 del 15 de enero de 2020 </w:t>
      </w:r>
    </w:p>
    <w:p w14:paraId="1C9ECDF8" w14:textId="77777777" w:rsidR="00041E29" w:rsidRPr="00C22EDD" w:rsidRDefault="00041E29" w:rsidP="00041E29">
      <w:pPr>
        <w:pStyle w:val="Prrafodelista"/>
        <w:spacing w:line="276" w:lineRule="auto"/>
        <w:ind w:left="0"/>
        <w:jc w:val="both"/>
        <w:rPr>
          <w:rFonts w:ascii="Arial" w:hAnsi="Arial" w:cs="Arial"/>
          <w:b/>
          <w:color w:val="000000" w:themeColor="text1"/>
          <w:sz w:val="22"/>
          <w:lang w:val="es-ES_tradnl"/>
        </w:rPr>
      </w:pPr>
    </w:p>
    <w:p w14:paraId="13505898" w14:textId="77777777" w:rsidR="00041E29" w:rsidRPr="00C22EDD" w:rsidRDefault="00041E29" w:rsidP="00041E29">
      <w:pPr>
        <w:pStyle w:val="Prrafodelista"/>
        <w:spacing w:line="276" w:lineRule="auto"/>
        <w:ind w:left="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Determinada la obligación que tienen las entidades sujetas a un régimen especial de publicar la información oficial de su contratación con recursos públicos en el SECOP, a </w:t>
      </w:r>
      <w:proofErr w:type="gramStart"/>
      <w:r w:rsidRPr="00C22EDD">
        <w:rPr>
          <w:rFonts w:ascii="Arial" w:eastAsia="Calibri" w:hAnsi="Arial" w:cs="Arial"/>
          <w:color w:val="000000" w:themeColor="text1"/>
          <w:sz w:val="22"/>
          <w:lang w:val="es-ES_tradnl"/>
        </w:rPr>
        <w:t>continuación</w:t>
      </w:r>
      <w:proofErr w:type="gramEnd"/>
      <w:r w:rsidRPr="00C22EDD">
        <w:rPr>
          <w:rFonts w:ascii="Arial" w:eastAsia="Calibri" w:hAnsi="Arial" w:cs="Arial"/>
          <w:color w:val="000000" w:themeColor="text1"/>
          <w:sz w:val="22"/>
          <w:lang w:val="es-ES_tradnl"/>
        </w:rPr>
        <w:t xml:space="preserve"> se identificarán los documentos que deben publicar, n</w:t>
      </w:r>
      <w:r w:rsidRPr="00C22EDD">
        <w:rPr>
          <w:rFonts w:ascii="Arial" w:hAnsi="Arial" w:cs="Arial"/>
          <w:bCs/>
          <w:color w:val="000000" w:themeColor="text1"/>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0C638D39"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rPr>
      </w:pPr>
      <w:r w:rsidRPr="00C22EDD">
        <w:rPr>
          <w:rFonts w:ascii="Arial" w:eastAsia="Calibri" w:hAnsi="Arial" w:cs="Arial"/>
          <w:color w:val="000000" w:themeColor="text1"/>
          <w:sz w:val="22"/>
          <w:lang w:val="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C22EDD">
        <w:rPr>
          <w:rFonts w:ascii="Arial" w:hAnsi="Arial" w:cs="Arial"/>
          <w:bCs/>
          <w:color w:val="000000" w:themeColor="text1"/>
          <w:sz w:val="22"/>
          <w:lang w:val="es-ES_tradnl"/>
        </w:rPr>
        <w:t>P todos los documentos del proceso que define el Decreto 1082 de 2015, así como lo relativo a la ejecución del contrato. Lo anterior, a partir de lo dispuesto en el literal c) del artículo 3 de la Ley 1150 de 2007</w:t>
      </w:r>
      <w:r w:rsidRPr="00C22EDD">
        <w:rPr>
          <w:rStyle w:val="Refdenotaalpie"/>
          <w:rFonts w:ascii="Arial" w:hAnsi="Arial" w:cs="Arial"/>
          <w:bCs/>
          <w:color w:val="000000" w:themeColor="text1"/>
          <w:sz w:val="22"/>
          <w:lang w:val="es-ES_tradnl"/>
        </w:rPr>
        <w:footnoteReference w:id="23"/>
      </w:r>
      <w:r w:rsidRPr="00C22EDD">
        <w:rPr>
          <w:rFonts w:ascii="Arial" w:hAnsi="Arial" w:cs="Arial"/>
          <w:bCs/>
          <w:color w:val="000000" w:themeColor="text1"/>
          <w:sz w:val="22"/>
          <w:lang w:val="es-ES_tradnl"/>
        </w:rPr>
        <w:t xml:space="preserve">. </w:t>
      </w:r>
      <w:r w:rsidRPr="00C22EDD">
        <w:rPr>
          <w:rFonts w:ascii="Arial" w:hAnsi="Arial" w:cs="Arial"/>
          <w:color w:val="000000" w:themeColor="text1"/>
          <w:sz w:val="22"/>
          <w:lang w:val="es-ES_tradnl"/>
        </w:rPr>
        <w:t xml:space="preserve">En este sentido, reconoció la obligatoriedad, por parte de las </w:t>
      </w:r>
      <w:r w:rsidRPr="00C22EDD">
        <w:rPr>
          <w:rFonts w:ascii="Arial" w:hAnsi="Arial" w:cs="Arial"/>
          <w:color w:val="000000" w:themeColor="text1"/>
          <w:sz w:val="22"/>
          <w:lang w:val="es-ES_tradnl"/>
        </w:rPr>
        <w:lastRenderedPageBreak/>
        <w:t xml:space="preserve">entidades de régimen especial, de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622D7A8E"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C22EDD">
        <w:rPr>
          <w:rStyle w:val="Refdenotaalpie"/>
          <w:rFonts w:ascii="Arial" w:eastAsia="Calibri" w:hAnsi="Arial" w:cs="Arial"/>
          <w:color w:val="000000" w:themeColor="text1"/>
          <w:sz w:val="22"/>
          <w:lang w:val="es-ES_tradnl"/>
        </w:rPr>
        <w:footnoteReference w:id="24"/>
      </w:r>
      <w:r w:rsidRPr="00C22EDD">
        <w:rPr>
          <w:rFonts w:ascii="Arial" w:eastAsia="Calibri" w:hAnsi="Arial" w:cs="Arial"/>
          <w:color w:val="000000" w:themeColor="text1"/>
          <w:sz w:val="22"/>
          <w:lang w:val="es-ES_tradnl"/>
        </w:rPr>
        <w:t xml:space="preserve">. </w:t>
      </w:r>
    </w:p>
    <w:p w14:paraId="05C371EE"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35F670DB"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En efecto, la Ley 1712 de 2014 –«Por medio de la cual se crea la Ley de Transparencia y del Derecho de Acceso a la Información Pública Nacional y se dictan otras </w:t>
      </w:r>
      <w:r w:rsidRPr="00C22EDD">
        <w:rPr>
          <w:rFonts w:ascii="Arial" w:eastAsia="Calibri" w:hAnsi="Arial" w:cs="Arial"/>
          <w:color w:val="000000" w:themeColor="text1"/>
          <w:sz w:val="22"/>
          <w:lang w:val="es-ES_tradnl"/>
        </w:rPr>
        <w:lastRenderedPageBreak/>
        <w:t xml:space="preserve">disposiciones»–, señala en el artículo 11, literal g), que todo </w:t>
      </w:r>
      <w:r w:rsidRPr="00C22EDD">
        <w:rPr>
          <w:rFonts w:ascii="Arial" w:eastAsia="Calibri" w:hAnsi="Arial" w:cs="Arial"/>
          <w:i/>
          <w:iCs/>
          <w:color w:val="000000" w:themeColor="text1"/>
          <w:sz w:val="22"/>
          <w:lang w:val="es-ES_tradnl"/>
        </w:rPr>
        <w:t>sujeto obligado</w:t>
      </w:r>
      <w:r w:rsidRPr="00C22EDD">
        <w:rPr>
          <w:rFonts w:ascii="Arial" w:eastAsia="Calibri" w:hAnsi="Arial" w:cs="Arial"/>
          <w:color w:val="000000" w:themeColor="text1"/>
          <w:sz w:val="22"/>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4A5460A4" w14:textId="77777777" w:rsidR="00041E29" w:rsidRPr="00C22EDD" w:rsidRDefault="00041E29" w:rsidP="00041E29">
      <w:pPr>
        <w:spacing w:before="120" w:line="276" w:lineRule="auto"/>
        <w:ind w:firstLine="709"/>
        <w:jc w:val="both"/>
        <w:rPr>
          <w:rFonts w:ascii="Arial" w:eastAsia="Calibri" w:hAnsi="Arial" w:cs="Arial"/>
          <w:color w:val="000000" w:themeColor="text1"/>
          <w:sz w:val="22"/>
          <w:szCs w:val="22"/>
          <w:lang w:val="es-ES_tradnl"/>
        </w:rPr>
      </w:pPr>
      <w:r w:rsidRPr="00C22EDD">
        <w:rPr>
          <w:rFonts w:ascii="Arial" w:eastAsia="Calibri" w:hAnsi="Arial" w:cs="Arial"/>
          <w:color w:val="000000" w:themeColor="text1"/>
          <w:sz w:val="22"/>
          <w:szCs w:val="22"/>
          <w:lang w:val="es-ES_tradnl"/>
        </w:rPr>
        <w:t>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sidRPr="00C22EDD">
        <w:rPr>
          <w:rStyle w:val="Refdenotaalpie"/>
          <w:rFonts w:ascii="Arial" w:eastAsia="Calibri" w:hAnsi="Arial" w:cs="Arial"/>
          <w:color w:val="000000" w:themeColor="text1"/>
          <w:sz w:val="22"/>
          <w:szCs w:val="22"/>
          <w:lang w:val="es-ES_tradnl"/>
        </w:rPr>
        <w:footnoteReference w:id="25"/>
      </w:r>
      <w:r w:rsidRPr="00C22EDD">
        <w:rPr>
          <w:rFonts w:ascii="Arial" w:eastAsia="Calibri" w:hAnsi="Arial" w:cs="Arial"/>
          <w:color w:val="000000" w:themeColor="text1"/>
          <w:sz w:val="22"/>
          <w:szCs w:val="22"/>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C22EDD">
        <w:rPr>
          <w:rStyle w:val="Refdenotaalpie"/>
          <w:rFonts w:ascii="Arial" w:eastAsia="Calibri" w:hAnsi="Arial" w:cs="Arial"/>
          <w:color w:val="000000" w:themeColor="text1"/>
          <w:sz w:val="22"/>
          <w:szCs w:val="22"/>
          <w:lang w:val="es-ES_tradnl"/>
        </w:rPr>
        <w:footnoteReference w:id="26"/>
      </w:r>
      <w:r w:rsidRPr="00C22EDD">
        <w:rPr>
          <w:rFonts w:ascii="Arial" w:eastAsia="Calibri" w:hAnsi="Arial" w:cs="Arial"/>
          <w:color w:val="000000" w:themeColor="text1"/>
          <w:sz w:val="22"/>
          <w:szCs w:val="22"/>
          <w:lang w:val="es-ES_tradnl"/>
        </w:rPr>
        <w:t>. Finalmente, el artículo 10 del Decreto 103 de 2015 –</w:t>
      </w:r>
      <w:r w:rsidRPr="00C22EDD">
        <w:rPr>
          <w:rFonts w:ascii="Arial" w:hAnsi="Arial" w:cs="Arial"/>
          <w:sz w:val="22"/>
          <w:szCs w:val="22"/>
          <w:lang w:val="es-ES_tradnl"/>
        </w:rPr>
        <w:t xml:space="preserve">artículo </w:t>
      </w:r>
      <w:r w:rsidRPr="00C22EDD">
        <w:rPr>
          <w:rFonts w:ascii="Arial" w:eastAsia="Calibri" w:hAnsi="Arial" w:cs="Arial"/>
          <w:color w:val="000000" w:themeColor="text1"/>
          <w:sz w:val="22"/>
          <w:szCs w:val="22"/>
          <w:lang w:val="es-ES_tradnl"/>
        </w:rPr>
        <w:t>2.1.1.2.1.10. del Decreto 1081 de 2015– consagra la obligación que tienen las entidades estatales de publicar en el SECOP el Plan Anual de Adquisiciones</w:t>
      </w:r>
      <w:r w:rsidRPr="00C22EDD">
        <w:rPr>
          <w:rStyle w:val="Refdenotaalpie"/>
          <w:rFonts w:ascii="Arial" w:eastAsia="Calibri" w:hAnsi="Arial" w:cs="Arial"/>
          <w:color w:val="000000" w:themeColor="text1"/>
          <w:sz w:val="22"/>
          <w:szCs w:val="22"/>
          <w:lang w:val="es-ES_tradnl"/>
        </w:rPr>
        <w:footnoteReference w:id="27"/>
      </w:r>
      <w:r w:rsidRPr="00C22EDD">
        <w:rPr>
          <w:rFonts w:ascii="Arial" w:eastAsia="Calibri" w:hAnsi="Arial" w:cs="Arial"/>
          <w:color w:val="000000" w:themeColor="text1"/>
          <w:sz w:val="22"/>
          <w:szCs w:val="22"/>
          <w:lang w:val="es-ES_tradnl"/>
        </w:rPr>
        <w:t>.</w:t>
      </w:r>
    </w:p>
    <w:p w14:paraId="220C60AD"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lastRenderedPageBreak/>
        <w:t xml:space="preserve">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w:t>
      </w:r>
      <w:proofErr w:type="spellStart"/>
      <w:r w:rsidRPr="00C22EDD">
        <w:rPr>
          <w:rFonts w:ascii="Arial" w:eastAsia="Calibri" w:hAnsi="Arial" w:cs="Arial"/>
          <w:color w:val="000000" w:themeColor="text1"/>
          <w:sz w:val="22"/>
          <w:lang w:val="es-ES_tradnl"/>
        </w:rPr>
        <w:t>ii</w:t>
      </w:r>
      <w:proofErr w:type="spellEnd"/>
      <w:r w:rsidRPr="00C22EDD">
        <w:rPr>
          <w:rFonts w:ascii="Arial" w:eastAsia="Calibri" w:hAnsi="Arial" w:cs="Arial"/>
          <w:color w:val="000000" w:themeColor="text1"/>
          <w:sz w:val="22"/>
          <w:lang w:val="es-ES_tradnl"/>
        </w:rPr>
        <w:t xml:space="preserve">) los procedimientos, lineamientos y políticas en materia de adquisición que corresponden a los  documentos que los conforman, previstos en el manual de contratación de la entidad, y finalmente, </w:t>
      </w:r>
      <w:proofErr w:type="spellStart"/>
      <w:r w:rsidRPr="00C22EDD">
        <w:rPr>
          <w:rFonts w:ascii="Arial" w:eastAsia="Calibri" w:hAnsi="Arial" w:cs="Arial"/>
          <w:color w:val="000000" w:themeColor="text1"/>
          <w:sz w:val="22"/>
          <w:lang w:val="es-ES_tradnl"/>
        </w:rPr>
        <w:t>iii</w:t>
      </w:r>
      <w:proofErr w:type="spellEnd"/>
      <w:r w:rsidRPr="00C22EDD">
        <w:rPr>
          <w:rFonts w:ascii="Arial" w:eastAsia="Calibri" w:hAnsi="Arial" w:cs="Arial"/>
          <w:color w:val="000000" w:themeColor="text1"/>
          <w:sz w:val="22"/>
          <w:lang w:val="es-ES_tradnl"/>
        </w:rPr>
        <w:t>) el plan anual de adquisiciones.</w:t>
      </w:r>
    </w:p>
    <w:p w14:paraId="4FE5924E"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el</w:t>
      </w:r>
      <w:r w:rsidRPr="00C22EDD">
        <w:rPr>
          <w:rFonts w:ascii="Arial" w:eastAsia="Calibri" w:hAnsi="Arial" w:cs="Arial"/>
          <w:color w:val="000000" w:themeColor="text1"/>
          <w:sz w:val="22"/>
          <w:lang w:val="es-ES_tradnl"/>
        </w:rPr>
        <w:t xml:space="preserve"> segundo grupo de documentos, debido a que estas entidades están sometidas al derecho privado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352AA2C9" w14:textId="77777777" w:rsidR="00041E29" w:rsidRPr="00C22EDD" w:rsidRDefault="00041E29" w:rsidP="00041E29">
      <w:pPr>
        <w:spacing w:before="120" w:line="276" w:lineRule="auto"/>
        <w:ind w:firstLine="709"/>
        <w:jc w:val="both"/>
        <w:rPr>
          <w:rFonts w:ascii="Arial" w:hAnsi="Arial" w:cs="Arial"/>
          <w:color w:val="000000" w:themeColor="text1"/>
          <w:sz w:val="22"/>
          <w:lang w:val="es-ES_tradnl" w:eastAsia="es-CO"/>
        </w:rPr>
      </w:pPr>
      <w:r w:rsidRPr="00C22EDD">
        <w:rPr>
          <w:rFonts w:ascii="Arial" w:eastAsia="Calibri" w:hAnsi="Arial" w:cs="Arial"/>
          <w:color w:val="000000" w:themeColor="text1"/>
          <w:sz w:val="22"/>
          <w:lang w:val="es-ES_tradnl"/>
        </w:rPr>
        <w:t xml:space="preserve">Por lo tanto, en estos casos aplica la Ley 1712 de 2014 y el Decreto 103 de 2015, no el Decreto 1082 de 2015, porque esta última norma rige a las entidades sometidas al Estatuto General de Contratación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w:t>
      </w:r>
      <w:r>
        <w:rPr>
          <w:rFonts w:ascii="Arial" w:eastAsia="Calibri" w:hAnsi="Arial" w:cs="Arial"/>
          <w:color w:val="000000" w:themeColor="text1"/>
          <w:sz w:val="22"/>
          <w:lang w:val="es-ES_tradnl"/>
        </w:rPr>
        <w:t>le aplican</w:t>
      </w:r>
      <w:r w:rsidRPr="00C22EDD">
        <w:rPr>
          <w:rFonts w:ascii="Arial" w:eastAsia="Calibri" w:hAnsi="Arial" w:cs="Arial"/>
          <w:color w:val="000000" w:themeColor="text1"/>
          <w:sz w:val="22"/>
          <w:lang w:val="es-ES_tradnl"/>
        </w:rPr>
        <w:t xml:space="preserve"> a cualquier entidad pública, incluyendo</w:t>
      </w:r>
      <w:r w:rsidRPr="00C22EDD">
        <w:rPr>
          <w:rFonts w:ascii="Arial" w:hAnsi="Arial" w:cs="Arial"/>
          <w:color w:val="000000" w:themeColor="text1"/>
          <w:sz w:val="22"/>
          <w:lang w:val="es-ES_tradnl"/>
        </w:rPr>
        <w:t xml:space="preserve"> </w:t>
      </w:r>
      <w:r w:rsidRPr="00C22EDD">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3FB3DACD" w14:textId="77777777" w:rsidR="00041E29" w:rsidRDefault="00041E29" w:rsidP="00830320">
      <w:pPr>
        <w:spacing w:before="120" w:line="276" w:lineRule="auto"/>
        <w:ind w:firstLine="708"/>
        <w:jc w:val="both"/>
        <w:rPr>
          <w:rFonts w:ascii="Arial" w:hAnsi="Arial" w:cs="Arial"/>
          <w:color w:val="000000" w:themeColor="text1"/>
          <w:sz w:val="22"/>
          <w:szCs w:val="22"/>
          <w:lang w:val="es-ES_tradnl"/>
        </w:rPr>
      </w:pPr>
      <w:r w:rsidRPr="00C22EDD">
        <w:rPr>
          <w:rFonts w:ascii="Arial" w:hAnsi="Arial" w:cs="Arial"/>
          <w:color w:val="000000" w:themeColor="text1"/>
          <w:sz w:val="22"/>
          <w:lang w:val="es-ES_tradnl" w:eastAsia="es-CO"/>
        </w:rPr>
        <w:t xml:space="preserve">Se concluye entonces que </w:t>
      </w:r>
      <w:r>
        <w:rPr>
          <w:rFonts w:ascii="Arial" w:hAnsi="Arial" w:cs="Arial"/>
          <w:color w:val="000000" w:themeColor="text1"/>
          <w:sz w:val="22"/>
          <w:lang w:val="es-ES_tradnl" w:eastAsia="es-CO"/>
        </w:rPr>
        <w:t>no</w:t>
      </w:r>
      <w:r w:rsidRPr="00C22EDD">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w:t>
      </w:r>
      <w:r w:rsidRPr="00C22EDD">
        <w:rPr>
          <w:rFonts w:ascii="Arial" w:hAnsi="Arial" w:cs="Arial"/>
          <w:color w:val="000000" w:themeColor="text1"/>
          <w:sz w:val="22"/>
          <w:szCs w:val="22"/>
          <w:lang w:val="es-ES_tradnl"/>
        </w:rPr>
        <w:lastRenderedPageBreak/>
        <w:t>contractual especial quedaron eximidas de la obligación de publicar en el SECOP la información oficial de la contratación que realicen con recursos públicos. Primero, porque</w:t>
      </w:r>
      <w:r>
        <w:rPr>
          <w:rFonts w:ascii="Arial" w:hAnsi="Arial" w:cs="Arial"/>
          <w:color w:val="000000" w:themeColor="text1"/>
          <w:sz w:val="22"/>
          <w:szCs w:val="22"/>
          <w:lang w:val="es-ES_tradnl"/>
        </w:rPr>
        <w:t xml:space="preserve"> precisamente</w:t>
      </w:r>
      <w:r w:rsidRPr="00C22EDD">
        <w:rPr>
          <w:rFonts w:ascii="Arial" w:hAnsi="Arial" w:cs="Arial"/>
          <w:color w:val="000000" w:themeColor="text1"/>
          <w:sz w:val="22"/>
          <w:szCs w:val="22"/>
          <w:lang w:val="es-ES_tradnl"/>
        </w:rPr>
        <w:t xml:space="preserve"> dicho auto indica que el artículo 3, literal c), de la Ley 1150 de 2007 también les resulta aplicable a dichas entidades, independientemente de su régimen contractual. Segundo, porque estas deben garantizar los principios de publicidad y transparencia, previsto</w:t>
      </w:r>
      <w:r>
        <w:rPr>
          <w:rFonts w:ascii="Arial" w:hAnsi="Arial" w:cs="Arial"/>
          <w:color w:val="000000" w:themeColor="text1"/>
          <w:sz w:val="22"/>
          <w:szCs w:val="22"/>
          <w:lang w:val="es-ES_tradnl"/>
        </w:rPr>
        <w:t>s</w:t>
      </w:r>
      <w:r w:rsidRPr="00C22EDD">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contractual–, al ser </w:t>
      </w:r>
      <w:r w:rsidRPr="00C22EDD">
        <w:rPr>
          <w:rFonts w:ascii="Arial" w:hAnsi="Arial" w:cs="Arial"/>
          <w:i/>
          <w:iCs/>
          <w:color w:val="000000" w:themeColor="text1"/>
          <w:sz w:val="22"/>
          <w:szCs w:val="22"/>
          <w:lang w:val="es-ES_tradnl"/>
        </w:rPr>
        <w:t>sujetos obligados</w:t>
      </w:r>
      <w:r w:rsidRPr="00C22EDD">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Pr>
          <w:rFonts w:ascii="Arial" w:hAnsi="Arial" w:cs="Arial"/>
          <w:color w:val="000000" w:themeColor="text1"/>
          <w:sz w:val="22"/>
          <w:szCs w:val="22"/>
          <w:lang w:val="es-ES_tradnl"/>
        </w:rPr>
        <w:t xml:space="preserve">literal e), del artículo 9 y el </w:t>
      </w:r>
      <w:r w:rsidRPr="00C22EDD">
        <w:rPr>
          <w:rFonts w:ascii="Arial" w:eastAsia="Calibri" w:hAnsi="Arial" w:cs="Arial"/>
          <w:color w:val="000000" w:themeColor="text1"/>
          <w:sz w:val="22"/>
          <w:szCs w:val="22"/>
          <w:lang w:val="es-ES_tradnl"/>
        </w:rPr>
        <w:t xml:space="preserve">literal g), del artículo 11, de la Ley 1712 de 2014, como los artículos </w:t>
      </w:r>
      <w:r>
        <w:rPr>
          <w:rFonts w:ascii="Arial" w:eastAsia="Calibri" w:hAnsi="Arial" w:cs="Arial"/>
          <w:color w:val="000000" w:themeColor="text1"/>
          <w:sz w:val="22"/>
          <w:szCs w:val="22"/>
          <w:lang w:val="es-ES_tradnl"/>
        </w:rPr>
        <w:t>7</w:t>
      </w:r>
      <w:r w:rsidRPr="00C22EDD">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C22EDD">
        <w:rPr>
          <w:rFonts w:ascii="Arial" w:hAnsi="Arial" w:cs="Arial"/>
          <w:color w:val="000000" w:themeColor="text1"/>
          <w:sz w:val="22"/>
          <w:szCs w:val="22"/>
          <w:lang w:val="es-ES_tradnl"/>
        </w:rPr>
        <w:t xml:space="preserve">. Cuarto, porque, el auto del 25 de febrero de 2021 no suspende todo el contenido de las </w:t>
      </w:r>
      <w:r w:rsidRPr="00C22EDD">
        <w:rPr>
          <w:rFonts w:ascii="Arial" w:hAnsi="Arial" w:cs="Arial"/>
          <w:sz w:val="22"/>
          <w:szCs w:val="22"/>
          <w:lang w:val="es-ES_tradnl"/>
        </w:rPr>
        <w:t xml:space="preserve">circulares </w:t>
      </w:r>
      <w:r w:rsidRPr="00C22EDD">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C22EDD">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bookmarkEnd w:id="4"/>
      <w:r w:rsidRPr="00C22EDD">
        <w:rPr>
          <w:rFonts w:ascii="Arial" w:hAnsi="Arial" w:cs="Arial"/>
          <w:color w:val="000000" w:themeColor="text1"/>
          <w:sz w:val="22"/>
          <w:szCs w:val="22"/>
          <w:lang w:val="es-ES_tradnl"/>
        </w:rPr>
        <w:t xml:space="preserve"> </w:t>
      </w:r>
    </w:p>
    <w:p w14:paraId="71DDC5E2" w14:textId="77777777" w:rsidR="00041E29" w:rsidRPr="00DD2D97" w:rsidRDefault="00041E29" w:rsidP="00041E29">
      <w:pPr>
        <w:spacing w:line="276" w:lineRule="auto"/>
        <w:jc w:val="both"/>
        <w:rPr>
          <w:rFonts w:ascii="Arial" w:eastAsia="Calibri" w:hAnsi="Arial" w:cs="Arial"/>
          <w:b/>
          <w:color w:val="000000" w:themeColor="text1"/>
          <w:sz w:val="22"/>
          <w:lang w:val="es-ES_tradnl"/>
        </w:rPr>
      </w:pPr>
    </w:p>
    <w:p w14:paraId="63FD6004" w14:textId="77777777" w:rsidR="00041E29" w:rsidRPr="00DD2D97" w:rsidRDefault="00041E29" w:rsidP="00041E29">
      <w:pPr>
        <w:spacing w:line="276" w:lineRule="auto"/>
        <w:jc w:val="both"/>
        <w:rPr>
          <w:rFonts w:ascii="Arial" w:hAnsi="Arial" w:cs="Arial"/>
          <w:sz w:val="22"/>
          <w:lang w:val="es-ES_tradnl"/>
        </w:rPr>
      </w:pPr>
      <w:r w:rsidRPr="00DD2D97">
        <w:rPr>
          <w:rFonts w:ascii="Arial" w:eastAsia="Calibri" w:hAnsi="Arial" w:cs="Arial"/>
          <w:b/>
          <w:color w:val="000000" w:themeColor="text1"/>
          <w:sz w:val="22"/>
          <w:lang w:val="es-ES_tradnl"/>
        </w:rPr>
        <w:t>3. Respuesta</w:t>
      </w:r>
    </w:p>
    <w:p w14:paraId="0A596F78" w14:textId="77777777" w:rsidR="00041E29" w:rsidRPr="00DD2D97" w:rsidRDefault="00041E29" w:rsidP="00041E29">
      <w:pPr>
        <w:tabs>
          <w:tab w:val="left" w:pos="0"/>
        </w:tabs>
        <w:jc w:val="both"/>
        <w:rPr>
          <w:rFonts w:ascii="Arial" w:eastAsia="Calibri" w:hAnsi="Arial" w:cs="Arial"/>
          <w:color w:val="000000" w:themeColor="text1"/>
          <w:sz w:val="22"/>
          <w:lang w:val="es-ES_tradnl"/>
        </w:rPr>
      </w:pPr>
    </w:p>
    <w:p w14:paraId="2416054B" w14:textId="70AA8311" w:rsidR="00041E29" w:rsidRDefault="00041E29" w:rsidP="00041E29">
      <w:pPr>
        <w:ind w:left="709" w:right="709"/>
        <w:jc w:val="both"/>
        <w:rPr>
          <w:rFonts w:ascii="Arial" w:hAnsi="Arial" w:cs="Arial"/>
          <w:color w:val="000000" w:themeColor="text1"/>
          <w:sz w:val="21"/>
          <w:szCs w:val="21"/>
          <w:lang w:val="es-ES_tradnl"/>
        </w:rPr>
      </w:pPr>
      <w:r w:rsidRPr="00DD2D97">
        <w:rPr>
          <w:rFonts w:ascii="Arial" w:hAnsi="Arial" w:cs="Arial"/>
          <w:color w:val="000000" w:themeColor="text1"/>
          <w:sz w:val="21"/>
          <w:szCs w:val="21"/>
          <w:lang w:val="es-ES_tradnl"/>
        </w:rPr>
        <w:t>«</w:t>
      </w:r>
      <w:r w:rsidRPr="00041E29">
        <w:rPr>
          <w:rFonts w:ascii="Arial" w:hAnsi="Arial" w:cs="Arial"/>
          <w:color w:val="000000" w:themeColor="text1"/>
          <w:sz w:val="21"/>
          <w:szCs w:val="21"/>
          <w:lang w:val="es-ES_tradnl"/>
        </w:rPr>
        <w:t>Con toda atención, de conformidad al auto de fecha 25 de febrero de 2021 de la Sala de lo Contencioso Administrativo de la Sección Tercera Subsección B del Consejo de Estado, me permito solicitar se aclare que es obligatorio publicar frente a la actividad contractual de las entidades de régimen especial que actúan como particulares y que no están regidas por la Ley 80 de 1993 y demás normas que la modifican y complementan</w:t>
      </w:r>
      <w:r w:rsidRPr="00C22EDD">
        <w:rPr>
          <w:rFonts w:ascii="Arial" w:eastAsia="Calibri" w:hAnsi="Arial" w:cs="Arial"/>
          <w:color w:val="000000" w:themeColor="text1"/>
          <w:sz w:val="22"/>
          <w:lang w:val="es-ES_tradnl"/>
        </w:rPr>
        <w:t>»</w:t>
      </w:r>
      <w:r w:rsidRPr="007C32D7">
        <w:rPr>
          <w:rFonts w:ascii="Arial" w:hAnsi="Arial" w:cs="Arial"/>
          <w:color w:val="000000" w:themeColor="text1"/>
          <w:sz w:val="21"/>
          <w:szCs w:val="21"/>
          <w:lang w:val="es-ES_tradnl"/>
        </w:rPr>
        <w:t>.</w:t>
      </w:r>
    </w:p>
    <w:p w14:paraId="58732639" w14:textId="77777777" w:rsidR="00AE2E9D" w:rsidRDefault="00AE2E9D" w:rsidP="00041E29">
      <w:pPr>
        <w:ind w:left="709" w:right="709"/>
        <w:jc w:val="both"/>
        <w:rPr>
          <w:rFonts w:ascii="Arial" w:hAnsi="Arial" w:cs="Arial"/>
          <w:color w:val="000000" w:themeColor="text1"/>
          <w:sz w:val="22"/>
          <w:lang w:val="es-ES_tradnl"/>
        </w:rPr>
      </w:pPr>
    </w:p>
    <w:p w14:paraId="7BD5D8A6" w14:textId="2B61F880" w:rsidR="00041E29" w:rsidRPr="00C22EDD" w:rsidRDefault="00041E29" w:rsidP="00041E29">
      <w:pPr>
        <w:spacing w:before="120"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De conformidad con </w:t>
      </w:r>
      <w:r w:rsidR="00AE2E9D">
        <w:rPr>
          <w:rFonts w:ascii="Arial" w:eastAsia="Calibri" w:hAnsi="Arial" w:cs="Arial"/>
          <w:color w:val="000000" w:themeColor="text1"/>
          <w:sz w:val="22"/>
          <w:lang w:val="es-ES_tradnl"/>
        </w:rPr>
        <w:t>las consideraciones anteriores</w:t>
      </w:r>
      <w:r w:rsidRPr="00C22EDD">
        <w:rPr>
          <w:rFonts w:ascii="Arial" w:eastAsia="Calibri" w:hAnsi="Arial" w:cs="Arial"/>
          <w:color w:val="000000" w:themeColor="text1"/>
          <w:sz w:val="22"/>
          <w:lang w:val="es-ES_tradnl"/>
        </w:rPr>
        <w:t xml:space="preserve">,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w:t>
      </w:r>
      <w:proofErr w:type="spellStart"/>
      <w:r w:rsidRPr="00C22EDD">
        <w:rPr>
          <w:rFonts w:ascii="Arial" w:eastAsia="Calibri" w:hAnsi="Arial" w:cs="Arial"/>
          <w:color w:val="000000" w:themeColor="text1"/>
          <w:sz w:val="22"/>
          <w:lang w:val="es-ES_tradnl"/>
        </w:rPr>
        <w:t>ii</w:t>
      </w:r>
      <w:proofErr w:type="spellEnd"/>
      <w:r w:rsidRPr="00C22EDD">
        <w:rPr>
          <w:rFonts w:ascii="Arial" w:eastAsia="Calibri" w:hAnsi="Arial" w:cs="Arial"/>
          <w:color w:val="000000" w:themeColor="text1"/>
          <w:sz w:val="22"/>
          <w:lang w:val="es-ES_tradnl"/>
        </w:rPr>
        <w:t xml:space="preserve">) los procedimientos, lineamientos y políticas en materia de adquisición que corresponden a los  documentos que los conforman, previstos en el manual de contratación de la entidad, y finalmente, </w:t>
      </w:r>
      <w:proofErr w:type="spellStart"/>
      <w:r w:rsidRPr="00C22EDD">
        <w:rPr>
          <w:rFonts w:ascii="Arial" w:eastAsia="Calibri" w:hAnsi="Arial" w:cs="Arial"/>
          <w:color w:val="000000" w:themeColor="text1"/>
          <w:sz w:val="22"/>
          <w:lang w:val="es-ES_tradnl"/>
        </w:rPr>
        <w:t>iii</w:t>
      </w:r>
      <w:proofErr w:type="spellEnd"/>
      <w:r w:rsidRPr="00C22EDD">
        <w:rPr>
          <w:rFonts w:ascii="Arial" w:eastAsia="Calibri" w:hAnsi="Arial" w:cs="Arial"/>
          <w:color w:val="000000" w:themeColor="text1"/>
          <w:sz w:val="22"/>
          <w:lang w:val="es-ES_tradnl"/>
        </w:rPr>
        <w:t>) el plan anual de adquisiciones.</w:t>
      </w:r>
    </w:p>
    <w:p w14:paraId="55E5404E" w14:textId="77777777" w:rsidR="00041E29" w:rsidRPr="00C22EDD" w:rsidRDefault="00041E29" w:rsidP="00041E29">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En relación con el</w:t>
      </w:r>
      <w:r w:rsidRPr="00C22EDD">
        <w:rPr>
          <w:rFonts w:ascii="Arial" w:eastAsia="Calibri" w:hAnsi="Arial" w:cs="Arial"/>
          <w:color w:val="000000" w:themeColor="text1"/>
          <w:sz w:val="22"/>
          <w:lang w:val="es-ES_tradnl"/>
        </w:rPr>
        <w:t xml:space="preserve"> segundo grupo de documentos, debido a que estas entidades están sometidas al derecho privado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56E0CEAB" w14:textId="77777777" w:rsidR="00041E29" w:rsidRPr="007C32D7" w:rsidRDefault="00041E29" w:rsidP="00041E29">
      <w:pPr>
        <w:ind w:right="709"/>
        <w:jc w:val="both"/>
        <w:rPr>
          <w:rFonts w:ascii="Arial" w:hAnsi="Arial" w:cs="Arial"/>
          <w:color w:val="000000" w:themeColor="text1"/>
          <w:sz w:val="22"/>
          <w:lang w:val="es-ES_tradnl"/>
        </w:rPr>
      </w:pPr>
    </w:p>
    <w:p w14:paraId="09656A43" w14:textId="1E16B326" w:rsidR="00041E29" w:rsidRPr="008B3AFB" w:rsidRDefault="00AE2E9D" w:rsidP="00041E29">
      <w:pPr>
        <w:spacing w:line="276" w:lineRule="auto"/>
        <w:ind w:firstLine="708"/>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En este sentido, no puede entenderse que</w:t>
      </w:r>
      <w:r w:rsidR="00041E29" w:rsidRPr="008B3AFB">
        <w:rPr>
          <w:rFonts w:ascii="Arial" w:hAnsi="Arial" w:cs="Arial"/>
          <w:color w:val="000000" w:themeColor="text1"/>
          <w:sz w:val="22"/>
          <w:szCs w:val="22"/>
          <w:lang w:val="es-ES_tradnl"/>
        </w:rPr>
        <w:t xml:space="preserv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w:t>
      </w:r>
      <w:r w:rsidR="00041E29">
        <w:rPr>
          <w:rFonts w:ascii="Arial" w:hAnsi="Arial" w:cs="Arial"/>
          <w:color w:val="000000" w:themeColor="text1"/>
          <w:sz w:val="22"/>
          <w:szCs w:val="22"/>
          <w:lang w:val="es-ES_tradnl"/>
        </w:rPr>
        <w:t xml:space="preserve">precisamente </w:t>
      </w:r>
      <w:r w:rsidR="00041E29" w:rsidRPr="008B3AFB">
        <w:rPr>
          <w:rFonts w:ascii="Arial" w:hAnsi="Arial" w:cs="Arial"/>
          <w:color w:val="000000" w:themeColor="text1"/>
          <w:sz w:val="22"/>
          <w:szCs w:val="22"/>
          <w:lang w:val="es-ES_tradnl"/>
        </w:rPr>
        <w:t>dicho auto indica que el artículo 3, literal c), de la Ley 1150 de 2007 también les resulta aplicable a dichas entidades, independientemente de su régimen contractual. Segundo, porque estas deben garantizar los principios de publicidad y transparencia, previsto</w:t>
      </w:r>
      <w:r w:rsidR="00041E29">
        <w:rPr>
          <w:rFonts w:ascii="Arial" w:hAnsi="Arial" w:cs="Arial"/>
          <w:color w:val="000000" w:themeColor="text1"/>
          <w:sz w:val="22"/>
          <w:szCs w:val="22"/>
          <w:lang w:val="es-ES_tradnl"/>
        </w:rPr>
        <w:t>s</w:t>
      </w:r>
      <w:r w:rsidR="00041E29" w:rsidRPr="008B3AFB">
        <w:rPr>
          <w:rFonts w:ascii="Arial" w:hAnsi="Arial" w:cs="Arial"/>
          <w:color w:val="000000" w:themeColor="text1"/>
          <w:sz w:val="22"/>
          <w:szCs w:val="22"/>
          <w:lang w:val="es-ES_tradnl"/>
        </w:rPr>
        <w:t xml:space="preserve"> en los artículos 209 y 74 de la Constitución Política. Tercero, </w:t>
      </w:r>
      <w:r w:rsidR="00ED4C35">
        <w:rPr>
          <w:rFonts w:ascii="Arial" w:hAnsi="Arial" w:cs="Arial"/>
          <w:color w:val="000000" w:themeColor="text1"/>
          <w:sz w:val="22"/>
          <w:szCs w:val="22"/>
          <w:lang w:val="es-ES_tradnl"/>
        </w:rPr>
        <w:t xml:space="preserve">siendo esto bastante relevante, </w:t>
      </w:r>
      <w:r w:rsidR="00041E29" w:rsidRPr="008B3AFB">
        <w:rPr>
          <w:rFonts w:ascii="Arial" w:hAnsi="Arial" w:cs="Arial"/>
          <w:color w:val="000000" w:themeColor="text1"/>
          <w:sz w:val="22"/>
          <w:szCs w:val="22"/>
          <w:lang w:val="es-ES_tradnl"/>
        </w:rPr>
        <w:t xml:space="preserve">porque las entidades estatales –incluidas las que se rigen generalmente por el derecho privado en materia contractual–, al ser </w:t>
      </w:r>
      <w:r w:rsidR="00041E29" w:rsidRPr="008B3AFB">
        <w:rPr>
          <w:rFonts w:ascii="Arial" w:hAnsi="Arial" w:cs="Arial"/>
          <w:i/>
          <w:iCs/>
          <w:color w:val="000000" w:themeColor="text1"/>
          <w:sz w:val="22"/>
          <w:szCs w:val="22"/>
          <w:lang w:val="es-ES_tradnl"/>
        </w:rPr>
        <w:t>sujetos obligados</w:t>
      </w:r>
      <w:r w:rsidR="00041E29" w:rsidRPr="008B3AFB">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sidR="00041E29">
        <w:rPr>
          <w:rFonts w:ascii="Arial" w:hAnsi="Arial" w:cs="Arial"/>
          <w:color w:val="000000" w:themeColor="text1"/>
          <w:sz w:val="22"/>
          <w:szCs w:val="22"/>
          <w:lang w:val="es-ES_tradnl"/>
        </w:rPr>
        <w:t>literal e), del artículo 9 y el</w:t>
      </w:r>
      <w:r w:rsidR="00041E29" w:rsidRPr="008B3AFB">
        <w:rPr>
          <w:rFonts w:ascii="Arial" w:eastAsia="Calibri" w:hAnsi="Arial" w:cs="Arial"/>
          <w:color w:val="000000" w:themeColor="text1"/>
          <w:sz w:val="22"/>
          <w:szCs w:val="22"/>
          <w:lang w:val="es-ES_tradnl"/>
        </w:rPr>
        <w:t xml:space="preserve"> literal g), del artículo 11, de la Ley 1712 de 2014, como los artículos </w:t>
      </w:r>
      <w:r w:rsidR="00041E29">
        <w:rPr>
          <w:rFonts w:ascii="Arial" w:eastAsia="Calibri" w:hAnsi="Arial" w:cs="Arial"/>
          <w:color w:val="000000" w:themeColor="text1"/>
          <w:sz w:val="22"/>
          <w:szCs w:val="22"/>
          <w:lang w:val="es-ES_tradnl"/>
        </w:rPr>
        <w:t>7</w:t>
      </w:r>
      <w:r w:rsidR="00041E29" w:rsidRPr="008B3AFB">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00A65ED8">
        <w:rPr>
          <w:rFonts w:ascii="Arial" w:eastAsia="Calibri" w:hAnsi="Arial" w:cs="Arial"/>
          <w:color w:val="000000" w:themeColor="text1"/>
          <w:sz w:val="22"/>
          <w:szCs w:val="22"/>
          <w:lang w:val="es-ES_tradnl"/>
        </w:rPr>
        <w:t>, de manera que de estas normas se derivan estos deberes concretos</w:t>
      </w:r>
      <w:r w:rsidR="00041E29" w:rsidRPr="008B3AFB">
        <w:rPr>
          <w:rFonts w:ascii="Arial" w:hAnsi="Arial" w:cs="Arial"/>
          <w:color w:val="000000" w:themeColor="text1"/>
          <w:sz w:val="22"/>
          <w:szCs w:val="22"/>
          <w:lang w:val="es-ES_tradnl"/>
        </w:rPr>
        <w:t xml:space="preserve">. Cuarto, porque el auto del 25 de febrero de 2021 no suspende todo el contenido de las </w:t>
      </w:r>
      <w:r w:rsidR="00041E29" w:rsidRPr="008B3AFB">
        <w:rPr>
          <w:rFonts w:ascii="Arial" w:hAnsi="Arial" w:cs="Arial"/>
          <w:sz w:val="22"/>
          <w:szCs w:val="22"/>
          <w:lang w:val="es-ES_tradnl"/>
        </w:rPr>
        <w:t xml:space="preserve">circulares </w:t>
      </w:r>
      <w:r w:rsidR="00041E29" w:rsidRPr="008B3AFB">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00041E29" w:rsidRPr="008B3AFB">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r w:rsidR="00041E29" w:rsidRPr="008B3AFB">
        <w:rPr>
          <w:rFonts w:ascii="Arial" w:hAnsi="Arial" w:cs="Arial"/>
          <w:color w:val="000000" w:themeColor="text1"/>
          <w:sz w:val="22"/>
          <w:szCs w:val="22"/>
          <w:lang w:val="es-ES_tradnl"/>
        </w:rPr>
        <w:t xml:space="preserve"> </w:t>
      </w:r>
    </w:p>
    <w:p w14:paraId="12AA54A6" w14:textId="77777777" w:rsidR="00041E29" w:rsidRPr="00DD2D97" w:rsidRDefault="00041E29" w:rsidP="00041E29">
      <w:pPr>
        <w:ind w:right="709"/>
        <w:jc w:val="both"/>
        <w:rPr>
          <w:rFonts w:ascii="Arial" w:hAnsi="Arial" w:cs="Arial"/>
          <w:color w:val="000000" w:themeColor="text1"/>
          <w:sz w:val="21"/>
          <w:szCs w:val="21"/>
          <w:lang w:val="es-ES_tradnl"/>
        </w:rPr>
      </w:pPr>
    </w:p>
    <w:p w14:paraId="2B7E22A6" w14:textId="77777777" w:rsidR="00041E29" w:rsidRPr="00DD2D97" w:rsidRDefault="00041E29" w:rsidP="00041E29">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103F294" w14:textId="77777777" w:rsidR="00041E29" w:rsidRPr="00DD2D97" w:rsidRDefault="00041E29" w:rsidP="00041E29">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F7DDB0D" w14:textId="77777777" w:rsidR="00041E29" w:rsidRPr="00DD2D97" w:rsidRDefault="00041E29" w:rsidP="00041E29">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D2D97">
        <w:rPr>
          <w:rFonts w:ascii="Arial" w:hAnsi="Arial" w:cs="Arial"/>
          <w:color w:val="000000" w:themeColor="text1"/>
          <w:sz w:val="22"/>
          <w:szCs w:val="22"/>
          <w:lang w:val="es-ES_tradnl"/>
        </w:rPr>
        <w:lastRenderedPageBreak/>
        <w:t>Atentamente,</w:t>
      </w:r>
    </w:p>
    <w:p w14:paraId="0A495FE9" w14:textId="77777777" w:rsidR="00041E29" w:rsidRPr="00DD2D97" w:rsidRDefault="00041E29" w:rsidP="00041E29">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BF12D7C" w14:textId="1FC8D73C" w:rsidR="00041E29" w:rsidRPr="00DD2D97" w:rsidRDefault="006E2D92" w:rsidP="00041E29">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46865BD1" wp14:editId="77CA1D09">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bookmarkStart w:id="5" w:name="_GoBack"/>
      <w:bookmarkEnd w:id="5"/>
    </w:p>
    <w:p w14:paraId="2E6ABE99" w14:textId="77777777" w:rsidR="00041E29" w:rsidRPr="00DD2D97" w:rsidRDefault="00041E29" w:rsidP="00041E29">
      <w:pPr>
        <w:jc w:val="center"/>
        <w:rPr>
          <w:rFonts w:ascii="Arial" w:hAnsi="Arial" w:cs="Arial"/>
          <w:color w:val="000000" w:themeColor="text1"/>
          <w:sz w:val="18"/>
          <w:szCs w:val="20"/>
          <w:lang w:val="es-ES_tradnl" w:eastAsia="es-CO"/>
        </w:rPr>
      </w:pPr>
    </w:p>
    <w:p w14:paraId="501EB12C" w14:textId="77777777" w:rsidR="00041E29" w:rsidRPr="00DD2D97" w:rsidRDefault="00041E29" w:rsidP="00041E29">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41E29" w:rsidRPr="00DD2D97" w14:paraId="2EC34DD6" w14:textId="77777777" w:rsidTr="00D60C40">
        <w:trPr>
          <w:trHeight w:val="315"/>
        </w:trPr>
        <w:tc>
          <w:tcPr>
            <w:tcW w:w="812" w:type="dxa"/>
            <w:vAlign w:val="center"/>
            <w:hideMark/>
          </w:tcPr>
          <w:p w14:paraId="447FCAAA" w14:textId="77777777" w:rsidR="00041E29" w:rsidRPr="00DD2D97" w:rsidRDefault="00041E2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58EA1E3" w14:textId="77777777" w:rsidR="00041E29" w:rsidRPr="00DD2D97" w:rsidRDefault="00041E29" w:rsidP="00D60C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Nathalia Urrego Jiménez</w:t>
            </w:r>
          </w:p>
          <w:p w14:paraId="7BE58243" w14:textId="77777777" w:rsidR="00041E29" w:rsidRPr="00DD2D97" w:rsidRDefault="00041E2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Contratista de la Subdirección de Gestión Contractual</w:t>
            </w:r>
          </w:p>
        </w:tc>
      </w:tr>
      <w:tr w:rsidR="00041E29" w:rsidRPr="00DD2D97" w14:paraId="7667D335" w14:textId="77777777" w:rsidTr="00D60C40">
        <w:trPr>
          <w:trHeight w:val="330"/>
        </w:trPr>
        <w:tc>
          <w:tcPr>
            <w:tcW w:w="812" w:type="dxa"/>
            <w:vAlign w:val="center"/>
            <w:hideMark/>
          </w:tcPr>
          <w:p w14:paraId="158DCA36" w14:textId="77777777" w:rsidR="00041E29" w:rsidRPr="00DD2D97" w:rsidRDefault="00041E2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B932752" w14:textId="1EABDC12" w:rsidR="00041E29" w:rsidRPr="00DD2D97" w:rsidRDefault="008A6C01" w:rsidP="00D60C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57586D59" w14:textId="77777777" w:rsidR="00041E29" w:rsidRPr="00DD2D97" w:rsidRDefault="00041E2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Gestor T1-15 de la Subdirección de Gestión Contractual</w:t>
            </w:r>
          </w:p>
        </w:tc>
      </w:tr>
      <w:tr w:rsidR="00041E29" w:rsidRPr="00DD2D97" w14:paraId="60B0FB10" w14:textId="77777777" w:rsidTr="00D60C40">
        <w:trPr>
          <w:trHeight w:val="300"/>
        </w:trPr>
        <w:tc>
          <w:tcPr>
            <w:tcW w:w="812" w:type="dxa"/>
            <w:vAlign w:val="center"/>
            <w:hideMark/>
          </w:tcPr>
          <w:p w14:paraId="081E9D55" w14:textId="77777777" w:rsidR="00041E29" w:rsidRPr="00DD2D97" w:rsidRDefault="00041E2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8669C6" w14:textId="77777777" w:rsidR="00041E29" w:rsidRPr="00DD2D97" w:rsidRDefault="00041E2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Jorge Augusto Tirado Navarro</w:t>
            </w:r>
          </w:p>
          <w:p w14:paraId="549484A1" w14:textId="77777777" w:rsidR="00041E29" w:rsidRPr="00DD2D97" w:rsidRDefault="00041E29" w:rsidP="00D60C40">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Subdirector de Gestión Contractual ANCP – CCE</w:t>
            </w:r>
          </w:p>
        </w:tc>
      </w:tr>
    </w:tbl>
    <w:p w14:paraId="009C8835" w14:textId="77777777" w:rsidR="00041E29" w:rsidRPr="00DD2D97" w:rsidRDefault="00041E29" w:rsidP="00041E29">
      <w:pPr>
        <w:jc w:val="both"/>
        <w:rPr>
          <w:rFonts w:ascii="Arial" w:hAnsi="Arial" w:cs="Arial"/>
          <w:lang w:val="es-ES_tradnl"/>
        </w:rPr>
      </w:pPr>
    </w:p>
    <w:p w14:paraId="1022023E" w14:textId="77777777" w:rsidR="00CE7CA5" w:rsidRDefault="006E2D92"/>
    <w:sectPr w:rsidR="00CE7CA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BD7F5" w14:textId="77777777" w:rsidR="00041E29" w:rsidRDefault="00041E29" w:rsidP="00041E29">
      <w:r>
        <w:separator/>
      </w:r>
    </w:p>
  </w:endnote>
  <w:endnote w:type="continuationSeparator" w:id="0">
    <w:p w14:paraId="295A6D25" w14:textId="77777777" w:rsidR="00041E29" w:rsidRDefault="00041E29" w:rsidP="00041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909AE" w14:textId="77777777" w:rsidR="003D3D44" w:rsidRDefault="006E2D92" w:rsidP="00322937">
    <w:pPr>
      <w:pStyle w:val="Sinespaciado"/>
      <w:jc w:val="right"/>
      <w:rPr>
        <w:rFonts w:ascii="Arial" w:hAnsi="Arial" w:cs="Arial"/>
        <w:sz w:val="18"/>
        <w:szCs w:val="18"/>
      </w:rPr>
    </w:pPr>
  </w:p>
  <w:p w14:paraId="43F52C81" w14:textId="77777777" w:rsidR="003D3D44" w:rsidRPr="008217B7" w:rsidRDefault="00041E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FB937F7" w14:textId="77777777" w:rsidR="003D3D44" w:rsidRDefault="00041E29" w:rsidP="00322937">
    <w:pPr>
      <w:pStyle w:val="Piedepgina"/>
      <w:jc w:val="center"/>
      <w:rPr>
        <w:lang w:val="es-ES"/>
      </w:rPr>
    </w:pPr>
    <w:r>
      <w:rPr>
        <w:noProof/>
        <w:lang w:val="es-ES_tradnl" w:eastAsia="es-ES_tradnl"/>
      </w:rPr>
      <w:drawing>
        <wp:inline distT="0" distB="0" distL="0" distR="0" wp14:anchorId="0966784D" wp14:editId="3B21E7A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FA4D62B" w14:textId="77777777" w:rsidR="003D3D44" w:rsidRDefault="006E2D92" w:rsidP="007B0854">
    <w:pPr>
      <w:pStyle w:val="Piedepgina"/>
      <w:jc w:val="center"/>
      <w:rPr>
        <w:lang w:val="es-ES"/>
      </w:rPr>
    </w:pPr>
  </w:p>
  <w:p w14:paraId="21B92EDA" w14:textId="77777777" w:rsidR="003D3D44" w:rsidRPr="007B0854" w:rsidRDefault="006E2D9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CD805" w14:textId="77777777" w:rsidR="00041E29" w:rsidRDefault="00041E29" w:rsidP="00041E29">
      <w:r>
        <w:separator/>
      </w:r>
    </w:p>
  </w:footnote>
  <w:footnote w:type="continuationSeparator" w:id="0">
    <w:p w14:paraId="4886BEE6" w14:textId="77777777" w:rsidR="00041E29" w:rsidRDefault="00041E29" w:rsidP="00041E29">
      <w:r>
        <w:continuationSeparator/>
      </w:r>
    </w:p>
  </w:footnote>
  <w:footnote w:id="1">
    <w:p w14:paraId="1EC0EF06" w14:textId="77777777" w:rsidR="00041E29" w:rsidRPr="00FF38ED" w:rsidRDefault="00041E29" w:rsidP="00041E29">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sz w:val="19"/>
          <w:szCs w:val="19"/>
          <w:lang w:val="es-ES"/>
        </w:rPr>
        <w:t>BOBBIO, Norberto. Democracia y secreto. México: Fondo de Cultura Económica, 2013</w:t>
      </w:r>
      <w:r>
        <w:rPr>
          <w:rFonts w:ascii="Arial" w:hAnsi="Arial" w:cs="Arial"/>
          <w:sz w:val="19"/>
          <w:szCs w:val="19"/>
          <w:lang w:val="es-ES"/>
        </w:rPr>
        <w:t>.</w:t>
      </w:r>
      <w:r w:rsidRPr="00FF38ED">
        <w:rPr>
          <w:rFonts w:ascii="Arial" w:hAnsi="Arial" w:cs="Arial"/>
          <w:sz w:val="19"/>
          <w:szCs w:val="19"/>
          <w:lang w:val="es-ES"/>
        </w:rPr>
        <w:t xml:space="preserve"> p. 27.</w:t>
      </w:r>
    </w:p>
  </w:footnote>
  <w:footnote w:id="2">
    <w:p w14:paraId="6A9E8E98" w14:textId="77777777" w:rsidR="00041E29" w:rsidRDefault="00041E29" w:rsidP="00041E29">
      <w:pPr>
        <w:pStyle w:val="Textonotapie"/>
        <w:ind w:firstLine="709"/>
        <w:jc w:val="both"/>
        <w:rPr>
          <w:rFonts w:ascii="Arial" w:hAnsi="Arial" w:cs="Arial"/>
          <w:color w:val="000000" w:themeColor="text1"/>
          <w:sz w:val="19"/>
          <w:szCs w:val="19"/>
        </w:rPr>
      </w:pPr>
    </w:p>
    <w:p w14:paraId="5FD1601E"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Corte Constitucional. Sentencia C- 341 del 4 de junio de 2014. M. P. Mauricio González Cuervo.</w:t>
      </w:r>
    </w:p>
    <w:p w14:paraId="7E61453F" w14:textId="77777777" w:rsidR="00041E29" w:rsidRPr="00FF38ED" w:rsidRDefault="00041E29" w:rsidP="00041E29">
      <w:pPr>
        <w:pStyle w:val="Textonotapie"/>
        <w:ind w:firstLine="709"/>
        <w:jc w:val="both"/>
        <w:rPr>
          <w:rFonts w:ascii="Arial" w:hAnsi="Arial" w:cs="Arial"/>
          <w:color w:val="000000" w:themeColor="text1"/>
          <w:sz w:val="19"/>
          <w:szCs w:val="19"/>
        </w:rPr>
      </w:pPr>
    </w:p>
  </w:footnote>
  <w:footnote w:id="3">
    <w:p w14:paraId="74AA86BB"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CFFB615" w14:textId="77777777" w:rsidR="00041E29" w:rsidRPr="00FF38ED" w:rsidRDefault="00041E29" w:rsidP="00041E29">
      <w:pPr>
        <w:pStyle w:val="Textonotapie"/>
        <w:ind w:firstLine="709"/>
        <w:jc w:val="both"/>
        <w:rPr>
          <w:rFonts w:ascii="Arial" w:hAnsi="Arial" w:cs="Arial"/>
          <w:color w:val="000000" w:themeColor="text1"/>
          <w:sz w:val="19"/>
          <w:szCs w:val="19"/>
        </w:rPr>
      </w:pPr>
      <w:proofErr w:type="gramStart"/>
      <w:r w:rsidRPr="00FF38ED">
        <w:rPr>
          <w:rFonts w:ascii="Arial" w:hAnsi="Arial" w:cs="Arial"/>
          <w:color w:val="000000" w:themeColor="text1"/>
          <w:sz w:val="19"/>
          <w:szCs w:val="19"/>
        </w:rPr>
        <w:t>»Lo</w:t>
      </w:r>
      <w:proofErr w:type="gramEnd"/>
      <w:r w:rsidRPr="00FF38ED">
        <w:rPr>
          <w:rFonts w:ascii="Arial" w:hAnsi="Arial" w:cs="Arial"/>
          <w:color w:val="000000" w:themeColor="text1"/>
          <w:sz w:val="19"/>
          <w:szCs w:val="19"/>
        </w:rPr>
        <w:t xml:space="preserve"> anterior, sin perjuicio de las publicaciones previstas en el numeral 3 del artículo 30 de la Ley 80 de 1993.</w:t>
      </w:r>
    </w:p>
    <w:p w14:paraId="08F9311A" w14:textId="77777777" w:rsidR="00041E29" w:rsidRPr="00FF38ED" w:rsidRDefault="00041E29" w:rsidP="00041E29">
      <w:pPr>
        <w:pStyle w:val="Textonotapie"/>
        <w:ind w:firstLine="709"/>
        <w:jc w:val="both"/>
        <w:rPr>
          <w:rFonts w:ascii="Arial" w:hAnsi="Arial" w:cs="Arial"/>
          <w:color w:val="000000" w:themeColor="text1"/>
          <w:sz w:val="19"/>
          <w:szCs w:val="19"/>
        </w:rPr>
      </w:pPr>
      <w:proofErr w:type="gramStart"/>
      <w:r w:rsidRPr="00FF38ED">
        <w:rPr>
          <w:rFonts w:ascii="Arial" w:hAnsi="Arial" w:cs="Arial"/>
          <w:color w:val="000000" w:themeColor="text1"/>
          <w:sz w:val="19"/>
          <w:szCs w:val="19"/>
        </w:rPr>
        <w:t>»Con</w:t>
      </w:r>
      <w:proofErr w:type="gramEnd"/>
      <w:r w:rsidRPr="00FF38ED">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FF38ED">
        <w:rPr>
          <w:rFonts w:ascii="Arial" w:hAnsi="Arial" w:cs="Arial"/>
          <w:color w:val="000000" w:themeColor="text1"/>
          <w:sz w:val="19"/>
          <w:szCs w:val="19"/>
        </w:rPr>
        <w:t>Secop</w:t>
      </w:r>
      <w:proofErr w:type="spellEnd"/>
      <w:r w:rsidRPr="00FF38ED">
        <w:rPr>
          <w:rFonts w:ascii="Arial" w:hAnsi="Arial" w:cs="Arial"/>
          <w:color w:val="000000" w:themeColor="text1"/>
          <w:sz w:val="19"/>
          <w:szCs w:val="19"/>
        </w:rPr>
        <w:t xml:space="preserve">, el cual: </w:t>
      </w:r>
    </w:p>
    <w:p w14:paraId="5ADD7462"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w:t>
      </w:r>
    </w:p>
    <w:p w14:paraId="7CC6A771"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6C12A411" w14:textId="77777777" w:rsidR="00041E29" w:rsidRPr="00FF38ED" w:rsidRDefault="00041E29" w:rsidP="00041E29">
      <w:pPr>
        <w:pStyle w:val="Textonotapie"/>
        <w:ind w:firstLine="709"/>
        <w:jc w:val="both"/>
        <w:rPr>
          <w:rFonts w:ascii="Arial" w:hAnsi="Arial" w:cs="Arial"/>
          <w:color w:val="000000" w:themeColor="text1"/>
          <w:sz w:val="19"/>
          <w:szCs w:val="19"/>
          <w:lang w:val="es-CO"/>
        </w:rPr>
      </w:pPr>
    </w:p>
  </w:footnote>
  <w:footnote w:id="4">
    <w:p w14:paraId="222D107F"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5DE9667" w14:textId="77777777" w:rsidR="00041E29" w:rsidRPr="00FF38ED" w:rsidRDefault="00041E29" w:rsidP="00041E29">
      <w:pPr>
        <w:pStyle w:val="Textonotapie"/>
        <w:ind w:firstLine="709"/>
        <w:jc w:val="both"/>
        <w:rPr>
          <w:rFonts w:ascii="Arial" w:hAnsi="Arial" w:cs="Arial"/>
          <w:color w:val="000000" w:themeColor="text1"/>
          <w:sz w:val="19"/>
          <w:szCs w:val="19"/>
          <w:lang w:val="es-CO"/>
        </w:rPr>
      </w:pPr>
    </w:p>
  </w:footnote>
  <w:footnote w:id="5">
    <w:p w14:paraId="373CC516"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161A466" w14:textId="77777777" w:rsidR="00041E29" w:rsidRPr="00FF38ED" w:rsidRDefault="00041E29" w:rsidP="00041E29">
      <w:pPr>
        <w:pStyle w:val="Textonotapie"/>
        <w:ind w:firstLine="709"/>
        <w:jc w:val="both"/>
        <w:rPr>
          <w:rFonts w:ascii="Arial" w:hAnsi="Arial" w:cs="Arial"/>
          <w:color w:val="000000" w:themeColor="text1"/>
          <w:sz w:val="19"/>
          <w:szCs w:val="19"/>
        </w:rPr>
      </w:pPr>
      <w:proofErr w:type="gramStart"/>
      <w:r w:rsidRPr="00FF38ED">
        <w:rPr>
          <w:rFonts w:ascii="Arial" w:hAnsi="Arial" w:cs="Arial"/>
          <w:color w:val="000000" w:themeColor="text1"/>
          <w:sz w:val="19"/>
          <w:szCs w:val="19"/>
        </w:rPr>
        <w:t>»a</w:t>
      </w:r>
      <w:proofErr w:type="gramEnd"/>
      <w:r w:rsidRPr="00FF38ED">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09ECBADE" w14:textId="77777777" w:rsidR="00041E29" w:rsidRPr="00FF38ED" w:rsidRDefault="00041E29" w:rsidP="00041E29">
      <w:pPr>
        <w:pStyle w:val="Textonotapie"/>
        <w:ind w:firstLine="709"/>
        <w:jc w:val="both"/>
        <w:rPr>
          <w:rFonts w:ascii="Arial" w:hAnsi="Arial" w:cs="Arial"/>
          <w:color w:val="000000" w:themeColor="text1"/>
          <w:sz w:val="19"/>
          <w:szCs w:val="19"/>
          <w:lang w:val="es-CO"/>
        </w:rPr>
      </w:pPr>
    </w:p>
  </w:footnote>
  <w:footnote w:id="6">
    <w:p w14:paraId="59C99A02"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Fonts w:ascii="Arial" w:eastAsia="Times New Roman" w:hAnsi="Arial" w:cs="Arial"/>
          <w:color w:val="000000" w:themeColor="text1"/>
          <w:sz w:val="19"/>
          <w:szCs w:val="19"/>
          <w:vertAlign w:val="superscript"/>
          <w:lang w:val="es-ES" w:eastAsia="es-ES"/>
        </w:rPr>
        <w:footnoteRef/>
      </w:r>
      <w:r w:rsidRPr="00FF38ED">
        <w:rPr>
          <w:rFonts w:ascii="Arial" w:eastAsia="Times New Roman" w:hAnsi="Arial" w:cs="Arial"/>
          <w:color w:val="000000" w:themeColor="text1"/>
          <w:sz w:val="19"/>
          <w:szCs w:val="19"/>
          <w:vertAlign w:val="superscript"/>
          <w:lang w:val="es-ES" w:eastAsia="es-ES"/>
        </w:rPr>
        <w:t xml:space="preserve"> </w:t>
      </w:r>
      <w:r w:rsidRPr="00FF38ED">
        <w:rPr>
          <w:rFonts w:ascii="Arial" w:eastAsia="Times New Roman" w:hAnsi="Arial" w:cs="Arial"/>
          <w:color w:val="000000" w:themeColor="text1"/>
          <w:sz w:val="19"/>
          <w:szCs w:val="19"/>
          <w:lang w:val="es-ES" w:eastAsia="es-ES"/>
        </w:rPr>
        <w:t>«</w:t>
      </w:r>
      <w:r w:rsidRPr="00FF38E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62623E2" w14:textId="77777777" w:rsidR="00041E29" w:rsidRPr="00FF38ED" w:rsidRDefault="00041E29" w:rsidP="00041E29">
      <w:pPr>
        <w:pStyle w:val="Textonotapie"/>
        <w:ind w:firstLine="709"/>
        <w:jc w:val="both"/>
        <w:rPr>
          <w:rFonts w:ascii="Arial" w:eastAsia="Times New Roman" w:hAnsi="Arial" w:cs="Arial"/>
          <w:color w:val="000000" w:themeColor="text1"/>
          <w:sz w:val="19"/>
          <w:szCs w:val="19"/>
          <w:lang w:val="es-ES" w:eastAsia="es-ES"/>
        </w:rPr>
      </w:pPr>
      <w:r w:rsidRPr="00FF38ED">
        <w:rPr>
          <w:rFonts w:ascii="Arial" w:hAnsi="Arial" w:cs="Arial"/>
          <w:color w:val="000000" w:themeColor="text1"/>
          <w:sz w:val="19"/>
          <w:szCs w:val="19"/>
        </w:rPr>
        <w:t>[…].</w:t>
      </w:r>
    </w:p>
    <w:p w14:paraId="203B50D2" w14:textId="77777777" w:rsidR="00041E29" w:rsidRPr="00FF38ED" w:rsidRDefault="00041E29" w:rsidP="00041E29">
      <w:pPr>
        <w:pStyle w:val="Textonotapie"/>
        <w:ind w:firstLine="709"/>
        <w:jc w:val="both"/>
        <w:rPr>
          <w:rFonts w:ascii="Arial" w:eastAsia="Times New Roman" w:hAnsi="Arial" w:cs="Arial"/>
          <w:color w:val="000000" w:themeColor="text1"/>
          <w:sz w:val="19"/>
          <w:szCs w:val="19"/>
          <w:lang w:val="es-ES" w:eastAsia="es-ES"/>
        </w:rPr>
      </w:pPr>
      <w:r w:rsidRPr="00FF38E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E985937" w14:textId="77777777" w:rsidR="00041E29" w:rsidRPr="00FF38ED" w:rsidRDefault="00041E29" w:rsidP="00041E29">
      <w:pPr>
        <w:pStyle w:val="Textonotapie"/>
        <w:ind w:firstLine="709"/>
        <w:jc w:val="both"/>
        <w:rPr>
          <w:rFonts w:ascii="Arial" w:eastAsia="Times New Roman" w:hAnsi="Arial" w:cs="Arial"/>
          <w:color w:val="000000" w:themeColor="text1"/>
          <w:sz w:val="19"/>
          <w:szCs w:val="19"/>
          <w:lang w:val="es-ES" w:eastAsia="es-ES"/>
        </w:rPr>
      </w:pPr>
    </w:p>
  </w:footnote>
  <w:footnote w:id="7">
    <w:p w14:paraId="55A34D0D"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w:t>
      </w:r>
      <w:proofErr w:type="spellStart"/>
      <w:r>
        <w:rPr>
          <w:rFonts w:ascii="Arial" w:eastAsia="Times New Roman" w:hAnsi="Arial" w:cs="Arial"/>
          <w:color w:val="000000" w:themeColor="text1"/>
          <w:sz w:val="19"/>
          <w:szCs w:val="19"/>
          <w:lang w:val="es-ES" w:eastAsia="es-ES"/>
        </w:rPr>
        <w:t>orte</w:t>
      </w:r>
      <w:proofErr w:type="spellEnd"/>
      <w:r>
        <w:rPr>
          <w:rFonts w:ascii="Arial" w:eastAsia="Times New Roman" w:hAnsi="Arial" w:cs="Arial"/>
          <w:color w:val="000000" w:themeColor="text1"/>
          <w:sz w:val="19"/>
          <w:szCs w:val="19"/>
          <w:lang w:val="es-ES" w:eastAsia="es-ES"/>
        </w:rPr>
        <w:t xml:space="preserve"> </w:t>
      </w:r>
      <w:r w:rsidRPr="00FF38ED">
        <w:rPr>
          <w:rFonts w:ascii="Arial" w:eastAsia="Times New Roman" w:hAnsi="Arial" w:cs="Arial"/>
          <w:color w:val="000000" w:themeColor="text1"/>
          <w:sz w:val="19"/>
          <w:szCs w:val="19"/>
          <w:lang w:val="es-ES" w:eastAsia="es-ES"/>
        </w:rPr>
        <w:t>Constitucional. Sentencia C</w:t>
      </w:r>
      <w:r>
        <w:rPr>
          <w:rFonts w:ascii="Arial" w:eastAsia="Times New Roman" w:hAnsi="Arial" w:cs="Arial"/>
          <w:color w:val="000000" w:themeColor="text1"/>
          <w:sz w:val="19"/>
          <w:szCs w:val="19"/>
          <w:lang w:val="es-ES" w:eastAsia="es-ES"/>
        </w:rPr>
        <w:t>‒</w:t>
      </w:r>
      <w:r w:rsidRPr="00FF38ED">
        <w:rPr>
          <w:rFonts w:ascii="Arial" w:eastAsia="Times New Roman" w:hAnsi="Arial" w:cs="Arial"/>
          <w:color w:val="000000" w:themeColor="text1"/>
          <w:sz w:val="19"/>
          <w:szCs w:val="19"/>
          <w:lang w:val="es-ES" w:eastAsia="es-ES"/>
        </w:rPr>
        <w:t xml:space="preserve">274 de 9 de mayo de 2013. M.P. María Victoria Calle Correa. </w:t>
      </w:r>
    </w:p>
    <w:p w14:paraId="74CFBCCB" w14:textId="77777777" w:rsidR="00041E29" w:rsidRPr="00FF38ED" w:rsidRDefault="00041E29" w:rsidP="00041E29">
      <w:pPr>
        <w:pStyle w:val="Textonotapie"/>
        <w:ind w:firstLine="709"/>
        <w:jc w:val="both"/>
        <w:rPr>
          <w:rFonts w:ascii="Arial" w:hAnsi="Arial" w:cs="Arial"/>
          <w:color w:val="000000" w:themeColor="text1"/>
          <w:sz w:val="19"/>
          <w:szCs w:val="19"/>
          <w:lang w:val="es-CO"/>
        </w:rPr>
      </w:pPr>
    </w:p>
  </w:footnote>
  <w:footnote w:id="8">
    <w:p w14:paraId="608AA61D" w14:textId="77777777" w:rsidR="00041E29"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21395CE" w14:textId="77777777" w:rsidR="00041E29" w:rsidRPr="00FF38ED" w:rsidRDefault="00041E29" w:rsidP="00041E29">
      <w:pPr>
        <w:pStyle w:val="Textonotapie"/>
        <w:ind w:firstLine="709"/>
        <w:jc w:val="both"/>
        <w:rPr>
          <w:rFonts w:ascii="Arial" w:hAnsi="Arial" w:cs="Arial"/>
          <w:color w:val="000000" w:themeColor="text1"/>
          <w:sz w:val="19"/>
          <w:szCs w:val="19"/>
          <w:lang w:val="es-CO"/>
        </w:rPr>
      </w:pPr>
    </w:p>
  </w:footnote>
  <w:footnote w:id="9">
    <w:p w14:paraId="0466CF90" w14:textId="77777777" w:rsidR="00041E29" w:rsidRPr="00FF38ED" w:rsidRDefault="00041E29" w:rsidP="00041E29">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color w:val="000000" w:themeColor="text1"/>
          <w:sz w:val="19"/>
          <w:szCs w:val="19"/>
          <w:lang w:val="es-ES"/>
        </w:rPr>
        <w:t>Consejero Ponente: Jaime Orlando Santofimio Gamboa.</w:t>
      </w:r>
    </w:p>
  </w:footnote>
  <w:footnote w:id="10">
    <w:p w14:paraId="773584FA" w14:textId="77777777" w:rsidR="00041E29" w:rsidRPr="00FF38ED" w:rsidRDefault="00041E29" w:rsidP="00041E29">
      <w:pPr>
        <w:pStyle w:val="Textonotapie"/>
        <w:ind w:firstLine="709"/>
        <w:jc w:val="both"/>
        <w:rPr>
          <w:rFonts w:ascii="Arial" w:hAnsi="Arial" w:cs="Arial"/>
          <w:color w:val="000000" w:themeColor="text1"/>
          <w:sz w:val="19"/>
          <w:szCs w:val="19"/>
        </w:rPr>
      </w:pPr>
    </w:p>
    <w:p w14:paraId="5B3B5777"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Consejo de Estado. Sección Tercera. Subsección C. Auto del 14 de agosto de 2017. </w:t>
      </w:r>
      <w:proofErr w:type="spellStart"/>
      <w:r w:rsidRPr="00FF38ED">
        <w:rPr>
          <w:rFonts w:ascii="Arial" w:hAnsi="Arial" w:cs="Arial"/>
          <w:color w:val="000000" w:themeColor="text1"/>
          <w:sz w:val="19"/>
          <w:szCs w:val="19"/>
        </w:rPr>
        <w:t>Exp</w:t>
      </w:r>
      <w:proofErr w:type="spellEnd"/>
      <w:r w:rsidRPr="00FF38ED">
        <w:rPr>
          <w:rFonts w:ascii="Arial" w:hAnsi="Arial" w:cs="Arial"/>
          <w:color w:val="000000" w:themeColor="text1"/>
          <w:sz w:val="19"/>
          <w:szCs w:val="19"/>
        </w:rPr>
        <w:t xml:space="preserve">. 58.820. C.P. Jaime Orlando Santofimio Gamboa. </w:t>
      </w:r>
    </w:p>
    <w:p w14:paraId="0E9758C2" w14:textId="77777777" w:rsidR="00041E29" w:rsidRPr="00FF38ED" w:rsidRDefault="00041E29" w:rsidP="00041E29">
      <w:pPr>
        <w:pStyle w:val="Textonotapie"/>
        <w:ind w:firstLine="709"/>
        <w:jc w:val="both"/>
        <w:rPr>
          <w:rFonts w:ascii="Arial" w:hAnsi="Arial" w:cs="Arial"/>
          <w:color w:val="000000" w:themeColor="text1"/>
          <w:sz w:val="19"/>
          <w:szCs w:val="19"/>
          <w:lang w:val="es-CO"/>
        </w:rPr>
      </w:pPr>
    </w:p>
  </w:footnote>
  <w:footnote w:id="11">
    <w:p w14:paraId="5F34CCDD" w14:textId="77777777" w:rsidR="00041E29" w:rsidRPr="00FF38ED"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w:t>
      </w:r>
      <w:proofErr w:type="spellStart"/>
      <w:r w:rsidRPr="00FF38ED">
        <w:rPr>
          <w:rFonts w:ascii="Arial" w:hAnsi="Arial" w:cs="Arial"/>
          <w:sz w:val="19"/>
          <w:szCs w:val="19"/>
        </w:rPr>
        <w:t>Ibíd</w:t>
      </w:r>
      <w:proofErr w:type="spellEnd"/>
      <w:r w:rsidRPr="00FF38ED">
        <w:rPr>
          <w:rFonts w:ascii="Arial" w:hAnsi="Arial" w:cs="Arial"/>
          <w:sz w:val="19"/>
          <w:szCs w:val="19"/>
        </w:rPr>
        <w:t xml:space="preserve">. </w:t>
      </w:r>
    </w:p>
  </w:footnote>
  <w:footnote w:id="12">
    <w:p w14:paraId="07A41195" w14:textId="77777777" w:rsidR="00041E29" w:rsidRDefault="00041E29" w:rsidP="00041E29">
      <w:pPr>
        <w:pStyle w:val="Textonotapie"/>
        <w:ind w:firstLine="709"/>
        <w:jc w:val="both"/>
        <w:rPr>
          <w:rFonts w:ascii="Arial" w:hAnsi="Arial" w:cs="Arial"/>
          <w:sz w:val="19"/>
          <w:szCs w:val="19"/>
        </w:rPr>
      </w:pPr>
    </w:p>
    <w:p w14:paraId="3C4325B2" w14:textId="77777777" w:rsidR="00041E29"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p w14:paraId="7709E9B7" w14:textId="77777777" w:rsidR="00041E29" w:rsidRPr="00FF38ED" w:rsidRDefault="00041E29" w:rsidP="00041E29">
      <w:pPr>
        <w:pStyle w:val="Textonotapie"/>
        <w:ind w:firstLine="709"/>
        <w:jc w:val="both"/>
        <w:rPr>
          <w:rFonts w:ascii="Arial" w:hAnsi="Arial" w:cs="Arial"/>
          <w:sz w:val="19"/>
          <w:szCs w:val="19"/>
          <w:lang w:val="es-ES_tradnl"/>
        </w:rPr>
      </w:pPr>
    </w:p>
  </w:footnote>
  <w:footnote w:id="13">
    <w:p w14:paraId="5257F955" w14:textId="77777777" w:rsidR="00041E29" w:rsidRPr="00FF38ED"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1405026E" w14:textId="77777777" w:rsidR="00041E29" w:rsidRPr="00FF38ED" w:rsidRDefault="00041E29" w:rsidP="00041E29">
      <w:pPr>
        <w:pStyle w:val="Textonotapie"/>
        <w:ind w:firstLine="709"/>
        <w:jc w:val="both"/>
        <w:rPr>
          <w:rFonts w:ascii="Arial" w:hAnsi="Arial" w:cs="Arial"/>
          <w:sz w:val="19"/>
          <w:szCs w:val="19"/>
          <w:lang w:val="es-CO"/>
        </w:rPr>
      </w:pPr>
    </w:p>
  </w:footnote>
  <w:footnote w:id="14">
    <w:p w14:paraId="1F3AF38E" w14:textId="77777777" w:rsidR="00041E29" w:rsidRPr="00FF38ED" w:rsidRDefault="00041E29" w:rsidP="00041E29">
      <w:pPr>
        <w:ind w:firstLine="709"/>
        <w:jc w:val="both"/>
        <w:rPr>
          <w:rFonts w:ascii="Arial" w:eastAsiaTheme="minorHAnsi" w:hAnsi="Arial" w:cs="Arial"/>
          <w:sz w:val="19"/>
          <w:szCs w:val="19"/>
          <w:lang w:val="es-MX" w:eastAsia="en-US"/>
        </w:rPr>
      </w:pPr>
      <w:r w:rsidRPr="00FF38ED">
        <w:rPr>
          <w:rStyle w:val="Refdenotaalpie"/>
          <w:rFonts w:ascii="Arial" w:hAnsi="Arial" w:cs="Arial"/>
          <w:sz w:val="19"/>
          <w:szCs w:val="19"/>
        </w:rPr>
        <w:footnoteRef/>
      </w:r>
      <w:r w:rsidRPr="00FF38ED">
        <w:rPr>
          <w:rFonts w:ascii="Arial" w:hAnsi="Arial" w:cs="Arial"/>
          <w:sz w:val="19"/>
          <w:szCs w:val="19"/>
        </w:rPr>
        <w:t xml:space="preserve"> Este enunciado normativo dispone que «</w:t>
      </w:r>
      <w:r w:rsidRPr="00FF38ED">
        <w:rPr>
          <w:rFonts w:ascii="Arial" w:eastAsiaTheme="minorHAnsi" w:hAnsi="Arial" w:cs="Arial"/>
          <w:sz w:val="19"/>
          <w:szCs w:val="19"/>
          <w:lang w:val="es-MX" w:eastAsia="en-US"/>
        </w:rPr>
        <w:t>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339E4DE7" w14:textId="77777777" w:rsidR="00041E29" w:rsidRPr="00FF38ED" w:rsidRDefault="00041E29" w:rsidP="00041E29">
      <w:pPr>
        <w:ind w:firstLine="709"/>
        <w:jc w:val="both"/>
        <w:rPr>
          <w:rFonts w:ascii="Arial" w:eastAsiaTheme="minorHAnsi" w:hAnsi="Arial" w:cs="Arial"/>
          <w:sz w:val="19"/>
          <w:szCs w:val="19"/>
          <w:lang w:val="es-MX" w:eastAsia="en-US"/>
        </w:rPr>
      </w:pPr>
      <w:r w:rsidRPr="00FF38ED">
        <w:rPr>
          <w:rFonts w:ascii="Arial" w:eastAsiaTheme="minorHAnsi" w:hAnsi="Arial" w:cs="Arial"/>
          <w:sz w:val="19"/>
          <w:szCs w:val="19"/>
          <w:lang w:val="es-MX" w:eastAsia="en-US"/>
        </w:rPr>
        <w:t>»[…]</w:t>
      </w:r>
    </w:p>
    <w:p w14:paraId="5B1F5D0D" w14:textId="77777777" w:rsidR="00041E29" w:rsidRPr="00FF38ED" w:rsidRDefault="00041E29" w:rsidP="00041E29">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»3. Suspender provisionalmente los efectos de un acto administrativo.</w:t>
      </w:r>
    </w:p>
    <w:p w14:paraId="5D419629" w14:textId="77777777" w:rsidR="00041E29" w:rsidRPr="00FF38ED" w:rsidRDefault="00041E29" w:rsidP="00041E29">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w:t>
      </w:r>
    </w:p>
    <w:p w14:paraId="382A85F3" w14:textId="77777777" w:rsidR="00041E29" w:rsidRPr="00FF38ED" w:rsidRDefault="00041E29" w:rsidP="00041E29">
      <w:pPr>
        <w:pStyle w:val="Textonotapie"/>
        <w:ind w:firstLine="709"/>
        <w:jc w:val="both"/>
        <w:rPr>
          <w:rFonts w:ascii="Arial" w:hAnsi="Arial" w:cs="Arial"/>
          <w:sz w:val="19"/>
          <w:szCs w:val="19"/>
          <w:lang w:val="es-CO"/>
        </w:rPr>
      </w:pPr>
    </w:p>
  </w:footnote>
  <w:footnote w:id="15">
    <w:p w14:paraId="52619A10" w14:textId="77777777" w:rsidR="00041E29" w:rsidRPr="00FF38ED"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0560290A" w14:textId="77777777" w:rsidR="00041E29" w:rsidRPr="00FF38ED" w:rsidRDefault="00041E29" w:rsidP="00041E29">
      <w:pPr>
        <w:pStyle w:val="Textonotapie"/>
        <w:ind w:firstLine="709"/>
        <w:jc w:val="both"/>
        <w:rPr>
          <w:rFonts w:ascii="Arial" w:hAnsi="Arial" w:cs="Arial"/>
          <w:sz w:val="19"/>
          <w:szCs w:val="19"/>
        </w:rPr>
      </w:pPr>
      <w:r w:rsidRPr="00FF38ED">
        <w:rPr>
          <w:rFonts w:ascii="Arial" w:hAnsi="Arial" w:cs="Arial"/>
          <w:sz w:val="19"/>
          <w:szCs w:val="19"/>
        </w:rPr>
        <w:t>1. Cuando sean suspendidos provisionalmente sus efectos por la Jurisdicción de lo Contencioso Administrativo.</w:t>
      </w:r>
    </w:p>
    <w:p w14:paraId="55131436" w14:textId="77777777" w:rsidR="00041E29" w:rsidRPr="00FF38ED" w:rsidRDefault="00041E29" w:rsidP="00041E29">
      <w:pPr>
        <w:pStyle w:val="Textonotapie"/>
        <w:ind w:firstLine="709"/>
        <w:jc w:val="both"/>
        <w:rPr>
          <w:rFonts w:ascii="Arial" w:hAnsi="Arial" w:cs="Arial"/>
          <w:sz w:val="19"/>
          <w:szCs w:val="19"/>
        </w:rPr>
      </w:pPr>
      <w:r w:rsidRPr="00FF38ED">
        <w:rPr>
          <w:rFonts w:ascii="Arial" w:hAnsi="Arial" w:cs="Arial"/>
          <w:sz w:val="19"/>
          <w:szCs w:val="19"/>
        </w:rPr>
        <w:t xml:space="preserve">[…]». </w:t>
      </w:r>
    </w:p>
  </w:footnote>
  <w:footnote w:id="16">
    <w:p w14:paraId="57FB4291" w14:textId="77777777" w:rsidR="00041E29" w:rsidRDefault="00041E29" w:rsidP="00041E29">
      <w:pPr>
        <w:pStyle w:val="Textonotapie"/>
        <w:ind w:firstLine="709"/>
        <w:jc w:val="both"/>
        <w:rPr>
          <w:rFonts w:ascii="Arial" w:hAnsi="Arial" w:cs="Arial"/>
          <w:sz w:val="19"/>
          <w:szCs w:val="19"/>
        </w:rPr>
      </w:pPr>
    </w:p>
    <w:p w14:paraId="5D35A48B" w14:textId="77777777" w:rsidR="00041E29" w:rsidRPr="00FF38ED"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En sitio web:</w:t>
      </w:r>
    </w:p>
    <w:p w14:paraId="6DF6499A" w14:textId="77777777" w:rsidR="00041E29" w:rsidRPr="00FF38ED" w:rsidRDefault="00041E29" w:rsidP="00041E29">
      <w:pPr>
        <w:pStyle w:val="Textonotapie"/>
        <w:jc w:val="both"/>
        <w:rPr>
          <w:rFonts w:ascii="Arial" w:hAnsi="Arial" w:cs="Arial"/>
          <w:sz w:val="19"/>
          <w:szCs w:val="19"/>
        </w:rPr>
      </w:pPr>
      <w:r w:rsidRPr="00FF38ED">
        <w:rPr>
          <w:rFonts w:ascii="Arial" w:hAnsi="Arial" w:cs="Arial"/>
          <w:sz w:val="19"/>
          <w:szCs w:val="19"/>
        </w:rPr>
        <w:t>https://www.colombiacompra.gov.co/sites/cce_public/files/cce_circulares/cce_circular_unica.pdf</w:t>
      </w:r>
    </w:p>
  </w:footnote>
  <w:footnote w:id="17">
    <w:p w14:paraId="1C72825F" w14:textId="77777777" w:rsidR="00041E29" w:rsidRDefault="00041E29" w:rsidP="00041E29">
      <w:pPr>
        <w:pStyle w:val="Textonotapie"/>
        <w:ind w:firstLine="709"/>
        <w:jc w:val="both"/>
        <w:rPr>
          <w:rFonts w:ascii="Arial" w:hAnsi="Arial" w:cs="Arial"/>
          <w:sz w:val="19"/>
          <w:szCs w:val="19"/>
        </w:rPr>
      </w:pPr>
    </w:p>
    <w:p w14:paraId="70003FDD" w14:textId="77777777" w:rsidR="00041E29" w:rsidRPr="00FF38ED"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549EFAD1" w14:textId="77777777" w:rsidR="00041E29" w:rsidRPr="00FF38ED" w:rsidRDefault="00041E29" w:rsidP="00041E29">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https://www.colombiacompra.gov.co/sites/cce_public/files/cce_circulares/circular_007_de_2020_uso_secop.pdf</w:t>
      </w:r>
    </w:p>
  </w:footnote>
  <w:footnote w:id="18">
    <w:p w14:paraId="720915BD" w14:textId="77777777" w:rsidR="00041E29" w:rsidRDefault="00041E29" w:rsidP="00041E29">
      <w:pPr>
        <w:pStyle w:val="Textonotapie"/>
        <w:ind w:firstLine="709"/>
        <w:jc w:val="both"/>
        <w:rPr>
          <w:rFonts w:ascii="Arial" w:hAnsi="Arial" w:cs="Arial"/>
          <w:sz w:val="19"/>
          <w:szCs w:val="19"/>
        </w:rPr>
      </w:pPr>
    </w:p>
    <w:p w14:paraId="6193F07D" w14:textId="77777777" w:rsidR="00041E29" w:rsidRPr="00FF38ED"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037DDCEE" w14:textId="77777777" w:rsidR="00041E29" w:rsidRPr="00FF38ED" w:rsidRDefault="00041E29" w:rsidP="00041E29">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https://www.colombiacompra.gov.co/sites/cce_public/files/cce_circulares/20170316circularinformacion.pdf</w:t>
      </w:r>
    </w:p>
  </w:footnote>
  <w:footnote w:id="19">
    <w:p w14:paraId="0E91510F" w14:textId="77777777" w:rsidR="00041E29" w:rsidRDefault="00041E29" w:rsidP="00041E29">
      <w:pPr>
        <w:pStyle w:val="Textonotapie"/>
        <w:ind w:firstLine="709"/>
        <w:jc w:val="both"/>
        <w:rPr>
          <w:rFonts w:ascii="Arial" w:hAnsi="Arial" w:cs="Arial"/>
          <w:sz w:val="19"/>
          <w:szCs w:val="19"/>
        </w:rPr>
      </w:pPr>
    </w:p>
    <w:p w14:paraId="77DF6192" w14:textId="77777777" w:rsidR="00041E29" w:rsidRPr="00FF38ED" w:rsidRDefault="00041E29" w:rsidP="00041E29">
      <w:pPr>
        <w:pStyle w:val="Textonotapie"/>
        <w:ind w:firstLine="709"/>
        <w:jc w:val="both"/>
        <w:rPr>
          <w:rFonts w:ascii="Arial" w:hAnsi="Arial" w:cs="Arial"/>
          <w:sz w:val="19"/>
          <w:szCs w:val="19"/>
          <w:lang w:val="es-ES_tradnl"/>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footnote>
  <w:footnote w:id="20">
    <w:p w14:paraId="4FAF15EC" w14:textId="77777777" w:rsidR="00041E29"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w:t>
      </w:r>
      <w:proofErr w:type="spellStart"/>
      <w:r w:rsidRPr="00FF38ED">
        <w:rPr>
          <w:rFonts w:ascii="Arial" w:hAnsi="Arial" w:cs="Arial"/>
          <w:sz w:val="19"/>
          <w:szCs w:val="19"/>
        </w:rPr>
        <w:t>Ibíd</w:t>
      </w:r>
      <w:proofErr w:type="spellEnd"/>
      <w:r w:rsidRPr="00FF38ED">
        <w:rPr>
          <w:rFonts w:ascii="Arial" w:hAnsi="Arial" w:cs="Arial"/>
          <w:sz w:val="19"/>
          <w:szCs w:val="19"/>
        </w:rPr>
        <w:t>.</w:t>
      </w:r>
    </w:p>
    <w:p w14:paraId="0AE8F08E" w14:textId="77777777" w:rsidR="00041E29" w:rsidRPr="00FF38ED" w:rsidRDefault="00041E29" w:rsidP="00041E29">
      <w:pPr>
        <w:pStyle w:val="Textonotapie"/>
        <w:ind w:firstLine="709"/>
        <w:jc w:val="both"/>
        <w:rPr>
          <w:rFonts w:ascii="Arial" w:hAnsi="Arial" w:cs="Arial"/>
          <w:sz w:val="19"/>
          <w:szCs w:val="19"/>
        </w:rPr>
      </w:pPr>
    </w:p>
  </w:footnote>
  <w:footnote w:id="21">
    <w:p w14:paraId="256127B1" w14:textId="77777777" w:rsidR="00041E29" w:rsidRPr="00FF38ED" w:rsidRDefault="00041E29" w:rsidP="00041E29">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w:t>
      </w:r>
      <w:proofErr w:type="spellStart"/>
      <w:r w:rsidRPr="00FF38ED">
        <w:rPr>
          <w:rFonts w:ascii="Arial" w:hAnsi="Arial" w:cs="Arial"/>
          <w:sz w:val="19"/>
          <w:szCs w:val="19"/>
        </w:rPr>
        <w:t>Ibíd</w:t>
      </w:r>
      <w:proofErr w:type="spellEnd"/>
      <w:r w:rsidRPr="00FF38ED">
        <w:rPr>
          <w:rFonts w:ascii="Arial" w:hAnsi="Arial" w:cs="Arial"/>
          <w:sz w:val="19"/>
          <w:szCs w:val="19"/>
        </w:rPr>
        <w:t>.</w:t>
      </w:r>
    </w:p>
  </w:footnote>
  <w:footnote w:id="22">
    <w:p w14:paraId="1B3C7C4E" w14:textId="77777777" w:rsidR="00041E29" w:rsidRPr="00FF38ED" w:rsidRDefault="00041E29" w:rsidP="00041E29">
      <w:pPr>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7A798F5A" w14:textId="77777777" w:rsidR="00041E29" w:rsidRPr="00FF38ED" w:rsidRDefault="00041E29" w:rsidP="00041E29">
      <w:pPr>
        <w:pStyle w:val="Textonotapie"/>
        <w:ind w:firstLine="709"/>
        <w:jc w:val="both"/>
        <w:rPr>
          <w:rFonts w:ascii="Arial" w:hAnsi="Arial" w:cs="Arial"/>
          <w:sz w:val="19"/>
          <w:szCs w:val="19"/>
          <w:lang w:val="es-CO"/>
        </w:rPr>
      </w:pPr>
    </w:p>
  </w:footnote>
  <w:footnote w:id="23">
    <w:p w14:paraId="247D79CA" w14:textId="77777777" w:rsidR="00041E29" w:rsidRPr="00FF38ED" w:rsidRDefault="00041E29" w:rsidP="00041E29">
      <w:pPr>
        <w:pStyle w:val="Prrafodelista"/>
        <w:ind w:left="0" w:firstLine="709"/>
        <w:jc w:val="both"/>
        <w:rPr>
          <w:rFonts w:ascii="Arial" w:hAnsi="Arial" w:cs="Arial"/>
          <w:bCs/>
          <w:color w:val="000000" w:themeColor="text1"/>
          <w:sz w:val="19"/>
          <w:szCs w:val="19"/>
          <w:lang w:val="es-ES"/>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w:t>
      </w:r>
      <w:r w:rsidRPr="00FF38ED">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CB60B3A" w14:textId="77777777" w:rsidR="00041E29" w:rsidRPr="00FF38ED" w:rsidRDefault="00041E29" w:rsidP="00041E29">
      <w:pPr>
        <w:pStyle w:val="Textonotapie"/>
        <w:ind w:firstLine="709"/>
        <w:jc w:val="both"/>
        <w:rPr>
          <w:rFonts w:ascii="Arial" w:hAnsi="Arial" w:cs="Arial"/>
          <w:color w:val="000000" w:themeColor="text1"/>
          <w:sz w:val="19"/>
          <w:szCs w:val="19"/>
          <w:lang w:val="es-ES"/>
        </w:rPr>
      </w:pPr>
    </w:p>
  </w:footnote>
  <w:footnote w:id="24">
    <w:p w14:paraId="6ED9AFE5"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w:t>
      </w:r>
      <w:r>
        <w:rPr>
          <w:rFonts w:ascii="Arial" w:hAnsi="Arial" w:cs="Arial"/>
          <w:color w:val="000000" w:themeColor="text1"/>
          <w:sz w:val="19"/>
          <w:szCs w:val="19"/>
        </w:rPr>
        <w:t>.</w:t>
      </w:r>
      <w:r w:rsidRPr="00FF38ED">
        <w:rPr>
          <w:rFonts w:ascii="Arial" w:hAnsi="Arial" w:cs="Arial"/>
          <w:color w:val="000000" w:themeColor="text1"/>
          <w:sz w:val="19"/>
          <w:szCs w:val="19"/>
        </w:rPr>
        <w:t xml:space="preserve">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303DDFE6" w14:textId="77777777" w:rsidR="00041E29" w:rsidRPr="00FF38ED" w:rsidRDefault="00041E29" w:rsidP="00041E29">
      <w:pPr>
        <w:pStyle w:val="Textonotapie"/>
        <w:ind w:firstLine="709"/>
        <w:jc w:val="both"/>
        <w:rPr>
          <w:rFonts w:ascii="Arial" w:hAnsi="Arial" w:cs="Arial"/>
          <w:color w:val="000000" w:themeColor="text1"/>
          <w:sz w:val="19"/>
          <w:szCs w:val="19"/>
        </w:rPr>
      </w:pPr>
      <w:proofErr w:type="gramStart"/>
      <w:r w:rsidRPr="00FF38ED">
        <w:rPr>
          <w:rFonts w:ascii="Arial" w:hAnsi="Arial" w:cs="Arial"/>
          <w:color w:val="000000" w:themeColor="text1"/>
          <w:sz w:val="19"/>
          <w:szCs w:val="19"/>
        </w:rPr>
        <w:t>»Así</w:t>
      </w:r>
      <w:proofErr w:type="gramEnd"/>
      <w:r w:rsidRPr="00FF38ED">
        <w:rPr>
          <w:rFonts w:ascii="Arial" w:hAnsi="Arial" w:cs="Arial"/>
          <w:color w:val="000000" w:themeColor="text1"/>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50C35032" w14:textId="77777777" w:rsidR="00041E29" w:rsidRPr="00FF38ED" w:rsidRDefault="00041E29" w:rsidP="00041E29">
      <w:pPr>
        <w:pStyle w:val="Textonotapie"/>
        <w:ind w:firstLine="709"/>
        <w:jc w:val="both"/>
        <w:rPr>
          <w:rFonts w:ascii="Arial" w:hAnsi="Arial" w:cs="Arial"/>
          <w:color w:val="000000" w:themeColor="text1"/>
          <w:sz w:val="19"/>
          <w:szCs w:val="19"/>
        </w:rPr>
      </w:pPr>
    </w:p>
  </w:footnote>
  <w:footnote w:id="25">
    <w:p w14:paraId="6FE87F9A"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6">
    <w:p w14:paraId="4574374C" w14:textId="77777777" w:rsidR="00041E29" w:rsidRPr="00FF38ED" w:rsidRDefault="00041E29" w:rsidP="00041E29">
      <w:pPr>
        <w:pStyle w:val="Textonotapie"/>
        <w:ind w:firstLine="709"/>
        <w:jc w:val="both"/>
        <w:rPr>
          <w:rFonts w:ascii="Arial" w:hAnsi="Arial" w:cs="Arial"/>
          <w:color w:val="000000" w:themeColor="text1"/>
          <w:sz w:val="19"/>
          <w:szCs w:val="19"/>
        </w:rPr>
      </w:pPr>
    </w:p>
    <w:p w14:paraId="167A3E4C"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6AB49B5C" w14:textId="77777777" w:rsidR="00041E29" w:rsidRPr="00FF38ED" w:rsidRDefault="00041E29" w:rsidP="00041E29">
      <w:pPr>
        <w:pStyle w:val="Textonotapie"/>
        <w:ind w:firstLine="709"/>
        <w:jc w:val="both"/>
        <w:rPr>
          <w:rFonts w:ascii="Arial" w:hAnsi="Arial" w:cs="Arial"/>
          <w:color w:val="000000" w:themeColor="text1"/>
          <w:sz w:val="19"/>
          <w:szCs w:val="19"/>
        </w:rPr>
      </w:pPr>
    </w:p>
  </w:footnote>
  <w:footnote w:id="27">
    <w:p w14:paraId="2DB909A4" w14:textId="77777777" w:rsidR="00041E29" w:rsidRPr="00FF38ED" w:rsidRDefault="00041E29" w:rsidP="00041E29">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w:t>
      </w:r>
      <w:proofErr w:type="spellStart"/>
      <w:r w:rsidRPr="00FF38ED">
        <w:rPr>
          <w:rFonts w:ascii="Arial" w:hAnsi="Arial" w:cs="Arial"/>
          <w:color w:val="000000" w:themeColor="text1"/>
          <w:sz w:val="19"/>
          <w:szCs w:val="19"/>
        </w:rPr>
        <w:t>Secop</w:t>
      </w:r>
      <w:proofErr w:type="spellEnd"/>
      <w:r w:rsidRPr="00FF38ED">
        <w:rPr>
          <w:rFonts w:ascii="Arial" w:hAnsi="Arial" w:cs="Arial"/>
          <w:color w:val="000000" w:themeColor="text1"/>
          <w:sz w:val="19"/>
          <w:szCs w:val="19"/>
        </w:rPr>
        <w:t xml:space="preserve"> el Plan Anual de Adquisiciones, de acuerdo con lo previsto en el artículo 74 de la Ley 1474 de 2011, el literal e) del artículo 9° de la Ley 1712 de 2014 y el Decreto 1510 de 2013, o el que lo modifique, sustituya o adicione.</w:t>
      </w:r>
    </w:p>
    <w:p w14:paraId="2EB39DAA" w14:textId="77777777" w:rsidR="00041E29" w:rsidRPr="00FF38ED" w:rsidRDefault="00041E29" w:rsidP="00041E29">
      <w:pPr>
        <w:pStyle w:val="Textonotapie"/>
        <w:ind w:firstLine="709"/>
        <w:jc w:val="both"/>
        <w:rPr>
          <w:rFonts w:ascii="Arial" w:hAnsi="Arial" w:cs="Arial"/>
          <w:color w:val="000000" w:themeColor="text1"/>
          <w:sz w:val="19"/>
          <w:szCs w:val="19"/>
        </w:rPr>
      </w:pPr>
      <w:proofErr w:type="gramStart"/>
      <w:r w:rsidRPr="00FF38ED">
        <w:rPr>
          <w:rFonts w:ascii="Arial" w:hAnsi="Arial" w:cs="Arial"/>
          <w:color w:val="000000" w:themeColor="text1"/>
          <w:sz w:val="19"/>
          <w:szCs w:val="19"/>
        </w:rPr>
        <w:t>»Los</w:t>
      </w:r>
      <w:proofErr w:type="gramEnd"/>
      <w:r w:rsidRPr="00FF38ED">
        <w:rPr>
          <w:rFonts w:ascii="Arial" w:hAnsi="Arial" w:cs="Arial"/>
          <w:color w:val="000000" w:themeColor="text1"/>
          <w:sz w:val="19"/>
          <w:szCs w:val="19"/>
        </w:rPr>
        <w:t xml:space="preserve"> sujetos obligados que no contratan con cargo a recursos públicos no están obligados a publicar su Plan Anual de Adquisiciones.</w:t>
      </w:r>
    </w:p>
    <w:p w14:paraId="3BB4485E" w14:textId="77777777" w:rsidR="00041E29" w:rsidRPr="00FF38ED" w:rsidRDefault="00041E29" w:rsidP="00041E29">
      <w:pPr>
        <w:pStyle w:val="Textonotapie"/>
        <w:ind w:firstLine="709"/>
        <w:jc w:val="both"/>
        <w:rPr>
          <w:rFonts w:ascii="Arial" w:hAnsi="Arial" w:cs="Arial"/>
          <w:color w:val="000000" w:themeColor="text1"/>
          <w:sz w:val="19"/>
          <w:szCs w:val="19"/>
        </w:rPr>
      </w:pPr>
      <w:proofErr w:type="gramStart"/>
      <w:r w:rsidRPr="00FF38ED">
        <w:rPr>
          <w:rFonts w:ascii="Arial" w:hAnsi="Arial" w:cs="Arial"/>
          <w:color w:val="000000" w:themeColor="text1"/>
          <w:sz w:val="19"/>
          <w:szCs w:val="19"/>
        </w:rPr>
        <w:t>»Los</w:t>
      </w:r>
      <w:proofErr w:type="gramEnd"/>
      <w:r w:rsidRPr="00FF38ED">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w:t>
      </w:r>
    </w:p>
    <w:p w14:paraId="0E490E2D" w14:textId="77777777" w:rsidR="00041E29" w:rsidRPr="00FF38ED" w:rsidRDefault="00041E29" w:rsidP="00041E29">
      <w:pPr>
        <w:pStyle w:val="Textonotapie"/>
        <w:ind w:firstLine="709"/>
        <w:jc w:val="both"/>
        <w:rPr>
          <w:rFonts w:ascii="Arial" w:hAnsi="Arial" w:cs="Arial"/>
          <w:color w:val="000000" w:themeColor="text1"/>
          <w:sz w:val="19"/>
          <w:szCs w:val="19"/>
        </w:rPr>
      </w:pPr>
      <w:proofErr w:type="gramStart"/>
      <w:r w:rsidRPr="00FF38ED">
        <w:rPr>
          <w:rFonts w:ascii="Arial" w:hAnsi="Arial" w:cs="Arial"/>
          <w:color w:val="000000" w:themeColor="text1"/>
          <w:sz w:val="19"/>
          <w:szCs w:val="19"/>
        </w:rPr>
        <w:t>»Se</w:t>
      </w:r>
      <w:proofErr w:type="gramEnd"/>
      <w:r w:rsidRPr="00FF38ED">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8A7C7" w14:textId="77777777" w:rsidR="003D3D44" w:rsidRDefault="00041E29">
    <w:pPr>
      <w:pStyle w:val="Encabezado"/>
    </w:pPr>
    <w:r>
      <w:rPr>
        <w:noProof/>
        <w:lang w:val="es-ES_tradnl" w:eastAsia="es-ES_tradnl"/>
      </w:rPr>
      <w:drawing>
        <wp:anchor distT="0" distB="0" distL="114300" distR="114300" simplePos="0" relativeHeight="251659264" behindDoc="1" locked="0" layoutInCell="1" allowOverlap="1" wp14:anchorId="2CBDC3DE" wp14:editId="070FEF9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29"/>
    <w:rsid w:val="00041E29"/>
    <w:rsid w:val="0011298D"/>
    <w:rsid w:val="001D05D5"/>
    <w:rsid w:val="004E4B72"/>
    <w:rsid w:val="005E5036"/>
    <w:rsid w:val="006E2D92"/>
    <w:rsid w:val="007A39B0"/>
    <w:rsid w:val="00830320"/>
    <w:rsid w:val="008A6C01"/>
    <w:rsid w:val="00A123F7"/>
    <w:rsid w:val="00A65ED8"/>
    <w:rsid w:val="00AE2E9D"/>
    <w:rsid w:val="00C82E07"/>
    <w:rsid w:val="00ED4C35"/>
    <w:rsid w:val="00FE3A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87C86"/>
  <w15:chartTrackingRefBased/>
  <w15:docId w15:val="{3C0CCE53-E59B-448E-A03A-96B8D1FC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41E29"/>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41E29"/>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41E29"/>
    <w:rPr>
      <w:sz w:val="24"/>
      <w:lang w:val="es-MX"/>
    </w:rPr>
  </w:style>
  <w:style w:type="paragraph" w:styleId="Encabezado">
    <w:name w:val="header"/>
    <w:basedOn w:val="Normal"/>
    <w:link w:val="EncabezadoCar"/>
    <w:uiPriority w:val="99"/>
    <w:unhideWhenUsed/>
    <w:rsid w:val="00041E29"/>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41E29"/>
    <w:rPr>
      <w:sz w:val="24"/>
      <w:lang w:val="es-MX"/>
    </w:rPr>
  </w:style>
  <w:style w:type="table" w:styleId="Tablaconcuadrcula">
    <w:name w:val="Table Grid"/>
    <w:basedOn w:val="Tablanormal"/>
    <w:uiPriority w:val="59"/>
    <w:rsid w:val="0004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41E29"/>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041E29"/>
    <w:pPr>
      <w:spacing w:before="100" w:beforeAutospacing="1" w:after="100" w:afterAutospacing="1"/>
    </w:pPr>
    <w:rPr>
      <w:lang w:eastAsia="es-CO"/>
    </w:rPr>
  </w:style>
  <w:style w:type="paragraph" w:styleId="Sinespaciado">
    <w:name w:val="No Spacing"/>
    <w:aliases w:val="No Indent"/>
    <w:uiPriority w:val="3"/>
    <w:qFormat/>
    <w:rsid w:val="00041E2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41E2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41E29"/>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41E29"/>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41E2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041E29"/>
    <w:rPr>
      <w:vertAlign w:val="superscript"/>
    </w:rPr>
  </w:style>
  <w:style w:type="paragraph" w:customStyle="1" w:styleId="Appelnotedebasde">
    <w:name w:val="Appel note de bas de..."/>
    <w:basedOn w:val="Normal"/>
    <w:link w:val="Refdenotaalpie"/>
    <w:uiPriority w:val="99"/>
    <w:rsid w:val="00041E29"/>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041E29"/>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83032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0320"/>
    <w:rPr>
      <w:rFonts w:ascii="Segoe UI" w:eastAsia="Times New Roman" w:hAnsi="Segoe UI" w:cs="Segoe UI"/>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D98CC0-CE02-412C-A626-0C0590A0807B}"/>
</file>

<file path=customXml/itemProps2.xml><?xml version="1.0" encoding="utf-8"?>
<ds:datastoreItem xmlns:ds="http://schemas.openxmlformats.org/officeDocument/2006/customXml" ds:itemID="{6520EBA7-EF8F-462D-9A6C-4E41447E352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1F9A8AF-F3B3-4E2F-9913-1545BF7B66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8433</Words>
  <Characters>46385</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Nathalia Urrego J.</cp:lastModifiedBy>
  <cp:revision>2</cp:revision>
  <dcterms:created xsi:type="dcterms:W3CDTF">2021-05-26T14:29:00Z</dcterms:created>
  <dcterms:modified xsi:type="dcterms:W3CDTF">2021-05-26T14:29:00Z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