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60C50" w:rsidR="00D25707" w:rsidP="00D60C50" w:rsidRDefault="00A71CEA" w14:paraId="751E5259" w14:textId="66660522">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rsidR="00427B0F" w:rsidP="00D25707" w:rsidRDefault="00427B0F" w14:paraId="72A313AF" w14:textId="628A4ED2">
      <w:pPr>
        <w:pStyle w:val="Textoindependiente"/>
        <w:spacing w:line="276" w:lineRule="auto"/>
        <w:jc w:val="both"/>
        <w:rPr>
          <w:rFonts w:eastAsia="Calibri"/>
          <w:b/>
          <w:bCs/>
          <w:sz w:val="22"/>
          <w:szCs w:val="22"/>
          <w:lang w:val="es-MX"/>
        </w:rPr>
      </w:pPr>
      <w:r w:rsidRPr="00D60C50">
        <w:rPr>
          <w:rFonts w:eastAsia="Calibri"/>
          <w:b/>
          <w:bCs/>
          <w:sz w:val="22"/>
          <w:szCs w:val="22"/>
          <w:lang w:val="es-CO"/>
        </w:rPr>
        <w:t xml:space="preserve">LEY DE GARANTÍAS – </w:t>
      </w:r>
      <w:r w:rsidRPr="00576D51" w:rsidR="00576D51">
        <w:rPr>
          <w:rFonts w:eastAsia="Calibri"/>
          <w:b/>
          <w:bCs/>
          <w:sz w:val="22"/>
          <w:szCs w:val="22"/>
          <w:lang w:val="es-MX"/>
        </w:rPr>
        <w:t xml:space="preserve">Tipos de restricciones </w:t>
      </w:r>
      <w:bookmarkStart w:name="_Hlk77157034" w:id="0"/>
      <w:r w:rsidRPr="00576D51" w:rsidR="00576D51">
        <w:rPr>
          <w:rFonts w:eastAsia="Calibri"/>
          <w:b/>
          <w:bCs/>
          <w:sz w:val="22"/>
          <w:szCs w:val="22"/>
          <w:lang w:val="es-MX"/>
        </w:rPr>
        <w:t xml:space="preserve">‒ </w:t>
      </w:r>
      <w:bookmarkStart w:name="_Hlk77153098" w:id="1"/>
      <w:bookmarkEnd w:id="0"/>
      <w:r w:rsidRPr="00576D51" w:rsidR="00576D51">
        <w:rPr>
          <w:rFonts w:eastAsia="Calibri"/>
          <w:b/>
          <w:bCs/>
          <w:sz w:val="22"/>
          <w:szCs w:val="22"/>
          <w:lang w:val="es-MX"/>
        </w:rPr>
        <w:t>Ámbito temporal</w:t>
      </w:r>
      <w:bookmarkEnd w:id="1"/>
    </w:p>
    <w:p w:rsidR="006414FA" w:rsidP="006414FA" w:rsidRDefault="006414FA" w14:paraId="37138D48" w14:textId="77777777">
      <w:pPr>
        <w:pStyle w:val="Textoindependiente"/>
        <w:jc w:val="both"/>
        <w:rPr>
          <w:bCs/>
          <w:lang w:val="es-MX" w:eastAsia="x-none"/>
        </w:rPr>
      </w:pPr>
    </w:p>
    <w:p w:rsidR="00576D51" w:rsidP="006414FA" w:rsidRDefault="006414FA" w14:paraId="6EFEC3A0" w14:textId="15B7CF7E">
      <w:pPr>
        <w:pStyle w:val="Textoindependiente"/>
        <w:jc w:val="both"/>
        <w:rPr>
          <w:bCs/>
          <w:lang w:val="es-MX" w:eastAsia="x-none"/>
        </w:rPr>
      </w:pPr>
      <w:r w:rsidRPr="006414FA">
        <w:rPr>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414FA">
        <w:rPr>
          <w:rFonts w:asciiTheme="minorHAnsi" w:hAnsiTheme="minorHAnsi" w:eastAsiaTheme="minorHAnsi" w:cstheme="minorBidi"/>
          <w:lang w:val="es-MX"/>
        </w:rPr>
        <w:t xml:space="preserve"> </w:t>
      </w:r>
      <w:r w:rsidRPr="006414FA">
        <w:rPr>
          <w:bCs/>
          <w:lang w:val="es-MX" w:eastAsia="x-none"/>
        </w:rPr>
        <w:t>En efecto, como lo ha sostenido el Consejo de Estado, el vocablo «todos» utilizado por el legislador comprende</w:t>
      </w:r>
      <w:r w:rsidRPr="006414FA">
        <w:rPr>
          <w:rFonts w:asciiTheme="minorHAnsi" w:hAnsiTheme="minorHAnsi" w:eastAsiaTheme="minorHAnsi" w:cstheme="minorBidi"/>
          <w:lang w:val="es-MX"/>
        </w:rPr>
        <w:t xml:space="preserve"> </w:t>
      </w:r>
      <w:r w:rsidRPr="006414FA">
        <w:rPr>
          <w:bCs/>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6414FA">
        <w:rPr>
          <w:bCs/>
          <w:lang w:val="es-MX" w:eastAsia="x-none"/>
        </w:rPr>
        <w:t xml:space="preserve">. </w:t>
      </w:r>
    </w:p>
    <w:p w:rsidR="008148A5" w:rsidP="006414FA" w:rsidRDefault="008148A5" w14:paraId="479FCE05" w14:textId="1B724477">
      <w:pPr>
        <w:pStyle w:val="Textoindependiente"/>
        <w:jc w:val="both"/>
        <w:rPr>
          <w:bCs/>
          <w:lang w:val="es-MX" w:eastAsia="x-none"/>
        </w:rPr>
      </w:pPr>
    </w:p>
    <w:p w:rsidR="008148A5" w:rsidP="006414FA" w:rsidRDefault="008148A5" w14:paraId="09B9525D" w14:textId="641319E6">
      <w:pPr>
        <w:pStyle w:val="Textoindependiente"/>
        <w:jc w:val="both"/>
        <w:rPr>
          <w:bCs/>
          <w:lang w:val="es-MX" w:eastAsia="x-none"/>
        </w:rPr>
      </w:pPr>
      <w:r>
        <w:rPr>
          <w:bCs/>
          <w:lang w:val="es-MX" w:eastAsia="x-none"/>
        </w:rPr>
        <w:t>[…]</w:t>
      </w:r>
    </w:p>
    <w:p w:rsidR="008148A5" w:rsidP="006414FA" w:rsidRDefault="008148A5" w14:paraId="6DA33E17" w14:textId="44E4623C">
      <w:pPr>
        <w:pStyle w:val="Textoindependiente"/>
        <w:jc w:val="both"/>
        <w:rPr>
          <w:bCs/>
          <w:lang w:val="es-MX" w:eastAsia="x-none"/>
        </w:rPr>
      </w:pPr>
    </w:p>
    <w:p w:rsidRPr="008148A5" w:rsidR="008148A5" w:rsidP="006414FA" w:rsidRDefault="008148A5" w14:paraId="08997DEE" w14:textId="410C7380">
      <w:pPr>
        <w:pStyle w:val="Textoindependiente"/>
        <w:jc w:val="both"/>
        <w:rPr>
          <w:rFonts w:eastAsia="Calibri"/>
          <w:b/>
          <w:bCs/>
          <w:lang w:val="es-CO"/>
        </w:rPr>
      </w:pPr>
      <w:r w:rsidRPr="008148A5">
        <w:rPr>
          <w:rFonts w:eastAsia="Calibri"/>
          <w:bCs/>
        </w:rPr>
        <w:t xml:space="preserve">El parágrafo del artículo 38 de la Ley 996 de 2005 dispone que «[l]os Gobernadores, </w:t>
      </w:r>
      <w:proofErr w:type="gramStart"/>
      <w:r w:rsidRPr="008148A5">
        <w:rPr>
          <w:rFonts w:eastAsia="Calibri"/>
          <w:bCs/>
        </w:rPr>
        <w:t>Alcaldes</w:t>
      </w:r>
      <w:proofErr w:type="gramEnd"/>
      <w:r w:rsidRPr="008148A5">
        <w:rPr>
          <w:rFonts w:eastAsia="Calibri"/>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8148A5">
        <w:rPr>
          <w:bCs/>
          <w:iCs/>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8148A5">
        <w:rPr>
          <w:bCs/>
          <w:iCs/>
          <w:lang w:val="es-MX" w:eastAsia="x-none"/>
        </w:rPr>
        <w:t xml:space="preserve">. </w:t>
      </w:r>
    </w:p>
    <w:p w:rsidRPr="00D60C50" w:rsidR="00427B0F" w:rsidP="00D25707" w:rsidRDefault="00427B0F" w14:paraId="679AA35E" w14:textId="77777777">
      <w:pPr>
        <w:pStyle w:val="Textoindependiente"/>
        <w:spacing w:line="276" w:lineRule="auto"/>
        <w:jc w:val="both"/>
        <w:rPr>
          <w:rFonts w:eastAsia="Calibri"/>
          <w:sz w:val="22"/>
          <w:szCs w:val="22"/>
          <w:lang w:val="es-CO"/>
        </w:rPr>
      </w:pPr>
    </w:p>
    <w:p w:rsidRPr="00D60C50" w:rsidR="00427B0F" w:rsidP="00D25707" w:rsidRDefault="00427B0F" w14:paraId="7A57B5D7" w14:textId="29D3471B">
      <w:pPr>
        <w:pStyle w:val="Textoindependiente"/>
        <w:spacing w:line="276" w:lineRule="auto"/>
        <w:jc w:val="both"/>
        <w:rPr>
          <w:rFonts w:eastAsia="Calibri"/>
          <w:b/>
          <w:bCs/>
          <w:sz w:val="22"/>
          <w:szCs w:val="22"/>
          <w:lang w:val="es-CO"/>
        </w:rPr>
      </w:pPr>
      <w:r w:rsidRPr="00D60C50">
        <w:rPr>
          <w:rFonts w:eastAsia="Calibri"/>
          <w:b/>
          <w:bCs/>
          <w:sz w:val="22"/>
          <w:szCs w:val="22"/>
          <w:lang w:val="es-CO"/>
        </w:rPr>
        <w:t>INSTITUCIONES EDUCATIVAS –</w:t>
      </w:r>
      <w:r w:rsidR="00DC58C9">
        <w:rPr>
          <w:rFonts w:eastAsia="Calibri"/>
          <w:b/>
          <w:bCs/>
          <w:sz w:val="22"/>
          <w:szCs w:val="22"/>
          <w:lang w:val="es-CO"/>
        </w:rPr>
        <w:t xml:space="preserve"> </w:t>
      </w:r>
      <w:r w:rsidR="00DD3884">
        <w:rPr>
          <w:rFonts w:eastAsia="Calibri"/>
          <w:b/>
          <w:bCs/>
          <w:sz w:val="22"/>
          <w:szCs w:val="22"/>
          <w:lang w:val="es-CO"/>
        </w:rPr>
        <w:t>Fondos de servicios educativos</w:t>
      </w:r>
      <w:r w:rsidR="00AE11B5">
        <w:rPr>
          <w:rFonts w:eastAsia="Calibri"/>
          <w:b/>
          <w:bCs/>
          <w:sz w:val="22"/>
          <w:szCs w:val="22"/>
          <w:lang w:val="es-CO"/>
        </w:rPr>
        <w:t xml:space="preserve"> – Ley de garantías </w:t>
      </w:r>
    </w:p>
    <w:p w:rsidRPr="00D60C50" w:rsidR="00427B0F" w:rsidP="00D25707" w:rsidRDefault="00427B0F" w14:paraId="7D91AD14" w14:textId="4DDF7BA2">
      <w:pPr>
        <w:pStyle w:val="Textoindependiente"/>
        <w:spacing w:line="276" w:lineRule="auto"/>
        <w:jc w:val="both"/>
        <w:rPr>
          <w:rFonts w:eastAsia="Calibri"/>
          <w:b/>
          <w:bCs/>
          <w:sz w:val="22"/>
          <w:szCs w:val="22"/>
          <w:lang w:val="es-CO"/>
        </w:rPr>
      </w:pPr>
    </w:p>
    <w:p w:rsidR="00AE11B5" w:rsidP="00AE11B5" w:rsidRDefault="00AE11B5" w14:paraId="16F6D231" w14:textId="4C146931">
      <w:pPr>
        <w:pStyle w:val="Textoindependiente"/>
        <w:jc w:val="both"/>
        <w:rPr>
          <w:bCs/>
          <w:lang w:val="es-CO"/>
        </w:rPr>
      </w:pPr>
      <w:r w:rsidRPr="00AE11B5">
        <w:rPr>
          <w:bCs/>
          <w:lang w:val="es-MX"/>
        </w:rPr>
        <w:t xml:space="preserve">Conforme a la interpretación de las normas generales del sistema de compras y contratación pública, </w:t>
      </w:r>
      <w:r w:rsidRPr="00AE11B5">
        <w:rPr>
          <w:lang w:val="es-CO"/>
        </w:rPr>
        <w:t xml:space="preserve">para la restricción del artículo 33 de la </w:t>
      </w:r>
      <w:r w:rsidRPr="00AE11B5">
        <w:rPr>
          <w:bCs/>
          <w:lang w:val="es-CO"/>
        </w:rPr>
        <w:t xml:space="preserve">Ley 996 de 2005 es necesario considerar que </w:t>
      </w:r>
      <w:r w:rsidRPr="00AE11B5">
        <w:t xml:space="preserve">el artículo </w:t>
      </w:r>
      <w:r w:rsidRPr="00AE11B5">
        <w:rPr>
          <w:lang w:val="es-CO"/>
        </w:rPr>
        <w:t>13 de la Ley 715 de 2001</w:t>
      </w:r>
      <w:r w:rsidRPr="00AE11B5">
        <w:rPr>
          <w:bCs/>
          <w:lang w:val="es-CO"/>
        </w:rPr>
        <w:t xml:space="preserve"> consagra un régimen jurídico que exceptúa la aplicación de la Ley 80 de 1993 en los contratos de los fondos de servicios educativos inferiores a veinte (20) </w:t>
      </w:r>
      <w:proofErr w:type="spellStart"/>
      <w:r w:rsidRPr="00AE11B5">
        <w:rPr>
          <w:bCs/>
          <w:lang w:val="es-CO"/>
        </w:rPr>
        <w:t>smlmv</w:t>
      </w:r>
      <w:proofErr w:type="spellEnd"/>
      <w:r w:rsidRPr="00AE11B5">
        <w:rPr>
          <w:bCs/>
          <w:lang w:val="es-CO"/>
        </w:rPr>
        <w:t xml:space="preserve"> con el objetivo de flexibilizar el régimen contractual aplicable. Pese a lo anterior, la prohibición de contratación directa de la Ley de Garantías es independiente del régimen contractual, por lo que se extiende a los contratos celebrados con cargo a los fondos de servicios educativos.</w:t>
      </w:r>
    </w:p>
    <w:p w:rsidRPr="00AE11B5" w:rsidR="00AE11B5" w:rsidP="00AE11B5" w:rsidRDefault="00AE11B5" w14:paraId="461450B8" w14:textId="77777777">
      <w:pPr>
        <w:pStyle w:val="Textoindependiente"/>
        <w:jc w:val="both"/>
        <w:rPr>
          <w:bCs/>
          <w:lang w:val="es-CO"/>
        </w:rPr>
      </w:pPr>
    </w:p>
    <w:p w:rsidR="00AE11B5" w:rsidP="00AE11B5" w:rsidRDefault="00AE11B5" w14:paraId="15EA50C9" w14:textId="14698D78">
      <w:pPr>
        <w:pStyle w:val="Textoindependiente"/>
        <w:jc w:val="both"/>
        <w:rPr>
          <w:bCs/>
          <w:lang w:val="es-CO"/>
        </w:rPr>
      </w:pPr>
      <w:r w:rsidRPr="00AE11B5">
        <w:rPr>
          <w:bCs/>
          <w:lang w:val="es-CO"/>
        </w:rPr>
        <w:t xml:space="preserve">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AE11B5">
        <w:rPr>
          <w:bCs/>
          <w:i/>
          <w:iCs/>
          <w:lang w:val="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AE11B5">
        <w:rPr>
          <w:bCs/>
          <w:lang w:val="es-CO"/>
        </w:rPr>
        <w:t xml:space="preserve">» (Énfasis fuera de texto). Por tanto, durante la vigencia de la prohibición del artículo 33 de la Ley 996 de 2005 está restringida cualquier modalidad de selección que excluya la pluralidad de oferentes en el régimen especial de contratación realizado con recursos de los fondos de servicios educativos por valor inferior a inferiores a veinte (20) </w:t>
      </w:r>
      <w:proofErr w:type="spellStart"/>
      <w:r w:rsidRPr="00AE11B5">
        <w:rPr>
          <w:bCs/>
          <w:lang w:val="es-CO"/>
        </w:rPr>
        <w:t>smlmv</w:t>
      </w:r>
      <w:proofErr w:type="spellEnd"/>
      <w:r w:rsidRPr="00AE11B5">
        <w:rPr>
          <w:bCs/>
          <w:lang w:val="es-CO"/>
        </w:rPr>
        <w:t xml:space="preserve">. </w:t>
      </w:r>
    </w:p>
    <w:p w:rsidRPr="00AE11B5" w:rsidR="00AE11B5" w:rsidP="00AE11B5" w:rsidRDefault="00AE11B5" w14:paraId="3064FA47" w14:textId="77777777">
      <w:pPr>
        <w:pStyle w:val="Textoindependiente"/>
        <w:jc w:val="both"/>
        <w:rPr>
          <w:bCs/>
          <w:lang w:val="es-CO"/>
        </w:rPr>
      </w:pPr>
    </w:p>
    <w:p w:rsidRPr="00AE11B5" w:rsidR="00AE11B5" w:rsidP="00AE11B5" w:rsidRDefault="00AE11B5" w14:paraId="5929DE39" w14:textId="77777777">
      <w:pPr>
        <w:pStyle w:val="Textoindependiente"/>
        <w:jc w:val="both"/>
        <w:rPr>
          <w:lang w:val="es-CO"/>
        </w:rPr>
      </w:pPr>
      <w:r w:rsidRPr="00AE11B5">
        <w:rPr>
          <w:bCs/>
          <w:lang w:val="es-CO"/>
        </w:rPr>
        <w:t xml:space="preserve">Por otra parte, respecto a </w:t>
      </w:r>
      <w:r w:rsidRPr="00AE11B5">
        <w:rPr>
          <w:lang w:val="es-CO"/>
        </w:rPr>
        <w:t xml:space="preserve">la restricción del artículo 38 de la </w:t>
      </w:r>
      <w:r w:rsidRPr="00AE11B5">
        <w:rPr>
          <w:bCs/>
          <w:lang w:val="es-CO"/>
        </w:rPr>
        <w:t>Ley de Garantías                –modificado transitoriamente por el artículo 124 de la Ley 2159 de 2021– se considera que los contratos celebrados con los administradores del fondo y otras entidades públicas son contratos interadministrativos. En efecto, el citado artículo 2.2.1.2.1.4.4 d</w:t>
      </w:r>
      <w:r w:rsidRPr="00AE11B5">
        <w:rPr>
          <w:lang w:val="es-ES_tradnl"/>
        </w:rPr>
        <w:t xml:space="preserve">el Decreto 1082 de 2015 califica a los convenios o contratos interadministrativos como aquella contratación entre entidades estatales. El concepto está definido en el artículo 2.2.1.1.1.3.1 </w:t>
      </w:r>
      <w:r w:rsidRPr="00AE11B5">
        <w:rPr>
          <w:i/>
          <w:iCs/>
          <w:lang w:val="es-ES_tradnl"/>
        </w:rPr>
        <w:t>ibidem</w:t>
      </w:r>
      <w:r w:rsidRPr="00AE11B5">
        <w:rPr>
          <w:lang w:val="es-ES_tradnl"/>
        </w:rPr>
        <w:t xml:space="preserve"> como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Aunque </w:t>
      </w:r>
      <w:r w:rsidRPr="00AE11B5">
        <w:rPr>
          <w:lang w:val="es-CO"/>
        </w:rPr>
        <w:t>las instituciones educativas carecen de personería jurídica, tienen capacidad para contratar y se concreta en la competencia que le otorgó el legislador en la Ley 715 de 2001 para administrar los fondos de servicios educativos. Así, conforme al literal b) del artículo 2.1 de la Ley 80 de 1993, también se considera entidad estatal todos aquellos «[…] organismos o dependencias del Estado a los que la ley otorgue capacidad para celebrar contratos».</w:t>
      </w:r>
    </w:p>
    <w:p w:rsidRPr="00D60C50" w:rsidR="00427B0F" w:rsidP="00D25707" w:rsidRDefault="00427B0F" w14:paraId="5695ADB3" w14:textId="40DF973E">
      <w:pPr>
        <w:pStyle w:val="Textoindependiente"/>
        <w:spacing w:line="276" w:lineRule="auto"/>
        <w:jc w:val="both"/>
        <w:rPr>
          <w:rFonts w:eastAsia="Calibri"/>
          <w:sz w:val="22"/>
          <w:szCs w:val="22"/>
          <w:lang w:val="es-CO"/>
        </w:rPr>
      </w:pPr>
    </w:p>
    <w:p w:rsidRPr="00AE11B5" w:rsidR="00AF5F4D" w:rsidP="00D60C50" w:rsidRDefault="00941B11" w14:paraId="7BC7417D" w14:textId="4F4C9745">
      <w:pPr>
        <w:pStyle w:val="Textoindependiente"/>
        <w:spacing w:after="160" w:line="276" w:lineRule="auto"/>
        <w:jc w:val="both"/>
        <w:rPr>
          <w:rFonts w:eastAsia="Calibri"/>
          <w:b/>
          <w:bCs/>
          <w:sz w:val="21"/>
          <w:szCs w:val="21"/>
          <w:lang w:val="es-CO"/>
        </w:rPr>
      </w:pPr>
      <w:r w:rsidRPr="00D60C50">
        <w:rPr>
          <w:rFonts w:eastAsia="Calibri"/>
          <w:b/>
          <w:bCs/>
          <w:sz w:val="22"/>
          <w:szCs w:val="22"/>
          <w:lang w:val="es-CO"/>
        </w:rPr>
        <w:t>SECOP – Publicación – Contratos sin erogación presupuestal</w:t>
      </w:r>
      <w:r w:rsidR="00AE11B5">
        <w:rPr>
          <w:rFonts w:eastAsia="Calibri"/>
          <w:b/>
          <w:bCs/>
          <w:sz w:val="22"/>
          <w:szCs w:val="22"/>
          <w:lang w:val="es-CO"/>
        </w:rPr>
        <w:t xml:space="preserve"> – </w:t>
      </w:r>
      <w:r w:rsidRPr="00D60C50" w:rsidR="00AE11B5">
        <w:rPr>
          <w:rFonts w:eastAsia="Calibri"/>
          <w:b/>
          <w:bCs/>
          <w:sz w:val="22"/>
          <w:szCs w:val="22"/>
        </w:rPr>
        <w:t>Régimen aplicable – Contrato arrendamiento</w:t>
      </w:r>
    </w:p>
    <w:p w:rsidR="00AE11B5" w:rsidP="001140A9" w:rsidRDefault="00AE11B5" w14:paraId="29BEEA8E" w14:textId="3871C3F6">
      <w:pPr>
        <w:pStyle w:val="Textoindependiente"/>
        <w:spacing w:after="160"/>
        <w:jc w:val="both"/>
        <w:rPr>
          <w:rFonts w:eastAsia="Calibri"/>
          <w:lang w:val="es-MX"/>
        </w:rPr>
      </w:pPr>
      <w:r>
        <w:rPr>
          <w:rFonts w:eastAsia="Calibri"/>
          <w:lang w:val="es-MX"/>
        </w:rPr>
        <w:t>[</w:t>
      </w:r>
      <w:r w:rsidR="001140A9">
        <w:rPr>
          <w:rFonts w:eastAsia="Calibri"/>
          <w:lang w:val="es-MX"/>
        </w:rPr>
        <w:t>…]</w:t>
      </w:r>
      <w:r w:rsidRPr="00AE11B5">
        <w:rPr>
          <w:rFonts w:eastAsia="Calibri"/>
          <w:lang w:val="es-MX"/>
        </w:rPr>
        <w:t xml:space="preserve"> sin perjuicio de la aplicación del artículo 56 de la Ley 2195 de 2022, se concluye que la publicidad de los contratos estatales debe realizarse a través de SECOP, independientemente del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estos. En consecuencia, los contratos de arrendamiento que tengan como parte a una entidad estatal, deberán publicarse en el SECOP independientemente del régimen aplicable o que impliquen o no erogación de recursos públicos.</w:t>
      </w:r>
    </w:p>
    <w:p w:rsidR="00AE11B5" w:rsidP="00D60C50" w:rsidRDefault="00AE11B5" w14:paraId="521A576E" w14:textId="77777777">
      <w:pPr>
        <w:pStyle w:val="Textoindependiente"/>
        <w:spacing w:after="160" w:line="276" w:lineRule="auto"/>
        <w:jc w:val="both"/>
        <w:rPr>
          <w:rFonts w:eastAsia="Calibri"/>
          <w:lang w:val="es-MX"/>
        </w:rPr>
      </w:pPr>
    </w:p>
    <w:p w:rsidR="008F398C" w:rsidP="00D25707" w:rsidRDefault="008F398C" w14:paraId="4407BB4C" w14:textId="7F77922D">
      <w:pPr>
        <w:pStyle w:val="Textoindependiente"/>
        <w:spacing w:line="276" w:lineRule="auto"/>
        <w:jc w:val="both"/>
        <w:rPr>
          <w:rFonts w:eastAsia="Calibri"/>
          <w:b/>
          <w:bCs/>
          <w:sz w:val="22"/>
          <w:szCs w:val="22"/>
        </w:rPr>
      </w:pPr>
    </w:p>
    <w:p w:rsidR="001140A9" w:rsidP="00D25707" w:rsidRDefault="001140A9" w14:paraId="292FB213" w14:textId="25CF41C5">
      <w:pPr>
        <w:pStyle w:val="Textoindependiente"/>
        <w:spacing w:line="276" w:lineRule="auto"/>
        <w:jc w:val="both"/>
        <w:rPr>
          <w:rFonts w:eastAsia="Calibri"/>
          <w:b/>
          <w:bCs/>
          <w:sz w:val="22"/>
          <w:szCs w:val="22"/>
        </w:rPr>
      </w:pPr>
    </w:p>
    <w:p w:rsidR="001140A9" w:rsidP="00D25707" w:rsidRDefault="001140A9" w14:paraId="1B1AE541" w14:textId="71D9BB69">
      <w:pPr>
        <w:pStyle w:val="Textoindependiente"/>
        <w:spacing w:line="276" w:lineRule="auto"/>
        <w:jc w:val="both"/>
        <w:rPr>
          <w:rFonts w:eastAsia="Calibri"/>
          <w:b/>
          <w:bCs/>
          <w:sz w:val="22"/>
          <w:szCs w:val="22"/>
        </w:rPr>
      </w:pPr>
    </w:p>
    <w:p w:rsidR="001140A9" w:rsidP="00D25707" w:rsidRDefault="001140A9" w14:paraId="48F7B251" w14:textId="61809AFA">
      <w:pPr>
        <w:pStyle w:val="Textoindependiente"/>
        <w:spacing w:line="276" w:lineRule="auto"/>
        <w:jc w:val="both"/>
        <w:rPr>
          <w:rFonts w:eastAsia="Calibri"/>
          <w:b/>
          <w:bCs/>
          <w:sz w:val="22"/>
          <w:szCs w:val="22"/>
        </w:rPr>
      </w:pPr>
    </w:p>
    <w:p w:rsidR="001140A9" w:rsidP="00D25707" w:rsidRDefault="001140A9" w14:paraId="1DC64296" w14:textId="59F53F32">
      <w:pPr>
        <w:pStyle w:val="Textoindependiente"/>
        <w:spacing w:line="276" w:lineRule="auto"/>
        <w:jc w:val="both"/>
        <w:rPr>
          <w:rFonts w:eastAsia="Calibri"/>
          <w:b/>
          <w:bCs/>
          <w:sz w:val="22"/>
          <w:szCs w:val="22"/>
        </w:rPr>
      </w:pPr>
    </w:p>
    <w:p w:rsidR="001140A9" w:rsidP="00D25707" w:rsidRDefault="001140A9" w14:paraId="30863EAD" w14:textId="77777777">
      <w:pPr>
        <w:pStyle w:val="Textoindependiente"/>
        <w:spacing w:line="276" w:lineRule="auto"/>
        <w:jc w:val="both"/>
        <w:rPr>
          <w:rFonts w:eastAsia="Calibri"/>
          <w:sz w:val="21"/>
          <w:szCs w:val="21"/>
          <w:lang w:val="es-CO"/>
        </w:rPr>
      </w:pPr>
    </w:p>
    <w:p w:rsidR="002F0981" w:rsidP="00D25707" w:rsidRDefault="002F0981" w14:paraId="194AB231" w14:textId="61A2BDAB">
      <w:pPr>
        <w:pStyle w:val="Textoindependiente"/>
        <w:spacing w:line="276" w:lineRule="auto"/>
        <w:jc w:val="both"/>
        <w:rPr>
          <w:rFonts w:eastAsia="Calibri"/>
          <w:sz w:val="21"/>
          <w:szCs w:val="21"/>
          <w:lang w:val="es-CO"/>
        </w:rPr>
      </w:pPr>
    </w:p>
    <w:p w:rsidR="002F0981" w:rsidP="00D25707" w:rsidRDefault="002F0981" w14:paraId="39A37E53" w14:textId="38D5414E">
      <w:pPr>
        <w:pStyle w:val="Textoindependiente"/>
        <w:spacing w:line="276" w:lineRule="auto"/>
        <w:jc w:val="both"/>
        <w:rPr>
          <w:rFonts w:eastAsia="Calibri"/>
          <w:sz w:val="21"/>
          <w:szCs w:val="21"/>
          <w:lang w:val="es-CO"/>
        </w:rPr>
      </w:pPr>
    </w:p>
    <w:p w:rsidR="0061648F" w:rsidP="00180508" w:rsidRDefault="0061648F" w14:paraId="28DBDC28" w14:textId="663CB4EE">
      <w:pPr>
        <w:spacing w:line="276" w:lineRule="auto"/>
        <w:rPr>
          <w:rFonts w:ascii="Arial" w:hAnsi="Arial" w:cs="Arial"/>
          <w:b/>
          <w:bCs/>
          <w:sz w:val="22"/>
        </w:rPr>
      </w:pPr>
    </w:p>
    <w:p w:rsidR="003E7318" w:rsidP="00180508" w:rsidRDefault="003E7318" w14:paraId="04232476" w14:textId="16393912">
      <w:pPr>
        <w:spacing w:line="276" w:lineRule="auto"/>
        <w:rPr>
          <w:rFonts w:ascii="Arial" w:hAnsi="Arial" w:cs="Arial"/>
          <w:b/>
          <w:bCs/>
          <w:sz w:val="22"/>
        </w:rPr>
      </w:pPr>
    </w:p>
    <w:p w:rsidR="00752C7B" w:rsidP="00180508" w:rsidRDefault="00752C7B" w14:paraId="2C4F2D4D" w14:textId="24804740">
      <w:pPr>
        <w:spacing w:line="276" w:lineRule="auto"/>
        <w:rPr>
          <w:rFonts w:ascii="Arial" w:hAnsi="Arial" w:cs="Arial"/>
          <w:b/>
          <w:bCs/>
          <w:sz w:val="22"/>
        </w:rPr>
      </w:pPr>
    </w:p>
    <w:p w:rsidR="001140A9" w:rsidP="00180508" w:rsidRDefault="001140A9" w14:paraId="683A2EE6" w14:textId="77777777">
      <w:pPr>
        <w:spacing w:line="276" w:lineRule="auto"/>
        <w:rPr>
          <w:rFonts w:ascii="Arial" w:hAnsi="Arial" w:cs="Arial"/>
          <w:b/>
          <w:bCs/>
          <w:sz w:val="22"/>
        </w:rPr>
      </w:pPr>
    </w:p>
    <w:p w:rsidR="00752C7B" w:rsidP="00180508" w:rsidRDefault="00752C7B" w14:paraId="5DFBA456" w14:textId="1D3BE4E1">
      <w:pPr>
        <w:spacing w:line="276" w:lineRule="auto"/>
        <w:rPr>
          <w:rFonts w:ascii="Arial" w:hAnsi="Arial" w:cs="Arial"/>
          <w:b/>
          <w:bCs/>
          <w:sz w:val="22"/>
        </w:rPr>
      </w:pPr>
    </w:p>
    <w:p w:rsidR="004C0557" w:rsidP="00180508" w:rsidRDefault="004C0557" w14:paraId="1DC842E3" w14:textId="26BACC51">
      <w:pPr>
        <w:spacing w:line="276" w:lineRule="auto"/>
        <w:rPr>
          <w:rFonts w:ascii="Arial" w:hAnsi="Arial" w:cs="Arial"/>
          <w:b/>
          <w:bCs/>
          <w:sz w:val="22"/>
        </w:rPr>
      </w:pPr>
    </w:p>
    <w:p w:rsidR="004C0557" w:rsidP="00180508" w:rsidRDefault="004C0557" w14:paraId="673D0EB3" w14:textId="2C69C99D">
      <w:pPr>
        <w:spacing w:line="276" w:lineRule="auto"/>
        <w:rPr>
          <w:rFonts w:ascii="Arial" w:hAnsi="Arial" w:cs="Arial"/>
          <w:b/>
          <w:bCs/>
          <w:sz w:val="22"/>
        </w:rPr>
      </w:pPr>
    </w:p>
    <w:p w:rsidR="004C0557" w:rsidP="00180508" w:rsidRDefault="004C0557" w14:paraId="716844AE" w14:textId="481FAD57">
      <w:pPr>
        <w:spacing w:line="276" w:lineRule="auto"/>
        <w:rPr>
          <w:rFonts w:ascii="Arial" w:hAnsi="Arial" w:cs="Arial"/>
          <w:b/>
          <w:bCs/>
          <w:sz w:val="22"/>
        </w:rPr>
      </w:pPr>
    </w:p>
    <w:p w:rsidR="004C0557" w:rsidP="00180508" w:rsidRDefault="004C0557" w14:paraId="0249AC44" w14:textId="5F624F05">
      <w:pPr>
        <w:spacing w:line="276" w:lineRule="auto"/>
        <w:rPr>
          <w:rFonts w:ascii="Arial" w:hAnsi="Arial" w:cs="Arial"/>
          <w:b/>
          <w:bCs/>
          <w:sz w:val="22"/>
        </w:rPr>
      </w:pPr>
    </w:p>
    <w:p w:rsidR="004C0557" w:rsidP="00180508" w:rsidRDefault="004C0557" w14:paraId="597E5400" w14:textId="77777777">
      <w:pPr>
        <w:spacing w:line="276" w:lineRule="auto"/>
        <w:rPr>
          <w:rFonts w:ascii="Arial" w:hAnsi="Arial" w:cs="Arial"/>
          <w:b/>
          <w:bCs/>
          <w:sz w:val="22"/>
        </w:rPr>
      </w:pPr>
    </w:p>
    <w:p w:rsidRPr="00FD7DA9" w:rsidR="00CE4BD7" w:rsidP="00AE11B5" w:rsidRDefault="00AE11B5" w14:paraId="3CC18F1C" w14:textId="75796BB6">
      <w:pPr>
        <w:jc w:val="right"/>
        <w:rPr>
          <w:rFonts w:ascii="Arial" w:hAnsi="Arial" w:eastAsia="Calibri" w:cs="Arial"/>
          <w:sz w:val="22"/>
        </w:rPr>
      </w:pPr>
      <w:r w:rsidRPr="00AE11B5">
        <w:rPr>
          <w:rFonts w:ascii="Arial" w:hAnsi="Arial" w:eastAsia="Calibri" w:cs="Arial"/>
          <w:sz w:val="22"/>
        </w:rPr>
        <w:drawing>
          <wp:inline distT="0" distB="0" distL="0" distR="0" wp14:anchorId="4E2614AF" wp14:editId="76C8BF6D">
            <wp:extent cx="2457451" cy="672762"/>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64120" cy="674588"/>
                    </a:xfrm>
                    <a:prstGeom prst="rect">
                      <a:avLst/>
                    </a:prstGeom>
                  </pic:spPr>
                </pic:pic>
              </a:graphicData>
            </a:graphic>
          </wp:inline>
        </w:drawing>
      </w:r>
    </w:p>
    <w:p w:rsidRPr="00FD7DA9" w:rsidR="00CE4BD7" w:rsidP="00C33A69" w:rsidRDefault="00CE4BD7" w14:paraId="42931346" w14:textId="77777777">
      <w:pPr>
        <w:rPr>
          <w:rFonts w:ascii="Arial" w:hAnsi="Arial" w:eastAsia="Calibri" w:cs="Arial"/>
          <w:sz w:val="22"/>
        </w:rPr>
      </w:pPr>
    </w:p>
    <w:p w:rsidRPr="00FD7DA9" w:rsidR="00CE4BD7" w:rsidP="00C33A69" w:rsidRDefault="00CE4BD7" w14:paraId="6E64AC9C" w14:textId="30B1AA19">
      <w:pPr>
        <w:rPr>
          <w:rFonts w:ascii="Arial" w:hAnsi="Arial" w:eastAsia="Calibri" w:cs="Arial"/>
          <w:sz w:val="22"/>
        </w:rPr>
      </w:pPr>
      <w:r w:rsidRPr="00CE4BD7">
        <w:rPr>
          <w:rFonts w:ascii="Arial" w:hAnsi="Arial" w:eastAsia="Calibri" w:cs="Arial"/>
          <w:sz w:val="22"/>
        </w:rPr>
        <w:t>Bogotá D.C.,</w:t>
      </w:r>
      <w:r w:rsidR="00AE11B5">
        <w:rPr>
          <w:rFonts w:ascii="Arial" w:hAnsi="Arial" w:eastAsia="Calibri" w:cs="Arial"/>
          <w:sz w:val="22"/>
        </w:rPr>
        <w:t xml:space="preserve"> 26 </w:t>
      </w:r>
      <w:proofErr w:type="gramStart"/>
      <w:r w:rsidR="00AE11B5">
        <w:rPr>
          <w:rFonts w:ascii="Arial" w:hAnsi="Arial" w:eastAsia="Calibri" w:cs="Arial"/>
          <w:sz w:val="22"/>
        </w:rPr>
        <w:t>Abril</w:t>
      </w:r>
      <w:proofErr w:type="gramEnd"/>
      <w:r w:rsidR="00AE11B5">
        <w:rPr>
          <w:rFonts w:ascii="Arial" w:hAnsi="Arial" w:eastAsia="Calibri" w:cs="Arial"/>
          <w:sz w:val="22"/>
        </w:rPr>
        <w:t xml:space="preserve"> 2022</w:t>
      </w:r>
    </w:p>
    <w:p w:rsidRPr="00FD7DA9" w:rsidR="00CE4BD7" w:rsidP="00C33A69" w:rsidRDefault="00CE4BD7" w14:paraId="3089FC43" w14:textId="77777777">
      <w:pPr>
        <w:rPr>
          <w:rFonts w:ascii="Arial" w:hAnsi="Arial" w:eastAsia="Calibri" w:cs="Arial"/>
          <w:sz w:val="22"/>
        </w:rPr>
      </w:pPr>
    </w:p>
    <w:p w:rsidRPr="00FD7DA9" w:rsidR="00CE4BD7" w:rsidP="00C33A69" w:rsidRDefault="00CE4BD7" w14:paraId="5307BB47" w14:textId="77777777">
      <w:pPr>
        <w:rPr>
          <w:rFonts w:ascii="Arial" w:hAnsi="Arial" w:eastAsia="Calibri" w:cs="Arial"/>
          <w:sz w:val="22"/>
        </w:rPr>
      </w:pPr>
      <w:bookmarkStart w:name="_Hlk101882130" w:id="2"/>
    </w:p>
    <w:p w:rsidR="00C33A69" w:rsidP="00C33A69" w:rsidRDefault="00C33A69" w14:paraId="67AC7ECE" w14:textId="389F5189">
      <w:pPr>
        <w:rPr>
          <w:rFonts w:ascii="Arial" w:hAnsi="Arial" w:eastAsia="Calibri" w:cs="Arial"/>
          <w:color w:val="000000" w:themeColor="text1"/>
          <w:sz w:val="22"/>
        </w:rPr>
      </w:pPr>
      <w:r w:rsidRPr="001B0D3D">
        <w:rPr>
          <w:rFonts w:ascii="Arial" w:hAnsi="Arial" w:eastAsia="Calibri" w:cs="Arial"/>
          <w:color w:val="000000" w:themeColor="text1"/>
          <w:sz w:val="22"/>
        </w:rPr>
        <w:t>Señor</w:t>
      </w:r>
    </w:p>
    <w:p w:rsidRPr="0093085B" w:rsidR="003C1F96" w:rsidRDefault="00F35993" w14:paraId="4F9DF387" w14:textId="219792BA">
      <w:pPr>
        <w:rPr>
          <w:rFonts w:ascii="Arial" w:hAnsi="Arial" w:eastAsia="Calibri" w:cs="Arial"/>
          <w:b/>
          <w:bCs/>
          <w:color w:val="000000" w:themeColor="text1"/>
          <w:sz w:val="22"/>
        </w:rPr>
      </w:pPr>
      <w:r>
        <w:rPr>
          <w:rFonts w:ascii="Arial" w:hAnsi="Arial" w:eastAsia="Calibri" w:cs="Arial"/>
          <w:b/>
          <w:bCs/>
          <w:color w:val="000000" w:themeColor="text1"/>
          <w:sz w:val="22"/>
        </w:rPr>
        <w:t>Néstor Iván Garavito Rodríguez</w:t>
      </w:r>
    </w:p>
    <w:p w:rsidRPr="001B0D3D" w:rsidR="00C33A69" w:rsidP="00C33A69" w:rsidRDefault="00F35993" w14:paraId="3BB8E2E5" w14:textId="1700E168">
      <w:pPr>
        <w:rPr>
          <w:rFonts w:ascii="Arial" w:hAnsi="Arial" w:eastAsia="Calibri" w:cs="Arial"/>
          <w:color w:val="000000" w:themeColor="text1"/>
          <w:sz w:val="22"/>
        </w:rPr>
      </w:pPr>
      <w:r>
        <w:rPr>
          <w:rFonts w:ascii="Arial" w:hAnsi="Arial" w:eastAsia="Calibri" w:cs="Arial"/>
          <w:color w:val="000000" w:themeColor="text1"/>
          <w:sz w:val="22"/>
        </w:rPr>
        <w:t>Soacha, Cundinamarca</w:t>
      </w:r>
    </w:p>
    <w:p w:rsidRPr="001B0D3D" w:rsidR="00C33A69" w:rsidP="00C33A69" w:rsidRDefault="00C33A69" w14:paraId="3EE54747" w14:textId="77777777">
      <w:pPr>
        <w:rPr>
          <w:rFonts w:ascii="Arial" w:hAnsi="Arial" w:eastAsia="Calibri" w:cs="Arial"/>
          <w:color w:val="000000" w:themeColor="text1"/>
          <w:sz w:val="22"/>
        </w:rPr>
      </w:pPr>
    </w:p>
    <w:p w:rsidRPr="001B0D3D" w:rsidR="00667FCB" w:rsidP="00667FCB" w:rsidRDefault="00667FCB" w14:paraId="5A1EF225" w14:textId="77777777">
      <w:pPr>
        <w:rPr>
          <w:rFonts w:ascii="Arial" w:hAnsi="Arial" w:eastAsia="Calibri" w:cs="Arial"/>
          <w:b/>
          <w:color w:val="000000" w:themeColor="text1"/>
          <w:sz w:val="22"/>
        </w:rPr>
      </w:pPr>
    </w:p>
    <w:p w:rsidRPr="001B0D3D" w:rsidR="00C33A69" w:rsidP="006C0EA1" w:rsidRDefault="0034413B" w14:paraId="110710E1" w14:textId="4DF8D5DA">
      <w:pPr>
        <w:rPr>
          <w:rFonts w:ascii="Arial" w:hAnsi="Arial" w:eastAsia="Calibri" w:cs="Arial"/>
          <w:b/>
          <w:color w:val="000000" w:themeColor="text1"/>
          <w:sz w:val="22"/>
        </w:rPr>
      </w:pPr>
      <w:r>
        <w:rPr>
          <w:rFonts w:ascii="Arial" w:hAnsi="Arial" w:eastAsia="Calibri" w:cs="Arial"/>
          <w:b/>
          <w:color w:val="000000" w:themeColor="text1"/>
          <w:sz w:val="22"/>
        </w:rPr>
        <w:t xml:space="preserve">                                         </w:t>
      </w:r>
      <w:r w:rsidR="00945539">
        <w:rPr>
          <w:rFonts w:ascii="Arial" w:hAnsi="Arial" w:eastAsia="Calibri" w:cs="Arial"/>
          <w:b/>
          <w:color w:val="000000" w:themeColor="text1"/>
          <w:sz w:val="22"/>
        </w:rPr>
        <w:t xml:space="preserve"> </w:t>
      </w:r>
      <w:r w:rsidR="00C33A69">
        <w:rPr>
          <w:rFonts w:ascii="Arial" w:hAnsi="Arial" w:eastAsia="Calibri" w:cs="Arial"/>
          <w:b/>
          <w:color w:val="000000" w:themeColor="text1"/>
          <w:sz w:val="22"/>
        </w:rPr>
        <w:t>Concepto C</w:t>
      </w:r>
      <w:r w:rsidR="00A5202C">
        <w:rPr>
          <w:rFonts w:ascii="Arial" w:hAnsi="Arial" w:eastAsia="Calibri" w:cs="Arial"/>
          <w:b/>
          <w:color w:val="000000" w:themeColor="text1"/>
          <w:sz w:val="22"/>
        </w:rPr>
        <w:t xml:space="preserve"> – </w:t>
      </w:r>
      <w:r w:rsidR="00F35993">
        <w:rPr>
          <w:rFonts w:ascii="Arial" w:hAnsi="Arial" w:eastAsia="Calibri" w:cs="Arial"/>
          <w:b/>
          <w:color w:val="000000" w:themeColor="text1"/>
          <w:sz w:val="22"/>
        </w:rPr>
        <w:t>229</w:t>
      </w:r>
      <w:r w:rsidR="00C33A69">
        <w:rPr>
          <w:rFonts w:ascii="Arial" w:hAnsi="Arial" w:eastAsia="Calibri" w:cs="Arial"/>
          <w:b/>
          <w:color w:val="000000" w:themeColor="text1"/>
          <w:sz w:val="22"/>
        </w:rPr>
        <w:t xml:space="preserve"> de 202</w:t>
      </w:r>
      <w:r w:rsidR="00F35993">
        <w:rPr>
          <w:rFonts w:ascii="Arial" w:hAnsi="Arial" w:eastAsia="Calibri" w:cs="Arial"/>
          <w:b/>
          <w:color w:val="000000" w:themeColor="text1"/>
          <w:sz w:val="22"/>
        </w:rPr>
        <w:t>2</w:t>
      </w:r>
      <w:r w:rsidR="00C33A69">
        <w:rPr>
          <w:rFonts w:ascii="Arial" w:hAnsi="Arial" w:eastAsia="Calibri" w:cs="Arial"/>
          <w:b/>
          <w:color w:val="000000" w:themeColor="text1"/>
          <w:sz w:val="22"/>
        </w:rPr>
        <w:t xml:space="preserve"> </w:t>
      </w:r>
    </w:p>
    <w:p w:rsidRPr="001B0D3D" w:rsidR="00DC37CA" w:rsidP="002F0981" w:rsidRDefault="00DC37CA" w14:paraId="02E02EF8" w14:textId="77777777">
      <w:pPr>
        <w:rPr>
          <w:rFonts w:ascii="Arial" w:hAnsi="Arial" w:eastAsia="Calibri" w:cs="Arial"/>
          <w:b/>
          <w:color w:val="000000" w:themeColor="text1"/>
          <w:sz w:val="22"/>
        </w:rPr>
      </w:pPr>
    </w:p>
    <w:tbl>
      <w:tblPr>
        <w:tblStyle w:val="Tablaconcuadrcula"/>
        <w:tblW w:w="87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47"/>
        <w:gridCol w:w="6237"/>
      </w:tblGrid>
      <w:tr w:rsidRPr="0063204C" w:rsidR="00C33A69" w:rsidTr="002F0981" w14:paraId="098B1F4D" w14:textId="77777777">
        <w:trPr>
          <w:trHeight w:val="822"/>
        </w:trPr>
        <w:tc>
          <w:tcPr>
            <w:tcW w:w="2547" w:type="dxa"/>
          </w:tcPr>
          <w:p w:rsidRPr="00A7611A" w:rsidR="00427B0F" w:rsidP="00A7611A" w:rsidRDefault="00C33A69" w14:paraId="2C2F28D5" w14:textId="18000E43">
            <w:pPr>
              <w:pStyle w:val="Textoindependiente"/>
              <w:spacing w:line="276" w:lineRule="auto"/>
              <w:jc w:val="both"/>
              <w:rPr>
                <w:rFonts w:eastAsia="Calibri"/>
                <w:b/>
                <w:bCs/>
                <w:sz w:val="22"/>
                <w:szCs w:val="22"/>
                <w:lang w:val="es-CO"/>
              </w:rPr>
            </w:pPr>
            <w:r w:rsidRPr="00A7611A">
              <w:rPr>
                <w:rFonts w:eastAsia="Calibri"/>
                <w:b/>
                <w:color w:val="000000" w:themeColor="text1"/>
                <w:sz w:val="22"/>
                <w:szCs w:val="22"/>
              </w:rPr>
              <w:t>Temas:</w:t>
            </w:r>
          </w:p>
          <w:p w:rsidRPr="00A7611A" w:rsidR="00427B0F" w:rsidP="00A7611A" w:rsidRDefault="00427B0F" w14:paraId="080DD47C" w14:textId="283E3611">
            <w:pPr>
              <w:pStyle w:val="Textoindependiente"/>
              <w:spacing w:line="276" w:lineRule="auto"/>
              <w:jc w:val="both"/>
              <w:rPr>
                <w:rFonts w:eastAsia="Calibri"/>
                <w:b/>
                <w:bCs/>
                <w:sz w:val="22"/>
                <w:szCs w:val="22"/>
                <w:lang w:val="es-CO"/>
              </w:rPr>
            </w:pPr>
          </w:p>
          <w:p w:rsidRPr="00A7611A" w:rsidR="00C33A69" w:rsidP="00A7611A" w:rsidRDefault="00C33A69" w14:paraId="5400FE7E" w14:textId="159D5D76">
            <w:pPr>
              <w:jc w:val="both"/>
              <w:rPr>
                <w:rFonts w:ascii="Arial" w:hAnsi="Arial" w:eastAsia="Calibri" w:cs="Arial"/>
                <w:color w:val="000000" w:themeColor="text1"/>
              </w:rPr>
            </w:pPr>
            <w:r w:rsidRPr="00A7611A">
              <w:rPr>
                <w:rFonts w:ascii="Arial" w:hAnsi="Arial" w:eastAsia="Calibri" w:cs="Arial"/>
                <w:color w:val="000000" w:themeColor="text1"/>
              </w:rPr>
              <w:t xml:space="preserve">        </w:t>
            </w:r>
          </w:p>
        </w:tc>
        <w:tc>
          <w:tcPr>
            <w:tcW w:w="6237" w:type="dxa"/>
          </w:tcPr>
          <w:p w:rsidRPr="00F35993" w:rsidR="00431D72" w:rsidP="002F0981" w:rsidRDefault="003E7318" w14:paraId="61836A1F" w14:textId="48E01E51">
            <w:pPr>
              <w:pStyle w:val="Textoindependiente"/>
              <w:spacing w:after="120" w:line="276" w:lineRule="auto"/>
              <w:jc w:val="both"/>
              <w:rPr>
                <w:rFonts w:eastAsia="Calibri"/>
                <w:bCs/>
                <w:color w:val="000000" w:themeColor="text1"/>
                <w:sz w:val="22"/>
                <w:szCs w:val="22"/>
                <w:highlight w:val="yellow"/>
              </w:rPr>
            </w:pPr>
            <w:r w:rsidRPr="003E7318">
              <w:rPr>
                <w:rFonts w:eastAsia="Calibri"/>
                <w:bCs/>
                <w:color w:val="000000" w:themeColor="text1"/>
                <w:sz w:val="22"/>
                <w:szCs w:val="22"/>
              </w:rPr>
              <w:t>LEY DE GARANTÍAS – Tipos de restricciones ‒ Ámbito temporal</w:t>
            </w:r>
            <w:r>
              <w:rPr>
                <w:rFonts w:eastAsia="Calibri"/>
                <w:bCs/>
                <w:color w:val="000000" w:themeColor="text1"/>
                <w:sz w:val="22"/>
                <w:szCs w:val="22"/>
              </w:rPr>
              <w:t xml:space="preserve"> </w:t>
            </w:r>
            <w:r w:rsidRPr="00B6199E" w:rsidR="00A7611A">
              <w:rPr>
                <w:rFonts w:eastAsia="Calibri"/>
                <w:bCs/>
                <w:color w:val="000000" w:themeColor="text1"/>
                <w:sz w:val="22"/>
                <w:szCs w:val="22"/>
              </w:rPr>
              <w:t xml:space="preserve">/ INSTITUCIONES EDUCATIVAS – </w:t>
            </w:r>
            <w:r w:rsidRPr="00DD3884" w:rsidR="00DD3884">
              <w:rPr>
                <w:rFonts w:eastAsia="Calibri"/>
                <w:bCs/>
                <w:color w:val="000000" w:themeColor="text1"/>
                <w:sz w:val="22"/>
                <w:szCs w:val="22"/>
              </w:rPr>
              <w:t>Fondos de servicios educativos</w:t>
            </w:r>
            <w:r w:rsidRPr="00B6199E" w:rsidR="002F0981">
              <w:rPr>
                <w:rFonts w:eastAsia="Calibri"/>
                <w:bCs/>
                <w:color w:val="000000" w:themeColor="text1"/>
                <w:sz w:val="22"/>
                <w:szCs w:val="22"/>
              </w:rPr>
              <w:t xml:space="preserve"> / DESTINATARIOS – Artículo 33 Ley 996 de 2005 – Ley de Garantías / </w:t>
            </w:r>
            <w:r w:rsidRPr="00B6199E" w:rsidR="00431D72">
              <w:rPr>
                <w:rFonts w:eastAsia="Calibri"/>
                <w:bCs/>
                <w:color w:val="000000" w:themeColor="text1"/>
                <w:sz w:val="22"/>
                <w:szCs w:val="22"/>
              </w:rPr>
              <w:t>DESTINATARIOS – Artículo 38 Ley 996 de 2005 – Ley de Garantías</w:t>
            </w:r>
            <w:r w:rsidRPr="00B6199E" w:rsidR="001F52C0">
              <w:rPr>
                <w:rFonts w:eastAsia="Calibri"/>
                <w:bCs/>
                <w:color w:val="000000" w:themeColor="text1"/>
                <w:sz w:val="22"/>
                <w:szCs w:val="22"/>
              </w:rPr>
              <w:t xml:space="preserve"> / </w:t>
            </w:r>
            <w:r w:rsidRPr="00A82122" w:rsidR="001F52C0">
              <w:rPr>
                <w:rFonts w:eastAsia="Calibri"/>
                <w:sz w:val="22"/>
                <w:szCs w:val="22"/>
              </w:rPr>
              <w:t xml:space="preserve">SECOP – Publicación – Contratos sin erogación presupuestal / </w:t>
            </w:r>
            <w:bookmarkStart w:name="_Hlk100222088" w:id="3"/>
            <w:r w:rsidRPr="00A82122" w:rsidR="001F52C0">
              <w:rPr>
                <w:rFonts w:eastAsia="Calibri"/>
                <w:sz w:val="22"/>
                <w:szCs w:val="22"/>
              </w:rPr>
              <w:t>SECOP – Publicación – Régimen aplicable – Contrato</w:t>
            </w:r>
            <w:r w:rsidR="001F52C0">
              <w:rPr>
                <w:rFonts w:eastAsia="Calibri"/>
                <w:sz w:val="22"/>
                <w:szCs w:val="22"/>
              </w:rPr>
              <w:t xml:space="preserve"> a</w:t>
            </w:r>
            <w:r w:rsidRPr="00A82122" w:rsidR="001F52C0">
              <w:rPr>
                <w:rFonts w:eastAsia="Calibri"/>
                <w:sz w:val="22"/>
                <w:szCs w:val="22"/>
              </w:rPr>
              <w:t>rrendamiento</w:t>
            </w:r>
            <w:r w:rsidRPr="00F35993" w:rsidR="00431D72">
              <w:rPr>
                <w:rFonts w:eastAsia="Calibri"/>
                <w:bCs/>
                <w:color w:val="000000" w:themeColor="text1"/>
                <w:sz w:val="22"/>
                <w:szCs w:val="22"/>
                <w:highlight w:val="yellow"/>
              </w:rPr>
              <w:t xml:space="preserve"> </w:t>
            </w:r>
            <w:bookmarkEnd w:id="3"/>
          </w:p>
        </w:tc>
      </w:tr>
      <w:tr w:rsidRPr="001B0D3D" w:rsidR="00C33A69" w:rsidTr="002F0981" w14:paraId="7050D2D2" w14:textId="77777777">
        <w:tc>
          <w:tcPr>
            <w:tcW w:w="2547" w:type="dxa"/>
          </w:tcPr>
          <w:p w:rsidRPr="00A7611A" w:rsidR="00C33A69" w:rsidP="00A7611A" w:rsidRDefault="00C33A69" w14:paraId="393C8000" w14:textId="77777777">
            <w:pPr>
              <w:jc w:val="both"/>
              <w:rPr>
                <w:rFonts w:ascii="Arial" w:hAnsi="Arial" w:eastAsia="Calibri" w:cs="Arial"/>
                <w:color w:val="000000" w:themeColor="text1"/>
              </w:rPr>
            </w:pPr>
            <w:r w:rsidRPr="00A7611A">
              <w:rPr>
                <w:rFonts w:ascii="Arial" w:hAnsi="Arial" w:eastAsia="Calibri" w:cs="Arial"/>
                <w:b/>
                <w:color w:val="000000" w:themeColor="text1"/>
              </w:rPr>
              <w:t>Radicación:</w:t>
            </w:r>
            <w:r w:rsidRPr="00A7611A">
              <w:rPr>
                <w:rFonts w:ascii="Arial" w:hAnsi="Arial" w:eastAsia="Calibri" w:cs="Arial"/>
                <w:color w:val="000000" w:themeColor="text1"/>
              </w:rPr>
              <w:t xml:space="preserve">                              </w:t>
            </w:r>
          </w:p>
        </w:tc>
        <w:tc>
          <w:tcPr>
            <w:tcW w:w="6237" w:type="dxa"/>
          </w:tcPr>
          <w:p w:rsidRPr="00A7611A" w:rsidR="00C33A69" w:rsidP="00A7611A" w:rsidRDefault="00C33A69" w14:paraId="61074E39" w14:textId="7334D269">
            <w:pPr>
              <w:jc w:val="both"/>
              <w:rPr>
                <w:rFonts w:ascii="Arial" w:hAnsi="Arial" w:eastAsia="Calibri" w:cs="Arial"/>
                <w:color w:val="000000" w:themeColor="text1"/>
              </w:rPr>
            </w:pPr>
            <w:r w:rsidRPr="00A7611A">
              <w:rPr>
                <w:rFonts w:ascii="Arial" w:hAnsi="Arial" w:eastAsia="Calibri" w:cs="Arial"/>
                <w:color w:val="000000" w:themeColor="text1"/>
              </w:rPr>
              <w:t xml:space="preserve">Respuesta a </w:t>
            </w:r>
            <w:r w:rsidR="00F35993">
              <w:rPr>
                <w:rFonts w:ascii="Arial" w:hAnsi="Arial" w:eastAsia="Calibri" w:cs="Arial"/>
                <w:color w:val="000000" w:themeColor="text1"/>
              </w:rPr>
              <w:t xml:space="preserve">la </w:t>
            </w:r>
            <w:r w:rsidRPr="00A7611A">
              <w:rPr>
                <w:rFonts w:ascii="Arial" w:hAnsi="Arial" w:eastAsia="Calibri" w:cs="Arial"/>
                <w:color w:val="000000" w:themeColor="text1"/>
              </w:rPr>
              <w:t>consulta</w:t>
            </w:r>
            <w:r w:rsidR="00F35993">
              <w:rPr>
                <w:rFonts w:ascii="Arial" w:hAnsi="Arial" w:eastAsia="Calibri" w:cs="Arial"/>
                <w:color w:val="000000" w:themeColor="text1"/>
              </w:rPr>
              <w:t xml:space="preserve"> No.</w:t>
            </w:r>
            <w:r w:rsidRPr="00A7611A">
              <w:rPr>
                <w:rFonts w:ascii="Arial" w:hAnsi="Arial" w:eastAsia="Calibri" w:cs="Arial"/>
                <w:color w:val="000000" w:themeColor="text1"/>
              </w:rPr>
              <w:t xml:space="preserve"> </w:t>
            </w:r>
            <w:r w:rsidRPr="00F35993" w:rsidR="00F35993">
              <w:rPr>
                <w:rFonts w:ascii="Arial" w:hAnsi="Arial" w:eastAsia="Calibri" w:cs="Arial"/>
                <w:color w:val="000000" w:themeColor="text1"/>
              </w:rPr>
              <w:t>P20220311002464</w:t>
            </w:r>
          </w:p>
        </w:tc>
      </w:tr>
    </w:tbl>
    <w:p w:rsidR="00C33A69" w:rsidP="00C33A69" w:rsidRDefault="00C33A69" w14:paraId="67B4B4A1" w14:textId="77777777">
      <w:pPr>
        <w:spacing w:line="276" w:lineRule="auto"/>
        <w:rPr>
          <w:rFonts w:ascii="Arial" w:hAnsi="Arial" w:eastAsia="Calibri" w:cs="Arial"/>
          <w:color w:val="000000" w:themeColor="text1"/>
          <w:sz w:val="22"/>
        </w:rPr>
      </w:pPr>
    </w:p>
    <w:p w:rsidRPr="001B0D3D" w:rsidR="00C33A69" w:rsidP="00C33A69" w:rsidRDefault="00C33A69" w14:paraId="1A826586" w14:textId="77777777">
      <w:pPr>
        <w:spacing w:line="276" w:lineRule="auto"/>
        <w:rPr>
          <w:rFonts w:ascii="Arial" w:hAnsi="Arial" w:eastAsia="Calibri" w:cs="Arial"/>
          <w:color w:val="000000" w:themeColor="text1"/>
          <w:sz w:val="22"/>
        </w:rPr>
      </w:pPr>
    </w:p>
    <w:p w:rsidRPr="001B0D3D" w:rsidR="00C33A69" w:rsidP="00C33A69" w:rsidRDefault="00C33A69" w14:paraId="177D81C6" w14:textId="1A47C079">
      <w:pPr>
        <w:tabs>
          <w:tab w:val="left" w:pos="3736"/>
        </w:tabs>
        <w:spacing w:line="276" w:lineRule="auto"/>
        <w:rPr>
          <w:rFonts w:ascii="Arial" w:hAnsi="Arial" w:eastAsia="Calibri" w:cs="Arial"/>
          <w:color w:val="000000" w:themeColor="text1"/>
          <w:sz w:val="22"/>
        </w:rPr>
      </w:pPr>
      <w:r w:rsidRPr="001B0D3D">
        <w:rPr>
          <w:rFonts w:ascii="Arial" w:hAnsi="Arial" w:eastAsia="Calibri" w:cs="Arial"/>
          <w:color w:val="000000" w:themeColor="text1"/>
          <w:sz w:val="22"/>
        </w:rPr>
        <w:t>Estimad</w:t>
      </w:r>
      <w:r w:rsidR="00180508">
        <w:rPr>
          <w:rFonts w:ascii="Arial" w:hAnsi="Arial" w:eastAsia="Calibri" w:cs="Arial"/>
          <w:color w:val="000000" w:themeColor="text1"/>
          <w:sz w:val="22"/>
        </w:rPr>
        <w:t>o</w:t>
      </w:r>
      <w:r w:rsidRPr="001B0D3D">
        <w:rPr>
          <w:rFonts w:ascii="Arial" w:hAnsi="Arial" w:eastAsia="Calibri" w:cs="Arial"/>
          <w:color w:val="000000" w:themeColor="text1"/>
          <w:sz w:val="22"/>
        </w:rPr>
        <w:t xml:space="preserve"> señor</w:t>
      </w:r>
      <w:r w:rsidR="0034413B">
        <w:rPr>
          <w:rFonts w:ascii="Arial" w:hAnsi="Arial" w:eastAsia="Calibri" w:cs="Arial"/>
          <w:color w:val="000000" w:themeColor="text1"/>
          <w:sz w:val="22"/>
        </w:rPr>
        <w:t xml:space="preserve"> </w:t>
      </w:r>
      <w:r w:rsidR="00180508">
        <w:rPr>
          <w:rFonts w:ascii="Arial" w:hAnsi="Arial" w:eastAsia="Calibri" w:cs="Arial"/>
          <w:color w:val="000000" w:themeColor="text1"/>
          <w:sz w:val="22"/>
        </w:rPr>
        <w:t>Garavito Rodríguez</w:t>
      </w:r>
      <w:r w:rsidR="0034413B">
        <w:rPr>
          <w:rFonts w:ascii="Arial" w:hAnsi="Arial" w:eastAsia="Calibri" w:cs="Arial"/>
          <w:color w:val="000000" w:themeColor="text1"/>
          <w:sz w:val="22"/>
        </w:rPr>
        <w:t>:</w:t>
      </w:r>
      <w:r w:rsidRPr="001B0D3D">
        <w:rPr>
          <w:rFonts w:ascii="Arial" w:hAnsi="Arial" w:eastAsia="Calibri" w:cs="Arial"/>
          <w:color w:val="000000" w:themeColor="text1"/>
          <w:sz w:val="22"/>
        </w:rPr>
        <w:tab/>
      </w:r>
    </w:p>
    <w:p w:rsidRPr="001B0D3D" w:rsidR="00C33A69" w:rsidP="00C33A69" w:rsidRDefault="00C33A69" w14:paraId="44E85655" w14:textId="77777777">
      <w:pPr>
        <w:spacing w:line="276" w:lineRule="auto"/>
        <w:rPr>
          <w:rFonts w:ascii="Arial" w:hAnsi="Arial" w:eastAsia="Calibri" w:cs="Arial"/>
          <w:color w:val="000000" w:themeColor="text1"/>
          <w:sz w:val="22"/>
        </w:rPr>
      </w:pPr>
    </w:p>
    <w:p w:rsidR="00C33A69" w:rsidP="00D44588" w:rsidRDefault="00154CB4" w14:paraId="0987E0B4" w14:textId="7665AD52">
      <w:pPr>
        <w:pStyle w:val="Prrafodelista"/>
        <w:spacing w:line="276" w:lineRule="auto"/>
        <w:ind w:left="0"/>
        <w:jc w:val="both"/>
        <w:rPr>
          <w:rFonts w:ascii="Arial" w:hAnsi="Arial" w:eastAsia="Calibri" w:cs="Arial"/>
          <w:sz w:val="22"/>
          <w:lang w:val="es-ES_tradnl"/>
        </w:rPr>
      </w:pPr>
      <w:r w:rsidRPr="009C7D09">
        <w:rPr>
          <w:rFonts w:ascii="Arial" w:hAnsi="Arial" w:eastAsia="Calibri" w:cs="Arial"/>
          <w:sz w:val="22"/>
          <w:lang w:val="es-ES_tradnl"/>
        </w:rPr>
        <w:t xml:space="preserve">En ejercicio de la competencia otorgada por </w:t>
      </w:r>
      <w:r w:rsidRPr="00E807B5">
        <w:rPr>
          <w:rFonts w:ascii="Arial" w:hAnsi="Arial" w:eastAsia="Calibri" w:cs="Arial"/>
          <w:color w:val="000000" w:themeColor="text1"/>
          <w:sz w:val="22"/>
          <w:lang w:val="es-ES_tradnl"/>
        </w:rPr>
        <w:t>el numeral 8 del artículo 11 y el numeral 5 del artículo 3 del Decreto Ley 4170 de 2011</w:t>
      </w:r>
      <w:r w:rsidRPr="009C7D09">
        <w:rPr>
          <w:rFonts w:ascii="Arial" w:hAnsi="Arial" w:eastAsia="Calibri" w:cs="Arial"/>
          <w:sz w:val="22"/>
          <w:lang w:val="es-ES_tradnl"/>
        </w:rPr>
        <w:t xml:space="preserve">, la Agencia Nacional de Contratación Pública − Colombia Compra Eficiente responde su consulta del </w:t>
      </w:r>
      <w:r w:rsidR="005F5767">
        <w:rPr>
          <w:rFonts w:ascii="Arial" w:hAnsi="Arial" w:eastAsia="Calibri" w:cs="Arial"/>
          <w:sz w:val="22"/>
          <w:lang w:val="es-ES_tradnl"/>
        </w:rPr>
        <w:t>8</w:t>
      </w:r>
      <w:r w:rsidRPr="009C7D09">
        <w:rPr>
          <w:rFonts w:ascii="Arial" w:hAnsi="Arial" w:eastAsia="Calibri" w:cs="Arial"/>
          <w:sz w:val="22"/>
          <w:lang w:val="es-ES_tradnl"/>
        </w:rPr>
        <w:t xml:space="preserve"> de </w:t>
      </w:r>
      <w:r>
        <w:rPr>
          <w:rFonts w:ascii="Arial" w:hAnsi="Arial" w:eastAsia="Calibri" w:cs="Arial"/>
          <w:sz w:val="22"/>
          <w:lang w:val="es-ES_tradnl"/>
        </w:rPr>
        <w:t>marzo</w:t>
      </w:r>
      <w:r w:rsidRPr="009C7D09">
        <w:rPr>
          <w:rFonts w:ascii="Arial" w:hAnsi="Arial" w:eastAsia="Calibri" w:cs="Arial"/>
          <w:sz w:val="22"/>
          <w:lang w:val="es-ES_tradnl"/>
        </w:rPr>
        <w:t xml:space="preserve"> de 202</w:t>
      </w:r>
      <w:r>
        <w:rPr>
          <w:rFonts w:ascii="Arial" w:hAnsi="Arial" w:eastAsia="Calibri" w:cs="Arial"/>
          <w:sz w:val="22"/>
          <w:lang w:val="es-ES_tradnl"/>
        </w:rPr>
        <w:t>2</w:t>
      </w:r>
      <w:r w:rsidR="00F1545E">
        <w:rPr>
          <w:rFonts w:ascii="Arial" w:hAnsi="Arial" w:eastAsia="Calibri" w:cs="Arial"/>
          <w:sz w:val="22"/>
          <w:lang w:val="es-ES_tradnl"/>
        </w:rPr>
        <w:t xml:space="preserve">, </w:t>
      </w:r>
      <w:r w:rsidR="005F5767">
        <w:rPr>
          <w:rFonts w:ascii="Arial" w:hAnsi="Arial" w:eastAsia="Calibri" w:cs="Arial"/>
          <w:sz w:val="22"/>
          <w:lang w:val="es-ES_tradnl"/>
        </w:rPr>
        <w:t>la cual –</w:t>
      </w:r>
      <w:r w:rsidR="007101FB">
        <w:rPr>
          <w:rFonts w:ascii="Arial" w:hAnsi="Arial" w:eastAsia="Calibri" w:cs="Arial"/>
          <w:sz w:val="22"/>
          <w:lang w:val="es-ES_tradnl"/>
        </w:rPr>
        <w:t>de acuerdo con el</w:t>
      </w:r>
      <w:r w:rsidR="005F5767">
        <w:rPr>
          <w:rFonts w:ascii="Arial" w:hAnsi="Arial" w:eastAsia="Calibri" w:cs="Arial"/>
          <w:sz w:val="22"/>
          <w:lang w:val="es-ES_tradnl"/>
        </w:rPr>
        <w:t xml:space="preserve"> artículo 21 de la Ley 1437 de 2011</w:t>
      </w:r>
      <w:r w:rsidR="00682BB3">
        <w:rPr>
          <w:rFonts w:ascii="Arial" w:hAnsi="Arial" w:eastAsia="Calibri" w:cs="Arial"/>
          <w:sz w:val="22"/>
          <w:lang w:val="es-ES_tradnl"/>
        </w:rPr>
        <w:t>– fue</w:t>
      </w:r>
      <w:r w:rsidR="005F5767">
        <w:rPr>
          <w:rFonts w:ascii="Arial" w:hAnsi="Arial" w:eastAsia="Calibri" w:cs="Arial"/>
          <w:sz w:val="22"/>
          <w:lang w:val="es-ES_tradnl"/>
        </w:rPr>
        <w:t xml:space="preserve"> </w:t>
      </w:r>
      <w:r w:rsidR="00F1545E">
        <w:rPr>
          <w:rFonts w:ascii="Arial" w:hAnsi="Arial" w:eastAsia="Calibri" w:cs="Arial"/>
          <w:sz w:val="22"/>
          <w:lang w:val="es-ES_tradnl"/>
        </w:rPr>
        <w:t xml:space="preserve">remitida por la </w:t>
      </w:r>
      <w:r w:rsidR="00F05354">
        <w:rPr>
          <w:rFonts w:ascii="Arial" w:hAnsi="Arial" w:eastAsia="Calibri" w:cs="Arial"/>
          <w:sz w:val="22"/>
          <w:lang w:val="es-ES_tradnl"/>
        </w:rPr>
        <w:t xml:space="preserve">Auditoría General de la República mediante oficio con radicado No. </w:t>
      </w:r>
      <w:r w:rsidRPr="00F05354" w:rsidR="00F05354">
        <w:rPr>
          <w:rFonts w:ascii="Arial" w:hAnsi="Arial" w:eastAsia="Calibri" w:cs="Arial"/>
          <w:sz w:val="22"/>
          <w:lang w:val="es-CO"/>
        </w:rPr>
        <w:t>20222100007781</w:t>
      </w:r>
      <w:r w:rsidR="00F05354">
        <w:rPr>
          <w:rFonts w:ascii="Arial" w:hAnsi="Arial" w:eastAsia="Calibri" w:cs="Arial"/>
          <w:sz w:val="22"/>
          <w:lang w:val="es-CO"/>
        </w:rPr>
        <w:t xml:space="preserve"> </w:t>
      </w:r>
      <w:r w:rsidR="00EB6AFF">
        <w:rPr>
          <w:rFonts w:ascii="Arial" w:hAnsi="Arial" w:eastAsia="Calibri" w:cs="Arial"/>
          <w:sz w:val="22"/>
          <w:lang w:val="es-CO"/>
        </w:rPr>
        <w:t>del 11 de marzo de 2022</w:t>
      </w:r>
      <w:r w:rsidR="00F05354">
        <w:rPr>
          <w:rFonts w:ascii="Arial" w:hAnsi="Arial" w:eastAsia="Calibri" w:cs="Arial"/>
          <w:sz w:val="22"/>
          <w:lang w:val="es-CO"/>
        </w:rPr>
        <w:t xml:space="preserve">. </w:t>
      </w:r>
    </w:p>
    <w:p w:rsidRPr="001B0D3D" w:rsidR="00154CB4" w:rsidP="00C33A69" w:rsidRDefault="00154CB4" w14:paraId="585EEBB2" w14:textId="77777777">
      <w:pPr>
        <w:pStyle w:val="Prrafodelista"/>
        <w:spacing w:line="276" w:lineRule="auto"/>
        <w:ind w:left="0"/>
        <w:rPr>
          <w:rFonts w:ascii="Arial" w:hAnsi="Arial" w:eastAsia="Calibri" w:cs="Arial"/>
          <w:color w:val="000000" w:themeColor="text1"/>
          <w:sz w:val="22"/>
        </w:rPr>
      </w:pPr>
    </w:p>
    <w:p w:rsidRPr="006C0EA1" w:rsidR="003C1F96" w:rsidP="006C0EA1" w:rsidRDefault="0034413B" w14:paraId="6238CC02" w14:textId="74DA49BC">
      <w:pPr>
        <w:tabs>
          <w:tab w:val="left" w:pos="0"/>
        </w:tabs>
        <w:spacing w:line="276" w:lineRule="auto"/>
        <w:jc w:val="both"/>
        <w:rPr>
          <w:rFonts w:ascii="Arial" w:hAnsi="Arial" w:eastAsia="Calibri" w:cs="Arial"/>
          <w:b/>
          <w:color w:val="000000" w:themeColor="text1"/>
          <w:sz w:val="22"/>
        </w:rPr>
      </w:pPr>
      <w:r>
        <w:rPr>
          <w:rFonts w:ascii="Arial" w:hAnsi="Arial" w:eastAsia="Calibri" w:cs="Arial"/>
          <w:b/>
          <w:color w:val="000000" w:themeColor="text1"/>
          <w:sz w:val="22"/>
        </w:rPr>
        <w:t xml:space="preserve">1. </w:t>
      </w:r>
      <w:r w:rsidRPr="006C0EA1" w:rsidR="00C33A69">
        <w:rPr>
          <w:rFonts w:ascii="Arial" w:hAnsi="Arial" w:eastAsia="Calibri" w:cs="Arial"/>
          <w:b/>
          <w:color w:val="000000" w:themeColor="text1"/>
          <w:sz w:val="22"/>
        </w:rPr>
        <w:t>Problema</w:t>
      </w:r>
      <w:r w:rsidR="001766B3">
        <w:rPr>
          <w:rFonts w:ascii="Arial" w:hAnsi="Arial" w:eastAsia="Calibri" w:cs="Arial"/>
          <w:b/>
          <w:color w:val="000000" w:themeColor="text1"/>
          <w:sz w:val="22"/>
        </w:rPr>
        <w:t>s</w:t>
      </w:r>
      <w:r w:rsidRPr="006C0EA1" w:rsidR="00C33A69">
        <w:rPr>
          <w:rFonts w:ascii="Arial" w:hAnsi="Arial" w:eastAsia="Calibri" w:cs="Arial"/>
          <w:b/>
          <w:color w:val="000000" w:themeColor="text1"/>
          <w:sz w:val="22"/>
        </w:rPr>
        <w:t xml:space="preserve"> planteado</w:t>
      </w:r>
      <w:r w:rsidR="001766B3">
        <w:rPr>
          <w:rFonts w:ascii="Arial" w:hAnsi="Arial" w:eastAsia="Calibri" w:cs="Arial"/>
          <w:b/>
          <w:color w:val="000000" w:themeColor="text1"/>
          <w:sz w:val="22"/>
        </w:rPr>
        <w:t>s</w:t>
      </w:r>
    </w:p>
    <w:p w:rsidRPr="0093085B" w:rsidR="003C1F96" w:rsidP="0093085B" w:rsidRDefault="003C1F96" w14:paraId="6C91C2D0" w14:textId="77777777">
      <w:pPr>
        <w:rPr>
          <w:rFonts w:ascii="Arial" w:hAnsi="Arial" w:eastAsia="Calibri" w:cs="Arial"/>
          <w:color w:val="000000" w:themeColor="text1"/>
          <w:sz w:val="22"/>
        </w:rPr>
      </w:pPr>
    </w:p>
    <w:p w:rsidRPr="00FD7DA9" w:rsidR="00C33A69" w:rsidP="00FD7DA9" w:rsidRDefault="00C33A69" w14:paraId="4263F57D" w14:textId="16DF01DB">
      <w:pPr>
        <w:spacing w:line="276" w:lineRule="auto"/>
        <w:jc w:val="both"/>
        <w:rPr>
          <w:rFonts w:eastAsia="Calibri"/>
          <w:b/>
          <w:color w:val="000000" w:themeColor="text1"/>
          <w:sz w:val="22"/>
          <w:szCs w:val="22"/>
        </w:rPr>
      </w:pPr>
      <w:r w:rsidRPr="00D32AAE">
        <w:rPr>
          <w:rFonts w:ascii="Arial" w:hAnsi="Arial" w:eastAsia="Calibri" w:cs="Arial"/>
          <w:sz w:val="22"/>
          <w:szCs w:val="22"/>
        </w:rPr>
        <w:t xml:space="preserve">Usted </w:t>
      </w:r>
      <w:r w:rsidRPr="00D32AAE" w:rsidR="001766B3">
        <w:rPr>
          <w:rFonts w:ascii="Arial" w:hAnsi="Arial" w:eastAsia="Calibri" w:cs="Arial"/>
          <w:sz w:val="22"/>
          <w:szCs w:val="22"/>
        </w:rPr>
        <w:t xml:space="preserve">realiza </w:t>
      </w:r>
      <w:r w:rsidRPr="00D32AAE" w:rsidR="003C1F96">
        <w:rPr>
          <w:rFonts w:ascii="Arial" w:hAnsi="Arial" w:eastAsia="Calibri" w:cs="Arial"/>
          <w:sz w:val="22"/>
          <w:szCs w:val="22"/>
        </w:rPr>
        <w:t>la</w:t>
      </w:r>
      <w:r w:rsidRPr="00D32AAE" w:rsidR="00345D8E">
        <w:rPr>
          <w:rFonts w:ascii="Arial" w:hAnsi="Arial" w:eastAsia="Calibri" w:cs="Arial"/>
          <w:sz w:val="22"/>
          <w:szCs w:val="22"/>
        </w:rPr>
        <w:t>s</w:t>
      </w:r>
      <w:r w:rsidRPr="00D32AAE" w:rsidR="003C1F96">
        <w:rPr>
          <w:rFonts w:ascii="Arial" w:hAnsi="Arial" w:eastAsia="Calibri" w:cs="Arial"/>
          <w:sz w:val="22"/>
          <w:szCs w:val="22"/>
        </w:rPr>
        <w:t xml:space="preserve"> siguiente</w:t>
      </w:r>
      <w:r w:rsidRPr="00D32AAE" w:rsidR="00345D8E">
        <w:rPr>
          <w:rFonts w:ascii="Arial" w:hAnsi="Arial" w:eastAsia="Calibri" w:cs="Arial"/>
          <w:sz w:val="22"/>
          <w:szCs w:val="22"/>
        </w:rPr>
        <w:t>s</w:t>
      </w:r>
      <w:r w:rsidRPr="00D32AAE" w:rsidR="003C1F96">
        <w:rPr>
          <w:rFonts w:ascii="Arial" w:hAnsi="Arial" w:eastAsia="Calibri" w:cs="Arial"/>
          <w:sz w:val="22"/>
          <w:szCs w:val="22"/>
        </w:rPr>
        <w:t xml:space="preserve"> pregunta</w:t>
      </w:r>
      <w:r w:rsidRPr="00D32AAE" w:rsidR="00345D8E">
        <w:rPr>
          <w:rFonts w:ascii="Arial" w:hAnsi="Arial" w:eastAsia="Calibri" w:cs="Arial"/>
          <w:sz w:val="22"/>
          <w:szCs w:val="22"/>
        </w:rPr>
        <w:t>s</w:t>
      </w:r>
      <w:r w:rsidRPr="00D32AAE" w:rsidR="003C1F96">
        <w:rPr>
          <w:rFonts w:ascii="Arial" w:hAnsi="Arial" w:eastAsia="Calibri" w:cs="Arial"/>
          <w:sz w:val="22"/>
          <w:szCs w:val="22"/>
        </w:rPr>
        <w:t>:</w:t>
      </w:r>
      <w:r w:rsidRPr="00D32AAE" w:rsidR="00B04C7A">
        <w:rPr>
          <w:rFonts w:ascii="Arial" w:hAnsi="Arial" w:eastAsia="Calibri" w:cs="Arial"/>
          <w:sz w:val="22"/>
          <w:szCs w:val="22"/>
        </w:rPr>
        <w:t xml:space="preserve"> </w:t>
      </w:r>
      <w:r w:rsidRPr="00FD7DA9" w:rsidR="00416853">
        <w:rPr>
          <w:rFonts w:ascii="Arial" w:hAnsi="Arial" w:eastAsia="Calibri" w:cs="Arial"/>
          <w:sz w:val="22"/>
          <w:szCs w:val="22"/>
        </w:rPr>
        <w:t>i) «</w:t>
      </w:r>
      <w:r w:rsidRPr="00FD7DA9" w:rsidR="00B52F4A">
        <w:rPr>
          <w:rFonts w:ascii="Arial" w:hAnsi="Arial" w:eastAsia="Calibri" w:cs="Arial"/>
          <w:sz w:val="22"/>
          <w:szCs w:val="22"/>
        </w:rPr>
        <w:t>¿</w:t>
      </w:r>
      <w:r w:rsidRPr="00FD7DA9" w:rsidR="00B04C7A">
        <w:rPr>
          <w:rFonts w:ascii="Arial" w:hAnsi="Arial" w:eastAsia="Calibri" w:cs="Arial"/>
          <w:sz w:val="22"/>
          <w:szCs w:val="22"/>
        </w:rPr>
        <w:t>A través de los fondos de servicios educativos (FSE) y dando aplicación al manual establecido por el Consejo Directivo se puede realizar contratación en Ley de Garantías</w:t>
      </w:r>
      <w:r w:rsidRPr="00FD7DA9" w:rsidR="000B58B4">
        <w:rPr>
          <w:rFonts w:ascii="Arial" w:hAnsi="Arial" w:eastAsia="Calibri" w:cs="Arial"/>
          <w:sz w:val="22"/>
          <w:szCs w:val="22"/>
        </w:rPr>
        <w:t>?</w:t>
      </w:r>
      <w:r w:rsidRPr="00FD7DA9" w:rsidR="00416853">
        <w:rPr>
          <w:rFonts w:ascii="Arial" w:hAnsi="Arial" w:eastAsia="Calibri" w:cs="Arial"/>
          <w:sz w:val="22"/>
          <w:szCs w:val="22"/>
        </w:rPr>
        <w:t>»</w:t>
      </w:r>
      <w:r w:rsidRPr="00FD7DA9" w:rsidR="0096352F">
        <w:rPr>
          <w:rFonts w:ascii="Arial" w:hAnsi="Arial" w:eastAsia="Calibri" w:cs="Arial"/>
          <w:sz w:val="22"/>
          <w:szCs w:val="22"/>
        </w:rPr>
        <w:t>, ii) «</w:t>
      </w:r>
      <w:r w:rsidRPr="00FD7DA9" w:rsidR="00B52F4A">
        <w:rPr>
          <w:rFonts w:ascii="Arial" w:hAnsi="Arial" w:eastAsia="Calibri" w:cs="Arial"/>
          <w:sz w:val="22"/>
          <w:szCs w:val="22"/>
        </w:rPr>
        <w:t>¿</w:t>
      </w:r>
      <w:r w:rsidRPr="00FD7DA9" w:rsidR="000B58B4">
        <w:rPr>
          <w:rFonts w:ascii="Arial" w:hAnsi="Arial" w:eastAsia="Calibri" w:cs="Arial"/>
          <w:sz w:val="22"/>
          <w:szCs w:val="22"/>
        </w:rPr>
        <w:t>El procedimiento establecido por el Consejo Directivo determina invitación pública a través de la cartelera institucional a presentar ofertas, se puede dar aplicación a este procedimiento en la contratación en Ley de garantías?</w:t>
      </w:r>
      <w:r w:rsidRPr="00FD7DA9" w:rsidR="0096352F">
        <w:rPr>
          <w:rFonts w:ascii="Arial" w:hAnsi="Arial" w:eastAsia="Calibri" w:cs="Arial"/>
          <w:sz w:val="22"/>
          <w:szCs w:val="22"/>
        </w:rPr>
        <w:t xml:space="preserve">», </w:t>
      </w:r>
      <w:proofErr w:type="spellStart"/>
      <w:r w:rsidRPr="00FD7DA9" w:rsidR="0096352F">
        <w:rPr>
          <w:rFonts w:ascii="Arial" w:hAnsi="Arial" w:eastAsia="Calibri" w:cs="Arial"/>
          <w:sz w:val="22"/>
          <w:szCs w:val="22"/>
        </w:rPr>
        <w:t>iii</w:t>
      </w:r>
      <w:proofErr w:type="spellEnd"/>
      <w:r w:rsidRPr="00FD7DA9" w:rsidR="0096352F">
        <w:rPr>
          <w:rFonts w:ascii="Arial" w:hAnsi="Arial" w:eastAsia="Calibri" w:cs="Arial"/>
          <w:sz w:val="22"/>
          <w:szCs w:val="22"/>
        </w:rPr>
        <w:t xml:space="preserve">) </w:t>
      </w:r>
      <w:r w:rsidRPr="00FD7DA9" w:rsidR="00BB5C5D">
        <w:rPr>
          <w:rFonts w:ascii="Arial" w:hAnsi="Arial" w:eastAsia="Calibri" w:cs="Arial"/>
          <w:sz w:val="22"/>
          <w:szCs w:val="22"/>
        </w:rPr>
        <w:t xml:space="preserve">La institución requiere entregar un espacio de la institución en arriendo para el funcionamiento en la tienda escolar. </w:t>
      </w:r>
      <w:r w:rsidRPr="00FD7DA9" w:rsidR="00E53C0D">
        <w:rPr>
          <w:rFonts w:ascii="Arial" w:hAnsi="Arial" w:eastAsia="Calibri" w:cs="Arial"/>
          <w:sz w:val="22"/>
          <w:szCs w:val="22"/>
        </w:rPr>
        <w:t>¿</w:t>
      </w:r>
      <w:r w:rsidRPr="00FD7DA9" w:rsidR="00BB5C5D">
        <w:rPr>
          <w:rFonts w:ascii="Arial" w:hAnsi="Arial" w:eastAsia="Calibri" w:cs="Arial"/>
          <w:sz w:val="22"/>
          <w:szCs w:val="22"/>
        </w:rPr>
        <w:t>Aplica para los arriendos la Ley de garantías?</w:t>
      </w:r>
      <w:r w:rsidRPr="00FD7DA9" w:rsidR="0096352F">
        <w:rPr>
          <w:rFonts w:ascii="Arial" w:hAnsi="Arial" w:eastAsia="Calibri" w:cs="Arial"/>
          <w:sz w:val="22"/>
          <w:szCs w:val="22"/>
        </w:rPr>
        <w:t>»</w:t>
      </w:r>
      <w:r w:rsidRPr="00FD7DA9" w:rsidR="0096352F">
        <w:rPr>
          <w:rFonts w:ascii="Arial" w:hAnsi="Arial" w:cs="Arial"/>
          <w:sz w:val="22"/>
          <w:szCs w:val="22"/>
        </w:rPr>
        <w:t xml:space="preserve">, </w:t>
      </w:r>
      <w:proofErr w:type="spellStart"/>
      <w:r w:rsidRPr="00FD7DA9" w:rsidR="0096352F">
        <w:rPr>
          <w:rFonts w:ascii="Arial" w:hAnsi="Arial" w:cs="Arial"/>
          <w:sz w:val="22"/>
          <w:szCs w:val="22"/>
        </w:rPr>
        <w:t>i</w:t>
      </w:r>
      <w:r w:rsidRPr="00FD7DA9" w:rsidR="00447389">
        <w:rPr>
          <w:rFonts w:ascii="Arial" w:hAnsi="Arial" w:cs="Arial"/>
          <w:sz w:val="22"/>
          <w:szCs w:val="22"/>
        </w:rPr>
        <w:t>v</w:t>
      </w:r>
      <w:proofErr w:type="spellEnd"/>
      <w:r w:rsidRPr="00FD7DA9" w:rsidR="00447389">
        <w:rPr>
          <w:rFonts w:ascii="Arial" w:hAnsi="Arial" w:cs="Arial"/>
          <w:sz w:val="22"/>
          <w:szCs w:val="22"/>
        </w:rPr>
        <w:t>) «</w:t>
      </w:r>
      <w:r w:rsidRPr="00FD7DA9" w:rsidR="00B52F4A">
        <w:rPr>
          <w:rFonts w:ascii="Arial" w:hAnsi="Arial" w:cs="Arial"/>
          <w:sz w:val="22"/>
          <w:szCs w:val="22"/>
        </w:rPr>
        <w:t>¿l</w:t>
      </w:r>
      <w:r w:rsidRPr="00FD7DA9" w:rsidR="00BB5C5D">
        <w:rPr>
          <w:rFonts w:ascii="Arial" w:hAnsi="Arial" w:cs="Arial"/>
          <w:sz w:val="22"/>
          <w:szCs w:val="22"/>
        </w:rPr>
        <w:t>os contratos de espacios que se dan en arrendamientos se deben publicar en el SECOP?</w:t>
      </w:r>
      <w:r w:rsidRPr="00FD7DA9" w:rsidR="00447389">
        <w:rPr>
          <w:rFonts w:ascii="Arial" w:hAnsi="Arial" w:cs="Arial"/>
          <w:sz w:val="22"/>
          <w:szCs w:val="22"/>
        </w:rPr>
        <w:t>»</w:t>
      </w:r>
      <w:r w:rsidRPr="00FD7DA9" w:rsidR="009553CA">
        <w:rPr>
          <w:rFonts w:ascii="Arial" w:hAnsi="Arial" w:cs="Arial"/>
          <w:sz w:val="22"/>
          <w:szCs w:val="22"/>
        </w:rPr>
        <w:t>.</w:t>
      </w:r>
    </w:p>
    <w:p w:rsidRPr="001B0D3D" w:rsidR="00DC37CA" w:rsidP="0093085B" w:rsidRDefault="00DC37CA" w14:paraId="789863AA" w14:textId="77777777">
      <w:pPr>
        <w:rPr>
          <w:rFonts w:ascii="Arial" w:hAnsi="Arial" w:eastAsia="Calibri" w:cs="Arial"/>
          <w:b/>
          <w:color w:val="000000" w:themeColor="text1"/>
          <w:sz w:val="22"/>
        </w:rPr>
      </w:pPr>
    </w:p>
    <w:p w:rsidR="00A373E3" w:rsidP="006C0EA1" w:rsidRDefault="0034413B" w14:paraId="3A26C5B2" w14:textId="27EEF51C">
      <w:pPr>
        <w:spacing w:line="276" w:lineRule="auto"/>
        <w:jc w:val="both"/>
        <w:rPr>
          <w:rFonts w:ascii="Arial" w:hAnsi="Arial" w:eastAsia="Calibri" w:cs="Arial"/>
          <w:color w:val="000000" w:themeColor="text1"/>
          <w:sz w:val="22"/>
        </w:rPr>
      </w:pPr>
      <w:r>
        <w:rPr>
          <w:rFonts w:ascii="Arial" w:hAnsi="Arial" w:eastAsia="Calibri" w:cs="Arial"/>
          <w:b/>
          <w:color w:val="000000" w:themeColor="text1"/>
          <w:sz w:val="22"/>
        </w:rPr>
        <w:t xml:space="preserve">2. </w:t>
      </w:r>
      <w:r w:rsidRPr="006C0EA1" w:rsidR="00C33A69">
        <w:rPr>
          <w:rFonts w:ascii="Arial" w:hAnsi="Arial" w:eastAsia="Calibri" w:cs="Arial"/>
          <w:b/>
          <w:color w:val="000000" w:themeColor="text1"/>
          <w:sz w:val="22"/>
        </w:rPr>
        <w:t>Consideraciones</w:t>
      </w:r>
    </w:p>
    <w:p w:rsidR="00A373E3" w:rsidP="006C0EA1" w:rsidRDefault="00A373E3" w14:paraId="197AFEF4" w14:textId="1E938420">
      <w:pPr>
        <w:spacing w:line="276" w:lineRule="auto"/>
        <w:jc w:val="both"/>
        <w:rPr>
          <w:rFonts w:ascii="Arial" w:hAnsi="Arial" w:eastAsia="Calibri" w:cs="Arial"/>
          <w:color w:val="000000" w:themeColor="text1"/>
          <w:sz w:val="22"/>
        </w:rPr>
      </w:pPr>
    </w:p>
    <w:p w:rsidRPr="00A23BDA" w:rsidR="00A23BDA" w:rsidP="00FD7DA9" w:rsidRDefault="00A23BDA" w14:paraId="7D372B1E" w14:textId="77777777">
      <w:pPr>
        <w:spacing w:after="120" w:line="276" w:lineRule="auto"/>
        <w:jc w:val="both"/>
        <w:rPr>
          <w:rFonts w:ascii="Arial" w:hAnsi="Arial" w:cs="Arial" w:eastAsiaTheme="minorHAnsi"/>
          <w:bCs/>
          <w:sz w:val="22"/>
          <w:szCs w:val="22"/>
          <w:lang w:val="es-ES" w:eastAsia="en-US"/>
        </w:rPr>
      </w:pPr>
      <w:r w:rsidRPr="00A23BDA">
        <w:rPr>
          <w:rFonts w:ascii="Arial" w:hAnsi="Arial" w:cs="Arial" w:eastAsiaTheme="minorHAnsi"/>
          <w:bCs/>
          <w:sz w:val="22"/>
          <w:szCs w:val="22"/>
          <w:lang w:eastAsia="en-US"/>
        </w:rPr>
        <w:t xml:space="preserve">En ejercicio de las competencias establecidas en los artículos 3.5 y 11.8 del Decreto 4170 de 2011, la Agencia Nacional de Contratación Pública – Colombia Compra Eficiente resuelve consultas sobre </w:t>
      </w:r>
      <w:r w:rsidRPr="00A23BDA">
        <w:rPr>
          <w:rFonts w:ascii="Arial" w:hAnsi="Arial" w:cs="Arial" w:eastAsiaTheme="minorHAnsi"/>
          <w:bCs/>
          <w:sz w:val="22"/>
          <w:szCs w:val="22"/>
          <w:lang w:val="es-ES" w:eastAsia="en-U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23BDA">
        <w:rPr>
          <w:rFonts w:ascii="Arial" w:hAnsi="Arial" w:cs="Arial" w:eastAsiaTheme="minorHAnsi"/>
          <w:bCs/>
          <w:sz w:val="22"/>
          <w:szCs w:val="22"/>
          <w:lang w:eastAsia="en-US"/>
        </w:rPr>
        <w:t xml:space="preserve"> de todos los partícipes de la contratación estatal.</w:t>
      </w:r>
    </w:p>
    <w:p w:rsidRPr="00A23BDA" w:rsidR="00A23BDA" w:rsidP="00FD7DA9" w:rsidRDefault="00A23BDA" w14:paraId="487E16D5" w14:textId="77777777">
      <w:pPr>
        <w:spacing w:after="120" w:line="276" w:lineRule="auto"/>
        <w:ind w:firstLine="708"/>
        <w:jc w:val="both"/>
        <w:rPr>
          <w:rFonts w:ascii="Arial" w:hAnsi="Arial" w:cs="Arial" w:eastAsiaTheme="minorHAnsi"/>
          <w:bCs/>
          <w:sz w:val="22"/>
          <w:szCs w:val="22"/>
          <w:lang w:val="es-ES" w:eastAsia="en-US"/>
        </w:rPr>
      </w:pPr>
      <w:r w:rsidRPr="00A23BDA">
        <w:rPr>
          <w:rFonts w:ascii="Arial" w:hAnsi="Arial" w:cs="Arial" w:eastAsiaTheme="minorHAnsi"/>
          <w:bCs/>
          <w:sz w:val="22"/>
          <w:szCs w:val="22"/>
          <w:lang w:val="es-ES" w:eastAsia="en-U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23BDA">
        <w:rPr>
          <w:rFonts w:ascii="Arial" w:hAnsi="Arial" w:cs="Arial" w:eastAsiaTheme="minorHAnsi"/>
          <w:bCs/>
          <w:sz w:val="22"/>
          <w:szCs w:val="22"/>
          <w:vertAlign w:val="superscript"/>
          <w:lang w:val="es-ES" w:eastAsia="en-US"/>
        </w:rPr>
        <w:footnoteReference w:id="1"/>
      </w:r>
      <w:r w:rsidRPr="00A23BDA">
        <w:rPr>
          <w:rFonts w:ascii="Arial" w:hAnsi="Arial" w:cs="Arial" w:eastAsiaTheme="minorHAnsi"/>
          <w:bCs/>
          <w:sz w:val="22"/>
          <w:szCs w:val="22"/>
          <w:lang w:val="es-ES" w:eastAsia="en-U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contrato estatal en específico.</w:t>
      </w:r>
    </w:p>
    <w:p w:rsidRPr="00E417A9" w:rsidR="00C84F90" w:rsidP="00A23BDA" w:rsidRDefault="00A23BDA" w14:paraId="6A4466D6" w14:textId="09D8C81A">
      <w:pPr>
        <w:tabs>
          <w:tab w:val="left" w:pos="426"/>
        </w:tabs>
        <w:spacing w:after="120" w:line="276" w:lineRule="auto"/>
        <w:jc w:val="both"/>
        <w:rPr>
          <w:rFonts w:ascii="Arial" w:hAnsi="Arial" w:eastAsia="Calibri" w:cs="Arial"/>
          <w:sz w:val="22"/>
          <w:szCs w:val="22"/>
          <w:lang w:val="es-MX" w:eastAsia="en-US"/>
        </w:rPr>
      </w:pPr>
      <w:r>
        <w:rPr>
          <w:rFonts w:ascii="Arial" w:hAnsi="Arial" w:cs="Arial" w:eastAsiaTheme="minorHAnsi"/>
          <w:bCs/>
          <w:sz w:val="22"/>
          <w:szCs w:val="22"/>
          <w:lang w:eastAsia="en-US"/>
        </w:rPr>
        <w:tab/>
      </w:r>
      <w:r w:rsidRPr="00A23BDA">
        <w:rPr>
          <w:rFonts w:ascii="Arial" w:hAnsi="Arial" w:cs="Arial" w:eastAsiaTheme="minorHAnsi"/>
          <w:bCs/>
          <w:sz w:val="22"/>
          <w:szCs w:val="22"/>
          <w:lang w:eastAsia="en-US"/>
        </w:rPr>
        <w:t xml:space="preserve">Sin perjuicio de lo anterior, </w:t>
      </w:r>
      <w:r w:rsidRPr="00A23BDA">
        <w:rPr>
          <w:rFonts w:ascii="Arial" w:hAnsi="Arial" w:cs="Arial" w:eastAsiaTheme="minorHAnsi"/>
          <w:bCs/>
          <w:sz w:val="22"/>
          <w:szCs w:val="22"/>
          <w:lang w:val="es-ES" w:eastAsia="en-US"/>
        </w:rPr>
        <w:t xml:space="preserve">la Agencia –dentro de los límites de sus atribuciones, es decir, </w:t>
      </w:r>
      <w:bookmarkStart w:name="_Hlk61025408" w:id="4"/>
      <w:r w:rsidRPr="00A23BDA">
        <w:rPr>
          <w:rFonts w:ascii="Arial" w:hAnsi="Arial" w:cs="Arial" w:eastAsiaTheme="minorHAnsi"/>
          <w:bCs/>
          <w:sz w:val="22"/>
          <w:szCs w:val="22"/>
          <w:lang w:val="es-ES" w:eastAsia="en-US"/>
        </w:rPr>
        <w:t xml:space="preserve">haciendo abstracción del caso particular </w:t>
      </w:r>
      <w:bookmarkEnd w:id="4"/>
      <w:r w:rsidRPr="00A23BDA">
        <w:rPr>
          <w:rFonts w:ascii="Arial" w:hAnsi="Arial" w:cs="Arial" w:eastAsiaTheme="minorHAnsi"/>
          <w:bCs/>
          <w:sz w:val="22"/>
          <w:szCs w:val="22"/>
          <w:lang w:val="es-ES" w:eastAsia="en-US"/>
        </w:rPr>
        <w:t xml:space="preserve">expuesto </w:t>
      </w:r>
      <w:r w:rsidR="00475760">
        <w:rPr>
          <w:rFonts w:ascii="Arial" w:hAnsi="Arial" w:cs="Arial" w:eastAsiaTheme="minorHAnsi"/>
          <w:bCs/>
          <w:sz w:val="22"/>
          <w:szCs w:val="22"/>
          <w:lang w:val="es-ES" w:eastAsia="en-US"/>
        </w:rPr>
        <w:t xml:space="preserve">en las </w:t>
      </w:r>
      <w:r>
        <w:rPr>
          <w:rFonts w:ascii="Arial" w:hAnsi="Arial" w:cs="Arial" w:eastAsiaTheme="minorHAnsi"/>
          <w:bCs/>
          <w:sz w:val="22"/>
          <w:szCs w:val="22"/>
          <w:lang w:val="es-ES" w:eastAsia="en-US"/>
        </w:rPr>
        <w:t>pregunta</w:t>
      </w:r>
      <w:r w:rsidR="00475760">
        <w:rPr>
          <w:rFonts w:ascii="Arial" w:hAnsi="Arial" w:cs="Arial" w:eastAsiaTheme="minorHAnsi"/>
          <w:bCs/>
          <w:sz w:val="22"/>
          <w:szCs w:val="22"/>
          <w:lang w:val="es-ES" w:eastAsia="en-US"/>
        </w:rPr>
        <w:t>s 2 y 3</w:t>
      </w:r>
      <w:r w:rsidRPr="00A23BDA">
        <w:rPr>
          <w:rFonts w:ascii="Arial" w:hAnsi="Arial" w:cs="Arial" w:eastAsiaTheme="minorHAnsi"/>
          <w:bCs/>
          <w:sz w:val="22"/>
          <w:szCs w:val="22"/>
          <w:lang w:val="es-ES" w:eastAsia="en-US"/>
        </w:rPr>
        <w:t>– resolverá la consulta conforme a las normas generales del sistema de compras públicas. Con este objetivo se analizarán los siguientes temas:</w:t>
      </w:r>
      <w:r w:rsidRPr="00C84F90" w:rsidR="00C84F90">
        <w:rPr>
          <w:rFonts w:ascii="Arial" w:hAnsi="Arial" w:eastAsia="Calibri" w:cs="Arial"/>
          <w:bCs/>
          <w:sz w:val="22"/>
          <w:szCs w:val="22"/>
          <w:lang w:eastAsia="en-US"/>
        </w:rPr>
        <w:t xml:space="preserve"> </w:t>
      </w:r>
      <w:r w:rsidRPr="000D153E" w:rsidR="00C84F90">
        <w:rPr>
          <w:rFonts w:ascii="Arial" w:hAnsi="Arial" w:eastAsia="Calibri" w:cs="Arial"/>
          <w:bCs/>
          <w:sz w:val="22"/>
          <w:szCs w:val="22"/>
          <w:lang w:eastAsia="en-US"/>
        </w:rPr>
        <w:t xml:space="preserve">i) definición y finalidad de la Ley de Garantías Electorales, ii) restricciones </w:t>
      </w:r>
      <w:r w:rsidRPr="000D153E" w:rsidR="00C84F90">
        <w:rPr>
          <w:rFonts w:ascii="Arial" w:hAnsi="Arial" w:eastAsia="Calibri" w:cs="Arial"/>
          <w:bCs/>
          <w:sz w:val="22"/>
          <w:szCs w:val="22"/>
          <w:lang w:val="es-MX" w:eastAsia="en-US"/>
        </w:rPr>
        <w:t xml:space="preserve">para elecciones presidenciales, </w:t>
      </w:r>
      <w:proofErr w:type="spellStart"/>
      <w:r w:rsidRPr="000D153E" w:rsidR="00C84F90">
        <w:rPr>
          <w:rFonts w:ascii="Arial" w:hAnsi="Arial" w:eastAsia="Calibri" w:cs="Arial"/>
          <w:bCs/>
          <w:sz w:val="22"/>
          <w:szCs w:val="22"/>
          <w:lang w:val="es-MX" w:eastAsia="en-US"/>
        </w:rPr>
        <w:t>iii</w:t>
      </w:r>
      <w:proofErr w:type="spellEnd"/>
      <w:r w:rsidRPr="000D153E" w:rsidR="00C84F90">
        <w:rPr>
          <w:rFonts w:ascii="Arial" w:hAnsi="Arial" w:eastAsia="Calibri" w:cs="Arial"/>
          <w:bCs/>
          <w:sz w:val="22"/>
          <w:szCs w:val="22"/>
          <w:lang w:val="es-MX" w:eastAsia="en-US"/>
        </w:rPr>
        <w:t>) destinatarios de la prohibición del artículo 33 de la Ley 996 de 2005</w:t>
      </w:r>
      <w:r w:rsidRPr="000D153E" w:rsidR="00F53907">
        <w:rPr>
          <w:rFonts w:ascii="Arial" w:hAnsi="Arial" w:eastAsia="Calibri" w:cs="Arial"/>
          <w:bCs/>
          <w:sz w:val="22"/>
          <w:szCs w:val="22"/>
          <w:lang w:val="es-MX" w:eastAsia="en-US"/>
        </w:rPr>
        <w:t>,</w:t>
      </w:r>
      <w:r w:rsidRPr="000D153E" w:rsidR="00C84F90">
        <w:rPr>
          <w:rFonts w:ascii="Arial" w:hAnsi="Arial" w:eastAsia="Calibri" w:cs="Arial"/>
          <w:bCs/>
          <w:sz w:val="22"/>
          <w:szCs w:val="22"/>
          <w:lang w:val="es-MX" w:eastAsia="en-US"/>
        </w:rPr>
        <w:t xml:space="preserve"> </w:t>
      </w:r>
      <w:proofErr w:type="spellStart"/>
      <w:r w:rsidRPr="000D153E" w:rsidR="00C84F90">
        <w:rPr>
          <w:rFonts w:ascii="Arial" w:hAnsi="Arial" w:eastAsia="Calibri" w:cs="Arial"/>
          <w:bCs/>
          <w:sz w:val="22"/>
          <w:szCs w:val="22"/>
          <w:lang w:val="es-MX" w:eastAsia="en-US"/>
        </w:rPr>
        <w:t>iv</w:t>
      </w:r>
      <w:proofErr w:type="spellEnd"/>
      <w:r w:rsidRPr="000D153E" w:rsidR="00C84F90">
        <w:rPr>
          <w:rFonts w:ascii="Arial" w:hAnsi="Arial" w:eastAsia="Calibri" w:cs="Arial"/>
          <w:bCs/>
          <w:sz w:val="22"/>
          <w:szCs w:val="22"/>
          <w:lang w:val="es-MX" w:eastAsia="en-US"/>
        </w:rPr>
        <w:t xml:space="preserve">) </w:t>
      </w:r>
      <w:r w:rsidRPr="000D153E" w:rsidR="00C84F90">
        <w:rPr>
          <w:rFonts w:ascii="Arial" w:hAnsi="Arial" w:eastAsia="Calibri" w:cs="Arial"/>
          <w:sz w:val="22"/>
          <w:szCs w:val="22"/>
          <w:lang w:val="es-MX" w:eastAsia="en-US"/>
        </w:rPr>
        <w:t>restricciones en los comicios de cargos de elección popular</w:t>
      </w:r>
      <w:bookmarkStart w:name="_Hlk76110351" w:id="5"/>
      <w:r w:rsidRPr="000D153E" w:rsidR="00F53907">
        <w:rPr>
          <w:rFonts w:ascii="Arial" w:hAnsi="Arial" w:eastAsia="Calibri" w:cs="Arial"/>
          <w:sz w:val="22"/>
          <w:szCs w:val="22"/>
          <w:lang w:val="es-MX" w:eastAsia="en-US"/>
        </w:rPr>
        <w:t>, v)</w:t>
      </w:r>
      <w:r w:rsidRPr="000D153E" w:rsidR="00B708EC">
        <w:rPr>
          <w:rFonts w:ascii="Arial" w:hAnsi="Arial" w:eastAsia="Calibri" w:cs="Arial"/>
          <w:sz w:val="22"/>
          <w:szCs w:val="22"/>
          <w:lang w:val="es-MX" w:eastAsia="en-US"/>
        </w:rPr>
        <w:t xml:space="preserve"> </w:t>
      </w:r>
      <w:r w:rsidRPr="000D153E" w:rsidR="004446F2">
        <w:rPr>
          <w:rFonts w:ascii="Arial" w:hAnsi="Arial" w:cs="Arial"/>
          <w:bCs/>
          <w:sz w:val="22"/>
          <w:szCs w:val="22"/>
          <w:lang w:val="es-MX" w:eastAsia="es-CO"/>
        </w:rPr>
        <w:t>r</w:t>
      </w:r>
      <w:r w:rsidRPr="000D153E" w:rsidR="00B708EC">
        <w:rPr>
          <w:rFonts w:ascii="Arial" w:hAnsi="Arial" w:cs="Arial"/>
          <w:bCs/>
          <w:sz w:val="22"/>
          <w:szCs w:val="22"/>
          <w:lang w:val="es-MX" w:eastAsia="es-CO"/>
        </w:rPr>
        <w:t>égimen contractual de los fondos de servicios educativos y aplicación de la Ley de Garantías y vi)</w:t>
      </w:r>
      <w:r w:rsidRPr="000D153E" w:rsidR="004446F2">
        <w:rPr>
          <w:rFonts w:ascii="Arial" w:hAnsi="Arial" w:cs="Arial"/>
          <w:bCs/>
          <w:sz w:val="22"/>
          <w:szCs w:val="22"/>
          <w:lang w:val="es-MX" w:eastAsia="es-CO"/>
        </w:rPr>
        <w:t xml:space="preserve"> </w:t>
      </w:r>
      <w:r w:rsidRPr="00AA07F0" w:rsidR="004446F2">
        <w:rPr>
          <w:rFonts w:ascii="Arial" w:hAnsi="Arial" w:cs="Arial"/>
          <w:sz w:val="22"/>
          <w:szCs w:val="22"/>
          <w:lang w:val="es-MX" w:eastAsia="es-CO"/>
        </w:rPr>
        <w:t>SECOP como mecanismo para garantizar el principio de publicidad en la contratación estatal</w:t>
      </w:r>
      <w:r w:rsidRPr="000D153E" w:rsidR="00C84F90">
        <w:rPr>
          <w:rFonts w:ascii="Arial" w:hAnsi="Arial" w:eastAsia="Calibri" w:cs="Arial"/>
          <w:sz w:val="22"/>
          <w:szCs w:val="22"/>
          <w:lang w:val="es-MX" w:eastAsia="en-US"/>
        </w:rPr>
        <w:t>.</w:t>
      </w:r>
      <w:r w:rsidRPr="00C84F90" w:rsidR="00C84F90">
        <w:rPr>
          <w:rFonts w:ascii="Arial" w:hAnsi="Arial" w:eastAsia="Calibri" w:cs="Arial"/>
          <w:sz w:val="22"/>
          <w:szCs w:val="22"/>
          <w:lang w:val="es-MX" w:eastAsia="en-US"/>
        </w:rPr>
        <w:t xml:space="preserve"> </w:t>
      </w:r>
      <w:bookmarkEnd w:id="5"/>
    </w:p>
    <w:p w:rsidR="00C84F90" w:rsidP="00C84F90" w:rsidRDefault="005B43DF" w14:paraId="5D2A0831" w14:textId="2A5E964E">
      <w:pPr>
        <w:tabs>
          <w:tab w:val="left" w:pos="426"/>
        </w:tabs>
        <w:spacing w:line="276" w:lineRule="auto"/>
        <w:ind w:firstLine="709"/>
        <w:jc w:val="both"/>
        <w:rPr>
          <w:rFonts w:ascii="Arial" w:hAnsi="Arial" w:eastAsia="Calibri" w:cs="Arial"/>
          <w:bCs/>
          <w:sz w:val="22"/>
          <w:szCs w:val="22"/>
          <w:lang w:eastAsia="en-US"/>
        </w:rPr>
      </w:pPr>
      <w:r w:rsidRPr="00446B03">
        <w:rPr>
          <w:rFonts w:ascii="Arial" w:hAnsi="Arial" w:eastAsia="Calibri" w:cs="Arial"/>
          <w:bCs/>
          <w:sz w:val="22"/>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w:t>
      </w:r>
      <w:r>
        <w:rPr>
          <w:rFonts w:ascii="Arial" w:hAnsi="Arial" w:eastAsia="Calibri" w:cs="Arial"/>
          <w:bCs/>
          <w:sz w:val="22"/>
        </w:rPr>
        <w:t xml:space="preserve">C-074 del 17 de marzo de 2021, C-075 del 16 de marzo de 2021, </w:t>
      </w:r>
      <w:r w:rsidRPr="00446B03">
        <w:rPr>
          <w:rFonts w:ascii="Arial" w:hAnsi="Arial" w:eastAsia="Calibri" w:cs="Arial"/>
          <w:bCs/>
          <w:sz w:val="22"/>
        </w:rPr>
        <w:t>C-227 de 2021 del 5 de mayo de 2021</w:t>
      </w:r>
      <w:r>
        <w:rPr>
          <w:rFonts w:ascii="Arial" w:hAnsi="Arial" w:eastAsia="Calibri" w:cs="Arial"/>
          <w:bCs/>
          <w:sz w:val="22"/>
        </w:rPr>
        <w:t>,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w:t>
      </w:r>
      <w:r w:rsidR="00F60D7D">
        <w:rPr>
          <w:rFonts w:ascii="Arial" w:hAnsi="Arial" w:eastAsia="Calibri" w:cs="Arial"/>
          <w:bCs/>
          <w:sz w:val="22"/>
        </w:rPr>
        <w:t>,</w:t>
      </w:r>
      <w:r>
        <w:rPr>
          <w:rFonts w:ascii="Arial" w:hAnsi="Arial" w:eastAsia="Calibri" w:cs="Arial"/>
          <w:bCs/>
          <w:sz w:val="22"/>
        </w:rPr>
        <w:t xml:space="preserve"> C-726 del 24 de enero de 2022</w:t>
      </w:r>
      <w:r w:rsidR="00371834">
        <w:rPr>
          <w:rFonts w:ascii="Arial" w:hAnsi="Arial" w:eastAsia="Calibri" w:cs="Arial"/>
          <w:bCs/>
          <w:sz w:val="22"/>
        </w:rPr>
        <w:t>,</w:t>
      </w:r>
      <w:r w:rsidR="00F60D7D">
        <w:rPr>
          <w:rFonts w:ascii="Arial" w:hAnsi="Arial" w:eastAsia="Calibri" w:cs="Arial"/>
          <w:bCs/>
          <w:sz w:val="22"/>
        </w:rPr>
        <w:t xml:space="preserve"> C-023 del 22 de febrero de </w:t>
      </w:r>
      <w:r w:rsidR="009B0B5C">
        <w:rPr>
          <w:rFonts w:ascii="Arial" w:hAnsi="Arial" w:eastAsia="Calibri" w:cs="Arial"/>
          <w:bCs/>
          <w:sz w:val="22"/>
        </w:rPr>
        <w:t>2022</w:t>
      </w:r>
      <w:r w:rsidR="00371834">
        <w:rPr>
          <w:rFonts w:ascii="Arial" w:hAnsi="Arial" w:eastAsia="Calibri" w:cs="Arial"/>
          <w:bCs/>
          <w:sz w:val="22"/>
        </w:rPr>
        <w:t xml:space="preserve">, C-094 del 16 de marzo de 2022, </w:t>
      </w:r>
      <w:r w:rsidR="004C2B82">
        <w:rPr>
          <w:rFonts w:ascii="Arial" w:hAnsi="Arial" w:eastAsia="Calibri" w:cs="Arial"/>
          <w:bCs/>
          <w:sz w:val="22"/>
        </w:rPr>
        <w:t>C-147 de</w:t>
      </w:r>
      <w:r w:rsidR="00351FDE">
        <w:rPr>
          <w:rFonts w:ascii="Arial" w:hAnsi="Arial" w:eastAsia="Calibri" w:cs="Arial"/>
          <w:bCs/>
          <w:sz w:val="22"/>
        </w:rPr>
        <w:t xml:space="preserve">l 25 de marzo de 2022 y </w:t>
      </w:r>
      <w:r w:rsidR="00337527">
        <w:rPr>
          <w:rFonts w:ascii="Arial" w:hAnsi="Arial" w:eastAsia="Calibri" w:cs="Arial"/>
          <w:bCs/>
          <w:sz w:val="22"/>
        </w:rPr>
        <w:t>C-153 del 25 de marzo de 2022</w:t>
      </w:r>
      <w:r w:rsidR="009B0B5C">
        <w:rPr>
          <w:rFonts w:ascii="Arial" w:hAnsi="Arial" w:eastAsia="Calibri" w:cs="Arial"/>
          <w:bCs/>
          <w:sz w:val="22"/>
        </w:rPr>
        <w:t xml:space="preserve">. </w:t>
      </w:r>
    </w:p>
    <w:p w:rsidR="002F0981" w:rsidP="002F0981" w:rsidRDefault="002F0981" w14:paraId="5A8A3890" w14:textId="47CB92D5">
      <w:pPr>
        <w:spacing w:before="120" w:after="120" w:line="276" w:lineRule="auto"/>
        <w:ind w:firstLine="708"/>
        <w:jc w:val="both"/>
        <w:rPr>
          <w:rFonts w:ascii="Arial" w:hAnsi="Arial" w:cs="Arial"/>
          <w:sz w:val="22"/>
        </w:rPr>
      </w:pPr>
      <w:r>
        <w:rPr>
          <w:rFonts w:ascii="Arial" w:hAnsi="Arial" w:cs="Arial"/>
          <w:sz w:val="22"/>
        </w:rPr>
        <w:t xml:space="preserve">Adicionalmente se </w:t>
      </w:r>
      <w:r w:rsidRPr="00E045BC">
        <w:rPr>
          <w:rFonts w:ascii="Arial" w:hAnsi="Arial" w:cs="Arial"/>
          <w:sz w:val="22"/>
        </w:rPr>
        <w:t xml:space="preserve">estudió el tema de la naturaleza jurídica de las </w:t>
      </w:r>
      <w:r w:rsidR="008439F5">
        <w:rPr>
          <w:rFonts w:ascii="Arial" w:hAnsi="Arial" w:cs="Arial"/>
          <w:sz w:val="22"/>
        </w:rPr>
        <w:t>i</w:t>
      </w:r>
      <w:r w:rsidRPr="00E045BC">
        <w:rPr>
          <w:rFonts w:ascii="Arial" w:hAnsi="Arial" w:cs="Arial"/>
          <w:sz w:val="22"/>
        </w:rPr>
        <w:t xml:space="preserve">nstituciones educativas y su régimen de contratación en los conceptos con radicado 2201913000006285 del 27 de agosto de 2019, No. </w:t>
      </w:r>
      <w:hyperlink w:tgtFrame="_blank" w:history="1" r:id="rId12">
        <w:r w:rsidRPr="00E045BC">
          <w:rPr>
            <w:rFonts w:ascii="Arial" w:hAnsi="Arial" w:cs="Arial"/>
            <w:sz w:val="22"/>
          </w:rPr>
          <w:t>2201913000006068</w:t>
        </w:r>
      </w:hyperlink>
      <w:r w:rsidRPr="00E045BC">
        <w:rPr>
          <w:rFonts w:ascii="Arial" w:hAnsi="Arial" w:cs="Arial"/>
          <w:sz w:val="22"/>
        </w:rPr>
        <w:t xml:space="preserve"> del 28 de agosto de 2019, 2201913000008174 del 31 de octubre de 2019  </w:t>
      </w:r>
      <w:hyperlink w:tgtFrame="_blank" w:history="1" r:id="rId13">
        <w:r w:rsidRPr="00E045BC">
          <w:rPr>
            <w:rFonts w:ascii="Arial" w:hAnsi="Arial" w:cs="Arial"/>
            <w:sz w:val="22"/>
          </w:rPr>
          <w:t>2201913000008197</w:t>
        </w:r>
      </w:hyperlink>
      <w:r w:rsidRPr="00E045BC">
        <w:rPr>
          <w:rFonts w:ascii="Arial" w:hAnsi="Arial" w:cs="Arial"/>
          <w:sz w:val="22"/>
        </w:rPr>
        <w:t xml:space="preserve"> del 1 de noviembre de 2019, C-181 del 6 de abril de 2020, C-272 del 27 de abril de 2020, C-284 del 27 de mayo de 2010</w:t>
      </w:r>
      <w:r w:rsidR="007B7A71">
        <w:rPr>
          <w:rFonts w:ascii="Arial" w:hAnsi="Arial" w:cs="Arial"/>
          <w:sz w:val="22"/>
        </w:rPr>
        <w:t xml:space="preserve">, </w:t>
      </w:r>
      <w:r w:rsidRPr="00E045BC">
        <w:rPr>
          <w:rFonts w:ascii="Arial" w:hAnsi="Arial" w:cs="Arial"/>
          <w:sz w:val="22"/>
        </w:rPr>
        <w:t>C-399 del 23 de junio de 2020</w:t>
      </w:r>
      <w:r w:rsidR="003800DC">
        <w:rPr>
          <w:rFonts w:ascii="Arial" w:hAnsi="Arial" w:cs="Arial"/>
          <w:sz w:val="22"/>
        </w:rPr>
        <w:t>, C-499 del 15 de septiembre de 2021</w:t>
      </w:r>
      <w:r w:rsidR="00947882">
        <w:rPr>
          <w:rFonts w:ascii="Arial" w:hAnsi="Arial" w:cs="Arial"/>
          <w:sz w:val="22"/>
        </w:rPr>
        <w:t xml:space="preserve"> y C-543 del 9 de noviembre de 2021</w:t>
      </w:r>
      <w:r w:rsidRPr="00E045BC">
        <w:rPr>
          <w:rFonts w:ascii="Arial" w:hAnsi="Arial" w:cs="Arial"/>
          <w:sz w:val="22"/>
        </w:rPr>
        <w:t>.</w:t>
      </w:r>
      <w:r w:rsidRPr="00E045BC">
        <w:rPr>
          <w:rFonts w:ascii="Arial" w:hAnsi="Arial" w:cs="Arial"/>
          <w:sz w:val="22"/>
        </w:rPr>
        <w:tab/>
      </w:r>
    </w:p>
    <w:p w:rsidRPr="00CE3639" w:rsidR="008D530D" w:rsidP="00CE3639" w:rsidRDefault="00EB6C83" w14:paraId="73739F40" w14:textId="2210A828">
      <w:pPr>
        <w:tabs>
          <w:tab w:val="left" w:pos="426"/>
        </w:tabs>
        <w:spacing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Por otra parte, l</w:t>
      </w:r>
      <w:r w:rsidRPr="00BB6814">
        <w:rPr>
          <w:rFonts w:ascii="Arial" w:hAnsi="Arial" w:eastAsia="Calibri" w:cs="Arial"/>
          <w:bCs/>
          <w:color w:val="000000" w:themeColor="text1"/>
          <w:sz w:val="22"/>
          <w:lang w:val="es-ES_tradnl"/>
        </w:rPr>
        <w:t>a Agencia Nacional de Contratación Pública –</w:t>
      </w:r>
      <w:r w:rsidR="00027102">
        <w:rPr>
          <w:rFonts w:ascii="Arial" w:hAnsi="Arial" w:eastAsia="Calibri" w:cs="Arial"/>
          <w:bCs/>
          <w:color w:val="000000" w:themeColor="text1"/>
          <w:sz w:val="22"/>
          <w:lang w:val="es-ES_tradnl"/>
        </w:rPr>
        <w:t xml:space="preserve"> </w:t>
      </w:r>
      <w:r w:rsidRPr="00BB6814">
        <w:rPr>
          <w:rFonts w:ascii="Arial" w:hAnsi="Arial" w:eastAsia="Calibri" w:cs="Arial"/>
          <w:bCs/>
          <w:color w:val="000000" w:themeColor="text1"/>
          <w:sz w:val="22"/>
          <w:lang w:val="es-ES_tradnl"/>
        </w:rPr>
        <w:t>Colombia Compra Eficiente– unificó su doctrina sobre</w:t>
      </w:r>
      <w:r w:rsidR="00EE5BB1">
        <w:rPr>
          <w:rFonts w:ascii="Arial" w:hAnsi="Arial" w:eastAsia="Calibri" w:cs="Arial"/>
          <w:bCs/>
          <w:color w:val="000000" w:themeColor="text1"/>
          <w:sz w:val="22"/>
          <w:lang w:val="es-ES_tradnl"/>
        </w:rPr>
        <w:t xml:space="preserve"> </w:t>
      </w:r>
      <w:r w:rsidRPr="00790B61" w:rsidR="00EE5BB1">
        <w:rPr>
          <w:rFonts w:ascii="Arial" w:hAnsi="Arial" w:eastAsia="Calibri" w:cs="Arial"/>
          <w:sz w:val="22"/>
          <w:szCs w:val="22"/>
          <w:lang w:val="es-ES" w:eastAsia="en-US"/>
        </w:rPr>
        <w:t>publicidad en SECOP en lo concerniente a las entidades regidas por el Estatuto General de Contratación de la Administración Pública</w:t>
      </w:r>
      <w:r w:rsidR="00200681">
        <w:rPr>
          <w:rFonts w:ascii="Arial" w:hAnsi="Arial" w:eastAsia="Calibri" w:cs="Arial"/>
          <w:sz w:val="22"/>
          <w:szCs w:val="22"/>
          <w:lang w:val="es-ES" w:eastAsia="en-US"/>
        </w:rPr>
        <w:t xml:space="preserve"> </w:t>
      </w:r>
      <w:r w:rsidRPr="00790B61" w:rsidR="00EE5BB1">
        <w:rPr>
          <w:rFonts w:ascii="Arial" w:hAnsi="Arial" w:eastAsia="Calibri" w:cs="Arial"/>
          <w:sz w:val="22"/>
          <w:szCs w:val="22"/>
          <w:lang w:val="es-ES" w:eastAsia="en-US"/>
        </w:rPr>
        <w:t xml:space="preserve">en el concepto CU-367 del </w:t>
      </w:r>
      <w:r w:rsidRPr="00790B61" w:rsidR="00EE5BB1">
        <w:rPr>
          <w:rFonts w:ascii="Arial" w:hAnsi="Arial" w:eastAsia="Calibri" w:cs="Arial"/>
          <w:sz w:val="22"/>
          <w:szCs w:val="22"/>
          <w:lang w:val="es-MX" w:eastAsia="en-US"/>
        </w:rPr>
        <w:t>23 de julio de 2020</w:t>
      </w:r>
      <w:r w:rsidR="00200681">
        <w:rPr>
          <w:rFonts w:ascii="Arial" w:hAnsi="Arial" w:eastAsia="Calibri" w:cs="Arial"/>
          <w:sz w:val="22"/>
          <w:szCs w:val="22"/>
          <w:lang w:val="es-MX" w:eastAsia="en-US"/>
        </w:rPr>
        <w:t>. Dicho pronunciamiento</w:t>
      </w:r>
      <w:r w:rsidRPr="00790B61" w:rsidR="00EE5BB1">
        <w:rPr>
          <w:rFonts w:ascii="Arial" w:hAnsi="Arial" w:eastAsia="Calibri" w:cs="Arial"/>
          <w:sz w:val="22"/>
          <w:szCs w:val="22"/>
          <w:lang w:val="es-MX" w:eastAsia="en-US"/>
        </w:rPr>
        <w:t xml:space="preserve"> fue reiterado en los conceptos C-433 del 24 de julio de 2020, C-474 del 24 de julio de 2020, C-504 del 31 de julio de 2020, C-508 del 31 de julio de 2020, C-521 del 11 de agosto de 2020, C-543 del 19 de agosto de 2020, C-544 del 21 de agosto de 2020, C-604 del 9 de septiembre de 2020, C-554 del 17 </w:t>
      </w:r>
      <w:r w:rsidRPr="00790B61" w:rsidR="00EE5BB1">
        <w:rPr>
          <w:rFonts w:ascii="Arial" w:hAnsi="Arial" w:eastAsia="Calibri" w:cs="Arial"/>
          <w:sz w:val="22"/>
          <w:szCs w:val="22"/>
          <w:lang w:val="es-MX" w:eastAsia="en-US"/>
        </w:rPr>
        <w:t>de septiembre de 2020, C-672 del 11 de noviembre de 2020, C-661 del 17 de noviembre de 2020</w:t>
      </w:r>
      <w:r w:rsidR="00EE5BB1">
        <w:rPr>
          <w:rFonts w:ascii="Arial" w:hAnsi="Arial" w:eastAsia="Calibri" w:cs="Arial"/>
          <w:sz w:val="22"/>
          <w:szCs w:val="22"/>
          <w:lang w:val="es-MX" w:eastAsia="en-US"/>
        </w:rPr>
        <w:t xml:space="preserve">, </w:t>
      </w:r>
      <w:r w:rsidRPr="00790B61" w:rsidR="00EE5BB1">
        <w:rPr>
          <w:rFonts w:ascii="Arial" w:hAnsi="Arial" w:eastAsia="Calibri" w:cs="Arial"/>
          <w:sz w:val="22"/>
          <w:szCs w:val="22"/>
          <w:lang w:val="es-MX" w:eastAsia="en-US"/>
        </w:rPr>
        <w:t>C-680 del 18 de noviembre de 2020</w:t>
      </w:r>
      <w:r w:rsidR="00F56EAE">
        <w:rPr>
          <w:rFonts w:ascii="Arial" w:hAnsi="Arial" w:eastAsia="Calibri" w:cs="Arial"/>
          <w:sz w:val="22"/>
          <w:szCs w:val="22"/>
          <w:lang w:val="es-MX" w:eastAsia="en-US"/>
        </w:rPr>
        <w:t>,</w:t>
      </w:r>
      <w:r w:rsidR="00EE5BB1">
        <w:rPr>
          <w:rFonts w:ascii="Arial" w:hAnsi="Arial" w:eastAsia="Calibri" w:cs="Arial"/>
          <w:sz w:val="22"/>
          <w:szCs w:val="22"/>
          <w:lang w:val="es-MX" w:eastAsia="en-US"/>
        </w:rPr>
        <w:t xml:space="preserve"> C-780 del 18 de enero de 2021</w:t>
      </w:r>
      <w:r w:rsidR="00F56EAE">
        <w:rPr>
          <w:rFonts w:ascii="Arial" w:hAnsi="Arial" w:eastAsia="Calibri" w:cs="Arial"/>
          <w:sz w:val="22"/>
          <w:szCs w:val="22"/>
          <w:lang w:val="es-MX" w:eastAsia="en-US"/>
        </w:rPr>
        <w:t xml:space="preserve"> y</w:t>
      </w:r>
      <w:r w:rsidR="00200681">
        <w:rPr>
          <w:rFonts w:ascii="Arial" w:hAnsi="Arial" w:eastAsia="Calibri" w:cs="Arial"/>
          <w:sz w:val="22"/>
          <w:szCs w:val="22"/>
          <w:lang w:val="es-MX" w:eastAsia="en-US"/>
        </w:rPr>
        <w:t xml:space="preserve"> </w:t>
      </w:r>
      <w:r w:rsidR="00F56EAE">
        <w:rPr>
          <w:rFonts w:ascii="Arial" w:hAnsi="Arial" w:eastAsia="Calibri" w:cs="Arial"/>
          <w:bCs/>
          <w:color w:val="000000" w:themeColor="text1"/>
          <w:sz w:val="22"/>
          <w:lang w:val="es-ES_tradnl"/>
        </w:rPr>
        <w:t xml:space="preserve">C-026 del 28 de febrero de 2022. </w:t>
      </w:r>
      <w:r w:rsidR="00CE3639">
        <w:rPr>
          <w:rFonts w:ascii="Arial" w:hAnsi="Arial" w:eastAsia="Calibri" w:cs="Arial"/>
          <w:bCs/>
          <w:color w:val="000000" w:themeColor="text1"/>
          <w:sz w:val="22"/>
          <w:lang w:val="es-ES_tradnl"/>
        </w:rPr>
        <w:t xml:space="preserve">Así mismo, analizó </w:t>
      </w:r>
      <w:r w:rsidRPr="00BB6814">
        <w:rPr>
          <w:rFonts w:ascii="Arial" w:hAnsi="Arial" w:eastAsia="Calibri" w:cs="Arial"/>
          <w:bCs/>
          <w:color w:val="000000" w:themeColor="text1"/>
          <w:sz w:val="22"/>
          <w:lang w:val="es-ES_tradnl"/>
        </w:rPr>
        <w:t xml:space="preserve">el deber de las entidades exceptuadas del Estatuto General de Contratación de la Administración Pública –o con régimen especial– de publicar sus actuaciones contractuales en el SECOP, en el concepto CU-003 del 15 de enero de 2020.  Dicho pronunciamiento </w:t>
      </w:r>
      <w:r>
        <w:rPr>
          <w:rFonts w:ascii="Arial" w:hAnsi="Arial" w:eastAsia="Calibri" w:cs="Arial"/>
          <w:bCs/>
          <w:color w:val="000000" w:themeColor="text1"/>
          <w:sz w:val="22"/>
          <w:lang w:val="es-ES_tradnl"/>
        </w:rPr>
        <w:t>ha sido</w:t>
      </w:r>
      <w:r w:rsidRPr="00BB6814">
        <w:rPr>
          <w:rFonts w:ascii="Arial" w:hAnsi="Arial" w:eastAsia="Calibri" w:cs="Arial"/>
          <w:bCs/>
          <w:color w:val="000000" w:themeColor="text1"/>
          <w:sz w:val="22"/>
          <w:lang w:val="es-ES_tradnl"/>
        </w:rPr>
        <w:t xml:space="preserve"> reiterado</w:t>
      </w:r>
      <w:r>
        <w:rPr>
          <w:rFonts w:ascii="Arial" w:hAnsi="Arial" w:eastAsia="Calibri" w:cs="Arial"/>
          <w:bCs/>
          <w:color w:val="000000" w:themeColor="text1"/>
          <w:sz w:val="22"/>
          <w:lang w:val="es-ES_tradnl"/>
        </w:rPr>
        <w:t xml:space="preserve"> en los</w:t>
      </w:r>
      <w:r w:rsidRPr="00BB6814">
        <w:rPr>
          <w:rFonts w:ascii="Arial" w:hAnsi="Arial" w:eastAsia="Calibri" w:cs="Arial"/>
          <w:bCs/>
          <w:color w:val="000000" w:themeColor="text1"/>
          <w:sz w:val="22"/>
          <w:lang w:val="es-ES_tradnl"/>
        </w:rPr>
        <w:t xml:space="preserve"> concepto</w:t>
      </w:r>
      <w:r>
        <w:rPr>
          <w:rFonts w:ascii="Arial" w:hAnsi="Arial" w:eastAsia="Calibri" w:cs="Arial"/>
          <w:bCs/>
          <w:color w:val="000000" w:themeColor="text1"/>
          <w:sz w:val="22"/>
          <w:lang w:val="es-ES_tradnl"/>
        </w:rPr>
        <w:t>s</w:t>
      </w:r>
      <w:r w:rsidRPr="00BB6814">
        <w:rPr>
          <w:rFonts w:ascii="Arial" w:hAnsi="Arial" w:eastAsia="Calibri" w:cs="Arial"/>
          <w:bCs/>
          <w:color w:val="000000" w:themeColor="text1"/>
          <w:sz w:val="22"/>
          <w:lang w:val="es-ES_tradnl"/>
        </w:rPr>
        <w:t xml:space="preserve"> C-172 del 13 de abril de 2021</w:t>
      </w:r>
      <w:r w:rsidR="001130E1">
        <w:rPr>
          <w:rFonts w:ascii="Arial" w:hAnsi="Arial" w:eastAsia="Calibri" w:cs="Arial"/>
          <w:bCs/>
          <w:color w:val="000000" w:themeColor="text1"/>
          <w:sz w:val="22"/>
          <w:lang w:val="es-ES_tradnl"/>
        </w:rPr>
        <w:t xml:space="preserve"> y</w:t>
      </w:r>
      <w:r>
        <w:rPr>
          <w:rFonts w:ascii="Arial" w:hAnsi="Arial" w:eastAsia="Calibri" w:cs="Arial"/>
          <w:bCs/>
          <w:color w:val="000000" w:themeColor="text1"/>
          <w:sz w:val="22"/>
          <w:lang w:val="es-ES_tradnl"/>
        </w:rPr>
        <w:t xml:space="preserve"> C-074 del 10 de marzo de 2022</w:t>
      </w:r>
      <w:r w:rsidRPr="00BB6814">
        <w:rPr>
          <w:rFonts w:ascii="Arial" w:hAnsi="Arial" w:eastAsia="Calibri" w:cs="Arial"/>
          <w:bCs/>
          <w:color w:val="000000" w:themeColor="text1"/>
          <w:sz w:val="22"/>
          <w:lang w:val="es-ES_tradnl"/>
        </w:rPr>
        <w:t xml:space="preserve">. </w:t>
      </w:r>
      <w:r w:rsidRPr="00446B03" w:rsidR="008D530D">
        <w:rPr>
          <w:rFonts w:ascii="Arial" w:hAnsi="Arial" w:eastAsia="Calibri" w:cs="Arial"/>
          <w:bCs/>
          <w:sz w:val="22"/>
        </w:rPr>
        <w:t>La</w:t>
      </w:r>
      <w:r w:rsidR="000F6DB4">
        <w:rPr>
          <w:rFonts w:ascii="Arial" w:hAnsi="Arial" w:eastAsia="Calibri" w:cs="Arial"/>
          <w:bCs/>
          <w:sz w:val="22"/>
        </w:rPr>
        <w:t>s</w:t>
      </w:r>
      <w:r w:rsidRPr="00446B03" w:rsidR="008D530D">
        <w:rPr>
          <w:rFonts w:ascii="Arial" w:hAnsi="Arial" w:eastAsia="Calibri" w:cs="Arial"/>
          <w:bCs/>
          <w:sz w:val="22"/>
        </w:rPr>
        <w:t xml:space="preserve"> tesis desarrollada</w:t>
      </w:r>
      <w:r w:rsidR="000F6DB4">
        <w:rPr>
          <w:rFonts w:ascii="Arial" w:hAnsi="Arial" w:eastAsia="Calibri" w:cs="Arial"/>
          <w:bCs/>
          <w:sz w:val="22"/>
        </w:rPr>
        <w:t>s</w:t>
      </w:r>
      <w:r w:rsidRPr="00446B03" w:rsidR="008D530D">
        <w:rPr>
          <w:rFonts w:ascii="Arial" w:hAnsi="Arial" w:eastAsia="Calibri" w:cs="Arial"/>
          <w:bCs/>
          <w:sz w:val="22"/>
        </w:rPr>
        <w:t xml:space="preserve"> en estos conceptos se</w:t>
      </w:r>
      <w:r w:rsidR="008D530D">
        <w:rPr>
          <w:rFonts w:ascii="Arial" w:hAnsi="Arial" w:eastAsia="Calibri" w:cs="Arial"/>
          <w:bCs/>
          <w:sz w:val="22"/>
        </w:rPr>
        <w:t xml:space="preserve"> reitera</w:t>
      </w:r>
      <w:r w:rsidR="000F6DB4">
        <w:rPr>
          <w:rFonts w:ascii="Arial" w:hAnsi="Arial" w:eastAsia="Calibri" w:cs="Arial"/>
          <w:bCs/>
          <w:sz w:val="22"/>
        </w:rPr>
        <w:t>n</w:t>
      </w:r>
      <w:r w:rsidR="008D530D">
        <w:rPr>
          <w:rFonts w:ascii="Arial" w:hAnsi="Arial" w:eastAsia="Calibri" w:cs="Arial"/>
          <w:bCs/>
          <w:sz w:val="22"/>
        </w:rPr>
        <w:t xml:space="preserve"> y</w:t>
      </w:r>
      <w:r w:rsidRPr="00446B03" w:rsidR="008D530D">
        <w:rPr>
          <w:rFonts w:ascii="Arial" w:hAnsi="Arial" w:eastAsia="Calibri" w:cs="Arial"/>
          <w:bCs/>
          <w:sz w:val="22"/>
        </w:rPr>
        <w:t xml:space="preserve"> complementa</w:t>
      </w:r>
      <w:r w:rsidR="000F6DB4">
        <w:rPr>
          <w:rFonts w:ascii="Arial" w:hAnsi="Arial" w:eastAsia="Calibri" w:cs="Arial"/>
          <w:bCs/>
          <w:sz w:val="22"/>
        </w:rPr>
        <w:t>n</w:t>
      </w:r>
      <w:r w:rsidRPr="00446B03" w:rsidR="008D530D">
        <w:rPr>
          <w:rFonts w:ascii="Arial" w:hAnsi="Arial" w:eastAsia="Calibri" w:cs="Arial"/>
          <w:bCs/>
          <w:sz w:val="22"/>
        </w:rPr>
        <w:t xml:space="preserve"> a continuación:</w:t>
      </w:r>
    </w:p>
    <w:p w:rsidRPr="00C84F90" w:rsidR="00C84F90" w:rsidP="00FD7DA9" w:rsidRDefault="00C84F90" w14:paraId="30892195" w14:textId="35B162B2">
      <w:pPr>
        <w:spacing w:line="276" w:lineRule="auto"/>
        <w:ind w:firstLine="709"/>
        <w:jc w:val="both"/>
        <w:rPr>
          <w:rFonts w:ascii="Arial" w:hAnsi="Arial" w:eastAsia="Calibri" w:cs="Arial"/>
          <w:b/>
          <w:bCs/>
          <w:sz w:val="22"/>
          <w:szCs w:val="22"/>
          <w:lang w:eastAsia="en-US"/>
        </w:rPr>
      </w:pPr>
    </w:p>
    <w:p w:rsidRPr="00C84F90" w:rsidR="00C84F90" w:rsidP="00C84F90" w:rsidRDefault="00C84F90" w14:paraId="17DA2C8B" w14:textId="77777777">
      <w:pPr>
        <w:tabs>
          <w:tab w:val="left" w:pos="426"/>
        </w:tabs>
        <w:spacing w:line="276" w:lineRule="auto"/>
        <w:jc w:val="both"/>
        <w:rPr>
          <w:rFonts w:ascii="Arial" w:hAnsi="Arial" w:eastAsia="Calibri" w:cs="Arial"/>
          <w:b/>
          <w:bCs/>
          <w:sz w:val="22"/>
          <w:szCs w:val="22"/>
          <w:lang w:eastAsia="en-US"/>
        </w:rPr>
      </w:pPr>
      <w:r w:rsidRPr="00C84F90">
        <w:rPr>
          <w:rFonts w:ascii="Arial" w:hAnsi="Arial" w:eastAsia="Calibri" w:cs="Arial"/>
          <w:b/>
          <w:bCs/>
          <w:sz w:val="22"/>
          <w:szCs w:val="22"/>
          <w:lang w:eastAsia="en-US"/>
        </w:rPr>
        <w:t>2.1. Definición y finalidad de la Ley de Garantías Electorales: alcance de las restricciones</w:t>
      </w:r>
    </w:p>
    <w:p w:rsidRPr="00C84F90" w:rsidR="00C84F90" w:rsidP="00C84F90" w:rsidRDefault="00C84F90" w14:paraId="27EB9B0D" w14:textId="77777777">
      <w:pPr>
        <w:tabs>
          <w:tab w:val="left" w:pos="426"/>
        </w:tabs>
        <w:spacing w:line="276" w:lineRule="auto"/>
        <w:ind w:firstLine="709"/>
        <w:jc w:val="both"/>
        <w:rPr>
          <w:rFonts w:ascii="Arial" w:hAnsi="Arial" w:eastAsia="Calibri" w:cs="Arial"/>
          <w:bCs/>
          <w:sz w:val="22"/>
          <w:szCs w:val="22"/>
          <w:lang w:eastAsia="en-US"/>
        </w:rPr>
      </w:pPr>
    </w:p>
    <w:p w:rsidRPr="00471C67" w:rsidR="00471C67" w:rsidP="00471C67" w:rsidRDefault="00471C67" w14:paraId="3F6484D7" w14:textId="77777777">
      <w:pPr>
        <w:tabs>
          <w:tab w:val="left" w:pos="426"/>
        </w:tabs>
        <w:spacing w:after="120" w:line="276" w:lineRule="auto"/>
        <w:jc w:val="both"/>
        <w:rPr>
          <w:rFonts w:ascii="Arial" w:hAnsi="Arial" w:cs="Arial"/>
          <w:bCs/>
          <w:sz w:val="22"/>
          <w:szCs w:val="22"/>
          <w:lang w:eastAsia="es-CO"/>
        </w:rPr>
      </w:pPr>
      <w:r w:rsidRPr="00471C67">
        <w:rPr>
          <w:rFonts w:ascii="Arial" w:hAnsi="Arial" w:eastAsia="Calibri" w:cs="Arial"/>
          <w:bCs/>
          <w:sz w:val="22"/>
          <w:szCs w:val="22"/>
        </w:rPr>
        <w:t>El ordenamiento jurídico colombiano contempla previsiones claras para evitar la obtención de beneficios personales en asuntos propios de la administración pública</w:t>
      </w:r>
      <w:r w:rsidRPr="00471C67">
        <w:rPr>
          <w:rFonts w:ascii="Arial" w:hAnsi="Arial" w:eastAsia="Calibri" w:cs="Arial"/>
          <w:bCs/>
          <w:i/>
          <w:iCs/>
          <w:sz w:val="22"/>
          <w:szCs w:val="22"/>
        </w:rPr>
        <w:t xml:space="preserve">. </w:t>
      </w:r>
      <w:r w:rsidRPr="00471C67">
        <w:rPr>
          <w:rFonts w:ascii="Arial" w:hAnsi="Arial" w:eastAsia="Calibri" w:cs="Arial"/>
          <w:bCs/>
          <w:sz w:val="22"/>
          <w:szCs w:val="22"/>
        </w:rPr>
        <w:t>Por ejemplo, el artículo 127 de la Constitución Política establece una prohibición contractual a los servidores públicos y en cuanto a aspectos políticos consagra restricciones a ciertos empleados del Estado, incluso en época no electoral</w:t>
      </w:r>
      <w:r w:rsidRPr="00471C67">
        <w:rPr>
          <w:rFonts w:ascii="Arial" w:hAnsi="Arial" w:eastAsia="Calibri" w:cs="Arial"/>
          <w:bCs/>
          <w:sz w:val="22"/>
          <w:szCs w:val="22"/>
          <w:vertAlign w:val="superscript"/>
        </w:rPr>
        <w:footnoteReference w:id="2"/>
      </w:r>
      <w:r w:rsidRPr="00471C67">
        <w:rPr>
          <w:rFonts w:ascii="Arial" w:hAnsi="Arial" w:eastAsia="Calibri" w:cs="Arial"/>
          <w:bCs/>
          <w:sz w:val="22"/>
          <w:szCs w:val="22"/>
        </w:rPr>
        <w:t xml:space="preserve">. </w:t>
      </w:r>
    </w:p>
    <w:p w:rsidRPr="00471C67" w:rsidR="00471C67" w:rsidP="00471C67" w:rsidRDefault="00471C67" w14:paraId="0E48FF48" w14:textId="77777777">
      <w:pPr>
        <w:tabs>
          <w:tab w:val="left" w:pos="426"/>
        </w:tabs>
        <w:spacing w:line="276" w:lineRule="auto"/>
        <w:ind w:firstLine="709"/>
        <w:jc w:val="both"/>
        <w:rPr>
          <w:rFonts w:ascii="Arial" w:hAnsi="Arial" w:cs="Arial"/>
          <w:bCs/>
          <w:sz w:val="22"/>
          <w:szCs w:val="22"/>
          <w:lang w:val="es-MX" w:eastAsia="es-CO"/>
        </w:rPr>
      </w:pPr>
      <w:r w:rsidRPr="00471C67">
        <w:rPr>
          <w:rFonts w:ascii="Arial" w:hAnsi="Arial" w:cs="Arial"/>
          <w:bCs/>
          <w:sz w:val="22"/>
          <w:szCs w:val="22"/>
          <w:lang w:eastAsia="es-CO"/>
        </w:rPr>
        <w:t>En el mismo sentido</w:t>
      </w:r>
      <w:r w:rsidRPr="00471C67">
        <w:rPr>
          <w:rFonts w:ascii="Arial" w:hAnsi="Arial" w:cs="Arial"/>
          <w:bCs/>
          <w:sz w:val="22"/>
          <w:szCs w:val="22"/>
          <w:lang w:val="es-MX" w:eastAsia="es-CO"/>
        </w:rPr>
        <w:t xml:space="preserve">, </w:t>
      </w:r>
      <w:bookmarkStart w:name="_Hlk99576829" w:id="6"/>
      <w:r w:rsidRPr="00471C67">
        <w:rPr>
          <w:rFonts w:ascii="Arial" w:hAnsi="Arial" w:cs="Arial"/>
          <w:bCs/>
          <w:sz w:val="22"/>
          <w:szCs w:val="22"/>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71C67">
        <w:rPr>
          <w:rFonts w:ascii="Arial" w:hAnsi="Arial" w:cs="Arial"/>
          <w:bCs/>
          <w:sz w:val="22"/>
          <w:szCs w:val="22"/>
          <w:vertAlign w:val="superscript"/>
          <w:lang w:val="es-MX" w:eastAsia="es-CO"/>
        </w:rPr>
        <w:footnoteReference w:id="3"/>
      </w:r>
      <w:r w:rsidRPr="00471C67">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71C67">
        <w:rPr>
          <w:rFonts w:ascii="Arial" w:hAnsi="Arial" w:eastAsia="Calibri" w:cs="Arial"/>
          <w:noProof/>
          <w:sz w:val="22"/>
          <w:szCs w:val="22"/>
          <w:lang w:val="es-ES_tradnl"/>
        </w:rPr>
        <w:t xml:space="preserve"> </w:t>
      </w:r>
      <w:bookmarkEnd w:id="6"/>
      <w:r w:rsidRPr="00471C67">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rsidRPr="00471C67" w:rsidR="00471C67" w:rsidP="00471C67" w:rsidRDefault="00471C67" w14:paraId="21761D90" w14:textId="77777777">
      <w:pPr>
        <w:spacing w:line="276" w:lineRule="auto"/>
        <w:ind w:right="709"/>
        <w:contextualSpacing/>
        <w:jc w:val="both"/>
        <w:rPr>
          <w:rFonts w:ascii="Arial" w:hAnsi="Arial" w:cs="Arial"/>
          <w:sz w:val="22"/>
          <w:szCs w:val="22"/>
          <w:lang w:val="es-ES" w:eastAsia="es-CO"/>
        </w:rPr>
      </w:pPr>
    </w:p>
    <w:p w:rsidRPr="006C314F" w:rsidR="00471C67" w:rsidP="00471C67" w:rsidRDefault="00471C67" w14:paraId="2B42D08E" w14:textId="740FC6E4">
      <w:pPr>
        <w:ind w:left="709" w:right="709"/>
        <w:contextualSpacing/>
        <w:jc w:val="both"/>
        <w:rPr>
          <w:rFonts w:ascii="Arial" w:hAnsi="Arial" w:cs="Arial"/>
          <w:bCs/>
          <w:sz w:val="21"/>
          <w:szCs w:val="21"/>
          <w:lang w:val="es-MX" w:eastAsia="es-CO"/>
        </w:rPr>
      </w:pPr>
      <w:r w:rsidRPr="006C314F">
        <w:rPr>
          <w:rFonts w:ascii="Arial" w:hAnsi="Arial" w:cs="Arial"/>
          <w:sz w:val="21"/>
          <w:szCs w:val="21"/>
          <w:lang w:val="es-ES" w:eastAsia="es-CO"/>
        </w:rPr>
        <w:t xml:space="preserve">[…] </w:t>
      </w:r>
      <w:r w:rsidRPr="006C314F">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6C314F" w:rsidR="00471C67" w:rsidP="00471C67" w:rsidRDefault="00471C67" w14:paraId="3D479674"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 xml:space="preserve">[…] </w:t>
      </w:r>
    </w:p>
    <w:p w:rsidRPr="006C314F" w:rsidR="00471C67" w:rsidP="00FD7DA9" w:rsidRDefault="00471C67" w14:paraId="7E63A2D3" w14:textId="77777777">
      <w:pPr>
        <w:ind w:right="709"/>
        <w:contextualSpacing/>
        <w:jc w:val="both"/>
        <w:rPr>
          <w:rFonts w:ascii="Arial" w:hAnsi="Arial" w:cs="Arial"/>
          <w:bCs/>
          <w:sz w:val="21"/>
          <w:szCs w:val="21"/>
          <w:lang w:val="es-MX" w:eastAsia="es-CO"/>
        </w:rPr>
      </w:pPr>
    </w:p>
    <w:p w:rsidRPr="006C314F" w:rsidR="00471C67" w:rsidP="00471C67" w:rsidRDefault="00471C67" w14:paraId="4F6A6BD1"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C314F">
        <w:rPr>
          <w:rFonts w:ascii="Arial" w:hAnsi="Arial" w:eastAsia="Calibri" w:cs="Arial"/>
          <w:sz w:val="20"/>
          <w:szCs w:val="20"/>
          <w:vertAlign w:val="superscript"/>
          <w:lang w:val="es-MX"/>
        </w:rPr>
        <w:footnoteReference w:id="4"/>
      </w:r>
    </w:p>
    <w:p w:rsidRPr="00471C67" w:rsidR="00471C67" w:rsidP="00471C67" w:rsidRDefault="00471C67" w14:paraId="40B711CF" w14:textId="77777777">
      <w:pPr>
        <w:spacing w:line="276" w:lineRule="auto"/>
        <w:ind w:left="709" w:right="709"/>
        <w:contextualSpacing/>
        <w:jc w:val="both"/>
        <w:rPr>
          <w:rFonts w:ascii="Arial" w:hAnsi="Arial" w:cs="Arial"/>
          <w:bCs/>
          <w:sz w:val="22"/>
          <w:szCs w:val="22"/>
          <w:lang w:val="es-MX" w:eastAsia="es-CO"/>
        </w:rPr>
      </w:pPr>
    </w:p>
    <w:p w:rsidRPr="00471C67" w:rsidR="00471C67" w:rsidP="00471C67" w:rsidRDefault="00471C67" w14:paraId="4A3306B8" w14:textId="1C4E1A28">
      <w:pPr>
        <w:spacing w:line="276" w:lineRule="auto"/>
        <w:ind w:firstLine="709"/>
        <w:jc w:val="both"/>
        <w:rPr>
          <w:rFonts w:ascii="Arial" w:hAnsi="Arial" w:cs="Arial"/>
          <w:bCs/>
          <w:sz w:val="22"/>
          <w:szCs w:val="22"/>
          <w:lang w:val="es-MX" w:eastAsia="es-CO"/>
        </w:rPr>
      </w:pPr>
      <w:bookmarkStart w:name="_Hlk78818186" w:id="7"/>
      <w:r w:rsidRPr="00471C67">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7"/>
      <w:r w:rsidRPr="00471C67">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471C67" w:rsidR="00471C67" w:rsidP="00471C67" w:rsidRDefault="00471C67" w14:paraId="2295967D" w14:textId="77777777">
      <w:pPr>
        <w:spacing w:line="276" w:lineRule="auto"/>
        <w:ind w:firstLine="709"/>
        <w:contextualSpacing/>
        <w:jc w:val="both"/>
        <w:rPr>
          <w:rFonts w:ascii="Arial" w:hAnsi="Arial" w:cs="Arial"/>
          <w:bCs/>
          <w:sz w:val="22"/>
          <w:szCs w:val="22"/>
          <w:lang w:val="es-MX" w:eastAsia="es-CO"/>
        </w:rPr>
      </w:pPr>
    </w:p>
    <w:p w:rsidRPr="006C314F" w:rsidR="00471C67" w:rsidP="00471C67" w:rsidRDefault="00471C67" w14:paraId="5FBB047D"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C314F">
        <w:rPr>
          <w:rFonts w:ascii="Arial" w:hAnsi="Arial" w:cs="Arial"/>
          <w:bCs/>
          <w:sz w:val="21"/>
          <w:szCs w:val="21"/>
          <w:lang w:val="es-MX" w:eastAsia="es-CO"/>
        </w:rPr>
        <w:t>legis</w:t>
      </w:r>
      <w:proofErr w:type="spellEnd"/>
      <w:r w:rsidRPr="006C314F">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6C314F" w:rsidR="00471C67" w:rsidP="00471C67" w:rsidRDefault="00471C67" w14:paraId="24A80967" w14:textId="77777777">
      <w:pPr>
        <w:ind w:left="709" w:right="709"/>
        <w:contextualSpacing/>
        <w:jc w:val="both"/>
        <w:rPr>
          <w:rFonts w:ascii="Arial" w:hAnsi="Arial" w:cs="Arial"/>
          <w:bCs/>
          <w:sz w:val="21"/>
          <w:szCs w:val="21"/>
          <w:lang w:val="es-MX" w:eastAsia="es-CO"/>
        </w:rPr>
      </w:pPr>
    </w:p>
    <w:p w:rsidRPr="006C314F" w:rsidR="00471C67" w:rsidP="00471C67" w:rsidRDefault="00471C67" w14:paraId="5D7D6DA9"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La jurisprudencia de la Corte Constitucional</w:t>
      </w:r>
      <w:r w:rsidRPr="006C314F">
        <w:rPr>
          <w:rFonts w:ascii="Arial" w:hAnsi="Arial" w:cs="Arial"/>
          <w:bCs/>
          <w:sz w:val="21"/>
          <w:szCs w:val="21"/>
          <w:vertAlign w:val="superscript"/>
          <w:lang w:val="es-MX" w:eastAsia="es-CO"/>
        </w:rPr>
        <w:footnoteReference w:id="5"/>
      </w:r>
      <w:r w:rsidRPr="006C314F">
        <w:rPr>
          <w:rFonts w:ascii="Arial" w:hAnsi="Arial" w:cs="Arial"/>
          <w:bCs/>
          <w:sz w:val="21"/>
          <w:szCs w:val="21"/>
          <w:lang w:val="es-MX" w:eastAsia="es-CO"/>
        </w:rPr>
        <w:t> y del Consejo de Estado</w:t>
      </w:r>
      <w:r w:rsidRPr="006C314F">
        <w:rPr>
          <w:rFonts w:ascii="Arial" w:hAnsi="Arial" w:cs="Arial"/>
          <w:bCs/>
          <w:sz w:val="21"/>
          <w:szCs w:val="21"/>
          <w:vertAlign w:val="superscript"/>
          <w:lang w:val="es-MX" w:eastAsia="es-CO"/>
        </w:rPr>
        <w:footnoteReference w:id="6"/>
      </w:r>
      <w:r w:rsidRPr="006C314F">
        <w:rPr>
          <w:rFonts w:ascii="Arial" w:hAnsi="Arial" w:cs="Arial"/>
          <w:bCs/>
          <w:sz w:val="21"/>
          <w:szCs w:val="21"/>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w:t>
      </w:r>
      <w:r w:rsidRPr="006C314F">
        <w:rPr>
          <w:rFonts w:ascii="Arial" w:hAnsi="Arial" w:cs="Arial"/>
          <w:bCs/>
          <w:sz w:val="21"/>
          <w:szCs w:val="21"/>
          <w:lang w:val="es-MX" w:eastAsia="es-CO"/>
        </w:rPr>
        <w:t>libertad de actuar o capacidad de obrar, sobrepasar sus precisos términos comporta el desconocimiento de la voluntad del legislador</w:t>
      </w:r>
      <w:r w:rsidRPr="006C314F">
        <w:rPr>
          <w:rFonts w:ascii="Arial" w:hAnsi="Arial" w:cs="Arial"/>
          <w:bCs/>
          <w:vertAlign w:val="superscript"/>
          <w:lang w:val="es-MX" w:eastAsia="es-CO"/>
        </w:rPr>
        <w:footnoteReference w:id="7"/>
      </w:r>
      <w:r w:rsidRPr="006C314F">
        <w:rPr>
          <w:rFonts w:ascii="Arial" w:hAnsi="Arial" w:cs="Arial"/>
          <w:bCs/>
          <w:sz w:val="21"/>
          <w:szCs w:val="21"/>
          <w:lang w:val="es-MX" w:eastAsia="es-CO"/>
        </w:rPr>
        <w:t>.</w:t>
      </w:r>
    </w:p>
    <w:p w:rsidRPr="00471C67" w:rsidR="00471C67" w:rsidP="00471C67" w:rsidRDefault="00471C67" w14:paraId="2FE4E3E8" w14:textId="77777777">
      <w:pPr>
        <w:spacing w:line="276" w:lineRule="auto"/>
        <w:ind w:right="709"/>
        <w:contextualSpacing/>
        <w:jc w:val="both"/>
        <w:rPr>
          <w:rFonts w:ascii="Arial" w:hAnsi="Arial" w:cs="Arial"/>
          <w:bCs/>
          <w:sz w:val="22"/>
          <w:szCs w:val="22"/>
          <w:lang w:val="es-MX" w:eastAsia="es-CO"/>
        </w:rPr>
      </w:pPr>
    </w:p>
    <w:p w:rsidRPr="00471C67" w:rsidR="00471C67" w:rsidP="00471C67" w:rsidRDefault="00471C67" w14:paraId="7B080A41" w14:textId="02BF1043">
      <w:pPr>
        <w:spacing w:after="120" w:line="276" w:lineRule="auto"/>
        <w:jc w:val="both"/>
        <w:rPr>
          <w:rFonts w:ascii="Arial" w:hAnsi="Arial" w:eastAsia="Arial" w:cs="Arial"/>
          <w:sz w:val="22"/>
          <w:szCs w:val="22"/>
          <w:lang w:val="es-ES" w:eastAsia="es-ES" w:bidi="es-ES"/>
        </w:rPr>
      </w:pPr>
      <w:r w:rsidRPr="00471C67">
        <w:rPr>
          <w:rFonts w:ascii="Arial" w:hAnsi="Arial" w:cs="Arial"/>
          <w:bCs/>
          <w:sz w:val="22"/>
          <w:szCs w:val="22"/>
          <w:lang w:val="es-MX" w:eastAsia="es-CO"/>
        </w:rPr>
        <w:tab/>
      </w:r>
      <w:r w:rsidRPr="00471C67">
        <w:rPr>
          <w:rFonts w:ascii="Arial" w:hAnsi="Arial" w:cs="Arial"/>
          <w:bCs/>
          <w:sz w:val="22"/>
          <w:szCs w:val="22"/>
          <w:lang w:val="es-MX" w:eastAsia="es-CO"/>
        </w:rPr>
        <w:t>De</w:t>
      </w:r>
      <w:r w:rsidRPr="00471C67">
        <w:rPr>
          <w:rFonts w:ascii="Arial" w:hAnsi="Arial" w:eastAsia="Arial" w:cs="Arial"/>
          <w:sz w:val="22"/>
          <w:szCs w:val="22"/>
          <w:lang w:val="es-ES" w:eastAsia="es-ES" w:bidi="es-ES"/>
        </w:rPr>
        <w:t xml:space="preserve"> conformidad con lo anterior, </w:t>
      </w:r>
      <w:bookmarkStart w:name="_Hlk77236098" w:id="8"/>
      <w:r w:rsidRPr="00471C67">
        <w:rPr>
          <w:rFonts w:ascii="Arial" w:hAnsi="Arial" w:eastAsia="Arial" w:cs="Arial"/>
          <w:sz w:val="22"/>
          <w:szCs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8"/>
    </w:p>
    <w:p w:rsidRPr="00471C67" w:rsidR="00471C67" w:rsidP="00471C67" w:rsidRDefault="00471C67" w14:paraId="7E7E4AAF" w14:textId="77777777">
      <w:pPr>
        <w:spacing w:after="120" w:line="276" w:lineRule="auto"/>
        <w:ind w:firstLine="708"/>
        <w:jc w:val="both"/>
        <w:rPr>
          <w:rFonts w:ascii="Arial" w:hAnsi="Arial" w:eastAsia="Calibri" w:cs="Arial"/>
          <w:sz w:val="22"/>
          <w:szCs w:val="22"/>
        </w:rPr>
      </w:pPr>
      <w:r w:rsidRPr="00471C67">
        <w:rPr>
          <w:rFonts w:ascii="Arial" w:hAnsi="Arial" w:eastAsia="Calibri" w:cs="Arial"/>
          <w:sz w:val="22"/>
          <w:szCs w:val="22"/>
        </w:rPr>
        <w:t xml:space="preserve">Por un lado, el artículo 33 de la Ley 996 de 2005 prohíbe </w:t>
      </w:r>
      <w:r w:rsidRPr="00471C67">
        <w:rPr>
          <w:rFonts w:ascii="Arial" w:hAnsi="Arial" w:eastAsia="Calibri" w:cs="Arial"/>
          <w:bCs/>
          <w:sz w:val="22"/>
          <w:szCs w:val="22"/>
        </w:rPr>
        <w:t xml:space="preserve">«[…] </w:t>
      </w:r>
      <w:r w:rsidRPr="00471C67">
        <w:rPr>
          <w:rFonts w:ascii="Arial" w:hAnsi="Arial" w:eastAsia="Calibri" w:cs="Arial"/>
          <w:sz w:val="22"/>
          <w:szCs w:val="22"/>
        </w:rPr>
        <w:t>la contratación directa por parte de todos los entes del Estado</w:t>
      </w:r>
      <w:r w:rsidRPr="00471C67">
        <w:rPr>
          <w:rFonts w:ascii="Arial" w:hAnsi="Arial" w:eastAsia="Calibri" w:cs="Arial"/>
          <w:bCs/>
          <w:sz w:val="22"/>
          <w:szCs w:val="22"/>
        </w:rPr>
        <w:t>»</w:t>
      </w:r>
      <w:r w:rsidRPr="00471C67">
        <w:rPr>
          <w:rFonts w:ascii="Arial" w:hAnsi="Arial" w:eastAsia="Calibri" w:cs="Arial"/>
          <w:sz w:val="22"/>
          <w:szCs w:val="22"/>
        </w:rPr>
        <w:t xml:space="preserve"> durante los cuatro (4) meses anteriores a las elecciones presidenciales, salvo </w:t>
      </w:r>
      <w:r w:rsidRPr="00471C67">
        <w:rPr>
          <w:rFonts w:ascii="Arial" w:hAnsi="Arial" w:eastAsia="Calibri" w:cs="Arial"/>
          <w:bCs/>
          <w:sz w:val="22"/>
          <w:szCs w:val="22"/>
        </w:rPr>
        <w:t xml:space="preserve">«[…] </w:t>
      </w:r>
      <w:r w:rsidRPr="00471C67">
        <w:rPr>
          <w:rFonts w:ascii="Arial" w:hAnsi="Arial" w:eastAsia="Calibri" w:cs="Arial"/>
          <w:sz w:val="22"/>
          <w:szCs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71C67">
        <w:rPr>
          <w:rFonts w:ascii="Arial" w:hAnsi="Arial" w:eastAsia="Calibri" w:cs="Arial"/>
          <w:bCs/>
          <w:sz w:val="22"/>
          <w:szCs w:val="22"/>
        </w:rPr>
        <w:t>»</w:t>
      </w:r>
      <w:r w:rsidRPr="00471C67">
        <w:rPr>
          <w:rFonts w:ascii="Arial" w:hAnsi="Arial" w:eastAsia="Calibri" w:cs="Arial"/>
          <w:bCs/>
          <w:sz w:val="22"/>
          <w:szCs w:val="22"/>
          <w:vertAlign w:val="superscript"/>
        </w:rPr>
        <w:footnoteReference w:id="8"/>
      </w:r>
      <w:r w:rsidRPr="00471C67">
        <w:rPr>
          <w:rFonts w:ascii="Arial" w:hAnsi="Arial" w:eastAsia="Calibri" w:cs="Arial"/>
          <w:sz w:val="22"/>
          <w:szCs w:val="22"/>
        </w:rPr>
        <w:t>.</w:t>
      </w:r>
    </w:p>
    <w:p w:rsidRPr="00471C67" w:rsidR="00471C67" w:rsidP="00471C67" w:rsidRDefault="00471C67" w14:paraId="4E040B24" w14:textId="77777777">
      <w:pPr>
        <w:widowControl w:val="0"/>
        <w:autoSpaceDE w:val="0"/>
        <w:autoSpaceDN w:val="0"/>
        <w:spacing w:line="276" w:lineRule="auto"/>
        <w:ind w:right="113" w:firstLine="708"/>
        <w:contextualSpacing/>
        <w:jc w:val="both"/>
        <w:rPr>
          <w:rFonts w:ascii="Arial" w:hAnsi="Arial" w:eastAsia="Arial" w:cs="Arial"/>
          <w:sz w:val="22"/>
          <w:szCs w:val="22"/>
          <w:lang w:val="es-ES" w:eastAsia="es-ES" w:bidi="es-ES"/>
        </w:rPr>
      </w:pPr>
      <w:r w:rsidRPr="00471C67">
        <w:rPr>
          <w:rFonts w:ascii="Arial" w:hAnsi="Arial" w:eastAsia="Calibri" w:cs="Arial"/>
          <w:sz w:val="22"/>
          <w:szCs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71C67">
        <w:rPr>
          <w:rFonts w:ascii="Arial" w:hAnsi="Arial" w:eastAsia="Calibri" w:cs="Arial"/>
          <w:bCs/>
          <w:sz w:val="22"/>
          <w:szCs w:val="22"/>
        </w:rPr>
        <w:t xml:space="preserve">«[…] </w:t>
      </w:r>
      <w:r w:rsidRPr="00471C67">
        <w:rPr>
          <w:rFonts w:ascii="Arial" w:hAnsi="Arial" w:eastAsia="Calibri"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71C67">
        <w:rPr>
          <w:rFonts w:ascii="Arial" w:hAnsi="Arial" w:eastAsia="Calibri" w:cs="Arial"/>
          <w:bCs/>
          <w:sz w:val="22"/>
          <w:szCs w:val="22"/>
        </w:rPr>
        <w:t>»</w:t>
      </w:r>
      <w:r w:rsidRPr="00471C67">
        <w:rPr>
          <w:rFonts w:ascii="Arial" w:hAnsi="Arial" w:eastAsia="Calibri" w:cs="Arial"/>
          <w:bCs/>
          <w:sz w:val="22"/>
          <w:szCs w:val="22"/>
          <w:vertAlign w:val="superscript"/>
        </w:rPr>
        <w:footnoteReference w:id="9"/>
      </w:r>
      <w:r w:rsidRPr="00471C67">
        <w:rPr>
          <w:rFonts w:ascii="Arial" w:hAnsi="Arial" w:eastAsia="Calibri" w:cs="Arial"/>
          <w:sz w:val="22"/>
          <w:szCs w:val="22"/>
          <w:lang w:val="es-MX"/>
        </w:rPr>
        <w:t>.</w:t>
      </w:r>
      <w:r w:rsidRPr="00471C67">
        <w:rPr>
          <w:rFonts w:ascii="Arial" w:hAnsi="Arial" w:eastAsia="Arial" w:cs="Arial"/>
          <w:sz w:val="22"/>
          <w:szCs w:val="22"/>
          <w:lang w:val="es-ES" w:eastAsia="es-ES" w:bidi="es-ES"/>
        </w:rPr>
        <w:t xml:space="preserve"> La Sala de Consulta y Servicio Civil del Consejo de Estado ha aclarado la </w:t>
      </w:r>
      <w:r w:rsidRPr="00471C67">
        <w:rPr>
          <w:rFonts w:ascii="Arial" w:hAnsi="Arial" w:eastAsia="Arial" w:cs="Arial"/>
          <w:sz w:val="22"/>
          <w:szCs w:val="22"/>
          <w:lang w:val="es-ES" w:eastAsia="es-ES" w:bidi="es-ES"/>
        </w:rPr>
        <w:t>distinción en la aplicación de las prohibiciones de la Ley 996 de 2005, dependiendo del tipo de elección que se trate. Al respecto, considera que:</w:t>
      </w:r>
    </w:p>
    <w:p w:rsidRPr="00471C67" w:rsidR="00471C67" w:rsidP="00471C67" w:rsidRDefault="00471C67" w14:paraId="0C2C4FC1" w14:textId="77777777">
      <w:pPr>
        <w:widowControl w:val="0"/>
        <w:autoSpaceDE w:val="0"/>
        <w:autoSpaceDN w:val="0"/>
        <w:spacing w:line="276" w:lineRule="auto"/>
        <w:ind w:left="805" w:right="812"/>
        <w:contextualSpacing/>
        <w:jc w:val="both"/>
        <w:rPr>
          <w:rFonts w:ascii="Arial" w:hAnsi="Arial" w:eastAsia="Arial" w:cs="Arial"/>
          <w:sz w:val="22"/>
          <w:szCs w:val="22"/>
          <w:lang w:val="es-ES" w:eastAsia="es-ES" w:bidi="es-ES"/>
        </w:rPr>
      </w:pPr>
    </w:p>
    <w:p w:rsidRPr="006C314F" w:rsidR="00471C67" w:rsidP="00471C67" w:rsidRDefault="00471C67" w14:paraId="1AFC5344" w14:textId="77777777">
      <w:pPr>
        <w:widowControl w:val="0"/>
        <w:autoSpaceDE w:val="0"/>
        <w:autoSpaceDN w:val="0"/>
        <w:ind w:left="709" w:right="709"/>
        <w:contextualSpacing/>
        <w:jc w:val="both"/>
        <w:rPr>
          <w:rFonts w:ascii="Arial" w:hAnsi="Arial" w:eastAsia="Arial" w:cs="Arial"/>
          <w:sz w:val="21"/>
          <w:szCs w:val="21"/>
          <w:lang w:val="es-ES" w:eastAsia="es-ES" w:bidi="es-ES"/>
        </w:rPr>
      </w:pPr>
      <w:r w:rsidRPr="006C314F">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1"/>
      <w:r w:rsidRPr="006C314F">
        <w:rPr>
          <w:rFonts w:ascii="Arial" w:hAnsi="Arial" w:eastAsia="Arial" w:cs="Arial"/>
          <w:sz w:val="21"/>
          <w:szCs w:val="21"/>
          <w:lang w:val="es-ES" w:eastAsia="es-ES" w:bidi="es-ES"/>
        </w:rPr>
        <w:t>se integran parcialmente</w:t>
      </w:r>
      <w:bookmarkEnd w:id="11"/>
      <w:r w:rsidRPr="006C314F">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6C314F">
        <w:rPr>
          <w:rFonts w:ascii="Arial" w:hAnsi="Arial" w:eastAsia="Arial" w:cs="Arial"/>
          <w:bCs/>
          <w:sz w:val="21"/>
          <w:szCs w:val="21"/>
          <w:lang w:val="es-ES" w:eastAsia="es-ES" w:bidi="es-ES"/>
        </w:rPr>
        <w:t xml:space="preserve">En cambio, para elecciones en general, excluyendo las correspondientes a </w:t>
      </w:r>
      <w:proofErr w:type="gramStart"/>
      <w:r w:rsidRPr="006C314F">
        <w:rPr>
          <w:rFonts w:ascii="Arial" w:hAnsi="Arial" w:eastAsia="Arial" w:cs="Arial"/>
          <w:bCs/>
          <w:sz w:val="21"/>
          <w:szCs w:val="21"/>
          <w:lang w:val="es-ES" w:eastAsia="es-ES" w:bidi="es-ES"/>
        </w:rPr>
        <w:t>Presidente</w:t>
      </w:r>
      <w:proofErr w:type="gramEnd"/>
      <w:r w:rsidRPr="006C314F">
        <w:rPr>
          <w:rFonts w:ascii="Arial" w:hAnsi="Arial"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6C314F">
        <w:rPr>
          <w:rFonts w:ascii="Arial" w:hAnsi="Arial" w:eastAsia="Arial" w:cs="Arial"/>
          <w:sz w:val="21"/>
          <w:szCs w:val="21"/>
          <w:lang w:val="es-ES" w:eastAsia="es-ES" w:bidi="es-ES"/>
        </w:rPr>
        <w:t>.</w:t>
      </w:r>
      <w:r w:rsidRPr="006C314F">
        <w:rPr>
          <w:rFonts w:ascii="Arial" w:hAnsi="Arial" w:eastAsia="Arial" w:cs="Arial"/>
          <w:sz w:val="21"/>
          <w:szCs w:val="21"/>
          <w:vertAlign w:val="superscript"/>
          <w:lang w:val="es-ES" w:eastAsia="es-ES" w:bidi="es-ES"/>
        </w:rPr>
        <w:footnoteReference w:id="10"/>
      </w:r>
    </w:p>
    <w:p w:rsidRPr="00471C67" w:rsidR="00471C67" w:rsidP="00471C67" w:rsidRDefault="00471C67" w14:paraId="5D131B5D" w14:textId="77777777">
      <w:pPr>
        <w:widowControl w:val="0"/>
        <w:autoSpaceDE w:val="0"/>
        <w:autoSpaceDN w:val="0"/>
        <w:spacing w:line="276" w:lineRule="auto"/>
        <w:contextualSpacing/>
        <w:rPr>
          <w:rFonts w:ascii="Arial" w:hAnsi="Arial" w:eastAsia="Arial" w:cs="Arial"/>
          <w:sz w:val="22"/>
          <w:szCs w:val="22"/>
          <w:lang w:val="es-ES" w:eastAsia="es-ES" w:bidi="es-ES"/>
        </w:rPr>
      </w:pPr>
    </w:p>
    <w:p w:rsidRPr="00471C67" w:rsidR="00471C67" w:rsidP="00471C67" w:rsidRDefault="00471C67" w14:paraId="410D9973" w14:textId="77777777">
      <w:pPr>
        <w:spacing w:after="120" w:line="276" w:lineRule="auto"/>
        <w:ind w:firstLine="709"/>
        <w:jc w:val="both"/>
        <w:rPr>
          <w:rFonts w:ascii="Arial" w:hAnsi="Arial" w:eastAsia="Arial" w:cs="Arial"/>
          <w:sz w:val="22"/>
          <w:szCs w:val="22"/>
          <w:lang w:val="es-ES" w:eastAsia="es-ES" w:bidi="es-ES"/>
        </w:rPr>
      </w:pPr>
      <w:r w:rsidRPr="00471C67">
        <w:rPr>
          <w:rFonts w:ascii="Arial" w:hAnsi="Arial" w:eastAsia="Arial" w:cs="Arial"/>
          <w:sz w:val="22"/>
          <w:szCs w:val="22"/>
          <w:lang w:val="es-ES" w:eastAsia="es-ES" w:bidi="es-ES"/>
        </w:rPr>
        <w:t xml:space="preserve">De conformidad con lo anterior, </w:t>
      </w:r>
      <w:bookmarkStart w:name="_Hlk77236420" w:id="12"/>
      <w:bookmarkStart w:name="_Hlk78818435" w:id="13"/>
      <w:r w:rsidRPr="00471C67">
        <w:rPr>
          <w:rFonts w:ascii="Arial" w:hAnsi="Arial" w:eastAsia="Arial" w:cs="Arial"/>
          <w:sz w:val="22"/>
          <w:szCs w:val="22"/>
          <w:lang w:val="es-ES" w:eastAsia="es-ES" w:bidi="es-ES"/>
        </w:rPr>
        <w:t xml:space="preserve">la Ley 996 de 2005 establece dos (2) tipos de restricciones en materia de contratación, las cuales coinciden parcialmente. </w:t>
      </w:r>
      <w:r w:rsidRPr="00471C67">
        <w:rPr>
          <w:rFonts w:ascii="Arial" w:hAnsi="Arial" w:eastAsia="Arial" w:cs="Arial"/>
          <w:i/>
          <w:iCs/>
          <w:sz w:val="22"/>
          <w:szCs w:val="22"/>
          <w:lang w:val="es-ES" w:eastAsia="es-ES" w:bidi="es-ES"/>
        </w:rPr>
        <w:t>En primer lugar</w:t>
      </w:r>
      <w:r w:rsidRPr="00471C67">
        <w:rPr>
          <w:rFonts w:ascii="Arial" w:hAnsi="Arial" w:eastAsia="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71C67">
        <w:rPr>
          <w:rFonts w:ascii="Arial" w:hAnsi="Arial" w:eastAsia="Arial" w:cs="Arial"/>
          <w:i/>
          <w:iCs/>
          <w:sz w:val="22"/>
          <w:szCs w:val="22"/>
          <w:lang w:val="es-ES" w:eastAsia="es-ES" w:bidi="es-ES"/>
        </w:rPr>
        <w:t>En segundo lugar</w:t>
      </w:r>
      <w:r w:rsidRPr="00471C67">
        <w:rPr>
          <w:rFonts w:ascii="Arial" w:hAnsi="Arial" w:eastAsia="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2"/>
    </w:p>
    <w:bookmarkEnd w:id="13"/>
    <w:p w:rsidRPr="00471C67" w:rsidR="00471C67" w:rsidP="00471C67" w:rsidRDefault="00471C67" w14:paraId="41C4A260" w14:textId="77777777">
      <w:pPr>
        <w:spacing w:after="120" w:line="276" w:lineRule="auto"/>
        <w:ind w:firstLine="709"/>
        <w:jc w:val="both"/>
        <w:rPr>
          <w:rFonts w:ascii="Arial" w:hAnsi="Arial" w:eastAsia="Arial" w:cs="Arial"/>
          <w:sz w:val="22"/>
          <w:szCs w:val="22"/>
          <w:lang w:val="es-ES" w:eastAsia="es-ES" w:bidi="es-ES"/>
        </w:rPr>
      </w:pPr>
      <w:r w:rsidRPr="00471C67">
        <w:rPr>
          <w:rFonts w:ascii="Arial" w:hAnsi="Arial" w:eastAsia="Arial" w:cs="Arial"/>
          <w:sz w:val="22"/>
          <w:szCs w:val="22"/>
          <w:lang w:val="es-ES" w:eastAsia="es-ES" w:bidi="es-ES"/>
        </w:rPr>
        <w:t xml:space="preserve">Ambas restricciones no son excluyentes, lo que permite concluir que en el período preelectoral para elección de </w:t>
      </w:r>
      <w:proofErr w:type="gramStart"/>
      <w:r w:rsidRPr="00471C67">
        <w:rPr>
          <w:rFonts w:ascii="Arial" w:hAnsi="Arial" w:eastAsia="Arial" w:cs="Arial"/>
          <w:sz w:val="22"/>
          <w:szCs w:val="22"/>
          <w:lang w:val="es-ES" w:eastAsia="es-ES" w:bidi="es-ES"/>
        </w:rPr>
        <w:t>Presidente</w:t>
      </w:r>
      <w:proofErr w:type="gramEnd"/>
      <w:r w:rsidRPr="00471C67">
        <w:rPr>
          <w:rFonts w:ascii="Arial" w:hAnsi="Arial" w:eastAsia="Arial" w:cs="Arial"/>
          <w:sz w:val="22"/>
          <w:szCs w:val="22"/>
          <w:lang w:val="es-ES" w:eastAsia="es-ES" w:bidi="es-ES"/>
        </w:rPr>
        <w:t xml:space="preserve"> de la República, a todos los entes del Estado, </w:t>
      </w:r>
      <w:r w:rsidRPr="00471C67">
        <w:rPr>
          <w:rFonts w:ascii="Arial" w:hAnsi="Arial" w:eastAsia="Arial" w:cs="Arial"/>
          <w:sz w:val="22"/>
          <w:szCs w:val="22"/>
          <w:lang w:val="es-ES" w:eastAsia="es-ES" w:bidi="es-ES"/>
        </w:rPr>
        <w:t xml:space="preserve">incluidos los territoriales, aplican las restricciones del artículo 33 con sus excepciones, así como las del parágrafo del artículo 38. En cambio, tratándose de elecciones en general, excluyendo las correspondientes al </w:t>
      </w:r>
      <w:proofErr w:type="gramStart"/>
      <w:r w:rsidRPr="00471C67">
        <w:rPr>
          <w:rFonts w:ascii="Arial" w:hAnsi="Arial" w:eastAsia="Arial" w:cs="Arial"/>
          <w:sz w:val="22"/>
          <w:szCs w:val="22"/>
          <w:lang w:val="es-ES" w:eastAsia="es-ES" w:bidi="es-ES"/>
        </w:rPr>
        <w:t>Presidente</w:t>
      </w:r>
      <w:proofErr w:type="gramEnd"/>
      <w:r w:rsidRPr="00471C67">
        <w:rPr>
          <w:rFonts w:ascii="Arial" w:hAnsi="Arial" w:eastAsia="Arial" w:cs="Arial"/>
          <w:sz w:val="22"/>
          <w:szCs w:val="22"/>
          <w:lang w:val="es-ES" w:eastAsia="es-ES" w:bidi="es-ES"/>
        </w:rPr>
        <w:t xml:space="preserve"> de la República, las autoridades allí mencionadas sólo deben aplicar las restricciones contenidas en el parágrafo del artículo 38.</w:t>
      </w:r>
    </w:p>
    <w:p w:rsidRPr="00471C67" w:rsidR="00471C67" w:rsidP="00471C67" w:rsidRDefault="00471C67" w14:paraId="2F960F4C" w14:textId="77777777">
      <w:pPr>
        <w:spacing w:line="276" w:lineRule="auto"/>
        <w:ind w:firstLine="708"/>
        <w:jc w:val="both"/>
        <w:rPr>
          <w:rFonts w:ascii="Arial" w:hAnsi="Arial" w:eastAsia="Arial" w:cs="Arial"/>
          <w:sz w:val="22"/>
          <w:szCs w:val="22"/>
          <w:lang w:val="es-ES" w:eastAsia="es-ES" w:bidi="es-ES"/>
        </w:rPr>
      </w:pPr>
      <w:r w:rsidRPr="00471C67">
        <w:rPr>
          <w:rFonts w:ascii="Arial" w:hAnsi="Arial" w:eastAsia="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71C67">
        <w:rPr>
          <w:rFonts w:ascii="Arial" w:hAnsi="Arial" w:eastAsia="Arial" w:cs="Arial"/>
          <w:sz w:val="22"/>
          <w:szCs w:val="22"/>
          <w:lang w:val="es-ES" w:eastAsia="es-ES" w:bidi="es-ES"/>
        </w:rPr>
        <w:t>Presidente</w:t>
      </w:r>
      <w:proofErr w:type="gramEnd"/>
      <w:r w:rsidRPr="00471C67">
        <w:rPr>
          <w:rFonts w:ascii="Arial" w:hAnsi="Arial" w:eastAsia="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471C67" w:rsidR="00C84F90" w:rsidP="00C84F90" w:rsidRDefault="00C84F90" w14:paraId="0F2BE1CB" w14:textId="77777777">
      <w:pPr>
        <w:spacing w:line="276" w:lineRule="auto"/>
        <w:jc w:val="both"/>
        <w:rPr>
          <w:rFonts w:ascii="Arial" w:hAnsi="Arial" w:cs="Arial"/>
          <w:bCs/>
          <w:sz w:val="22"/>
          <w:szCs w:val="22"/>
          <w:lang w:val="es-ES" w:eastAsia="es-CO"/>
        </w:rPr>
      </w:pPr>
    </w:p>
    <w:p w:rsidRPr="00C84F90" w:rsidR="00C84F90" w:rsidP="00C84F90" w:rsidRDefault="00C84F90" w14:paraId="2181F267" w14:textId="77777777">
      <w:pPr>
        <w:spacing w:line="276" w:lineRule="auto"/>
        <w:jc w:val="both"/>
        <w:rPr>
          <w:rFonts w:ascii="Arial" w:hAnsi="Arial" w:cs="Arial"/>
          <w:b/>
          <w:sz w:val="22"/>
          <w:szCs w:val="22"/>
          <w:lang w:val="es-ES" w:eastAsia="es-CO"/>
        </w:rPr>
      </w:pPr>
      <w:r w:rsidRPr="00C84F90">
        <w:rPr>
          <w:rFonts w:ascii="Arial" w:hAnsi="Arial" w:cs="Arial"/>
          <w:b/>
          <w:sz w:val="22"/>
          <w:szCs w:val="22"/>
          <w:lang w:val="es-ES" w:eastAsia="es-CO"/>
        </w:rPr>
        <w:t xml:space="preserve">2.2. </w:t>
      </w:r>
      <w:r w:rsidRPr="00C84F90">
        <w:rPr>
          <w:rFonts w:ascii="Arial" w:hAnsi="Arial" w:cs="Arial"/>
          <w:b/>
          <w:bCs/>
          <w:sz w:val="22"/>
          <w:szCs w:val="22"/>
          <w:lang w:val="es-MX" w:eastAsia="es-CO"/>
        </w:rPr>
        <w:t xml:space="preserve">Restricciones en elecciones presidenciales </w:t>
      </w:r>
    </w:p>
    <w:p w:rsidRPr="00C84F90" w:rsidR="00C84F90" w:rsidP="00C84F90" w:rsidRDefault="00C84F90" w14:paraId="113D221A" w14:textId="77777777">
      <w:pPr>
        <w:spacing w:line="276" w:lineRule="auto"/>
        <w:jc w:val="both"/>
        <w:rPr>
          <w:rFonts w:ascii="Arial" w:hAnsi="Arial" w:cs="Arial"/>
          <w:bCs/>
          <w:sz w:val="22"/>
          <w:szCs w:val="22"/>
          <w:lang w:val="es-MX" w:eastAsia="x-none"/>
        </w:rPr>
      </w:pPr>
    </w:p>
    <w:p w:rsidRPr="009311DA" w:rsidR="009311DA" w:rsidP="009311DA" w:rsidRDefault="009311DA" w14:paraId="3FF76A20" w14:textId="77777777">
      <w:pPr>
        <w:spacing w:line="276" w:lineRule="auto"/>
        <w:contextualSpacing/>
        <w:jc w:val="both"/>
        <w:rPr>
          <w:rFonts w:ascii="Arial" w:hAnsi="Arial" w:cs="Arial"/>
          <w:bCs/>
          <w:sz w:val="22"/>
          <w:szCs w:val="22"/>
          <w:lang w:val="es-MX" w:eastAsia="es-CO"/>
        </w:rPr>
      </w:pPr>
      <w:bookmarkStart w:name="_Hlk75783800" w:id="14"/>
      <w:r w:rsidRPr="009311DA">
        <w:rPr>
          <w:rFonts w:ascii="Arial" w:hAnsi="Arial" w:cs="Arial"/>
          <w:bCs/>
          <w:sz w:val="22"/>
          <w:szCs w:val="22"/>
          <w:lang w:val="es-MX" w:eastAsia="x-none"/>
        </w:rPr>
        <w:t xml:space="preserve">El ámbito material de la prohibición contenida </w:t>
      </w:r>
      <w:bookmarkStart w:name="_Hlk75628761" w:id="15"/>
      <w:r w:rsidRPr="009311DA">
        <w:rPr>
          <w:rFonts w:ascii="Arial" w:hAnsi="Arial" w:cs="Arial"/>
          <w:bCs/>
          <w:sz w:val="22"/>
          <w:szCs w:val="22"/>
          <w:lang w:val="es-MX" w:eastAsia="x-none"/>
        </w:rPr>
        <w:t xml:space="preserve">en el artículo 33 de la Ley 996 de 2005 </w:t>
      </w:r>
      <w:bookmarkEnd w:id="15"/>
      <w:r w:rsidRPr="009311DA">
        <w:rPr>
          <w:rFonts w:ascii="Arial" w:hAnsi="Arial" w:cs="Arial"/>
          <w:bCs/>
          <w:sz w:val="22"/>
          <w:szCs w:val="22"/>
          <w:lang w:val="es-MX" w:eastAsia="x-none"/>
        </w:rPr>
        <w:t xml:space="preserve">está delimitado por la expresión </w:t>
      </w:r>
      <w:r w:rsidRPr="009311DA">
        <w:rPr>
          <w:rFonts w:ascii="Arial" w:hAnsi="Arial" w:eastAsia="Calibri" w:cs="Arial"/>
          <w:bCs/>
          <w:sz w:val="22"/>
          <w:szCs w:val="22"/>
          <w:lang w:val="es-MX"/>
        </w:rPr>
        <w:t>«</w:t>
      </w:r>
      <w:r w:rsidRPr="009311DA">
        <w:rPr>
          <w:rFonts w:ascii="Arial" w:hAnsi="Arial" w:cs="Arial"/>
          <w:bCs/>
          <w:sz w:val="22"/>
          <w:szCs w:val="22"/>
          <w:lang w:val="es-MX" w:eastAsia="x-none"/>
        </w:rPr>
        <w:t>queda prohibida la contratación directa</w:t>
      </w:r>
      <w:r w:rsidRPr="009311DA">
        <w:rPr>
          <w:rFonts w:ascii="Arial" w:hAnsi="Arial" w:eastAsia="Calibri" w:cs="Arial"/>
          <w:sz w:val="22"/>
          <w:szCs w:val="22"/>
          <w:lang w:val="es-MX"/>
        </w:rPr>
        <w:t>»</w:t>
      </w:r>
      <w:r w:rsidRPr="009311DA">
        <w:rPr>
          <w:rFonts w:ascii="Arial" w:hAnsi="Arial" w:cs="Arial"/>
          <w:bCs/>
          <w:sz w:val="22"/>
          <w:szCs w:val="22"/>
          <w:lang w:val="es-MX" w:eastAsia="x-none"/>
        </w:rPr>
        <w:t>.</w:t>
      </w:r>
      <w:r w:rsidRPr="009311DA">
        <w:rPr>
          <w:rFonts w:ascii="Arial" w:hAnsi="Arial" w:cs="Arial"/>
          <w:sz w:val="22"/>
          <w:szCs w:val="22"/>
          <w:lang w:val="es-MX" w:eastAsia="es-CO"/>
        </w:rPr>
        <w:t xml:space="preserve"> A propósito de </w:t>
      </w:r>
      <w:r w:rsidRPr="009311DA">
        <w:rPr>
          <w:rFonts w:ascii="Arial" w:hAnsi="Arial" w:cs="Arial"/>
          <w:sz w:val="22"/>
          <w:szCs w:val="22"/>
          <w:lang w:eastAsia="es-CO"/>
        </w:rPr>
        <w:t>esta restricción de la Ley de Garantías Electorales, la Sala de Consulta y Servicio Civil del Consejo de Estado ha considerado que:</w:t>
      </w:r>
    </w:p>
    <w:p w:rsidRPr="009311DA" w:rsidR="009311DA" w:rsidP="009311DA" w:rsidRDefault="009311DA" w14:paraId="11AF2392" w14:textId="77777777">
      <w:pPr>
        <w:spacing w:line="276" w:lineRule="auto"/>
        <w:ind w:left="708" w:right="709"/>
        <w:contextualSpacing/>
        <w:jc w:val="both"/>
        <w:rPr>
          <w:rFonts w:ascii="Arial" w:hAnsi="Arial" w:eastAsia="Calibri" w:cs="Arial"/>
          <w:sz w:val="22"/>
          <w:szCs w:val="22"/>
          <w:lang w:val="es-MX"/>
        </w:rPr>
      </w:pPr>
    </w:p>
    <w:p w:rsidRPr="006C314F" w:rsidR="009311DA" w:rsidP="009311DA" w:rsidRDefault="009311DA" w14:paraId="06F458A2" w14:textId="77777777">
      <w:pPr>
        <w:ind w:left="709" w:right="709"/>
        <w:contextualSpacing/>
        <w:jc w:val="both"/>
        <w:rPr>
          <w:rFonts w:ascii="Arial" w:hAnsi="Arial" w:eastAsia="Calibri" w:cs="Arial"/>
          <w:sz w:val="21"/>
          <w:szCs w:val="21"/>
          <w:lang w:val="es-MX"/>
        </w:rPr>
      </w:pPr>
      <w:r w:rsidRPr="006C314F">
        <w:rPr>
          <w:rFonts w:ascii="Arial" w:hAnsi="Arial" w:eastAsia="Calibri"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6C314F">
        <w:rPr>
          <w:rFonts w:ascii="Arial" w:hAnsi="Arial" w:cs="Arial"/>
          <w:vertAlign w:val="superscript"/>
          <w:lang w:eastAsia="es-CO"/>
        </w:rPr>
        <w:footnoteReference w:id="11"/>
      </w:r>
      <w:r w:rsidRPr="006C314F">
        <w:rPr>
          <w:rFonts w:ascii="Arial" w:hAnsi="Arial" w:eastAsia="Calibri" w:cs="Arial"/>
          <w:sz w:val="21"/>
          <w:szCs w:val="21"/>
          <w:lang w:val="es-MX"/>
        </w:rPr>
        <w:t>.</w:t>
      </w:r>
    </w:p>
    <w:p w:rsidRPr="006C314F" w:rsidR="009311DA" w:rsidP="009311DA" w:rsidRDefault="009311DA" w14:paraId="66F8E1FE" w14:textId="77777777">
      <w:pPr>
        <w:ind w:left="709" w:right="709"/>
        <w:contextualSpacing/>
        <w:jc w:val="both"/>
        <w:rPr>
          <w:rFonts w:ascii="Arial" w:hAnsi="Arial" w:eastAsia="Calibri" w:cs="Arial"/>
          <w:sz w:val="21"/>
          <w:szCs w:val="21"/>
          <w:lang w:val="es-MX"/>
        </w:rPr>
      </w:pPr>
    </w:p>
    <w:p w:rsidRPr="006C314F" w:rsidR="009311DA" w:rsidP="009311DA" w:rsidRDefault="009311DA" w14:paraId="7502AE61" w14:textId="77777777">
      <w:pPr>
        <w:ind w:left="708" w:right="709"/>
        <w:contextualSpacing/>
        <w:jc w:val="both"/>
        <w:rPr>
          <w:rFonts w:ascii="Arial" w:hAnsi="Arial" w:eastAsia="Calibri" w:cs="Arial"/>
          <w:sz w:val="21"/>
          <w:szCs w:val="21"/>
          <w:lang w:val="es-MX"/>
        </w:rPr>
      </w:pPr>
      <w:r w:rsidRPr="006C314F">
        <w:rPr>
          <w:rFonts w:ascii="Arial" w:hAnsi="Arial" w:eastAsia="Calibri" w:cs="Arial"/>
          <w:sz w:val="21"/>
          <w:szCs w:val="21"/>
          <w:lang w:val="es-MX"/>
        </w:rPr>
        <w:t xml:space="preserve">Esta Sala ha entendido </w:t>
      </w:r>
      <w:proofErr w:type="gramStart"/>
      <w:r w:rsidRPr="006C314F">
        <w:rPr>
          <w:rFonts w:ascii="Arial" w:hAnsi="Arial" w:eastAsia="Calibri" w:cs="Arial"/>
          <w:sz w:val="21"/>
          <w:szCs w:val="21"/>
          <w:lang w:val="es-MX"/>
        </w:rPr>
        <w:t>que</w:t>
      </w:r>
      <w:proofErr w:type="gramEnd"/>
      <w:r w:rsidRPr="006C314F">
        <w:rPr>
          <w:rFonts w:ascii="Arial" w:hAnsi="Arial" w:eastAsia="Calibri" w:cs="Arial"/>
          <w:sz w:val="21"/>
          <w:szCs w:val="21"/>
          <w:lang w:val="es-MX"/>
        </w:rPr>
        <w:t xml:space="preserve"> para los efectos de la ley de garantías, y dada su finalidad, el enunciado ´contratación directa´ es sinónimo </w:t>
      </w:r>
      <w:bookmarkStart w:name="_Hlk75741738" w:id="18"/>
      <w:r w:rsidRPr="006C314F">
        <w:rPr>
          <w:rFonts w:ascii="Arial" w:hAnsi="Arial" w:eastAsia="Calibri" w:cs="Arial"/>
          <w:sz w:val="21"/>
          <w:szCs w:val="21"/>
          <w:lang w:val="es-MX"/>
        </w:rPr>
        <w:t xml:space="preserve">de cualquier sistema que no implique convocatoria pública y posibilidad de pluralidad de oferentes, </w:t>
      </w:r>
      <w:bookmarkEnd w:id="18"/>
      <w:r w:rsidRPr="006C314F">
        <w:rPr>
          <w:rFonts w:ascii="Arial" w:hAnsi="Arial" w:eastAsia="Calibri" w:cs="Arial"/>
          <w:sz w:val="21"/>
          <w:szCs w:val="21"/>
          <w:lang w:val="es-MX"/>
        </w:rPr>
        <w:t>y que, además, no necesariamente hace referencia al procedimiento especial regulado por la ley de contratación estatal, sino a cualquier otro que prescinda de un proceso de licitación pública o concurso</w:t>
      </w:r>
      <w:r w:rsidRPr="006C314F">
        <w:rPr>
          <w:rFonts w:ascii="Arial" w:hAnsi="Arial" w:cs="Arial"/>
          <w:sz w:val="21"/>
          <w:szCs w:val="21"/>
          <w:vertAlign w:val="superscript"/>
          <w:lang w:val="es-MX"/>
        </w:rPr>
        <w:footnoteReference w:id="12"/>
      </w:r>
      <w:r w:rsidRPr="006C314F">
        <w:rPr>
          <w:rFonts w:ascii="Arial" w:hAnsi="Arial" w:cs="Arial"/>
          <w:sz w:val="21"/>
          <w:szCs w:val="21"/>
          <w:vertAlign w:val="superscript"/>
          <w:lang w:val="es-MX"/>
        </w:rPr>
        <w:t>.</w:t>
      </w:r>
      <w:r w:rsidRPr="006C314F">
        <w:rPr>
          <w:rFonts w:ascii="Arial" w:hAnsi="Arial" w:eastAsia="Calibri" w:cs="Arial"/>
          <w:sz w:val="21"/>
          <w:szCs w:val="21"/>
          <w:lang w:val="es-MX"/>
        </w:rPr>
        <w:t xml:space="preserve"> Por tanto, no son materia de la prohibición las demás modalidades de selección previstas en la ley 1150 de </w:t>
      </w:r>
      <w:r w:rsidRPr="006C314F">
        <w:rPr>
          <w:rFonts w:ascii="Arial" w:hAnsi="Arial" w:eastAsia="Calibri" w:cs="Arial"/>
          <w:sz w:val="21"/>
          <w:szCs w:val="21"/>
          <w:lang w:val="es-MX"/>
        </w:rPr>
        <w:t>2007, siendo estas, la licitación pública, el concurso de méritos y la selección abreviada, razón por la cual en ese periodo preelectoral de que trata la disposición pueden las entidades públicas seguir contratando bajo estos sistemas. [...]</w:t>
      </w:r>
      <w:r w:rsidRPr="006C314F">
        <w:rPr>
          <w:rFonts w:ascii="Arial" w:hAnsi="Arial" w:cs="Arial"/>
          <w:vertAlign w:val="superscript"/>
          <w:lang w:eastAsia="es-CO"/>
        </w:rPr>
        <w:footnoteReference w:id="13"/>
      </w:r>
      <w:r w:rsidRPr="006C314F">
        <w:rPr>
          <w:rFonts w:ascii="Arial" w:hAnsi="Arial" w:eastAsia="Calibri" w:cs="Arial"/>
          <w:sz w:val="21"/>
          <w:szCs w:val="21"/>
          <w:lang w:val="es-MX"/>
        </w:rPr>
        <w:t xml:space="preserve"> .</w:t>
      </w:r>
    </w:p>
    <w:p w:rsidRPr="009311DA" w:rsidR="009311DA" w:rsidP="009311DA" w:rsidRDefault="009311DA" w14:paraId="02E8A8AB" w14:textId="77777777">
      <w:pPr>
        <w:shd w:val="clear" w:color="auto" w:fill="FFFFFF"/>
        <w:spacing w:line="276" w:lineRule="auto"/>
        <w:ind w:firstLine="709"/>
        <w:contextualSpacing/>
        <w:jc w:val="both"/>
        <w:rPr>
          <w:rFonts w:ascii="Arial" w:hAnsi="Arial" w:cs="Arial"/>
          <w:sz w:val="22"/>
          <w:szCs w:val="22"/>
          <w:lang w:eastAsia="x-none"/>
        </w:rPr>
      </w:pPr>
    </w:p>
    <w:p w:rsidRPr="009311DA" w:rsidR="009311DA" w:rsidP="009311DA" w:rsidRDefault="009311DA" w14:paraId="329B4B1D" w14:textId="77777777">
      <w:pPr>
        <w:spacing w:after="120" w:line="276" w:lineRule="auto"/>
        <w:ind w:firstLine="709"/>
        <w:jc w:val="both"/>
        <w:rPr>
          <w:rFonts w:ascii="Arial" w:hAnsi="Arial" w:cs="Arial"/>
          <w:bCs/>
          <w:sz w:val="22"/>
          <w:szCs w:val="22"/>
          <w:lang w:eastAsia="x-none"/>
        </w:rPr>
      </w:pPr>
      <w:bookmarkStart w:name="_Hlk94521748" w:id="20"/>
      <w:r w:rsidRPr="009311DA">
        <w:rPr>
          <w:rFonts w:ascii="Arial" w:hAnsi="Arial" w:cs="Arial"/>
          <w:sz w:val="22"/>
          <w:szCs w:val="22"/>
          <w:lang w:eastAsia="x-none"/>
        </w:rPr>
        <w:t xml:space="preserve">De conformidad con el citado concepto, </w:t>
      </w:r>
      <w:bookmarkStart w:name="_Hlk78818702" w:id="21"/>
      <w:r w:rsidRPr="009311DA">
        <w:rPr>
          <w:rFonts w:ascii="Arial" w:hAnsi="Arial" w:cs="Arial"/>
          <w:sz w:val="22"/>
          <w:szCs w:val="22"/>
          <w:lang w:eastAsia="x-none"/>
        </w:rPr>
        <w:t xml:space="preserve">la prohibición del artículo 33 de la Ley de Garantías Electorales se refiere a </w:t>
      </w:r>
      <w:bookmarkStart w:name="_Hlk74294635" w:id="22"/>
      <w:r w:rsidRPr="009311DA">
        <w:rPr>
          <w:rFonts w:ascii="Arial" w:hAnsi="Arial" w:cs="Arial"/>
          <w:sz w:val="22"/>
          <w:szCs w:val="22"/>
          <w:lang w:eastAsia="en-GB"/>
        </w:rPr>
        <w:t>«</w:t>
      </w:r>
      <w:bookmarkEnd w:id="22"/>
      <w:r w:rsidRPr="009311DA">
        <w:rPr>
          <w:rFonts w:ascii="Arial" w:hAnsi="Arial" w:cs="Arial"/>
          <w:sz w:val="22"/>
          <w:szCs w:val="22"/>
          <w:lang w:eastAsia="x-none"/>
        </w:rPr>
        <w:t>cualquier sistema que no implique convocatoria pública y posibilidad de pluralidad de oferentes</w:t>
      </w:r>
      <w:bookmarkStart w:name="_Hlk74404754" w:id="23"/>
      <w:r w:rsidRPr="009311DA">
        <w:rPr>
          <w:rFonts w:ascii="Arial" w:hAnsi="Arial" w:cs="Arial"/>
          <w:sz w:val="22"/>
          <w:szCs w:val="22"/>
          <w:lang w:eastAsia="en-GB"/>
        </w:rPr>
        <w:t>»</w:t>
      </w:r>
      <w:bookmarkEnd w:id="23"/>
      <w:r w:rsidRPr="009311DA">
        <w:rPr>
          <w:rFonts w:ascii="Arial" w:hAnsi="Arial" w:cs="Arial"/>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0"/>
      <w:bookmarkEnd w:id="21"/>
      <w:r w:rsidRPr="009311DA">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9311DA">
        <w:rPr>
          <w:rFonts w:ascii="Arial" w:hAnsi="Arial" w:cs="Arial"/>
          <w:sz w:val="22"/>
          <w:szCs w:val="22"/>
          <w:vertAlign w:val="superscript"/>
          <w:lang w:val="en-GB" w:eastAsia="x-none"/>
        </w:rPr>
        <w:footnoteReference w:id="14"/>
      </w:r>
      <w:r w:rsidRPr="009311DA">
        <w:rPr>
          <w:rFonts w:ascii="Arial" w:hAnsi="Arial" w:cs="Arial"/>
          <w:sz w:val="22"/>
          <w:szCs w:val="22"/>
          <w:lang w:eastAsia="x-none"/>
        </w:rPr>
        <w:t xml:space="preserve"> y sistematizó las causales de contratación directa</w:t>
      </w:r>
      <w:r w:rsidRPr="009311DA">
        <w:rPr>
          <w:rFonts w:ascii="Arial" w:hAnsi="Arial" w:cs="Arial"/>
          <w:sz w:val="22"/>
          <w:szCs w:val="22"/>
          <w:vertAlign w:val="superscript"/>
          <w:lang w:val="en-GB" w:eastAsia="x-none"/>
        </w:rPr>
        <w:footnoteReference w:id="15"/>
      </w:r>
      <w:r w:rsidRPr="009311DA">
        <w:rPr>
          <w:rFonts w:ascii="Arial" w:hAnsi="Arial" w:cs="Arial"/>
          <w:sz w:val="22"/>
          <w:szCs w:val="22"/>
          <w:lang w:eastAsia="x-none"/>
        </w:rPr>
        <w:t xml:space="preserve">. </w:t>
      </w:r>
    </w:p>
    <w:p w:rsidRPr="009311DA" w:rsidR="009311DA" w:rsidP="009311DA" w:rsidRDefault="009311DA" w14:paraId="0A9D6AB6" w14:textId="77777777">
      <w:pPr>
        <w:spacing w:after="120" w:line="276" w:lineRule="auto"/>
        <w:ind w:firstLine="709"/>
        <w:jc w:val="both"/>
        <w:rPr>
          <w:rFonts w:ascii="Arial" w:hAnsi="Arial" w:cs="Arial"/>
          <w:sz w:val="22"/>
          <w:szCs w:val="22"/>
          <w:lang w:val="es-MX" w:eastAsia="x-none"/>
        </w:rPr>
      </w:pPr>
      <w:r w:rsidRPr="009311DA">
        <w:rPr>
          <w:rFonts w:ascii="Arial" w:hAnsi="Arial" w:cs="Arial"/>
          <w:sz w:val="22"/>
          <w:szCs w:val="22"/>
          <w:lang w:eastAsia="x-none"/>
        </w:rPr>
        <w:t xml:space="preserve">De esta forma, se ha depurado la noción de </w:t>
      </w:r>
      <w:r w:rsidRPr="009311DA">
        <w:rPr>
          <w:rFonts w:ascii="Arial" w:hAnsi="Arial" w:cs="Arial"/>
          <w:sz w:val="22"/>
          <w:szCs w:val="22"/>
          <w:lang w:eastAsia="en-GB"/>
        </w:rPr>
        <w:t>«</w:t>
      </w:r>
      <w:r w:rsidRPr="009311DA">
        <w:rPr>
          <w:rFonts w:ascii="Arial" w:hAnsi="Arial" w:cs="Arial"/>
          <w:sz w:val="22"/>
          <w:szCs w:val="22"/>
          <w:lang w:eastAsia="x-none"/>
        </w:rPr>
        <w:t>contratación directa</w:t>
      </w:r>
      <w:r w:rsidRPr="009311DA">
        <w:rPr>
          <w:rFonts w:ascii="Arial" w:hAnsi="Arial" w:cs="Arial"/>
          <w:sz w:val="22"/>
          <w:szCs w:val="22"/>
          <w:lang w:eastAsia="en-GB"/>
        </w:rPr>
        <w:t>»</w:t>
      </w:r>
      <w:r w:rsidRPr="009311DA">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311DA">
        <w:rPr>
          <w:rFonts w:ascii="Arial" w:hAnsi="Arial" w:cs="Arial"/>
          <w:sz w:val="22"/>
          <w:szCs w:val="22"/>
          <w:vertAlign w:val="superscript"/>
          <w:lang w:val="en-GB" w:eastAsia="x-none"/>
        </w:rPr>
        <w:footnoteReference w:id="16"/>
      </w:r>
      <w:r w:rsidRPr="009311DA">
        <w:rPr>
          <w:rFonts w:ascii="Arial" w:hAnsi="Arial" w:cs="Arial"/>
          <w:sz w:val="22"/>
          <w:szCs w:val="22"/>
          <w:lang w:eastAsia="x-none"/>
        </w:rPr>
        <w:t>, han establecido sistemas de contratación que implican convocatoria pública y participación de varios oferentes</w:t>
      </w:r>
      <w:r w:rsidRPr="009311DA">
        <w:rPr>
          <w:rFonts w:ascii="Arial" w:hAnsi="Arial" w:cs="Arial"/>
          <w:sz w:val="22"/>
          <w:szCs w:val="22"/>
          <w:lang w:eastAsia="en-GB"/>
        </w:rPr>
        <w:t>»</w:t>
      </w:r>
      <w:r w:rsidRPr="009311DA">
        <w:rPr>
          <w:rFonts w:ascii="Arial" w:hAnsi="Arial" w:cs="Arial"/>
          <w:sz w:val="22"/>
          <w:szCs w:val="22"/>
          <w:lang w:eastAsia="x-none"/>
        </w:rPr>
        <w:t xml:space="preserve">. </w:t>
      </w:r>
    </w:p>
    <w:p w:rsidRPr="009311DA" w:rsidR="009311DA" w:rsidP="009311DA" w:rsidRDefault="009311DA" w14:paraId="5413840F" w14:textId="77777777">
      <w:pPr>
        <w:spacing w:after="120" w:line="276" w:lineRule="auto"/>
        <w:ind w:firstLine="709"/>
        <w:jc w:val="both"/>
        <w:rPr>
          <w:rFonts w:ascii="Arial" w:hAnsi="Arial" w:cs="Arial"/>
          <w:bCs/>
          <w:sz w:val="22"/>
          <w:szCs w:val="22"/>
          <w:lang w:val="es-MX" w:eastAsia="es-CO"/>
        </w:rPr>
      </w:pPr>
      <w:r w:rsidRPr="009311DA">
        <w:rPr>
          <w:rFonts w:ascii="Arial" w:hAnsi="Arial" w:cs="Arial"/>
          <w:bCs/>
          <w:sz w:val="22"/>
          <w:szCs w:val="22"/>
          <w:lang w:val="es-MX" w:eastAsia="x-none"/>
        </w:rPr>
        <w:t>E</w:t>
      </w:r>
      <w:r w:rsidRPr="009311DA">
        <w:rPr>
          <w:rFonts w:ascii="Arial" w:hAnsi="Arial" w:cs="Arial"/>
          <w:sz w:val="22"/>
          <w:szCs w:val="22"/>
          <w:lang w:eastAsia="x-none"/>
        </w:rPr>
        <w:t xml:space="preserve">n efecto, vale la pena mencionar que, </w:t>
      </w:r>
      <w:bookmarkStart w:name="_Hlk75636073" w:id="25"/>
      <w:r w:rsidRPr="009311DA">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5"/>
      <w:r w:rsidRPr="009311DA">
        <w:rPr>
          <w:rFonts w:ascii="Arial" w:hAnsi="Arial" w:cs="Arial"/>
          <w:sz w:val="22"/>
          <w:szCs w:val="22"/>
          <w:vertAlign w:val="superscript"/>
          <w:lang w:eastAsia="x-none"/>
        </w:rPr>
        <w:footnoteReference w:id="17"/>
      </w:r>
      <w:r w:rsidRPr="009311DA">
        <w:rPr>
          <w:rFonts w:ascii="Arial" w:hAnsi="Arial" w:cs="Arial"/>
          <w:sz w:val="22"/>
          <w:szCs w:val="22"/>
          <w:lang w:eastAsia="x-none"/>
        </w:rPr>
        <w:t xml:space="preserve">. </w:t>
      </w:r>
    </w:p>
    <w:p w:rsidRPr="009311DA" w:rsidR="009311DA" w:rsidP="009311DA" w:rsidRDefault="009311DA" w14:paraId="0BBE1948" w14:textId="77777777">
      <w:pPr>
        <w:spacing w:after="120" w:line="276" w:lineRule="auto"/>
        <w:ind w:firstLine="709"/>
        <w:jc w:val="both"/>
        <w:rPr>
          <w:rFonts w:ascii="Arial" w:hAnsi="Arial" w:cs="Arial"/>
          <w:bCs/>
          <w:sz w:val="22"/>
          <w:szCs w:val="22"/>
          <w:lang w:val="es-MX" w:eastAsia="es-CO"/>
        </w:rPr>
      </w:pPr>
      <w:r w:rsidRPr="009311DA">
        <w:rPr>
          <w:rFonts w:ascii="Arial" w:hAnsi="Arial" w:cs="Arial"/>
          <w:bCs/>
          <w:sz w:val="22"/>
          <w:szCs w:val="22"/>
          <w:lang w:val="es-MX" w:eastAsia="es-CO"/>
        </w:rPr>
        <w:t xml:space="preserve">Como se advierte de lo anterior, el Consejo de Estado realiza una interpretación amplia de la contratación directa, para efectos de aplicar las restricciones establecidas en </w:t>
      </w:r>
      <w:r w:rsidRPr="009311DA">
        <w:rPr>
          <w:rFonts w:ascii="Arial" w:hAnsi="Arial" w:cs="Arial"/>
          <w:bCs/>
          <w:sz w:val="22"/>
          <w:szCs w:val="22"/>
          <w:lang w:val="es-MX" w:eastAsia="es-CO"/>
        </w:rPr>
        <w:t>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9311DA" w:rsidR="009311DA" w:rsidP="009311DA" w:rsidRDefault="009311DA" w14:paraId="16DC8CDE" w14:textId="50627FF1">
      <w:pPr>
        <w:spacing w:after="120" w:line="276" w:lineRule="auto"/>
        <w:ind w:firstLine="709"/>
        <w:jc w:val="both"/>
        <w:rPr>
          <w:rFonts w:ascii="Arial" w:hAnsi="Arial" w:cs="Arial"/>
          <w:bCs/>
          <w:sz w:val="22"/>
          <w:szCs w:val="22"/>
          <w:lang w:val="es-MX" w:eastAsia="x-none"/>
        </w:rPr>
      </w:pPr>
      <w:bookmarkStart w:name="_Hlk78818796" w:id="26"/>
      <w:r w:rsidRPr="009311DA">
        <w:rPr>
          <w:rFonts w:ascii="Arial" w:hAnsi="Arial" w:cs="Arial"/>
          <w:bCs/>
          <w:sz w:val="22"/>
          <w:szCs w:val="22"/>
          <w:lang w:val="es-MX" w:eastAsia="x-none"/>
        </w:rPr>
        <w:t xml:space="preserve"> Así las cosas, </w:t>
      </w:r>
      <w:bookmarkStart w:name="_Hlk99577798" w:id="27"/>
      <w:r w:rsidRPr="009311DA">
        <w:rPr>
          <w:rFonts w:ascii="Arial" w:hAnsi="Arial" w:cs="Arial"/>
          <w:bCs/>
          <w:sz w:val="22"/>
          <w:szCs w:val="22"/>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311DA">
        <w:rPr>
          <w:rFonts w:ascii="Arial" w:hAnsi="Arial" w:cs="Arial"/>
          <w:sz w:val="22"/>
          <w:szCs w:val="22"/>
          <w:vertAlign w:val="superscript"/>
          <w:lang w:eastAsia="x-none"/>
        </w:rPr>
        <w:footnoteReference w:id="18"/>
      </w:r>
      <w:r w:rsidRPr="009311DA">
        <w:rPr>
          <w:rFonts w:ascii="Arial" w:hAnsi="Arial" w:cs="Arial"/>
          <w:bCs/>
          <w:sz w:val="22"/>
          <w:szCs w:val="22"/>
          <w:lang w:val="es-MX" w:eastAsia="x-none"/>
        </w:rPr>
        <w:t>.</w:t>
      </w:r>
      <w:r w:rsidRPr="009311DA">
        <w:rPr>
          <w:rFonts w:ascii="Arial" w:hAnsi="Arial" w:cs="Arial"/>
          <w:sz w:val="22"/>
          <w:szCs w:val="22"/>
          <w:vertAlign w:val="superscript"/>
          <w:lang w:eastAsia="x-none"/>
        </w:rPr>
        <w:t xml:space="preserve"> </w:t>
      </w:r>
    </w:p>
    <w:bookmarkEnd w:id="26"/>
    <w:p w:rsidRPr="009311DA" w:rsidR="009311DA" w:rsidP="009311DA" w:rsidRDefault="009311DA" w14:paraId="2614CC7C" w14:textId="6DD33284">
      <w:pPr>
        <w:spacing w:after="120" w:line="276" w:lineRule="auto"/>
        <w:ind w:firstLine="709"/>
        <w:jc w:val="both"/>
        <w:rPr>
          <w:rFonts w:ascii="Arial" w:hAnsi="Arial" w:cs="Arial"/>
          <w:sz w:val="22"/>
          <w:szCs w:val="22"/>
          <w:lang w:eastAsia="x-none"/>
        </w:rPr>
      </w:pPr>
      <w:r w:rsidRPr="009311DA">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9311DA">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rsidRPr="009311DA" w:rsidR="009311DA" w:rsidP="009311DA" w:rsidRDefault="009311DA" w14:paraId="06F56E7E" w14:textId="77777777">
      <w:pPr>
        <w:spacing w:after="120" w:line="276" w:lineRule="auto"/>
        <w:ind w:firstLine="709"/>
        <w:jc w:val="both"/>
        <w:rPr>
          <w:rFonts w:ascii="Arial" w:hAnsi="Arial" w:cs="Arial"/>
          <w:bCs/>
          <w:sz w:val="22"/>
          <w:szCs w:val="22"/>
          <w:lang w:val="es-MX" w:eastAsia="x-none"/>
        </w:rPr>
      </w:pPr>
      <w:bookmarkStart w:name="_Hlk77237094" w:id="28"/>
      <w:bookmarkEnd w:id="27"/>
      <w:r w:rsidRPr="009311DA">
        <w:rPr>
          <w:rFonts w:ascii="Arial" w:hAnsi="Arial" w:cs="Arial"/>
          <w:bCs/>
          <w:sz w:val="22"/>
          <w:szCs w:val="22"/>
          <w:lang w:val="es-MX" w:eastAsia="es-CO"/>
        </w:rPr>
        <w:t xml:space="preserve">Como en otras oportunidades lo ha manifestado esta Agencia, las prórrogas, modificaciones o adiciones de los contratos suscritos antes de la </w:t>
      </w:r>
      <w:proofErr w:type="gramStart"/>
      <w:r w:rsidRPr="009311DA">
        <w:rPr>
          <w:rFonts w:ascii="Arial" w:hAnsi="Arial" w:cs="Arial"/>
          <w:bCs/>
          <w:sz w:val="22"/>
          <w:szCs w:val="22"/>
          <w:lang w:val="es-MX" w:eastAsia="es-CO"/>
        </w:rPr>
        <w:t>entrada en vigencia</w:t>
      </w:r>
      <w:proofErr w:type="gramEnd"/>
      <w:r w:rsidRPr="009311DA">
        <w:rPr>
          <w:rFonts w:ascii="Arial" w:hAnsi="Arial" w:cs="Arial"/>
          <w:bCs/>
          <w:sz w:val="22"/>
          <w:szCs w:val="22"/>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8"/>
    </w:p>
    <w:p w:rsidRPr="009311DA" w:rsidR="009311DA" w:rsidP="009311DA" w:rsidRDefault="009311DA" w14:paraId="109C8928" w14:textId="5A45D65B">
      <w:pPr>
        <w:spacing w:after="120" w:line="276" w:lineRule="auto"/>
        <w:ind w:firstLine="709"/>
        <w:jc w:val="both"/>
        <w:rPr>
          <w:rFonts w:ascii="Arial" w:hAnsi="Arial" w:cs="Arial"/>
          <w:bCs/>
          <w:sz w:val="22"/>
          <w:szCs w:val="22"/>
          <w:lang w:val="es-MX" w:eastAsia="es-CO"/>
        </w:rPr>
      </w:pPr>
      <w:r w:rsidRPr="009311DA">
        <w:rPr>
          <w:rFonts w:ascii="Arial" w:hAnsi="Arial" w:cs="Arial"/>
          <w:bCs/>
          <w:sz w:val="22"/>
          <w:szCs w:val="22"/>
          <w:lang w:val="es-MX" w:eastAsia="x-none"/>
        </w:rPr>
        <w:t xml:space="preserve">De otro lado, </w:t>
      </w:r>
      <w:bookmarkStart w:name="_Hlk99577887" w:id="29"/>
      <w:r w:rsidRPr="009311DA">
        <w:rPr>
          <w:rFonts w:ascii="Arial" w:hAnsi="Arial" w:cs="Arial"/>
          <w:bCs/>
          <w:sz w:val="22"/>
          <w:szCs w:val="22"/>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w:t>
      </w:r>
      <w:proofErr w:type="spellStart"/>
      <w:r w:rsidRPr="009311DA">
        <w:rPr>
          <w:rFonts w:ascii="Arial" w:hAnsi="Arial" w:cs="Arial"/>
          <w:bCs/>
          <w:sz w:val="22"/>
          <w:szCs w:val="22"/>
          <w:lang w:val="es-MX" w:eastAsia="x-none"/>
        </w:rPr>
        <w:t>iii</w:t>
      </w:r>
      <w:proofErr w:type="spellEnd"/>
      <w:r w:rsidRPr="009311DA">
        <w:rPr>
          <w:rFonts w:ascii="Arial" w:hAnsi="Arial" w:cs="Arial"/>
          <w:bCs/>
          <w:sz w:val="22"/>
          <w:szCs w:val="22"/>
          <w:lang w:val="es-MX" w:eastAsia="x-none"/>
        </w:rPr>
        <w:t xml:space="preserve">) los requeridos para cubrir las emergencias educativas, sanitarias y desastres; </w:t>
      </w:r>
      <w:proofErr w:type="spellStart"/>
      <w:r w:rsidRPr="009311DA">
        <w:rPr>
          <w:rFonts w:ascii="Arial" w:hAnsi="Arial" w:cs="Arial"/>
          <w:bCs/>
          <w:sz w:val="22"/>
          <w:szCs w:val="22"/>
          <w:lang w:val="es-MX" w:eastAsia="x-none"/>
        </w:rPr>
        <w:t>iv</w:t>
      </w:r>
      <w:proofErr w:type="spellEnd"/>
      <w:r w:rsidRPr="009311DA">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311DA">
        <w:rPr>
          <w:rFonts w:ascii="Arial" w:hAnsi="Arial" w:cs="Arial"/>
          <w:bCs/>
          <w:sz w:val="22"/>
          <w:szCs w:val="22"/>
          <w:lang w:val="es-MX" w:eastAsia="es-CO"/>
        </w:rPr>
        <w:t xml:space="preserve"> Es responsabilidad del respectivo ente del Estado, examinar en cada caso la naturaleza de las actividades que adelanta y </w:t>
      </w:r>
      <w:r w:rsidRPr="009311DA">
        <w:rPr>
          <w:rFonts w:ascii="Arial" w:hAnsi="Arial" w:cs="Arial"/>
          <w:bCs/>
          <w:sz w:val="22"/>
          <w:szCs w:val="22"/>
          <w:lang w:val="es-MX" w:eastAsia="es-CO"/>
        </w:rPr>
        <w:t>determinar si las mismas se enmarcan en alguna de las mencionadas excepciones, de manera que se le permita realizar la contratación que necesite en forma directa.</w:t>
      </w:r>
      <w:bookmarkEnd w:id="29"/>
    </w:p>
    <w:p w:rsidRPr="009311DA" w:rsidR="009311DA" w:rsidP="009311DA" w:rsidRDefault="009311DA" w14:paraId="60466B8B" w14:textId="77777777">
      <w:pPr>
        <w:spacing w:line="276" w:lineRule="auto"/>
        <w:ind w:firstLine="708"/>
        <w:jc w:val="both"/>
        <w:rPr>
          <w:rFonts w:ascii="Arial" w:hAnsi="Arial" w:cs="Arial"/>
          <w:bCs/>
          <w:sz w:val="22"/>
          <w:szCs w:val="22"/>
          <w:lang w:val="es-MX" w:eastAsia="x-none"/>
        </w:rPr>
      </w:pPr>
      <w:r w:rsidRPr="009311DA">
        <w:rPr>
          <w:rFonts w:ascii="Arial" w:hAnsi="Arial" w:cs="Arial"/>
          <w:bCs/>
          <w:sz w:val="22"/>
          <w:szCs w:val="22"/>
          <w:lang w:val="es-MX" w:eastAsia="x-none"/>
        </w:rPr>
        <w:t>En esta labor es importante tener en cuenta, como lo anotó la Corte Constitucional, en Sentencia C-1153 de noviembre 11 de 2005</w:t>
      </w:r>
      <w:r w:rsidRPr="009311DA">
        <w:rPr>
          <w:rFonts w:ascii="Arial" w:hAnsi="Arial" w:eastAsia="Calibri" w:cs="Arial"/>
          <w:sz w:val="22"/>
          <w:szCs w:val="22"/>
          <w:lang w:val="es-MX"/>
        </w:rPr>
        <w:t>,</w:t>
      </w:r>
      <w:r w:rsidRPr="009311DA">
        <w:rPr>
          <w:rFonts w:ascii="Arial" w:hAnsi="Arial" w:cs="Arial"/>
          <w:bCs/>
          <w:sz w:val="22"/>
          <w:szCs w:val="22"/>
          <w:lang w:val="es-MX" w:eastAsia="x-none"/>
        </w:rPr>
        <w:t xml:space="preserve"> </w:t>
      </w:r>
      <w:bookmarkStart w:name="_Hlk74309042" w:id="30"/>
      <w:r w:rsidRPr="009311DA">
        <w:rPr>
          <w:rFonts w:ascii="Arial" w:hAnsi="Arial" w:cs="Arial"/>
          <w:bCs/>
          <w:sz w:val="22"/>
          <w:szCs w:val="22"/>
          <w:lang w:val="es-MX" w:eastAsia="x-none"/>
        </w:rPr>
        <w:t>que «</w:t>
      </w:r>
      <w:bookmarkEnd w:id="30"/>
      <w:r w:rsidRPr="009311DA">
        <w:rPr>
          <w:rFonts w:ascii="Arial" w:hAnsi="Arial" w:cs="Arial"/>
          <w:bCs/>
          <w:sz w:val="22"/>
          <w:szCs w:val="22"/>
          <w:lang w:val="es-MX" w:eastAsia="x-none"/>
        </w:rPr>
        <w:t xml:space="preserve">si bien la limitación garantiza la igualdad de condiciones, también es necesario que tal limitación que pretende la igualdad </w:t>
      </w:r>
      <w:bookmarkStart w:name="_Hlk75768308" w:id="31"/>
      <w:r w:rsidRPr="009311DA">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name="_Hlk74309060" w:id="32"/>
      <w:r w:rsidRPr="009311DA">
        <w:rPr>
          <w:rFonts w:ascii="Arial" w:hAnsi="Arial" w:cs="Arial"/>
          <w:bCs/>
          <w:sz w:val="22"/>
          <w:szCs w:val="22"/>
          <w:lang w:val="es-MX" w:eastAsia="x-none"/>
        </w:rPr>
        <w:t>»</w:t>
      </w:r>
      <w:bookmarkEnd w:id="32"/>
      <w:r w:rsidRPr="009311DA">
        <w:rPr>
          <w:rFonts w:ascii="Arial" w:hAnsi="Arial" w:eastAsia="Calibri" w:cs="Arial"/>
          <w:sz w:val="22"/>
          <w:szCs w:val="22"/>
          <w:vertAlign w:val="superscript"/>
          <w:lang w:val="es-MX"/>
        </w:rPr>
        <w:footnoteReference w:id="19"/>
      </w:r>
      <w:r w:rsidRPr="009311DA">
        <w:rPr>
          <w:rFonts w:ascii="Arial" w:hAnsi="Arial" w:cs="Arial"/>
          <w:bCs/>
          <w:sz w:val="22"/>
          <w:szCs w:val="22"/>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31"/>
    </w:p>
    <w:p w:rsidRPr="009311DA" w:rsidR="00C84F90" w:rsidP="00C84F90" w:rsidRDefault="00C84F90" w14:paraId="10CC446A" w14:textId="77777777">
      <w:pPr>
        <w:spacing w:line="276" w:lineRule="auto"/>
        <w:ind w:firstLine="708"/>
        <w:jc w:val="both"/>
        <w:rPr>
          <w:rFonts w:ascii="Arial" w:hAnsi="Arial" w:cs="Arial"/>
          <w:bCs/>
          <w:sz w:val="22"/>
          <w:szCs w:val="22"/>
          <w:lang w:val="es-MX" w:eastAsia="x-none"/>
        </w:rPr>
      </w:pPr>
    </w:p>
    <w:p w:rsidRPr="00C84F90" w:rsidR="00C84F90" w:rsidP="00C84F90" w:rsidRDefault="00C84F90" w14:paraId="07695CCB" w14:textId="77777777">
      <w:pPr>
        <w:spacing w:line="276" w:lineRule="auto"/>
        <w:jc w:val="both"/>
        <w:rPr>
          <w:rFonts w:ascii="Arial" w:hAnsi="Arial" w:cs="Arial"/>
          <w:b/>
          <w:sz w:val="22"/>
          <w:szCs w:val="22"/>
          <w:lang w:val="es-MX" w:eastAsia="x-none"/>
        </w:rPr>
      </w:pPr>
      <w:r w:rsidRPr="00C84F90">
        <w:rPr>
          <w:rFonts w:ascii="Arial" w:hAnsi="Arial" w:cs="Arial"/>
          <w:b/>
          <w:sz w:val="22"/>
          <w:szCs w:val="22"/>
          <w:lang w:val="es-MX" w:eastAsia="x-none"/>
        </w:rPr>
        <w:t>2.3.  Destinatarios de la restricción del artículo 33 de la Ley 996 de 2005</w:t>
      </w:r>
    </w:p>
    <w:p w:rsidRPr="00C84F90" w:rsidR="00C84F90" w:rsidP="00C84F90" w:rsidRDefault="00C84F90" w14:paraId="701999C1" w14:textId="77777777">
      <w:pPr>
        <w:spacing w:line="276" w:lineRule="auto"/>
        <w:jc w:val="both"/>
        <w:rPr>
          <w:rFonts w:ascii="Arial" w:hAnsi="Arial" w:cs="Arial"/>
          <w:bCs/>
          <w:sz w:val="22"/>
          <w:szCs w:val="22"/>
          <w:lang w:val="es-MX" w:eastAsia="x-none"/>
        </w:rPr>
      </w:pPr>
    </w:p>
    <w:p w:rsidRPr="00C84F90" w:rsidR="00C84F90" w:rsidP="00C84F90" w:rsidRDefault="00C84F90" w14:paraId="212C824B" w14:textId="443D4A2F">
      <w:pPr>
        <w:spacing w:line="276" w:lineRule="auto"/>
        <w:jc w:val="both"/>
        <w:rPr>
          <w:rFonts w:ascii="Arial" w:hAnsi="Arial" w:cs="Arial"/>
          <w:bCs/>
          <w:sz w:val="22"/>
          <w:szCs w:val="22"/>
          <w:lang w:val="es-MX" w:eastAsia="x-none"/>
        </w:rPr>
      </w:pPr>
      <w:r w:rsidRPr="00C84F90">
        <w:rPr>
          <w:rFonts w:ascii="Arial" w:hAnsi="Arial" w:cs="Arial"/>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rPr>
          <w:rFonts w:asciiTheme="minorHAnsi" w:hAnsiTheme="minorHAnsi" w:eastAsiaTheme="minorHAnsi" w:cstheme="minorBidi"/>
          <w:szCs w:val="22"/>
          <w:lang w:val="es-MX" w:eastAsia="en-US"/>
        </w:rPr>
        <w:t xml:space="preserve"> </w:t>
      </w:r>
      <w:r w:rsidRPr="00C84F90">
        <w:rPr>
          <w:rFonts w:ascii="Arial" w:hAnsi="Arial" w:cs="Arial"/>
          <w:bCs/>
          <w:sz w:val="22"/>
          <w:szCs w:val="22"/>
          <w:lang w:val="es-MX" w:eastAsia="x-none"/>
        </w:rPr>
        <w:t>En efecto, como lo ha sostenido el Consejo de Estado, el vocablo «todos» utilizado por el legislador comprende</w:t>
      </w:r>
      <w:r w:rsidRPr="00C84F90">
        <w:rPr>
          <w:rFonts w:asciiTheme="minorHAnsi" w:hAnsiTheme="minorHAnsi" w:eastAsiaTheme="minorHAnsi" w:cstheme="minorBidi"/>
          <w:szCs w:val="22"/>
          <w:lang w:val="es-MX" w:eastAsia="en-US"/>
        </w:rPr>
        <w:t xml:space="preserve"> </w:t>
      </w:r>
      <w:r w:rsidRPr="00C84F90">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w:t>
      </w:r>
      <w:bookmarkEnd w:id="14"/>
      <w:r w:rsidRPr="00C84F90">
        <w:rPr>
          <w:rFonts w:ascii="Arial" w:hAnsi="Arial" w:cs="Arial"/>
          <w:bCs/>
          <w:sz w:val="22"/>
          <w:szCs w:val="22"/>
          <w:lang w:val="es-MX"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rsidRPr="00C84F90" w:rsidR="00C84F90" w:rsidP="00C84F90" w:rsidRDefault="00C84F90" w14:paraId="438F306B" w14:textId="77777777">
      <w:pPr>
        <w:spacing w:line="276" w:lineRule="auto"/>
        <w:ind w:firstLine="708"/>
        <w:jc w:val="both"/>
        <w:rPr>
          <w:rFonts w:ascii="Arial" w:hAnsi="Arial" w:cs="Arial"/>
          <w:bCs/>
          <w:sz w:val="22"/>
          <w:szCs w:val="22"/>
          <w:lang w:val="es-MX" w:eastAsia="x-none"/>
        </w:rPr>
      </w:pPr>
    </w:p>
    <w:p w:rsidRPr="00C84F90" w:rsidR="00C84F90" w:rsidP="00C84F90" w:rsidRDefault="00C84F90" w14:paraId="6741430C" w14:textId="77777777">
      <w:pPr>
        <w:ind w:left="708" w:right="709"/>
        <w:jc w:val="both"/>
        <w:rPr>
          <w:rFonts w:ascii="Arial" w:hAnsi="Arial" w:cs="Arial"/>
          <w:bCs/>
          <w:sz w:val="21"/>
          <w:szCs w:val="21"/>
          <w:lang w:val="es-MX" w:eastAsia="es-CO"/>
        </w:rPr>
      </w:pPr>
      <w:r w:rsidRPr="00C84F90">
        <w:rPr>
          <w:rFonts w:ascii="Arial" w:hAnsi="Arial" w:cs="Arial"/>
          <w:bCs/>
          <w:sz w:val="21"/>
          <w:szCs w:val="21"/>
          <w:lang w:val="es-MX" w:eastAsia="x-none"/>
        </w:rPr>
        <w:t xml:space="preserve">El artículo 33 de la ley 996 de 2005, </w:t>
      </w:r>
      <w:bookmarkStart w:name="_Hlk75787147" w:id="33"/>
      <w:r w:rsidRPr="00C84F90">
        <w:rPr>
          <w:rFonts w:ascii="Arial" w:hAnsi="Arial" w:cs="Arial"/>
          <w:bCs/>
          <w:sz w:val="21"/>
          <w:szCs w:val="21"/>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84F90">
        <w:rPr>
          <w:rFonts w:ascii="Arial" w:hAnsi="Arial" w:cs="Arial"/>
          <w:bCs/>
          <w:sz w:val="21"/>
          <w:szCs w:val="21"/>
          <w:vertAlign w:val="superscript"/>
          <w:lang w:val="es-MX" w:eastAsia="x-none"/>
        </w:rPr>
        <w:footnoteReference w:id="20"/>
      </w:r>
      <w:r w:rsidRPr="00C84F90">
        <w:rPr>
          <w:rFonts w:ascii="Arial" w:hAnsi="Arial" w:cs="Arial"/>
          <w:bCs/>
          <w:sz w:val="21"/>
          <w:szCs w:val="21"/>
          <w:lang w:val="es-MX" w:eastAsia="x-none"/>
        </w:rPr>
        <w:t>.</w:t>
      </w:r>
      <w:r w:rsidRPr="00C84F90">
        <w:rPr>
          <w:rFonts w:ascii="Arial" w:hAnsi="Arial" w:cs="Arial"/>
          <w:bCs/>
          <w:sz w:val="21"/>
          <w:szCs w:val="21"/>
          <w:lang w:val="es-MX" w:eastAsia="es-CO"/>
        </w:rPr>
        <w:t xml:space="preserve"> </w:t>
      </w:r>
    </w:p>
    <w:p w:rsidRPr="00C84F90" w:rsidR="00C84F90" w:rsidP="00C84F90" w:rsidRDefault="00C84F90" w14:paraId="4DB61CD1" w14:textId="77777777">
      <w:pPr>
        <w:spacing w:line="276" w:lineRule="auto"/>
        <w:ind w:firstLine="708"/>
        <w:jc w:val="both"/>
        <w:rPr>
          <w:rFonts w:ascii="Arial" w:hAnsi="Arial" w:cs="Arial"/>
          <w:bCs/>
          <w:sz w:val="22"/>
          <w:szCs w:val="22"/>
          <w:lang w:val="es-MX" w:eastAsia="es-CO"/>
        </w:rPr>
      </w:pPr>
    </w:p>
    <w:p w:rsidRPr="00C84F90" w:rsidR="00C84F90" w:rsidP="00C84F90" w:rsidRDefault="00790B72" w14:paraId="5E7C689F" w14:textId="31722744">
      <w:pPr>
        <w:spacing w:line="276" w:lineRule="auto"/>
        <w:ind w:firstLine="708"/>
        <w:jc w:val="both"/>
        <w:rPr>
          <w:rFonts w:ascii="Arial" w:hAnsi="Arial" w:cs="Arial" w:eastAsiaTheme="minorHAnsi"/>
          <w:sz w:val="22"/>
          <w:szCs w:val="22"/>
          <w:lang w:val="es-MX" w:eastAsia="en-US"/>
        </w:rPr>
      </w:pPr>
      <w:r>
        <w:rPr>
          <w:rFonts w:ascii="Arial" w:hAnsi="Arial" w:cs="Arial"/>
          <w:bCs/>
          <w:sz w:val="22"/>
          <w:szCs w:val="22"/>
          <w:lang w:val="es-MX" w:eastAsia="x-none"/>
        </w:rPr>
        <w:t>En</w:t>
      </w:r>
      <w:r w:rsidRPr="00C84F90" w:rsidR="00C84F90">
        <w:rPr>
          <w:rFonts w:ascii="Arial" w:hAnsi="Arial" w:cs="Arial"/>
          <w:bCs/>
          <w:sz w:val="22"/>
          <w:szCs w:val="22"/>
          <w:lang w:val="es-MX" w:eastAsia="x-none"/>
        </w:rPr>
        <w:t xml:space="preserve">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635823" w:id="34"/>
      <w:r w:rsidRPr="00C84F90" w:rsidR="00C84F90">
        <w:rPr>
          <w:rFonts w:ascii="Arial" w:hAnsi="Arial" w:cs="Arial"/>
          <w:bCs/>
          <w:sz w:val="22"/>
          <w:szCs w:val="22"/>
          <w:lang w:val="es-MX" w:eastAsia="x-none"/>
        </w:rPr>
        <w:t>»</w:t>
      </w:r>
      <w:bookmarkStart w:name="_Hlk75758868" w:id="35"/>
      <w:bookmarkStart w:name="_Hlk75741220" w:id="36"/>
      <w:bookmarkEnd w:id="34"/>
      <w:r w:rsidRPr="00C84F90" w:rsidR="00C84F90">
        <w:rPr>
          <w:rFonts w:ascii="Arial" w:hAnsi="Arial" w:cs="Arial" w:eastAsiaTheme="minorHAnsi"/>
          <w:szCs w:val="22"/>
          <w:vertAlign w:val="superscript"/>
          <w:lang w:val="es-MX" w:eastAsia="en-US"/>
        </w:rPr>
        <w:footnoteReference w:id="21"/>
      </w:r>
      <w:bookmarkEnd w:id="35"/>
      <w:bookmarkEnd w:id="36"/>
      <w:r w:rsidRPr="00C84F90" w:rsidR="00C84F90">
        <w:rPr>
          <w:rFonts w:ascii="Arial" w:hAnsi="Arial" w:cs="Arial"/>
          <w:bCs/>
          <w:sz w:val="22"/>
          <w:szCs w:val="22"/>
          <w:lang w:val="es-MX" w:eastAsia="x-none"/>
        </w:rPr>
        <w:t>.</w:t>
      </w:r>
      <w:r w:rsidRPr="00C84F90" w:rsidR="00C84F90">
        <w:rPr>
          <w:rFonts w:ascii="Arial" w:hAnsi="Arial" w:cs="Arial" w:eastAsiaTheme="minorHAnsi"/>
          <w:sz w:val="22"/>
          <w:szCs w:val="22"/>
          <w:lang w:val="es-MX" w:eastAsia="en-US"/>
        </w:rPr>
        <w:t xml:space="preserve"> Sin embargo, debe precisarse el siguiente aspecto que distinguió la Sala de Consulta y Servicio Civil:</w:t>
      </w:r>
    </w:p>
    <w:p w:rsidRPr="00C84F90" w:rsidR="00C84F90" w:rsidP="00C84F90" w:rsidRDefault="00C84F90" w14:paraId="65C68EC6" w14:textId="77777777">
      <w:pPr>
        <w:spacing w:line="276" w:lineRule="auto"/>
        <w:jc w:val="both"/>
        <w:rPr>
          <w:rFonts w:ascii="Arial" w:hAnsi="Arial" w:cs="Arial" w:eastAsiaTheme="minorHAnsi"/>
          <w:sz w:val="22"/>
          <w:szCs w:val="22"/>
          <w:lang w:val="es-MX" w:eastAsia="en-US"/>
        </w:rPr>
      </w:pPr>
    </w:p>
    <w:p w:rsidRPr="00C84F90" w:rsidR="00C84F90" w:rsidP="00C84F90" w:rsidRDefault="00C84F90" w14:paraId="0D603B2B" w14:textId="77777777">
      <w:pPr>
        <w:ind w:left="708" w:right="709"/>
        <w:jc w:val="both"/>
        <w:rPr>
          <w:rFonts w:ascii="Arial" w:hAnsi="Arial" w:cs="Arial" w:eastAsiaTheme="minorHAnsi"/>
          <w:sz w:val="21"/>
          <w:szCs w:val="21"/>
          <w:lang w:val="es-MX" w:eastAsia="en-US"/>
        </w:rPr>
      </w:pPr>
      <w:bookmarkStart w:name="_Hlk75811446" w:id="38"/>
      <w:r w:rsidRPr="00C84F90">
        <w:rPr>
          <w:rFonts w:ascii="Arial" w:hAnsi="Arial" w:cs="Arial" w:eastAsiaTheme="minorHAnsi"/>
          <w:sz w:val="21"/>
          <w:szCs w:val="21"/>
          <w:lang w:val="es-MX"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38"/>
      <w:r w:rsidRPr="00C84F90">
        <w:rPr>
          <w:rFonts w:ascii="Arial" w:hAnsi="Arial" w:cs="Arial" w:eastAsiaTheme="minorHAnsi"/>
          <w:szCs w:val="22"/>
          <w:vertAlign w:val="superscript"/>
          <w:lang w:val="es-MX" w:eastAsia="en-US"/>
        </w:rPr>
        <w:footnoteReference w:id="22"/>
      </w:r>
      <w:r w:rsidRPr="00C84F90">
        <w:rPr>
          <w:rFonts w:ascii="Arial" w:hAnsi="Arial" w:cs="Arial"/>
          <w:bCs/>
          <w:sz w:val="22"/>
          <w:szCs w:val="22"/>
          <w:lang w:val="es-MX" w:eastAsia="x-none"/>
        </w:rPr>
        <w:t>.</w:t>
      </w:r>
    </w:p>
    <w:p w:rsidRPr="00C84F90" w:rsidR="00C84F90" w:rsidP="00C84F90" w:rsidRDefault="00C84F90" w14:paraId="3FCA900D" w14:textId="77777777">
      <w:pPr>
        <w:spacing w:line="276" w:lineRule="auto"/>
        <w:jc w:val="both"/>
        <w:rPr>
          <w:rFonts w:ascii="Arial" w:hAnsi="Arial" w:cs="Arial" w:eastAsiaTheme="minorHAnsi"/>
          <w:sz w:val="22"/>
          <w:szCs w:val="22"/>
          <w:lang w:val="es-MX" w:eastAsia="en-US"/>
        </w:rPr>
      </w:pPr>
    </w:p>
    <w:p w:rsidRPr="00C84F90" w:rsidR="00C84F90" w:rsidP="00C84F90" w:rsidRDefault="00C84F90" w14:paraId="59051BBC" w14:textId="333E4424">
      <w:pPr>
        <w:spacing w:after="120" w:line="276" w:lineRule="auto"/>
        <w:ind w:firstLine="709"/>
        <w:jc w:val="both"/>
        <w:rPr>
          <w:rFonts w:ascii="Arial" w:hAnsi="Arial" w:cs="Arial"/>
          <w:bCs/>
          <w:sz w:val="22"/>
          <w:szCs w:val="22"/>
          <w:lang w:val="es-MX" w:eastAsia="x-none"/>
        </w:rPr>
      </w:pPr>
      <w:r w:rsidRPr="00C84F90">
        <w:rPr>
          <w:rFonts w:ascii="Arial" w:hAnsi="Arial" w:cs="Arial" w:eastAsiaTheme="minorHAnsi"/>
          <w:sz w:val="22"/>
          <w:szCs w:val="22"/>
          <w:lang w:val="es-MX" w:eastAsia="en-US"/>
        </w:rPr>
        <w:t>Aplicando este razonamiento,</w:t>
      </w:r>
      <w:bookmarkStart w:name="_Hlk75811096" w:id="39"/>
      <w:r w:rsidRPr="00C84F90">
        <w:rPr>
          <w:rFonts w:ascii="Arial" w:hAnsi="Arial" w:cs="Arial" w:eastAsiaTheme="minorHAnsi"/>
          <w:sz w:val="22"/>
          <w:szCs w:val="22"/>
          <w:lang w:val="es-MX" w:eastAsia="en-US"/>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w:t>
      </w:r>
      <w:r w:rsidRPr="00C84F90">
        <w:rPr>
          <w:rFonts w:ascii="Arial" w:hAnsi="Arial" w:cs="Arial" w:eastAsiaTheme="minorHAnsi"/>
          <w:sz w:val="22"/>
          <w:szCs w:val="22"/>
          <w:lang w:val="es-MX" w:eastAsia="en-US"/>
        </w:rPr>
        <w:t>directa, significaría la parálisis de tal actividad de interés público, lo que de ninguna manera es lo querido por la ley 996 de 2005</w:t>
      </w:r>
      <w:bookmarkEnd w:id="39"/>
      <w:r w:rsidRPr="00C84F90">
        <w:rPr>
          <w:rFonts w:ascii="Arial" w:hAnsi="Arial" w:cs="Arial" w:eastAsiaTheme="minorHAnsi"/>
          <w:sz w:val="22"/>
          <w:szCs w:val="22"/>
          <w:lang w:val="es-MX" w:eastAsia="en-US"/>
        </w:rPr>
        <w:t>»</w:t>
      </w:r>
      <w:r w:rsidRPr="00C84F90">
        <w:rPr>
          <w:rFonts w:ascii="Arial" w:hAnsi="Arial" w:cs="Arial" w:eastAsiaTheme="minorHAnsi"/>
          <w:szCs w:val="22"/>
          <w:vertAlign w:val="superscript"/>
          <w:lang w:val="es-MX" w:eastAsia="en-US"/>
        </w:rPr>
        <w:t xml:space="preserve"> </w:t>
      </w:r>
      <w:r w:rsidRPr="00C84F90">
        <w:rPr>
          <w:rFonts w:ascii="Arial" w:hAnsi="Arial" w:cs="Arial" w:eastAsiaTheme="minorHAnsi"/>
          <w:sz w:val="22"/>
          <w:szCs w:val="22"/>
          <w:vertAlign w:val="superscript"/>
          <w:lang w:val="es-MX" w:eastAsia="en-US"/>
        </w:rPr>
        <w:footnoteReference w:id="23"/>
      </w:r>
      <w:r w:rsidRPr="00C84F90">
        <w:rPr>
          <w:rFonts w:ascii="Arial" w:hAnsi="Arial" w:cs="Arial" w:eastAsiaTheme="minorHAnsi"/>
          <w:sz w:val="22"/>
          <w:szCs w:val="22"/>
          <w:lang w:val="es-MX" w:eastAsia="en-US"/>
        </w:rPr>
        <w:t>.</w:t>
      </w:r>
    </w:p>
    <w:p w:rsidRPr="00DC6724" w:rsidR="00DC6724" w:rsidP="00DC6724" w:rsidRDefault="00DC6724" w14:paraId="33FFCC24" w14:textId="77777777">
      <w:pPr>
        <w:spacing w:line="276" w:lineRule="auto"/>
        <w:ind w:firstLine="709"/>
        <w:jc w:val="both"/>
        <w:rPr>
          <w:rFonts w:ascii="Arial" w:hAnsi="Arial" w:cs="Arial" w:eastAsiaTheme="minorHAnsi"/>
          <w:bCs/>
          <w:sz w:val="22"/>
          <w:szCs w:val="22"/>
          <w:lang w:val="es-MX" w:eastAsia="en-US"/>
        </w:rPr>
      </w:pPr>
      <w:bookmarkStart w:name="_Hlk77237229" w:id="40"/>
      <w:bookmarkEnd w:id="33"/>
      <w:r w:rsidRPr="00DC6724">
        <w:rPr>
          <w:rFonts w:ascii="Arial" w:hAnsi="Arial" w:cs="Arial" w:eastAsiaTheme="minorHAnsi"/>
          <w:sz w:val="22"/>
          <w:szCs w:val="22"/>
          <w:lang w:val="es-MX" w:eastAsia="en-US"/>
        </w:rPr>
        <w:t>Por lo tanto, la restricción prevista en la Ley 996 de 200</w:t>
      </w:r>
      <w:bookmarkStart w:name="_Hlk75741539" w:id="41"/>
      <w:r w:rsidRPr="00DC6724">
        <w:rPr>
          <w:rFonts w:ascii="Arial" w:hAnsi="Arial" w:cs="Arial" w:eastAsiaTheme="minorHAnsi"/>
          <w:sz w:val="22"/>
          <w:szCs w:val="22"/>
          <w:lang w:val="es-MX" w:eastAsia="en-US"/>
        </w:rPr>
        <w:t xml:space="preserve">5, </w:t>
      </w:r>
      <w:r w:rsidRPr="00DC6724">
        <w:rPr>
          <w:rFonts w:ascii="Arial" w:hAnsi="Arial" w:cs="Arial" w:eastAsiaTheme="minorHAnsi"/>
          <w:bCs/>
          <w:sz w:val="22"/>
          <w:szCs w:val="22"/>
          <w:lang w:val="es-MX" w:eastAsia="en-US"/>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40"/>
    <w:bookmarkEnd w:id="41"/>
    <w:p w:rsidRPr="00C84F90" w:rsidR="00C84F90" w:rsidP="00C84F90" w:rsidRDefault="00C84F90" w14:paraId="6357BD23" w14:textId="77777777">
      <w:pPr>
        <w:spacing w:line="276" w:lineRule="auto"/>
        <w:jc w:val="both"/>
        <w:rPr>
          <w:rFonts w:ascii="Arial" w:hAnsi="Arial" w:cs="Arial" w:eastAsiaTheme="minorHAnsi"/>
          <w:sz w:val="22"/>
          <w:szCs w:val="22"/>
          <w:lang w:val="es-MX" w:eastAsia="en-US"/>
        </w:rPr>
      </w:pPr>
    </w:p>
    <w:p w:rsidRPr="00C84F90" w:rsidR="00C84F90" w:rsidP="00C84F90" w:rsidRDefault="00C84F90" w14:paraId="37FFD82F" w14:textId="77777777">
      <w:pPr>
        <w:spacing w:after="200" w:line="276" w:lineRule="auto"/>
        <w:jc w:val="both"/>
        <w:rPr>
          <w:rFonts w:ascii="Arial" w:hAnsi="Arial" w:cs="Arial" w:eastAsiaTheme="minorHAnsi"/>
          <w:b/>
          <w:bCs/>
          <w:sz w:val="22"/>
          <w:szCs w:val="22"/>
          <w:lang w:val="es-MX" w:eastAsia="en-US"/>
        </w:rPr>
      </w:pPr>
      <w:bookmarkStart w:name="_Hlk75784645" w:id="42"/>
      <w:r w:rsidRPr="00C84F90">
        <w:rPr>
          <w:rFonts w:ascii="Arial" w:hAnsi="Arial" w:cs="Arial" w:eastAsiaTheme="minorHAnsi"/>
          <w:b/>
          <w:bCs/>
          <w:sz w:val="22"/>
          <w:szCs w:val="22"/>
          <w:lang w:val="es-MX" w:eastAsia="en-US"/>
        </w:rPr>
        <w:t xml:space="preserve">2.4. </w:t>
      </w:r>
      <w:bookmarkStart w:name="_Hlk77153296" w:id="43"/>
      <w:r w:rsidRPr="00C84F90">
        <w:rPr>
          <w:rFonts w:ascii="Arial" w:hAnsi="Arial" w:cs="Arial"/>
          <w:b/>
          <w:bCs/>
          <w:sz w:val="22"/>
          <w:szCs w:val="22"/>
          <w:lang w:val="es-MX" w:eastAsia="es-CO"/>
        </w:rPr>
        <w:t xml:space="preserve">Restricciones </w:t>
      </w:r>
      <w:bookmarkStart w:name="_Hlk75643279" w:id="44"/>
      <w:r w:rsidRPr="00C84F90">
        <w:rPr>
          <w:rFonts w:ascii="Arial" w:hAnsi="Arial" w:cs="Arial"/>
          <w:b/>
          <w:bCs/>
          <w:sz w:val="22"/>
          <w:szCs w:val="22"/>
          <w:lang w:val="es-MX" w:eastAsia="es-CO"/>
        </w:rPr>
        <w:t xml:space="preserve">para la celebración de contratos y convenios interadministrativos en los comicios de cargos de elección popular </w:t>
      </w:r>
    </w:p>
    <w:p w:rsidRPr="00C84F90" w:rsidR="00C84F90" w:rsidP="00C84F90" w:rsidRDefault="00C84F90" w14:paraId="6D154F33" w14:textId="77777777">
      <w:pPr>
        <w:tabs>
          <w:tab w:val="left" w:pos="426"/>
        </w:tabs>
        <w:spacing w:after="120" w:line="276" w:lineRule="auto"/>
        <w:jc w:val="both"/>
        <w:rPr>
          <w:rFonts w:ascii="Arial" w:hAnsi="Arial" w:eastAsia="Calibri" w:cs="Arial"/>
          <w:bCs/>
          <w:sz w:val="22"/>
          <w:szCs w:val="22"/>
          <w:lang w:eastAsia="en-US"/>
        </w:rPr>
      </w:pPr>
      <w:bookmarkStart w:name="_Hlk101885981" w:id="45"/>
      <w:bookmarkEnd w:id="43"/>
      <w:bookmarkEnd w:id="44"/>
      <w:r w:rsidRPr="00C84F90">
        <w:rPr>
          <w:rFonts w:ascii="Arial" w:hAnsi="Arial" w:eastAsia="Calibri" w:cs="Arial"/>
          <w:bCs/>
          <w:sz w:val="22"/>
          <w:szCs w:val="22"/>
          <w:lang w:eastAsia="en-US"/>
        </w:rPr>
        <w:t xml:space="preserve">El parágrafo del artículo 38 de la Ley 996 de 2005 dispone que «[l]os Gobernadores, </w:t>
      </w:r>
      <w:proofErr w:type="gramStart"/>
      <w:r w:rsidRPr="00C84F90">
        <w:rPr>
          <w:rFonts w:ascii="Arial" w:hAnsi="Arial" w:eastAsia="Calibri" w:cs="Arial"/>
          <w:bCs/>
          <w:sz w:val="22"/>
          <w:szCs w:val="22"/>
          <w:lang w:eastAsia="en-US"/>
        </w:rPr>
        <w:t>Alcaldes</w:t>
      </w:r>
      <w:proofErr w:type="gramEnd"/>
      <w:r w:rsidRPr="00C84F90">
        <w:rPr>
          <w:rFonts w:ascii="Arial" w:hAnsi="Arial" w:eastAsia="Calibri" w:cs="Arial"/>
          <w:bCs/>
          <w:sz w:val="22"/>
          <w:szCs w:val="22"/>
          <w:lang w:eastAsia="en-U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84F90">
        <w:rPr>
          <w:rFonts w:ascii="Arial" w:hAnsi="Arial" w:cs="Arial"/>
          <w:bCs/>
          <w:iCs/>
          <w:sz w:val="22"/>
          <w:szCs w:val="22"/>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45"/>
      <w:r w:rsidRPr="00C84F90">
        <w:rPr>
          <w:rFonts w:ascii="Arial" w:hAnsi="Arial" w:cs="Arial"/>
          <w:bCs/>
          <w:iCs/>
          <w:sz w:val="22"/>
          <w:szCs w:val="22"/>
          <w:vertAlign w:val="superscript"/>
          <w:lang w:val="es-MX" w:eastAsia="x-none"/>
        </w:rPr>
        <w:footnoteReference w:id="24"/>
      </w:r>
      <w:r w:rsidRPr="00C84F90">
        <w:rPr>
          <w:rFonts w:ascii="Arial" w:hAnsi="Arial" w:cs="Arial"/>
          <w:bCs/>
          <w:iCs/>
          <w:sz w:val="22"/>
          <w:szCs w:val="22"/>
          <w:lang w:val="es-MX" w:eastAsia="x-none"/>
        </w:rPr>
        <w:t>.</w:t>
      </w:r>
      <w:r w:rsidRPr="00C84F90">
        <w:rPr>
          <w:rFonts w:ascii="Arial" w:hAnsi="Arial" w:cs="Arial" w:eastAsiaTheme="minorHAnsi"/>
          <w:szCs w:val="22"/>
          <w:lang w:val="es-MX" w:eastAsia="en-US"/>
        </w:rPr>
        <w:t xml:space="preserve"> </w:t>
      </w:r>
    </w:p>
    <w:p w:rsidRPr="00C84F90" w:rsidR="00C84F90" w:rsidP="00C84F90" w:rsidRDefault="00C84F90" w14:paraId="658C4658" w14:textId="77777777">
      <w:pPr>
        <w:widowControl w:val="0"/>
        <w:autoSpaceDE w:val="0"/>
        <w:autoSpaceDN w:val="0"/>
        <w:spacing w:after="120" w:line="276" w:lineRule="auto"/>
        <w:ind w:firstLine="707"/>
        <w:jc w:val="both"/>
        <w:rPr>
          <w:rFonts w:ascii="Arial" w:hAnsi="Arial" w:eastAsia="Arial" w:cs="Arial"/>
          <w:sz w:val="22"/>
          <w:szCs w:val="22"/>
          <w:lang w:val="es-ES" w:eastAsia="es-ES" w:bidi="es-ES"/>
        </w:rPr>
      </w:pPr>
      <w:r w:rsidRPr="00C84F90">
        <w:rPr>
          <w:rFonts w:ascii="Arial" w:hAnsi="Arial" w:eastAsia="Calibri" w:cs="Arial"/>
          <w:bCs/>
          <w:sz w:val="22"/>
          <w:szCs w:val="22"/>
          <w:lang w:eastAsia="es-ES" w:bidi="es-ES"/>
        </w:rPr>
        <w:t xml:space="preserve">Ahora bien, </w:t>
      </w:r>
      <w:bookmarkStart w:name="_Hlk78820161" w:id="46"/>
      <w:r w:rsidRPr="00C84F90">
        <w:rPr>
          <w:rFonts w:ascii="Arial" w:hAnsi="Arial" w:eastAsia="Calibri" w:cs="Arial"/>
          <w:bCs/>
          <w:sz w:val="22"/>
          <w:szCs w:val="22"/>
          <w:lang w:eastAsia="es-ES" w:bidi="es-ES"/>
        </w:rPr>
        <w:t xml:space="preserve">para determinar el alcance de la prohibición consagrada por la Ley de Garantías Electorales, conviene precisar la tipología de convenios o contratos interadministrativos. </w:t>
      </w:r>
      <w:r w:rsidRPr="00C84F90">
        <w:rPr>
          <w:rFonts w:ascii="Arial" w:hAnsi="Arial" w:eastAsia="Arial" w:cs="Arial"/>
          <w:sz w:val="22"/>
          <w:szCs w:val="22"/>
          <w:lang w:val="es-ES" w:eastAsia="es-ES" w:bidi="es-ES"/>
        </w:rPr>
        <w:t>Aunque la ley no la definió ni desarrolló, el Decreto 1082 de 2015 califica a los convenios o contratos interadministrativos como aquella contratación entre entidades estatales</w:t>
      </w:r>
      <w:r w:rsidRPr="00C84F90">
        <w:rPr>
          <w:rFonts w:ascii="Arial" w:hAnsi="Arial" w:eastAsia="Arial" w:cs="Arial"/>
          <w:sz w:val="22"/>
          <w:szCs w:val="22"/>
          <w:vertAlign w:val="superscript"/>
          <w:lang w:val="es-ES" w:eastAsia="es-ES" w:bidi="es-ES"/>
        </w:rPr>
        <w:footnoteReference w:id="25"/>
      </w:r>
      <w:r w:rsidRPr="00C84F90">
        <w:rPr>
          <w:rFonts w:ascii="Arial" w:hAnsi="Arial" w:eastAsia="Arial" w:cs="Arial"/>
          <w:sz w:val="22"/>
          <w:szCs w:val="22"/>
          <w:lang w:val="es-ES" w:eastAsia="es-ES" w:bidi="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w:t>
      </w:r>
      <w:r w:rsidRPr="00C84F90">
        <w:rPr>
          <w:rFonts w:ascii="Arial" w:hAnsi="Arial" w:eastAsia="Arial" w:cs="Arial"/>
          <w:sz w:val="22"/>
          <w:szCs w:val="22"/>
          <w:lang w:val="es-ES" w:eastAsia="es-ES" w:bidi="es-ES"/>
        </w:rPr>
        <w:t>interadministrativos están determinados por un criterio orgánico, pues es necesario que los extremos de la relación contractual sean entidades</w:t>
      </w:r>
      <w:r w:rsidRPr="00C84F90">
        <w:rPr>
          <w:rFonts w:ascii="Arial" w:hAnsi="Arial" w:eastAsia="Arial" w:cs="Arial"/>
          <w:spacing w:val="-6"/>
          <w:sz w:val="22"/>
          <w:szCs w:val="22"/>
          <w:lang w:val="es-ES" w:eastAsia="es-ES" w:bidi="es-ES"/>
        </w:rPr>
        <w:t xml:space="preserve"> </w:t>
      </w:r>
      <w:r w:rsidRPr="00C84F90">
        <w:rPr>
          <w:rFonts w:ascii="Arial" w:hAnsi="Arial" w:eastAsia="Arial" w:cs="Arial"/>
          <w:sz w:val="22"/>
          <w:szCs w:val="22"/>
          <w:lang w:val="es-ES" w:eastAsia="es-ES" w:bidi="es-ES"/>
        </w:rPr>
        <w:t>estatales.</w:t>
      </w:r>
    </w:p>
    <w:p w:rsidRPr="00C84F90" w:rsidR="00C84F90" w:rsidP="00C84F90" w:rsidRDefault="00C84F90" w14:paraId="517390AF" w14:textId="77777777">
      <w:pPr>
        <w:widowControl w:val="0"/>
        <w:autoSpaceDE w:val="0"/>
        <w:autoSpaceDN w:val="0"/>
        <w:spacing w:before="117" w:after="120" w:line="276" w:lineRule="auto"/>
        <w:ind w:firstLine="707"/>
        <w:jc w:val="both"/>
        <w:rPr>
          <w:rFonts w:ascii="Arial" w:hAnsi="Arial" w:eastAsia="Arial" w:cs="Arial"/>
          <w:sz w:val="22"/>
          <w:szCs w:val="22"/>
          <w:lang w:val="es-ES" w:eastAsia="es-ES" w:bidi="es-ES"/>
        </w:rPr>
      </w:pPr>
      <w:bookmarkStart w:name="_Hlk78820654" w:id="47"/>
      <w:bookmarkEnd w:id="46"/>
      <w:r w:rsidRPr="00C84F90">
        <w:rPr>
          <w:rFonts w:ascii="Arial" w:hAnsi="Arial" w:eastAsia="Arial" w:cs="Arial"/>
          <w:sz w:val="22"/>
          <w:szCs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47"/>
    <w:p w:rsidRPr="00C84F90" w:rsidR="00C84F90" w:rsidP="00C84F90" w:rsidRDefault="00C84F90" w14:paraId="598266EF" w14:textId="77777777">
      <w:pPr>
        <w:widowControl w:val="0"/>
        <w:autoSpaceDE w:val="0"/>
        <w:autoSpaceDN w:val="0"/>
        <w:spacing w:before="121" w:after="120" w:line="276" w:lineRule="auto"/>
        <w:ind w:firstLine="707"/>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84F90">
        <w:rPr>
          <w:rFonts w:ascii="Arial" w:hAnsi="Arial" w:eastAsia="Arial" w:cs="Arial"/>
          <w:sz w:val="22"/>
          <w:szCs w:val="22"/>
          <w:vertAlign w:val="superscript"/>
          <w:lang w:val="es-ES" w:eastAsia="es-ES" w:bidi="es-ES"/>
        </w:rPr>
        <w:footnoteReference w:id="26"/>
      </w:r>
      <w:r w:rsidRPr="00C84F90">
        <w:rPr>
          <w:rFonts w:ascii="Arial" w:hAnsi="Arial" w:eastAsia="Arial" w:cs="Arial"/>
          <w:sz w:val="22"/>
          <w:szCs w:val="22"/>
          <w:lang w:val="es-ES" w:eastAsia="es-ES" w:bidi="es-ES"/>
        </w:rPr>
        <w:t>. Nótese que, en este caso, lo que cambia es la modalidad de selección y no la naturaleza de contrato</w:t>
      </w:r>
      <w:r w:rsidRPr="00C84F90">
        <w:rPr>
          <w:rFonts w:ascii="Arial" w:hAnsi="Arial" w:eastAsia="Arial" w:cs="Arial"/>
          <w:spacing w:val="-18"/>
          <w:sz w:val="22"/>
          <w:szCs w:val="22"/>
          <w:lang w:val="es-ES" w:eastAsia="es-ES" w:bidi="es-ES"/>
        </w:rPr>
        <w:t xml:space="preserve"> </w:t>
      </w:r>
      <w:r w:rsidRPr="00C84F90">
        <w:rPr>
          <w:rFonts w:ascii="Arial" w:hAnsi="Arial" w:eastAsia="Arial" w:cs="Arial"/>
          <w:sz w:val="22"/>
          <w:szCs w:val="22"/>
          <w:lang w:val="es-ES" w:eastAsia="es-ES" w:bidi="es-ES"/>
        </w:rPr>
        <w:t>interadministrativo.</w:t>
      </w:r>
    </w:p>
    <w:p w:rsidRPr="00C84F90" w:rsidR="00C84F90" w:rsidP="00C84F90" w:rsidRDefault="00C84F90" w14:paraId="7AB3C519" w14:textId="77777777">
      <w:pPr>
        <w:widowControl w:val="0"/>
        <w:autoSpaceDE w:val="0"/>
        <w:autoSpaceDN w:val="0"/>
        <w:spacing w:before="114" w:line="276" w:lineRule="auto"/>
        <w:ind w:firstLine="707"/>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84F90">
        <w:rPr>
          <w:rFonts w:ascii="Arial" w:hAnsi="Arial" w:eastAsia="Arial" w:cs="Arial"/>
          <w:spacing w:val="-13"/>
          <w:sz w:val="22"/>
          <w:szCs w:val="22"/>
          <w:lang w:val="es-ES" w:eastAsia="es-ES" w:bidi="es-ES"/>
        </w:rPr>
        <w:t xml:space="preserve"> </w:t>
      </w:r>
      <w:r w:rsidRPr="00C84F90">
        <w:rPr>
          <w:rFonts w:ascii="Arial" w:hAnsi="Arial" w:eastAsia="Arial" w:cs="Arial"/>
          <w:sz w:val="22"/>
          <w:szCs w:val="22"/>
          <w:lang w:val="es-ES" w:eastAsia="es-ES" w:bidi="es-ES"/>
        </w:rPr>
        <w:t>que:</w:t>
      </w:r>
    </w:p>
    <w:p w:rsidRPr="00C84F90" w:rsidR="00C84F90" w:rsidP="00C84F90" w:rsidRDefault="00C84F90" w14:paraId="5D9D4DF6" w14:textId="77777777">
      <w:pPr>
        <w:widowControl w:val="0"/>
        <w:autoSpaceDE w:val="0"/>
        <w:autoSpaceDN w:val="0"/>
        <w:spacing w:line="276" w:lineRule="auto"/>
        <w:ind w:firstLine="707"/>
        <w:jc w:val="both"/>
        <w:rPr>
          <w:rFonts w:ascii="Arial" w:hAnsi="Arial" w:eastAsia="Arial" w:cs="Arial"/>
          <w:sz w:val="22"/>
          <w:szCs w:val="22"/>
          <w:lang w:val="es-ES" w:eastAsia="es-ES" w:bidi="es-ES"/>
        </w:rPr>
      </w:pPr>
    </w:p>
    <w:p w:rsidRPr="00C84F90" w:rsidR="00C84F90" w:rsidP="00C84F90" w:rsidRDefault="00C84F90" w14:paraId="76C4B633" w14:textId="77777777">
      <w:pPr>
        <w:ind w:left="709" w:right="709"/>
        <w:jc w:val="both"/>
        <w:rPr>
          <w:rFonts w:ascii="Arial" w:hAnsi="Arial" w:cs="Arial" w:eastAsiaTheme="minorHAnsi"/>
          <w:sz w:val="21"/>
          <w:szCs w:val="22"/>
          <w:lang w:val="es-MX" w:eastAsia="en-US"/>
        </w:rPr>
      </w:pPr>
      <w:r w:rsidRPr="00C84F90">
        <w:rPr>
          <w:rFonts w:ascii="Arial" w:hAnsi="Arial" w:cs="Arial" w:eastAsiaTheme="minorHAnsi"/>
          <w:sz w:val="21"/>
          <w:szCs w:val="22"/>
          <w:lang w:val="es-MX" w:eastAsia="en-US"/>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w:t>
      </w:r>
      <w:proofErr w:type="spellStart"/>
      <w:r w:rsidRPr="00C84F90">
        <w:rPr>
          <w:rFonts w:ascii="Arial" w:hAnsi="Arial" w:cs="Arial" w:eastAsiaTheme="minorHAnsi"/>
          <w:sz w:val="21"/>
          <w:szCs w:val="22"/>
          <w:lang w:val="es-MX" w:eastAsia="en-US"/>
        </w:rPr>
        <w:t>iii</w:t>
      </w:r>
      <w:proofErr w:type="spellEnd"/>
      <w:r w:rsidRPr="00C84F90">
        <w:rPr>
          <w:rFonts w:ascii="Arial" w:hAnsi="Arial" w:cs="Arial" w:eastAsiaTheme="minorHAnsi"/>
          <w:sz w:val="21"/>
          <w:szCs w:val="22"/>
          <w:lang w:val="es-MX" w:eastAsia="en-US"/>
        </w:rPr>
        <w:t>) son contratos nominados puesto que están mencionados en la ley; (</w:t>
      </w:r>
      <w:proofErr w:type="spellStart"/>
      <w:r w:rsidRPr="00C84F90">
        <w:rPr>
          <w:rFonts w:ascii="Arial" w:hAnsi="Arial" w:cs="Arial" w:eastAsiaTheme="minorHAnsi"/>
          <w:sz w:val="21"/>
          <w:szCs w:val="22"/>
          <w:lang w:val="es-MX" w:eastAsia="en-US"/>
        </w:rPr>
        <w:t>iv</w:t>
      </w:r>
      <w:proofErr w:type="spellEnd"/>
      <w:r w:rsidRPr="00C84F90">
        <w:rPr>
          <w:rFonts w:ascii="Arial" w:hAnsi="Arial" w:cs="Arial" w:eastAsiaTheme="minorHAnsi"/>
          <w:sz w:val="21"/>
          <w:szCs w:val="22"/>
          <w:lang w:val="es-MX" w:eastAsia="en-US"/>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w:t>
      </w:r>
      <w:r w:rsidRPr="00C84F90">
        <w:rPr>
          <w:rFonts w:ascii="Arial" w:hAnsi="Arial" w:cs="Arial" w:eastAsiaTheme="minorHAnsi"/>
          <w:sz w:val="21"/>
          <w:szCs w:val="22"/>
          <w:lang w:val="es-MX" w:eastAsia="en-US"/>
        </w:rPr>
        <w:t>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C84F90">
        <w:rPr>
          <w:rFonts w:ascii="Arial" w:hAnsi="Arial" w:cs="Arial" w:eastAsiaTheme="minorHAnsi"/>
          <w:sz w:val="21"/>
          <w:szCs w:val="22"/>
          <w:lang w:val="es-MX" w:eastAsia="en-US"/>
        </w:rPr>
        <w:t>vii</w:t>
      </w:r>
      <w:proofErr w:type="spellEnd"/>
      <w:r w:rsidRPr="00C84F90">
        <w:rPr>
          <w:rFonts w:ascii="Arial" w:hAnsi="Arial" w:cs="Arial" w:eastAsiaTheme="minorHAnsi"/>
          <w:sz w:val="21"/>
          <w:szCs w:val="22"/>
          <w:lang w:val="es-MX" w:eastAsia="en-US"/>
        </w:rPr>
        <w:t>) persiguen  una finalidad común a través de la realización de intereses compartidos entre las entidades vinculadas; (</w:t>
      </w:r>
      <w:proofErr w:type="spellStart"/>
      <w:r w:rsidRPr="00C84F90">
        <w:rPr>
          <w:rFonts w:ascii="Arial" w:hAnsi="Arial" w:cs="Arial" w:eastAsiaTheme="minorHAnsi"/>
          <w:sz w:val="21"/>
          <w:szCs w:val="22"/>
          <w:lang w:val="es-MX" w:eastAsia="en-US"/>
        </w:rPr>
        <w:t>viii</w:t>
      </w:r>
      <w:proofErr w:type="spellEnd"/>
      <w:r w:rsidRPr="00C84F90">
        <w:rPr>
          <w:rFonts w:ascii="Arial" w:hAnsi="Arial" w:cs="Arial" w:eastAsiaTheme="minorHAnsi"/>
          <w:sz w:val="21"/>
          <w:szCs w:val="22"/>
          <w:lang w:val="es-MX" w:eastAsia="en-US"/>
        </w:rPr>
        <w:t>) la acción mediante la cual se deben ventilar las diferencias que sobre el particular surjan es la de controversias contractuales</w:t>
      </w:r>
      <w:r w:rsidRPr="00C84F90">
        <w:rPr>
          <w:rFonts w:ascii="Arial" w:hAnsi="Arial" w:cs="Arial" w:eastAsiaTheme="minorHAnsi"/>
          <w:sz w:val="21"/>
          <w:szCs w:val="22"/>
          <w:vertAlign w:val="superscript"/>
          <w:lang w:val="es-MX" w:eastAsia="en-US"/>
        </w:rPr>
        <w:footnoteReference w:id="27"/>
      </w:r>
      <w:r w:rsidRPr="00C84F90">
        <w:rPr>
          <w:rFonts w:ascii="Arial" w:hAnsi="Arial" w:cs="Arial" w:eastAsiaTheme="minorHAnsi"/>
          <w:sz w:val="21"/>
          <w:szCs w:val="22"/>
          <w:lang w:val="es-MX" w:eastAsia="en-US"/>
        </w:rPr>
        <w:t>.</w:t>
      </w:r>
    </w:p>
    <w:p w:rsidRPr="00C84F90" w:rsidR="00C84F90" w:rsidP="00C84F90" w:rsidRDefault="00C84F90" w14:paraId="738EA894" w14:textId="77777777">
      <w:pPr>
        <w:spacing w:line="276" w:lineRule="auto"/>
        <w:ind w:left="709" w:right="709"/>
        <w:jc w:val="both"/>
        <w:rPr>
          <w:rFonts w:asciiTheme="minorHAnsi" w:hAnsiTheme="minorHAnsi" w:eastAsiaTheme="minorHAnsi" w:cstheme="minorBidi"/>
          <w:sz w:val="22"/>
          <w:szCs w:val="22"/>
          <w:lang w:val="es-MX" w:eastAsia="en-US"/>
        </w:rPr>
      </w:pPr>
    </w:p>
    <w:p w:rsidRPr="00C84F90" w:rsidR="00C84F90" w:rsidP="00C84F90" w:rsidRDefault="00C84F90" w14:paraId="42E61EE4" w14:textId="77777777">
      <w:pPr>
        <w:widowControl w:val="0"/>
        <w:autoSpaceDE w:val="0"/>
        <w:autoSpaceDN w:val="0"/>
        <w:spacing w:after="120" w:line="276" w:lineRule="auto"/>
        <w:ind w:firstLine="707"/>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rsidRPr="00C84F90" w:rsidR="00C84F90" w:rsidP="00C84F90" w:rsidRDefault="00C84F90" w14:paraId="113BE4AD" w14:textId="77777777">
      <w:pPr>
        <w:widowControl w:val="0"/>
        <w:autoSpaceDE w:val="0"/>
        <w:autoSpaceDN w:val="0"/>
        <w:spacing w:before="119" w:after="120" w:line="276" w:lineRule="auto"/>
        <w:ind w:firstLine="707"/>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84F90">
        <w:rPr>
          <w:rFonts w:ascii="Arial" w:hAnsi="Arial" w:eastAsia="Arial" w:cs="Arial"/>
          <w:spacing w:val="-3"/>
          <w:sz w:val="22"/>
          <w:szCs w:val="22"/>
          <w:lang w:val="es-ES" w:eastAsia="es-ES" w:bidi="es-ES"/>
        </w:rPr>
        <w:t xml:space="preserve"> </w:t>
      </w:r>
      <w:r w:rsidRPr="00C84F90">
        <w:rPr>
          <w:rFonts w:ascii="Arial" w:hAnsi="Arial" w:eastAsia="Arial" w:cs="Arial"/>
          <w:sz w:val="22"/>
          <w:szCs w:val="22"/>
          <w:lang w:val="es-ES" w:eastAsia="es-ES" w:bidi="es-ES"/>
        </w:rPr>
        <w:t>estatales.</w:t>
      </w:r>
    </w:p>
    <w:p w:rsidRPr="00C84F90" w:rsidR="00C84F90" w:rsidP="00C84F90" w:rsidRDefault="00C84F90" w14:paraId="41C07E24" w14:textId="77777777">
      <w:pPr>
        <w:widowControl w:val="0"/>
        <w:autoSpaceDE w:val="0"/>
        <w:autoSpaceDN w:val="0"/>
        <w:spacing w:before="120" w:after="200" w:line="276" w:lineRule="auto"/>
        <w:ind w:firstLine="709"/>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w:t>
      </w:r>
      <w:r w:rsidRPr="00C84F90">
        <w:rPr>
          <w:rFonts w:ascii="Arial" w:hAnsi="Arial" w:eastAsia="Arial" w:cs="Arial"/>
          <w:sz w:val="22"/>
          <w:szCs w:val="22"/>
          <w:lang w:val="es-ES" w:eastAsia="es-ES" w:bidi="es-ES"/>
        </w:rPr>
        <w:t>acuerdos que permitan la autonomía de la voluntad y requieran el cumplimiento de los fines</w:t>
      </w:r>
      <w:r w:rsidRPr="00C84F90">
        <w:rPr>
          <w:rFonts w:ascii="Arial" w:hAnsi="Arial" w:eastAsia="Arial" w:cs="Arial"/>
          <w:spacing w:val="-4"/>
          <w:sz w:val="22"/>
          <w:szCs w:val="22"/>
          <w:lang w:val="es-ES" w:eastAsia="es-ES" w:bidi="es-ES"/>
        </w:rPr>
        <w:t xml:space="preserve"> </w:t>
      </w:r>
      <w:r w:rsidRPr="00C84F90">
        <w:rPr>
          <w:rFonts w:ascii="Arial" w:hAnsi="Arial" w:eastAsia="Arial" w:cs="Arial"/>
          <w:sz w:val="22"/>
          <w:szCs w:val="22"/>
          <w:lang w:val="es-ES" w:eastAsia="es-ES" w:bidi="es-ES"/>
        </w:rPr>
        <w:t>estatales.</w:t>
      </w:r>
    </w:p>
    <w:p w:rsidRPr="00C84F90" w:rsidR="00C84F90" w:rsidP="00C84F90" w:rsidRDefault="00C84F90" w14:paraId="10B3F4E3" w14:textId="77777777">
      <w:pPr>
        <w:widowControl w:val="0"/>
        <w:autoSpaceDE w:val="0"/>
        <w:autoSpaceDN w:val="0"/>
        <w:spacing w:before="122" w:after="120" w:line="276" w:lineRule="auto"/>
        <w:ind w:firstLine="708"/>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C84F90" w:rsidR="00C84F90" w:rsidP="00C84F90" w:rsidRDefault="00C84F90" w14:paraId="62C658B8" w14:textId="77777777">
      <w:pPr>
        <w:widowControl w:val="0"/>
        <w:autoSpaceDE w:val="0"/>
        <w:autoSpaceDN w:val="0"/>
        <w:spacing w:line="276" w:lineRule="auto"/>
        <w:ind w:firstLine="708"/>
        <w:jc w:val="both"/>
        <w:rPr>
          <w:rFonts w:ascii="Arial" w:hAnsi="Arial" w:eastAsia="Calibri" w:cs="Arial"/>
          <w:bCs/>
          <w:sz w:val="22"/>
          <w:szCs w:val="22"/>
          <w:lang w:eastAsia="es-ES" w:bidi="es-ES"/>
        </w:rPr>
      </w:pPr>
      <w:r w:rsidRPr="00C84F90">
        <w:rPr>
          <w:rFonts w:ascii="Arial" w:hAnsi="Arial" w:eastAsia="Arial" w:cs="Arial"/>
          <w:sz w:val="22"/>
          <w:szCs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84F90">
        <w:rPr>
          <w:rFonts w:ascii="Arial" w:hAnsi="Arial" w:eastAsia="Arial" w:cs="Arial"/>
          <w:spacing w:val="-4"/>
          <w:sz w:val="22"/>
          <w:szCs w:val="22"/>
          <w:lang w:val="es-ES" w:eastAsia="es-ES" w:bidi="es-ES"/>
        </w:rPr>
        <w:t xml:space="preserve"> </w:t>
      </w:r>
      <w:r w:rsidRPr="00C84F90">
        <w:rPr>
          <w:rFonts w:ascii="Arial" w:hAnsi="Arial" w:eastAsia="Arial" w:cs="Arial"/>
          <w:sz w:val="22"/>
          <w:szCs w:val="22"/>
          <w:lang w:val="es-ES" w:eastAsia="es-ES" w:bidi="es-ES"/>
        </w:rPr>
        <w:t>[…]»</w:t>
      </w:r>
      <w:r w:rsidRPr="00C84F90">
        <w:rPr>
          <w:rFonts w:ascii="Arial" w:hAnsi="Arial" w:eastAsia="Arial" w:cs="Arial"/>
          <w:sz w:val="22"/>
          <w:szCs w:val="22"/>
          <w:vertAlign w:val="superscript"/>
          <w:lang w:val="es-ES" w:eastAsia="es-ES" w:bidi="es-ES"/>
        </w:rPr>
        <w:footnoteReference w:id="28"/>
      </w:r>
      <w:r w:rsidRPr="00C84F90">
        <w:rPr>
          <w:rFonts w:ascii="Arial" w:hAnsi="Arial" w:eastAsia="Arial" w:cs="Arial"/>
          <w:sz w:val="22"/>
          <w:szCs w:val="22"/>
          <w:lang w:val="es-ES" w:eastAsia="es-ES" w:bidi="es-ES"/>
        </w:rPr>
        <w:t>.</w:t>
      </w:r>
      <w:bookmarkStart w:name="_Hlk77171241" w:id="48"/>
    </w:p>
    <w:p w:rsidRPr="00C84F90" w:rsidR="00C84F90" w:rsidP="00E16F9B" w:rsidRDefault="00C84F90" w14:paraId="1D6EE0CD" w14:textId="2E006B0E">
      <w:pPr>
        <w:widowControl w:val="0"/>
        <w:autoSpaceDE w:val="0"/>
        <w:autoSpaceDN w:val="0"/>
        <w:spacing w:before="122" w:after="200" w:line="276" w:lineRule="auto"/>
        <w:ind w:firstLine="709"/>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w:t>
      </w:r>
      <w:r w:rsidR="00144F0E">
        <w:rPr>
          <w:rFonts w:ascii="Arial" w:hAnsi="Arial" w:eastAsia="Arial" w:cs="Arial"/>
          <w:sz w:val="22"/>
          <w:szCs w:val="22"/>
          <w:lang w:val="es-ES" w:eastAsia="es-ES" w:bidi="es-ES"/>
        </w:rPr>
        <w:t xml:space="preserve"> en</w:t>
      </w:r>
      <w:r w:rsidRPr="00C84F90">
        <w:rPr>
          <w:rFonts w:ascii="Arial" w:hAnsi="Arial" w:eastAsia="Arial" w:cs="Arial"/>
          <w:sz w:val="22"/>
          <w:szCs w:val="22"/>
          <w:lang w:val="es-ES" w:eastAsia="es-ES" w:bidi="es-ES"/>
        </w:rPr>
        <w:t xml:space="preserve"> sentencia del 14 de junio de 2019 expresó:</w:t>
      </w:r>
    </w:p>
    <w:p w:rsidRPr="00C84F90" w:rsidR="00C84F90" w:rsidP="002F0981" w:rsidRDefault="00C84F90" w14:paraId="04E4E855" w14:textId="7D9ADF99">
      <w:pPr>
        <w:spacing w:after="120"/>
        <w:ind w:left="709" w:right="709"/>
        <w:jc w:val="both"/>
        <w:rPr>
          <w:rFonts w:ascii="Arial" w:hAnsi="Arial" w:cs="Arial" w:eastAsiaTheme="minorHAnsi"/>
          <w:sz w:val="21"/>
          <w:szCs w:val="21"/>
          <w:lang w:val="es-ES_tradnl" w:eastAsia="en-US"/>
        </w:rPr>
      </w:pPr>
      <w:r w:rsidRPr="00C84F90">
        <w:rPr>
          <w:rFonts w:ascii="Arial" w:hAnsi="Arial" w:cs="Arial" w:eastAsiaTheme="minorHAnsi"/>
          <w:sz w:val="21"/>
          <w:szCs w:val="21"/>
          <w:lang w:val="es-ES_tradnl" w:eastAsia="en-US"/>
        </w:rPr>
        <w:t>La Sala de Consulta y Servicio Civil</w:t>
      </w:r>
      <w:r w:rsidRPr="00C84F90">
        <w:rPr>
          <w:rFonts w:ascii="Arial" w:hAnsi="Arial" w:cs="Arial" w:eastAsiaTheme="minorHAnsi"/>
          <w:sz w:val="21"/>
          <w:szCs w:val="21"/>
          <w:vertAlign w:val="superscript"/>
          <w:lang w:val="es-ES_tradnl" w:eastAsia="en-US"/>
        </w:rPr>
        <w:footnoteReference w:id="29"/>
      </w:r>
      <w:r w:rsidRPr="00C84F90">
        <w:rPr>
          <w:rFonts w:ascii="Arial" w:hAnsi="Arial" w:cs="Arial" w:eastAsiaTheme="minorHAnsi"/>
          <w:sz w:val="21"/>
          <w:szCs w:val="21"/>
          <w:lang w:val="es-ES_tradnl" w:eastAsia="en-US"/>
        </w:rPr>
        <w:t xml:space="preserve"> de esta Corporación se ha referido a los </w:t>
      </w:r>
      <w:r w:rsidRPr="00C84F90">
        <w:rPr>
          <w:rFonts w:ascii="Arial" w:hAnsi="Arial" w:cs="Arial" w:eastAsiaTheme="minorHAnsi"/>
          <w:i/>
          <w:sz w:val="21"/>
          <w:szCs w:val="21"/>
          <w:lang w:val="es-ES_tradnl" w:eastAsia="en-US"/>
        </w:rPr>
        <w:t>“convenios interadministrativos”</w:t>
      </w:r>
      <w:r w:rsidRPr="00C84F90">
        <w:rPr>
          <w:rFonts w:ascii="Arial" w:hAnsi="Arial" w:cs="Arial" w:eastAsiaTheme="minorHAnsi"/>
          <w:sz w:val="21"/>
          <w:szCs w:val="21"/>
          <w:lang w:val="es-ES_tradnl" w:eastAsia="en-US"/>
        </w:rPr>
        <w:t xml:space="preserve"> a los cuales alude el artículo 95 de la Ley 489 de 1998, calificándolos de </w:t>
      </w:r>
      <w:r w:rsidRPr="00C84F90">
        <w:rPr>
          <w:rFonts w:ascii="Arial" w:hAnsi="Arial" w:cs="Arial" w:eastAsiaTheme="minorHAnsi"/>
          <w:i/>
          <w:sz w:val="21"/>
          <w:szCs w:val="21"/>
          <w:lang w:val="es-ES_tradnl" w:eastAsia="en-US"/>
        </w:rPr>
        <w:t xml:space="preserve">“puros” </w:t>
      </w:r>
      <w:r w:rsidRPr="00C84F90">
        <w:rPr>
          <w:rFonts w:ascii="Arial" w:hAnsi="Arial" w:cs="Arial" w:eastAsiaTheme="minorHAnsi"/>
          <w:sz w:val="21"/>
          <w:szCs w:val="21"/>
          <w:lang w:val="es-ES_tradnl" w:eastAsia="en-US"/>
        </w:rPr>
        <w:t xml:space="preserve">y entendiendo que estos, además de perseguir la finalidad de cooperación antes indicada, no implican intereses contrapuestos ni tampoco se circunscriben a un </w:t>
      </w:r>
      <w:r w:rsidRPr="00C84F90">
        <w:rPr>
          <w:rFonts w:ascii="Arial" w:hAnsi="Arial" w:cs="Arial" w:eastAsiaTheme="minorHAnsi"/>
          <w:i/>
          <w:sz w:val="21"/>
          <w:szCs w:val="21"/>
          <w:lang w:val="es-ES_tradnl" w:eastAsia="en-US"/>
        </w:rPr>
        <w:t>“intercambio patrimonial”</w:t>
      </w:r>
      <w:r w:rsidRPr="00C84F90">
        <w:rPr>
          <w:rFonts w:ascii="Arial" w:hAnsi="Arial" w:cs="Arial" w:eastAsiaTheme="minorHAnsi"/>
          <w:sz w:val="21"/>
          <w:szCs w:val="21"/>
          <w:lang w:val="es-ES_tradnl" w:eastAsia="en-US"/>
        </w:rPr>
        <w:t>. Sin perjuicio de lo anterior, en otra oportunidad, la misma Sala</w:t>
      </w:r>
      <w:r w:rsidRPr="00C84F90">
        <w:rPr>
          <w:rFonts w:ascii="Arial" w:hAnsi="Arial" w:cs="Arial" w:eastAsiaTheme="minorHAnsi"/>
          <w:sz w:val="21"/>
          <w:szCs w:val="21"/>
          <w:vertAlign w:val="superscript"/>
          <w:lang w:val="es-ES_tradnl" w:eastAsia="en-US"/>
        </w:rPr>
        <w:footnoteReference w:id="30"/>
      </w:r>
      <w:r w:rsidRPr="00C84F90">
        <w:rPr>
          <w:rFonts w:ascii="Arial" w:hAnsi="Arial" w:cs="Arial" w:eastAsiaTheme="minorHAnsi"/>
          <w:sz w:val="21"/>
          <w:szCs w:val="21"/>
          <w:lang w:val="es-ES_tradnl" w:eastAsia="en-US"/>
        </w:rPr>
        <w:t xml:space="preserve"> había indicado que, si bien en dichos convenios no se daba un </w:t>
      </w:r>
      <w:r w:rsidRPr="00C84F90">
        <w:rPr>
          <w:rFonts w:ascii="Arial" w:hAnsi="Arial" w:cs="Arial" w:eastAsiaTheme="minorHAnsi"/>
          <w:i/>
          <w:sz w:val="21"/>
          <w:szCs w:val="21"/>
          <w:lang w:val="es-ES_tradnl" w:eastAsia="en-US"/>
        </w:rPr>
        <w:t>“verdadero intercambio de bienes o servicios (contrato conmutativo)”</w:t>
      </w:r>
      <w:r w:rsidRPr="00C84F90">
        <w:rPr>
          <w:rFonts w:ascii="Arial" w:hAnsi="Arial" w:cs="Arial" w:eastAsiaTheme="minorHAnsi"/>
          <w:sz w:val="21"/>
          <w:szCs w:val="21"/>
          <w:lang w:val="es-ES_tradnl" w:eastAsia="en-US"/>
        </w:rPr>
        <w:t>, ello no impedía que se conviniera una remuneración a cargo de alguna(s) entidad(es).</w:t>
      </w:r>
    </w:p>
    <w:p w:rsidRPr="00C84F90" w:rsidR="00C84F90" w:rsidP="00C84F90" w:rsidRDefault="00C84F90" w14:paraId="5CB1A5EC" w14:textId="77777777">
      <w:pPr>
        <w:widowControl w:val="0"/>
        <w:autoSpaceDE w:val="0"/>
        <w:autoSpaceDN w:val="0"/>
        <w:ind w:left="709" w:right="709"/>
        <w:jc w:val="both"/>
        <w:rPr>
          <w:rFonts w:ascii="Arial" w:hAnsi="Arial" w:eastAsia="Arial" w:cs="Arial"/>
          <w:sz w:val="21"/>
          <w:szCs w:val="21"/>
          <w:lang w:val="es-ES" w:eastAsia="es-ES" w:bidi="es-ES"/>
        </w:rPr>
      </w:pPr>
      <w:r w:rsidRPr="00C84F90">
        <w:rPr>
          <w:rFonts w:ascii="Arial" w:hAnsi="Arial" w:eastAsia="Arial" w:cs="Arial"/>
          <w:sz w:val="21"/>
          <w:szCs w:val="21"/>
          <w:lang w:val="es-ES_tradnl" w:eastAsia="es-ES" w:bidi="es-ES"/>
        </w:rPr>
        <w:t xml:space="preserve">Lo expuesto evidencia que, en general, las interpretaciones en torno a los </w:t>
      </w:r>
      <w:r w:rsidRPr="00C84F90">
        <w:rPr>
          <w:rFonts w:ascii="Arial" w:hAnsi="Arial" w:eastAsia="Arial" w:cs="Arial"/>
          <w:i/>
          <w:sz w:val="21"/>
          <w:szCs w:val="21"/>
          <w:lang w:val="es-ES_tradnl" w:eastAsia="es-ES" w:bidi="es-ES"/>
        </w:rPr>
        <w:t>“convenios interadministrativos”</w:t>
      </w:r>
      <w:r w:rsidRPr="00C84F90">
        <w:rPr>
          <w:rFonts w:ascii="Arial" w:hAnsi="Arial" w:eastAsia="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84F90">
        <w:rPr>
          <w:rFonts w:ascii="Arial" w:hAnsi="Arial" w:eastAsia="Arial" w:cs="Arial"/>
          <w:sz w:val="21"/>
          <w:szCs w:val="21"/>
          <w:vertAlign w:val="superscript"/>
          <w:lang w:val="es-ES_tradnl" w:eastAsia="es-ES" w:bidi="es-ES"/>
        </w:rPr>
        <w:footnoteReference w:id="31"/>
      </w:r>
      <w:r w:rsidRPr="00C84F90">
        <w:rPr>
          <w:rFonts w:ascii="Arial" w:hAnsi="Arial" w:eastAsia="Arial" w:cs="Arial"/>
          <w:sz w:val="21"/>
          <w:szCs w:val="21"/>
          <w:vertAlign w:val="superscript"/>
          <w:lang w:val="es-ES_tradnl" w:eastAsia="es-ES" w:bidi="es-ES"/>
        </w:rPr>
        <w:footnoteReference w:id="32"/>
      </w:r>
      <w:r w:rsidRPr="00C84F90">
        <w:rPr>
          <w:rFonts w:ascii="Arial" w:hAnsi="Arial" w:eastAsia="Arial" w:cs="Arial"/>
          <w:sz w:val="21"/>
          <w:szCs w:val="21"/>
          <w:lang w:val="es-ES_tradnl" w:eastAsia="es-ES" w:bidi="es-ES"/>
        </w:rPr>
        <w:t>.</w:t>
      </w:r>
    </w:p>
    <w:p w:rsidRPr="00C84F90" w:rsidR="00C84F90" w:rsidP="00C84F90" w:rsidRDefault="00C84F90" w14:paraId="26372C8C" w14:textId="77777777">
      <w:pPr>
        <w:widowControl w:val="0"/>
        <w:autoSpaceDE w:val="0"/>
        <w:autoSpaceDN w:val="0"/>
        <w:spacing w:line="276" w:lineRule="auto"/>
        <w:jc w:val="both"/>
        <w:rPr>
          <w:rFonts w:ascii="Arial" w:hAnsi="Arial" w:eastAsia="Arial" w:cs="Arial"/>
          <w:sz w:val="22"/>
          <w:szCs w:val="22"/>
          <w:lang w:val="es-ES" w:eastAsia="es-ES" w:bidi="es-ES"/>
        </w:rPr>
      </w:pPr>
    </w:p>
    <w:p w:rsidRPr="00C84F90" w:rsidR="00C84F90" w:rsidP="00C84F90" w:rsidRDefault="00C84F90" w14:paraId="2DB4BA39" w14:textId="5F1EC924">
      <w:pPr>
        <w:widowControl w:val="0"/>
        <w:autoSpaceDE w:val="0"/>
        <w:autoSpaceDN w:val="0"/>
        <w:spacing w:after="120" w:line="276" w:lineRule="auto"/>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ab/>
      </w:r>
      <w:r w:rsidR="00CD59CC">
        <w:rPr>
          <w:rFonts w:ascii="Arial" w:hAnsi="Arial" w:eastAsia="Arial" w:cs="Arial"/>
          <w:sz w:val="22"/>
          <w:szCs w:val="22"/>
          <w:lang w:val="es-ES" w:eastAsia="es-ES" w:bidi="es-ES"/>
        </w:rPr>
        <w:t>V</w:t>
      </w:r>
      <w:r w:rsidRPr="00C84F90">
        <w:rPr>
          <w:rFonts w:ascii="Arial" w:hAnsi="Arial" w:eastAsia="Arial" w:cs="Arial"/>
          <w:sz w:val="22"/>
          <w:szCs w:val="22"/>
          <w:lang w:val="es-ES" w:eastAsia="es-ES" w:bidi="es-ES"/>
        </w:rPr>
        <w:t>ale la pena reiterar que el legislador y el ordenamiento jurídico, en general, en distintas ocasiones utiliza de forma indistinta los conceptos de contrato o convenio para referirse a la misma institución jurídica</w:t>
      </w:r>
      <w:r w:rsidRPr="00C84F90">
        <w:rPr>
          <w:rFonts w:ascii="Arial" w:hAnsi="Arial" w:eastAsia="Arial" w:cs="Arial"/>
          <w:sz w:val="22"/>
          <w:szCs w:val="22"/>
          <w:vertAlign w:val="superscript"/>
          <w:lang w:val="es-ES" w:eastAsia="es-ES" w:bidi="es-ES"/>
        </w:rPr>
        <w:footnoteReference w:id="33"/>
      </w:r>
      <w:r w:rsidRPr="00C84F90">
        <w:rPr>
          <w:rFonts w:ascii="Arial" w:hAnsi="Arial" w:eastAsia="Arial" w:cs="Arial"/>
          <w:sz w:val="22"/>
          <w:szCs w:val="22"/>
          <w:lang w:val="es-ES" w:eastAsia="es-ES" w:bidi="es-ES"/>
        </w:rPr>
        <w:t xml:space="preserve">. Incluso la Corte Constitucional </w:t>
      </w:r>
      <w:r w:rsidR="00673D4F">
        <w:rPr>
          <w:rFonts w:ascii="Arial" w:hAnsi="Arial" w:eastAsia="Arial" w:cs="Arial"/>
          <w:sz w:val="22"/>
          <w:szCs w:val="22"/>
          <w:lang w:val="es-ES" w:eastAsia="es-ES" w:bidi="es-ES"/>
        </w:rPr>
        <w:t>fundamenta</w:t>
      </w:r>
      <w:r w:rsidRPr="00C84F90">
        <w:rPr>
          <w:rFonts w:ascii="Arial" w:hAnsi="Arial" w:eastAsia="Arial" w:cs="Arial"/>
          <w:sz w:val="22"/>
          <w:szCs w:val="22"/>
          <w:lang w:val="es-ES" w:eastAsia="es-ES" w:bidi="es-ES"/>
        </w:rPr>
        <w:t xml:space="preserve"> la posibilidad de celebrar convenios interadministrativos de forma directa, con fundamento en la causal establecida en la Ley 1150 de 2007 respecto a los contratos interadministrativos</w:t>
      </w:r>
      <w:r w:rsidRPr="00C84F90">
        <w:rPr>
          <w:rFonts w:ascii="Arial" w:hAnsi="Arial" w:eastAsia="Arial" w:cs="Arial"/>
          <w:sz w:val="22"/>
          <w:szCs w:val="22"/>
          <w:vertAlign w:val="superscript"/>
          <w:lang w:val="es-ES" w:eastAsia="es-ES" w:bidi="es-ES"/>
        </w:rPr>
        <w:footnoteReference w:id="34"/>
      </w:r>
      <w:r w:rsidRPr="00C84F90">
        <w:rPr>
          <w:rFonts w:ascii="Arial" w:hAnsi="Arial" w:eastAsia="Arial" w:cs="Arial"/>
          <w:sz w:val="22"/>
          <w:szCs w:val="22"/>
          <w:lang w:val="es-ES" w:eastAsia="es-ES" w:bidi="es-ES"/>
        </w:rPr>
        <w:t>.</w:t>
      </w:r>
    </w:p>
    <w:p w:rsidRPr="00C84F90" w:rsidR="00C84F90" w:rsidP="00C84F90" w:rsidRDefault="00C84F90" w14:paraId="0958DB80" w14:textId="3EFD4027">
      <w:pPr>
        <w:widowControl w:val="0"/>
        <w:autoSpaceDE w:val="0"/>
        <w:autoSpaceDN w:val="0"/>
        <w:spacing w:line="276" w:lineRule="auto"/>
        <w:jc w:val="both"/>
        <w:rPr>
          <w:rFonts w:ascii="Arial" w:hAnsi="Arial" w:eastAsia="Arial" w:cs="Arial"/>
          <w:sz w:val="22"/>
          <w:szCs w:val="22"/>
          <w:lang w:val="es-ES" w:eastAsia="es-ES" w:bidi="es-ES"/>
        </w:rPr>
      </w:pPr>
      <w:r w:rsidRPr="00C84F90">
        <w:rPr>
          <w:rFonts w:ascii="Arial" w:hAnsi="Arial" w:eastAsia="Arial" w:cs="Arial"/>
          <w:sz w:val="22"/>
          <w:szCs w:val="22"/>
          <w:lang w:val="es-ES" w:eastAsia="es-ES" w:bidi="es-ES"/>
        </w:rPr>
        <w:tab/>
      </w:r>
      <w:r w:rsidRPr="00C84F90">
        <w:rPr>
          <w:rFonts w:ascii="Arial" w:hAnsi="Arial" w:eastAsia="Arial" w:cs="Arial"/>
          <w:sz w:val="22"/>
          <w:szCs w:val="22"/>
          <w:lang w:val="es-ES" w:eastAsia="es-ES" w:bidi="es-ES"/>
        </w:rPr>
        <w:t xml:space="preserve">En desarrollo de lo anterior, </w:t>
      </w:r>
      <w:r w:rsidR="00181682">
        <w:rPr>
          <w:rFonts w:ascii="Arial" w:hAnsi="Arial" w:eastAsia="Arial" w:cs="Arial"/>
          <w:sz w:val="22"/>
          <w:szCs w:val="22"/>
          <w:lang w:val="es-ES" w:eastAsia="es-ES" w:bidi="es-ES"/>
        </w:rPr>
        <w:t>se</w:t>
      </w:r>
      <w:r w:rsidRPr="00C84F90">
        <w:rPr>
          <w:rFonts w:ascii="Arial" w:hAnsi="Arial" w:eastAsia="Arial" w:cs="Arial"/>
          <w:sz w:val="22"/>
          <w:szCs w:val="22"/>
          <w:lang w:val="es-ES" w:eastAsia="es-ES" w:bidi="es-ES"/>
        </w:rPr>
        <w:t xml:space="preserv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r w:rsidRPr="00C84F90">
        <w:rPr>
          <w:rFonts w:ascii="Arial" w:hAnsi="Arial" w:eastAsia="Arial" w:cs="Arial"/>
          <w:sz w:val="22"/>
          <w:szCs w:val="22"/>
          <w:lang w:val="es-ES" w:eastAsia="es-ES" w:bidi="es-ES"/>
        </w:rPr>
        <w:t>En este sentido, la Circular, refiriéndose al parágrafo del artículo 38 de la Ley 996 de 2005, expresa:</w:t>
      </w:r>
    </w:p>
    <w:p w:rsidRPr="00C84F90" w:rsidR="00C84F90" w:rsidP="00C84F90" w:rsidRDefault="00C84F90" w14:paraId="30E97938" w14:textId="77777777">
      <w:pPr>
        <w:widowControl w:val="0"/>
        <w:autoSpaceDE w:val="0"/>
        <w:autoSpaceDN w:val="0"/>
        <w:spacing w:line="276" w:lineRule="auto"/>
        <w:jc w:val="both"/>
        <w:rPr>
          <w:rFonts w:ascii="Arial" w:hAnsi="Arial" w:eastAsia="Arial" w:cs="Arial"/>
          <w:sz w:val="22"/>
          <w:szCs w:val="22"/>
          <w:lang w:val="es-ES" w:eastAsia="es-ES" w:bidi="es-ES"/>
        </w:rPr>
      </w:pPr>
    </w:p>
    <w:p w:rsidRPr="00C84F90" w:rsidR="00C84F90" w:rsidP="002F0981" w:rsidRDefault="00C84F90" w14:paraId="244E5323" w14:textId="0EACC011">
      <w:pPr>
        <w:spacing w:after="120"/>
        <w:ind w:left="709" w:right="709"/>
        <w:jc w:val="both"/>
        <w:rPr>
          <w:rFonts w:ascii="Arial" w:hAnsi="Arial" w:cs="Arial" w:eastAsiaTheme="minorHAnsi"/>
          <w:sz w:val="21"/>
          <w:szCs w:val="21"/>
          <w:lang w:val="es-MX" w:eastAsia="en-US"/>
        </w:rPr>
      </w:pPr>
      <w:r w:rsidRPr="00C84F90">
        <w:rPr>
          <w:rFonts w:ascii="Arial" w:hAnsi="Arial" w:cs="Arial" w:eastAsiaTheme="minorHAnsi"/>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84F90">
        <w:rPr>
          <w:rFonts w:ascii="Arial" w:hAnsi="Arial" w:cs="Arial" w:eastAsiaTheme="minorHAnsi"/>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rsidRPr="00C84F90" w:rsidR="00C84F90" w:rsidP="002F0981" w:rsidRDefault="00C84F90" w14:paraId="60BAAB63" w14:textId="0082851F">
      <w:pPr>
        <w:spacing w:after="120"/>
        <w:ind w:left="709" w:right="709"/>
        <w:jc w:val="both"/>
        <w:rPr>
          <w:rFonts w:ascii="Arial" w:hAnsi="Arial" w:cs="Arial" w:eastAsiaTheme="minorHAnsi"/>
          <w:sz w:val="21"/>
          <w:szCs w:val="21"/>
          <w:lang w:val="es-MX" w:eastAsia="en-US"/>
        </w:rPr>
      </w:pPr>
      <w:r w:rsidRPr="00C84F90">
        <w:rPr>
          <w:rFonts w:ascii="Arial" w:hAnsi="Arial" w:cs="Arial" w:eastAsiaTheme="minorHAnsi"/>
          <w:sz w:val="21"/>
          <w:szCs w:val="21"/>
          <w:lang w:val="es-MX"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C84F90" w:rsidR="00C84F90" w:rsidP="00C84F90" w:rsidRDefault="00C84F90" w14:paraId="744DE43B" w14:textId="77777777">
      <w:pPr>
        <w:ind w:left="709" w:right="709"/>
        <w:jc w:val="both"/>
        <w:rPr>
          <w:rFonts w:asciiTheme="minorHAnsi" w:hAnsiTheme="minorHAnsi" w:eastAsiaTheme="minorHAnsi" w:cstheme="minorBidi"/>
          <w:szCs w:val="22"/>
          <w:lang w:val="es-MX" w:eastAsia="en-US"/>
        </w:rPr>
      </w:pPr>
      <w:r w:rsidRPr="00C84F90">
        <w:rPr>
          <w:rFonts w:ascii="Arial" w:hAnsi="Arial" w:cs="Arial" w:eastAsiaTheme="minorHAnsi"/>
          <w:sz w:val="21"/>
          <w:szCs w:val="21"/>
          <w:lang w:val="es-MX"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rsidRPr="00FD7DA9" w:rsidR="00C84F90" w:rsidP="00C84F90" w:rsidRDefault="00C84F90" w14:paraId="6B39A185" w14:textId="77777777">
      <w:pPr>
        <w:widowControl w:val="0"/>
        <w:autoSpaceDE w:val="0"/>
        <w:autoSpaceDN w:val="0"/>
        <w:spacing w:before="3" w:line="276" w:lineRule="auto"/>
        <w:jc w:val="both"/>
        <w:rPr>
          <w:rFonts w:ascii="Arial" w:hAnsi="Arial" w:eastAsia="Arial" w:cs="Arial"/>
          <w:sz w:val="22"/>
          <w:szCs w:val="22"/>
          <w:lang w:val="es-ES" w:eastAsia="es-ES" w:bidi="es-ES"/>
        </w:rPr>
      </w:pPr>
    </w:p>
    <w:p w:rsidRPr="00C84F90" w:rsidR="00C84F90" w:rsidP="00C84F90" w:rsidRDefault="00C84F90" w14:paraId="1CF64F59" w14:textId="1D57D3A0">
      <w:pPr>
        <w:widowControl w:val="0"/>
        <w:autoSpaceDE w:val="0"/>
        <w:autoSpaceDN w:val="0"/>
        <w:spacing w:after="120" w:line="276" w:lineRule="auto"/>
        <w:jc w:val="both"/>
        <w:rPr>
          <w:rFonts w:ascii="Arial" w:hAnsi="Arial" w:eastAsia="Calibri" w:cs="Arial"/>
          <w:bCs/>
          <w:sz w:val="22"/>
          <w:szCs w:val="22"/>
          <w:lang w:eastAsia="es-ES" w:bidi="es-ES"/>
        </w:rPr>
      </w:pPr>
      <w:r w:rsidRPr="00C84F90">
        <w:rPr>
          <w:rFonts w:ascii="Arial" w:hAnsi="Arial" w:eastAsia="Arial" w:cs="Arial"/>
          <w:sz w:val="25"/>
          <w:szCs w:val="22"/>
          <w:lang w:val="es-ES" w:eastAsia="es-ES" w:bidi="es-ES"/>
        </w:rPr>
        <w:tab/>
      </w:r>
      <w:r w:rsidRPr="00C84F90">
        <w:rPr>
          <w:rFonts w:ascii="Arial" w:hAnsi="Arial" w:eastAsia="Arial" w:cs="Arial"/>
          <w:sz w:val="22"/>
          <w:szCs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w:t>
      </w:r>
      <w:r w:rsidR="00F30394">
        <w:rPr>
          <w:rFonts w:ascii="Arial" w:hAnsi="Arial" w:eastAsia="Arial" w:cs="Arial"/>
          <w:sz w:val="22"/>
          <w:szCs w:val="22"/>
          <w:lang w:val="es-ES" w:eastAsia="es-ES" w:bidi="es-ES"/>
        </w:rPr>
        <w:t>ron</w:t>
      </w:r>
      <w:r w:rsidRPr="00C84F90">
        <w:rPr>
          <w:rFonts w:ascii="Arial" w:hAnsi="Arial" w:eastAsia="Arial" w:cs="Arial"/>
          <w:sz w:val="22"/>
          <w:szCs w:val="22"/>
          <w:lang w:val="es-ES" w:eastAsia="es-ES" w:bidi="es-ES"/>
        </w:rPr>
        <w:t xml:space="preserve">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48"/>
    </w:p>
    <w:p w:rsidR="00C84F90" w:rsidP="00C84F90" w:rsidRDefault="00C84F90" w14:paraId="304ECFB1" w14:textId="07AD410A">
      <w:pPr>
        <w:tabs>
          <w:tab w:val="left" w:pos="426"/>
        </w:tabs>
        <w:spacing w:after="120" w:line="276" w:lineRule="auto"/>
        <w:ind w:firstLine="709"/>
        <w:jc w:val="both"/>
        <w:rPr>
          <w:rFonts w:ascii="Arial" w:hAnsi="Arial" w:eastAsia="Arial" w:cs="Arial"/>
          <w:sz w:val="22"/>
          <w:szCs w:val="22"/>
          <w:lang w:val="es-ES" w:eastAsia="es-ES" w:bidi="es-ES"/>
        </w:rPr>
      </w:pPr>
      <w:r w:rsidRPr="00C84F90">
        <w:rPr>
          <w:rFonts w:ascii="Arial" w:hAnsi="Arial" w:cs="Arial"/>
          <w:bCs/>
          <w:sz w:val="22"/>
          <w:szCs w:val="22"/>
          <w:lang w:eastAsia="es-CO"/>
        </w:rPr>
        <w:t xml:space="preserve">Se observa entonces que </w:t>
      </w:r>
      <w:r w:rsidRPr="00C84F90">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w:t>
      </w:r>
      <w:r w:rsidRPr="00C84F90">
        <w:rPr>
          <w:rFonts w:ascii="Arial" w:hAnsi="Arial" w:cs="Arial"/>
          <w:bCs/>
          <w:sz w:val="22"/>
          <w:szCs w:val="22"/>
          <w:lang w:val="es-MX" w:eastAsia="es-CO"/>
        </w:rPr>
        <w:t xml:space="preserve">la ejecución de recursos públicos. En este sentido, si una o ambas partes de la relación contractual es una entidad de aquellas descritas en el parágrafo </w:t>
      </w:r>
      <w:r w:rsidRPr="00C84F90">
        <w:rPr>
          <w:rFonts w:ascii="Arial" w:hAnsi="Arial" w:cs="Arial"/>
          <w:bCs/>
          <w:i/>
          <w:iCs/>
          <w:sz w:val="22"/>
          <w:szCs w:val="22"/>
          <w:lang w:val="es-MX" w:eastAsia="es-CO"/>
        </w:rPr>
        <w:t>ibidem</w:t>
      </w:r>
      <w:r w:rsidRPr="00C84F90">
        <w:rPr>
          <w:rFonts w:ascii="Arial" w:hAnsi="Arial" w:cs="Arial"/>
          <w:bCs/>
          <w:sz w:val="22"/>
          <w:szCs w:val="22"/>
          <w:lang w:val="es-MX" w:eastAsia="es-CO"/>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w:t>
      </w:r>
      <w:r w:rsidRPr="002F0981">
        <w:rPr>
          <w:rFonts w:ascii="Arial" w:hAnsi="Arial" w:cs="Arial"/>
          <w:bCs/>
          <w:sz w:val="22"/>
          <w:szCs w:val="22"/>
          <w:lang w:val="es-MX" w:eastAsia="es-CO"/>
        </w:rPr>
        <w:t>objeto</w:t>
      </w:r>
      <w:r w:rsidRPr="002F0981" w:rsidR="00363544">
        <w:rPr>
          <w:rStyle w:val="Refdenotaalpie"/>
          <w:rFonts w:ascii="Arial" w:hAnsi="Arial" w:cs="Arial"/>
          <w:bCs/>
          <w:sz w:val="22"/>
          <w:szCs w:val="22"/>
          <w:lang w:val="es-MX" w:eastAsia="es-CO"/>
        </w:rPr>
        <w:footnoteReference w:id="35"/>
      </w:r>
      <w:r w:rsidRPr="002F0981">
        <w:rPr>
          <w:rFonts w:ascii="Arial" w:hAnsi="Arial" w:cs="Arial"/>
          <w:bCs/>
          <w:sz w:val="22"/>
          <w:szCs w:val="22"/>
          <w:lang w:val="es-MX" w:eastAsia="es-CO"/>
        </w:rPr>
        <w:t xml:space="preserve">. </w:t>
      </w:r>
      <w:r w:rsidRPr="00FD7DA9" w:rsidR="00B802A1">
        <w:rPr>
          <w:rFonts w:ascii="Arial" w:hAnsi="Arial" w:eastAsia="Arial" w:cs="Arial"/>
          <w:sz w:val="22"/>
          <w:szCs w:val="22"/>
          <w:lang w:val="es-ES" w:eastAsia="es-ES" w:bidi="es-ES"/>
        </w:rPr>
        <w:t>As</w:t>
      </w:r>
      <w:r w:rsidR="00B802A1">
        <w:rPr>
          <w:rFonts w:ascii="Arial" w:hAnsi="Arial" w:eastAsia="Arial" w:cs="Arial"/>
          <w:sz w:val="22"/>
          <w:szCs w:val="22"/>
          <w:lang w:val="es-ES" w:eastAsia="es-ES" w:bidi="es-ES"/>
        </w:rPr>
        <w:t>i</w:t>
      </w:r>
      <w:r w:rsidRPr="00FD7DA9" w:rsidR="00B802A1">
        <w:rPr>
          <w:rFonts w:ascii="Arial" w:hAnsi="Arial" w:eastAsia="Arial" w:cs="Arial"/>
          <w:sz w:val="22"/>
          <w:szCs w:val="22"/>
          <w:lang w:val="es-ES" w:eastAsia="es-ES" w:bidi="es-ES"/>
        </w:rPr>
        <w:t>mismo, se resalta que este parágrafo fue modificado parcial y transitoriamente por el artículo 124 de la Ley 2159 de 2021</w:t>
      </w:r>
      <w:r w:rsidRPr="00FD7DA9" w:rsidR="00B802A1">
        <w:rPr>
          <w:rFonts w:ascii="Arial" w:hAnsi="Arial" w:eastAsia="Arial" w:cs="Arial"/>
          <w:sz w:val="22"/>
          <w:szCs w:val="22"/>
          <w:vertAlign w:val="superscript"/>
          <w:lang w:val="es-ES" w:eastAsia="es-ES" w:bidi="es-ES"/>
        </w:rPr>
        <w:footnoteReference w:id="36"/>
      </w:r>
      <w:r w:rsidRPr="00FD7DA9" w:rsidR="00B802A1">
        <w:rPr>
          <w:rFonts w:ascii="Arial" w:hAnsi="Arial" w:eastAsia="Arial" w:cs="Arial"/>
          <w:sz w:val="22"/>
          <w:szCs w:val="22"/>
          <w:lang w:val="es-ES" w:eastAsia="es-ES" w:bidi="es-ES"/>
        </w:rPr>
        <w:t>, estableciendo una excepción a la prohibición, según la cual a partir de la publicación de dicha ley y durante la vigencia fiscal 2022, la Nación podrá celebrar convenios interadministrativos con las entidades territoriales para ejecutar programas y proyectos correspondientes al Presupuesto General de la Nación</w:t>
      </w:r>
      <w:r w:rsidRPr="00FD7DA9" w:rsidR="00B802A1">
        <w:rPr>
          <w:rFonts w:ascii="Arial" w:hAnsi="Arial" w:eastAsia="Arial" w:cs="Arial"/>
          <w:sz w:val="22"/>
          <w:szCs w:val="22"/>
          <w:vertAlign w:val="superscript"/>
          <w:lang w:val="es-ES" w:eastAsia="es-ES" w:bidi="es-ES"/>
        </w:rPr>
        <w:footnoteReference w:id="37"/>
      </w:r>
      <w:r w:rsidRPr="00FD7DA9" w:rsidR="00B802A1">
        <w:rPr>
          <w:rFonts w:ascii="Arial" w:hAnsi="Arial" w:eastAsia="Arial" w:cs="Arial"/>
          <w:sz w:val="22"/>
          <w:szCs w:val="22"/>
          <w:lang w:val="es-ES" w:eastAsia="es-ES" w:bidi="es-ES"/>
        </w:rPr>
        <w:t>.</w:t>
      </w:r>
    </w:p>
    <w:p w:rsidRPr="00840B10" w:rsidR="00B802A1" w:rsidRDefault="00840B10" w14:paraId="1CA4C0C0" w14:textId="69A7A80F">
      <w:pPr>
        <w:tabs>
          <w:tab w:val="left" w:pos="426"/>
        </w:tabs>
        <w:spacing w:after="120" w:line="276" w:lineRule="auto"/>
        <w:ind w:firstLine="709"/>
        <w:jc w:val="both"/>
        <w:rPr>
          <w:rFonts w:ascii="Arial" w:hAnsi="Arial" w:cs="Arial"/>
          <w:bCs/>
          <w:sz w:val="22"/>
          <w:szCs w:val="22"/>
          <w:lang w:val="es-MX" w:eastAsia="es-CO"/>
        </w:rPr>
      </w:pPr>
      <w:r w:rsidRPr="00FD7DA9">
        <w:rPr>
          <w:rFonts w:ascii="Arial" w:hAnsi="Arial" w:cs="Arial"/>
          <w:bCs/>
          <w:sz w:val="22"/>
          <w:szCs w:val="22"/>
          <w:lang w:val="es-MX" w:eastAsia="es-CO"/>
        </w:rPr>
        <w:t xml:space="preserve">En efecto, la modificación transitoria del artículo 124 de la Ley 2159 de 2021, </w:t>
      </w:r>
      <w:r w:rsidRPr="00FD7DA9">
        <w:rPr>
          <w:rFonts w:ascii="Arial" w:hAnsi="Arial" w:cs="Arial"/>
          <w:bCs/>
          <w:sz w:val="22"/>
          <w:szCs w:val="22"/>
          <w:lang w:eastAsia="es-CO"/>
        </w:rPr>
        <w:t xml:space="preserve">fijó ciertas condiciones temporales, subjetivas y materiales o teleológicas para la celebración de los convenios interadministrativos: i) que sean celebrados a partir de la publicación de la Ley del Presupuesto en el Diario Oficial y hasta el término de la vigencia fiscal 2022, ii) que sean celebrados entre la Nación, por una parte, y las entidades territoriales, por otra, y </w:t>
      </w:r>
      <w:proofErr w:type="spellStart"/>
      <w:r w:rsidRPr="00FD7DA9">
        <w:rPr>
          <w:rFonts w:ascii="Arial" w:hAnsi="Arial" w:cs="Arial"/>
          <w:bCs/>
          <w:sz w:val="22"/>
          <w:szCs w:val="22"/>
          <w:lang w:eastAsia="es-CO"/>
        </w:rPr>
        <w:t>iii</w:t>
      </w:r>
      <w:proofErr w:type="spellEnd"/>
      <w:r w:rsidRPr="00FD7DA9">
        <w:rPr>
          <w:rFonts w:ascii="Arial" w:hAnsi="Arial" w:cs="Arial"/>
          <w:bCs/>
          <w:sz w:val="22"/>
          <w:szCs w:val="22"/>
          <w:lang w:eastAsia="es-CO"/>
        </w:rPr>
        <w:t>) que los convenios sean celebrados con el fin de ejecutar programas o proyectos que correspondan al Presupuesto General de la Nación</w:t>
      </w:r>
      <w:r w:rsidRPr="00FD7DA9">
        <w:rPr>
          <w:rFonts w:ascii="Arial" w:hAnsi="Arial" w:cs="Arial"/>
          <w:bCs/>
          <w:sz w:val="22"/>
          <w:szCs w:val="22"/>
          <w:lang w:val="es-MX" w:eastAsia="es-CO"/>
        </w:rPr>
        <w:t>. De acuerdo con esto, a los convenios interadministrativos no relacionados con la ejecución de recursos del Presupuesto General Nacional, les aplicaría la restricción del artículo 38, no estando cobijados por la habilitación transitoria dispuesta en el artículo 124 de la Ley 2159 de 2021, al no cumplirse los mencionados requisitos.</w:t>
      </w:r>
      <w:r w:rsidRPr="00FD7DA9">
        <w:rPr>
          <w:rFonts w:ascii="Arial" w:hAnsi="Arial" w:cs="Arial"/>
          <w:bCs/>
          <w:sz w:val="22"/>
          <w:szCs w:val="22"/>
          <w:lang w:eastAsia="es-CO"/>
        </w:rPr>
        <w:t> </w:t>
      </w:r>
    </w:p>
    <w:p w:rsidR="00C84F90" w:rsidP="00C84F90" w:rsidRDefault="00C84F90" w14:paraId="5A828248" w14:textId="1CF928EB">
      <w:pPr>
        <w:widowControl w:val="0"/>
        <w:autoSpaceDE w:val="0"/>
        <w:autoSpaceDN w:val="0"/>
        <w:spacing w:line="276" w:lineRule="auto"/>
        <w:ind w:firstLine="709"/>
        <w:jc w:val="both"/>
        <w:rPr>
          <w:rFonts w:ascii="Arial" w:hAnsi="Arial" w:eastAsia="Calibri" w:cs="Arial"/>
          <w:sz w:val="22"/>
          <w:szCs w:val="22"/>
          <w:lang w:eastAsia="es-ES" w:bidi="es-ES"/>
        </w:rPr>
      </w:pPr>
      <w:r w:rsidRPr="002F0981">
        <w:rPr>
          <w:rFonts w:ascii="Arial" w:hAnsi="Arial" w:cs="Arial"/>
          <w:bCs/>
          <w:sz w:val="22"/>
          <w:szCs w:val="22"/>
          <w:lang w:val="es-ES" w:eastAsia="es-CO" w:bidi="es-ES"/>
        </w:rPr>
        <w:t>En todo caso</w:t>
      </w:r>
      <w:bookmarkStart w:name="_Hlk77154098" w:id="49"/>
      <w:r w:rsidRPr="002F0981">
        <w:rPr>
          <w:rFonts w:ascii="Arial" w:hAnsi="Arial" w:eastAsia="Arial" w:cs="Arial"/>
          <w:sz w:val="22"/>
          <w:szCs w:val="22"/>
          <w:lang w:val="es-ES" w:eastAsia="es-ES" w:bidi="es-ES"/>
        </w:rPr>
        <w:t xml:space="preserve">, es importante resaltar que la Sala de Consulta y Servicio Civil del Consejo de Estado se ha pronunciado en el sentido de que </w:t>
      </w:r>
      <w:bookmarkStart w:name="_Hlk78820889" w:id="50"/>
      <w:r w:rsidRPr="002F0981">
        <w:rPr>
          <w:rFonts w:ascii="Arial" w:hAnsi="Arial" w:eastAsia="Arial" w:cs="Arial"/>
          <w:sz w:val="22"/>
          <w:szCs w:val="22"/>
          <w:lang w:val="es-ES" w:eastAsia="es-ES" w:bidi="es-ES"/>
        </w:rPr>
        <w:t xml:space="preserve">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w:t>
      </w:r>
      <w:r w:rsidRPr="002F0981">
        <w:rPr>
          <w:rFonts w:ascii="Arial" w:hAnsi="Arial" w:eastAsia="Arial" w:cs="Arial"/>
          <w:sz w:val="22"/>
          <w:szCs w:val="22"/>
          <w:lang w:val="es-ES" w:eastAsia="es-ES" w:bidi="es-ES"/>
        </w:rPr>
        <w:t>que tienen los ciudadanos al acceso y oportuna administración de justicia</w:t>
      </w:r>
      <w:bookmarkEnd w:id="50"/>
      <w:r w:rsidRPr="002F0981">
        <w:rPr>
          <w:rFonts w:ascii="Arial" w:hAnsi="Arial" w:eastAsia="Arial" w:cs="Arial"/>
          <w:sz w:val="22"/>
          <w:szCs w:val="22"/>
          <w:vertAlign w:val="superscript"/>
          <w:lang w:val="es-ES" w:eastAsia="es-ES" w:bidi="es-ES"/>
        </w:rPr>
        <w:footnoteReference w:id="38"/>
      </w:r>
      <w:r w:rsidRPr="002F0981">
        <w:rPr>
          <w:rFonts w:ascii="Arial" w:hAnsi="Arial" w:eastAsia="Calibri" w:cs="Arial"/>
          <w:sz w:val="22"/>
          <w:szCs w:val="22"/>
          <w:lang w:eastAsia="es-ES" w:bidi="es-ES"/>
        </w:rPr>
        <w:t>.</w:t>
      </w:r>
      <w:bookmarkEnd w:id="49"/>
    </w:p>
    <w:p w:rsidR="00B77A97" w:rsidP="00B77A97" w:rsidRDefault="00B77A97" w14:paraId="1DA38C06" w14:textId="54E9C985">
      <w:pPr>
        <w:widowControl w:val="0"/>
        <w:autoSpaceDE w:val="0"/>
        <w:autoSpaceDN w:val="0"/>
        <w:spacing w:line="276" w:lineRule="auto"/>
        <w:jc w:val="both"/>
        <w:rPr>
          <w:rFonts w:ascii="Arial" w:hAnsi="Arial" w:eastAsia="Calibri" w:cs="Arial"/>
          <w:sz w:val="22"/>
          <w:szCs w:val="22"/>
          <w:lang w:eastAsia="es-ES" w:bidi="es-ES"/>
        </w:rPr>
      </w:pPr>
    </w:p>
    <w:p w:rsidRPr="002C1CBF" w:rsidR="00427B0F" w:rsidP="00427B0F" w:rsidRDefault="00427B0F" w14:paraId="72DE5215" w14:textId="2E4143F1">
      <w:pPr>
        <w:spacing w:line="276" w:lineRule="auto"/>
        <w:jc w:val="both"/>
        <w:rPr>
          <w:rFonts w:ascii="Arial" w:hAnsi="Arial" w:cs="Arial"/>
          <w:b/>
          <w:sz w:val="22"/>
          <w:szCs w:val="22"/>
          <w:lang w:val="es-MX" w:eastAsia="es-CO"/>
        </w:rPr>
      </w:pPr>
      <w:bookmarkStart w:name="_Hlk75780333" w:id="51"/>
      <w:bookmarkEnd w:id="42"/>
      <w:r w:rsidRPr="002C1CBF">
        <w:rPr>
          <w:rFonts w:ascii="Arial" w:hAnsi="Arial" w:cs="Arial"/>
          <w:b/>
          <w:sz w:val="22"/>
          <w:szCs w:val="22"/>
          <w:lang w:val="es-MX" w:eastAsia="es-CO"/>
        </w:rPr>
        <w:t>2.</w:t>
      </w:r>
      <w:r w:rsidR="002F252B">
        <w:rPr>
          <w:rFonts w:ascii="Arial" w:hAnsi="Arial" w:cs="Arial"/>
          <w:b/>
          <w:sz w:val="22"/>
          <w:szCs w:val="22"/>
          <w:lang w:val="es-MX" w:eastAsia="es-CO"/>
        </w:rPr>
        <w:t>5</w:t>
      </w:r>
      <w:r w:rsidRPr="002C1CBF">
        <w:rPr>
          <w:rFonts w:ascii="Arial" w:hAnsi="Arial" w:cs="Arial"/>
          <w:b/>
          <w:sz w:val="22"/>
          <w:szCs w:val="22"/>
          <w:lang w:val="es-MX" w:eastAsia="es-CO"/>
        </w:rPr>
        <w:t xml:space="preserve">. </w:t>
      </w:r>
      <w:bookmarkStart w:name="_Hlk100219740" w:id="52"/>
      <w:r w:rsidRPr="002C1CBF">
        <w:rPr>
          <w:rFonts w:ascii="Arial" w:hAnsi="Arial" w:cs="Arial"/>
          <w:b/>
          <w:sz w:val="22"/>
          <w:szCs w:val="22"/>
          <w:lang w:val="es-MX" w:eastAsia="es-CO"/>
        </w:rPr>
        <w:t xml:space="preserve">Régimen contractual de los fondos de servicios educativos </w:t>
      </w:r>
      <w:r w:rsidRPr="002C1CBF" w:rsidR="00B216C8">
        <w:rPr>
          <w:rFonts w:ascii="Arial" w:hAnsi="Arial" w:cs="Arial"/>
          <w:b/>
          <w:sz w:val="22"/>
          <w:szCs w:val="22"/>
          <w:lang w:val="es-MX" w:eastAsia="es-CO"/>
        </w:rPr>
        <w:t xml:space="preserve">y aplicación de la </w:t>
      </w:r>
      <w:r w:rsidRPr="002C1CBF" w:rsidR="007C0E8C">
        <w:rPr>
          <w:rFonts w:ascii="Arial" w:hAnsi="Arial" w:cs="Arial"/>
          <w:b/>
          <w:sz w:val="22"/>
          <w:szCs w:val="22"/>
          <w:lang w:val="es-MX" w:eastAsia="es-CO"/>
        </w:rPr>
        <w:t>Ley de Garantías</w:t>
      </w:r>
      <w:bookmarkEnd w:id="52"/>
    </w:p>
    <w:p w:rsidRPr="002C1CBF" w:rsidR="00427B0F" w:rsidP="00427B0F" w:rsidRDefault="00427B0F" w14:paraId="6D9AC214" w14:textId="7721A981">
      <w:pPr>
        <w:spacing w:line="276" w:lineRule="auto"/>
        <w:jc w:val="both"/>
        <w:rPr>
          <w:rFonts w:ascii="Arial" w:hAnsi="Arial" w:cs="Arial"/>
          <w:b/>
          <w:sz w:val="22"/>
          <w:szCs w:val="22"/>
          <w:lang w:val="es-MX" w:eastAsia="es-CO"/>
        </w:rPr>
      </w:pPr>
    </w:p>
    <w:p w:rsidRPr="002C1CBF" w:rsidR="003D67E2" w:rsidP="003D67E2" w:rsidRDefault="003D67E2" w14:paraId="363CAD51" w14:textId="217A4DD5">
      <w:pPr>
        <w:spacing w:after="120" w:line="276" w:lineRule="auto"/>
        <w:jc w:val="both"/>
        <w:rPr>
          <w:rFonts w:ascii="Arial" w:hAnsi="Arial" w:cs="Arial"/>
          <w:sz w:val="22"/>
        </w:rPr>
      </w:pPr>
      <w:r w:rsidRPr="002C1CBF">
        <w:rPr>
          <w:rFonts w:ascii="Arial" w:hAnsi="Arial" w:cs="Arial"/>
          <w:sz w:val="22"/>
        </w:rPr>
        <w:t>Las Leyes 60 de 1993 y 715 de 2001 descentralizaron el sistema educativo en Colombia, asignándoles a los departamentos, distritos y municipios las competencias y los recursos para dirigir las instituciones educativas. Así las cosas, el sistema educativo está descentralizado por las competencias propias otorgadas a las entidades territoriales para administrar las instituciones educativas en los diferentes niveles territoriales, sin que estas últimas sean entidades descentralizadas</w:t>
      </w:r>
      <w:r w:rsidRPr="002C1CBF">
        <w:rPr>
          <w:rStyle w:val="Refdenotaalpie"/>
          <w:rFonts w:ascii="Arial" w:hAnsi="Arial" w:cs="Arial"/>
          <w:sz w:val="22"/>
        </w:rPr>
        <w:footnoteReference w:id="39"/>
      </w:r>
      <w:r w:rsidRPr="002C1CBF">
        <w:rPr>
          <w:rFonts w:ascii="Arial" w:hAnsi="Arial" w:cs="Arial"/>
          <w:sz w:val="22"/>
        </w:rPr>
        <w:t xml:space="preserve">. </w:t>
      </w:r>
    </w:p>
    <w:p w:rsidRPr="002C1CBF" w:rsidR="003D67E2" w:rsidP="003D67E2" w:rsidRDefault="003D67E2" w14:paraId="50D1DD88" w14:textId="77777777">
      <w:pPr>
        <w:spacing w:before="120" w:after="120" w:line="276" w:lineRule="auto"/>
        <w:ind w:firstLine="709"/>
        <w:jc w:val="both"/>
        <w:rPr>
          <w:rFonts w:ascii="Arial" w:hAnsi="Arial" w:cs="Arial"/>
          <w:sz w:val="22"/>
        </w:rPr>
      </w:pPr>
      <w:r w:rsidRPr="002C1CBF">
        <w:rPr>
          <w:rFonts w:ascii="Arial" w:hAnsi="Arial" w:cs="Arial"/>
          <w:sz w:val="22"/>
        </w:rPr>
        <w:t xml:space="preserve">Conforme a lo anterior, </w:t>
      </w:r>
      <w:bookmarkStart w:name="_Hlk100224224" w:id="53"/>
      <w:r w:rsidRPr="002C1CBF">
        <w:rPr>
          <w:rFonts w:ascii="Arial" w:hAnsi="Arial" w:cs="Arial"/>
          <w:sz w:val="22"/>
        </w:rPr>
        <w:t>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Estas son cuentas contables que le permiten a las instituciones realizar la gestión y ejecución presupuestal de los recursos que reciben los establecimientos educativos</w:t>
      </w:r>
      <w:bookmarkEnd w:id="53"/>
      <w:r w:rsidRPr="002C1CBF">
        <w:rPr>
          <w:rStyle w:val="Refdenotaalpie"/>
          <w:rFonts w:ascii="Arial" w:hAnsi="Arial" w:cs="Arial"/>
          <w:sz w:val="22"/>
        </w:rPr>
        <w:footnoteReference w:id="40"/>
      </w:r>
      <w:r w:rsidRPr="002C1CBF">
        <w:rPr>
          <w:rFonts w:ascii="Arial" w:hAnsi="Arial" w:cs="Arial"/>
          <w:sz w:val="22"/>
        </w:rPr>
        <w:t xml:space="preserve"> </w:t>
      </w:r>
      <w:r w:rsidRPr="002C1CBF">
        <w:rPr>
          <w:rStyle w:val="Refdenotaalpie"/>
          <w:rFonts w:ascii="Arial" w:hAnsi="Arial" w:cs="Arial"/>
          <w:sz w:val="22"/>
        </w:rPr>
        <w:footnoteReference w:id="41"/>
      </w:r>
      <w:r w:rsidRPr="002C1CBF">
        <w:rPr>
          <w:rFonts w:ascii="Arial" w:hAnsi="Arial" w:cs="Arial"/>
          <w:sz w:val="22"/>
        </w:rPr>
        <w:t>.</w:t>
      </w:r>
    </w:p>
    <w:p w:rsidRPr="002C1CBF" w:rsidR="003D67E2" w:rsidP="003D67E2" w:rsidRDefault="003D67E2" w14:paraId="1E2C93D5" w14:textId="77777777">
      <w:pPr>
        <w:spacing w:before="120" w:line="276" w:lineRule="auto"/>
        <w:ind w:firstLine="709"/>
        <w:jc w:val="both"/>
        <w:rPr>
          <w:rFonts w:ascii="Arial" w:hAnsi="Arial" w:cs="Arial"/>
          <w:sz w:val="22"/>
        </w:rPr>
      </w:pPr>
      <w:r w:rsidRPr="002C1CBF">
        <w:rPr>
          <w:rFonts w:ascii="Arial" w:hAnsi="Arial" w:cs="Arial"/>
          <w:sz w:val="22"/>
        </w:rPr>
        <w:t>Los fondos de servicios educativos tampoco cuentan con personería jurídica según lo previsto en el artículo 2.3.1.6.3.4 del Decreto 1075 de 2015, Decreto Único Reglamentario del Sector Educación:</w:t>
      </w:r>
    </w:p>
    <w:p w:rsidRPr="002C1CBF" w:rsidR="003D67E2" w:rsidP="003D67E2" w:rsidRDefault="003D67E2" w14:paraId="2F301BA9" w14:textId="77777777">
      <w:pPr>
        <w:spacing w:line="276" w:lineRule="auto"/>
        <w:ind w:firstLine="709"/>
        <w:jc w:val="both"/>
        <w:rPr>
          <w:rFonts w:ascii="Arial" w:hAnsi="Arial" w:cs="Arial"/>
          <w:sz w:val="22"/>
        </w:rPr>
      </w:pPr>
    </w:p>
    <w:p w:rsidRPr="002C1CBF" w:rsidR="003D67E2" w:rsidP="003D67E2" w:rsidRDefault="003D67E2" w14:paraId="63A1EE98" w14:textId="77777777">
      <w:pPr>
        <w:ind w:left="709" w:right="709"/>
        <w:jc w:val="both"/>
        <w:rPr>
          <w:rFonts w:ascii="Arial" w:hAnsi="Arial" w:cs="Arial"/>
          <w:sz w:val="21"/>
          <w:szCs w:val="21"/>
        </w:rPr>
      </w:pPr>
      <w:r w:rsidRPr="002C1CBF">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p>
    <w:p w:rsidRPr="002C1CBF" w:rsidR="003D67E2" w:rsidP="003D67E2" w:rsidRDefault="003D67E2" w14:paraId="564B3301" w14:textId="77777777">
      <w:pPr>
        <w:spacing w:line="276" w:lineRule="auto"/>
        <w:jc w:val="both"/>
        <w:rPr>
          <w:rFonts w:ascii="Arial" w:hAnsi="Arial" w:cs="Arial"/>
          <w:sz w:val="22"/>
        </w:rPr>
      </w:pPr>
    </w:p>
    <w:p w:rsidRPr="002C1CBF" w:rsidR="003D67E2" w:rsidP="003D67E2" w:rsidRDefault="003D67E2" w14:paraId="1DF09BE3" w14:textId="77777777">
      <w:pPr>
        <w:spacing w:after="120" w:line="276" w:lineRule="auto"/>
        <w:ind w:firstLine="709"/>
        <w:jc w:val="both"/>
        <w:rPr>
          <w:rFonts w:ascii="Arial" w:hAnsi="Arial" w:cs="Arial"/>
          <w:sz w:val="22"/>
        </w:rPr>
      </w:pPr>
      <w:r w:rsidRPr="002C1CBF">
        <w:rPr>
          <w:rFonts w:ascii="Arial" w:hAnsi="Arial" w:cs="Arial"/>
          <w:sz w:val="22"/>
        </w:rPr>
        <w:t>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2C1CBF">
        <w:rPr>
          <w:rStyle w:val="Refdenotaalpie"/>
          <w:rFonts w:ascii="Arial" w:hAnsi="Arial" w:cs="Arial"/>
          <w:sz w:val="22"/>
        </w:rPr>
        <w:footnoteReference w:id="42"/>
      </w:r>
      <w:r w:rsidRPr="002C1CBF">
        <w:rPr>
          <w:rFonts w:ascii="Arial" w:hAnsi="Arial" w:cs="Arial"/>
          <w:sz w:val="22"/>
        </w:rPr>
        <w:t xml:space="preserve">. Para estos efectos, el artículo </w:t>
      </w:r>
      <w:bookmarkStart w:name="_Hlk61284248" w:id="55"/>
      <w:r w:rsidRPr="002C1CBF">
        <w:rPr>
          <w:rFonts w:ascii="Arial" w:hAnsi="Arial" w:cs="Arial"/>
          <w:sz w:val="22"/>
        </w:rPr>
        <w:t>2.3.1.6.3.17. del Decreto 1075 de 2015</w:t>
      </w:r>
      <w:bookmarkEnd w:id="55"/>
      <w:r w:rsidRPr="002C1CBF">
        <w:rPr>
          <w:rFonts w:ascii="Arial" w:hAnsi="Arial" w:cs="Arial"/>
          <w:sz w:val="22"/>
        </w:rPr>
        <w:t xml:space="preserve"> dispone lo siguiente:</w:t>
      </w:r>
    </w:p>
    <w:p w:rsidRPr="002C1CBF" w:rsidR="003D67E2" w:rsidP="003D67E2" w:rsidRDefault="003D67E2" w14:paraId="329903DF" w14:textId="77777777">
      <w:pPr>
        <w:spacing w:line="276" w:lineRule="auto"/>
        <w:ind w:firstLine="709"/>
        <w:jc w:val="both"/>
        <w:rPr>
          <w:rFonts w:ascii="Arial" w:hAnsi="Arial" w:cs="Arial"/>
          <w:sz w:val="22"/>
        </w:rPr>
      </w:pPr>
    </w:p>
    <w:p w:rsidRPr="002C1CBF" w:rsidR="003D67E2" w:rsidP="003D67E2" w:rsidRDefault="003D67E2" w14:paraId="33364287" w14:textId="77777777">
      <w:pPr>
        <w:spacing w:after="120"/>
        <w:ind w:left="709" w:right="709"/>
        <w:jc w:val="both"/>
        <w:textAlignment w:val="baseline"/>
        <w:rPr>
          <w:rFonts w:ascii="Segoe UI" w:hAnsi="Segoe UI" w:cs="Segoe UI"/>
          <w:sz w:val="18"/>
          <w:szCs w:val="18"/>
          <w:lang w:val="es-ES" w:eastAsia="es-ES"/>
        </w:rPr>
      </w:pPr>
      <w:r w:rsidRPr="002C1CBF">
        <w:rPr>
          <w:rFonts w:ascii="Arial" w:hAnsi="Arial" w:cs="Arial"/>
          <w:color w:val="000000"/>
          <w:sz w:val="21"/>
          <w:szCs w:val="21"/>
          <w:lang w:val="es-ES" w:eastAsia="es-ES"/>
        </w:rPr>
        <w:t>La celebración de contratos a que haya lugar con recursos del Fondo de Servicios </w:t>
      </w:r>
      <w:proofErr w:type="gramStart"/>
      <w:r w:rsidRPr="002C1CBF">
        <w:rPr>
          <w:rFonts w:ascii="Arial" w:hAnsi="Arial" w:cs="Arial"/>
          <w:color w:val="000000"/>
          <w:sz w:val="21"/>
          <w:szCs w:val="21"/>
          <w:lang w:val="es-ES" w:eastAsia="es-ES"/>
        </w:rPr>
        <w:t>Educativos,</w:t>
      </w:r>
      <w:proofErr w:type="gramEnd"/>
      <w:r w:rsidRPr="002C1CBF">
        <w:rPr>
          <w:rFonts w:ascii="Arial" w:hAnsi="Arial" w:cs="Arial"/>
          <w:color w:val="000000"/>
          <w:sz w:val="21"/>
          <w:szCs w:val="21"/>
          <w:lang w:val="es-ES" w:eastAsia="es-ES"/>
        </w:rPr>
        <w:t> debe realizarse con estricta sujeción a lo dispuesto en el estatuto contractual de la administración pública, cuando supere la cuantía de veinte (20) salarios mínimos legales mensuales vigentes.  </w:t>
      </w:r>
    </w:p>
    <w:p w:rsidRPr="002C1CBF" w:rsidR="003D67E2" w:rsidP="003D67E2" w:rsidRDefault="003D67E2" w14:paraId="43A2F794" w14:textId="77777777">
      <w:pPr>
        <w:ind w:left="705" w:right="705"/>
        <w:jc w:val="both"/>
        <w:textAlignment w:val="baseline"/>
        <w:rPr>
          <w:rFonts w:ascii="Segoe UI" w:hAnsi="Segoe UI" w:cs="Segoe UI"/>
          <w:sz w:val="18"/>
          <w:szCs w:val="18"/>
          <w:lang w:val="es-ES" w:eastAsia="es-ES"/>
        </w:rPr>
      </w:pPr>
      <w:r w:rsidRPr="002C1CBF">
        <w:rPr>
          <w:rFonts w:ascii="Arial" w:hAnsi="Arial" w:cs="Arial"/>
          <w:color w:val="000000"/>
          <w:sz w:val="21"/>
          <w:szCs w:val="21"/>
          <w:lang w:val="es-ES" w:eastAsia="es-ES"/>
        </w:rPr>
        <w:t xml:space="preserve">Si la cuantía es inferior a los veinte (20) salarios mínimos legales mensuales vigentes se deben seguir los procedimientos establecidos en el reglamento </w:t>
      </w:r>
      <w:r w:rsidRPr="002C1CBF">
        <w:rPr>
          <w:rFonts w:ascii="Arial" w:hAnsi="Arial" w:cs="Arial"/>
          <w:color w:val="000000"/>
          <w:sz w:val="21"/>
          <w:szCs w:val="21"/>
          <w:lang w:val="es-ES" w:eastAsia="es-ES"/>
        </w:rPr>
        <w:t>expedido por el consejo directivo, de conformidad con lo dispuesto en el artículo 13 de la Ley 715 de 2001, y en todo caso siguiendo los principios de transparencia, economía, publicidad, y responsabilidad, de conformidad con los postulados de la función administrativa.  </w:t>
      </w:r>
    </w:p>
    <w:p w:rsidRPr="002C1CBF" w:rsidR="003D67E2" w:rsidP="003D67E2" w:rsidRDefault="003D67E2" w14:paraId="5E00CDFE" w14:textId="77777777">
      <w:pPr>
        <w:spacing w:line="276" w:lineRule="auto"/>
        <w:ind w:firstLine="709"/>
        <w:jc w:val="both"/>
        <w:rPr>
          <w:rFonts w:ascii="Arial" w:hAnsi="Arial" w:cs="Arial"/>
          <w:sz w:val="22"/>
        </w:rPr>
      </w:pPr>
    </w:p>
    <w:p w:rsidRPr="002C1CBF" w:rsidR="003D67E2" w:rsidP="003D67E2" w:rsidRDefault="003D67E2" w14:paraId="5FEB7252" w14:textId="77777777">
      <w:pPr>
        <w:spacing w:after="120" w:line="276" w:lineRule="auto"/>
        <w:ind w:firstLine="709"/>
        <w:jc w:val="both"/>
        <w:rPr>
          <w:rFonts w:ascii="Arial" w:hAnsi="Arial" w:cs="Arial"/>
          <w:sz w:val="22"/>
        </w:rPr>
      </w:pPr>
      <w:r w:rsidRPr="002C1CBF">
        <w:rPr>
          <w:rFonts w:ascii="Arial" w:hAnsi="Arial" w:cs="Arial"/>
          <w:sz w:val="22"/>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w:t>
      </w:r>
      <w:bookmarkStart w:name="_Hlk61284209" w:id="56"/>
      <w:r w:rsidRPr="002C1CBF">
        <w:rPr>
          <w:rFonts w:ascii="Arial" w:hAnsi="Arial" w:cs="Arial"/>
          <w:sz w:val="22"/>
        </w:rPr>
        <w:t>artículo 13 de la Ley 715 de 2001</w:t>
      </w:r>
      <w:bookmarkEnd w:id="56"/>
      <w:r w:rsidRPr="002C1CBF">
        <w:rPr>
          <w:rFonts w:ascii="Arial" w:hAnsi="Arial" w:cs="Arial"/>
          <w:sz w:val="22"/>
        </w:rPr>
        <w:t xml:space="preserve">. Los reglamentos que se expidan de conformidad con los principios de igualdad, moralidad, imparcialidad y publicidad, así como de acuerdo con la experiencia y el análisis concreto de las necesidades del establecimiento, deben definir los trámites, garantías y constancias que deben cumplirse para que el rector o director celebre cualquier acto o contrato que cree, extinga o modifique obligaciones con cargo al respectivo fondo de servicios educativos. </w:t>
      </w:r>
    </w:p>
    <w:p w:rsidRPr="002C1CBF" w:rsidR="003D67E2" w:rsidP="003D67E2" w:rsidRDefault="003D67E2" w14:paraId="668DA6F4" w14:textId="77777777">
      <w:pPr>
        <w:spacing w:before="120" w:after="120" w:line="276" w:lineRule="auto"/>
        <w:ind w:firstLine="709"/>
        <w:jc w:val="both"/>
        <w:rPr>
          <w:rFonts w:ascii="Arial" w:hAnsi="Arial" w:cs="Arial"/>
          <w:sz w:val="22"/>
        </w:rPr>
      </w:pPr>
      <w:r w:rsidRPr="002C1CBF">
        <w:rPr>
          <w:rFonts w:ascii="Arial" w:hAnsi="Arial" w:cs="Arial"/>
          <w:sz w:val="22"/>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rsidRPr="002C1CBF" w:rsidR="003D67E2" w:rsidP="003D67E2" w:rsidRDefault="003D67E2" w14:paraId="634ABF72" w14:textId="65E4261C">
      <w:pPr>
        <w:spacing w:before="120" w:line="276" w:lineRule="auto"/>
        <w:ind w:firstLine="709"/>
        <w:jc w:val="both"/>
        <w:rPr>
          <w:rFonts w:ascii="Arial" w:hAnsi="Arial" w:cs="Arial"/>
          <w:sz w:val="22"/>
        </w:rPr>
      </w:pPr>
      <w:r w:rsidRPr="002C1CBF">
        <w:rPr>
          <w:rFonts w:ascii="Arial" w:hAnsi="Arial" w:cs="Arial"/>
          <w:sz w:val="22"/>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procediendo la aplicación de las modalidades de selección definidas en la Ley 1150 de 2007, así como los requisitos y formalidades establecidos en el Decreto 1082 del 2015 y demás normas aplicables.</w:t>
      </w:r>
    </w:p>
    <w:p w:rsidRPr="002C1CBF" w:rsidR="00C13B13" w:rsidP="00C13B13" w:rsidRDefault="00C13B13" w14:paraId="72F2293D" w14:textId="1F933285">
      <w:pPr>
        <w:spacing w:before="120" w:line="276" w:lineRule="auto"/>
        <w:ind w:firstLine="709"/>
        <w:jc w:val="both"/>
        <w:rPr>
          <w:rFonts w:ascii="Arial" w:hAnsi="Arial" w:cs="Arial"/>
          <w:sz w:val="22"/>
        </w:rPr>
      </w:pPr>
      <w:r w:rsidRPr="002C1CBF">
        <w:rPr>
          <w:rFonts w:ascii="Arial" w:hAnsi="Arial" w:cs="Arial"/>
          <w:sz w:val="22"/>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proofErr w:type="spellStart"/>
      <w:r w:rsidRPr="002C1CBF">
        <w:rPr>
          <w:rFonts w:ascii="Arial" w:hAnsi="Arial" w:cs="Arial"/>
          <w:i/>
          <w:iCs/>
          <w:sz w:val="22"/>
        </w:rPr>
        <w:t>ibídem</w:t>
      </w:r>
      <w:proofErr w:type="spellEnd"/>
      <w:r w:rsidRPr="002C1CBF">
        <w:rPr>
          <w:rStyle w:val="Refdenotaalpie"/>
          <w:rFonts w:ascii="Arial" w:hAnsi="Arial" w:cs="Arial"/>
          <w:sz w:val="22"/>
        </w:rPr>
        <w:footnoteReference w:id="43"/>
      </w:r>
      <w:r w:rsidRPr="002C1CBF">
        <w:rPr>
          <w:rFonts w:ascii="Arial" w:hAnsi="Arial" w:cs="Arial"/>
          <w:sz w:val="22"/>
        </w:rPr>
        <w:t xml:space="preserve">, esto significa que los contratos de las entidades sometidas al Estatuto General de Contratación se rigen </w:t>
      </w:r>
      <w:r w:rsidRPr="002C1CBF">
        <w:rPr>
          <w:rFonts w:ascii="Arial" w:hAnsi="Arial" w:cs="Arial"/>
          <w:sz w:val="22"/>
        </w:rPr>
        <w:t>generalmente por el derecho privado y excepcionalmente por el derecho público, pues las normas civiles y comerciales son el derecho común de los contratos estatales</w:t>
      </w:r>
      <w:r w:rsidRPr="002C1CBF">
        <w:rPr>
          <w:rStyle w:val="Refdenotaalpie"/>
          <w:rFonts w:ascii="Arial" w:hAnsi="Arial" w:cs="Arial"/>
          <w:sz w:val="22"/>
        </w:rPr>
        <w:footnoteReference w:id="44"/>
      </w:r>
      <w:r w:rsidRPr="002C1CBF">
        <w:rPr>
          <w:rFonts w:ascii="Arial" w:hAnsi="Arial" w:cs="Arial"/>
          <w:sz w:val="22"/>
        </w:rPr>
        <w:t xml:space="preserve">. </w:t>
      </w:r>
      <w:r w:rsidRPr="002C1CBF" w:rsidR="004F3071">
        <w:rPr>
          <w:rFonts w:ascii="Arial" w:hAnsi="Arial" w:cs="Arial"/>
          <w:sz w:val="22"/>
        </w:rPr>
        <w:t>Así lo ha entendido la doctrina:</w:t>
      </w:r>
    </w:p>
    <w:p w:rsidRPr="002C1CBF" w:rsidR="00C13B13" w:rsidP="00C13B13" w:rsidRDefault="00C13B13" w14:paraId="4F25011F" w14:textId="77777777">
      <w:pPr>
        <w:spacing w:line="276" w:lineRule="auto"/>
        <w:ind w:firstLine="709"/>
        <w:jc w:val="both"/>
        <w:rPr>
          <w:rFonts w:ascii="Arial" w:hAnsi="Arial" w:cs="Arial"/>
          <w:sz w:val="22"/>
        </w:rPr>
      </w:pPr>
    </w:p>
    <w:p w:rsidRPr="002C1CBF" w:rsidR="00C13B13" w:rsidP="00C13B13" w:rsidRDefault="00C13B13" w14:paraId="59A8D4C2" w14:textId="77777777">
      <w:pPr>
        <w:ind w:left="709" w:right="709"/>
        <w:jc w:val="both"/>
        <w:rPr>
          <w:rFonts w:ascii="Arial" w:hAnsi="Arial" w:cs="Arial"/>
          <w:sz w:val="21"/>
          <w:szCs w:val="21"/>
        </w:rPr>
      </w:pPr>
      <w:r w:rsidRPr="002C1CBF">
        <w:rPr>
          <w:rFonts w:ascii="Arial" w:hAnsi="Arial" w:cs="Arial"/>
          <w:sz w:val="21"/>
          <w:szCs w:val="21"/>
        </w:rPr>
        <w:t xml:space="preserve">[…] no hace otra cosa que aprovechar ciertos principios rectores de las contratación general </w:t>
      </w:r>
      <w:proofErr w:type="gramStart"/>
      <w:r w:rsidRPr="002C1CBF">
        <w:rPr>
          <w:rFonts w:ascii="Arial" w:hAnsi="Arial" w:cs="Arial"/>
          <w:sz w:val="21"/>
          <w:szCs w:val="21"/>
        </w:rPr>
        <w:t>que</w:t>
      </w:r>
      <w:proofErr w:type="gramEnd"/>
      <w:r w:rsidRPr="002C1CBF">
        <w:rPr>
          <w:rFonts w:ascii="Arial" w:hAnsi="Arial" w:cs="Arial"/>
          <w:sz w:val="21"/>
          <w:szCs w:val="21"/>
        </w:rPr>
        <w:t xml:space="preserve"> aunque tengan su consagración en códigos de derecho privado como el civil y comercial, no son propios y exclusivos de este derecho. Baste pensar en </w:t>
      </w:r>
      <w:bookmarkStart w:name="_Hlk61282770" w:id="57"/>
      <w:r w:rsidRPr="002C1CBF">
        <w:rPr>
          <w:rFonts w:ascii="Arial" w:hAnsi="Arial" w:cs="Arial"/>
          <w:sz w:val="21"/>
          <w:szCs w:val="21"/>
        </w:rPr>
        <w:t>los requisitos de consentimiento válido, objeto y causa lícitos, capacidad, elementos esenciales según la naturaleza de cada contrato, responsabilidad, naturaleza de las obligaciones emanadas de los mismos, etc</w:t>
      </w:r>
      <w:bookmarkEnd w:id="57"/>
      <w:r w:rsidRPr="002C1CBF">
        <w:rPr>
          <w:rFonts w:ascii="Arial" w:hAnsi="Arial" w:cs="Arial"/>
          <w:sz w:val="21"/>
          <w:szCs w:val="21"/>
        </w:rPr>
        <w:t>. Extremos éstos que de derecho privado no tienen sino […] el nombre y que la tradición, desde su origen romano se acostumbró a calificarlos así y a no preocuparse por su cuestionamiento. En otras palabras, extremos como los indicados […] son […] de derecho propio, aplicables a toda relación contractual, con prescindencia de los sujetos involucrados en la misma</w:t>
      </w:r>
      <w:r w:rsidRPr="002C1CBF">
        <w:rPr>
          <w:rStyle w:val="Refdenotaalpie"/>
          <w:rFonts w:ascii="Arial" w:hAnsi="Arial" w:cs="Arial"/>
          <w:sz w:val="21"/>
          <w:szCs w:val="21"/>
        </w:rPr>
        <w:footnoteReference w:id="45"/>
      </w:r>
      <w:r w:rsidRPr="002C1CBF">
        <w:rPr>
          <w:rFonts w:ascii="Arial" w:hAnsi="Arial" w:cs="Arial"/>
          <w:sz w:val="21"/>
          <w:szCs w:val="21"/>
        </w:rPr>
        <w:t xml:space="preserve">. </w:t>
      </w:r>
    </w:p>
    <w:p w:rsidRPr="002C1CBF" w:rsidR="00C13B13" w:rsidP="00C13B13" w:rsidRDefault="00C13B13" w14:paraId="3CF6EFCB" w14:textId="77777777">
      <w:pPr>
        <w:spacing w:line="276" w:lineRule="auto"/>
        <w:ind w:left="709" w:right="709"/>
        <w:jc w:val="both"/>
        <w:rPr>
          <w:rFonts w:ascii="Arial" w:hAnsi="Arial" w:cs="Arial"/>
          <w:sz w:val="22"/>
        </w:rPr>
      </w:pPr>
      <w:r w:rsidRPr="002C1CBF">
        <w:rPr>
          <w:rFonts w:ascii="Arial" w:hAnsi="Arial" w:cs="Arial"/>
          <w:sz w:val="22"/>
        </w:rPr>
        <w:t xml:space="preserve"> </w:t>
      </w:r>
    </w:p>
    <w:p w:rsidRPr="002C1CBF" w:rsidR="00C13B13" w:rsidP="00C13B13" w:rsidRDefault="00C13B13" w14:paraId="685A0600" w14:textId="77777777">
      <w:pPr>
        <w:spacing w:after="120" w:line="276" w:lineRule="auto"/>
        <w:jc w:val="both"/>
        <w:rPr>
          <w:rFonts w:ascii="Arial" w:hAnsi="Arial" w:cs="Arial"/>
          <w:sz w:val="22"/>
        </w:rPr>
      </w:pPr>
      <w:r w:rsidRPr="002C1CBF">
        <w:rPr>
          <w:rFonts w:ascii="Arial" w:hAnsi="Arial" w:cs="Arial"/>
          <w:sz w:val="22"/>
        </w:rPr>
        <w:tab/>
      </w:r>
      <w:r w:rsidRPr="002C1CBF">
        <w:rPr>
          <w:rFonts w:ascii="Arial" w:hAnsi="Arial" w:cs="Arial"/>
          <w:sz w:val="22"/>
        </w:rPr>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normas civiles y comerciales.</w:t>
      </w:r>
    </w:p>
    <w:p w:rsidRPr="002C1CBF" w:rsidR="00C13B13" w:rsidP="00C13B13" w:rsidRDefault="00C13B13" w14:paraId="60A5243C" w14:textId="77777777">
      <w:pPr>
        <w:spacing w:after="120" w:line="276" w:lineRule="auto"/>
        <w:jc w:val="both"/>
        <w:rPr>
          <w:rFonts w:ascii="Arial" w:hAnsi="Arial" w:cs="Arial"/>
          <w:sz w:val="22"/>
        </w:rPr>
      </w:pPr>
      <w:r w:rsidRPr="002C1CBF">
        <w:rPr>
          <w:rFonts w:ascii="Arial" w:hAnsi="Arial" w:cs="Arial"/>
          <w:sz w:val="22"/>
        </w:rPr>
        <w:tab/>
      </w:r>
      <w:r w:rsidRPr="002C1CBF">
        <w:rPr>
          <w:rFonts w:ascii="Arial" w:hAnsi="Arial" w:cs="Arial"/>
          <w:sz w:val="22"/>
        </w:rPr>
        <w:t xml:space="preserve">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rsidRPr="002C1CBF" w:rsidR="00C13B13" w:rsidP="00C13B13" w:rsidRDefault="00C13B13" w14:paraId="3A6C03C3" w14:textId="77777777">
      <w:pPr>
        <w:spacing w:after="120" w:line="276" w:lineRule="auto"/>
        <w:jc w:val="both"/>
        <w:rPr>
          <w:rFonts w:ascii="Arial" w:hAnsi="Arial" w:cs="Arial"/>
          <w:sz w:val="22"/>
        </w:rPr>
      </w:pPr>
      <w:r w:rsidRPr="002C1CBF">
        <w:rPr>
          <w:rFonts w:ascii="Arial" w:hAnsi="Arial" w:cs="Arial"/>
          <w:sz w:val="22"/>
        </w:rPr>
        <w:tab/>
      </w:r>
      <w:r w:rsidRPr="002C1CBF">
        <w:rPr>
          <w:rFonts w:ascii="Arial" w:hAnsi="Arial" w:cs="Arial"/>
          <w:sz w:val="22"/>
        </w:rPr>
        <w:t xml:space="preserve">En consecuencia, cuando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2.3.1.6.3.17. del Decreto 1075 </w:t>
      </w:r>
      <w:r w:rsidRPr="002C1CBF">
        <w:rPr>
          <w:rFonts w:ascii="Arial" w:hAnsi="Arial" w:cs="Arial"/>
          <w:sz w:val="22"/>
        </w:rPr>
        <w:t xml:space="preserve">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rsidRPr="002C1CBF" w:rsidR="00C13B13" w:rsidP="00C13B13" w:rsidRDefault="00C13B13" w14:paraId="5CD9343E" w14:textId="77777777">
      <w:pPr>
        <w:spacing w:after="120" w:line="276" w:lineRule="auto"/>
        <w:ind w:firstLine="708"/>
        <w:jc w:val="both"/>
        <w:rPr>
          <w:rFonts w:ascii="Arial" w:hAnsi="Arial" w:cs="Arial"/>
          <w:sz w:val="22"/>
        </w:rPr>
      </w:pPr>
      <w:r w:rsidRPr="002C1CBF">
        <w:rPr>
          <w:rFonts w:ascii="Arial" w:hAnsi="Arial" w:cs="Arial"/>
          <w:sz w:val="22"/>
        </w:rPr>
        <w:t>Naturalmente, los contratos mencionados en el párrafo precedente no se rigen exclusivamente por las normas civiles y comerciales, pues además del reglamento del consejo directivo, el artículo 13 de la Ley 1150 de 2007 dispone que la contratación exceptuada del Estatuto General también se rige por los principios de la función administrativa, los principios de la gestión fiscal y el régimen de inhabilidades e incompatibilidades previsto para la contratación estatal</w:t>
      </w:r>
      <w:r w:rsidRPr="002C1CBF">
        <w:rPr>
          <w:rStyle w:val="Refdenotaalpie"/>
          <w:rFonts w:ascii="Arial" w:hAnsi="Arial" w:cs="Arial"/>
          <w:sz w:val="22"/>
        </w:rPr>
        <w:footnoteReference w:id="46"/>
      </w:r>
      <w:r w:rsidRPr="002C1CBF">
        <w:rPr>
          <w:rFonts w:ascii="Arial" w:hAnsi="Arial" w:cs="Arial"/>
          <w:sz w:val="22"/>
        </w:rPr>
        <w:t>.</w:t>
      </w:r>
    </w:p>
    <w:p w:rsidR="00DC4715" w:rsidP="004B28C4" w:rsidRDefault="00821431" w14:paraId="012FD882" w14:textId="40BBC76F">
      <w:pPr>
        <w:spacing w:after="160" w:line="276" w:lineRule="auto"/>
        <w:ind w:firstLine="709"/>
        <w:jc w:val="both"/>
        <w:rPr>
          <w:rFonts w:ascii="Arial" w:hAnsi="Arial" w:cs="Arial"/>
          <w:bCs/>
          <w:color w:val="000000"/>
          <w:sz w:val="22"/>
          <w:lang w:eastAsia="es-CO"/>
        </w:rPr>
      </w:pPr>
      <w:r w:rsidRPr="002C1CBF">
        <w:rPr>
          <w:rFonts w:ascii="Arial" w:hAnsi="Arial" w:eastAsia="Calibri" w:cs="Arial"/>
          <w:color w:val="000000" w:themeColor="text1"/>
          <w:sz w:val="22"/>
        </w:rPr>
        <w:t>En este contexto</w:t>
      </w:r>
      <w:r w:rsidRPr="002C1CBF" w:rsidR="00EA59D5">
        <w:rPr>
          <w:rFonts w:ascii="Arial" w:hAnsi="Arial" w:eastAsia="Calibri" w:cs="Arial"/>
          <w:color w:val="000000" w:themeColor="text1"/>
          <w:sz w:val="22"/>
        </w:rPr>
        <w:t xml:space="preserve">, para la restricción del artículo 33 de la </w:t>
      </w:r>
      <w:r w:rsidRPr="002C1CBF" w:rsidR="00EA59D5">
        <w:rPr>
          <w:rFonts w:ascii="Arial" w:hAnsi="Arial" w:cs="Arial"/>
          <w:bCs/>
          <w:color w:val="000000"/>
          <w:sz w:val="22"/>
          <w:lang w:eastAsia="es-CO"/>
        </w:rPr>
        <w:t xml:space="preserve">Ley 996 de 2005 es necesario considerar que </w:t>
      </w:r>
      <w:r w:rsidRPr="002C1CBF" w:rsidR="00EA59D5">
        <w:rPr>
          <w:rFonts w:ascii="Arial" w:hAnsi="Arial" w:eastAsia="Calibri" w:cs="Arial"/>
          <w:sz w:val="22"/>
          <w:lang w:val="es-ES"/>
        </w:rPr>
        <w:t xml:space="preserve">el artículo </w:t>
      </w:r>
      <w:r w:rsidRPr="002C1CBF" w:rsidR="001B4CCC">
        <w:rPr>
          <w:rFonts w:ascii="Arial" w:hAnsi="Arial" w:cs="Arial"/>
          <w:sz w:val="22"/>
        </w:rPr>
        <w:t>13 de la Ley 715 de 2001</w:t>
      </w:r>
      <w:r w:rsidRPr="002C1CBF" w:rsidR="00EA59D5">
        <w:rPr>
          <w:rFonts w:ascii="Arial" w:hAnsi="Arial" w:cs="Arial"/>
          <w:bCs/>
          <w:color w:val="000000"/>
          <w:sz w:val="22"/>
          <w:lang w:eastAsia="es-CO"/>
        </w:rPr>
        <w:t xml:space="preserve"> consagra un régimen jurídico que exceptúa la aplicación del Estatuto General de Contratación de la Administración Pública</w:t>
      </w:r>
      <w:r w:rsidRPr="002C1CBF" w:rsidR="00353EAD">
        <w:rPr>
          <w:rFonts w:ascii="Arial" w:hAnsi="Arial" w:cs="Arial"/>
          <w:bCs/>
          <w:color w:val="000000"/>
          <w:sz w:val="22"/>
          <w:lang w:eastAsia="es-CO"/>
        </w:rPr>
        <w:t xml:space="preserve"> en los contratos de los fondos de servicios educativos inferiores a veinte (20) </w:t>
      </w:r>
      <w:proofErr w:type="spellStart"/>
      <w:r w:rsidRPr="002C1CBF" w:rsidR="00353EAD">
        <w:rPr>
          <w:rFonts w:ascii="Arial" w:hAnsi="Arial" w:cs="Arial"/>
          <w:bCs/>
          <w:color w:val="000000"/>
          <w:sz w:val="22"/>
          <w:lang w:eastAsia="es-CO"/>
        </w:rPr>
        <w:t>smlmv</w:t>
      </w:r>
      <w:proofErr w:type="spellEnd"/>
      <w:r w:rsidR="00DC4715">
        <w:rPr>
          <w:rFonts w:ascii="Arial" w:hAnsi="Arial" w:cs="Arial"/>
          <w:bCs/>
          <w:color w:val="000000"/>
          <w:sz w:val="22"/>
          <w:lang w:eastAsia="es-CO"/>
        </w:rPr>
        <w:t xml:space="preserve"> con el objetivo de flexibilizar el régimen contractual aplicable. Pese a lo anterior</w:t>
      </w:r>
      <w:r w:rsidRPr="002C1CBF" w:rsidR="00EA59D5">
        <w:rPr>
          <w:rFonts w:ascii="Arial" w:hAnsi="Arial" w:cs="Arial"/>
          <w:bCs/>
          <w:color w:val="000000"/>
          <w:sz w:val="22"/>
          <w:lang w:eastAsia="es-CO"/>
        </w:rPr>
        <w:t>, la prohibición de contratación directa de</w:t>
      </w:r>
      <w:r w:rsidRPr="002C1CBF" w:rsidR="0008606A">
        <w:rPr>
          <w:rFonts w:ascii="Arial" w:hAnsi="Arial" w:cs="Arial"/>
          <w:bCs/>
          <w:color w:val="000000"/>
          <w:sz w:val="22"/>
          <w:lang w:eastAsia="es-CO"/>
        </w:rPr>
        <w:t xml:space="preserve"> </w:t>
      </w:r>
      <w:r w:rsidRPr="002C1CBF" w:rsidR="00EA59D5">
        <w:rPr>
          <w:rFonts w:ascii="Arial" w:hAnsi="Arial" w:cs="Arial"/>
          <w:bCs/>
          <w:color w:val="000000"/>
          <w:sz w:val="22"/>
          <w:lang w:eastAsia="es-CO"/>
        </w:rPr>
        <w:t>la Ley de Garantías es independiente del régimen contractual</w:t>
      </w:r>
      <w:r w:rsidR="004B28C4">
        <w:rPr>
          <w:rFonts w:ascii="Arial" w:hAnsi="Arial" w:cs="Arial"/>
          <w:bCs/>
          <w:color w:val="000000"/>
          <w:sz w:val="22"/>
          <w:lang w:eastAsia="es-CO"/>
        </w:rPr>
        <w:t>, por lo que se extiende a los contratos celebrados con cargo a los fondos de servicios educativos</w:t>
      </w:r>
      <w:r w:rsidRPr="002C1CBF" w:rsidR="00EA59D5">
        <w:rPr>
          <w:rFonts w:ascii="Arial" w:hAnsi="Arial" w:cs="Arial"/>
          <w:bCs/>
          <w:color w:val="000000"/>
          <w:sz w:val="22"/>
          <w:lang w:eastAsia="es-CO"/>
        </w:rPr>
        <w:t>.</w:t>
      </w:r>
    </w:p>
    <w:p w:rsidRPr="00DC4715" w:rsidR="00EA59D5" w:rsidP="004B28C4" w:rsidRDefault="00EA59D5" w14:paraId="152BF2CC" w14:textId="123B1F63">
      <w:pPr>
        <w:spacing w:after="160" w:line="276" w:lineRule="auto"/>
        <w:ind w:firstLine="709"/>
        <w:jc w:val="both"/>
        <w:rPr>
          <w:rFonts w:ascii="Arial" w:hAnsi="Arial" w:cs="Arial"/>
          <w:bCs/>
          <w:color w:val="000000"/>
          <w:sz w:val="21"/>
          <w:szCs w:val="21"/>
          <w:lang w:eastAsia="es-CO"/>
        </w:rPr>
      </w:pPr>
      <w:r w:rsidRPr="002C1CBF">
        <w:rPr>
          <w:rFonts w:ascii="Arial" w:hAnsi="Arial" w:cs="Arial"/>
          <w:bCs/>
          <w:color w:val="000000"/>
          <w:sz w:val="22"/>
          <w:lang w:eastAsia="es-CO"/>
        </w:rPr>
        <w:t xml:space="preserve">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2C1CBF">
        <w:rPr>
          <w:rFonts w:ascii="Arial" w:hAnsi="Arial" w:cs="Arial"/>
          <w:bCs/>
          <w:i/>
          <w:iCs/>
          <w:color w:val="000000"/>
          <w:sz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2C1CBF">
        <w:rPr>
          <w:rFonts w:ascii="Arial" w:hAnsi="Arial" w:cs="Arial"/>
          <w:bCs/>
          <w:color w:val="000000"/>
          <w:sz w:val="22"/>
          <w:lang w:eastAsia="es-CO"/>
        </w:rPr>
        <w:t>»</w:t>
      </w:r>
      <w:r w:rsidRPr="002C1CBF">
        <w:rPr>
          <w:rStyle w:val="Refdenotaalpie"/>
          <w:rFonts w:ascii="Arial" w:hAnsi="Arial" w:cs="Arial"/>
          <w:bCs/>
          <w:color w:val="000000"/>
          <w:sz w:val="22"/>
          <w:lang w:eastAsia="es-CO"/>
        </w:rPr>
        <w:footnoteReference w:id="47"/>
      </w:r>
      <w:r w:rsidRPr="002C1CBF">
        <w:rPr>
          <w:rFonts w:ascii="Arial" w:hAnsi="Arial" w:cs="Arial"/>
          <w:bCs/>
          <w:color w:val="000000"/>
          <w:sz w:val="22"/>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w:t>
      </w:r>
      <w:r w:rsidRPr="002C1CBF" w:rsidR="001E332A">
        <w:rPr>
          <w:rFonts w:ascii="Arial" w:hAnsi="Arial" w:cs="Arial"/>
          <w:bCs/>
          <w:color w:val="000000"/>
          <w:sz w:val="22"/>
          <w:lang w:eastAsia="es-CO"/>
        </w:rPr>
        <w:t xml:space="preserve">realizado con recursos </w:t>
      </w:r>
      <w:r w:rsidRPr="002C1CBF" w:rsidR="0008606A">
        <w:rPr>
          <w:rFonts w:ascii="Arial" w:hAnsi="Arial" w:cs="Arial"/>
          <w:bCs/>
          <w:color w:val="000000"/>
          <w:sz w:val="22"/>
          <w:lang w:eastAsia="es-CO"/>
        </w:rPr>
        <w:t xml:space="preserve">de los fondos de servicios educativos por valor inferior a inferiores a veinte (20) </w:t>
      </w:r>
      <w:proofErr w:type="spellStart"/>
      <w:r w:rsidRPr="002C1CBF" w:rsidR="0008606A">
        <w:rPr>
          <w:rFonts w:ascii="Arial" w:hAnsi="Arial" w:cs="Arial"/>
          <w:bCs/>
          <w:color w:val="000000"/>
          <w:sz w:val="22"/>
          <w:lang w:eastAsia="es-CO"/>
        </w:rPr>
        <w:t>smlmv</w:t>
      </w:r>
      <w:proofErr w:type="spellEnd"/>
      <w:r w:rsidRPr="002C1CBF">
        <w:rPr>
          <w:rFonts w:ascii="Arial" w:hAnsi="Arial" w:cs="Arial"/>
          <w:bCs/>
          <w:color w:val="000000"/>
          <w:sz w:val="22"/>
          <w:lang w:eastAsia="es-CO"/>
        </w:rPr>
        <w:t xml:space="preserve">. </w:t>
      </w:r>
    </w:p>
    <w:p w:rsidR="00427B0F" w:rsidP="002F0981" w:rsidRDefault="00EA59D5" w14:paraId="38B4DBE2" w14:textId="4DDFAD76">
      <w:pPr>
        <w:spacing w:line="276" w:lineRule="auto"/>
        <w:ind w:firstLine="708"/>
        <w:jc w:val="both"/>
        <w:rPr>
          <w:rFonts w:ascii="Arial" w:hAnsi="Arial" w:cs="Arial"/>
          <w:sz w:val="22"/>
        </w:rPr>
      </w:pPr>
      <w:r w:rsidRPr="002C1CBF">
        <w:rPr>
          <w:rFonts w:ascii="Arial" w:hAnsi="Arial" w:cs="Arial"/>
          <w:bCs/>
          <w:color w:val="000000"/>
          <w:sz w:val="22"/>
          <w:lang w:eastAsia="es-CO"/>
        </w:rPr>
        <w:t xml:space="preserve">Por otra parte, respecto a </w:t>
      </w:r>
      <w:r w:rsidRPr="002C1CBF">
        <w:rPr>
          <w:rFonts w:ascii="Arial" w:hAnsi="Arial" w:eastAsia="Calibri" w:cs="Arial"/>
          <w:color w:val="000000" w:themeColor="text1"/>
          <w:sz w:val="22"/>
        </w:rPr>
        <w:t xml:space="preserve">la restricción del artículo 38 de la </w:t>
      </w:r>
      <w:r w:rsidRPr="002C1CBF">
        <w:rPr>
          <w:rFonts w:ascii="Arial" w:hAnsi="Arial" w:cs="Arial"/>
          <w:bCs/>
          <w:color w:val="000000"/>
          <w:sz w:val="22"/>
          <w:lang w:eastAsia="es-CO"/>
        </w:rPr>
        <w:t>Ley de Garantías</w:t>
      </w:r>
      <w:r w:rsidR="00F9740D">
        <w:rPr>
          <w:rFonts w:ascii="Arial" w:hAnsi="Arial" w:cs="Arial"/>
          <w:bCs/>
          <w:color w:val="000000"/>
          <w:sz w:val="22"/>
          <w:lang w:eastAsia="es-CO"/>
        </w:rPr>
        <w:t xml:space="preserve"> </w:t>
      </w:r>
      <w:r w:rsidR="00FF671F">
        <w:rPr>
          <w:rFonts w:ascii="Arial" w:hAnsi="Arial" w:cs="Arial"/>
          <w:bCs/>
          <w:color w:val="000000"/>
          <w:sz w:val="22"/>
          <w:lang w:eastAsia="es-CO"/>
        </w:rPr>
        <w:t xml:space="preserve">               </w:t>
      </w:r>
      <w:r w:rsidR="00967EE9">
        <w:rPr>
          <w:rFonts w:ascii="Arial" w:hAnsi="Arial" w:cs="Arial"/>
          <w:bCs/>
          <w:color w:val="000000"/>
          <w:sz w:val="22"/>
          <w:lang w:eastAsia="es-CO"/>
        </w:rPr>
        <w:t>–</w:t>
      </w:r>
      <w:r w:rsidR="00F9740D">
        <w:rPr>
          <w:rFonts w:ascii="Arial" w:hAnsi="Arial" w:cs="Arial"/>
          <w:bCs/>
          <w:color w:val="000000"/>
          <w:sz w:val="22"/>
          <w:lang w:eastAsia="es-CO"/>
        </w:rPr>
        <w:t>modificado transitor</w:t>
      </w:r>
      <w:r w:rsidR="00A14E0E">
        <w:rPr>
          <w:rFonts w:ascii="Arial" w:hAnsi="Arial" w:cs="Arial"/>
          <w:bCs/>
          <w:color w:val="000000"/>
          <w:sz w:val="22"/>
          <w:lang w:eastAsia="es-CO"/>
        </w:rPr>
        <w:t>iamente por el artículo 124 de la Ley 2159 de 2021</w:t>
      </w:r>
      <w:r w:rsidR="00967EE9">
        <w:rPr>
          <w:rFonts w:ascii="Arial" w:hAnsi="Arial" w:cs="Arial"/>
          <w:bCs/>
          <w:color w:val="000000"/>
          <w:sz w:val="22"/>
          <w:lang w:eastAsia="es-CO"/>
        </w:rPr>
        <w:t>–</w:t>
      </w:r>
      <w:r w:rsidRPr="002C1CBF">
        <w:rPr>
          <w:rFonts w:ascii="Arial" w:hAnsi="Arial" w:cs="Arial"/>
          <w:bCs/>
          <w:color w:val="000000"/>
          <w:sz w:val="22"/>
          <w:lang w:eastAsia="es-CO"/>
        </w:rPr>
        <w:t xml:space="preserve"> se considera que los contratos </w:t>
      </w:r>
      <w:r w:rsidRPr="002C1CBF" w:rsidR="008569AB">
        <w:rPr>
          <w:rFonts w:ascii="Arial" w:hAnsi="Arial" w:cs="Arial"/>
          <w:bCs/>
          <w:color w:val="000000"/>
          <w:sz w:val="22"/>
          <w:lang w:eastAsia="es-CO"/>
        </w:rPr>
        <w:t>celebrados con los admini</w:t>
      </w:r>
      <w:r w:rsidRPr="002C1CBF" w:rsidR="00F6578F">
        <w:rPr>
          <w:rFonts w:ascii="Arial" w:hAnsi="Arial" w:cs="Arial"/>
          <w:bCs/>
          <w:color w:val="000000"/>
          <w:sz w:val="22"/>
          <w:lang w:eastAsia="es-CO"/>
        </w:rPr>
        <w:t>stradores del fondo y otras entidades públicas son contratos interadministrativos</w:t>
      </w:r>
      <w:r w:rsidRPr="002C1CBF">
        <w:rPr>
          <w:rFonts w:ascii="Arial" w:hAnsi="Arial" w:cs="Arial"/>
          <w:bCs/>
          <w:color w:val="000000"/>
          <w:sz w:val="22"/>
          <w:lang w:eastAsia="es-CO"/>
        </w:rPr>
        <w:t xml:space="preserve">. </w:t>
      </w:r>
      <w:r w:rsidRPr="002C1CBF" w:rsidR="00BC223D">
        <w:rPr>
          <w:rFonts w:ascii="Arial" w:hAnsi="Arial" w:cs="Arial"/>
          <w:bCs/>
          <w:color w:val="000000"/>
          <w:sz w:val="22"/>
          <w:lang w:eastAsia="es-CO"/>
        </w:rPr>
        <w:t>E</w:t>
      </w:r>
      <w:r w:rsidRPr="002C1CBF" w:rsidR="00E46076">
        <w:rPr>
          <w:rFonts w:ascii="Arial" w:hAnsi="Arial" w:cs="Arial"/>
          <w:bCs/>
          <w:color w:val="000000"/>
          <w:sz w:val="22"/>
          <w:lang w:eastAsia="es-CO"/>
        </w:rPr>
        <w:t>n efecto, e</w:t>
      </w:r>
      <w:r w:rsidRPr="002C1CBF">
        <w:rPr>
          <w:rFonts w:ascii="Arial" w:hAnsi="Arial" w:cs="Arial"/>
          <w:bCs/>
          <w:color w:val="000000"/>
          <w:sz w:val="22"/>
          <w:lang w:eastAsia="es-CO"/>
        </w:rPr>
        <w:t>l citado artículo 2.2.1.2.1.4.4 d</w:t>
      </w:r>
      <w:r w:rsidRPr="002C1CBF">
        <w:rPr>
          <w:rFonts w:ascii="Arial" w:hAnsi="Arial" w:eastAsia="Calibri" w:cs="Arial"/>
          <w:color w:val="000000" w:themeColor="text1"/>
          <w:sz w:val="22"/>
          <w:lang w:val="es-ES_tradnl"/>
        </w:rPr>
        <w:t>el Decreto 1082 de 2015 califica a los convenios o contratos interadministrativos como aquella contratación entre entidades estatales. E</w:t>
      </w:r>
      <w:r w:rsidRPr="002C1CBF" w:rsidR="00E46076">
        <w:rPr>
          <w:rFonts w:ascii="Arial" w:hAnsi="Arial" w:eastAsia="Calibri" w:cs="Arial"/>
          <w:color w:val="000000" w:themeColor="text1"/>
          <w:sz w:val="22"/>
          <w:lang w:val="es-ES_tradnl"/>
        </w:rPr>
        <w:t>l</w:t>
      </w:r>
      <w:r w:rsidRPr="002C1CBF">
        <w:rPr>
          <w:rFonts w:ascii="Arial" w:hAnsi="Arial" w:eastAsia="Calibri" w:cs="Arial"/>
          <w:color w:val="000000" w:themeColor="text1"/>
          <w:sz w:val="22"/>
          <w:lang w:val="es-ES_tradnl"/>
        </w:rPr>
        <w:t xml:space="preserve"> concepto está definido en el artículo 2.2.1.1.1.3.1 </w:t>
      </w:r>
      <w:r w:rsidRPr="002C1CBF">
        <w:rPr>
          <w:rFonts w:ascii="Arial" w:hAnsi="Arial" w:eastAsia="Calibri" w:cs="Arial"/>
          <w:i/>
          <w:iCs/>
          <w:color w:val="000000" w:themeColor="text1"/>
          <w:sz w:val="22"/>
          <w:lang w:val="es-ES_tradnl"/>
        </w:rPr>
        <w:t>ibidem</w:t>
      </w:r>
      <w:r w:rsidRPr="002C1CBF">
        <w:rPr>
          <w:rFonts w:ascii="Arial" w:hAnsi="Arial" w:eastAsia="Calibri" w:cs="Arial"/>
          <w:color w:val="000000" w:themeColor="text1"/>
          <w:sz w:val="22"/>
          <w:lang w:val="es-ES_tradnl"/>
        </w:rPr>
        <w:t xml:space="preserve"> como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w:t>
      </w:r>
      <w:r w:rsidRPr="002C1CBF" w:rsidR="00D15DA3">
        <w:rPr>
          <w:rFonts w:ascii="Arial" w:hAnsi="Arial" w:eastAsia="Calibri" w:cs="Arial"/>
          <w:color w:val="000000" w:themeColor="text1"/>
          <w:sz w:val="22"/>
          <w:lang w:val="es-ES_tradnl"/>
        </w:rPr>
        <w:t xml:space="preserve"> </w:t>
      </w:r>
      <w:r w:rsidRPr="002C1CBF" w:rsidR="007D3894">
        <w:rPr>
          <w:rFonts w:ascii="Arial" w:hAnsi="Arial" w:eastAsia="Calibri" w:cs="Arial"/>
          <w:color w:val="000000" w:themeColor="text1"/>
          <w:sz w:val="22"/>
          <w:lang w:val="es-ES_tradnl"/>
        </w:rPr>
        <w:t xml:space="preserve"> A</w:t>
      </w:r>
      <w:r w:rsidRPr="002C1CBF" w:rsidR="009E643E">
        <w:rPr>
          <w:rFonts w:ascii="Arial" w:hAnsi="Arial" w:eastAsia="Calibri" w:cs="Arial"/>
          <w:color w:val="000000" w:themeColor="text1"/>
          <w:sz w:val="22"/>
          <w:lang w:val="es-ES_tradnl"/>
        </w:rPr>
        <w:t>unque</w:t>
      </w:r>
      <w:r w:rsidRPr="002C1CBF" w:rsidR="003B4052">
        <w:rPr>
          <w:rFonts w:ascii="Arial" w:hAnsi="Arial" w:eastAsia="Calibri" w:cs="Arial"/>
          <w:color w:val="000000" w:themeColor="text1"/>
          <w:sz w:val="22"/>
          <w:lang w:val="es-ES_tradnl"/>
        </w:rPr>
        <w:t xml:space="preserve"> </w:t>
      </w:r>
      <w:r w:rsidRPr="002C1CBF" w:rsidR="003B4052">
        <w:rPr>
          <w:rFonts w:ascii="Arial" w:hAnsi="Arial" w:cs="Arial"/>
          <w:sz w:val="22"/>
        </w:rPr>
        <w:t>las instituciones educativas carecen de personería jurídica, tienen capacidad para contratar y se concreta en la competencia que le otorgó el legislador en la Ley 715 de 2001 para administrar los fondos de servicios educativos</w:t>
      </w:r>
      <w:r w:rsidRPr="002C1CBF" w:rsidR="00BC76D2">
        <w:rPr>
          <w:rFonts w:ascii="Arial" w:hAnsi="Arial" w:cs="Arial"/>
          <w:sz w:val="22"/>
        </w:rPr>
        <w:t xml:space="preserve">. </w:t>
      </w:r>
      <w:r w:rsidRPr="002C1CBF" w:rsidR="00145A68">
        <w:rPr>
          <w:rFonts w:ascii="Arial" w:hAnsi="Arial" w:cs="Arial"/>
          <w:sz w:val="22"/>
        </w:rPr>
        <w:t>Así</w:t>
      </w:r>
      <w:r w:rsidRPr="002C1CBF" w:rsidR="00BC76D2">
        <w:rPr>
          <w:rFonts w:ascii="Arial" w:hAnsi="Arial" w:cs="Arial"/>
          <w:sz w:val="22"/>
        </w:rPr>
        <w:t>, conforme al literal b) del artículo 2.1</w:t>
      </w:r>
      <w:r w:rsidRPr="002C1CBF" w:rsidR="00BD5340">
        <w:rPr>
          <w:rFonts w:ascii="Arial" w:hAnsi="Arial" w:cs="Arial"/>
          <w:sz w:val="22"/>
        </w:rPr>
        <w:t xml:space="preserve"> de la Ley 80 de 1993, también se considera entidad estatal </w:t>
      </w:r>
      <w:r w:rsidRPr="002C1CBF" w:rsidR="00172A12">
        <w:rPr>
          <w:rFonts w:ascii="Arial" w:hAnsi="Arial" w:cs="Arial"/>
          <w:sz w:val="22"/>
        </w:rPr>
        <w:t>todos aquellos «[…] organismos o dependencias del Estado a los que la ley otorgue capacidad para celebrar contratos».</w:t>
      </w:r>
    </w:p>
    <w:p w:rsidR="00AA07F0" w:rsidP="00AA07F0" w:rsidRDefault="00AA07F0" w14:paraId="77573B5F" w14:textId="52F25680">
      <w:pPr>
        <w:spacing w:line="276" w:lineRule="auto"/>
        <w:jc w:val="both"/>
        <w:rPr>
          <w:rFonts w:ascii="Arial" w:hAnsi="Arial" w:cs="Arial"/>
          <w:sz w:val="22"/>
        </w:rPr>
      </w:pPr>
    </w:p>
    <w:p w:rsidRPr="00AA07F0" w:rsidR="00AA07F0" w:rsidP="00AA07F0" w:rsidRDefault="00AA07F0" w14:paraId="08464F9D" w14:textId="18D8422E">
      <w:pPr>
        <w:tabs>
          <w:tab w:val="left" w:pos="426"/>
        </w:tabs>
        <w:spacing w:line="276" w:lineRule="auto"/>
        <w:jc w:val="both"/>
        <w:rPr>
          <w:rFonts w:ascii="Arial" w:hAnsi="Arial" w:eastAsia="Calibri" w:cs="Arial"/>
          <w:b/>
          <w:sz w:val="22"/>
          <w:szCs w:val="22"/>
          <w:lang w:val="es-MX" w:eastAsia="en-US"/>
        </w:rPr>
      </w:pPr>
      <w:r>
        <w:rPr>
          <w:rFonts w:ascii="Arial" w:hAnsi="Arial" w:eastAsia="Calibri" w:cs="Arial"/>
          <w:b/>
          <w:sz w:val="22"/>
          <w:szCs w:val="22"/>
          <w:lang w:val="es-MX" w:eastAsia="en-US"/>
        </w:rPr>
        <w:t>2.</w:t>
      </w:r>
      <w:r w:rsidR="00133F7A">
        <w:rPr>
          <w:rFonts w:ascii="Arial" w:hAnsi="Arial" w:eastAsia="Calibri" w:cs="Arial"/>
          <w:b/>
          <w:sz w:val="22"/>
          <w:szCs w:val="22"/>
          <w:lang w:val="es-MX" w:eastAsia="en-US"/>
        </w:rPr>
        <w:t>6.</w:t>
      </w:r>
      <w:r>
        <w:rPr>
          <w:rFonts w:ascii="Arial" w:hAnsi="Arial" w:eastAsia="Calibri" w:cs="Arial"/>
          <w:b/>
          <w:sz w:val="22"/>
          <w:szCs w:val="22"/>
          <w:lang w:val="es-MX" w:eastAsia="en-US"/>
        </w:rPr>
        <w:t xml:space="preserve"> </w:t>
      </w:r>
      <w:bookmarkStart w:name="_Hlk100219796" w:id="58"/>
      <w:r w:rsidRPr="00AA07F0">
        <w:rPr>
          <w:rFonts w:ascii="Arial" w:hAnsi="Arial" w:eastAsia="Calibri" w:cs="Arial"/>
          <w:b/>
          <w:sz w:val="22"/>
          <w:szCs w:val="22"/>
          <w:lang w:val="es-MX" w:eastAsia="en-US"/>
        </w:rPr>
        <w:t xml:space="preserve">El SECOP como mecanismo para garantizar el principio de publicidad en la contratación estatal </w:t>
      </w:r>
      <w:bookmarkEnd w:id="58"/>
    </w:p>
    <w:p w:rsidRPr="00AA07F0" w:rsidR="00AA07F0" w:rsidP="00AA07F0" w:rsidRDefault="00AA07F0" w14:paraId="0C68DE4E" w14:textId="77777777">
      <w:pPr>
        <w:spacing w:line="276" w:lineRule="auto"/>
        <w:jc w:val="both"/>
        <w:rPr>
          <w:rFonts w:ascii="Arial" w:hAnsi="Arial" w:eastAsia="Calibri" w:cs="Arial"/>
          <w:sz w:val="22"/>
          <w:szCs w:val="22"/>
          <w:lang w:val="es-MX" w:eastAsia="en-US"/>
        </w:rPr>
      </w:pPr>
    </w:p>
    <w:p w:rsidRPr="008E6190" w:rsidR="007D3832" w:rsidP="10E286E2" w:rsidRDefault="007D3832" w14:paraId="72B317E4" w14:textId="77777777" w14:noSpellErr="1">
      <w:pPr>
        <w:spacing w:line="276" w:lineRule="auto"/>
        <w:jc w:val="both"/>
        <w:rPr>
          <w:rFonts w:ascii="Arial" w:hAnsi="Arial" w:eastAsia="Calibri" w:cs="Arial"/>
          <w:color w:val="000000" w:themeColor="text1"/>
          <w:sz w:val="22"/>
          <w:szCs w:val="22"/>
          <w:lang w:val="es-ES" w:eastAsia="es-ES"/>
        </w:rPr>
      </w:pPr>
      <w:r w:rsidRPr="10E286E2" w:rsidR="007D3832">
        <w:rPr>
          <w:rFonts w:ascii="Arial" w:hAnsi="Arial" w:eastAsia="Calibri" w:cs="Arial"/>
          <w:color w:val="000000" w:themeColor="text1"/>
          <w:sz w:val="22"/>
          <w:szCs w:val="22"/>
          <w:lang w:val="es-ES" w:eastAsia="es-ES"/>
        </w:rPr>
        <w:t xml:space="preserve">Uno de los postulados más importantes de un Estado social y democrático de derecho es el principio de </w:t>
      </w:r>
      <w:r w:rsidRPr="10E286E2" w:rsidR="007D3832">
        <w:rPr>
          <w:rFonts w:ascii="Arial" w:hAnsi="Arial" w:eastAsia="Calibri" w:cs="Arial"/>
          <w:i w:val="1"/>
          <w:iCs w:val="1"/>
          <w:color w:val="000000" w:themeColor="text1"/>
          <w:sz w:val="22"/>
          <w:szCs w:val="22"/>
          <w:lang w:val="es-ES" w:eastAsia="es-ES"/>
        </w:rPr>
        <w:t>publicidad</w:t>
      </w:r>
      <w:r w:rsidRPr="10E286E2" w:rsidR="007D3832">
        <w:rPr>
          <w:rFonts w:ascii="Arial" w:hAnsi="Arial" w:eastAsia="Calibri" w:cs="Arial"/>
          <w:color w:val="000000" w:themeColor="text1"/>
          <w:sz w:val="22"/>
          <w:szCs w:val="22"/>
          <w:lang w:val="es-ES" w:eastAsia="es-ES"/>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10E286E2">
        <w:rPr>
          <w:rFonts w:ascii="Arial" w:hAnsi="Arial" w:eastAsia="Calibri" w:cs="Arial"/>
          <w:color w:val="000000" w:themeColor="text1"/>
          <w:sz w:val="22"/>
          <w:szCs w:val="22"/>
          <w:vertAlign w:val="superscript"/>
          <w:lang w:val="es-ES" w:eastAsia="es-ES"/>
        </w:rPr>
        <w:footnoteReference w:id="48"/>
      </w:r>
      <w:r w:rsidRPr="10E286E2" w:rsidR="007D3832">
        <w:rPr>
          <w:rFonts w:ascii="Arial" w:hAnsi="Arial" w:eastAsia="Calibri" w:cs="Arial"/>
          <w:color w:val="000000" w:themeColor="text1"/>
          <w:sz w:val="22"/>
          <w:szCs w:val="22"/>
          <w:lang w:val="es-ES" w:eastAsia="es-ES"/>
        </w:rPr>
        <w:t>.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indica:</w:t>
      </w:r>
    </w:p>
    <w:p w:rsidRPr="008E6190" w:rsidR="007D3832" w:rsidP="007D3832" w:rsidRDefault="007D3832" w14:paraId="5BA88BA6" w14:textId="77777777">
      <w:pPr>
        <w:ind w:firstLine="709"/>
        <w:jc w:val="both"/>
        <w:rPr>
          <w:rFonts w:ascii="Arial" w:hAnsi="Arial" w:eastAsia="Calibri" w:cs="Arial"/>
          <w:color w:val="000000" w:themeColor="text1"/>
          <w:sz w:val="22"/>
          <w:lang w:val="es-ES_tradnl" w:eastAsia="es-ES_tradnl"/>
        </w:rPr>
      </w:pPr>
    </w:p>
    <w:p w:rsidRPr="008E6190" w:rsidR="007D3832" w:rsidP="10E286E2" w:rsidRDefault="007D3832" w14:paraId="6C024907" w14:textId="77777777" w14:noSpellErr="1">
      <w:pPr>
        <w:tabs>
          <w:tab w:val="left" w:pos="3885"/>
        </w:tabs>
        <w:ind w:left="709" w:right="709"/>
        <w:jc w:val="both"/>
        <w:rPr>
          <w:rFonts w:ascii="Arial" w:hAnsi="Arial" w:cs="Arial"/>
          <w:color w:val="000000" w:themeColor="text1"/>
          <w:sz w:val="21"/>
          <w:szCs w:val="21"/>
          <w:lang w:val="es-ES" w:eastAsia="es-ES"/>
        </w:rPr>
      </w:pPr>
      <w:r w:rsidRPr="10E286E2" w:rsidR="007D3832">
        <w:rPr>
          <w:rFonts w:ascii="Arial" w:hAnsi="Arial" w:cs="Arial"/>
          <w:color w:val="000000" w:themeColor="text1" w:themeTint="FF" w:themeShade="FF"/>
          <w:sz w:val="21"/>
          <w:szCs w:val="21"/>
          <w:lang w:val="es-ES" w:eastAsia="es-ES"/>
        </w:rPr>
        <w:t xml:space="preserve">El principio de publicidad se encuentra consagrado en el artículo 209 de la Constitución Política, que señala que la función administrativa está al servicio de </w:t>
      </w:r>
      <w:r w:rsidRPr="10E286E2" w:rsidR="007D3832">
        <w:rPr>
          <w:rFonts w:ascii="Arial" w:hAnsi="Arial" w:cs="Arial"/>
          <w:color w:val="000000" w:themeColor="text1" w:themeTint="FF" w:themeShade="FF"/>
          <w:sz w:val="21"/>
          <w:szCs w:val="21"/>
          <w:lang w:val="es-ES" w:eastAsia="es-ES"/>
        </w:rPr>
        <w:t>los intereses generales y se desarrolla con fundamento entre otros, en el «principio de publicidad», el cual se evidencia en dos dimensiones.</w:t>
      </w:r>
    </w:p>
    <w:p w:rsidRPr="008E6190" w:rsidR="007D3832" w:rsidP="007D3832" w:rsidRDefault="007D3832" w14:paraId="2EB876B3" w14:textId="77777777">
      <w:pPr>
        <w:tabs>
          <w:tab w:val="left" w:pos="3885"/>
        </w:tabs>
        <w:ind w:left="709" w:right="709"/>
        <w:jc w:val="both"/>
        <w:rPr>
          <w:rFonts w:ascii="Arial" w:hAnsi="Arial" w:cs="Arial"/>
          <w:color w:val="000000" w:themeColor="text1"/>
          <w:sz w:val="21"/>
          <w:szCs w:val="21"/>
          <w:lang w:val="es-ES_tradnl" w:eastAsia="es-ES_tradnl"/>
        </w:rPr>
      </w:pPr>
    </w:p>
    <w:p w:rsidRPr="008E6190" w:rsidR="007D3832" w:rsidP="10E286E2" w:rsidRDefault="007D3832" w14:paraId="75AE6CE4" w14:textId="77777777" w14:noSpellErr="1">
      <w:pPr>
        <w:tabs>
          <w:tab w:val="left" w:pos="3885"/>
          <w:tab w:val="left" w:pos="8222"/>
        </w:tabs>
        <w:ind w:left="709" w:right="709"/>
        <w:jc w:val="both"/>
        <w:rPr>
          <w:rFonts w:ascii="Arial" w:hAnsi="Arial" w:cs="Arial"/>
          <w:color w:val="000000" w:themeColor="text1"/>
          <w:sz w:val="22"/>
          <w:szCs w:val="22"/>
          <w:lang w:val="es-ES" w:eastAsia="es-ES"/>
        </w:rPr>
      </w:pPr>
      <w:r w:rsidRPr="10E286E2" w:rsidR="007D3832">
        <w:rPr>
          <w:rFonts w:ascii="Arial" w:hAnsi="Arial" w:cs="Arial"/>
          <w:color w:val="000000" w:themeColor="text1"/>
          <w:sz w:val="21"/>
          <w:szCs w:val="21"/>
          <w:lang w:val="es-ES" w:eastAsia="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r w:rsidRPr="10E286E2" w:rsidR="007D3832">
        <w:rPr>
          <w:rFonts w:ascii="Arial" w:hAnsi="Arial" w:cs="Arial"/>
          <w:color w:val="000000" w:themeColor="text1"/>
          <w:sz w:val="21"/>
          <w:szCs w:val="21"/>
          <w:lang w:val="es-ES" w:eastAsia="es-ES"/>
        </w:rPr>
        <w:t>autoridades públicas</w:t>
      </w:r>
      <w:r w:rsidRPr="10E286E2" w:rsidR="007D3832">
        <w:rPr>
          <w:rFonts w:ascii="Arial" w:hAnsi="Arial" w:cs="Arial"/>
          <w:color w:val="000000" w:themeColor="text1"/>
          <w:sz w:val="21"/>
          <w:szCs w:val="21"/>
          <w:lang w:val="es-ES" w:eastAsia="es-ES"/>
        </w:rPr>
        <w:t xml:space="preserve"> y, a través de ese conocimiento, a exigir que ellas se surtan conforme a la ley</w:t>
      </w:r>
      <w:r w:rsidRPr="10E286E2">
        <w:rPr>
          <w:rFonts w:ascii="Arial" w:hAnsi="Arial" w:eastAsia="Calibri" w:cs="Arial"/>
          <w:color w:val="000000" w:themeColor="text1"/>
          <w:sz w:val="21"/>
          <w:szCs w:val="21"/>
          <w:vertAlign w:val="superscript"/>
          <w:lang w:val="es-ES" w:eastAsia="es-ES"/>
        </w:rPr>
        <w:footnoteReference w:id="49"/>
      </w:r>
      <w:r w:rsidRPr="10E286E2" w:rsidR="007D3832">
        <w:rPr>
          <w:rFonts w:ascii="Arial" w:hAnsi="Arial" w:eastAsia="Calibri" w:cs="Arial"/>
          <w:color w:val="000000" w:themeColor="text1"/>
          <w:sz w:val="21"/>
          <w:szCs w:val="21"/>
          <w:lang w:val="es-ES" w:eastAsia="es-ES"/>
        </w:rPr>
        <w:t>.</w:t>
      </w:r>
    </w:p>
    <w:p w:rsidR="007D3832" w:rsidP="0076750F" w:rsidRDefault="007D3832" w14:paraId="401EA52A" w14:textId="77777777">
      <w:pPr>
        <w:spacing w:line="276" w:lineRule="auto"/>
        <w:jc w:val="both"/>
        <w:rPr>
          <w:rFonts w:ascii="Arial" w:hAnsi="Arial" w:eastAsia="Calibri" w:cs="Arial"/>
          <w:color w:val="000000"/>
          <w:sz w:val="22"/>
          <w:lang w:val="es-ES_tradnl" w:eastAsia="es-ES_tradnl"/>
        </w:rPr>
      </w:pPr>
    </w:p>
    <w:p w:rsidRPr="0076750F" w:rsidR="0076750F" w:rsidP="10E286E2" w:rsidRDefault="0076750F" w14:paraId="5E653AD2" w14:textId="71F787B8" w14:noSpellErr="1">
      <w:pPr>
        <w:spacing w:line="276" w:lineRule="auto"/>
        <w:ind w:firstLine="708"/>
        <w:jc w:val="both"/>
        <w:rPr>
          <w:rFonts w:ascii="Arial" w:hAnsi="Arial" w:eastAsia="Calibri" w:cs="Arial"/>
          <w:color w:val="000000"/>
          <w:sz w:val="22"/>
          <w:szCs w:val="22"/>
          <w:lang w:val="es-ES" w:eastAsia="es-ES"/>
        </w:rPr>
      </w:pPr>
      <w:r w:rsidRPr="10E286E2" w:rsidR="0076750F">
        <w:rPr>
          <w:rFonts w:ascii="Arial" w:hAnsi="Arial" w:eastAsia="Calibri" w:cs="Arial"/>
          <w:color w:val="000000"/>
          <w:sz w:val="22"/>
          <w:szCs w:val="22"/>
          <w:lang w:val="es-ES" w:eastAsia="es-ES"/>
        </w:rPr>
        <w:t xml:space="preserve">El principio de publicidad impone a las autoridades administrativas el deber de dar a conocer sus actos, contratos y decisiones, para que se divulguen y eventualmente se controlen dichas actuaciones. Es por eso </w:t>
      </w:r>
      <w:r w:rsidRPr="10E286E2" w:rsidR="0076750F">
        <w:rPr>
          <w:rFonts w:ascii="Arial" w:hAnsi="Arial" w:eastAsia="Calibri" w:cs="Arial"/>
          <w:color w:val="000000"/>
          <w:sz w:val="22"/>
          <w:szCs w:val="22"/>
          <w:lang w:val="es-ES" w:eastAsia="es-ES"/>
        </w:rPr>
        <w:t>que</w:t>
      </w:r>
      <w:r w:rsidRPr="10E286E2" w:rsidR="0076750F">
        <w:rPr>
          <w:rFonts w:ascii="Arial" w:hAnsi="Arial" w:eastAsia="Calibri" w:cs="Arial"/>
          <w:color w:val="000000"/>
          <w:sz w:val="22"/>
          <w:szCs w:val="22"/>
          <w:lang w:val="es-ES" w:eastAsia="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10E286E2">
        <w:rPr>
          <w:rFonts w:ascii="Arial" w:hAnsi="Arial" w:eastAsia="Calibri" w:cs="Arial"/>
          <w:color w:val="000000"/>
          <w:sz w:val="22"/>
          <w:szCs w:val="22"/>
          <w:vertAlign w:val="superscript"/>
          <w:lang w:val="es-ES" w:eastAsia="es-ES"/>
        </w:rPr>
        <w:footnoteReference w:id="50"/>
      </w:r>
      <w:r w:rsidRPr="10E286E2" w:rsidR="0076750F">
        <w:rPr>
          <w:rFonts w:ascii="Arial" w:hAnsi="Arial" w:eastAsia="Calibri" w:cs="Arial"/>
          <w:color w:val="000000"/>
          <w:sz w:val="22"/>
          <w:szCs w:val="22"/>
          <w:lang w:val="es-ES" w:eastAsia="es-ES"/>
        </w:rPr>
        <w:t xml:space="preserve">. </w:t>
      </w:r>
    </w:p>
    <w:p w:rsidRPr="0076750F" w:rsidR="0076750F" w:rsidP="0076750F" w:rsidRDefault="0076750F" w14:paraId="6C8E7356" w14:textId="77777777">
      <w:pPr>
        <w:spacing w:before="120" w:line="276" w:lineRule="auto"/>
        <w:ind w:firstLine="709"/>
        <w:jc w:val="both"/>
        <w:rPr>
          <w:rFonts w:ascii="Arial" w:hAnsi="Arial" w:eastAsia="Calibri" w:cs="Arial"/>
          <w:color w:val="000000"/>
          <w:sz w:val="22"/>
          <w:lang w:val="es-ES_tradnl" w:eastAsia="es-ES_tradnl"/>
        </w:rPr>
      </w:pPr>
      <w:r w:rsidRPr="0076750F">
        <w:rPr>
          <w:rFonts w:ascii="Arial" w:hAnsi="Arial" w:cs="Arial"/>
          <w:color w:val="000000"/>
          <w:sz w:val="22"/>
          <w:lang w:val="es-ES_tradnl" w:eastAsia="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6750F">
        <w:rPr>
          <w:rFonts w:ascii="Arial" w:hAnsi="Arial" w:cs="Arial"/>
          <w:color w:val="000000"/>
          <w:sz w:val="22"/>
          <w:vertAlign w:val="superscript"/>
          <w:lang w:val="es-ES_tradnl" w:eastAsia="es-ES_tradnl"/>
        </w:rPr>
        <w:footnoteReference w:id="51"/>
      </w:r>
      <w:r w:rsidRPr="0076750F">
        <w:rPr>
          <w:rFonts w:ascii="Arial" w:hAnsi="Arial" w:cs="Arial"/>
          <w:color w:val="000000"/>
          <w:sz w:val="22"/>
          <w:lang w:val="es-ES_tradnl" w:eastAsia="es-ES_tradnl"/>
        </w:rPr>
        <w:t xml:space="preserve">. El principio de transparencia en la información alude al deber de los sujetos de proporcionar y facilitar el acceso a la misma en los términos más amplios posibles, y a través de los medios y procedimientos legales. </w:t>
      </w:r>
      <w:r w:rsidRPr="0076750F">
        <w:rPr>
          <w:rFonts w:ascii="Arial" w:hAnsi="Arial" w:eastAsia="Calibri" w:cs="Arial"/>
          <w:color w:val="000000"/>
          <w:sz w:val="22"/>
          <w:szCs w:val="22"/>
          <w:lang w:val="es-ES_tradnl" w:eastAsia="en-US"/>
        </w:rPr>
        <w:t xml:space="preserve">La ley estatutaria citada establece, en el literal e) del artículo 9, que </w:t>
      </w:r>
      <w:r w:rsidRPr="0076750F">
        <w:rPr>
          <w:rFonts w:ascii="Arial" w:hAnsi="Arial" w:eastAsia="Calibri" w:cs="Arial"/>
          <w:color w:val="000000"/>
          <w:sz w:val="22"/>
          <w:szCs w:val="22"/>
          <w:lang w:val="es-ES_tradnl" w:eastAsia="en-US"/>
        </w:rPr>
        <w:t>los sujetos obligados, que son todas las entidades públicas</w:t>
      </w:r>
      <w:r w:rsidRPr="0076750F">
        <w:rPr>
          <w:rFonts w:ascii="Arial" w:hAnsi="Arial" w:eastAsia="Calibri" w:cs="Arial"/>
          <w:color w:val="000000"/>
          <w:sz w:val="22"/>
          <w:szCs w:val="22"/>
          <w:vertAlign w:val="superscript"/>
          <w:lang w:val="es-ES_tradnl" w:eastAsia="en-US"/>
        </w:rPr>
        <w:footnoteReference w:id="52"/>
      </w:r>
      <w:r w:rsidRPr="0076750F">
        <w:rPr>
          <w:rFonts w:ascii="Arial" w:hAnsi="Arial" w:eastAsia="Calibri" w:cs="Arial"/>
          <w:color w:val="000000"/>
          <w:sz w:val="22"/>
          <w:szCs w:val="22"/>
          <w:lang w:val="es-ES_tradnl" w:eastAsia="en-US"/>
        </w:rPr>
        <w:t>, deben publicar la información relativa a su contratación. Esta obligación fue desarrollada por el Decreto Único Reglamentario 1081 de 2015</w:t>
      </w:r>
      <w:r w:rsidRPr="0076750F">
        <w:rPr>
          <w:rFonts w:ascii="Arial" w:hAnsi="Arial" w:eastAsia="Calibri" w:cs="Arial"/>
          <w:color w:val="000000"/>
          <w:sz w:val="22"/>
          <w:szCs w:val="22"/>
          <w:vertAlign w:val="superscript"/>
          <w:lang w:val="es-ES_tradnl" w:eastAsia="en-US"/>
        </w:rPr>
        <w:footnoteReference w:id="53"/>
      </w:r>
      <w:r w:rsidRPr="0076750F">
        <w:rPr>
          <w:rFonts w:ascii="Arial" w:hAnsi="Arial" w:eastAsia="Calibri" w:cs="Arial"/>
          <w:color w:val="000000"/>
          <w:sz w:val="22"/>
          <w:szCs w:val="22"/>
          <w:lang w:val="es-ES_tradnl" w:eastAsia="en-US"/>
        </w:rPr>
        <w:t>, el cual dispuso que la publicación de la información contractual de los sujetos obligados, que contratan con cargo a recursos públicos, debe hacerse en el Sistema Electrónico para la Contratación Pública ─</w:t>
      </w:r>
      <w:r w:rsidRPr="0076750F">
        <w:rPr>
          <w:rFonts w:ascii="Arial" w:hAnsi="Arial" w:eastAsia="Calibri" w:cs="Arial"/>
          <w:color w:val="000000"/>
          <w:sz w:val="22"/>
          <w:szCs w:val="22"/>
          <w:lang w:val="es-ES_tradnl" w:eastAsia="en-US"/>
        </w:rPr>
        <w:softHyphen/>
        <w:t xml:space="preserve"> </w:t>
      </w:r>
      <w:r w:rsidRPr="0076750F">
        <w:rPr>
          <w:rFonts w:ascii="Arial" w:hAnsi="Arial" w:eastAsia="Calibri" w:cs="Arial"/>
          <w:color w:val="000000"/>
          <w:sz w:val="22"/>
          <w:szCs w:val="22"/>
          <w:lang w:val="es-ES_tradnl" w:eastAsia="en-US"/>
        </w:rPr>
        <w:softHyphen/>
        <w:t>SECOP–.</w:t>
      </w:r>
    </w:p>
    <w:p w:rsidRPr="00FD7DA9" w:rsidR="009D3E71" w:rsidP="00FD7DA9" w:rsidRDefault="0076750F" w14:paraId="48F66FD0" w14:textId="6449A10C">
      <w:pPr>
        <w:spacing w:before="120" w:after="120" w:line="276" w:lineRule="auto"/>
        <w:ind w:firstLine="709"/>
        <w:jc w:val="both"/>
        <w:rPr>
          <w:rFonts w:ascii="Arial" w:hAnsi="Arial" w:cs="Arial"/>
          <w:color w:val="000000" w:themeColor="text1"/>
          <w:sz w:val="22"/>
          <w:lang w:val="es-ES_tradnl" w:eastAsia="es-ES_tradnl"/>
        </w:rPr>
      </w:pPr>
      <w:r w:rsidRPr="0076750F">
        <w:rPr>
          <w:rFonts w:ascii="Arial" w:hAnsi="Arial" w:cs="Arial"/>
          <w:color w:val="000000"/>
          <w:sz w:val="22"/>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8E6190" w:rsidR="00D25DF6">
        <w:rPr>
          <w:rFonts w:ascii="Arial" w:hAnsi="Arial" w:eastAsia="Calibri" w:cs="Arial"/>
          <w:color w:val="000000" w:themeColor="text1"/>
          <w:sz w:val="22"/>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E6190" w:rsidR="00D25DF6">
        <w:rPr>
          <w:rFonts w:ascii="Arial" w:hAnsi="Arial" w:eastAsia="Calibri" w:cs="Arial"/>
          <w:color w:val="000000" w:themeColor="text1"/>
          <w:sz w:val="22"/>
          <w:vertAlign w:val="superscript"/>
          <w:lang w:val="es-ES_tradnl" w:eastAsia="es-ES_tradnl"/>
        </w:rPr>
        <w:footnoteReference w:id="54"/>
      </w:r>
      <w:r w:rsidRPr="008E6190" w:rsidR="00D25DF6">
        <w:rPr>
          <w:rFonts w:ascii="Arial" w:hAnsi="Arial" w:eastAsia="Calibri" w:cs="Arial"/>
          <w:color w:val="000000" w:themeColor="text1"/>
          <w:sz w:val="22"/>
          <w:lang w:val="es-ES_tradnl" w:eastAsia="es-ES_tradnl"/>
        </w:rPr>
        <w:t>.</w:t>
      </w:r>
    </w:p>
    <w:p w:rsidRPr="00AA07F0" w:rsidR="00AA07F0" w:rsidP="009D3E71" w:rsidRDefault="00CD2C51" w14:paraId="2E250684" w14:textId="6AE0B5F4">
      <w:pPr>
        <w:spacing w:after="160" w:line="276" w:lineRule="auto"/>
        <w:ind w:firstLine="709"/>
        <w:jc w:val="both"/>
        <w:rPr>
          <w:rFonts w:ascii="Arial" w:hAnsi="Arial" w:eastAsia="Calibri" w:cs="Arial"/>
          <w:sz w:val="22"/>
          <w:szCs w:val="22"/>
          <w:lang w:val="es-MX" w:eastAsia="en-US"/>
        </w:rPr>
      </w:pPr>
      <w:r>
        <w:rPr>
          <w:rFonts w:ascii="Arial" w:hAnsi="Arial" w:eastAsia="Calibri" w:cs="Arial"/>
          <w:sz w:val="22"/>
          <w:szCs w:val="22"/>
          <w:lang w:val="es-MX" w:eastAsia="en-US"/>
        </w:rPr>
        <w:t>Como se mencionó previamente</w:t>
      </w:r>
      <w:r w:rsidR="005008E6">
        <w:rPr>
          <w:rFonts w:ascii="Arial" w:hAnsi="Arial" w:eastAsia="Calibri" w:cs="Arial"/>
          <w:sz w:val="22"/>
          <w:szCs w:val="22"/>
          <w:lang w:val="es-MX" w:eastAsia="en-US"/>
        </w:rPr>
        <w:t>, e</w:t>
      </w:r>
      <w:r w:rsidRPr="00AA07F0" w:rsidR="00AA07F0">
        <w:rPr>
          <w:rFonts w:ascii="Arial" w:hAnsi="Arial" w:eastAsia="Calibri" w:cs="Arial"/>
          <w:sz w:val="22"/>
          <w:szCs w:val="22"/>
          <w:lang w:val="es-MX" w:eastAsia="en-US"/>
        </w:rPr>
        <w:t xml:space="preserve">l artículo 3 de la Ley 1150 de 2007 señala que los actos relacionados con los procedimientos de contratación de las entidades estatales pueden ser electrónicos, al igual que su publicidad, por lo que el Gobierno </w:t>
      </w:r>
      <w:r w:rsidR="005D2BD3">
        <w:rPr>
          <w:rFonts w:ascii="Arial" w:hAnsi="Arial" w:eastAsia="Calibri" w:cs="Arial"/>
          <w:sz w:val="22"/>
          <w:szCs w:val="22"/>
          <w:lang w:val="es-MX" w:eastAsia="en-US"/>
        </w:rPr>
        <w:t>N</w:t>
      </w:r>
      <w:r w:rsidRPr="00AA07F0" w:rsidR="00AA07F0">
        <w:rPr>
          <w:rFonts w:ascii="Arial" w:hAnsi="Arial" w:eastAsia="Calibri" w:cs="Arial"/>
          <w:sz w:val="22"/>
          <w:szCs w:val="22"/>
          <w:lang w:val="es-MX" w:eastAsia="en-US"/>
        </w:rPr>
        <w:t>acional debe definir los medios para llevarlo a cabo, y tiene la obligación de desarrollar el SECOP</w:t>
      </w:r>
      <w:r w:rsidRPr="00AA07F0" w:rsidR="00AA07F0">
        <w:rPr>
          <w:rFonts w:ascii="Arial" w:hAnsi="Arial" w:eastAsia="Calibri" w:cs="Arial"/>
          <w:sz w:val="22"/>
          <w:szCs w:val="22"/>
          <w:vertAlign w:val="superscript"/>
          <w:lang w:val="es-MX" w:eastAsia="en-US"/>
        </w:rPr>
        <w:footnoteReference w:id="55"/>
      </w:r>
      <w:r w:rsidRPr="00AA07F0" w:rsidR="00AA07F0">
        <w:rPr>
          <w:rFonts w:ascii="Arial" w:hAnsi="Arial" w:eastAsia="Calibri" w:cs="Arial"/>
          <w:sz w:val="22"/>
          <w:szCs w:val="22"/>
          <w:lang w:val="es-MX" w:eastAsia="en-US"/>
        </w:rPr>
        <w:t xml:space="preserve">. Este </w:t>
      </w:r>
      <w:r w:rsidRPr="00AA07F0" w:rsidR="00AA07F0">
        <w:rPr>
          <w:rFonts w:ascii="Arial" w:hAnsi="Arial" w:eastAsia="Calibri" w:cs="Arial"/>
          <w:sz w:val="22"/>
          <w:szCs w:val="22"/>
          <w:lang w:val="es-MX" w:eastAsia="en-US"/>
        </w:rPr>
        <w:t>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rsidRPr="00AA07F0" w:rsidR="00AA07F0" w:rsidP="00AA07F0" w:rsidRDefault="00AA07F0" w14:paraId="5D77C7EC" w14:textId="77777777">
      <w:pPr>
        <w:spacing w:before="120" w:after="120" w:line="276" w:lineRule="auto"/>
        <w:ind w:firstLine="709"/>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 xml:space="preserve">La norma citada genera un cambio en la contratación pública, donde las actuaciones de las entidades se realizaban por escrito y en papel, y ahora se cuenta con un mecanismo eficiente que reduce costos para que se cumpla el principio de publicidad, como un deber de las </w:t>
      </w:r>
      <w:proofErr w:type="gramStart"/>
      <w:r w:rsidRPr="00AA07F0">
        <w:rPr>
          <w:rFonts w:ascii="Arial" w:hAnsi="Arial" w:eastAsia="Calibri" w:cs="Arial"/>
          <w:sz w:val="22"/>
          <w:szCs w:val="22"/>
          <w:lang w:val="es-MX" w:eastAsia="en-US"/>
        </w:rPr>
        <w:t>autoridades públicas</w:t>
      </w:r>
      <w:proofErr w:type="gramEnd"/>
      <w:r w:rsidRPr="00AA07F0">
        <w:rPr>
          <w:rFonts w:ascii="Arial" w:hAnsi="Arial" w:eastAsia="Calibri" w:cs="Arial"/>
          <w:sz w:val="22"/>
          <w:szCs w:val="22"/>
          <w:lang w:val="es-MX" w:eastAsia="en-US"/>
        </w:rPr>
        <w:t xml:space="preserve"> en el ejercicio de las funciones administrativas que la ley les otorga. No obstante, es necesario aclarar que la norma no impone como requisito que únicamente se deba publicar en el SECOP cuando se ejecuten recursos públicos, ya que el deber de publicidad es amplio. Esto teniendo en cuenta que la obligación está prevista en una norma que aplica a las entidades, sin que sea relevante en el cumplimiento de este deber la ejecución o no de recursos públicos.</w:t>
      </w:r>
    </w:p>
    <w:p w:rsidRPr="00AA07F0" w:rsidR="00AA07F0" w:rsidP="00AA07F0" w:rsidRDefault="00AA07F0" w14:paraId="573D9DFF" w14:textId="77777777">
      <w:pPr>
        <w:spacing w:before="120" w:after="120" w:line="276" w:lineRule="auto"/>
        <w:ind w:firstLine="708"/>
        <w:jc w:val="both"/>
        <w:rPr>
          <w:rFonts w:ascii="Arial" w:hAnsi="Arial" w:eastAsia="Calibri" w:cs="Arial"/>
          <w:sz w:val="22"/>
          <w:szCs w:val="22"/>
          <w:lang w:val="es-MX" w:eastAsia="en-US"/>
        </w:rPr>
      </w:pPr>
      <w:bookmarkStart w:name="_Hlk100222338" w:id="59"/>
      <w:r w:rsidRPr="00AA07F0">
        <w:rPr>
          <w:rFonts w:ascii="Arial" w:hAnsi="Arial" w:eastAsia="Calibri" w:cs="Arial"/>
          <w:sz w:val="22"/>
          <w:szCs w:val="22"/>
          <w:lang w:val="es-MX" w:eastAsia="en-US"/>
        </w:rPr>
        <w:t xml:space="preserve">Además, es preciso analizar en detalle el artículo 3 de la Ley 1150 de 2007, ya que prescribe la obligación de que la actividad contractual de las entidades se publique en el SECOP, sin que esta, necesaria y exclusivamente,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Esto debe armonizarse con el artículo 2.2.1.1.1.7.1. del Decreto 1082 de 2015, que relacionan los documentos que se deben publicar en el SECOP, sin que se haga referencia a aquellos actos que ejecuten recursos públicos. </w:t>
      </w:r>
    </w:p>
    <w:bookmarkEnd w:id="59"/>
    <w:p w:rsidRPr="00AA07F0" w:rsidR="00AA07F0" w:rsidP="00AA07F0" w:rsidRDefault="00AA07F0" w14:paraId="71E323BD" w14:textId="2503DC7A">
      <w:pPr>
        <w:spacing w:before="120" w:after="120" w:line="276" w:lineRule="auto"/>
        <w:ind w:firstLine="708"/>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 xml:space="preserve">Así, analizando las normas sobre publicidad en el SECOP, se concluye que no existen disposiciones de las que se pueda inferir el interés de la ley en exigir la publicación exclusiva de los actos que comprometan la ejecución de recursos públicos, puesto que su objetivo es general y se refiere a la actividad precontractual, contractual y </w:t>
      </w:r>
      <w:proofErr w:type="spellStart"/>
      <w:r w:rsidRPr="00AA07F0">
        <w:rPr>
          <w:rFonts w:ascii="Arial" w:hAnsi="Arial" w:eastAsia="Calibri" w:cs="Arial"/>
          <w:sz w:val="22"/>
          <w:szCs w:val="22"/>
          <w:lang w:val="es-MX" w:eastAsia="en-US"/>
        </w:rPr>
        <w:t>poscontractual</w:t>
      </w:r>
      <w:proofErr w:type="spellEnd"/>
      <w:r w:rsidRPr="00AA07F0">
        <w:rPr>
          <w:rFonts w:ascii="Arial" w:hAnsi="Arial" w:eastAsia="Calibri" w:cs="Arial"/>
          <w:sz w:val="22"/>
          <w:szCs w:val="22"/>
          <w:lang w:val="es-MX" w:eastAsia="en-US"/>
        </w:rPr>
        <w:t xml:space="preserve"> de las entidades, sin que quepa interpretación diferente, debido a la finalidad de la ley respecto de la ciudadanía y su derecho a conocer las decisiones de la Administración </w:t>
      </w:r>
      <w:r w:rsidR="004A1171">
        <w:rPr>
          <w:rFonts w:ascii="Arial" w:hAnsi="Arial" w:eastAsia="Calibri" w:cs="Arial"/>
          <w:sz w:val="22"/>
          <w:szCs w:val="22"/>
          <w:lang w:val="es-MX" w:eastAsia="en-US"/>
        </w:rPr>
        <w:t>P</w:t>
      </w:r>
      <w:r w:rsidRPr="00AA07F0">
        <w:rPr>
          <w:rFonts w:ascii="Arial" w:hAnsi="Arial" w:eastAsia="Calibri" w:cs="Arial"/>
          <w:sz w:val="22"/>
          <w:szCs w:val="22"/>
          <w:lang w:val="es-MX" w:eastAsia="en-US"/>
        </w:rPr>
        <w:t>ública.</w:t>
      </w:r>
    </w:p>
    <w:p w:rsidRPr="00AA07F0" w:rsidR="00AA07F0" w:rsidP="00AA07F0" w:rsidRDefault="00AA07F0" w14:paraId="31DEFD47" w14:textId="77777777">
      <w:pPr>
        <w:spacing w:line="276" w:lineRule="auto"/>
        <w:ind w:firstLine="708"/>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La Corte Constitucional hizo énfasis en la transición de la actividad contractual impresa, que se publicaba en el Diario Único de Contratación, a una contratación pública electrónica desarrollada mediante el SECOP:</w:t>
      </w:r>
    </w:p>
    <w:p w:rsidRPr="00AA07F0" w:rsidR="00AA07F0" w:rsidP="00AA07F0" w:rsidRDefault="00AA07F0" w14:paraId="52A74AC2" w14:textId="77777777">
      <w:pPr>
        <w:spacing w:line="276" w:lineRule="auto"/>
        <w:jc w:val="both"/>
        <w:rPr>
          <w:rFonts w:ascii="Arial" w:hAnsi="Arial" w:eastAsia="Calibri" w:cs="Arial"/>
          <w:sz w:val="22"/>
          <w:szCs w:val="22"/>
          <w:lang w:val="es-MX" w:eastAsia="en-US"/>
        </w:rPr>
      </w:pPr>
    </w:p>
    <w:p w:rsidRPr="00AA07F0" w:rsidR="00AA07F0" w:rsidP="00AA07F0" w:rsidRDefault="00AA07F0" w14:paraId="76EBD6A1" w14:textId="77777777">
      <w:pPr>
        <w:ind w:left="708" w:right="680"/>
        <w:jc w:val="both"/>
        <w:rPr>
          <w:rFonts w:ascii="Arial" w:hAnsi="Arial" w:eastAsia="Calibri" w:cs="Arial"/>
          <w:sz w:val="21"/>
          <w:szCs w:val="21"/>
          <w:lang w:val="es-MX" w:eastAsia="en-US"/>
        </w:rPr>
      </w:pPr>
      <w:r w:rsidRPr="00AA07F0">
        <w:rPr>
          <w:rFonts w:ascii="Arial" w:hAnsi="Arial" w:eastAsia="Calibri" w:cs="Arial"/>
          <w:sz w:val="21"/>
          <w:szCs w:val="21"/>
          <w:lang w:val="es-MX" w:eastAsia="en-U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w:t>
      </w:r>
      <w:r w:rsidRPr="00AA07F0">
        <w:rPr>
          <w:rFonts w:ascii="Arial" w:hAnsi="Arial" w:eastAsia="Calibri" w:cs="Arial"/>
          <w:szCs w:val="22"/>
          <w:lang w:val="es-MX" w:eastAsia="en-US"/>
        </w:rPr>
        <w:t xml:space="preserve"> </w:t>
      </w:r>
      <w:r w:rsidRPr="00AA07F0">
        <w:rPr>
          <w:rFonts w:ascii="Arial" w:hAnsi="Arial" w:eastAsia="Calibri" w:cs="Arial"/>
          <w:sz w:val="21"/>
          <w:szCs w:val="21"/>
          <w:lang w:val="es-MX" w:eastAsia="en-US"/>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rsidRPr="00AA07F0" w:rsidR="00AA07F0" w:rsidP="00AA07F0" w:rsidRDefault="00AA07F0" w14:paraId="5095DCBE" w14:textId="77777777">
      <w:pPr>
        <w:ind w:left="708" w:right="680"/>
        <w:jc w:val="both"/>
        <w:rPr>
          <w:rFonts w:ascii="Arial" w:hAnsi="Arial" w:eastAsia="Calibri" w:cs="Arial"/>
          <w:sz w:val="21"/>
          <w:szCs w:val="21"/>
          <w:lang w:val="es-MX" w:eastAsia="en-US"/>
        </w:rPr>
      </w:pPr>
    </w:p>
    <w:p w:rsidRPr="00AA07F0" w:rsidR="00AA07F0" w:rsidP="00AA07F0" w:rsidRDefault="00AA07F0" w14:paraId="2042416A" w14:textId="77777777">
      <w:pPr>
        <w:ind w:left="708" w:right="680"/>
        <w:jc w:val="both"/>
        <w:rPr>
          <w:rFonts w:ascii="Arial" w:hAnsi="Arial" w:eastAsia="Calibri" w:cs="Arial"/>
          <w:sz w:val="21"/>
          <w:szCs w:val="21"/>
          <w:lang w:val="es-MX" w:eastAsia="en-US"/>
        </w:rPr>
      </w:pPr>
      <w:r w:rsidRPr="00AA07F0">
        <w:rPr>
          <w:rFonts w:ascii="Arial" w:hAnsi="Arial" w:eastAsia="Calibri" w:cs="Arial"/>
          <w:sz w:val="21"/>
          <w:szCs w:val="21"/>
          <w:lang w:val="es-MX" w:eastAsia="en-US"/>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Pr="00AA07F0">
        <w:rPr>
          <w:rFonts w:ascii="Arial" w:hAnsi="Arial" w:eastAsia="Calibri" w:cs="Arial"/>
          <w:sz w:val="22"/>
          <w:szCs w:val="22"/>
          <w:vertAlign w:val="superscript"/>
          <w:lang w:val="es-MX" w:eastAsia="en-US"/>
        </w:rPr>
        <w:footnoteReference w:id="56"/>
      </w:r>
      <w:r w:rsidRPr="00AA07F0">
        <w:rPr>
          <w:rFonts w:ascii="Arial" w:hAnsi="Arial" w:eastAsia="Calibri" w:cs="Arial"/>
          <w:sz w:val="21"/>
          <w:szCs w:val="21"/>
          <w:lang w:val="es-MX" w:eastAsia="en-US"/>
        </w:rPr>
        <w:t>.</w:t>
      </w:r>
    </w:p>
    <w:p w:rsidRPr="00AA07F0" w:rsidR="00AA07F0" w:rsidP="00AA07F0" w:rsidRDefault="00AA07F0" w14:paraId="28D43190" w14:textId="77777777">
      <w:pPr>
        <w:spacing w:line="276" w:lineRule="auto"/>
        <w:ind w:left="708" w:right="680"/>
        <w:jc w:val="both"/>
        <w:rPr>
          <w:rFonts w:ascii="Arial" w:hAnsi="Arial" w:eastAsia="Calibri" w:cs="Arial"/>
          <w:sz w:val="21"/>
          <w:szCs w:val="21"/>
          <w:lang w:val="es-MX" w:eastAsia="en-US"/>
        </w:rPr>
      </w:pPr>
    </w:p>
    <w:p w:rsidRPr="00AA07F0" w:rsidR="00AA07F0" w:rsidP="00AA07F0" w:rsidRDefault="00AA07F0" w14:paraId="6F7E21AC" w14:textId="0575FC4D">
      <w:pPr>
        <w:spacing w:line="276" w:lineRule="auto"/>
        <w:ind w:right="49" w:firstLine="708"/>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 xml:space="preserve">De acuerdo con lo anterior, sobre la obligatoriedad de publicar en el SECOP contratos de arrendamiento ya se había pronunciado esta Agencia en </w:t>
      </w:r>
      <w:r w:rsidR="00B81037">
        <w:rPr>
          <w:rFonts w:ascii="Arial" w:hAnsi="Arial" w:eastAsia="Calibri" w:cs="Arial"/>
          <w:sz w:val="22"/>
          <w:szCs w:val="22"/>
          <w:lang w:val="es-MX" w:eastAsia="en-US"/>
        </w:rPr>
        <w:t>los</w:t>
      </w:r>
      <w:r w:rsidRPr="00AA07F0">
        <w:rPr>
          <w:rFonts w:ascii="Arial" w:hAnsi="Arial" w:eastAsia="Calibri" w:cs="Arial"/>
          <w:sz w:val="22"/>
          <w:szCs w:val="22"/>
          <w:lang w:val="es-MX" w:eastAsia="en-US"/>
        </w:rPr>
        <w:t xml:space="preserve"> concepto</w:t>
      </w:r>
      <w:r w:rsidR="00B81037">
        <w:rPr>
          <w:rFonts w:ascii="Arial" w:hAnsi="Arial" w:eastAsia="Calibri" w:cs="Arial"/>
          <w:sz w:val="22"/>
          <w:szCs w:val="22"/>
          <w:lang w:val="es-MX" w:eastAsia="en-US"/>
        </w:rPr>
        <w:t>s</w:t>
      </w:r>
      <w:r w:rsidRPr="00AA07F0">
        <w:rPr>
          <w:rFonts w:ascii="Arial" w:hAnsi="Arial" w:eastAsia="Calibri" w:cs="Arial"/>
          <w:sz w:val="22"/>
          <w:szCs w:val="22"/>
          <w:lang w:val="es-MX" w:eastAsia="en-US"/>
        </w:rPr>
        <w:t xml:space="preserve"> C-087 del 4 marzo de 2020</w:t>
      </w:r>
      <w:r w:rsidR="00817AF6">
        <w:rPr>
          <w:rFonts w:ascii="Arial" w:hAnsi="Arial" w:eastAsia="Calibri" w:cs="Arial"/>
          <w:sz w:val="22"/>
          <w:szCs w:val="22"/>
          <w:lang w:val="es-MX" w:eastAsia="en-US"/>
        </w:rPr>
        <w:t xml:space="preserve"> y C-026 </w:t>
      </w:r>
      <w:r w:rsidR="00817AF6">
        <w:rPr>
          <w:rFonts w:ascii="Arial" w:hAnsi="Arial" w:eastAsia="Calibri" w:cs="Arial"/>
          <w:bCs/>
          <w:color w:val="000000" w:themeColor="text1"/>
          <w:sz w:val="22"/>
          <w:lang w:val="es-ES_tradnl"/>
        </w:rPr>
        <w:t>del 28 de febrero de 2022</w:t>
      </w:r>
      <w:r w:rsidRPr="00AA07F0">
        <w:rPr>
          <w:rFonts w:ascii="Arial" w:hAnsi="Arial" w:eastAsia="Calibri" w:cs="Arial"/>
          <w:sz w:val="22"/>
          <w:szCs w:val="22"/>
          <w:lang w:val="es-MX" w:eastAsia="en-US"/>
        </w:rPr>
        <w:t xml:space="preserve">, </w:t>
      </w:r>
      <w:r w:rsidR="00A9767A">
        <w:rPr>
          <w:rFonts w:ascii="Arial" w:hAnsi="Arial" w:eastAsia="Calibri" w:cs="Arial"/>
          <w:sz w:val="22"/>
          <w:szCs w:val="22"/>
          <w:lang w:val="es-MX" w:eastAsia="en-US"/>
        </w:rPr>
        <w:t>en los que</w:t>
      </w:r>
      <w:r w:rsidRPr="00AA07F0">
        <w:rPr>
          <w:rFonts w:ascii="Arial" w:hAnsi="Arial" w:eastAsia="Calibri" w:cs="Arial"/>
          <w:sz w:val="22"/>
          <w:szCs w:val="22"/>
          <w:lang w:val="es-MX" w:eastAsia="en-US"/>
        </w:rPr>
        <w:t xml:space="preserve"> consideró </w:t>
      </w:r>
      <w:r w:rsidR="00A9767A">
        <w:rPr>
          <w:rFonts w:ascii="Arial" w:hAnsi="Arial" w:eastAsia="Calibri" w:cs="Arial"/>
          <w:sz w:val="22"/>
          <w:szCs w:val="22"/>
          <w:lang w:val="es-MX" w:eastAsia="en-US"/>
        </w:rPr>
        <w:t>lo siguiente</w:t>
      </w:r>
      <w:r w:rsidRPr="00AA07F0">
        <w:rPr>
          <w:rFonts w:ascii="Arial" w:hAnsi="Arial" w:eastAsia="Calibri" w:cs="Arial"/>
          <w:sz w:val="22"/>
          <w:szCs w:val="22"/>
          <w:lang w:val="es-MX" w:eastAsia="en-US"/>
        </w:rPr>
        <w:t>:</w:t>
      </w:r>
    </w:p>
    <w:p w:rsidRPr="00AA07F0" w:rsidR="00AA07F0" w:rsidP="00AA07F0" w:rsidRDefault="00AA07F0" w14:paraId="54DEC4CF" w14:textId="77777777">
      <w:pPr>
        <w:spacing w:line="276" w:lineRule="auto"/>
        <w:ind w:right="49" w:firstLine="708"/>
        <w:jc w:val="both"/>
        <w:rPr>
          <w:rFonts w:ascii="Arial" w:hAnsi="Arial" w:eastAsia="Calibri" w:cs="Arial"/>
          <w:sz w:val="22"/>
          <w:szCs w:val="22"/>
          <w:lang w:val="es-MX" w:eastAsia="en-US"/>
        </w:rPr>
      </w:pPr>
    </w:p>
    <w:p w:rsidRPr="00AA07F0" w:rsidR="00AA07F0" w:rsidP="00AA07F0" w:rsidRDefault="00AA07F0" w14:paraId="013126D3" w14:textId="77777777">
      <w:pPr>
        <w:ind w:left="709" w:right="709"/>
        <w:jc w:val="both"/>
        <w:rPr>
          <w:rFonts w:ascii="Arial" w:hAnsi="Arial" w:eastAsia="Calibri" w:cs="Arial"/>
          <w:sz w:val="21"/>
          <w:szCs w:val="21"/>
          <w:lang w:val="es-MX" w:eastAsia="en-US"/>
        </w:rPr>
      </w:pPr>
      <w:r w:rsidRPr="00AA07F0">
        <w:rPr>
          <w:rFonts w:ascii="Arial" w:hAnsi="Arial" w:eastAsia="Calibri" w:cs="Arial"/>
          <w:sz w:val="21"/>
          <w:szCs w:val="21"/>
          <w:lang w:val="es-MX" w:eastAsia="en-US"/>
        </w:rPr>
        <w:t>[…] la obligatoriedad de publicar las actuaciones contractuales de las entidades no está sujeta a la ejecución de recursos públicos, por ende, las entidades deben publicar los documentos relacionados con sus procedimientos contractuales, que según el artículo 2.2.1.1.1.3.1. del Decreto 1082 de 2015, incluyen el contrato y cualquier otro documento expedido por la entidad en el desarrollo de esa actividad</w:t>
      </w:r>
      <w:r w:rsidRPr="00AA07F0">
        <w:rPr>
          <w:rFonts w:ascii="Arial" w:hAnsi="Arial" w:eastAsia="Calibri" w:cs="Arial"/>
          <w:sz w:val="21"/>
          <w:szCs w:val="21"/>
          <w:vertAlign w:val="superscript"/>
          <w:lang w:val="es-MX" w:eastAsia="en-US"/>
        </w:rPr>
        <w:footnoteReference w:id="57"/>
      </w:r>
      <w:r w:rsidRPr="00AA07F0">
        <w:rPr>
          <w:rFonts w:ascii="Arial" w:hAnsi="Arial" w:eastAsia="Calibri" w:cs="Arial"/>
          <w:sz w:val="21"/>
          <w:szCs w:val="21"/>
          <w:lang w:val="es-MX" w:eastAsia="en-US"/>
        </w:rPr>
        <w:t>.</w:t>
      </w:r>
    </w:p>
    <w:p w:rsidRPr="00AA07F0" w:rsidR="00AA07F0" w:rsidP="00AA07F0" w:rsidRDefault="00AA07F0" w14:paraId="55AB1629" w14:textId="77777777">
      <w:pPr>
        <w:spacing w:line="276" w:lineRule="auto"/>
        <w:ind w:left="708" w:right="680"/>
        <w:jc w:val="both"/>
        <w:rPr>
          <w:rFonts w:ascii="Arial" w:hAnsi="Arial" w:eastAsia="Calibri" w:cs="Arial"/>
          <w:sz w:val="21"/>
          <w:szCs w:val="21"/>
          <w:lang w:val="es-MX" w:eastAsia="en-US"/>
        </w:rPr>
      </w:pPr>
    </w:p>
    <w:p w:rsidRPr="00AA07F0" w:rsidR="00AA07F0" w:rsidP="00AA07F0" w:rsidRDefault="00AA07F0" w14:paraId="1F7E14DD" w14:textId="77777777">
      <w:pPr>
        <w:spacing w:after="120" w:line="276" w:lineRule="auto"/>
        <w:ind w:firstLine="709"/>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Debe precisarse que la calidad de contrato estatal obedece a un criterio eminentemente orgánico</w:t>
      </w:r>
      <w:r w:rsidRPr="00AA07F0">
        <w:rPr>
          <w:rFonts w:ascii="Arial" w:hAnsi="Arial" w:eastAsia="Calibri" w:cs="Arial"/>
          <w:sz w:val="22"/>
          <w:szCs w:val="22"/>
          <w:vertAlign w:val="superscript"/>
          <w:lang w:val="es-MX" w:eastAsia="en-US"/>
        </w:rPr>
        <w:footnoteReference w:id="58"/>
      </w:r>
      <w:r w:rsidRPr="00AA07F0">
        <w:rPr>
          <w:rFonts w:ascii="Arial" w:hAnsi="Arial" w:eastAsia="Calibri" w:cs="Arial"/>
          <w:sz w:val="22"/>
          <w:szCs w:val="22"/>
          <w:lang w:val="es-MX" w:eastAsia="en-US"/>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sí solas gobiernen el grueso de las relaciones contractuales de las entidades estatales –de acuerdo con el artículo 2 </w:t>
      </w:r>
      <w:proofErr w:type="spellStart"/>
      <w:r w:rsidRPr="00AA07F0">
        <w:rPr>
          <w:rFonts w:ascii="Arial" w:hAnsi="Arial" w:eastAsia="Calibri" w:cs="Arial"/>
          <w:i/>
          <w:iCs/>
          <w:sz w:val="22"/>
          <w:szCs w:val="22"/>
          <w:lang w:val="es-MX" w:eastAsia="en-US"/>
        </w:rPr>
        <w:t>Ibídem</w:t>
      </w:r>
      <w:proofErr w:type="spellEnd"/>
      <w:r w:rsidRPr="00AA07F0">
        <w:rPr>
          <w:rFonts w:ascii="Arial" w:hAnsi="Arial" w:eastAsia="Calibri" w:cs="Arial"/>
          <w:sz w:val="22"/>
          <w:szCs w:val="22"/>
          <w:lang w:val="es-MX" w:eastAsia="en-US"/>
        </w:rPr>
        <w:t>–. Por el contrario, constituyen una serie de reglas y principios que deben aplicarse de manera prevalente en los contratos que celebren dichos entes, pero que deben complementarse con el derecho privado, –tal como se desprende de los artículos 13 y 40 de la Ley 80 de 1993</w:t>
      </w:r>
      <w:r w:rsidRPr="00AA07F0">
        <w:rPr>
          <w:rFonts w:ascii="Arial" w:hAnsi="Arial" w:eastAsia="Calibri" w:cs="Arial"/>
          <w:sz w:val="22"/>
          <w:szCs w:val="22"/>
          <w:vertAlign w:val="superscript"/>
          <w:lang w:val="es-MX" w:eastAsia="en-US"/>
        </w:rPr>
        <w:footnoteReference w:id="59"/>
      </w:r>
      <w:r w:rsidRPr="00AA07F0">
        <w:rPr>
          <w:rFonts w:ascii="Arial" w:hAnsi="Arial" w:eastAsia="Calibri" w:cs="Arial"/>
          <w:sz w:val="22"/>
          <w:szCs w:val="22"/>
          <w:lang w:val="es-MX" w:eastAsia="en-US"/>
        </w:rPr>
        <w:t>– ámbito jurídico del que surgen la gran mayoría de tipologías contractuales celebradas por las entidades públicas.</w:t>
      </w:r>
    </w:p>
    <w:p w:rsidRPr="00AA07F0" w:rsidR="00AA07F0" w:rsidP="00AA07F0" w:rsidRDefault="00AA07F0" w14:paraId="42F32BCA" w14:textId="6706BEBF">
      <w:pPr>
        <w:spacing w:after="120" w:line="276" w:lineRule="auto"/>
        <w:ind w:firstLine="709"/>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 xml:space="preserve">De acuerdo con esto, las 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en los que además de las disposiciones del EGCAP deberán aplicarse en su mayoría normas de derecho privado, lo que de ninguna manera desvirtúa la calidad de estatal de dichos contratos. </w:t>
      </w:r>
    </w:p>
    <w:p w:rsidR="002E0D15" w:rsidP="006C6C26" w:rsidRDefault="00AA07F0" w14:paraId="67EA3F69" w14:textId="385482EA">
      <w:pPr>
        <w:spacing w:line="276" w:lineRule="auto"/>
        <w:ind w:firstLine="709"/>
        <w:jc w:val="both"/>
        <w:rPr>
          <w:rFonts w:ascii="Arial" w:hAnsi="Arial" w:eastAsia="Calibri" w:cs="Arial"/>
          <w:sz w:val="22"/>
          <w:szCs w:val="22"/>
          <w:lang w:val="es-MX" w:eastAsia="en-US"/>
        </w:rPr>
      </w:pPr>
      <w:r w:rsidRPr="00AA07F0">
        <w:rPr>
          <w:rFonts w:ascii="Arial" w:hAnsi="Arial" w:eastAsia="Calibri" w:cs="Arial"/>
          <w:sz w:val="22"/>
          <w:szCs w:val="22"/>
          <w:lang w:val="es-MX" w:eastAsia="en-US"/>
        </w:rPr>
        <w:t xml:space="preserve">Dicha calidad de contrato estatal tampoco depende de que la relación contractual implique o no la erogación de recursos públicos, pues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 </w:t>
      </w:r>
    </w:p>
    <w:p w:rsidRPr="00E459AA" w:rsidR="00E459AA" w:rsidP="00E459AA" w:rsidRDefault="002E0D15" w14:paraId="70DE9744" w14:textId="563F195A">
      <w:pPr>
        <w:spacing w:before="120" w:line="276" w:lineRule="auto"/>
        <w:ind w:firstLine="709"/>
        <w:jc w:val="both"/>
        <w:rPr>
          <w:rFonts w:ascii="Arial" w:hAnsi="Arial" w:eastAsia="Calibri" w:cs="Arial"/>
          <w:color w:val="000000"/>
          <w:sz w:val="22"/>
          <w:szCs w:val="22"/>
          <w:lang w:val="es-ES_tradnl" w:eastAsia="es-ES_tradnl"/>
        </w:rPr>
      </w:pPr>
      <w:r w:rsidRPr="003513C1">
        <w:rPr>
          <w:rFonts w:ascii="Arial" w:hAnsi="Arial" w:eastAsia="Calibri" w:cs="Arial"/>
          <w:sz w:val="22"/>
          <w:szCs w:val="22"/>
          <w:lang w:val="es-MX" w:eastAsia="en-US"/>
        </w:rPr>
        <w:t>Por otra parte, conviene mencionar que</w:t>
      </w:r>
      <w:r w:rsidRPr="003513C1" w:rsidR="003513C1">
        <w:rPr>
          <w:rFonts w:ascii="Arial" w:hAnsi="Arial" w:eastAsia="Calibri" w:cs="Arial"/>
          <w:sz w:val="22"/>
          <w:szCs w:val="22"/>
          <w:lang w:val="es-MX" w:eastAsia="en-US"/>
        </w:rPr>
        <w:t xml:space="preserve">, </w:t>
      </w:r>
      <w:r w:rsidRPr="00E459AA" w:rsidR="00E459AA">
        <w:rPr>
          <w:rFonts w:ascii="Arial" w:hAnsi="Arial" w:eastAsia="Calibri" w:cs="Arial"/>
          <w:color w:val="000000"/>
          <w:sz w:val="22"/>
          <w:szCs w:val="22"/>
          <w:lang w:val="es-ES_tradnl" w:eastAsia="es-ES_tradnl"/>
        </w:rPr>
        <w:t>el artículo 53 de la Ley 2195 de 2022</w:t>
      </w:r>
      <w:r w:rsidR="00580A3F">
        <w:rPr>
          <w:rFonts w:ascii="Arial" w:hAnsi="Arial" w:eastAsia="Calibri" w:cs="Arial"/>
          <w:color w:val="000000"/>
          <w:sz w:val="22"/>
          <w:szCs w:val="22"/>
          <w:lang w:val="es-ES_tradnl" w:eastAsia="es-ES_tradnl"/>
        </w:rPr>
        <w:t>,</w:t>
      </w:r>
      <w:r w:rsidRPr="00E459AA" w:rsidR="00E459AA">
        <w:rPr>
          <w:rFonts w:ascii="Arial" w:hAnsi="Arial" w:eastAsia="Calibri" w:cs="Arial"/>
          <w:color w:val="000000"/>
          <w:sz w:val="22"/>
          <w:szCs w:val="22"/>
          <w:lang w:val="es-ES_tradnl" w:eastAsia="es-ES_tradnl"/>
        </w:rPr>
        <w:t xml:space="preserve"> hace obligatorio el uso del SECOP II para las entidades exceptuadas del Estatuto General de Contratación de la Administración Pública. En efecto, esta norma dispone:</w:t>
      </w:r>
    </w:p>
    <w:p w:rsidRPr="00E459AA" w:rsidR="00E459AA" w:rsidP="00E459AA" w:rsidRDefault="00E459AA" w14:paraId="265DFB20" w14:textId="77777777">
      <w:pPr>
        <w:ind w:left="709" w:right="709"/>
        <w:jc w:val="both"/>
        <w:rPr>
          <w:rFonts w:ascii="Arial" w:hAnsi="Arial" w:eastAsia="Calibri" w:cs="Arial"/>
          <w:color w:val="000000"/>
          <w:sz w:val="21"/>
          <w:szCs w:val="21"/>
          <w:lang w:val="es-ES_tradnl" w:eastAsia="es-ES_tradnl"/>
        </w:rPr>
      </w:pPr>
    </w:p>
    <w:p w:rsidRPr="00E459AA" w:rsidR="00E459AA" w:rsidP="00E459AA" w:rsidRDefault="00E459AA" w14:paraId="7E77B1FE" w14:textId="77777777">
      <w:pPr>
        <w:ind w:left="709" w:right="709"/>
        <w:jc w:val="both"/>
        <w:rPr>
          <w:rFonts w:ascii="Arial" w:hAnsi="Arial" w:eastAsia="Calibri" w:cs="Arial"/>
          <w:sz w:val="21"/>
          <w:szCs w:val="21"/>
          <w:lang w:eastAsia="es-ES_tradnl"/>
        </w:rPr>
      </w:pPr>
      <w:r w:rsidRPr="00E459AA">
        <w:rPr>
          <w:rFonts w:ascii="Arial" w:hAnsi="Arial" w:eastAsia="Calibri" w:cs="Arial"/>
          <w:sz w:val="21"/>
          <w:szCs w:val="21"/>
          <w:lang w:eastAsia="es-ES_tradnl"/>
        </w:rPr>
        <w:t>Adiciónese los siguientes incisos al artículo 13 de la Ley 1150 de 2007, el cual quedará así:</w:t>
      </w:r>
    </w:p>
    <w:p w:rsidRPr="00E459AA" w:rsidR="00E459AA" w:rsidP="00E459AA" w:rsidRDefault="00E459AA" w14:paraId="50F46664" w14:textId="77777777">
      <w:pPr>
        <w:ind w:left="709" w:right="709"/>
        <w:jc w:val="both"/>
        <w:rPr>
          <w:rFonts w:ascii="Arial" w:hAnsi="Arial" w:eastAsia="Calibri" w:cs="Arial"/>
          <w:sz w:val="21"/>
          <w:szCs w:val="21"/>
          <w:lang w:eastAsia="es-ES_tradnl"/>
        </w:rPr>
      </w:pPr>
    </w:p>
    <w:p w:rsidRPr="00E459AA" w:rsidR="00E459AA" w:rsidP="00E459AA" w:rsidRDefault="00E459AA" w14:paraId="4B08F3C0" w14:textId="77777777">
      <w:pPr>
        <w:ind w:left="709" w:right="709"/>
        <w:jc w:val="both"/>
        <w:rPr>
          <w:rFonts w:ascii="Arial" w:hAnsi="Arial" w:eastAsia="Calibri" w:cs="Arial"/>
          <w:sz w:val="21"/>
          <w:szCs w:val="21"/>
          <w:lang w:eastAsia="es-ES_tradnl"/>
        </w:rPr>
      </w:pPr>
      <w:r w:rsidRPr="00E459AA">
        <w:rPr>
          <w:rFonts w:ascii="Arial" w:hAnsi="Arial" w:eastAsia="Calibri" w:cs="Arial"/>
          <w:sz w:val="21"/>
          <w:szCs w:val="21"/>
          <w:lang w:eastAsia="es-ES_tradnl"/>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rsidRPr="00E459AA" w:rsidR="00E459AA" w:rsidP="00E459AA" w:rsidRDefault="00E459AA" w14:paraId="317BFC65" w14:textId="77777777">
      <w:pPr>
        <w:ind w:left="709" w:right="709"/>
        <w:jc w:val="both"/>
        <w:rPr>
          <w:rFonts w:ascii="Arial" w:hAnsi="Arial" w:eastAsia="Calibri" w:cs="Arial"/>
          <w:sz w:val="21"/>
          <w:szCs w:val="21"/>
          <w:lang w:eastAsia="es-ES_tradnl"/>
        </w:rPr>
      </w:pPr>
    </w:p>
    <w:p w:rsidRPr="00E459AA" w:rsidR="00E459AA" w:rsidP="00E459AA" w:rsidRDefault="00E459AA" w14:paraId="7C8E7AE4" w14:textId="77777777">
      <w:pPr>
        <w:ind w:left="709" w:right="709"/>
        <w:jc w:val="both"/>
        <w:rPr>
          <w:rFonts w:ascii="Arial" w:hAnsi="Arial" w:eastAsia="Calibri" w:cs="Arial"/>
          <w:sz w:val="21"/>
          <w:szCs w:val="21"/>
          <w:lang w:eastAsia="es-ES_tradnl"/>
        </w:rPr>
      </w:pPr>
      <w:r w:rsidRPr="00E459AA">
        <w:rPr>
          <w:rFonts w:ascii="Arial" w:hAnsi="Arial" w:eastAsia="Calibri" w:cs="Arial"/>
          <w:sz w:val="21"/>
          <w:szCs w:val="21"/>
          <w:lang w:eastAsia="es-ES_tradnl"/>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E459AA">
        <w:rPr>
          <w:rFonts w:ascii="Arial" w:hAnsi="Arial" w:eastAsia="Calibri" w:cs="Arial"/>
          <w:sz w:val="21"/>
          <w:szCs w:val="21"/>
          <w:lang w:eastAsia="es-ES_tradnl"/>
        </w:rPr>
        <w:t>postcontractual</w:t>
      </w:r>
      <w:proofErr w:type="spellEnd"/>
      <w:r w:rsidRPr="00E459AA">
        <w:rPr>
          <w:rFonts w:ascii="Arial" w:hAnsi="Arial" w:eastAsia="Calibri" w:cs="Arial"/>
          <w:sz w:val="21"/>
          <w:szCs w:val="21"/>
          <w:lang w:eastAsia="es-ES_tradnl"/>
        </w:rPr>
        <w:t>.</w:t>
      </w:r>
    </w:p>
    <w:p w:rsidRPr="00E459AA" w:rsidR="00E459AA" w:rsidP="00E459AA" w:rsidRDefault="00E459AA" w14:paraId="010D729F" w14:textId="77777777">
      <w:pPr>
        <w:ind w:left="709" w:right="709"/>
        <w:jc w:val="both"/>
        <w:rPr>
          <w:rFonts w:ascii="Arial" w:hAnsi="Arial" w:eastAsia="Calibri" w:cs="Arial"/>
          <w:sz w:val="21"/>
          <w:szCs w:val="21"/>
          <w:lang w:eastAsia="es-ES_tradnl"/>
        </w:rPr>
      </w:pPr>
    </w:p>
    <w:p w:rsidRPr="00E459AA" w:rsidR="00E459AA" w:rsidP="00E459AA" w:rsidRDefault="00E459AA" w14:paraId="7BF2DF8D" w14:textId="77777777">
      <w:pPr>
        <w:ind w:left="709" w:right="709"/>
        <w:jc w:val="both"/>
        <w:rPr>
          <w:rFonts w:ascii="Arial" w:hAnsi="Arial" w:eastAsia="Calibri" w:cs="Arial"/>
          <w:sz w:val="21"/>
          <w:szCs w:val="21"/>
          <w:lang w:eastAsia="es-ES_tradnl"/>
        </w:rPr>
      </w:pPr>
      <w:r w:rsidRPr="00E459AA">
        <w:rPr>
          <w:rFonts w:ascii="Arial" w:hAnsi="Arial" w:eastAsia="Calibri" w:cs="Arial"/>
          <w:sz w:val="21"/>
          <w:szCs w:val="21"/>
          <w:lang w:eastAsia="es-ES_tradnl"/>
        </w:rPr>
        <w:t xml:space="preserve">A partir de la </w:t>
      </w:r>
      <w:proofErr w:type="gramStart"/>
      <w:r w:rsidRPr="00E459AA">
        <w:rPr>
          <w:rFonts w:ascii="Arial" w:hAnsi="Arial" w:eastAsia="Calibri" w:cs="Arial"/>
          <w:sz w:val="21"/>
          <w:szCs w:val="21"/>
          <w:lang w:eastAsia="es-ES_tradnl"/>
        </w:rPr>
        <w:t>entrada en vigencia</w:t>
      </w:r>
      <w:proofErr w:type="gramEnd"/>
      <w:r w:rsidRPr="00E459AA">
        <w:rPr>
          <w:rFonts w:ascii="Arial" w:hAnsi="Arial" w:eastAsia="Calibri" w:cs="Arial"/>
          <w:sz w:val="21"/>
          <w:szCs w:val="21"/>
          <w:lang w:eastAsia="es-ES_tradnl"/>
        </w:rPr>
        <w:t xml:space="preserve"> de la presente Ley, se establecerá un periodo de transición de seis (6) meses, para que las entidades den cumplimiento efectivo a lo aquí establecido.</w:t>
      </w:r>
    </w:p>
    <w:p w:rsidRPr="00E459AA" w:rsidR="00E459AA" w:rsidP="00E459AA" w:rsidRDefault="00E459AA" w14:paraId="2F77215B" w14:textId="77777777">
      <w:pPr>
        <w:spacing w:line="276" w:lineRule="auto"/>
        <w:ind w:firstLine="709"/>
        <w:jc w:val="both"/>
        <w:rPr>
          <w:rFonts w:ascii="Arial" w:hAnsi="Arial" w:eastAsia="Calibri" w:cs="Arial"/>
          <w:color w:val="000000"/>
          <w:sz w:val="22"/>
          <w:szCs w:val="22"/>
          <w:lang w:val="es-ES_tradnl" w:eastAsia="es-ES_tradnl"/>
        </w:rPr>
      </w:pPr>
    </w:p>
    <w:p w:rsidR="00E459AA" w:rsidP="00FD7DA9" w:rsidRDefault="00E459AA" w14:paraId="08476C1D" w14:textId="1249AF6C">
      <w:pPr>
        <w:spacing w:after="120" w:line="276" w:lineRule="auto"/>
        <w:ind w:firstLine="709"/>
        <w:jc w:val="both"/>
        <w:rPr>
          <w:rFonts w:ascii="Arial" w:hAnsi="Arial" w:eastAsia="Calibri" w:cs="Arial"/>
          <w:color w:val="000000"/>
          <w:sz w:val="22"/>
          <w:szCs w:val="22"/>
          <w:lang w:val="es-ES_tradnl" w:eastAsia="es-ES_tradnl"/>
        </w:rPr>
      </w:pPr>
      <w:r w:rsidRPr="00E459AA">
        <w:rPr>
          <w:rFonts w:ascii="Arial" w:hAnsi="Arial" w:eastAsia="Calibri" w:cs="Arial"/>
          <w:color w:val="000000"/>
          <w:sz w:val="22"/>
          <w:szCs w:val="22"/>
          <w:lang w:val="es-ES_tradnl" w:eastAsia="es-ES_tradnl"/>
        </w:rPr>
        <w:t>Como puede observarse, aunque la publicación en el SECOP de los documentos relacionados con la actividad contractual ya era obligatoria –lo sigue siendo– para las entidades que cuentan con un régimen especial, el artículo 53 de la Ley 2195 de 2022 –</w:t>
      </w:r>
      <w:r w:rsidRPr="00E459AA">
        <w:rPr>
          <w:rFonts w:ascii="Arial" w:hAnsi="Arial" w:eastAsia="Calibri" w:cs="Arial"/>
          <w:color w:val="000000"/>
          <w:sz w:val="22"/>
          <w:szCs w:val="22"/>
          <w:lang w:val="es-ES_tradnl" w:eastAsia="es-ES_tradnl"/>
        </w:rPr>
        <w:t xml:space="preserve">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rsidRPr="00E459AA" w:rsidR="00B95DA5" w:rsidP="00E459AA" w:rsidRDefault="00B95DA5" w14:paraId="2FDB7ACE" w14:textId="08F67187">
      <w:pPr>
        <w:spacing w:line="276" w:lineRule="auto"/>
        <w:ind w:firstLine="709"/>
        <w:jc w:val="both"/>
        <w:rPr>
          <w:rFonts w:ascii="Arial" w:hAnsi="Arial" w:eastAsia="Calibri" w:cs="Arial"/>
          <w:color w:val="000000"/>
          <w:sz w:val="22"/>
          <w:szCs w:val="22"/>
          <w:lang w:val="es-ES_tradnl" w:eastAsia="es-ES_tradnl"/>
        </w:rPr>
      </w:pPr>
      <w:r>
        <w:rPr>
          <w:rStyle w:val="normaltextrun"/>
          <w:rFonts w:ascii="Arial" w:hAnsi="Arial" w:cs="Arial"/>
          <w:color w:val="000000"/>
          <w:sz w:val="22"/>
          <w:szCs w:val="22"/>
          <w:shd w:val="clear" w:color="auto" w:fill="FFFFFF"/>
          <w:lang w:val="es-ES"/>
        </w:rPr>
        <w:t>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r>
        <w:rPr>
          <w:rStyle w:val="eop"/>
          <w:rFonts w:ascii="Arial" w:hAnsi="Arial" w:cs="Arial"/>
          <w:color w:val="000000"/>
          <w:sz w:val="22"/>
          <w:shd w:val="clear" w:color="auto" w:fill="FFFFFF"/>
        </w:rPr>
        <w:t> </w:t>
      </w:r>
    </w:p>
    <w:p w:rsidRPr="0067072C" w:rsidR="00AA07F0" w:rsidP="10E286E2" w:rsidRDefault="0067072C" w14:paraId="35ED479D" w14:textId="3B6F9915" w14:noSpellErr="1">
      <w:pPr>
        <w:spacing w:before="120" w:line="276" w:lineRule="auto"/>
        <w:ind w:firstLine="709"/>
        <w:jc w:val="both"/>
        <w:rPr>
          <w:rFonts w:ascii="Arial" w:hAnsi="Arial" w:eastAsia="Calibri" w:cs="Arial"/>
          <w:color w:val="000000"/>
          <w:sz w:val="22"/>
          <w:szCs w:val="22"/>
          <w:lang w:val="es-ES" w:eastAsia="es-ES"/>
        </w:rPr>
      </w:pPr>
      <w:r w:rsidRPr="10E286E2" w:rsidR="0067072C">
        <w:rPr>
          <w:rFonts w:ascii="Arial" w:hAnsi="Arial" w:eastAsia="Calibri" w:cs="Arial"/>
          <w:color w:val="000000"/>
          <w:sz w:val="22"/>
          <w:szCs w:val="22"/>
          <w:lang w:val="es-ES" w:eastAsia="es-ES"/>
        </w:rPr>
        <w:t xml:space="preserve">Finalmente, el referido artículo dispone, en el inciso final, que «A partir de la </w:t>
      </w:r>
      <w:r w:rsidRPr="10E286E2" w:rsidR="0067072C">
        <w:rPr>
          <w:rFonts w:ascii="Arial" w:hAnsi="Arial" w:eastAsia="Calibri" w:cs="Arial"/>
          <w:color w:val="000000"/>
          <w:sz w:val="22"/>
          <w:szCs w:val="22"/>
          <w:lang w:val="es-ES" w:eastAsia="es-ES"/>
        </w:rPr>
        <w:t>entrada en vigencia</w:t>
      </w:r>
      <w:r w:rsidRPr="10E286E2" w:rsidR="0067072C">
        <w:rPr>
          <w:rFonts w:ascii="Arial" w:hAnsi="Arial" w:eastAsia="Calibri" w:cs="Arial"/>
          <w:color w:val="000000"/>
          <w:sz w:val="22"/>
          <w:szCs w:val="22"/>
          <w:lang w:val="es-ES" w:eastAsia="es-ES"/>
        </w:rPr>
        <w:t xml:space="preserve">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w:t>
      </w:r>
      <w:r w:rsidRPr="10E286E2" w:rsidR="0060242C">
        <w:rPr>
          <w:rFonts w:ascii="Arial" w:hAnsi="Arial" w:eastAsia="Calibri" w:cs="Arial"/>
          <w:color w:val="000000"/>
          <w:sz w:val="22"/>
          <w:szCs w:val="22"/>
          <w:lang w:val="es-ES" w:eastAsia="es-ES"/>
        </w:rPr>
        <w:t>Al respecto, l</w:t>
      </w:r>
      <w:r w:rsidRPr="10E286E2" w:rsidR="0067072C">
        <w:rPr>
          <w:rFonts w:ascii="Arial" w:hAnsi="Arial" w:eastAsia="Calibri" w:cs="Arial"/>
          <w:color w:val="000000"/>
          <w:sz w:val="22"/>
          <w:szCs w:val="22"/>
          <w:lang w:val="es-ES" w:eastAsia="es-ES"/>
        </w:rPr>
        <w:t xml:space="preserve">a Agencia Nacional de Contratación Pública – Colombia Compra Eficiente </w:t>
      </w:r>
      <w:r w:rsidRPr="10E286E2" w:rsidR="0060242C">
        <w:rPr>
          <w:rFonts w:ascii="Arial" w:hAnsi="Arial" w:eastAsia="Calibri" w:cs="Arial"/>
          <w:color w:val="000000"/>
          <w:sz w:val="22"/>
          <w:szCs w:val="22"/>
          <w:lang w:val="es-ES" w:eastAsia="es-ES"/>
        </w:rPr>
        <w:t>mediante la Circular Externa No. 002 de</w:t>
      </w:r>
      <w:r w:rsidRPr="10E286E2" w:rsidR="00610B6B">
        <w:rPr>
          <w:rFonts w:ascii="Arial" w:hAnsi="Arial" w:eastAsia="Calibri" w:cs="Arial"/>
          <w:color w:val="000000"/>
          <w:sz w:val="22"/>
          <w:szCs w:val="22"/>
          <w:lang w:val="es-ES" w:eastAsia="es-ES"/>
        </w:rPr>
        <w:t xml:space="preserve">l 17 de marzo de 2022, </w:t>
      </w:r>
      <w:r w:rsidRPr="10E286E2" w:rsidR="0067072C">
        <w:rPr>
          <w:rFonts w:ascii="Arial" w:hAnsi="Arial" w:eastAsia="Calibri" w:cs="Arial"/>
          <w:color w:val="000000"/>
          <w:sz w:val="22"/>
          <w:szCs w:val="22"/>
          <w:lang w:val="es-ES" w:eastAsia="es-ES"/>
        </w:rPr>
        <w:t>imparti</w:t>
      </w:r>
      <w:r w:rsidRPr="10E286E2" w:rsidR="00610B6B">
        <w:rPr>
          <w:rFonts w:ascii="Arial" w:hAnsi="Arial" w:eastAsia="Calibri" w:cs="Arial"/>
          <w:color w:val="000000"/>
          <w:sz w:val="22"/>
          <w:szCs w:val="22"/>
          <w:lang w:val="es-ES" w:eastAsia="es-ES"/>
        </w:rPr>
        <w:t>ó</w:t>
      </w:r>
      <w:r w:rsidRPr="10E286E2" w:rsidR="0067072C">
        <w:rPr>
          <w:rFonts w:ascii="Arial" w:hAnsi="Arial" w:eastAsia="Calibri" w:cs="Arial"/>
          <w:color w:val="000000"/>
          <w:sz w:val="22"/>
          <w:szCs w:val="22"/>
          <w:lang w:val="es-ES" w:eastAsia="es-ES"/>
        </w:rPr>
        <w:t xml:space="preserve"> directrices sobre este tema </w:t>
      </w:r>
      <w:r w:rsidRPr="10E286E2" w:rsidR="00E6594A">
        <w:rPr>
          <w:rFonts w:ascii="Arial" w:hAnsi="Arial" w:eastAsia="Calibri" w:cs="Arial"/>
          <w:color w:val="000000"/>
          <w:sz w:val="22"/>
          <w:szCs w:val="22"/>
          <w:lang w:val="es-ES" w:eastAsia="es-ES"/>
        </w:rPr>
        <w:t>y determinó</w:t>
      </w:r>
      <w:r w:rsidRPr="10E286E2" w:rsidR="007F7C30">
        <w:rPr>
          <w:rFonts w:ascii="Arial" w:hAnsi="Arial" w:eastAsia="Calibri" w:cs="Arial"/>
          <w:color w:val="000000"/>
          <w:sz w:val="22"/>
          <w:szCs w:val="22"/>
          <w:lang w:val="es-ES" w:eastAsia="es-ES"/>
        </w:rPr>
        <w:t>, entre otras cosas,</w:t>
      </w:r>
      <w:r w:rsidRPr="10E286E2" w:rsidR="00E6594A">
        <w:rPr>
          <w:rFonts w:ascii="Arial" w:hAnsi="Arial" w:eastAsia="Calibri" w:cs="Arial"/>
          <w:color w:val="000000"/>
          <w:sz w:val="22"/>
          <w:szCs w:val="22"/>
          <w:lang w:val="es-ES" w:eastAsia="es-ES"/>
        </w:rPr>
        <w:t xml:space="preserve"> </w:t>
      </w:r>
      <w:r w:rsidRPr="10E286E2" w:rsidR="00E6594A">
        <w:rPr>
          <w:rFonts w:ascii="Arial" w:hAnsi="Arial" w:eastAsia="Calibri" w:cs="Arial"/>
          <w:color w:val="000000"/>
          <w:sz w:val="22"/>
          <w:szCs w:val="22"/>
          <w:lang w:val="es-ES" w:eastAsia="es-ES"/>
        </w:rPr>
        <w:t>que</w:t>
      </w:r>
      <w:r w:rsidRPr="10E286E2" w:rsidR="00996FAE">
        <w:rPr>
          <w:rFonts w:ascii="Arial" w:hAnsi="Arial" w:eastAsia="Calibri" w:cs="Arial"/>
          <w:color w:val="000000"/>
          <w:sz w:val="22"/>
          <w:szCs w:val="22"/>
          <w:lang w:val="es-ES" w:eastAsia="es-ES"/>
        </w:rPr>
        <w:t xml:space="preserve"> de conformidad con la nueva disposición</w:t>
      </w:r>
      <w:r w:rsidRPr="10E286E2" w:rsidR="00B320E4">
        <w:rPr>
          <w:rFonts w:ascii="Arial" w:hAnsi="Arial" w:eastAsia="Calibri" w:cs="Arial"/>
          <w:color w:val="000000"/>
          <w:sz w:val="22"/>
          <w:szCs w:val="22"/>
          <w:lang w:val="es-ES" w:eastAsia="es-ES"/>
        </w:rPr>
        <w:t xml:space="preserve"> normativa,</w:t>
      </w:r>
      <w:r w:rsidRPr="10E286E2" w:rsidR="00E6594A">
        <w:rPr>
          <w:rFonts w:ascii="Arial" w:hAnsi="Arial" w:eastAsia="Calibri" w:cs="Arial"/>
          <w:color w:val="000000"/>
          <w:sz w:val="22"/>
          <w:szCs w:val="22"/>
          <w:lang w:val="es-ES" w:eastAsia="es-ES"/>
        </w:rPr>
        <w:t xml:space="preserve"> la obligatoriedad de</w:t>
      </w:r>
      <w:r w:rsidRPr="10E286E2" w:rsidR="00C169EE">
        <w:rPr>
          <w:rFonts w:ascii="Arial" w:hAnsi="Arial" w:eastAsia="Calibri" w:cs="Arial"/>
          <w:color w:val="000000"/>
          <w:sz w:val="22"/>
          <w:szCs w:val="22"/>
          <w:lang w:val="es-ES" w:eastAsia="es-ES"/>
        </w:rPr>
        <w:t>l uso del SECOP II para las entidades de régimen especial, empezará a regir a partir del 18 de julio de 2022 a las 23:59 horas</w:t>
      </w:r>
      <w:r w:rsidRPr="10E286E2" w:rsidR="0053584B">
        <w:rPr>
          <w:rStyle w:val="Refdenotaalpie"/>
          <w:rFonts w:ascii="Arial" w:hAnsi="Arial" w:eastAsia="Calibri" w:cs="Arial"/>
          <w:color w:val="000000"/>
          <w:sz w:val="22"/>
          <w:szCs w:val="22"/>
          <w:lang w:val="es-ES" w:eastAsia="es-ES"/>
        </w:rPr>
        <w:footnoteReference w:id="60"/>
      </w:r>
      <w:r w:rsidRPr="10E286E2" w:rsidR="0067072C">
        <w:rPr>
          <w:rFonts w:ascii="Arial" w:hAnsi="Arial" w:eastAsia="Calibri" w:cs="Arial"/>
          <w:color w:val="000000"/>
          <w:sz w:val="22"/>
          <w:szCs w:val="22"/>
          <w:lang w:val="es-ES" w:eastAsia="es-ES"/>
        </w:rPr>
        <w:t>.</w:t>
      </w:r>
    </w:p>
    <w:bookmarkEnd w:id="51"/>
    <w:p w:rsidRPr="002F0981" w:rsidR="00705A56" w:rsidRDefault="00705A56" w14:paraId="06DC0C8A" w14:textId="42D9BD89">
      <w:pPr>
        <w:spacing w:line="276" w:lineRule="auto"/>
        <w:jc w:val="both"/>
        <w:rPr>
          <w:rFonts w:ascii="Arial" w:hAnsi="Arial" w:eastAsia="Calibri" w:cs="Arial"/>
          <w:b/>
          <w:bCs/>
          <w:sz w:val="22"/>
        </w:rPr>
      </w:pPr>
    </w:p>
    <w:p w:rsidRPr="002F0981" w:rsidR="00C33A69" w:rsidP="006C0EA1" w:rsidRDefault="001E2319" w14:paraId="13355948" w14:textId="3EC09FF6">
      <w:pPr>
        <w:tabs>
          <w:tab w:val="left" w:pos="709"/>
        </w:tabs>
        <w:spacing w:line="276" w:lineRule="auto"/>
        <w:jc w:val="both"/>
        <w:rPr>
          <w:rFonts w:ascii="Arial" w:hAnsi="Arial" w:eastAsia="Calibri" w:cs="Arial"/>
          <w:b/>
          <w:sz w:val="22"/>
          <w:lang w:val="es-ES_tradnl"/>
        </w:rPr>
      </w:pPr>
      <w:r w:rsidRPr="002F0981">
        <w:rPr>
          <w:rFonts w:ascii="Arial" w:hAnsi="Arial" w:eastAsia="Calibri" w:cs="Arial"/>
          <w:b/>
          <w:sz w:val="22"/>
          <w:lang w:val="es-ES_tradnl"/>
        </w:rPr>
        <w:t xml:space="preserve">3. </w:t>
      </w:r>
      <w:r w:rsidRPr="002F0981" w:rsidR="00C33A69">
        <w:rPr>
          <w:rFonts w:ascii="Arial" w:hAnsi="Arial" w:eastAsia="Calibri" w:cs="Arial"/>
          <w:b/>
          <w:sz w:val="22"/>
          <w:lang w:val="es-ES_tradnl"/>
        </w:rPr>
        <w:t>Respuesta</w:t>
      </w:r>
      <w:r w:rsidR="007702EC">
        <w:rPr>
          <w:rFonts w:ascii="Arial" w:hAnsi="Arial" w:eastAsia="Calibri" w:cs="Arial"/>
          <w:b/>
          <w:sz w:val="22"/>
          <w:lang w:val="es-ES_tradnl"/>
        </w:rPr>
        <w:t>s</w:t>
      </w:r>
    </w:p>
    <w:p w:rsidRPr="002F0981" w:rsidR="00C33A69" w:rsidP="0093085B" w:rsidRDefault="00C33A69" w14:paraId="2D7B54D8" w14:textId="5C13726D">
      <w:pPr>
        <w:tabs>
          <w:tab w:val="left" w:pos="709"/>
        </w:tabs>
        <w:spacing w:line="276" w:lineRule="auto"/>
        <w:ind w:left="709" w:right="709"/>
        <w:jc w:val="both"/>
        <w:rPr>
          <w:rFonts w:ascii="Arial" w:hAnsi="Arial" w:eastAsia="Calibri" w:cs="Arial"/>
          <w:b/>
          <w:sz w:val="21"/>
          <w:szCs w:val="21"/>
          <w:lang w:val="es-ES_tradnl"/>
        </w:rPr>
      </w:pPr>
    </w:p>
    <w:p w:rsidR="006A7670" w:rsidP="00FD7DA9" w:rsidRDefault="006A7670" w14:paraId="06B770C6" w14:textId="77777777">
      <w:pPr>
        <w:spacing w:after="120"/>
        <w:ind w:left="709" w:right="709"/>
        <w:jc w:val="both"/>
        <w:rPr>
          <w:rFonts w:ascii="Arial" w:hAnsi="Arial" w:eastAsia="Calibri" w:cs="Arial"/>
          <w:sz w:val="21"/>
          <w:szCs w:val="21"/>
        </w:rPr>
      </w:pPr>
      <w:r w:rsidRPr="006A7670">
        <w:rPr>
          <w:rFonts w:ascii="Arial" w:hAnsi="Arial" w:eastAsia="Calibri" w:cs="Arial"/>
          <w:sz w:val="21"/>
          <w:szCs w:val="21"/>
        </w:rPr>
        <w:t>i) «¿A través de los fondos de servicios educativos (FSE) y dando aplicación al manual establecido por el Consejo Directivo se puede realizar contratación en Ley de Garantías?»</w:t>
      </w:r>
      <w:r>
        <w:rPr>
          <w:rFonts w:ascii="Arial" w:hAnsi="Arial" w:eastAsia="Calibri" w:cs="Arial"/>
          <w:sz w:val="21"/>
          <w:szCs w:val="21"/>
        </w:rPr>
        <w:t>.</w:t>
      </w:r>
    </w:p>
    <w:p w:rsidR="006A7670" w:rsidP="00FD7DA9" w:rsidRDefault="006A7670" w14:paraId="283D85C3" w14:textId="77777777">
      <w:pPr>
        <w:spacing w:after="120"/>
        <w:ind w:left="709" w:right="709"/>
        <w:jc w:val="both"/>
        <w:rPr>
          <w:rFonts w:ascii="Arial" w:hAnsi="Arial" w:eastAsia="Calibri" w:cs="Arial"/>
          <w:sz w:val="21"/>
          <w:szCs w:val="21"/>
        </w:rPr>
      </w:pPr>
      <w:r w:rsidRPr="006A7670">
        <w:rPr>
          <w:rFonts w:ascii="Arial" w:hAnsi="Arial" w:eastAsia="Calibri" w:cs="Arial"/>
          <w:sz w:val="21"/>
          <w:szCs w:val="21"/>
        </w:rPr>
        <w:t>ii) «¿El procedimiento establecido por el Consejo Directivo determina invitación pública a través de la cartelera institucional a presentar ofertas, se puede dar aplicación a este procedimiento en la contratación en Ley de garantías?»</w:t>
      </w:r>
      <w:r>
        <w:rPr>
          <w:rFonts w:ascii="Arial" w:hAnsi="Arial" w:eastAsia="Calibri" w:cs="Arial"/>
          <w:sz w:val="21"/>
          <w:szCs w:val="21"/>
        </w:rPr>
        <w:t>.</w:t>
      </w:r>
      <w:r w:rsidRPr="006A7670">
        <w:rPr>
          <w:rFonts w:ascii="Arial" w:hAnsi="Arial" w:eastAsia="Calibri" w:cs="Arial"/>
          <w:sz w:val="21"/>
          <w:szCs w:val="21"/>
        </w:rPr>
        <w:t xml:space="preserve"> </w:t>
      </w:r>
    </w:p>
    <w:p w:rsidRPr="002F0981" w:rsidR="007E42BC" w:rsidP="00FD7DA9" w:rsidRDefault="006A7670" w14:paraId="65AC39D7" w14:textId="7FEE48B4">
      <w:pPr>
        <w:ind w:left="709" w:right="709"/>
        <w:jc w:val="both"/>
        <w:rPr>
          <w:rFonts w:ascii="Arial" w:hAnsi="Arial" w:eastAsia="Calibri" w:cs="Arial"/>
          <w:sz w:val="21"/>
          <w:szCs w:val="21"/>
        </w:rPr>
      </w:pPr>
      <w:proofErr w:type="spellStart"/>
      <w:r w:rsidRPr="006A7670">
        <w:rPr>
          <w:rFonts w:ascii="Arial" w:hAnsi="Arial" w:eastAsia="Calibri" w:cs="Arial"/>
          <w:sz w:val="21"/>
          <w:szCs w:val="21"/>
        </w:rPr>
        <w:t>iii</w:t>
      </w:r>
      <w:proofErr w:type="spellEnd"/>
      <w:r w:rsidRPr="006A7670">
        <w:rPr>
          <w:rFonts w:ascii="Arial" w:hAnsi="Arial" w:eastAsia="Calibri" w:cs="Arial"/>
          <w:sz w:val="21"/>
          <w:szCs w:val="21"/>
        </w:rPr>
        <w:t>) La institución requiere entregar un espacio de la institución en arriendo para el funcionamiento en la tienda escolar. ¿Aplica para los arriendos la Ley de garantías?»</w:t>
      </w:r>
      <w:r>
        <w:rPr>
          <w:rFonts w:ascii="Arial" w:hAnsi="Arial" w:eastAsia="Calibri" w:cs="Arial"/>
          <w:sz w:val="21"/>
          <w:szCs w:val="21"/>
        </w:rPr>
        <w:t>.</w:t>
      </w:r>
    </w:p>
    <w:p w:rsidR="00A01C24" w:rsidP="006A7670" w:rsidRDefault="00A01C24" w14:paraId="65CCED13" w14:textId="56A4111A">
      <w:pPr>
        <w:spacing w:line="276" w:lineRule="auto"/>
        <w:jc w:val="both"/>
        <w:rPr>
          <w:rFonts w:ascii="Arial" w:hAnsi="Arial" w:cs="Arial"/>
          <w:bCs/>
          <w:sz w:val="22"/>
          <w:szCs w:val="22"/>
          <w:lang w:val="es-MX" w:eastAsia="es-CO"/>
        </w:rPr>
      </w:pPr>
      <w:bookmarkStart w:name="_Hlk100224022" w:id="60"/>
    </w:p>
    <w:p w:rsidR="00E82F82" w:rsidP="00FD7DA9" w:rsidRDefault="00A63E92" w14:paraId="3D48BAE4" w14:textId="060E496B">
      <w:pPr>
        <w:spacing w:after="160" w:line="276" w:lineRule="auto"/>
        <w:jc w:val="both"/>
        <w:rPr>
          <w:rFonts w:ascii="Arial" w:hAnsi="Arial" w:cs="Arial"/>
          <w:bCs/>
          <w:color w:val="000000"/>
          <w:sz w:val="22"/>
          <w:lang w:eastAsia="es-CO"/>
        </w:rPr>
      </w:pPr>
      <w:bookmarkStart w:name="_Hlk101885632" w:id="61"/>
      <w:r>
        <w:rPr>
          <w:rFonts w:ascii="Arial" w:hAnsi="Arial" w:cs="Arial"/>
          <w:bCs/>
          <w:sz w:val="22"/>
          <w:szCs w:val="22"/>
          <w:lang w:val="es-MX" w:eastAsia="es-CO"/>
        </w:rPr>
        <w:t xml:space="preserve">Conforme a la interpretación de las normas generales del sistema de compras y contratación pública, </w:t>
      </w:r>
      <w:r w:rsidRPr="002C1CBF" w:rsidR="00E82F82">
        <w:rPr>
          <w:rFonts w:ascii="Arial" w:hAnsi="Arial" w:eastAsia="Calibri" w:cs="Arial"/>
          <w:color w:val="000000" w:themeColor="text1"/>
          <w:sz w:val="22"/>
        </w:rPr>
        <w:t xml:space="preserve">para la restricción del artículo 33 de la </w:t>
      </w:r>
      <w:r w:rsidRPr="002C1CBF" w:rsidR="00E82F82">
        <w:rPr>
          <w:rFonts w:ascii="Arial" w:hAnsi="Arial" w:cs="Arial"/>
          <w:bCs/>
          <w:color w:val="000000"/>
          <w:sz w:val="22"/>
          <w:lang w:eastAsia="es-CO"/>
        </w:rPr>
        <w:t xml:space="preserve">Ley 996 de 2005 es necesario considerar que </w:t>
      </w:r>
      <w:r w:rsidRPr="002C1CBF" w:rsidR="00E82F82">
        <w:rPr>
          <w:rFonts w:ascii="Arial" w:hAnsi="Arial" w:eastAsia="Calibri" w:cs="Arial"/>
          <w:sz w:val="22"/>
          <w:lang w:val="es-ES"/>
        </w:rPr>
        <w:t xml:space="preserve">el artículo </w:t>
      </w:r>
      <w:r w:rsidRPr="002C1CBF" w:rsidR="00E82F82">
        <w:rPr>
          <w:rFonts w:ascii="Arial" w:hAnsi="Arial" w:cs="Arial"/>
          <w:sz w:val="22"/>
        </w:rPr>
        <w:t>13 de la Ley 715 de 2001</w:t>
      </w:r>
      <w:r w:rsidRPr="002C1CBF" w:rsidR="00E82F82">
        <w:rPr>
          <w:rFonts w:ascii="Arial" w:hAnsi="Arial" w:cs="Arial"/>
          <w:bCs/>
          <w:color w:val="000000"/>
          <w:sz w:val="22"/>
          <w:lang w:eastAsia="es-CO"/>
        </w:rPr>
        <w:t xml:space="preserve"> consagra un régimen jurídico que exceptúa la aplicación </w:t>
      </w:r>
      <w:r w:rsidR="00A3769A">
        <w:rPr>
          <w:rFonts w:ascii="Arial" w:hAnsi="Arial" w:cs="Arial"/>
          <w:bCs/>
          <w:color w:val="000000"/>
          <w:sz w:val="22"/>
          <w:lang w:eastAsia="es-CO"/>
        </w:rPr>
        <w:t>de la Ley 80 de 1993</w:t>
      </w:r>
      <w:r w:rsidRPr="002C1CBF" w:rsidR="00E82F82">
        <w:rPr>
          <w:rFonts w:ascii="Arial" w:hAnsi="Arial" w:cs="Arial"/>
          <w:bCs/>
          <w:color w:val="000000"/>
          <w:sz w:val="22"/>
          <w:lang w:eastAsia="es-CO"/>
        </w:rPr>
        <w:t xml:space="preserve"> en los contratos de los fondos de servicios educativos inferiores a veinte (20) </w:t>
      </w:r>
      <w:proofErr w:type="spellStart"/>
      <w:r w:rsidRPr="002C1CBF" w:rsidR="00E82F82">
        <w:rPr>
          <w:rFonts w:ascii="Arial" w:hAnsi="Arial" w:cs="Arial"/>
          <w:bCs/>
          <w:color w:val="000000"/>
          <w:sz w:val="22"/>
          <w:lang w:eastAsia="es-CO"/>
        </w:rPr>
        <w:t>smlmv</w:t>
      </w:r>
      <w:proofErr w:type="spellEnd"/>
      <w:r w:rsidR="00E82F82">
        <w:rPr>
          <w:rFonts w:ascii="Arial" w:hAnsi="Arial" w:cs="Arial"/>
          <w:bCs/>
          <w:color w:val="000000"/>
          <w:sz w:val="22"/>
          <w:lang w:eastAsia="es-CO"/>
        </w:rPr>
        <w:t xml:space="preserve"> con el objetivo de flexibilizar el régimen contractual aplicable. Pese a lo anterior</w:t>
      </w:r>
      <w:r w:rsidRPr="002C1CBF" w:rsidR="00E82F82">
        <w:rPr>
          <w:rFonts w:ascii="Arial" w:hAnsi="Arial" w:cs="Arial"/>
          <w:bCs/>
          <w:color w:val="000000"/>
          <w:sz w:val="22"/>
          <w:lang w:eastAsia="es-CO"/>
        </w:rPr>
        <w:t>, la prohibición de contratación directa de la Ley de Garantías es independiente del régimen contractual</w:t>
      </w:r>
      <w:r w:rsidR="00E82F82">
        <w:rPr>
          <w:rFonts w:ascii="Arial" w:hAnsi="Arial" w:cs="Arial"/>
          <w:bCs/>
          <w:color w:val="000000"/>
          <w:sz w:val="22"/>
          <w:lang w:eastAsia="es-CO"/>
        </w:rPr>
        <w:t>, por lo que se extiende a los contratos celebrados con cargo a los fondos de servicios educativos</w:t>
      </w:r>
      <w:r w:rsidRPr="002C1CBF" w:rsidR="00E82F82">
        <w:rPr>
          <w:rFonts w:ascii="Arial" w:hAnsi="Arial" w:cs="Arial"/>
          <w:bCs/>
          <w:color w:val="000000"/>
          <w:sz w:val="22"/>
          <w:lang w:eastAsia="es-CO"/>
        </w:rPr>
        <w:t>.</w:t>
      </w:r>
    </w:p>
    <w:p w:rsidRPr="00DC4715" w:rsidR="00E82F82" w:rsidP="00E82F82" w:rsidRDefault="00E82F82" w14:paraId="2A368FC7" w14:textId="48C60F7A">
      <w:pPr>
        <w:spacing w:after="160" w:line="276" w:lineRule="auto"/>
        <w:ind w:firstLine="709"/>
        <w:jc w:val="both"/>
        <w:rPr>
          <w:rFonts w:ascii="Arial" w:hAnsi="Arial" w:cs="Arial"/>
          <w:bCs/>
          <w:color w:val="000000"/>
          <w:sz w:val="21"/>
          <w:szCs w:val="21"/>
          <w:lang w:eastAsia="es-CO"/>
        </w:rPr>
      </w:pPr>
      <w:r w:rsidRPr="002C1CBF">
        <w:rPr>
          <w:rFonts w:ascii="Arial" w:hAnsi="Arial" w:cs="Arial"/>
          <w:bCs/>
          <w:color w:val="000000"/>
          <w:sz w:val="22"/>
          <w:lang w:eastAsia="es-CO"/>
        </w:rPr>
        <w:t xml:space="preserve">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2C1CBF">
        <w:rPr>
          <w:rFonts w:ascii="Arial" w:hAnsi="Arial" w:cs="Arial"/>
          <w:bCs/>
          <w:i/>
          <w:iCs/>
          <w:color w:val="000000"/>
          <w:sz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2C1CBF">
        <w:rPr>
          <w:rFonts w:ascii="Arial" w:hAnsi="Arial" w:cs="Arial"/>
          <w:bCs/>
          <w:color w:val="000000"/>
          <w:sz w:val="22"/>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realizado con recursos de los fondos de servicios educativos por valor inferior a inferiores a veinte (20) </w:t>
      </w:r>
      <w:proofErr w:type="spellStart"/>
      <w:r w:rsidRPr="002C1CBF">
        <w:rPr>
          <w:rFonts w:ascii="Arial" w:hAnsi="Arial" w:cs="Arial"/>
          <w:bCs/>
          <w:color w:val="000000"/>
          <w:sz w:val="22"/>
          <w:lang w:eastAsia="es-CO"/>
        </w:rPr>
        <w:t>smlmv</w:t>
      </w:r>
      <w:proofErr w:type="spellEnd"/>
      <w:r w:rsidRPr="002C1CBF">
        <w:rPr>
          <w:rFonts w:ascii="Arial" w:hAnsi="Arial" w:cs="Arial"/>
          <w:bCs/>
          <w:color w:val="000000"/>
          <w:sz w:val="22"/>
          <w:lang w:eastAsia="es-CO"/>
        </w:rPr>
        <w:t xml:space="preserve">. </w:t>
      </w:r>
    </w:p>
    <w:p w:rsidR="00E82F82" w:rsidP="00FD7DA9" w:rsidRDefault="00E82F82" w14:paraId="0A367BB2" w14:textId="714C85DF">
      <w:pPr>
        <w:spacing w:after="120" w:line="276" w:lineRule="auto"/>
        <w:ind w:firstLine="709"/>
        <w:jc w:val="both"/>
        <w:rPr>
          <w:rFonts w:ascii="Arial" w:hAnsi="Arial" w:cs="Arial"/>
          <w:sz w:val="22"/>
        </w:rPr>
      </w:pPr>
      <w:r w:rsidRPr="002C1CBF">
        <w:rPr>
          <w:rFonts w:ascii="Arial" w:hAnsi="Arial" w:cs="Arial"/>
          <w:bCs/>
          <w:color w:val="000000"/>
          <w:sz w:val="22"/>
          <w:lang w:eastAsia="es-CO"/>
        </w:rPr>
        <w:t xml:space="preserve">Por otra parte, respecto a </w:t>
      </w:r>
      <w:r w:rsidRPr="002C1CBF">
        <w:rPr>
          <w:rFonts w:ascii="Arial" w:hAnsi="Arial" w:eastAsia="Calibri" w:cs="Arial"/>
          <w:color w:val="000000" w:themeColor="text1"/>
          <w:sz w:val="22"/>
        </w:rPr>
        <w:t xml:space="preserve">la restricción del artículo 38 de la </w:t>
      </w:r>
      <w:r w:rsidRPr="002C1CBF">
        <w:rPr>
          <w:rFonts w:ascii="Arial" w:hAnsi="Arial" w:cs="Arial"/>
          <w:bCs/>
          <w:color w:val="000000"/>
          <w:sz w:val="22"/>
          <w:lang w:eastAsia="es-CO"/>
        </w:rPr>
        <w:t>Ley de Garantías</w:t>
      </w:r>
      <w:r>
        <w:rPr>
          <w:rFonts w:ascii="Arial" w:hAnsi="Arial" w:cs="Arial"/>
          <w:bCs/>
          <w:color w:val="000000"/>
          <w:sz w:val="22"/>
          <w:lang w:eastAsia="es-CO"/>
        </w:rPr>
        <w:t xml:space="preserve">                –modificado transitoriamente por el artículo 124 de la Ley 2159 de 2021–</w:t>
      </w:r>
      <w:r w:rsidRPr="002C1CBF">
        <w:rPr>
          <w:rFonts w:ascii="Arial" w:hAnsi="Arial" w:cs="Arial"/>
          <w:bCs/>
          <w:color w:val="000000"/>
          <w:sz w:val="22"/>
          <w:lang w:eastAsia="es-CO"/>
        </w:rPr>
        <w:t xml:space="preserve"> se considera que los contratos celebrados con los administradores del fondo y otras entidades públicas son contratos interadministrativos. En efecto, el citado artículo 2.2.1.2.1.4.4 d</w:t>
      </w:r>
      <w:r w:rsidRPr="002C1CBF">
        <w:rPr>
          <w:rFonts w:ascii="Arial" w:hAnsi="Arial" w:eastAsia="Calibri" w:cs="Arial"/>
          <w:color w:val="000000" w:themeColor="text1"/>
          <w:sz w:val="22"/>
          <w:lang w:val="es-ES_tradnl"/>
        </w:rPr>
        <w:t xml:space="preserve">el Decreto 1082 de 2015 califica a los convenios o contratos interadministrativos como aquella contratación entre entidades estatales. El concepto está definido en el artículo 2.2.1.1.1.3.1 </w:t>
      </w:r>
      <w:r w:rsidRPr="002C1CBF">
        <w:rPr>
          <w:rFonts w:ascii="Arial" w:hAnsi="Arial" w:eastAsia="Calibri" w:cs="Arial"/>
          <w:i/>
          <w:iCs/>
          <w:color w:val="000000" w:themeColor="text1"/>
          <w:sz w:val="22"/>
          <w:lang w:val="es-ES_tradnl"/>
        </w:rPr>
        <w:t>ibidem</w:t>
      </w:r>
      <w:r w:rsidRPr="002C1CBF">
        <w:rPr>
          <w:rFonts w:ascii="Arial" w:hAnsi="Arial" w:eastAsia="Calibri" w:cs="Arial"/>
          <w:color w:val="000000" w:themeColor="text1"/>
          <w:sz w:val="22"/>
          <w:lang w:val="es-ES_tradnl"/>
        </w:rPr>
        <w:t xml:space="preserve"> como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Aunque </w:t>
      </w:r>
      <w:r w:rsidRPr="002C1CBF">
        <w:rPr>
          <w:rFonts w:ascii="Arial" w:hAnsi="Arial" w:cs="Arial"/>
          <w:sz w:val="22"/>
        </w:rPr>
        <w:t>las instituciones educativas carecen de personería jurídica, tienen capacidad para contratar y se concreta en la competencia que le otorgó el legislador en la Ley 715 de 2001 para administrar los fondos de servicios educativos. Así, conforme al literal b) del artículo 2.1 de la Ley 80 de 1993, también se considera entidad estatal todos aquellos «[…] organismos o dependencias del Estado a los que la ley otorgue capacidad para celebrar contratos».</w:t>
      </w:r>
    </w:p>
    <w:bookmarkEnd w:id="61"/>
    <w:p w:rsidRPr="00FD7DA9" w:rsidR="00A63E92" w:rsidP="00FD7DA9" w:rsidRDefault="00C12CDF" w14:paraId="6F30E5B0" w14:textId="7DE9C570">
      <w:pPr>
        <w:spacing w:line="276" w:lineRule="auto"/>
        <w:ind w:firstLine="708"/>
        <w:jc w:val="both"/>
        <w:rPr>
          <w:rFonts w:ascii="Arial" w:hAnsi="Arial" w:cs="Arial"/>
          <w:bCs/>
          <w:sz w:val="22"/>
          <w:szCs w:val="22"/>
          <w:lang w:eastAsia="es-CO"/>
        </w:rPr>
      </w:pPr>
      <w:r>
        <w:rPr>
          <w:rFonts w:ascii="Arial" w:hAnsi="Arial" w:cs="Arial"/>
          <w:sz w:val="22"/>
        </w:rPr>
        <w:t xml:space="preserve">Dentro de este marco general, </w:t>
      </w:r>
      <w:r w:rsidRPr="00A23BDA" w:rsidR="00C0043B">
        <w:rPr>
          <w:rFonts w:ascii="Arial" w:hAnsi="Arial" w:cs="Arial" w:eastAsiaTheme="minorHAnsi"/>
          <w:bCs/>
          <w:sz w:val="22"/>
          <w:szCs w:val="22"/>
          <w:lang w:val="es-ES" w:eastAsia="en-US"/>
        </w:rPr>
        <w:t>le corresponderá a cada entidad definir la viabilidad técnica, jurídica y financiera de celebrar determinado contrato estatal en específico</w:t>
      </w:r>
      <w:r w:rsidR="00C0043B">
        <w:rPr>
          <w:rFonts w:ascii="Arial" w:hAnsi="Arial" w:cs="Arial" w:eastAsiaTheme="minorHAnsi"/>
          <w:bCs/>
          <w:sz w:val="22"/>
          <w:szCs w:val="22"/>
          <w:lang w:val="es-ES" w:eastAsia="en-US"/>
        </w:rPr>
        <w:t>.</w:t>
      </w:r>
      <w:r w:rsidRPr="00A23BDA" w:rsidR="00C0043B">
        <w:rPr>
          <w:rFonts w:ascii="Arial" w:hAnsi="Arial" w:cs="Arial" w:eastAsiaTheme="minorHAnsi"/>
          <w:bCs/>
          <w:sz w:val="22"/>
          <w:szCs w:val="22"/>
          <w:lang w:val="es-ES" w:eastAsia="en-US"/>
        </w:rPr>
        <w:t xml:space="preserve"> Por lo anterior, previo concepto de sus órganos asesores, la solución de estos temas corresponde </w:t>
      </w:r>
      <w:r w:rsidRPr="00A23BDA" w:rsidR="00C0043B">
        <w:rPr>
          <w:rFonts w:ascii="Arial" w:hAnsi="Arial" w:cs="Arial" w:eastAsiaTheme="minorHAnsi"/>
          <w:bCs/>
          <w:sz w:val="22"/>
          <w:szCs w:val="22"/>
          <w:lang w:val="es-ES" w:eastAsia="en-US"/>
        </w:rPr>
        <w:t xml:space="preserve">a la entidad de adoptar la decisión correspondiente y, en caso de conflicto, a las autoridades judiciales, fiscales y disciplinarias. </w:t>
      </w:r>
    </w:p>
    <w:bookmarkEnd w:id="60"/>
    <w:p w:rsidRPr="00FD7DA9" w:rsidR="006476F3" w:rsidP="006476F3" w:rsidRDefault="006476F3" w14:paraId="6677F342" w14:textId="77777777">
      <w:pPr>
        <w:spacing w:line="276" w:lineRule="auto"/>
        <w:ind w:right="709"/>
        <w:jc w:val="both"/>
        <w:rPr>
          <w:rFonts w:ascii="Arial" w:hAnsi="Arial" w:cs="Arial"/>
          <w:sz w:val="22"/>
          <w:szCs w:val="22"/>
        </w:rPr>
      </w:pPr>
    </w:p>
    <w:p w:rsidR="006476F3" w:rsidP="007845F7" w:rsidRDefault="007845F7" w14:paraId="2983DC50" w14:textId="0E94FBAF">
      <w:pPr>
        <w:spacing w:line="276" w:lineRule="auto"/>
        <w:ind w:left="709" w:right="709"/>
        <w:jc w:val="both"/>
        <w:rPr>
          <w:rFonts w:ascii="Arial" w:hAnsi="Arial" w:cs="Arial"/>
          <w:sz w:val="21"/>
          <w:szCs w:val="21"/>
        </w:rPr>
      </w:pPr>
      <w:proofErr w:type="spellStart"/>
      <w:r w:rsidRPr="007845F7">
        <w:rPr>
          <w:rFonts w:ascii="Arial" w:hAnsi="Arial" w:cs="Arial"/>
          <w:sz w:val="21"/>
          <w:szCs w:val="21"/>
        </w:rPr>
        <w:t>iv</w:t>
      </w:r>
      <w:proofErr w:type="spellEnd"/>
      <w:r w:rsidRPr="007845F7">
        <w:rPr>
          <w:rFonts w:ascii="Arial" w:hAnsi="Arial" w:cs="Arial"/>
          <w:sz w:val="21"/>
          <w:szCs w:val="21"/>
        </w:rPr>
        <w:t>) «¿los contratos de espacios que se dan en arrendamientos se deben publicar en el SECOP?»</w:t>
      </w:r>
      <w:r w:rsidRPr="007758D6" w:rsidR="006476F3">
        <w:rPr>
          <w:rFonts w:ascii="Arial" w:hAnsi="Arial" w:cs="Arial"/>
          <w:sz w:val="21"/>
          <w:szCs w:val="21"/>
        </w:rPr>
        <w:t>.</w:t>
      </w:r>
    </w:p>
    <w:p w:rsidRPr="00FD7DA9" w:rsidR="00F77DF5" w:rsidP="006476F3" w:rsidRDefault="00F77DF5" w14:paraId="280CF12D" w14:textId="77777777">
      <w:pPr>
        <w:spacing w:line="276" w:lineRule="auto"/>
        <w:ind w:left="709" w:right="709"/>
        <w:jc w:val="both"/>
        <w:rPr>
          <w:rFonts w:eastAsia="Calibri" w:asciiTheme="minorBidi" w:hAnsiTheme="minorBidi" w:cstheme="minorBidi"/>
          <w:b/>
          <w:color w:val="000000" w:themeColor="text1"/>
          <w:sz w:val="22"/>
          <w:szCs w:val="22"/>
        </w:rPr>
      </w:pPr>
    </w:p>
    <w:p w:rsidRPr="00F77DF5" w:rsidR="006476F3" w:rsidP="00F77DF5" w:rsidRDefault="00666A1B" w14:paraId="5F372BDA" w14:textId="53AC145F">
      <w:pPr>
        <w:spacing w:after="120" w:line="276" w:lineRule="auto"/>
        <w:jc w:val="both"/>
        <w:rPr>
          <w:rFonts w:ascii="Arial" w:hAnsi="Arial" w:eastAsia="Calibri" w:cs="Arial"/>
          <w:sz w:val="22"/>
          <w:szCs w:val="22"/>
          <w:lang w:val="es-MX" w:eastAsia="en-US"/>
        </w:rPr>
      </w:pPr>
      <w:r>
        <w:rPr>
          <w:rFonts w:ascii="Arial" w:hAnsi="Arial" w:eastAsia="Calibri" w:cs="Arial"/>
          <w:color w:val="000000"/>
          <w:sz w:val="22"/>
          <w:szCs w:val="22"/>
          <w:lang w:eastAsia="en-US"/>
        </w:rPr>
        <w:t>De</w:t>
      </w:r>
      <w:r w:rsidR="00734E9F">
        <w:rPr>
          <w:rFonts w:ascii="Arial" w:hAnsi="Arial" w:eastAsia="Calibri" w:cs="Arial"/>
          <w:color w:val="000000"/>
          <w:sz w:val="22"/>
          <w:szCs w:val="22"/>
          <w:lang w:eastAsia="en-US"/>
        </w:rPr>
        <w:t>l marco normativo expuesto en el numeral 2.</w:t>
      </w:r>
      <w:r w:rsidR="004923EE">
        <w:rPr>
          <w:rFonts w:ascii="Arial" w:hAnsi="Arial" w:eastAsia="Calibri" w:cs="Arial"/>
          <w:color w:val="000000"/>
          <w:sz w:val="22"/>
          <w:szCs w:val="22"/>
          <w:lang w:eastAsia="en-US"/>
        </w:rPr>
        <w:t>6</w:t>
      </w:r>
      <w:r w:rsidR="00734E9F">
        <w:rPr>
          <w:rFonts w:ascii="Arial" w:hAnsi="Arial" w:eastAsia="Calibri" w:cs="Arial"/>
          <w:color w:val="000000"/>
          <w:sz w:val="22"/>
          <w:szCs w:val="22"/>
          <w:lang w:eastAsia="en-US"/>
        </w:rPr>
        <w:t xml:space="preserve"> </w:t>
      </w:r>
      <w:r w:rsidR="00366241">
        <w:rPr>
          <w:rFonts w:ascii="Arial" w:hAnsi="Arial" w:eastAsia="Calibri" w:cs="Arial"/>
          <w:color w:val="000000"/>
          <w:sz w:val="22"/>
          <w:szCs w:val="22"/>
          <w:lang w:eastAsia="en-US"/>
        </w:rPr>
        <w:t>del presente concepto</w:t>
      </w:r>
      <w:bookmarkStart w:name="_Hlk101885725" w:id="62"/>
      <w:r w:rsidR="003B1CFE">
        <w:rPr>
          <w:rFonts w:ascii="Arial" w:hAnsi="Arial" w:eastAsia="Calibri" w:cs="Arial"/>
          <w:color w:val="000000"/>
          <w:sz w:val="22"/>
          <w:szCs w:val="22"/>
          <w:lang w:eastAsia="en-US"/>
        </w:rPr>
        <w:t xml:space="preserve">, sin perjuicio de la aplicación del artículo 56 de la Ley </w:t>
      </w:r>
      <w:r w:rsidR="00D51FCD">
        <w:rPr>
          <w:rFonts w:ascii="Arial" w:hAnsi="Arial" w:eastAsia="Calibri" w:cs="Arial"/>
          <w:color w:val="000000"/>
          <w:sz w:val="22"/>
          <w:szCs w:val="22"/>
          <w:lang w:eastAsia="en-US"/>
        </w:rPr>
        <w:t>2195 de 2022,</w:t>
      </w:r>
      <w:r>
        <w:rPr>
          <w:rFonts w:ascii="Arial" w:hAnsi="Arial" w:eastAsia="Calibri" w:cs="Arial"/>
          <w:color w:val="000000"/>
          <w:sz w:val="22"/>
          <w:szCs w:val="22"/>
          <w:lang w:eastAsia="en-US"/>
        </w:rPr>
        <w:t xml:space="preserve"> se</w:t>
      </w:r>
      <w:r w:rsidR="00366241">
        <w:rPr>
          <w:rFonts w:ascii="Arial" w:hAnsi="Arial" w:eastAsia="Calibri" w:cs="Arial"/>
          <w:color w:val="000000"/>
          <w:sz w:val="22"/>
          <w:szCs w:val="22"/>
          <w:lang w:eastAsia="en-US"/>
        </w:rPr>
        <w:t xml:space="preserve"> conclu</w:t>
      </w:r>
      <w:r>
        <w:rPr>
          <w:rFonts w:ascii="Arial" w:hAnsi="Arial" w:eastAsia="Calibri" w:cs="Arial"/>
          <w:color w:val="000000"/>
          <w:sz w:val="22"/>
          <w:szCs w:val="22"/>
          <w:lang w:eastAsia="en-US"/>
        </w:rPr>
        <w:t>ye</w:t>
      </w:r>
      <w:r w:rsidR="00366241">
        <w:rPr>
          <w:rFonts w:ascii="Arial" w:hAnsi="Arial" w:eastAsia="Calibri" w:cs="Arial"/>
          <w:color w:val="000000"/>
          <w:sz w:val="22"/>
          <w:szCs w:val="22"/>
          <w:lang w:eastAsia="en-US"/>
        </w:rPr>
        <w:t xml:space="preserve"> que </w:t>
      </w:r>
      <w:bookmarkStart w:name="_Hlk100222171" w:id="63"/>
      <w:r w:rsidR="00366241">
        <w:rPr>
          <w:rFonts w:ascii="Arial" w:hAnsi="Arial" w:eastAsia="Calibri" w:cs="Arial"/>
          <w:color w:val="000000"/>
          <w:sz w:val="22"/>
          <w:szCs w:val="22"/>
          <w:lang w:eastAsia="en-US"/>
        </w:rPr>
        <w:t>l</w:t>
      </w:r>
      <w:r w:rsidR="005F03EA">
        <w:rPr>
          <w:rFonts w:ascii="Arial" w:hAnsi="Arial" w:eastAsia="Calibri" w:cs="Arial"/>
          <w:color w:val="000000"/>
          <w:sz w:val="22"/>
          <w:szCs w:val="22"/>
          <w:lang w:eastAsia="en-US"/>
        </w:rPr>
        <w:t>a</w:t>
      </w:r>
      <w:r w:rsidRPr="00A35361" w:rsidR="00F77DF5">
        <w:rPr>
          <w:rFonts w:ascii="Arial" w:hAnsi="Arial" w:eastAsia="Calibri" w:cs="Arial"/>
          <w:sz w:val="22"/>
          <w:szCs w:val="22"/>
          <w:lang w:val="es-MX" w:eastAsia="en-US"/>
        </w:rPr>
        <w:t xml:space="preserve"> publicidad de los contratos estatales debe realizarse a través de SECOP, independientemente del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w:t>
      </w:r>
      <w:r w:rsidR="00CA0119">
        <w:rPr>
          <w:rFonts w:ascii="Arial" w:hAnsi="Arial" w:eastAsia="Calibri" w:cs="Arial"/>
          <w:sz w:val="22"/>
          <w:szCs w:val="22"/>
          <w:lang w:val="es-MX" w:eastAsia="en-US"/>
        </w:rPr>
        <w:t>,</w:t>
      </w:r>
      <w:r w:rsidRPr="00A35361" w:rsidR="00F77DF5">
        <w:rPr>
          <w:rFonts w:ascii="Arial" w:hAnsi="Arial" w:eastAsia="Calibri" w:cs="Arial"/>
          <w:sz w:val="22"/>
          <w:szCs w:val="22"/>
          <w:lang w:val="es-MX" w:eastAsia="en-US"/>
        </w:rPr>
        <w:t xml:space="preserve"> que fue el mecanismo establecido por el legislador y el reglamento para garantizar que se cumplan los principios de publicidad y transparencia respecto de estos. En consecuencia, los contratos de arrendamiento</w:t>
      </w:r>
      <w:r w:rsidR="0052201D">
        <w:rPr>
          <w:rFonts w:ascii="Arial" w:hAnsi="Arial" w:eastAsia="Calibri" w:cs="Arial"/>
          <w:sz w:val="22"/>
          <w:szCs w:val="22"/>
          <w:lang w:val="es-MX" w:eastAsia="en-US"/>
        </w:rPr>
        <w:t xml:space="preserve"> </w:t>
      </w:r>
      <w:r w:rsidRPr="00A35361" w:rsidR="00F77DF5">
        <w:rPr>
          <w:rFonts w:ascii="Arial" w:hAnsi="Arial" w:eastAsia="Calibri" w:cs="Arial"/>
          <w:sz w:val="22"/>
          <w:szCs w:val="22"/>
          <w:lang w:val="es-MX" w:eastAsia="en-US"/>
        </w:rPr>
        <w:t>que tengan como parte a una entidad estatal, deberán publicarse en el SECOP independientemente del régimen aplicable o que impliquen o no erogación de recursos públicos.</w:t>
      </w:r>
    </w:p>
    <w:bookmarkEnd w:id="63"/>
    <w:bookmarkEnd w:id="62"/>
    <w:p w:rsidRPr="007E42BC" w:rsidR="006476F3" w:rsidP="00FD7DA9" w:rsidRDefault="006476F3" w14:paraId="5230D33A" w14:textId="77777777">
      <w:pPr>
        <w:pStyle w:val="xmsonospacing"/>
        <w:spacing w:before="0" w:beforeAutospacing="0" w:after="0" w:afterAutospacing="0" w:line="276" w:lineRule="auto"/>
        <w:jc w:val="both"/>
        <w:rPr>
          <w:rFonts w:ascii="Arial" w:hAnsi="Arial" w:cs="Arial"/>
          <w:color w:val="000000"/>
          <w:sz w:val="22"/>
          <w:szCs w:val="22"/>
        </w:rPr>
      </w:pPr>
    </w:p>
    <w:p w:rsidRPr="007A0123" w:rsidR="00A71CEA" w:rsidP="00FC46E7" w:rsidRDefault="00A71CEA" w14:paraId="0738C8F4" w14:textId="29CC140C">
      <w:pPr>
        <w:spacing w:line="276" w:lineRule="auto"/>
        <w:jc w:val="both"/>
        <w:rPr>
          <w:rFonts w:ascii="Arial" w:hAnsi="Arial" w:eastAsia="Calibri" w:cs="Arial"/>
          <w:color w:val="000000" w:themeColor="text1"/>
          <w:sz w:val="22"/>
        </w:rPr>
      </w:pPr>
      <w:r w:rsidRPr="007A0123">
        <w:rPr>
          <w:rFonts w:ascii="Arial" w:hAnsi="Arial" w:eastAsia="Calibri" w:cs="Arial"/>
          <w:color w:val="000000" w:themeColor="text1"/>
          <w:sz w:val="22"/>
          <w:szCs w:val="22"/>
        </w:rPr>
        <w:t>Este concepto tiene el alcance previsto en el artículo 28 del Cód</w:t>
      </w:r>
      <w:r w:rsidRPr="007A0123">
        <w:rPr>
          <w:rFonts w:ascii="Arial" w:hAnsi="Arial" w:eastAsia="Calibri" w:cs="Arial"/>
          <w:color w:val="000000" w:themeColor="text1"/>
          <w:sz w:val="22"/>
        </w:rPr>
        <w:t>igo de Procedimiento Administrativo y de lo Contencioso Administrativo.</w:t>
      </w:r>
    </w:p>
    <w:p w:rsidRPr="007A0123" w:rsidR="00B55679" w:rsidP="00FC46E7" w:rsidRDefault="00B55679" w14:paraId="27A116DB" w14:textId="77777777">
      <w:pPr>
        <w:jc w:val="both"/>
        <w:rPr>
          <w:rFonts w:ascii="Arial" w:hAnsi="Arial" w:eastAsia="Calibri" w:cs="Arial"/>
          <w:color w:val="000000" w:themeColor="text1"/>
          <w:sz w:val="22"/>
        </w:rPr>
      </w:pPr>
    </w:p>
    <w:p w:rsidRPr="007A0123" w:rsidR="00A71CEA" w:rsidP="00FC46E7" w:rsidRDefault="00A71CEA" w14:paraId="1BD8E63C" w14:textId="77777777">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rsidRPr="007A0123" w:rsidR="00A71CEA" w:rsidRDefault="00AE11B5" w14:paraId="4783A21F" w14:textId="4194C752">
      <w:pPr>
        <w:jc w:val="center"/>
        <w:rPr>
          <w:rFonts w:ascii="Arial" w:hAnsi="Arial" w:cs="Arial"/>
          <w:color w:val="000000" w:themeColor="text1"/>
          <w:sz w:val="18"/>
          <w:szCs w:val="20"/>
          <w:lang w:eastAsia="es-CO"/>
        </w:rPr>
      </w:pPr>
      <w:r w:rsidRPr="00B25B3D">
        <w:rPr>
          <w:rFonts w:ascii="Arial" w:hAnsi="Arial" w:cs="Arial"/>
          <w:noProof/>
          <w:sz w:val="18"/>
          <w:szCs w:val="20"/>
        </w:rPr>
        <w:drawing>
          <wp:inline distT="0" distB="0" distL="0" distR="0" wp14:anchorId="03AF6963" wp14:editId="7B6AB136">
            <wp:extent cx="2409825" cy="1064530"/>
            <wp:effectExtent l="0" t="0" r="0" b="254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6260" cy="1067373"/>
                    </a:xfrm>
                    <a:prstGeom prst="rect">
                      <a:avLst/>
                    </a:prstGeom>
                    <a:noFill/>
                    <a:ln>
                      <a:noFill/>
                    </a:ln>
                  </pic:spPr>
                </pic:pic>
              </a:graphicData>
            </a:graphic>
          </wp:inline>
        </w:drawing>
      </w:r>
    </w:p>
    <w:p w:rsidRPr="007A0123" w:rsidR="00A71CEA" w:rsidP="00FC46E7" w:rsidRDefault="00A71CEA" w14:paraId="1FEF5E59" w14:textId="77777777">
      <w:pPr>
        <w:jc w:val="center"/>
        <w:rPr>
          <w:rFonts w:ascii="Arial" w:hAnsi="Arial"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8"/>
        <w:gridCol w:w="4502"/>
      </w:tblGrid>
      <w:tr w:rsidRPr="007A0123" w:rsidR="00A71CEA" w:rsidTr="00F35993" w14:paraId="6FD066C0" w14:textId="77777777">
        <w:trPr>
          <w:trHeight w:val="300"/>
        </w:trPr>
        <w:tc>
          <w:tcPr>
            <w:tcW w:w="828" w:type="dxa"/>
            <w:vAlign w:val="center"/>
            <w:hideMark/>
          </w:tcPr>
          <w:p w:rsidRPr="007A0123" w:rsidR="00A71CEA" w:rsidP="00FC46E7" w:rsidRDefault="00A71CEA" w14:paraId="3D034311"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502" w:type="dxa"/>
            <w:tcBorders>
              <w:top w:val="nil"/>
              <w:left w:val="nil"/>
              <w:bottom w:val="dotted" w:color="7F7F7F" w:themeColor="text1" w:themeTint="80" w:sz="4" w:space="0"/>
              <w:right w:val="nil"/>
            </w:tcBorders>
            <w:vAlign w:val="center"/>
            <w:hideMark/>
          </w:tcPr>
          <w:p w:rsidRPr="007A0123" w:rsidR="00A71CEA" w:rsidP="00FC46E7" w:rsidRDefault="00F35993" w14:paraId="4130A8A2" w14:textId="0DFAAE93">
            <w:pPr>
              <w:rPr>
                <w:rFonts w:ascii="Arial" w:hAnsi="Arial" w:cs="Arial"/>
                <w:color w:val="000000" w:themeColor="text1"/>
                <w:sz w:val="16"/>
                <w:szCs w:val="16"/>
                <w:lang w:eastAsia="es-ES"/>
              </w:rPr>
            </w:pPr>
            <w:r>
              <w:rPr>
                <w:rFonts w:ascii="Arial" w:hAnsi="Arial" w:cs="Arial"/>
                <w:color w:val="000000" w:themeColor="text1"/>
                <w:sz w:val="16"/>
                <w:szCs w:val="16"/>
                <w:lang w:eastAsia="es-ES"/>
              </w:rPr>
              <w:t>Laura Alejandra Materón García</w:t>
            </w:r>
            <w:r w:rsidRPr="007A0123" w:rsidR="00A71CEA">
              <w:rPr>
                <w:rFonts w:ascii="Arial" w:hAnsi="Arial" w:cs="Arial"/>
                <w:color w:val="000000" w:themeColor="text1"/>
                <w:sz w:val="16"/>
                <w:szCs w:val="16"/>
                <w:lang w:eastAsia="es-ES"/>
              </w:rPr>
              <w:t xml:space="preserve"> </w:t>
            </w:r>
          </w:p>
          <w:p w:rsidRPr="007A0123" w:rsidR="00A71CEA" w:rsidP="00FC46E7" w:rsidRDefault="00F35993" w14:paraId="02C2374E" w14:textId="23A07400">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Analista T2– 01 </w:t>
            </w:r>
            <w:r w:rsidRPr="007A0123" w:rsidR="00A71CEA">
              <w:rPr>
                <w:rFonts w:ascii="Arial" w:hAnsi="Arial" w:cs="Arial"/>
                <w:color w:val="000000" w:themeColor="text1"/>
                <w:sz w:val="16"/>
                <w:szCs w:val="16"/>
                <w:lang w:eastAsia="es-ES"/>
              </w:rPr>
              <w:t>de la Subdirección de Gestión Contractual</w:t>
            </w:r>
          </w:p>
        </w:tc>
      </w:tr>
      <w:tr w:rsidRPr="007A0123" w:rsidR="00A71CEA" w:rsidTr="00F35993" w14:paraId="6CE7FA18" w14:textId="77777777">
        <w:trPr>
          <w:trHeight w:val="314"/>
        </w:trPr>
        <w:tc>
          <w:tcPr>
            <w:tcW w:w="828" w:type="dxa"/>
            <w:vAlign w:val="center"/>
            <w:hideMark/>
          </w:tcPr>
          <w:p w:rsidRPr="007A0123" w:rsidR="00A71CEA" w:rsidP="00FC46E7" w:rsidRDefault="00A71CEA" w14:paraId="2902D588"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502" w:type="dxa"/>
            <w:tcBorders>
              <w:top w:val="dotted" w:color="7F7F7F" w:themeColor="text1" w:themeTint="80" w:sz="4" w:space="0"/>
              <w:left w:val="nil"/>
              <w:bottom w:val="dotted" w:color="7F7F7F" w:themeColor="text1" w:themeTint="80" w:sz="4" w:space="0"/>
              <w:right w:val="nil"/>
            </w:tcBorders>
            <w:vAlign w:val="center"/>
            <w:hideMark/>
          </w:tcPr>
          <w:p w:rsidRPr="007A0123" w:rsidR="00A71CEA" w:rsidP="00FC46E7" w:rsidRDefault="00CC7CAB" w14:paraId="6CC67DAC" w14:textId="433D52CA">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Juan David Montoya Penagos </w:t>
            </w:r>
          </w:p>
          <w:p w:rsidRPr="007A0123" w:rsidR="00A71CEA" w:rsidP="00FC46E7" w:rsidRDefault="00A71CEA" w14:paraId="15D02354" w14:textId="5F8430C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w:t>
            </w:r>
            <w:r w:rsidR="00AF0F4E">
              <w:rPr>
                <w:rFonts w:ascii="Arial" w:hAnsi="Arial" w:cs="Arial"/>
                <w:color w:val="000000" w:themeColor="text1"/>
                <w:sz w:val="16"/>
                <w:szCs w:val="16"/>
                <w:lang w:eastAsia="es-ES"/>
              </w:rPr>
              <w:t>1</w:t>
            </w:r>
            <w:r w:rsidRPr="007A0123">
              <w:rPr>
                <w:rFonts w:ascii="Arial" w:hAnsi="Arial" w:cs="Arial"/>
                <w:color w:val="000000" w:themeColor="text1"/>
                <w:sz w:val="16"/>
                <w:szCs w:val="16"/>
                <w:lang w:eastAsia="es-ES"/>
              </w:rPr>
              <w:t xml:space="preserve"> de la Subdirección de Gestión Contractual</w:t>
            </w:r>
          </w:p>
        </w:tc>
      </w:tr>
      <w:tr w:rsidRPr="003F6D32" w:rsidR="00A71CEA" w:rsidTr="00F35993" w14:paraId="4BA2BDE6" w14:textId="77777777">
        <w:trPr>
          <w:trHeight w:val="286"/>
        </w:trPr>
        <w:tc>
          <w:tcPr>
            <w:tcW w:w="828" w:type="dxa"/>
            <w:vAlign w:val="center"/>
            <w:hideMark/>
          </w:tcPr>
          <w:p w:rsidRPr="007A0123" w:rsidR="00A71CEA" w:rsidP="00FC46E7" w:rsidRDefault="00A71CEA" w14:paraId="1A726DD9"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502" w:type="dxa"/>
            <w:tcBorders>
              <w:top w:val="dotted" w:color="7F7F7F" w:themeColor="text1" w:themeTint="80" w:sz="4" w:space="0"/>
              <w:left w:val="nil"/>
              <w:bottom w:val="dotted" w:color="7F7F7F" w:themeColor="text1" w:themeTint="80" w:sz="4" w:space="0"/>
              <w:right w:val="nil"/>
            </w:tcBorders>
            <w:vAlign w:val="center"/>
            <w:hideMark/>
          </w:tcPr>
          <w:p w:rsidRPr="007A0123" w:rsidR="00A71CEA" w:rsidP="00FC46E7" w:rsidRDefault="00A71CEA" w14:paraId="32ECCC83"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Jorge Augusto Tirado Navarro</w:t>
            </w:r>
          </w:p>
          <w:p w:rsidRPr="006C15D5" w:rsidR="00A71CEA" w:rsidP="00FC46E7" w:rsidRDefault="00A71CEA" w14:paraId="416E9DA6"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p>
        </w:tc>
      </w:tr>
      <w:bookmarkEnd w:id="2"/>
    </w:tbl>
    <w:p w:rsidR="00A71CEA" w:rsidP="00FC46E7" w:rsidRDefault="00A71CEA" w14:paraId="3D5BFD2B" w14:textId="77777777"/>
    <w:sectPr w:rsidR="00A71CEA" w:rsidSect="007F1895">
      <w:headerReference w:type="default" r:id="rId15"/>
      <w:footerReference w:type="default" r:id="rId16"/>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2480" w:rsidP="00A71CEA" w:rsidRDefault="003A2480" w14:paraId="48C81F31" w14:textId="77777777">
      <w:r>
        <w:separator/>
      </w:r>
    </w:p>
  </w:endnote>
  <w:endnote w:type="continuationSeparator" w:id="0">
    <w:p w:rsidR="003A2480" w:rsidP="00A71CEA" w:rsidRDefault="003A2480" w14:paraId="768240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87886" w:rsidP="007F1895" w:rsidRDefault="00387886" w14:paraId="7D6EB0DB" w14:textId="77777777">
    <w:pPr>
      <w:pStyle w:val="Sinespaciado"/>
      <w:jc w:val="right"/>
      <w:rPr>
        <w:rFonts w:ascii="Arial" w:hAnsi="Arial" w:cs="Arial"/>
        <w:sz w:val="18"/>
        <w:szCs w:val="18"/>
      </w:rPr>
    </w:pPr>
  </w:p>
  <w:p w:rsidR="00387886" w:rsidP="007F1895" w:rsidRDefault="00387886" w14:paraId="1A83C429" w14:textId="77777777">
    <w:pPr>
      <w:pStyle w:val="Sinespaciado"/>
      <w:jc w:val="right"/>
      <w:rPr>
        <w:rFonts w:ascii="Arial" w:hAnsi="Arial" w:cs="Arial"/>
        <w:sz w:val="18"/>
        <w:szCs w:val="18"/>
      </w:rPr>
    </w:pPr>
  </w:p>
  <w:p w:rsidRPr="008217B7" w:rsidR="00387886" w:rsidP="007F1895" w:rsidRDefault="00387886" w14:paraId="4C092373"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387886" w:rsidP="007F1895" w:rsidRDefault="00387886" w14:paraId="15A1C25B" w14:textId="77777777">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E756AC" w:rsidR="00387886" w:rsidP="007F1895" w:rsidRDefault="00387886" w14:paraId="79A9CCC9" w14:textId="77777777">
    <w:pPr>
      <w:pStyle w:val="Piedepgina"/>
      <w:jc w:val="center"/>
      <w:rPr>
        <w:sz w:val="18"/>
        <w:szCs w:val="18"/>
        <w:lang w:val="es-ES"/>
      </w:rPr>
    </w:pPr>
  </w:p>
  <w:p w:rsidRPr="00E756AC" w:rsidR="00387886" w:rsidP="007F1895" w:rsidRDefault="00387886" w14:paraId="02222FE9"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2480" w:rsidP="00A71CEA" w:rsidRDefault="003A2480" w14:paraId="7356784D" w14:textId="77777777">
      <w:r>
        <w:separator/>
      </w:r>
    </w:p>
  </w:footnote>
  <w:footnote w:type="continuationSeparator" w:id="0">
    <w:p w:rsidR="003A2480" w:rsidP="00A71CEA" w:rsidRDefault="003A2480" w14:paraId="01CB4E92" w14:textId="77777777">
      <w:r>
        <w:continuationSeparator/>
      </w:r>
    </w:p>
  </w:footnote>
  <w:footnote w:id="1">
    <w:p w:rsidRPr="00A105C2" w:rsidR="00A23BDA" w:rsidP="00FD7DA9" w:rsidRDefault="00A23BDA" w14:paraId="0BD101A3" w14:textId="77777777">
      <w:pPr>
        <w:pStyle w:val="Textonotapie"/>
        <w:ind w:firstLine="708"/>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105C2">
        <w:rPr>
          <w:rFonts w:asciiTheme="minorBidi" w:hAnsiTheme="minorBidi"/>
          <w:i/>
          <w:iCs/>
          <w:sz w:val="19"/>
          <w:szCs w:val="19"/>
        </w:rPr>
        <w:t xml:space="preserve">ibidem </w:t>
      </w:r>
      <w:r w:rsidRPr="00A105C2">
        <w:rPr>
          <w:rFonts w:asciiTheme="minorBidi" w:hAnsiTheme="minorBidi"/>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Pr="00A105C2" w:rsidR="00471C67" w:rsidP="005E2B5A" w:rsidRDefault="00471C67" w14:paraId="2AD5A8F5"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A105C2" w:rsidR="00471C67" w:rsidP="005E2B5A" w:rsidRDefault="00471C67" w14:paraId="0C2CA11B" w14:textId="0B9654E2">
      <w:pPr>
        <w:pStyle w:val="Textonotapie"/>
        <w:ind w:firstLine="709"/>
        <w:contextualSpacing/>
        <w:jc w:val="both"/>
        <w:rPr>
          <w:rFonts w:asciiTheme="minorBidi" w:hAnsiTheme="minorBidi"/>
          <w:sz w:val="19"/>
          <w:szCs w:val="19"/>
        </w:rPr>
      </w:pPr>
      <w:proofErr w:type="gramStart"/>
      <w:r w:rsidRPr="00A105C2">
        <w:rPr>
          <w:rFonts w:asciiTheme="minorBidi" w:hAnsiTheme="minorBidi"/>
          <w:sz w:val="19"/>
          <w:szCs w:val="19"/>
        </w:rPr>
        <w:t>»A</w:t>
      </w:r>
      <w:proofErr w:type="gramEnd"/>
      <w:r w:rsidRPr="00A105C2">
        <w:rPr>
          <w:rFonts w:asciiTheme="minorBidi" w:hAnsiTheme="minorBidi"/>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rsidRPr="00A105C2" w:rsidR="00471C67" w:rsidP="005E2B5A" w:rsidRDefault="00471C67" w14:paraId="272D3192"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Gaceta del Congreso de la República No. 71 del 2005.</w:t>
      </w:r>
    </w:p>
  </w:footnote>
  <w:footnote w:id="4">
    <w:p w:rsidRPr="00A105C2" w:rsidR="00471C67" w:rsidP="005E2B5A" w:rsidRDefault="00471C67" w14:paraId="0BD380B0"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Corte Constitucional, Sentencia C- 1153 de 2005, M.P. Marco Gerardo Monroy Cabra.</w:t>
      </w:r>
    </w:p>
  </w:footnote>
  <w:footnote w:id="5">
    <w:p w:rsidRPr="00A105C2" w:rsidR="00471C67" w:rsidP="005E2B5A" w:rsidRDefault="00471C67" w14:paraId="4BFCA0D3"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rsidRPr="00A105C2" w:rsidR="00471C67" w:rsidP="005E2B5A" w:rsidRDefault="00471C67" w14:paraId="35B2A408" w14:textId="77777777">
      <w:pPr>
        <w:pStyle w:val="Textonotapie"/>
        <w:ind w:firstLine="709"/>
        <w:contextualSpacing/>
        <w:jc w:val="both"/>
        <w:rPr>
          <w:rFonts w:asciiTheme="minorBidi" w:hAnsiTheme="minorBidi"/>
          <w:sz w:val="19"/>
          <w:szCs w:val="19"/>
          <w:lang w:val="es-CO"/>
        </w:rPr>
      </w:pPr>
      <w:r w:rsidRPr="00A105C2">
        <w:rPr>
          <w:rStyle w:val="Refdenotaalpie"/>
          <w:rFonts w:asciiTheme="minorBidi" w:hAnsiTheme="minorBidi"/>
          <w:sz w:val="19"/>
          <w:szCs w:val="19"/>
        </w:rPr>
        <w:footnoteRef/>
      </w:r>
      <w:r w:rsidRPr="00A105C2">
        <w:rPr>
          <w:rFonts w:asciiTheme="minorBidi" w:hAnsiTheme="minorBidi"/>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rsidRPr="00A105C2" w:rsidR="00471C67" w:rsidP="005E2B5A" w:rsidRDefault="00471C67" w14:paraId="214B9788"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de fecha 24 de julio de 2013, radicado 2166, </w:t>
      </w:r>
      <w:proofErr w:type="gramStart"/>
      <w:r w:rsidRPr="00A105C2">
        <w:rPr>
          <w:rFonts w:asciiTheme="minorBidi" w:hAnsiTheme="minorBidi"/>
          <w:sz w:val="19"/>
          <w:szCs w:val="19"/>
        </w:rPr>
        <w:t>Consejero</w:t>
      </w:r>
      <w:proofErr w:type="gramEnd"/>
      <w:r w:rsidRPr="00A105C2">
        <w:rPr>
          <w:rFonts w:asciiTheme="minorBidi" w:hAnsiTheme="minorBidi"/>
          <w:sz w:val="19"/>
          <w:szCs w:val="19"/>
        </w:rPr>
        <w:t xml:space="preserve"> Ponente: Álvaro Namén Vargas.  </w:t>
      </w:r>
    </w:p>
  </w:footnote>
  <w:footnote w:id="8">
    <w:p w:rsidRPr="00A105C2" w:rsidR="00471C67" w:rsidP="005E2B5A" w:rsidRDefault="00471C67" w14:paraId="6C0100F7" w14:textId="77777777">
      <w:pPr>
        <w:ind w:firstLine="709"/>
        <w:contextualSpacing/>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w:t>
      </w:r>
      <w:bookmarkStart w:name="33" w:id="9"/>
      <w:r w:rsidRPr="00A105C2">
        <w:rPr>
          <w:rFonts w:eastAsia="Calibri" w:asciiTheme="minorBidi" w:hAnsiTheme="minorBidi" w:cstheme="minorBidi"/>
          <w:bCs/>
          <w:color w:val="000000"/>
          <w:sz w:val="19"/>
          <w:szCs w:val="19"/>
        </w:rPr>
        <w:t>«</w:t>
      </w:r>
      <w:r w:rsidRPr="00A105C2">
        <w:rPr>
          <w:rFonts w:asciiTheme="minorBidi" w:hAnsiTheme="minorBidi" w:cstheme="minorBidi"/>
          <w:sz w:val="19"/>
          <w:szCs w:val="19"/>
        </w:rPr>
        <w:t>Artículo 33. Restricciones a la contratación pública.</w:t>
      </w:r>
      <w:bookmarkEnd w:id="9"/>
      <w:r w:rsidRPr="00A105C2">
        <w:rPr>
          <w:rFonts w:asciiTheme="minorBidi" w:hAnsiTheme="minorBidi" w:cstheme="minorBidi"/>
          <w:sz w:val="19"/>
          <w:szCs w:val="19"/>
        </w:rPr>
        <w:t> Durante los cuatro (4) meses anteriores a la elección presidencial y hasta la realización de la elección en la segunda vuelta, si fuere el caso, queda prohibida la contratación directa por parte de todos los entes del Estado.</w:t>
      </w:r>
    </w:p>
    <w:p w:rsidRPr="00A105C2" w:rsidR="00471C67" w:rsidP="005E2B5A" w:rsidRDefault="00471C67" w14:paraId="7D8EE549" w14:textId="77777777">
      <w:pPr>
        <w:ind w:firstLine="709"/>
        <w:contextualSpacing/>
        <w:jc w:val="both"/>
        <w:rPr>
          <w:rFonts w:asciiTheme="minorBidi" w:hAnsiTheme="minorBidi" w:cstheme="minorBidi"/>
          <w:sz w:val="19"/>
          <w:szCs w:val="19"/>
        </w:rPr>
      </w:pPr>
      <w:r w:rsidRPr="00A105C2">
        <w:rPr>
          <w:rFonts w:eastAsia="Calibri" w:asciiTheme="minorBidi" w:hAnsiTheme="minorBidi" w:cstheme="minorBidi"/>
          <w:bCs/>
          <w:color w:val="000000"/>
          <w:sz w:val="19"/>
          <w:szCs w:val="19"/>
        </w:rPr>
        <w:t>»</w:t>
      </w:r>
      <w:r w:rsidRPr="00A105C2">
        <w:rPr>
          <w:rFonts w:asciiTheme="minorBidi" w:hAnsiTheme="minorBidi" w:cstheme="minorBidi"/>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105C2">
        <w:rPr>
          <w:rFonts w:eastAsia="Calibri" w:asciiTheme="minorBidi" w:hAnsiTheme="minorBidi" w:cstheme="minorBidi"/>
          <w:bCs/>
          <w:color w:val="000000"/>
          <w:sz w:val="19"/>
          <w:szCs w:val="19"/>
        </w:rPr>
        <w:t>»</w:t>
      </w:r>
      <w:r w:rsidRPr="00A105C2">
        <w:rPr>
          <w:rFonts w:asciiTheme="minorBidi" w:hAnsiTheme="minorBidi" w:cstheme="minorBidi"/>
          <w:sz w:val="19"/>
          <w:szCs w:val="19"/>
        </w:rPr>
        <w:t>.</w:t>
      </w:r>
    </w:p>
  </w:footnote>
  <w:footnote w:id="9">
    <w:p w:rsidRPr="00A105C2" w:rsidR="00471C67" w:rsidP="005E2B5A" w:rsidRDefault="00471C67" w14:paraId="6DFF0E8A" w14:textId="77777777">
      <w:pPr>
        <w:pStyle w:val="NormalWeb"/>
        <w:spacing w:before="0" w:beforeAutospacing="0" w:after="0" w:afterAutospacing="0"/>
        <w:ind w:firstLine="709"/>
        <w:contextualSpacing/>
        <w:jc w:val="both"/>
        <w:rPr>
          <w:rFonts w:asciiTheme="minorBidi" w:hAnsiTheme="minorBidi" w:cstheme="minorBidi"/>
          <w:sz w:val="19"/>
          <w:szCs w:val="19"/>
          <w:lang w:val="es-MX"/>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w:t>
      </w:r>
      <w:bookmarkStart w:name="38" w:id="10"/>
      <w:r w:rsidRPr="00A105C2">
        <w:rPr>
          <w:rFonts w:eastAsia="Calibri" w:asciiTheme="minorBidi" w:hAnsiTheme="minorBidi" w:cstheme="minorBidi"/>
          <w:bCs/>
          <w:color w:val="000000"/>
          <w:sz w:val="19"/>
          <w:szCs w:val="19"/>
        </w:rPr>
        <w:t>«</w:t>
      </w:r>
      <w:r w:rsidRPr="00A105C2">
        <w:rPr>
          <w:rFonts w:asciiTheme="minorBidi" w:hAnsiTheme="minorBidi" w:cstheme="minorBidi"/>
          <w:sz w:val="19"/>
          <w:szCs w:val="19"/>
          <w:lang w:val="es-MX"/>
        </w:rPr>
        <w:t>Artículo 38. Prohibiciones para los servidores públicos. A los empleados del Estado les está prohibido:</w:t>
      </w:r>
      <w:bookmarkEnd w:id="10"/>
    </w:p>
    <w:p w:rsidRPr="00A105C2" w:rsidR="00471C67" w:rsidP="005E2B5A" w:rsidRDefault="00471C67" w14:paraId="6CDDA90F" w14:textId="77777777">
      <w:pPr>
        <w:pStyle w:val="NormalWeb"/>
        <w:spacing w:before="0" w:beforeAutospacing="0" w:after="0" w:afterAutospacing="0"/>
        <w:ind w:firstLine="709"/>
        <w:contextualSpacing/>
        <w:jc w:val="both"/>
        <w:rPr>
          <w:rFonts w:asciiTheme="minorBidi" w:hAnsiTheme="minorBidi" w:cstheme="minorBidi"/>
          <w:sz w:val="19"/>
          <w:szCs w:val="19"/>
          <w:lang w:val="es-MX"/>
        </w:rPr>
      </w:pPr>
      <w:r w:rsidRPr="00A105C2">
        <w:rPr>
          <w:rFonts w:eastAsia="Calibri" w:asciiTheme="minorBidi" w:hAnsiTheme="minorBidi" w:cstheme="minorBidi"/>
          <w:bCs/>
          <w:color w:val="000000"/>
          <w:sz w:val="19"/>
          <w:szCs w:val="19"/>
        </w:rPr>
        <w:t>»</w:t>
      </w:r>
      <w:r w:rsidRPr="00A105C2">
        <w:rPr>
          <w:rFonts w:asciiTheme="minorBidi" w:hAnsiTheme="minorBidi" w:cstheme="minorBidi"/>
          <w:sz w:val="19"/>
          <w:szCs w:val="19"/>
          <w:lang w:val="es-MX"/>
        </w:rPr>
        <w:t xml:space="preserve"> […]</w:t>
      </w:r>
    </w:p>
    <w:p w:rsidRPr="00A105C2" w:rsidR="00471C67" w:rsidP="005E2B5A" w:rsidRDefault="00471C67" w14:paraId="0EAB9811" w14:textId="77777777">
      <w:pPr>
        <w:pStyle w:val="NormalWeb"/>
        <w:spacing w:before="0" w:beforeAutospacing="0" w:after="0" w:afterAutospacing="0"/>
        <w:ind w:firstLine="709"/>
        <w:contextualSpacing/>
        <w:jc w:val="both"/>
        <w:rPr>
          <w:rFonts w:asciiTheme="minorBidi" w:hAnsiTheme="minorBidi" w:cstheme="minorBidi"/>
          <w:sz w:val="19"/>
          <w:szCs w:val="19"/>
          <w:lang w:val="es-MX"/>
        </w:rPr>
      </w:pPr>
      <w:r w:rsidRPr="00A105C2">
        <w:rPr>
          <w:rFonts w:eastAsia="Calibri" w:asciiTheme="minorBidi" w:hAnsiTheme="minorBidi" w:cstheme="minorBidi"/>
          <w:bCs/>
          <w:color w:val="000000"/>
          <w:sz w:val="19"/>
          <w:szCs w:val="19"/>
        </w:rPr>
        <w:t>»</w:t>
      </w:r>
      <w:r w:rsidRPr="00A105C2">
        <w:rPr>
          <w:rStyle w:val="baj"/>
          <w:rFonts w:asciiTheme="minorBidi" w:hAnsiTheme="minorBidi" w:cstheme="minorBidi"/>
          <w:sz w:val="19"/>
          <w:szCs w:val="19"/>
          <w:lang w:val="es-MX"/>
        </w:rPr>
        <w:t xml:space="preserve"> Parágrafo.</w:t>
      </w:r>
      <w:r w:rsidRPr="00A105C2">
        <w:rPr>
          <w:rFonts w:asciiTheme="minorBidi" w:hAnsiTheme="minorBidi" w:cstheme="minorBidi"/>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105C2">
        <w:rPr>
          <w:rFonts w:eastAsia="Calibri" w:asciiTheme="minorBidi" w:hAnsiTheme="minorBidi" w:cstheme="minorBidi"/>
          <w:bCs/>
          <w:color w:val="000000"/>
          <w:sz w:val="19"/>
          <w:szCs w:val="19"/>
        </w:rPr>
        <w:t>»</w:t>
      </w:r>
      <w:r w:rsidRPr="00A105C2">
        <w:rPr>
          <w:rFonts w:asciiTheme="minorBidi" w:hAnsiTheme="minorBidi" w:cstheme="minorBidi"/>
          <w:sz w:val="19"/>
          <w:szCs w:val="19"/>
          <w:lang w:val="es-MX"/>
        </w:rPr>
        <w:t>.</w:t>
      </w:r>
    </w:p>
  </w:footnote>
  <w:footnote w:id="10">
    <w:p w:rsidRPr="00A105C2" w:rsidR="00471C67" w:rsidP="005E2B5A" w:rsidRDefault="00471C67" w14:paraId="67F58224" w14:textId="77777777">
      <w:pPr>
        <w:ind w:firstLine="709"/>
        <w:contextualSpacing/>
        <w:jc w:val="both"/>
        <w:rPr>
          <w:rFonts w:asciiTheme="minorBidi" w:hAnsiTheme="minorBidi" w:cstheme="minorBidi"/>
          <w:sz w:val="19"/>
          <w:szCs w:val="19"/>
          <w:lang w:val="es-ES"/>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Consejo de Estado. Sala de Consulta y Servicio Civil. Concepto del 17 de febrero de 2015. C.P. William Zambrano Cetina. Radicación No. 11001-03-06-000-2015-00164-00(2269).</w:t>
      </w:r>
    </w:p>
  </w:footnote>
  <w:footnote w:id="11">
    <w:p w:rsidRPr="00A105C2" w:rsidR="009311DA" w:rsidP="005E2B5A" w:rsidRDefault="009311DA" w14:paraId="08988D30" w14:textId="77777777">
      <w:pPr>
        <w:pStyle w:val="Textonotapie"/>
        <w:ind w:right="51"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bookmarkStart w:name="_Hlk74272731" w:id="16"/>
      <w:r w:rsidRPr="00A105C2">
        <w:rPr>
          <w:rFonts w:asciiTheme="minorBidi" w:hAnsiTheme="minorBidi"/>
          <w:sz w:val="19"/>
          <w:szCs w:val="19"/>
        </w:rPr>
        <w:t>«</w:t>
      </w:r>
      <w:bookmarkEnd w:id="16"/>
      <w:r w:rsidRPr="00A105C2">
        <w:rPr>
          <w:rFonts w:asciiTheme="minorBidi" w:hAnsiTheme="minorBidi"/>
          <w:sz w:val="19"/>
          <w:szCs w:val="19"/>
          <w:lang w:val="es-ES"/>
        </w:rPr>
        <w:t xml:space="preserve">[25] </w:t>
      </w:r>
      <w:r w:rsidRPr="00A105C2">
        <w:rPr>
          <w:rFonts w:asciiTheme="minorBidi" w:hAnsiTheme="minorBidi"/>
          <w:sz w:val="19"/>
          <w:szCs w:val="19"/>
        </w:rPr>
        <w:t>Cfr. Consejo de Estado. Sección Tercera. Sentencia de 3 de diciembre de 2007. Radicados: 24.715, 25.206, 25.409, 24.524, 27.834, 25.410, 26.105, 28.244, 31.447 -acumulados-</w:t>
      </w:r>
      <w:bookmarkStart w:name="_Hlk74271358" w:id="17"/>
      <w:r w:rsidRPr="00A105C2">
        <w:rPr>
          <w:rFonts w:asciiTheme="minorBidi" w:hAnsiTheme="minorBidi"/>
          <w:sz w:val="19"/>
          <w:szCs w:val="19"/>
        </w:rPr>
        <w:t>»</w:t>
      </w:r>
      <w:bookmarkEnd w:id="17"/>
      <w:r w:rsidRPr="00A105C2">
        <w:rPr>
          <w:rFonts w:asciiTheme="minorBidi" w:hAnsiTheme="minorBidi"/>
          <w:sz w:val="19"/>
          <w:szCs w:val="19"/>
        </w:rPr>
        <w:t>.</w:t>
      </w:r>
    </w:p>
  </w:footnote>
  <w:footnote w:id="12">
    <w:p w:rsidRPr="00A105C2" w:rsidR="009311DA" w:rsidP="005E2B5A" w:rsidRDefault="009311DA" w14:paraId="5F6D2E2C" w14:textId="77777777">
      <w:pPr>
        <w:pStyle w:val="Textonotapie"/>
        <w:ind w:right="51"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bookmarkStart w:name="_Hlk74294506" w:id="19"/>
      <w:r w:rsidRPr="00A105C2">
        <w:rPr>
          <w:rFonts w:asciiTheme="minorBidi" w:hAnsiTheme="minorBidi"/>
          <w:sz w:val="19"/>
          <w:szCs w:val="19"/>
        </w:rPr>
        <w:t>«</w:t>
      </w:r>
      <w:r w:rsidRPr="00A105C2">
        <w:rPr>
          <w:rFonts w:asciiTheme="minorBidi" w:hAnsiTheme="minorBidi"/>
          <w:sz w:val="19"/>
          <w:szCs w:val="19"/>
          <w:lang w:val="es-ES"/>
        </w:rPr>
        <w:t xml:space="preserve">[26] </w:t>
      </w:r>
      <w:bookmarkEnd w:id="19"/>
      <w:r w:rsidRPr="00A105C2">
        <w:rPr>
          <w:rFonts w:asciiTheme="minorBidi" w:hAnsiTheme="minorBidi"/>
          <w:sz w:val="19"/>
          <w:szCs w:val="19"/>
        </w:rPr>
        <w:t>Al respecto ver el concepto 1712 de 2 de febrero de 2006. Consejo de Estado Sala de Consulta y Servicio Civil».</w:t>
      </w:r>
    </w:p>
  </w:footnote>
  <w:footnote w:id="13">
    <w:p w:rsidRPr="00A105C2" w:rsidR="009311DA" w:rsidP="005E2B5A" w:rsidRDefault="009311DA" w14:paraId="7A912F9D"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Concepto del 2 de septiembre de 2013. Radicación número: 11001-03-06-000-2013-00412-00 (2168). Consejero Ponente: Álvaro Namén Vargas.</w:t>
      </w:r>
    </w:p>
  </w:footnote>
  <w:footnote w:id="14">
    <w:p w:rsidRPr="00A105C2" w:rsidR="009311DA" w:rsidP="005E2B5A" w:rsidRDefault="009311DA" w14:paraId="2EDC8DE0" w14:textId="77777777">
      <w:pPr>
        <w:pStyle w:val="Textonotapie"/>
        <w:ind w:firstLine="709"/>
        <w:contextualSpacing/>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r w:rsidRPr="00A105C2">
        <w:rPr>
          <w:rFonts w:asciiTheme="minorBidi" w:hAnsiTheme="minorBidi"/>
          <w:sz w:val="19"/>
          <w:szCs w:val="19"/>
          <w:lang w:val="es-ES"/>
        </w:rPr>
        <w:t xml:space="preserve">Artículo 2. </w:t>
      </w:r>
    </w:p>
  </w:footnote>
  <w:footnote w:id="15">
    <w:p w:rsidRPr="00A105C2" w:rsidR="009311DA" w:rsidP="005E2B5A" w:rsidRDefault="009311DA" w14:paraId="5E3B9D52" w14:textId="77777777">
      <w:pPr>
        <w:pStyle w:val="Textonotapie"/>
        <w:ind w:firstLine="709"/>
        <w:contextualSpacing/>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r w:rsidRPr="00A105C2">
        <w:rPr>
          <w:rFonts w:asciiTheme="minorBidi" w:hAnsiTheme="minorBidi"/>
          <w:i/>
          <w:sz w:val="19"/>
          <w:szCs w:val="19"/>
          <w:lang w:val="es-ES"/>
        </w:rPr>
        <w:t>Ídem</w:t>
      </w:r>
      <w:r w:rsidRPr="00A105C2">
        <w:rPr>
          <w:rFonts w:asciiTheme="minorBidi" w:hAnsiTheme="minorBidi"/>
          <w:sz w:val="19"/>
          <w:szCs w:val="19"/>
          <w:lang w:val="es-ES"/>
        </w:rPr>
        <w:t>.</w:t>
      </w:r>
    </w:p>
  </w:footnote>
  <w:footnote w:id="16">
    <w:p w:rsidRPr="00A105C2" w:rsidR="009311DA" w:rsidP="005E2B5A" w:rsidRDefault="009311DA" w14:paraId="300F2F8D" w14:textId="77777777">
      <w:pPr>
        <w:pStyle w:val="Textonotapie"/>
        <w:ind w:firstLine="709"/>
        <w:contextualSpacing/>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Style w:val="Refdenotaalpie"/>
          <w:rFonts w:asciiTheme="minorBidi" w:hAnsiTheme="minorBidi"/>
          <w:sz w:val="19"/>
          <w:szCs w:val="19"/>
        </w:rPr>
        <w:t xml:space="preserve"> </w:t>
      </w:r>
      <w:bookmarkStart w:name="_Hlk74297130" w:id="24"/>
      <w:r w:rsidRPr="00A105C2">
        <w:rPr>
          <w:rFonts w:asciiTheme="minorBidi" w:hAnsiTheme="minorBidi"/>
          <w:sz w:val="19"/>
          <w:szCs w:val="19"/>
          <w:lang w:val="es-ES"/>
        </w:rPr>
        <w:t>«</w:t>
      </w:r>
      <w:bookmarkEnd w:id="24"/>
      <w:r w:rsidRPr="00A105C2">
        <w:rPr>
          <w:rFonts w:asciiTheme="minorBidi" w:hAnsiTheme="minorBidi"/>
          <w:sz w:val="19"/>
          <w:szCs w:val="19"/>
          <w:lang w:val="es-ES"/>
        </w:rPr>
        <w:t xml:space="preserve">[…] A este respecto, cabe recordar que el artículo 860 del Código de Comercio regula la licitación en el derecho privado». </w:t>
      </w:r>
    </w:p>
  </w:footnote>
  <w:footnote w:id="17">
    <w:p w:rsidRPr="00A105C2" w:rsidR="009311DA" w:rsidP="005E2B5A" w:rsidRDefault="009311DA" w14:paraId="51A0091E" w14:textId="77777777">
      <w:pPr>
        <w:shd w:val="clear" w:color="auto" w:fill="FFFFFF"/>
        <w:ind w:firstLine="709"/>
        <w:contextualSpacing/>
        <w:jc w:val="both"/>
        <w:rPr>
          <w:rFonts w:asciiTheme="minorBidi" w:hAnsiTheme="minorBidi" w:cstheme="minorBidi"/>
          <w:sz w:val="19"/>
          <w:szCs w:val="19"/>
          <w:lang w:val="es-ES"/>
        </w:rPr>
      </w:pPr>
      <w:r w:rsidRPr="00A105C2">
        <w:rPr>
          <w:rStyle w:val="Refdenotaalpie"/>
          <w:rFonts w:asciiTheme="minorBidi" w:hAnsiTheme="minorBidi" w:cstheme="minorBidi"/>
          <w:sz w:val="19"/>
          <w:szCs w:val="19"/>
        </w:rPr>
        <w:footnoteRef/>
      </w:r>
      <w:r w:rsidRPr="00A105C2">
        <w:rPr>
          <w:rStyle w:val="Refdenotaalpie"/>
          <w:rFonts w:asciiTheme="minorBidi" w:hAnsiTheme="minorBidi" w:cstheme="minorBidi"/>
          <w:sz w:val="19"/>
          <w:szCs w:val="19"/>
        </w:rPr>
        <w:t xml:space="preserve"> </w:t>
      </w:r>
      <w:r w:rsidRPr="00A105C2">
        <w:rPr>
          <w:rFonts w:asciiTheme="minorBidi" w:hAnsiTheme="minorBidi" w:cstheme="minorBidi"/>
          <w:sz w:val="19"/>
          <w:szCs w:val="19"/>
          <w:lang w:val="es-ES"/>
        </w:rPr>
        <w:t>Consejo de Estado. Sala de Consulta y Servicio Civil, Concepto de 8 de mayo de 2018. Radicación Número: 11001-03-06-000-2018-00095-00(2382). Consejero Ponente: Álvaro Namén Vargas.</w:t>
      </w:r>
    </w:p>
  </w:footnote>
  <w:footnote w:id="18">
    <w:p w:rsidRPr="00A105C2" w:rsidR="009311DA" w:rsidP="005E2B5A" w:rsidRDefault="009311DA" w14:paraId="038A9606"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Concepto del 08 de mayo de 2018. Exp. 2.382. C.P. Álvaro Namén Vargas.</w:t>
      </w:r>
    </w:p>
  </w:footnote>
  <w:footnote w:id="19">
    <w:p w:rsidRPr="00A105C2" w:rsidR="009311DA" w:rsidP="005E2B5A" w:rsidRDefault="009311DA" w14:paraId="76AA1AA6" w14:textId="77777777">
      <w:pPr>
        <w:pStyle w:val="Textonotapie"/>
        <w:ind w:firstLine="709"/>
        <w:contextualSpacing/>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rsidRPr="00A105C2" w:rsidR="00C84F90" w:rsidP="005E2B5A" w:rsidRDefault="00C84F90" w14:paraId="56019F36" w14:textId="76005FB1">
      <w:pPr>
        <w:ind w:firstLine="709"/>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rsidRPr="00A105C2" w:rsidR="00C84F90" w:rsidP="005E2B5A" w:rsidRDefault="00C84F90" w14:paraId="1745BF06" w14:textId="77777777">
      <w:pPr>
        <w:pStyle w:val="Textonotapie"/>
        <w:ind w:right="51" w:firstLine="709"/>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bookmarkStart w:name="_Hlk75633115" w:id="37"/>
      <w:r w:rsidRPr="00A105C2">
        <w:rPr>
          <w:rFonts w:asciiTheme="minorBidi" w:hAnsiTheme="minorBidi"/>
          <w:sz w:val="19"/>
          <w:szCs w:val="19"/>
        </w:rPr>
        <w:t xml:space="preserve">Consejo de Estado. Sala de Consulta y Servicio Civil. Concepto </w:t>
      </w:r>
      <w:bookmarkEnd w:id="37"/>
      <w:r w:rsidRPr="00A105C2">
        <w:rPr>
          <w:rFonts w:asciiTheme="minorBidi" w:hAnsiTheme="minorBidi"/>
          <w:sz w:val="19"/>
          <w:szCs w:val="19"/>
        </w:rPr>
        <w:t>de 6 de abril de 2006. Radicación Número: 11001-03-06-000-2006-00038-00(1738). Consejero Ponente: Enrique José Arboleda Perdomo:</w:t>
      </w:r>
      <w:r w:rsidRPr="00A105C2">
        <w:rPr>
          <w:rFonts w:eastAsia="Times New Roman" w:asciiTheme="minorBidi" w:hAnsiTheme="minorBidi"/>
          <w:bCs/>
          <w:sz w:val="19"/>
          <w:szCs w:val="19"/>
          <w:lang w:eastAsia="x-none"/>
        </w:rPr>
        <w:t xml:space="preserve"> «</w:t>
      </w:r>
      <w:r w:rsidRPr="00A105C2">
        <w:rPr>
          <w:rFonts w:asciiTheme="minorBidi" w:hAnsiTheme="minorBidi"/>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A105C2">
        <w:rPr>
          <w:rFonts w:eastAsia="Times New Roman" w:asciiTheme="minorBidi" w:hAnsiTheme="minorBidi"/>
          <w:bCs/>
          <w:sz w:val="19"/>
          <w:szCs w:val="19"/>
          <w:lang w:eastAsia="x-none"/>
        </w:rPr>
        <w:t>».</w:t>
      </w:r>
    </w:p>
  </w:footnote>
  <w:footnote w:id="22">
    <w:p w:rsidRPr="00A105C2" w:rsidR="00C84F90" w:rsidP="005E2B5A" w:rsidRDefault="00C84F90" w14:paraId="3ADCF052" w14:textId="4E2DEB02">
      <w:pPr>
        <w:pStyle w:val="Textonotapie"/>
        <w:ind w:right="51" w:firstLine="709"/>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Concepto de 6 de abril de 2006. Radicación Número: 11001-03-06-000-2006-00038-00(1738). Consejero Ponente: Enrique José Arboleda Perdomo.</w:t>
      </w:r>
    </w:p>
  </w:footnote>
  <w:footnote w:id="23">
    <w:p w:rsidRPr="00A105C2" w:rsidR="00C84F90" w:rsidP="005E2B5A" w:rsidRDefault="00C84F90" w14:paraId="48FC567A" w14:textId="77777777">
      <w:pPr>
        <w:pStyle w:val="Textonotapie"/>
        <w:ind w:right="51" w:firstLine="709"/>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ídem.</w:t>
      </w:r>
    </w:p>
  </w:footnote>
  <w:footnote w:id="24">
    <w:p w:rsidRPr="00A105C2" w:rsidR="00C84F90" w:rsidP="005E2B5A" w:rsidRDefault="00C84F90" w14:paraId="5642CB21" w14:textId="1C15B955">
      <w:pPr>
        <w:pStyle w:val="Textonotapie"/>
        <w:ind w:firstLine="709"/>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Concepto de 20 de febrero de2006. Radicación 11001-03-06-000-2006-00023-00(1724). Consejero Ponente: Flavio Augusto Rodríguez Arce.</w:t>
      </w:r>
    </w:p>
  </w:footnote>
  <w:footnote w:id="25">
    <w:p w:rsidRPr="00A105C2" w:rsidR="00C84F90" w:rsidP="005E2B5A" w:rsidRDefault="00C84F90" w14:paraId="5B778D73" w14:textId="77777777">
      <w:pPr>
        <w:spacing w:before="78"/>
        <w:ind w:firstLine="709"/>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Decreto 1082 de 2015: «Artículo 2.2.1.2.1.4.4. Convenios o contratos interadministrativos. La modalidad de selección para la contratación entre Entidades Estatales es la contratación directa; </w:t>
      </w:r>
      <w:proofErr w:type="gramStart"/>
      <w:r w:rsidRPr="00A105C2">
        <w:rPr>
          <w:rFonts w:asciiTheme="minorBidi" w:hAnsiTheme="minorBidi" w:cstheme="minorBidi"/>
          <w:sz w:val="19"/>
          <w:szCs w:val="19"/>
        </w:rPr>
        <w:t>y</w:t>
      </w:r>
      <w:proofErr w:type="gramEnd"/>
      <w:r w:rsidRPr="00A105C2">
        <w:rPr>
          <w:rFonts w:asciiTheme="minorBidi" w:hAnsiTheme="minorBidi" w:cstheme="minorBidi"/>
          <w:sz w:val="19"/>
          <w:szCs w:val="19"/>
        </w:rPr>
        <w:t xml:space="preserve"> en consecuencia, le es aplicable lo establecido en el artículo 2.2.1.2.1.4.1 del presente decreto.</w:t>
      </w:r>
    </w:p>
    <w:p w:rsidRPr="00A105C2" w:rsidR="00C84F90" w:rsidP="005E2B5A" w:rsidRDefault="00C84F90" w14:paraId="147A542A" w14:textId="77777777">
      <w:pPr>
        <w:ind w:firstLine="709"/>
        <w:jc w:val="both"/>
        <w:rPr>
          <w:rFonts w:asciiTheme="minorBidi" w:hAnsiTheme="minorBidi" w:cstheme="minorBidi"/>
          <w:sz w:val="19"/>
          <w:szCs w:val="19"/>
        </w:rPr>
      </w:pPr>
      <w:proofErr w:type="gramStart"/>
      <w:r w:rsidRPr="00A105C2">
        <w:rPr>
          <w:rFonts w:asciiTheme="minorBidi" w:hAnsiTheme="minorBidi" w:cstheme="minorBidi"/>
          <w:sz w:val="19"/>
          <w:szCs w:val="19"/>
        </w:rPr>
        <w:t>»Cuando</w:t>
      </w:r>
      <w:proofErr w:type="gramEnd"/>
      <w:r w:rsidRPr="00A105C2">
        <w:rPr>
          <w:rFonts w:asciiTheme="minorBidi" w:hAnsiTheme="minorBidi" w:cstheme="minorBidi"/>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A105C2">
        <w:rPr>
          <w:rFonts w:asciiTheme="minorBidi" w:hAnsiTheme="minorBidi" w:cstheme="minorBidi"/>
          <w:spacing w:val="-1"/>
          <w:sz w:val="19"/>
          <w:szCs w:val="19"/>
        </w:rPr>
        <w:t xml:space="preserve"> </w:t>
      </w:r>
      <w:r w:rsidRPr="00A105C2">
        <w:rPr>
          <w:rFonts w:asciiTheme="minorBidi" w:hAnsiTheme="minorBidi" w:cstheme="minorBidi"/>
          <w:sz w:val="19"/>
          <w:szCs w:val="19"/>
        </w:rPr>
        <w:t>Estatales».</w:t>
      </w:r>
    </w:p>
  </w:footnote>
  <w:footnote w:id="26">
    <w:p w:rsidRPr="00A105C2" w:rsidR="00C84F90" w:rsidP="005E2B5A" w:rsidRDefault="00C84F90" w14:paraId="542388D6" w14:textId="5E11CBB7">
      <w:pPr>
        <w:ind w:firstLine="709"/>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105C2">
        <w:rPr>
          <w:rFonts w:asciiTheme="minorBidi" w:hAnsiTheme="minorBidi" w:cstheme="minorBidi"/>
          <w:spacing w:val="-6"/>
          <w:sz w:val="19"/>
          <w:szCs w:val="19"/>
        </w:rPr>
        <w:t xml:space="preserve"> </w:t>
      </w:r>
      <w:r w:rsidRPr="00A105C2">
        <w:rPr>
          <w:rFonts w:asciiTheme="minorBidi" w:hAnsiTheme="minorBidi" w:cstheme="minorBidi"/>
          <w:sz w:val="19"/>
          <w:szCs w:val="19"/>
        </w:rPr>
        <w:t>artículo».</w:t>
      </w:r>
    </w:p>
  </w:footnote>
  <w:footnote w:id="27">
    <w:p w:rsidRPr="00A105C2" w:rsidR="00C84F90" w:rsidP="005E2B5A" w:rsidRDefault="00C84F90" w14:paraId="6B0E50FE" w14:textId="3A71C6EF">
      <w:pPr>
        <w:ind w:firstLine="709"/>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position w:val="7"/>
          <w:sz w:val="19"/>
          <w:szCs w:val="19"/>
        </w:rPr>
        <w:t xml:space="preserve"> </w:t>
      </w:r>
      <w:r w:rsidRPr="00A105C2">
        <w:rPr>
          <w:rFonts w:asciiTheme="minorBidi" w:hAnsiTheme="minorBidi" w:cstheme="minorBidi"/>
          <w:sz w:val="19"/>
          <w:szCs w:val="19"/>
        </w:rPr>
        <w:t>Consejo de Estado. Sección Tercera. Sentencia del 23 de junio de 2010. Radicación No. 66001-23-31-000-1998-00261-01(17.860). Consejero Ponente: Mauricio Fajardo Gómez.</w:t>
      </w:r>
    </w:p>
  </w:footnote>
  <w:footnote w:id="28">
    <w:p w:rsidRPr="00A105C2" w:rsidR="00A2229B" w:rsidP="005E2B5A" w:rsidRDefault="00C84F90" w14:paraId="6DE2D05A" w14:textId="1FE31D75">
      <w:pPr>
        <w:ind w:firstLine="709"/>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Consejo de Estado. Sección Tercera. Subsección C. Sentencia del 11 de diciembre de 2019. Exp. 46.986. C.P. Jaime Enrique Rodríguez Navas.</w:t>
      </w:r>
    </w:p>
  </w:footnote>
  <w:footnote w:id="29">
    <w:p w:rsidRPr="00A105C2" w:rsidR="00A2229B" w:rsidP="005E2B5A" w:rsidRDefault="00C84F90" w14:paraId="4D5FDF5A" w14:textId="5612858B">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[Referencia propia de la cita] «CE. SCSC. Concepto de 1 de noviembre de 2016 [Rad. 11001-03-06-000-2016-00125-00(2305)]. MP. Germán Alberto Bula Escobar».</w:t>
      </w:r>
    </w:p>
  </w:footnote>
  <w:footnote w:id="30">
    <w:p w:rsidRPr="00A105C2" w:rsidR="00C84F90" w:rsidP="005E2B5A" w:rsidRDefault="00C84F90" w14:paraId="040CA871" w14:textId="77777777">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[Referencia propia de la cita] «CE. SCSC. Concepto de 30 de abril de 2008 [Rad. 11001-03-06-000-2008-00013-00(1881)]. MP. Enrique José Arboleda Perdomo. En esta oportunidad, la Sala indicó que el contenido </w:t>
      </w:r>
      <w:r w:rsidRPr="00A105C2">
        <w:rPr>
          <w:rFonts w:asciiTheme="minorBidi" w:hAnsiTheme="minorBidi"/>
          <w:i/>
          <w:sz w:val="19"/>
          <w:szCs w:val="19"/>
        </w:rPr>
        <w:t>“obligacional”</w:t>
      </w:r>
      <w:r w:rsidRPr="00A105C2">
        <w:rPr>
          <w:rFonts w:asciiTheme="minorBidi" w:hAnsiTheme="minorBidi"/>
          <w:sz w:val="19"/>
          <w:szCs w:val="19"/>
        </w:rPr>
        <w:t xml:space="preserve"> de los convenios se estructura definiendo el resultado querido por las partes y los medios que cada entidad despliega para la obtención del respectivo objeto».</w:t>
      </w:r>
    </w:p>
  </w:footnote>
  <w:footnote w:id="31">
    <w:p w:rsidRPr="00A105C2" w:rsidR="00A2229B" w:rsidP="005E2B5A" w:rsidRDefault="00C84F90" w14:paraId="46AFFF4F" w14:textId="7DD60C48">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[Referencia propia de la cita] «La normativa vigente del EGCAP </w:t>
      </w:r>
      <w:r w:rsidRPr="00A105C2">
        <w:rPr>
          <w:rFonts w:asciiTheme="minorBidi" w:hAnsiTheme="minorBidi"/>
          <w:i/>
          <w:sz w:val="19"/>
          <w:szCs w:val="19"/>
        </w:rPr>
        <w:t>[literal c) del numeral 4. del artículo 2 de la Ley 1150/07]</w:t>
      </w:r>
      <w:r w:rsidRPr="00A105C2">
        <w:rPr>
          <w:rFonts w:asciiTheme="minorBidi" w:hAnsiTheme="minorBidi"/>
          <w:sz w:val="19"/>
          <w:szCs w:val="19"/>
        </w:rPr>
        <w:t xml:space="preserve"> se refiere a </w:t>
      </w:r>
      <w:r w:rsidRPr="00A105C2">
        <w:rPr>
          <w:rFonts w:asciiTheme="minorBidi" w:hAnsiTheme="minorBidi"/>
          <w:i/>
          <w:sz w:val="19"/>
          <w:szCs w:val="19"/>
        </w:rPr>
        <w:t>“contratos interadministrativos”</w:t>
      </w:r>
      <w:r w:rsidRPr="00A105C2">
        <w:rPr>
          <w:rFonts w:asciiTheme="minorBidi" w:hAnsiTheme="minorBidi"/>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rsidRPr="00A105C2" w:rsidR="00A2229B" w:rsidP="005E2B5A" w:rsidRDefault="00C84F90" w14:paraId="50188ADF" w14:textId="5D600E34">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3">
    <w:p w:rsidRPr="005E2B5A" w:rsidR="00C84F90" w:rsidP="005E2B5A" w:rsidRDefault="00C84F90" w14:paraId="1D7CCE78" w14:textId="594F13FA">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Es lo que sucede, por ejemplo, con el Decreto 092 de 2017, que en su desarrollo hace referencia tanto a los «contratos» como a los «convenios». </w:t>
      </w:r>
    </w:p>
  </w:footnote>
  <w:footnote w:id="34">
    <w:p w:rsidRPr="00A105C2" w:rsidR="00C84F90" w:rsidP="005E2B5A" w:rsidRDefault="00C84F90" w14:paraId="58099780" w14:textId="77777777">
      <w:pPr>
        <w:pStyle w:val="Textonotapie"/>
        <w:ind w:firstLine="708"/>
        <w:jc w:val="both"/>
        <w:rPr>
          <w:rFonts w:asciiTheme="minorBidi" w:hAnsiTheme="minorBidi"/>
          <w:sz w:val="19"/>
          <w:szCs w:val="19"/>
          <w:lang w:val="es-CO"/>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rsidRPr="00A105C2" w:rsidR="00781208" w:rsidP="005E2B5A" w:rsidRDefault="00363544" w14:paraId="459124BC" w14:textId="03B387C6">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r w:rsidRPr="00A105C2" w:rsidR="006E10FE">
        <w:rPr>
          <w:rFonts w:asciiTheme="minorBidi" w:hAnsiTheme="minorBidi"/>
          <w:sz w:val="19"/>
          <w:szCs w:val="19"/>
        </w:rPr>
        <w:t>Lo anterior, salvo que se traten de organismos internacionales que se rijan por normas internacionales y se financien con cargo a recursos de esos organismos</w:t>
      </w:r>
      <w:r w:rsidRPr="00A105C2" w:rsidR="009166A5">
        <w:rPr>
          <w:rFonts w:asciiTheme="minorBidi" w:hAnsiTheme="minorBidi"/>
          <w:sz w:val="19"/>
          <w:szCs w:val="19"/>
        </w:rPr>
        <w:t xml:space="preserve"> (Cfr. </w:t>
      </w:r>
      <w:r w:rsidRPr="00A105C2" w:rsidR="00037FF1">
        <w:rPr>
          <w:rFonts w:asciiTheme="minorBidi" w:hAnsiTheme="minorBidi"/>
          <w:sz w:val="19"/>
          <w:szCs w:val="19"/>
        </w:rPr>
        <w:t xml:space="preserve">Colombia Compra Eficiente. Concepto </w:t>
      </w:r>
      <w:r w:rsidRPr="00A105C2" w:rsidR="00230D85">
        <w:rPr>
          <w:rFonts w:asciiTheme="minorBidi" w:hAnsiTheme="minorBidi"/>
          <w:sz w:val="19"/>
          <w:szCs w:val="19"/>
        </w:rPr>
        <w:t>C-559 del 31 de agosto de 2021).</w:t>
      </w:r>
      <w:r w:rsidRPr="00A105C2" w:rsidR="006E10FE">
        <w:rPr>
          <w:rFonts w:asciiTheme="minorBidi" w:hAnsiTheme="minorBidi"/>
          <w:sz w:val="19"/>
          <w:szCs w:val="19"/>
        </w:rPr>
        <w:t xml:space="preserve"> </w:t>
      </w:r>
    </w:p>
  </w:footnote>
  <w:footnote w:id="36">
    <w:p w:rsidRPr="00A105C2" w:rsidR="00B802A1" w:rsidP="005E2B5A" w:rsidRDefault="00B802A1" w14:paraId="3A2082CF" w14:textId="77777777">
      <w:pPr>
        <w:ind w:firstLine="708"/>
        <w:contextualSpacing/>
        <w:jc w:val="both"/>
        <w:rPr>
          <w:rFonts w:eastAsia="Calibri" w:asciiTheme="minorBidi" w:hAnsiTheme="minorBidi" w:cstheme="minorBidi"/>
          <w:color w:val="000000" w:themeColor="text1"/>
          <w:sz w:val="19"/>
          <w:szCs w:val="19"/>
        </w:rPr>
      </w:pPr>
      <w:r w:rsidRPr="00A105C2">
        <w:rPr>
          <w:rStyle w:val="Refdenotaalpie"/>
          <w:rFonts w:asciiTheme="minorBidi" w:hAnsiTheme="minorBidi" w:cstheme="minorBidi"/>
          <w:color w:val="000000" w:themeColor="text1"/>
          <w:sz w:val="19"/>
          <w:szCs w:val="19"/>
        </w:rPr>
        <w:footnoteRef/>
      </w:r>
      <w:r w:rsidRPr="00A105C2">
        <w:rPr>
          <w:rFonts w:asciiTheme="minorBidi" w:hAnsiTheme="minorBidi" w:cstheme="minorBidi"/>
          <w:color w:val="000000" w:themeColor="text1"/>
          <w:sz w:val="19"/>
          <w:szCs w:val="19"/>
        </w:rPr>
        <w:t xml:space="preserve"> </w:t>
      </w:r>
      <w:r w:rsidRPr="00A105C2">
        <w:rPr>
          <w:rFonts w:eastAsia="Calibri" w:asciiTheme="minorBidi" w:hAnsiTheme="minorBidi" w:cstheme="minorBidi"/>
          <w:color w:val="000000" w:themeColor="text1"/>
          <w:sz w:val="19"/>
          <w:szCs w:val="19"/>
        </w:rPr>
        <w:t xml:space="preserve">«ARTÍCULO 124. Con el propósito de promover la reactivación económica y la generación de empleo en las regiones, a partir de la publicación de la presente ley y durante la vigencia fiscal 2022, </w:t>
      </w:r>
      <w:r w:rsidRPr="00A105C2">
        <w:rPr>
          <w:rFonts w:eastAsia="Calibri" w:asciiTheme="minorBidi" w:hAnsiTheme="minorBidi" w:cstheme="minorBidi"/>
          <w:i/>
          <w:color w:val="000000" w:themeColor="text1"/>
          <w:sz w:val="19"/>
          <w:szCs w:val="19"/>
        </w:rPr>
        <w:t>la Nación podrá celebrar convenios interadministrativos con las entidades territoriales para ejecutar programas y proyectos correspondientes al Presupuesto General de la Nación.</w:t>
      </w:r>
    </w:p>
    <w:p w:rsidRPr="00A105C2" w:rsidR="00B802A1" w:rsidP="005E2B5A" w:rsidRDefault="00B802A1" w14:paraId="0C471811" w14:textId="77777777">
      <w:pPr>
        <w:ind w:firstLine="708"/>
        <w:contextualSpacing/>
        <w:jc w:val="both"/>
        <w:rPr>
          <w:rFonts w:eastAsia="Calibri" w:asciiTheme="minorBidi" w:hAnsiTheme="minorBidi" w:cstheme="minorBidi"/>
          <w:color w:val="000000" w:themeColor="text1"/>
          <w:sz w:val="19"/>
          <w:szCs w:val="19"/>
        </w:rPr>
      </w:pPr>
      <w:proofErr w:type="gramStart"/>
      <w:r w:rsidRPr="00A105C2">
        <w:rPr>
          <w:rFonts w:eastAsia="Calibri" w:asciiTheme="minorBidi" w:hAnsiTheme="minorBidi" w:cstheme="minorBidi"/>
          <w:color w:val="000000" w:themeColor="text1"/>
          <w:sz w:val="19"/>
          <w:szCs w:val="19"/>
        </w:rPr>
        <w:t>»La</w:t>
      </w:r>
      <w:proofErr w:type="gramEnd"/>
      <w:r w:rsidRPr="00A105C2">
        <w:rPr>
          <w:rFonts w:eastAsia="Calibri" w:asciiTheme="minorBidi" w:hAnsiTheme="minorBidi" w:cstheme="minorBidi"/>
          <w:color w:val="000000" w:themeColor="text1"/>
          <w:sz w:val="19"/>
          <w:szCs w:val="19"/>
        </w:rPr>
        <w:t xml:space="preserve"> presente disposición modifica únicamente en la parte pertinente el inciso primero del parágrafo del artículo 38 de la Ley 996 de 2005.</w:t>
      </w:r>
    </w:p>
    <w:p w:rsidRPr="00A105C2" w:rsidR="00B802A1" w:rsidP="005E2B5A" w:rsidRDefault="00B802A1" w14:paraId="1E7307FD" w14:textId="77777777">
      <w:pPr>
        <w:pStyle w:val="Textonotapie"/>
        <w:ind w:firstLine="708"/>
        <w:contextualSpacing/>
        <w:jc w:val="both"/>
        <w:rPr>
          <w:rFonts w:asciiTheme="minorBidi" w:hAnsiTheme="minorBidi"/>
          <w:color w:val="000000" w:themeColor="text1"/>
          <w:sz w:val="19"/>
          <w:szCs w:val="19"/>
          <w:lang w:val="es-ES"/>
        </w:rPr>
      </w:pPr>
      <w:proofErr w:type="gramStart"/>
      <w:r w:rsidRPr="00A105C2">
        <w:rPr>
          <w:rFonts w:eastAsia="Calibri" w:asciiTheme="minorBidi" w:hAnsiTheme="minorBidi"/>
          <w:color w:val="000000" w:themeColor="text1"/>
          <w:sz w:val="19"/>
          <w:szCs w:val="19"/>
        </w:rPr>
        <w:t>»PARÁGRAFO</w:t>
      </w:r>
      <w:proofErr w:type="gramEnd"/>
      <w:r w:rsidRPr="00A105C2">
        <w:rPr>
          <w:rFonts w:eastAsia="Calibri" w:asciiTheme="minorBidi" w:hAnsiTheme="minorBidi"/>
          <w:color w:val="000000" w:themeColor="text1"/>
          <w:sz w:val="19"/>
          <w:szCs w:val="19"/>
        </w:rPr>
        <w:t>.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 (</w:t>
      </w:r>
      <w:r w:rsidRPr="00A105C2">
        <w:rPr>
          <w:rFonts w:eastAsia="Calibri" w:asciiTheme="minorBidi" w:hAnsiTheme="minorBidi"/>
          <w:color w:val="000000" w:themeColor="text1"/>
          <w:sz w:val="19"/>
          <w:szCs w:val="19"/>
          <w:lang w:val="es-CO"/>
        </w:rPr>
        <w:t>Cursiva</w:t>
      </w:r>
      <w:r w:rsidRPr="00A105C2">
        <w:rPr>
          <w:rFonts w:eastAsia="Calibri" w:asciiTheme="minorBidi" w:hAnsiTheme="minorBidi"/>
          <w:color w:val="000000" w:themeColor="text1"/>
          <w:sz w:val="19"/>
          <w:szCs w:val="19"/>
        </w:rPr>
        <w:t xml:space="preserve"> fuera de texto).</w:t>
      </w:r>
    </w:p>
  </w:footnote>
  <w:footnote w:id="37">
    <w:p w:rsidRPr="00A105C2" w:rsidR="00B802A1" w:rsidP="005E2B5A" w:rsidRDefault="00B802A1" w14:paraId="3E063726" w14:textId="77777777">
      <w:pPr>
        <w:pStyle w:val="Textonotapie"/>
        <w:ind w:firstLine="708"/>
        <w:contextualSpacing/>
        <w:jc w:val="both"/>
        <w:rPr>
          <w:rFonts w:asciiTheme="minorBidi" w:hAnsiTheme="minorBidi"/>
          <w:color w:val="000000" w:themeColor="text1"/>
          <w:sz w:val="19"/>
          <w:szCs w:val="19"/>
        </w:rPr>
      </w:pPr>
      <w:r w:rsidRPr="00A105C2">
        <w:rPr>
          <w:rStyle w:val="Refdenotaalpie"/>
          <w:rFonts w:asciiTheme="minorBidi" w:hAnsiTheme="minorBidi"/>
          <w:color w:val="000000" w:themeColor="text1"/>
          <w:sz w:val="19"/>
          <w:szCs w:val="19"/>
        </w:rPr>
        <w:footnoteRef/>
      </w:r>
      <w:r w:rsidRPr="00A105C2">
        <w:rPr>
          <w:rFonts w:asciiTheme="minorBidi" w:hAnsiTheme="minorBidi"/>
          <w:color w:val="000000" w:themeColor="text1"/>
          <w:sz w:val="19"/>
          <w:szCs w:val="19"/>
        </w:rPr>
        <w:t xml:space="preserve"> En relación con el alcance del artículo 124 de la Ley 2195 de 2022, se pueden consultar, entre otros, los conceptos C-736 del 31 de enero de 2022.</w:t>
      </w:r>
    </w:p>
  </w:footnote>
  <w:footnote w:id="38">
    <w:p w:rsidRPr="00A105C2" w:rsidR="00C84F90" w:rsidP="005E2B5A" w:rsidRDefault="00C84F90" w14:paraId="16A4131D" w14:textId="214329CF">
      <w:pPr>
        <w:pStyle w:val="Textonotapie"/>
        <w:ind w:firstLine="709"/>
        <w:jc w:val="both"/>
        <w:rPr>
          <w:rFonts w:asciiTheme="minorBidi" w:hAnsiTheme="minorBidi"/>
          <w:sz w:val="19"/>
          <w:szCs w:val="19"/>
          <w:lang w:val="es-CO"/>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Concepto del 15 de noviembre de 2007. Expediente número 1863. Consejero Ponente: Luis Fernando Álvarez Jaramillo.</w:t>
      </w:r>
    </w:p>
  </w:footnote>
  <w:footnote w:id="39">
    <w:p w:rsidRPr="00A105C2" w:rsidR="003D67E2" w:rsidP="005E2B5A" w:rsidRDefault="003D67E2" w14:paraId="459F6C54" w14:textId="77777777">
      <w:pPr>
        <w:pStyle w:val="Textonotapie"/>
        <w:ind w:firstLine="708"/>
        <w:jc w:val="both"/>
        <w:rPr>
          <w:rFonts w:asciiTheme="minorBidi" w:hAnsiTheme="minorBidi"/>
          <w:color w:val="000000" w:themeColor="text1"/>
          <w:sz w:val="19"/>
          <w:szCs w:val="19"/>
        </w:rPr>
      </w:pPr>
      <w:r w:rsidRPr="00A105C2">
        <w:rPr>
          <w:rStyle w:val="Refdenotaalpie"/>
          <w:rFonts w:asciiTheme="minorBidi" w:hAnsiTheme="minorBidi"/>
          <w:color w:val="000000" w:themeColor="text1"/>
          <w:sz w:val="19"/>
          <w:szCs w:val="19"/>
        </w:rPr>
        <w:footnoteRef/>
      </w:r>
      <w:r w:rsidRPr="00A105C2">
        <w:rPr>
          <w:rFonts w:asciiTheme="minorBidi" w:hAnsiTheme="minorBidi"/>
          <w:color w:val="000000" w:themeColor="text1"/>
          <w:sz w:val="19"/>
          <w:szCs w:val="19"/>
        </w:rPr>
        <w:t xml:space="preserve"> Ley 60 de 1993: «Artículo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rsidRPr="00A105C2" w:rsidR="003D67E2" w:rsidP="005E2B5A" w:rsidRDefault="003D67E2" w14:paraId="100BAC48" w14:textId="77777777">
      <w:pPr>
        <w:pStyle w:val="Textonotapie"/>
        <w:ind w:firstLine="708"/>
        <w:jc w:val="both"/>
        <w:rPr>
          <w:rFonts w:asciiTheme="minorBidi" w:hAnsiTheme="minorBidi"/>
          <w:color w:val="000000" w:themeColor="text1"/>
          <w:sz w:val="19"/>
          <w:szCs w:val="19"/>
        </w:rPr>
      </w:pPr>
      <w:r w:rsidRPr="00A105C2">
        <w:rPr>
          <w:rFonts w:asciiTheme="minorBidi" w:hAnsiTheme="minorBidi"/>
          <w:color w:val="000000" w:themeColor="text1"/>
          <w:sz w:val="19"/>
          <w:szCs w:val="19"/>
        </w:rPr>
        <w:t>[…]</w:t>
      </w:r>
    </w:p>
    <w:p w:rsidRPr="00A105C2" w:rsidR="003D67E2" w:rsidP="005E2B5A" w:rsidRDefault="003D67E2" w14:paraId="2ADD10DD" w14:textId="77777777">
      <w:pPr>
        <w:pStyle w:val="Textonotapie"/>
        <w:ind w:firstLine="708"/>
        <w:jc w:val="both"/>
        <w:rPr>
          <w:rFonts w:asciiTheme="minorBidi" w:hAnsiTheme="minorBidi"/>
          <w:color w:val="000000" w:themeColor="text1"/>
          <w:sz w:val="19"/>
          <w:szCs w:val="19"/>
        </w:rPr>
      </w:pPr>
      <w:proofErr w:type="gramStart"/>
      <w:r w:rsidRPr="00A105C2">
        <w:rPr>
          <w:rFonts w:asciiTheme="minorBidi" w:hAnsiTheme="minorBidi"/>
          <w:color w:val="000000" w:themeColor="text1"/>
          <w:sz w:val="19"/>
          <w:szCs w:val="19"/>
        </w:rPr>
        <w:t>»Artículo</w:t>
      </w:r>
      <w:proofErr w:type="gramEnd"/>
      <w:r w:rsidRPr="00A105C2">
        <w:rPr>
          <w:rFonts w:asciiTheme="minorBidi" w:hAnsiTheme="minorBidi"/>
          <w:color w:val="000000" w:themeColor="text1"/>
          <w:sz w:val="19"/>
          <w:szCs w:val="19"/>
        </w:rPr>
        <w:t xml:space="preserve">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rsidRPr="00A105C2" w:rsidR="003D67E2" w:rsidP="005E2B5A" w:rsidRDefault="003D67E2" w14:paraId="7DDCA56E" w14:textId="77777777">
      <w:pPr>
        <w:pStyle w:val="Textonotapie"/>
        <w:ind w:firstLine="708"/>
        <w:jc w:val="both"/>
        <w:rPr>
          <w:rFonts w:asciiTheme="minorBidi" w:hAnsiTheme="minorBidi"/>
          <w:color w:val="000000" w:themeColor="text1"/>
          <w:sz w:val="19"/>
          <w:szCs w:val="19"/>
        </w:rPr>
      </w:pPr>
      <w:r w:rsidRPr="00A105C2">
        <w:rPr>
          <w:rFonts w:asciiTheme="minorBidi" w:hAnsiTheme="minorBidi"/>
          <w:color w:val="000000" w:themeColor="text1"/>
          <w:sz w:val="19"/>
          <w:szCs w:val="19"/>
        </w:rPr>
        <w:t>[…]</w:t>
      </w:r>
    </w:p>
    <w:p w:rsidRPr="00A105C2" w:rsidR="003D67E2" w:rsidP="005E2B5A" w:rsidRDefault="003D67E2" w14:paraId="14C3612D" w14:textId="77777777">
      <w:pPr>
        <w:pStyle w:val="Textonotapie"/>
        <w:ind w:firstLine="708"/>
        <w:jc w:val="both"/>
        <w:rPr>
          <w:rFonts w:asciiTheme="minorBidi" w:hAnsiTheme="minorBidi"/>
          <w:color w:val="000000" w:themeColor="text1"/>
          <w:sz w:val="19"/>
          <w:szCs w:val="19"/>
        </w:rPr>
      </w:pPr>
      <w:r w:rsidRPr="00A105C2">
        <w:rPr>
          <w:rFonts w:asciiTheme="minorBidi" w:hAnsiTheme="minorBidi"/>
          <w:color w:val="000000" w:themeColor="text1"/>
          <w:sz w:val="19"/>
          <w:szCs w:val="19"/>
        </w:rPr>
        <w:t xml:space="preserve">«Artículo 4. Competencias de los distritos. Corresponde a los distritos, a través de las dependencias de su organización central o de las entidades descentralizadas competentes, conforme a la Ley, a las normas técnicas nacionales y a los respectivos acuerdos». </w:t>
      </w:r>
    </w:p>
    <w:p w:rsidRPr="00A105C2" w:rsidR="003D67E2" w:rsidP="005E2B5A" w:rsidRDefault="003D67E2" w14:paraId="4333F637" w14:textId="7560BECB">
      <w:pPr>
        <w:pStyle w:val="Textonotapie"/>
        <w:ind w:firstLine="708"/>
        <w:jc w:val="both"/>
        <w:rPr>
          <w:rFonts w:asciiTheme="minorBidi" w:hAnsiTheme="minorBidi"/>
          <w:color w:val="000000" w:themeColor="text1"/>
          <w:sz w:val="19"/>
          <w:szCs w:val="19"/>
        </w:rPr>
      </w:pPr>
      <w:r w:rsidRPr="00A105C2">
        <w:rPr>
          <w:rFonts w:asciiTheme="minorBidi" w:hAnsiTheme="minorBidi"/>
          <w:color w:val="000000" w:themeColor="text1"/>
          <w:sz w:val="19"/>
          <w:szCs w:val="19"/>
        </w:rPr>
        <w:t xml:space="preserve">Ley 715 de 2005: «Artículo 9. (…) Las instituciones educativas estatales son departamentales, distritales o municipales». </w:t>
      </w:r>
    </w:p>
  </w:footnote>
  <w:footnote w:id="40">
    <w:p w:rsidRPr="00A105C2" w:rsidR="003D67E2" w:rsidP="005E2B5A" w:rsidRDefault="003D67E2" w14:paraId="3DD20927" w14:textId="148A5997">
      <w:pPr>
        <w:pStyle w:val="Textonotapie"/>
        <w:ind w:firstLine="708"/>
        <w:jc w:val="both"/>
        <w:rPr>
          <w:rFonts w:asciiTheme="minorBidi" w:hAnsiTheme="minorBidi"/>
          <w:color w:val="000000" w:themeColor="text1"/>
          <w:sz w:val="19"/>
          <w:szCs w:val="19"/>
        </w:rPr>
      </w:pPr>
      <w:r w:rsidRPr="00A105C2">
        <w:rPr>
          <w:rStyle w:val="Refdenotaalpie"/>
          <w:rFonts w:asciiTheme="minorBidi" w:hAnsiTheme="minorBidi"/>
          <w:color w:val="000000" w:themeColor="text1"/>
          <w:sz w:val="19"/>
          <w:szCs w:val="19"/>
        </w:rPr>
        <w:footnoteRef/>
      </w:r>
      <w:r w:rsidRPr="00A105C2">
        <w:rPr>
          <w:rFonts w:asciiTheme="minorBidi" w:hAnsiTheme="minorBidi"/>
          <w:color w:val="000000" w:themeColor="text1"/>
          <w:sz w:val="19"/>
          <w:szCs w:val="19"/>
        </w:rPr>
        <w:t xml:space="preserve"> «Artículo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footnote>
  <w:footnote w:id="41">
    <w:p w:rsidRPr="00A105C2" w:rsidR="003D67E2" w:rsidP="005E2B5A" w:rsidRDefault="003D67E2" w14:paraId="05DAFB8B" w14:textId="06BA5B9C">
      <w:pPr>
        <w:pStyle w:val="Textonotapie"/>
        <w:ind w:firstLine="708"/>
        <w:jc w:val="both"/>
        <w:rPr>
          <w:rFonts w:asciiTheme="minorBidi" w:hAnsiTheme="minorBidi"/>
          <w:color w:val="000000" w:themeColor="text1"/>
          <w:sz w:val="19"/>
          <w:szCs w:val="19"/>
        </w:rPr>
      </w:pPr>
      <w:r w:rsidRPr="00A105C2">
        <w:rPr>
          <w:rStyle w:val="Refdenotaalpie"/>
          <w:rFonts w:asciiTheme="minorBidi" w:hAnsiTheme="minorBidi"/>
          <w:color w:val="000000" w:themeColor="text1"/>
          <w:sz w:val="19"/>
          <w:szCs w:val="19"/>
        </w:rPr>
        <w:footnoteRef/>
      </w:r>
      <w:r w:rsidRPr="00A105C2">
        <w:rPr>
          <w:rStyle w:val="Refdenotaalpie"/>
          <w:rFonts w:asciiTheme="minorBidi" w:hAnsiTheme="minorBidi"/>
          <w:color w:val="000000" w:themeColor="text1"/>
          <w:sz w:val="19"/>
          <w:szCs w:val="19"/>
        </w:rPr>
        <w:t xml:space="preserve"> </w:t>
      </w:r>
      <w:r w:rsidRPr="00A105C2">
        <w:rPr>
          <w:rFonts w:asciiTheme="minorBidi" w:hAnsiTheme="minorBidi"/>
          <w:color w:val="000000" w:themeColor="text1"/>
          <w:sz w:val="19"/>
          <w:szCs w:val="19"/>
        </w:rPr>
        <w:t>Consejo de Estado. Sección Tercera Subsección A. Sentencia del 12 de octubre de 2017. Consejera Ponente: Marta Nubia Velásquez Rico. Radicación número: 68001-23-31-000-2005-03845-01(51.634).</w:t>
      </w:r>
    </w:p>
  </w:footnote>
  <w:footnote w:id="42">
    <w:p w:rsidRPr="00A105C2" w:rsidR="003D67E2" w:rsidP="005E2B5A" w:rsidRDefault="003D67E2" w14:paraId="3CF0C44F" w14:textId="77777777">
      <w:pPr>
        <w:pStyle w:val="NormalWeb"/>
        <w:spacing w:before="0" w:beforeAutospacing="0" w:after="0" w:afterAutospacing="0"/>
        <w:ind w:firstLine="708"/>
        <w:jc w:val="both"/>
        <w:rPr>
          <w:rFonts w:asciiTheme="minorBidi" w:hAnsiTheme="minorBidi" w:cstheme="minorBidi"/>
          <w:sz w:val="19"/>
          <w:szCs w:val="19"/>
        </w:rPr>
      </w:pPr>
      <w:r w:rsidRPr="00A105C2">
        <w:rPr>
          <w:rStyle w:val="Refdenotaalpie"/>
          <w:rFonts w:asciiTheme="minorBidi" w:hAnsiTheme="minorBidi" w:cstheme="minorBidi"/>
          <w:sz w:val="19"/>
          <w:szCs w:val="19"/>
        </w:rPr>
        <w:footnoteRef/>
      </w:r>
      <w:r w:rsidRPr="00A105C2">
        <w:rPr>
          <w:rStyle w:val="Refdenotaalpie"/>
          <w:rFonts w:asciiTheme="minorBidi" w:hAnsiTheme="minorBidi" w:cstheme="minorBidi"/>
          <w:sz w:val="19"/>
          <w:szCs w:val="19"/>
        </w:rPr>
        <w:t xml:space="preserve"> </w:t>
      </w:r>
      <w:r w:rsidRPr="00A105C2">
        <w:rPr>
          <w:rFonts w:asciiTheme="minorBidi" w:hAnsiTheme="minorBidi" w:cstheme="minorBidi"/>
          <w:sz w:val="19"/>
          <w:szCs w:val="19"/>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rsidRPr="00A105C2" w:rsidR="003D67E2" w:rsidP="005E2B5A" w:rsidRDefault="003D67E2" w14:paraId="7BA7E91B" w14:textId="77777777">
      <w:pPr>
        <w:ind w:firstLine="708"/>
        <w:jc w:val="both"/>
        <w:rPr>
          <w:rFonts w:asciiTheme="minorBidi" w:hAnsiTheme="minorBidi" w:cstheme="minorBidi"/>
          <w:sz w:val="19"/>
          <w:szCs w:val="19"/>
          <w:lang w:eastAsia="es-CO"/>
        </w:rPr>
      </w:pPr>
      <w:proofErr w:type="gramStart"/>
      <w:r w:rsidRPr="00A105C2">
        <w:rPr>
          <w:rFonts w:asciiTheme="minorBidi" w:hAnsiTheme="minorBidi" w:cstheme="minorBidi"/>
          <w:sz w:val="19"/>
          <w:szCs w:val="19"/>
          <w:lang w:eastAsia="es-CO"/>
        </w:rPr>
        <w:t>»Los</w:t>
      </w:r>
      <w:proofErr w:type="gramEnd"/>
      <w:r w:rsidRPr="00A105C2">
        <w:rPr>
          <w:rFonts w:asciiTheme="minorBidi" w:hAnsiTheme="minorBidi" w:cstheme="minorBidi"/>
          <w:sz w:val="19"/>
          <w:szCs w:val="19"/>
          <w:lang w:eastAsia="es-CO"/>
        </w:rPr>
        <w:t xml:space="preserve">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 </w:t>
      </w:r>
    </w:p>
    <w:p w:rsidRPr="00A105C2" w:rsidR="003D67E2" w:rsidP="005E2B5A" w:rsidRDefault="003D67E2" w14:paraId="73A6ABEA" w14:textId="77777777">
      <w:pPr>
        <w:ind w:firstLine="708"/>
        <w:jc w:val="both"/>
        <w:rPr>
          <w:rFonts w:asciiTheme="minorBidi" w:hAnsiTheme="minorBidi" w:cstheme="minorBidi"/>
          <w:sz w:val="19"/>
          <w:szCs w:val="19"/>
          <w:lang w:eastAsia="es-CO"/>
        </w:rPr>
      </w:pPr>
      <w:proofErr w:type="gramStart"/>
      <w:r w:rsidRPr="00A105C2">
        <w:rPr>
          <w:rFonts w:asciiTheme="minorBidi" w:hAnsiTheme="minorBidi" w:cstheme="minorBidi"/>
          <w:sz w:val="19"/>
          <w:szCs w:val="19"/>
          <w:lang w:eastAsia="es-CO"/>
        </w:rPr>
        <w:t>»El</w:t>
      </w:r>
      <w:proofErr w:type="gramEnd"/>
      <w:r w:rsidRPr="00A105C2">
        <w:rPr>
          <w:rFonts w:asciiTheme="minorBidi" w:hAnsiTheme="minorBidi" w:cstheme="minorBidi"/>
          <w:sz w:val="19"/>
          <w:szCs w:val="19"/>
          <w:lang w:eastAsia="es-CO"/>
        </w:rPr>
        <w:t xml:space="preserve"> rector o director celebrará los contratos que hayan de pagarse con cargo a los recursos vinculados a los Fondos, en las condiciones y dentro de los límites que fijen los reglamentos.</w:t>
      </w:r>
    </w:p>
    <w:p w:rsidRPr="00A105C2" w:rsidR="003D67E2" w:rsidP="005E2B5A" w:rsidRDefault="003D67E2" w14:paraId="5C1E1AA1" w14:textId="77777777">
      <w:pPr>
        <w:ind w:firstLine="708"/>
        <w:jc w:val="both"/>
        <w:rPr>
          <w:rFonts w:asciiTheme="minorBidi" w:hAnsiTheme="minorBidi" w:cstheme="minorBidi"/>
          <w:sz w:val="19"/>
          <w:szCs w:val="19"/>
          <w:lang w:eastAsia="es-CO"/>
        </w:rPr>
      </w:pPr>
      <w:r w:rsidRPr="00A105C2">
        <w:rPr>
          <w:rFonts w:asciiTheme="minorBidi" w:hAnsiTheme="minorBidi" w:cstheme="minorBidi"/>
          <w:sz w:val="19"/>
          <w:szCs w:val="19"/>
          <w:lang w:eastAsia="es-CO"/>
        </w:rPr>
        <w:t>»</w:t>
      </w:r>
      <w:r w:rsidRPr="00A105C2">
        <w:rPr>
          <w:rFonts w:asciiTheme="minorBidi" w:hAnsiTheme="minorBidi" w:cstheme="minorBidi"/>
          <w:i/>
          <w:iCs/>
          <w:sz w:val="19"/>
          <w:szCs w:val="19"/>
          <w:lang w:eastAsia="es-CO"/>
        </w:rPr>
        <w:t xml:space="preserve">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w:t>
      </w:r>
      <w:bookmarkStart w:name="_Hlk61284561" w:id="54"/>
      <w:r w:rsidRPr="00A105C2">
        <w:rPr>
          <w:rFonts w:asciiTheme="minorBidi" w:hAnsiTheme="minorBidi" w:cstheme="minorBidi"/>
          <w:i/>
          <w:iCs/>
          <w:sz w:val="19"/>
          <w:szCs w:val="19"/>
          <w:lang w:eastAsia="es-CO"/>
        </w:rPr>
        <w:t>los trámites, garantías y constancias que deben cumplirse para que el rector o director celebre cualquier acto o contrato que cree, extinga o modifique obligaciones que deban registrarse en el Fondo</w:t>
      </w:r>
      <w:bookmarkEnd w:id="54"/>
      <w:r w:rsidRPr="00A105C2">
        <w:rPr>
          <w:rFonts w:asciiTheme="minorBidi" w:hAnsiTheme="minorBidi" w:cstheme="minorBidi"/>
          <w:i/>
          <w:iCs/>
          <w:sz w:val="19"/>
          <w:szCs w:val="19"/>
          <w:lang w:eastAsia="es-CO"/>
        </w:rPr>
        <w:t>, y cuya cuantía sea inferior a veinte (20) salarios mínimos mensuales. El Consejo puede exigir, además, que ciertos actos o contratos requieran una autorización suya específica</w:t>
      </w:r>
      <w:r w:rsidRPr="00A105C2">
        <w:rPr>
          <w:rFonts w:asciiTheme="minorBidi" w:hAnsiTheme="minorBidi" w:cstheme="minorBidi"/>
          <w:sz w:val="19"/>
          <w:szCs w:val="19"/>
          <w:lang w:eastAsia="es-CO"/>
        </w:rPr>
        <w:t>.</w:t>
      </w:r>
    </w:p>
    <w:p w:rsidRPr="00A105C2" w:rsidR="003D67E2" w:rsidP="005E2B5A" w:rsidRDefault="003D67E2" w14:paraId="6A3604A1" w14:textId="36C0C44F">
      <w:pPr>
        <w:ind w:firstLine="708"/>
        <w:jc w:val="both"/>
        <w:rPr>
          <w:rFonts w:asciiTheme="minorBidi" w:hAnsiTheme="minorBidi" w:cstheme="minorBidi"/>
          <w:sz w:val="19"/>
          <w:szCs w:val="19"/>
          <w:lang w:eastAsia="es-CO"/>
        </w:rPr>
      </w:pPr>
      <w:r w:rsidRPr="00A105C2">
        <w:rPr>
          <w:rFonts w:asciiTheme="minorBidi" w:hAnsiTheme="minorBidi" w:cstheme="minorBidi"/>
          <w:sz w:val="19"/>
          <w:szCs w:val="19"/>
          <w:lang w:eastAsia="es-CO"/>
        </w:rPr>
        <w:t>[…]» (Énfasis fuera de texto).</w:t>
      </w:r>
    </w:p>
    <w:p w:rsidRPr="005E2B5A" w:rsidR="003D67E2" w:rsidP="005E2B5A" w:rsidRDefault="003D67E2" w14:paraId="3A796AB7" w14:textId="0EA734D4">
      <w:pPr>
        <w:pStyle w:val="Textonotapie"/>
        <w:ind w:firstLine="708"/>
        <w:jc w:val="both"/>
        <w:rPr>
          <w:rFonts w:asciiTheme="minorBidi" w:hAnsiTheme="minorBidi"/>
          <w:color w:val="000000" w:themeColor="text1"/>
          <w:sz w:val="19"/>
          <w:szCs w:val="19"/>
        </w:rPr>
      </w:pPr>
      <w:r w:rsidRPr="00A105C2">
        <w:rPr>
          <w:rFonts w:asciiTheme="minorBidi" w:hAnsiTheme="minorBidi"/>
          <w:color w:val="000000" w:themeColor="text1"/>
          <w:sz w:val="19"/>
          <w:szCs w:val="19"/>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43">
    <w:p w:rsidRPr="00A105C2" w:rsidR="00C13B13" w:rsidP="005E2B5A" w:rsidRDefault="00C13B13" w14:paraId="4BB60F13" w14:textId="69A12969">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w:t>
      </w:r>
      <w:proofErr w:type="gramStart"/>
      <w:r w:rsidRPr="00A105C2">
        <w:rPr>
          <w:rFonts w:asciiTheme="minorBidi" w:hAnsiTheme="minorBidi"/>
          <w:sz w:val="19"/>
          <w:szCs w:val="19"/>
        </w:rPr>
        <w:t>que</w:t>
      </w:r>
      <w:proofErr w:type="gramEnd"/>
      <w:r w:rsidRPr="00A105C2">
        <w:rPr>
          <w:rFonts w:asciiTheme="minorBidi" w:hAnsiTheme="minorBidi"/>
          <w:sz w:val="19"/>
          <w:szCs w:val="19"/>
        </w:rPr>
        <w:t xml:space="preserve"> de acuerdo con las normas civiles, comerciales y las previstas en esta ley, correspondan a su esencia y naturaleza».</w:t>
      </w:r>
    </w:p>
  </w:footnote>
  <w:footnote w:id="44">
    <w:p w:rsidRPr="00A105C2" w:rsidR="00C13B13" w:rsidP="005E2B5A" w:rsidRDefault="00C13B13" w14:paraId="226D2897" w14:textId="77777777">
      <w:pPr>
        <w:pStyle w:val="Textonotapie"/>
        <w:ind w:firstLine="708"/>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Cfr. BENAVIDES, José Luis. El contrato estatal: entre el derecho público y el derecho privado. Segunda edición. Bogotá: Universidad Externado de Colombia, 2009. pp. 78-79.      </w:t>
      </w:r>
    </w:p>
  </w:footnote>
  <w:footnote w:id="45">
    <w:p w:rsidRPr="00A105C2" w:rsidR="00C13B13" w:rsidP="005E2B5A" w:rsidRDefault="00C13B13" w14:paraId="50BAF6C8" w14:textId="77777777">
      <w:pPr>
        <w:pStyle w:val="Textonotapie"/>
        <w:ind w:firstLine="708"/>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BETANCUR JARAMILLO, Carlos. Derecho procesal administrativo. Cuarta edición. Medellín: Señal Editora, 1994. pp. 522-523. </w:t>
      </w:r>
    </w:p>
  </w:footnote>
  <w:footnote w:id="46">
    <w:p w:rsidRPr="00A105C2" w:rsidR="00C13B13" w:rsidP="005E2B5A" w:rsidRDefault="00C13B13" w14:paraId="2F9A2CE6" w14:textId="77777777">
      <w:pPr>
        <w:pStyle w:val="Textonotapie"/>
        <w:ind w:firstLine="708"/>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47">
    <w:p w:rsidRPr="00A105C2" w:rsidR="00EA59D5" w:rsidP="005E2B5A" w:rsidRDefault="00EA59D5" w14:paraId="5086B74A" w14:textId="36618DF1">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CONSEJO DE ESTADO. Sala de Consulta y Servicio Civil. Concepto del 27 de abril de 2006. Rad:1712. C.P. Enrique José Arboleda Perdomo.</w:t>
      </w:r>
    </w:p>
  </w:footnote>
  <w:footnote w:id="48">
    <w:p w:rsidRPr="00A105C2" w:rsidR="007D3832" w:rsidP="005E2B5A" w:rsidRDefault="007D3832" w14:paraId="3F946C0D" w14:textId="77777777">
      <w:pPr>
        <w:pStyle w:val="Textonotapie"/>
        <w:ind w:firstLine="709"/>
        <w:jc w:val="both"/>
        <w:rPr>
          <w:rFonts w:asciiTheme="minorBidi" w:hAnsiTheme="minorBidi"/>
          <w:sz w:val="19"/>
          <w:szCs w:val="19"/>
          <w:lang w:val="es-ES"/>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w:t>
      </w:r>
      <w:r w:rsidRPr="00A105C2">
        <w:rPr>
          <w:rFonts w:asciiTheme="minorBidi" w:hAnsiTheme="minorBidi"/>
          <w:sz w:val="19"/>
          <w:szCs w:val="19"/>
          <w:lang w:val="es-ES"/>
        </w:rPr>
        <w:t>BOBBIO, Norberto. Democracia y secreto. México: Fondo de Cultura Económica, 2013. p. 27.</w:t>
      </w:r>
    </w:p>
  </w:footnote>
  <w:footnote w:id="49">
    <w:p w:rsidRPr="00A105C2" w:rsidR="007D3832" w:rsidP="005E2B5A" w:rsidRDefault="007D3832" w14:paraId="09AF5020" w14:textId="7ACACDD5">
      <w:pPr>
        <w:pStyle w:val="Textonotapie"/>
        <w:ind w:firstLine="709"/>
        <w:jc w:val="both"/>
        <w:rPr>
          <w:rFonts w:asciiTheme="minorBidi" w:hAnsiTheme="minorBidi"/>
          <w:color w:val="000000" w:themeColor="text1"/>
          <w:sz w:val="19"/>
          <w:szCs w:val="19"/>
        </w:rPr>
      </w:pPr>
      <w:r w:rsidRPr="00A105C2">
        <w:rPr>
          <w:rStyle w:val="Refdenotaalpie"/>
          <w:rFonts w:asciiTheme="minorBidi" w:hAnsiTheme="minorBidi"/>
          <w:color w:val="000000" w:themeColor="text1"/>
          <w:sz w:val="19"/>
          <w:szCs w:val="19"/>
        </w:rPr>
        <w:footnoteRef/>
      </w:r>
      <w:r w:rsidRPr="00A105C2">
        <w:rPr>
          <w:rFonts w:asciiTheme="minorBidi" w:hAnsiTheme="minorBidi"/>
          <w:color w:val="000000" w:themeColor="text1"/>
          <w:sz w:val="19"/>
          <w:szCs w:val="19"/>
        </w:rPr>
        <w:t xml:space="preserve"> Corte Constitucional. Sentencia C- 341 del 4 de junio de 2014. M. P. Mauricio González Cuervo.</w:t>
      </w:r>
    </w:p>
  </w:footnote>
  <w:footnote w:id="50">
    <w:p w:rsidRPr="00A105C2" w:rsidR="0076750F" w:rsidP="005E2B5A" w:rsidRDefault="0076750F" w14:paraId="7D027FA9" w14:textId="77777777">
      <w:pPr>
        <w:pStyle w:val="Textonotapie"/>
        <w:ind w:firstLine="709"/>
        <w:jc w:val="both"/>
        <w:rPr>
          <w:rFonts w:asciiTheme="minorBidi" w:hAnsiTheme="minorBidi"/>
          <w:color w:val="000000"/>
          <w:sz w:val="19"/>
          <w:szCs w:val="19"/>
        </w:rPr>
      </w:pPr>
      <w:r w:rsidRPr="00A105C2">
        <w:rPr>
          <w:rStyle w:val="Refdenotaalpie"/>
          <w:rFonts w:asciiTheme="minorBidi" w:hAnsiTheme="minorBidi"/>
          <w:color w:val="000000"/>
          <w:sz w:val="19"/>
          <w:szCs w:val="19"/>
        </w:rPr>
        <w:footnoteRef/>
      </w:r>
      <w:r w:rsidRPr="00A105C2">
        <w:rPr>
          <w:rFonts w:asciiTheme="minorBidi" w:hAnsiTheme="minorBidi"/>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A105C2" w:rsidR="0076750F" w:rsidP="005E2B5A" w:rsidRDefault="0076750F" w14:paraId="63E87146" w14:textId="77777777">
      <w:pPr>
        <w:pStyle w:val="Textonotapie"/>
        <w:ind w:firstLine="709"/>
        <w:jc w:val="both"/>
        <w:rPr>
          <w:rFonts w:asciiTheme="minorBidi" w:hAnsiTheme="minorBidi"/>
          <w:color w:val="000000"/>
          <w:sz w:val="19"/>
          <w:szCs w:val="19"/>
        </w:rPr>
      </w:pPr>
      <w:proofErr w:type="gramStart"/>
      <w:r w:rsidRPr="00A105C2">
        <w:rPr>
          <w:rFonts w:asciiTheme="minorBidi" w:hAnsiTheme="minorBidi"/>
          <w:color w:val="000000"/>
          <w:sz w:val="19"/>
          <w:szCs w:val="19"/>
        </w:rPr>
        <w:t>»Lo</w:t>
      </w:r>
      <w:proofErr w:type="gramEnd"/>
      <w:r w:rsidRPr="00A105C2">
        <w:rPr>
          <w:rFonts w:asciiTheme="minorBidi" w:hAnsiTheme="minorBidi"/>
          <w:color w:val="000000"/>
          <w:sz w:val="19"/>
          <w:szCs w:val="19"/>
        </w:rPr>
        <w:t xml:space="preserve"> anterior, sin perjuicio de las publicaciones previstas en el numeral 3 del artículo 30 de la Ley 80 de 1993.</w:t>
      </w:r>
    </w:p>
    <w:p w:rsidRPr="00A105C2" w:rsidR="0076750F" w:rsidP="005E2B5A" w:rsidRDefault="0076750F" w14:paraId="674E866F" w14:textId="77777777">
      <w:pPr>
        <w:pStyle w:val="Textonotapie"/>
        <w:ind w:firstLine="709"/>
        <w:jc w:val="both"/>
        <w:rPr>
          <w:rFonts w:asciiTheme="minorBidi" w:hAnsiTheme="minorBidi"/>
          <w:color w:val="000000"/>
          <w:sz w:val="19"/>
          <w:szCs w:val="19"/>
        </w:rPr>
      </w:pPr>
      <w:proofErr w:type="gramStart"/>
      <w:r w:rsidRPr="00A105C2">
        <w:rPr>
          <w:rFonts w:asciiTheme="minorBidi" w:hAnsiTheme="minorBidi"/>
          <w:color w:val="000000"/>
          <w:sz w:val="19"/>
          <w:szCs w:val="19"/>
        </w:rPr>
        <w:t>»Con</w:t>
      </w:r>
      <w:proofErr w:type="gramEnd"/>
      <w:r w:rsidRPr="00A105C2">
        <w:rPr>
          <w:rFonts w:asciiTheme="minorBidi" w:hAnsiTheme="minorBidi"/>
          <w:color w:val="000000"/>
          <w:sz w:val="19"/>
          <w:szCs w:val="19"/>
        </w:rPr>
        <w:t xml:space="preserve"> el fin de materializar los objetivos a que se refiere el inciso anterior, el Gobierno Nacional desarrollará el Sistema Electrónico para la Contratación Pública, Secop, el cual: </w:t>
      </w:r>
    </w:p>
    <w:p w:rsidRPr="00A105C2" w:rsidR="0076750F" w:rsidP="005E2B5A" w:rsidRDefault="0076750F" w14:paraId="4A8841C4" w14:textId="77777777">
      <w:pPr>
        <w:pStyle w:val="Textonotapie"/>
        <w:ind w:firstLine="709"/>
        <w:jc w:val="both"/>
        <w:rPr>
          <w:rFonts w:asciiTheme="minorBidi" w:hAnsiTheme="minorBidi"/>
          <w:color w:val="000000"/>
          <w:sz w:val="19"/>
          <w:szCs w:val="19"/>
        </w:rPr>
      </w:pPr>
      <w:r w:rsidRPr="00A105C2">
        <w:rPr>
          <w:rFonts w:asciiTheme="minorBidi" w:hAnsiTheme="minorBidi"/>
          <w:color w:val="000000"/>
          <w:sz w:val="19"/>
          <w:szCs w:val="19"/>
        </w:rPr>
        <w:t>[…]</w:t>
      </w:r>
    </w:p>
    <w:p w:rsidRPr="00A105C2" w:rsidR="0076750F" w:rsidP="005E2B5A" w:rsidRDefault="0076750F" w14:paraId="59D8F568" w14:textId="28A7BD85">
      <w:pPr>
        <w:pStyle w:val="Textonotapie"/>
        <w:ind w:firstLine="709"/>
        <w:jc w:val="both"/>
        <w:rPr>
          <w:rFonts w:asciiTheme="minorBidi" w:hAnsiTheme="minorBidi"/>
          <w:color w:val="000000"/>
          <w:sz w:val="19"/>
          <w:szCs w:val="19"/>
          <w:lang w:val="es-CO"/>
        </w:rPr>
      </w:pPr>
      <w:r w:rsidRPr="00A105C2">
        <w:rPr>
          <w:rFonts w:asciiTheme="minorBidi" w:hAnsiTheme="minorBidi"/>
          <w:color w:val="000000"/>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51">
    <w:p w:rsidRPr="00A105C2" w:rsidR="0076750F" w:rsidP="005E2B5A" w:rsidRDefault="0076750F" w14:paraId="349EA239" w14:textId="461E708E">
      <w:pPr>
        <w:pStyle w:val="Textonotapie"/>
        <w:ind w:firstLine="709"/>
        <w:jc w:val="both"/>
        <w:rPr>
          <w:rFonts w:asciiTheme="minorBidi" w:hAnsiTheme="minorBidi"/>
          <w:color w:val="000000"/>
          <w:sz w:val="19"/>
          <w:szCs w:val="19"/>
          <w:lang w:val="es-CO"/>
        </w:rPr>
      </w:pPr>
      <w:r w:rsidRPr="00A105C2">
        <w:rPr>
          <w:rStyle w:val="Refdenotaalpie"/>
          <w:rFonts w:asciiTheme="minorBidi" w:hAnsiTheme="minorBidi"/>
          <w:color w:val="000000"/>
          <w:sz w:val="19"/>
          <w:szCs w:val="19"/>
        </w:rPr>
        <w:footnoteRef/>
      </w:r>
      <w:r w:rsidRPr="00A105C2">
        <w:rPr>
          <w:rFonts w:asciiTheme="minorBidi" w:hAnsiTheme="minorBidi"/>
          <w:color w:val="000000"/>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52">
    <w:p w:rsidRPr="00A105C2" w:rsidR="0076750F" w:rsidP="005E2B5A" w:rsidRDefault="0076750F" w14:paraId="44C22991" w14:textId="77777777">
      <w:pPr>
        <w:pStyle w:val="Textonotapie"/>
        <w:ind w:firstLine="709"/>
        <w:jc w:val="both"/>
        <w:rPr>
          <w:rFonts w:asciiTheme="minorBidi" w:hAnsiTheme="minorBidi"/>
          <w:color w:val="000000"/>
          <w:sz w:val="19"/>
          <w:szCs w:val="19"/>
        </w:rPr>
      </w:pPr>
      <w:r w:rsidRPr="00A105C2">
        <w:rPr>
          <w:rStyle w:val="Refdenotaalpie"/>
          <w:rFonts w:asciiTheme="minorBidi" w:hAnsiTheme="minorBidi"/>
          <w:color w:val="000000"/>
          <w:sz w:val="19"/>
          <w:szCs w:val="19"/>
        </w:rPr>
        <w:footnoteRef/>
      </w:r>
      <w:r w:rsidRPr="00A105C2">
        <w:rPr>
          <w:rFonts w:asciiTheme="minorBidi" w:hAnsiTheme="minorBidi"/>
          <w:color w:val="000000"/>
          <w:sz w:val="19"/>
          <w:szCs w:val="19"/>
        </w:rPr>
        <w:t xml:space="preserve"> Ley 1712 de 2014: «Artículo 5. Ámbito de aplicación. Las disposiciones de esta ley serán aplicables a las siguientes personas en calidad de sujetos obligados: </w:t>
      </w:r>
    </w:p>
    <w:p w:rsidRPr="00A105C2" w:rsidR="0076750F" w:rsidP="005E2B5A" w:rsidRDefault="0076750F" w14:paraId="03F5336A" w14:textId="18D0DE3E">
      <w:pPr>
        <w:pStyle w:val="Textonotapie"/>
        <w:ind w:firstLine="709"/>
        <w:jc w:val="both"/>
        <w:rPr>
          <w:rFonts w:asciiTheme="minorBidi" w:hAnsiTheme="minorBidi"/>
          <w:color w:val="000000"/>
          <w:sz w:val="19"/>
          <w:szCs w:val="19"/>
          <w:lang w:val="es-CO"/>
        </w:rPr>
      </w:pPr>
      <w:proofErr w:type="gramStart"/>
      <w:r w:rsidRPr="00A105C2">
        <w:rPr>
          <w:rFonts w:asciiTheme="minorBidi" w:hAnsiTheme="minorBidi"/>
          <w:color w:val="000000"/>
          <w:sz w:val="19"/>
          <w:szCs w:val="19"/>
        </w:rPr>
        <w:t>»a</w:t>
      </w:r>
      <w:proofErr w:type="gramEnd"/>
      <w:r w:rsidRPr="00A105C2">
        <w:rPr>
          <w:rFonts w:asciiTheme="minorBidi" w:hAnsiTheme="minorBidi"/>
          <w:color w:val="000000"/>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53">
    <w:p w:rsidRPr="00A105C2" w:rsidR="0076750F" w:rsidP="005E2B5A" w:rsidRDefault="0076750F" w14:paraId="70C21B8F" w14:textId="77777777">
      <w:pPr>
        <w:pStyle w:val="Textonotapie"/>
        <w:ind w:firstLine="709"/>
        <w:jc w:val="both"/>
        <w:rPr>
          <w:rFonts w:asciiTheme="minorBidi" w:hAnsiTheme="minorBidi"/>
          <w:color w:val="000000"/>
          <w:sz w:val="19"/>
          <w:szCs w:val="19"/>
        </w:rPr>
      </w:pPr>
      <w:r w:rsidRPr="00A105C2">
        <w:rPr>
          <w:rFonts w:eastAsia="Times New Roman" w:asciiTheme="minorBidi" w:hAnsiTheme="minorBidi"/>
          <w:color w:val="000000"/>
          <w:sz w:val="19"/>
          <w:szCs w:val="19"/>
          <w:vertAlign w:val="superscript"/>
          <w:lang w:val="es-ES" w:eastAsia="es-ES"/>
        </w:rPr>
        <w:footnoteRef/>
      </w:r>
      <w:r w:rsidRPr="00A105C2">
        <w:rPr>
          <w:rFonts w:eastAsia="Times New Roman" w:asciiTheme="minorBidi" w:hAnsiTheme="minorBidi"/>
          <w:color w:val="000000"/>
          <w:sz w:val="19"/>
          <w:szCs w:val="19"/>
          <w:vertAlign w:val="superscript"/>
          <w:lang w:val="es-ES" w:eastAsia="es-ES"/>
        </w:rPr>
        <w:t xml:space="preserve"> </w:t>
      </w:r>
      <w:r w:rsidRPr="00A105C2">
        <w:rPr>
          <w:rFonts w:eastAsia="Times New Roman" w:asciiTheme="minorBidi" w:hAnsiTheme="minorBidi"/>
          <w:color w:val="000000"/>
          <w:sz w:val="19"/>
          <w:szCs w:val="19"/>
          <w:lang w:val="es-ES" w:eastAsia="es-ES"/>
        </w:rPr>
        <w:t>«</w:t>
      </w:r>
      <w:r w:rsidRPr="00A105C2">
        <w:rPr>
          <w:rFonts w:asciiTheme="minorBidi" w:hAnsiTheme="minorBidi"/>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A105C2" w:rsidR="0076750F" w:rsidP="005E2B5A" w:rsidRDefault="0076750F" w14:paraId="61A823AD" w14:textId="77777777">
      <w:pPr>
        <w:pStyle w:val="Textonotapie"/>
        <w:ind w:firstLine="709"/>
        <w:jc w:val="both"/>
        <w:rPr>
          <w:rFonts w:eastAsia="Times New Roman" w:asciiTheme="minorBidi" w:hAnsiTheme="minorBidi"/>
          <w:color w:val="000000"/>
          <w:sz w:val="19"/>
          <w:szCs w:val="19"/>
          <w:lang w:val="es-ES" w:eastAsia="es-ES"/>
        </w:rPr>
      </w:pPr>
      <w:r w:rsidRPr="00A105C2">
        <w:rPr>
          <w:rFonts w:asciiTheme="minorBidi" w:hAnsiTheme="minorBidi"/>
          <w:color w:val="000000"/>
          <w:sz w:val="19"/>
          <w:szCs w:val="19"/>
        </w:rPr>
        <w:t>[…].</w:t>
      </w:r>
    </w:p>
    <w:p w:rsidRPr="00A105C2" w:rsidR="0076750F" w:rsidP="005E2B5A" w:rsidRDefault="0076750F" w14:paraId="25A9988B" w14:textId="0B74EF57">
      <w:pPr>
        <w:pStyle w:val="Textonotapie"/>
        <w:ind w:firstLine="709"/>
        <w:jc w:val="both"/>
        <w:rPr>
          <w:rFonts w:eastAsia="Times New Roman" w:asciiTheme="minorBidi" w:hAnsiTheme="minorBidi"/>
          <w:color w:val="000000"/>
          <w:sz w:val="19"/>
          <w:szCs w:val="19"/>
          <w:lang w:val="es-ES" w:eastAsia="es-ES"/>
        </w:rPr>
      </w:pPr>
      <w:r w:rsidRPr="00A105C2">
        <w:rPr>
          <w:rFonts w:eastAsia="Times New Roman" w:asciiTheme="minorBidi" w:hAnsiTheme="minorBidi"/>
          <w:color w:val="000000"/>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54">
    <w:p w:rsidRPr="005E2B5A" w:rsidR="00D25DF6" w:rsidP="005E2B5A" w:rsidRDefault="00D25DF6" w14:paraId="4888DAA7" w14:textId="37DCA506">
      <w:pPr>
        <w:pStyle w:val="Textonotapie"/>
        <w:ind w:firstLine="709"/>
        <w:jc w:val="both"/>
        <w:rPr>
          <w:rFonts w:asciiTheme="minorBidi" w:hAnsiTheme="minorBidi"/>
          <w:color w:val="000000" w:themeColor="text1"/>
          <w:sz w:val="19"/>
          <w:szCs w:val="19"/>
        </w:rPr>
      </w:pPr>
      <w:r w:rsidRPr="00A105C2">
        <w:rPr>
          <w:rStyle w:val="Refdenotaalpie"/>
          <w:rFonts w:asciiTheme="minorBidi" w:hAnsiTheme="minorBidi"/>
          <w:color w:val="000000" w:themeColor="text1"/>
          <w:sz w:val="19"/>
          <w:szCs w:val="19"/>
        </w:rPr>
        <w:footnoteRef/>
      </w:r>
      <w:r w:rsidRPr="00A105C2">
        <w:rPr>
          <w:rFonts w:asciiTheme="minorBidi" w:hAnsiTheme="minorBidi"/>
          <w:color w:val="000000" w:themeColor="text1"/>
          <w:sz w:val="19"/>
          <w:szCs w:val="19"/>
        </w:rPr>
        <w:t xml:space="preserve"> C</w:t>
      </w:r>
      <w:r w:rsidRPr="00A105C2">
        <w:rPr>
          <w:rFonts w:eastAsia="Times New Roman" w:asciiTheme="minorBidi" w:hAnsiTheme="minorBidi"/>
          <w:color w:val="000000" w:themeColor="text1"/>
          <w:sz w:val="19"/>
          <w:szCs w:val="19"/>
          <w:lang w:val="es-ES" w:eastAsia="es-ES"/>
        </w:rPr>
        <w:t xml:space="preserve">orte Constitucional. Sentencia C‒274 de 9 de mayo de 2013. M.P. María Victoria Calle Correa. </w:t>
      </w:r>
    </w:p>
  </w:footnote>
  <w:footnote w:id="55">
    <w:p w:rsidRPr="00A105C2" w:rsidR="00AA07F0" w:rsidP="005E2B5A" w:rsidRDefault="00AA07F0" w14:paraId="6B4A1C05" w14:textId="77777777">
      <w:pPr>
        <w:pStyle w:val="Textonotapie"/>
        <w:ind w:firstLine="708"/>
        <w:jc w:val="both"/>
        <w:rPr>
          <w:rFonts w:asciiTheme="minorBidi" w:hAnsiTheme="minorBidi"/>
          <w:color w:val="000000"/>
          <w:sz w:val="19"/>
          <w:szCs w:val="19"/>
        </w:rPr>
      </w:pPr>
      <w:r w:rsidRPr="00A105C2">
        <w:rPr>
          <w:rStyle w:val="Refdenotaalpie"/>
          <w:rFonts w:asciiTheme="minorBidi" w:hAnsiTheme="minorBidi"/>
          <w:color w:val="000000"/>
          <w:sz w:val="19"/>
          <w:szCs w:val="19"/>
        </w:rPr>
        <w:footnoteRef/>
      </w:r>
      <w:r w:rsidRPr="00A105C2">
        <w:rPr>
          <w:rFonts w:asciiTheme="minorBidi" w:hAnsiTheme="minorBidi"/>
          <w:color w:val="000000"/>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A105C2" w:rsidR="00AA07F0" w:rsidP="005E2B5A" w:rsidRDefault="00AA07F0" w14:paraId="1521DE62" w14:textId="77777777">
      <w:pPr>
        <w:ind w:firstLine="708"/>
        <w:jc w:val="both"/>
        <w:rPr>
          <w:rFonts w:asciiTheme="minorBidi" w:hAnsiTheme="minorBidi" w:cstheme="minorBidi"/>
          <w:color w:val="000000"/>
          <w:sz w:val="19"/>
          <w:szCs w:val="19"/>
        </w:rPr>
      </w:pPr>
      <w:proofErr w:type="gramStart"/>
      <w:r w:rsidRPr="00A105C2">
        <w:rPr>
          <w:rFonts w:asciiTheme="minorBidi" w:hAnsiTheme="minorBidi" w:cstheme="minorBidi"/>
          <w:color w:val="000000"/>
          <w:sz w:val="19"/>
          <w:szCs w:val="19"/>
        </w:rPr>
        <w:t>»Lo</w:t>
      </w:r>
      <w:proofErr w:type="gramEnd"/>
      <w:r w:rsidRPr="00A105C2">
        <w:rPr>
          <w:rFonts w:asciiTheme="minorBidi" w:hAnsiTheme="minorBidi" w:cstheme="minorBidi"/>
          <w:color w:val="000000"/>
          <w:sz w:val="19"/>
          <w:szCs w:val="19"/>
        </w:rPr>
        <w:t xml:space="preserve"> anterior, sin perjuicio de las publicaciones previstas en el numeral 3 del artículo 30 de la Ley 80 de 1993.</w:t>
      </w:r>
    </w:p>
    <w:p w:rsidRPr="00A105C2" w:rsidR="00AA07F0" w:rsidP="005E2B5A" w:rsidRDefault="00AA07F0" w14:paraId="4F5D251A" w14:textId="77777777">
      <w:pPr>
        <w:pStyle w:val="Textonotapie"/>
        <w:ind w:firstLine="708"/>
        <w:jc w:val="both"/>
        <w:rPr>
          <w:rFonts w:asciiTheme="minorBidi" w:hAnsiTheme="minorBidi"/>
          <w:color w:val="000000"/>
          <w:sz w:val="19"/>
          <w:szCs w:val="19"/>
        </w:rPr>
      </w:pPr>
      <w:proofErr w:type="gramStart"/>
      <w:r w:rsidRPr="00A105C2">
        <w:rPr>
          <w:rFonts w:asciiTheme="minorBidi" w:hAnsiTheme="minorBidi"/>
          <w:color w:val="000000"/>
          <w:sz w:val="19"/>
          <w:szCs w:val="19"/>
        </w:rPr>
        <w:t>»Con</w:t>
      </w:r>
      <w:proofErr w:type="gramEnd"/>
      <w:r w:rsidRPr="00A105C2">
        <w:rPr>
          <w:rFonts w:asciiTheme="minorBidi" w:hAnsiTheme="minorBidi"/>
          <w:color w:val="000000"/>
          <w:sz w:val="19"/>
          <w:szCs w:val="19"/>
        </w:rPr>
        <w:t xml:space="preserve"> el fin de materializar los objetivos a que se refiere el inciso anterior, el Gobierno Nacional desarrollará el Sistema Electrónico para la Contratación Pública, Secop, el cual:</w:t>
      </w:r>
    </w:p>
    <w:p w:rsidRPr="00A105C2" w:rsidR="00AA07F0" w:rsidP="005E2B5A" w:rsidRDefault="00AA07F0" w14:paraId="43652592" w14:textId="77777777">
      <w:pPr>
        <w:pStyle w:val="Textonotapie"/>
        <w:ind w:firstLine="708"/>
        <w:jc w:val="both"/>
        <w:rPr>
          <w:rFonts w:asciiTheme="minorBidi" w:hAnsiTheme="minorBidi"/>
          <w:color w:val="000000"/>
          <w:sz w:val="19"/>
          <w:szCs w:val="19"/>
        </w:rPr>
      </w:pPr>
      <w:proofErr w:type="gramStart"/>
      <w:r w:rsidRPr="00A105C2">
        <w:rPr>
          <w:rFonts w:asciiTheme="minorBidi" w:hAnsiTheme="minorBidi"/>
          <w:color w:val="000000"/>
          <w:sz w:val="19"/>
          <w:szCs w:val="19"/>
        </w:rPr>
        <w:t>»a</w:t>
      </w:r>
      <w:proofErr w:type="gramEnd"/>
      <w:r w:rsidRPr="00A105C2">
        <w:rPr>
          <w:rFonts w:asciiTheme="minorBidi" w:hAnsiTheme="minorBidi"/>
          <w:color w:val="000000"/>
          <w:sz w:val="19"/>
          <w:szCs w:val="19"/>
        </w:rPr>
        <w:t>) Dispondrá de las funcionalidades tecnológicas para realizar procesos de contratación electrónicos bajo los métodos de selección señalados en el artículo 2o de la presente ley según lo defina el reglamento;</w:t>
      </w:r>
    </w:p>
    <w:p w:rsidRPr="00A105C2" w:rsidR="00AA07F0" w:rsidP="005E2B5A" w:rsidRDefault="00AA07F0" w14:paraId="1A5F24B0" w14:textId="77777777">
      <w:pPr>
        <w:pStyle w:val="Textonotapie"/>
        <w:ind w:firstLine="708"/>
        <w:jc w:val="both"/>
        <w:rPr>
          <w:rFonts w:asciiTheme="minorBidi" w:hAnsiTheme="minorBidi"/>
          <w:color w:val="000000"/>
          <w:sz w:val="19"/>
          <w:szCs w:val="19"/>
        </w:rPr>
      </w:pPr>
      <w:proofErr w:type="gramStart"/>
      <w:r w:rsidRPr="00A105C2">
        <w:rPr>
          <w:rFonts w:asciiTheme="minorBidi" w:hAnsiTheme="minorBidi"/>
          <w:color w:val="000000"/>
          <w:sz w:val="19"/>
          <w:szCs w:val="19"/>
        </w:rPr>
        <w:t>»b</w:t>
      </w:r>
      <w:proofErr w:type="gramEnd"/>
      <w:r w:rsidRPr="00A105C2">
        <w:rPr>
          <w:rFonts w:asciiTheme="minorBidi" w:hAnsiTheme="minorBidi"/>
          <w:color w:val="000000"/>
          <w:sz w:val="19"/>
          <w:szCs w:val="19"/>
        </w:rPr>
        <w:t>) Servirá de punto único de ingreso de información y de generación de reportes para las entidades estatales y la ciudadanía;</w:t>
      </w:r>
    </w:p>
    <w:p w:rsidRPr="00A105C2" w:rsidR="00AA07F0" w:rsidP="005E2B5A" w:rsidRDefault="00AA07F0" w14:paraId="4F0F34D3" w14:textId="77777777">
      <w:pPr>
        <w:pStyle w:val="Textonotapie"/>
        <w:ind w:firstLine="708"/>
        <w:jc w:val="both"/>
        <w:rPr>
          <w:rFonts w:asciiTheme="minorBidi" w:hAnsiTheme="minorBidi"/>
          <w:color w:val="000000"/>
          <w:sz w:val="19"/>
          <w:szCs w:val="19"/>
        </w:rPr>
      </w:pPr>
      <w:r w:rsidRPr="00A105C2">
        <w:rPr>
          <w:rFonts w:asciiTheme="minorBidi" w:hAnsiTheme="minorBidi"/>
          <w:color w:val="000000"/>
          <w:sz w:val="19"/>
          <w:szCs w:val="19"/>
        </w:rPr>
        <w:t>»c) Contará con la información oficial de la contratación realizada con dineros públicos, para lo cual establecerá los patrones a que haya lugar y se encargará de su difusión a través de canales electrónicos y;</w:t>
      </w:r>
    </w:p>
    <w:p w:rsidRPr="00A105C2" w:rsidR="00AA07F0" w:rsidP="005E2B5A" w:rsidRDefault="00AA07F0" w14:paraId="2E25CB88" w14:textId="6EEF10EC">
      <w:pPr>
        <w:pStyle w:val="Textonotapie"/>
        <w:ind w:firstLine="708"/>
        <w:jc w:val="both"/>
        <w:rPr>
          <w:rFonts w:asciiTheme="minorBidi" w:hAnsiTheme="minorBidi"/>
          <w:color w:val="000000"/>
          <w:sz w:val="19"/>
          <w:szCs w:val="19"/>
        </w:rPr>
      </w:pPr>
      <w:proofErr w:type="gramStart"/>
      <w:r w:rsidRPr="00A105C2">
        <w:rPr>
          <w:rFonts w:asciiTheme="minorBidi" w:hAnsiTheme="minorBidi"/>
          <w:color w:val="000000"/>
          <w:sz w:val="19"/>
          <w:szCs w:val="19"/>
        </w:rPr>
        <w:t>»d</w:t>
      </w:r>
      <w:proofErr w:type="gramEnd"/>
      <w:r w:rsidRPr="00A105C2">
        <w:rPr>
          <w:rFonts w:asciiTheme="minorBidi" w:hAnsiTheme="minorBidi"/>
          <w:color w:val="000000"/>
          <w:sz w:val="19"/>
          <w:szCs w:val="19"/>
        </w:rPr>
        <w:t>)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footnote>
  <w:footnote w:id="56">
    <w:p w:rsidRPr="00A105C2" w:rsidR="00AA07F0" w:rsidP="005E2B5A" w:rsidRDefault="00AA07F0" w14:paraId="7945B949" w14:textId="68D9017E">
      <w:pPr>
        <w:pStyle w:val="Textonotapie"/>
        <w:ind w:firstLine="708"/>
        <w:jc w:val="both"/>
        <w:rPr>
          <w:rFonts w:asciiTheme="minorBidi" w:hAnsiTheme="minorBidi"/>
          <w:color w:val="000000"/>
          <w:sz w:val="19"/>
          <w:szCs w:val="19"/>
          <w:lang w:val="es-CO"/>
        </w:rPr>
      </w:pPr>
      <w:r w:rsidRPr="00A105C2">
        <w:rPr>
          <w:rStyle w:val="Refdenotaalpie"/>
          <w:rFonts w:asciiTheme="minorBidi" w:hAnsiTheme="minorBidi"/>
          <w:color w:val="000000"/>
          <w:sz w:val="19"/>
          <w:szCs w:val="19"/>
        </w:rPr>
        <w:footnoteRef/>
      </w:r>
      <w:r w:rsidRPr="00A105C2">
        <w:rPr>
          <w:rFonts w:asciiTheme="minorBidi" w:hAnsiTheme="minorBidi"/>
          <w:color w:val="000000"/>
          <w:sz w:val="19"/>
          <w:szCs w:val="19"/>
        </w:rPr>
        <w:t xml:space="preserve"> Corte Constitucional. </w:t>
      </w:r>
      <w:r w:rsidRPr="00A105C2">
        <w:rPr>
          <w:rFonts w:asciiTheme="minorBidi" w:hAnsiTheme="minorBidi"/>
          <w:color w:val="000000"/>
          <w:sz w:val="19"/>
          <w:szCs w:val="19"/>
          <w:lang w:val="es-CO"/>
        </w:rPr>
        <w:t xml:space="preserve">Sentencia C 711 del 11 de marzo de 2011. M.P. Mauricio González Cuervo. </w:t>
      </w:r>
    </w:p>
  </w:footnote>
  <w:footnote w:id="57">
    <w:p w:rsidRPr="00A105C2" w:rsidR="00AA07F0" w:rsidP="005E2B5A" w:rsidRDefault="00AA07F0" w14:paraId="02E2128B" w14:textId="77777777">
      <w:pPr>
        <w:pStyle w:val="Textonotapie"/>
        <w:ind w:firstLine="708"/>
        <w:jc w:val="both"/>
        <w:rPr>
          <w:rFonts w:asciiTheme="minorBidi" w:hAnsiTheme="minorBidi"/>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Agencia Nacional de Contratación Pública – Colombia Compra Eficiente. Concepto C-087 del del 4 de marzo de 2020. Radicado de entrada No. 4202012000000579. Radicado de salida No. 2202013000001598.</w:t>
      </w:r>
    </w:p>
  </w:footnote>
  <w:footnote w:id="58">
    <w:p w:rsidRPr="00A105C2" w:rsidR="00E1529C" w:rsidP="005E2B5A" w:rsidRDefault="00AA07F0" w14:paraId="41F5AD8F" w14:textId="50B472CC">
      <w:pPr>
        <w:pStyle w:val="Textonotapie"/>
        <w:ind w:firstLine="709"/>
        <w:jc w:val="both"/>
        <w:rPr>
          <w:rFonts w:asciiTheme="minorBidi" w:hAnsiTheme="minorBidi"/>
          <w:color w:val="000000"/>
          <w:sz w:val="19"/>
          <w:szCs w:val="19"/>
        </w:rPr>
      </w:pPr>
      <w:r w:rsidRPr="00A105C2">
        <w:rPr>
          <w:rStyle w:val="Refdenotaalpie"/>
          <w:rFonts w:asciiTheme="minorBidi" w:hAnsiTheme="minorBidi"/>
          <w:sz w:val="19"/>
          <w:szCs w:val="19"/>
        </w:rPr>
        <w:footnoteRef/>
      </w:r>
      <w:r w:rsidRPr="00A105C2">
        <w:rPr>
          <w:rFonts w:asciiTheme="minorBidi" w:hAnsiTheme="minorBidi"/>
          <w:sz w:val="19"/>
          <w:szCs w:val="19"/>
        </w:rPr>
        <w:t xml:space="preserve"> Ley 80 de 1993 «</w:t>
      </w:r>
      <w:r w:rsidRPr="00A105C2">
        <w:rPr>
          <w:rStyle w:val="Textoennegrita"/>
          <w:rFonts w:asciiTheme="minorBidi" w:hAnsiTheme="minorBidi"/>
          <w:b w:val="0"/>
          <w:bCs w:val="0"/>
          <w:color w:val="000000"/>
          <w:sz w:val="19"/>
          <w:szCs w:val="19"/>
        </w:rPr>
        <w:t>Articulo 32. De los contratos estatales.</w:t>
      </w:r>
      <w:r w:rsidRPr="00A105C2">
        <w:rPr>
          <w:rStyle w:val="Textoennegrita"/>
          <w:rFonts w:asciiTheme="minorBidi" w:hAnsiTheme="minorBidi"/>
          <w:color w:val="000000"/>
          <w:sz w:val="19"/>
          <w:szCs w:val="19"/>
        </w:rPr>
        <w:t> </w:t>
      </w:r>
      <w:r w:rsidRPr="00A105C2">
        <w:rPr>
          <w:rFonts w:asciiTheme="minorBidi" w:hAnsiTheme="minorBidi"/>
          <w:color w:val="000000"/>
          <w:sz w:val="19"/>
          <w:szCs w:val="19"/>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 w:id="59">
    <w:p w:rsidRPr="00A105C2" w:rsidR="00AA07F0" w:rsidP="005E2B5A" w:rsidRDefault="00AA07F0" w14:paraId="7781CD32" w14:textId="77777777">
      <w:pPr>
        <w:pStyle w:val="NormalWeb"/>
        <w:spacing w:before="0" w:beforeAutospacing="0" w:after="0" w:afterAutospacing="0"/>
        <w:ind w:firstLine="709"/>
        <w:jc w:val="both"/>
        <w:rPr>
          <w:rFonts w:asciiTheme="minorBidi" w:hAnsiTheme="minorBidi" w:cstheme="minorBidi"/>
          <w:color w:val="000000"/>
          <w:sz w:val="19"/>
          <w:szCs w:val="19"/>
        </w:rPr>
      </w:pPr>
      <w:r w:rsidRPr="00A105C2">
        <w:rPr>
          <w:rStyle w:val="Refdenotaalpie"/>
          <w:rFonts w:asciiTheme="minorBidi" w:hAnsiTheme="minorBidi" w:cstheme="minorBidi"/>
          <w:sz w:val="19"/>
          <w:szCs w:val="19"/>
        </w:rPr>
        <w:footnoteRef/>
      </w:r>
      <w:r w:rsidRPr="00A105C2">
        <w:rPr>
          <w:rFonts w:asciiTheme="minorBidi" w:hAnsiTheme="minorBidi" w:cstheme="minorBidi"/>
          <w:sz w:val="19"/>
          <w:szCs w:val="19"/>
        </w:rPr>
        <w:t xml:space="preserve"> Ley 80 de 1993 «</w:t>
      </w:r>
      <w:r w:rsidRPr="00A105C2">
        <w:rPr>
          <w:rFonts w:asciiTheme="minorBidi" w:hAnsiTheme="minorBidi" w:cstheme="minorBidi"/>
          <w:color w:val="000000"/>
          <w:sz w:val="19"/>
          <w:szCs w:val="19"/>
        </w:rPr>
        <w:t>Artículo 13</w:t>
      </w:r>
      <w:r w:rsidRPr="00A105C2">
        <w:rPr>
          <w:rFonts w:asciiTheme="minorBidi" w:hAnsiTheme="minorBidi" w:cstheme="minorBidi"/>
          <w:b/>
          <w:bCs/>
          <w:color w:val="000000"/>
          <w:sz w:val="19"/>
          <w:szCs w:val="19"/>
        </w:rPr>
        <w:t xml:space="preserve">. </w:t>
      </w:r>
      <w:r w:rsidRPr="00A105C2">
        <w:rPr>
          <w:rFonts w:asciiTheme="minorBidi" w:hAnsiTheme="minorBidi" w:cstheme="minorBidi"/>
          <w:color w:val="000000"/>
          <w:sz w:val="19"/>
          <w:szCs w:val="19"/>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rsidRPr="00A105C2" w:rsidR="00AA07F0" w:rsidP="005E2B5A" w:rsidRDefault="00AA07F0" w14:paraId="49A9F3C5" w14:textId="77777777">
      <w:pPr>
        <w:ind w:firstLine="709"/>
        <w:jc w:val="both"/>
        <w:rPr>
          <w:rFonts w:asciiTheme="minorBidi" w:hAnsiTheme="minorBidi" w:cstheme="minorBidi"/>
          <w:color w:val="000000"/>
          <w:sz w:val="19"/>
          <w:szCs w:val="19"/>
          <w:lang w:eastAsia="es-CO"/>
        </w:rPr>
      </w:pPr>
      <w:r w:rsidRPr="00A105C2">
        <w:rPr>
          <w:rFonts w:asciiTheme="minorBidi" w:hAnsiTheme="minorBidi" w:cstheme="minorBidi"/>
          <w:color w:val="000000"/>
          <w:sz w:val="19"/>
          <w:szCs w:val="19"/>
          <w:lang w:eastAsia="es-CO"/>
        </w:rPr>
        <w:t> </w:t>
      </w:r>
      <w:r w:rsidRPr="00A105C2">
        <w:rPr>
          <w:rFonts w:asciiTheme="minorBidi" w:hAnsiTheme="minorBidi" w:cstheme="minorBidi"/>
          <w:color w:val="000000"/>
          <w:sz w:val="19"/>
          <w:szCs w:val="19"/>
          <w:lang w:eastAsia="es-CO"/>
        </w:rPr>
        <w:tab/>
      </w:r>
      <w:proofErr w:type="gramStart"/>
      <w:r w:rsidRPr="00A105C2">
        <w:rPr>
          <w:rFonts w:asciiTheme="minorBidi" w:hAnsiTheme="minorBidi" w:cstheme="minorBidi"/>
          <w:color w:val="000000"/>
          <w:sz w:val="19"/>
          <w:szCs w:val="19"/>
          <w:lang w:eastAsia="es-CO"/>
        </w:rPr>
        <w:t>»Los</w:t>
      </w:r>
      <w:proofErr w:type="gramEnd"/>
      <w:r w:rsidRPr="00A105C2">
        <w:rPr>
          <w:rFonts w:asciiTheme="minorBidi" w:hAnsiTheme="minorBidi" w:cstheme="minorBidi"/>
          <w:color w:val="000000"/>
          <w:sz w:val="19"/>
          <w:szCs w:val="19"/>
          <w:lang w:eastAsia="es-CO"/>
        </w:rPr>
        <w:t xml:space="preserve"> contratos celebrados en el exterior se podrán regir en su ejecución por las reglas del país en donde se hayan suscrito, a menos que deban cumplirse en Colombia. </w:t>
      </w:r>
    </w:p>
    <w:p w:rsidRPr="00A105C2" w:rsidR="00AA07F0" w:rsidP="005E2B5A" w:rsidRDefault="00AA07F0" w14:paraId="17F9A91B" w14:textId="77777777">
      <w:pPr>
        <w:ind w:firstLine="709"/>
        <w:jc w:val="both"/>
        <w:rPr>
          <w:rFonts w:asciiTheme="minorBidi" w:hAnsiTheme="minorBidi" w:cstheme="minorBidi"/>
          <w:color w:val="000000"/>
          <w:sz w:val="19"/>
          <w:szCs w:val="19"/>
          <w:lang w:eastAsia="es-CO"/>
        </w:rPr>
      </w:pPr>
      <w:r w:rsidRPr="00A105C2">
        <w:rPr>
          <w:rFonts w:asciiTheme="minorBidi" w:hAnsiTheme="minorBidi" w:cstheme="minorBidi"/>
          <w:color w:val="000000"/>
          <w:sz w:val="19"/>
          <w:szCs w:val="19"/>
          <w:lang w:eastAsia="es-CO"/>
        </w:rPr>
        <w:t>  </w:t>
      </w:r>
      <w:r w:rsidRPr="00A105C2">
        <w:rPr>
          <w:rFonts w:asciiTheme="minorBidi" w:hAnsiTheme="minorBidi" w:cstheme="minorBidi"/>
          <w:color w:val="000000"/>
          <w:sz w:val="19"/>
          <w:szCs w:val="19"/>
          <w:lang w:eastAsia="es-CO"/>
        </w:rPr>
        <w:tab/>
      </w:r>
      <w:proofErr w:type="gramStart"/>
      <w:r w:rsidRPr="00A105C2">
        <w:rPr>
          <w:rFonts w:asciiTheme="minorBidi" w:hAnsiTheme="minorBidi" w:cstheme="minorBidi"/>
          <w:color w:val="000000"/>
          <w:sz w:val="19"/>
          <w:szCs w:val="19"/>
          <w:lang w:eastAsia="es-CO"/>
        </w:rPr>
        <w:t>»Los</w:t>
      </w:r>
      <w:proofErr w:type="gramEnd"/>
      <w:r w:rsidRPr="00A105C2">
        <w:rPr>
          <w:rFonts w:asciiTheme="minorBidi" w:hAnsiTheme="minorBidi" w:cstheme="minorBidi"/>
          <w:color w:val="000000"/>
          <w:sz w:val="19"/>
          <w:szCs w:val="19"/>
          <w:lang w:eastAsia="es-CO"/>
        </w:rPr>
        <w:t xml:space="preserve"> contratos que se celebren en Colombia y deban ejecutarse o cumplirse en el extranjero, podrán someterse a la ley extranjera. </w:t>
      </w:r>
    </w:p>
    <w:p w:rsidRPr="00A105C2" w:rsidR="00AA07F0" w:rsidP="005E2B5A" w:rsidRDefault="00AA07F0" w14:paraId="5FD930CC" w14:textId="77777777">
      <w:pPr>
        <w:pStyle w:val="NormalWeb"/>
        <w:spacing w:before="0" w:beforeAutospacing="0" w:after="0" w:afterAutospacing="0"/>
        <w:ind w:firstLine="709"/>
        <w:jc w:val="both"/>
        <w:rPr>
          <w:rFonts w:asciiTheme="minorBidi" w:hAnsiTheme="minorBidi" w:cstheme="minorBidi"/>
          <w:sz w:val="19"/>
          <w:szCs w:val="19"/>
        </w:rPr>
      </w:pPr>
      <w:r w:rsidRPr="00A105C2">
        <w:rPr>
          <w:rFonts w:asciiTheme="minorBidi" w:hAnsiTheme="minorBidi" w:cstheme="minorBidi"/>
          <w:sz w:val="19"/>
          <w:szCs w:val="19"/>
        </w:rPr>
        <w:t>[…]</w:t>
      </w:r>
    </w:p>
    <w:p w:rsidRPr="00A105C2" w:rsidR="00AA07F0" w:rsidP="005E2B5A" w:rsidRDefault="00AA07F0" w14:paraId="2A31E098" w14:textId="77777777">
      <w:pPr>
        <w:pStyle w:val="NormalWeb"/>
        <w:spacing w:before="0" w:beforeAutospacing="0" w:after="0" w:afterAutospacing="0"/>
        <w:ind w:firstLine="709"/>
        <w:jc w:val="both"/>
        <w:rPr>
          <w:rFonts w:asciiTheme="minorBidi" w:hAnsiTheme="minorBidi" w:cstheme="minorBidi"/>
          <w:color w:val="000000"/>
          <w:sz w:val="19"/>
          <w:szCs w:val="19"/>
        </w:rPr>
      </w:pPr>
      <w:proofErr w:type="gramStart"/>
      <w:r w:rsidRPr="00A105C2">
        <w:rPr>
          <w:rFonts w:asciiTheme="minorBidi" w:hAnsiTheme="minorBidi" w:cstheme="minorBidi"/>
          <w:b/>
          <w:bCs/>
          <w:color w:val="000000"/>
          <w:sz w:val="19"/>
          <w:szCs w:val="19"/>
        </w:rPr>
        <w:t>»</w:t>
      </w:r>
      <w:r w:rsidRPr="00A105C2">
        <w:rPr>
          <w:rFonts w:asciiTheme="minorBidi" w:hAnsiTheme="minorBidi" w:cstheme="minorBidi"/>
          <w:color w:val="000000"/>
          <w:sz w:val="19"/>
          <w:szCs w:val="19"/>
        </w:rPr>
        <w:t>Artículo</w:t>
      </w:r>
      <w:proofErr w:type="gramEnd"/>
      <w:r w:rsidRPr="00A105C2">
        <w:rPr>
          <w:rFonts w:asciiTheme="minorBidi" w:hAnsiTheme="minorBidi" w:cstheme="minorBidi"/>
          <w:color w:val="000000"/>
          <w:sz w:val="19"/>
          <w:szCs w:val="19"/>
        </w:rPr>
        <w:t xml:space="preserve"> 40. Del contenido del contrato estatal. Las estipulaciones de los contratos serán las </w:t>
      </w:r>
      <w:proofErr w:type="gramStart"/>
      <w:r w:rsidRPr="00A105C2">
        <w:rPr>
          <w:rFonts w:asciiTheme="minorBidi" w:hAnsiTheme="minorBidi" w:cstheme="minorBidi"/>
          <w:color w:val="000000"/>
          <w:sz w:val="19"/>
          <w:szCs w:val="19"/>
        </w:rPr>
        <w:t>que</w:t>
      </w:r>
      <w:proofErr w:type="gramEnd"/>
      <w:r w:rsidRPr="00A105C2">
        <w:rPr>
          <w:rFonts w:asciiTheme="minorBidi" w:hAnsiTheme="minorBidi" w:cstheme="minorBidi"/>
          <w:color w:val="000000"/>
          <w:sz w:val="19"/>
          <w:szCs w:val="19"/>
        </w:rPr>
        <w:t xml:space="preserve"> de acuerdo con las normas civiles, comerciales y las previstas en esta ley, correspondan a su esencia y naturaleza. </w:t>
      </w:r>
    </w:p>
    <w:p w:rsidRPr="00A105C2" w:rsidR="00AA07F0" w:rsidP="005E2B5A" w:rsidRDefault="00AA07F0" w14:paraId="568202EE" w14:textId="77777777">
      <w:pPr>
        <w:ind w:firstLine="709"/>
        <w:jc w:val="both"/>
        <w:rPr>
          <w:rFonts w:asciiTheme="minorBidi" w:hAnsiTheme="minorBidi" w:cstheme="minorBidi"/>
          <w:color w:val="000000"/>
          <w:sz w:val="19"/>
          <w:szCs w:val="19"/>
          <w:lang w:eastAsia="es-CO"/>
        </w:rPr>
      </w:pPr>
      <w:r w:rsidRPr="00A105C2">
        <w:rPr>
          <w:rFonts w:asciiTheme="minorBidi" w:hAnsiTheme="minorBidi" w:cstheme="minorBidi"/>
          <w:color w:val="000000"/>
          <w:sz w:val="19"/>
          <w:szCs w:val="19"/>
          <w:lang w:eastAsia="es-CO"/>
        </w:rPr>
        <w:t>  </w:t>
      </w:r>
      <w:r w:rsidRPr="00A105C2">
        <w:rPr>
          <w:rFonts w:asciiTheme="minorBidi" w:hAnsiTheme="minorBidi" w:cstheme="minorBidi"/>
          <w:color w:val="000000"/>
          <w:sz w:val="19"/>
          <w:szCs w:val="19"/>
          <w:lang w:eastAsia="es-CO"/>
        </w:rPr>
        <w:tab/>
      </w:r>
      <w:proofErr w:type="gramStart"/>
      <w:r w:rsidRPr="00A105C2">
        <w:rPr>
          <w:rFonts w:asciiTheme="minorBidi" w:hAnsiTheme="minorBidi" w:cstheme="minorBidi"/>
          <w:color w:val="000000"/>
          <w:sz w:val="19"/>
          <w:szCs w:val="19"/>
          <w:lang w:eastAsia="es-CO"/>
        </w:rPr>
        <w:t>»Las</w:t>
      </w:r>
      <w:proofErr w:type="gramEnd"/>
      <w:r w:rsidRPr="00A105C2">
        <w:rPr>
          <w:rFonts w:asciiTheme="minorBidi" w:hAnsiTheme="minorBidi" w:cstheme="minorBidi"/>
          <w:color w:val="000000"/>
          <w:sz w:val="19"/>
          <w:szCs w:val="19"/>
          <w:lang w:eastAsia="es-CO"/>
        </w:rPr>
        <w:t xml:space="preserve"> entidades podrán celebrar los contratos y acuerdos que permitan la autonomía de la voluntad y requieran el cumplimiento de los fines estatales. </w:t>
      </w:r>
    </w:p>
    <w:p w:rsidRPr="00A105C2" w:rsidR="00AA07F0" w:rsidP="005E2B5A" w:rsidRDefault="00AA07F0" w14:paraId="54B74AE3" w14:textId="77777777">
      <w:pPr>
        <w:ind w:firstLine="709"/>
        <w:jc w:val="both"/>
        <w:rPr>
          <w:rFonts w:asciiTheme="minorBidi" w:hAnsiTheme="minorBidi" w:cstheme="minorBidi"/>
          <w:color w:val="000000"/>
          <w:sz w:val="19"/>
          <w:szCs w:val="19"/>
          <w:lang w:eastAsia="es-CO"/>
        </w:rPr>
      </w:pPr>
      <w:r w:rsidRPr="00A105C2">
        <w:rPr>
          <w:rFonts w:asciiTheme="minorBidi" w:hAnsiTheme="minorBidi" w:cstheme="minorBidi"/>
          <w:color w:val="000000"/>
          <w:sz w:val="19"/>
          <w:szCs w:val="19"/>
          <w:lang w:eastAsia="es-CO"/>
        </w:rPr>
        <w:t xml:space="preserve">   </w:t>
      </w:r>
      <w:r w:rsidRPr="00A105C2">
        <w:rPr>
          <w:rFonts w:asciiTheme="minorBidi" w:hAnsiTheme="minorBidi" w:cstheme="minorBidi"/>
          <w:color w:val="000000"/>
          <w:sz w:val="19"/>
          <w:szCs w:val="19"/>
          <w:lang w:eastAsia="es-CO"/>
        </w:rPr>
        <w:tab/>
      </w:r>
      <w:proofErr w:type="gramStart"/>
      <w:r w:rsidRPr="00A105C2">
        <w:rPr>
          <w:rFonts w:asciiTheme="minorBidi" w:hAnsiTheme="minorBidi" w:cstheme="minorBidi"/>
          <w:color w:val="000000"/>
          <w:sz w:val="19"/>
          <w:szCs w:val="19"/>
          <w:lang w:eastAsia="es-CO"/>
        </w:rPr>
        <w:t>»En</w:t>
      </w:r>
      <w:proofErr w:type="gramEnd"/>
      <w:r w:rsidRPr="00A105C2">
        <w:rPr>
          <w:rFonts w:asciiTheme="minorBidi" w:hAnsiTheme="minorBidi" w:cstheme="minorBidi"/>
          <w:color w:val="000000"/>
          <w:sz w:val="19"/>
          <w:szCs w:val="19"/>
          <w:lang w:eastAsia="es-CO"/>
        </w:rPr>
        <w:t xml:space="preserve">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rsidRPr="005E2B5A" w:rsidR="00AA07F0" w:rsidP="005E2B5A" w:rsidRDefault="00AA07F0" w14:paraId="7D5BCDF5" w14:textId="1793D010">
      <w:pPr>
        <w:ind w:firstLine="709"/>
        <w:jc w:val="both"/>
        <w:rPr>
          <w:rFonts w:asciiTheme="minorBidi" w:hAnsiTheme="minorBidi" w:cstheme="minorBidi"/>
          <w:color w:val="000000"/>
          <w:sz w:val="19"/>
          <w:szCs w:val="19"/>
          <w:lang w:eastAsia="es-CO"/>
        </w:rPr>
      </w:pPr>
      <w:r w:rsidRPr="00A105C2">
        <w:rPr>
          <w:rFonts w:asciiTheme="minorBidi" w:hAnsiTheme="minorBidi" w:cstheme="minorBidi"/>
          <w:color w:val="000000"/>
          <w:sz w:val="19"/>
          <w:szCs w:val="19"/>
          <w:lang w:eastAsia="es-CO"/>
        </w:rPr>
        <w:t>  </w:t>
      </w:r>
      <w:r w:rsidRPr="00A105C2">
        <w:rPr>
          <w:rFonts w:asciiTheme="minorBidi" w:hAnsiTheme="minorBidi" w:cstheme="minorBidi"/>
          <w:color w:val="000000"/>
          <w:sz w:val="19"/>
          <w:szCs w:val="19"/>
          <w:lang w:eastAsia="es-CO"/>
        </w:rPr>
        <w:tab/>
      </w:r>
      <w:proofErr w:type="gramStart"/>
      <w:r w:rsidRPr="00A105C2">
        <w:rPr>
          <w:rFonts w:asciiTheme="minorBidi" w:hAnsiTheme="minorBidi" w:cstheme="minorBidi"/>
          <w:color w:val="000000"/>
          <w:sz w:val="19"/>
          <w:szCs w:val="19"/>
          <w:lang w:eastAsia="es-CO"/>
        </w:rPr>
        <w:t>»En</w:t>
      </w:r>
      <w:proofErr w:type="gramEnd"/>
      <w:r w:rsidRPr="00A105C2">
        <w:rPr>
          <w:rFonts w:asciiTheme="minorBidi" w:hAnsiTheme="minorBidi" w:cstheme="minorBidi"/>
          <w:color w:val="000000"/>
          <w:sz w:val="19"/>
          <w:szCs w:val="19"/>
          <w:lang w:eastAsia="es-CO"/>
        </w:rPr>
        <w:t xml:space="preserve"> los contratos de empréstito o cualquier otra forma de financiación de organismos multilaterales, podrán incluirse las previsiones y particularidades contempladas en los reglamentos de tales entidades, que no sean contrarias a la Constitución o a la ley […]». </w:t>
      </w:r>
    </w:p>
  </w:footnote>
  <w:footnote w:id="60">
    <w:p w:rsidRPr="00FD7DA9" w:rsidR="0053584B" w:rsidP="00FD7DA9" w:rsidRDefault="0053584B" w14:paraId="4896357E" w14:textId="15B1BCF7">
      <w:pPr>
        <w:pStyle w:val="Textonotapie"/>
        <w:ind w:firstLine="708"/>
        <w:jc w:val="both"/>
        <w:rPr>
          <w:rFonts w:asciiTheme="minorBidi" w:hAnsiTheme="minorBidi"/>
          <w:sz w:val="19"/>
          <w:szCs w:val="19"/>
        </w:rPr>
      </w:pPr>
      <w:r w:rsidRPr="00FD7DA9">
        <w:rPr>
          <w:rStyle w:val="Refdenotaalpie"/>
          <w:rFonts w:asciiTheme="minorBidi" w:hAnsiTheme="minorBidi"/>
          <w:sz w:val="19"/>
          <w:szCs w:val="19"/>
        </w:rPr>
        <w:footnoteRef/>
      </w:r>
      <w:r w:rsidRPr="00FD7DA9">
        <w:rPr>
          <w:rFonts w:asciiTheme="minorBidi" w:hAnsiTheme="minorBidi"/>
          <w:sz w:val="19"/>
          <w:szCs w:val="19"/>
        </w:rPr>
        <w:t xml:space="preserve"> </w:t>
      </w:r>
      <w:r w:rsidRPr="00A105C2">
        <w:rPr>
          <w:rFonts w:asciiTheme="minorBidi" w:hAnsiTheme="minorBidi"/>
          <w:sz w:val="19"/>
          <w:szCs w:val="19"/>
        </w:rPr>
        <w:t xml:space="preserve">Cfr. </w:t>
      </w:r>
      <w:hyperlink w:history="1" r:id="rId1">
        <w:r w:rsidRPr="00A105C2" w:rsidR="006E77D3">
          <w:rPr>
            <w:rStyle w:val="Hipervnculo"/>
            <w:rFonts w:asciiTheme="minorBidi" w:hAnsiTheme="minorBidi"/>
            <w:sz w:val="19"/>
            <w:szCs w:val="19"/>
          </w:rPr>
          <w:t>https://www.colombiacompra.gov.co/sites/cce_public/files/cce_circulares/circular_externa_002_2022.pdf</w:t>
        </w:r>
      </w:hyperlink>
      <w:r w:rsidRPr="00A105C2" w:rsidR="006E77D3">
        <w:rPr>
          <w:rFonts w:asciiTheme="minorBidi" w:hAnsiTheme="minorBidi"/>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87886" w:rsidRDefault="00387886" w14:paraId="71CA2914" w14:textId="77777777">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6C16A1"/>
    <w:multiLevelType w:val="hybridMultilevel"/>
    <w:tmpl w:val="1AB4BA0C"/>
    <w:lvl w:ilvl="0" w:tplc="A24CC23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3235E01"/>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3ECA0A6E"/>
    <w:multiLevelType w:val="multilevel"/>
    <w:tmpl w:val="E68E61D6"/>
    <w:lvl w:ilvl="0">
      <w:start w:val="2"/>
      <w:numFmt w:val="decimal"/>
      <w:lvlText w:val="%1."/>
      <w:lvlJc w:val="left"/>
      <w:pPr>
        <w:ind w:left="72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28068A8"/>
    <w:multiLevelType w:val="hybridMultilevel"/>
    <w:tmpl w:val="B308C2F4"/>
    <w:lvl w:ilvl="0" w:tplc="A4889B9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6C94B5D"/>
    <w:multiLevelType w:val="multilevel"/>
    <w:tmpl w:val="ECDAF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4A487F7B"/>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563010D"/>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55EA2989"/>
    <w:multiLevelType w:val="hybridMultilevel"/>
    <w:tmpl w:val="AF48CE06"/>
    <w:lvl w:ilvl="0" w:tplc="72BAB26C">
      <w:start w:val="1"/>
      <w:numFmt w:val="lowerRoman"/>
      <w:lvlText w:val="%1)"/>
      <w:lvlJc w:val="left"/>
      <w:pPr>
        <w:ind w:left="1080" w:hanging="720"/>
      </w:pPr>
      <w:rPr>
        <w:rFonts w:ascii="Arial" w:hAnsi="Arial" w:eastAsia="Calibri"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13F58"/>
    <w:multiLevelType w:val="hybridMultilevel"/>
    <w:tmpl w:val="AE4637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5D7A51E5"/>
    <w:multiLevelType w:val="hybridMultilevel"/>
    <w:tmpl w:val="AF48CE06"/>
    <w:lvl w:ilvl="0" w:tplc="72BAB26C">
      <w:start w:val="1"/>
      <w:numFmt w:val="lowerRoman"/>
      <w:lvlText w:val="%1)"/>
      <w:lvlJc w:val="left"/>
      <w:pPr>
        <w:ind w:left="1080" w:hanging="720"/>
      </w:pPr>
      <w:rPr>
        <w:rFonts w:ascii="Arial" w:hAnsi="Arial" w:eastAsia="Calibri"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6" w15:restartNumberingAfterBreak="0">
    <w:nsid w:val="67032B02"/>
    <w:multiLevelType w:val="hybridMultilevel"/>
    <w:tmpl w:val="593E1724"/>
    <w:lvl w:ilvl="0" w:tplc="080A0001">
      <w:start w:val="1"/>
      <w:numFmt w:val="bullet"/>
      <w:lvlText w:val=""/>
      <w:lvlJc w:val="left"/>
      <w:pPr>
        <w:ind w:left="1429" w:hanging="360"/>
      </w:pPr>
      <w:rPr>
        <w:rFonts w:hint="default" w:ascii="Symbol" w:hAnsi="Symbol"/>
      </w:rPr>
    </w:lvl>
    <w:lvl w:ilvl="1" w:tplc="080A0003" w:tentative="1">
      <w:start w:val="1"/>
      <w:numFmt w:val="bullet"/>
      <w:lvlText w:val="o"/>
      <w:lvlJc w:val="left"/>
      <w:pPr>
        <w:ind w:left="2149" w:hanging="360"/>
      </w:pPr>
      <w:rPr>
        <w:rFonts w:hint="default" w:ascii="Courier New" w:hAnsi="Courier New" w:cs="Courier New"/>
      </w:rPr>
    </w:lvl>
    <w:lvl w:ilvl="2" w:tplc="080A0005" w:tentative="1">
      <w:start w:val="1"/>
      <w:numFmt w:val="bullet"/>
      <w:lvlText w:val=""/>
      <w:lvlJc w:val="left"/>
      <w:pPr>
        <w:ind w:left="2869" w:hanging="360"/>
      </w:pPr>
      <w:rPr>
        <w:rFonts w:hint="default" w:ascii="Wingdings" w:hAnsi="Wingdings"/>
      </w:rPr>
    </w:lvl>
    <w:lvl w:ilvl="3" w:tplc="080A0001" w:tentative="1">
      <w:start w:val="1"/>
      <w:numFmt w:val="bullet"/>
      <w:lvlText w:val=""/>
      <w:lvlJc w:val="left"/>
      <w:pPr>
        <w:ind w:left="3589" w:hanging="360"/>
      </w:pPr>
      <w:rPr>
        <w:rFonts w:hint="default" w:ascii="Symbol" w:hAnsi="Symbol"/>
      </w:rPr>
    </w:lvl>
    <w:lvl w:ilvl="4" w:tplc="080A0003" w:tentative="1">
      <w:start w:val="1"/>
      <w:numFmt w:val="bullet"/>
      <w:lvlText w:val="o"/>
      <w:lvlJc w:val="left"/>
      <w:pPr>
        <w:ind w:left="4309" w:hanging="360"/>
      </w:pPr>
      <w:rPr>
        <w:rFonts w:hint="default" w:ascii="Courier New" w:hAnsi="Courier New" w:cs="Courier New"/>
      </w:rPr>
    </w:lvl>
    <w:lvl w:ilvl="5" w:tplc="080A0005" w:tentative="1">
      <w:start w:val="1"/>
      <w:numFmt w:val="bullet"/>
      <w:lvlText w:val=""/>
      <w:lvlJc w:val="left"/>
      <w:pPr>
        <w:ind w:left="5029" w:hanging="360"/>
      </w:pPr>
      <w:rPr>
        <w:rFonts w:hint="default" w:ascii="Wingdings" w:hAnsi="Wingdings"/>
      </w:rPr>
    </w:lvl>
    <w:lvl w:ilvl="6" w:tplc="080A0001" w:tentative="1">
      <w:start w:val="1"/>
      <w:numFmt w:val="bullet"/>
      <w:lvlText w:val=""/>
      <w:lvlJc w:val="left"/>
      <w:pPr>
        <w:ind w:left="5749" w:hanging="360"/>
      </w:pPr>
      <w:rPr>
        <w:rFonts w:hint="default" w:ascii="Symbol" w:hAnsi="Symbol"/>
      </w:rPr>
    </w:lvl>
    <w:lvl w:ilvl="7" w:tplc="080A0003" w:tentative="1">
      <w:start w:val="1"/>
      <w:numFmt w:val="bullet"/>
      <w:lvlText w:val="o"/>
      <w:lvlJc w:val="left"/>
      <w:pPr>
        <w:ind w:left="6469" w:hanging="360"/>
      </w:pPr>
      <w:rPr>
        <w:rFonts w:hint="default" w:ascii="Courier New" w:hAnsi="Courier New" w:cs="Courier New"/>
      </w:rPr>
    </w:lvl>
    <w:lvl w:ilvl="8" w:tplc="080A0005" w:tentative="1">
      <w:start w:val="1"/>
      <w:numFmt w:val="bullet"/>
      <w:lvlText w:val=""/>
      <w:lvlJc w:val="left"/>
      <w:pPr>
        <w:ind w:left="7189" w:hanging="360"/>
      </w:pPr>
      <w:rPr>
        <w:rFonts w:hint="default" w:ascii="Wingdings" w:hAnsi="Wingdings"/>
      </w:rPr>
    </w:lvl>
  </w:abstractNum>
  <w:abstractNum w:abstractNumId="17" w15:restartNumberingAfterBreak="0">
    <w:nsid w:val="6B41602F"/>
    <w:multiLevelType w:val="hybridMultilevel"/>
    <w:tmpl w:val="3BDE0786"/>
    <w:lvl w:ilvl="0" w:tplc="4956E6F8">
      <w:start w:val="1"/>
      <w:numFmt w:val="lowerRoman"/>
      <w:lvlText w:val="%1)"/>
      <w:lvlJc w:val="left"/>
      <w:pPr>
        <w:ind w:left="780" w:hanging="720"/>
      </w:pPr>
      <w:rPr>
        <w:rFonts w:hint="default" w:eastAsia="Calibri"/>
        <w:color w:val="000000" w:themeColor="text1"/>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8"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7FF76964"/>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83063455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5378922">
    <w:abstractNumId w:val="6"/>
  </w:num>
  <w:num w:numId="3" w16cid:durableId="1810435751">
    <w:abstractNumId w:val="18"/>
  </w:num>
  <w:num w:numId="4" w16cid:durableId="1805342076">
    <w:abstractNumId w:val="2"/>
  </w:num>
  <w:num w:numId="5" w16cid:durableId="1947418567">
    <w:abstractNumId w:val="13"/>
  </w:num>
  <w:num w:numId="6" w16cid:durableId="2066834494">
    <w:abstractNumId w:val="17"/>
  </w:num>
  <w:num w:numId="7" w16cid:durableId="1144808675">
    <w:abstractNumId w:val="5"/>
  </w:num>
  <w:num w:numId="8" w16cid:durableId="1635940604">
    <w:abstractNumId w:val="4"/>
  </w:num>
  <w:num w:numId="9" w16cid:durableId="1612277214">
    <w:abstractNumId w:val="1"/>
  </w:num>
  <w:num w:numId="10" w16cid:durableId="764347783">
    <w:abstractNumId w:val="7"/>
  </w:num>
  <w:num w:numId="11" w16cid:durableId="1968537039">
    <w:abstractNumId w:val="11"/>
  </w:num>
  <w:num w:numId="12" w16cid:durableId="54202014">
    <w:abstractNumId w:val="16"/>
  </w:num>
  <w:num w:numId="13" w16cid:durableId="258371988">
    <w:abstractNumId w:val="15"/>
  </w:num>
  <w:num w:numId="14" w16cid:durableId="1470896197">
    <w:abstractNumId w:val="10"/>
  </w:num>
  <w:num w:numId="15" w16cid:durableId="395591268">
    <w:abstractNumId w:val="19"/>
  </w:num>
  <w:num w:numId="16" w16cid:durableId="1908493591">
    <w:abstractNumId w:val="14"/>
  </w:num>
  <w:num w:numId="17" w16cid:durableId="1528249138">
    <w:abstractNumId w:val="3"/>
  </w:num>
  <w:num w:numId="18" w16cid:durableId="1459101519">
    <w:abstractNumId w:val="9"/>
  </w:num>
  <w:num w:numId="19" w16cid:durableId="155650667">
    <w:abstractNumId w:val="12"/>
  </w:num>
  <w:num w:numId="20" w16cid:durableId="1896355415">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3073"/>
    <w:rsid w:val="00006860"/>
    <w:rsid w:val="000116D4"/>
    <w:rsid w:val="00015425"/>
    <w:rsid w:val="0001563A"/>
    <w:rsid w:val="00026C88"/>
    <w:rsid w:val="00027102"/>
    <w:rsid w:val="0003185D"/>
    <w:rsid w:val="0003267E"/>
    <w:rsid w:val="00037FF1"/>
    <w:rsid w:val="00043D96"/>
    <w:rsid w:val="000537B2"/>
    <w:rsid w:val="000539C8"/>
    <w:rsid w:val="000656E8"/>
    <w:rsid w:val="00065BC3"/>
    <w:rsid w:val="00072333"/>
    <w:rsid w:val="000755E1"/>
    <w:rsid w:val="00075CCA"/>
    <w:rsid w:val="000848F8"/>
    <w:rsid w:val="0008606A"/>
    <w:rsid w:val="00094B59"/>
    <w:rsid w:val="000A5E3D"/>
    <w:rsid w:val="000A615D"/>
    <w:rsid w:val="000A787A"/>
    <w:rsid w:val="000B1B93"/>
    <w:rsid w:val="000B25FC"/>
    <w:rsid w:val="000B2966"/>
    <w:rsid w:val="000B3835"/>
    <w:rsid w:val="000B58B4"/>
    <w:rsid w:val="000B627E"/>
    <w:rsid w:val="000B6A48"/>
    <w:rsid w:val="000C5E8B"/>
    <w:rsid w:val="000C7645"/>
    <w:rsid w:val="000D153E"/>
    <w:rsid w:val="000D7F51"/>
    <w:rsid w:val="000E49B9"/>
    <w:rsid w:val="000E75AF"/>
    <w:rsid w:val="000F1A28"/>
    <w:rsid w:val="000F6DB4"/>
    <w:rsid w:val="00103518"/>
    <w:rsid w:val="00112852"/>
    <w:rsid w:val="001130E1"/>
    <w:rsid w:val="001140A9"/>
    <w:rsid w:val="00114965"/>
    <w:rsid w:val="00114C32"/>
    <w:rsid w:val="0011553A"/>
    <w:rsid w:val="001177A4"/>
    <w:rsid w:val="001254A3"/>
    <w:rsid w:val="00126797"/>
    <w:rsid w:val="00133CEB"/>
    <w:rsid w:val="00133F7A"/>
    <w:rsid w:val="001358D6"/>
    <w:rsid w:val="00135CEA"/>
    <w:rsid w:val="00143D14"/>
    <w:rsid w:val="00144F0E"/>
    <w:rsid w:val="00145A68"/>
    <w:rsid w:val="0015117A"/>
    <w:rsid w:val="00154CB4"/>
    <w:rsid w:val="001561B2"/>
    <w:rsid w:val="00161966"/>
    <w:rsid w:val="00162636"/>
    <w:rsid w:val="00162EA3"/>
    <w:rsid w:val="00172A12"/>
    <w:rsid w:val="001766B3"/>
    <w:rsid w:val="00180508"/>
    <w:rsid w:val="00181682"/>
    <w:rsid w:val="00182F8C"/>
    <w:rsid w:val="00185814"/>
    <w:rsid w:val="00187E9A"/>
    <w:rsid w:val="001900DE"/>
    <w:rsid w:val="00191793"/>
    <w:rsid w:val="0019191F"/>
    <w:rsid w:val="00195596"/>
    <w:rsid w:val="0019728C"/>
    <w:rsid w:val="001A13E7"/>
    <w:rsid w:val="001A2940"/>
    <w:rsid w:val="001A5975"/>
    <w:rsid w:val="001B1773"/>
    <w:rsid w:val="001B38AE"/>
    <w:rsid w:val="001B4CCC"/>
    <w:rsid w:val="001C14E1"/>
    <w:rsid w:val="001C77E0"/>
    <w:rsid w:val="001D2275"/>
    <w:rsid w:val="001E2319"/>
    <w:rsid w:val="001E2E1C"/>
    <w:rsid w:val="001E332A"/>
    <w:rsid w:val="001E3A20"/>
    <w:rsid w:val="001E6EA0"/>
    <w:rsid w:val="001E70FF"/>
    <w:rsid w:val="001E7BC4"/>
    <w:rsid w:val="001F2332"/>
    <w:rsid w:val="001F2B56"/>
    <w:rsid w:val="001F52C0"/>
    <w:rsid w:val="001F5D6E"/>
    <w:rsid w:val="00200681"/>
    <w:rsid w:val="00201DB9"/>
    <w:rsid w:val="00202668"/>
    <w:rsid w:val="002039F2"/>
    <w:rsid w:val="002057A4"/>
    <w:rsid w:val="00205FFA"/>
    <w:rsid w:val="00206C70"/>
    <w:rsid w:val="00214AAC"/>
    <w:rsid w:val="00214E9F"/>
    <w:rsid w:val="0021526E"/>
    <w:rsid w:val="00216826"/>
    <w:rsid w:val="00222032"/>
    <w:rsid w:val="00223F65"/>
    <w:rsid w:val="00230D85"/>
    <w:rsid w:val="00232F61"/>
    <w:rsid w:val="00235E08"/>
    <w:rsid w:val="00242223"/>
    <w:rsid w:val="00242621"/>
    <w:rsid w:val="002467AD"/>
    <w:rsid w:val="00255CC5"/>
    <w:rsid w:val="00256784"/>
    <w:rsid w:val="00256962"/>
    <w:rsid w:val="0026060F"/>
    <w:rsid w:val="0026111C"/>
    <w:rsid w:val="00262DCF"/>
    <w:rsid w:val="00263999"/>
    <w:rsid w:val="0026403F"/>
    <w:rsid w:val="002641CE"/>
    <w:rsid w:val="002656CE"/>
    <w:rsid w:val="00265A2D"/>
    <w:rsid w:val="00265C32"/>
    <w:rsid w:val="002663A9"/>
    <w:rsid w:val="0026728E"/>
    <w:rsid w:val="0026761A"/>
    <w:rsid w:val="002676B8"/>
    <w:rsid w:val="002762D1"/>
    <w:rsid w:val="00282D3F"/>
    <w:rsid w:val="00285F99"/>
    <w:rsid w:val="00286B8C"/>
    <w:rsid w:val="002A5C76"/>
    <w:rsid w:val="002A6C0C"/>
    <w:rsid w:val="002A75EC"/>
    <w:rsid w:val="002B0FCE"/>
    <w:rsid w:val="002B19F5"/>
    <w:rsid w:val="002B1E14"/>
    <w:rsid w:val="002B560A"/>
    <w:rsid w:val="002C1171"/>
    <w:rsid w:val="002C1CBF"/>
    <w:rsid w:val="002C5401"/>
    <w:rsid w:val="002E0303"/>
    <w:rsid w:val="002E0D15"/>
    <w:rsid w:val="002E4380"/>
    <w:rsid w:val="002F0981"/>
    <w:rsid w:val="002F0E3F"/>
    <w:rsid w:val="002F1597"/>
    <w:rsid w:val="002F252B"/>
    <w:rsid w:val="002F4E5F"/>
    <w:rsid w:val="003001F2"/>
    <w:rsid w:val="00300B5B"/>
    <w:rsid w:val="00302A8F"/>
    <w:rsid w:val="0030436A"/>
    <w:rsid w:val="00311935"/>
    <w:rsid w:val="00311AFC"/>
    <w:rsid w:val="0031456F"/>
    <w:rsid w:val="00316753"/>
    <w:rsid w:val="003233A2"/>
    <w:rsid w:val="003239DF"/>
    <w:rsid w:val="00324FA5"/>
    <w:rsid w:val="00327910"/>
    <w:rsid w:val="00332594"/>
    <w:rsid w:val="00336AC6"/>
    <w:rsid w:val="00337527"/>
    <w:rsid w:val="00337876"/>
    <w:rsid w:val="0034413B"/>
    <w:rsid w:val="00345C91"/>
    <w:rsid w:val="00345D8E"/>
    <w:rsid w:val="00345FBC"/>
    <w:rsid w:val="003513C1"/>
    <w:rsid w:val="00351FDE"/>
    <w:rsid w:val="00353024"/>
    <w:rsid w:val="00353092"/>
    <w:rsid w:val="00353EAD"/>
    <w:rsid w:val="003554A4"/>
    <w:rsid w:val="0035732E"/>
    <w:rsid w:val="00363544"/>
    <w:rsid w:val="00365D3A"/>
    <w:rsid w:val="00366241"/>
    <w:rsid w:val="00367F56"/>
    <w:rsid w:val="0037075E"/>
    <w:rsid w:val="0037178A"/>
    <w:rsid w:val="00371834"/>
    <w:rsid w:val="003737DB"/>
    <w:rsid w:val="00373F13"/>
    <w:rsid w:val="003800DC"/>
    <w:rsid w:val="00380F1A"/>
    <w:rsid w:val="00384FE5"/>
    <w:rsid w:val="00387886"/>
    <w:rsid w:val="00391044"/>
    <w:rsid w:val="00392411"/>
    <w:rsid w:val="003947BC"/>
    <w:rsid w:val="00395AE0"/>
    <w:rsid w:val="00395D87"/>
    <w:rsid w:val="00395DE8"/>
    <w:rsid w:val="00397000"/>
    <w:rsid w:val="003A0B99"/>
    <w:rsid w:val="003A2480"/>
    <w:rsid w:val="003A5C98"/>
    <w:rsid w:val="003B16EC"/>
    <w:rsid w:val="003B1CFE"/>
    <w:rsid w:val="003B4052"/>
    <w:rsid w:val="003B7F22"/>
    <w:rsid w:val="003C1F96"/>
    <w:rsid w:val="003C5DD6"/>
    <w:rsid w:val="003D09BA"/>
    <w:rsid w:val="003D22F3"/>
    <w:rsid w:val="003D67E2"/>
    <w:rsid w:val="003E248F"/>
    <w:rsid w:val="003E2A34"/>
    <w:rsid w:val="003E3E01"/>
    <w:rsid w:val="003E5A91"/>
    <w:rsid w:val="003E7318"/>
    <w:rsid w:val="003F0706"/>
    <w:rsid w:val="003F461C"/>
    <w:rsid w:val="003F47DC"/>
    <w:rsid w:val="003F60F2"/>
    <w:rsid w:val="003F7FB1"/>
    <w:rsid w:val="00403054"/>
    <w:rsid w:val="00404CAC"/>
    <w:rsid w:val="004053CD"/>
    <w:rsid w:val="0041470E"/>
    <w:rsid w:val="00415C7B"/>
    <w:rsid w:val="00416435"/>
    <w:rsid w:val="004164FC"/>
    <w:rsid w:val="00416853"/>
    <w:rsid w:val="00420492"/>
    <w:rsid w:val="00421457"/>
    <w:rsid w:val="00427B0F"/>
    <w:rsid w:val="00430DF9"/>
    <w:rsid w:val="00431D72"/>
    <w:rsid w:val="00444267"/>
    <w:rsid w:val="004446F2"/>
    <w:rsid w:val="00445D68"/>
    <w:rsid w:val="00447389"/>
    <w:rsid w:val="00453164"/>
    <w:rsid w:val="004537A5"/>
    <w:rsid w:val="00454997"/>
    <w:rsid w:val="00457367"/>
    <w:rsid w:val="00462FEA"/>
    <w:rsid w:val="004638FB"/>
    <w:rsid w:val="004710AE"/>
    <w:rsid w:val="00471C67"/>
    <w:rsid w:val="00475760"/>
    <w:rsid w:val="00475DD2"/>
    <w:rsid w:val="00476147"/>
    <w:rsid w:val="00476544"/>
    <w:rsid w:val="0048044A"/>
    <w:rsid w:val="0048469A"/>
    <w:rsid w:val="004853AF"/>
    <w:rsid w:val="00487E32"/>
    <w:rsid w:val="004903B7"/>
    <w:rsid w:val="00491FEA"/>
    <w:rsid w:val="004923EE"/>
    <w:rsid w:val="00495F2E"/>
    <w:rsid w:val="004A1171"/>
    <w:rsid w:val="004A648F"/>
    <w:rsid w:val="004A6F6C"/>
    <w:rsid w:val="004B28C4"/>
    <w:rsid w:val="004B3968"/>
    <w:rsid w:val="004B7107"/>
    <w:rsid w:val="004C0557"/>
    <w:rsid w:val="004C119D"/>
    <w:rsid w:val="004C2B82"/>
    <w:rsid w:val="004C6ABD"/>
    <w:rsid w:val="004D3AE6"/>
    <w:rsid w:val="004D5F3A"/>
    <w:rsid w:val="004D7DE2"/>
    <w:rsid w:val="004E4A1E"/>
    <w:rsid w:val="004E7410"/>
    <w:rsid w:val="004F2E83"/>
    <w:rsid w:val="004F3071"/>
    <w:rsid w:val="005008E6"/>
    <w:rsid w:val="00501832"/>
    <w:rsid w:val="00502061"/>
    <w:rsid w:val="0050474A"/>
    <w:rsid w:val="005156CC"/>
    <w:rsid w:val="00521FC6"/>
    <w:rsid w:val="0052201D"/>
    <w:rsid w:val="00524B49"/>
    <w:rsid w:val="005303D7"/>
    <w:rsid w:val="00531E6B"/>
    <w:rsid w:val="005342DB"/>
    <w:rsid w:val="0053584B"/>
    <w:rsid w:val="00542EA1"/>
    <w:rsid w:val="00542F35"/>
    <w:rsid w:val="00547A9E"/>
    <w:rsid w:val="0055029E"/>
    <w:rsid w:val="00554D93"/>
    <w:rsid w:val="0055693F"/>
    <w:rsid w:val="0055708C"/>
    <w:rsid w:val="00563519"/>
    <w:rsid w:val="005668C1"/>
    <w:rsid w:val="00570975"/>
    <w:rsid w:val="0057168B"/>
    <w:rsid w:val="00572216"/>
    <w:rsid w:val="00576D51"/>
    <w:rsid w:val="0058067E"/>
    <w:rsid w:val="00580A3F"/>
    <w:rsid w:val="00582063"/>
    <w:rsid w:val="0058238C"/>
    <w:rsid w:val="00586E39"/>
    <w:rsid w:val="00587130"/>
    <w:rsid w:val="00590F1E"/>
    <w:rsid w:val="00591EB1"/>
    <w:rsid w:val="005A4A1C"/>
    <w:rsid w:val="005A5EFD"/>
    <w:rsid w:val="005A6426"/>
    <w:rsid w:val="005B056E"/>
    <w:rsid w:val="005B14A6"/>
    <w:rsid w:val="005B3C1F"/>
    <w:rsid w:val="005B43DF"/>
    <w:rsid w:val="005B459A"/>
    <w:rsid w:val="005B6887"/>
    <w:rsid w:val="005B76C7"/>
    <w:rsid w:val="005C59AD"/>
    <w:rsid w:val="005D1C35"/>
    <w:rsid w:val="005D2BD3"/>
    <w:rsid w:val="005D2CAC"/>
    <w:rsid w:val="005D46D0"/>
    <w:rsid w:val="005D4FC8"/>
    <w:rsid w:val="005E1BD2"/>
    <w:rsid w:val="005E2B5A"/>
    <w:rsid w:val="005E481C"/>
    <w:rsid w:val="005E6311"/>
    <w:rsid w:val="005E66B0"/>
    <w:rsid w:val="005F03EA"/>
    <w:rsid w:val="005F04B8"/>
    <w:rsid w:val="005F1D9D"/>
    <w:rsid w:val="005F5767"/>
    <w:rsid w:val="0060242C"/>
    <w:rsid w:val="00606451"/>
    <w:rsid w:val="006065A9"/>
    <w:rsid w:val="006071B3"/>
    <w:rsid w:val="00610B6B"/>
    <w:rsid w:val="00611B99"/>
    <w:rsid w:val="0061648F"/>
    <w:rsid w:val="00616A91"/>
    <w:rsid w:val="006204EA"/>
    <w:rsid w:val="00623357"/>
    <w:rsid w:val="00623378"/>
    <w:rsid w:val="0063204C"/>
    <w:rsid w:val="006414FA"/>
    <w:rsid w:val="0064266B"/>
    <w:rsid w:val="00644800"/>
    <w:rsid w:val="00644ADB"/>
    <w:rsid w:val="006476F3"/>
    <w:rsid w:val="006543DC"/>
    <w:rsid w:val="00654F5E"/>
    <w:rsid w:val="0065647C"/>
    <w:rsid w:val="00662701"/>
    <w:rsid w:val="006663C2"/>
    <w:rsid w:val="00666A1B"/>
    <w:rsid w:val="00666F89"/>
    <w:rsid w:val="00667603"/>
    <w:rsid w:val="00667FCB"/>
    <w:rsid w:val="0067072C"/>
    <w:rsid w:val="006718A5"/>
    <w:rsid w:val="00673D4F"/>
    <w:rsid w:val="006748B1"/>
    <w:rsid w:val="006757CA"/>
    <w:rsid w:val="00676D9E"/>
    <w:rsid w:val="00682BB3"/>
    <w:rsid w:val="00687BDD"/>
    <w:rsid w:val="00694085"/>
    <w:rsid w:val="00695B76"/>
    <w:rsid w:val="006A5502"/>
    <w:rsid w:val="006A7670"/>
    <w:rsid w:val="006B04C0"/>
    <w:rsid w:val="006B39A6"/>
    <w:rsid w:val="006C0EA1"/>
    <w:rsid w:val="006C4F68"/>
    <w:rsid w:val="006C6C26"/>
    <w:rsid w:val="006D2C01"/>
    <w:rsid w:val="006D3DBD"/>
    <w:rsid w:val="006D40F6"/>
    <w:rsid w:val="006D5785"/>
    <w:rsid w:val="006D64B1"/>
    <w:rsid w:val="006D79CA"/>
    <w:rsid w:val="006E04B8"/>
    <w:rsid w:val="006E10FE"/>
    <w:rsid w:val="006E139B"/>
    <w:rsid w:val="006E59DE"/>
    <w:rsid w:val="006E75EC"/>
    <w:rsid w:val="006E77D3"/>
    <w:rsid w:val="006F61DB"/>
    <w:rsid w:val="00703E5A"/>
    <w:rsid w:val="00705A56"/>
    <w:rsid w:val="007101FB"/>
    <w:rsid w:val="007118B2"/>
    <w:rsid w:val="0072221E"/>
    <w:rsid w:val="00722764"/>
    <w:rsid w:val="0072339F"/>
    <w:rsid w:val="00723B7D"/>
    <w:rsid w:val="00725A00"/>
    <w:rsid w:val="007308F7"/>
    <w:rsid w:val="00734E9F"/>
    <w:rsid w:val="00742EDE"/>
    <w:rsid w:val="00745302"/>
    <w:rsid w:val="00746AE4"/>
    <w:rsid w:val="00752C7B"/>
    <w:rsid w:val="00754032"/>
    <w:rsid w:val="00756FD9"/>
    <w:rsid w:val="00757BE9"/>
    <w:rsid w:val="0076750F"/>
    <w:rsid w:val="007675C8"/>
    <w:rsid w:val="007702EC"/>
    <w:rsid w:val="00771C96"/>
    <w:rsid w:val="00773948"/>
    <w:rsid w:val="007758D6"/>
    <w:rsid w:val="00776374"/>
    <w:rsid w:val="007809A8"/>
    <w:rsid w:val="00781208"/>
    <w:rsid w:val="007820EF"/>
    <w:rsid w:val="007831D7"/>
    <w:rsid w:val="00783EBD"/>
    <w:rsid w:val="007845F7"/>
    <w:rsid w:val="007848E6"/>
    <w:rsid w:val="00784FEF"/>
    <w:rsid w:val="00786FC5"/>
    <w:rsid w:val="00790B72"/>
    <w:rsid w:val="0079242B"/>
    <w:rsid w:val="00792D90"/>
    <w:rsid w:val="00797637"/>
    <w:rsid w:val="007A0123"/>
    <w:rsid w:val="007A4AE6"/>
    <w:rsid w:val="007B12F6"/>
    <w:rsid w:val="007B1D87"/>
    <w:rsid w:val="007B2580"/>
    <w:rsid w:val="007B7A71"/>
    <w:rsid w:val="007C0E8C"/>
    <w:rsid w:val="007C12EC"/>
    <w:rsid w:val="007C574A"/>
    <w:rsid w:val="007C5E25"/>
    <w:rsid w:val="007D093F"/>
    <w:rsid w:val="007D3832"/>
    <w:rsid w:val="007D3894"/>
    <w:rsid w:val="007E42BC"/>
    <w:rsid w:val="007E5394"/>
    <w:rsid w:val="007F0419"/>
    <w:rsid w:val="007F1895"/>
    <w:rsid w:val="007F304E"/>
    <w:rsid w:val="007F3EEE"/>
    <w:rsid w:val="007F7A62"/>
    <w:rsid w:val="007F7C03"/>
    <w:rsid w:val="007F7C30"/>
    <w:rsid w:val="00802F76"/>
    <w:rsid w:val="0081181F"/>
    <w:rsid w:val="00811D01"/>
    <w:rsid w:val="008148A5"/>
    <w:rsid w:val="00817AF6"/>
    <w:rsid w:val="00820F88"/>
    <w:rsid w:val="00821431"/>
    <w:rsid w:val="00825F64"/>
    <w:rsid w:val="00827A2A"/>
    <w:rsid w:val="008312A3"/>
    <w:rsid w:val="00832293"/>
    <w:rsid w:val="00833D8C"/>
    <w:rsid w:val="00840B10"/>
    <w:rsid w:val="00842219"/>
    <w:rsid w:val="00843442"/>
    <w:rsid w:val="008439F5"/>
    <w:rsid w:val="00847BA2"/>
    <w:rsid w:val="0085230B"/>
    <w:rsid w:val="00854484"/>
    <w:rsid w:val="008569AB"/>
    <w:rsid w:val="00861714"/>
    <w:rsid w:val="00862027"/>
    <w:rsid w:val="008646F5"/>
    <w:rsid w:val="00875F7C"/>
    <w:rsid w:val="00880110"/>
    <w:rsid w:val="008855C4"/>
    <w:rsid w:val="00886F6F"/>
    <w:rsid w:val="008873A3"/>
    <w:rsid w:val="008959DE"/>
    <w:rsid w:val="00897109"/>
    <w:rsid w:val="008A3B3A"/>
    <w:rsid w:val="008A3C1D"/>
    <w:rsid w:val="008A51D3"/>
    <w:rsid w:val="008A78D4"/>
    <w:rsid w:val="008B0F46"/>
    <w:rsid w:val="008B52AD"/>
    <w:rsid w:val="008C1D06"/>
    <w:rsid w:val="008C3F91"/>
    <w:rsid w:val="008C425C"/>
    <w:rsid w:val="008C5B45"/>
    <w:rsid w:val="008D48DF"/>
    <w:rsid w:val="008D530D"/>
    <w:rsid w:val="008E1BFF"/>
    <w:rsid w:val="008E4666"/>
    <w:rsid w:val="008F398C"/>
    <w:rsid w:val="008F6437"/>
    <w:rsid w:val="008F67E1"/>
    <w:rsid w:val="009047B7"/>
    <w:rsid w:val="00912F8B"/>
    <w:rsid w:val="00913CB2"/>
    <w:rsid w:val="009166A5"/>
    <w:rsid w:val="0092171E"/>
    <w:rsid w:val="009223D9"/>
    <w:rsid w:val="0092607F"/>
    <w:rsid w:val="0093085B"/>
    <w:rsid w:val="00930FAE"/>
    <w:rsid w:val="009311DA"/>
    <w:rsid w:val="009332FC"/>
    <w:rsid w:val="00933453"/>
    <w:rsid w:val="00941B11"/>
    <w:rsid w:val="00945539"/>
    <w:rsid w:val="00947882"/>
    <w:rsid w:val="00947F41"/>
    <w:rsid w:val="00950372"/>
    <w:rsid w:val="009553CA"/>
    <w:rsid w:val="00960FD1"/>
    <w:rsid w:val="0096352F"/>
    <w:rsid w:val="00965D7F"/>
    <w:rsid w:val="00967273"/>
    <w:rsid w:val="00967EE9"/>
    <w:rsid w:val="00973FF7"/>
    <w:rsid w:val="0098230F"/>
    <w:rsid w:val="00987F4F"/>
    <w:rsid w:val="00996FAE"/>
    <w:rsid w:val="009A3A2B"/>
    <w:rsid w:val="009B0B5C"/>
    <w:rsid w:val="009B4319"/>
    <w:rsid w:val="009B586F"/>
    <w:rsid w:val="009D3E71"/>
    <w:rsid w:val="009D5279"/>
    <w:rsid w:val="009D7A61"/>
    <w:rsid w:val="009E36A9"/>
    <w:rsid w:val="009E52BF"/>
    <w:rsid w:val="009E643E"/>
    <w:rsid w:val="009F1B3C"/>
    <w:rsid w:val="00A012BF"/>
    <w:rsid w:val="00A01C24"/>
    <w:rsid w:val="00A105C2"/>
    <w:rsid w:val="00A10DEE"/>
    <w:rsid w:val="00A14E0E"/>
    <w:rsid w:val="00A21E65"/>
    <w:rsid w:val="00A2229B"/>
    <w:rsid w:val="00A23BDA"/>
    <w:rsid w:val="00A27246"/>
    <w:rsid w:val="00A30C0B"/>
    <w:rsid w:val="00A335C2"/>
    <w:rsid w:val="00A35546"/>
    <w:rsid w:val="00A373E3"/>
    <w:rsid w:val="00A3769A"/>
    <w:rsid w:val="00A4095E"/>
    <w:rsid w:val="00A4457D"/>
    <w:rsid w:val="00A5027F"/>
    <w:rsid w:val="00A5157B"/>
    <w:rsid w:val="00A51E80"/>
    <w:rsid w:val="00A5202C"/>
    <w:rsid w:val="00A53195"/>
    <w:rsid w:val="00A54E03"/>
    <w:rsid w:val="00A566D1"/>
    <w:rsid w:val="00A62354"/>
    <w:rsid w:val="00A63E92"/>
    <w:rsid w:val="00A70D58"/>
    <w:rsid w:val="00A71CEA"/>
    <w:rsid w:val="00A7611A"/>
    <w:rsid w:val="00A80425"/>
    <w:rsid w:val="00A860DE"/>
    <w:rsid w:val="00A9164B"/>
    <w:rsid w:val="00A9767A"/>
    <w:rsid w:val="00AA07F0"/>
    <w:rsid w:val="00AA2D55"/>
    <w:rsid w:val="00AA5749"/>
    <w:rsid w:val="00AB0071"/>
    <w:rsid w:val="00AB39E2"/>
    <w:rsid w:val="00AB3B0A"/>
    <w:rsid w:val="00AB5C1C"/>
    <w:rsid w:val="00AB5F17"/>
    <w:rsid w:val="00AB6125"/>
    <w:rsid w:val="00AB6245"/>
    <w:rsid w:val="00AB7044"/>
    <w:rsid w:val="00AC2212"/>
    <w:rsid w:val="00AC44CB"/>
    <w:rsid w:val="00AC7007"/>
    <w:rsid w:val="00AC7423"/>
    <w:rsid w:val="00AC7AE5"/>
    <w:rsid w:val="00AD4216"/>
    <w:rsid w:val="00AD61C2"/>
    <w:rsid w:val="00AE11B5"/>
    <w:rsid w:val="00AE2D37"/>
    <w:rsid w:val="00AE35EA"/>
    <w:rsid w:val="00AE4179"/>
    <w:rsid w:val="00AE69D7"/>
    <w:rsid w:val="00AF0F4E"/>
    <w:rsid w:val="00AF5F4D"/>
    <w:rsid w:val="00B02801"/>
    <w:rsid w:val="00B02D49"/>
    <w:rsid w:val="00B04C7A"/>
    <w:rsid w:val="00B06567"/>
    <w:rsid w:val="00B121C2"/>
    <w:rsid w:val="00B12AE8"/>
    <w:rsid w:val="00B12F0E"/>
    <w:rsid w:val="00B213D0"/>
    <w:rsid w:val="00B216C8"/>
    <w:rsid w:val="00B22933"/>
    <w:rsid w:val="00B2523E"/>
    <w:rsid w:val="00B315E0"/>
    <w:rsid w:val="00B31C5C"/>
    <w:rsid w:val="00B320E4"/>
    <w:rsid w:val="00B33E20"/>
    <w:rsid w:val="00B423F5"/>
    <w:rsid w:val="00B43119"/>
    <w:rsid w:val="00B432EB"/>
    <w:rsid w:val="00B4436B"/>
    <w:rsid w:val="00B52EF4"/>
    <w:rsid w:val="00B52F4A"/>
    <w:rsid w:val="00B54FF4"/>
    <w:rsid w:val="00B55679"/>
    <w:rsid w:val="00B5768A"/>
    <w:rsid w:val="00B6131E"/>
    <w:rsid w:val="00B6199E"/>
    <w:rsid w:val="00B651A5"/>
    <w:rsid w:val="00B7045A"/>
    <w:rsid w:val="00B70800"/>
    <w:rsid w:val="00B708EC"/>
    <w:rsid w:val="00B71711"/>
    <w:rsid w:val="00B72FB5"/>
    <w:rsid w:val="00B763B6"/>
    <w:rsid w:val="00B77A97"/>
    <w:rsid w:val="00B802A1"/>
    <w:rsid w:val="00B808EF"/>
    <w:rsid w:val="00B81037"/>
    <w:rsid w:val="00B81F3F"/>
    <w:rsid w:val="00B8750D"/>
    <w:rsid w:val="00B8757F"/>
    <w:rsid w:val="00B878A9"/>
    <w:rsid w:val="00B913DC"/>
    <w:rsid w:val="00B933DD"/>
    <w:rsid w:val="00B937CA"/>
    <w:rsid w:val="00B95DA5"/>
    <w:rsid w:val="00B96688"/>
    <w:rsid w:val="00BA084A"/>
    <w:rsid w:val="00BA0BD7"/>
    <w:rsid w:val="00BA3355"/>
    <w:rsid w:val="00BA3C72"/>
    <w:rsid w:val="00BA55C6"/>
    <w:rsid w:val="00BA75D3"/>
    <w:rsid w:val="00BA7F22"/>
    <w:rsid w:val="00BB05AC"/>
    <w:rsid w:val="00BB0927"/>
    <w:rsid w:val="00BB0D17"/>
    <w:rsid w:val="00BB20DF"/>
    <w:rsid w:val="00BB32FE"/>
    <w:rsid w:val="00BB51F3"/>
    <w:rsid w:val="00BB5C5D"/>
    <w:rsid w:val="00BB64BF"/>
    <w:rsid w:val="00BC0E2C"/>
    <w:rsid w:val="00BC0FB8"/>
    <w:rsid w:val="00BC1F98"/>
    <w:rsid w:val="00BC223D"/>
    <w:rsid w:val="00BC3923"/>
    <w:rsid w:val="00BC67D8"/>
    <w:rsid w:val="00BC69AA"/>
    <w:rsid w:val="00BC76D2"/>
    <w:rsid w:val="00BD1EE6"/>
    <w:rsid w:val="00BD2356"/>
    <w:rsid w:val="00BD5340"/>
    <w:rsid w:val="00BD6568"/>
    <w:rsid w:val="00BD77D8"/>
    <w:rsid w:val="00BF0F4C"/>
    <w:rsid w:val="00BF18D6"/>
    <w:rsid w:val="00BF4DD7"/>
    <w:rsid w:val="00BF6EEE"/>
    <w:rsid w:val="00BF7CAF"/>
    <w:rsid w:val="00C0043B"/>
    <w:rsid w:val="00C014D3"/>
    <w:rsid w:val="00C04044"/>
    <w:rsid w:val="00C05A79"/>
    <w:rsid w:val="00C05B06"/>
    <w:rsid w:val="00C1196F"/>
    <w:rsid w:val="00C12881"/>
    <w:rsid w:val="00C12CDF"/>
    <w:rsid w:val="00C12E90"/>
    <w:rsid w:val="00C13B13"/>
    <w:rsid w:val="00C15D6A"/>
    <w:rsid w:val="00C169EE"/>
    <w:rsid w:val="00C20307"/>
    <w:rsid w:val="00C203D6"/>
    <w:rsid w:val="00C24356"/>
    <w:rsid w:val="00C31E6B"/>
    <w:rsid w:val="00C33A69"/>
    <w:rsid w:val="00C33B62"/>
    <w:rsid w:val="00C35FD1"/>
    <w:rsid w:val="00C42F3A"/>
    <w:rsid w:val="00C453ED"/>
    <w:rsid w:val="00C47C47"/>
    <w:rsid w:val="00C47C9E"/>
    <w:rsid w:val="00C51CE6"/>
    <w:rsid w:val="00C54211"/>
    <w:rsid w:val="00C634E7"/>
    <w:rsid w:val="00C635D5"/>
    <w:rsid w:val="00C63956"/>
    <w:rsid w:val="00C63CEA"/>
    <w:rsid w:val="00C71ACE"/>
    <w:rsid w:val="00C72B17"/>
    <w:rsid w:val="00C84F90"/>
    <w:rsid w:val="00C85255"/>
    <w:rsid w:val="00C87984"/>
    <w:rsid w:val="00C87D18"/>
    <w:rsid w:val="00C9071B"/>
    <w:rsid w:val="00C9409E"/>
    <w:rsid w:val="00C9429E"/>
    <w:rsid w:val="00CA0119"/>
    <w:rsid w:val="00CA5B8C"/>
    <w:rsid w:val="00CB1CF6"/>
    <w:rsid w:val="00CB2545"/>
    <w:rsid w:val="00CB41FA"/>
    <w:rsid w:val="00CC5A43"/>
    <w:rsid w:val="00CC5AFE"/>
    <w:rsid w:val="00CC7CAB"/>
    <w:rsid w:val="00CC7D87"/>
    <w:rsid w:val="00CD2C51"/>
    <w:rsid w:val="00CD59CC"/>
    <w:rsid w:val="00CD62CD"/>
    <w:rsid w:val="00CE1110"/>
    <w:rsid w:val="00CE3639"/>
    <w:rsid w:val="00CE4BD7"/>
    <w:rsid w:val="00CF07CA"/>
    <w:rsid w:val="00CF0E4A"/>
    <w:rsid w:val="00CF40BB"/>
    <w:rsid w:val="00D0122C"/>
    <w:rsid w:val="00D01D99"/>
    <w:rsid w:val="00D039FB"/>
    <w:rsid w:val="00D15DA3"/>
    <w:rsid w:val="00D20019"/>
    <w:rsid w:val="00D2039F"/>
    <w:rsid w:val="00D25707"/>
    <w:rsid w:val="00D25DF6"/>
    <w:rsid w:val="00D2759D"/>
    <w:rsid w:val="00D32AAE"/>
    <w:rsid w:val="00D34CE0"/>
    <w:rsid w:val="00D361AE"/>
    <w:rsid w:val="00D44588"/>
    <w:rsid w:val="00D51FCD"/>
    <w:rsid w:val="00D53EC8"/>
    <w:rsid w:val="00D550F2"/>
    <w:rsid w:val="00D56D05"/>
    <w:rsid w:val="00D60108"/>
    <w:rsid w:val="00D60C50"/>
    <w:rsid w:val="00D61F57"/>
    <w:rsid w:val="00D6639F"/>
    <w:rsid w:val="00D66583"/>
    <w:rsid w:val="00D7246A"/>
    <w:rsid w:val="00D750C2"/>
    <w:rsid w:val="00D76B34"/>
    <w:rsid w:val="00D77BB0"/>
    <w:rsid w:val="00D80564"/>
    <w:rsid w:val="00D811B8"/>
    <w:rsid w:val="00D817CF"/>
    <w:rsid w:val="00D83DF9"/>
    <w:rsid w:val="00D842C4"/>
    <w:rsid w:val="00D848EA"/>
    <w:rsid w:val="00D8492E"/>
    <w:rsid w:val="00D8736B"/>
    <w:rsid w:val="00D8778D"/>
    <w:rsid w:val="00DA2C5A"/>
    <w:rsid w:val="00DA352E"/>
    <w:rsid w:val="00DB0FC7"/>
    <w:rsid w:val="00DB63BB"/>
    <w:rsid w:val="00DC1D74"/>
    <w:rsid w:val="00DC37CA"/>
    <w:rsid w:val="00DC4715"/>
    <w:rsid w:val="00DC56A7"/>
    <w:rsid w:val="00DC58C9"/>
    <w:rsid w:val="00DC6028"/>
    <w:rsid w:val="00DC6724"/>
    <w:rsid w:val="00DC6E40"/>
    <w:rsid w:val="00DC7A25"/>
    <w:rsid w:val="00DD0D94"/>
    <w:rsid w:val="00DD24BD"/>
    <w:rsid w:val="00DD2F62"/>
    <w:rsid w:val="00DD3884"/>
    <w:rsid w:val="00DE2C4E"/>
    <w:rsid w:val="00DE48B6"/>
    <w:rsid w:val="00DE736C"/>
    <w:rsid w:val="00DE7F80"/>
    <w:rsid w:val="00DF2E9E"/>
    <w:rsid w:val="00DF5D8F"/>
    <w:rsid w:val="00E02A6A"/>
    <w:rsid w:val="00E131F1"/>
    <w:rsid w:val="00E14492"/>
    <w:rsid w:val="00E1529C"/>
    <w:rsid w:val="00E16F9B"/>
    <w:rsid w:val="00E20FDA"/>
    <w:rsid w:val="00E231C5"/>
    <w:rsid w:val="00E24DB2"/>
    <w:rsid w:val="00E27326"/>
    <w:rsid w:val="00E32788"/>
    <w:rsid w:val="00E36A32"/>
    <w:rsid w:val="00E36E70"/>
    <w:rsid w:val="00E417A9"/>
    <w:rsid w:val="00E459AA"/>
    <w:rsid w:val="00E46076"/>
    <w:rsid w:val="00E46C4E"/>
    <w:rsid w:val="00E50C9B"/>
    <w:rsid w:val="00E53C0D"/>
    <w:rsid w:val="00E53D75"/>
    <w:rsid w:val="00E6594A"/>
    <w:rsid w:val="00E673A1"/>
    <w:rsid w:val="00E7243D"/>
    <w:rsid w:val="00E72449"/>
    <w:rsid w:val="00E81703"/>
    <w:rsid w:val="00E82F82"/>
    <w:rsid w:val="00E833FA"/>
    <w:rsid w:val="00E90F2C"/>
    <w:rsid w:val="00E91288"/>
    <w:rsid w:val="00EA0076"/>
    <w:rsid w:val="00EA41E8"/>
    <w:rsid w:val="00EA513C"/>
    <w:rsid w:val="00EA59D5"/>
    <w:rsid w:val="00EB0CCF"/>
    <w:rsid w:val="00EB1E4A"/>
    <w:rsid w:val="00EB27BA"/>
    <w:rsid w:val="00EB3956"/>
    <w:rsid w:val="00EB428E"/>
    <w:rsid w:val="00EB4FFF"/>
    <w:rsid w:val="00EB5133"/>
    <w:rsid w:val="00EB6AFF"/>
    <w:rsid w:val="00EB6C83"/>
    <w:rsid w:val="00EC0051"/>
    <w:rsid w:val="00EC07EF"/>
    <w:rsid w:val="00EC0B51"/>
    <w:rsid w:val="00EC1382"/>
    <w:rsid w:val="00EC1AC1"/>
    <w:rsid w:val="00EC20D7"/>
    <w:rsid w:val="00EC433E"/>
    <w:rsid w:val="00EC4E42"/>
    <w:rsid w:val="00ED3195"/>
    <w:rsid w:val="00ED5EA1"/>
    <w:rsid w:val="00EE1FFB"/>
    <w:rsid w:val="00EE54C6"/>
    <w:rsid w:val="00EE5BB1"/>
    <w:rsid w:val="00EE66CC"/>
    <w:rsid w:val="00EF578E"/>
    <w:rsid w:val="00F0401C"/>
    <w:rsid w:val="00F05354"/>
    <w:rsid w:val="00F053F3"/>
    <w:rsid w:val="00F06565"/>
    <w:rsid w:val="00F10A2F"/>
    <w:rsid w:val="00F13BAE"/>
    <w:rsid w:val="00F1545E"/>
    <w:rsid w:val="00F21CC6"/>
    <w:rsid w:val="00F22662"/>
    <w:rsid w:val="00F2564D"/>
    <w:rsid w:val="00F2712B"/>
    <w:rsid w:val="00F30394"/>
    <w:rsid w:val="00F3225B"/>
    <w:rsid w:val="00F34F98"/>
    <w:rsid w:val="00F3503E"/>
    <w:rsid w:val="00F35993"/>
    <w:rsid w:val="00F3683B"/>
    <w:rsid w:val="00F40BB1"/>
    <w:rsid w:val="00F41899"/>
    <w:rsid w:val="00F44B4C"/>
    <w:rsid w:val="00F460FE"/>
    <w:rsid w:val="00F47978"/>
    <w:rsid w:val="00F47D18"/>
    <w:rsid w:val="00F5219A"/>
    <w:rsid w:val="00F5224F"/>
    <w:rsid w:val="00F53907"/>
    <w:rsid w:val="00F53CB0"/>
    <w:rsid w:val="00F53F61"/>
    <w:rsid w:val="00F5458C"/>
    <w:rsid w:val="00F55F52"/>
    <w:rsid w:val="00F56EAE"/>
    <w:rsid w:val="00F6082F"/>
    <w:rsid w:val="00F60D7D"/>
    <w:rsid w:val="00F6578F"/>
    <w:rsid w:val="00F66114"/>
    <w:rsid w:val="00F735A7"/>
    <w:rsid w:val="00F779BA"/>
    <w:rsid w:val="00F77DF5"/>
    <w:rsid w:val="00F80877"/>
    <w:rsid w:val="00F8181E"/>
    <w:rsid w:val="00F8666F"/>
    <w:rsid w:val="00F909BB"/>
    <w:rsid w:val="00F948C4"/>
    <w:rsid w:val="00F96DEA"/>
    <w:rsid w:val="00F9740D"/>
    <w:rsid w:val="00FA01CB"/>
    <w:rsid w:val="00FA0B87"/>
    <w:rsid w:val="00FA16E1"/>
    <w:rsid w:val="00FA20B7"/>
    <w:rsid w:val="00FA42DC"/>
    <w:rsid w:val="00FA4BCE"/>
    <w:rsid w:val="00FA4CC2"/>
    <w:rsid w:val="00FB69AB"/>
    <w:rsid w:val="00FB7E01"/>
    <w:rsid w:val="00FC46E7"/>
    <w:rsid w:val="00FD0147"/>
    <w:rsid w:val="00FD27D7"/>
    <w:rsid w:val="00FD3B6B"/>
    <w:rsid w:val="00FD3E77"/>
    <w:rsid w:val="00FD6D80"/>
    <w:rsid w:val="00FD7DA9"/>
    <w:rsid w:val="00FE11D0"/>
    <w:rsid w:val="00FF0564"/>
    <w:rsid w:val="00FF0F91"/>
    <w:rsid w:val="00FF1F9E"/>
    <w:rsid w:val="00FF510F"/>
    <w:rsid w:val="00FF58BC"/>
    <w:rsid w:val="00FF6300"/>
    <w:rsid w:val="00FF671F"/>
    <w:rsid w:val="10E286E2"/>
    <w:rsid w:val="159B5D7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33DD"/>
    <w:rPr>
      <w:rFonts w:ascii="Times New Roman" w:hAnsi="Times New Roman" w:eastAsia="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A71CEA"/>
    <w:rPr>
      <w:szCs w:val="22"/>
      <w:lang w:val="es-MX"/>
    </w:rPr>
  </w:style>
  <w:style w:type="table" w:styleId="Tablaconcuadrcula">
    <w:name w:val="Table Grid"/>
    <w:basedOn w:val="Tablanormal"/>
    <w:uiPriority w:val="39"/>
    <w:qFormat/>
    <w:rsid w:val="00A71CEA"/>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hAnsiTheme="minorHAnsi" w:eastAsia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A71CEA"/>
    <w:rPr>
      <w:rFonts w:ascii="Times New Roman" w:hAnsi="Times New Roman" w:eastAsia="Times New Roman" w:cs="Times New Roman"/>
      <w:sz w:val="20"/>
      <w:szCs w:val="20"/>
      <w:lang w:eastAsia="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hAnsi="Arial" w:eastAsia="Arial" w:cs="Arial"/>
      <w:sz w:val="20"/>
      <w:szCs w:val="20"/>
      <w:lang w:val="es-ES" w:eastAsia="en-US"/>
    </w:rPr>
  </w:style>
  <w:style w:type="character" w:styleId="TextoindependienteCar" w:customStyle="1">
    <w:name w:val="Texto independiente Car"/>
    <w:basedOn w:val="Fuentedeprrafopredeter"/>
    <w:link w:val="Textoindependiente"/>
    <w:uiPriority w:val="1"/>
    <w:rsid w:val="00A71CEA"/>
    <w:rPr>
      <w:rFonts w:ascii="Arial" w:hAnsi="Arial" w:eastAsia="Arial" w:cs="Arial"/>
      <w:sz w:val="20"/>
      <w:szCs w:val="20"/>
      <w:lang w:val="es-ES"/>
    </w:rPr>
  </w:style>
  <w:style w:type="paragraph" w:styleId="Appelnotedebasde" w:customStyle="1">
    <w:name w:val="Appel note de bas de..."/>
    <w:basedOn w:val="Normal"/>
    <w:link w:val="Refdenotaalpie"/>
    <w:uiPriority w:val="99"/>
    <w:rsid w:val="00A71CEA"/>
    <w:pPr>
      <w:spacing w:after="160" w:line="240" w:lineRule="exact"/>
    </w:pPr>
    <w:rPr>
      <w:rFonts w:asciiTheme="minorHAnsi" w:hAnsiTheme="minorHAnsi" w:eastAsiaTheme="minorHAnsi" w:cstheme="minorBidi"/>
      <w:vertAlign w:val="superscript"/>
      <w:lang w:eastAsia="en-US"/>
    </w:rPr>
  </w:style>
  <w:style w:type="character" w:styleId="apple-converted-space" w:customStyle="1">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styleId="Ttulo2Car" w:customStyle="1">
    <w:name w:val="Título 2 Car"/>
    <w:basedOn w:val="Fuentedeprrafopredeter"/>
    <w:link w:val="Ttulo2"/>
    <w:uiPriority w:val="9"/>
    <w:rsid w:val="00F40BB1"/>
    <w:rPr>
      <w:rFonts w:ascii="Times New Roman" w:hAnsi="Times New Roman" w:eastAsia="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styleId="TextocomentarioCar" w:customStyle="1">
    <w:name w:val="Texto comentario Car"/>
    <w:basedOn w:val="Fuentedeprrafopredeter"/>
    <w:link w:val="Textocomentario"/>
    <w:uiPriority w:val="99"/>
    <w:rsid w:val="00776374"/>
    <w:rPr>
      <w:rFonts w:ascii="Times New Roman" w:hAnsi="Times New Roman" w:eastAsia="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styleId="AsuntodelcomentarioCar" w:customStyle="1">
    <w:name w:val="Asunto del comentario Car"/>
    <w:basedOn w:val="TextocomentarioCar"/>
    <w:link w:val="Asuntodelcomentario"/>
    <w:uiPriority w:val="99"/>
    <w:semiHidden/>
    <w:rsid w:val="00776374"/>
    <w:rPr>
      <w:rFonts w:ascii="Times New Roman" w:hAnsi="Times New Roman" w:eastAsia="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hAnsiTheme="majorHAnsi" w:eastAsiaTheme="majorEastAsia" w:cstheme="majorBidi"/>
      <w:color w:val="AEAAAA" w:themeColor="background2" w:themeShade="BF"/>
      <w:spacing w:val="5"/>
      <w:kern w:val="28"/>
      <w:sz w:val="20"/>
      <w:szCs w:val="52"/>
      <w:lang w:val="es-MX" w:eastAsia="en-US"/>
    </w:rPr>
  </w:style>
  <w:style w:type="character" w:styleId="TtuloCar" w:customStyle="1">
    <w:name w:val="Título Car"/>
    <w:aliases w:val="Cláusula 9 Car"/>
    <w:basedOn w:val="Fuentedeprrafopredeter"/>
    <w:link w:val="Ttulo"/>
    <w:uiPriority w:val="10"/>
    <w:rsid w:val="00DD0D94"/>
    <w:rPr>
      <w:rFonts w:asciiTheme="majorHAnsi" w:hAnsiTheme="majorHAnsi" w:eastAsiaTheme="majorEastAsia" w:cstheme="majorBidi"/>
      <w:color w:val="AEAAAA" w:themeColor="background2" w:themeShade="BF"/>
      <w:spacing w:val="5"/>
      <w:kern w:val="28"/>
      <w:sz w:val="20"/>
      <w:szCs w:val="52"/>
      <w:lang w:val="es-MX"/>
    </w:rPr>
  </w:style>
  <w:style w:type="paragraph" w:styleId="paragraph" w:customStyle="1">
    <w:name w:val="paragraph"/>
    <w:basedOn w:val="Normal"/>
    <w:rsid w:val="00687BDD"/>
    <w:pPr>
      <w:spacing w:before="100" w:beforeAutospacing="1" w:after="100" w:afterAutospacing="1" w:line="276" w:lineRule="auto"/>
      <w:ind w:firstLine="709"/>
      <w:jc w:val="both"/>
    </w:pPr>
    <w:rPr>
      <w:lang w:eastAsia="es-ES_tradnl"/>
    </w:rPr>
  </w:style>
  <w:style w:type="character" w:styleId="normaltextrun" w:customStyle="1">
    <w:name w:val="normaltextrun"/>
    <w:basedOn w:val="Fuentedeprrafopredeter"/>
    <w:rsid w:val="00687BDD"/>
  </w:style>
  <w:style w:type="character" w:styleId="eop" w:customStyle="1">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styleId="NormalWebCar" w:customStyle="1">
    <w:name w:val="Normal (Web) Car"/>
    <w:link w:val="NormalWeb"/>
    <w:uiPriority w:val="99"/>
    <w:rsid w:val="00C33A69"/>
    <w:rPr>
      <w:rFonts w:ascii="Times New Roman" w:hAnsi="Times New Roman" w:eastAsia="Times New Roman" w:cs="Times New Roman"/>
      <w:lang w:eastAsia="es-MX"/>
    </w:rPr>
  </w:style>
  <w:style w:type="paragraph" w:styleId="Default" w:customStyle="1">
    <w:name w:val="Default"/>
    <w:rsid w:val="00C33A69"/>
    <w:pPr>
      <w:autoSpaceDE w:val="0"/>
      <w:autoSpaceDN w:val="0"/>
      <w:adjustRightInd w:val="0"/>
    </w:pPr>
    <w:rPr>
      <w:rFonts w:ascii="Arial" w:hAnsi="Arial" w:cs="Arial"/>
      <w:color w:val="000000"/>
    </w:rPr>
  </w:style>
  <w:style w:type="paragraph" w:styleId="xxmsonormal" w:customStyle="1">
    <w:name w:val="x_x_msonormal"/>
    <w:basedOn w:val="Normal"/>
    <w:rsid w:val="00C33A69"/>
    <w:pPr>
      <w:spacing w:before="100" w:beforeAutospacing="1" w:after="100" w:afterAutospacing="1"/>
    </w:pPr>
  </w:style>
  <w:style w:type="character" w:styleId="spellingerror" w:customStyle="1">
    <w:name w:val="spellingerror"/>
    <w:basedOn w:val="Fuentedeprrafopredeter"/>
    <w:rsid w:val="00EB1E4A"/>
  </w:style>
  <w:style w:type="paragraph" w:styleId="xmsonospacing" w:customStyle="1">
    <w:name w:val="x_msonospacing"/>
    <w:basedOn w:val="Normal"/>
    <w:rsid w:val="0031456F"/>
    <w:pPr>
      <w:spacing w:before="100" w:beforeAutospacing="1" w:after="100" w:afterAutospacing="1"/>
    </w:pPr>
  </w:style>
  <w:style w:type="paragraph" w:styleId="Normal11pt" w:customStyle="1">
    <w:name w:val="Normal + 11 pt"/>
    <w:aliases w:val="Negro,Justificado,Izquierda:  -0,95 cm,Derecha:  0,04 cm"/>
    <w:basedOn w:val="Normal"/>
    <w:uiPriority w:val="99"/>
    <w:rsid w:val="00705A56"/>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2712B"/>
    <w:rPr>
      <w:rFonts w:ascii="Times New Roman" w:hAnsi="Times New Roman" w:eastAsia="Times New Roman" w:cs="Times New Roman"/>
      <w:lang w:eastAsia="es-MX"/>
    </w:rPr>
  </w:style>
  <w:style w:type="character" w:styleId="baj" w:customStyle="1">
    <w:name w:val="b_aj"/>
    <w:basedOn w:val="Fuentedeprrafopredeter"/>
    <w:rsid w:val="00854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56173611">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27668976">
      <w:bodyDiv w:val="1"/>
      <w:marLeft w:val="0"/>
      <w:marRight w:val="0"/>
      <w:marTop w:val="0"/>
      <w:marBottom w:val="0"/>
      <w:divBdr>
        <w:top w:val="none" w:sz="0" w:space="0" w:color="auto"/>
        <w:left w:val="none" w:sz="0" w:space="0" w:color="auto"/>
        <w:bottom w:val="none" w:sz="0" w:space="0" w:color="auto"/>
        <w:right w:val="none" w:sz="0" w:space="0" w:color="auto"/>
      </w:divBdr>
      <w:divsChild>
        <w:div w:id="116996380">
          <w:marLeft w:val="0"/>
          <w:marRight w:val="0"/>
          <w:marTop w:val="0"/>
          <w:marBottom w:val="0"/>
          <w:divBdr>
            <w:top w:val="none" w:sz="0" w:space="0" w:color="auto"/>
            <w:left w:val="none" w:sz="0" w:space="0" w:color="auto"/>
            <w:bottom w:val="none" w:sz="0" w:space="0" w:color="auto"/>
            <w:right w:val="none" w:sz="0" w:space="0" w:color="auto"/>
          </w:divBdr>
        </w:div>
      </w:divsChild>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11238431">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04789930">
      <w:bodyDiv w:val="1"/>
      <w:marLeft w:val="0"/>
      <w:marRight w:val="0"/>
      <w:marTop w:val="0"/>
      <w:marBottom w:val="0"/>
      <w:divBdr>
        <w:top w:val="none" w:sz="0" w:space="0" w:color="auto"/>
        <w:left w:val="none" w:sz="0" w:space="0" w:color="auto"/>
        <w:bottom w:val="none" w:sz="0" w:space="0" w:color="auto"/>
        <w:right w:val="none" w:sz="0" w:space="0" w:color="auto"/>
      </w:divBdr>
      <w:divsChild>
        <w:div w:id="1849827054">
          <w:marLeft w:val="0"/>
          <w:marRight w:val="0"/>
          <w:marTop w:val="0"/>
          <w:marBottom w:val="0"/>
          <w:divBdr>
            <w:top w:val="none" w:sz="0" w:space="0" w:color="auto"/>
            <w:left w:val="none" w:sz="0" w:space="0" w:color="auto"/>
            <w:bottom w:val="none" w:sz="0" w:space="0" w:color="auto"/>
            <w:right w:val="none" w:sz="0" w:space="0" w:color="auto"/>
          </w:divBdr>
          <w:divsChild>
            <w:div w:id="1343824708">
              <w:marLeft w:val="0"/>
              <w:marRight w:val="0"/>
              <w:marTop w:val="0"/>
              <w:marBottom w:val="0"/>
              <w:divBdr>
                <w:top w:val="none" w:sz="0" w:space="0" w:color="auto"/>
                <w:left w:val="none" w:sz="0" w:space="0" w:color="auto"/>
                <w:bottom w:val="none" w:sz="0" w:space="0" w:color="auto"/>
                <w:right w:val="none" w:sz="0" w:space="0" w:color="auto"/>
              </w:divBdr>
              <w:divsChild>
                <w:div w:id="17741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636228441">
      <w:bodyDiv w:val="1"/>
      <w:marLeft w:val="0"/>
      <w:marRight w:val="0"/>
      <w:marTop w:val="0"/>
      <w:marBottom w:val="0"/>
      <w:divBdr>
        <w:top w:val="none" w:sz="0" w:space="0" w:color="auto"/>
        <w:left w:val="none" w:sz="0" w:space="0" w:color="auto"/>
        <w:bottom w:val="none" w:sz="0" w:space="0" w:color="auto"/>
        <w:right w:val="none" w:sz="0" w:space="0" w:color="auto"/>
      </w:divBdr>
      <w:divsChild>
        <w:div w:id="619723704">
          <w:marLeft w:val="0"/>
          <w:marRight w:val="0"/>
          <w:marTop w:val="0"/>
          <w:marBottom w:val="0"/>
          <w:divBdr>
            <w:top w:val="none" w:sz="0" w:space="0" w:color="auto"/>
            <w:left w:val="none" w:sz="0" w:space="0" w:color="auto"/>
            <w:bottom w:val="none" w:sz="0" w:space="0" w:color="auto"/>
            <w:right w:val="none" w:sz="0" w:space="0" w:color="auto"/>
          </w:divBdr>
        </w:div>
      </w:divsChild>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716318750">
      <w:bodyDiv w:val="1"/>
      <w:marLeft w:val="0"/>
      <w:marRight w:val="0"/>
      <w:marTop w:val="0"/>
      <w:marBottom w:val="0"/>
      <w:divBdr>
        <w:top w:val="none" w:sz="0" w:space="0" w:color="auto"/>
        <w:left w:val="none" w:sz="0" w:space="0" w:color="auto"/>
        <w:bottom w:val="none" w:sz="0" w:space="0" w:color="auto"/>
        <w:right w:val="none" w:sz="0" w:space="0" w:color="auto"/>
      </w:divBdr>
    </w:div>
    <w:div w:id="849830110">
      <w:bodyDiv w:val="1"/>
      <w:marLeft w:val="0"/>
      <w:marRight w:val="0"/>
      <w:marTop w:val="0"/>
      <w:marBottom w:val="0"/>
      <w:divBdr>
        <w:top w:val="none" w:sz="0" w:space="0" w:color="auto"/>
        <w:left w:val="none" w:sz="0" w:space="0" w:color="auto"/>
        <w:bottom w:val="none" w:sz="0" w:space="0" w:color="auto"/>
        <w:right w:val="none" w:sz="0" w:space="0" w:color="auto"/>
      </w:divBdr>
    </w:div>
    <w:div w:id="882785361">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126898605">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1457184">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8428104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poxta2.colombiacompra.gov.co/sites/docs/_layouts/15/listform.aspx?PageType=6&amp;ListId=%7b41406f67-8aaf-444a-8f23-f6b9ad006b34%7d&amp;ID=90277"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poxta2.colombiacompra.gov.co/sites/docs/_layouts/15/listform.aspx?PageType=6&amp;ListId=%7b41406f67-8aaf-444a-8f23-f6b9ad006b34%7d&amp;ID=86151"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ircular_externa_002_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8D35C-EA8A-48B3-9921-12313FFE019E}">
  <ds:schemaRefs>
    <ds:schemaRef ds:uri="http://schemas.microsoft.com/sharepoint/v3/contenttype/forms"/>
  </ds:schemaRefs>
</ds:datastoreItem>
</file>

<file path=customXml/itemProps2.xml><?xml version="1.0" encoding="utf-8"?>
<ds:datastoreItem xmlns:ds="http://schemas.openxmlformats.org/officeDocument/2006/customXml" ds:itemID="{76ADC15F-B511-4C4B-91C6-DD4AD79C745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BD17EC9-04D6-4F1B-BD97-5AF521ED9608}"/>
</file>

<file path=customXml/itemProps4.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Alejandra Materon Garcia</dc:creator>
  <cp:keywords/>
  <dc:description/>
  <cp:lastModifiedBy>Nasly Yeana Mosquera Rivas</cp:lastModifiedBy>
  <cp:revision>7</cp:revision>
  <dcterms:created xsi:type="dcterms:W3CDTF">2022-04-26T22:16:00Z</dcterms:created>
  <dcterms:modified xsi:type="dcterms:W3CDTF">2024-05-22T15:32:25Z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