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947B8" w14:textId="77777777" w:rsidR="00EE1853" w:rsidRPr="007C5A1B" w:rsidRDefault="00EE1853" w:rsidP="00EE1853">
      <w:pPr>
        <w:jc w:val="both"/>
        <w:rPr>
          <w:rFonts w:ascii="Verdana" w:eastAsia="Calibri" w:hAnsi="Verdana" w:cs="Arial"/>
          <w:b/>
          <w:lang w:val="es-MX"/>
        </w:rPr>
      </w:pPr>
      <w:bookmarkStart w:id="0" w:name="_Hlk143780582"/>
      <w:r w:rsidRPr="007C5A1B">
        <w:rPr>
          <w:rFonts w:ascii="Verdana" w:eastAsia="Calibri" w:hAnsi="Verdana" w:cs="Arial"/>
          <w:b/>
          <w:lang w:val="es-MX"/>
        </w:rPr>
        <w:t xml:space="preserve">LEY 1955 DE 2019 – Artículo 229 – Finalidad </w:t>
      </w:r>
    </w:p>
    <w:p w14:paraId="764117C3" w14:textId="45A15AFF" w:rsidR="00EE1853" w:rsidRPr="007C5A1B" w:rsidRDefault="00BE5D5E" w:rsidP="00EE1853">
      <w:pPr>
        <w:spacing w:line="240" w:lineRule="auto"/>
        <w:jc w:val="both"/>
        <w:rPr>
          <w:rFonts w:ascii="Verdana" w:eastAsia="Calibri" w:hAnsi="Verdana" w:cs="Arial"/>
          <w:lang w:val="es-ES"/>
        </w:rPr>
      </w:pPr>
      <w:r w:rsidRPr="007C5A1B">
        <w:rPr>
          <w:rFonts w:ascii="Verdana" w:eastAsia="Calibri" w:hAnsi="Verdana" w:cs="Arial"/>
          <w:lang w:val="es-ES"/>
        </w:rPr>
        <w:t>[…</w:t>
      </w:r>
      <w:r w:rsidR="00E84959" w:rsidRPr="007C5A1B">
        <w:rPr>
          <w:rFonts w:ascii="Verdana" w:eastAsia="Calibri" w:hAnsi="Verdana" w:cs="Arial"/>
          <w:lang w:val="es-ES"/>
        </w:rPr>
        <w:t xml:space="preserve">] </w:t>
      </w:r>
      <w:r w:rsidR="00EE1853" w:rsidRPr="007C5A1B">
        <w:rPr>
          <w:rFonts w:ascii="Verdana" w:eastAsia="Calibri" w:hAnsi="Verdana" w:cs="Arial"/>
          <w:lang w:val="es-ES"/>
        </w:rPr>
        <w:t xml:space="preserve">el artículo 229 de la Ley 1955 de 2019, </w:t>
      </w:r>
      <w:r w:rsidR="00EE1853" w:rsidRPr="007C5A1B">
        <w:rPr>
          <w:rFonts w:ascii="Verdana" w:eastAsia="Calibri" w:hAnsi="Verdana" w:cs="Arial"/>
          <w:color w:val="000000" w:themeColor="text1"/>
          <w:lang w:val="es-ES"/>
        </w:rPr>
        <w:t>«</w:t>
      </w:r>
      <w:r w:rsidR="00EE1853" w:rsidRPr="007C5A1B">
        <w:rPr>
          <w:rFonts w:ascii="Verdana" w:eastAsia="Calibri" w:hAnsi="Verdana" w:cs="Arial"/>
          <w:lang w:val="es-ES"/>
        </w:rPr>
        <w:t>Por el cual se expide el Plan Nacional de Desarrollo 2018-2022</w:t>
      </w:r>
      <w:r w:rsidR="00EE1853" w:rsidRPr="007C5A1B">
        <w:rPr>
          <w:rFonts w:ascii="Verdana" w:eastAsia="Calibri" w:hAnsi="Verdana" w:cs="Arial"/>
          <w:color w:val="000000" w:themeColor="text1"/>
          <w:lang w:val="es-ES"/>
        </w:rPr>
        <w:t>»</w:t>
      </w:r>
      <w:r w:rsidR="00EE1853" w:rsidRPr="007C5A1B">
        <w:rPr>
          <w:rFonts w:ascii="Verdana" w:eastAsia="Calibri" w:hAnsi="Verdana" w:cs="Arial"/>
          <w:lang w:val="es-ES"/>
        </w:rPr>
        <w:t>, dispone que las entidades públicas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w:t>
      </w:r>
    </w:p>
    <w:p w14:paraId="7168D617" w14:textId="77777777" w:rsidR="004D641D" w:rsidRPr="007C5A1B" w:rsidRDefault="004D641D" w:rsidP="00EE1853">
      <w:pPr>
        <w:spacing w:line="240" w:lineRule="auto"/>
        <w:jc w:val="both"/>
        <w:rPr>
          <w:rFonts w:ascii="Verdana" w:eastAsia="Calibri" w:hAnsi="Verdana" w:cs="Arial"/>
          <w:lang w:val="es-ES"/>
        </w:rPr>
      </w:pPr>
    </w:p>
    <w:p w14:paraId="3A397D57" w14:textId="77777777" w:rsidR="00EE1853" w:rsidRPr="007C5A1B" w:rsidRDefault="00EE1853" w:rsidP="00EE1853">
      <w:pPr>
        <w:jc w:val="both"/>
        <w:rPr>
          <w:rFonts w:ascii="Verdana" w:eastAsia="Calibri" w:hAnsi="Verdana" w:cs="Arial"/>
          <w:b/>
          <w:lang w:val="es-MX"/>
        </w:rPr>
      </w:pPr>
      <w:r w:rsidRPr="007C5A1B">
        <w:rPr>
          <w:rFonts w:ascii="Verdana" w:hAnsi="Verdana" w:cs="Arial"/>
          <w:b/>
          <w:lang w:val="es-ES"/>
        </w:rPr>
        <w:t xml:space="preserve">LEY 2046 DE 2020 </w:t>
      </w:r>
      <w:r w:rsidRPr="007C5A1B">
        <w:rPr>
          <w:rFonts w:ascii="Verdana" w:eastAsia="Calibri" w:hAnsi="Verdana" w:cs="Arial"/>
          <w:b/>
          <w:lang w:val="es-MX"/>
        </w:rPr>
        <w:t>– Finalidad – Ámbito de aplicación - Compra pública de alimentos</w:t>
      </w:r>
    </w:p>
    <w:p w14:paraId="4A8A4E64" w14:textId="77777777" w:rsidR="00EE1853" w:rsidRPr="007C5A1B" w:rsidRDefault="00EE1853" w:rsidP="00EE1853">
      <w:pPr>
        <w:jc w:val="both"/>
        <w:rPr>
          <w:rFonts w:ascii="Verdana" w:eastAsia="Calibri" w:hAnsi="Verdana" w:cs="Arial"/>
          <w:b/>
          <w:lang w:val="es-MX"/>
        </w:rPr>
      </w:pPr>
    </w:p>
    <w:p w14:paraId="3D6BCD63" w14:textId="77777777" w:rsidR="00162857" w:rsidRPr="007C5A1B" w:rsidRDefault="00EE1853" w:rsidP="00162857">
      <w:pPr>
        <w:jc w:val="both"/>
        <w:rPr>
          <w:rFonts w:ascii="Verdana" w:eastAsia="Calibri" w:hAnsi="Verdana" w:cs="Arial"/>
        </w:rPr>
      </w:pPr>
      <w:r w:rsidRPr="007C5A1B">
        <w:rPr>
          <w:rFonts w:ascii="Verdana" w:eastAsia="Calibri" w:hAnsi="Verdana" w:cs="Arial"/>
        </w:rPr>
        <w:t xml:space="preserve">[…] </w:t>
      </w:r>
      <w:r w:rsidR="00162857" w:rsidRPr="007C5A1B">
        <w:rPr>
          <w:rFonts w:ascii="Verdana" w:eastAsia="Calibri" w:hAnsi="Verdana" w:cs="Arial"/>
        </w:rPr>
        <w:t>la Ley 2046 de 2020 “por la cual se establecen mecanismos para promover la participación de pequeños productores locales agropecuarios y de la agricultura campesina, familiar y comunitaria en los mercados de compras públicas de alimentos”. Concretamente, en su artículo 1º se dejó en claro que su objeto principal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p>
    <w:p w14:paraId="6BB336AA" w14:textId="77777777" w:rsidR="00162857" w:rsidRPr="007C5A1B" w:rsidRDefault="00162857" w:rsidP="00162857">
      <w:pPr>
        <w:jc w:val="both"/>
        <w:rPr>
          <w:rFonts w:ascii="Verdana" w:eastAsia="Calibri" w:hAnsi="Verdana" w:cs="Arial"/>
        </w:rPr>
      </w:pPr>
      <w:r w:rsidRPr="007C5A1B">
        <w:rPr>
          <w:rFonts w:ascii="Verdana" w:eastAsia="Calibri" w:hAnsi="Verdana" w:cs="Arial"/>
        </w:rPr>
        <w:t>Respecto de su ámbito de aplicación, el artículo 3º de la disposición en cita señala que todas las prescripciones allí incorporadas “(…)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los requisitos sanitarios que establezca la normatividad vigente”. Premisa igualmente aplicable a las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w:t>
      </w:r>
    </w:p>
    <w:p w14:paraId="460FD12A" w14:textId="55450095" w:rsidR="00EE1853" w:rsidRPr="007C5A1B" w:rsidRDefault="00162857" w:rsidP="00162857">
      <w:pPr>
        <w:jc w:val="both"/>
        <w:rPr>
          <w:rFonts w:ascii="Verdana" w:hAnsi="Verdana" w:cs="Arial"/>
        </w:rPr>
      </w:pPr>
      <w:r w:rsidRPr="007C5A1B">
        <w:rPr>
          <w:rFonts w:ascii="Verdana" w:eastAsia="Calibri" w:hAnsi="Verdana" w:cs="Arial"/>
        </w:rPr>
        <w:t xml:space="preserve">Por su parte, el artículo 7º ibidem prevé específicas reglas para que las entidades -sujetas al ámbito de aplicación de la ley- adquieran alimentos provenientes de </w:t>
      </w:r>
      <w:r w:rsidRPr="007C5A1B">
        <w:rPr>
          <w:rFonts w:ascii="Verdana" w:eastAsia="Calibri" w:hAnsi="Verdana" w:cs="Arial"/>
        </w:rPr>
        <w:lastRenderedPageBreak/>
        <w:t>pequeños productores locales y de productores de la agricultura campesina, familiar y comunitaria y sus organizaciones legalmente constituidas.</w:t>
      </w:r>
    </w:p>
    <w:p w14:paraId="67D80D99" w14:textId="77777777" w:rsidR="00EE1853" w:rsidRPr="007C5A1B" w:rsidRDefault="00EE1853" w:rsidP="00EE1853">
      <w:pPr>
        <w:jc w:val="both"/>
        <w:rPr>
          <w:rFonts w:ascii="Verdana" w:hAnsi="Verdana" w:cs="Arial"/>
          <w:b/>
        </w:rPr>
      </w:pPr>
      <w:r w:rsidRPr="007C5A1B">
        <w:rPr>
          <w:rFonts w:ascii="Verdana" w:hAnsi="Verdana" w:cs="Arial"/>
          <w:b/>
        </w:rPr>
        <w:t xml:space="preserve">LEY 2046 DE 2020 – Artículo 7 – Incentivos contractuales – Puntajes adicionales – Promoción de la compra pública de alimentos </w:t>
      </w:r>
    </w:p>
    <w:p w14:paraId="668EA283" w14:textId="77777777" w:rsidR="00EE1853" w:rsidRPr="007C5A1B" w:rsidRDefault="00EE1853" w:rsidP="00EE1853">
      <w:pPr>
        <w:jc w:val="both"/>
        <w:rPr>
          <w:rFonts w:ascii="Verdana" w:hAnsi="Verdana" w:cs="Arial"/>
        </w:rPr>
      </w:pPr>
    </w:p>
    <w:p w14:paraId="08FD6611" w14:textId="77777777" w:rsidR="00EE1853" w:rsidRPr="007C5A1B" w:rsidRDefault="00EE1853" w:rsidP="00EE1853">
      <w:pPr>
        <w:widowControl w:val="0"/>
        <w:autoSpaceDE w:val="0"/>
        <w:autoSpaceDN w:val="0"/>
        <w:jc w:val="both"/>
        <w:rPr>
          <w:rFonts w:ascii="Verdana" w:hAnsi="Verdana" w:cs="Arial"/>
        </w:rPr>
      </w:pPr>
      <w:r w:rsidRPr="007C5A1B">
        <w:rPr>
          <w:rFonts w:ascii="Verdana" w:hAnsi="Verdana" w:cs="Arial"/>
        </w:rPr>
        <w:t xml:space="preserve">[…] la mayor pretensión de esta Ley fue lo regulado en el artículo 7, el cual estable los porcentajes mínimos de compra local a pequeños productores y productores de la agricultura campesina, familiar y comunitaria. En tal sentido, establece las siguientes reglas: i) las entidades que están sujetas al ámbito de aplicación de esta ley tienen la obligación de adquirir alimentos comprados a pequeños productores agropecuarios locales y/o a productores de la Agricultura Campesina, Familiar o Comunitaria locales y sus organizaciones en un porcentaje mínimo del 30% del valor total de los recursos del presupuesto de cada entidad destinados a la compra de alimentos. En el evento que no se cumpla este porcentaje deben informar a la Mesa Técnica Nacional de Compra Pública de Alimentos, quien certifica y realiza las gestiones para otorgar un listado de pequeños productores. </w:t>
      </w:r>
      <w:proofErr w:type="spellStart"/>
      <w:r w:rsidRPr="007C5A1B">
        <w:rPr>
          <w:rFonts w:ascii="Verdana" w:hAnsi="Verdana" w:cs="Arial"/>
        </w:rPr>
        <w:t>ii</w:t>
      </w:r>
      <w:proofErr w:type="spellEnd"/>
      <w:r w:rsidRPr="007C5A1B">
        <w:rPr>
          <w:rFonts w:ascii="Verdana" w:hAnsi="Verdana" w:cs="Arial"/>
        </w:rPr>
        <w:t xml:space="preserve">) También deben establecer en su pliego de condiciones un puntaje mínimo del 10% de los puntos asignables a la calificación de las propuestas, que se asignan proporcionalmente a aquellos proponentes que se obliguen a adquirir productos provenientes de pequeños productores agropecuarios locales y/o a productores de la Agricultura Campesina, Familiar o Comunitaria locales y sus organizaciones, en una proporción mayor al mínimo exigido por la entidad contratante. </w:t>
      </w:r>
      <w:proofErr w:type="spellStart"/>
      <w:r w:rsidRPr="007C5A1B">
        <w:rPr>
          <w:rFonts w:ascii="Verdana" w:hAnsi="Verdana" w:cs="Arial"/>
        </w:rPr>
        <w:t>iii</w:t>
      </w:r>
      <w:proofErr w:type="spellEnd"/>
      <w:r w:rsidRPr="007C5A1B">
        <w:rPr>
          <w:rFonts w:ascii="Verdana" w:hAnsi="Verdana" w:cs="Arial"/>
        </w:rPr>
        <w:t xml:space="preserve">) Deben incluir en sus contratos la obligación por parte de sus contratistas que ejecuten u operen los programas institucionales en que se adquieran alimentos,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 </w:t>
      </w:r>
      <w:proofErr w:type="spellStart"/>
      <w:r w:rsidRPr="007C5A1B">
        <w:rPr>
          <w:rFonts w:ascii="Verdana" w:hAnsi="Verdana" w:cs="Arial"/>
        </w:rPr>
        <w:t>iv</w:t>
      </w:r>
      <w:proofErr w:type="spellEnd"/>
      <w:r w:rsidRPr="007C5A1B">
        <w:rPr>
          <w:rFonts w:ascii="Verdana" w:hAnsi="Verdana" w:cs="Arial"/>
        </w:rPr>
        <w:t>) Establecerá en sus estudios previos, la zona geográfica para la compra pública local de alimentos a pequeños productores agropecuarios y/o a productores de la Agricultura Campesina, Familiar o Comunitaria locales o sus organizaciones, con base en una serie de criterios definidos en la norma</w:t>
      </w:r>
    </w:p>
    <w:p w14:paraId="705C22D4" w14:textId="77777777" w:rsidR="00EE1853" w:rsidRPr="007C5A1B" w:rsidRDefault="00EE1853" w:rsidP="00EE1853">
      <w:pPr>
        <w:widowControl w:val="0"/>
        <w:autoSpaceDE w:val="0"/>
        <w:autoSpaceDN w:val="0"/>
        <w:jc w:val="both"/>
        <w:rPr>
          <w:rFonts w:ascii="Verdana" w:hAnsi="Verdana" w:cs="Arial"/>
          <w:b/>
        </w:rPr>
      </w:pPr>
    </w:p>
    <w:p w14:paraId="19B11C60" w14:textId="429CD2CA" w:rsidR="00EE1853" w:rsidRPr="007C5A1B" w:rsidRDefault="00EE1853" w:rsidP="00EE1853">
      <w:pPr>
        <w:widowControl w:val="0"/>
        <w:autoSpaceDE w:val="0"/>
        <w:autoSpaceDN w:val="0"/>
        <w:jc w:val="both"/>
        <w:rPr>
          <w:rFonts w:ascii="Verdana" w:hAnsi="Verdana" w:cs="Arial"/>
          <w:b/>
        </w:rPr>
      </w:pPr>
      <w:r w:rsidRPr="007C5A1B">
        <w:rPr>
          <w:rFonts w:ascii="Verdana" w:hAnsi="Verdana" w:cs="Arial"/>
          <w:b/>
        </w:rPr>
        <w:t xml:space="preserve">DECRETO 248 DE 2021 – Decreto 1071 de 2015 – Contrato de promesa de proveeduría </w:t>
      </w:r>
    </w:p>
    <w:p w14:paraId="3A9A3E01" w14:textId="77777777" w:rsidR="00EE1853" w:rsidRPr="007C5A1B" w:rsidRDefault="00EE1853" w:rsidP="00EE1853">
      <w:pPr>
        <w:widowControl w:val="0"/>
        <w:autoSpaceDE w:val="0"/>
        <w:autoSpaceDN w:val="0"/>
        <w:jc w:val="both"/>
        <w:rPr>
          <w:rFonts w:ascii="Verdana" w:hAnsi="Verdana" w:cs="Arial"/>
          <w:b/>
        </w:rPr>
      </w:pPr>
    </w:p>
    <w:p w14:paraId="4A498FDE" w14:textId="77777777" w:rsidR="00EE1853" w:rsidRPr="001B6C2C" w:rsidRDefault="00EE1853" w:rsidP="00EE1853">
      <w:pPr>
        <w:pStyle w:val="NormalWeb"/>
        <w:shd w:val="clear" w:color="auto" w:fill="FFFFFF"/>
        <w:spacing w:before="0" w:beforeAutospacing="0" w:after="0" w:afterAutospacing="0"/>
        <w:jc w:val="both"/>
        <w:rPr>
          <w:rFonts w:ascii="Arial" w:hAnsi="Arial" w:cs="Arial"/>
          <w:bCs/>
          <w:sz w:val="20"/>
          <w:szCs w:val="20"/>
        </w:rPr>
      </w:pPr>
      <w:r w:rsidRPr="007C5A1B">
        <w:rPr>
          <w:rFonts w:ascii="Verdana" w:eastAsia="Calibri" w:hAnsi="Verdana" w:cs="Arial"/>
          <w:bCs/>
          <w:sz w:val="22"/>
          <w:szCs w:val="22"/>
          <w:lang w:val="es-ES_tradnl"/>
        </w:rPr>
        <w:t xml:space="preserve">[…] </w:t>
      </w:r>
      <w:r w:rsidRPr="007C5A1B">
        <w:rPr>
          <w:rFonts w:ascii="Verdana" w:hAnsi="Verdana" w:cs="Arial"/>
          <w:sz w:val="22"/>
          <w:szCs w:val="22"/>
        </w:rPr>
        <w:t xml:space="preserve">A partir de la interpretación del Decreto 248 de 2021, que modifica el Decreto 1071 de 2015, </w:t>
      </w:r>
      <w:r w:rsidRPr="007C5A1B">
        <w:rPr>
          <w:rFonts w:ascii="Verdana" w:hAnsi="Verdana" w:cs="Arial"/>
          <w:bCs/>
          <w:sz w:val="22"/>
          <w:szCs w:val="22"/>
        </w:rPr>
        <w:t xml:space="preserve">se deriva que el contrato de promesa de proveeduría tiene una naturaleza dual, pues no solo es un requisito habilitante en los procesos para </w:t>
      </w:r>
      <w:r w:rsidRPr="007C5A1B">
        <w:rPr>
          <w:rFonts w:ascii="Verdana" w:hAnsi="Verdana" w:cs="Arial"/>
          <w:sz w:val="22"/>
          <w:szCs w:val="22"/>
        </w:rPr>
        <w:t xml:space="preserve">la adquisición, suministro y entrega de alimentos, sino que también </w:t>
      </w:r>
      <w:r w:rsidRPr="007C5A1B">
        <w:rPr>
          <w:rFonts w:ascii="Verdana" w:hAnsi="Verdana" w:cs="Arial"/>
          <w:bCs/>
          <w:sz w:val="22"/>
          <w:szCs w:val="22"/>
        </w:rPr>
        <w:t xml:space="preserve">es documento necesario para acreditar uno de los puntajes adicionales previstos en el reglamento citado. </w:t>
      </w:r>
      <w:r w:rsidRPr="007C5A1B">
        <w:rPr>
          <w:rFonts w:ascii="Verdana" w:hAnsi="Verdana" w:cs="Arial"/>
          <w:bCs/>
          <w:i/>
          <w:iCs/>
          <w:sz w:val="22"/>
          <w:szCs w:val="22"/>
        </w:rPr>
        <w:t>Por un lado</w:t>
      </w:r>
      <w:r w:rsidRPr="007C5A1B">
        <w:rPr>
          <w:rFonts w:ascii="Verdana" w:hAnsi="Verdana" w:cs="Arial"/>
          <w:bCs/>
          <w:sz w:val="22"/>
          <w:szCs w:val="22"/>
        </w:rPr>
        <w:t xml:space="preserve">, de acuerdo con el artículo 2.20.1.1.4, la suscripción de este contrato </w:t>
      </w:r>
      <w:r w:rsidRPr="007C5A1B">
        <w:rPr>
          <w:rFonts w:ascii="Verdana" w:hAnsi="Verdana" w:cs="Arial"/>
          <w:sz w:val="22"/>
          <w:szCs w:val="22"/>
        </w:rPr>
        <w:t xml:space="preserve">debe solicitarse a los proponentes en el pliego de condiciones, por lo que resulta una exigencia obligatoria del procedimiento de contratación. Incluso, una vez adjudicado, «[…] la entidad contratante deberá verificar como requisito de ejecución que el contratista haya celebrado el contrato de proveeduría con los pequeños productores y/o productores de la Agricultura Campesina, Familiar o Comunitaria locales y sus organizaciones». Esto es </w:t>
      </w:r>
      <w:r w:rsidRPr="007C5A1B">
        <w:rPr>
          <w:rFonts w:ascii="Verdana" w:hAnsi="Verdana" w:cs="Arial"/>
          <w:bCs/>
          <w:sz w:val="22"/>
          <w:szCs w:val="22"/>
        </w:rPr>
        <w:t xml:space="preserve">congruente con el artículo 7 de la Ley 2046 de 2021 y el artículo </w:t>
      </w:r>
      <w:r w:rsidRPr="007C5A1B">
        <w:rPr>
          <w:rFonts w:ascii="Verdana" w:eastAsia="Calibri" w:hAnsi="Verdana" w:cs="Arial"/>
          <w:bCs/>
          <w:sz w:val="22"/>
          <w:szCs w:val="22"/>
          <w:lang w:val="es-ES_tradnl"/>
        </w:rPr>
        <w:t xml:space="preserve">2.20.1.1.3. del Decreto 1071 de 2015, en la medida que </w:t>
      </w:r>
      <w:r w:rsidRPr="007C5A1B">
        <w:rPr>
          <w:rFonts w:ascii="Verdana" w:hAnsi="Verdana" w:cs="Arial"/>
          <w:sz w:val="22"/>
          <w:szCs w:val="22"/>
        </w:rPr>
        <w:t>un porcentaje mínimo del treinta por ciento (30%) del valor total de los recursos del presupuesto de cada entidad deben destinarse a la compra de alimentos a los sujetos mencionados.</w:t>
      </w:r>
    </w:p>
    <w:p w14:paraId="032119E2" w14:textId="77777777" w:rsidR="00EE1853" w:rsidRDefault="00EE1853" w:rsidP="00EE1853">
      <w:pPr>
        <w:pStyle w:val="NormalWeb"/>
        <w:shd w:val="clear" w:color="auto" w:fill="FFFFFF"/>
        <w:spacing w:before="0" w:beforeAutospacing="0" w:after="0" w:afterAutospacing="0"/>
        <w:jc w:val="both"/>
        <w:rPr>
          <w:rFonts w:ascii="Arial" w:hAnsi="Arial" w:cs="Arial"/>
          <w:bCs/>
          <w:i/>
          <w:iCs/>
          <w:sz w:val="20"/>
          <w:szCs w:val="20"/>
        </w:rPr>
      </w:pPr>
    </w:p>
    <w:p w14:paraId="6BA1CA00" w14:textId="77777777" w:rsidR="007C5A1B" w:rsidRDefault="007C5A1B" w:rsidP="00285011">
      <w:pPr>
        <w:spacing w:after="0" w:line="240" w:lineRule="auto"/>
        <w:rPr>
          <w:rFonts w:ascii="Verdana" w:hAnsi="Verdana"/>
        </w:rPr>
      </w:pPr>
    </w:p>
    <w:p w14:paraId="05E622DA" w14:textId="77777777" w:rsidR="007C5A1B" w:rsidRDefault="007C5A1B" w:rsidP="00285011">
      <w:pPr>
        <w:spacing w:after="0" w:line="240" w:lineRule="auto"/>
        <w:rPr>
          <w:rFonts w:ascii="Verdana" w:hAnsi="Verdana"/>
        </w:rPr>
      </w:pPr>
    </w:p>
    <w:p w14:paraId="1E7D035B" w14:textId="77777777" w:rsidR="007C5A1B" w:rsidRDefault="007C5A1B" w:rsidP="00285011">
      <w:pPr>
        <w:spacing w:after="0" w:line="240" w:lineRule="auto"/>
        <w:rPr>
          <w:rFonts w:ascii="Verdana" w:hAnsi="Verdana"/>
        </w:rPr>
      </w:pPr>
    </w:p>
    <w:p w14:paraId="56DD3B08" w14:textId="77777777" w:rsidR="007C5A1B" w:rsidRDefault="007C5A1B" w:rsidP="00285011">
      <w:pPr>
        <w:spacing w:after="0" w:line="240" w:lineRule="auto"/>
        <w:rPr>
          <w:rFonts w:ascii="Verdana" w:hAnsi="Verdana"/>
        </w:rPr>
      </w:pPr>
    </w:p>
    <w:p w14:paraId="15701BFB" w14:textId="77777777" w:rsidR="007C5A1B" w:rsidRDefault="007C5A1B" w:rsidP="00285011">
      <w:pPr>
        <w:spacing w:after="0" w:line="240" w:lineRule="auto"/>
        <w:rPr>
          <w:rFonts w:ascii="Verdana" w:hAnsi="Verdana"/>
        </w:rPr>
      </w:pPr>
    </w:p>
    <w:p w14:paraId="325B5545" w14:textId="77777777" w:rsidR="007C5A1B" w:rsidRDefault="007C5A1B" w:rsidP="00285011">
      <w:pPr>
        <w:spacing w:after="0" w:line="240" w:lineRule="auto"/>
        <w:rPr>
          <w:rFonts w:ascii="Verdana" w:hAnsi="Verdana"/>
        </w:rPr>
      </w:pPr>
    </w:p>
    <w:p w14:paraId="46C78447" w14:textId="77777777" w:rsidR="007C5A1B" w:rsidRDefault="007C5A1B" w:rsidP="00285011">
      <w:pPr>
        <w:spacing w:after="0" w:line="240" w:lineRule="auto"/>
        <w:rPr>
          <w:rFonts w:ascii="Verdana" w:hAnsi="Verdana"/>
        </w:rPr>
      </w:pPr>
    </w:p>
    <w:p w14:paraId="4D1385F8" w14:textId="77777777" w:rsidR="007C5A1B" w:rsidRDefault="007C5A1B" w:rsidP="00285011">
      <w:pPr>
        <w:spacing w:after="0" w:line="240" w:lineRule="auto"/>
        <w:rPr>
          <w:rFonts w:ascii="Verdana" w:hAnsi="Verdana"/>
        </w:rPr>
      </w:pPr>
    </w:p>
    <w:p w14:paraId="101034FC" w14:textId="77777777" w:rsidR="007C5A1B" w:rsidRDefault="007C5A1B" w:rsidP="00285011">
      <w:pPr>
        <w:spacing w:after="0" w:line="240" w:lineRule="auto"/>
        <w:rPr>
          <w:rFonts w:ascii="Verdana" w:hAnsi="Verdana"/>
        </w:rPr>
      </w:pPr>
    </w:p>
    <w:p w14:paraId="5946910F" w14:textId="77777777" w:rsidR="007C5A1B" w:rsidRDefault="007C5A1B" w:rsidP="00285011">
      <w:pPr>
        <w:spacing w:after="0" w:line="240" w:lineRule="auto"/>
        <w:rPr>
          <w:rFonts w:ascii="Verdana" w:hAnsi="Verdana"/>
        </w:rPr>
      </w:pPr>
    </w:p>
    <w:p w14:paraId="0F70E308" w14:textId="77777777" w:rsidR="007C5A1B" w:rsidRDefault="007C5A1B" w:rsidP="00285011">
      <w:pPr>
        <w:spacing w:after="0" w:line="240" w:lineRule="auto"/>
        <w:rPr>
          <w:rFonts w:ascii="Verdana" w:hAnsi="Verdana"/>
        </w:rPr>
      </w:pPr>
    </w:p>
    <w:p w14:paraId="522F50AA" w14:textId="77777777" w:rsidR="007C5A1B" w:rsidRDefault="007C5A1B" w:rsidP="00285011">
      <w:pPr>
        <w:spacing w:after="0" w:line="240" w:lineRule="auto"/>
        <w:rPr>
          <w:rFonts w:ascii="Verdana" w:hAnsi="Verdana"/>
        </w:rPr>
      </w:pPr>
    </w:p>
    <w:p w14:paraId="50B1128F" w14:textId="77777777" w:rsidR="007C5A1B" w:rsidRDefault="007C5A1B" w:rsidP="00285011">
      <w:pPr>
        <w:spacing w:after="0" w:line="240" w:lineRule="auto"/>
        <w:rPr>
          <w:rFonts w:ascii="Verdana" w:hAnsi="Verdana"/>
        </w:rPr>
      </w:pPr>
    </w:p>
    <w:p w14:paraId="1273ED4C" w14:textId="77777777" w:rsidR="007C5A1B" w:rsidRDefault="007C5A1B" w:rsidP="00285011">
      <w:pPr>
        <w:spacing w:after="0" w:line="240" w:lineRule="auto"/>
        <w:rPr>
          <w:rFonts w:ascii="Verdana" w:hAnsi="Verdana"/>
        </w:rPr>
      </w:pPr>
    </w:p>
    <w:p w14:paraId="6CB1483B" w14:textId="77777777" w:rsidR="007C5A1B" w:rsidRDefault="007C5A1B" w:rsidP="00285011">
      <w:pPr>
        <w:spacing w:after="0" w:line="240" w:lineRule="auto"/>
        <w:rPr>
          <w:rFonts w:ascii="Verdana" w:hAnsi="Verdana"/>
        </w:rPr>
      </w:pPr>
    </w:p>
    <w:p w14:paraId="1E5584A0" w14:textId="77777777" w:rsidR="007C5A1B" w:rsidRDefault="007C5A1B" w:rsidP="00285011">
      <w:pPr>
        <w:spacing w:after="0" w:line="240" w:lineRule="auto"/>
        <w:rPr>
          <w:rFonts w:ascii="Verdana" w:hAnsi="Verdana"/>
        </w:rPr>
      </w:pPr>
    </w:p>
    <w:p w14:paraId="58810555" w14:textId="77777777" w:rsidR="007C5A1B" w:rsidRDefault="007C5A1B" w:rsidP="00285011">
      <w:pPr>
        <w:spacing w:after="0" w:line="240" w:lineRule="auto"/>
        <w:rPr>
          <w:rFonts w:ascii="Verdana" w:hAnsi="Verdana"/>
        </w:rPr>
      </w:pPr>
    </w:p>
    <w:p w14:paraId="3A1D1F5A" w14:textId="77777777" w:rsidR="007C5A1B" w:rsidRDefault="007C5A1B" w:rsidP="00285011">
      <w:pPr>
        <w:spacing w:after="0" w:line="240" w:lineRule="auto"/>
        <w:rPr>
          <w:rFonts w:ascii="Verdana" w:hAnsi="Verdana"/>
        </w:rPr>
      </w:pPr>
    </w:p>
    <w:p w14:paraId="1BB02B8B" w14:textId="77777777" w:rsidR="007C5A1B" w:rsidRDefault="007C5A1B" w:rsidP="00285011">
      <w:pPr>
        <w:spacing w:after="0" w:line="240" w:lineRule="auto"/>
        <w:rPr>
          <w:rFonts w:ascii="Verdana" w:hAnsi="Verdana"/>
        </w:rPr>
      </w:pPr>
    </w:p>
    <w:p w14:paraId="5363C5A7" w14:textId="77777777" w:rsidR="007C5A1B" w:rsidRDefault="007C5A1B" w:rsidP="00285011">
      <w:pPr>
        <w:spacing w:after="0" w:line="240" w:lineRule="auto"/>
        <w:rPr>
          <w:rFonts w:ascii="Verdana" w:hAnsi="Verdana"/>
        </w:rPr>
      </w:pPr>
    </w:p>
    <w:p w14:paraId="358FE6E3" w14:textId="77777777" w:rsidR="007C5A1B" w:rsidRDefault="007C5A1B" w:rsidP="00285011">
      <w:pPr>
        <w:spacing w:after="0" w:line="240" w:lineRule="auto"/>
        <w:rPr>
          <w:rFonts w:ascii="Verdana" w:hAnsi="Verdana"/>
        </w:rPr>
      </w:pPr>
    </w:p>
    <w:p w14:paraId="55FF10F2" w14:textId="77777777" w:rsidR="007C5A1B" w:rsidRDefault="007C5A1B" w:rsidP="00285011">
      <w:pPr>
        <w:spacing w:after="0" w:line="240" w:lineRule="auto"/>
        <w:rPr>
          <w:rFonts w:ascii="Verdana" w:hAnsi="Verdana"/>
        </w:rPr>
      </w:pPr>
    </w:p>
    <w:p w14:paraId="3FE2184B" w14:textId="6C9973DF" w:rsidR="00E245AB" w:rsidRPr="0044528D" w:rsidRDefault="0077084E" w:rsidP="00285011">
      <w:pPr>
        <w:spacing w:after="0" w:line="240" w:lineRule="auto"/>
        <w:rPr>
          <w:rFonts w:ascii="Verdana" w:hAnsi="Verdana"/>
        </w:rPr>
      </w:pPr>
      <w:r w:rsidRPr="0077084E">
        <w:rPr>
          <w:rFonts w:ascii="Verdana" w:eastAsia="Calibri" w:hAnsi="Verdana" w:cs="Arial"/>
          <w:noProof/>
          <w:lang w:val="es-MX" w:eastAsia="es-ES"/>
        </w:rPr>
        <w:lastRenderedPageBreak/>
        <w:drawing>
          <wp:anchor distT="0" distB="0" distL="114300" distR="114300" simplePos="0" relativeHeight="251658752" behindDoc="0" locked="0" layoutInCell="1" allowOverlap="1" wp14:anchorId="2FDFF550" wp14:editId="203A88A7">
            <wp:simplePos x="0" y="0"/>
            <wp:positionH relativeFrom="column">
              <wp:posOffset>2607945</wp:posOffset>
            </wp:positionH>
            <wp:positionV relativeFrom="paragraph">
              <wp:posOffset>0</wp:posOffset>
            </wp:positionV>
            <wp:extent cx="3143250" cy="1019810"/>
            <wp:effectExtent l="0" t="0" r="0" b="8890"/>
            <wp:wrapSquare wrapText="bothSides"/>
            <wp:docPr id="10782708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270851" name=""/>
                    <pic:cNvPicPr/>
                  </pic:nvPicPr>
                  <pic:blipFill>
                    <a:blip r:embed="rId11">
                      <a:extLst>
                        <a:ext uri="{28A0092B-C50C-407E-A947-70E740481C1C}">
                          <a14:useLocalDpi xmlns:a14="http://schemas.microsoft.com/office/drawing/2010/main" val="0"/>
                        </a:ext>
                      </a:extLst>
                    </a:blip>
                    <a:stretch>
                      <a:fillRect/>
                    </a:stretch>
                  </pic:blipFill>
                  <pic:spPr>
                    <a:xfrm>
                      <a:off x="0" y="0"/>
                      <a:ext cx="3143250" cy="1019810"/>
                    </a:xfrm>
                    <a:prstGeom prst="rect">
                      <a:avLst/>
                    </a:prstGeom>
                  </pic:spPr>
                </pic:pic>
              </a:graphicData>
            </a:graphic>
            <wp14:sizeRelH relativeFrom="margin">
              <wp14:pctWidth>0</wp14:pctWidth>
            </wp14:sizeRelH>
            <wp14:sizeRelV relativeFrom="margin">
              <wp14:pctHeight>0</wp14:pctHeight>
            </wp14:sizeRelV>
          </wp:anchor>
        </w:drawing>
      </w:r>
      <w:r w:rsidR="00E245AB" w:rsidRPr="0044528D">
        <w:rPr>
          <w:rFonts w:ascii="Verdana" w:hAnsi="Verdana"/>
        </w:rPr>
        <w:t xml:space="preserve">Bogotá D.C., </w:t>
      </w:r>
      <w:r w:rsidR="00D805FA">
        <w:rPr>
          <w:rFonts w:ascii="Verdana" w:hAnsi="Verdana"/>
        </w:rPr>
        <w:t>1 abril 2025</w:t>
      </w:r>
      <w:r w:rsidR="00891928" w:rsidRPr="0044528D">
        <w:rPr>
          <w:rFonts w:ascii="Verdana" w:hAnsi="Verdana"/>
        </w:rPr>
        <w:tab/>
      </w:r>
    </w:p>
    <w:p w14:paraId="5FCADBF9" w14:textId="6EE2FD45" w:rsidR="00E245AB" w:rsidRPr="0044528D" w:rsidRDefault="00E245AB" w:rsidP="00285011">
      <w:pPr>
        <w:spacing w:after="0" w:line="240" w:lineRule="auto"/>
        <w:rPr>
          <w:rFonts w:ascii="Verdana" w:hAnsi="Verdana"/>
        </w:rPr>
      </w:pPr>
    </w:p>
    <w:p w14:paraId="5A5FE52B" w14:textId="43186A47" w:rsidR="00E072B2" w:rsidRPr="00F26928" w:rsidRDefault="00E072B2" w:rsidP="00E072B2">
      <w:pPr>
        <w:spacing w:after="0" w:line="240" w:lineRule="auto"/>
        <w:rPr>
          <w:rFonts w:ascii="Verdana" w:eastAsia="Calibri" w:hAnsi="Verdana" w:cs="Arial"/>
          <w:lang w:val="es-MX" w:eastAsia="es-ES"/>
        </w:rPr>
      </w:pPr>
      <w:r w:rsidRPr="00F26928">
        <w:rPr>
          <w:rFonts w:ascii="Verdana" w:eastAsia="Calibri" w:hAnsi="Verdana" w:cs="Arial"/>
          <w:lang w:val="es-MX" w:eastAsia="es-ES"/>
        </w:rPr>
        <w:t>Señor</w:t>
      </w:r>
      <w:r w:rsidR="00FC0E0C">
        <w:rPr>
          <w:rFonts w:ascii="Verdana" w:eastAsia="Calibri" w:hAnsi="Verdana" w:cs="Arial"/>
          <w:lang w:val="es-MX" w:eastAsia="es-ES"/>
        </w:rPr>
        <w:t>a</w:t>
      </w:r>
      <w:r w:rsidR="0077084E" w:rsidRPr="0077084E">
        <w:rPr>
          <w:noProof/>
        </w:rPr>
        <w:t xml:space="preserve"> </w:t>
      </w:r>
    </w:p>
    <w:p w14:paraId="2BE798B6" w14:textId="7710A56A" w:rsidR="00E072B2" w:rsidRPr="00570999" w:rsidRDefault="00FC0E0C" w:rsidP="00E072B2">
      <w:pPr>
        <w:spacing w:after="0" w:line="240" w:lineRule="auto"/>
        <w:rPr>
          <w:rFonts w:ascii="Verdana" w:eastAsia="Calibri" w:hAnsi="Verdana" w:cs="Arial"/>
          <w:b/>
          <w:bCs/>
          <w:lang w:val="es-MX" w:eastAsia="es-ES"/>
        </w:rPr>
      </w:pPr>
      <w:proofErr w:type="spellStart"/>
      <w:r w:rsidRPr="00570999">
        <w:rPr>
          <w:rFonts w:ascii="Verdana" w:eastAsia="Calibri" w:hAnsi="Verdana" w:cs="Arial"/>
          <w:b/>
          <w:bCs/>
          <w:lang w:val="es-MX" w:eastAsia="es-ES"/>
        </w:rPr>
        <w:t>Jaissa</w:t>
      </w:r>
      <w:proofErr w:type="spellEnd"/>
      <w:r w:rsidRPr="00570999">
        <w:rPr>
          <w:rFonts w:ascii="Verdana" w:eastAsia="Calibri" w:hAnsi="Verdana" w:cs="Arial"/>
          <w:b/>
          <w:bCs/>
          <w:lang w:val="es-MX" w:eastAsia="es-ES"/>
        </w:rPr>
        <w:t xml:space="preserve"> </w:t>
      </w:r>
      <w:proofErr w:type="spellStart"/>
      <w:r w:rsidRPr="00570999">
        <w:rPr>
          <w:rFonts w:ascii="Verdana" w:eastAsia="Calibri" w:hAnsi="Verdana" w:cs="Arial"/>
          <w:b/>
          <w:bCs/>
          <w:lang w:val="es-MX" w:eastAsia="es-ES"/>
        </w:rPr>
        <w:t>Daviana</w:t>
      </w:r>
      <w:proofErr w:type="spellEnd"/>
      <w:r w:rsidRPr="00570999">
        <w:rPr>
          <w:rFonts w:ascii="Verdana" w:eastAsia="Calibri" w:hAnsi="Verdana" w:cs="Arial"/>
          <w:b/>
          <w:bCs/>
          <w:lang w:val="es-MX" w:eastAsia="es-ES"/>
        </w:rPr>
        <w:t xml:space="preserve"> Barrera </w:t>
      </w:r>
      <w:proofErr w:type="spellStart"/>
      <w:r w:rsidRPr="00570999">
        <w:rPr>
          <w:rFonts w:ascii="Verdana" w:eastAsia="Calibri" w:hAnsi="Verdana" w:cs="Arial"/>
          <w:b/>
          <w:bCs/>
          <w:lang w:val="es-MX" w:eastAsia="es-ES"/>
        </w:rPr>
        <w:t>Linan</w:t>
      </w:r>
      <w:proofErr w:type="spellEnd"/>
    </w:p>
    <w:p w14:paraId="6EDA3BC8" w14:textId="77777777" w:rsidR="00E072B2" w:rsidRPr="00E072B2" w:rsidRDefault="00E072B2" w:rsidP="00E072B2">
      <w:pPr>
        <w:spacing w:after="0" w:line="240" w:lineRule="auto"/>
        <w:rPr>
          <w:rFonts w:ascii="Verdana" w:eastAsia="Calibri" w:hAnsi="Verdana" w:cs="Arial"/>
          <w:b/>
          <w:bCs/>
          <w:lang w:val="es-MX" w:eastAsia="es-ES"/>
        </w:rPr>
      </w:pPr>
      <w:r w:rsidRPr="00E072B2">
        <w:rPr>
          <w:rStyle w:val="Hipervnculo"/>
          <w:rFonts w:ascii="Verdana" w:hAnsi="Verdana"/>
          <w:lang w:val="es-MX" w:eastAsia="es-ES"/>
        </w:rPr>
        <w:t>jadaba821@gmail.com</w:t>
      </w:r>
      <w:r w:rsidRPr="00E072B2">
        <w:rPr>
          <w:rFonts w:ascii="Verdana" w:eastAsia="Calibri" w:hAnsi="Verdana" w:cs="Arial"/>
          <w:b/>
          <w:bCs/>
          <w:lang w:val="es-MX" w:eastAsia="es-ES"/>
        </w:rPr>
        <w:t xml:space="preserve"> </w:t>
      </w:r>
    </w:p>
    <w:p w14:paraId="4534544D" w14:textId="6DB02936" w:rsidR="00E072B2" w:rsidRPr="00570999" w:rsidRDefault="00E072B2" w:rsidP="00E072B2">
      <w:pPr>
        <w:spacing w:after="0" w:line="240" w:lineRule="auto"/>
        <w:rPr>
          <w:rFonts w:ascii="Verdana" w:eastAsia="Calibri" w:hAnsi="Verdana" w:cs="Arial"/>
          <w:lang w:val="es-ES" w:eastAsia="es-ES"/>
        </w:rPr>
      </w:pPr>
      <w:r w:rsidRPr="00570999">
        <w:rPr>
          <w:rFonts w:ascii="Verdana" w:eastAsia="Calibri" w:hAnsi="Verdana" w:cs="Arial"/>
          <w:lang w:val="es-MX" w:eastAsia="es-ES"/>
        </w:rPr>
        <w:t>Santa</w:t>
      </w:r>
      <w:r w:rsidR="00FC0E0C">
        <w:rPr>
          <w:rFonts w:ascii="Verdana" w:eastAsia="Calibri" w:hAnsi="Verdana" w:cs="Arial"/>
          <w:lang w:val="es-MX" w:eastAsia="es-ES"/>
        </w:rPr>
        <w:t xml:space="preserve"> M</w:t>
      </w:r>
      <w:r w:rsidRPr="00570999">
        <w:rPr>
          <w:rFonts w:ascii="Verdana" w:eastAsia="Calibri" w:hAnsi="Verdana" w:cs="Arial"/>
          <w:lang w:val="es-MX" w:eastAsia="es-ES"/>
        </w:rPr>
        <w:t xml:space="preserve">arta, Magdalena </w:t>
      </w:r>
    </w:p>
    <w:p w14:paraId="0392F680" w14:textId="77777777" w:rsidR="00E072B2" w:rsidRPr="00F26928" w:rsidRDefault="00E072B2" w:rsidP="00E072B2">
      <w:pPr>
        <w:spacing w:after="0" w:line="240" w:lineRule="auto"/>
        <w:rPr>
          <w:rFonts w:ascii="Verdana" w:eastAsia="Calibri" w:hAnsi="Verdana" w:cs="Arial"/>
          <w:b/>
          <w:bCs/>
          <w:lang w:val="es-ES_tradnl" w:eastAsia="es-ES_tradnl"/>
        </w:rPr>
      </w:pPr>
    </w:p>
    <w:p w14:paraId="38074EE3" w14:textId="77777777" w:rsidR="00E072B2" w:rsidRPr="00F26928" w:rsidRDefault="00E072B2" w:rsidP="00E072B2">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072B2" w:rsidRPr="00F26928" w14:paraId="4C77C9D5" w14:textId="77777777" w:rsidTr="00502B69">
        <w:trPr>
          <w:trHeight w:val="152"/>
        </w:trPr>
        <w:tc>
          <w:tcPr>
            <w:tcW w:w="2689" w:type="dxa"/>
          </w:tcPr>
          <w:p w14:paraId="0B6A31C3" w14:textId="77777777" w:rsidR="00E072B2" w:rsidRPr="00F26928" w:rsidRDefault="00E072B2" w:rsidP="00502B69">
            <w:pPr>
              <w:jc w:val="both"/>
              <w:rPr>
                <w:rFonts w:ascii="Verdana" w:hAnsi="Verdana" w:cs="Arial"/>
                <w:b/>
                <w:bCs/>
                <w:lang w:val="es-ES_tradnl" w:eastAsia="es-ES_tradnl"/>
              </w:rPr>
            </w:pPr>
          </w:p>
        </w:tc>
        <w:tc>
          <w:tcPr>
            <w:tcW w:w="6100" w:type="dxa"/>
            <w:hideMark/>
          </w:tcPr>
          <w:p w14:paraId="0403AA69" w14:textId="327E92A2" w:rsidR="00E072B2" w:rsidRDefault="00E072B2" w:rsidP="00502B69">
            <w:pPr>
              <w:jc w:val="both"/>
              <w:rPr>
                <w:rFonts w:ascii="Verdana" w:hAnsi="Verdana" w:cs="Arial"/>
                <w:b/>
                <w:bCs/>
                <w:lang w:val="es-ES" w:eastAsia="es-ES"/>
              </w:rPr>
            </w:pPr>
            <w:r w:rsidRPr="00F26928">
              <w:rPr>
                <w:rFonts w:ascii="Verdana" w:hAnsi="Verdana" w:cs="Arial"/>
                <w:b/>
                <w:bCs/>
                <w:lang w:val="es-ES" w:eastAsia="es-ES"/>
              </w:rPr>
              <w:t xml:space="preserve">Concepto C- </w:t>
            </w:r>
            <w:r w:rsidR="0050297B">
              <w:rPr>
                <w:rFonts w:ascii="Verdana" w:hAnsi="Verdana" w:cs="Arial"/>
                <w:b/>
                <w:bCs/>
                <w:lang w:val="es-ES" w:eastAsia="es-ES"/>
              </w:rPr>
              <w:t>230</w:t>
            </w:r>
            <w:r w:rsidRPr="00F26928">
              <w:rPr>
                <w:rFonts w:ascii="Verdana" w:hAnsi="Verdana" w:cs="Arial"/>
                <w:b/>
                <w:bCs/>
                <w:lang w:val="es-ES" w:eastAsia="es-ES"/>
              </w:rPr>
              <w:t xml:space="preserve"> de 2025</w:t>
            </w:r>
          </w:p>
          <w:p w14:paraId="1BAD23D6" w14:textId="77777777" w:rsidR="00E072B2" w:rsidRPr="003B4407" w:rsidRDefault="00E072B2" w:rsidP="00502B69">
            <w:pPr>
              <w:jc w:val="both"/>
              <w:rPr>
                <w:rFonts w:ascii="Verdana" w:hAnsi="Verdana" w:cs="Arial"/>
                <w:b/>
                <w:bCs/>
                <w:lang w:val="es-ES" w:eastAsia="es-ES"/>
              </w:rPr>
            </w:pPr>
          </w:p>
          <w:p w14:paraId="5C448A3A" w14:textId="77777777" w:rsidR="00E072B2" w:rsidRPr="00F26928" w:rsidRDefault="00E072B2" w:rsidP="00502B69">
            <w:pPr>
              <w:jc w:val="both"/>
              <w:rPr>
                <w:rFonts w:ascii="Verdana" w:hAnsi="Verdana" w:cs="Arial"/>
                <w:b/>
                <w:bCs/>
                <w:lang w:val="es-ES" w:eastAsia="es-ES"/>
              </w:rPr>
            </w:pPr>
          </w:p>
        </w:tc>
      </w:tr>
      <w:tr w:rsidR="00E072B2" w:rsidRPr="00F26928" w14:paraId="1CBEF45B" w14:textId="77777777" w:rsidTr="00502B69">
        <w:trPr>
          <w:trHeight w:val="884"/>
        </w:trPr>
        <w:tc>
          <w:tcPr>
            <w:tcW w:w="2689" w:type="dxa"/>
            <w:hideMark/>
          </w:tcPr>
          <w:p w14:paraId="2A86C666" w14:textId="77777777" w:rsidR="00E072B2" w:rsidRPr="00F26928" w:rsidRDefault="00E072B2" w:rsidP="00502B69">
            <w:pPr>
              <w:jc w:val="both"/>
              <w:rPr>
                <w:rFonts w:ascii="Verdana" w:hAnsi="Verdana" w:cs="Arial"/>
                <w:lang w:val="es-ES_tradnl" w:eastAsia="es-ES_tradnl"/>
              </w:rPr>
            </w:pPr>
            <w:r w:rsidRPr="00F26928">
              <w:rPr>
                <w:rFonts w:ascii="Verdana" w:hAnsi="Verdana" w:cs="Arial"/>
                <w:b/>
                <w:lang w:val="es-ES_tradnl" w:eastAsia="es-ES_tradnl"/>
              </w:rPr>
              <w:t>Temas:</w:t>
            </w:r>
            <w:r w:rsidRPr="00F26928">
              <w:rPr>
                <w:rFonts w:ascii="Verdana" w:hAnsi="Verdana" w:cs="Arial"/>
                <w:lang w:val="es-ES_tradnl" w:eastAsia="es-ES_tradnl"/>
              </w:rPr>
              <w:t xml:space="preserve">                   </w:t>
            </w:r>
          </w:p>
        </w:tc>
        <w:tc>
          <w:tcPr>
            <w:tcW w:w="6100" w:type="dxa"/>
          </w:tcPr>
          <w:p w14:paraId="0F75FE9D" w14:textId="58D68BE8" w:rsidR="00E072B2" w:rsidRDefault="00E072B2" w:rsidP="00502B69">
            <w:pPr>
              <w:jc w:val="both"/>
              <w:rPr>
                <w:rFonts w:ascii="Verdana" w:eastAsia="Calibri" w:hAnsi="Verdana" w:cs="Arial"/>
                <w:lang w:val="es-ES_tradnl" w:eastAsia="es-ES"/>
              </w:rPr>
            </w:pPr>
            <w:r w:rsidRPr="00D90E97">
              <w:rPr>
                <w:rFonts w:ascii="Verdana" w:eastAsia="Calibri" w:hAnsi="Verdana" w:cs="Arial"/>
                <w:lang w:val="es-ES_tradnl" w:eastAsia="es-ES"/>
              </w:rPr>
              <w:t>LEY 1955 DE 2019 – Artículo 229 – Finalidad / LEY 2046 DE 2020 – Finalidad – Ámbito de aplicación - Compra pública de alimentos / LEY 2046 DE 2020 – Artículo 7 – Incentivos contractuales – Puntajes adicionales – Promoción de la compra pública de alimentos / DECRETO 248 DE 2021 –Contrato de proveeduría – Actividades de los productores</w:t>
            </w:r>
            <w:r>
              <w:rPr>
                <w:rFonts w:ascii="Verdana" w:eastAsia="Calibri" w:hAnsi="Verdana" w:cs="Arial"/>
                <w:lang w:val="es-ES_tradnl" w:eastAsia="es-ES"/>
              </w:rPr>
              <w:t>.</w:t>
            </w:r>
          </w:p>
          <w:p w14:paraId="3CB5926B" w14:textId="77777777" w:rsidR="00E072B2" w:rsidRPr="00F26928" w:rsidRDefault="00E072B2" w:rsidP="00502B69">
            <w:pPr>
              <w:jc w:val="both"/>
              <w:rPr>
                <w:rFonts w:ascii="Verdana" w:hAnsi="Verdana" w:cs="Arial"/>
                <w:lang w:val="es-ES_tradnl" w:eastAsia="es-ES"/>
              </w:rPr>
            </w:pPr>
            <w:r w:rsidRPr="00D90E97">
              <w:rPr>
                <w:rFonts w:ascii="Verdana" w:eastAsia="Calibri" w:hAnsi="Verdana" w:cs="Arial"/>
                <w:lang w:val="es-ES_tradnl" w:eastAsia="es-ES"/>
              </w:rPr>
              <w:t xml:space="preserve"> </w:t>
            </w:r>
          </w:p>
        </w:tc>
      </w:tr>
      <w:tr w:rsidR="00E072B2" w:rsidRPr="00F26928" w14:paraId="013FFFD7" w14:textId="77777777" w:rsidTr="00502B69">
        <w:tc>
          <w:tcPr>
            <w:tcW w:w="2689" w:type="dxa"/>
            <w:hideMark/>
          </w:tcPr>
          <w:p w14:paraId="64B10699" w14:textId="77777777" w:rsidR="00E072B2" w:rsidRPr="00F26928" w:rsidRDefault="00E072B2" w:rsidP="00502B69">
            <w:pPr>
              <w:jc w:val="both"/>
              <w:rPr>
                <w:rFonts w:ascii="Verdana" w:hAnsi="Verdana" w:cs="Arial"/>
                <w:b/>
                <w:lang w:val="es-ES_tradnl" w:eastAsia="es-ES_tradnl"/>
              </w:rPr>
            </w:pPr>
            <w:r w:rsidRPr="00F26928">
              <w:rPr>
                <w:rFonts w:ascii="Verdana" w:hAnsi="Verdana" w:cs="Arial"/>
                <w:b/>
                <w:lang w:val="es-ES_tradnl" w:eastAsia="es-ES_tradnl"/>
              </w:rPr>
              <w:t>Radicación:</w:t>
            </w:r>
            <w:r w:rsidRPr="00F26928">
              <w:rPr>
                <w:rFonts w:ascii="Verdana" w:hAnsi="Verdana" w:cs="Arial"/>
                <w:lang w:val="es-ES_tradnl" w:eastAsia="es-ES_tradnl"/>
              </w:rPr>
              <w:t xml:space="preserve">               </w:t>
            </w:r>
          </w:p>
        </w:tc>
        <w:tc>
          <w:tcPr>
            <w:tcW w:w="6100" w:type="dxa"/>
          </w:tcPr>
          <w:p w14:paraId="7656F69E" w14:textId="77777777" w:rsidR="00E072B2" w:rsidRPr="00F26928" w:rsidRDefault="00E072B2" w:rsidP="00502B69">
            <w:pPr>
              <w:jc w:val="both"/>
              <w:rPr>
                <w:rFonts w:ascii="Verdana" w:hAnsi="Verdana" w:cs="Arial"/>
                <w:lang w:val="es-ES_tradnl" w:eastAsia="es-ES_tradnl"/>
              </w:rPr>
            </w:pPr>
            <w:r w:rsidRPr="00F26928">
              <w:rPr>
                <w:rFonts w:ascii="Verdana" w:hAnsi="Verdana" w:cs="Arial"/>
                <w:lang w:val="es-ES_tradnl" w:eastAsia="es-ES_tradnl"/>
              </w:rPr>
              <w:t xml:space="preserve">Respuesta a consulta con radicado No. </w:t>
            </w:r>
            <w:r w:rsidRPr="00C60CE7">
              <w:rPr>
                <w:rFonts w:ascii="Verdana" w:hAnsi="Verdana"/>
                <w:lang w:eastAsia="es-ES_tradnl"/>
              </w:rPr>
              <w:t>P20250221001751</w:t>
            </w:r>
          </w:p>
        </w:tc>
      </w:tr>
    </w:tbl>
    <w:p w14:paraId="0F469913" w14:textId="77777777" w:rsidR="00E072B2" w:rsidRPr="00F26928" w:rsidRDefault="00E072B2" w:rsidP="00E072B2">
      <w:pPr>
        <w:spacing w:after="0" w:line="240" w:lineRule="auto"/>
        <w:jc w:val="both"/>
        <w:rPr>
          <w:rFonts w:ascii="Verdana" w:eastAsia="Calibri" w:hAnsi="Verdana" w:cs="Arial"/>
          <w:lang w:val="es-ES_tradnl" w:eastAsia="es-ES_tradnl"/>
        </w:rPr>
      </w:pPr>
    </w:p>
    <w:p w14:paraId="226B29B3" w14:textId="77777777" w:rsidR="00E072B2" w:rsidRPr="00F26928" w:rsidRDefault="00E072B2" w:rsidP="00E072B2">
      <w:pPr>
        <w:spacing w:after="0" w:line="240" w:lineRule="auto"/>
        <w:jc w:val="both"/>
        <w:rPr>
          <w:rFonts w:ascii="Verdana" w:eastAsia="Calibri" w:hAnsi="Verdana" w:cs="Arial"/>
          <w:lang w:val="es-ES_tradnl" w:eastAsia="es-ES_tradnl"/>
        </w:rPr>
      </w:pPr>
    </w:p>
    <w:p w14:paraId="042B750F" w14:textId="77777777" w:rsidR="00E072B2" w:rsidRPr="00F26928" w:rsidRDefault="00E072B2" w:rsidP="00E072B2">
      <w:pPr>
        <w:spacing w:after="0" w:line="276" w:lineRule="auto"/>
        <w:jc w:val="both"/>
        <w:rPr>
          <w:rFonts w:ascii="Verdana" w:eastAsia="Calibri" w:hAnsi="Verdana" w:cs="Arial"/>
          <w:lang w:val="es-ES" w:eastAsia="es-ES"/>
        </w:rPr>
      </w:pPr>
      <w:r w:rsidRPr="00F26928">
        <w:rPr>
          <w:rFonts w:ascii="Verdana" w:eastAsia="Calibri" w:hAnsi="Verdana" w:cs="Arial"/>
          <w:lang w:val="es-ES" w:eastAsia="es-ES"/>
        </w:rPr>
        <w:t>Estimad</w:t>
      </w:r>
      <w:r>
        <w:rPr>
          <w:rFonts w:ascii="Verdana" w:eastAsia="Calibri" w:hAnsi="Verdana" w:cs="Arial"/>
          <w:lang w:val="es-ES" w:eastAsia="es-ES"/>
        </w:rPr>
        <w:t>a</w:t>
      </w:r>
      <w:r w:rsidRPr="00F26928">
        <w:rPr>
          <w:rFonts w:ascii="Verdana" w:eastAsia="Calibri" w:hAnsi="Verdana" w:cs="Arial"/>
          <w:lang w:val="es-ES" w:eastAsia="es-ES"/>
        </w:rPr>
        <w:t xml:space="preserve"> señor</w:t>
      </w:r>
      <w:r>
        <w:rPr>
          <w:rFonts w:ascii="Verdana" w:eastAsia="Calibri" w:hAnsi="Verdana" w:cs="Arial"/>
          <w:lang w:val="es-ES" w:eastAsia="es-ES"/>
        </w:rPr>
        <w:t>a</w:t>
      </w:r>
      <w:r w:rsidRPr="00F26928">
        <w:rPr>
          <w:rFonts w:ascii="Verdana" w:eastAsia="Calibri" w:hAnsi="Verdana" w:cs="Arial"/>
          <w:lang w:val="es-ES" w:eastAsia="es-ES"/>
        </w:rPr>
        <w:t xml:space="preserve"> </w:t>
      </w:r>
      <w:proofErr w:type="spellStart"/>
      <w:r w:rsidRPr="00421A90">
        <w:rPr>
          <w:rFonts w:ascii="Verdana" w:eastAsia="Calibri" w:hAnsi="Verdana" w:cs="Arial"/>
          <w:lang w:val="es-ES" w:eastAsia="es-ES"/>
        </w:rPr>
        <w:t>Jaissa</w:t>
      </w:r>
      <w:proofErr w:type="spellEnd"/>
      <w:r w:rsidRPr="00F26928">
        <w:rPr>
          <w:rFonts w:ascii="Verdana" w:eastAsia="Calibri" w:hAnsi="Verdana" w:cs="Arial"/>
          <w:lang w:val="es-ES" w:eastAsia="es-ES"/>
        </w:rPr>
        <w:t xml:space="preserve">: </w:t>
      </w:r>
    </w:p>
    <w:p w14:paraId="1236850D" w14:textId="77777777" w:rsidR="00E072B2" w:rsidRPr="00F26928" w:rsidRDefault="00E072B2" w:rsidP="00E072B2">
      <w:pPr>
        <w:tabs>
          <w:tab w:val="left" w:pos="3768"/>
        </w:tabs>
        <w:spacing w:after="0" w:line="276" w:lineRule="auto"/>
        <w:jc w:val="both"/>
        <w:rPr>
          <w:rFonts w:ascii="Verdana" w:eastAsia="Calibri" w:hAnsi="Verdana" w:cs="Arial"/>
          <w:lang w:val="es-ES" w:eastAsia="es-ES"/>
        </w:rPr>
      </w:pPr>
      <w:r w:rsidRPr="00F26928">
        <w:rPr>
          <w:rFonts w:ascii="Verdana" w:eastAsia="Calibri" w:hAnsi="Verdana" w:cs="Arial"/>
          <w:lang w:val="es-ES" w:eastAsia="es-ES"/>
        </w:rPr>
        <w:tab/>
      </w:r>
    </w:p>
    <w:p w14:paraId="509AEF38" w14:textId="39C21601" w:rsidR="00E072B2" w:rsidRPr="007A0E81" w:rsidRDefault="00E072B2" w:rsidP="00285011">
      <w:pPr>
        <w:spacing w:after="0" w:line="276" w:lineRule="auto"/>
        <w:jc w:val="both"/>
        <w:rPr>
          <w:rFonts w:ascii="Verdana" w:eastAsia="Calibri" w:hAnsi="Verdana" w:cs="Arial"/>
          <w:lang w:val="es-ES" w:eastAsia="es-ES"/>
        </w:rPr>
      </w:pPr>
      <w:r w:rsidRPr="007A0E81">
        <w:rPr>
          <w:rFonts w:ascii="Verdana" w:eastAsia="Calibri" w:hAnsi="Verdana" w:cs="Arial"/>
          <w:lang w:val="es-ES" w:eastAsia="es-ES"/>
        </w:rPr>
        <w:t>En ejercicio de la competencia otorgada por los artículos 3, numeral 5º, y 11, numeral 8º, del Decreto Ley 4170 de 2011,</w:t>
      </w:r>
      <w:r w:rsidRPr="007A0E81">
        <w:rPr>
          <w:rFonts w:ascii="Verdana" w:eastAsia="Arial MT" w:hAnsi="Verdana" w:cs="Arial MT"/>
          <w:lang w:val="es-ES" w:eastAsia="es-ES"/>
        </w:rPr>
        <w:t xml:space="preserve"> </w:t>
      </w:r>
      <w:r w:rsidRPr="007A0E81">
        <w:rPr>
          <w:rFonts w:ascii="Verdana" w:eastAsia="Calibri" w:hAnsi="Verdana" w:cs="Arial"/>
        </w:rPr>
        <w:t xml:space="preserve">así como lo establecido en el artículo 4 de la Resolución 1707 de 2018 expedida por esta Entidad, </w:t>
      </w:r>
      <w:r w:rsidRPr="007A0E81">
        <w:rPr>
          <w:rFonts w:ascii="Verdana" w:eastAsia="Calibri" w:hAnsi="Verdana" w:cs="Arial"/>
          <w:lang w:val="es-ES" w:eastAsia="es-ES"/>
        </w:rPr>
        <w:t xml:space="preserve">la Agencia Nacional de Contratación Pública – Colombia Compra Eficiente– responde su solicitud de consulta de fecha </w:t>
      </w:r>
      <w:r w:rsidR="00FC0E0C">
        <w:rPr>
          <w:rFonts w:ascii="Verdana" w:eastAsia="Calibri" w:hAnsi="Verdana" w:cs="Arial"/>
          <w:lang w:val="es-ES" w:eastAsia="es-ES"/>
        </w:rPr>
        <w:t>21</w:t>
      </w:r>
      <w:r w:rsidR="00FC0E0C" w:rsidRPr="007A0E81">
        <w:rPr>
          <w:rFonts w:ascii="Verdana" w:eastAsia="Calibri" w:hAnsi="Verdana" w:cs="Arial"/>
          <w:lang w:val="es-ES" w:eastAsia="es-ES"/>
        </w:rPr>
        <w:t xml:space="preserve"> </w:t>
      </w:r>
      <w:r w:rsidRPr="007A0E81">
        <w:rPr>
          <w:rFonts w:ascii="Verdana" w:eastAsia="Calibri" w:hAnsi="Verdana" w:cs="Arial"/>
          <w:lang w:val="es-ES" w:eastAsia="es-ES"/>
        </w:rPr>
        <w:t xml:space="preserve">de febrero de 2025, en la cual manifiesta lo siguiente: </w:t>
      </w:r>
    </w:p>
    <w:p w14:paraId="62D80EF8" w14:textId="77777777" w:rsidR="00E072B2" w:rsidRPr="0070786B" w:rsidRDefault="00E072B2" w:rsidP="00285011">
      <w:pPr>
        <w:spacing w:after="0" w:line="276" w:lineRule="auto"/>
        <w:ind w:left="709" w:right="709"/>
        <w:jc w:val="both"/>
        <w:rPr>
          <w:rFonts w:ascii="Verdana" w:eastAsia="Century Gothic" w:hAnsi="Verdana" w:cs="Century Gothic"/>
          <w:lang w:val="es-ES"/>
        </w:rPr>
      </w:pPr>
      <w:bookmarkStart w:id="1" w:name="_Hlk95313578"/>
    </w:p>
    <w:p w14:paraId="15C33D87" w14:textId="77777777" w:rsidR="00E072B2" w:rsidRPr="00285011" w:rsidRDefault="00E072B2" w:rsidP="00E072B2">
      <w:pPr>
        <w:spacing w:after="0" w:line="240" w:lineRule="auto"/>
        <w:ind w:left="709" w:right="709"/>
        <w:jc w:val="both"/>
        <w:rPr>
          <w:rFonts w:ascii="Verdana" w:eastAsia="Century Gothic" w:hAnsi="Verdana" w:cs="Century Gothic"/>
          <w:sz w:val="20"/>
          <w:szCs w:val="20"/>
          <w:lang w:val="es-ES"/>
        </w:rPr>
      </w:pPr>
      <w:r w:rsidRPr="00285011">
        <w:rPr>
          <w:rFonts w:ascii="Verdana" w:eastAsia="Century Gothic" w:hAnsi="Verdana" w:cs="Century Gothic"/>
          <w:sz w:val="20"/>
          <w:szCs w:val="20"/>
          <w:lang w:val="es-ES"/>
        </w:rPr>
        <w:t xml:space="preserve">“Solicito amablemente que me den un concepto acerca de las compras públicas de alimentos, es decir </w:t>
      </w:r>
      <w:proofErr w:type="spellStart"/>
      <w:r w:rsidRPr="00285011">
        <w:rPr>
          <w:rFonts w:ascii="Verdana" w:eastAsia="Century Gothic" w:hAnsi="Verdana" w:cs="Century Gothic"/>
          <w:sz w:val="20"/>
          <w:szCs w:val="20"/>
          <w:lang w:val="es-ES"/>
        </w:rPr>
        <w:t>como</w:t>
      </w:r>
      <w:proofErr w:type="spellEnd"/>
      <w:r w:rsidRPr="00285011">
        <w:rPr>
          <w:rFonts w:ascii="Verdana" w:eastAsia="Century Gothic" w:hAnsi="Verdana" w:cs="Century Gothic"/>
          <w:sz w:val="20"/>
          <w:szCs w:val="20"/>
          <w:lang w:val="es-ES"/>
        </w:rPr>
        <w:t xml:space="preserve"> se surte este proceso de contratación y que limites existen a la autonomía de la voluntad en las compras públicas de alimentos</w:t>
      </w:r>
      <w:r w:rsidRPr="00285011">
        <w:rPr>
          <w:rFonts w:ascii="Verdana" w:eastAsia="Century Gothic" w:hAnsi="Verdana" w:cs="Century Gothic"/>
          <w:sz w:val="20"/>
          <w:szCs w:val="20"/>
        </w:rPr>
        <w:t>.</w:t>
      </w:r>
      <w:r w:rsidRPr="00285011">
        <w:rPr>
          <w:rFonts w:ascii="Verdana" w:eastAsia="Century Gothic" w:hAnsi="Verdana" w:cs="Century Gothic"/>
          <w:sz w:val="20"/>
          <w:szCs w:val="20"/>
          <w:lang w:val="es-ES"/>
        </w:rPr>
        <w:t>”</w:t>
      </w:r>
      <w:bookmarkEnd w:id="1"/>
      <w:r w:rsidRPr="00285011">
        <w:rPr>
          <w:rFonts w:ascii="Verdana" w:eastAsia="Century Gothic" w:hAnsi="Verdana" w:cs="Century Gothic"/>
          <w:sz w:val="20"/>
          <w:szCs w:val="20"/>
          <w:lang w:val="es-ES"/>
        </w:rPr>
        <w:t>.</w:t>
      </w:r>
    </w:p>
    <w:p w14:paraId="7E1C1A10" w14:textId="77777777" w:rsidR="00E072B2" w:rsidRPr="0070786B" w:rsidRDefault="00E072B2" w:rsidP="00285011">
      <w:pPr>
        <w:spacing w:after="0" w:line="276" w:lineRule="auto"/>
        <w:ind w:left="709" w:right="709"/>
        <w:jc w:val="both"/>
        <w:rPr>
          <w:rFonts w:ascii="Verdana" w:eastAsia="Calibri" w:hAnsi="Verdana" w:cs="Arial"/>
          <w:i/>
          <w:iCs/>
          <w:shd w:val="clear" w:color="auto" w:fill="FFFFFF"/>
        </w:rPr>
      </w:pPr>
    </w:p>
    <w:p w14:paraId="1720D698" w14:textId="77777777" w:rsidR="00E072B2" w:rsidRPr="007A0E81" w:rsidRDefault="00E072B2" w:rsidP="00E072B2">
      <w:pPr>
        <w:spacing w:after="120" w:line="276" w:lineRule="auto"/>
        <w:ind w:firstLine="709"/>
        <w:jc w:val="both"/>
        <w:rPr>
          <w:rFonts w:ascii="Verdana" w:eastAsia="Calibri" w:hAnsi="Verdana" w:cs="Arial"/>
          <w:szCs w:val="24"/>
          <w:lang w:val="es-ES_tradnl" w:eastAsia="es-ES_tradnl"/>
        </w:rPr>
      </w:pPr>
      <w:r w:rsidRPr="007A0E8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7A0E81">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A0E81">
        <w:rPr>
          <w:rFonts w:ascii="Verdana" w:eastAsia="Calibri" w:hAnsi="Verdana" w:cs="Arial"/>
          <w:szCs w:val="24"/>
          <w:lang w:val="es-ES_tradnl" w:eastAsia="es-ES_tradnl"/>
        </w:rPr>
        <w:tab/>
      </w:r>
    </w:p>
    <w:p w14:paraId="61D54595" w14:textId="2987F641" w:rsidR="00E072B2" w:rsidRPr="007A0E81" w:rsidRDefault="00E072B2" w:rsidP="00E072B2">
      <w:pPr>
        <w:spacing w:after="0" w:line="276" w:lineRule="auto"/>
        <w:ind w:firstLine="708"/>
        <w:jc w:val="both"/>
        <w:rPr>
          <w:rFonts w:ascii="Verdana" w:eastAsia="Calibri" w:hAnsi="Verdana" w:cs="Arial"/>
          <w:lang w:val="es-ES" w:eastAsia="es-ES"/>
        </w:rPr>
      </w:pPr>
      <w:r w:rsidRPr="007A0E8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señalando algunas consideraciones sobre las normas generales relacionadas con el problema jurídico de su consulta. </w:t>
      </w:r>
    </w:p>
    <w:p w14:paraId="4DDB4017" w14:textId="77777777" w:rsidR="00E072B2" w:rsidRPr="007A0E81" w:rsidRDefault="00E072B2" w:rsidP="00E072B2">
      <w:pPr>
        <w:spacing w:after="0" w:line="276" w:lineRule="auto"/>
        <w:ind w:firstLine="709"/>
        <w:jc w:val="both"/>
        <w:rPr>
          <w:rFonts w:ascii="Verdana" w:eastAsia="Calibri" w:hAnsi="Verdana" w:cs="Arial"/>
          <w:lang w:val="es-ES" w:eastAsia="es-ES"/>
        </w:rPr>
      </w:pPr>
    </w:p>
    <w:p w14:paraId="6F369FD3" w14:textId="77777777" w:rsidR="00E072B2" w:rsidRPr="007A0E81" w:rsidRDefault="00E072B2" w:rsidP="00E072B2">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7A0E81">
        <w:rPr>
          <w:rFonts w:ascii="Verdana" w:eastAsia="Century Gothic" w:hAnsi="Verdana" w:cs="Century Gothic"/>
          <w:b/>
          <w:bCs/>
          <w:lang w:val="es-ES"/>
        </w:rPr>
        <w:t>Problema planteado:</w:t>
      </w:r>
    </w:p>
    <w:p w14:paraId="1D9E49F4" w14:textId="77777777" w:rsidR="00E072B2" w:rsidRPr="007A0E81" w:rsidRDefault="00E072B2" w:rsidP="00E072B2">
      <w:pPr>
        <w:tabs>
          <w:tab w:val="left" w:pos="426"/>
        </w:tabs>
        <w:spacing w:after="0" w:line="276" w:lineRule="auto"/>
        <w:jc w:val="both"/>
        <w:rPr>
          <w:rFonts w:ascii="Verdana" w:eastAsia="Century Gothic" w:hAnsi="Verdana" w:cs="Century Gothic"/>
          <w:lang w:val="es-ES"/>
        </w:rPr>
      </w:pPr>
    </w:p>
    <w:p w14:paraId="5C87E97C" w14:textId="20364A29" w:rsidR="00E072B2" w:rsidRPr="007A0E81" w:rsidRDefault="00E072B2" w:rsidP="00E072B2">
      <w:pPr>
        <w:spacing w:after="0" w:line="276" w:lineRule="auto"/>
        <w:jc w:val="both"/>
        <w:rPr>
          <w:rFonts w:ascii="Verdana" w:eastAsia="Century Gothic" w:hAnsi="Verdana" w:cs="Century Gothic"/>
        </w:rPr>
      </w:pPr>
      <w:r w:rsidRPr="007A0E81">
        <w:rPr>
          <w:rFonts w:ascii="Verdana" w:eastAsia="Century Gothic" w:hAnsi="Verdana" w:cs="Century Gothic"/>
        </w:rPr>
        <w:t xml:space="preserve">De acuerdo con el contenido de su solicitud, esta Agencia resolverá el siguiente problema jurídico: </w:t>
      </w:r>
      <w:r w:rsidR="006B6D5B">
        <w:rPr>
          <w:rFonts w:ascii="Verdana" w:eastAsia="Century Gothic" w:hAnsi="Verdana" w:cs="Century Gothic"/>
        </w:rPr>
        <w:t>¿Cuál es el régimen jurídico de las compras públicas de alimentos?</w:t>
      </w:r>
    </w:p>
    <w:p w14:paraId="65151DB3" w14:textId="77777777" w:rsidR="00E072B2" w:rsidRPr="007A0E81" w:rsidRDefault="00E072B2" w:rsidP="00E072B2">
      <w:pPr>
        <w:spacing w:after="0" w:line="276" w:lineRule="auto"/>
        <w:jc w:val="both"/>
        <w:rPr>
          <w:rFonts w:ascii="Verdana" w:eastAsia="Calibri" w:hAnsi="Verdana" w:cs="Arial"/>
          <w:lang w:val="es-ES"/>
        </w:rPr>
      </w:pPr>
    </w:p>
    <w:p w14:paraId="76214C31" w14:textId="77777777" w:rsidR="00E072B2" w:rsidRPr="007A0E81" w:rsidRDefault="00E072B2" w:rsidP="00E072B2">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7A0E81">
        <w:rPr>
          <w:rFonts w:ascii="Verdana" w:eastAsia="Century Gothic" w:hAnsi="Verdana" w:cs="Century Gothic"/>
          <w:b/>
          <w:bCs/>
          <w:lang w:val="es-ES"/>
        </w:rPr>
        <w:t>Respuesta:</w:t>
      </w:r>
    </w:p>
    <w:p w14:paraId="7674F0C7" w14:textId="77777777" w:rsidR="00E072B2" w:rsidRPr="007A0E81" w:rsidRDefault="00E072B2" w:rsidP="00E072B2">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72B2" w:rsidRPr="007A0E81" w14:paraId="6C1E25CC" w14:textId="77777777" w:rsidTr="00502B69">
        <w:tc>
          <w:tcPr>
            <w:tcW w:w="8828" w:type="dxa"/>
            <w:tcBorders>
              <w:top w:val="dotted" w:sz="4" w:space="0" w:color="auto"/>
              <w:left w:val="dotted" w:sz="4" w:space="0" w:color="auto"/>
              <w:bottom w:val="dotted" w:sz="4" w:space="0" w:color="auto"/>
              <w:right w:val="dotted" w:sz="4" w:space="0" w:color="auto"/>
            </w:tcBorders>
          </w:tcPr>
          <w:p w14:paraId="4684C86A" w14:textId="6D51B525" w:rsidR="0047608F" w:rsidRPr="00285011" w:rsidRDefault="0047608F" w:rsidP="00285011">
            <w:pPr>
              <w:spacing w:after="120" w:line="276" w:lineRule="auto"/>
              <w:jc w:val="both"/>
              <w:rPr>
                <w:rFonts w:ascii="Verdana" w:hAnsi="Verdana" w:cs="Arial"/>
                <w:lang w:val="es-ES" w:eastAsia="es-ES_tradnl"/>
              </w:rPr>
            </w:pPr>
            <w:r w:rsidRPr="00285011">
              <w:rPr>
                <w:rFonts w:ascii="Verdana" w:hAnsi="Verdana" w:cs="Arial"/>
                <w:lang w:val="es-ES" w:eastAsia="es-ES_tradnl"/>
              </w:rPr>
              <w:t xml:space="preserve">La Ley 1955 de 2019 </w:t>
            </w:r>
            <w:r w:rsidRPr="00285011">
              <w:rPr>
                <w:rFonts w:ascii="Verdana" w:hAnsi="Verdana" w:cs="Arial"/>
                <w:i/>
                <w:iCs/>
                <w:lang w:val="es-ES" w:eastAsia="es-ES_tradnl"/>
              </w:rPr>
              <w:t>“por el cual se expide el Plan Nacional de Desarrollo 2018-2022 Pacto por Colombia, Pacto por la Equidad”</w:t>
            </w:r>
            <w:r w:rsidRPr="00285011">
              <w:rPr>
                <w:rFonts w:ascii="Verdana" w:hAnsi="Verdana" w:cs="Arial"/>
                <w:lang w:val="es-ES" w:eastAsia="es-ES_tradnl"/>
              </w:rPr>
              <w:t xml:space="preserve"> fijó como uno de sus pactos estructurales “la equidad” con el objetivo de lograr mayor igualdad entre los colombianos mediante una política social encaminada a fortalecer su inclusión productiva, esta última centrada en las familias como importantes vehículos para la construcción de “lazos de solidaridad y de tejido social.</w:t>
            </w:r>
          </w:p>
          <w:p w14:paraId="53AF5AC8" w14:textId="77777777" w:rsidR="0047608F" w:rsidRPr="00285011" w:rsidRDefault="0047608F" w:rsidP="00285011">
            <w:pPr>
              <w:spacing w:after="120" w:line="276" w:lineRule="auto"/>
              <w:ind w:firstLine="709"/>
              <w:jc w:val="both"/>
              <w:rPr>
                <w:rFonts w:ascii="Verdana" w:hAnsi="Verdana" w:cs="Arial"/>
                <w:lang w:eastAsia="es-ES_tradnl"/>
              </w:rPr>
            </w:pPr>
            <w:r w:rsidRPr="00285011">
              <w:rPr>
                <w:rFonts w:ascii="Verdana" w:hAnsi="Verdana" w:cs="Arial"/>
                <w:lang w:eastAsia="es-ES_tradnl"/>
              </w:rPr>
              <w:t xml:space="preserve">Es así como la subsección 3 de la referida norma (artículos 206 a 230) se orientó por desarrollar toda una serie de medidas de política pública dirigidas a consolidar la denominada prosperidad social, a saber: </w:t>
            </w:r>
            <w:r w:rsidRPr="00285011">
              <w:rPr>
                <w:rFonts w:ascii="Verdana" w:hAnsi="Verdana" w:cs="Arial"/>
                <w:i/>
                <w:iCs/>
                <w:lang w:eastAsia="es-ES_tradnl"/>
              </w:rPr>
              <w:t>(i)</w:t>
            </w:r>
            <w:r w:rsidRPr="00285011">
              <w:rPr>
                <w:rFonts w:ascii="Verdana" w:hAnsi="Verdana" w:cs="Arial"/>
                <w:lang w:eastAsia="es-ES_tradnl"/>
              </w:rPr>
              <w:t xml:space="preserve"> política de atención integral a la primera infancia, infancia y adolescencia; </w:t>
            </w:r>
            <w:r w:rsidRPr="00285011">
              <w:rPr>
                <w:rFonts w:ascii="Verdana" w:hAnsi="Verdana" w:cs="Arial"/>
                <w:i/>
                <w:iCs/>
                <w:lang w:eastAsia="es-ES_tradnl"/>
              </w:rPr>
              <w:t>(</w:t>
            </w:r>
            <w:proofErr w:type="spellStart"/>
            <w:r w:rsidRPr="00285011">
              <w:rPr>
                <w:rFonts w:ascii="Verdana" w:hAnsi="Verdana" w:cs="Arial"/>
                <w:i/>
                <w:iCs/>
                <w:lang w:eastAsia="es-ES_tradnl"/>
              </w:rPr>
              <w:t>ii</w:t>
            </w:r>
            <w:proofErr w:type="spellEnd"/>
            <w:r w:rsidRPr="00285011">
              <w:rPr>
                <w:rFonts w:ascii="Verdana" w:hAnsi="Verdana" w:cs="Arial"/>
                <w:i/>
                <w:iCs/>
                <w:lang w:eastAsia="es-ES_tradnl"/>
              </w:rPr>
              <w:t>)</w:t>
            </w:r>
            <w:r w:rsidRPr="00285011">
              <w:rPr>
                <w:rFonts w:ascii="Verdana" w:hAnsi="Verdana" w:cs="Arial"/>
                <w:lang w:eastAsia="es-ES_tradnl"/>
              </w:rPr>
              <w:t xml:space="preserve"> implementación y reglamentación de la estrategia sacúdete para potenciar talentos, capacidades y habilidades de los jóvenes; </w:t>
            </w:r>
            <w:r w:rsidRPr="00285011">
              <w:rPr>
                <w:rFonts w:ascii="Verdana" w:hAnsi="Verdana" w:cs="Arial"/>
                <w:i/>
                <w:iCs/>
                <w:lang w:eastAsia="es-ES_tradnl"/>
              </w:rPr>
              <w:t>(</w:t>
            </w:r>
            <w:proofErr w:type="spellStart"/>
            <w:r w:rsidRPr="00285011">
              <w:rPr>
                <w:rFonts w:ascii="Verdana" w:hAnsi="Verdana" w:cs="Arial"/>
                <w:i/>
                <w:iCs/>
                <w:lang w:eastAsia="es-ES_tradnl"/>
              </w:rPr>
              <w:t>iii</w:t>
            </w:r>
            <w:proofErr w:type="spellEnd"/>
            <w:r w:rsidRPr="00285011">
              <w:rPr>
                <w:rFonts w:ascii="Verdana" w:hAnsi="Verdana" w:cs="Arial"/>
                <w:i/>
                <w:iCs/>
                <w:lang w:eastAsia="es-ES_tradnl"/>
              </w:rPr>
              <w:t>)</w:t>
            </w:r>
            <w:r w:rsidRPr="00285011">
              <w:rPr>
                <w:rFonts w:ascii="Verdana" w:hAnsi="Verdana" w:cs="Arial"/>
                <w:lang w:eastAsia="es-ES_tradnl"/>
              </w:rPr>
              <w:t xml:space="preserve"> focalización de la oferta social; </w:t>
            </w:r>
            <w:r w:rsidRPr="00285011">
              <w:rPr>
                <w:rFonts w:ascii="Verdana" w:hAnsi="Verdana" w:cs="Arial"/>
                <w:i/>
                <w:iCs/>
                <w:lang w:eastAsia="es-ES_tradnl"/>
              </w:rPr>
              <w:t>(</w:t>
            </w:r>
            <w:proofErr w:type="spellStart"/>
            <w:r w:rsidRPr="00285011">
              <w:rPr>
                <w:rFonts w:ascii="Verdana" w:hAnsi="Verdana" w:cs="Arial"/>
                <w:i/>
                <w:iCs/>
                <w:lang w:eastAsia="es-ES_tradnl"/>
              </w:rPr>
              <w:t>iv</w:t>
            </w:r>
            <w:proofErr w:type="spellEnd"/>
            <w:r w:rsidRPr="00285011">
              <w:rPr>
                <w:rFonts w:ascii="Verdana" w:hAnsi="Verdana" w:cs="Arial"/>
                <w:i/>
                <w:iCs/>
                <w:lang w:eastAsia="es-ES_tradnl"/>
              </w:rPr>
              <w:t>)</w:t>
            </w:r>
            <w:r w:rsidRPr="00285011">
              <w:rPr>
                <w:rFonts w:ascii="Verdana" w:hAnsi="Verdana" w:cs="Arial"/>
                <w:lang w:eastAsia="es-ES_tradnl"/>
              </w:rPr>
              <w:t xml:space="preserve"> acompañamiento familiar y social en los programas de vivienda gratuita; </w:t>
            </w:r>
            <w:r w:rsidRPr="00285011">
              <w:rPr>
                <w:rFonts w:ascii="Verdana" w:hAnsi="Verdana" w:cs="Arial"/>
                <w:i/>
                <w:iCs/>
                <w:lang w:eastAsia="es-ES_tradnl"/>
              </w:rPr>
              <w:t>(v)</w:t>
            </w:r>
            <w:r w:rsidRPr="00285011">
              <w:rPr>
                <w:rFonts w:ascii="Verdana" w:hAnsi="Verdana" w:cs="Arial"/>
                <w:lang w:eastAsia="es-ES_tradnl"/>
              </w:rPr>
              <w:t xml:space="preserve"> apoyo y fortalecimiento a la atención familiar; </w:t>
            </w:r>
            <w:r w:rsidRPr="00285011">
              <w:rPr>
                <w:rFonts w:ascii="Verdana" w:hAnsi="Verdana" w:cs="Arial"/>
                <w:i/>
                <w:iCs/>
                <w:lang w:eastAsia="es-ES_tradnl"/>
              </w:rPr>
              <w:t>(vi)</w:t>
            </w:r>
            <w:r w:rsidRPr="00285011">
              <w:rPr>
                <w:rFonts w:ascii="Verdana" w:hAnsi="Verdana" w:cs="Arial"/>
                <w:lang w:eastAsia="es-ES_tradnl"/>
              </w:rPr>
              <w:t xml:space="preserve"> subsidio de solidaridad pensional; </w:t>
            </w:r>
            <w:r w:rsidRPr="00285011">
              <w:rPr>
                <w:rFonts w:ascii="Verdana" w:hAnsi="Verdana" w:cs="Arial"/>
                <w:i/>
                <w:iCs/>
                <w:lang w:eastAsia="es-ES_tradnl"/>
              </w:rPr>
              <w:t>(</w:t>
            </w:r>
            <w:proofErr w:type="spellStart"/>
            <w:r w:rsidRPr="00285011">
              <w:rPr>
                <w:rFonts w:ascii="Verdana" w:hAnsi="Verdana" w:cs="Arial"/>
                <w:i/>
                <w:iCs/>
                <w:lang w:eastAsia="es-ES_tradnl"/>
              </w:rPr>
              <w:t>vii</w:t>
            </w:r>
            <w:proofErr w:type="spellEnd"/>
            <w:r w:rsidRPr="00285011">
              <w:rPr>
                <w:rFonts w:ascii="Verdana" w:hAnsi="Verdana" w:cs="Arial"/>
                <w:i/>
                <w:iCs/>
                <w:lang w:eastAsia="es-ES_tradnl"/>
              </w:rPr>
              <w:t>)</w:t>
            </w:r>
            <w:r w:rsidRPr="00285011">
              <w:rPr>
                <w:rFonts w:ascii="Verdana" w:hAnsi="Verdana" w:cs="Arial"/>
                <w:lang w:eastAsia="es-ES_tradnl"/>
              </w:rPr>
              <w:t xml:space="preserve"> estampilla para el bienestar del adulto mayor; </w:t>
            </w:r>
            <w:r w:rsidRPr="00285011">
              <w:rPr>
                <w:rFonts w:ascii="Verdana" w:hAnsi="Verdana" w:cs="Arial"/>
                <w:i/>
                <w:iCs/>
                <w:lang w:eastAsia="es-ES_tradnl"/>
              </w:rPr>
              <w:t>(</w:t>
            </w:r>
            <w:proofErr w:type="spellStart"/>
            <w:r w:rsidRPr="00285011">
              <w:rPr>
                <w:rFonts w:ascii="Verdana" w:hAnsi="Verdana" w:cs="Arial"/>
                <w:i/>
                <w:iCs/>
                <w:lang w:eastAsia="es-ES_tradnl"/>
              </w:rPr>
              <w:t>viii</w:t>
            </w:r>
            <w:proofErr w:type="spellEnd"/>
            <w:r w:rsidRPr="00285011">
              <w:rPr>
                <w:rFonts w:ascii="Verdana" w:hAnsi="Verdana" w:cs="Arial"/>
                <w:i/>
                <w:iCs/>
                <w:lang w:eastAsia="es-ES_tradnl"/>
              </w:rPr>
              <w:t>)</w:t>
            </w:r>
            <w:r w:rsidRPr="00285011">
              <w:rPr>
                <w:rFonts w:ascii="Verdana" w:hAnsi="Verdana" w:cs="Arial"/>
                <w:lang w:eastAsia="es-ES_tradnl"/>
              </w:rPr>
              <w:t xml:space="preserve"> creación del fondo para el buen vivir y la equidad de los pueblos </w:t>
            </w:r>
            <w:r w:rsidRPr="00285011">
              <w:rPr>
                <w:rFonts w:ascii="Verdana" w:hAnsi="Verdana" w:cs="Arial"/>
                <w:lang w:eastAsia="es-ES_tradnl"/>
              </w:rPr>
              <w:lastRenderedPageBreak/>
              <w:t xml:space="preserve">indígenas; </w:t>
            </w:r>
            <w:r w:rsidRPr="00285011">
              <w:rPr>
                <w:rFonts w:ascii="Verdana" w:hAnsi="Verdana" w:cs="Arial"/>
                <w:i/>
                <w:iCs/>
                <w:lang w:eastAsia="es-ES_tradnl"/>
              </w:rPr>
              <w:t>(</w:t>
            </w:r>
            <w:proofErr w:type="spellStart"/>
            <w:r w:rsidRPr="00285011">
              <w:rPr>
                <w:rFonts w:ascii="Verdana" w:hAnsi="Verdana" w:cs="Arial"/>
                <w:i/>
                <w:iCs/>
                <w:lang w:eastAsia="es-ES_tradnl"/>
              </w:rPr>
              <w:t>ix</w:t>
            </w:r>
            <w:proofErr w:type="spellEnd"/>
            <w:r w:rsidRPr="00285011">
              <w:rPr>
                <w:rFonts w:ascii="Verdana" w:hAnsi="Verdana" w:cs="Arial"/>
                <w:i/>
                <w:iCs/>
                <w:lang w:eastAsia="es-ES_tradnl"/>
              </w:rPr>
              <w:t>)</w:t>
            </w:r>
            <w:r w:rsidRPr="00285011">
              <w:rPr>
                <w:rFonts w:ascii="Verdana" w:hAnsi="Verdana" w:cs="Arial"/>
                <w:lang w:eastAsia="es-ES_tradnl"/>
              </w:rPr>
              <w:t xml:space="preserve"> trazadores presupuestales para la paz y la equidad de la mujer; </w:t>
            </w:r>
            <w:r w:rsidRPr="00285011">
              <w:rPr>
                <w:rFonts w:ascii="Verdana" w:hAnsi="Verdana" w:cs="Arial"/>
                <w:i/>
                <w:iCs/>
                <w:lang w:eastAsia="es-ES_tradnl"/>
              </w:rPr>
              <w:t>(x)</w:t>
            </w:r>
            <w:r w:rsidRPr="00285011">
              <w:rPr>
                <w:rFonts w:ascii="Verdana" w:hAnsi="Verdana" w:cs="Arial"/>
                <w:lang w:eastAsia="es-ES_tradnl"/>
              </w:rPr>
              <w:t xml:space="preserve"> restitución del subsidio y del inmueble objeto del subsidio de arrendamiento; </w:t>
            </w:r>
            <w:r w:rsidRPr="00285011">
              <w:rPr>
                <w:rFonts w:ascii="Verdana" w:hAnsi="Verdana" w:cs="Arial"/>
                <w:i/>
                <w:iCs/>
                <w:lang w:eastAsia="es-ES_tradnl"/>
              </w:rPr>
              <w:t>(xi)</w:t>
            </w:r>
            <w:r w:rsidRPr="00285011">
              <w:rPr>
                <w:rFonts w:ascii="Verdana" w:hAnsi="Verdana" w:cs="Arial"/>
                <w:lang w:eastAsia="es-ES_tradnl"/>
              </w:rPr>
              <w:t xml:space="preserve"> protección contra la pérdida del valor adquisitivo de la moneda; </w:t>
            </w:r>
            <w:r w:rsidRPr="00285011">
              <w:rPr>
                <w:rFonts w:ascii="Verdana" w:hAnsi="Verdana" w:cs="Arial"/>
                <w:i/>
                <w:iCs/>
                <w:lang w:eastAsia="es-ES_tradnl"/>
              </w:rPr>
              <w:t>(</w:t>
            </w:r>
            <w:proofErr w:type="spellStart"/>
            <w:r w:rsidRPr="00285011">
              <w:rPr>
                <w:rFonts w:ascii="Verdana" w:hAnsi="Verdana" w:cs="Arial"/>
                <w:i/>
                <w:iCs/>
                <w:lang w:eastAsia="es-ES_tradnl"/>
              </w:rPr>
              <w:t>xii</w:t>
            </w:r>
            <w:proofErr w:type="spellEnd"/>
            <w:r w:rsidRPr="00285011">
              <w:rPr>
                <w:rFonts w:ascii="Verdana" w:hAnsi="Verdana" w:cs="Arial"/>
                <w:i/>
                <w:iCs/>
                <w:lang w:eastAsia="es-ES_tradnl"/>
              </w:rPr>
              <w:t>)</w:t>
            </w:r>
            <w:r w:rsidRPr="00285011">
              <w:rPr>
                <w:rFonts w:ascii="Verdana" w:hAnsi="Verdana" w:cs="Arial"/>
                <w:lang w:eastAsia="es-ES_tradnl"/>
              </w:rPr>
              <w:t xml:space="preserve"> creación del fondo de estabilización de precios de café; </w:t>
            </w:r>
            <w:r w:rsidRPr="00285011">
              <w:rPr>
                <w:rFonts w:ascii="Verdana" w:hAnsi="Verdana" w:cs="Arial"/>
                <w:i/>
                <w:iCs/>
                <w:lang w:eastAsia="es-ES_tradnl"/>
              </w:rPr>
              <w:t>(</w:t>
            </w:r>
            <w:proofErr w:type="spellStart"/>
            <w:r w:rsidRPr="00285011">
              <w:rPr>
                <w:rFonts w:ascii="Verdana" w:hAnsi="Verdana" w:cs="Arial"/>
                <w:i/>
                <w:iCs/>
                <w:lang w:eastAsia="es-ES_tradnl"/>
              </w:rPr>
              <w:t>xiii</w:t>
            </w:r>
            <w:proofErr w:type="spellEnd"/>
            <w:r w:rsidRPr="00285011">
              <w:rPr>
                <w:rFonts w:ascii="Verdana" w:hAnsi="Verdana" w:cs="Arial"/>
                <w:i/>
                <w:iCs/>
                <w:lang w:eastAsia="es-ES_tradnl"/>
              </w:rPr>
              <w:t>)</w:t>
            </w:r>
            <w:r w:rsidRPr="00285011">
              <w:rPr>
                <w:rFonts w:ascii="Verdana" w:hAnsi="Verdana" w:cs="Arial"/>
                <w:lang w:eastAsia="es-ES_tradnl"/>
              </w:rPr>
              <w:t xml:space="preserve"> subsidio de energía para distritos de riego; </w:t>
            </w:r>
            <w:r w:rsidRPr="00285011">
              <w:rPr>
                <w:rFonts w:ascii="Verdana" w:hAnsi="Verdana" w:cs="Arial"/>
                <w:i/>
                <w:iCs/>
                <w:lang w:eastAsia="es-ES_tradnl"/>
              </w:rPr>
              <w:t>(</w:t>
            </w:r>
            <w:proofErr w:type="spellStart"/>
            <w:r w:rsidRPr="00285011">
              <w:rPr>
                <w:rFonts w:ascii="Verdana" w:hAnsi="Verdana" w:cs="Arial"/>
                <w:i/>
                <w:iCs/>
                <w:lang w:eastAsia="es-ES_tradnl"/>
              </w:rPr>
              <w:t>xiv</w:t>
            </w:r>
            <w:proofErr w:type="spellEnd"/>
            <w:r w:rsidRPr="00285011">
              <w:rPr>
                <w:rFonts w:ascii="Verdana" w:hAnsi="Verdana" w:cs="Arial"/>
                <w:i/>
                <w:iCs/>
                <w:lang w:eastAsia="es-ES_tradnl"/>
              </w:rPr>
              <w:t>)</w:t>
            </w:r>
            <w:r w:rsidRPr="00285011">
              <w:rPr>
                <w:rFonts w:ascii="Verdana" w:hAnsi="Verdana" w:cs="Arial"/>
                <w:lang w:eastAsia="es-ES_tradnl"/>
              </w:rPr>
              <w:t xml:space="preserve"> tarifa diferencial a pequeños productores rurales; y </w:t>
            </w:r>
            <w:r w:rsidRPr="00285011">
              <w:rPr>
                <w:rFonts w:ascii="Verdana" w:hAnsi="Verdana" w:cs="Arial"/>
                <w:i/>
                <w:iCs/>
                <w:lang w:eastAsia="es-ES_tradnl"/>
              </w:rPr>
              <w:t>(</w:t>
            </w:r>
            <w:proofErr w:type="spellStart"/>
            <w:r w:rsidRPr="00285011">
              <w:rPr>
                <w:rFonts w:ascii="Verdana" w:hAnsi="Verdana" w:cs="Arial"/>
                <w:i/>
                <w:iCs/>
                <w:lang w:eastAsia="es-ES_tradnl"/>
              </w:rPr>
              <w:t>xv</w:t>
            </w:r>
            <w:proofErr w:type="spellEnd"/>
            <w:r w:rsidRPr="00285011">
              <w:rPr>
                <w:rFonts w:ascii="Verdana" w:hAnsi="Verdana" w:cs="Arial"/>
                <w:i/>
                <w:iCs/>
                <w:lang w:eastAsia="es-ES_tradnl"/>
              </w:rPr>
              <w:t>)</w:t>
            </w:r>
            <w:r w:rsidRPr="00285011">
              <w:rPr>
                <w:rFonts w:ascii="Verdana" w:hAnsi="Verdana" w:cs="Arial"/>
                <w:lang w:eastAsia="es-ES_tradnl"/>
              </w:rPr>
              <w:t xml:space="preserve"> calificación diferenciada en compras públicas de alimentos.</w:t>
            </w:r>
          </w:p>
          <w:p w14:paraId="282A2915" w14:textId="41C89EE7" w:rsidR="0047608F" w:rsidRPr="00285011" w:rsidRDefault="0047608F" w:rsidP="00285011">
            <w:pPr>
              <w:spacing w:after="120" w:line="276" w:lineRule="auto"/>
              <w:ind w:firstLine="709"/>
              <w:jc w:val="both"/>
              <w:rPr>
                <w:rFonts w:ascii="Verdana" w:hAnsi="Verdana" w:cs="Arial"/>
                <w:lang w:eastAsia="es-ES_tradnl"/>
              </w:rPr>
            </w:pPr>
            <w:r w:rsidRPr="00285011">
              <w:rPr>
                <w:rFonts w:ascii="Verdana" w:hAnsi="Verdana" w:cs="Arial"/>
                <w:lang w:eastAsia="es-ES_tradnl"/>
              </w:rPr>
              <w:t xml:space="preserve">Respecto de la última medida enunciada, el artículo 229 </w:t>
            </w:r>
            <w:proofErr w:type="spellStart"/>
            <w:r w:rsidRPr="00285011">
              <w:rPr>
                <w:rFonts w:ascii="Verdana" w:hAnsi="Verdana" w:cs="Arial"/>
                <w:i/>
                <w:iCs/>
                <w:lang w:eastAsia="es-ES_tradnl"/>
              </w:rPr>
              <w:t>ejusdem</w:t>
            </w:r>
            <w:proofErr w:type="spellEnd"/>
            <w:r w:rsidRPr="00285011">
              <w:rPr>
                <w:rFonts w:ascii="Verdana" w:hAnsi="Verdana" w:cs="Arial"/>
                <w:i/>
                <w:iCs/>
                <w:lang w:eastAsia="es-ES_tradnl"/>
              </w:rPr>
              <w:t xml:space="preserve"> </w:t>
            </w:r>
            <w:r w:rsidRPr="00285011">
              <w:rPr>
                <w:rFonts w:ascii="Verdana" w:hAnsi="Verdana" w:cs="Arial"/>
                <w:lang w:eastAsia="es-ES_tradnl"/>
              </w:rPr>
              <w:t xml:space="preserve">dispuso que las </w:t>
            </w:r>
            <w:r w:rsidR="000C66FE" w:rsidRPr="000C66FE">
              <w:rPr>
                <w:rFonts w:ascii="Verdana" w:hAnsi="Verdana" w:cs="Arial"/>
                <w:lang w:eastAsia="es-ES_tradnl"/>
              </w:rPr>
              <w:t xml:space="preserve">Entidades Públicas </w:t>
            </w:r>
            <w:r w:rsidRPr="00285011">
              <w:rPr>
                <w:rFonts w:ascii="Verdana" w:hAnsi="Verdana" w:cs="Arial"/>
                <w:lang w:eastAsia="es-ES_tradnl"/>
              </w:rPr>
              <w:t xml:space="preserve">descentralizadas del orden nacional y las entidades territoriales </w:t>
            </w:r>
            <w:r w:rsidRPr="00285011">
              <w:rPr>
                <w:rFonts w:ascii="Verdana" w:hAnsi="Verdana" w:cs="Arial"/>
                <w:i/>
                <w:iCs/>
                <w:lang w:eastAsia="es-ES_tradnl"/>
              </w:rPr>
              <w:t>“cada vez que requieran productos de origen agropecuario para atender la demanda de los programas institucionales de servicios de alimentación deberán establecer en sus pliegos de condiciones puntajes adicionales y estrategias de ponderación que mejoren las calificaciones de los proponentes cuando presenten contratos de proveeduría suscritos con productores nacionales”</w:t>
            </w:r>
            <w:r w:rsidRPr="00285011">
              <w:rPr>
                <w:rFonts w:ascii="Verdana" w:hAnsi="Verdana" w:cs="Arial"/>
                <w:lang w:eastAsia="es-ES_tradnl"/>
              </w:rPr>
              <w:t>.</w:t>
            </w:r>
          </w:p>
          <w:p w14:paraId="009A1C03" w14:textId="77777777" w:rsidR="0047608F" w:rsidRPr="00285011" w:rsidRDefault="0047608F" w:rsidP="00285011">
            <w:pPr>
              <w:spacing w:after="120" w:line="276" w:lineRule="auto"/>
              <w:ind w:firstLine="709"/>
              <w:jc w:val="both"/>
              <w:rPr>
                <w:rFonts w:ascii="Verdana" w:hAnsi="Verdana" w:cs="Arial"/>
                <w:lang w:eastAsia="es-ES_tradnl"/>
              </w:rPr>
            </w:pPr>
            <w:r w:rsidRPr="00285011">
              <w:rPr>
                <w:rFonts w:ascii="Verdana" w:hAnsi="Verdana" w:cs="Arial"/>
                <w:lang w:eastAsia="es-ES_tradnl"/>
              </w:rPr>
              <w:t xml:space="preserve">Como resultado de esta preceptiva ordinaria de carácter especial, fue expedida la Ley 2046 de 2020 </w:t>
            </w:r>
            <w:r w:rsidRPr="00285011">
              <w:rPr>
                <w:rFonts w:ascii="Verdana" w:hAnsi="Verdana" w:cs="Arial"/>
                <w:i/>
                <w:iCs/>
                <w:lang w:eastAsia="es-ES_tradnl"/>
              </w:rPr>
              <w:t>“por la cual se establecen mecanismos para promover la participación de pequeños productores locales agropecuarios y de la agricultura campesina, familiar y comunitaria en los mercados de compras públicas de alimentos”</w:t>
            </w:r>
            <w:r w:rsidRPr="00285011">
              <w:rPr>
                <w:rFonts w:ascii="Verdana" w:hAnsi="Verdana" w:cs="Arial"/>
                <w:lang w:eastAsia="es-ES_tradnl"/>
              </w:rPr>
              <w:t xml:space="preserve">. Concretamente, en su artículo 1º se dejó en claro que su objeto principal consiste en </w:t>
            </w:r>
            <w:r w:rsidRPr="00285011">
              <w:rPr>
                <w:rFonts w:ascii="Verdana" w:hAnsi="Verdana" w:cs="Arial"/>
                <w:i/>
                <w:iCs/>
                <w:lang w:eastAsia="es-ES_tradnl"/>
              </w:rPr>
              <w:t>“establecer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r w:rsidRPr="00285011">
              <w:rPr>
                <w:rFonts w:ascii="Verdana" w:hAnsi="Verdana" w:cs="Arial"/>
                <w:lang w:eastAsia="es-ES_tradnl"/>
              </w:rPr>
              <w:t>.</w:t>
            </w:r>
          </w:p>
          <w:p w14:paraId="068412FD" w14:textId="77777777" w:rsidR="0047608F" w:rsidRPr="00285011" w:rsidRDefault="0047608F" w:rsidP="00285011">
            <w:pPr>
              <w:spacing w:after="120" w:line="276" w:lineRule="auto"/>
              <w:ind w:firstLine="709"/>
              <w:jc w:val="both"/>
              <w:rPr>
                <w:rFonts w:ascii="Verdana" w:hAnsi="Verdana" w:cs="Arial"/>
                <w:lang w:eastAsia="es-ES_tradnl"/>
              </w:rPr>
            </w:pPr>
            <w:r w:rsidRPr="00285011">
              <w:rPr>
                <w:rFonts w:ascii="Verdana" w:hAnsi="Verdana" w:cs="Arial"/>
                <w:lang w:eastAsia="es-ES_tradnl"/>
              </w:rPr>
              <w:t xml:space="preserve">Respecto de su ámbito de aplicación, el artículo 3º de la disposición en cita señala que todas las prescripciones allí incorporadas </w:t>
            </w:r>
            <w:r w:rsidRPr="00285011">
              <w:rPr>
                <w:rFonts w:ascii="Verdana" w:hAnsi="Verdana" w:cs="Arial"/>
                <w:i/>
                <w:iCs/>
                <w:lang w:eastAsia="es-ES_tradnl"/>
              </w:rPr>
              <w:t>“(…)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los requisitos sanitarios que establezca la normatividad vigente”</w:t>
            </w:r>
            <w:r w:rsidRPr="00285011">
              <w:rPr>
                <w:rFonts w:ascii="Verdana" w:hAnsi="Verdana" w:cs="Arial"/>
                <w:lang w:eastAsia="es-ES_tradnl"/>
              </w:rPr>
              <w:t xml:space="preserve">. Premisa igualmente aplicable a las entidades privadas que suscriban contratos </w:t>
            </w:r>
            <w:r w:rsidRPr="00285011">
              <w:rPr>
                <w:rFonts w:ascii="Verdana" w:hAnsi="Verdana" w:cs="Arial"/>
                <w:lang w:eastAsia="es-ES_tradnl"/>
              </w:rPr>
              <w:lastRenderedPageBreak/>
              <w:t xml:space="preserve">con el Estado y que, </w:t>
            </w:r>
            <w:r w:rsidRPr="00285011">
              <w:rPr>
                <w:rFonts w:ascii="Verdana" w:hAnsi="Verdana" w:cs="Arial"/>
                <w:i/>
                <w:iCs/>
                <w:lang w:eastAsia="es-ES_tradnl"/>
              </w:rPr>
              <w:t>“en desarrollo de las labores o actividades desplegadas en el marco de aquellos, demanden de forma directa o a través de interpuesta persona alimentos para abastecimiento o para suministro de productos de origen agropecuario”</w:t>
            </w:r>
            <w:r w:rsidRPr="00285011">
              <w:rPr>
                <w:rFonts w:ascii="Verdana" w:hAnsi="Verdana" w:cs="Arial"/>
                <w:lang w:eastAsia="es-ES_tradnl"/>
              </w:rPr>
              <w:t>.</w:t>
            </w:r>
          </w:p>
          <w:p w14:paraId="6402604C" w14:textId="77777777" w:rsidR="000C66FE" w:rsidRDefault="0047608F" w:rsidP="00285011">
            <w:pPr>
              <w:spacing w:after="120" w:line="276" w:lineRule="auto"/>
              <w:ind w:firstLine="709"/>
              <w:jc w:val="both"/>
              <w:rPr>
                <w:rFonts w:ascii="Verdana" w:hAnsi="Verdana" w:cs="Arial"/>
                <w:lang w:eastAsia="es-ES_tradnl"/>
              </w:rPr>
            </w:pPr>
            <w:r w:rsidRPr="00285011">
              <w:rPr>
                <w:rFonts w:ascii="Verdana" w:hAnsi="Verdana" w:cs="Arial"/>
                <w:lang w:eastAsia="es-ES_tradnl"/>
              </w:rPr>
              <w:t xml:space="preserve">Por su parte, el artículo 7º </w:t>
            </w:r>
            <w:r w:rsidRPr="00285011">
              <w:rPr>
                <w:rFonts w:ascii="Verdana" w:hAnsi="Verdana" w:cs="Arial"/>
                <w:i/>
                <w:iCs/>
                <w:lang w:eastAsia="es-ES_tradnl"/>
              </w:rPr>
              <w:t>ibidem</w:t>
            </w:r>
            <w:r w:rsidRPr="00285011">
              <w:rPr>
                <w:rFonts w:ascii="Verdana" w:hAnsi="Verdana" w:cs="Arial"/>
                <w:lang w:eastAsia="es-ES_tradnl"/>
              </w:rPr>
              <w:t xml:space="preserve"> prevé específicas reglas para que las entidades -sujetas al ámbito de aplicación de la ley- adquieran alimentos provenientes de pequeños productores locales y de productores de la agricultura campesina, familiar y comunitaria y sus organizaciones legalmente constituidas.</w:t>
            </w:r>
          </w:p>
          <w:p w14:paraId="10606320" w14:textId="74FEB697" w:rsidR="0047608F" w:rsidRPr="00285011" w:rsidRDefault="000C66FE" w:rsidP="00285011">
            <w:pPr>
              <w:spacing w:after="120" w:line="276" w:lineRule="auto"/>
              <w:ind w:firstLine="709"/>
              <w:jc w:val="both"/>
              <w:rPr>
                <w:rFonts w:ascii="Verdana" w:hAnsi="Verdana" w:cs="Arial"/>
                <w:lang w:eastAsia="es-ES_tradnl"/>
              </w:rPr>
            </w:pPr>
            <w:r>
              <w:rPr>
                <w:rFonts w:ascii="Verdana" w:hAnsi="Verdana" w:cs="Arial"/>
                <w:lang w:eastAsia="es-ES_tradnl"/>
              </w:rPr>
              <w:t>Ahora bien, en desarrollo de esta Ley, e</w:t>
            </w:r>
            <w:r w:rsidR="0047608F" w:rsidRPr="00285011">
              <w:rPr>
                <w:rFonts w:ascii="Verdana" w:hAnsi="Verdana" w:cs="Arial"/>
                <w:lang w:val="es-ES" w:eastAsia="es-ES_tradnl"/>
              </w:rPr>
              <w:t xml:space="preserve">l </w:t>
            </w:r>
            <w:proofErr w:type="gramStart"/>
            <w:r w:rsidR="0047608F" w:rsidRPr="00285011">
              <w:rPr>
                <w:rFonts w:ascii="Verdana" w:hAnsi="Verdana" w:cs="Arial"/>
                <w:lang w:val="es-ES" w:eastAsia="es-ES_tradnl"/>
              </w:rPr>
              <w:t>Presidente</w:t>
            </w:r>
            <w:proofErr w:type="gramEnd"/>
            <w:r w:rsidR="0047608F" w:rsidRPr="00285011">
              <w:rPr>
                <w:rFonts w:ascii="Verdana" w:hAnsi="Verdana" w:cs="Arial"/>
                <w:lang w:val="es-ES" w:eastAsia="es-ES_tradnl"/>
              </w:rPr>
              <w:t xml:space="preserve"> de la República, en ejercicio de las facultades conferidas en el numeral 11 del artículo 189 de la Constitución Política y con base en los artículos 229 de la Ley 1955 de 2019 y 5º de la Ley 2046 de 2020, profirió el Decreto 248 de 2021, por medio del cual adicionó la Parte 20 al Libro 2 del Decreto 1071 de 2015 -Decreto Único Reglamentario del Sector Administrativo Agropecuario, Pesquero y de Desarrollo Rural-.</w:t>
            </w:r>
          </w:p>
          <w:p w14:paraId="5CC7896E" w14:textId="77777777" w:rsidR="0047608F" w:rsidRPr="00285011" w:rsidRDefault="0047608F" w:rsidP="00285011">
            <w:pPr>
              <w:spacing w:after="120" w:line="276" w:lineRule="auto"/>
              <w:ind w:firstLine="709"/>
              <w:jc w:val="both"/>
              <w:rPr>
                <w:rFonts w:ascii="Verdana" w:hAnsi="Verdana" w:cs="Arial"/>
                <w:lang w:eastAsia="es-ES_tradnl"/>
              </w:rPr>
            </w:pPr>
            <w:r w:rsidRPr="00285011">
              <w:rPr>
                <w:rFonts w:ascii="Verdana" w:hAnsi="Verdana" w:cs="Arial"/>
                <w:lang w:eastAsia="es-ES_tradnl"/>
              </w:rPr>
              <w:t xml:space="preserve">Según la memoria justificativa del entonces proyecto de decreto, el Ministerio de Agricultura y Desarrollo Rural -Dirección de Capacidades Productivas y Generación de Ingresos y Dirección de Cadenas Agrícolas y Forestales- expuso como razones de oportunidad y conveniencia para su expedición, entre otras, las siguientes: </w:t>
            </w:r>
            <w:r w:rsidRPr="00285011">
              <w:rPr>
                <w:rFonts w:ascii="Verdana" w:hAnsi="Verdana" w:cs="Arial"/>
                <w:i/>
                <w:iCs/>
                <w:lang w:eastAsia="es-ES_tradnl"/>
              </w:rPr>
              <w:t>(i)</w:t>
            </w:r>
            <w:r w:rsidRPr="00285011">
              <w:rPr>
                <w:rFonts w:ascii="Verdana" w:hAnsi="Verdana" w:cs="Arial"/>
                <w:lang w:eastAsia="es-ES_tradnl"/>
              </w:rPr>
              <w:t xml:space="preserve"> las compras públicas locales de alimentos han sido identificadas por muchos países como una estrategia de desarrollo local que contribuye simultáneamente a la reducción de la pobreza, la seguridad alimentaria y nutricional, y la inclusión socioeconómica de los agricultores familiares; </w:t>
            </w:r>
            <w:r w:rsidRPr="00285011">
              <w:rPr>
                <w:rFonts w:ascii="Verdana" w:hAnsi="Verdana" w:cs="Arial"/>
                <w:i/>
                <w:iCs/>
                <w:lang w:eastAsia="es-ES_tradnl"/>
              </w:rPr>
              <w:t>(</w:t>
            </w:r>
            <w:proofErr w:type="spellStart"/>
            <w:r w:rsidRPr="00285011">
              <w:rPr>
                <w:rFonts w:ascii="Verdana" w:hAnsi="Verdana" w:cs="Arial"/>
                <w:i/>
                <w:iCs/>
                <w:lang w:eastAsia="es-ES_tradnl"/>
              </w:rPr>
              <w:t>ii</w:t>
            </w:r>
            <w:proofErr w:type="spellEnd"/>
            <w:r w:rsidRPr="00285011">
              <w:rPr>
                <w:rFonts w:ascii="Verdana" w:hAnsi="Verdana" w:cs="Arial"/>
                <w:i/>
                <w:iCs/>
                <w:lang w:eastAsia="es-ES_tradnl"/>
              </w:rPr>
              <w:t>)</w:t>
            </w:r>
            <w:r w:rsidRPr="00285011">
              <w:rPr>
                <w:rFonts w:ascii="Verdana" w:hAnsi="Verdana" w:cs="Arial"/>
                <w:lang w:eastAsia="es-ES_tradnl"/>
              </w:rPr>
              <w:t xml:space="preserve"> Desde 2016 se emprenden acciones para alinear las voluntades de las entidades que tienen capacidad de impulsar la oferta local de alimentos y de las que demandan estos productos, mediante la construcción de un espacio que facilite la coordinación interinstitucional y multisectorial con el fin de impulsar una Estrategia de Compras Públicas Locales; </w:t>
            </w:r>
            <w:r w:rsidRPr="00285011">
              <w:rPr>
                <w:rFonts w:ascii="Verdana" w:hAnsi="Verdana" w:cs="Arial"/>
                <w:i/>
                <w:iCs/>
                <w:lang w:eastAsia="es-ES_tradnl"/>
              </w:rPr>
              <w:t>(</w:t>
            </w:r>
            <w:proofErr w:type="spellStart"/>
            <w:r w:rsidRPr="00285011">
              <w:rPr>
                <w:rFonts w:ascii="Verdana" w:hAnsi="Verdana" w:cs="Arial"/>
                <w:i/>
                <w:iCs/>
                <w:lang w:eastAsia="es-ES_tradnl"/>
              </w:rPr>
              <w:t>iii</w:t>
            </w:r>
            <w:proofErr w:type="spellEnd"/>
            <w:r w:rsidRPr="00285011">
              <w:rPr>
                <w:rFonts w:ascii="Verdana" w:hAnsi="Verdana" w:cs="Arial"/>
                <w:i/>
                <w:iCs/>
                <w:lang w:eastAsia="es-ES_tradnl"/>
              </w:rPr>
              <w:t>)</w:t>
            </w:r>
            <w:r w:rsidRPr="00285011">
              <w:rPr>
                <w:rFonts w:ascii="Verdana" w:hAnsi="Verdana" w:cs="Arial"/>
                <w:lang w:eastAsia="es-ES_tradnl"/>
              </w:rPr>
              <w:t xml:space="preserve"> propiciar el establecimiento de relaciones directas entre productores y consumidores en el marco de la Agricultura Campesina, Familiar y Comunitaria, se constituye en pilar para avanzar en el desarrollo del derecho a la alimentación, así como para promover cambios visibles en la producción, el consumo y el estado nutricional de la población rural; </w:t>
            </w:r>
            <w:r w:rsidRPr="00285011">
              <w:rPr>
                <w:rFonts w:ascii="Verdana" w:hAnsi="Verdana" w:cs="Arial"/>
                <w:i/>
                <w:iCs/>
                <w:lang w:eastAsia="es-ES_tradnl"/>
              </w:rPr>
              <w:t>(</w:t>
            </w:r>
            <w:proofErr w:type="spellStart"/>
            <w:r w:rsidRPr="00285011">
              <w:rPr>
                <w:rFonts w:ascii="Verdana" w:hAnsi="Verdana" w:cs="Arial"/>
                <w:i/>
                <w:iCs/>
                <w:lang w:eastAsia="es-ES_tradnl"/>
              </w:rPr>
              <w:t>iv</w:t>
            </w:r>
            <w:proofErr w:type="spellEnd"/>
            <w:r w:rsidRPr="00285011">
              <w:rPr>
                <w:rFonts w:ascii="Verdana" w:hAnsi="Verdana" w:cs="Arial"/>
                <w:i/>
                <w:iCs/>
                <w:lang w:eastAsia="es-ES_tradnl"/>
              </w:rPr>
              <w:t>)</w:t>
            </w:r>
            <w:r w:rsidRPr="00285011">
              <w:rPr>
                <w:rFonts w:ascii="Verdana" w:hAnsi="Verdana" w:cs="Arial"/>
                <w:lang w:eastAsia="es-ES_tradnl"/>
              </w:rPr>
              <w:t xml:space="preserve"> se trata de fomentar y robustecer, en el mediano plazo, en los sectores rurales modelos </w:t>
            </w:r>
            <w:r w:rsidRPr="00285011">
              <w:rPr>
                <w:rFonts w:ascii="Verdana" w:hAnsi="Verdana" w:cs="Arial"/>
                <w:lang w:eastAsia="es-ES_tradnl"/>
              </w:rPr>
              <w:lastRenderedPageBreak/>
              <w:t xml:space="preserve">operativos que dinamicen los canales comerciales de Organizaciones de pequeños y medianos productores pertenecientes a la agricultura campesina familiar y comunitaria a través de alternativas de abastecimiento articuladas a nivel local entre productores y consumidores y del desarrollo de programas y proyectos coordinados e intersectoriales que apoyen los esfuerzos sectoriales que se vienen realizando en la materia; </w:t>
            </w:r>
            <w:r w:rsidRPr="00285011">
              <w:rPr>
                <w:rFonts w:ascii="Verdana" w:hAnsi="Verdana" w:cs="Arial"/>
                <w:i/>
                <w:iCs/>
                <w:lang w:eastAsia="es-ES_tradnl"/>
              </w:rPr>
              <w:t>(v)</w:t>
            </w:r>
            <w:r w:rsidRPr="00285011">
              <w:rPr>
                <w:rFonts w:ascii="Verdana" w:hAnsi="Verdana" w:cs="Arial"/>
                <w:lang w:eastAsia="es-ES_tradnl"/>
              </w:rPr>
              <w:t xml:space="preserve"> la importancia de las compras públicas locales para el desarrollo territorial fue también resaltada en la Reforma Rural Integral, planteada en el Acuerdo Final Para la Terminación del Conflicto y la Construcción de una Paz Estable y Duradera suscrito entre el Gobierno Nacional y las Fuerzas Armadas Revolucionarias de Colombia; y </w:t>
            </w:r>
            <w:r w:rsidRPr="00285011">
              <w:rPr>
                <w:rFonts w:ascii="Verdana" w:hAnsi="Verdana" w:cs="Arial"/>
                <w:i/>
                <w:iCs/>
                <w:lang w:eastAsia="es-ES_tradnl"/>
              </w:rPr>
              <w:t>(vi)</w:t>
            </w:r>
            <w:r w:rsidRPr="00285011">
              <w:rPr>
                <w:rFonts w:ascii="Verdana" w:hAnsi="Verdana" w:cs="Arial"/>
                <w:lang w:eastAsia="es-ES_tradnl"/>
              </w:rPr>
              <w:t xml:space="preserve"> en el Plan Nacional de Desarrollo 2018-2022 las compras públicas se reflejan en la alianza para dinamizar el desarrollo y la productividad de la Colombia Rural dispuesta en la página 216, de donde surge que el Ministerio de Agricultura y Desarrollo Rural, en coordinación con otras entidades, implementará instrumentos y servicios que mejoren las condiciones de comercialización interna y externa de los productores, por medio de la promoción de circuitos cortos de comercialización (mercados campesinos, canales digitales, compras públicas de oferta de alimentos, bienes y servicios de las organizaciones solidarias).</w:t>
            </w:r>
          </w:p>
          <w:p w14:paraId="32FE3115" w14:textId="77777777" w:rsidR="0047608F" w:rsidRPr="00285011" w:rsidRDefault="0047608F" w:rsidP="00285011">
            <w:pPr>
              <w:spacing w:after="120" w:line="276" w:lineRule="auto"/>
              <w:ind w:firstLine="709"/>
              <w:jc w:val="both"/>
              <w:rPr>
                <w:rFonts w:ascii="Verdana" w:hAnsi="Verdana" w:cs="Arial"/>
                <w:lang w:eastAsia="es-ES_tradnl"/>
              </w:rPr>
            </w:pPr>
            <w:r w:rsidRPr="00285011">
              <w:rPr>
                <w:rFonts w:ascii="Verdana" w:hAnsi="Verdana" w:cs="Arial"/>
                <w:lang w:eastAsia="es-ES_tradnl"/>
              </w:rPr>
              <w:t xml:space="preserve">En esencia, el Decreto 248 de 2021 reglamenta las compras públicas de alimentos agropecuarios e incorpora en su artículo </w:t>
            </w:r>
            <w:r w:rsidRPr="00285011">
              <w:rPr>
                <w:rFonts w:ascii="Verdana" w:hAnsi="Verdana" w:cs="Arial"/>
                <w:i/>
                <w:iCs/>
                <w:lang w:eastAsia="es-ES_tradnl"/>
              </w:rPr>
              <w:t>2.20.1.1.1.</w:t>
            </w:r>
            <w:r w:rsidRPr="00285011">
              <w:rPr>
                <w:rFonts w:ascii="Verdana" w:hAnsi="Verdana" w:cs="Arial"/>
                <w:lang w:eastAsia="es-ES_tradnl"/>
              </w:rPr>
              <w:t xml:space="preserve"> las definiciones establecidas en el artículo 4º de la Ley 2046 de 2020 cuando aplique (esquemas asociativos de pequeños productores, insumo, productos agropecuarios, producto agropecuario nacional y organizaciones de agricultura campesina, familiar y comunitaria). A su vez, en el artículo 2.20.1.1.2. establece el deber de las secretarías departamentales de agricultura de crear un registro general de pequeños productores y productores de la agricultura campesina, familiar y comunitaria individuales y/o de organizaciones de productores legalmente constituidas presentes en el departamento.</w:t>
            </w:r>
          </w:p>
          <w:p w14:paraId="0FD237D4" w14:textId="77777777" w:rsidR="00E6538E" w:rsidRDefault="0047608F" w:rsidP="00285011">
            <w:pPr>
              <w:spacing w:after="120" w:line="276" w:lineRule="auto"/>
              <w:ind w:firstLine="709"/>
              <w:jc w:val="both"/>
              <w:rPr>
                <w:rFonts w:ascii="Verdana" w:hAnsi="Verdana" w:cs="Arial"/>
              </w:rPr>
            </w:pPr>
            <w:r w:rsidRPr="00285011">
              <w:rPr>
                <w:rFonts w:ascii="Verdana" w:hAnsi="Verdana" w:cs="Arial"/>
                <w:lang w:eastAsia="es-ES_tradnl"/>
              </w:rPr>
              <w:t xml:space="preserve">En el artículo </w:t>
            </w:r>
            <w:r w:rsidRPr="00285011">
              <w:rPr>
                <w:rFonts w:ascii="Verdana" w:hAnsi="Verdana" w:cs="Arial"/>
                <w:i/>
                <w:iCs/>
                <w:lang w:eastAsia="es-ES_tradnl"/>
              </w:rPr>
              <w:t>2.20.1.1.3.</w:t>
            </w:r>
            <w:r w:rsidRPr="00285011">
              <w:rPr>
                <w:rFonts w:ascii="Verdana" w:hAnsi="Verdana" w:cs="Arial"/>
                <w:lang w:eastAsia="es-ES_tradnl"/>
              </w:rPr>
              <w:t xml:space="preserve"> se fijó la obligación sobre el mínimo de compras públicas de alimentos y suministros, de productos agropecuarios a productores agropecuarios locales, en el entendido que las entidades públicas </w:t>
            </w:r>
            <w:r w:rsidRPr="00285011">
              <w:rPr>
                <w:rFonts w:ascii="Verdana" w:hAnsi="Verdana" w:cs="Arial"/>
              </w:rPr>
              <w:t xml:space="preserve">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w:t>
            </w:r>
            <w:r w:rsidRPr="00285011">
              <w:rPr>
                <w:rFonts w:ascii="Verdana" w:hAnsi="Verdana" w:cs="Arial"/>
              </w:rPr>
              <w:lastRenderedPageBreak/>
              <w:t xml:space="preserve">sus formas de atención, están en el deber de adquirir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w:t>
            </w:r>
          </w:p>
          <w:p w14:paraId="3AB27ACF" w14:textId="1642238B" w:rsidR="00E072B2" w:rsidRPr="007A0E81" w:rsidRDefault="0047608F" w:rsidP="00502B69">
            <w:pPr>
              <w:spacing w:line="276" w:lineRule="auto"/>
              <w:ind w:firstLine="709"/>
              <w:jc w:val="both"/>
              <w:rPr>
                <w:rFonts w:ascii="Verdana" w:eastAsia="Calibri" w:hAnsi="Verdana" w:cs="Arial"/>
                <w:lang w:val="es-ES"/>
              </w:rPr>
            </w:pPr>
            <w:r w:rsidRPr="00285011">
              <w:rPr>
                <w:rFonts w:ascii="Verdana" w:hAnsi="Verdana" w:cs="Arial"/>
              </w:rPr>
              <w:t>En todo caso, allí mismo se determina que, en el evento en que la oferta de alimentos producidos por pequeños productores y/o productores de la Agricultura Campesina, Familiar o Comunitaria local sea inferior al 30%, las entidades deben informar de esta situación a la Secretaría Técnica de la Mesa Técnica Nacional de Compras Públicas Locales en el término máximo en los cinco (5) días hábiles siguientes una vez advertida la situación. Recibida la comunicación de parte de la entidad contratante, la Secretaría Técnica de la mesa tendrá cinco (5) días hábiles para realizar las gestiones necesarias para otorgar un listado de pequeños productores y/o productores de la Agricultura Campesina, Familiar o Comunitaria no locales a quienes puede acudir para suplir el porcentaje restante (…)”.</w:t>
            </w:r>
            <w:r w:rsidR="00E072B2">
              <w:rPr>
                <w:rFonts w:ascii="Verdana" w:eastAsia="Calibri" w:hAnsi="Verdana" w:cs="Arial"/>
                <w:lang w:val="es-ES"/>
              </w:rPr>
              <w:t xml:space="preserve"> </w:t>
            </w:r>
          </w:p>
        </w:tc>
      </w:tr>
    </w:tbl>
    <w:p w14:paraId="5B9CF1B4" w14:textId="77777777" w:rsidR="00E072B2" w:rsidRPr="007A0E81" w:rsidRDefault="00E072B2" w:rsidP="00E072B2">
      <w:pPr>
        <w:tabs>
          <w:tab w:val="left" w:pos="142"/>
          <w:tab w:val="left" w:pos="284"/>
        </w:tabs>
        <w:spacing w:after="0" w:line="276" w:lineRule="auto"/>
        <w:jc w:val="both"/>
        <w:rPr>
          <w:rFonts w:ascii="Verdana" w:eastAsia="Century Gothic" w:hAnsi="Verdana" w:cs="Century Gothic"/>
          <w:b/>
          <w:bCs/>
          <w:lang w:val="es-ES"/>
        </w:rPr>
      </w:pPr>
    </w:p>
    <w:p w14:paraId="2EF16421" w14:textId="77777777" w:rsidR="00E072B2" w:rsidRPr="007A0E81" w:rsidRDefault="00E072B2" w:rsidP="00E072B2">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7A0E81">
        <w:rPr>
          <w:rFonts w:ascii="Verdana" w:eastAsia="Century Gothic" w:hAnsi="Verdana" w:cs="Century Gothic"/>
          <w:b/>
          <w:bCs/>
          <w:lang w:val="es-ES"/>
        </w:rPr>
        <w:t>Razones de la respuesta:</w:t>
      </w:r>
    </w:p>
    <w:p w14:paraId="7D9B0261" w14:textId="77777777" w:rsidR="00E072B2" w:rsidRPr="007A0E81" w:rsidRDefault="00E072B2" w:rsidP="00E072B2">
      <w:pPr>
        <w:spacing w:after="0" w:line="276" w:lineRule="auto"/>
        <w:jc w:val="both"/>
        <w:rPr>
          <w:rFonts w:ascii="Verdana" w:eastAsia="Calibri" w:hAnsi="Verdana" w:cs="Arial"/>
          <w:lang w:val="es-ES"/>
        </w:rPr>
      </w:pPr>
    </w:p>
    <w:p w14:paraId="3EB72C83" w14:textId="77777777" w:rsidR="00E072B2" w:rsidRPr="007A0E81" w:rsidRDefault="00E072B2" w:rsidP="00E072B2">
      <w:pPr>
        <w:spacing w:after="0" w:line="276" w:lineRule="auto"/>
        <w:jc w:val="both"/>
        <w:rPr>
          <w:rFonts w:ascii="Verdana" w:eastAsia="Calibri" w:hAnsi="Verdana" w:cs="Arial"/>
          <w:lang w:val="es-ES"/>
        </w:rPr>
      </w:pPr>
      <w:r w:rsidRPr="007A0E81">
        <w:rPr>
          <w:rFonts w:ascii="Verdana" w:eastAsia="Calibri" w:hAnsi="Verdana" w:cs="Arial"/>
          <w:lang w:val="es-ES"/>
        </w:rPr>
        <w:t xml:space="preserve">Lo anterior se sustenta en las siguientes consideraciones: </w:t>
      </w:r>
    </w:p>
    <w:p w14:paraId="14337F60" w14:textId="77777777" w:rsidR="00E072B2" w:rsidRDefault="00E072B2" w:rsidP="00E072B2">
      <w:pPr>
        <w:spacing w:after="0" w:line="276" w:lineRule="auto"/>
        <w:jc w:val="both"/>
        <w:rPr>
          <w:rFonts w:ascii="Verdana" w:eastAsia="Calibri" w:hAnsi="Verdana" w:cs="Arial"/>
          <w:lang w:val="es-ES"/>
        </w:rPr>
      </w:pPr>
    </w:p>
    <w:p w14:paraId="112A04E4" w14:textId="14C928A4" w:rsidR="00E072B2" w:rsidRPr="00285011" w:rsidRDefault="00E072B2" w:rsidP="00285011">
      <w:pPr>
        <w:spacing w:after="120" w:line="276" w:lineRule="auto"/>
        <w:jc w:val="both"/>
        <w:rPr>
          <w:rFonts w:ascii="Verdana" w:eastAsia="Century Gothic" w:hAnsi="Verdana" w:cs="Century Gothic"/>
        </w:rPr>
      </w:pPr>
      <w:r w:rsidRPr="00571478">
        <w:rPr>
          <w:rFonts w:ascii="Verdana" w:eastAsia="Century Gothic" w:hAnsi="Verdana" w:cs="Century Gothic"/>
          <w:b/>
          <w:bCs/>
          <w:lang w:val="es-ES"/>
        </w:rPr>
        <w:t>i)</w:t>
      </w:r>
      <w:r>
        <w:rPr>
          <w:rFonts w:ascii="Verdana" w:eastAsia="Century Gothic" w:hAnsi="Verdana" w:cs="Century Gothic"/>
          <w:lang w:val="es-ES"/>
        </w:rPr>
        <w:t xml:space="preserve"> </w:t>
      </w:r>
      <w:r w:rsidRPr="00E96F6B">
        <w:rPr>
          <w:rFonts w:ascii="Verdana" w:eastAsia="Times New Roman" w:hAnsi="Verdana" w:cs="Arial"/>
          <w:lang w:eastAsia="es-CO"/>
        </w:rPr>
        <w:t>La contratación pública o sistema de compra pública se concibe como un mercado compuesto por la oferta de particulares, preferentemente, y la demanda de las Entidades Públicas de bienes y servicios</w:t>
      </w:r>
      <w:r w:rsidR="00CC609E">
        <w:rPr>
          <w:rFonts w:ascii="Verdana" w:eastAsia="Times New Roman" w:hAnsi="Verdana" w:cs="Arial"/>
          <w:lang w:eastAsia="es-CO"/>
        </w:rPr>
        <w:t xml:space="preserve">. </w:t>
      </w:r>
      <w:r w:rsidR="00E96821">
        <w:rPr>
          <w:rFonts w:ascii="Verdana" w:eastAsia="Times New Roman" w:hAnsi="Verdana" w:cs="Arial"/>
          <w:lang w:eastAsia="es-CO"/>
        </w:rPr>
        <w:t>Particularmente,</w:t>
      </w:r>
      <w:r w:rsidRPr="00E96F6B">
        <w:rPr>
          <w:rFonts w:ascii="Verdana" w:eastAsia="Times New Roman" w:hAnsi="Verdana" w:cs="Arial"/>
          <w:lang w:eastAsia="es-CO"/>
        </w:rPr>
        <w:t xml:space="preserve"> </w:t>
      </w:r>
      <w:r w:rsidR="0050332A">
        <w:rPr>
          <w:rFonts w:ascii="Verdana" w:eastAsia="Times New Roman" w:hAnsi="Verdana" w:cs="Arial"/>
          <w:lang w:eastAsia="es-CO"/>
        </w:rPr>
        <w:t xml:space="preserve">la </w:t>
      </w:r>
      <w:r w:rsidRPr="00E96F6B">
        <w:rPr>
          <w:rFonts w:ascii="Verdana" w:eastAsia="Times New Roman" w:hAnsi="Verdana" w:cs="Arial"/>
          <w:lang w:eastAsia="es-CO"/>
        </w:rPr>
        <w:t>compra pública de alimentos</w:t>
      </w:r>
      <w:r w:rsidR="0050332A">
        <w:rPr>
          <w:rFonts w:ascii="Verdana" w:eastAsia="Times New Roman" w:hAnsi="Verdana" w:cs="Arial"/>
          <w:lang w:eastAsia="es-CO"/>
        </w:rPr>
        <w:t>, a</w:t>
      </w:r>
      <w:r w:rsidR="00A77102">
        <w:rPr>
          <w:rFonts w:ascii="Verdana" w:eastAsia="Times New Roman" w:hAnsi="Verdana" w:cs="Arial"/>
          <w:lang w:eastAsia="es-CO"/>
        </w:rPr>
        <w:t xml:space="preserve"> </w:t>
      </w:r>
      <w:r w:rsidR="0050332A">
        <w:rPr>
          <w:rFonts w:ascii="Verdana" w:eastAsia="Times New Roman" w:hAnsi="Verdana" w:cs="Arial"/>
          <w:lang w:eastAsia="es-CO"/>
        </w:rPr>
        <w:t>l</w:t>
      </w:r>
      <w:r w:rsidR="00A77102">
        <w:rPr>
          <w:rFonts w:ascii="Verdana" w:eastAsia="Times New Roman" w:hAnsi="Verdana" w:cs="Arial"/>
          <w:lang w:eastAsia="es-CO"/>
        </w:rPr>
        <w:t>a</w:t>
      </w:r>
      <w:r w:rsidR="0050332A">
        <w:rPr>
          <w:rFonts w:ascii="Verdana" w:eastAsia="Times New Roman" w:hAnsi="Verdana" w:cs="Arial"/>
          <w:lang w:eastAsia="es-CO"/>
        </w:rPr>
        <w:t xml:space="preserve"> cual</w:t>
      </w:r>
      <w:r w:rsidRPr="00E96F6B">
        <w:rPr>
          <w:rFonts w:ascii="Verdana" w:eastAsia="Times New Roman" w:hAnsi="Verdana" w:cs="Arial"/>
          <w:lang w:eastAsia="es-CO"/>
        </w:rPr>
        <w:t xml:space="preserve"> se </w:t>
      </w:r>
      <w:r w:rsidR="0050332A">
        <w:rPr>
          <w:rFonts w:ascii="Verdana" w:eastAsia="Times New Roman" w:hAnsi="Verdana" w:cs="Arial"/>
          <w:lang w:eastAsia="es-CO"/>
        </w:rPr>
        <w:t xml:space="preserve">refiere en su consulta, </w:t>
      </w:r>
      <w:r w:rsidR="009E1C5F">
        <w:rPr>
          <w:rFonts w:ascii="Verdana" w:eastAsia="Times New Roman" w:hAnsi="Verdana" w:cs="Arial"/>
          <w:lang w:eastAsia="es-CO"/>
        </w:rPr>
        <w:t>además de lo dispuesto en el Estatuto General de Contratación de la Administración Pública – en adelante EGCAP -</w:t>
      </w:r>
      <w:r w:rsidR="00A12973">
        <w:rPr>
          <w:rFonts w:ascii="Verdana" w:eastAsia="Times New Roman" w:hAnsi="Verdana" w:cs="Arial"/>
          <w:lang w:eastAsia="es-CO"/>
        </w:rPr>
        <w:t>, se</w:t>
      </w:r>
      <w:r w:rsidR="00340BD0">
        <w:rPr>
          <w:rFonts w:ascii="Verdana" w:eastAsia="Times New Roman" w:hAnsi="Verdana" w:cs="Arial"/>
          <w:lang w:eastAsia="es-CO"/>
        </w:rPr>
        <w:t xml:space="preserve"> </w:t>
      </w:r>
      <w:r w:rsidRPr="00E96F6B">
        <w:rPr>
          <w:rFonts w:ascii="Verdana" w:eastAsia="Times New Roman" w:hAnsi="Verdana" w:cs="Arial"/>
          <w:lang w:eastAsia="es-CO"/>
        </w:rPr>
        <w:t>encuentra regulad</w:t>
      </w:r>
      <w:r w:rsidR="00E96821">
        <w:rPr>
          <w:rFonts w:ascii="Verdana" w:eastAsia="Times New Roman" w:hAnsi="Verdana" w:cs="Arial"/>
          <w:lang w:eastAsia="es-CO"/>
        </w:rPr>
        <w:t>a</w:t>
      </w:r>
      <w:r w:rsidR="00A77102">
        <w:rPr>
          <w:rFonts w:ascii="Verdana" w:eastAsia="Times New Roman" w:hAnsi="Verdana" w:cs="Arial"/>
          <w:lang w:eastAsia="es-CO"/>
        </w:rPr>
        <w:t xml:space="preserve"> en </w:t>
      </w:r>
      <w:r w:rsidRPr="00E96F6B">
        <w:rPr>
          <w:rFonts w:ascii="Verdana" w:eastAsia="Century Gothic" w:hAnsi="Verdana" w:cs="Century Gothic"/>
        </w:rPr>
        <w:t xml:space="preserve">la Ley 1955 de 2019, </w:t>
      </w:r>
      <w:r w:rsidR="00A77102">
        <w:rPr>
          <w:rFonts w:ascii="Verdana" w:eastAsia="Century Gothic" w:hAnsi="Verdana" w:cs="Century Gothic"/>
        </w:rPr>
        <w:t xml:space="preserve">la Ley </w:t>
      </w:r>
      <w:r w:rsidRPr="00E96F6B">
        <w:rPr>
          <w:rFonts w:ascii="Verdana" w:eastAsia="Century Gothic" w:hAnsi="Verdana" w:cs="Century Gothic"/>
        </w:rPr>
        <w:t xml:space="preserve">2046 de 2020 </w:t>
      </w:r>
      <w:r w:rsidR="00CA1B95" w:rsidRPr="00E96F6B">
        <w:rPr>
          <w:rFonts w:ascii="Verdana" w:eastAsia="Century Gothic" w:hAnsi="Verdana" w:cs="Century Gothic"/>
        </w:rPr>
        <w:t>y el</w:t>
      </w:r>
      <w:r w:rsidRPr="00E96F6B">
        <w:rPr>
          <w:rFonts w:ascii="Verdana" w:eastAsia="Century Gothic" w:hAnsi="Verdana" w:cs="Century Gothic"/>
        </w:rPr>
        <w:t xml:space="preserve"> Decreto 248 de 2021, que modifica el Decreto 1071 de 2015.</w:t>
      </w:r>
      <w:r w:rsidR="00340BD0">
        <w:rPr>
          <w:rFonts w:ascii="Verdana" w:eastAsia="Century Gothic" w:hAnsi="Verdana" w:cs="Century Gothic"/>
        </w:rPr>
        <w:t xml:space="preserve"> En ese contexto resulta importante referirse al </w:t>
      </w:r>
      <w:r w:rsidR="00340BD0" w:rsidRPr="00285011">
        <w:rPr>
          <w:rFonts w:ascii="Verdana" w:eastAsia="Century Gothic" w:hAnsi="Verdana" w:cs="Century Gothic"/>
          <w:lang w:val="es-ES"/>
        </w:rPr>
        <w:t>c</w:t>
      </w:r>
      <w:proofErr w:type="spellStart"/>
      <w:r w:rsidRPr="00285011">
        <w:rPr>
          <w:rFonts w:ascii="Verdana" w:eastAsia="Century Gothic" w:hAnsi="Verdana" w:cs="Century Gothic"/>
        </w:rPr>
        <w:t>ontexto</w:t>
      </w:r>
      <w:proofErr w:type="spellEnd"/>
      <w:r w:rsidRPr="00285011">
        <w:rPr>
          <w:rFonts w:ascii="Verdana" w:eastAsia="Century Gothic" w:hAnsi="Verdana" w:cs="Century Gothic"/>
        </w:rPr>
        <w:t xml:space="preserve"> y finalidad de los incentivos y estímulos regulados el artículo 229 de la Ley 1955 de 2019 y en la Ley 2046 de 2020</w:t>
      </w:r>
      <w:r w:rsidR="009D188B">
        <w:rPr>
          <w:rFonts w:ascii="Verdana" w:eastAsia="Century Gothic" w:hAnsi="Verdana" w:cs="Century Gothic"/>
        </w:rPr>
        <w:t xml:space="preserve">. </w:t>
      </w:r>
    </w:p>
    <w:p w14:paraId="6A26F5F7" w14:textId="6443A80E" w:rsidR="00E072B2" w:rsidRPr="00571478" w:rsidRDefault="009D188B" w:rsidP="00E072B2">
      <w:pPr>
        <w:spacing w:after="0" w:line="276" w:lineRule="auto"/>
        <w:ind w:firstLine="708"/>
        <w:jc w:val="both"/>
        <w:rPr>
          <w:rFonts w:ascii="Verdana" w:eastAsia="Times New Roman" w:hAnsi="Verdana" w:cs="Arial"/>
          <w:lang w:eastAsia="es-CO"/>
        </w:rPr>
      </w:pPr>
      <w:r>
        <w:rPr>
          <w:rFonts w:ascii="Verdana" w:eastAsia="Times New Roman" w:hAnsi="Verdana" w:cs="Arial"/>
          <w:lang w:eastAsia="es-CO"/>
        </w:rPr>
        <w:t>Así, en el</w:t>
      </w:r>
      <w:r w:rsidR="00E072B2" w:rsidRPr="00571478">
        <w:rPr>
          <w:rFonts w:ascii="Verdana" w:eastAsia="Times New Roman" w:hAnsi="Verdana" w:cs="Arial"/>
          <w:lang w:eastAsia="es-CO"/>
        </w:rPr>
        <w:t xml:space="preserve"> mercado de la compra pública se crean incentivos para fomentar el desarrollo de determinado tipo de proveedores, como ocurre con los incentivos a las </w:t>
      </w:r>
      <w:proofErr w:type="spellStart"/>
      <w:r w:rsidR="00E072B2" w:rsidRPr="00571478">
        <w:rPr>
          <w:rFonts w:ascii="Verdana" w:eastAsia="Times New Roman" w:hAnsi="Verdana" w:cs="Arial"/>
          <w:lang w:eastAsia="es-CO"/>
        </w:rPr>
        <w:t>Mipymes</w:t>
      </w:r>
      <w:proofErr w:type="spellEnd"/>
      <w:r w:rsidR="00E072B2" w:rsidRPr="00571478">
        <w:rPr>
          <w:rFonts w:ascii="Verdana" w:eastAsia="Times New Roman" w:hAnsi="Verdana" w:cs="Arial"/>
          <w:lang w:eastAsia="es-CO"/>
        </w:rPr>
        <w:t xml:space="preserve">, a los emprendimientos y empresas de mujeres, entre otros. En esa orientación, el artículo 229 de la Ley 1955 de 2019, </w:t>
      </w:r>
      <w:r w:rsidR="008508FE">
        <w:rPr>
          <w:rFonts w:ascii="Verdana" w:eastAsia="Times New Roman" w:hAnsi="Verdana" w:cs="Arial"/>
          <w:lang w:eastAsia="es-CO"/>
        </w:rPr>
        <w:t>“</w:t>
      </w:r>
      <w:r w:rsidR="00E072B2" w:rsidRPr="00571478">
        <w:rPr>
          <w:rFonts w:ascii="Verdana" w:eastAsia="Times New Roman" w:hAnsi="Verdana" w:cs="Arial"/>
          <w:lang w:eastAsia="es-CO"/>
        </w:rPr>
        <w:t xml:space="preserve">Por el cual se expide el </w:t>
      </w:r>
      <w:r w:rsidR="00E072B2" w:rsidRPr="00571478">
        <w:rPr>
          <w:rFonts w:ascii="Verdana" w:eastAsia="Times New Roman" w:hAnsi="Verdana" w:cs="Arial"/>
          <w:lang w:eastAsia="es-CO"/>
        </w:rPr>
        <w:lastRenderedPageBreak/>
        <w:t>Plan Nacional de Desarrollo 2018-2022</w:t>
      </w:r>
      <w:r w:rsidR="008508FE">
        <w:rPr>
          <w:rFonts w:ascii="Verdana" w:eastAsia="Times New Roman" w:hAnsi="Verdana" w:cs="Arial"/>
          <w:lang w:eastAsia="es-CO"/>
        </w:rPr>
        <w:t>”</w:t>
      </w:r>
      <w:r w:rsidR="00E072B2" w:rsidRPr="00571478">
        <w:rPr>
          <w:rFonts w:ascii="Verdana" w:eastAsia="Times New Roman" w:hAnsi="Verdana" w:cs="Arial"/>
          <w:lang w:eastAsia="es-CO"/>
        </w:rPr>
        <w:t xml:space="preserve">, dispuso que las entidades públicas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 En lo pertinente, la norma dispone que: </w:t>
      </w:r>
    </w:p>
    <w:p w14:paraId="73B6E888" w14:textId="77777777" w:rsidR="00E072B2" w:rsidRPr="00B40B0D" w:rsidRDefault="00E072B2" w:rsidP="00E072B2">
      <w:pPr>
        <w:spacing w:after="0" w:line="276" w:lineRule="auto"/>
        <w:jc w:val="both"/>
        <w:rPr>
          <w:rFonts w:ascii="Verdana" w:eastAsia="Times New Roman" w:hAnsi="Verdana" w:cs="Arial"/>
          <w:lang w:eastAsia="es-CO"/>
        </w:rPr>
      </w:pPr>
    </w:p>
    <w:p w14:paraId="4B03A783" w14:textId="12930079" w:rsidR="00E072B2" w:rsidRPr="00571478" w:rsidRDefault="002571B6" w:rsidP="00285011">
      <w:pPr>
        <w:spacing w:after="0" w:line="240" w:lineRule="auto"/>
        <w:ind w:left="709" w:right="709"/>
        <w:jc w:val="both"/>
        <w:rPr>
          <w:rFonts w:ascii="Verdana" w:eastAsia="Times New Roman" w:hAnsi="Verdana" w:cs="Arial"/>
          <w:sz w:val="20"/>
          <w:szCs w:val="20"/>
          <w:lang w:eastAsia="es-CO"/>
        </w:rPr>
      </w:pPr>
      <w:r>
        <w:rPr>
          <w:rFonts w:ascii="Verdana" w:eastAsia="Times New Roman" w:hAnsi="Verdana" w:cs="Arial"/>
          <w:sz w:val="20"/>
          <w:szCs w:val="20"/>
          <w:lang w:eastAsia="es-CO"/>
        </w:rPr>
        <w:t>“</w:t>
      </w:r>
      <w:r w:rsidR="00E072B2" w:rsidRPr="00571478">
        <w:rPr>
          <w:rFonts w:ascii="Verdana" w:eastAsia="Times New Roman" w:hAnsi="Verdana" w:cs="Arial"/>
          <w:sz w:val="20"/>
          <w:szCs w:val="20"/>
          <w:lang w:eastAsia="es-CO"/>
        </w:rPr>
        <w:t>Las entidades públicas descentralizadas del orden nacional y las entidades territoriales cada vez que requieran productos de origen agropecuario para atender la demanda de los programas institucionales de servicios de alimentación deberán establecer en sus pliegos de condiciones puntajes adicionales y estrategias de ponderación que mejoren las calificaciones de los proponentes cuando presenten contratos de proveeduría suscritos con productores nacionales. El Gobierno nacional en un plazo máximo de no más de tres (3) meses establecerá el esquema de puntajes adicionales, previo análisis de la Agencia de Contratación Colombia Compra Eficiente.</w:t>
      </w:r>
    </w:p>
    <w:p w14:paraId="663E1B0A" w14:textId="77777777" w:rsidR="00E072B2" w:rsidRPr="00571478" w:rsidRDefault="00E072B2" w:rsidP="00285011">
      <w:pPr>
        <w:spacing w:after="0" w:line="240" w:lineRule="auto"/>
        <w:ind w:left="709" w:right="709"/>
        <w:jc w:val="both"/>
        <w:rPr>
          <w:rFonts w:ascii="Verdana" w:eastAsia="Times New Roman" w:hAnsi="Verdana" w:cs="Arial"/>
          <w:sz w:val="20"/>
          <w:szCs w:val="20"/>
          <w:lang w:eastAsia="es-CO"/>
        </w:rPr>
      </w:pPr>
    </w:p>
    <w:p w14:paraId="77A02F4A" w14:textId="77777777" w:rsidR="00E072B2" w:rsidRPr="00571478" w:rsidRDefault="00E072B2" w:rsidP="00285011">
      <w:pPr>
        <w:spacing w:after="0" w:line="240" w:lineRule="auto"/>
        <w:ind w:left="709" w:right="709"/>
        <w:jc w:val="both"/>
        <w:rPr>
          <w:rFonts w:ascii="Verdana" w:eastAsia="Times New Roman" w:hAnsi="Verdana" w:cs="Arial"/>
          <w:sz w:val="20"/>
          <w:szCs w:val="20"/>
          <w:lang w:eastAsia="es-CO"/>
        </w:rPr>
      </w:pPr>
      <w:r w:rsidRPr="00571478">
        <w:rPr>
          <w:rFonts w:ascii="Verdana" w:eastAsia="Times New Roman" w:hAnsi="Verdana" w:cs="Arial"/>
          <w:sz w:val="20"/>
          <w:szCs w:val="20"/>
          <w:lang w:eastAsia="es-CO"/>
        </w:rPr>
        <w:t>Sin perjuicio de lo anterior, las entidades públicas contratantes deberán adquirir hasta el cuarenta por ciento (40%) de alimentos procesados o sin procesar, en donde los insumos y los productos hayan sido adquiridos de productores agropecuarios locales.</w:t>
      </w:r>
    </w:p>
    <w:p w14:paraId="57430FDC" w14:textId="77777777" w:rsidR="00E072B2" w:rsidRPr="00571478" w:rsidRDefault="00E072B2" w:rsidP="00285011">
      <w:pPr>
        <w:spacing w:after="0" w:line="240" w:lineRule="auto"/>
        <w:ind w:left="709" w:right="709"/>
        <w:jc w:val="both"/>
        <w:rPr>
          <w:rFonts w:ascii="Verdana" w:eastAsia="Times New Roman" w:hAnsi="Verdana" w:cs="Arial"/>
          <w:sz w:val="20"/>
          <w:szCs w:val="20"/>
          <w:lang w:eastAsia="es-CO"/>
        </w:rPr>
      </w:pPr>
    </w:p>
    <w:p w14:paraId="42C44D01" w14:textId="77777777" w:rsidR="00E072B2" w:rsidRPr="00571478" w:rsidRDefault="00E072B2" w:rsidP="00285011">
      <w:pPr>
        <w:spacing w:after="0" w:line="240" w:lineRule="auto"/>
        <w:ind w:left="709" w:right="709"/>
        <w:jc w:val="both"/>
        <w:rPr>
          <w:rFonts w:ascii="Verdana" w:eastAsia="Times New Roman" w:hAnsi="Verdana" w:cs="Arial"/>
          <w:sz w:val="20"/>
          <w:szCs w:val="20"/>
          <w:lang w:eastAsia="es-CO"/>
        </w:rPr>
      </w:pPr>
      <w:r w:rsidRPr="00571478">
        <w:rPr>
          <w:rFonts w:ascii="Verdana" w:eastAsia="Times New Roman" w:hAnsi="Verdana" w:cs="Arial"/>
          <w:sz w:val="20"/>
          <w:szCs w:val="20"/>
          <w:lang w:eastAsia="es-CO"/>
        </w:rPr>
        <w:t>Adicionalmente, podrá establecerse un diez por ciento (10%) de puntaje adicional, a los proveedores que realicen el suministro que se pretenda contratar vinculando pequeños productores.</w:t>
      </w:r>
    </w:p>
    <w:p w14:paraId="7FCAF048" w14:textId="77777777" w:rsidR="00E072B2" w:rsidRPr="00571478" w:rsidRDefault="00E072B2" w:rsidP="00285011">
      <w:pPr>
        <w:spacing w:after="0" w:line="240" w:lineRule="auto"/>
        <w:ind w:left="709" w:right="709"/>
        <w:jc w:val="both"/>
        <w:rPr>
          <w:rFonts w:ascii="Verdana" w:eastAsia="Times New Roman" w:hAnsi="Verdana" w:cs="Arial"/>
          <w:sz w:val="20"/>
          <w:szCs w:val="20"/>
          <w:lang w:eastAsia="es-CO"/>
        </w:rPr>
      </w:pPr>
    </w:p>
    <w:p w14:paraId="277100F4" w14:textId="2C85DE33" w:rsidR="00E072B2" w:rsidRPr="00571478" w:rsidRDefault="00E072B2" w:rsidP="00285011">
      <w:pPr>
        <w:spacing w:after="0" w:line="240" w:lineRule="auto"/>
        <w:ind w:left="709" w:right="709"/>
        <w:jc w:val="both"/>
        <w:rPr>
          <w:rFonts w:ascii="Verdana" w:eastAsia="Times New Roman" w:hAnsi="Verdana" w:cs="Arial"/>
          <w:sz w:val="20"/>
          <w:szCs w:val="20"/>
          <w:lang w:eastAsia="es-CO"/>
        </w:rPr>
      </w:pPr>
      <w:r w:rsidRPr="00571478">
        <w:rPr>
          <w:rFonts w:ascii="Verdana" w:eastAsia="Times New Roman" w:hAnsi="Verdana" w:cs="Arial"/>
          <w:sz w:val="20"/>
          <w:szCs w:val="20"/>
          <w:lang w:eastAsia="es-CO"/>
        </w:rPr>
        <w:t>[…]</w:t>
      </w:r>
      <w:r w:rsidR="002571B6">
        <w:rPr>
          <w:rFonts w:ascii="Verdana" w:eastAsia="Times New Roman" w:hAnsi="Verdana" w:cs="Arial"/>
          <w:sz w:val="20"/>
          <w:szCs w:val="20"/>
          <w:lang w:eastAsia="es-CO"/>
        </w:rPr>
        <w:t>”</w:t>
      </w:r>
      <w:r w:rsidR="00824AD3">
        <w:rPr>
          <w:rFonts w:ascii="Verdana" w:eastAsia="Times New Roman" w:hAnsi="Verdana" w:cs="Arial"/>
          <w:sz w:val="20"/>
          <w:szCs w:val="20"/>
          <w:lang w:eastAsia="es-CO"/>
        </w:rPr>
        <w:t xml:space="preserve">. </w:t>
      </w:r>
    </w:p>
    <w:p w14:paraId="353E61CA" w14:textId="77777777" w:rsidR="00E072B2" w:rsidRPr="00B40B0D" w:rsidRDefault="00E072B2" w:rsidP="00E072B2">
      <w:pPr>
        <w:spacing w:after="0" w:line="276" w:lineRule="auto"/>
        <w:jc w:val="both"/>
        <w:rPr>
          <w:rFonts w:ascii="Verdana" w:eastAsia="Times New Roman" w:hAnsi="Verdana" w:cs="Arial"/>
          <w:lang w:eastAsia="es-CO"/>
        </w:rPr>
      </w:pPr>
    </w:p>
    <w:p w14:paraId="353A515C" w14:textId="2759A57E"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Posteriormente, también se expidió la Ley 2046 del 6 de agosto de 2020, </w:t>
      </w:r>
      <w:r w:rsidR="00824AD3">
        <w:rPr>
          <w:rFonts w:ascii="Verdana" w:eastAsia="Times New Roman" w:hAnsi="Verdana" w:cs="Arial"/>
          <w:lang w:eastAsia="es-CO"/>
        </w:rPr>
        <w:t>“</w:t>
      </w:r>
      <w:r w:rsidRPr="00B40B0D">
        <w:rPr>
          <w:rFonts w:ascii="Verdana" w:eastAsia="Times New Roman" w:hAnsi="Verdana" w:cs="Arial"/>
          <w:lang w:eastAsia="es-CO"/>
        </w:rPr>
        <w:t>Por la cual se establecen mecanismos para promover la participación de pequeños productores locales agropecuarios y de la agricultura campesina, familiar y comunitaria en los mercados de compras públicas de alimentos</w:t>
      </w:r>
      <w:r w:rsidR="00824AD3">
        <w:rPr>
          <w:rFonts w:ascii="Verdana" w:eastAsia="Times New Roman" w:hAnsi="Verdana" w:cs="Arial"/>
          <w:lang w:eastAsia="es-CO"/>
        </w:rPr>
        <w:t>”</w:t>
      </w:r>
      <w:r w:rsidRPr="00B40B0D">
        <w:rPr>
          <w:rFonts w:ascii="Verdana" w:eastAsia="Times New Roman" w:hAnsi="Verdana" w:cs="Arial"/>
          <w:lang w:eastAsia="es-CO"/>
        </w:rPr>
        <w:t xml:space="preserve">. De acuerdo con el artículo 14, </w:t>
      </w:r>
      <w:r w:rsidR="00FB2D72">
        <w:rPr>
          <w:rFonts w:ascii="Verdana" w:eastAsia="Times New Roman" w:hAnsi="Verdana" w:cs="Arial"/>
          <w:lang w:eastAsia="es-CO"/>
        </w:rPr>
        <w:t>“</w:t>
      </w:r>
      <w:r w:rsidRPr="00B40B0D">
        <w:rPr>
          <w:rFonts w:ascii="Verdana" w:eastAsia="Times New Roman" w:hAnsi="Verdana" w:cs="Arial"/>
          <w:lang w:eastAsia="es-CO"/>
        </w:rPr>
        <w:t>La presente Ley rige a partir de la fecha de publicación y deroga todas las disposiciones que le sean contrarias</w:t>
      </w:r>
      <w:r w:rsidR="00FB2D72">
        <w:rPr>
          <w:rFonts w:ascii="Verdana" w:eastAsia="Times New Roman" w:hAnsi="Verdana" w:cs="Arial"/>
          <w:lang w:eastAsia="es-CO"/>
        </w:rPr>
        <w:t>”</w:t>
      </w:r>
      <w:r w:rsidRPr="00B40B0D">
        <w:rPr>
          <w:rFonts w:ascii="Verdana" w:eastAsia="Times New Roman" w:hAnsi="Verdana" w:cs="Arial"/>
          <w:lang w:eastAsia="es-CO"/>
        </w:rPr>
        <w:t>, lo que significa que es obligatoria para sus destinatarios desde esa fecha. Esto, sin perjuicio de la posibilidad de que el Gobierno Nacional, en ejercicio de la potestad prevista en el artículo 189.11 de la Constitución Política, expida el decreto correspondiente que permita la cumplida ejecución de esta ley.</w:t>
      </w:r>
    </w:p>
    <w:p w14:paraId="17EFB2BA" w14:textId="3BAAE780" w:rsidR="00930059" w:rsidRDefault="00E072B2" w:rsidP="002504BC">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lastRenderedPageBreak/>
        <w:t xml:space="preserve">La exposición de motivos de la citada Ley explicó, entre otras cosas, lo siguiente: </w:t>
      </w:r>
      <w:r w:rsidR="002504BC">
        <w:rPr>
          <w:rFonts w:ascii="Verdana" w:eastAsia="Times New Roman" w:hAnsi="Verdana" w:cs="Arial"/>
          <w:lang w:eastAsia="es-CO"/>
        </w:rPr>
        <w:t>“</w:t>
      </w:r>
      <w:r w:rsidRPr="00B40B0D">
        <w:rPr>
          <w:rFonts w:ascii="Verdana" w:eastAsia="Times New Roman" w:hAnsi="Verdana" w:cs="Arial"/>
          <w:lang w:eastAsia="es-CO"/>
        </w:rPr>
        <w:t>[…] los parámetros del Estatuto de Contratación, no incluyen, como regla general, la posibilidad de participación de las organizaciones campesinas, indígenas, afros y raizales productoras de alimentos, pues las exigencias técnicas, logísticas y financieras para poder responder a las condiciones contractuales y operativas definidas por las entidades públicas, solo pueden ser satisfechas por empresas intermediarias que llevan bastante tiempo n el mercado</w:t>
      </w:r>
      <w:r w:rsidR="002504BC">
        <w:rPr>
          <w:rFonts w:ascii="Verdana" w:eastAsia="Times New Roman" w:hAnsi="Verdana" w:cs="Arial"/>
          <w:lang w:eastAsia="es-CO"/>
        </w:rPr>
        <w:t>”</w:t>
      </w:r>
      <w:r w:rsidRPr="00B40B0D">
        <w:rPr>
          <w:rFonts w:ascii="Verdana" w:eastAsia="Times New Roman" w:hAnsi="Verdana" w:cs="Arial"/>
          <w:lang w:eastAsia="es-CO"/>
        </w:rPr>
        <w:t xml:space="preserve">. </w:t>
      </w:r>
    </w:p>
    <w:p w14:paraId="2C62107C" w14:textId="12C46384"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Por lo demás, también agrega que </w:t>
      </w:r>
      <w:r w:rsidR="002504BC">
        <w:rPr>
          <w:rFonts w:ascii="Verdana" w:eastAsia="Times New Roman" w:hAnsi="Verdana" w:cs="Arial"/>
          <w:lang w:eastAsia="es-CO"/>
        </w:rPr>
        <w:t>“</w:t>
      </w:r>
      <w:r w:rsidRPr="00B40B0D">
        <w:rPr>
          <w:rFonts w:ascii="Verdana" w:eastAsia="Times New Roman" w:hAnsi="Verdana" w:cs="Arial"/>
          <w:lang w:eastAsia="es-CO"/>
        </w:rPr>
        <w:t>[…] el Juez constitucional ha brindado algunas soluciones de carácter jurisprudencial, que pregonan la evidente necesidad de incluir en los pliegos de condiciones de los distintos procesos de selección, las medidas o acciones afirmativas, que son mandatos con carácter imperativo, tendientes a reequilibrar a aquellas personas, poblaciones o grupos discriminados, que por razones políticas, económicas, culturales o sociales no han tenido las mismas oportunidades que otros sectores de la población</w:t>
      </w:r>
      <w:r w:rsidR="002504BC">
        <w:rPr>
          <w:rFonts w:ascii="Verdana" w:eastAsia="Times New Roman" w:hAnsi="Verdana" w:cs="Arial"/>
          <w:lang w:eastAsia="es-CO"/>
        </w:rPr>
        <w:t>”</w:t>
      </w:r>
      <w:r w:rsidRPr="00B40B0D">
        <w:rPr>
          <w:rFonts w:ascii="Verdana" w:eastAsia="Times New Roman" w:hAnsi="Verdana" w:cs="Arial"/>
          <w:lang w:eastAsia="es-CO"/>
        </w:rPr>
        <w:t xml:space="preserve">. De este modo, la Ley 2046 de 2020 pretende la creación de incentivos que beneficien a la agricultura en el territorio nacional. </w:t>
      </w:r>
    </w:p>
    <w:p w14:paraId="4A9A8BBA" w14:textId="1466940D"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 En este contexto, de acuerdo con el artículo 1, el objeto de la ley </w:t>
      </w:r>
      <w:r w:rsidR="002504BC">
        <w:rPr>
          <w:rFonts w:ascii="Verdana" w:eastAsia="Times New Roman" w:hAnsi="Verdana" w:cs="Arial"/>
          <w:lang w:eastAsia="es-CO"/>
        </w:rPr>
        <w:t>“</w:t>
      </w:r>
      <w:r w:rsidRPr="00B40B0D">
        <w:rPr>
          <w:rFonts w:ascii="Verdana" w:eastAsia="Times New Roman" w:hAnsi="Verdana" w:cs="Arial"/>
          <w:lang w:eastAsia="es-CO"/>
        </w:rPr>
        <w:t>[…]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r w:rsidR="002504BC">
        <w:rPr>
          <w:rFonts w:ascii="Verdana" w:eastAsia="Times New Roman" w:hAnsi="Verdana" w:cs="Arial"/>
          <w:lang w:eastAsia="es-CO"/>
        </w:rPr>
        <w:t>”</w:t>
      </w:r>
      <w:r w:rsidRPr="00B40B0D">
        <w:rPr>
          <w:rFonts w:ascii="Verdana" w:eastAsia="Times New Roman" w:hAnsi="Verdana" w:cs="Arial"/>
          <w:lang w:eastAsia="es-CO"/>
        </w:rPr>
        <w:t>.</w:t>
      </w:r>
    </w:p>
    <w:p w14:paraId="61DEE846" w14:textId="4B27AEE7" w:rsidR="002B7E79" w:rsidRDefault="00E072B2" w:rsidP="002504BC">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En cuanto al campo de aplicación, el artículo 3 ibidem prescribe lo siguiente: </w:t>
      </w:r>
      <w:r w:rsidR="002504BC">
        <w:rPr>
          <w:rFonts w:ascii="Verdana" w:eastAsia="Times New Roman" w:hAnsi="Verdana" w:cs="Arial"/>
          <w:lang w:eastAsia="es-CO"/>
        </w:rPr>
        <w:t>“</w:t>
      </w:r>
      <w:r w:rsidRPr="00B40B0D">
        <w:rPr>
          <w:rFonts w:ascii="Verdana" w:eastAsia="Times New Roman" w:hAnsi="Verdana" w:cs="Arial"/>
          <w:lang w:eastAsia="es-CO"/>
        </w:rPr>
        <w:t>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w:t>
      </w:r>
      <w:r w:rsidR="002504BC">
        <w:rPr>
          <w:rFonts w:ascii="Verdana" w:eastAsia="Times New Roman" w:hAnsi="Verdana" w:cs="Arial"/>
          <w:lang w:eastAsia="es-CO"/>
        </w:rPr>
        <w:t>”</w:t>
      </w:r>
      <w:r w:rsidRPr="00B40B0D">
        <w:rPr>
          <w:rFonts w:ascii="Verdana" w:eastAsia="Times New Roman" w:hAnsi="Verdana" w:cs="Arial"/>
          <w:lang w:eastAsia="es-CO"/>
        </w:rPr>
        <w:t xml:space="preserve">. </w:t>
      </w:r>
    </w:p>
    <w:p w14:paraId="6850836A" w14:textId="25F4E58E"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Por lo demás, también dispone en su inciso segundo que </w:t>
      </w:r>
      <w:r w:rsidR="002504BC">
        <w:rPr>
          <w:rFonts w:ascii="Verdana" w:eastAsia="Times New Roman" w:hAnsi="Verdana" w:cs="Arial"/>
          <w:lang w:eastAsia="es-CO"/>
        </w:rPr>
        <w:t>“</w:t>
      </w:r>
      <w:r w:rsidRPr="00B40B0D">
        <w:rPr>
          <w:rFonts w:ascii="Verdana" w:eastAsia="Times New Roman" w:hAnsi="Verdana" w:cs="Arial"/>
          <w:lang w:eastAsia="es-CO"/>
        </w:rPr>
        <w:t xml:space="preserve">Las disposiciones contempladas en la presente ley también aplicarán para entidades privadas que suscriban contratos con el Estado y que, en desarrollo de las </w:t>
      </w:r>
      <w:r w:rsidRPr="00B40B0D">
        <w:rPr>
          <w:rFonts w:ascii="Verdana" w:eastAsia="Times New Roman" w:hAnsi="Verdana" w:cs="Arial"/>
          <w:lang w:eastAsia="es-CO"/>
        </w:rPr>
        <w:lastRenderedPageBreak/>
        <w:t>labores o actividades desplegadas en el marco de aquellos, demanden de forma directa o a través de interpuesta persona alimentos para abastecimiento o para suministro de productos de origen agropecuario</w:t>
      </w:r>
      <w:r w:rsidR="002504BC">
        <w:rPr>
          <w:rFonts w:ascii="Verdana" w:eastAsia="Times New Roman" w:hAnsi="Verdana" w:cs="Arial"/>
          <w:lang w:eastAsia="es-CO"/>
        </w:rPr>
        <w:t>”</w:t>
      </w:r>
      <w:r w:rsidR="002504BC" w:rsidRPr="00B40B0D">
        <w:rPr>
          <w:rFonts w:ascii="Verdana" w:eastAsia="Times New Roman" w:hAnsi="Verdana" w:cs="Arial"/>
          <w:lang w:eastAsia="es-CO"/>
        </w:rPr>
        <w:t xml:space="preserve">. </w:t>
      </w:r>
    </w:p>
    <w:p w14:paraId="4FC1B396" w14:textId="77777777"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En efecto, este ámbito de aplicación no se limita a las entidades sujetas a la Ley 80 de 1993, sino que se extiende a otro tipo de Entidades Públicas de los distintos órdenes, las sociedades de economía mixta, entidades privadas que administren recursos públicos, así como los demás sujetos mencionados en la norma. En esta línea, dispone unas reglas a las que deberán sujetarse en aras de garantizar el bienestar y el fomento de la agricultura en el país. </w:t>
      </w:r>
    </w:p>
    <w:p w14:paraId="63E58F10" w14:textId="77777777"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El artículo 4 de la Ley 2046 de 2020 también define algunos términos y establece unas siglas para el entendimiento e interpretación de las reglas contenidas en este cuerpo normativo. El artículo 5 crea la Mesa Técnica Nacional de Compras Públicas Locales de Alimentos, y el artículo 6 obliga al Gobierno Nacional a diseñar e implementar planes, programas y acciones pedagógicas y de seguimiento para capacitar alcaldías, gobernaciones y participantes de los espacios territoriales de articulación definidos por Mesa Técnica Nacional de Compras Públicas Locales de Alimentos, así como a pequeños productores y productores de la Agricultura Campesina, Familiar o Comunitaria y organizaciones en los diferentes ejes temáticos indicados en la norma. </w:t>
      </w:r>
    </w:p>
    <w:p w14:paraId="535A82F8" w14:textId="77777777" w:rsidR="00E072B2" w:rsidRDefault="00E072B2" w:rsidP="00E072B2">
      <w:pPr>
        <w:spacing w:after="0" w:line="276" w:lineRule="auto"/>
        <w:ind w:firstLine="426"/>
        <w:jc w:val="both"/>
        <w:rPr>
          <w:rFonts w:ascii="Verdana" w:eastAsia="Times New Roman" w:hAnsi="Verdana" w:cs="Arial"/>
          <w:lang w:eastAsia="es-CO"/>
        </w:rPr>
      </w:pPr>
      <w:r w:rsidRPr="00B40B0D">
        <w:rPr>
          <w:rFonts w:ascii="Verdana" w:eastAsia="Times New Roman" w:hAnsi="Verdana" w:cs="Arial"/>
          <w:lang w:eastAsia="es-CO"/>
        </w:rPr>
        <w:t xml:space="preserve">Sin embargo, la mayor pretensión de esta Ley fue lo regulado en el artículo 7, el cual estable los porcentajes mínimos de compra local a pequeños productores y productores de la agricultura campesina, familiar y comunitaria. En tal sentido, establece las siguientes reglas: </w:t>
      </w:r>
    </w:p>
    <w:p w14:paraId="525F4B6B" w14:textId="77777777" w:rsidR="00E072B2" w:rsidRPr="00285011" w:rsidRDefault="00E072B2" w:rsidP="00285011">
      <w:pPr>
        <w:spacing w:after="0" w:line="276" w:lineRule="auto"/>
        <w:ind w:left="426" w:right="758"/>
        <w:jc w:val="both"/>
        <w:rPr>
          <w:rFonts w:ascii="Verdana" w:eastAsia="Times New Roman" w:hAnsi="Verdana" w:cs="Arial"/>
          <w:lang w:eastAsia="es-CO"/>
        </w:rPr>
      </w:pPr>
    </w:p>
    <w:p w14:paraId="2CDD3438" w14:textId="63360FEE" w:rsidR="00E072B2" w:rsidRPr="00571478" w:rsidRDefault="00273480" w:rsidP="00285011">
      <w:pPr>
        <w:spacing w:after="0" w:line="240" w:lineRule="auto"/>
        <w:ind w:left="709" w:right="709"/>
        <w:jc w:val="both"/>
        <w:rPr>
          <w:rFonts w:ascii="Verdana" w:eastAsia="Times New Roman" w:hAnsi="Verdana" w:cs="Arial"/>
          <w:sz w:val="20"/>
          <w:szCs w:val="20"/>
          <w:lang w:eastAsia="es-CO"/>
        </w:rPr>
      </w:pPr>
      <w:r>
        <w:rPr>
          <w:rFonts w:ascii="Verdana" w:eastAsia="Times New Roman" w:hAnsi="Verdana" w:cs="Arial"/>
          <w:sz w:val="20"/>
          <w:szCs w:val="20"/>
          <w:lang w:eastAsia="es-CO"/>
        </w:rPr>
        <w:t>“</w:t>
      </w:r>
      <w:r w:rsidR="00E072B2" w:rsidRPr="00571478">
        <w:rPr>
          <w:rFonts w:ascii="Verdana" w:eastAsia="Times New Roman" w:hAnsi="Verdana" w:cs="Arial"/>
          <w:sz w:val="20"/>
          <w:szCs w:val="20"/>
          <w:lang w:eastAsia="es-CO"/>
        </w:rPr>
        <w:t>i) las entidades que están sujetas al ámbito de aplicación de esta ley tienen la obligación de adquirir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En el evento que no se cumpla este porcentaje deben informar a la Mesa Técnica Nacional de Compra Pública de Alimentos, quien certifica y realiza las gestiones para otorgar un listado de pequeños productores;</w:t>
      </w:r>
    </w:p>
    <w:p w14:paraId="1F980D3E" w14:textId="77777777" w:rsidR="00930059" w:rsidRPr="00571478" w:rsidRDefault="00930059" w:rsidP="00285011">
      <w:pPr>
        <w:spacing w:after="0" w:line="240" w:lineRule="auto"/>
        <w:ind w:left="709" w:right="709"/>
        <w:jc w:val="both"/>
        <w:rPr>
          <w:rFonts w:ascii="Verdana" w:eastAsia="Times New Roman" w:hAnsi="Verdana" w:cs="Arial"/>
          <w:sz w:val="20"/>
          <w:szCs w:val="20"/>
          <w:lang w:eastAsia="es-CO"/>
        </w:rPr>
      </w:pPr>
    </w:p>
    <w:p w14:paraId="3D2914D9" w14:textId="77777777" w:rsidR="00E072B2" w:rsidRPr="00571478" w:rsidRDefault="00E072B2" w:rsidP="00285011">
      <w:pPr>
        <w:spacing w:after="0" w:line="240" w:lineRule="auto"/>
        <w:ind w:left="709" w:right="709"/>
        <w:jc w:val="both"/>
        <w:rPr>
          <w:rFonts w:ascii="Verdana" w:eastAsia="Times New Roman" w:hAnsi="Verdana" w:cs="Arial"/>
          <w:sz w:val="20"/>
          <w:szCs w:val="20"/>
          <w:lang w:eastAsia="es-CO"/>
        </w:rPr>
      </w:pPr>
      <w:proofErr w:type="spellStart"/>
      <w:r w:rsidRPr="00571478">
        <w:rPr>
          <w:rFonts w:ascii="Verdana" w:eastAsia="Times New Roman" w:hAnsi="Verdana" w:cs="Arial"/>
          <w:sz w:val="20"/>
          <w:szCs w:val="20"/>
          <w:lang w:eastAsia="es-CO"/>
        </w:rPr>
        <w:t>ii</w:t>
      </w:r>
      <w:proofErr w:type="spellEnd"/>
      <w:r w:rsidRPr="00571478">
        <w:rPr>
          <w:rFonts w:ascii="Verdana" w:eastAsia="Times New Roman" w:hAnsi="Verdana" w:cs="Arial"/>
          <w:sz w:val="20"/>
          <w:szCs w:val="20"/>
          <w:lang w:eastAsia="es-CO"/>
        </w:rPr>
        <w:t xml:space="preserve">) También deben establecer en su Pliego de Condiciones un puntaje mínimo del diez por ciento (10%) de los puntos asignables a la calificación de las propuestas, que se asignan proporcionalmente a aquellos proponentes que se obliguen a adquirir productos provenientes de pequeños productores agropecuarios locales y/o a productores de la </w:t>
      </w:r>
      <w:r w:rsidRPr="00571478">
        <w:rPr>
          <w:rFonts w:ascii="Verdana" w:eastAsia="Times New Roman" w:hAnsi="Verdana" w:cs="Arial"/>
          <w:sz w:val="20"/>
          <w:szCs w:val="20"/>
          <w:lang w:eastAsia="es-CO"/>
        </w:rPr>
        <w:lastRenderedPageBreak/>
        <w:t xml:space="preserve">Agricultura Campesina, Familiar o Comunitaria locales y sus organizaciones, en una proporción mayor al mínimo exigido por la entidad contratante; </w:t>
      </w:r>
    </w:p>
    <w:p w14:paraId="4A971C96" w14:textId="77777777" w:rsidR="00930059" w:rsidRDefault="00930059" w:rsidP="00285011">
      <w:pPr>
        <w:spacing w:after="0" w:line="240" w:lineRule="auto"/>
        <w:ind w:left="709" w:right="709"/>
        <w:jc w:val="both"/>
        <w:rPr>
          <w:rFonts w:ascii="Verdana" w:eastAsia="Times New Roman" w:hAnsi="Verdana" w:cs="Arial"/>
          <w:sz w:val="20"/>
          <w:szCs w:val="20"/>
          <w:lang w:eastAsia="es-CO"/>
        </w:rPr>
      </w:pPr>
    </w:p>
    <w:p w14:paraId="6C118DC4" w14:textId="00E77599" w:rsidR="00E072B2" w:rsidRPr="00571478" w:rsidRDefault="00E072B2" w:rsidP="00285011">
      <w:pPr>
        <w:spacing w:after="0" w:line="240" w:lineRule="auto"/>
        <w:ind w:left="709" w:right="709"/>
        <w:jc w:val="both"/>
        <w:rPr>
          <w:rFonts w:ascii="Verdana" w:eastAsia="Times New Roman" w:hAnsi="Verdana" w:cs="Arial"/>
          <w:sz w:val="20"/>
          <w:szCs w:val="20"/>
          <w:lang w:eastAsia="es-CO"/>
        </w:rPr>
      </w:pPr>
      <w:proofErr w:type="spellStart"/>
      <w:r w:rsidRPr="00571478">
        <w:rPr>
          <w:rFonts w:ascii="Verdana" w:eastAsia="Times New Roman" w:hAnsi="Verdana" w:cs="Arial"/>
          <w:sz w:val="20"/>
          <w:szCs w:val="20"/>
          <w:lang w:eastAsia="es-CO"/>
        </w:rPr>
        <w:t>iii</w:t>
      </w:r>
      <w:proofErr w:type="spellEnd"/>
      <w:r w:rsidRPr="00571478">
        <w:rPr>
          <w:rFonts w:ascii="Verdana" w:eastAsia="Times New Roman" w:hAnsi="Verdana" w:cs="Arial"/>
          <w:sz w:val="20"/>
          <w:szCs w:val="20"/>
          <w:lang w:eastAsia="es-CO"/>
        </w:rPr>
        <w:t>) Deben incluir en sus contratos la obligación por parte de sus contratistas que ejecuten u operen los programas institucionales en que se adquieran alimentos,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p>
    <w:p w14:paraId="456E6D0C" w14:textId="77777777" w:rsidR="00930059" w:rsidRDefault="00930059" w:rsidP="00285011">
      <w:pPr>
        <w:spacing w:after="0" w:line="240" w:lineRule="auto"/>
        <w:ind w:left="709" w:right="709"/>
        <w:jc w:val="both"/>
        <w:rPr>
          <w:rFonts w:ascii="Verdana" w:eastAsia="Times New Roman" w:hAnsi="Verdana" w:cs="Arial"/>
          <w:sz w:val="20"/>
          <w:szCs w:val="20"/>
          <w:lang w:eastAsia="es-CO"/>
        </w:rPr>
      </w:pPr>
    </w:p>
    <w:p w14:paraId="7878763C" w14:textId="5D20912E" w:rsidR="00E072B2" w:rsidRPr="00571478" w:rsidRDefault="00E072B2" w:rsidP="00285011">
      <w:pPr>
        <w:spacing w:after="0" w:line="240" w:lineRule="auto"/>
        <w:ind w:left="709" w:right="709"/>
        <w:jc w:val="both"/>
        <w:rPr>
          <w:rFonts w:ascii="Verdana" w:eastAsia="Times New Roman" w:hAnsi="Verdana" w:cs="Arial"/>
          <w:sz w:val="20"/>
          <w:szCs w:val="20"/>
          <w:lang w:eastAsia="es-CO"/>
        </w:rPr>
      </w:pPr>
      <w:proofErr w:type="spellStart"/>
      <w:r w:rsidRPr="00571478">
        <w:rPr>
          <w:rFonts w:ascii="Verdana" w:eastAsia="Times New Roman" w:hAnsi="Verdana" w:cs="Arial"/>
          <w:sz w:val="20"/>
          <w:szCs w:val="20"/>
          <w:lang w:eastAsia="es-CO"/>
        </w:rPr>
        <w:t>iv</w:t>
      </w:r>
      <w:proofErr w:type="spellEnd"/>
      <w:r w:rsidRPr="00571478">
        <w:rPr>
          <w:rFonts w:ascii="Verdana" w:eastAsia="Times New Roman" w:hAnsi="Verdana" w:cs="Arial"/>
          <w:sz w:val="20"/>
          <w:szCs w:val="20"/>
          <w:lang w:eastAsia="es-CO"/>
        </w:rPr>
        <w:t xml:space="preserve">) Establecerá en sus estudios previos, la zona geográfica para la compra pública local de alimentos a pequeños productores agropecuarios y/o a productores de la Agricultura Campesina, Familiar o Comunitaria locales o sus organizaciones, con base en una serie de criterios definidos en la norma. </w:t>
      </w:r>
    </w:p>
    <w:p w14:paraId="405CDA80" w14:textId="77777777" w:rsidR="00E072B2" w:rsidRPr="00B40B0D" w:rsidRDefault="00E072B2" w:rsidP="00E072B2">
      <w:pPr>
        <w:spacing w:after="0" w:line="276" w:lineRule="auto"/>
        <w:jc w:val="both"/>
        <w:rPr>
          <w:rFonts w:ascii="Verdana" w:eastAsia="Times New Roman" w:hAnsi="Verdana" w:cs="Arial"/>
          <w:lang w:eastAsia="es-CO"/>
        </w:rPr>
      </w:pPr>
      <w:r w:rsidRPr="00B40B0D">
        <w:rPr>
          <w:rFonts w:ascii="Verdana" w:eastAsia="Times New Roman" w:hAnsi="Verdana" w:cs="Arial"/>
          <w:lang w:eastAsia="es-CO"/>
        </w:rPr>
        <w:t xml:space="preserve"> </w:t>
      </w:r>
    </w:p>
    <w:p w14:paraId="24885BC0" w14:textId="77777777" w:rsidR="000C0D6F" w:rsidRDefault="00E072B2" w:rsidP="00285011">
      <w:pPr>
        <w:spacing w:after="120" w:line="276" w:lineRule="auto"/>
        <w:ind w:firstLine="426"/>
        <w:jc w:val="both"/>
        <w:rPr>
          <w:rFonts w:ascii="Verdana" w:eastAsia="Times New Roman" w:hAnsi="Verdana" w:cs="Arial"/>
          <w:lang w:eastAsia="es-CO"/>
        </w:rPr>
      </w:pPr>
      <w:r w:rsidRPr="00B40B0D">
        <w:rPr>
          <w:rFonts w:ascii="Verdana" w:eastAsia="Times New Roman" w:hAnsi="Verdana" w:cs="Arial"/>
          <w:lang w:eastAsia="es-CO"/>
        </w:rPr>
        <w:t xml:space="preserve">Seguidamente, los demás artículos de la Ley 2046 de 2020 tratan temas varios como: i) diseño y adecuación de minutas alimentarias y menú –artículo 8–, </w:t>
      </w:r>
      <w:proofErr w:type="spellStart"/>
      <w:r w:rsidRPr="00B40B0D">
        <w:rPr>
          <w:rFonts w:ascii="Verdana" w:eastAsia="Times New Roman" w:hAnsi="Verdana" w:cs="Arial"/>
          <w:lang w:eastAsia="es-CO"/>
        </w:rPr>
        <w:t>ii</w:t>
      </w:r>
      <w:proofErr w:type="spellEnd"/>
      <w:r w:rsidRPr="00B40B0D">
        <w:rPr>
          <w:rFonts w:ascii="Verdana" w:eastAsia="Times New Roman" w:hAnsi="Verdana" w:cs="Arial"/>
          <w:lang w:eastAsia="es-CO"/>
        </w:rPr>
        <w:t xml:space="preserve">) especificaciones técnicas de los productos –artículo 9–, </w:t>
      </w:r>
      <w:proofErr w:type="spellStart"/>
      <w:r w:rsidRPr="00B40B0D">
        <w:rPr>
          <w:rFonts w:ascii="Verdana" w:eastAsia="Times New Roman" w:hAnsi="Verdana" w:cs="Arial"/>
          <w:lang w:eastAsia="es-CO"/>
        </w:rPr>
        <w:t>iii</w:t>
      </w:r>
      <w:proofErr w:type="spellEnd"/>
      <w:r w:rsidRPr="00B40B0D">
        <w:rPr>
          <w:rFonts w:ascii="Verdana" w:eastAsia="Times New Roman" w:hAnsi="Verdana" w:cs="Arial"/>
          <w:lang w:eastAsia="es-CO"/>
        </w:rPr>
        <w:t xml:space="preserve">) pago de las compras realizadas a productores de la agricultura campesina, familiar y comunitaria –artículo 10–, </w:t>
      </w:r>
      <w:proofErr w:type="spellStart"/>
      <w:r w:rsidRPr="00B40B0D">
        <w:rPr>
          <w:rFonts w:ascii="Verdana" w:eastAsia="Times New Roman" w:hAnsi="Verdana" w:cs="Arial"/>
          <w:lang w:eastAsia="es-CO"/>
        </w:rPr>
        <w:t>iv</w:t>
      </w:r>
      <w:proofErr w:type="spellEnd"/>
      <w:r w:rsidRPr="00B40B0D">
        <w:rPr>
          <w:rFonts w:ascii="Verdana" w:eastAsia="Times New Roman" w:hAnsi="Verdana" w:cs="Arial"/>
          <w:lang w:eastAsia="es-CO"/>
        </w:rPr>
        <w:t>) sistema público de información alimentaria de pequeños productores locales y de productores de la agricultura campesina, familiar y comunitaria y sus organizaciones –artículo 11–, v) informes de cumplimiento al Congreso de la República –artículo 12– y vi) mecanismos de monitoreo y vigilancia –artículo 13–.</w:t>
      </w:r>
    </w:p>
    <w:p w14:paraId="0B8A1E1E" w14:textId="7D0236EB" w:rsidR="00E072B2" w:rsidRPr="00B40B0D" w:rsidRDefault="00E072B2" w:rsidP="00285011">
      <w:pPr>
        <w:spacing w:after="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En el marco de la Ley 2046 de 2020, se expidió el Decreto 248 del 9 de marzo de 2021, </w:t>
      </w:r>
      <w:r w:rsidR="00273480">
        <w:rPr>
          <w:rFonts w:ascii="Verdana" w:eastAsia="Times New Roman" w:hAnsi="Verdana" w:cs="Arial"/>
          <w:lang w:eastAsia="es-CO"/>
        </w:rPr>
        <w:t>“</w:t>
      </w:r>
      <w:r w:rsidRPr="00B40B0D">
        <w:rPr>
          <w:rFonts w:ascii="Verdana" w:eastAsia="Times New Roman" w:hAnsi="Verdana" w:cs="Arial"/>
          <w:lang w:eastAsia="es-CO"/>
        </w:rPr>
        <w:t>Por el cual se adiciona la Parte 20 al Libro 2 del Decreto 1071 de 2015, Decreto Único Reglamentario del Sector Administrativo Agropecuario, Pesquero y de Desarrollo Rural, relacionado con las compras públicas de alimentos</w:t>
      </w:r>
      <w:r w:rsidR="00273480">
        <w:rPr>
          <w:rFonts w:ascii="Verdana" w:eastAsia="Times New Roman" w:hAnsi="Verdana" w:cs="Arial"/>
          <w:lang w:eastAsia="es-CO"/>
        </w:rPr>
        <w:t>”</w:t>
      </w:r>
      <w:r w:rsidRPr="00B40B0D">
        <w:rPr>
          <w:rFonts w:ascii="Verdana" w:eastAsia="Times New Roman" w:hAnsi="Verdana" w:cs="Arial"/>
          <w:lang w:eastAsia="es-CO"/>
        </w:rPr>
        <w:t xml:space="preserve">. En la memoria justificativa de este decreto se expresó: </w:t>
      </w:r>
    </w:p>
    <w:p w14:paraId="4CB22DF4" w14:textId="77777777" w:rsidR="00E072B2" w:rsidRPr="00B40B0D" w:rsidRDefault="00E072B2" w:rsidP="00E072B2">
      <w:pPr>
        <w:spacing w:after="0" w:line="276" w:lineRule="auto"/>
        <w:jc w:val="both"/>
        <w:rPr>
          <w:rFonts w:ascii="Verdana" w:eastAsia="Times New Roman" w:hAnsi="Verdana" w:cs="Arial"/>
          <w:lang w:eastAsia="es-CO"/>
        </w:rPr>
      </w:pPr>
    </w:p>
    <w:p w14:paraId="6A99C74C" w14:textId="36349C88" w:rsidR="00E072B2" w:rsidRPr="00285011" w:rsidRDefault="00273480" w:rsidP="00285011">
      <w:pPr>
        <w:spacing w:after="0" w:line="240" w:lineRule="auto"/>
        <w:ind w:left="709" w:right="709"/>
        <w:jc w:val="both"/>
        <w:rPr>
          <w:rFonts w:ascii="Verdana" w:eastAsia="Times New Roman" w:hAnsi="Verdana" w:cs="Arial"/>
          <w:sz w:val="20"/>
          <w:szCs w:val="20"/>
          <w:lang w:eastAsia="es-CO"/>
        </w:rPr>
      </w:pPr>
      <w:r w:rsidRPr="00285011">
        <w:rPr>
          <w:rFonts w:ascii="Verdana" w:eastAsia="Times New Roman" w:hAnsi="Verdana" w:cs="Arial"/>
          <w:sz w:val="20"/>
          <w:szCs w:val="20"/>
          <w:lang w:eastAsia="es-CO"/>
        </w:rPr>
        <w:t>“</w:t>
      </w:r>
      <w:r w:rsidR="00E072B2" w:rsidRPr="00285011">
        <w:rPr>
          <w:rFonts w:ascii="Verdana" w:eastAsia="Times New Roman" w:hAnsi="Verdana" w:cs="Arial"/>
          <w:sz w:val="20"/>
          <w:szCs w:val="20"/>
          <w:lang w:eastAsia="es-CO"/>
        </w:rPr>
        <w:t xml:space="preserve">La importancia de las compras públicas locales para el desarrollo territorial fue también resaltada en la Reforma Rural Integral –RRI, planteada en el Acuerdo Final Para la Terminación del Conflicto y Construcción de una Paz Estable y Duradera suscrito entre el Gobierno Nacional y las Fuerzas Armadas Revolucionarias de Colombia –FARC. En la RRI, en su numeral 1.3.3.4. plantea la formulación e implementación del Plan Nacional para la Promoción de la Comercialización de la Producción de la Economía Campesina, Familiar y Comunitaria, que contiene, una seria de medidas para estimular el mercadeo de los </w:t>
      </w:r>
      <w:r w:rsidR="00E072B2" w:rsidRPr="00285011">
        <w:rPr>
          <w:rFonts w:ascii="Verdana" w:eastAsia="Times New Roman" w:hAnsi="Verdana" w:cs="Arial"/>
          <w:sz w:val="20"/>
          <w:szCs w:val="20"/>
          <w:lang w:eastAsia="es-CO"/>
        </w:rPr>
        <w:lastRenderedPageBreak/>
        <w:t>productos campesinos, ordenando entre otras, el diseño e implementación progresiva de un mecanismo de compras públicas para atender la demanda de las entidades y programas institucionales, que de manera descentralizada, que fomente la producción local para apoyar la comercialización y absorción de la producción de la economía campesina familiar y comunitaria</w:t>
      </w:r>
      <w:r w:rsidRPr="00285011">
        <w:rPr>
          <w:rFonts w:ascii="Verdana" w:eastAsia="Times New Roman" w:hAnsi="Verdana" w:cs="Arial"/>
          <w:sz w:val="20"/>
          <w:szCs w:val="20"/>
          <w:lang w:eastAsia="es-CO"/>
        </w:rPr>
        <w:t>”</w:t>
      </w:r>
      <w:r w:rsidR="00E072B2" w:rsidRPr="00285011">
        <w:rPr>
          <w:rFonts w:ascii="Verdana" w:eastAsia="Times New Roman" w:hAnsi="Verdana" w:cs="Arial"/>
          <w:sz w:val="20"/>
          <w:szCs w:val="20"/>
          <w:lang w:eastAsia="es-CO"/>
        </w:rPr>
        <w:t xml:space="preserve">. </w:t>
      </w:r>
    </w:p>
    <w:p w14:paraId="287FB0C3" w14:textId="77777777" w:rsidR="00E072B2" w:rsidRPr="00B40B0D" w:rsidRDefault="00E072B2" w:rsidP="00E072B2">
      <w:pPr>
        <w:spacing w:after="0" w:line="276" w:lineRule="auto"/>
        <w:jc w:val="both"/>
        <w:rPr>
          <w:rFonts w:ascii="Verdana" w:eastAsia="Times New Roman" w:hAnsi="Verdana" w:cs="Arial"/>
          <w:lang w:eastAsia="es-CO"/>
        </w:rPr>
      </w:pPr>
    </w:p>
    <w:p w14:paraId="45ACEFDF" w14:textId="77777777" w:rsidR="00E072B2" w:rsidRDefault="00E072B2" w:rsidP="00285011">
      <w:pPr>
        <w:spacing w:after="120" w:line="276" w:lineRule="auto"/>
        <w:jc w:val="both"/>
        <w:rPr>
          <w:rFonts w:ascii="Verdana" w:eastAsia="Times New Roman" w:hAnsi="Verdana" w:cs="Arial"/>
          <w:lang w:eastAsia="es-CO"/>
        </w:rPr>
      </w:pPr>
      <w:r w:rsidRPr="00B40B0D">
        <w:rPr>
          <w:rFonts w:ascii="Verdana" w:eastAsia="Times New Roman" w:hAnsi="Verdana" w:cs="Arial"/>
          <w:lang w:eastAsia="es-CO"/>
        </w:rPr>
        <w:tab/>
        <w:t>Este reglamento adiciona la Parte 20 del Libro 2 del Decreto 1071 de 2015, el cual desarrolla el sistema de compra pública de alimentos. También detalla varios aspectos como las definiciones, el mínimo de compras públicas de alimentos y suministros, los puntajes adicionales obligatorios dentro de los procesos de contratación y los puntajes adicionales facultativos, entre otros.</w:t>
      </w:r>
    </w:p>
    <w:p w14:paraId="410F8027" w14:textId="4DB1D4B3" w:rsidR="00E501A8" w:rsidRDefault="00E072B2" w:rsidP="00285011">
      <w:pPr>
        <w:spacing w:after="120" w:line="276" w:lineRule="auto"/>
        <w:jc w:val="both"/>
        <w:rPr>
          <w:rFonts w:ascii="Verdana" w:eastAsia="Times New Roman" w:hAnsi="Verdana" w:cs="Arial"/>
          <w:lang w:eastAsia="es-CO"/>
        </w:rPr>
      </w:pPr>
      <w:r w:rsidRPr="00B40B0D">
        <w:rPr>
          <w:rFonts w:ascii="Verdana" w:eastAsia="Times New Roman" w:hAnsi="Verdana" w:cs="Arial"/>
          <w:lang w:eastAsia="es-CO"/>
        </w:rPr>
        <w:t xml:space="preserve"> </w:t>
      </w:r>
      <w:r w:rsidRPr="00B40B0D">
        <w:rPr>
          <w:rFonts w:ascii="Verdana" w:eastAsia="Times New Roman" w:hAnsi="Verdana" w:cs="Arial"/>
          <w:lang w:eastAsia="es-CO"/>
        </w:rPr>
        <w:tab/>
        <w:t xml:space="preserve">Dentro de estas reglas, es importante señalar que el artículo 2.20.1.1.3. del Decreto 1071 de 2015 dispuso que las Entidades Públicas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sus formas de atención, están en el deber de adquirir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w:t>
      </w:r>
    </w:p>
    <w:p w14:paraId="0C6E4AF0" w14:textId="0FBC2CCD"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Asimismo, dispone que en el evento que la oferta de alimentos producidos por pequeños productores y/o productores de la Agricultura Campesina, Familiar o Comunitaria local sea inferior al treinta por ciento (30%), las entidades deben informar de esta situación a la Secretaría Técnica de la Mesa Técnica Nacional de Compras Públicas Locales en el término máximo de cinco (5) días hábiles siguientes una vez advertida la situación. Recibida la comunicación de parte de la entidad contratante, la Secretaría Técnica de la Mesa tendrá cinco (5) días hábiles para realizar las gestiones necesarias para otorgar un listado de pequeños productores y/o productores de la Agricultura Campesina, Familiar o Comunitaria no locales a quienes puede acudir para suplir el porcentaje restante.</w:t>
      </w:r>
    </w:p>
    <w:p w14:paraId="1BB45723" w14:textId="77777777" w:rsidR="00E072B2" w:rsidRPr="00B40B0D" w:rsidRDefault="00E072B2" w:rsidP="00285011">
      <w:pPr>
        <w:spacing w:after="120" w:line="276" w:lineRule="auto"/>
        <w:jc w:val="both"/>
        <w:rPr>
          <w:rFonts w:ascii="Verdana" w:eastAsia="Times New Roman" w:hAnsi="Verdana" w:cs="Arial"/>
          <w:lang w:eastAsia="es-CO"/>
        </w:rPr>
      </w:pPr>
      <w:r w:rsidRPr="00B40B0D">
        <w:rPr>
          <w:rFonts w:ascii="Verdana" w:eastAsia="Times New Roman" w:hAnsi="Verdana" w:cs="Arial"/>
          <w:lang w:eastAsia="es-CO"/>
        </w:rPr>
        <w:tab/>
        <w:t xml:space="preserve">En este punto, resulta pertinente señalar que el artículo 2.20.1.1.3. </w:t>
      </w:r>
      <w:r w:rsidRPr="00285011">
        <w:rPr>
          <w:rFonts w:ascii="Verdana" w:eastAsia="Times New Roman" w:hAnsi="Verdana" w:cs="Arial"/>
          <w:i/>
          <w:lang w:eastAsia="es-CO"/>
        </w:rPr>
        <w:t>ibidem</w:t>
      </w:r>
      <w:r w:rsidRPr="00B40B0D">
        <w:rPr>
          <w:rFonts w:ascii="Verdana" w:eastAsia="Times New Roman" w:hAnsi="Verdana" w:cs="Arial"/>
          <w:lang w:eastAsia="es-CO"/>
        </w:rPr>
        <w:t xml:space="preserve"> debe interpretarse de forma sistemática con la Ley 2046 de 2020, la cual como se señaló en el acápite anterior, busca establecer una serie de instrumentos tendientes a que en todos los programas de adquisición, suministro </w:t>
      </w:r>
      <w:r w:rsidRPr="00B40B0D">
        <w:rPr>
          <w:rFonts w:ascii="Verdana" w:eastAsia="Times New Roman" w:hAnsi="Verdana" w:cs="Arial"/>
          <w:lang w:eastAsia="es-CO"/>
        </w:rPr>
        <w:lastRenderedPageBreak/>
        <w:t xml:space="preserve">y distribución de alimentos con cargo a recursos públicos se promueva la participación de pequeños productores locales agropecuarios cuyos sistemas productivos pertenezcan a la Agricultura Campesina, Familiar y Comunitaria, o de sus organizaciones legalmente constituidas y los artículos 64 y 65 de la Constitución Política de Colombia. </w:t>
      </w:r>
    </w:p>
    <w:p w14:paraId="7FAFC6D9" w14:textId="2813B86C" w:rsidR="00DF40E4" w:rsidRDefault="00E072B2" w:rsidP="00285011">
      <w:pPr>
        <w:spacing w:after="120" w:line="276" w:lineRule="auto"/>
        <w:jc w:val="both"/>
        <w:rPr>
          <w:rFonts w:ascii="Verdana" w:eastAsia="Times New Roman" w:hAnsi="Verdana" w:cs="Arial"/>
          <w:lang w:eastAsia="es-CO"/>
        </w:rPr>
      </w:pPr>
      <w:r w:rsidRPr="00B40B0D">
        <w:rPr>
          <w:rFonts w:ascii="Verdana" w:eastAsia="Times New Roman" w:hAnsi="Verdana" w:cs="Arial"/>
          <w:lang w:eastAsia="es-CO"/>
        </w:rPr>
        <w:tab/>
        <w:t xml:space="preserve">Ahora bien, teniendo en cuenta esta promoción de compra pública de alimentos, el artículo 2.20.1.1.4. regula el contrato de promesa de proveeduría. La norma prescribe que las entidades que contraten con recursos públicos la adquisición, suministro y entrega de alimentos en cualquiera de sus modalidades de atención, deben solicitar a los proponentes en el </w:t>
      </w:r>
      <w:r w:rsidR="00E77D04" w:rsidRPr="00B40B0D">
        <w:rPr>
          <w:rFonts w:ascii="Verdana" w:eastAsia="Times New Roman" w:hAnsi="Verdana" w:cs="Arial"/>
          <w:lang w:eastAsia="es-CO"/>
        </w:rPr>
        <w:t>pliego</w:t>
      </w:r>
      <w:r w:rsidRPr="00B40B0D">
        <w:rPr>
          <w:rFonts w:ascii="Verdana" w:eastAsia="Times New Roman" w:hAnsi="Verdana" w:cs="Arial"/>
          <w:lang w:eastAsia="es-CO"/>
        </w:rPr>
        <w:t xml:space="preserve"> de </w:t>
      </w:r>
      <w:r w:rsidR="00E77D04" w:rsidRPr="00B40B0D">
        <w:rPr>
          <w:rFonts w:ascii="Verdana" w:eastAsia="Times New Roman" w:hAnsi="Verdana" w:cs="Arial"/>
          <w:lang w:eastAsia="es-CO"/>
        </w:rPr>
        <w:t>condiciones</w:t>
      </w:r>
      <w:r w:rsidRPr="00B40B0D">
        <w:rPr>
          <w:rFonts w:ascii="Verdana" w:eastAsia="Times New Roman" w:hAnsi="Verdana" w:cs="Arial"/>
          <w:lang w:eastAsia="es-CO"/>
        </w:rPr>
        <w:t xml:space="preserve">, una promesa de contrato de proveeduría con los pequeños productores agropecuarios locales y/o productores de la Agricultura Campesina, Familiar y Comunitaria locales y sus organizaciones, que se encuentren en el registro de productores individuales y/u organizaciones de productores consolidado por las secretarías departamentales de agricultura o quien haga sus veces, o en el Sistema Público de Información Alimentaria una vez entre en operación. </w:t>
      </w:r>
    </w:p>
    <w:p w14:paraId="3C911D71" w14:textId="6E4BDDD0" w:rsidR="005203ED"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La promesa de contrato de proveeduría debe constar por escrito. En tal sentido, este artículo dispone que cuando se presenta la promesa de contrato de proveeduría, la entidad debe verificar que el contrato de proveeduría se haya celebrado con los pequeños productores y/o productores de la Agricultura Campesina, Familiar o Comunitaria locales y sus organizaciones.</w:t>
      </w:r>
      <w:r w:rsidR="00DF40E4">
        <w:rPr>
          <w:rFonts w:ascii="Verdana" w:eastAsia="Times New Roman" w:hAnsi="Verdana" w:cs="Arial"/>
          <w:lang w:eastAsia="es-CO"/>
        </w:rPr>
        <w:t xml:space="preserve"> </w:t>
      </w:r>
    </w:p>
    <w:p w14:paraId="578AB46A" w14:textId="0773D367" w:rsidR="00E072B2" w:rsidRPr="00B40B0D" w:rsidRDefault="005203ED" w:rsidP="00285011">
      <w:pPr>
        <w:spacing w:after="0" w:line="276" w:lineRule="auto"/>
        <w:ind w:firstLine="708"/>
        <w:jc w:val="both"/>
        <w:rPr>
          <w:rFonts w:ascii="Verdana" w:eastAsia="Times New Roman" w:hAnsi="Verdana" w:cs="Arial"/>
          <w:lang w:eastAsia="es-CO"/>
        </w:rPr>
      </w:pPr>
      <w:r>
        <w:rPr>
          <w:rFonts w:ascii="Verdana" w:eastAsia="Times New Roman" w:hAnsi="Verdana" w:cs="Arial"/>
          <w:lang w:eastAsia="es-CO"/>
        </w:rPr>
        <w:t>Ahora bien, p</w:t>
      </w:r>
      <w:r w:rsidR="00E072B2" w:rsidRPr="00B40B0D">
        <w:rPr>
          <w:rFonts w:ascii="Verdana" w:eastAsia="Times New Roman" w:hAnsi="Verdana" w:cs="Arial"/>
          <w:lang w:eastAsia="es-CO"/>
        </w:rPr>
        <w:t xml:space="preserve">ara entender si este contrato de promesa de proveeduría es un requisito habilitante o un factor de evaluación dentro de las diferentes modalidades contractuales, es necesaria una interpretación </w:t>
      </w:r>
      <w:r w:rsidRPr="00B40B0D">
        <w:rPr>
          <w:rFonts w:ascii="Verdana" w:eastAsia="Times New Roman" w:hAnsi="Verdana" w:cs="Arial"/>
          <w:lang w:eastAsia="es-CO"/>
        </w:rPr>
        <w:t>sistemática con</w:t>
      </w:r>
      <w:r w:rsidR="00E072B2" w:rsidRPr="00B40B0D">
        <w:rPr>
          <w:rFonts w:ascii="Verdana" w:eastAsia="Times New Roman" w:hAnsi="Verdana" w:cs="Arial"/>
          <w:lang w:eastAsia="es-CO"/>
        </w:rPr>
        <w:t xml:space="preserve"> el artículo 2.20.1.2.3 ibidem que establece uno de los puntajes adicionales que se regulan en este Decreto, cuyo tenor literal prescribe lo siguiente: </w:t>
      </w:r>
    </w:p>
    <w:p w14:paraId="7F382BF5" w14:textId="77777777" w:rsidR="00E072B2" w:rsidRPr="00B40B0D" w:rsidRDefault="00E072B2" w:rsidP="00E072B2">
      <w:pPr>
        <w:spacing w:after="0" w:line="276" w:lineRule="auto"/>
        <w:jc w:val="both"/>
        <w:rPr>
          <w:rFonts w:ascii="Verdana" w:eastAsia="Times New Roman" w:hAnsi="Verdana" w:cs="Arial"/>
          <w:lang w:eastAsia="es-CO"/>
        </w:rPr>
      </w:pPr>
    </w:p>
    <w:p w14:paraId="28FB53F6" w14:textId="6A7EAF9F" w:rsidR="00E072B2" w:rsidRPr="00285011" w:rsidRDefault="005203ED" w:rsidP="00285011">
      <w:pPr>
        <w:spacing w:after="0" w:line="240" w:lineRule="auto"/>
        <w:ind w:left="709" w:right="709"/>
        <w:jc w:val="both"/>
        <w:rPr>
          <w:rFonts w:ascii="Verdana" w:eastAsia="Times New Roman" w:hAnsi="Verdana" w:cs="Arial"/>
          <w:sz w:val="20"/>
          <w:szCs w:val="20"/>
          <w:lang w:eastAsia="es-CO"/>
        </w:rPr>
      </w:pPr>
      <w:r w:rsidRPr="00285011">
        <w:rPr>
          <w:rFonts w:ascii="Verdana" w:eastAsia="Times New Roman" w:hAnsi="Verdana" w:cs="Arial"/>
          <w:sz w:val="20"/>
          <w:szCs w:val="20"/>
          <w:lang w:eastAsia="es-CO"/>
        </w:rPr>
        <w:t>“</w:t>
      </w:r>
      <w:r w:rsidR="00E072B2" w:rsidRPr="00285011">
        <w:rPr>
          <w:rFonts w:ascii="Verdana" w:eastAsia="Times New Roman" w:hAnsi="Verdana" w:cs="Arial"/>
          <w:sz w:val="20"/>
          <w:szCs w:val="20"/>
          <w:lang w:eastAsia="es-CO"/>
        </w:rPr>
        <w:t xml:space="preserve">Las entidades públicas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sus formas de atención, asignarán un puntaje mínimo del 10% del total de los puntos, en las modalidades de selección previstas en el artículo 2° de la Ley 1150 de 2007, en las que se otorguen puntajes a los oferentes dentro de sus procedimientos, adicional a los puntajes de los artículos 2.20.1.2.1 y 2.20.1.2.2 del presente Título, los cuales serán asignados proporcionalmente a los oferentes que presenten promesas de contrato de </w:t>
      </w:r>
      <w:r w:rsidR="00E072B2" w:rsidRPr="00285011">
        <w:rPr>
          <w:rFonts w:ascii="Verdana" w:eastAsia="Times New Roman" w:hAnsi="Verdana" w:cs="Arial"/>
          <w:sz w:val="20"/>
          <w:szCs w:val="20"/>
          <w:lang w:eastAsia="es-CO"/>
        </w:rPr>
        <w:lastRenderedPageBreak/>
        <w:t>proveeduría comprometiéndose con la entidad a adquirir productos provenientes de pequeños productores locales o productores locales de la Agricultura Campesina, Familiar o Comunitaria y/o sus organizaciones, en una proporción mayor al mínimo exigido por la entidad contratante</w:t>
      </w:r>
      <w:r w:rsidRPr="00285011">
        <w:rPr>
          <w:rFonts w:ascii="Verdana" w:eastAsia="Times New Roman" w:hAnsi="Verdana" w:cs="Arial"/>
          <w:sz w:val="20"/>
          <w:szCs w:val="20"/>
          <w:lang w:eastAsia="es-CO"/>
        </w:rPr>
        <w:t>”</w:t>
      </w:r>
      <w:r w:rsidR="00E072B2" w:rsidRPr="00285011">
        <w:rPr>
          <w:rFonts w:ascii="Verdana" w:eastAsia="Times New Roman" w:hAnsi="Verdana" w:cs="Arial"/>
          <w:sz w:val="20"/>
          <w:szCs w:val="20"/>
          <w:lang w:eastAsia="es-CO"/>
        </w:rPr>
        <w:t xml:space="preserve">. (Énfasis fuera de texto) </w:t>
      </w:r>
    </w:p>
    <w:p w14:paraId="4CD0C4E1" w14:textId="77777777" w:rsidR="00E072B2" w:rsidRPr="00B40B0D" w:rsidRDefault="00E072B2" w:rsidP="00E072B2">
      <w:pPr>
        <w:spacing w:after="0" w:line="276" w:lineRule="auto"/>
        <w:jc w:val="both"/>
        <w:rPr>
          <w:rFonts w:ascii="Verdana" w:eastAsia="Times New Roman" w:hAnsi="Verdana" w:cs="Arial"/>
          <w:lang w:eastAsia="es-CO"/>
        </w:rPr>
      </w:pPr>
    </w:p>
    <w:p w14:paraId="52407DD3" w14:textId="77777777" w:rsidR="00B96F9B" w:rsidRDefault="00E072B2" w:rsidP="00285011">
      <w:pPr>
        <w:spacing w:after="120" w:line="276" w:lineRule="auto"/>
        <w:jc w:val="both"/>
        <w:rPr>
          <w:rFonts w:ascii="Verdana" w:eastAsia="Times New Roman" w:hAnsi="Verdana" w:cs="Arial"/>
          <w:lang w:eastAsia="es-CO"/>
        </w:rPr>
      </w:pPr>
      <w:r w:rsidRPr="00B40B0D">
        <w:rPr>
          <w:rFonts w:ascii="Verdana" w:eastAsia="Times New Roman" w:hAnsi="Verdana" w:cs="Arial"/>
          <w:lang w:eastAsia="es-CO"/>
        </w:rPr>
        <w:tab/>
        <w:t xml:space="preserve">A partir de la interpretación del Decreto 248 de 2021, que modifica el Decreto 1071 de 2015, se deriva que el contrato de promesa de proveeduría tiene una naturaleza dual, pues no solo es un requisito habilitante en los procesos para la adquisición, suministro y entrega de alimentos, sino que también es documento necesario para acreditar uno de los puntajes adicionales previstos en el reglamento citado. Por un lado, de acuerdo con el artículo 2.20.1.1.4, la suscripción de este contrato debe solicitarse a los proponentes en el </w:t>
      </w:r>
      <w:r w:rsidR="00767705" w:rsidRPr="00B40B0D">
        <w:rPr>
          <w:rFonts w:ascii="Verdana" w:eastAsia="Times New Roman" w:hAnsi="Verdana" w:cs="Arial"/>
          <w:lang w:eastAsia="es-CO"/>
        </w:rPr>
        <w:t>pliego</w:t>
      </w:r>
      <w:r w:rsidRPr="00B40B0D">
        <w:rPr>
          <w:rFonts w:ascii="Verdana" w:eastAsia="Times New Roman" w:hAnsi="Verdana" w:cs="Arial"/>
          <w:lang w:eastAsia="es-CO"/>
        </w:rPr>
        <w:t xml:space="preserve"> de </w:t>
      </w:r>
      <w:r w:rsidR="00767705" w:rsidRPr="00B40B0D">
        <w:rPr>
          <w:rFonts w:ascii="Verdana" w:eastAsia="Times New Roman" w:hAnsi="Verdana" w:cs="Arial"/>
          <w:lang w:eastAsia="es-CO"/>
        </w:rPr>
        <w:t>condiciones</w:t>
      </w:r>
      <w:r w:rsidRPr="00B40B0D">
        <w:rPr>
          <w:rFonts w:ascii="Verdana" w:eastAsia="Times New Roman" w:hAnsi="Verdana" w:cs="Arial"/>
          <w:lang w:eastAsia="es-CO"/>
        </w:rPr>
        <w:t xml:space="preserve">, por lo que resulta una exigencia obligatoria del procedimiento de contratación. </w:t>
      </w:r>
    </w:p>
    <w:p w14:paraId="68E52498" w14:textId="4541B55D" w:rsidR="0093064C" w:rsidRPr="00B40B0D"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Incluso, una vez adjudicado, </w:t>
      </w:r>
      <w:r w:rsidR="0093064C">
        <w:rPr>
          <w:rFonts w:ascii="Verdana" w:eastAsia="Times New Roman" w:hAnsi="Verdana" w:cs="Arial"/>
          <w:lang w:eastAsia="es-CO"/>
        </w:rPr>
        <w:t>“</w:t>
      </w:r>
      <w:r w:rsidRPr="00B40B0D">
        <w:rPr>
          <w:rFonts w:ascii="Verdana" w:eastAsia="Times New Roman" w:hAnsi="Verdana" w:cs="Arial"/>
          <w:lang w:eastAsia="es-CO"/>
        </w:rPr>
        <w:t>[…] la entidad contratante deberá verificar como requisito de ejecución que el contratista haya celebrado el contrato de proveeduría con los pequeños productores y/o productores de la Agricultura Campesina, Familiar o Comunitaria locales y sus organizaciones</w:t>
      </w:r>
      <w:r w:rsidR="0093064C">
        <w:rPr>
          <w:rFonts w:ascii="Verdana" w:eastAsia="Times New Roman" w:hAnsi="Verdana" w:cs="Arial"/>
          <w:lang w:eastAsia="es-CO"/>
        </w:rPr>
        <w:t>”</w:t>
      </w:r>
      <w:r w:rsidRPr="00B40B0D">
        <w:rPr>
          <w:rFonts w:ascii="Verdana" w:eastAsia="Times New Roman" w:hAnsi="Verdana" w:cs="Arial"/>
          <w:lang w:eastAsia="es-CO"/>
        </w:rPr>
        <w:t>. Esto es congruente con el artículo 7 de la Ley 2046 de 2021 y el artículo 2.20.1.1.3. del Decreto 1071 de 2015, en la medida que un porcentaje mínimo del treinta por ciento (30%) del valor total de los recursos del presupuesto de cada entidad deben destinarse a la compra de alimentos a los sujetos mencionados.</w:t>
      </w:r>
    </w:p>
    <w:p w14:paraId="4AC8161A" w14:textId="37D7CC9A" w:rsidR="00E072B2" w:rsidRPr="00B40B0D" w:rsidRDefault="0093064C" w:rsidP="00285011">
      <w:pPr>
        <w:spacing w:after="120" w:line="276" w:lineRule="auto"/>
        <w:jc w:val="both"/>
        <w:rPr>
          <w:rFonts w:ascii="Verdana" w:eastAsia="Times New Roman" w:hAnsi="Verdana" w:cs="Arial"/>
          <w:lang w:eastAsia="es-CO"/>
        </w:rPr>
      </w:pPr>
      <w:r>
        <w:rPr>
          <w:rFonts w:ascii="Verdana" w:eastAsia="Times New Roman" w:hAnsi="Verdana" w:cs="Arial"/>
          <w:lang w:eastAsia="es-CO"/>
        </w:rPr>
        <w:tab/>
      </w:r>
      <w:r w:rsidR="00E072B2" w:rsidRPr="00B40B0D">
        <w:rPr>
          <w:rFonts w:ascii="Verdana" w:eastAsia="Times New Roman" w:hAnsi="Verdana" w:cs="Arial"/>
          <w:lang w:eastAsia="es-CO"/>
        </w:rPr>
        <w:t>Por otra parte, también es documento necesario para acreditar un factor de evaluación. Lo anterior en la medida que el reglamento otorga un puntaje mínimo del diez por ciento (10%) del total de los puntos, los cuales son asignados proporcionalmente a los proveedores que presenten este tipo de contratos comprometiéndose con las Entidades Públicas con la adquisición de productos provenientes de pequeños productores locales o productores locales de la agricultura campesina, familiar o comunitaria y/o sus organizaciones, en una proporción mayor al mínimo exigido por la entidad.</w:t>
      </w:r>
    </w:p>
    <w:p w14:paraId="7904BE9C" w14:textId="77777777" w:rsidR="00E072B2" w:rsidRDefault="00E072B2" w:rsidP="00285011">
      <w:pPr>
        <w:spacing w:after="120" w:line="276" w:lineRule="auto"/>
        <w:jc w:val="both"/>
        <w:rPr>
          <w:rFonts w:ascii="Verdana" w:eastAsia="Times New Roman" w:hAnsi="Verdana" w:cs="Arial"/>
          <w:lang w:eastAsia="es-CO"/>
        </w:rPr>
      </w:pPr>
      <w:r w:rsidRPr="00B40B0D">
        <w:rPr>
          <w:rFonts w:ascii="Verdana" w:eastAsia="Times New Roman" w:hAnsi="Verdana" w:cs="Arial"/>
          <w:lang w:eastAsia="es-CO"/>
        </w:rPr>
        <w:tab/>
      </w:r>
    </w:p>
    <w:p w14:paraId="461170EA" w14:textId="6A4FD5E4" w:rsidR="00E072B2" w:rsidRPr="00B40B0D"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Para efectos del artículo 2.20.1.2.3 del Decreto 1071 de 2015, el puntaje mínimo del diez por ciento (10%) del total de los puntos que debe asignarse a los oferentes que presenten promesas de contrato de proveeduría comprometiéndose con la entidad a adquirir productos provenientes de </w:t>
      </w:r>
      <w:r w:rsidRPr="00B40B0D">
        <w:rPr>
          <w:rFonts w:ascii="Verdana" w:eastAsia="Times New Roman" w:hAnsi="Verdana" w:cs="Arial"/>
          <w:lang w:eastAsia="es-CO"/>
        </w:rPr>
        <w:lastRenderedPageBreak/>
        <w:t xml:space="preserve">pequeños productores locales o productores locales de la Agricultura Campesina, Familiar o Comunitaria y/o sus organizaciones, en una proporción mayor al mínimo exigido por la entidad. Esto significa que no podrán beneficiarse del puntaje adicional quienes presenten contratos de proveeduría por debajo del mínimo previsto en el </w:t>
      </w:r>
      <w:r w:rsidR="007D38F8" w:rsidRPr="00B40B0D">
        <w:rPr>
          <w:rFonts w:ascii="Verdana" w:eastAsia="Times New Roman" w:hAnsi="Verdana" w:cs="Arial"/>
          <w:lang w:eastAsia="es-CO"/>
        </w:rPr>
        <w:t>pliego</w:t>
      </w:r>
      <w:r w:rsidRPr="00B40B0D">
        <w:rPr>
          <w:rFonts w:ascii="Verdana" w:eastAsia="Times New Roman" w:hAnsi="Verdana" w:cs="Arial"/>
          <w:lang w:eastAsia="es-CO"/>
        </w:rPr>
        <w:t xml:space="preserve"> de </w:t>
      </w:r>
      <w:r w:rsidR="007D38F8" w:rsidRPr="00B40B0D">
        <w:rPr>
          <w:rFonts w:ascii="Verdana" w:eastAsia="Times New Roman" w:hAnsi="Verdana" w:cs="Arial"/>
          <w:lang w:eastAsia="es-CO"/>
        </w:rPr>
        <w:t>condiciones</w:t>
      </w:r>
      <w:r w:rsidRPr="00B40B0D">
        <w:rPr>
          <w:rFonts w:ascii="Verdana" w:eastAsia="Times New Roman" w:hAnsi="Verdana" w:cs="Arial"/>
          <w:lang w:eastAsia="es-CO"/>
        </w:rPr>
        <w:t xml:space="preserve">, de manera que únicamente se asignará a quienes superen la proporción exigida en los documentos del proceso. </w:t>
      </w:r>
    </w:p>
    <w:p w14:paraId="0C6FFFF9" w14:textId="74285C2D" w:rsidR="00E072B2" w:rsidRPr="00B40B0D" w:rsidRDefault="00E072B2" w:rsidP="00285011">
      <w:pPr>
        <w:spacing w:after="120" w:line="276" w:lineRule="auto"/>
        <w:jc w:val="both"/>
        <w:rPr>
          <w:rFonts w:ascii="Verdana" w:eastAsia="Times New Roman" w:hAnsi="Verdana" w:cs="Arial"/>
          <w:lang w:eastAsia="es-CO"/>
        </w:rPr>
      </w:pPr>
      <w:r w:rsidRPr="00B40B0D">
        <w:rPr>
          <w:rFonts w:ascii="Verdana" w:eastAsia="Times New Roman" w:hAnsi="Verdana" w:cs="Arial"/>
          <w:lang w:eastAsia="es-CO"/>
        </w:rPr>
        <w:tab/>
        <w:t xml:space="preserve">Ahora bien, respecto a los puntajes previstos en los artículos 2.20.1.2.1, 2.20.1.2.2 y 2.20.1.2.3 del Decreto 1071 de 2015, el interesado deberá acreditar la calidad exigida en cada una de estas normas para beneficiarse del incentivo, pues estas no consagran una equivalencia entre el productor agropecuario local y nacional. En efecto, los puntajes adicionales obligatorios y facultativos aplican a los productores agropecuarios nacionales, los cuales están definidos en el literal d) del artículo 2.20.1.1.1 ibidem como las personas cuyo sistema de producción se encuentra ubicado en el territorio nacional. </w:t>
      </w:r>
    </w:p>
    <w:p w14:paraId="1C6A7739" w14:textId="17703AD9" w:rsidR="00E072B2" w:rsidRPr="00B40B0D"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Conforme a los artículos 2.20.1.2.1 y 2.20.1.2.2 del reglamento, estos acreditarán su condición con el </w:t>
      </w:r>
      <w:r w:rsidR="007D38F8">
        <w:rPr>
          <w:rFonts w:ascii="Verdana" w:eastAsia="Times New Roman" w:hAnsi="Verdana" w:cs="Arial"/>
          <w:lang w:eastAsia="es-CO"/>
        </w:rPr>
        <w:t>“</w:t>
      </w:r>
      <w:r w:rsidRPr="00B40B0D">
        <w:rPr>
          <w:rFonts w:ascii="Verdana" w:eastAsia="Times New Roman" w:hAnsi="Verdana" w:cs="Arial"/>
          <w:lang w:eastAsia="es-CO"/>
        </w:rPr>
        <w:t>[…]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dentro del territorio nacional</w:t>
      </w:r>
      <w:r w:rsidR="007D38F8">
        <w:rPr>
          <w:rFonts w:ascii="Verdana" w:eastAsia="Times New Roman" w:hAnsi="Verdana" w:cs="Arial"/>
          <w:lang w:eastAsia="es-CO"/>
        </w:rPr>
        <w:t>”</w:t>
      </w:r>
      <w:r w:rsidRPr="00B40B0D">
        <w:rPr>
          <w:rFonts w:ascii="Verdana" w:eastAsia="Times New Roman" w:hAnsi="Verdana" w:cs="Arial"/>
          <w:lang w:eastAsia="es-CO"/>
        </w:rPr>
        <w:t>.</w:t>
      </w:r>
    </w:p>
    <w:p w14:paraId="4EBEEBB9" w14:textId="4F8AC629"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En contraste, el puntaje del artículo 2.20.1.2.3 del Decreto 1071 de 2015 aplica a los pequeños productores agropecuarios locales o productores locales de la Agricultura Campesina, Familiar o Comunitaria Local y/o sus organizaciones. De acuerdo con el artículo 2.1.2.2.8 ibidem, los </w:t>
      </w:r>
      <w:r w:rsidR="00E91A3D">
        <w:rPr>
          <w:rFonts w:ascii="Verdana" w:eastAsia="Times New Roman" w:hAnsi="Verdana" w:cs="Arial"/>
          <w:lang w:eastAsia="es-CO"/>
        </w:rPr>
        <w:t>“</w:t>
      </w:r>
      <w:r w:rsidRPr="00B40B0D">
        <w:rPr>
          <w:rFonts w:ascii="Verdana" w:eastAsia="Times New Roman" w:hAnsi="Verdana" w:cs="Arial"/>
          <w:lang w:eastAsia="es-CO"/>
        </w:rPr>
        <w:t>pequeños productores</w:t>
      </w:r>
      <w:r w:rsidR="00E91A3D">
        <w:rPr>
          <w:rFonts w:ascii="Verdana" w:eastAsia="Times New Roman" w:hAnsi="Verdana" w:cs="Arial"/>
          <w:lang w:eastAsia="es-CO"/>
        </w:rPr>
        <w:t>”</w:t>
      </w:r>
      <w:r w:rsidRPr="00B40B0D">
        <w:rPr>
          <w:rFonts w:ascii="Verdana" w:eastAsia="Times New Roman" w:hAnsi="Verdana" w:cs="Arial"/>
          <w:lang w:eastAsia="es-CO"/>
        </w:rPr>
        <w:t xml:space="preserve"> son las personas naturales que posean activos totales no superiores a los doscientos ochenta y cuatro (284) SMMLV, en el momento de la respectiva operación de crédito. Por su parte, de acuerdo con el parágrafo 1 del artículo 2.20.1.2.3 del reglamento, los </w:t>
      </w:r>
      <w:r w:rsidR="00E91A3D">
        <w:rPr>
          <w:rFonts w:ascii="Verdana" w:eastAsia="Times New Roman" w:hAnsi="Verdana" w:cs="Arial"/>
          <w:lang w:eastAsia="es-CO"/>
        </w:rPr>
        <w:t>“</w:t>
      </w:r>
      <w:r w:rsidRPr="00B40B0D">
        <w:rPr>
          <w:rFonts w:ascii="Verdana" w:eastAsia="Times New Roman" w:hAnsi="Verdana" w:cs="Arial"/>
          <w:lang w:eastAsia="es-CO"/>
        </w:rPr>
        <w:t>productores agropecuarios locales</w:t>
      </w:r>
      <w:r w:rsidR="00E91A3D">
        <w:rPr>
          <w:rFonts w:ascii="Verdana" w:eastAsia="Times New Roman" w:hAnsi="Verdana" w:cs="Arial"/>
          <w:lang w:eastAsia="es-CO"/>
        </w:rPr>
        <w:t>”</w:t>
      </w:r>
      <w:r w:rsidRPr="00B40B0D">
        <w:rPr>
          <w:rFonts w:ascii="Verdana" w:eastAsia="Times New Roman" w:hAnsi="Verdana" w:cs="Arial"/>
          <w:lang w:eastAsia="es-CO"/>
        </w:rPr>
        <w:t xml:space="preserve"> son las personas </w:t>
      </w:r>
      <w:r w:rsidR="00E91A3D">
        <w:rPr>
          <w:rFonts w:ascii="Verdana" w:eastAsia="Times New Roman" w:hAnsi="Verdana" w:cs="Arial"/>
          <w:lang w:eastAsia="es-CO"/>
        </w:rPr>
        <w:t>“</w:t>
      </w:r>
      <w:r w:rsidRPr="00B40B0D">
        <w:rPr>
          <w:rFonts w:ascii="Verdana" w:eastAsia="Times New Roman" w:hAnsi="Verdana" w:cs="Arial"/>
          <w:lang w:eastAsia="es-CO"/>
        </w:rPr>
        <w:t>cuyo sistema de producción se encuentra ubicado en la vereda, o el municipio, o el departamento o la región en donde la entidad contratante requiere la entrega de los alimentos, esto es donde se van a consumir</w:t>
      </w:r>
      <w:r w:rsidR="00E91A3D">
        <w:rPr>
          <w:rFonts w:ascii="Verdana" w:eastAsia="Times New Roman" w:hAnsi="Verdana" w:cs="Arial"/>
          <w:lang w:eastAsia="es-CO"/>
        </w:rPr>
        <w:t>”</w:t>
      </w:r>
      <w:r w:rsidRPr="00B40B0D">
        <w:rPr>
          <w:rFonts w:ascii="Verdana" w:eastAsia="Times New Roman" w:hAnsi="Verdana" w:cs="Arial"/>
          <w:lang w:eastAsia="es-CO"/>
        </w:rPr>
        <w:t>.</w:t>
      </w:r>
    </w:p>
    <w:p w14:paraId="48C8FF9A" w14:textId="35BA3629" w:rsidR="00BB3C0E"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Igualmente, el artículo 4 de la Ley 2046 de 2020 define la Agricultura Campesina, Familiar y Comunitaria como el </w:t>
      </w:r>
      <w:r w:rsidR="00E91A3D">
        <w:rPr>
          <w:rFonts w:ascii="Verdana" w:eastAsia="Times New Roman" w:hAnsi="Verdana" w:cs="Arial"/>
          <w:lang w:eastAsia="es-CO"/>
        </w:rPr>
        <w:t>“</w:t>
      </w:r>
      <w:r w:rsidRPr="00B40B0D">
        <w:rPr>
          <w:rFonts w:ascii="Verdana" w:eastAsia="Times New Roman" w:hAnsi="Verdana" w:cs="Arial"/>
          <w:lang w:eastAsia="es-CO"/>
        </w:rPr>
        <w:t xml:space="preserve">Sistema de producción y </w:t>
      </w:r>
      <w:r w:rsidRPr="00B40B0D">
        <w:rPr>
          <w:rFonts w:ascii="Verdana" w:eastAsia="Times New Roman" w:hAnsi="Verdana" w:cs="Arial"/>
          <w:lang w:eastAsia="es-CO"/>
        </w:rPr>
        <w:lastRenderedPageBreak/>
        <w:t>organización gestionado y operado por mujeres, hombres, familias, y comunidades campesinas, indígenas, negras, afrodescendientes, raizales y palenqueras que conviven en los territorios rurales del país. En este sistema se desarrollan principalmente actividades de producción, transformación y comercialización de bienes y servicios agrícolas, pecuarios, pesqueros, acuícolas y silvícolas; que suelen complementarse con actividades no agropecuarias. Esta diversificación de actividades y medios de vida se realiza predominantemente mediante la gestión y el trabajo familiar, asociativo o comunitario, aunque también puede emplearse mano de obra contratada. El territorio y los actores que gestionan este sistema están estrechamente vinculados y evolucionan conjuntamente, combinando funciones económicas, sociales, ecológicas, políticas y culturales</w:t>
      </w:r>
      <w:r w:rsidR="00BB3C0E">
        <w:rPr>
          <w:rFonts w:ascii="Verdana" w:eastAsia="Times New Roman" w:hAnsi="Verdana" w:cs="Arial"/>
          <w:lang w:eastAsia="es-CO"/>
        </w:rPr>
        <w:t>”</w:t>
      </w:r>
      <w:r w:rsidRPr="00B40B0D">
        <w:rPr>
          <w:rFonts w:ascii="Verdana" w:eastAsia="Times New Roman" w:hAnsi="Verdana" w:cs="Arial"/>
          <w:lang w:eastAsia="es-CO"/>
        </w:rPr>
        <w:t xml:space="preserve">. </w:t>
      </w:r>
    </w:p>
    <w:p w14:paraId="1D596D22" w14:textId="3223F485" w:rsidR="00E072B2" w:rsidRPr="00B40B0D"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Por lo demás, en congruencia con el parágrafo 2 del artículo 2.20.1.2.3 del Decreto 1071 de 2015, el parágrafo 2 del artículo 2.20.1.2.1 ibidem dispone que </w:t>
      </w:r>
      <w:r w:rsidR="00BB3C0E">
        <w:rPr>
          <w:rFonts w:ascii="Verdana" w:eastAsia="Times New Roman" w:hAnsi="Verdana" w:cs="Arial"/>
          <w:lang w:eastAsia="es-CO"/>
        </w:rPr>
        <w:t>“</w:t>
      </w:r>
      <w:r w:rsidRPr="00B40B0D">
        <w:rPr>
          <w:rFonts w:ascii="Verdana" w:eastAsia="Times New Roman" w:hAnsi="Verdana" w:cs="Arial"/>
          <w:lang w:eastAsia="es-CO"/>
        </w:rPr>
        <w:t>[…] Para acreditar la calidad de productor de la Agricultura, Campesina, Familiar y Comunitaria deberá demostrar que figuran como productor de la ACFC, en el registro general de pequeños productores y productores de la Agricultura Campesina, Familiar y Comunitaria u otros registros oficiales, o en el Sistema de Información Alimentaria una vez entre en operación</w:t>
      </w:r>
      <w:r w:rsidR="00BB3C0E">
        <w:rPr>
          <w:rFonts w:ascii="Verdana" w:eastAsia="Times New Roman" w:hAnsi="Verdana" w:cs="Arial"/>
          <w:lang w:eastAsia="es-CO"/>
        </w:rPr>
        <w:t>”</w:t>
      </w:r>
      <w:r w:rsidRPr="00B40B0D">
        <w:rPr>
          <w:rFonts w:ascii="Verdana" w:eastAsia="Times New Roman" w:hAnsi="Verdana" w:cs="Arial"/>
          <w:lang w:eastAsia="es-CO"/>
        </w:rPr>
        <w:t>.</w:t>
      </w:r>
    </w:p>
    <w:p w14:paraId="7C298002" w14:textId="4E6F22D5" w:rsidR="00E072B2" w:rsidRPr="00B40B0D"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Tratándose del puntaje adicional para los pequeños productores agropecuarios locales o productores locales de la Agricultura Campesina, Familiar o Comunitaria Local y/o sus organizaciones, el parágrafo 3 del artículo 2.20.1.2.3 del reglamento citado también dispone que </w:t>
      </w:r>
      <w:r w:rsidR="00BB3C0E">
        <w:rPr>
          <w:rFonts w:ascii="Verdana" w:eastAsia="Times New Roman" w:hAnsi="Verdana" w:cs="Arial"/>
          <w:lang w:eastAsia="es-CO"/>
        </w:rPr>
        <w:t>“</w:t>
      </w:r>
      <w:r w:rsidRPr="00B40B0D">
        <w:rPr>
          <w:rFonts w:ascii="Verdana" w:eastAsia="Times New Roman" w:hAnsi="Verdana" w:cs="Arial"/>
          <w:lang w:eastAsia="es-CO"/>
        </w:rPr>
        <w:t>Para acreditar la calidad de productor agropecuario local, se deberá allegar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w:t>
      </w:r>
      <w:r w:rsidR="00BB3C0E">
        <w:rPr>
          <w:rFonts w:ascii="Verdana" w:eastAsia="Times New Roman" w:hAnsi="Verdana" w:cs="Arial"/>
          <w:lang w:eastAsia="es-CO"/>
        </w:rPr>
        <w:t>”</w:t>
      </w:r>
      <w:r w:rsidRPr="00B40B0D">
        <w:rPr>
          <w:rFonts w:ascii="Verdana" w:eastAsia="Times New Roman" w:hAnsi="Verdana" w:cs="Arial"/>
          <w:lang w:eastAsia="es-CO"/>
        </w:rPr>
        <w:t xml:space="preserve">. De lo anterior se desprende que ninguna de las normas citadas establece una equivalencia entre el productor agropecuario nacional y el local, pues cada calidad se demuestra conforme al marco normativo previsto en el decreto. </w:t>
      </w:r>
    </w:p>
    <w:p w14:paraId="4601A649" w14:textId="1FD326FC" w:rsidR="00E072B2" w:rsidRDefault="004162AC" w:rsidP="00285011">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Finalmente, es importante </w:t>
      </w:r>
      <w:r w:rsidR="00D21B47">
        <w:rPr>
          <w:rFonts w:ascii="Verdana" w:eastAsia="Times New Roman" w:hAnsi="Verdana" w:cs="Arial"/>
          <w:lang w:eastAsia="es-CO"/>
        </w:rPr>
        <w:t>referirse al</w:t>
      </w:r>
      <w:r w:rsidR="00E072B2" w:rsidRPr="00571478">
        <w:rPr>
          <w:rFonts w:ascii="Verdana" w:eastAsia="Times New Roman" w:hAnsi="Verdana" w:cs="Arial"/>
          <w:b/>
          <w:bCs/>
          <w:lang w:eastAsia="es-CO"/>
        </w:rPr>
        <w:t xml:space="preserve"> </w:t>
      </w:r>
      <w:r w:rsidR="00C011BF" w:rsidRPr="00285011">
        <w:rPr>
          <w:rFonts w:ascii="Verdana" w:eastAsia="Times New Roman" w:hAnsi="Verdana" w:cs="Arial"/>
          <w:lang w:eastAsia="es-CO"/>
        </w:rPr>
        <w:t>m</w:t>
      </w:r>
      <w:r w:rsidR="00E072B2" w:rsidRPr="00285011">
        <w:rPr>
          <w:rFonts w:ascii="Verdana" w:eastAsia="Times New Roman" w:hAnsi="Verdana" w:cs="Arial"/>
          <w:lang w:eastAsia="es-CO"/>
        </w:rPr>
        <w:t>ínimo de compras públicas del total del presupuesto de la entidad</w:t>
      </w:r>
      <w:r w:rsidR="00C22F88" w:rsidRPr="00285011">
        <w:rPr>
          <w:rFonts w:ascii="Verdana" w:eastAsia="Times New Roman" w:hAnsi="Verdana" w:cs="Arial"/>
          <w:lang w:eastAsia="es-CO"/>
        </w:rPr>
        <w:t>, las m</w:t>
      </w:r>
      <w:r w:rsidR="00E072B2" w:rsidRPr="00285011">
        <w:rPr>
          <w:rFonts w:ascii="Verdana" w:eastAsia="Times New Roman" w:hAnsi="Verdana" w:cs="Arial"/>
          <w:lang w:eastAsia="es-CO"/>
        </w:rPr>
        <w:t xml:space="preserve">odalidades y </w:t>
      </w:r>
      <w:r w:rsidR="00C22F88" w:rsidRPr="00285011">
        <w:rPr>
          <w:rFonts w:ascii="Verdana" w:eastAsia="Times New Roman" w:hAnsi="Verdana" w:cs="Arial"/>
          <w:lang w:eastAsia="es-CO"/>
        </w:rPr>
        <w:t xml:space="preserve">los </w:t>
      </w:r>
      <w:r w:rsidR="00E072B2" w:rsidRPr="00285011">
        <w:rPr>
          <w:rFonts w:ascii="Verdana" w:eastAsia="Times New Roman" w:hAnsi="Verdana" w:cs="Arial"/>
          <w:lang w:eastAsia="es-CO"/>
        </w:rPr>
        <w:t>objeto</w:t>
      </w:r>
      <w:r w:rsidR="00C22F88" w:rsidRPr="00285011">
        <w:rPr>
          <w:rFonts w:ascii="Verdana" w:eastAsia="Times New Roman" w:hAnsi="Verdana" w:cs="Arial"/>
          <w:lang w:eastAsia="es-CO"/>
        </w:rPr>
        <w:t>s</w:t>
      </w:r>
      <w:r w:rsidR="00E072B2" w:rsidRPr="00285011">
        <w:rPr>
          <w:rFonts w:ascii="Verdana" w:eastAsia="Times New Roman" w:hAnsi="Verdana" w:cs="Arial"/>
          <w:lang w:eastAsia="es-CO"/>
        </w:rPr>
        <w:t xml:space="preserve"> a</w:t>
      </w:r>
      <w:r w:rsidR="00C22F88" w:rsidRPr="00285011">
        <w:rPr>
          <w:rFonts w:ascii="Verdana" w:eastAsia="Times New Roman" w:hAnsi="Verdana" w:cs="Arial"/>
          <w:lang w:eastAsia="es-CO"/>
        </w:rPr>
        <w:t xml:space="preserve"> </w:t>
      </w:r>
      <w:r w:rsidR="00E072B2" w:rsidRPr="00285011">
        <w:rPr>
          <w:rFonts w:ascii="Verdana" w:eastAsia="Times New Roman" w:hAnsi="Verdana" w:cs="Arial"/>
          <w:lang w:eastAsia="es-CO"/>
        </w:rPr>
        <w:t>l</w:t>
      </w:r>
      <w:r w:rsidR="00C22F88" w:rsidRPr="00285011">
        <w:rPr>
          <w:rFonts w:ascii="Verdana" w:eastAsia="Times New Roman" w:hAnsi="Verdana" w:cs="Arial"/>
          <w:lang w:eastAsia="es-CO"/>
        </w:rPr>
        <w:t>os</w:t>
      </w:r>
      <w:r w:rsidR="00E072B2" w:rsidRPr="00285011">
        <w:rPr>
          <w:rFonts w:ascii="Verdana" w:eastAsia="Times New Roman" w:hAnsi="Verdana" w:cs="Arial"/>
          <w:lang w:eastAsia="es-CO"/>
        </w:rPr>
        <w:t xml:space="preserve"> cual</w:t>
      </w:r>
      <w:r w:rsidR="00C22F88" w:rsidRPr="00285011">
        <w:rPr>
          <w:rFonts w:ascii="Verdana" w:eastAsia="Times New Roman" w:hAnsi="Verdana" w:cs="Arial"/>
          <w:lang w:eastAsia="es-CO"/>
        </w:rPr>
        <w:t>es</w:t>
      </w:r>
      <w:r w:rsidR="00E072B2" w:rsidRPr="00285011">
        <w:rPr>
          <w:rFonts w:ascii="Verdana" w:eastAsia="Times New Roman" w:hAnsi="Verdana" w:cs="Arial"/>
          <w:lang w:eastAsia="es-CO"/>
        </w:rPr>
        <w:t xml:space="preserve"> </w:t>
      </w:r>
      <w:r w:rsidR="00C22F88" w:rsidRPr="00285011">
        <w:rPr>
          <w:rFonts w:ascii="Verdana" w:eastAsia="Times New Roman" w:hAnsi="Verdana" w:cs="Arial"/>
          <w:lang w:eastAsia="es-CO"/>
        </w:rPr>
        <w:t>se</w:t>
      </w:r>
      <w:r w:rsidR="00E072B2" w:rsidRPr="00285011">
        <w:rPr>
          <w:rFonts w:ascii="Verdana" w:eastAsia="Times New Roman" w:hAnsi="Verdana" w:cs="Arial"/>
          <w:lang w:eastAsia="es-CO"/>
        </w:rPr>
        <w:t xml:space="preserve"> aplica lo reglado en el Decreto 248 de 2021.</w:t>
      </w:r>
      <w:r w:rsidR="00C22F88">
        <w:rPr>
          <w:rFonts w:ascii="Verdana" w:eastAsia="Times New Roman" w:hAnsi="Verdana" w:cs="Arial"/>
          <w:lang w:eastAsia="es-CO"/>
        </w:rPr>
        <w:t xml:space="preserve"> </w:t>
      </w:r>
      <w:r w:rsidR="00E072B2" w:rsidRPr="00B40B0D">
        <w:rPr>
          <w:rFonts w:ascii="Verdana" w:eastAsia="Times New Roman" w:hAnsi="Verdana" w:cs="Arial"/>
          <w:lang w:eastAsia="es-CO"/>
        </w:rPr>
        <w:t xml:space="preserve">El artículo 2.20.1.1.3. del Decreto </w:t>
      </w:r>
      <w:r w:rsidR="00E072B2" w:rsidRPr="00B40B0D">
        <w:rPr>
          <w:rFonts w:ascii="Verdana" w:eastAsia="Times New Roman" w:hAnsi="Verdana" w:cs="Arial"/>
          <w:lang w:eastAsia="es-CO"/>
        </w:rPr>
        <w:lastRenderedPageBreak/>
        <w:t xml:space="preserve">248 de 2021, consagra que </w:t>
      </w:r>
      <w:r w:rsidR="004C0696">
        <w:rPr>
          <w:rFonts w:ascii="Verdana" w:eastAsia="Times New Roman" w:hAnsi="Verdana" w:cs="Arial"/>
          <w:lang w:eastAsia="es-CO"/>
        </w:rPr>
        <w:t>“</w:t>
      </w:r>
      <w:r w:rsidR="00E072B2" w:rsidRPr="00B40B0D">
        <w:rPr>
          <w:rFonts w:ascii="Verdana" w:eastAsia="Times New Roman" w:hAnsi="Verdana" w:cs="Arial"/>
          <w:lang w:eastAsia="es-CO"/>
        </w:rPr>
        <w:t>las entidades públicas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sus formas de atención, están en la obligación de adquirir localmente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w:t>
      </w:r>
      <w:r w:rsidR="004C0696">
        <w:rPr>
          <w:rFonts w:ascii="Verdana" w:eastAsia="Times New Roman" w:hAnsi="Verdana" w:cs="Arial"/>
          <w:lang w:eastAsia="es-CO"/>
        </w:rPr>
        <w:t>”</w:t>
      </w:r>
      <w:r w:rsidR="00E072B2" w:rsidRPr="00B40B0D">
        <w:rPr>
          <w:rFonts w:ascii="Verdana" w:eastAsia="Times New Roman" w:hAnsi="Verdana" w:cs="Arial"/>
          <w:lang w:eastAsia="es-CO"/>
        </w:rPr>
        <w:t xml:space="preserve">. La citada norma se pude analizar desde diferentes puntos de vista, los cuales se proceden a exponer.  </w:t>
      </w:r>
    </w:p>
    <w:p w14:paraId="05579ECB" w14:textId="6ABC402A"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En primer lugar, las Entidades Públicas del nivel nacional, departamental, distrital, municipal, sociedades de economía mixta y entidades privadas que manejen recursos públicos, en el marco del principio de planeación, el cual exige estructurar el proceso contractual dedicando tiempo y esfuerzos para elaborar estudios previos, con el fin de determinar la necesidad que pretende satisfacer la </w:t>
      </w:r>
      <w:r w:rsidR="008A01CF" w:rsidRPr="00B40B0D">
        <w:rPr>
          <w:rFonts w:ascii="Verdana" w:eastAsia="Times New Roman" w:hAnsi="Verdana" w:cs="Arial"/>
          <w:lang w:eastAsia="es-CO"/>
        </w:rPr>
        <w:t>Entidad Estatal</w:t>
      </w:r>
      <w:r w:rsidRPr="00B40B0D">
        <w:rPr>
          <w:rFonts w:ascii="Verdana" w:eastAsia="Times New Roman" w:hAnsi="Verdana" w:cs="Arial"/>
          <w:lang w:eastAsia="es-CO"/>
        </w:rPr>
        <w:t xml:space="preserve"> y cuál es la mejor manera de hacerlo, consultando el tipo de bienes y servicios que ofrece el mercado y sus características, especificaciones, precios, costos, riesgos, garantías, disponibilidad, oferentes, </w:t>
      </w:r>
      <w:proofErr w:type="spellStart"/>
      <w:r w:rsidRPr="00B40B0D">
        <w:rPr>
          <w:rFonts w:ascii="Verdana" w:eastAsia="Times New Roman" w:hAnsi="Verdana" w:cs="Arial"/>
          <w:lang w:eastAsia="es-CO"/>
        </w:rPr>
        <w:t>etc</w:t>
      </w:r>
      <w:proofErr w:type="spellEnd"/>
      <w:r w:rsidRPr="00B40B0D">
        <w:rPr>
          <w:rFonts w:ascii="Verdana" w:eastAsia="Times New Roman" w:hAnsi="Verdana" w:cs="Arial"/>
          <w:lang w:eastAsia="es-CO"/>
        </w:rPr>
        <w:t xml:space="preserve">, deben definir los bienes y servicios que necesitan proveer, y de esta forma, planificar la forma en la cual van a cumplir con el porcentaje mínimo establecido en el marco normativo antes expuesto para la compra de alimentos a productores locales. </w:t>
      </w:r>
    </w:p>
    <w:p w14:paraId="247FC53C" w14:textId="77777777"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Así las cosas, todas las entidades definidas en el articulado deberán ajustar y estructurar en el Plan Anual de Adquisiciones el rubro presupuestal necesario para atender la demanda de adquisición, suministro y entrega de alimentos en cualquiera de sus modalidades o en el marco de programas institucionales de servicios de alimentación, de tal manera que un treinta por ciento (30%), como mínimo, del total de ese rubro presupuestal se destine a la contratación para la compra de alimentos a pequeños productores locales.</w:t>
      </w:r>
    </w:p>
    <w:p w14:paraId="23461A7D" w14:textId="1CCB6738"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Lo anterior tiene su génesis en las experiencias desarrolladas en la región. En la exposición de </w:t>
      </w:r>
      <w:r w:rsidR="008E61F0" w:rsidRPr="00B40B0D">
        <w:rPr>
          <w:rFonts w:ascii="Verdana" w:eastAsia="Times New Roman" w:hAnsi="Verdana" w:cs="Arial"/>
          <w:lang w:eastAsia="es-CO"/>
        </w:rPr>
        <w:t>motivos se</w:t>
      </w:r>
      <w:r w:rsidRPr="00B40B0D">
        <w:rPr>
          <w:rFonts w:ascii="Verdana" w:eastAsia="Times New Roman" w:hAnsi="Verdana" w:cs="Arial"/>
          <w:lang w:eastAsia="es-CO"/>
        </w:rPr>
        <w:t xml:space="preserve"> indicó que: </w:t>
      </w:r>
      <w:r w:rsidR="008E61F0">
        <w:rPr>
          <w:rFonts w:ascii="Verdana" w:eastAsia="Times New Roman" w:hAnsi="Verdana" w:cs="Arial"/>
          <w:lang w:eastAsia="es-CO"/>
        </w:rPr>
        <w:t>“</w:t>
      </w:r>
      <w:r w:rsidRPr="00B40B0D">
        <w:rPr>
          <w:rFonts w:ascii="Verdana" w:eastAsia="Times New Roman" w:hAnsi="Verdana" w:cs="Arial"/>
          <w:lang w:eastAsia="es-CO"/>
        </w:rPr>
        <w:t xml:space="preserve">Las experiencias desarrolladas en la región de compras públicas a pequeños productores rurales, han mostrado que cuando los Estados deciden a quienes se les debe comprar los alimentos si los recursos son públicos, el impacto que se genera puede ser significativo. Se promueve el empleo y la generación de ingresos en poblaciones especialmente </w:t>
      </w:r>
      <w:r w:rsidRPr="00B40B0D">
        <w:rPr>
          <w:rFonts w:ascii="Verdana" w:eastAsia="Times New Roman" w:hAnsi="Verdana" w:cs="Arial"/>
          <w:lang w:eastAsia="es-CO"/>
        </w:rPr>
        <w:lastRenderedPageBreak/>
        <w:t>vulnerables, se impulsa el desarrollo local al lograr insertar a las comunidades en procesos económicos y sociales estables, se contribuye a una redistribución efectiva de la riqueza al generar un flujo continuo de recursos, y a la vez se impacta positivamente las políticas públicas encaminadas a garantizar la seguridad alimentaria y superar la pobreza</w:t>
      </w:r>
      <w:r w:rsidR="008E61F0">
        <w:rPr>
          <w:rFonts w:ascii="Verdana" w:eastAsia="Times New Roman" w:hAnsi="Verdana" w:cs="Arial"/>
          <w:lang w:eastAsia="es-CO"/>
        </w:rPr>
        <w:t>”</w:t>
      </w:r>
      <w:r w:rsidRPr="00B40B0D">
        <w:rPr>
          <w:rFonts w:ascii="Verdana" w:eastAsia="Times New Roman" w:hAnsi="Verdana" w:cs="Arial"/>
          <w:lang w:eastAsia="es-CO"/>
        </w:rPr>
        <w:t xml:space="preserve">.  </w:t>
      </w:r>
    </w:p>
    <w:p w14:paraId="7E0C9DE0" w14:textId="71D99ACC"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En ese contexto, el Gobierno Nacional identificó la necesidad de generar acciones afirmativas que permitieran el fortalecimiento de las capacidades sociales, económicas y políticas de las familias, comunidades y organizaciones de la agricultura campesina, familiar y comunitaria ACFC y expidió el 29 de diciembre de 2017 la Resolución 464 de 2017 </w:t>
      </w:r>
      <w:r w:rsidR="008E61F0">
        <w:rPr>
          <w:rFonts w:ascii="Verdana" w:eastAsia="Times New Roman" w:hAnsi="Verdana" w:cs="Arial"/>
          <w:lang w:eastAsia="es-CO"/>
        </w:rPr>
        <w:t>“</w:t>
      </w:r>
      <w:r w:rsidRPr="00B40B0D">
        <w:rPr>
          <w:rFonts w:ascii="Verdana" w:eastAsia="Times New Roman" w:hAnsi="Verdana" w:cs="Arial"/>
          <w:lang w:eastAsia="es-CO"/>
        </w:rPr>
        <w:t>Por la cual se adoptan los Lineamientos estratégicos de política pública para la agricultura campesina, familiar y comunitaria</w:t>
      </w:r>
      <w:r w:rsidR="008E61F0">
        <w:rPr>
          <w:rFonts w:ascii="Verdana" w:eastAsia="Times New Roman" w:hAnsi="Verdana" w:cs="Arial"/>
          <w:lang w:eastAsia="es-CO"/>
        </w:rPr>
        <w:t>”</w:t>
      </w:r>
      <w:r w:rsidRPr="00B40B0D">
        <w:rPr>
          <w:rFonts w:ascii="Verdana" w:eastAsia="Times New Roman" w:hAnsi="Verdana" w:cs="Arial"/>
          <w:lang w:eastAsia="es-CO"/>
        </w:rPr>
        <w:t xml:space="preserve">. En dicha Resolución, una de las acciones que se propusieron fue la de: </w:t>
      </w:r>
      <w:r w:rsidR="008E61F0">
        <w:rPr>
          <w:rFonts w:ascii="Verdana" w:eastAsia="Times New Roman" w:hAnsi="Verdana" w:cs="Arial"/>
          <w:lang w:eastAsia="es-CO"/>
        </w:rPr>
        <w:t>“</w:t>
      </w:r>
      <w:r w:rsidRPr="00B40B0D">
        <w:rPr>
          <w:rFonts w:ascii="Verdana" w:eastAsia="Times New Roman" w:hAnsi="Verdana" w:cs="Arial"/>
          <w:lang w:eastAsia="es-CO"/>
        </w:rPr>
        <w:t>Definir en los contratos un porcentaje mínimo de compras públicas locales agroalimentarias a la ACFC del municipio o la subregión</w:t>
      </w:r>
      <w:r w:rsidR="008E61F0">
        <w:rPr>
          <w:rFonts w:ascii="Verdana" w:eastAsia="Times New Roman" w:hAnsi="Verdana" w:cs="Arial"/>
          <w:lang w:eastAsia="es-CO"/>
        </w:rPr>
        <w:t>”</w:t>
      </w:r>
      <w:r w:rsidRPr="00B40B0D">
        <w:rPr>
          <w:rFonts w:ascii="Verdana" w:eastAsia="Times New Roman" w:hAnsi="Verdana" w:cs="Arial"/>
          <w:lang w:eastAsia="es-CO"/>
        </w:rPr>
        <w:t xml:space="preserve">. </w:t>
      </w:r>
    </w:p>
    <w:p w14:paraId="50E2403D" w14:textId="21134C6E"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Así mismo, la exposición de motivos pone de presente que las experiencias internacionales, como es el caso del Brasil, en donde el </w:t>
      </w:r>
      <w:r w:rsidR="008E61F0">
        <w:rPr>
          <w:rFonts w:ascii="Verdana" w:eastAsia="Times New Roman" w:hAnsi="Verdana" w:cs="Arial"/>
          <w:lang w:eastAsia="es-CO"/>
        </w:rPr>
        <w:t>treinta por ciento (</w:t>
      </w:r>
      <w:r w:rsidRPr="00B40B0D">
        <w:rPr>
          <w:rFonts w:ascii="Verdana" w:eastAsia="Times New Roman" w:hAnsi="Verdana" w:cs="Arial"/>
          <w:lang w:eastAsia="es-CO"/>
        </w:rPr>
        <w:t>30%</w:t>
      </w:r>
      <w:r w:rsidR="008E61F0">
        <w:rPr>
          <w:rFonts w:ascii="Verdana" w:eastAsia="Times New Roman" w:hAnsi="Verdana" w:cs="Arial"/>
          <w:lang w:eastAsia="es-CO"/>
        </w:rPr>
        <w:t>)</w:t>
      </w:r>
      <w:r w:rsidRPr="00B40B0D">
        <w:rPr>
          <w:rFonts w:ascii="Verdana" w:eastAsia="Times New Roman" w:hAnsi="Verdana" w:cs="Arial"/>
          <w:lang w:eastAsia="es-CO"/>
        </w:rPr>
        <w:t xml:space="preserve"> del abastecimiento de alimentos del PNAE deben ser proporcionados por pequeños agricultores, tal y como lo consagró la Ley 10.696 de 2003 (PAA). Ley Federal 11.947/09. Todos estos elementos permitieron que el legislador optara por la definición de un porcentaje mínimo de compras públicas locales agroalimentarias ACFC en cabeza de las entidades públicas definidas en la Ley 2046 de 2020 en su artículo 3, que corresponde a ese 30% del presupuesto total destinado a la compra de alimentos.</w:t>
      </w:r>
    </w:p>
    <w:p w14:paraId="7EEA8B75" w14:textId="2EA5EE1B"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En la exposición de motivos, la referencia a la actualidad de los programas de complementación alimentaria de algunas entidades como Instituto Colombiano de Bienestar Familiar, El Ministerio de Educación Nacional, La Unidad de Servicios Penitenciarios y Carcelarios, las Fuerza Militares, ANH, la red hospitalaria pública  tanto en el nivel central como en el nivel municipal, gobernaciones , alcaldías, entre otros, aclara en parte la decisión de por qué no se establecen unas modalidades de selección específicas para el objeto de la Ley 2046 de 2020, entendiendo que </w:t>
      </w:r>
      <w:r w:rsidR="00216488">
        <w:rPr>
          <w:rFonts w:ascii="Verdana" w:eastAsia="Times New Roman" w:hAnsi="Verdana" w:cs="Arial"/>
          <w:lang w:eastAsia="es-CO"/>
        </w:rPr>
        <w:t>“</w:t>
      </w:r>
      <w:r w:rsidRPr="00B40B0D">
        <w:rPr>
          <w:rFonts w:ascii="Verdana" w:eastAsia="Times New Roman" w:hAnsi="Verdana" w:cs="Arial"/>
          <w:lang w:eastAsia="es-CO"/>
        </w:rPr>
        <w:t>contratan a operadores o contratistas  por medio de las licitaciones  públicas  u otras modalidades de selección establecidas en el Estatuto General de Contratación y realizan la compra  de alimentos y la distribución de las raciones de alimentos en sus diferentes modalidades contratación de acuerdo con sus lineamientos técnicos</w:t>
      </w:r>
      <w:r w:rsidR="00FF4AE7">
        <w:rPr>
          <w:rFonts w:ascii="Verdana" w:eastAsia="Times New Roman" w:hAnsi="Verdana" w:cs="Arial"/>
          <w:lang w:eastAsia="es-CO"/>
        </w:rPr>
        <w:t>”</w:t>
      </w:r>
      <w:r w:rsidRPr="00B40B0D">
        <w:rPr>
          <w:rFonts w:ascii="Verdana" w:eastAsia="Times New Roman" w:hAnsi="Verdana" w:cs="Arial"/>
          <w:lang w:eastAsia="es-CO"/>
        </w:rPr>
        <w:t xml:space="preserve">. </w:t>
      </w:r>
    </w:p>
    <w:p w14:paraId="7DE58293" w14:textId="77777777"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lastRenderedPageBreak/>
        <w:t>En segundo lugar, de la redacción del artículo objeto de estudio es posible concluir que, de acuerdo con la Ley 2046 de 2020 y el Decreto 248 de 2021, será el objeto contractual lo que resulte determinante para identificar los contratos que deban cumplir con los parámetros de selección, requisitos habilitantes, incentivos, evaluaciones, mínimos de compra pública de alimentos, entre otros. En consonancia, cuando el contrato tenga como objeto la adquisición, suministro y entrega de alimentos en cualquiera de sus formas de atención, se encuentran obligadas a adquirir localmente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sin que se excluya alguna de las modalidades de selección dispuestas en el artículo 2 de la Ley 1150 de 2007.</w:t>
      </w:r>
    </w:p>
    <w:p w14:paraId="703A5E77" w14:textId="25737796" w:rsidR="00E072B2" w:rsidRDefault="00E072B2" w:rsidP="00285011">
      <w:pPr>
        <w:spacing w:after="120" w:line="276" w:lineRule="auto"/>
        <w:ind w:firstLine="708"/>
        <w:jc w:val="both"/>
        <w:rPr>
          <w:rFonts w:ascii="Verdana" w:eastAsia="Times New Roman" w:hAnsi="Verdana" w:cs="Arial"/>
          <w:lang w:eastAsia="es-CO"/>
        </w:rPr>
      </w:pPr>
      <w:r w:rsidRPr="00B40B0D">
        <w:rPr>
          <w:rFonts w:ascii="Verdana" w:eastAsia="Times New Roman" w:hAnsi="Verdana" w:cs="Arial"/>
          <w:lang w:eastAsia="es-CO"/>
        </w:rPr>
        <w:t xml:space="preserve">Sobre el particular, es necesario indicar que, dado que la intención del legislador fue la de incentivar la compra de productos agropecuarios locales, a través de la incorporación de la obligación para las entidades enunciadas en el artículo 3 de la Ley 2046 de 2020 de adquirir localmente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no es dable que se tengan en cuenta para determinar el cumplimiento del mandato contratos cuyo objeto sea distinto al de </w:t>
      </w:r>
      <w:r w:rsidR="00B96F9B">
        <w:rPr>
          <w:rFonts w:ascii="Verdana" w:eastAsia="Times New Roman" w:hAnsi="Verdana" w:cs="Arial"/>
          <w:lang w:eastAsia="es-CO"/>
        </w:rPr>
        <w:t>“</w:t>
      </w:r>
      <w:r w:rsidRPr="00B40B0D">
        <w:rPr>
          <w:rFonts w:ascii="Verdana" w:eastAsia="Times New Roman" w:hAnsi="Verdana" w:cs="Arial"/>
          <w:lang w:eastAsia="es-CO"/>
        </w:rPr>
        <w:t>adquisición, suministro y entrega</w:t>
      </w:r>
      <w:r w:rsidR="00B96F9B">
        <w:rPr>
          <w:rFonts w:ascii="Verdana" w:eastAsia="Times New Roman" w:hAnsi="Verdana" w:cs="Arial"/>
          <w:lang w:eastAsia="es-CO"/>
        </w:rPr>
        <w:t>”</w:t>
      </w:r>
      <w:r w:rsidRPr="00B40B0D">
        <w:rPr>
          <w:rFonts w:ascii="Verdana" w:eastAsia="Times New Roman" w:hAnsi="Verdana" w:cs="Arial"/>
          <w:lang w:eastAsia="es-CO"/>
        </w:rPr>
        <w:t xml:space="preserve"> de productos agropecuarios, toda vez que si se tienen en cuenta contratos en donde exista el componente de </w:t>
      </w:r>
      <w:r w:rsidR="00B96F9B">
        <w:rPr>
          <w:rFonts w:ascii="Verdana" w:eastAsia="Times New Roman" w:hAnsi="Verdana" w:cs="Arial"/>
          <w:lang w:eastAsia="es-CO"/>
        </w:rPr>
        <w:t>“</w:t>
      </w:r>
      <w:r w:rsidRPr="00B40B0D">
        <w:rPr>
          <w:rFonts w:ascii="Verdana" w:eastAsia="Times New Roman" w:hAnsi="Verdana" w:cs="Arial"/>
          <w:lang w:eastAsia="es-CO"/>
        </w:rPr>
        <w:t>alimento</w:t>
      </w:r>
      <w:r w:rsidR="00B96F9B">
        <w:rPr>
          <w:rFonts w:ascii="Verdana" w:eastAsia="Times New Roman" w:hAnsi="Verdana" w:cs="Arial"/>
          <w:lang w:eastAsia="es-CO"/>
        </w:rPr>
        <w:t>”</w:t>
      </w:r>
      <w:r w:rsidRPr="00B40B0D">
        <w:rPr>
          <w:rFonts w:ascii="Verdana" w:eastAsia="Times New Roman" w:hAnsi="Verdana" w:cs="Arial"/>
          <w:lang w:eastAsia="es-CO"/>
        </w:rPr>
        <w:t xml:space="preserve"> por fuera de los verbos citados, que tengan como fin el de suplir una necesidad correlacionada no se atendería el sentido de la norma aplicable a la materia. </w:t>
      </w:r>
    </w:p>
    <w:p w14:paraId="6098BE1A" w14:textId="77777777" w:rsidR="00E072B2" w:rsidRPr="007A0E81" w:rsidRDefault="00E072B2" w:rsidP="00285011">
      <w:pPr>
        <w:spacing w:after="0" w:line="276" w:lineRule="auto"/>
        <w:ind w:firstLine="708"/>
        <w:jc w:val="both"/>
        <w:rPr>
          <w:rFonts w:ascii="Verdana" w:eastAsia="Calibri" w:hAnsi="Verdana" w:cs="Arial"/>
          <w:lang w:val="es-ES"/>
        </w:rPr>
      </w:pPr>
      <w:r w:rsidRPr="00B40B0D">
        <w:rPr>
          <w:rFonts w:ascii="Verdana" w:eastAsia="Times New Roman" w:hAnsi="Verdana" w:cs="Arial"/>
          <w:lang w:eastAsia="es-CO"/>
        </w:rPr>
        <w:t xml:space="preserve">Para un mejor entendimiento, a modo ilustrativo, se propone como ejemplo el contrato de arrendamiento de bien inmueble para almacenamiento de alimentos, en el caso propuesto no se estaría cumpliendo con la participación de pequeños productores locales y productores locales agropecuarios que tengan como sistema productivo la agricultura campesina, familiar y comunitaria. Por lo que necesariamente, los contratos a los que se refiere el artículo objeto de la consulta deben ser aquellos en los cuales se requiera contratar la adquisición, suministro y entrega de alimentos en cualquiera de sus formas de atención.  </w:t>
      </w:r>
    </w:p>
    <w:p w14:paraId="5EC1CB80" w14:textId="77777777" w:rsidR="00E072B2" w:rsidRPr="007A0E81" w:rsidRDefault="00E072B2" w:rsidP="00E072B2">
      <w:pPr>
        <w:spacing w:after="0" w:line="276" w:lineRule="auto"/>
        <w:jc w:val="both"/>
        <w:rPr>
          <w:rFonts w:ascii="Verdana" w:eastAsia="Calibri" w:hAnsi="Verdana" w:cs="Arial"/>
        </w:rPr>
      </w:pPr>
      <w:bookmarkStart w:id="2" w:name="nu59"/>
      <w:bookmarkEnd w:id="2"/>
    </w:p>
    <w:p w14:paraId="4BA8E875" w14:textId="77777777" w:rsidR="00E072B2" w:rsidRDefault="00E072B2" w:rsidP="00285011">
      <w:pPr>
        <w:spacing w:after="0" w:line="276" w:lineRule="auto"/>
        <w:jc w:val="both"/>
        <w:rPr>
          <w:rFonts w:ascii="Verdana" w:eastAsia="Calibri" w:hAnsi="Verdana" w:cs="Arial"/>
          <w:b/>
          <w:bCs/>
        </w:rPr>
      </w:pPr>
      <w:r w:rsidRPr="007A0E81">
        <w:rPr>
          <w:rFonts w:ascii="Verdana" w:eastAsia="Calibri" w:hAnsi="Verdana" w:cs="Arial"/>
          <w:b/>
          <w:bCs/>
        </w:rPr>
        <w:t>4. Referencias normativas, jurisprudenciales y otras fuentes:</w:t>
      </w:r>
    </w:p>
    <w:p w14:paraId="29EAAD1E" w14:textId="77777777" w:rsidR="00E072B2" w:rsidRPr="007A0E81" w:rsidRDefault="00E072B2" w:rsidP="00285011">
      <w:pPr>
        <w:spacing w:after="0" w:line="276" w:lineRule="auto"/>
        <w:jc w:val="both"/>
        <w:rPr>
          <w:rFonts w:ascii="Verdana" w:eastAsia="Calibri" w:hAnsi="Verdana" w:cs="Arial"/>
          <w:b/>
          <w:bC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072B2" w:rsidRPr="007A0E81" w14:paraId="174BF404" w14:textId="77777777" w:rsidTr="00502B69">
        <w:trPr>
          <w:trHeight w:val="1068"/>
        </w:trPr>
        <w:tc>
          <w:tcPr>
            <w:tcW w:w="8647" w:type="dxa"/>
            <w:tcBorders>
              <w:top w:val="dotted" w:sz="4" w:space="0" w:color="auto"/>
              <w:left w:val="dotted" w:sz="4" w:space="0" w:color="auto"/>
              <w:bottom w:val="dotted" w:sz="4" w:space="0" w:color="auto"/>
              <w:right w:val="dotted" w:sz="4" w:space="0" w:color="auto"/>
            </w:tcBorders>
          </w:tcPr>
          <w:p w14:paraId="2B001EDB" w14:textId="69DA0198" w:rsidR="00E072B2" w:rsidRPr="00571478" w:rsidRDefault="00E072B2" w:rsidP="00502B69">
            <w:pPr>
              <w:pStyle w:val="Prrafodelista"/>
              <w:widowControl w:val="0"/>
              <w:numPr>
                <w:ilvl w:val="0"/>
                <w:numId w:val="17"/>
              </w:numPr>
              <w:autoSpaceDE w:val="0"/>
              <w:autoSpaceDN w:val="0"/>
              <w:spacing w:line="276" w:lineRule="auto"/>
              <w:contextualSpacing w:val="0"/>
              <w:jc w:val="both"/>
              <w:rPr>
                <w:rFonts w:ascii="Verdana" w:hAnsi="Verdana" w:cs="Arial"/>
              </w:rPr>
            </w:pPr>
            <w:r w:rsidRPr="00571478">
              <w:rPr>
                <w:rFonts w:ascii="Verdana" w:hAnsi="Verdana" w:cs="Arial"/>
              </w:rPr>
              <w:t>Ley 1955 de 2019</w:t>
            </w:r>
            <w:r w:rsidR="00B96F9B" w:rsidRPr="00B96F9B">
              <w:rPr>
                <w:rFonts w:ascii="Verdana" w:hAnsi="Verdana" w:cs="Arial"/>
              </w:rPr>
              <w:t>:</w:t>
            </w:r>
            <w:r w:rsidRPr="00B96F9B">
              <w:rPr>
                <w:rFonts w:ascii="Verdana" w:hAnsi="Verdana" w:cs="Arial"/>
              </w:rPr>
              <w:t xml:space="preserve"> </w:t>
            </w:r>
            <w:r w:rsidR="00B96F9B" w:rsidRPr="00B96F9B">
              <w:rPr>
                <w:rFonts w:ascii="Verdana" w:hAnsi="Verdana" w:cs="Arial"/>
              </w:rPr>
              <w:t>Artículo</w:t>
            </w:r>
            <w:r w:rsidRPr="00571478">
              <w:rPr>
                <w:rFonts w:ascii="Verdana" w:hAnsi="Verdana" w:cs="Arial"/>
              </w:rPr>
              <w:t xml:space="preserve"> 229 </w:t>
            </w:r>
          </w:p>
          <w:p w14:paraId="7A1D289D" w14:textId="13B9CC67" w:rsidR="00F337E8" w:rsidRDefault="00E072B2" w:rsidP="00F337E8">
            <w:pPr>
              <w:pStyle w:val="Prrafodelista"/>
              <w:widowControl w:val="0"/>
              <w:numPr>
                <w:ilvl w:val="0"/>
                <w:numId w:val="17"/>
              </w:numPr>
              <w:autoSpaceDE w:val="0"/>
              <w:autoSpaceDN w:val="0"/>
              <w:spacing w:line="276" w:lineRule="auto"/>
              <w:contextualSpacing w:val="0"/>
              <w:jc w:val="both"/>
              <w:rPr>
                <w:rFonts w:ascii="Verdana" w:hAnsi="Verdana" w:cs="Arial"/>
              </w:rPr>
            </w:pPr>
            <w:r w:rsidRPr="00571478">
              <w:rPr>
                <w:rFonts w:ascii="Verdana" w:hAnsi="Verdana" w:cs="Arial"/>
              </w:rPr>
              <w:t>Ley 2046 de 2020</w:t>
            </w:r>
            <w:r w:rsidR="00B96F9B" w:rsidRPr="00B96F9B">
              <w:rPr>
                <w:rFonts w:ascii="Verdana" w:hAnsi="Verdana" w:cs="Arial"/>
              </w:rPr>
              <w:t>:</w:t>
            </w:r>
            <w:r w:rsidRPr="00571478">
              <w:rPr>
                <w:rFonts w:ascii="Verdana" w:hAnsi="Verdana" w:cs="Arial"/>
              </w:rPr>
              <w:t xml:space="preserve"> </w:t>
            </w:r>
            <w:r w:rsidR="007A60C7">
              <w:rPr>
                <w:rFonts w:ascii="Verdana" w:hAnsi="Verdana" w:cs="Arial"/>
              </w:rPr>
              <w:t>A</w:t>
            </w:r>
            <w:r w:rsidRPr="00571478">
              <w:rPr>
                <w:rFonts w:ascii="Verdana" w:hAnsi="Verdana" w:cs="Arial"/>
              </w:rPr>
              <w:t>rtículo 7</w:t>
            </w:r>
            <w:r w:rsidR="00B1038F">
              <w:rPr>
                <w:rFonts w:ascii="Verdana" w:hAnsi="Verdana" w:cs="Arial"/>
              </w:rPr>
              <w:t>, 8, 9, 10, 11</w:t>
            </w:r>
            <w:r w:rsidR="009A6D04">
              <w:rPr>
                <w:rFonts w:ascii="Verdana" w:hAnsi="Verdana" w:cs="Arial"/>
              </w:rPr>
              <w:t>,12</w:t>
            </w:r>
            <w:r w:rsidR="00B1038F">
              <w:rPr>
                <w:rFonts w:ascii="Verdana" w:hAnsi="Verdana" w:cs="Arial"/>
              </w:rPr>
              <w:t xml:space="preserve"> </w:t>
            </w:r>
            <w:r w:rsidR="009A6D04">
              <w:rPr>
                <w:rFonts w:ascii="Verdana" w:hAnsi="Verdana" w:cs="Arial"/>
              </w:rPr>
              <w:t>y</w:t>
            </w:r>
            <w:r w:rsidR="00B1038F">
              <w:rPr>
                <w:rFonts w:ascii="Verdana" w:hAnsi="Verdana" w:cs="Arial"/>
              </w:rPr>
              <w:t xml:space="preserve"> 1</w:t>
            </w:r>
            <w:r w:rsidR="009A6D04">
              <w:rPr>
                <w:rFonts w:ascii="Verdana" w:hAnsi="Verdana" w:cs="Arial"/>
              </w:rPr>
              <w:t>3</w:t>
            </w:r>
            <w:r w:rsidRPr="00571478">
              <w:rPr>
                <w:rFonts w:ascii="Verdana" w:hAnsi="Verdana" w:cs="Arial"/>
              </w:rPr>
              <w:t xml:space="preserve"> </w:t>
            </w:r>
          </w:p>
          <w:p w14:paraId="7D66E6D1" w14:textId="4AA369C3" w:rsidR="00E072B2" w:rsidRPr="00F337E8" w:rsidRDefault="00E072B2" w:rsidP="00F337E8">
            <w:pPr>
              <w:pStyle w:val="Prrafodelista"/>
              <w:widowControl w:val="0"/>
              <w:numPr>
                <w:ilvl w:val="0"/>
                <w:numId w:val="17"/>
              </w:numPr>
              <w:autoSpaceDE w:val="0"/>
              <w:autoSpaceDN w:val="0"/>
              <w:spacing w:line="276" w:lineRule="auto"/>
              <w:contextualSpacing w:val="0"/>
              <w:jc w:val="both"/>
              <w:rPr>
                <w:rFonts w:ascii="Verdana" w:hAnsi="Verdana" w:cs="Arial"/>
              </w:rPr>
            </w:pPr>
            <w:r w:rsidRPr="00F337E8">
              <w:rPr>
                <w:rFonts w:ascii="Verdana" w:hAnsi="Verdana" w:cs="Arial"/>
              </w:rPr>
              <w:t>Decreto 248 de 2021</w:t>
            </w:r>
            <w:r w:rsidR="009C258B" w:rsidRPr="00F337E8">
              <w:rPr>
                <w:rFonts w:ascii="Verdana" w:hAnsi="Verdana" w:cs="Arial"/>
              </w:rPr>
              <w:t xml:space="preserve">: </w:t>
            </w:r>
            <w:r w:rsidR="009C258B" w:rsidRPr="00F337E8">
              <w:rPr>
                <w:rFonts w:ascii="Verdana" w:eastAsia="Times New Roman" w:hAnsi="Verdana" w:cs="Arial"/>
                <w:lang w:eastAsia="es-CO"/>
              </w:rPr>
              <w:t>Artículo 2.20.1.1.3.</w:t>
            </w:r>
          </w:p>
          <w:p w14:paraId="6FB1E931" w14:textId="0B3EFC68" w:rsidR="00E072B2" w:rsidRPr="007A0E81" w:rsidRDefault="00E072B2" w:rsidP="00502B69">
            <w:pPr>
              <w:pStyle w:val="Prrafodelista"/>
              <w:widowControl w:val="0"/>
              <w:numPr>
                <w:ilvl w:val="0"/>
                <w:numId w:val="17"/>
              </w:numPr>
              <w:autoSpaceDE w:val="0"/>
              <w:autoSpaceDN w:val="0"/>
              <w:spacing w:line="276" w:lineRule="auto"/>
              <w:contextualSpacing w:val="0"/>
              <w:jc w:val="both"/>
              <w:rPr>
                <w:rFonts w:ascii="Verdana" w:hAnsi="Verdana" w:cs="Arial"/>
                <w:lang w:val="es-MX"/>
              </w:rPr>
            </w:pPr>
            <w:r w:rsidRPr="00571478">
              <w:rPr>
                <w:rFonts w:ascii="Verdana" w:hAnsi="Verdana" w:cs="Arial"/>
              </w:rPr>
              <w:t>Decreto 1071 de 2015</w:t>
            </w:r>
            <w:r w:rsidR="00A12973">
              <w:rPr>
                <w:rFonts w:ascii="Verdana" w:hAnsi="Verdana" w:cs="Arial"/>
              </w:rPr>
              <w:t xml:space="preserve">: </w:t>
            </w:r>
            <w:r w:rsidR="00A12973">
              <w:rPr>
                <w:rFonts w:ascii="Verdana" w:eastAsia="Times New Roman" w:hAnsi="Verdana" w:cs="Arial"/>
                <w:lang w:eastAsia="es-CO"/>
              </w:rPr>
              <w:t>A</w:t>
            </w:r>
            <w:r w:rsidR="00A12973" w:rsidRPr="00B40B0D">
              <w:rPr>
                <w:rFonts w:ascii="Verdana" w:eastAsia="Times New Roman" w:hAnsi="Verdana" w:cs="Arial"/>
                <w:lang w:eastAsia="es-CO"/>
              </w:rPr>
              <w:t xml:space="preserve">rtículo 2.20.1.1.3. </w:t>
            </w:r>
            <w:r w:rsidRPr="00814408">
              <w:rPr>
                <w:rFonts w:ascii="Verdana" w:hAnsi="Verdana" w:cs="Arial"/>
                <w:lang w:val="es-MX"/>
              </w:rPr>
              <w:t xml:space="preserve"> </w:t>
            </w:r>
          </w:p>
        </w:tc>
      </w:tr>
    </w:tbl>
    <w:p w14:paraId="57DCF0A1" w14:textId="77777777" w:rsidR="00E072B2" w:rsidRPr="007A0E81" w:rsidRDefault="00E072B2" w:rsidP="00E072B2">
      <w:pPr>
        <w:tabs>
          <w:tab w:val="left" w:pos="142"/>
          <w:tab w:val="left" w:pos="284"/>
        </w:tabs>
        <w:spacing w:after="0" w:line="276" w:lineRule="auto"/>
        <w:jc w:val="both"/>
        <w:rPr>
          <w:rFonts w:ascii="Verdana" w:eastAsia="Calibri" w:hAnsi="Verdana" w:cs="Arial"/>
        </w:rPr>
      </w:pPr>
    </w:p>
    <w:p w14:paraId="52082CA6" w14:textId="77777777" w:rsidR="00E072B2" w:rsidRPr="007A0E81" w:rsidRDefault="00E072B2" w:rsidP="00E072B2">
      <w:pPr>
        <w:tabs>
          <w:tab w:val="left" w:pos="142"/>
          <w:tab w:val="left" w:pos="284"/>
        </w:tabs>
        <w:spacing w:after="0" w:line="276" w:lineRule="auto"/>
        <w:jc w:val="both"/>
        <w:rPr>
          <w:rFonts w:ascii="Verdana" w:eastAsia="Century Gothic" w:hAnsi="Verdana" w:cs="Century Gothic"/>
          <w:b/>
          <w:bCs/>
          <w:lang w:val="es-ES"/>
        </w:rPr>
      </w:pPr>
      <w:r w:rsidRPr="007A0E81">
        <w:rPr>
          <w:rFonts w:ascii="Verdana" w:eastAsia="Calibri" w:hAnsi="Verdana" w:cs="Arial"/>
          <w:b/>
          <w:bCs/>
        </w:rPr>
        <w:t xml:space="preserve">5. </w:t>
      </w:r>
      <w:r w:rsidRPr="007A0E81">
        <w:rPr>
          <w:rFonts w:ascii="Verdana" w:eastAsia="Century Gothic" w:hAnsi="Verdana" w:cs="Century Gothic"/>
          <w:b/>
          <w:bCs/>
          <w:lang w:val="es-ES"/>
        </w:rPr>
        <w:t>Doctrina de la Agencia Nacional de Contratación Pública:</w:t>
      </w:r>
    </w:p>
    <w:p w14:paraId="1EA5C62E" w14:textId="77777777" w:rsidR="00E072B2" w:rsidRPr="007A0E81" w:rsidRDefault="00E072B2" w:rsidP="00E072B2">
      <w:pPr>
        <w:tabs>
          <w:tab w:val="left" w:pos="142"/>
          <w:tab w:val="left" w:pos="284"/>
        </w:tabs>
        <w:spacing w:after="0" w:line="276" w:lineRule="auto"/>
        <w:jc w:val="both"/>
        <w:rPr>
          <w:rFonts w:ascii="Verdana" w:eastAsia="Century Gothic" w:hAnsi="Verdana" w:cs="Century Gothic"/>
          <w:b/>
          <w:bCs/>
          <w:lang w:val="es-ES"/>
        </w:rPr>
      </w:pPr>
    </w:p>
    <w:p w14:paraId="58B09F70" w14:textId="2FC0575D" w:rsidR="00E072B2" w:rsidRPr="007A0E81" w:rsidRDefault="00E072B2" w:rsidP="00E072B2">
      <w:pPr>
        <w:spacing w:after="0" w:line="276" w:lineRule="auto"/>
        <w:jc w:val="both"/>
        <w:rPr>
          <w:rFonts w:ascii="Verdana" w:eastAsia="Calibri" w:hAnsi="Verdana" w:cs="Arial"/>
          <w:color w:val="000000" w:themeColor="text1"/>
          <w:shd w:val="clear" w:color="auto" w:fill="FFFFFF"/>
        </w:rPr>
      </w:pPr>
      <w:r w:rsidRPr="009501C6">
        <w:rPr>
          <w:rStyle w:val="normaltextrun"/>
          <w:rFonts w:ascii="Verdana" w:hAnsi="Verdana" w:cs="Arial"/>
          <w:shd w:val="clear" w:color="auto" w:fill="FFFFFF"/>
          <w:lang w:val="es-ES"/>
        </w:rPr>
        <w:t>La Agencia Nacional de Contratación Pública – Colombia Compra Eficiente</w:t>
      </w:r>
      <w:r w:rsidR="00E9268E">
        <w:rPr>
          <w:rFonts w:ascii="Verdana" w:eastAsia="Aptos" w:hAnsi="Verdana" w:cs="Arial"/>
          <w:shd w:val="clear" w:color="auto" w:fill="FFFFFF"/>
          <w:lang w:val="es-ES"/>
        </w:rPr>
        <w:t xml:space="preserve"> </w:t>
      </w:r>
      <w:r w:rsidRPr="00B83E79">
        <w:rPr>
          <w:rFonts w:ascii="Verdana" w:eastAsia="Aptos" w:hAnsi="Verdana" w:cs="Arial"/>
          <w:shd w:val="clear" w:color="auto" w:fill="FFFFFF"/>
          <w:lang w:val="es-ES"/>
        </w:rPr>
        <w:t>se pronunció esta Subdirección en los conceptos</w:t>
      </w:r>
      <w:r w:rsidRPr="009501C6">
        <w:rPr>
          <w:rStyle w:val="normaltextrun"/>
          <w:rFonts w:ascii="Verdana" w:hAnsi="Verdana" w:cs="Arial"/>
          <w:shd w:val="clear" w:color="auto" w:fill="FFFFFF"/>
          <w:lang w:val="es-ES"/>
        </w:rPr>
        <w:t xml:space="preserve"> la promoción de las compras públicas de alimentos y los incentivos contractuales en los conceptos C-301 de 19 de junio de 2022 y C-810 del 25 de noviembre de 2022</w:t>
      </w:r>
      <w:r>
        <w:rPr>
          <w:rStyle w:val="normaltextrun"/>
          <w:rFonts w:ascii="Verdana" w:hAnsi="Verdana" w:cs="Arial"/>
          <w:shd w:val="clear" w:color="auto" w:fill="FFFFFF"/>
          <w:lang w:val="es-ES"/>
        </w:rPr>
        <w:t>, C-410 del 6 de octubre de 2023 Y C-077 del 26 de abril de 2024</w:t>
      </w:r>
      <w:r w:rsidRPr="007A0E81">
        <w:rPr>
          <w:rStyle w:val="normaltextrun"/>
          <w:rFonts w:ascii="Verdana" w:hAnsi="Verdana" w:cs="Arial"/>
          <w:shd w:val="clear" w:color="auto" w:fill="FFFFFF"/>
          <w:lang w:val="es-ES"/>
        </w:rPr>
        <w:t xml:space="preserve">. </w:t>
      </w:r>
      <w:r w:rsidRPr="007A0E81">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7A0E81">
        <w:rPr>
          <w:rStyle w:val="normaltextrun"/>
          <w:rFonts w:ascii="Verdana" w:hAnsi="Verdana" w:cs="Arial"/>
          <w:shd w:val="clear" w:color="auto" w:fill="FFFFFF"/>
          <w:lang w:val="es-ES"/>
        </w:rPr>
        <w:t>.</w:t>
      </w:r>
      <w:r w:rsidRPr="007A0E81">
        <w:rPr>
          <w:rFonts w:ascii="Verdana" w:eastAsia="Calibri" w:hAnsi="Verdana" w:cs="Arial"/>
          <w:color w:val="000000" w:themeColor="text1"/>
          <w:shd w:val="clear" w:color="auto" w:fill="FFFFFF"/>
        </w:rPr>
        <w:t xml:space="preserve"> Accede a través del siguiente enlace: </w:t>
      </w:r>
      <w:hyperlink r:id="rId12" w:history="1">
        <w:r w:rsidRPr="007A0E81">
          <w:rPr>
            <w:rStyle w:val="Hipervnculo"/>
            <w:rFonts w:ascii="Verdana" w:eastAsia="Calibri" w:hAnsi="Verdana" w:cs="Arial"/>
            <w:shd w:val="clear" w:color="auto" w:fill="FFFFFF"/>
          </w:rPr>
          <w:t>https://relatoria.colombiacompra.gov.co/</w:t>
        </w:r>
      </w:hyperlink>
      <w:r w:rsidRPr="007A0E81">
        <w:rPr>
          <w:rFonts w:ascii="Verdana" w:eastAsia="Calibri" w:hAnsi="Verdana" w:cs="Arial"/>
          <w:color w:val="000000" w:themeColor="text1"/>
          <w:shd w:val="clear" w:color="auto" w:fill="FFFFFF"/>
        </w:rPr>
        <w:t xml:space="preserve">. </w:t>
      </w:r>
    </w:p>
    <w:p w14:paraId="0AE16588" w14:textId="77777777" w:rsidR="00E072B2" w:rsidRPr="007A0E81" w:rsidRDefault="00E072B2" w:rsidP="00E072B2">
      <w:pPr>
        <w:spacing w:after="0" w:line="276" w:lineRule="auto"/>
        <w:jc w:val="both"/>
        <w:rPr>
          <w:rFonts w:ascii="Verdana" w:eastAsia="Calibri" w:hAnsi="Verdana" w:cs="Arial"/>
          <w:color w:val="000000" w:themeColor="text1"/>
          <w:shd w:val="clear" w:color="auto" w:fill="FFFFFF"/>
        </w:rPr>
      </w:pPr>
    </w:p>
    <w:p w14:paraId="0400BDB8" w14:textId="77777777" w:rsidR="00E072B2" w:rsidRPr="007A0E81" w:rsidRDefault="00E072B2" w:rsidP="00E072B2">
      <w:pPr>
        <w:spacing w:after="0" w:line="276" w:lineRule="auto"/>
        <w:jc w:val="both"/>
        <w:rPr>
          <w:rFonts w:ascii="Verdana" w:eastAsia="Calibri" w:hAnsi="Verdana" w:cs="Arial"/>
          <w:color w:val="000000" w:themeColor="text1"/>
        </w:rPr>
      </w:pPr>
      <w:r w:rsidRPr="007A0E81">
        <w:rPr>
          <w:rFonts w:ascii="Verdana" w:eastAsia="Calibri" w:hAnsi="Verdana" w:cs="Arial"/>
          <w:color w:val="000000" w:themeColor="text1"/>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2B7AEEDF" w14:textId="77777777" w:rsidR="00E072B2" w:rsidRPr="007A0E81" w:rsidRDefault="00E072B2" w:rsidP="00E072B2">
      <w:pPr>
        <w:spacing w:after="0" w:line="276" w:lineRule="auto"/>
        <w:jc w:val="both"/>
        <w:rPr>
          <w:rFonts w:ascii="Verdana" w:eastAsia="Calibri" w:hAnsi="Verdana" w:cs="Arial"/>
          <w:color w:val="000000" w:themeColor="text1"/>
        </w:rPr>
      </w:pPr>
    </w:p>
    <w:p w14:paraId="262AAF3D" w14:textId="77777777" w:rsidR="00E072B2" w:rsidRPr="0070786B" w:rsidRDefault="00E072B2" w:rsidP="00E072B2">
      <w:pPr>
        <w:numPr>
          <w:ilvl w:val="0"/>
          <w:numId w:val="18"/>
        </w:numPr>
        <w:spacing w:after="0" w:line="276" w:lineRule="auto"/>
        <w:ind w:left="0"/>
        <w:jc w:val="both"/>
        <w:rPr>
          <w:rFonts w:ascii="Verdana" w:eastAsia="Calibri" w:hAnsi="Verdana" w:cs="Arial"/>
          <w:color w:val="000000" w:themeColor="text1"/>
        </w:rPr>
      </w:pPr>
      <w:r w:rsidRPr="007A0E81">
        <w:rPr>
          <w:rFonts w:ascii="Verdana" w:eastAsia="Calibri" w:hAnsi="Verdana" w:cs="Arial"/>
          <w:b/>
          <w:bCs/>
          <w:color w:val="000000" w:themeColor="text1"/>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7A0E81">
          <w:rPr>
            <w:rStyle w:val="Hipervnculo"/>
            <w:rFonts w:ascii="Verdana" w:eastAsia="Calibri" w:hAnsi="Verdana" w:cs="Arial"/>
          </w:rPr>
          <w:t>03. Documentos tipo para los procesos de selección de interventoría de obra pública de infraestructura de transporte – versión 3 | Colombia Compra Eficiente | Agencia Nacional de Contratación Pública</w:t>
        </w:r>
      </w:hyperlink>
    </w:p>
    <w:p w14:paraId="4E9182E9" w14:textId="77777777" w:rsidR="00E072B2" w:rsidRPr="007A0E81" w:rsidRDefault="00E072B2" w:rsidP="00E072B2">
      <w:pPr>
        <w:spacing w:after="0" w:line="276" w:lineRule="auto"/>
        <w:jc w:val="both"/>
        <w:rPr>
          <w:rFonts w:ascii="Verdana" w:eastAsia="Calibri" w:hAnsi="Verdana" w:cs="Arial"/>
          <w:color w:val="000000" w:themeColor="text1"/>
        </w:rPr>
      </w:pPr>
    </w:p>
    <w:p w14:paraId="3F5816FC" w14:textId="77777777" w:rsidR="00E072B2" w:rsidRPr="007A0E81" w:rsidRDefault="00E072B2" w:rsidP="00E072B2">
      <w:pPr>
        <w:numPr>
          <w:ilvl w:val="0"/>
          <w:numId w:val="18"/>
        </w:numPr>
        <w:spacing w:after="0" w:line="276" w:lineRule="auto"/>
        <w:ind w:left="0"/>
        <w:jc w:val="both"/>
        <w:rPr>
          <w:rFonts w:ascii="Verdana" w:eastAsia="Calibri" w:hAnsi="Verdana" w:cs="Arial"/>
          <w:color w:val="000000" w:themeColor="text1"/>
        </w:rPr>
      </w:pPr>
      <w:r w:rsidRPr="007A0E81">
        <w:rPr>
          <w:rFonts w:ascii="Verdana" w:eastAsia="Calibri" w:hAnsi="Verdana" w:cs="Arial"/>
          <w:b/>
          <w:bCs/>
          <w:color w:val="000000" w:themeColor="text1"/>
        </w:rPr>
        <w:t>Documentos tipo para los procesos de selección de consultoría de obra pública de infraestructura de transporte – versión 2:</w:t>
      </w:r>
      <w:r w:rsidRPr="007A0E81">
        <w:rPr>
          <w:rFonts w:ascii="Verdana" w:eastAsia="Calibri" w:hAnsi="Verdana" w:cs="Arial"/>
          <w:color w:val="000000" w:themeColor="text1"/>
        </w:rPr>
        <w:t> </w:t>
      </w:r>
      <w:hyperlink r:id="rId14" w:tgtFrame="_blank" w:tooltip="Dirección URL original: https://www.colombiacompra.gov.co/content/02-documentos-tipo-para-los-procesos-de-seleccion-de-consultoria-de-obra-publica-de. Haga clic o pulse si confía en este vínculo." w:history="1">
        <w:r w:rsidRPr="007A0E81">
          <w:rPr>
            <w:rStyle w:val="Hipervnculo"/>
            <w:rFonts w:ascii="Verdana" w:eastAsia="Calibri" w:hAnsi="Verdana" w:cs="Arial"/>
          </w:rPr>
          <w:t>02. Documentos tipo para los procesos de selección de consultoría de obra pública de infraestructura de transporte – versión 2. | Colombia Compra Eficiente | Agencia Nacional de Contratación Pública</w:t>
        </w:r>
      </w:hyperlink>
    </w:p>
    <w:p w14:paraId="3176A26E" w14:textId="77777777" w:rsidR="00E072B2" w:rsidRPr="0070786B" w:rsidRDefault="00E072B2" w:rsidP="00E072B2">
      <w:pPr>
        <w:spacing w:after="0" w:line="276" w:lineRule="auto"/>
        <w:jc w:val="both"/>
        <w:rPr>
          <w:rFonts w:ascii="Verdana" w:eastAsia="Times New Roman" w:hAnsi="Verdana" w:cs="Times New Roman"/>
          <w:color w:val="000000"/>
          <w:sz w:val="24"/>
          <w:szCs w:val="24"/>
          <w:bdr w:val="none" w:sz="0" w:space="0" w:color="auto" w:frame="1"/>
          <w:lang w:eastAsia="es-CO"/>
        </w:rPr>
      </w:pPr>
    </w:p>
    <w:p w14:paraId="2F422A7B" w14:textId="77777777" w:rsidR="00E072B2" w:rsidRDefault="00E072B2" w:rsidP="00E072B2">
      <w:pPr>
        <w:spacing w:after="0" w:line="276" w:lineRule="auto"/>
        <w:jc w:val="both"/>
        <w:rPr>
          <w:rFonts w:ascii="Verdana" w:hAnsi="Verdana"/>
        </w:rPr>
      </w:pPr>
      <w:r w:rsidRPr="007A0E81">
        <w:rPr>
          <w:rFonts w:ascii="Verdana" w:eastAsia="Times New Roman" w:hAnsi="Verdana" w:cs="Times New Roman"/>
          <w:color w:val="000000"/>
          <w:bdr w:val="none" w:sz="0" w:space="0" w:color="auto" w:frame="1"/>
          <w:lang w:eastAsia="es-CO"/>
        </w:rPr>
        <w:t>Te informamos que ya se encuentra disponible la </w:t>
      </w:r>
      <w:r w:rsidRPr="007A0E81">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7A0E81">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Original URL: https://www.colombiacompra.gov.co/manuales-guias-y-pliegos-tipo/manuales-y-guias/cartilla-para-incentivar-y-fortalecer-el-acceso-las. Click or tap if you trust this link." w:history="1">
        <w:r w:rsidRPr="007A0E81">
          <w:rPr>
            <w:rStyle w:val="Hipervnculo"/>
            <w:rFonts w:ascii="Verdana" w:eastAsia="Times New Roman" w:hAnsi="Verdana" w:cs="Times New Roman"/>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18648654" w14:textId="77777777" w:rsidR="00E072B2" w:rsidRPr="007A0E81" w:rsidRDefault="00E072B2" w:rsidP="00E072B2">
      <w:pPr>
        <w:spacing w:after="0" w:line="276" w:lineRule="auto"/>
        <w:jc w:val="both"/>
        <w:rPr>
          <w:rFonts w:ascii="Verdana" w:eastAsia="Times New Roman" w:hAnsi="Verdana" w:cs="Times New Roman"/>
          <w:color w:val="000000"/>
          <w:bdr w:val="none" w:sz="0" w:space="0" w:color="auto" w:frame="1"/>
          <w:lang w:eastAsia="es-CO"/>
        </w:rPr>
      </w:pPr>
    </w:p>
    <w:p w14:paraId="63820F98" w14:textId="77777777" w:rsidR="00E072B2" w:rsidRPr="007A0E81" w:rsidRDefault="00E072B2" w:rsidP="00E072B2">
      <w:pPr>
        <w:spacing w:after="0" w:line="276" w:lineRule="auto"/>
        <w:jc w:val="both"/>
        <w:rPr>
          <w:rFonts w:ascii="Verdana" w:eastAsia="Times New Roman" w:hAnsi="Verdana" w:cs="Times New Roman"/>
          <w:color w:val="000000"/>
          <w:bdr w:val="none" w:sz="0" w:space="0" w:color="auto" w:frame="1"/>
          <w:lang w:eastAsia="es-CO"/>
        </w:rPr>
      </w:pPr>
      <w:r w:rsidRPr="007A0E81">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7A0E81">
        <w:rPr>
          <w:rFonts w:ascii="Verdana" w:eastAsia="Times New Roman" w:hAnsi="Verdana" w:cs="Times New Roman"/>
          <w:b/>
          <w:bCs/>
          <w:color w:val="000000"/>
          <w:bdr w:val="none" w:sz="0" w:space="0" w:color="auto" w:frame="1"/>
          <w:lang w:eastAsia="es-CO"/>
        </w:rPr>
        <w:t>modificaciones y/o actualizaciones realizadas a los Documentos Tipo</w:t>
      </w:r>
      <w:r w:rsidRPr="007A0E81">
        <w:rPr>
          <w:rFonts w:ascii="Verdana" w:eastAsia="Times New Roman" w:hAnsi="Verdana" w:cs="Times New Roman"/>
          <w:color w:val="000000"/>
          <w:bdr w:val="none" w:sz="0" w:space="0" w:color="auto" w:frame="1"/>
          <w:lang w:eastAsia="es-CO"/>
        </w:rPr>
        <w:t>, hemos programado una serie de </w:t>
      </w:r>
      <w:r w:rsidRPr="007A0E81">
        <w:rPr>
          <w:rFonts w:ascii="Verdana" w:eastAsia="Times New Roman" w:hAnsi="Verdana" w:cs="Times New Roman"/>
          <w:b/>
          <w:bCs/>
          <w:color w:val="000000"/>
          <w:bdr w:val="none" w:sz="0" w:space="0" w:color="auto" w:frame="1"/>
          <w:lang w:eastAsia="es-CO"/>
        </w:rPr>
        <w:t>capacitaciones </w:t>
      </w:r>
      <w:r w:rsidRPr="007A0E81">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6" w:tgtFrame="_blank" w:tooltip="Original URL: https://www.colombiacompra.gov.co/ciudadanos/calendario. Click or tap if you trust this link." w:history="1">
        <w:r w:rsidRPr="007A0E81">
          <w:rPr>
            <w:rStyle w:val="Hipervnculo"/>
            <w:rFonts w:ascii="Verdana" w:eastAsia="Times New Roman" w:hAnsi="Verdana" w:cs="Times New Roman"/>
            <w:bdr w:val="none" w:sz="0" w:space="0" w:color="auto" w:frame="1"/>
            <w:lang w:eastAsia="es-CO"/>
          </w:rPr>
          <w:t>Calendario | Colombia Compra Eficiente | Agencia Nacional de Contratación Pública</w:t>
        </w:r>
      </w:hyperlink>
    </w:p>
    <w:p w14:paraId="0F9D1436" w14:textId="77777777" w:rsidR="00E072B2" w:rsidRPr="007A0E81" w:rsidRDefault="00E072B2" w:rsidP="00E072B2">
      <w:pPr>
        <w:spacing w:after="0" w:line="276" w:lineRule="auto"/>
        <w:jc w:val="both"/>
        <w:rPr>
          <w:rFonts w:ascii="Verdana" w:eastAsia="Times New Roman" w:hAnsi="Verdana" w:cs="Times New Roman"/>
          <w:color w:val="000000"/>
          <w:bdr w:val="none" w:sz="0" w:space="0" w:color="auto" w:frame="1"/>
          <w:lang w:eastAsia="es-CO"/>
        </w:rPr>
      </w:pPr>
    </w:p>
    <w:p w14:paraId="181D14DD" w14:textId="77777777" w:rsidR="00E072B2" w:rsidRPr="007A0E81" w:rsidRDefault="00E072B2" w:rsidP="00E072B2">
      <w:pPr>
        <w:spacing w:after="0" w:line="276" w:lineRule="auto"/>
        <w:jc w:val="both"/>
        <w:rPr>
          <w:rFonts w:ascii="Verdana" w:eastAsia="Times New Roman" w:hAnsi="Verdana" w:cs="Times New Roman"/>
          <w:color w:val="000000"/>
          <w:bdr w:val="none" w:sz="0" w:space="0" w:color="auto" w:frame="1"/>
          <w:lang w:eastAsia="es-CO"/>
        </w:rPr>
      </w:pPr>
      <w:r w:rsidRPr="007A0E81">
        <w:rPr>
          <w:rFonts w:ascii="Verdana" w:eastAsia="Times New Roman" w:hAnsi="Verdana" w:cs="Times New Roman"/>
          <w:color w:val="000000"/>
          <w:bdr w:val="none" w:sz="0" w:space="0" w:color="auto" w:frame="1"/>
          <w:lang w:eastAsia="es-CO"/>
        </w:rPr>
        <w:t>También, te contamos que ya publicamos </w:t>
      </w:r>
      <w:r w:rsidRPr="007A0E81">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7A0E81">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Original URL: https://www.colombiacompra.gov.co/manuales-guias-y-pliegos-tipo/manuales-y-guias/guia-de-contratacion-publica-sostenible-y-socialmente. Click or tap if you trust this link." w:history="1">
        <w:r w:rsidRPr="007A0E81">
          <w:rPr>
            <w:rStyle w:val="Hipervnculo"/>
            <w:rFonts w:ascii="Verdana" w:eastAsia="Times New Roman" w:hAnsi="Verdana" w:cs="Times New Roman"/>
            <w:bdr w:val="none" w:sz="0" w:space="0" w:color="auto" w:frame="1"/>
            <w:lang w:eastAsia="es-CO"/>
          </w:rPr>
          <w:t>Guía de Contratación Pública Sostenible y Socialmente Responsable | Colombia Compra Eficiente | Agencia Nacional de Contratación Pública</w:t>
        </w:r>
      </w:hyperlink>
    </w:p>
    <w:p w14:paraId="2EB6336F" w14:textId="77777777" w:rsidR="00E072B2" w:rsidRPr="007A0E81" w:rsidRDefault="00E072B2" w:rsidP="00E072B2">
      <w:pPr>
        <w:spacing w:after="0" w:line="276" w:lineRule="auto"/>
        <w:jc w:val="both"/>
        <w:rPr>
          <w:rFonts w:ascii="Verdana" w:eastAsia="Calibri" w:hAnsi="Verdana" w:cs="Arial"/>
          <w:color w:val="FF0000"/>
          <w:shd w:val="clear" w:color="auto" w:fill="FFFFFF"/>
        </w:rPr>
      </w:pPr>
    </w:p>
    <w:p w14:paraId="1EDFF84D" w14:textId="77777777" w:rsidR="00E072B2" w:rsidRPr="007A0E81" w:rsidRDefault="00E072B2" w:rsidP="00E072B2">
      <w:pPr>
        <w:spacing w:after="0" w:line="276" w:lineRule="auto"/>
        <w:jc w:val="both"/>
        <w:rPr>
          <w:rFonts w:ascii="Verdana" w:eastAsia="Calibri" w:hAnsi="Verdana" w:cs="Times New Roman"/>
        </w:rPr>
      </w:pPr>
      <w:r w:rsidRPr="007A0E81">
        <w:rPr>
          <w:rFonts w:ascii="Verdana" w:hAnsi="Verdana"/>
        </w:rPr>
        <w:t xml:space="preserve">Por último, lo invitamos a seguirnos en las redes sociales en las cuales se difunde información institucional: </w:t>
      </w:r>
    </w:p>
    <w:p w14:paraId="114566AF" w14:textId="77777777" w:rsidR="00E072B2" w:rsidRPr="007A0E81" w:rsidRDefault="00E072B2" w:rsidP="00E072B2">
      <w:pPr>
        <w:spacing w:after="0" w:line="276" w:lineRule="auto"/>
        <w:jc w:val="both"/>
        <w:rPr>
          <w:rFonts w:ascii="Verdana" w:hAnsi="Verdana"/>
        </w:rPr>
      </w:pPr>
    </w:p>
    <w:p w14:paraId="2E8110B5" w14:textId="77777777" w:rsidR="00E072B2" w:rsidRPr="007A0E81" w:rsidRDefault="00E072B2" w:rsidP="00E072B2">
      <w:pPr>
        <w:spacing w:after="0" w:line="276" w:lineRule="auto"/>
        <w:jc w:val="both"/>
        <w:rPr>
          <w:rFonts w:ascii="Verdana" w:hAnsi="Verdana"/>
        </w:rPr>
      </w:pPr>
      <w:r w:rsidRPr="007A0E81">
        <w:rPr>
          <w:rFonts w:ascii="Verdana" w:hAnsi="Verdana"/>
        </w:rPr>
        <w:t xml:space="preserve">Twitter: </w:t>
      </w:r>
      <w:r w:rsidRPr="007A0E81">
        <w:rPr>
          <w:rFonts w:ascii="Verdana" w:eastAsia="Calibri" w:hAnsi="Verdana" w:cs="Times New Roman"/>
          <w:color w:val="4472C4" w:themeColor="accent1"/>
          <w:u w:val="single"/>
        </w:rPr>
        <w:t>@colombiacompra</w:t>
      </w:r>
      <w:r w:rsidRPr="007A0E81">
        <w:rPr>
          <w:rFonts w:ascii="Verdana" w:eastAsia="Calibri" w:hAnsi="Verdana" w:cs="Times New Roman"/>
          <w:color w:val="4472C4" w:themeColor="accent1"/>
        </w:rPr>
        <w:t xml:space="preserve"> </w:t>
      </w:r>
    </w:p>
    <w:p w14:paraId="286AAE05" w14:textId="77777777" w:rsidR="00E072B2" w:rsidRPr="007A0E81" w:rsidRDefault="00E072B2" w:rsidP="00E072B2">
      <w:pPr>
        <w:spacing w:after="0" w:line="276" w:lineRule="auto"/>
        <w:jc w:val="both"/>
        <w:rPr>
          <w:rFonts w:ascii="Verdana" w:hAnsi="Verdana"/>
        </w:rPr>
      </w:pPr>
      <w:r w:rsidRPr="007A0E81">
        <w:rPr>
          <w:rFonts w:ascii="Verdana" w:hAnsi="Verdana"/>
        </w:rPr>
        <w:t xml:space="preserve">Facebook: </w:t>
      </w:r>
      <w:proofErr w:type="spellStart"/>
      <w:r w:rsidRPr="007A0E81">
        <w:rPr>
          <w:rFonts w:ascii="Verdana" w:eastAsia="Calibri" w:hAnsi="Verdana" w:cs="Times New Roman"/>
          <w:color w:val="4472C4" w:themeColor="accent1"/>
          <w:u w:val="single"/>
        </w:rPr>
        <w:t>ColombiaCompraEficiente</w:t>
      </w:r>
      <w:proofErr w:type="spellEnd"/>
    </w:p>
    <w:p w14:paraId="1FA2CD7C" w14:textId="77777777" w:rsidR="00E072B2" w:rsidRPr="007A0E81" w:rsidRDefault="00E072B2" w:rsidP="00E072B2">
      <w:pPr>
        <w:spacing w:after="0" w:line="276" w:lineRule="auto"/>
        <w:jc w:val="both"/>
        <w:rPr>
          <w:rFonts w:ascii="Verdana" w:hAnsi="Verdana"/>
        </w:rPr>
      </w:pPr>
      <w:r w:rsidRPr="007A0E81">
        <w:rPr>
          <w:rFonts w:ascii="Verdana" w:hAnsi="Verdana"/>
        </w:rPr>
        <w:t xml:space="preserve">LinkedIn: </w:t>
      </w:r>
      <w:r w:rsidRPr="007A0E81">
        <w:rPr>
          <w:rFonts w:ascii="Verdana" w:eastAsia="Calibri" w:hAnsi="Verdana" w:cs="Times New Roman"/>
          <w:color w:val="4472C4" w:themeColor="accent1"/>
          <w:u w:val="single"/>
        </w:rPr>
        <w:t>Agencia Nacional de Contratación Pública - Colombia Compra Eficiente</w:t>
      </w:r>
      <w:r w:rsidRPr="007A0E81">
        <w:rPr>
          <w:rFonts w:ascii="Verdana" w:eastAsia="Calibri" w:hAnsi="Verdana" w:cs="Times New Roman"/>
          <w:color w:val="4472C4" w:themeColor="accent1"/>
        </w:rPr>
        <w:t xml:space="preserve"> </w:t>
      </w:r>
      <w:r w:rsidRPr="007A0E81">
        <w:rPr>
          <w:rFonts w:ascii="Verdana" w:hAnsi="Verdana"/>
        </w:rPr>
        <w:t xml:space="preserve">Instagram: </w:t>
      </w:r>
      <w:r w:rsidRPr="007A0E81">
        <w:rPr>
          <w:rFonts w:ascii="Verdana" w:eastAsia="Calibri" w:hAnsi="Verdana" w:cs="Times New Roman"/>
          <w:color w:val="4472C4" w:themeColor="accent1"/>
          <w:u w:val="single"/>
        </w:rPr>
        <w:t>@colombiacompraeficiente_cce</w:t>
      </w:r>
    </w:p>
    <w:p w14:paraId="43B1D574" w14:textId="77777777" w:rsidR="00E072B2" w:rsidRPr="007A0E81" w:rsidRDefault="00E072B2" w:rsidP="00E072B2">
      <w:pPr>
        <w:widowControl w:val="0"/>
        <w:autoSpaceDE w:val="0"/>
        <w:autoSpaceDN w:val="0"/>
        <w:spacing w:after="0" w:line="276" w:lineRule="auto"/>
        <w:jc w:val="both"/>
        <w:rPr>
          <w:rFonts w:ascii="Verdana" w:hAnsi="Verdana"/>
        </w:rPr>
      </w:pPr>
    </w:p>
    <w:p w14:paraId="1856A0F4" w14:textId="77777777" w:rsidR="00E072B2" w:rsidRPr="007A0E81" w:rsidRDefault="00E072B2" w:rsidP="00E072B2">
      <w:pPr>
        <w:widowControl w:val="0"/>
        <w:autoSpaceDE w:val="0"/>
        <w:autoSpaceDN w:val="0"/>
        <w:spacing w:after="0" w:line="276" w:lineRule="auto"/>
        <w:jc w:val="both"/>
        <w:rPr>
          <w:rFonts w:ascii="Verdana" w:eastAsia="Calibri" w:hAnsi="Verdana" w:cs="Arial"/>
          <w:lang w:val="es-ES_tradnl"/>
        </w:rPr>
      </w:pPr>
      <w:r w:rsidRPr="007A0E81">
        <w:rPr>
          <w:rFonts w:ascii="Verdana" w:eastAsia="Calibri" w:hAnsi="Verdana" w:cs="Arial"/>
        </w:rPr>
        <w:lastRenderedPageBreak/>
        <w:t>Este concepto tiene el alcance previsto en el artículo 28 del Código de Procedimiento Administrativo y de lo Contencioso Administrativo.</w:t>
      </w:r>
    </w:p>
    <w:p w14:paraId="4E697400" w14:textId="77777777" w:rsidR="00E072B2" w:rsidRPr="007A0E81" w:rsidRDefault="00E072B2" w:rsidP="00E072B2">
      <w:pPr>
        <w:widowControl w:val="0"/>
        <w:autoSpaceDE w:val="0"/>
        <w:autoSpaceDN w:val="0"/>
        <w:spacing w:after="0" w:line="276" w:lineRule="auto"/>
        <w:jc w:val="both"/>
        <w:rPr>
          <w:rFonts w:ascii="Verdana" w:eastAsia="Calibri" w:hAnsi="Verdana" w:cs="Arial"/>
        </w:rPr>
      </w:pPr>
    </w:p>
    <w:p w14:paraId="4EED9DEB" w14:textId="77777777" w:rsidR="00800065" w:rsidRDefault="00800065" w:rsidP="00800065">
      <w:pPr>
        <w:spacing w:after="0" w:line="276" w:lineRule="auto"/>
        <w:rPr>
          <w:rFonts w:ascii="Verdana" w:eastAsia="Times New Roman" w:hAnsi="Verdana" w:cs="Arial"/>
          <w:lang w:eastAsia="es-CO"/>
        </w:rPr>
      </w:pPr>
    </w:p>
    <w:p w14:paraId="502FFF40" w14:textId="7DCA24AB" w:rsidR="00E072B2" w:rsidRDefault="00E072B2" w:rsidP="00800065">
      <w:pPr>
        <w:spacing w:after="0" w:line="276" w:lineRule="auto"/>
        <w:rPr>
          <w:rFonts w:ascii="Verdana" w:hAnsi="Verdana" w:cs="Arial"/>
          <w:color w:val="000000"/>
          <w:lang w:val="es-ES_tradnl" w:eastAsia="es-CO"/>
        </w:rPr>
      </w:pPr>
      <w:r w:rsidRPr="007A0E81">
        <w:rPr>
          <w:rFonts w:ascii="Verdana" w:eastAsia="Times New Roman" w:hAnsi="Verdana" w:cs="Arial"/>
          <w:lang w:eastAsia="es-CO"/>
        </w:rPr>
        <w:t>Atentamente,</w:t>
      </w:r>
      <w:r w:rsidRPr="007A0E81">
        <w:rPr>
          <w:rFonts w:ascii="Verdana" w:hAnsi="Verdana" w:cs="Arial"/>
          <w:lang w:eastAsia="es-CO"/>
        </w:rPr>
        <w:t xml:space="preserve"> </w:t>
      </w:r>
      <w:r w:rsidR="00800065" w:rsidRPr="00800065">
        <w:rPr>
          <w:rFonts w:ascii="Verdana" w:hAnsi="Verdana" w:cs="Arial"/>
          <w:noProof/>
          <w:color w:val="000000"/>
          <w:lang w:eastAsia="es-CO"/>
        </w:rPr>
        <w:drawing>
          <wp:inline distT="0" distB="0" distL="0" distR="0" wp14:anchorId="057FD7A6" wp14:editId="23D6AD7C">
            <wp:extent cx="3969107" cy="1706880"/>
            <wp:effectExtent l="0" t="0" r="0" b="7620"/>
            <wp:docPr id="36723491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89805" cy="1715781"/>
                    </a:xfrm>
                    <a:prstGeom prst="rect">
                      <a:avLst/>
                    </a:prstGeom>
                    <a:noFill/>
                    <a:ln>
                      <a:noFill/>
                    </a:ln>
                  </pic:spPr>
                </pic:pic>
              </a:graphicData>
            </a:graphic>
          </wp:inline>
        </w:drawing>
      </w:r>
      <w:r w:rsidR="00800065" w:rsidRPr="00800065">
        <w:rPr>
          <w:rFonts w:ascii="Verdana" w:hAnsi="Verdana" w:cs="Arial"/>
          <w:color w:val="000000"/>
          <w:lang w:eastAsia="es-CO"/>
        </w:rPr>
        <w:br/>
      </w:r>
    </w:p>
    <w:p w14:paraId="5C8B73FC" w14:textId="77777777" w:rsidR="003C408E" w:rsidRDefault="003C408E" w:rsidP="00285011">
      <w:pPr>
        <w:spacing w:after="0" w:line="240" w:lineRule="auto"/>
        <w:jc w:val="center"/>
        <w:rPr>
          <w:rFonts w:ascii="Verdana" w:hAnsi="Verdana" w:cs="Arial"/>
          <w:color w:val="000000"/>
          <w:lang w:val="es-ES_tradnl" w:eastAsia="es-CO"/>
        </w:rPr>
      </w:pPr>
    </w:p>
    <w:p w14:paraId="6A19FCAB" w14:textId="77777777" w:rsidR="003C408E" w:rsidRDefault="003C408E" w:rsidP="00285011">
      <w:pPr>
        <w:spacing w:after="0" w:line="240"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072B2" w:rsidRPr="007A0E81" w14:paraId="547B9961" w14:textId="77777777" w:rsidTr="00502B69">
        <w:trPr>
          <w:trHeight w:val="315"/>
        </w:trPr>
        <w:tc>
          <w:tcPr>
            <w:tcW w:w="893" w:type="dxa"/>
            <w:vAlign w:val="center"/>
            <w:hideMark/>
          </w:tcPr>
          <w:p w14:paraId="6B99776A" w14:textId="77777777" w:rsidR="00E072B2" w:rsidRPr="007A0E81" w:rsidRDefault="00E072B2" w:rsidP="00285011">
            <w:pPr>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798714F1" w14:textId="77777777" w:rsidR="00E072B2" w:rsidRPr="007A0E81" w:rsidRDefault="00E072B2" w:rsidP="00285011">
            <w:pPr>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4E3B5012" w14:textId="77777777" w:rsidR="00E072B2" w:rsidRPr="007A0E81" w:rsidRDefault="00E072B2" w:rsidP="00285011">
            <w:pPr>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E072B2" w:rsidRPr="007A0E81" w14:paraId="20A85A22" w14:textId="77777777" w:rsidTr="00502B69">
        <w:trPr>
          <w:trHeight w:val="330"/>
        </w:trPr>
        <w:tc>
          <w:tcPr>
            <w:tcW w:w="893" w:type="dxa"/>
            <w:vAlign w:val="center"/>
            <w:hideMark/>
          </w:tcPr>
          <w:p w14:paraId="24B80C16" w14:textId="77777777" w:rsidR="00E072B2" w:rsidRPr="007A0E81" w:rsidRDefault="00E072B2" w:rsidP="00285011">
            <w:pPr>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3B46668" w14:textId="77777777" w:rsidR="00E072B2" w:rsidRPr="007A0E81" w:rsidRDefault="00E072B2" w:rsidP="00285011">
            <w:pPr>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7AC98961" w14:textId="77777777" w:rsidR="00E072B2" w:rsidRPr="007A0E81" w:rsidRDefault="00E072B2" w:rsidP="00285011">
            <w:pPr>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E072B2" w:rsidRPr="007A0E81" w14:paraId="2D411D76" w14:textId="77777777" w:rsidTr="00502B69">
        <w:trPr>
          <w:trHeight w:val="300"/>
        </w:trPr>
        <w:tc>
          <w:tcPr>
            <w:tcW w:w="893" w:type="dxa"/>
            <w:vAlign w:val="center"/>
          </w:tcPr>
          <w:p w14:paraId="7596829F" w14:textId="77777777" w:rsidR="00E072B2" w:rsidRPr="007A0E81" w:rsidRDefault="00E072B2" w:rsidP="00285011">
            <w:pPr>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A1DF76A" w14:textId="77777777" w:rsidR="00E072B2" w:rsidRPr="007A0E81" w:rsidRDefault="00E072B2" w:rsidP="00285011">
            <w:pPr>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Carolina Quintero </w:t>
            </w:r>
            <w:proofErr w:type="spellStart"/>
            <w:r w:rsidRPr="007A0E81">
              <w:rPr>
                <w:rFonts w:ascii="Verdana" w:eastAsia="Times New Roman" w:hAnsi="Verdana" w:cs="Arial"/>
                <w:color w:val="000000"/>
                <w:sz w:val="16"/>
                <w:szCs w:val="16"/>
              </w:rPr>
              <w:t>Gacharná</w:t>
            </w:r>
            <w:proofErr w:type="spellEnd"/>
          </w:p>
          <w:p w14:paraId="5AA9557A" w14:textId="77777777" w:rsidR="00E072B2" w:rsidRPr="007A0E81" w:rsidRDefault="00E072B2" w:rsidP="00285011">
            <w:pPr>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bookmarkEnd w:id="0"/>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800065">
      <w:headerReference w:type="default" r:id="rId19"/>
      <w:footerReference w:type="default" r:id="rId20"/>
      <w:pgSz w:w="12240" w:h="15840" w:code="1"/>
      <w:pgMar w:top="1417" w:right="1701" w:bottom="1417" w:left="1701" w:header="709" w:footer="8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563ED" w14:textId="77777777" w:rsidR="00FD541A" w:rsidRDefault="00FD541A" w:rsidP="004A1847">
      <w:pPr>
        <w:spacing w:after="0" w:line="240" w:lineRule="auto"/>
      </w:pPr>
      <w:r>
        <w:separator/>
      </w:r>
    </w:p>
  </w:endnote>
  <w:endnote w:type="continuationSeparator" w:id="0">
    <w:p w14:paraId="19352255" w14:textId="77777777" w:rsidR="00FD541A" w:rsidRDefault="00FD541A" w:rsidP="004A1847">
      <w:pPr>
        <w:spacing w:after="0" w:line="240" w:lineRule="auto"/>
      </w:pPr>
      <w:r>
        <w:continuationSeparator/>
      </w:r>
    </w:p>
  </w:endnote>
  <w:endnote w:type="continuationNotice" w:id="1">
    <w:p w14:paraId="1BC162A2" w14:textId="77777777" w:rsidR="00FD541A" w:rsidRDefault="00FD54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8AEDC" w14:textId="77777777" w:rsidR="00FD541A" w:rsidRDefault="00FD541A" w:rsidP="004A1847">
      <w:pPr>
        <w:spacing w:after="0" w:line="240" w:lineRule="auto"/>
      </w:pPr>
      <w:r>
        <w:separator/>
      </w:r>
    </w:p>
  </w:footnote>
  <w:footnote w:type="continuationSeparator" w:id="0">
    <w:p w14:paraId="2D84099D" w14:textId="77777777" w:rsidR="00FD541A" w:rsidRDefault="00FD541A" w:rsidP="004A1847">
      <w:pPr>
        <w:spacing w:after="0" w:line="240" w:lineRule="auto"/>
      </w:pPr>
      <w:r>
        <w:continuationSeparator/>
      </w:r>
    </w:p>
  </w:footnote>
  <w:footnote w:type="continuationNotice" w:id="1">
    <w:p w14:paraId="4C908D10" w14:textId="77777777" w:rsidR="00FD541A" w:rsidRDefault="00FD54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145439158"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40664165" name="Imagen 4066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FEF7F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68525734" o:spid="_x0000_i1025" type="#_x0000_t75" style="width:11.25pt;height:11.25pt;visibility:visible;mso-wrap-style:square">
            <v:imagedata r:id="rId1" o:title=""/>
          </v:shape>
        </w:pict>
      </mc:Choice>
      <mc:Fallback>
        <w:drawing>
          <wp:inline distT="0" distB="0" distL="0" distR="0" wp14:anchorId="5AF5B405" wp14:editId="1F080DC4">
            <wp:extent cx="142875" cy="142875"/>
            <wp:effectExtent l="0" t="0" r="0" b="0"/>
            <wp:docPr id="1868525734" name="Imagen 186852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C3FD3"/>
    <w:multiLevelType w:val="hybridMultilevel"/>
    <w:tmpl w:val="F828E270"/>
    <w:lvl w:ilvl="0" w:tplc="B1A45D62">
      <w:start w:val="1"/>
      <w:numFmt w:val="lowerLetter"/>
      <w:lvlText w:val="%1."/>
      <w:lvlJc w:val="left"/>
      <w:pPr>
        <w:ind w:left="1068" w:hanging="360"/>
      </w:pPr>
      <w:rPr>
        <w:rFonts w:eastAsia="Times New Roman" w:cs="Arial"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9B30D59"/>
    <w:multiLevelType w:val="multilevel"/>
    <w:tmpl w:val="70B41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20281739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089576">
    <w:abstractNumId w:val="10"/>
  </w:num>
  <w:num w:numId="18" w16cid:durableId="1672247328">
    <w:abstractNumId w:val="11"/>
  </w:num>
  <w:num w:numId="19" w16cid:durableId="16794995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0D6F"/>
    <w:rsid w:val="000C561E"/>
    <w:rsid w:val="000C66FE"/>
    <w:rsid w:val="000D0334"/>
    <w:rsid w:val="000F6486"/>
    <w:rsid w:val="00125105"/>
    <w:rsid w:val="00127233"/>
    <w:rsid w:val="001511A0"/>
    <w:rsid w:val="00162857"/>
    <w:rsid w:val="001B24AB"/>
    <w:rsid w:val="001E4177"/>
    <w:rsid w:val="001F7DC6"/>
    <w:rsid w:val="0020732E"/>
    <w:rsid w:val="00216488"/>
    <w:rsid w:val="00233412"/>
    <w:rsid w:val="00241037"/>
    <w:rsid w:val="002421BB"/>
    <w:rsid w:val="002504BC"/>
    <w:rsid w:val="002571B6"/>
    <w:rsid w:val="0025796E"/>
    <w:rsid w:val="002707A2"/>
    <w:rsid w:val="00273480"/>
    <w:rsid w:val="00285011"/>
    <w:rsid w:val="002951A0"/>
    <w:rsid w:val="002962BC"/>
    <w:rsid w:val="002A093D"/>
    <w:rsid w:val="002A0DD0"/>
    <w:rsid w:val="002A49AC"/>
    <w:rsid w:val="002A64FD"/>
    <w:rsid w:val="002B7A29"/>
    <w:rsid w:val="002B7E79"/>
    <w:rsid w:val="002C7A84"/>
    <w:rsid w:val="002E16A5"/>
    <w:rsid w:val="002E4FD9"/>
    <w:rsid w:val="00322A85"/>
    <w:rsid w:val="00324168"/>
    <w:rsid w:val="00340BD0"/>
    <w:rsid w:val="003434F7"/>
    <w:rsid w:val="003448F4"/>
    <w:rsid w:val="00351FA4"/>
    <w:rsid w:val="00370E26"/>
    <w:rsid w:val="00374F5E"/>
    <w:rsid w:val="00377E3E"/>
    <w:rsid w:val="003A779E"/>
    <w:rsid w:val="003C408E"/>
    <w:rsid w:val="003D0F4D"/>
    <w:rsid w:val="003D1D0F"/>
    <w:rsid w:val="003D5B0D"/>
    <w:rsid w:val="003E0499"/>
    <w:rsid w:val="003E5C04"/>
    <w:rsid w:val="003F3941"/>
    <w:rsid w:val="00406575"/>
    <w:rsid w:val="00410508"/>
    <w:rsid w:val="00414C74"/>
    <w:rsid w:val="004162AC"/>
    <w:rsid w:val="00417B6C"/>
    <w:rsid w:val="0042722E"/>
    <w:rsid w:val="0044528D"/>
    <w:rsid w:val="0047608F"/>
    <w:rsid w:val="00495F65"/>
    <w:rsid w:val="00495F91"/>
    <w:rsid w:val="004A1847"/>
    <w:rsid w:val="004A305D"/>
    <w:rsid w:val="004C0696"/>
    <w:rsid w:val="004D641D"/>
    <w:rsid w:val="004F21C4"/>
    <w:rsid w:val="004F685F"/>
    <w:rsid w:val="0050297B"/>
    <w:rsid w:val="0050332A"/>
    <w:rsid w:val="00506ED6"/>
    <w:rsid w:val="005071D9"/>
    <w:rsid w:val="005203ED"/>
    <w:rsid w:val="00555980"/>
    <w:rsid w:val="005566E8"/>
    <w:rsid w:val="00574867"/>
    <w:rsid w:val="00591460"/>
    <w:rsid w:val="0059697E"/>
    <w:rsid w:val="005B3816"/>
    <w:rsid w:val="005C3777"/>
    <w:rsid w:val="005C5CDC"/>
    <w:rsid w:val="005D476C"/>
    <w:rsid w:val="006219F8"/>
    <w:rsid w:val="00665D70"/>
    <w:rsid w:val="00680BE8"/>
    <w:rsid w:val="006900D9"/>
    <w:rsid w:val="006B25C6"/>
    <w:rsid w:val="006B6D5B"/>
    <w:rsid w:val="006C2B97"/>
    <w:rsid w:val="006D2B5F"/>
    <w:rsid w:val="006E151A"/>
    <w:rsid w:val="006E49A9"/>
    <w:rsid w:val="00706C16"/>
    <w:rsid w:val="00706DA4"/>
    <w:rsid w:val="0071597D"/>
    <w:rsid w:val="00723962"/>
    <w:rsid w:val="00756841"/>
    <w:rsid w:val="007649AB"/>
    <w:rsid w:val="00767705"/>
    <w:rsid w:val="0077084E"/>
    <w:rsid w:val="00771D0C"/>
    <w:rsid w:val="007833AC"/>
    <w:rsid w:val="007A60C7"/>
    <w:rsid w:val="007B268C"/>
    <w:rsid w:val="007B7171"/>
    <w:rsid w:val="007C0C0F"/>
    <w:rsid w:val="007C3DC2"/>
    <w:rsid w:val="007C5A1B"/>
    <w:rsid w:val="007D38F8"/>
    <w:rsid w:val="007E5497"/>
    <w:rsid w:val="007F3F8C"/>
    <w:rsid w:val="00800065"/>
    <w:rsid w:val="00806F5F"/>
    <w:rsid w:val="00820278"/>
    <w:rsid w:val="00824AD3"/>
    <w:rsid w:val="008355A3"/>
    <w:rsid w:val="008508FE"/>
    <w:rsid w:val="00867F95"/>
    <w:rsid w:val="008843B6"/>
    <w:rsid w:val="00891928"/>
    <w:rsid w:val="008A01CF"/>
    <w:rsid w:val="008A446D"/>
    <w:rsid w:val="008D180B"/>
    <w:rsid w:val="008E61F0"/>
    <w:rsid w:val="008F0EA7"/>
    <w:rsid w:val="009148E8"/>
    <w:rsid w:val="00923EEF"/>
    <w:rsid w:val="00930059"/>
    <w:rsid w:val="0093064C"/>
    <w:rsid w:val="009419F9"/>
    <w:rsid w:val="0095685E"/>
    <w:rsid w:val="00961B09"/>
    <w:rsid w:val="00965334"/>
    <w:rsid w:val="0097093E"/>
    <w:rsid w:val="00986AC5"/>
    <w:rsid w:val="009A0DFA"/>
    <w:rsid w:val="009A6D04"/>
    <w:rsid w:val="009B2D26"/>
    <w:rsid w:val="009C258B"/>
    <w:rsid w:val="009C71FA"/>
    <w:rsid w:val="009C72E7"/>
    <w:rsid w:val="009D188B"/>
    <w:rsid w:val="009D3058"/>
    <w:rsid w:val="009E1C5F"/>
    <w:rsid w:val="009E513B"/>
    <w:rsid w:val="009F3A13"/>
    <w:rsid w:val="00A122D3"/>
    <w:rsid w:val="00A12973"/>
    <w:rsid w:val="00A17F13"/>
    <w:rsid w:val="00A20739"/>
    <w:rsid w:val="00A25C80"/>
    <w:rsid w:val="00A33C78"/>
    <w:rsid w:val="00A77102"/>
    <w:rsid w:val="00AB0ADB"/>
    <w:rsid w:val="00B01B1A"/>
    <w:rsid w:val="00B045D4"/>
    <w:rsid w:val="00B1038F"/>
    <w:rsid w:val="00B22D13"/>
    <w:rsid w:val="00B66319"/>
    <w:rsid w:val="00B72CD3"/>
    <w:rsid w:val="00B72FFF"/>
    <w:rsid w:val="00B96F9B"/>
    <w:rsid w:val="00BB3C0E"/>
    <w:rsid w:val="00BB5951"/>
    <w:rsid w:val="00BC3D36"/>
    <w:rsid w:val="00BD7F72"/>
    <w:rsid w:val="00BE5D5E"/>
    <w:rsid w:val="00C011BF"/>
    <w:rsid w:val="00C04FB3"/>
    <w:rsid w:val="00C22F88"/>
    <w:rsid w:val="00C249E4"/>
    <w:rsid w:val="00C330EB"/>
    <w:rsid w:val="00C41061"/>
    <w:rsid w:val="00C754BE"/>
    <w:rsid w:val="00C76B1C"/>
    <w:rsid w:val="00CA1B2D"/>
    <w:rsid w:val="00CA1B95"/>
    <w:rsid w:val="00CB6357"/>
    <w:rsid w:val="00CC1B26"/>
    <w:rsid w:val="00CC609E"/>
    <w:rsid w:val="00D21B47"/>
    <w:rsid w:val="00D423A2"/>
    <w:rsid w:val="00D520D8"/>
    <w:rsid w:val="00D63AC2"/>
    <w:rsid w:val="00D7383B"/>
    <w:rsid w:val="00D805FA"/>
    <w:rsid w:val="00DA231B"/>
    <w:rsid w:val="00DC39FC"/>
    <w:rsid w:val="00DF40E4"/>
    <w:rsid w:val="00DF5254"/>
    <w:rsid w:val="00E072B2"/>
    <w:rsid w:val="00E16408"/>
    <w:rsid w:val="00E20894"/>
    <w:rsid w:val="00E245AB"/>
    <w:rsid w:val="00E2764C"/>
    <w:rsid w:val="00E27F2E"/>
    <w:rsid w:val="00E501A8"/>
    <w:rsid w:val="00E50AFE"/>
    <w:rsid w:val="00E6538E"/>
    <w:rsid w:val="00E75C92"/>
    <w:rsid w:val="00E771DC"/>
    <w:rsid w:val="00E77D04"/>
    <w:rsid w:val="00E84959"/>
    <w:rsid w:val="00E8772A"/>
    <w:rsid w:val="00E90F6B"/>
    <w:rsid w:val="00E91A3D"/>
    <w:rsid w:val="00E9268E"/>
    <w:rsid w:val="00E92C27"/>
    <w:rsid w:val="00E96821"/>
    <w:rsid w:val="00EA0E3D"/>
    <w:rsid w:val="00EC38A7"/>
    <w:rsid w:val="00ED7384"/>
    <w:rsid w:val="00EE1853"/>
    <w:rsid w:val="00EE1AA8"/>
    <w:rsid w:val="00EE4201"/>
    <w:rsid w:val="00F0291C"/>
    <w:rsid w:val="00F23A00"/>
    <w:rsid w:val="00F31EDC"/>
    <w:rsid w:val="00F337E8"/>
    <w:rsid w:val="00F462B3"/>
    <w:rsid w:val="00F5664F"/>
    <w:rsid w:val="00F666C4"/>
    <w:rsid w:val="00F76AFC"/>
    <w:rsid w:val="00FA47C0"/>
    <w:rsid w:val="00FB2D72"/>
    <w:rsid w:val="00FB5DD1"/>
    <w:rsid w:val="00FC0E0C"/>
    <w:rsid w:val="00FC2B5D"/>
    <w:rsid w:val="00FD541A"/>
    <w:rsid w:val="00FF1449"/>
    <w:rsid w:val="00FF4A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072B2"/>
    <w:pPr>
      <w:spacing w:line="240" w:lineRule="exact"/>
    </w:pPr>
    <w:rPr>
      <w:vertAlign w:val="superscript"/>
    </w:rPr>
  </w:style>
  <w:style w:type="table" w:customStyle="1" w:styleId="Tablaconcuadrcula1">
    <w:name w:val="Tabla con cuadrícula1"/>
    <w:basedOn w:val="Tablanormal"/>
    <w:next w:val="Tablaconcuadrcula"/>
    <w:uiPriority w:val="39"/>
    <w:qFormat/>
    <w:rsid w:val="00E07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072B2"/>
    <w:rPr>
      <w:rFonts w:ascii="Geomanist Light" w:hAnsi="Geomanist Light"/>
      <w:lang w:val="es-ES"/>
    </w:rPr>
  </w:style>
  <w:style w:type="paragraph" w:styleId="Textoindependiente">
    <w:name w:val="Body Text"/>
    <w:basedOn w:val="Normal"/>
    <w:link w:val="TextoindependienteCar"/>
    <w:uiPriority w:val="1"/>
    <w:qFormat/>
    <w:rsid w:val="00E072B2"/>
    <w:pPr>
      <w:widowControl w:val="0"/>
      <w:autoSpaceDE w:val="0"/>
      <w:autoSpaceDN w:val="0"/>
      <w:spacing w:after="0" w:line="240" w:lineRule="auto"/>
    </w:pPr>
    <w:rPr>
      <w:rFonts w:ascii="Arial" w:eastAsia="Arial" w:hAnsi="Arial" w:cs="Arial"/>
      <w:lang w:val="es-ES"/>
      <w14:ligatures w14:val="standardContextual"/>
    </w:rPr>
  </w:style>
  <w:style w:type="character" w:customStyle="1" w:styleId="TextoindependienteCar">
    <w:name w:val="Texto independiente Car"/>
    <w:basedOn w:val="Fuentedeprrafopredeter"/>
    <w:link w:val="Textoindependiente"/>
    <w:uiPriority w:val="1"/>
    <w:rsid w:val="00E072B2"/>
    <w:rPr>
      <w:rFonts w:ascii="Arial" w:eastAsia="Arial" w:hAnsi="Arial" w:cs="Arial"/>
      <w:lang w:val="es-ES"/>
      <w14:ligatures w14:val="standardContextual"/>
    </w:rPr>
  </w:style>
  <w:style w:type="character" w:customStyle="1" w:styleId="NormalWebCar">
    <w:name w:val="Normal (Web) Car"/>
    <w:link w:val="NormalWeb"/>
    <w:uiPriority w:val="99"/>
    <w:rsid w:val="00E072B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relatoria.colombiacompra.gov.co/"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4A15A5C-AB91-4C5C-9F88-046509F4DB28}">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478F77FB-E621-4345-B003-C95F9A417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9077</Words>
  <Characters>49927</Characters>
  <Application>Microsoft Office Word</Application>
  <DocSecurity>0</DocSecurity>
  <Lines>416</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2025-04-02T15:07:00Z</dcterms:created>
  <dcterms:modified xsi:type="dcterms:W3CDTF">2025-04-02T17:13:00Z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