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95146" w:rsidR="00795146" w:rsidP="00795146" w:rsidRDefault="00795146" w14:paraId="2885A9AF" w14:textId="77777777">
      <w:pPr>
        <w:spacing w:after="0" w:line="240" w:lineRule="auto"/>
        <w:rPr>
          <w:rFonts w:ascii="Century Gothic" w:hAnsi="Century Gothic" w:eastAsia="Calibri" w:cs="Arial"/>
          <w:b/>
          <w:lang w:val="es-MX" w:eastAsia="es-ES_tradnl"/>
        </w:rPr>
      </w:pPr>
      <w:bookmarkStart w:name="_Hlk94281581" w:id="0"/>
      <w:bookmarkStart w:name="_Hlk102489058" w:id="1"/>
      <w:bookmarkStart w:name="_Hlk34951122" w:id="2"/>
      <w:r w:rsidRPr="00795146">
        <w:rPr>
          <w:rFonts w:ascii="Century Gothic" w:hAnsi="Century Gothic" w:eastAsia="Calibri" w:cs="Arial"/>
          <w:b/>
          <w:lang w:val="es-MX" w:eastAsia="es-ES_tradnl"/>
        </w:rPr>
        <w:t>INHABILIDADES – Definición – Finalidad – Limitación capacidad contractual</w:t>
      </w:r>
    </w:p>
    <w:p w:rsidRPr="00795146" w:rsidR="00795146" w:rsidP="00795146" w:rsidRDefault="00795146" w14:paraId="2ACB77BE" w14:textId="77777777">
      <w:pPr>
        <w:spacing w:after="0" w:line="240" w:lineRule="auto"/>
        <w:rPr>
          <w:rFonts w:ascii="Century Gothic" w:hAnsi="Century Gothic" w:eastAsia="Calibri" w:cs="Arial"/>
          <w:bCs/>
          <w:sz w:val="20"/>
          <w:szCs w:val="20"/>
          <w:lang w:val="es-MX" w:eastAsia="es-ES_tradnl"/>
        </w:rPr>
      </w:pPr>
    </w:p>
    <w:p w:rsidRPr="00795146" w:rsidR="00795146" w:rsidP="00795146" w:rsidRDefault="00795146" w14:paraId="5ABD6D58" w14:textId="77777777">
      <w:pPr>
        <w:spacing w:after="0" w:line="240" w:lineRule="auto"/>
        <w:jc w:val="both"/>
        <w:rPr>
          <w:rFonts w:ascii="Century Gothic" w:hAnsi="Century Gothic" w:eastAsia="Geomanist Light" w:cs="Arial"/>
          <w:color w:val="000000" w:themeColor="text1"/>
          <w:sz w:val="20"/>
          <w:szCs w:val="20"/>
          <w:lang w:val="es-MX"/>
        </w:rPr>
      </w:pPr>
      <w:r w:rsidRPr="00795146">
        <w:rPr>
          <w:rFonts w:ascii="Century Gothic" w:hAnsi="Century Gothic" w:eastAsia="Geomanist Light" w:cs="Arial"/>
          <w:color w:val="000000" w:themeColor="text1"/>
          <w:sz w:val="20"/>
          <w:szCs w:val="20"/>
          <w:lang w:val="es-MX"/>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p>
    <w:p w:rsidRPr="00795146" w:rsidR="00795146" w:rsidP="00795146" w:rsidRDefault="00795146" w14:paraId="3018A116" w14:textId="77777777">
      <w:pPr>
        <w:spacing w:after="0" w:line="240" w:lineRule="auto"/>
        <w:jc w:val="both"/>
        <w:rPr>
          <w:rFonts w:ascii="Century Gothic" w:hAnsi="Century Gothic" w:eastAsia="Geomanist Light" w:cs="Arial"/>
          <w:color w:val="000000" w:themeColor="text1"/>
          <w:sz w:val="20"/>
          <w:szCs w:val="20"/>
          <w:lang w:val="es-MX"/>
        </w:rPr>
      </w:pPr>
    </w:p>
    <w:p w:rsidRPr="00795146" w:rsidR="00795146" w:rsidP="00795146" w:rsidRDefault="00795146" w14:paraId="3BE893D9" w14:textId="77777777">
      <w:pPr>
        <w:spacing w:after="0" w:line="240" w:lineRule="auto"/>
        <w:jc w:val="both"/>
        <w:rPr>
          <w:rFonts w:ascii="Century Gothic" w:hAnsi="Century Gothic" w:eastAsia="Calibri" w:cs="Arial"/>
          <w:b/>
          <w:lang w:val="es-MX" w:eastAsia="es-ES_tradnl"/>
        </w:rPr>
      </w:pPr>
      <w:r w:rsidRPr="00795146">
        <w:rPr>
          <w:rFonts w:ascii="Century Gothic" w:hAnsi="Century Gothic" w:eastAsia="Calibri" w:cs="Arial"/>
          <w:b/>
          <w:lang w:val="es-MX" w:eastAsia="es-ES_tradnl"/>
        </w:rPr>
        <w:t>CONTRATACIÓN ESTATAL – Capacidad – Validez contratos – Régimen de contratación – Inscripción – Limitación de la capacidad</w:t>
      </w:r>
    </w:p>
    <w:p w:rsidRPr="00795146" w:rsidR="00795146" w:rsidP="00795146" w:rsidRDefault="00795146" w14:paraId="647CB0EA" w14:textId="77777777">
      <w:pPr>
        <w:spacing w:after="0" w:line="240" w:lineRule="auto"/>
        <w:jc w:val="both"/>
        <w:rPr>
          <w:rFonts w:ascii="Century Gothic" w:hAnsi="Century Gothic" w:eastAsia="Calibri" w:cs="Arial"/>
          <w:bCs/>
          <w:sz w:val="20"/>
          <w:szCs w:val="20"/>
          <w:lang w:val="es-MX" w:eastAsia="es-ES_tradnl"/>
        </w:rPr>
      </w:pPr>
    </w:p>
    <w:p w:rsidRPr="00795146" w:rsidR="00795146" w:rsidP="00795146" w:rsidRDefault="00795146" w14:paraId="1E9BECFB" w14:textId="77777777">
      <w:pPr>
        <w:spacing w:after="0" w:line="240" w:lineRule="auto"/>
        <w:jc w:val="both"/>
        <w:rPr>
          <w:rFonts w:ascii="Century Gothic" w:hAnsi="Century Gothic" w:eastAsia="Calibri" w:cs="Arial"/>
          <w:bCs/>
          <w:sz w:val="20"/>
          <w:szCs w:val="20"/>
          <w:lang w:val="es-MX" w:eastAsia="es-ES_tradnl"/>
        </w:rPr>
      </w:pPr>
      <w:r w:rsidRPr="00795146">
        <w:rPr>
          <w:rFonts w:ascii="Century Gothic" w:hAnsi="Century Gothic" w:eastAsia="Calibri" w:cs="Arial"/>
          <w:bCs/>
          <w:sz w:val="20"/>
          <w:szCs w:val="20"/>
          <w:lang w:val="es-MX" w:eastAsia="es-ES_tradnl"/>
        </w:rPr>
        <w:t>[…] 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 se destaca el régimen de inhabilidades e incompatibilidades como un conjunto de normas que imponen restricciones para los sujetos que, eventualmente, pretendan participar en los procedimientos de selección o celebrar contratos con las entidades estatales.</w:t>
      </w:r>
    </w:p>
    <w:p w:rsidRPr="00795146" w:rsidR="00795146" w:rsidP="00795146" w:rsidRDefault="00795146" w14:paraId="5EDF2935" w14:textId="77777777">
      <w:pPr>
        <w:spacing w:after="0" w:line="240" w:lineRule="auto"/>
        <w:jc w:val="both"/>
        <w:rPr>
          <w:rFonts w:ascii="Century Gothic" w:hAnsi="Century Gothic" w:eastAsia="Calibri" w:cs="Arial"/>
          <w:bCs/>
          <w:sz w:val="20"/>
          <w:szCs w:val="20"/>
          <w:lang w:val="es-MX" w:eastAsia="es-ES_tradnl"/>
        </w:rPr>
      </w:pPr>
    </w:p>
    <w:p w:rsidRPr="00795146" w:rsidR="00795146" w:rsidP="00795146" w:rsidRDefault="00795146" w14:paraId="323CAFCB" w14:textId="77777777">
      <w:pPr>
        <w:spacing w:after="0" w:line="240" w:lineRule="auto"/>
        <w:jc w:val="both"/>
        <w:rPr>
          <w:rFonts w:ascii="Century Gothic" w:hAnsi="Century Gothic" w:eastAsia="Calibri" w:cs="Arial"/>
          <w:bCs/>
          <w:sz w:val="20"/>
          <w:szCs w:val="20"/>
          <w:lang w:val="es-MX" w:eastAsia="es-ES_tradnl"/>
        </w:rPr>
      </w:pPr>
      <w:r w:rsidRPr="00795146">
        <w:rPr>
          <w:rFonts w:ascii="Century Gothic" w:hAnsi="Century Gothic" w:eastAsia="Calibri" w:cs="Arial"/>
          <w:bCs/>
          <w:sz w:val="20"/>
          <w:szCs w:val="20"/>
          <w:lang w:val="es-MX" w:eastAsia="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795146">
        <w:rPr>
          <w:rFonts w:ascii="Century Gothic" w:hAnsi="Century Gothic" w:eastAsia="Calibri" w:cs="Arial"/>
          <w:bCs/>
          <w:sz w:val="20"/>
          <w:szCs w:val="20"/>
          <w:lang w:val="es-MX" w:eastAsia="es-ES_tradnl"/>
        </w:rPr>
        <w:t>ii</w:t>
      </w:r>
      <w:proofErr w:type="spellEnd"/>
      <w:r w:rsidRPr="00795146">
        <w:rPr>
          <w:rFonts w:ascii="Century Gothic" w:hAnsi="Century Gothic" w:eastAsia="Calibri" w:cs="Arial"/>
          <w:bCs/>
          <w:sz w:val="20"/>
          <w:szCs w:val="20"/>
          <w:lang w:val="es-MX" w:eastAsia="es-ES_tradnl"/>
        </w:rPr>
        <w:t xml:space="preserve">) de vínculos personales relativos al parentesco o al estado civil o </w:t>
      </w:r>
      <w:proofErr w:type="spellStart"/>
      <w:r w:rsidRPr="00795146">
        <w:rPr>
          <w:rFonts w:ascii="Century Gothic" w:hAnsi="Century Gothic" w:eastAsia="Calibri" w:cs="Arial"/>
          <w:bCs/>
          <w:sz w:val="20"/>
          <w:szCs w:val="20"/>
          <w:lang w:val="es-MX" w:eastAsia="es-ES_tradnl"/>
        </w:rPr>
        <w:t>iii</w:t>
      </w:r>
      <w:proofErr w:type="spellEnd"/>
      <w:r w:rsidRPr="00795146">
        <w:rPr>
          <w:rFonts w:ascii="Century Gothic" w:hAnsi="Century Gothic" w:eastAsia="Calibri" w:cs="Arial"/>
          <w:bCs/>
          <w:sz w:val="20"/>
          <w:szCs w:val="20"/>
          <w:lang w:val="es-MX" w:eastAsia="es-ES_tradnl"/>
        </w:rPr>
        <w:t xml:space="preserve">)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w:t>
      </w:r>
      <w:r w:rsidRPr="00795146">
        <w:rPr>
          <w:rFonts w:ascii="Century Gothic" w:hAnsi="Century Gothic" w:eastAsia="Calibri" w:cs="Arial"/>
          <w:bCs/>
          <w:sz w:val="20"/>
          <w:szCs w:val="20"/>
          <w:lang w:val="es-MX" w:eastAsia="es-ES_tradnl"/>
        </w:rPr>
        <w:t>selección de las entidades estatales, por lo que de cualquiera de ellas se derivan los mismos efectos jurídicos.</w:t>
      </w:r>
    </w:p>
    <w:p w:rsidRPr="00795146" w:rsidR="00795146" w:rsidP="00795146" w:rsidRDefault="00795146" w14:paraId="5D30DAE8" w14:textId="77777777">
      <w:pPr>
        <w:spacing w:after="0" w:line="240" w:lineRule="auto"/>
        <w:jc w:val="both"/>
        <w:rPr>
          <w:rFonts w:ascii="Century Gothic" w:hAnsi="Century Gothic" w:eastAsia="Geomanist Light" w:cs="Arial"/>
          <w:color w:val="000000" w:themeColor="text1"/>
          <w:sz w:val="20"/>
          <w:szCs w:val="20"/>
          <w:lang w:val="es-MX"/>
        </w:rPr>
      </w:pPr>
    </w:p>
    <w:p w:rsidRPr="00795146" w:rsidR="00795146" w:rsidP="00795146" w:rsidRDefault="00795146" w14:paraId="364AE028" w14:textId="77777777">
      <w:pPr>
        <w:spacing w:after="0" w:line="240" w:lineRule="auto"/>
        <w:rPr>
          <w:rFonts w:ascii="Century Gothic" w:hAnsi="Century Gothic" w:eastAsia="Calibri" w:cs="Arial"/>
          <w:b/>
          <w:lang w:val="es-MX" w:eastAsia="es-ES_tradnl"/>
        </w:rPr>
      </w:pPr>
      <w:r w:rsidRPr="00795146">
        <w:rPr>
          <w:rFonts w:ascii="Century Gothic" w:hAnsi="Century Gothic" w:eastAsia="Calibri" w:cs="Arial"/>
          <w:b/>
          <w:lang w:val="es-MX" w:eastAsia="es-ES_tradnl"/>
        </w:rPr>
        <w:t>INHABILIDADES – Taxatividad – Principio de legalidad – Interpretación restrictiva</w:t>
      </w:r>
    </w:p>
    <w:p w:rsidRPr="00795146" w:rsidR="00795146" w:rsidP="00795146" w:rsidRDefault="00795146" w14:paraId="71862B41" w14:textId="77777777">
      <w:pPr>
        <w:spacing w:after="0" w:line="240" w:lineRule="auto"/>
        <w:rPr>
          <w:rFonts w:ascii="Century Gothic" w:hAnsi="Century Gothic" w:eastAsia="Calibri" w:cs="Arial"/>
          <w:bCs/>
          <w:sz w:val="20"/>
          <w:szCs w:val="20"/>
          <w:lang w:val="es-MX" w:eastAsia="es-ES_tradnl"/>
        </w:rPr>
      </w:pPr>
    </w:p>
    <w:p w:rsidRPr="00795146" w:rsidR="00795146" w:rsidP="00795146" w:rsidRDefault="00795146" w14:paraId="43365CD1" w14:textId="77777777">
      <w:pPr>
        <w:spacing w:after="0" w:line="240" w:lineRule="auto"/>
        <w:jc w:val="both"/>
        <w:rPr>
          <w:rFonts w:ascii="Century Gothic" w:hAnsi="Century Gothic" w:eastAsia="Calibri" w:cs="Arial"/>
          <w:bCs/>
          <w:sz w:val="20"/>
          <w:szCs w:val="20"/>
          <w:lang w:val="es-MX" w:eastAsia="es-ES_tradnl"/>
        </w:rPr>
      </w:pPr>
      <w:r w:rsidRPr="00795146">
        <w:rPr>
          <w:rFonts w:ascii="Century Gothic" w:hAnsi="Century Gothic" w:eastAsia="Calibri" w:cs="Arial"/>
          <w:bCs/>
          <w:sz w:val="20"/>
          <w:szCs w:val="20"/>
          <w:lang w:val="es-MX" w:eastAsia="es-ES_tradnl"/>
        </w:rPr>
        <w:t>[…]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 En similar sentido, la Sala de Consulta y Servicio Civil del Consejo de Estado expresó que “[…] las causales de inhabilidad e incompatibilidad deben estar expresa y taxativamente establecidas en la Constitución o en la ley y son de aplicación e interpretación restrictivas […]”. En este sentido, como se observa, existe consenso, incluso como lo ha expresado esta Agencia en ocasiones anteriores, que la creación de inhabilidades o incompatibilidades está reservada al constituyente o al legislador.</w:t>
      </w:r>
    </w:p>
    <w:p w:rsidR="00795146" w:rsidP="004E1156" w:rsidRDefault="00795146" w14:paraId="1B50C510" w14:textId="77777777">
      <w:pPr>
        <w:spacing w:after="0"/>
        <w:rPr>
          <w:rFonts w:ascii="Century Gothic" w:hAnsi="Century Gothic" w:eastAsia="Geomanist Light" w:cs="Arial"/>
          <w:color w:val="000000" w:themeColor="text1"/>
          <w:lang w:val="es-MX"/>
        </w:rPr>
      </w:pPr>
    </w:p>
    <w:p w:rsidR="00795146" w:rsidP="004E1156" w:rsidRDefault="00795146" w14:paraId="3CBB23D5" w14:textId="77777777">
      <w:pPr>
        <w:spacing w:after="0"/>
        <w:rPr>
          <w:rFonts w:ascii="Century Gothic" w:hAnsi="Century Gothic" w:eastAsia="Geomanist Light" w:cs="Arial"/>
          <w:color w:val="000000" w:themeColor="text1"/>
          <w:lang w:val="es-MX"/>
        </w:rPr>
      </w:pPr>
    </w:p>
    <w:p w:rsidR="00795146" w:rsidP="004E1156" w:rsidRDefault="00795146" w14:paraId="634038B0" w14:textId="77777777">
      <w:pPr>
        <w:spacing w:after="0"/>
        <w:rPr>
          <w:rFonts w:ascii="Century Gothic" w:hAnsi="Century Gothic" w:eastAsia="Geomanist Light" w:cs="Arial"/>
          <w:color w:val="000000" w:themeColor="text1"/>
          <w:lang w:val="es-MX"/>
        </w:rPr>
      </w:pPr>
    </w:p>
    <w:p w:rsidR="00795146" w:rsidP="004E1156" w:rsidRDefault="00795146" w14:paraId="6DE2E014" w14:textId="77777777">
      <w:pPr>
        <w:spacing w:after="0"/>
        <w:rPr>
          <w:rFonts w:ascii="Century Gothic" w:hAnsi="Century Gothic" w:eastAsia="Geomanist Light" w:cs="Arial"/>
          <w:color w:val="000000" w:themeColor="text1"/>
          <w:lang w:val="es-MX"/>
        </w:rPr>
      </w:pPr>
    </w:p>
    <w:p w:rsidR="00795146" w:rsidP="004E1156" w:rsidRDefault="00795146" w14:paraId="32BDF935" w14:textId="77777777">
      <w:pPr>
        <w:spacing w:after="0"/>
        <w:rPr>
          <w:rFonts w:ascii="Century Gothic" w:hAnsi="Century Gothic" w:eastAsia="Geomanist Light" w:cs="Arial"/>
          <w:color w:val="000000" w:themeColor="text1"/>
          <w:lang w:val="es-MX"/>
        </w:rPr>
      </w:pPr>
    </w:p>
    <w:p w:rsidR="00795146" w:rsidP="004E1156" w:rsidRDefault="00795146" w14:paraId="676742C2" w14:textId="77777777">
      <w:pPr>
        <w:spacing w:after="0"/>
        <w:rPr>
          <w:rFonts w:ascii="Century Gothic" w:hAnsi="Century Gothic" w:eastAsia="Geomanist Light" w:cs="Arial"/>
          <w:color w:val="000000" w:themeColor="text1"/>
          <w:lang w:val="es-MX"/>
        </w:rPr>
      </w:pPr>
    </w:p>
    <w:p w:rsidR="00795146" w:rsidP="004E1156" w:rsidRDefault="00795146" w14:paraId="5FE5B808" w14:textId="77777777">
      <w:pPr>
        <w:spacing w:after="0"/>
        <w:rPr>
          <w:rFonts w:ascii="Century Gothic" w:hAnsi="Century Gothic" w:eastAsia="Geomanist Light" w:cs="Arial"/>
          <w:color w:val="000000" w:themeColor="text1"/>
          <w:lang w:val="es-MX"/>
        </w:rPr>
      </w:pPr>
    </w:p>
    <w:p w:rsidR="00795146" w:rsidP="004E1156" w:rsidRDefault="00795146" w14:paraId="32833693" w14:textId="77777777">
      <w:pPr>
        <w:spacing w:after="0"/>
        <w:rPr>
          <w:rFonts w:ascii="Century Gothic" w:hAnsi="Century Gothic" w:eastAsia="Geomanist Light" w:cs="Arial"/>
          <w:color w:val="000000" w:themeColor="text1"/>
          <w:lang w:val="es-MX"/>
        </w:rPr>
      </w:pPr>
    </w:p>
    <w:p w:rsidR="00795146" w:rsidP="004E1156" w:rsidRDefault="00795146" w14:paraId="75CC020A" w14:textId="77777777">
      <w:pPr>
        <w:spacing w:after="0"/>
        <w:rPr>
          <w:rFonts w:ascii="Century Gothic" w:hAnsi="Century Gothic" w:eastAsia="Geomanist Light" w:cs="Arial"/>
          <w:color w:val="000000" w:themeColor="text1"/>
          <w:lang w:val="es-MX"/>
        </w:rPr>
      </w:pPr>
    </w:p>
    <w:p w:rsidR="00795146" w:rsidP="004E1156" w:rsidRDefault="00795146" w14:paraId="2B38436D" w14:textId="77777777">
      <w:pPr>
        <w:spacing w:after="0"/>
        <w:rPr>
          <w:rFonts w:ascii="Century Gothic" w:hAnsi="Century Gothic" w:eastAsia="Geomanist Light" w:cs="Arial"/>
          <w:color w:val="000000" w:themeColor="text1"/>
          <w:lang w:val="es-MX"/>
        </w:rPr>
      </w:pPr>
    </w:p>
    <w:p w:rsidR="00795146" w:rsidP="004E1156" w:rsidRDefault="00795146" w14:paraId="3E60F35A" w14:textId="77777777">
      <w:pPr>
        <w:spacing w:after="0"/>
        <w:rPr>
          <w:rFonts w:ascii="Century Gothic" w:hAnsi="Century Gothic" w:eastAsia="Geomanist Light" w:cs="Arial"/>
          <w:color w:val="000000" w:themeColor="text1"/>
          <w:lang w:val="es-MX"/>
        </w:rPr>
      </w:pPr>
    </w:p>
    <w:p w:rsidR="00795146" w:rsidP="004E1156" w:rsidRDefault="00795146" w14:paraId="37ABBA8E" w14:textId="77777777">
      <w:pPr>
        <w:spacing w:after="0"/>
        <w:rPr>
          <w:rFonts w:ascii="Century Gothic" w:hAnsi="Century Gothic" w:eastAsia="Geomanist Light" w:cs="Arial"/>
          <w:color w:val="000000" w:themeColor="text1"/>
          <w:lang w:val="es-MX"/>
        </w:rPr>
      </w:pPr>
    </w:p>
    <w:p w:rsidR="00795146" w:rsidP="004E1156" w:rsidRDefault="00795146" w14:paraId="485173A5" w14:textId="77777777">
      <w:pPr>
        <w:spacing w:after="0"/>
        <w:rPr>
          <w:rFonts w:ascii="Century Gothic" w:hAnsi="Century Gothic" w:eastAsia="Geomanist Light" w:cs="Arial"/>
          <w:color w:val="000000" w:themeColor="text1"/>
          <w:lang w:val="es-MX"/>
        </w:rPr>
      </w:pPr>
    </w:p>
    <w:p w:rsidR="00795146" w:rsidP="004E1156" w:rsidRDefault="00795146" w14:paraId="42AE5A21" w14:textId="77777777">
      <w:pPr>
        <w:spacing w:after="0"/>
        <w:rPr>
          <w:rFonts w:ascii="Century Gothic" w:hAnsi="Century Gothic" w:eastAsia="Geomanist Light" w:cs="Arial"/>
          <w:color w:val="000000" w:themeColor="text1"/>
          <w:lang w:val="es-MX"/>
        </w:rPr>
      </w:pPr>
    </w:p>
    <w:p w:rsidR="00795146" w:rsidP="004E1156" w:rsidRDefault="00795146" w14:paraId="4F0D74D3" w14:textId="77777777">
      <w:pPr>
        <w:spacing w:after="0"/>
        <w:rPr>
          <w:rFonts w:ascii="Century Gothic" w:hAnsi="Century Gothic" w:eastAsia="Geomanist Light" w:cs="Arial"/>
          <w:color w:val="000000" w:themeColor="text1"/>
          <w:lang w:val="es-MX"/>
        </w:rPr>
      </w:pPr>
    </w:p>
    <w:p w:rsidR="00795146" w:rsidP="004E1156" w:rsidRDefault="00795146" w14:paraId="2017A1C7" w14:textId="77777777">
      <w:pPr>
        <w:spacing w:after="0"/>
        <w:rPr>
          <w:rFonts w:ascii="Century Gothic" w:hAnsi="Century Gothic" w:eastAsia="Geomanist Light" w:cs="Arial"/>
          <w:color w:val="000000" w:themeColor="text1"/>
          <w:lang w:val="es-MX"/>
        </w:rPr>
      </w:pPr>
    </w:p>
    <w:p w:rsidR="00795146" w:rsidP="004E1156" w:rsidRDefault="00795146" w14:paraId="0C52166A" w14:textId="77777777">
      <w:pPr>
        <w:spacing w:after="0"/>
        <w:rPr>
          <w:rFonts w:ascii="Century Gothic" w:hAnsi="Century Gothic" w:eastAsia="Geomanist Light" w:cs="Arial"/>
          <w:color w:val="000000" w:themeColor="text1"/>
          <w:lang w:val="es-MX"/>
        </w:rPr>
      </w:pPr>
    </w:p>
    <w:p w:rsidR="00795146" w:rsidP="004E1156" w:rsidRDefault="00795146" w14:paraId="6507A956" w14:textId="77777777">
      <w:pPr>
        <w:spacing w:after="0"/>
        <w:rPr>
          <w:rFonts w:ascii="Century Gothic" w:hAnsi="Century Gothic" w:eastAsia="Geomanist Light" w:cs="Arial"/>
          <w:color w:val="000000" w:themeColor="text1"/>
          <w:lang w:val="es-MX"/>
        </w:rPr>
      </w:pPr>
    </w:p>
    <w:p w:rsidR="00795146" w:rsidP="004E1156" w:rsidRDefault="00795146" w14:paraId="5900BD20" w14:textId="77777777">
      <w:pPr>
        <w:spacing w:after="0"/>
        <w:rPr>
          <w:rFonts w:ascii="Century Gothic" w:hAnsi="Century Gothic" w:eastAsia="Geomanist Light" w:cs="Arial"/>
          <w:color w:val="000000" w:themeColor="text1"/>
          <w:lang w:val="es-MX"/>
        </w:rPr>
      </w:pPr>
    </w:p>
    <w:p w:rsidR="00795146" w:rsidP="004E1156" w:rsidRDefault="00795146" w14:paraId="007BED63" w14:textId="77777777">
      <w:pPr>
        <w:spacing w:after="0"/>
        <w:rPr>
          <w:rFonts w:ascii="Century Gothic" w:hAnsi="Century Gothic" w:eastAsia="Geomanist Light" w:cs="Arial"/>
          <w:color w:val="000000" w:themeColor="text1"/>
          <w:lang w:val="es-MX"/>
        </w:rPr>
      </w:pPr>
    </w:p>
    <w:p w:rsidR="00795146" w:rsidP="004E1156" w:rsidRDefault="00795146" w14:paraId="3D4A5442" w14:textId="77777777">
      <w:pPr>
        <w:spacing w:after="0"/>
        <w:rPr>
          <w:rFonts w:ascii="Century Gothic" w:hAnsi="Century Gothic" w:eastAsia="Geomanist Light" w:cs="Arial"/>
          <w:color w:val="000000" w:themeColor="text1"/>
          <w:lang w:val="es-MX"/>
        </w:rPr>
      </w:pPr>
    </w:p>
    <w:p w:rsidR="00795146" w:rsidP="004E1156" w:rsidRDefault="00795146" w14:paraId="7D629621" w14:textId="77777777">
      <w:pPr>
        <w:spacing w:after="0"/>
        <w:rPr>
          <w:rFonts w:ascii="Century Gothic" w:hAnsi="Century Gothic" w:eastAsia="Geomanist Light" w:cs="Arial"/>
          <w:color w:val="000000" w:themeColor="text1"/>
          <w:lang w:val="es-MX"/>
        </w:rPr>
      </w:pPr>
    </w:p>
    <w:p w:rsidR="00795146" w:rsidP="004E1156" w:rsidRDefault="00795146" w14:paraId="3D9FB116" w14:textId="77777777">
      <w:pPr>
        <w:spacing w:after="0"/>
        <w:rPr>
          <w:rFonts w:ascii="Century Gothic" w:hAnsi="Century Gothic" w:eastAsia="Geomanist Light" w:cs="Arial"/>
          <w:color w:val="000000" w:themeColor="text1"/>
          <w:lang w:val="es-MX"/>
        </w:rPr>
      </w:pPr>
    </w:p>
    <w:p w:rsidR="00795146" w:rsidP="004E1156" w:rsidRDefault="00795146" w14:paraId="2AFC198C" w14:textId="77777777">
      <w:pPr>
        <w:spacing w:after="0"/>
        <w:rPr>
          <w:rFonts w:ascii="Century Gothic" w:hAnsi="Century Gothic" w:eastAsia="Geomanist Light" w:cs="Arial"/>
          <w:color w:val="000000" w:themeColor="text1"/>
          <w:lang w:val="es-MX"/>
        </w:rPr>
      </w:pPr>
    </w:p>
    <w:p w:rsidR="00795146" w:rsidP="004E1156" w:rsidRDefault="00795146" w14:paraId="7D9114C3" w14:textId="77777777">
      <w:pPr>
        <w:spacing w:after="0"/>
        <w:rPr>
          <w:rFonts w:ascii="Century Gothic" w:hAnsi="Century Gothic" w:eastAsia="Geomanist Light" w:cs="Arial"/>
          <w:color w:val="000000" w:themeColor="text1"/>
          <w:lang w:val="es-MX"/>
        </w:rPr>
      </w:pPr>
    </w:p>
    <w:p w:rsidR="00795146" w:rsidP="004E1156" w:rsidRDefault="00795146" w14:paraId="5B265093" w14:textId="77777777">
      <w:pPr>
        <w:spacing w:after="0"/>
        <w:rPr>
          <w:rFonts w:ascii="Century Gothic" w:hAnsi="Century Gothic" w:eastAsia="Geomanist Light" w:cs="Arial"/>
          <w:color w:val="000000" w:themeColor="text1"/>
          <w:lang w:val="es-MX"/>
        </w:rPr>
      </w:pPr>
    </w:p>
    <w:p w:rsidRPr="00A12087" w:rsidR="004E1156" w:rsidP="004E1156" w:rsidRDefault="004E1156" w14:paraId="6F6727C3" w14:textId="04A4AE30">
      <w:pPr>
        <w:spacing w:after="0"/>
        <w:rPr>
          <w:rFonts w:ascii="Century Gothic" w:hAnsi="Century Gothic" w:eastAsia="Geomanist Light" w:cs="Arial"/>
          <w:color w:val="201F1E"/>
          <w:lang w:val="es-MX"/>
        </w:rPr>
      </w:pPr>
      <w:r w:rsidRPr="00A12087">
        <w:rPr>
          <w:rFonts w:ascii="Century Gothic" w:hAnsi="Century Gothic" w:eastAsia="Geomanist Light" w:cs="Arial"/>
          <w:color w:val="000000" w:themeColor="text1"/>
          <w:lang w:val="es-MX"/>
        </w:rPr>
        <w:t>Bogotá D.C., </w:t>
      </w:r>
      <w:r w:rsidRPr="00AC7960" w:rsidR="00AC7960">
        <w:rPr>
          <w:rFonts w:ascii="Century Gothic" w:hAnsi="Century Gothic" w:eastAsia="Geomanist Light" w:cs="Arial"/>
          <w:color w:val="201F1E"/>
          <w:lang w:val="es-MX"/>
        </w:rPr>
        <w:t>05 de Julio de 2023</w:t>
      </w:r>
    </w:p>
    <w:p w:rsidR="004E1156" w:rsidP="004E1156" w:rsidRDefault="004E1156" w14:paraId="636D629E" w14:textId="77777777">
      <w:pPr>
        <w:spacing w:after="0"/>
        <w:rPr>
          <w:rFonts w:ascii="Century Gothic" w:hAnsi="Century Gothic" w:eastAsia="Geomanist Light" w:cs="Arial"/>
          <w:color w:val="201F1E"/>
          <w:lang w:val="es-MX"/>
        </w:rPr>
      </w:pPr>
    </w:p>
    <w:p w:rsidRPr="00A12087" w:rsidR="00AC7960" w:rsidP="00AC7960" w:rsidRDefault="00AC7960" w14:paraId="6BF87605" w14:textId="3BDC815E">
      <w:pPr>
        <w:spacing w:after="0"/>
        <w:jc w:val="right"/>
        <w:rPr>
          <w:rFonts w:ascii="Century Gothic" w:hAnsi="Century Gothic" w:eastAsia="Geomanist Light" w:cs="Arial"/>
          <w:color w:val="201F1E"/>
          <w:lang w:val="es-MX"/>
        </w:rPr>
      </w:pPr>
      <w:r>
        <w:rPr>
          <w:rFonts w:ascii="Century Gothic" w:hAnsi="Century Gothic" w:eastAsia="Geomanist Light" w:cs="Arial"/>
          <w:noProof/>
          <w:color w:val="201F1E"/>
          <w:lang w:val="es-MX"/>
        </w:rPr>
        <w:drawing>
          <wp:inline distT="0" distB="0" distL="0" distR="0" wp14:anchorId="10263155" wp14:editId="205A1B78">
            <wp:extent cx="2952750" cy="676275"/>
            <wp:effectExtent l="0" t="0" r="0" b="9525"/>
            <wp:docPr id="693088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2750" cy="676275"/>
                    </a:xfrm>
                    <a:prstGeom prst="rect">
                      <a:avLst/>
                    </a:prstGeom>
                    <a:noFill/>
                    <a:ln>
                      <a:noFill/>
                    </a:ln>
                  </pic:spPr>
                </pic:pic>
              </a:graphicData>
            </a:graphic>
          </wp:inline>
        </w:drawing>
      </w:r>
    </w:p>
    <w:p w:rsidRPr="00A12087" w:rsidR="004E1156" w:rsidP="004E1156" w:rsidRDefault="004E1156" w14:paraId="766D2E1F" w14:textId="77777777">
      <w:pPr>
        <w:spacing w:after="0"/>
        <w:contextualSpacing/>
        <w:jc w:val="both"/>
        <w:rPr>
          <w:rFonts w:ascii="Century Gothic" w:hAnsi="Century Gothic" w:eastAsia="Calibri" w:cs="Arial"/>
          <w:lang w:val="es-ES_tradnl" w:eastAsia="es-ES_tradnl"/>
        </w:rPr>
      </w:pPr>
    </w:p>
    <w:p w:rsidRPr="00A12087" w:rsidR="004E1156" w:rsidP="004E1156" w:rsidRDefault="004E1156" w14:paraId="558F5C96" w14:textId="77777777">
      <w:pPr>
        <w:contextualSpacing/>
        <w:jc w:val="both"/>
        <w:rPr>
          <w:rFonts w:ascii="Century Gothic" w:hAnsi="Century Gothic" w:eastAsia="Calibri" w:cs="Arial"/>
          <w:lang w:eastAsia="es-ES_tradnl"/>
        </w:rPr>
      </w:pPr>
      <w:r w:rsidRPr="00A12087">
        <w:rPr>
          <w:rFonts w:ascii="Century Gothic" w:hAnsi="Century Gothic" w:eastAsia="Calibri" w:cs="Arial"/>
          <w:lang w:eastAsia="es-ES_tradnl"/>
        </w:rPr>
        <w:t>Señor</w:t>
      </w:r>
    </w:p>
    <w:p w:rsidRPr="00A12087" w:rsidR="004E1156" w:rsidP="004E1156" w:rsidRDefault="004E1156" w14:paraId="77DFD41C" w14:textId="77777777">
      <w:pPr>
        <w:contextualSpacing/>
        <w:jc w:val="both"/>
        <w:rPr>
          <w:rFonts w:ascii="Century Gothic" w:hAnsi="Century Gothic" w:eastAsia="Calibri" w:cs="Arial"/>
          <w:b/>
          <w:lang w:eastAsia="es-ES_tradnl"/>
        </w:rPr>
      </w:pPr>
      <w:r w:rsidRPr="00A12087">
        <w:rPr>
          <w:rFonts w:ascii="Century Gothic" w:hAnsi="Century Gothic" w:eastAsia="Calibri" w:cs="Arial"/>
          <w:b/>
          <w:lang w:eastAsia="es-ES_tradnl"/>
        </w:rPr>
        <w:t xml:space="preserve">Sergio Humberto Lopera </w:t>
      </w:r>
      <w:proofErr w:type="spellStart"/>
      <w:r w:rsidRPr="00A12087">
        <w:rPr>
          <w:rFonts w:ascii="Century Gothic" w:hAnsi="Century Gothic" w:eastAsia="Calibri" w:cs="Arial"/>
          <w:b/>
          <w:lang w:eastAsia="es-ES_tradnl"/>
        </w:rPr>
        <w:t>Proaños</w:t>
      </w:r>
      <w:proofErr w:type="spellEnd"/>
      <w:r w:rsidRPr="00A12087">
        <w:rPr>
          <w:rFonts w:ascii="Century Gothic" w:hAnsi="Century Gothic" w:eastAsia="Calibri" w:cs="Arial"/>
          <w:b/>
          <w:lang w:eastAsia="es-ES_tradnl"/>
        </w:rPr>
        <w:t xml:space="preserve"> </w:t>
      </w:r>
    </w:p>
    <w:p w:rsidRPr="00A12087" w:rsidR="004E1156" w:rsidP="004E1156" w:rsidRDefault="004E1156" w14:paraId="60D92C68" w14:textId="77777777">
      <w:pPr>
        <w:contextualSpacing/>
        <w:jc w:val="both"/>
        <w:rPr>
          <w:rFonts w:ascii="Century Gothic" w:hAnsi="Century Gothic" w:eastAsia="Calibri" w:cs="Arial"/>
          <w:bCs/>
          <w:lang w:eastAsia="es-ES_tradnl"/>
        </w:rPr>
      </w:pPr>
      <w:r w:rsidRPr="00A12087">
        <w:rPr>
          <w:rFonts w:ascii="Century Gothic" w:hAnsi="Century Gothic" w:eastAsia="Geomanist Light" w:cs="Arial"/>
          <w:color w:val="000000" w:themeColor="text1"/>
          <w:lang w:val="es-MX"/>
        </w:rPr>
        <w:t>Bogotá D.C.</w:t>
      </w:r>
    </w:p>
    <w:p w:rsidRPr="00A12087" w:rsidR="004E1156" w:rsidP="004E1156" w:rsidRDefault="004E1156" w14:paraId="068983E7" w14:textId="77777777">
      <w:pPr>
        <w:contextualSpacing/>
        <w:rPr>
          <w:rFonts w:ascii="Century Gothic" w:hAnsi="Century Gothic" w:eastAsia="Calibri" w:cs="Arial"/>
          <w:lang w:val="es-ES_tradnl" w:eastAsia="es-ES_tradnl"/>
        </w:rPr>
      </w:pPr>
    </w:p>
    <w:p w:rsidRPr="00A12087" w:rsidR="004E1156" w:rsidP="004E1156" w:rsidRDefault="004E1156" w14:paraId="6495DA88" w14:textId="77777777">
      <w:pPr>
        <w:contextualSpacing/>
        <w:rPr>
          <w:rFonts w:ascii="Century Gothic" w:hAnsi="Century Gothic" w:eastAsia="Calibri" w:cs="Arial"/>
          <w:lang w:val="es-ES_tradnl" w:eastAsia="es-ES_tradnl"/>
        </w:rPr>
      </w:pPr>
    </w:p>
    <w:p w:rsidRPr="00A12087" w:rsidR="004E1156" w:rsidP="004E1156" w:rsidRDefault="004E1156" w14:paraId="63ED7449" w14:textId="77777777">
      <w:pPr>
        <w:ind w:left="2124"/>
        <w:contextualSpacing/>
        <w:rPr>
          <w:rFonts w:ascii="Century Gothic" w:hAnsi="Century Gothic" w:eastAsia="Calibri" w:cs="Arial"/>
          <w:b/>
          <w:bCs/>
          <w:lang w:val="es-ES_tradnl" w:eastAsia="es-ES_tradnl"/>
        </w:rPr>
      </w:pPr>
      <w:r w:rsidRPr="00A12087">
        <w:rPr>
          <w:rFonts w:ascii="Century Gothic" w:hAnsi="Century Gothic" w:eastAsia="Arial" w:cs="Arial"/>
          <w:b/>
          <w:bCs/>
          <w:lang w:val="es-ES"/>
        </w:rPr>
        <w:t xml:space="preserve">         Concepto</w:t>
      </w:r>
      <w:r w:rsidRPr="00A12087">
        <w:rPr>
          <w:rFonts w:ascii="Century Gothic" w:hAnsi="Century Gothic" w:eastAsia="Arial" w:cs="Arial"/>
          <w:b/>
          <w:bCs/>
          <w:spacing w:val="-4"/>
          <w:lang w:val="es-ES"/>
        </w:rPr>
        <w:t xml:space="preserve"> </w:t>
      </w:r>
      <w:r w:rsidRPr="00A12087">
        <w:rPr>
          <w:rFonts w:ascii="Century Gothic" w:hAnsi="Century Gothic" w:eastAsia="Arial" w:cs="Arial"/>
          <w:b/>
          <w:bCs/>
          <w:lang w:val="es-ES"/>
        </w:rPr>
        <w:t>C –</w:t>
      </w:r>
      <w:r w:rsidRPr="00A12087">
        <w:rPr>
          <w:rFonts w:ascii="Century Gothic" w:hAnsi="Century Gothic" w:eastAsia="Arial" w:cs="Arial"/>
          <w:b/>
          <w:bCs/>
          <w:spacing w:val="-4"/>
          <w:lang w:val="es-ES"/>
        </w:rPr>
        <w:t xml:space="preserve"> 234 </w:t>
      </w:r>
      <w:r w:rsidRPr="00A12087">
        <w:rPr>
          <w:rFonts w:ascii="Century Gothic" w:hAnsi="Century Gothic" w:eastAsia="Arial" w:cs="Arial"/>
          <w:b/>
          <w:bCs/>
          <w:lang w:val="es-ES"/>
        </w:rPr>
        <w:t>de</w:t>
      </w:r>
      <w:r w:rsidRPr="00A12087">
        <w:rPr>
          <w:rFonts w:ascii="Century Gothic" w:hAnsi="Century Gothic" w:eastAsia="Arial" w:cs="Arial"/>
          <w:b/>
          <w:bCs/>
          <w:spacing w:val="-3"/>
          <w:lang w:val="es-ES"/>
        </w:rPr>
        <w:t xml:space="preserve"> </w:t>
      </w:r>
      <w:r w:rsidRPr="00A12087">
        <w:rPr>
          <w:rFonts w:ascii="Century Gothic" w:hAnsi="Century Gothic" w:eastAsia="Arial" w:cs="Arial"/>
          <w:b/>
          <w:bCs/>
          <w:lang w:val="es-ES"/>
        </w:rPr>
        <w:t>2023</w:t>
      </w:r>
    </w:p>
    <w:p w:rsidRPr="00A12087" w:rsidR="004E1156" w:rsidP="004E1156" w:rsidRDefault="004E1156" w14:paraId="27930F67" w14:textId="77777777">
      <w:pPr>
        <w:contextualSpacing/>
        <w:rPr>
          <w:rFonts w:ascii="Century Gothic" w:hAnsi="Century Gothic" w:eastAsia="Calibri" w:cs="Arial"/>
          <w:b/>
          <w:bCs/>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12087" w:rsidR="004E1156" w:rsidTr="6CC2DDEE" w14:paraId="11C2ED9D" w14:textId="77777777">
        <w:trPr>
          <w:trHeight w:val="2190"/>
        </w:trPr>
        <w:tc>
          <w:tcPr>
            <w:tcW w:w="2689" w:type="dxa"/>
            <w:tcMar/>
          </w:tcPr>
          <w:p w:rsidRPr="00A12087" w:rsidR="004E1156" w:rsidP="005355C6" w:rsidRDefault="004E1156" w14:paraId="4FC2B80F" w14:textId="77777777">
            <w:pPr>
              <w:contextualSpacing/>
              <w:jc w:val="both"/>
              <w:rPr>
                <w:rFonts w:ascii="Century Gothic" w:hAnsi="Century Gothic" w:eastAsia="Calibri" w:cs="Arial"/>
                <w:lang w:val="es-ES_tradnl" w:eastAsia="es-ES_tradnl"/>
              </w:rPr>
            </w:pPr>
            <w:r w:rsidRPr="00A12087">
              <w:rPr>
                <w:rFonts w:ascii="Century Gothic" w:hAnsi="Century Gothic" w:eastAsia="Calibri" w:cs="Arial"/>
                <w:b/>
                <w:lang w:val="es-ES_tradnl" w:eastAsia="es-ES_tradnl"/>
              </w:rPr>
              <w:t>Temas:</w:t>
            </w:r>
            <w:r w:rsidRPr="00A12087">
              <w:rPr>
                <w:rFonts w:ascii="Century Gothic" w:hAnsi="Century Gothic" w:eastAsia="Calibri" w:cs="Arial"/>
                <w:lang w:val="es-ES_tradnl" w:eastAsia="es-ES_tradnl"/>
              </w:rPr>
              <w:t xml:space="preserve">                                      </w:t>
            </w:r>
          </w:p>
        </w:tc>
        <w:tc>
          <w:tcPr>
            <w:tcW w:w="6237" w:type="dxa"/>
            <w:tcMar/>
          </w:tcPr>
          <w:p w:rsidRPr="00A12087" w:rsidR="004E1156" w:rsidP="005355C6" w:rsidRDefault="004E1156" w14:paraId="7C1C08E3" w14:textId="77777777">
            <w:pPr>
              <w:spacing w:after="120" w:line="276" w:lineRule="auto"/>
              <w:contextualSpacing/>
              <w:jc w:val="both"/>
              <w:rPr>
                <w:rFonts w:ascii="Century Gothic" w:hAnsi="Century Gothic" w:eastAsia="Calibri" w:cs="Arial"/>
                <w:bCs/>
                <w:lang w:val="es-MX" w:eastAsia="es-ES_tradnl"/>
              </w:rPr>
            </w:pPr>
            <w:r w:rsidRPr="00A12087">
              <w:rPr>
                <w:rFonts w:ascii="Century Gothic" w:hAnsi="Century Gothic" w:eastAsia="Calibri" w:cs="Arial"/>
                <w:bCs/>
                <w:lang w:val="es-MX" w:eastAsia="es-ES_tradnl"/>
              </w:rPr>
              <w:t xml:space="preserve">INHABILIDADES – Definición – Finalidad – Limitación capacidad contractual / CONTRATACIÓN ESTATAL – Capacidad – Validez contratos – Régimen de contratación – Inscripción – Limitación de la capacidad / INHABILIDADES – Taxatividad – Principio de legalidad – Interpretación restrictiva </w:t>
            </w:r>
          </w:p>
          <w:p w:rsidRPr="00A12087" w:rsidR="004E1156" w:rsidP="005355C6" w:rsidRDefault="004E1156" w14:paraId="5A8DECD1" w14:textId="77777777">
            <w:pPr>
              <w:spacing w:after="120"/>
              <w:contextualSpacing/>
              <w:jc w:val="both"/>
              <w:rPr>
                <w:rFonts w:ascii="Century Gothic" w:hAnsi="Century Gothic" w:eastAsia="Calibri" w:cs="Arial"/>
                <w:bCs/>
                <w:sz w:val="12"/>
                <w:szCs w:val="12"/>
                <w:lang w:val="es-ES_tradnl" w:eastAsia="es-ES_tradnl"/>
              </w:rPr>
            </w:pPr>
          </w:p>
        </w:tc>
      </w:tr>
      <w:tr w:rsidRPr="00A12087" w:rsidR="004E1156" w:rsidTr="6CC2DDEE" w14:paraId="2BD95252" w14:textId="77777777">
        <w:trPr>
          <w:trHeight w:val="227"/>
        </w:trPr>
        <w:tc>
          <w:tcPr>
            <w:tcW w:w="2689" w:type="dxa"/>
            <w:tcMar/>
          </w:tcPr>
          <w:p w:rsidRPr="00A12087" w:rsidR="004E1156" w:rsidP="005355C6" w:rsidRDefault="004E1156" w14:paraId="7E2251C9" w14:textId="77777777">
            <w:pPr>
              <w:contextualSpacing/>
              <w:jc w:val="both"/>
              <w:rPr>
                <w:rFonts w:ascii="Century Gothic" w:hAnsi="Century Gothic" w:eastAsia="Calibri" w:cs="Arial"/>
                <w:b/>
                <w:lang w:val="es-ES_tradnl" w:eastAsia="es-ES_tradnl"/>
              </w:rPr>
            </w:pPr>
            <w:r w:rsidRPr="00A12087">
              <w:rPr>
                <w:rFonts w:ascii="Century Gothic" w:hAnsi="Century Gothic" w:eastAsia="Calibri" w:cs="Arial"/>
                <w:b/>
                <w:lang w:val="es-ES_tradnl" w:eastAsia="es-ES_tradnl"/>
              </w:rPr>
              <w:t>Radicación:</w:t>
            </w:r>
            <w:r w:rsidRPr="00A12087">
              <w:rPr>
                <w:rFonts w:ascii="Century Gothic" w:hAnsi="Century Gothic" w:eastAsia="Calibri" w:cs="Arial"/>
                <w:lang w:val="es-ES_tradnl" w:eastAsia="es-ES_tradnl"/>
              </w:rPr>
              <w:t xml:space="preserve">                             </w:t>
            </w:r>
          </w:p>
        </w:tc>
        <w:tc>
          <w:tcPr>
            <w:tcW w:w="6237" w:type="dxa"/>
            <w:tcMar/>
          </w:tcPr>
          <w:p w:rsidRPr="00A12087" w:rsidR="004E1156" w:rsidP="005355C6" w:rsidRDefault="004E1156" w14:paraId="05A87D3D" w14:textId="77777777">
            <w:pPr>
              <w:contextualSpacing/>
              <w:jc w:val="both"/>
              <w:rPr>
                <w:rFonts w:ascii="Century Gothic" w:hAnsi="Century Gothic" w:eastAsia="Calibri" w:cs="Arial"/>
                <w:lang w:val="es-ES_tradnl" w:eastAsia="es-ES_tradnl"/>
              </w:rPr>
            </w:pPr>
            <w:r w:rsidRPr="00A12087">
              <w:rPr>
                <w:rFonts w:ascii="Century Gothic" w:hAnsi="Century Gothic" w:eastAsia="Calibri" w:cs="Arial"/>
                <w:lang w:val="es-ES_tradnl" w:eastAsia="es-ES_tradnl"/>
              </w:rPr>
              <w:t>Respuesta a consulta P20230519011489</w:t>
            </w:r>
          </w:p>
        </w:tc>
      </w:tr>
    </w:tbl>
    <w:p w:rsidRPr="00A12087" w:rsidR="004E1156" w:rsidP="004E1156" w:rsidRDefault="004E1156" w14:paraId="4B37E05E" w14:textId="77777777">
      <w:pPr>
        <w:contextualSpacing/>
        <w:jc w:val="both"/>
        <w:rPr>
          <w:rFonts w:ascii="Century Gothic" w:hAnsi="Century Gothic" w:eastAsia="Calibri" w:cs="Arial"/>
          <w:lang w:val="es-ES_tradnl" w:eastAsia="es-ES_tradnl"/>
        </w:rPr>
      </w:pPr>
    </w:p>
    <w:p w:rsidRPr="00A12087" w:rsidR="004E1156" w:rsidP="004E1156" w:rsidRDefault="004E1156" w14:paraId="39A7420D" w14:textId="77777777">
      <w:pPr>
        <w:contextualSpacing/>
        <w:jc w:val="both"/>
        <w:rPr>
          <w:rFonts w:ascii="Century Gothic" w:hAnsi="Century Gothic" w:eastAsia="Calibri" w:cs="Arial"/>
          <w:lang w:val="es-ES_tradnl" w:eastAsia="es-ES_tradnl"/>
        </w:rPr>
      </w:pPr>
    </w:p>
    <w:p w:rsidRPr="00A12087" w:rsidR="004E1156" w:rsidP="004E1156" w:rsidRDefault="004E1156" w14:paraId="609DC6A3" w14:textId="77777777">
      <w:pPr>
        <w:contextualSpacing/>
        <w:jc w:val="both"/>
        <w:rPr>
          <w:rFonts w:ascii="Century Gothic" w:hAnsi="Century Gothic" w:eastAsia="Calibri" w:cs="Arial"/>
          <w:lang w:val="es-ES" w:eastAsia="es-ES"/>
        </w:rPr>
      </w:pPr>
      <w:r w:rsidRPr="00A12087">
        <w:rPr>
          <w:rFonts w:ascii="Century Gothic" w:hAnsi="Century Gothic" w:eastAsia="Calibri" w:cs="Arial"/>
          <w:lang w:val="es-ES" w:eastAsia="es-ES"/>
        </w:rPr>
        <w:t xml:space="preserve">Respetado señor </w:t>
      </w:r>
      <w:r w:rsidRPr="00A12087">
        <w:rPr>
          <w:rFonts w:ascii="Century Gothic" w:hAnsi="Century Gothic" w:eastAsia="Times New Roman" w:cs="Arial"/>
          <w:lang w:eastAsia="es-ES"/>
        </w:rPr>
        <w:t>Lopera</w:t>
      </w:r>
      <w:r w:rsidRPr="00A12087">
        <w:rPr>
          <w:rFonts w:ascii="Century Gothic" w:hAnsi="Century Gothic" w:eastAsia="Calibri" w:cs="Arial"/>
          <w:lang w:val="es-ES" w:eastAsia="es-ES"/>
        </w:rPr>
        <w:t>:</w:t>
      </w:r>
    </w:p>
    <w:p w:rsidRPr="00A12087" w:rsidR="004E1156" w:rsidP="004E1156" w:rsidRDefault="004E1156" w14:paraId="1FDA33DB" w14:textId="77777777">
      <w:pPr>
        <w:spacing w:line="276" w:lineRule="auto"/>
        <w:contextualSpacing/>
        <w:jc w:val="both"/>
        <w:rPr>
          <w:rFonts w:ascii="Century Gothic" w:hAnsi="Century Gothic" w:eastAsia="Calibri" w:cs="Arial"/>
          <w:szCs w:val="24"/>
          <w:lang w:val="es-ES_tradnl" w:eastAsia="es-ES_tradnl"/>
        </w:rPr>
      </w:pPr>
    </w:p>
    <w:bookmarkEnd w:id="0"/>
    <w:bookmarkEnd w:id="1"/>
    <w:p w:rsidRPr="00A12087" w:rsidR="004E1156" w:rsidP="004E1156" w:rsidRDefault="004E1156" w14:paraId="11042DD5" w14:textId="77777777">
      <w:pPr>
        <w:spacing w:after="0" w:line="276" w:lineRule="auto"/>
        <w:jc w:val="both"/>
        <w:rPr>
          <w:rFonts w:ascii="Century Gothic" w:hAnsi="Century Gothic" w:eastAsia="Calibri" w:cs="Arial"/>
          <w:color w:val="000000" w:themeColor="text1"/>
          <w:lang w:val="es-ES_tradnl"/>
        </w:rPr>
      </w:pPr>
      <w:r w:rsidRPr="00A12087">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3"/>
      <w:r w:rsidRPr="00A12087">
        <w:rPr>
          <w:rFonts w:ascii="Century Gothic" w:hAnsi="Century Gothic" w:eastAsia="Arial MT" w:cs="Arial MT"/>
          <w:lang w:val="es-ES"/>
        </w:rPr>
        <w:t xml:space="preserve">, </w:t>
      </w:r>
      <w:bookmarkEnd w:id="3"/>
      <w:r w:rsidRPr="00A12087">
        <w:rPr>
          <w:rFonts w:ascii="Century Gothic" w:hAnsi="Century Gothic" w:eastAsia="Calibri" w:cs="Arial"/>
          <w:color w:val="000000" w:themeColor="text1"/>
          <w:lang w:val="es-ES_tradnl"/>
        </w:rPr>
        <w:t xml:space="preserve">la Agencia Nacional de Contratación Pública – Colombia Compra Eficiente responde la consulta radicada el 9 de abril de 2023 ante el Departamento Administrativo de la Función Pública, la cual –conforme al artículo 21 de la ley 1437 de 2011– fue remitida por competencia a esta entidad mediante correo electrónico del 18 de mayo de 2023. </w:t>
      </w:r>
    </w:p>
    <w:p w:rsidRPr="00A12087" w:rsidR="004E1156" w:rsidP="004E1156" w:rsidRDefault="004E1156" w14:paraId="685EEC9D" w14:textId="77777777">
      <w:pPr>
        <w:spacing w:after="0" w:line="276" w:lineRule="auto"/>
        <w:jc w:val="both"/>
        <w:rPr>
          <w:rFonts w:ascii="Century Gothic" w:hAnsi="Century Gothic" w:eastAsia="Calibri" w:cs="Arial"/>
          <w:color w:val="000000" w:themeColor="text1"/>
          <w:lang w:val="es-ES_tradnl"/>
        </w:rPr>
      </w:pPr>
    </w:p>
    <w:p w:rsidRPr="00A12087" w:rsidR="004E1156" w:rsidP="004E1156" w:rsidRDefault="004E1156" w14:paraId="1CA831A2" w14:textId="77777777">
      <w:pPr>
        <w:pStyle w:val="Prrafodelista"/>
        <w:numPr>
          <w:ilvl w:val="0"/>
          <w:numId w:val="4"/>
        </w:numPr>
        <w:spacing w:after="0" w:line="276" w:lineRule="auto"/>
        <w:ind w:left="284" w:hanging="284"/>
        <w:jc w:val="both"/>
        <w:rPr>
          <w:rFonts w:ascii="Century Gothic" w:hAnsi="Century Gothic" w:eastAsia="Calibri" w:cs="Arial"/>
          <w:b/>
          <w:bCs/>
          <w:color w:val="000000" w:themeColor="text1"/>
          <w:lang w:val="es-ES_tradnl"/>
        </w:rPr>
      </w:pPr>
      <w:r w:rsidRPr="00A12087">
        <w:rPr>
          <w:rFonts w:ascii="Century Gothic" w:hAnsi="Century Gothic" w:eastAsia="Calibri" w:cs="Arial"/>
          <w:b/>
          <w:bCs/>
          <w:color w:val="000000" w:themeColor="text1"/>
          <w:lang w:val="es-ES_tradnl"/>
        </w:rPr>
        <w:t>Problema planteado</w:t>
      </w:r>
    </w:p>
    <w:p w:rsidRPr="00A12087" w:rsidR="004E1156" w:rsidP="004E1156" w:rsidRDefault="004E1156" w14:paraId="7B84CB38" w14:textId="77777777">
      <w:pPr>
        <w:spacing w:after="0" w:line="276" w:lineRule="auto"/>
        <w:jc w:val="both"/>
        <w:rPr>
          <w:rFonts w:ascii="Century Gothic" w:hAnsi="Century Gothic" w:eastAsia="Calibri" w:cs="Arial"/>
          <w:color w:val="000000" w:themeColor="text1"/>
          <w:lang w:val="es-ES_tradnl"/>
        </w:rPr>
      </w:pPr>
    </w:p>
    <w:p w:rsidRPr="00A12087" w:rsidR="004E1156" w:rsidP="004E1156" w:rsidRDefault="004E1156" w14:paraId="30752C77" w14:textId="77777777">
      <w:pPr>
        <w:spacing w:after="0" w:line="276" w:lineRule="auto"/>
        <w:jc w:val="both"/>
        <w:rPr>
          <w:rFonts w:ascii="Century Gothic" w:hAnsi="Century Gothic" w:eastAsia="Calibri" w:cs="Arial"/>
          <w:color w:val="000000" w:themeColor="text1"/>
          <w:lang w:val="es-ES_tradnl"/>
        </w:rPr>
      </w:pPr>
      <w:r w:rsidRPr="00A12087">
        <w:rPr>
          <w:rFonts w:ascii="Century Gothic" w:hAnsi="Century Gothic" w:eastAsia="Calibri" w:cs="Arial"/>
          <w:color w:val="000000" w:themeColor="text1"/>
          <w:lang w:val="es-ES_tradnl"/>
        </w:rPr>
        <w:t xml:space="preserve">En su consulta usted plantea las siguientes inquietudes respecto al régimen de inhabilidades e incompatibilidades: </w:t>
      </w:r>
      <w:bookmarkStart w:name="_Hlk136438718" w:id="4"/>
      <w:r w:rsidRPr="00A12087">
        <w:rPr>
          <w:rFonts w:ascii="Century Gothic" w:hAnsi="Century Gothic" w:eastAsia="Calibri" w:cs="Arial"/>
          <w:color w:val="000000" w:themeColor="text1"/>
          <w:lang w:val="es-ES_tradnl"/>
        </w:rPr>
        <w:t xml:space="preserve">i) “¿Puede un hospital público recibir en misión (contratado por intermedio de una empresa de servicios temporales) un profesional </w:t>
      </w:r>
      <w:r w:rsidRPr="00A12087">
        <w:rPr>
          <w:rFonts w:ascii="Century Gothic" w:hAnsi="Century Gothic" w:eastAsia="Calibri" w:cs="Arial"/>
          <w:color w:val="000000" w:themeColor="text1"/>
          <w:lang w:val="es-ES_tradnl"/>
        </w:rPr>
        <w:t xml:space="preserve">de la salud que se encuentra en detención domiciliaria con derecho a trabajar?; aclarando que la comisión del delito no afecte el patrimonio del estado ni se trata de delitos relacionados con la pertenencia, promoción o financiación de grupos ilegales, delitos de lesa humanidad o por narcotráfico en Colombia o en el exterior” y </w:t>
      </w:r>
      <w:proofErr w:type="spellStart"/>
      <w:r w:rsidRPr="00A12087">
        <w:rPr>
          <w:rFonts w:ascii="Century Gothic" w:hAnsi="Century Gothic" w:eastAsia="Calibri" w:cs="Arial"/>
          <w:color w:val="000000" w:themeColor="text1"/>
          <w:lang w:val="es-ES_tradnl"/>
        </w:rPr>
        <w:t>ii</w:t>
      </w:r>
      <w:proofErr w:type="spellEnd"/>
      <w:r w:rsidRPr="00A12087">
        <w:rPr>
          <w:rFonts w:ascii="Century Gothic" w:hAnsi="Century Gothic" w:eastAsia="Calibri" w:cs="Arial"/>
          <w:color w:val="000000" w:themeColor="text1"/>
          <w:lang w:val="es-ES_tradnl"/>
        </w:rPr>
        <w:t>) “¿Puede un contratista de obra o de prestación de servicios para el desarrollo de un contrato con el estado, emplear una persona en detención domiciliaria con derecho a trabajar?; aclarando que la comisión del delito no afecte el patrimonio del estado ni se trata de delitos relacionados con la pertenencia, promoción o financiación de grupos ilegales, delitos de lesa humanidad o por narcotráfico en Colombia o en el exterior”.</w:t>
      </w:r>
      <w:bookmarkEnd w:id="4"/>
    </w:p>
    <w:p w:rsidRPr="00A12087" w:rsidR="004E1156" w:rsidP="004E1156" w:rsidRDefault="004E1156" w14:paraId="1A37944B" w14:textId="77777777">
      <w:pPr>
        <w:spacing w:after="0" w:line="276" w:lineRule="auto"/>
        <w:jc w:val="both"/>
        <w:rPr>
          <w:rFonts w:ascii="Century Gothic" w:hAnsi="Century Gothic" w:eastAsia="Calibri" w:cs="Arial"/>
          <w:color w:val="000000" w:themeColor="text1"/>
          <w:lang w:val="es-ES_tradnl"/>
        </w:rPr>
      </w:pPr>
    </w:p>
    <w:p w:rsidRPr="00A12087" w:rsidR="004E1156" w:rsidP="004E1156" w:rsidRDefault="004E1156" w14:paraId="6140CA86" w14:textId="77777777">
      <w:pPr>
        <w:spacing w:after="0" w:line="276" w:lineRule="auto"/>
        <w:jc w:val="both"/>
        <w:rPr>
          <w:rFonts w:ascii="Century Gothic" w:hAnsi="Century Gothic" w:cs="Arial"/>
          <w:b/>
          <w:bCs/>
        </w:rPr>
      </w:pPr>
      <w:r w:rsidRPr="00A12087">
        <w:rPr>
          <w:rFonts w:ascii="Century Gothic" w:hAnsi="Century Gothic" w:cs="Arial"/>
          <w:b/>
          <w:bCs/>
        </w:rPr>
        <w:t>2. Consideraciones</w:t>
      </w:r>
    </w:p>
    <w:p w:rsidRPr="00A12087" w:rsidR="004E1156" w:rsidP="004E1156" w:rsidRDefault="004E1156" w14:paraId="0DA66940" w14:textId="77777777">
      <w:pPr>
        <w:spacing w:after="0" w:line="276" w:lineRule="auto"/>
        <w:jc w:val="both"/>
        <w:rPr>
          <w:rFonts w:ascii="Century Gothic" w:hAnsi="Century Gothic" w:cs="Arial"/>
          <w:b/>
          <w:bCs/>
        </w:rPr>
      </w:pPr>
    </w:p>
    <w:p w:rsidRPr="00A12087" w:rsidR="004E1156" w:rsidP="004E1156" w:rsidRDefault="004E1156" w14:paraId="44206550" w14:textId="77777777">
      <w:pPr>
        <w:spacing w:after="120" w:line="276" w:lineRule="auto"/>
        <w:jc w:val="both"/>
        <w:rPr>
          <w:rFonts w:ascii="Century Gothic" w:hAnsi="Century Gothic" w:cs="Arial"/>
          <w:lang w:val="es-ES"/>
        </w:rPr>
      </w:pPr>
      <w:r w:rsidRPr="00A12087">
        <w:rPr>
          <w:rFonts w:ascii="Century Gothic" w:hAnsi="Century Gothic" w:cs="Arial"/>
        </w:rPr>
        <w:t xml:space="preserve">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A12087">
        <w:rPr>
          <w:rFonts w:ascii="Century Gothic" w:hAnsi="Century Gothic" w:cs="Arial"/>
          <w:lang w:val="es-ES"/>
        </w:rPr>
        <w:t>citados. Es necesario tener en cuenta que esta entidad solo tiene competencia para responder solicitudes sobre la interpretación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12087">
        <w:rPr>
          <w:rFonts w:ascii="Century Gothic" w:hAnsi="Century Gothic" w:cs="Arial"/>
        </w:rPr>
        <w:t xml:space="preserve"> de todos los partícipes de la contratación estatal.</w:t>
      </w:r>
    </w:p>
    <w:p w:rsidRPr="00A12087" w:rsidR="004E1156" w:rsidP="004E1156" w:rsidRDefault="004E1156" w14:paraId="29DB7638" w14:textId="77777777">
      <w:pPr>
        <w:spacing w:after="120" w:line="276" w:lineRule="auto"/>
        <w:ind w:firstLine="708"/>
        <w:jc w:val="both"/>
        <w:rPr>
          <w:rFonts w:ascii="Century Gothic" w:hAnsi="Century Gothic" w:cs="Arial"/>
          <w:lang w:val="es-ES"/>
        </w:rPr>
      </w:pPr>
      <w:r w:rsidRPr="00A12087">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12087">
        <w:rPr>
          <w:rFonts w:ascii="Century Gothic" w:hAnsi="Century Gothic" w:cs="Arial"/>
          <w:vertAlign w:val="superscript"/>
          <w:lang w:val="es-ES"/>
        </w:rPr>
        <w:footnoteReference w:id="2"/>
      </w:r>
      <w:r w:rsidRPr="00A12087">
        <w:rPr>
          <w:rFonts w:ascii="Century Gothic" w:hAnsi="Century Gothic" w:cs="Arial"/>
          <w:lang w:val="es-ES"/>
        </w:rPr>
        <w:t xml:space="preserve">. Esta competencia de interpretación de normas generales, por definición, no puede extenderse a la resolución de controversias ni brindar </w:t>
      </w:r>
      <w:r w:rsidRPr="00A12087">
        <w:rPr>
          <w:rFonts w:ascii="Century Gothic" w:hAnsi="Century Gothic" w:cs="Arial"/>
          <w:lang w:val="es-ES"/>
        </w:rPr>
        <w:t>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rsidRPr="00A12087" w:rsidR="004E1156" w:rsidP="004E1156" w:rsidRDefault="004E1156" w14:paraId="6353191C" w14:textId="77777777">
      <w:pPr>
        <w:spacing w:line="276" w:lineRule="auto"/>
        <w:ind w:firstLine="708"/>
        <w:jc w:val="both"/>
        <w:rPr>
          <w:rFonts w:ascii="Century Gothic" w:hAnsi="Century Gothic" w:cs="Arial"/>
          <w:color w:val="000000" w:themeColor="text1"/>
          <w:lang w:val="es-ES"/>
        </w:rPr>
      </w:pPr>
      <w:r w:rsidRPr="00A12087">
        <w:rPr>
          <w:rFonts w:ascii="Century Gothic" w:hAnsi="Century Gothic" w:cs="Arial"/>
        </w:rPr>
        <w:t xml:space="preserve">Sin perjuicio de lo anterior, la Subdirección –dentro de los límites de sus atribuciones, esto es, haciendo abstracción de las situaciones particulares expuestas en la solicitud– resolverá la consulta conforme a las normas generales en materia de contratación estatal. Con este objetivo se abordarán </w:t>
      </w:r>
      <w:r w:rsidRPr="00A12087">
        <w:rPr>
          <w:rFonts w:ascii="Century Gothic" w:hAnsi="Century Gothic" w:eastAsia="Calibri" w:cs="Arial"/>
          <w:lang w:val="es-ES"/>
        </w:rPr>
        <w:t>los siguientes temas</w:t>
      </w:r>
      <w:r w:rsidRPr="00A12087">
        <w:rPr>
          <w:rFonts w:ascii="Century Gothic" w:hAnsi="Century Gothic" w:cs="Arial"/>
          <w:color w:val="000000" w:themeColor="text1"/>
          <w:lang w:val="es-ES"/>
        </w:rPr>
        <w:t xml:space="preserve">: i) régimen de inhabilidades e incompatibilidades para contratar con el Estado y </w:t>
      </w:r>
      <w:proofErr w:type="spellStart"/>
      <w:r w:rsidRPr="00A12087">
        <w:rPr>
          <w:rFonts w:ascii="Century Gothic" w:hAnsi="Century Gothic" w:cs="Arial"/>
          <w:color w:val="000000" w:themeColor="text1"/>
          <w:lang w:val="es-ES"/>
        </w:rPr>
        <w:t>ii</w:t>
      </w:r>
      <w:proofErr w:type="spellEnd"/>
      <w:r w:rsidRPr="00A12087">
        <w:rPr>
          <w:rFonts w:ascii="Century Gothic" w:hAnsi="Century Gothic" w:cs="Arial"/>
          <w:color w:val="000000" w:themeColor="text1"/>
          <w:lang w:val="es-ES"/>
        </w:rPr>
        <w:t>) límites de la capacidad contractual en relación con la reserva de ley y la interpretación restrictiva de estas disposiciones</w:t>
      </w:r>
      <w:r w:rsidRPr="00A12087">
        <w:rPr>
          <w:rFonts w:ascii="Century Gothic" w:hAnsi="Century Gothic" w:cs="Arial"/>
          <w:color w:val="000000" w:themeColor="text1"/>
          <w:lang w:val="es-MX"/>
        </w:rPr>
        <w:t>.</w:t>
      </w:r>
      <w:r w:rsidRPr="00A12087">
        <w:rPr>
          <w:rFonts w:ascii="Century Gothic" w:hAnsi="Century Gothic" w:cs="Arial"/>
          <w:color w:val="000000" w:themeColor="text1"/>
          <w:lang w:val="es-ES"/>
        </w:rPr>
        <w:t xml:space="preserve"> </w:t>
      </w:r>
    </w:p>
    <w:p w:rsidRPr="00A12087" w:rsidR="004E1156" w:rsidP="004E1156" w:rsidRDefault="004E1156" w14:paraId="05F72E0D" w14:textId="77777777">
      <w:pPr>
        <w:spacing w:before="120" w:after="0" w:line="276" w:lineRule="auto"/>
        <w:ind w:firstLine="709"/>
        <w:jc w:val="both"/>
        <w:rPr>
          <w:rFonts w:ascii="Century Gothic" w:hAnsi="Century Gothic" w:eastAsia="Calibri" w:cs="Arial"/>
          <w:color w:val="000000" w:themeColor="text1"/>
          <w:lang w:val="es-ES_tradnl"/>
        </w:rPr>
      </w:pPr>
      <w:r w:rsidRPr="00A12087">
        <w:rPr>
          <w:rFonts w:ascii="Century Gothic" w:hAnsi="Century Gothic" w:eastAsia="Calibri" w:cs="Arial"/>
          <w:color w:val="000000" w:themeColor="text1"/>
          <w:lang w:val="es-ES"/>
        </w:rPr>
        <w:t xml:space="preserve">La Agencia Nacional de Contratación Pública – Colombia Compra Eficiente, en los Conceptos </w:t>
      </w:r>
      <w:r w:rsidRPr="00A12087">
        <w:rPr>
          <w:rFonts w:ascii="Century Gothic" w:hAnsi="Century Gothic" w:eastAsia="Calibri" w:cs="Arial"/>
          <w:color w:val="000000" w:themeColor="text1"/>
          <w:lang w:val="es-MX"/>
        </w:rPr>
        <w:t xml:space="preserve">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w:t>
      </w:r>
      <w:r w:rsidRPr="00A12087">
        <w:rPr>
          <w:rFonts w:ascii="Century Gothic" w:hAnsi="Century Gothic" w:eastAsia="Calibri" w:cs="Arial"/>
          <w:color w:val="000000" w:themeColor="text1"/>
          <w:lang w:val="es-ES_tradnl"/>
        </w:rPr>
        <w:t xml:space="preserve">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w:t>
      </w:r>
      <w:r w:rsidRPr="00A12087">
        <w:rPr>
          <w:rFonts w:ascii="Century Gothic" w:hAnsi="Century Gothic" w:eastAsia="Calibri" w:cs="Arial"/>
          <w:color w:val="000000" w:themeColor="text1"/>
          <w:lang w:val="es-ES"/>
        </w:rPr>
        <w:t>C-028 del 28 de febrero de 2022, C-318 del 18 de mayo de 2022, C-252 del 30 de mayo de 2022 y C-175 del 4 de mayo de 2023, analizó los contornos generales del régimen de inhabilidades e incompatibilidades en la contratación estatal</w:t>
      </w:r>
      <w:r w:rsidRPr="00A12087">
        <w:rPr>
          <w:rStyle w:val="Refdenotaalpie"/>
          <w:rFonts w:ascii="Century Gothic" w:hAnsi="Century Gothic" w:eastAsia="Calibri" w:cs="Arial"/>
        </w:rPr>
        <w:footnoteReference w:id="3"/>
      </w:r>
      <w:r w:rsidRPr="00A12087">
        <w:rPr>
          <w:rFonts w:ascii="Century Gothic" w:hAnsi="Century Gothic" w:eastAsia="Calibri" w:cs="Arial"/>
          <w:color w:val="000000" w:themeColor="text1"/>
          <w:lang w:val="es-ES"/>
        </w:rPr>
        <w:t xml:space="preserve">. </w:t>
      </w:r>
      <w:r w:rsidRPr="00A12087">
        <w:rPr>
          <w:rFonts w:ascii="Century Gothic" w:hAnsi="Century Gothic" w:eastAsia="Calibri" w:cs="Arial"/>
          <w:color w:val="000000" w:themeColor="text1"/>
          <w:lang w:val="es-ES_tradnl"/>
        </w:rPr>
        <w:t>La tesis propuesta en estos conceptos se reitera a continuación.</w:t>
      </w:r>
    </w:p>
    <w:p w:rsidRPr="00A12087" w:rsidR="004E1156" w:rsidP="004E1156" w:rsidRDefault="004E1156" w14:paraId="76AE6B42" w14:textId="77777777">
      <w:pPr>
        <w:spacing w:after="0" w:line="276" w:lineRule="auto"/>
        <w:ind w:firstLine="709"/>
        <w:jc w:val="both"/>
        <w:rPr>
          <w:rFonts w:ascii="Century Gothic" w:hAnsi="Century Gothic" w:eastAsia="Calibri" w:cs="Arial"/>
          <w:color w:val="000000" w:themeColor="text1"/>
          <w:lang w:val="es-ES_tradnl"/>
        </w:rPr>
      </w:pPr>
    </w:p>
    <w:p w:rsidRPr="00A12087" w:rsidR="004E1156" w:rsidP="004E1156" w:rsidRDefault="004E1156" w14:paraId="1C55A835" w14:textId="77777777">
      <w:pPr>
        <w:spacing w:after="0" w:line="276" w:lineRule="auto"/>
        <w:jc w:val="both"/>
        <w:rPr>
          <w:rFonts w:ascii="Century Gothic" w:hAnsi="Century Gothic" w:cs="Arial"/>
          <w:b/>
          <w:bCs/>
          <w:color w:val="000000" w:themeColor="text1"/>
          <w:lang w:val="es-ES"/>
        </w:rPr>
      </w:pPr>
      <w:r w:rsidRPr="00A12087">
        <w:rPr>
          <w:rFonts w:ascii="Century Gothic" w:hAnsi="Century Gothic" w:eastAsia="Calibri" w:cs="Arial"/>
          <w:b/>
          <w:bCs/>
          <w:color w:val="000000" w:themeColor="text1"/>
          <w:lang w:val="es-ES_tradnl"/>
        </w:rPr>
        <w:t xml:space="preserve">2.1. </w:t>
      </w:r>
      <w:r w:rsidRPr="00A12087">
        <w:rPr>
          <w:rFonts w:ascii="Century Gothic" w:hAnsi="Century Gothic" w:cs="Arial"/>
          <w:b/>
          <w:bCs/>
          <w:color w:val="000000" w:themeColor="text1"/>
          <w:lang w:val="es-ES"/>
        </w:rPr>
        <w:t>Régimen de inhabilidades e incompatibilidades para contratar con el Estado</w:t>
      </w:r>
    </w:p>
    <w:p w:rsidRPr="00A12087" w:rsidR="004E1156" w:rsidP="004E1156" w:rsidRDefault="004E1156" w14:paraId="1D22BC04" w14:textId="77777777">
      <w:pPr>
        <w:spacing w:after="0" w:line="276" w:lineRule="auto"/>
        <w:jc w:val="both"/>
        <w:rPr>
          <w:rFonts w:ascii="Century Gothic" w:hAnsi="Century Gothic" w:eastAsia="Calibri" w:cs="Arial"/>
          <w:b/>
          <w:bCs/>
          <w:color w:val="000000" w:themeColor="text1"/>
          <w:lang w:val="es-ES_tradnl"/>
        </w:rPr>
      </w:pPr>
    </w:p>
    <w:p w:rsidRPr="00A12087" w:rsidR="004E1156" w:rsidP="004E1156" w:rsidRDefault="004E1156" w14:paraId="5893B939" w14:textId="77777777">
      <w:pPr>
        <w:pStyle w:val="Sinespaciado"/>
        <w:spacing w:after="120" w:line="276" w:lineRule="auto"/>
        <w:jc w:val="both"/>
        <w:rPr>
          <w:rFonts w:ascii="Century Gothic" w:hAnsi="Century Gothic" w:cs="Arial"/>
          <w:sz w:val="22"/>
        </w:rPr>
      </w:pPr>
      <w:r w:rsidRPr="00A12087">
        <w:rPr>
          <w:rFonts w:ascii="Century Gothic" w:hAnsi="Century Gothic" w:cs="Arial"/>
          <w:sz w:val="22"/>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rsidRPr="00A12087" w:rsidR="004E1156" w:rsidP="004E1156" w:rsidRDefault="004E1156" w14:paraId="36359C65" w14:textId="77777777">
      <w:pPr>
        <w:spacing w:line="276" w:lineRule="auto"/>
        <w:ind w:firstLine="709"/>
        <w:jc w:val="both"/>
        <w:rPr>
          <w:rFonts w:ascii="Century Gothic" w:hAnsi="Century Gothic" w:cs="Arial"/>
        </w:rPr>
      </w:pPr>
      <w:r w:rsidRPr="00A12087">
        <w:rPr>
          <w:rFonts w:ascii="Century Gothic" w:hAnsi="Century Gothic" w:cs="Arial"/>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A12087">
        <w:rPr>
          <w:rStyle w:val="Refdenotaalpie"/>
          <w:rFonts w:ascii="Century Gothic" w:hAnsi="Century Gothic" w:cs="Arial"/>
        </w:rPr>
        <w:footnoteReference w:id="4"/>
      </w:r>
      <w:r w:rsidRPr="00A12087">
        <w:rPr>
          <w:rFonts w:ascii="Century Gothic" w:hAnsi="Century Gothic" w:cs="Arial"/>
        </w:rPr>
        <w:t>.</w:t>
      </w:r>
    </w:p>
    <w:p w:rsidRPr="00A12087" w:rsidR="004E1156" w:rsidP="004E1156" w:rsidRDefault="004E1156" w14:paraId="41BD9C9E" w14:textId="77777777">
      <w:pPr>
        <w:pStyle w:val="Sinespaciado"/>
        <w:spacing w:before="120" w:line="276" w:lineRule="auto"/>
        <w:ind w:firstLine="709"/>
        <w:jc w:val="both"/>
        <w:rPr>
          <w:rFonts w:ascii="Century Gothic" w:hAnsi="Century Gothic" w:cs="Arial"/>
          <w:sz w:val="22"/>
        </w:rPr>
      </w:pPr>
      <w:r w:rsidRPr="00A12087">
        <w:rPr>
          <w:rFonts w:ascii="Century Gothic" w:hAnsi="Century Gothic" w:cs="Arial"/>
          <w:sz w:val="22"/>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rsidRPr="00A12087" w:rsidR="004E1156" w:rsidP="004E1156" w:rsidRDefault="004E1156" w14:paraId="222E2FA5" w14:textId="77777777">
      <w:pPr>
        <w:pStyle w:val="Sinespaciado"/>
        <w:spacing w:line="276" w:lineRule="auto"/>
        <w:jc w:val="both"/>
        <w:rPr>
          <w:rFonts w:ascii="Century Gothic" w:hAnsi="Century Gothic" w:cs="Arial"/>
          <w:sz w:val="22"/>
        </w:rPr>
      </w:pPr>
    </w:p>
    <w:p w:rsidRPr="00A12087" w:rsidR="004E1156" w:rsidP="004E1156" w:rsidRDefault="004E1156" w14:paraId="60E6830A" w14:textId="77777777">
      <w:pPr>
        <w:pStyle w:val="NormalWeb"/>
        <w:shd w:val="clear" w:color="auto" w:fill="FFFFFF"/>
        <w:spacing w:before="0" w:beforeAutospacing="0" w:after="120" w:afterAutospacing="0"/>
        <w:ind w:left="709" w:right="709"/>
        <w:jc w:val="both"/>
        <w:rPr>
          <w:rFonts w:ascii="Century Gothic" w:hAnsi="Century Gothic" w:cs="Arial" w:eastAsiaTheme="minorHAnsi"/>
          <w:sz w:val="21"/>
          <w:szCs w:val="21"/>
          <w:lang w:val="es-ES" w:eastAsia="en-US"/>
        </w:rPr>
      </w:pPr>
      <w:r w:rsidRPr="00A12087">
        <w:rPr>
          <w:rFonts w:ascii="Century Gothic" w:hAnsi="Century Gothic" w:cs="Arial" w:eastAsiaTheme="minorHAnsi"/>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rsidRPr="00A12087" w:rsidR="004E1156" w:rsidP="004E1156" w:rsidRDefault="004E1156" w14:paraId="063DF605" w14:textId="77777777">
      <w:pPr>
        <w:pStyle w:val="NormalWeb"/>
        <w:shd w:val="clear" w:color="auto" w:fill="FFFFFF"/>
        <w:spacing w:before="0" w:beforeAutospacing="0" w:after="0" w:afterAutospacing="0"/>
        <w:ind w:left="709" w:right="709"/>
        <w:jc w:val="both"/>
        <w:rPr>
          <w:rFonts w:ascii="Century Gothic" w:hAnsi="Century Gothic" w:cs="Arial" w:eastAsiaTheme="minorHAnsi"/>
          <w:sz w:val="21"/>
          <w:szCs w:val="21"/>
          <w:lang w:val="es-ES" w:eastAsia="en-US"/>
        </w:rPr>
      </w:pPr>
      <w:r w:rsidRPr="00A12087">
        <w:rPr>
          <w:rFonts w:ascii="Century Gothic" w:hAnsi="Century Gothic" w:cs="Arial" w:eastAsiaTheme="minorHAnsi"/>
          <w:sz w:val="21"/>
          <w:szCs w:val="21"/>
          <w:lang w:val="es-ES" w:eastAsia="en-US"/>
        </w:rPr>
        <w:t xml:space="preserve">Adicionalmente, toda vez que la Jurisprudencia Constitucional se ha referido a la protección del Interés General como causa que legitima la estructuración legal de las incompatibilidades e inhabilidades, se puede </w:t>
      </w:r>
      <w:r w:rsidRPr="00A12087">
        <w:rPr>
          <w:rFonts w:ascii="Century Gothic" w:hAnsi="Century Gothic" w:cs="Arial" w:eastAsiaTheme="minorHAnsi"/>
          <w:sz w:val="21"/>
          <w:szCs w:val="21"/>
          <w:lang w:val="es-ES" w:eastAsia="en-US"/>
        </w:rPr>
        <w:t>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A12087">
        <w:rPr>
          <w:rStyle w:val="Refdenotaalpie"/>
          <w:rFonts w:ascii="Century Gothic" w:hAnsi="Century Gothic" w:cs="Arial" w:eastAsiaTheme="minorHAnsi"/>
          <w:sz w:val="21"/>
          <w:szCs w:val="21"/>
          <w:lang w:val="es-ES" w:eastAsia="en-US"/>
        </w:rPr>
        <w:footnoteReference w:id="5"/>
      </w:r>
      <w:r w:rsidRPr="00A12087">
        <w:rPr>
          <w:rFonts w:ascii="Century Gothic" w:hAnsi="Century Gothic" w:cs="Arial" w:eastAsiaTheme="minorHAnsi"/>
          <w:sz w:val="21"/>
          <w:szCs w:val="21"/>
          <w:lang w:val="es-ES" w:eastAsia="en-US"/>
        </w:rPr>
        <w:t>.</w:t>
      </w:r>
    </w:p>
    <w:p w:rsidRPr="00A12087" w:rsidR="004E1156" w:rsidP="004E1156" w:rsidRDefault="004E1156" w14:paraId="1213DA10" w14:textId="77777777">
      <w:pPr>
        <w:pStyle w:val="NormalWeb"/>
        <w:shd w:val="clear" w:color="auto" w:fill="FFFFFF"/>
        <w:spacing w:before="0" w:beforeAutospacing="0" w:after="0" w:afterAutospacing="0" w:line="276" w:lineRule="auto"/>
        <w:ind w:left="709" w:right="709"/>
        <w:jc w:val="both"/>
        <w:rPr>
          <w:rFonts w:ascii="Century Gothic" w:hAnsi="Century Gothic" w:cs="Arial" w:eastAsiaTheme="minorHAnsi"/>
          <w:sz w:val="22"/>
          <w:szCs w:val="22"/>
          <w:lang w:val="es-ES" w:eastAsia="en-US"/>
        </w:rPr>
      </w:pPr>
    </w:p>
    <w:p w:rsidRPr="00A12087" w:rsidR="004E1156" w:rsidP="004E1156" w:rsidRDefault="004E1156" w14:paraId="1EA14CCA" w14:textId="77777777">
      <w:pPr>
        <w:pStyle w:val="Sinespaciado"/>
        <w:spacing w:line="276" w:lineRule="auto"/>
        <w:ind w:firstLine="709"/>
        <w:jc w:val="both"/>
        <w:rPr>
          <w:rFonts w:ascii="Century Gothic" w:hAnsi="Century Gothic" w:cs="Arial"/>
          <w:sz w:val="22"/>
        </w:rPr>
      </w:pPr>
      <w:r w:rsidRPr="00A12087">
        <w:rPr>
          <w:rFonts w:ascii="Century Gothic" w:hAnsi="Century Gothic"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rsidRPr="00A12087" w:rsidR="004E1156" w:rsidP="004E1156" w:rsidRDefault="004E1156" w14:paraId="2D0BA4F8" w14:textId="77777777">
      <w:pPr>
        <w:pStyle w:val="Sinespaciado"/>
        <w:spacing w:line="276" w:lineRule="auto"/>
        <w:ind w:firstLine="709"/>
        <w:jc w:val="both"/>
        <w:rPr>
          <w:rFonts w:ascii="Century Gothic" w:hAnsi="Century Gothic" w:cs="Arial"/>
          <w:sz w:val="22"/>
        </w:rPr>
      </w:pPr>
    </w:p>
    <w:p w:rsidRPr="00A12087" w:rsidR="004E1156" w:rsidP="004E1156" w:rsidRDefault="004E1156" w14:paraId="32C491CA" w14:textId="77777777">
      <w:pPr>
        <w:spacing w:line="240" w:lineRule="auto"/>
        <w:ind w:left="709" w:right="709"/>
        <w:jc w:val="both"/>
        <w:rPr>
          <w:rFonts w:ascii="Century Gothic" w:hAnsi="Century Gothic" w:cs="Arial"/>
          <w:sz w:val="21"/>
          <w:szCs w:val="21"/>
        </w:rPr>
      </w:pPr>
      <w:r w:rsidRPr="00A12087">
        <w:rPr>
          <w:rFonts w:ascii="Century Gothic" w:hAnsi="Century Gothic"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A12087">
        <w:rPr>
          <w:rFonts w:ascii="Century Gothic" w:hAnsi="Century Gothic" w:cs="Arial"/>
          <w:sz w:val="21"/>
          <w:szCs w:val="21"/>
        </w:rPr>
        <w:t>incompatibilidades,</w:t>
      </w:r>
      <w:proofErr w:type="gramEnd"/>
      <w:r w:rsidRPr="00A12087">
        <w:rPr>
          <w:rFonts w:ascii="Century Gothic" w:hAnsi="Century Gothic" w:cs="Arial"/>
          <w:sz w:val="21"/>
          <w:szCs w:val="21"/>
        </w:rPr>
        <w:t xml:space="preserve"> se erige en causal de nulidad del contrato celebrado en esas condiciones (ley 80 de 1993, art. 44).</w:t>
      </w:r>
    </w:p>
    <w:p w:rsidRPr="00A12087" w:rsidR="004E1156" w:rsidP="004E1156" w:rsidRDefault="004E1156" w14:paraId="3A19C81A" w14:textId="77777777">
      <w:pPr>
        <w:spacing w:after="0" w:line="240" w:lineRule="auto"/>
        <w:ind w:left="709" w:right="709"/>
        <w:jc w:val="both"/>
        <w:rPr>
          <w:rFonts w:ascii="Century Gothic" w:hAnsi="Century Gothic" w:cs="Arial"/>
          <w:sz w:val="21"/>
          <w:szCs w:val="21"/>
        </w:rPr>
      </w:pPr>
      <w:r w:rsidRPr="00A12087">
        <w:rPr>
          <w:rFonts w:ascii="Century Gothic" w:hAnsi="Century Gothic" w:cs="Arial"/>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w:t>
      </w:r>
      <w:r w:rsidRPr="00A12087">
        <w:rPr>
          <w:rFonts w:ascii="Century Gothic" w:hAnsi="Century Gothic" w:cs="Arial"/>
          <w:sz w:val="21"/>
          <w:szCs w:val="21"/>
        </w:rPr>
        <w:t>reconocimiento de la personalidad jurídica de las personas que resultan rechazadas del ámbito contractual del Estado”</w:t>
      </w:r>
      <w:r w:rsidRPr="00A12087">
        <w:rPr>
          <w:rStyle w:val="Refdenotaalpie"/>
          <w:rFonts w:ascii="Century Gothic" w:hAnsi="Century Gothic" w:cs="Arial"/>
          <w:sz w:val="21"/>
          <w:szCs w:val="21"/>
        </w:rPr>
        <w:footnoteReference w:id="6"/>
      </w:r>
      <w:r w:rsidRPr="00A12087">
        <w:rPr>
          <w:rFonts w:ascii="Century Gothic" w:hAnsi="Century Gothic" w:cs="Arial"/>
          <w:sz w:val="21"/>
          <w:szCs w:val="21"/>
        </w:rPr>
        <w:t>.</w:t>
      </w:r>
    </w:p>
    <w:p w:rsidRPr="00A12087" w:rsidR="004E1156" w:rsidP="004E1156" w:rsidRDefault="004E1156" w14:paraId="0A1E5F7F" w14:textId="77777777">
      <w:pPr>
        <w:spacing w:after="0" w:line="276" w:lineRule="auto"/>
        <w:ind w:right="709"/>
        <w:jc w:val="both"/>
        <w:rPr>
          <w:rFonts w:ascii="Century Gothic" w:hAnsi="Century Gothic" w:cs="Arial"/>
        </w:rPr>
      </w:pPr>
    </w:p>
    <w:p w:rsidRPr="00A12087" w:rsidR="004E1156" w:rsidP="004E1156" w:rsidRDefault="004E1156" w14:paraId="4A423AA4" w14:textId="77777777">
      <w:pPr>
        <w:spacing w:after="0" w:line="276" w:lineRule="auto"/>
        <w:ind w:firstLine="709"/>
        <w:jc w:val="both"/>
        <w:rPr>
          <w:rFonts w:ascii="Century Gothic" w:hAnsi="Century Gothic" w:cs="Arial"/>
        </w:rPr>
      </w:pPr>
      <w:r w:rsidRPr="00A12087">
        <w:rPr>
          <w:rFonts w:ascii="Century Gothic" w:hAnsi="Century Gothic"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rsidRPr="00A12087" w:rsidR="004E1156" w:rsidP="004E1156" w:rsidRDefault="004E1156" w14:paraId="69D0858F" w14:textId="77777777">
      <w:pPr>
        <w:pStyle w:val="Sinespaciado"/>
        <w:tabs>
          <w:tab w:val="left" w:pos="1532"/>
        </w:tabs>
        <w:spacing w:line="276" w:lineRule="auto"/>
        <w:jc w:val="both"/>
        <w:rPr>
          <w:rFonts w:ascii="Century Gothic" w:hAnsi="Century Gothic" w:cs="Arial"/>
          <w:sz w:val="22"/>
        </w:rPr>
      </w:pPr>
    </w:p>
    <w:p w:rsidRPr="00A12087" w:rsidR="004E1156" w:rsidP="004E1156" w:rsidRDefault="004E1156" w14:paraId="7FA0B2EF" w14:textId="77777777">
      <w:pPr>
        <w:spacing w:after="0" w:line="240" w:lineRule="auto"/>
        <w:ind w:left="709" w:right="709"/>
        <w:jc w:val="both"/>
        <w:rPr>
          <w:rFonts w:ascii="Century Gothic" w:hAnsi="Century Gothic" w:cs="Arial"/>
          <w:sz w:val="21"/>
          <w:szCs w:val="21"/>
        </w:rPr>
      </w:pPr>
      <w:r w:rsidRPr="00A12087">
        <w:rPr>
          <w:rFonts w:ascii="Century Gothic" w:hAnsi="Century Gothic" w:cs="Arial"/>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A12087">
        <w:rPr>
          <w:rFonts w:ascii="Century Gothic" w:hAnsi="Century Gothic" w:cs="Arial"/>
          <w:i/>
          <w:iCs/>
          <w:sz w:val="21"/>
          <w:szCs w:val="21"/>
        </w:rPr>
        <w:t xml:space="preserve">pro </w:t>
      </w:r>
      <w:proofErr w:type="spellStart"/>
      <w:r w:rsidRPr="00A12087">
        <w:rPr>
          <w:rFonts w:ascii="Century Gothic" w:hAnsi="Century Gothic" w:cs="Arial"/>
          <w:i/>
          <w:iCs/>
          <w:sz w:val="21"/>
          <w:szCs w:val="21"/>
        </w:rPr>
        <w:t>libertate</w:t>
      </w:r>
      <w:proofErr w:type="spellEnd"/>
      <w:r w:rsidRPr="00A12087">
        <w:rPr>
          <w:rFonts w:ascii="Century Gothic" w:hAnsi="Century Gothic" w:cs="Arial"/>
          <w:sz w:val="21"/>
          <w:szCs w:val="21"/>
        </w:rPr>
        <w:t xml:space="preserve">, sino el de legalidad, el que ordena que la función pública debe someterse estrictamente a lo que disponga la Constitución y la ley (CP art. 6). </w:t>
      </w:r>
    </w:p>
    <w:p w:rsidRPr="00A12087" w:rsidR="004E1156" w:rsidP="004E1156" w:rsidRDefault="004E1156" w14:paraId="52FD81EB" w14:textId="77777777">
      <w:pPr>
        <w:spacing w:after="120" w:line="240" w:lineRule="auto"/>
        <w:ind w:left="709" w:right="709"/>
        <w:jc w:val="both"/>
        <w:rPr>
          <w:rFonts w:ascii="Century Gothic" w:hAnsi="Century Gothic" w:cs="Arial"/>
          <w:sz w:val="21"/>
          <w:szCs w:val="21"/>
        </w:rPr>
      </w:pPr>
      <w:r w:rsidRPr="00A12087">
        <w:rPr>
          <w:rFonts w:ascii="Century Gothic" w:hAnsi="Century Gothic" w:cs="Arial"/>
          <w:sz w:val="21"/>
          <w:szCs w:val="21"/>
        </w:rPr>
        <w:t xml:space="preserve">[…] </w:t>
      </w:r>
    </w:p>
    <w:p w:rsidRPr="00A12087" w:rsidR="004E1156" w:rsidP="004E1156" w:rsidRDefault="004E1156" w14:paraId="626E0164" w14:textId="77777777">
      <w:pPr>
        <w:spacing w:after="0" w:line="240" w:lineRule="auto"/>
        <w:ind w:left="709" w:right="709"/>
        <w:jc w:val="both"/>
        <w:rPr>
          <w:rFonts w:ascii="Century Gothic" w:hAnsi="Century Gothic" w:cs="Arial"/>
          <w:sz w:val="21"/>
          <w:szCs w:val="21"/>
        </w:rPr>
      </w:pPr>
      <w:r w:rsidRPr="00A12087">
        <w:rPr>
          <w:rFonts w:ascii="Century Gothic" w:hAnsi="Century Gothic" w:cs="Arial"/>
          <w:sz w:val="21"/>
          <w:szCs w:val="21"/>
        </w:rPr>
        <w:t xml:space="preserve">Se comprende con facilidad que el régimen de inhabilidades e </w:t>
      </w:r>
      <w:proofErr w:type="gramStart"/>
      <w:r w:rsidRPr="00A12087">
        <w:rPr>
          <w:rFonts w:ascii="Century Gothic" w:hAnsi="Century Gothic" w:cs="Arial"/>
          <w:sz w:val="21"/>
          <w:szCs w:val="21"/>
        </w:rPr>
        <w:t>incompatibilidades,</w:t>
      </w:r>
      <w:proofErr w:type="gramEnd"/>
      <w:r w:rsidRPr="00A12087">
        <w:rPr>
          <w:rFonts w:ascii="Century Gothic" w:hAnsi="Century Gothic" w:cs="Arial"/>
          <w:sz w:val="21"/>
          <w:szCs w:val="21"/>
        </w:rPr>
        <w:t xml:space="preserve"> corresponde a una materia de normal y obligada inclusión en un estatuto contractual. El legislador, a quien se ha confiado expedir el indicado estatuto, tiene, pues, competencia para establecerlo (CP art. 150)”</w:t>
      </w:r>
      <w:r w:rsidRPr="00A12087">
        <w:rPr>
          <w:rStyle w:val="Refdenotaalpie"/>
          <w:rFonts w:ascii="Century Gothic" w:hAnsi="Century Gothic" w:cs="Arial"/>
          <w:sz w:val="21"/>
          <w:szCs w:val="21"/>
        </w:rPr>
        <w:footnoteReference w:id="7"/>
      </w:r>
      <w:r w:rsidRPr="00A12087">
        <w:rPr>
          <w:rFonts w:ascii="Century Gothic" w:hAnsi="Century Gothic" w:cs="Arial"/>
          <w:sz w:val="21"/>
          <w:szCs w:val="21"/>
        </w:rPr>
        <w:t>.</w:t>
      </w:r>
    </w:p>
    <w:p w:rsidRPr="00A12087" w:rsidR="004E1156" w:rsidP="004E1156" w:rsidRDefault="004E1156" w14:paraId="31383E2F" w14:textId="77777777">
      <w:pPr>
        <w:spacing w:after="0" w:line="276" w:lineRule="auto"/>
        <w:ind w:left="709" w:right="709"/>
        <w:jc w:val="both"/>
        <w:rPr>
          <w:rFonts w:ascii="Century Gothic" w:hAnsi="Century Gothic" w:cs="Arial"/>
        </w:rPr>
      </w:pPr>
    </w:p>
    <w:p w:rsidRPr="00A12087" w:rsidR="004E1156" w:rsidP="004E1156" w:rsidRDefault="004E1156" w14:paraId="55B65748" w14:textId="77777777">
      <w:pPr>
        <w:spacing w:after="0" w:line="276" w:lineRule="auto"/>
        <w:ind w:firstLine="709"/>
        <w:jc w:val="both"/>
        <w:rPr>
          <w:rFonts w:ascii="Century Gothic" w:hAnsi="Century Gothic" w:cs="Arial"/>
        </w:rPr>
      </w:pPr>
      <w:r w:rsidRPr="00A12087">
        <w:rPr>
          <w:rFonts w:ascii="Century Gothic" w:hAnsi="Century Gothic" w:cs="Arial"/>
        </w:rPr>
        <w:t xml:space="preserve">Conviene también distinguir las fuentes de las inhabilidades, las cuales han sido clasificadas en dos (2) grupos: i) inhabilidades-sanción y </w:t>
      </w:r>
      <w:proofErr w:type="spellStart"/>
      <w:r w:rsidRPr="00A12087">
        <w:rPr>
          <w:rFonts w:ascii="Century Gothic" w:hAnsi="Century Gothic" w:cs="Arial"/>
        </w:rPr>
        <w:t>ii</w:t>
      </w:r>
      <w:proofErr w:type="spellEnd"/>
      <w:r w:rsidRPr="00A12087">
        <w:rPr>
          <w:rFonts w:ascii="Century Gothic" w:hAnsi="Century Gothic" w:cs="Arial"/>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A12087">
        <w:rPr>
          <w:rStyle w:val="Refdenotaalpie"/>
          <w:rFonts w:ascii="Century Gothic" w:hAnsi="Century Gothic" w:cs="Arial"/>
        </w:rPr>
        <w:footnoteReference w:id="8"/>
      </w:r>
      <w:r w:rsidRPr="00A12087">
        <w:rPr>
          <w:rFonts w:ascii="Century Gothic" w:hAnsi="Century Gothic" w:cs="Arial"/>
        </w:rPr>
        <w:t>.</w:t>
      </w:r>
    </w:p>
    <w:p w:rsidRPr="00A12087" w:rsidR="004E1156" w:rsidP="004E1156" w:rsidRDefault="004E1156" w14:paraId="4F3F4690" w14:textId="7330AF19">
      <w:pPr>
        <w:spacing w:before="120" w:after="120" w:line="276" w:lineRule="auto"/>
        <w:ind w:firstLine="709"/>
        <w:jc w:val="both"/>
        <w:rPr>
          <w:rFonts w:ascii="Century Gothic" w:hAnsi="Century Gothic" w:cs="Arial"/>
        </w:rPr>
      </w:pPr>
      <w:r w:rsidRPr="00A12087">
        <w:rPr>
          <w:rFonts w:ascii="Century Gothic" w:hAnsi="Century Gothic" w:cs="Arial"/>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name="_Hlk40976328" w:id="5"/>
      <w:r w:rsidRPr="00A12087">
        <w:rPr>
          <w:rFonts w:ascii="Century Gothic" w:hAnsi="Century Gothic"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5"/>
    </w:p>
    <w:p w:rsidRPr="00A12087" w:rsidR="004E1156" w:rsidP="004E1156" w:rsidRDefault="004E1156" w14:paraId="4982E13F" w14:textId="2B05229C">
      <w:pPr>
        <w:spacing w:after="120" w:line="276" w:lineRule="auto"/>
        <w:ind w:firstLine="708"/>
        <w:jc w:val="both"/>
        <w:rPr>
          <w:rFonts w:ascii="Century Gothic" w:hAnsi="Century Gothic" w:eastAsia="Calibri" w:cs="Arial"/>
          <w:lang w:val="es-ES_tradnl"/>
        </w:rPr>
      </w:pPr>
      <w:r w:rsidRPr="00A12087">
        <w:rPr>
          <w:rFonts w:ascii="Century Gothic" w:hAnsi="Century Gothic" w:eastAsia="Calibri" w:cs="Arial"/>
          <w:i/>
          <w:iCs/>
          <w:lang w:val="es-ES_tradnl"/>
        </w:rPr>
        <w:t>Igualmente</w:t>
      </w:r>
      <w:r w:rsidRPr="00A12087">
        <w:rPr>
          <w:rFonts w:ascii="Century Gothic" w:hAnsi="Century Gothic" w:eastAsia="Calibri" w:cs="Arial"/>
          <w:lang w:val="es-ES_tradnl"/>
        </w:rPr>
        <w:t xml:space="preserve">, </w:t>
      </w:r>
      <w:bookmarkStart w:name="_Hlk135133412" w:id="6"/>
      <w:r w:rsidRPr="00A12087">
        <w:rPr>
          <w:rFonts w:ascii="Century Gothic" w:hAnsi="Century Gothic" w:eastAsia="Calibri" w:cs="Arial"/>
          <w:lang w:val="es-ES_tradnl"/>
        </w:rPr>
        <w:t xml:space="preserve">en la contratación estatal, la </w:t>
      </w:r>
      <w:r w:rsidRPr="00A12087">
        <w:rPr>
          <w:rFonts w:ascii="Century Gothic" w:hAnsi="Century Gothic" w:eastAsia="Calibri" w:cs="Arial"/>
          <w:i/>
          <w:iCs/>
          <w:lang w:val="es-ES_tradnl"/>
        </w:rPr>
        <w:t>capacidad</w:t>
      </w:r>
      <w:r w:rsidRPr="00A12087">
        <w:rPr>
          <w:rFonts w:ascii="Century Gothic" w:hAnsi="Century Gothic" w:eastAsia="Calibri" w:cs="Arial"/>
          <w:lang w:val="es-ES_tradnl"/>
        </w:rPr>
        <w:t xml:space="preserve"> también es un requisito de validez de los contratos, tanto en el régimen de las entidades sujetas al Estatuto General de Contratación de la Administración Pública como en el de las entidades exceptuadas de aquel</w:t>
      </w:r>
      <w:r w:rsidRPr="00A12087">
        <w:rPr>
          <w:rStyle w:val="Refdenotaalpie"/>
          <w:rFonts w:ascii="Century Gothic" w:hAnsi="Century Gothic" w:eastAsia="Calibri" w:cs="Arial"/>
          <w:lang w:val="es-ES_tradnl"/>
        </w:rPr>
        <w:footnoteReference w:id="9"/>
      </w:r>
      <w:r w:rsidRPr="00A12087">
        <w:rPr>
          <w:rFonts w:ascii="Century Gothic" w:hAnsi="Century Gothic" w:eastAsia="Calibri"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A12087">
        <w:rPr>
          <w:rStyle w:val="Refdenotaalpie"/>
          <w:rFonts w:ascii="Century Gothic" w:hAnsi="Century Gothic" w:eastAsia="Calibri" w:cs="Arial"/>
          <w:lang w:val="es-ES_tradnl"/>
        </w:rPr>
        <w:footnoteReference w:id="10"/>
      </w:r>
      <w:r w:rsidRPr="00A12087">
        <w:rPr>
          <w:rFonts w:ascii="Century Gothic" w:hAnsi="Century Gothic" w:eastAsia="Calibri" w:cs="Arial"/>
          <w:lang w:val="es-ES_tradnl"/>
        </w:rPr>
        <w:t xml:space="preserve">–, se destaca el régimen de inhabilidades e incompatibilidades como un conjunto de </w:t>
      </w:r>
      <w:r w:rsidRPr="00A12087">
        <w:rPr>
          <w:rFonts w:ascii="Century Gothic" w:hAnsi="Century Gothic" w:eastAsia="Calibri" w:cs="Arial"/>
          <w:lang w:val="es-ES_tradnl"/>
        </w:rPr>
        <w:t>normas que imponen restricciones para los sujetos que, eventualmente, pretendan participar en los procedimientos de selección o celebrar contratos con las entidades estatales</w:t>
      </w:r>
      <w:r w:rsidRPr="00A12087">
        <w:rPr>
          <w:rStyle w:val="Refdenotaalpie"/>
          <w:rFonts w:ascii="Century Gothic" w:hAnsi="Century Gothic" w:eastAsia="Calibri" w:cs="Arial"/>
          <w:lang w:val="es-ES_tradnl"/>
        </w:rPr>
        <w:footnoteReference w:id="11"/>
      </w:r>
      <w:r w:rsidRPr="00A12087">
        <w:rPr>
          <w:rFonts w:ascii="Century Gothic" w:hAnsi="Century Gothic" w:eastAsia="Calibri" w:cs="Arial"/>
          <w:lang w:val="es-ES_tradnl"/>
        </w:rPr>
        <w:t>.</w:t>
      </w:r>
    </w:p>
    <w:p w:rsidRPr="00A12087" w:rsidR="004E1156" w:rsidP="004E1156" w:rsidRDefault="004E1156" w14:paraId="3D080D0C" w14:textId="21E20330">
      <w:pPr>
        <w:spacing w:after="120" w:line="276" w:lineRule="auto"/>
        <w:ind w:firstLine="709"/>
        <w:jc w:val="both"/>
        <w:rPr>
          <w:rFonts w:ascii="Century Gothic" w:hAnsi="Century Gothic" w:eastAsia="Calibri" w:cs="Arial"/>
          <w:lang w:val="es-ES_tradnl"/>
        </w:rPr>
      </w:pPr>
      <w:r w:rsidRPr="00A12087">
        <w:rPr>
          <w:rFonts w:ascii="Century Gothic" w:hAnsi="Century Gothic" w:eastAsia="Calibri" w:cs="Arial"/>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A12087">
        <w:rPr>
          <w:rFonts w:ascii="Century Gothic" w:hAnsi="Century Gothic" w:eastAsia="Calibri" w:cs="Arial"/>
          <w:lang w:val="es-ES_tradnl"/>
        </w:rPr>
        <w:t>ii</w:t>
      </w:r>
      <w:proofErr w:type="spellEnd"/>
      <w:r w:rsidRPr="00A12087">
        <w:rPr>
          <w:rFonts w:ascii="Century Gothic" w:hAnsi="Century Gothic" w:eastAsia="Calibri" w:cs="Arial"/>
          <w:lang w:val="es-ES_tradnl"/>
        </w:rPr>
        <w:t xml:space="preserve">) de vínculos personales relativos al parentesco o al estado civil o </w:t>
      </w:r>
      <w:proofErr w:type="spellStart"/>
      <w:r w:rsidRPr="00A12087">
        <w:rPr>
          <w:rFonts w:ascii="Century Gothic" w:hAnsi="Century Gothic" w:eastAsia="Calibri" w:cs="Arial"/>
          <w:lang w:val="es-ES_tradnl"/>
        </w:rPr>
        <w:t>iii</w:t>
      </w:r>
      <w:proofErr w:type="spellEnd"/>
      <w:r w:rsidRPr="00A12087">
        <w:rPr>
          <w:rFonts w:ascii="Century Gothic" w:hAnsi="Century Gothic" w:eastAsia="Calibri" w:cs="Arial"/>
          <w:lang w:val="es-ES_tradnl"/>
        </w:rPr>
        <w:t>) de una actividad u oficio que se desempeñó en el pasado</w:t>
      </w:r>
      <w:r w:rsidRPr="00A12087">
        <w:rPr>
          <w:rStyle w:val="Refdenotaalpie"/>
          <w:rFonts w:ascii="Century Gothic" w:hAnsi="Century Gothic" w:eastAsia="Calibri" w:cs="Arial"/>
          <w:lang w:val="es-ES_tradnl"/>
        </w:rPr>
        <w:footnoteReference w:id="12"/>
      </w:r>
      <w:r w:rsidRPr="00A12087">
        <w:rPr>
          <w:rFonts w:ascii="Century Gothic" w:hAnsi="Century Gothic" w:eastAsia="Calibri" w:cs="Arial"/>
          <w:lang w:val="es-ES_tradnl"/>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sidRPr="00A12087">
        <w:rPr>
          <w:rStyle w:val="Refdenotaalpie"/>
          <w:rFonts w:ascii="Century Gothic" w:hAnsi="Century Gothic" w:eastAsia="Calibri" w:cs="Arial"/>
          <w:lang w:val="es-ES_tradnl"/>
        </w:rPr>
        <w:footnoteReference w:id="13"/>
      </w:r>
      <w:r w:rsidRPr="00A12087">
        <w:rPr>
          <w:rFonts w:ascii="Century Gothic" w:hAnsi="Century Gothic" w:eastAsia="Calibri" w:cs="Arial"/>
          <w:lang w:val="es-ES_tradnl"/>
        </w:rPr>
        <w:t>.</w:t>
      </w:r>
    </w:p>
    <w:bookmarkEnd w:id="6"/>
    <w:p w:rsidRPr="00A12087" w:rsidR="004E1156" w:rsidP="004E1156" w:rsidRDefault="004E1156" w14:paraId="78E9530F" w14:textId="77777777">
      <w:pPr>
        <w:spacing w:before="120" w:after="120" w:line="276" w:lineRule="auto"/>
        <w:ind w:firstLine="709"/>
        <w:jc w:val="both"/>
        <w:rPr>
          <w:rFonts w:ascii="Century Gothic" w:hAnsi="Century Gothic" w:eastAsia="Calibri" w:cs="Arial"/>
          <w:lang w:val="es-ES_tradnl"/>
        </w:rPr>
      </w:pPr>
      <w:r w:rsidRPr="00A12087">
        <w:rPr>
          <w:rFonts w:ascii="Century Gothic" w:hAnsi="Century Gothic" w:eastAsia="Calibri" w:cs="Arial"/>
          <w:lang w:val="es-ES_tradnl"/>
        </w:rPr>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A12087">
        <w:rPr>
          <w:rFonts w:ascii="Century Gothic" w:hAnsi="Century Gothic" w:eastAsia="Calibri" w:cs="Arial"/>
          <w:lang w:val="es-ES_tradnl"/>
        </w:rPr>
        <w:t>neopunitiva</w:t>
      </w:r>
      <w:proofErr w:type="spellEnd"/>
      <w:r w:rsidRPr="00A12087">
        <w:rPr>
          <w:rFonts w:ascii="Century Gothic" w:hAnsi="Century Gothic" w:eastAsia="Calibri" w:cs="Arial"/>
          <w:lang w:val="es-ES_tradnl"/>
        </w:rPr>
        <w:t>”</w:t>
      </w:r>
      <w:r w:rsidRPr="00A12087">
        <w:rPr>
          <w:rStyle w:val="Refdenotaalpie"/>
          <w:rFonts w:ascii="Century Gothic" w:hAnsi="Century Gothic" w:eastAsia="Calibri" w:cs="Arial"/>
          <w:lang w:val="es-ES_tradnl"/>
        </w:rPr>
        <w:footnoteReference w:id="14"/>
      </w:r>
      <w:r w:rsidRPr="00A12087">
        <w:rPr>
          <w:rFonts w:ascii="Century Gothic" w:hAnsi="Century Gothic" w:eastAsia="Calibri" w:cs="Arial"/>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rsidRPr="00A12087" w:rsidR="004E1156" w:rsidP="004E1156" w:rsidRDefault="004E1156" w14:paraId="2A244E27" w14:textId="77777777">
      <w:pPr>
        <w:spacing w:before="120" w:after="120" w:line="276" w:lineRule="auto"/>
        <w:ind w:firstLine="709"/>
        <w:jc w:val="both"/>
        <w:rPr>
          <w:rFonts w:ascii="Century Gothic" w:hAnsi="Century Gothic" w:eastAsia="Calibri" w:cs="Arial"/>
          <w:lang w:val="es-ES_tradnl"/>
        </w:rPr>
      </w:pPr>
      <w:r w:rsidRPr="00A12087">
        <w:rPr>
          <w:rFonts w:ascii="Century Gothic" w:hAnsi="Century Gothic" w:eastAsia="Calibri"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A12087">
        <w:rPr>
          <w:rFonts w:ascii="Century Gothic" w:hAnsi="Century Gothic" w:eastAsia="Calibri" w:cs="Arial"/>
          <w:i/>
          <w:iCs/>
          <w:lang w:val="es-ES_tradnl"/>
        </w:rPr>
        <w:t>restrictiva</w:t>
      </w:r>
      <w:r w:rsidRPr="00A12087">
        <w:rPr>
          <w:rStyle w:val="Refdenotaalpie"/>
          <w:rFonts w:ascii="Century Gothic" w:hAnsi="Century Gothic" w:eastAsia="Calibri" w:cs="Arial"/>
          <w:i/>
          <w:iCs/>
          <w:lang w:val="es-ES_tradnl"/>
        </w:rPr>
        <w:footnoteReference w:id="15"/>
      </w:r>
      <w:r w:rsidRPr="00A12087">
        <w:rPr>
          <w:rFonts w:ascii="Century Gothic" w:hAnsi="Century Gothic" w:eastAsia="Calibri" w:cs="Arial"/>
          <w:i/>
          <w:iCs/>
          <w:lang w:val="es-ES_tradnl"/>
        </w:rPr>
        <w:t xml:space="preserve">, </w:t>
      </w:r>
      <w:r w:rsidRPr="00A12087">
        <w:rPr>
          <w:rFonts w:ascii="Century Gothic" w:hAnsi="Century Gothic" w:eastAsia="Calibri"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rsidRPr="00A12087" w:rsidR="004E1156" w:rsidP="004E1156" w:rsidRDefault="004E1156" w14:paraId="4DD6F0A1" w14:textId="77777777">
      <w:pPr>
        <w:spacing w:after="0" w:line="276" w:lineRule="auto"/>
        <w:ind w:firstLine="709"/>
        <w:jc w:val="both"/>
        <w:rPr>
          <w:rFonts w:ascii="Century Gothic" w:hAnsi="Century Gothic" w:eastAsia="Calibri" w:cs="Arial"/>
          <w:lang w:val="es-ES_tradnl"/>
        </w:rPr>
      </w:pPr>
      <w:r w:rsidRPr="00A12087">
        <w:rPr>
          <w:rFonts w:ascii="Century Gothic" w:hAnsi="Century Gothic" w:eastAsia="Calibri" w:cs="Arial"/>
          <w:lang w:val="es-ES_tradnl"/>
        </w:rPr>
        <w:t xml:space="preserve">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w:t>
      </w:r>
      <w:r w:rsidRPr="00A12087">
        <w:rPr>
          <w:rFonts w:ascii="Century Gothic" w:hAnsi="Century Gothic" w:eastAsia="Calibri" w:cs="Arial"/>
          <w:lang w:val="es-ES_tradnl"/>
        </w:rPr>
        <w:t>ampliar el alcance de las causales legalmente fijadas”</w:t>
      </w:r>
      <w:r w:rsidRPr="00A12087">
        <w:rPr>
          <w:rStyle w:val="Refdenotaalpie"/>
          <w:rFonts w:ascii="Century Gothic" w:hAnsi="Century Gothic" w:eastAsia="Calibri" w:cs="Arial"/>
          <w:lang w:val="es-ES_tradnl"/>
        </w:rPr>
        <w:footnoteReference w:id="16"/>
      </w:r>
      <w:r w:rsidRPr="00A12087">
        <w:rPr>
          <w:rFonts w:ascii="Century Gothic" w:hAnsi="Century Gothic" w:eastAsia="Calibri" w:cs="Arial"/>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A12087">
        <w:rPr>
          <w:rStyle w:val="Refdenotaalpie"/>
          <w:rFonts w:ascii="Century Gothic" w:hAnsi="Century Gothic" w:eastAsia="Calibri" w:cs="Arial"/>
          <w:lang w:val="es-ES_tradnl"/>
        </w:rPr>
        <w:footnoteReference w:id="17"/>
      </w:r>
      <w:r w:rsidRPr="00A12087">
        <w:rPr>
          <w:rFonts w:ascii="Century Gothic" w:hAnsi="Century Gothic" w:eastAsia="Calibri" w:cs="Arial"/>
          <w:lang w:val="es-ES_tradnl"/>
        </w:rPr>
        <w:t>. En tal sentido, la Sección Tercera ha señalado que:</w:t>
      </w:r>
    </w:p>
    <w:p w:rsidRPr="00A12087" w:rsidR="004E1156" w:rsidP="004E1156" w:rsidRDefault="004E1156" w14:paraId="49DA2EBF" w14:textId="77777777">
      <w:pPr>
        <w:spacing w:after="0"/>
        <w:ind w:firstLine="709"/>
        <w:jc w:val="both"/>
        <w:rPr>
          <w:rFonts w:ascii="Century Gothic" w:hAnsi="Century Gothic" w:eastAsia="Calibri" w:cs="Arial"/>
          <w:lang w:val="es-ES_tradnl"/>
        </w:rPr>
      </w:pPr>
    </w:p>
    <w:p w:rsidRPr="00A12087" w:rsidR="004E1156" w:rsidP="004E1156" w:rsidRDefault="004E1156" w14:paraId="5240428E" w14:textId="77777777">
      <w:pPr>
        <w:spacing w:after="0" w:line="240" w:lineRule="auto"/>
        <w:ind w:left="709" w:right="709"/>
        <w:jc w:val="both"/>
        <w:rPr>
          <w:rFonts w:ascii="Century Gothic" w:hAnsi="Century Gothic" w:eastAsia="Calibri" w:cs="Arial"/>
          <w:lang w:val="es-ES_tradnl"/>
        </w:rPr>
      </w:pPr>
      <w:r w:rsidRPr="00A12087">
        <w:rPr>
          <w:rFonts w:ascii="Century Gothic" w:hAnsi="Century Gothic"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A12087">
        <w:rPr>
          <w:rStyle w:val="Refdenotaalpie"/>
          <w:rFonts w:ascii="Century Gothic" w:hAnsi="Century Gothic" w:cs="Arial"/>
          <w:sz w:val="21"/>
          <w:szCs w:val="21"/>
          <w:lang w:val="es-ES_tradnl"/>
        </w:rPr>
        <w:footnoteReference w:id="18"/>
      </w:r>
      <w:r w:rsidRPr="00A12087">
        <w:rPr>
          <w:rFonts w:ascii="Century Gothic" w:hAnsi="Century Gothic" w:cs="Arial"/>
          <w:sz w:val="21"/>
          <w:szCs w:val="21"/>
          <w:lang w:val="es-ES_tradnl"/>
        </w:rPr>
        <w:t>.</w:t>
      </w:r>
    </w:p>
    <w:p w:rsidRPr="00A12087" w:rsidR="004E1156" w:rsidP="004E1156" w:rsidRDefault="004E1156" w14:paraId="06463461" w14:textId="77777777">
      <w:pPr>
        <w:spacing w:after="0" w:line="276" w:lineRule="auto"/>
        <w:ind w:firstLine="709"/>
        <w:jc w:val="both"/>
        <w:rPr>
          <w:rFonts w:ascii="Century Gothic" w:hAnsi="Century Gothic" w:eastAsia="Calibri" w:cs="Arial"/>
          <w:lang w:val="es-ES_tradnl"/>
        </w:rPr>
      </w:pPr>
    </w:p>
    <w:p w:rsidRPr="00A12087" w:rsidR="004E1156" w:rsidP="004E1156" w:rsidRDefault="004E1156" w14:paraId="4E542B34" w14:textId="77777777">
      <w:pPr>
        <w:ind w:firstLine="709"/>
        <w:jc w:val="both"/>
        <w:rPr>
          <w:rFonts w:ascii="Century Gothic" w:hAnsi="Century Gothic" w:eastAsia="Calibri" w:cs="Arial"/>
          <w:lang w:val="es-ES_tradnl"/>
        </w:rPr>
      </w:pPr>
      <w:r w:rsidRPr="00A12087">
        <w:rPr>
          <w:rFonts w:ascii="Century Gothic" w:hAnsi="Century Gothic" w:eastAsia="Calibri" w:cs="Arial"/>
          <w:lang w:val="es-ES_tradnl"/>
        </w:rPr>
        <w:t>También ha dicho que:</w:t>
      </w:r>
    </w:p>
    <w:p w:rsidRPr="00A12087" w:rsidR="004E1156" w:rsidP="004E1156" w:rsidRDefault="004E1156" w14:paraId="0E0A4C0D" w14:textId="77777777">
      <w:pPr>
        <w:spacing w:after="0" w:line="240" w:lineRule="auto"/>
        <w:ind w:left="709" w:right="616"/>
        <w:jc w:val="both"/>
        <w:rPr>
          <w:rFonts w:ascii="Century Gothic" w:hAnsi="Century Gothic" w:cs="Arial"/>
          <w:sz w:val="21"/>
          <w:szCs w:val="21"/>
          <w:lang w:val="es-ES_tradnl"/>
        </w:rPr>
      </w:pPr>
      <w:r w:rsidRPr="00A12087">
        <w:rPr>
          <w:rFonts w:ascii="Century Gothic" w:hAnsi="Century Gothic" w:cs="Arial"/>
          <w:sz w:val="21"/>
          <w:szCs w:val="21"/>
          <w:lang w:val="es-ES_tradnl"/>
        </w:rPr>
        <w:t xml:space="preserve">“[…] la aplicación de estos preceptos exige una interpretación restrictiva, dado que según el principio hermenéutico </w:t>
      </w:r>
      <w:r w:rsidRPr="00A12087">
        <w:rPr>
          <w:rFonts w:ascii="Century Gothic" w:hAnsi="Century Gothic" w:cs="Arial"/>
          <w:i/>
          <w:iCs/>
          <w:sz w:val="21"/>
          <w:szCs w:val="21"/>
          <w:lang w:val="es-ES_tradnl"/>
        </w:rPr>
        <w:t xml:space="preserve">pro </w:t>
      </w:r>
      <w:proofErr w:type="spellStart"/>
      <w:r w:rsidRPr="00A12087">
        <w:rPr>
          <w:rFonts w:ascii="Century Gothic" w:hAnsi="Century Gothic" w:cs="Arial"/>
          <w:i/>
          <w:iCs/>
          <w:sz w:val="21"/>
          <w:szCs w:val="21"/>
          <w:lang w:val="es-ES_tradnl"/>
        </w:rPr>
        <w:t>libertate</w:t>
      </w:r>
      <w:proofErr w:type="spellEnd"/>
      <w:r w:rsidRPr="00A12087">
        <w:rPr>
          <w:rFonts w:ascii="Century Gothic" w:hAnsi="Century Gothic"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A12087">
        <w:rPr>
          <w:rStyle w:val="Refdenotaalpie"/>
          <w:rFonts w:ascii="Century Gothic" w:hAnsi="Century Gothic" w:cs="Arial"/>
          <w:sz w:val="21"/>
          <w:szCs w:val="21"/>
          <w:lang w:val="es-ES_tradnl"/>
        </w:rPr>
        <w:footnoteReference w:id="19"/>
      </w:r>
      <w:r w:rsidRPr="00A12087">
        <w:rPr>
          <w:rFonts w:ascii="Century Gothic" w:hAnsi="Century Gothic" w:cs="Arial"/>
          <w:sz w:val="21"/>
          <w:szCs w:val="21"/>
          <w:lang w:val="es-ES_tradnl"/>
        </w:rPr>
        <w:t>.</w:t>
      </w:r>
    </w:p>
    <w:p w:rsidRPr="00A12087" w:rsidR="004E1156" w:rsidP="004E1156" w:rsidRDefault="004E1156" w14:paraId="3C144040" w14:textId="77777777">
      <w:pPr>
        <w:spacing w:after="0"/>
        <w:ind w:firstLine="708"/>
        <w:jc w:val="both"/>
        <w:rPr>
          <w:rFonts w:ascii="Century Gothic" w:hAnsi="Century Gothic" w:eastAsia="Arial" w:cs="Arial"/>
          <w:color w:val="000000"/>
          <w:lang w:val="es-ES_tradnl"/>
        </w:rPr>
      </w:pPr>
    </w:p>
    <w:p w:rsidRPr="00A12087" w:rsidR="004E1156" w:rsidP="004E1156" w:rsidRDefault="004E1156" w14:paraId="6FF1B38F" w14:textId="77777777">
      <w:pPr>
        <w:spacing w:after="0" w:line="276" w:lineRule="auto"/>
        <w:ind w:firstLine="708"/>
        <w:jc w:val="both"/>
        <w:rPr>
          <w:rFonts w:ascii="Century Gothic" w:hAnsi="Century Gothic" w:cs="Arial"/>
          <w:color w:val="000000" w:themeColor="text1"/>
        </w:rPr>
      </w:pPr>
      <w:bookmarkStart w:name="_Hlk136439150" w:id="7"/>
      <w:r w:rsidRPr="00A12087">
        <w:rPr>
          <w:rFonts w:ascii="Century Gothic" w:hAnsi="Century Gothic" w:eastAsia="Arial" w:cs="Arial"/>
          <w:color w:val="000000"/>
          <w:lang w:val="es-ES_tradnl"/>
        </w:rPr>
        <w:t xml:space="preserve">Como se aprecia, el principio </w:t>
      </w:r>
      <w:r w:rsidRPr="00A12087">
        <w:rPr>
          <w:rFonts w:ascii="Century Gothic" w:hAnsi="Century Gothic" w:eastAsia="Arial" w:cs="Arial"/>
          <w:i/>
          <w:iCs/>
          <w:color w:val="000000"/>
          <w:lang w:val="es-ES_tradnl"/>
        </w:rPr>
        <w:t xml:space="preserve">pro </w:t>
      </w:r>
      <w:proofErr w:type="spellStart"/>
      <w:r w:rsidRPr="00A12087">
        <w:rPr>
          <w:rFonts w:ascii="Century Gothic" w:hAnsi="Century Gothic" w:eastAsia="Arial" w:cs="Arial"/>
          <w:i/>
          <w:iCs/>
          <w:color w:val="000000"/>
          <w:lang w:val="es-ES_tradnl"/>
        </w:rPr>
        <w:t>libertate</w:t>
      </w:r>
      <w:proofErr w:type="spellEnd"/>
      <w:r w:rsidRPr="00A12087">
        <w:rPr>
          <w:rFonts w:ascii="Century Gothic" w:hAnsi="Century Gothic" w:eastAsia="Arial"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A12087">
        <w:rPr>
          <w:rFonts w:ascii="Century Gothic" w:hAnsi="Century Gothic" w:cs="Arial"/>
          <w:color w:val="000000" w:themeColor="text1"/>
        </w:rPr>
        <w:t xml:space="preserve"> Corte Constitucional ha resaltado que la </w:t>
      </w:r>
      <w:r w:rsidRPr="00A12087">
        <w:rPr>
          <w:rFonts w:ascii="Century Gothic" w:hAnsi="Century Gothic" w:cs="Arial"/>
          <w:color w:val="000000" w:themeColor="text1"/>
        </w:rPr>
        <w:t>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bookmarkEnd w:id="7"/>
      <w:r w:rsidRPr="00A12087">
        <w:rPr>
          <w:rStyle w:val="Refdenotaalpie"/>
          <w:rFonts w:ascii="Century Gothic" w:hAnsi="Century Gothic" w:cs="Arial"/>
          <w:color w:val="000000" w:themeColor="text1"/>
        </w:rPr>
        <w:footnoteReference w:id="20"/>
      </w:r>
      <w:r w:rsidRPr="00A12087">
        <w:rPr>
          <w:rFonts w:ascii="Century Gothic" w:hAnsi="Century Gothic" w:cs="Arial"/>
          <w:color w:val="000000" w:themeColor="text1"/>
        </w:rPr>
        <w:t>.</w:t>
      </w:r>
    </w:p>
    <w:p w:rsidRPr="00A12087" w:rsidR="004E1156" w:rsidP="004E1156" w:rsidRDefault="004E1156" w14:paraId="26826CC3" w14:textId="77777777">
      <w:pPr>
        <w:spacing w:after="0" w:line="276" w:lineRule="auto"/>
        <w:ind w:firstLine="708"/>
        <w:jc w:val="both"/>
        <w:rPr>
          <w:rFonts w:ascii="Century Gothic" w:hAnsi="Century Gothic" w:cs="Arial"/>
          <w:color w:val="000000" w:themeColor="text1"/>
        </w:rPr>
      </w:pPr>
    </w:p>
    <w:p w:rsidRPr="00A12087" w:rsidR="004E1156" w:rsidP="004E1156" w:rsidRDefault="004E1156" w14:paraId="74933965" w14:textId="77777777">
      <w:pPr>
        <w:spacing w:after="0" w:line="276" w:lineRule="auto"/>
        <w:jc w:val="both"/>
        <w:rPr>
          <w:rFonts w:ascii="Century Gothic" w:hAnsi="Century Gothic" w:cs="Arial"/>
          <w:b/>
          <w:bCs/>
          <w:color w:val="000000" w:themeColor="text1"/>
        </w:rPr>
      </w:pPr>
      <w:r w:rsidRPr="00A12087">
        <w:rPr>
          <w:rFonts w:ascii="Century Gothic" w:hAnsi="Century Gothic" w:cs="Arial"/>
          <w:b/>
          <w:bCs/>
          <w:color w:val="000000" w:themeColor="text1"/>
        </w:rPr>
        <w:t>2.2. Límites de la capacidad contractual en relación con la reserva de ley y la interpretación restrictiva de estas disposiciones</w:t>
      </w:r>
    </w:p>
    <w:p w:rsidRPr="00A12087" w:rsidR="004E1156" w:rsidP="004E1156" w:rsidRDefault="004E1156" w14:paraId="4F0DDF9C" w14:textId="77777777">
      <w:pPr>
        <w:spacing w:after="0" w:line="276" w:lineRule="auto"/>
        <w:jc w:val="both"/>
        <w:rPr>
          <w:rFonts w:ascii="Century Gothic" w:hAnsi="Century Gothic" w:cs="Arial"/>
          <w:shd w:val="clear" w:color="auto" w:fill="FFFFFF"/>
        </w:rPr>
      </w:pPr>
    </w:p>
    <w:p w:rsidRPr="00A12087" w:rsidR="004E1156" w:rsidP="004E1156" w:rsidRDefault="004E1156" w14:paraId="624850B1" w14:textId="77777777">
      <w:pPr>
        <w:spacing w:after="120" w:line="276" w:lineRule="auto"/>
        <w:jc w:val="both"/>
        <w:rPr>
          <w:rFonts w:ascii="Century Gothic" w:hAnsi="Century Gothic" w:cs="Arial"/>
          <w:color w:val="000000"/>
          <w:shd w:val="clear" w:color="auto" w:fill="FFFFFF"/>
        </w:rPr>
      </w:pPr>
      <w:r w:rsidRPr="00A12087">
        <w:rPr>
          <w:rFonts w:ascii="Century Gothic" w:hAnsi="Century Gothic" w:cs="Arial"/>
          <w:shd w:val="clear" w:color="auto" w:fill="FFFFFF"/>
        </w:rPr>
        <w:t xml:space="preserve">En este sentido, retomando una idea esbozada con anterioridad, </w:t>
      </w:r>
      <w:bookmarkStart w:name="_Hlk136439078" w:id="8"/>
      <w:bookmarkStart w:name="_Hlk135133523" w:id="9"/>
      <w:r w:rsidRPr="00A12087">
        <w:rPr>
          <w:rFonts w:ascii="Century Gothic" w:hAnsi="Century Gothic" w:cs="Arial"/>
          <w:shd w:val="clear" w:color="auto" w:fill="FFFFFF"/>
        </w:rPr>
        <w:t>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A12087">
        <w:rPr>
          <w:rStyle w:val="Refdenotaalpie"/>
          <w:rFonts w:ascii="Century Gothic" w:hAnsi="Century Gothic" w:cs="Arial"/>
          <w:shd w:val="clear" w:color="auto" w:fill="FFFFFF"/>
        </w:rPr>
        <w:footnoteReference w:id="21"/>
      </w:r>
      <w:r w:rsidRPr="00A12087">
        <w:rPr>
          <w:rFonts w:ascii="Century Gothic" w:hAnsi="Century Gothic" w:cs="Arial"/>
          <w:shd w:val="clear" w:color="auto" w:fill="FFFFFF"/>
        </w:rPr>
        <w:t xml:space="preserve">. En similar sentido, la Sala de Consulta y Servicio Civil del Consejo de Estado expresó </w:t>
      </w:r>
      <w:r w:rsidRPr="00A12087">
        <w:rPr>
          <w:rFonts w:ascii="Century Gothic" w:hAnsi="Century Gothic" w:cs="Arial"/>
          <w:color w:val="000000"/>
          <w:shd w:val="clear" w:color="auto" w:fill="FFFFFF"/>
        </w:rPr>
        <w:t>que “[…] las causales de inhabilidad e incompatibilidad deben estar expresa y taxativamente establecidas en la Constitución o en la ley y son de aplicación e interpretación restrictivas […]”</w:t>
      </w:r>
      <w:r w:rsidRPr="00A12087">
        <w:rPr>
          <w:rStyle w:val="Refdenotaalpie"/>
          <w:rFonts w:ascii="Century Gothic" w:hAnsi="Century Gothic" w:cs="Arial"/>
          <w:color w:val="000000"/>
          <w:shd w:val="clear" w:color="auto" w:fill="FFFFFF"/>
        </w:rPr>
        <w:footnoteReference w:id="22"/>
      </w:r>
      <w:r w:rsidRPr="00A12087">
        <w:rPr>
          <w:rFonts w:ascii="Century Gothic" w:hAnsi="Century Gothic" w:cs="Arial"/>
          <w:color w:val="000000"/>
          <w:shd w:val="clear" w:color="auto" w:fill="FFFFFF"/>
        </w:rPr>
        <w:t xml:space="preserve">. En este sentido, como se observa, existe consenso, incluso como lo ha expresado esta Agencia en ocasiones anteriores, que la creación de inhabilidades o incompatibilidades está reservada al constituyente o al legislador. </w:t>
      </w:r>
      <w:bookmarkEnd w:id="8"/>
    </w:p>
    <w:bookmarkEnd w:id="9"/>
    <w:p w:rsidRPr="00A12087" w:rsidR="004E1156" w:rsidP="004E1156" w:rsidRDefault="004E1156" w14:paraId="0B4C7B28" w14:textId="77777777">
      <w:pPr>
        <w:tabs>
          <w:tab w:val="left" w:pos="0"/>
        </w:tabs>
        <w:spacing w:after="0" w:line="276" w:lineRule="auto"/>
        <w:jc w:val="both"/>
        <w:rPr>
          <w:rFonts w:ascii="Century Gothic" w:hAnsi="Century Gothic" w:eastAsia="Calibri" w:cs="Arial"/>
          <w:bCs/>
          <w:color w:val="000000" w:themeColor="text1"/>
        </w:rPr>
      </w:pPr>
      <w:r w:rsidRPr="00A12087">
        <w:rPr>
          <w:rFonts w:ascii="Century Gothic" w:hAnsi="Century Gothic" w:cs="Arial"/>
          <w:i/>
          <w:iCs/>
          <w:color w:val="000000"/>
          <w:shd w:val="clear" w:color="auto" w:fill="FFFFFF"/>
        </w:rPr>
        <w:tab/>
      </w:r>
      <w:r w:rsidRPr="00A12087">
        <w:rPr>
          <w:rFonts w:ascii="Century Gothic" w:hAnsi="Century Gothic" w:cs="Arial"/>
          <w:color w:val="000000"/>
          <w:shd w:val="clear" w:color="auto" w:fill="FFFFFF"/>
        </w:rPr>
        <w:t xml:space="preserve">Por ejemplo, conforme a lo explicado </w:t>
      </w:r>
      <w:r w:rsidRPr="00A12087">
        <w:rPr>
          <w:rFonts w:ascii="Century Gothic" w:hAnsi="Century Gothic" w:cs="Arial"/>
          <w:i/>
          <w:iCs/>
          <w:color w:val="000000"/>
          <w:shd w:val="clear" w:color="auto" w:fill="FFFFFF"/>
        </w:rPr>
        <w:t>ut supra</w:t>
      </w:r>
      <w:r w:rsidRPr="00A12087">
        <w:rPr>
          <w:rFonts w:ascii="Century Gothic" w:hAnsi="Century Gothic" w:cs="Arial"/>
          <w:color w:val="000000"/>
          <w:shd w:val="clear" w:color="auto" w:fill="FFFFFF"/>
        </w:rPr>
        <w:t xml:space="preserve">, </w:t>
      </w:r>
      <w:r w:rsidRPr="00A12087">
        <w:rPr>
          <w:rFonts w:ascii="Century Gothic" w:hAnsi="Century Gothic" w:eastAsia="Calibri" w:cs="Arial"/>
          <w:bCs/>
          <w:color w:val="000000" w:themeColor="text1"/>
        </w:rPr>
        <w:t xml:space="preserve">una de las restricciones para celebrar contratos deriva del artículo 8, literal j) del numeral 1, de la Ley 80 de 1993, causal adicionada por el artículo 2 de la Ley 2014 de 2019. En virtud de esta norma son inhábiles para participar en procesos de selección y celebrar contratos con entidades estatales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w:t>
      </w:r>
      <w:r w:rsidRPr="00A12087">
        <w:rPr>
          <w:rFonts w:ascii="Century Gothic" w:hAnsi="Century Gothic" w:eastAsia="Calibri" w:cs="Arial"/>
          <w:bCs/>
          <w:color w:val="000000" w:themeColor="text1"/>
        </w:rPr>
        <w:t>contempladas por las convenciones o tratados de lucha contra la corrupción suscritos y ratificados por Colombia, así como las personas jurídicas que hayan sido declaradas responsables administrativamente por la conducta de soborno transnacional. Esta inhabilidad procederá preventivamente aún en los casos en los que esté pendiente la decisión sobre la impugnación de la sentencia condenatoria”. Por lo demás, también indica lo siguiente:</w:t>
      </w:r>
    </w:p>
    <w:p w:rsidRPr="00A12087" w:rsidR="004E1156" w:rsidP="004E1156" w:rsidRDefault="004E1156" w14:paraId="101D73BE" w14:textId="77777777">
      <w:pPr>
        <w:tabs>
          <w:tab w:val="left" w:pos="0"/>
        </w:tabs>
        <w:spacing w:after="0" w:line="276" w:lineRule="auto"/>
        <w:jc w:val="both"/>
        <w:rPr>
          <w:rFonts w:ascii="Century Gothic" w:hAnsi="Century Gothic" w:eastAsia="Calibri" w:cs="Arial"/>
          <w:bCs/>
          <w:color w:val="000000" w:themeColor="text1"/>
        </w:rPr>
      </w:pPr>
    </w:p>
    <w:p w:rsidRPr="00A12087" w:rsidR="004E1156" w:rsidP="004E1156" w:rsidRDefault="004E1156" w14:paraId="54EDFB11" w14:textId="77777777">
      <w:pPr>
        <w:tabs>
          <w:tab w:val="left" w:pos="1843"/>
        </w:tabs>
        <w:spacing w:after="120" w:line="240" w:lineRule="auto"/>
        <w:ind w:left="709" w:right="757"/>
        <w:jc w:val="both"/>
        <w:rPr>
          <w:rFonts w:ascii="Century Gothic" w:hAnsi="Century Gothic" w:eastAsia="Calibri" w:cs="Arial"/>
          <w:sz w:val="21"/>
          <w:szCs w:val="21"/>
          <w:lang w:val="es-ES_tradnl"/>
        </w:rPr>
      </w:pPr>
      <w:r w:rsidRPr="00A12087">
        <w:rPr>
          <w:rFonts w:ascii="Century Gothic" w:hAnsi="Century Gothic" w:eastAsia="Calibri" w:cs="Arial"/>
          <w:sz w:val="21"/>
          <w:szCs w:val="21"/>
          <w:lang w:val="es-ES_tradnl"/>
        </w:rPr>
        <w:t>[…]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excepción de las sociedades anónimas abiertas.</w:t>
      </w:r>
    </w:p>
    <w:p w:rsidRPr="00A12087" w:rsidR="004E1156" w:rsidP="004E1156" w:rsidRDefault="004E1156" w14:paraId="48C59A1C" w14:textId="77777777">
      <w:pPr>
        <w:tabs>
          <w:tab w:val="left" w:pos="1843"/>
        </w:tabs>
        <w:spacing w:after="120" w:line="240" w:lineRule="auto"/>
        <w:ind w:left="709" w:right="757"/>
        <w:jc w:val="both"/>
        <w:rPr>
          <w:rFonts w:ascii="Century Gothic" w:hAnsi="Century Gothic" w:eastAsia="Calibri" w:cs="Arial"/>
          <w:sz w:val="21"/>
          <w:szCs w:val="21"/>
          <w:lang w:val="es-ES_tradnl"/>
        </w:rPr>
      </w:pPr>
      <w:r w:rsidRPr="00A12087">
        <w:rPr>
          <w:rFonts w:ascii="Century Gothic" w:hAnsi="Century Gothic" w:eastAsia="Calibri" w:cs="Arial"/>
          <w:sz w:val="21"/>
          <w:szCs w:val="21"/>
          <w:lang w:val="es-ES_tradnl"/>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rsidRPr="00A12087" w:rsidR="004E1156" w:rsidP="004E1156" w:rsidRDefault="004E1156" w14:paraId="5FB60354" w14:textId="77777777">
      <w:pPr>
        <w:tabs>
          <w:tab w:val="left" w:pos="1843"/>
        </w:tabs>
        <w:spacing w:after="0" w:line="240" w:lineRule="auto"/>
        <w:ind w:left="709" w:right="757"/>
        <w:jc w:val="both"/>
        <w:rPr>
          <w:rFonts w:ascii="Century Gothic" w:hAnsi="Century Gothic" w:eastAsia="Calibri" w:cs="Arial"/>
          <w:sz w:val="21"/>
          <w:szCs w:val="21"/>
          <w:lang w:val="es-ES_tradnl"/>
        </w:rPr>
      </w:pPr>
      <w:r w:rsidRPr="00A12087">
        <w:rPr>
          <w:rFonts w:ascii="Century Gothic" w:hAnsi="Century Gothic" w:eastAsia="Calibri" w:cs="Arial"/>
          <w:sz w:val="21"/>
          <w:szCs w:val="21"/>
          <w:lang w:val="es-ES_tradnl"/>
        </w:rPr>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p>
    <w:p w:rsidRPr="00A12087" w:rsidR="004E1156" w:rsidP="004E1156" w:rsidRDefault="004E1156" w14:paraId="64AAA194" w14:textId="77777777">
      <w:pPr>
        <w:tabs>
          <w:tab w:val="left" w:pos="709"/>
        </w:tabs>
        <w:spacing w:after="0" w:line="276" w:lineRule="auto"/>
        <w:ind w:left="709" w:right="757"/>
        <w:jc w:val="both"/>
        <w:rPr>
          <w:rFonts w:ascii="Century Gothic" w:hAnsi="Century Gothic" w:eastAsia="Calibri" w:cs="Arial"/>
          <w:lang w:val="es-ES_tradnl"/>
        </w:rPr>
      </w:pPr>
    </w:p>
    <w:p w:rsidRPr="00A12087" w:rsidR="004E1156" w:rsidP="004E1156" w:rsidRDefault="004E1156" w14:paraId="01059278" w14:textId="77777777">
      <w:pPr>
        <w:tabs>
          <w:tab w:val="left" w:pos="0"/>
        </w:tabs>
        <w:spacing w:after="120" w:line="276" w:lineRule="auto"/>
        <w:jc w:val="both"/>
        <w:rPr>
          <w:rFonts w:ascii="Century Gothic" w:hAnsi="Century Gothic" w:eastAsia="Calibri" w:cs="Arial"/>
          <w:lang w:val="es-ES_tradnl"/>
        </w:rPr>
      </w:pPr>
      <w:r w:rsidRPr="00A12087">
        <w:rPr>
          <w:rFonts w:ascii="Century Gothic" w:hAnsi="Century Gothic" w:eastAsia="Calibri" w:cs="Arial"/>
          <w:lang w:val="es-ES_tradnl"/>
        </w:rPr>
        <w:tab/>
      </w:r>
      <w:r w:rsidRPr="00A12087">
        <w:rPr>
          <w:rFonts w:ascii="Century Gothic" w:hAnsi="Century Gothic" w:eastAsia="Calibri" w:cs="Arial"/>
          <w:lang w:val="es-ES_tradnl"/>
        </w:rPr>
        <w:t>Las personas jurídicas, según lo indica el artículo 633 del Código Civil, son personas ficticias capaces de ejercer derechos y contraer obligaciones civiles. Ese mismo artículo señala para las personas jurídicas propias del derecho civil que las mismas pueden clasificarse en corporaciones y fundaciones de beneficencia pública. De otro lado, el artículo 98 del Código de Comercio dispone, en su inciso segundo, que «[l]a sociedad, una vez constituida legalmente, forma una persona jurídica distinta de los socios individualmente considerados».</w:t>
      </w:r>
    </w:p>
    <w:p w:rsidRPr="00A12087" w:rsidR="004E1156" w:rsidP="004E1156" w:rsidRDefault="004E1156" w14:paraId="4DD0C80E" w14:textId="77777777">
      <w:pPr>
        <w:spacing w:after="120" w:line="276" w:lineRule="auto"/>
        <w:ind w:firstLine="709"/>
        <w:jc w:val="both"/>
        <w:rPr>
          <w:rFonts w:ascii="Century Gothic" w:hAnsi="Century Gothic" w:eastAsia="Calibri" w:cs="Arial"/>
          <w:lang w:val="es-ES"/>
        </w:rPr>
      </w:pPr>
      <w:r w:rsidRPr="00A12087">
        <w:rPr>
          <w:rFonts w:ascii="Century Gothic" w:hAnsi="Century Gothic" w:eastAsia="Calibri" w:cs="Arial"/>
          <w:lang w:val="es-ES"/>
        </w:rPr>
        <w:t xml:space="preserve">El artículo 100 del Código de Comercio señala que «[s]e tendrán como comerciales, para todos los efectos legales las sociedades que se formen para la ejecución de actos o empresas mercantiles. Si la empresa social comprende actos </w:t>
      </w:r>
      <w:r w:rsidRPr="00A12087">
        <w:rPr>
          <w:rFonts w:ascii="Century Gothic" w:hAnsi="Century Gothic" w:eastAsia="Calibri" w:cs="Arial"/>
          <w:lang w:val="es-ES"/>
        </w:rPr>
        <w:t xml:space="preserve">mercantiles y actos que no tengan esa calidad, la sociedad será comercial. Las sociedades que no contemplen en su objeto social actos </w:t>
      </w:r>
      <w:proofErr w:type="gramStart"/>
      <w:r w:rsidRPr="00A12087">
        <w:rPr>
          <w:rFonts w:ascii="Century Gothic" w:hAnsi="Century Gothic" w:eastAsia="Calibri" w:cs="Arial"/>
          <w:lang w:val="es-ES"/>
        </w:rPr>
        <w:t>mercantiles,</w:t>
      </w:r>
      <w:proofErr w:type="gramEnd"/>
      <w:r w:rsidRPr="00A12087">
        <w:rPr>
          <w:rFonts w:ascii="Century Gothic" w:hAnsi="Century Gothic" w:eastAsia="Calibri" w:cs="Arial"/>
          <w:lang w:val="es-ES"/>
        </w:rPr>
        <w:t xml:space="preserve"> serán civiles». Por su parte, el artículo 3º de la Ley 79 de 1988 establece que «[e]s acuerdo cooperativo el contrato que se celebra por un número determinado de personas, con el objetivo de crear y organizar una </w:t>
      </w:r>
      <w:r w:rsidRPr="00A12087">
        <w:rPr>
          <w:rFonts w:ascii="Century Gothic" w:hAnsi="Century Gothic" w:eastAsia="Calibri" w:cs="Arial"/>
          <w:i/>
          <w:iCs/>
          <w:lang w:val="es-ES"/>
        </w:rPr>
        <w:t>persona jurídica</w:t>
      </w:r>
      <w:r w:rsidRPr="00A12087">
        <w:rPr>
          <w:rFonts w:ascii="Century Gothic" w:hAnsi="Century Gothic" w:eastAsia="Calibri" w:cs="Arial"/>
          <w:lang w:val="es-ES"/>
        </w:rPr>
        <w:t xml:space="preserve"> de derecho privado denominada cooperativa, cuyas actividades deben cumplirse con fines de interés social y sin ánimo de lucro». </w:t>
      </w:r>
    </w:p>
    <w:p w:rsidRPr="00A12087" w:rsidR="004E1156" w:rsidP="004E1156" w:rsidRDefault="004E1156" w14:paraId="5D979F58" w14:textId="77777777">
      <w:pPr>
        <w:spacing w:after="120" w:line="276" w:lineRule="auto"/>
        <w:ind w:firstLine="709"/>
        <w:jc w:val="both"/>
        <w:rPr>
          <w:rFonts w:ascii="Century Gothic" w:hAnsi="Century Gothic" w:eastAsia="Calibri" w:cs="Arial"/>
          <w:lang w:val="es-ES"/>
        </w:rPr>
      </w:pPr>
      <w:r w:rsidRPr="00A12087">
        <w:rPr>
          <w:rFonts w:ascii="Century Gothic" w:hAnsi="Century Gothic" w:eastAsia="Calibri" w:cs="Arial"/>
          <w:lang w:val="es-ES"/>
        </w:rPr>
        <w:t xml:space="preserve">Este decurso normativo permite afirmar que las personas jurídicas son, en derecho colombiano, el género en el cual se agrupan todos los sujetos de derecho sin existencia física o, para decirlo en otros términos, todas las personas morales. Con base en esto es posible afirmar que son personas jurídicas, sin importar su denominación o régimen legal, las sociedades, las fundaciones, las corporaciones, o las cooperativas. De ello se desprende que cuando las normas sobre inhabilidades en materia de contratación estatal señalan que serán inhábiles las personas jurídicas, dicha inhabilidad comprende a toda clase de personas jurídicas sin importar su denominación particular.  </w:t>
      </w:r>
    </w:p>
    <w:p w:rsidRPr="00A12087" w:rsidR="004E1156" w:rsidP="004E1156" w:rsidRDefault="004E1156" w14:paraId="1CC8EB9B" w14:textId="77777777">
      <w:pPr>
        <w:spacing w:after="120" w:line="276" w:lineRule="auto"/>
        <w:ind w:firstLine="709"/>
        <w:jc w:val="both"/>
        <w:rPr>
          <w:rFonts w:ascii="Century Gothic" w:hAnsi="Century Gothic" w:eastAsia="Calibri" w:cs="Arial"/>
          <w:lang w:val="es-ES"/>
        </w:rPr>
      </w:pPr>
      <w:r w:rsidRPr="00A12087">
        <w:rPr>
          <w:rFonts w:ascii="Century Gothic" w:hAnsi="Century Gothic" w:eastAsia="Calibri" w:cs="Arial"/>
          <w:lang w:val="es-ES"/>
        </w:rPr>
        <w:t>Ahora bien, como consecuencia de la interpretación restrictiva que debe guiar la labor del intérprete en materia de inhabilidades, cuando estas disposiciones hacen referencia a las sociedades, esta alusión no puede entenderse que comprende a otro tipo de personas jurídicas, como las cooperativas o las fundaciones. Así, para aplicar el literal j) del artículo 8 de la Ley 80 de 1993, cuando el inciso primero señala que existe una inhabilidad para «las personas jurídicas que hayan sido declaradas responsables administrativamente por la conducta de soborno transnacional», esta norma comprende a cooperativas, fundaciones, corporaciones, y sociedades. Lo mismo puede afirmarse cuando señala que serán inhábiles las personas jurídicas sobre las cuales se haya ordenado la suspensión de la personería jurídica,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rsidRPr="00A12087" w:rsidR="004E1156" w:rsidP="004E1156" w:rsidRDefault="004E1156" w14:paraId="63035DB7" w14:textId="77777777">
      <w:pPr>
        <w:spacing w:after="120" w:line="276" w:lineRule="auto"/>
        <w:ind w:firstLine="709"/>
        <w:jc w:val="both"/>
        <w:rPr>
          <w:rFonts w:ascii="Century Gothic" w:hAnsi="Century Gothic" w:eastAsia="Calibri" w:cs="Arial"/>
          <w:lang w:val="es-ES"/>
        </w:rPr>
      </w:pPr>
      <w:r w:rsidRPr="00A12087">
        <w:rPr>
          <w:rFonts w:ascii="Century Gothic" w:hAnsi="Century Gothic" w:eastAsia="Calibri" w:cs="Arial"/>
          <w:lang w:val="es-ES"/>
        </w:rPr>
        <w:t xml:space="preserve">Así las cosas, las entidades sin ánimo de lucro, llámense asociaciones, corporaciones, fundaciones o cooperativas, como personas jurídicas que son, estarán inhabilitadas según lo normado por el literal j), numeral 1 del artículo 8º de la Ley 80 de 1993, en los siguientes eventos:  i) cuando su personería jurídica se haya </w:t>
      </w:r>
      <w:r w:rsidRPr="00A12087">
        <w:rPr>
          <w:rFonts w:ascii="Century Gothic" w:hAnsi="Century Gothic" w:eastAsia="Calibri" w:cs="Arial"/>
          <w:lang w:val="es-ES"/>
        </w:rPr>
        <w:t xml:space="preserve">suspendido por una causa legal, </w:t>
      </w:r>
      <w:proofErr w:type="spellStart"/>
      <w:r w:rsidRPr="00A12087">
        <w:rPr>
          <w:rFonts w:ascii="Century Gothic" w:hAnsi="Century Gothic" w:eastAsia="Calibri" w:cs="Arial"/>
          <w:lang w:val="es-ES"/>
        </w:rPr>
        <w:t>ii</w:t>
      </w:r>
      <w:proofErr w:type="spellEnd"/>
      <w:r w:rsidRPr="00A12087">
        <w:rPr>
          <w:rFonts w:ascii="Century Gothic" w:hAnsi="Century Gothic" w:eastAsia="Calibri" w:cs="Arial"/>
          <w:lang w:val="es-ES"/>
        </w:rPr>
        <w:t xml:space="preserve">) cuando sus representantes legales o miembros de junta directiva se hayan beneficiado de la aplicación de un principio de oportunidad por cualquier delito contra la Administración pública o el patrimonio del Estado y </w:t>
      </w:r>
      <w:proofErr w:type="spellStart"/>
      <w:r w:rsidRPr="00A12087">
        <w:rPr>
          <w:rFonts w:ascii="Century Gothic" w:hAnsi="Century Gothic" w:eastAsia="Calibri" w:cs="Arial"/>
          <w:lang w:val="es-ES"/>
        </w:rPr>
        <w:t>iii</w:t>
      </w:r>
      <w:proofErr w:type="spellEnd"/>
      <w:r w:rsidRPr="00A12087">
        <w:rPr>
          <w:rFonts w:ascii="Century Gothic" w:hAnsi="Century Gothic" w:eastAsia="Calibri" w:cs="Arial"/>
          <w:lang w:val="es-ES"/>
        </w:rPr>
        <w:t xml:space="preserve">) cuando se ha declarado administrativamente responsable la persona jurídica por haber cometido la conducta de soborno trasnacional. </w:t>
      </w:r>
    </w:p>
    <w:p w:rsidRPr="00A12087" w:rsidR="004E1156" w:rsidP="004E1156" w:rsidRDefault="004E1156" w14:paraId="132F2F77" w14:textId="77777777">
      <w:pPr>
        <w:spacing w:after="120" w:line="276" w:lineRule="auto"/>
        <w:ind w:firstLine="709"/>
        <w:jc w:val="both"/>
        <w:rPr>
          <w:rFonts w:ascii="Century Gothic" w:hAnsi="Century Gothic" w:eastAsia="Calibri" w:cs="Arial"/>
          <w:lang w:val="es-ES"/>
        </w:rPr>
      </w:pPr>
      <w:r w:rsidRPr="00A12087">
        <w:rPr>
          <w:rFonts w:ascii="Century Gothic" w:hAnsi="Century Gothic" w:eastAsia="Calibri" w:cs="Arial"/>
          <w:lang w:val="es-ES"/>
        </w:rPr>
        <w:t xml:space="preserve">Por contraposición, el inciso tercero del literal j) del artículo 8 de la Ley 80 de 1993 no resulta aplicable a todas las personas jurídicas, y allí a todas las personas morales sin ánimo de lucro, pues solamente se extiende la inhabilidad a las «sociedades» de las que hagan parte, en las calidades allí reseñadas, las personas inhábiles de conformidad con los dos primeros incisos de esa norma. Se reitera, ello obedece al hecho de que las cooperativas, fundaciones, cooperaciones y otro tipo de personas jurídicas no son sociedades en el ordenamiento colombiano. </w:t>
      </w:r>
    </w:p>
    <w:p w:rsidRPr="00A12087" w:rsidR="004E1156" w:rsidP="004E1156" w:rsidRDefault="004E1156" w14:paraId="143CB6FC" w14:textId="77777777">
      <w:pPr>
        <w:spacing w:after="0" w:line="276" w:lineRule="auto"/>
        <w:ind w:firstLine="709"/>
        <w:jc w:val="both"/>
        <w:rPr>
          <w:rFonts w:ascii="Century Gothic" w:hAnsi="Century Gothic" w:eastAsia="Calibri" w:cs="Arial"/>
          <w:lang w:val="es-ES"/>
        </w:rPr>
      </w:pPr>
      <w:r w:rsidRPr="00A12087">
        <w:rPr>
          <w:rFonts w:ascii="Century Gothic" w:hAnsi="Century Gothic" w:eastAsia="Calibri" w:cs="Arial"/>
          <w:lang w:val="es-ES"/>
        </w:rPr>
        <w:t xml:space="preserve">Finalmente, es preciso advertir que esta conclusión permanece invariable ante el hecho de que el inciso cuarto contemple una inhabilidad para las personas jurídicas de las que hagan parte personas, en las calidades allí señaladas, que hayan sido beneficiarias del principio de oportunidad por cualquier delito contra la administración pública o el patrimonio del Estado. Con ello, se llega a la conclusión de que si se fue condenado y se hace parte de una persona jurídica distinta de una sociedad, esta no se verá afectada por la inhabilidad, pero si se fue beneficiado por un principio de oportunidad, esta inhabilidad sí se extiende a la persona jurídica distinta de la sociedad. Sin embargo, esta paradoja es insalvable en la medida en que el inciso tercero hace referencia a las «sociedades» y el inciso cuarto hace referencia a las «personas jurídicas», y aquellas – las sociedades – son solo una de las múltiples especies de este género –las personas jurídicas–. Por ello, en virtud de que las interpretaciones extensivas o analógicas están expresamente proscritas en esta materia, debe recurrirse a la interpretación restrictiva. </w:t>
      </w:r>
    </w:p>
    <w:p w:rsidRPr="00A12087" w:rsidR="004E1156" w:rsidP="004E1156" w:rsidRDefault="004E1156" w14:paraId="78449159" w14:textId="77777777">
      <w:pPr>
        <w:spacing w:after="0" w:line="276" w:lineRule="auto"/>
        <w:jc w:val="both"/>
        <w:rPr>
          <w:rFonts w:ascii="Century Gothic" w:hAnsi="Century Gothic" w:eastAsia="Calibri" w:cs="Arial"/>
          <w:lang w:val="es-ES_tradnl"/>
        </w:rPr>
      </w:pPr>
    </w:p>
    <w:p w:rsidRPr="00A12087" w:rsidR="004E1156" w:rsidP="004E1156" w:rsidRDefault="004E1156" w14:paraId="7988FF2F" w14:textId="77777777">
      <w:pPr>
        <w:spacing w:after="0" w:line="276" w:lineRule="auto"/>
        <w:jc w:val="both"/>
        <w:rPr>
          <w:rFonts w:ascii="Century Gothic" w:hAnsi="Century Gothic" w:eastAsia="Calibri" w:cs="Arial"/>
          <w:b/>
          <w:bCs/>
          <w:lang w:val="es-ES_tradnl"/>
        </w:rPr>
      </w:pPr>
      <w:r w:rsidRPr="00A12087">
        <w:rPr>
          <w:rFonts w:ascii="Century Gothic" w:hAnsi="Century Gothic" w:eastAsia="Calibri" w:cs="Arial"/>
          <w:b/>
          <w:bCs/>
          <w:lang w:val="es-ES_tradnl"/>
        </w:rPr>
        <w:t>3. Respuesta</w:t>
      </w:r>
    </w:p>
    <w:p w:rsidRPr="00A12087" w:rsidR="004E1156" w:rsidP="004E1156" w:rsidRDefault="004E1156" w14:paraId="17B2B805" w14:textId="77777777">
      <w:pPr>
        <w:spacing w:after="0" w:line="276" w:lineRule="auto"/>
        <w:jc w:val="both"/>
        <w:rPr>
          <w:rFonts w:ascii="Century Gothic" w:hAnsi="Century Gothic" w:eastAsia="Calibri" w:cs="Arial"/>
          <w:b/>
          <w:bCs/>
          <w:lang w:val="es-ES_tradnl"/>
        </w:rPr>
      </w:pPr>
    </w:p>
    <w:p w:rsidRPr="00A12087" w:rsidR="004E1156" w:rsidP="004E1156" w:rsidRDefault="004E1156" w14:paraId="3E4A5ABA" w14:textId="77777777">
      <w:pPr>
        <w:spacing w:after="120" w:line="240" w:lineRule="auto"/>
        <w:ind w:left="709" w:right="709"/>
        <w:jc w:val="both"/>
        <w:rPr>
          <w:rFonts w:ascii="Century Gothic" w:hAnsi="Century Gothic" w:eastAsia="Calibri" w:cs="Arial"/>
          <w:color w:val="000000" w:themeColor="text1"/>
          <w:sz w:val="21"/>
          <w:szCs w:val="21"/>
          <w:lang w:val="es-ES_tradnl"/>
        </w:rPr>
      </w:pPr>
      <w:r w:rsidRPr="00A12087">
        <w:rPr>
          <w:rFonts w:ascii="Century Gothic" w:hAnsi="Century Gothic" w:eastAsia="Calibri" w:cs="Arial"/>
          <w:color w:val="000000" w:themeColor="text1"/>
          <w:sz w:val="21"/>
          <w:szCs w:val="21"/>
          <w:lang w:val="es-ES_tradnl"/>
        </w:rPr>
        <w:t>i) “¿Puede un hospital público recibir en misión (contratado por intermedio de una empresa de servicios temporales) un profesional de la salud que se encuentra en detención domiciliaria con derecho a trabajar?; aclarando que la comisión del delito no afecte el patrimonio del estado ni se trata de delitos relacionados con la pertenencia, promoción o financiación de grupos ilegales, delitos de lesa humanidad o por narcotráfico en Colombia o en el exterior”.</w:t>
      </w:r>
    </w:p>
    <w:p w:rsidRPr="00A12087" w:rsidR="004E1156" w:rsidP="004E1156" w:rsidRDefault="004E1156" w14:paraId="45877347" w14:textId="77777777">
      <w:pPr>
        <w:spacing w:after="0" w:line="240" w:lineRule="auto"/>
        <w:ind w:left="709" w:right="709"/>
        <w:jc w:val="both"/>
        <w:rPr>
          <w:rFonts w:ascii="Century Gothic" w:hAnsi="Century Gothic" w:eastAsia="Calibri" w:cs="Arial"/>
          <w:color w:val="000000" w:themeColor="text1"/>
          <w:sz w:val="21"/>
          <w:szCs w:val="21"/>
        </w:rPr>
      </w:pPr>
      <w:proofErr w:type="spellStart"/>
      <w:r w:rsidRPr="00A12087">
        <w:rPr>
          <w:rFonts w:ascii="Century Gothic" w:hAnsi="Century Gothic" w:eastAsia="Calibri" w:cs="Arial"/>
          <w:color w:val="000000" w:themeColor="text1"/>
          <w:sz w:val="21"/>
          <w:szCs w:val="21"/>
          <w:lang w:val="es-ES_tradnl"/>
        </w:rPr>
        <w:t>ii</w:t>
      </w:r>
      <w:proofErr w:type="spellEnd"/>
      <w:r w:rsidRPr="00A12087">
        <w:rPr>
          <w:rFonts w:ascii="Century Gothic" w:hAnsi="Century Gothic" w:eastAsia="Calibri" w:cs="Arial"/>
          <w:color w:val="000000" w:themeColor="text1"/>
          <w:sz w:val="21"/>
          <w:szCs w:val="21"/>
          <w:lang w:val="es-ES_tradnl"/>
        </w:rPr>
        <w:t>) “¿Puede un contratista de obra o de prestación de servicios para el desarrollo de un contrato con el estado, emplear una persona en detención domiciliaria con derecho a trabajar?; aclarando que la comisión del delito no afecte el patrimonio del estado ni se trata de delitos relacionados con la pertenencia, promoción o financiación de grupos ilegales, delitos de lesa humanidad o por narcotráfico en Colombia o en el exterior”.</w:t>
      </w:r>
    </w:p>
    <w:p w:rsidRPr="00A12087" w:rsidR="004E1156" w:rsidP="004E1156" w:rsidRDefault="004E1156" w14:paraId="785E3F3C" w14:textId="77777777">
      <w:pPr>
        <w:spacing w:after="0" w:line="240" w:lineRule="auto"/>
        <w:ind w:left="709" w:right="709"/>
        <w:jc w:val="both"/>
        <w:rPr>
          <w:rFonts w:ascii="Century Gothic" w:hAnsi="Century Gothic" w:eastAsia="Calibri" w:cs="Arial"/>
          <w:lang w:val="es-ES_tradnl"/>
        </w:rPr>
      </w:pPr>
    </w:p>
    <w:p w:rsidRPr="00A12087" w:rsidR="004E1156" w:rsidP="007874AB" w:rsidRDefault="003F4FFA" w14:paraId="52ACD5D6" w14:textId="5477EB64">
      <w:pPr>
        <w:spacing w:after="120" w:line="276" w:lineRule="auto"/>
        <w:jc w:val="both"/>
        <w:rPr>
          <w:rFonts w:ascii="Century Gothic" w:hAnsi="Century Gothic" w:eastAsia="Calibri" w:cs="Arial"/>
          <w:bCs/>
          <w:color w:val="000000" w:themeColor="text1"/>
        </w:rPr>
      </w:pPr>
      <w:r>
        <w:rPr>
          <w:rFonts w:ascii="Century Gothic" w:hAnsi="Century Gothic" w:eastAsia="Calibri" w:cs="Arial"/>
          <w:bCs/>
          <w:color w:val="000000" w:themeColor="text1"/>
        </w:rPr>
        <w:t xml:space="preserve">Respecto a la </w:t>
      </w:r>
      <w:r w:rsidRPr="004740C9">
        <w:rPr>
          <w:rFonts w:ascii="Century Gothic" w:hAnsi="Century Gothic" w:eastAsia="Calibri" w:cs="Arial"/>
          <w:bCs/>
          <w:i/>
          <w:iCs/>
          <w:color w:val="000000" w:themeColor="text1"/>
        </w:rPr>
        <w:t>primera pregunta</w:t>
      </w:r>
      <w:r>
        <w:rPr>
          <w:rFonts w:ascii="Century Gothic" w:hAnsi="Century Gothic" w:eastAsia="Calibri" w:cs="Arial"/>
          <w:bCs/>
          <w:color w:val="000000" w:themeColor="text1"/>
        </w:rPr>
        <w:t xml:space="preserve"> es necesario, tener en cuenta </w:t>
      </w:r>
      <w:r w:rsidR="00C02171">
        <w:rPr>
          <w:rFonts w:ascii="Century Gothic" w:hAnsi="Century Gothic" w:eastAsia="Calibri" w:cs="Arial"/>
          <w:bCs/>
          <w:color w:val="000000" w:themeColor="text1"/>
        </w:rPr>
        <w:t xml:space="preserve">que los contratos entre los trabajadores en misión y las empresas de servicios temporales </w:t>
      </w:r>
      <w:r w:rsidR="008C543B">
        <w:rPr>
          <w:rFonts w:ascii="Century Gothic" w:hAnsi="Century Gothic" w:eastAsia="Calibri" w:cs="Arial"/>
          <w:bCs/>
          <w:color w:val="000000" w:themeColor="text1"/>
        </w:rPr>
        <w:t>están fuera del sistema de compras y contratación pública</w:t>
      </w:r>
      <w:r w:rsidR="00202FAE">
        <w:rPr>
          <w:rFonts w:ascii="Century Gothic" w:hAnsi="Century Gothic" w:eastAsia="Calibri" w:cs="Arial"/>
          <w:bCs/>
          <w:color w:val="000000" w:themeColor="text1"/>
        </w:rPr>
        <w:t xml:space="preserve">, por lo que Agencia carece de atribuciones para pronunciarse </w:t>
      </w:r>
      <w:r w:rsidR="00B65D42">
        <w:rPr>
          <w:rFonts w:ascii="Century Gothic" w:hAnsi="Century Gothic" w:eastAsia="Calibri" w:cs="Arial"/>
          <w:bCs/>
          <w:color w:val="000000" w:themeColor="text1"/>
        </w:rPr>
        <w:t>sobre negocios jurídicos de particulares puros</w:t>
      </w:r>
      <w:r w:rsidR="00A642FE">
        <w:rPr>
          <w:rFonts w:ascii="Century Gothic" w:hAnsi="Century Gothic" w:eastAsia="Calibri" w:cs="Arial"/>
          <w:bCs/>
          <w:color w:val="000000" w:themeColor="text1"/>
        </w:rPr>
        <w:t xml:space="preserve">. </w:t>
      </w:r>
      <w:r w:rsidR="00DB13F4">
        <w:rPr>
          <w:rFonts w:ascii="Century Gothic" w:hAnsi="Century Gothic" w:eastAsia="Calibri" w:cs="Arial"/>
          <w:bCs/>
          <w:color w:val="000000" w:themeColor="text1"/>
        </w:rPr>
        <w:t xml:space="preserve">Para efectos de la </w:t>
      </w:r>
      <w:r w:rsidRPr="004740C9" w:rsidR="00DB13F4">
        <w:rPr>
          <w:rFonts w:ascii="Century Gothic" w:hAnsi="Century Gothic" w:eastAsia="Calibri" w:cs="Arial"/>
          <w:bCs/>
          <w:i/>
          <w:iCs/>
          <w:color w:val="000000" w:themeColor="text1"/>
        </w:rPr>
        <w:t>segunda inquietud</w:t>
      </w:r>
      <w:r w:rsidRPr="00A12087" w:rsidR="004E1156">
        <w:rPr>
          <w:rFonts w:ascii="Century Gothic" w:hAnsi="Century Gothic" w:eastAsia="Calibri" w:cs="Arial"/>
          <w:bCs/>
          <w:color w:val="000000" w:themeColor="text1"/>
        </w:rPr>
        <w:t>, una de las restricciones para celebrar contratos deriva del artículo 8, literal j) del numeral 1, de la Ley 80 de 1993, causal adicionada por el artículo 2 de la Ley 2014 de 2019. En virtud del inciso primero de esta norma son inhábiles para participar en procesos de selección y celebrar contratos con entidades estatales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Esta inhabilidad procederá preventivamente aún en los casos en los que esté pendiente la decisión sobre la impugnación de la sentencia condenatoria”.</w:t>
      </w:r>
    </w:p>
    <w:p w:rsidRPr="00A12087" w:rsidR="004E1156" w:rsidP="004E1156" w:rsidRDefault="004E1156" w14:paraId="4B944217" w14:textId="77777777">
      <w:pPr>
        <w:spacing w:after="120" w:line="276" w:lineRule="auto"/>
        <w:jc w:val="both"/>
        <w:rPr>
          <w:rFonts w:ascii="Century Gothic" w:hAnsi="Century Gothic" w:eastAsia="Calibri" w:cs="Arial"/>
          <w:bCs/>
          <w:color w:val="000000" w:themeColor="text1"/>
        </w:rPr>
      </w:pPr>
      <w:r w:rsidRPr="00A12087">
        <w:rPr>
          <w:rFonts w:ascii="Century Gothic" w:hAnsi="Century Gothic" w:eastAsia="Calibri" w:cs="Arial"/>
          <w:bCs/>
          <w:color w:val="000000" w:themeColor="text1"/>
        </w:rPr>
        <w:tab/>
      </w:r>
      <w:r w:rsidRPr="00A12087">
        <w:rPr>
          <w:rFonts w:ascii="Century Gothic" w:hAnsi="Century Gothic" w:eastAsia="Calibri" w:cs="Arial"/>
          <w:bCs/>
          <w:color w:val="000000" w:themeColor="text1"/>
        </w:rPr>
        <w:t>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  En similar sentido, la Sala de Consulta y Servicio Civil del Consejo de Estado expresó que “[…] las causales de inhabilidad e incompatibilidad deben estar expresa y taxativamente establecidas en la Constitución o en la ley y son de aplicación e interpretación restrictivas […]”. En este sentido, como se observa, existe consenso, incluso como lo ha expresado esta Agencia en ocasiones anteriores, que la creación de inhabilidades o incompatibilidades está reservada al constituyente o al legislador.</w:t>
      </w:r>
    </w:p>
    <w:p w:rsidRPr="00A12087" w:rsidR="004E1156" w:rsidP="004E1156" w:rsidRDefault="004E1156" w14:paraId="11B853E9" w14:textId="77777777">
      <w:pPr>
        <w:spacing w:after="120" w:line="276" w:lineRule="auto"/>
        <w:jc w:val="both"/>
        <w:rPr>
          <w:rFonts w:ascii="Century Gothic" w:hAnsi="Century Gothic" w:eastAsia="Calibri" w:cs="Arial"/>
          <w:lang w:val="es-ES_tradnl"/>
        </w:rPr>
      </w:pPr>
      <w:r w:rsidRPr="00A12087">
        <w:rPr>
          <w:rFonts w:ascii="Century Gothic" w:hAnsi="Century Gothic" w:eastAsia="Calibri" w:cs="Arial"/>
          <w:bCs/>
          <w:color w:val="000000" w:themeColor="text1"/>
        </w:rPr>
        <w:tab/>
      </w:r>
      <w:r w:rsidRPr="00A12087">
        <w:rPr>
          <w:rFonts w:ascii="Century Gothic" w:hAnsi="Century Gothic" w:eastAsia="Calibri" w:cs="Arial"/>
          <w:bCs/>
          <w:color w:val="000000" w:themeColor="text1"/>
        </w:rPr>
        <w:t xml:space="preserve">El principio </w:t>
      </w:r>
      <w:r w:rsidRPr="00A12087">
        <w:rPr>
          <w:rFonts w:ascii="Century Gothic" w:hAnsi="Century Gothic" w:eastAsia="Calibri" w:cs="Arial"/>
          <w:bCs/>
          <w:i/>
          <w:iCs/>
          <w:color w:val="000000" w:themeColor="text1"/>
        </w:rPr>
        <w:t xml:space="preserve">pro </w:t>
      </w:r>
      <w:proofErr w:type="spellStart"/>
      <w:r w:rsidRPr="00A12087">
        <w:rPr>
          <w:rFonts w:ascii="Century Gothic" w:hAnsi="Century Gothic" w:eastAsia="Calibri" w:cs="Arial"/>
          <w:bCs/>
          <w:i/>
          <w:iCs/>
          <w:color w:val="000000" w:themeColor="text1"/>
        </w:rPr>
        <w:t>libertate</w:t>
      </w:r>
      <w:proofErr w:type="spellEnd"/>
      <w:r w:rsidRPr="00A12087">
        <w:rPr>
          <w:rFonts w:ascii="Century Gothic" w:hAnsi="Century Gothic" w:eastAsia="Calibri" w:cs="Arial"/>
          <w:bCs/>
          <w:color w:val="000000" w:themeColor="text1"/>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rsidRPr="00A12087" w:rsidR="004E1156" w:rsidP="004E1156" w:rsidRDefault="004E1156" w14:paraId="6777C62B" w14:textId="77777777">
      <w:pPr>
        <w:spacing w:after="0" w:line="276" w:lineRule="auto"/>
        <w:ind w:firstLine="708"/>
        <w:jc w:val="both"/>
        <w:rPr>
          <w:rFonts w:ascii="Century Gothic" w:hAnsi="Century Gothic" w:cs="Arial"/>
          <w:lang w:val="es-ES"/>
        </w:rPr>
      </w:pPr>
      <w:r w:rsidRPr="00A12087">
        <w:rPr>
          <w:rFonts w:ascii="Century Gothic" w:hAnsi="Century Gothic" w:eastAsia="Calibri" w:cs="Arial"/>
          <w:lang w:val="es-ES"/>
        </w:rPr>
        <w:t xml:space="preserve">Dentro de este marco general, teniendo en cuenta el carácter taxativo y la interpretación restrictiva de las causales, corresponderá a la entidad contratante definir si en las situaciones planteadas en la consulta se configura alguna prohibición para celebrar contratos con el Estado, bien sea derivada del </w:t>
      </w:r>
      <w:r w:rsidRPr="00A12087">
        <w:rPr>
          <w:rFonts w:ascii="Century Gothic" w:hAnsi="Century Gothic" w:eastAsia="Calibri" w:cs="Arial"/>
          <w:bCs/>
          <w:color w:val="000000" w:themeColor="text1"/>
        </w:rPr>
        <w:t>artículo 8, literal j) del numeral 1, de la Ley 80 de 1993 o de otras expresamente previstas por el ordenamiento jurídico</w:t>
      </w:r>
      <w:r w:rsidRPr="00A12087">
        <w:rPr>
          <w:rFonts w:ascii="Century Gothic" w:hAnsi="Century Gothic" w:cs="Arial"/>
        </w:rPr>
        <w:t xml:space="preserve">. </w:t>
      </w:r>
      <w:r w:rsidRPr="00A12087">
        <w:rPr>
          <w:rFonts w:ascii="Century Gothic" w:hAnsi="Century Gothic" w:cs="Arial"/>
          <w:lang w:val="es-ES"/>
        </w:rPr>
        <w:t>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rsidRPr="00A12087" w:rsidR="004E1156" w:rsidP="004E1156" w:rsidRDefault="004E1156" w14:paraId="78FA461F" w14:textId="77777777">
      <w:pPr>
        <w:spacing w:after="120" w:line="276" w:lineRule="auto"/>
        <w:ind w:firstLine="709"/>
        <w:jc w:val="both"/>
        <w:rPr>
          <w:rFonts w:ascii="Century Gothic" w:hAnsi="Century Gothic" w:eastAsia="Calibri" w:cs="Arial"/>
          <w:lang w:val="es-ES_tradnl"/>
        </w:rPr>
      </w:pPr>
      <w:r w:rsidRPr="00A12087">
        <w:rPr>
          <w:rFonts w:ascii="Century Gothic" w:hAnsi="Century Gothic" w:cs="Arial"/>
        </w:rPr>
        <w:t xml:space="preserve"> </w:t>
      </w:r>
    </w:p>
    <w:p w:rsidRPr="00A12087" w:rsidR="004E1156" w:rsidP="004E1156" w:rsidRDefault="004E1156" w14:paraId="3460FFAF" w14:textId="77777777">
      <w:pPr>
        <w:widowControl w:val="0"/>
        <w:autoSpaceDE w:val="0"/>
        <w:autoSpaceDN w:val="0"/>
        <w:spacing w:after="0" w:line="276" w:lineRule="auto"/>
        <w:jc w:val="both"/>
        <w:rPr>
          <w:rFonts w:ascii="Century Gothic" w:hAnsi="Century Gothic" w:cs="Arial"/>
          <w:color w:val="000000" w:themeColor="text1"/>
          <w:lang w:val="es-ES_tradnl" w:bidi="es-ES"/>
        </w:rPr>
      </w:pPr>
      <w:r w:rsidRPr="00A12087">
        <w:rPr>
          <w:rFonts w:ascii="Century Gothic" w:hAnsi="Century Gothic" w:cs="Arial"/>
          <w:color w:val="000000" w:themeColor="text1"/>
          <w:lang w:val="es-ES_tradnl"/>
        </w:rPr>
        <w:t>Este concepto tiene el alcance previsto en el artículo 28 del Código de Procedimiento Administrativo y de lo Contencioso Administrativo.</w:t>
      </w:r>
    </w:p>
    <w:p w:rsidRPr="00A12087" w:rsidR="004E1156" w:rsidP="004E1156" w:rsidRDefault="004E1156" w14:paraId="083DB01F" w14:textId="77777777">
      <w:pPr>
        <w:widowControl w:val="0"/>
        <w:autoSpaceDE w:val="0"/>
        <w:autoSpaceDN w:val="0"/>
        <w:spacing w:after="0" w:line="276" w:lineRule="auto"/>
        <w:jc w:val="both"/>
        <w:rPr>
          <w:rFonts w:ascii="Century Gothic" w:hAnsi="Century Gothic" w:cs="Arial"/>
          <w:color w:val="000000" w:themeColor="text1"/>
          <w:lang w:val="es-ES_tradnl" w:bidi="es-ES"/>
        </w:rPr>
      </w:pPr>
    </w:p>
    <w:p w:rsidRPr="00A12087" w:rsidR="004E1156" w:rsidP="004E1156" w:rsidRDefault="004E1156" w14:paraId="419A5D0B" w14:textId="77777777">
      <w:pPr>
        <w:tabs>
          <w:tab w:val="left" w:pos="426"/>
        </w:tabs>
        <w:spacing w:line="276" w:lineRule="auto"/>
        <w:jc w:val="both"/>
        <w:rPr>
          <w:rFonts w:ascii="Century Gothic" w:hAnsi="Century Gothic" w:eastAsia="Times New Roman" w:cs="Arial"/>
          <w:color w:val="000000" w:themeColor="text1"/>
        </w:rPr>
      </w:pPr>
      <w:r w:rsidRPr="00A12087">
        <w:rPr>
          <w:rFonts w:ascii="Century Gothic" w:hAnsi="Century Gothic" w:eastAsia="Times New Roman" w:cs="Arial"/>
          <w:color w:val="000000" w:themeColor="text1"/>
        </w:rPr>
        <w:t>Atentamente,</w:t>
      </w:r>
    </w:p>
    <w:p w:rsidRPr="00A12087" w:rsidR="004E1156" w:rsidP="004E1156" w:rsidRDefault="00A07A21" w14:paraId="59F04949" w14:textId="09271274">
      <w:pPr>
        <w:jc w:val="center"/>
        <w:rPr>
          <w:rFonts w:ascii="Century Gothic" w:hAnsi="Century Gothic" w:eastAsia="Times New Roman" w:cs="Arial"/>
          <w:lang w:eastAsia="es-CO"/>
        </w:rPr>
      </w:pPr>
      <w:r>
        <w:rPr>
          <w:noProof/>
        </w:rPr>
        <w:drawing>
          <wp:inline distT="0" distB="0" distL="0" distR="0" wp14:anchorId="3AFBA037" wp14:editId="623E4109">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A12087" w:rsidR="004E1156" w:rsidTr="005355C6" w14:paraId="7855CB91" w14:textId="77777777">
        <w:trPr>
          <w:trHeight w:val="409"/>
        </w:trPr>
        <w:tc>
          <w:tcPr>
            <w:tcW w:w="817" w:type="dxa"/>
            <w:tcBorders>
              <w:top w:val="nil"/>
              <w:left w:val="nil"/>
              <w:bottom w:val="nil"/>
              <w:right w:val="nil"/>
            </w:tcBorders>
            <w:vAlign w:val="center"/>
            <w:hideMark/>
          </w:tcPr>
          <w:p w:rsidRPr="00A12087" w:rsidR="004E1156" w:rsidP="005355C6" w:rsidRDefault="004E1156" w14:paraId="72384AA3"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A12087" w:rsidR="004E1156" w:rsidP="005355C6" w:rsidRDefault="004E1156" w14:paraId="7494363D"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Juan David Montoya Penagos</w:t>
            </w:r>
          </w:p>
          <w:p w:rsidRPr="00A12087" w:rsidR="004E1156" w:rsidP="005355C6" w:rsidRDefault="004E1156" w14:paraId="74F1B912"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Contratista de la Subdirección de Gestión Contractual</w:t>
            </w:r>
          </w:p>
        </w:tc>
      </w:tr>
      <w:tr w:rsidRPr="00A12087" w:rsidR="004E1156" w:rsidTr="005355C6" w14:paraId="4ACA5A2A" w14:textId="77777777">
        <w:trPr>
          <w:trHeight w:val="409"/>
        </w:trPr>
        <w:tc>
          <w:tcPr>
            <w:tcW w:w="817" w:type="dxa"/>
            <w:tcBorders>
              <w:top w:val="nil"/>
              <w:left w:val="nil"/>
              <w:right w:val="nil"/>
            </w:tcBorders>
            <w:vAlign w:val="center"/>
          </w:tcPr>
          <w:p w:rsidRPr="00A12087" w:rsidR="004E1156" w:rsidP="005355C6" w:rsidRDefault="004E1156" w14:paraId="0E6F6666" w14:textId="77777777">
            <w:pPr>
              <w:jc w:val="both"/>
              <w:rPr>
                <w:rFonts w:ascii="Century Gothic" w:hAnsi="Century Gothic" w:cs="Arial"/>
                <w:sz w:val="16"/>
                <w:szCs w:val="16"/>
              </w:rPr>
            </w:pPr>
            <w:r w:rsidRPr="00A12087">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A12087" w:rsidR="004E1156" w:rsidP="005355C6" w:rsidRDefault="004E1156" w14:paraId="62B8201C"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Martha Alicia Romero Vargas</w:t>
            </w:r>
          </w:p>
          <w:p w:rsidRPr="00A12087" w:rsidR="004E1156" w:rsidP="005355C6" w:rsidRDefault="004E1156" w14:paraId="4CB4AFD5"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 xml:space="preserve">Gestor T1 </w:t>
            </w:r>
            <w:r w:rsidRPr="00A12087">
              <w:rPr>
                <w:rFonts w:ascii="Arial" w:hAnsi="Arial" w:cs="Arial"/>
                <w:sz w:val="16"/>
                <w:szCs w:val="16"/>
              </w:rPr>
              <w:t>‒</w:t>
            </w:r>
            <w:r w:rsidRPr="00A12087">
              <w:rPr>
                <w:rFonts w:ascii="Century Gothic" w:hAnsi="Century Gothic" w:cs="Arial"/>
                <w:sz w:val="16"/>
                <w:szCs w:val="16"/>
              </w:rPr>
              <w:t xml:space="preserve"> 15 de la Subdirecci</w:t>
            </w:r>
            <w:r w:rsidRPr="00A12087">
              <w:rPr>
                <w:rFonts w:ascii="Century Gothic" w:hAnsi="Century Gothic" w:cs="Century Gothic"/>
                <w:sz w:val="16"/>
                <w:szCs w:val="16"/>
              </w:rPr>
              <w:t>ó</w:t>
            </w:r>
            <w:r w:rsidRPr="00A12087">
              <w:rPr>
                <w:rFonts w:ascii="Century Gothic" w:hAnsi="Century Gothic" w:cs="Arial"/>
                <w:sz w:val="16"/>
                <w:szCs w:val="16"/>
              </w:rPr>
              <w:t>n de Gesti</w:t>
            </w:r>
            <w:r w:rsidRPr="00A12087">
              <w:rPr>
                <w:rFonts w:ascii="Century Gothic" w:hAnsi="Century Gothic" w:cs="Century Gothic"/>
                <w:sz w:val="16"/>
                <w:szCs w:val="16"/>
              </w:rPr>
              <w:t>ó</w:t>
            </w:r>
            <w:r w:rsidRPr="00A12087">
              <w:rPr>
                <w:rFonts w:ascii="Century Gothic" w:hAnsi="Century Gothic" w:cs="Arial"/>
                <w:sz w:val="16"/>
                <w:szCs w:val="16"/>
              </w:rPr>
              <w:t>n Contractual</w:t>
            </w:r>
          </w:p>
        </w:tc>
      </w:tr>
      <w:tr w:rsidRPr="00A12087" w:rsidR="004E1156" w:rsidTr="005355C6" w14:paraId="285ABC03" w14:textId="77777777">
        <w:trPr>
          <w:trHeight w:val="389"/>
        </w:trPr>
        <w:tc>
          <w:tcPr>
            <w:tcW w:w="817" w:type="dxa"/>
            <w:tcBorders>
              <w:top w:val="nil"/>
              <w:left w:val="nil"/>
              <w:bottom w:val="nil"/>
              <w:right w:val="nil"/>
            </w:tcBorders>
            <w:vAlign w:val="center"/>
            <w:hideMark/>
          </w:tcPr>
          <w:p w:rsidRPr="00A12087" w:rsidR="004E1156" w:rsidP="005355C6" w:rsidRDefault="004E1156" w14:paraId="4FF1EAA7"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A12087" w:rsidR="004E1156" w:rsidP="005355C6" w:rsidRDefault="004E1156" w14:paraId="0EC3EA01"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 xml:space="preserve">Nohelia del Carmen </w:t>
            </w:r>
            <w:proofErr w:type="spellStart"/>
            <w:r w:rsidRPr="00A12087">
              <w:rPr>
                <w:rFonts w:ascii="Century Gothic" w:hAnsi="Century Gothic" w:cs="Arial"/>
                <w:sz w:val="16"/>
                <w:szCs w:val="16"/>
              </w:rPr>
              <w:t>Zawady</w:t>
            </w:r>
            <w:proofErr w:type="spellEnd"/>
            <w:r w:rsidRPr="00A12087">
              <w:rPr>
                <w:rFonts w:ascii="Century Gothic" w:hAnsi="Century Gothic" w:cs="Arial"/>
                <w:sz w:val="16"/>
                <w:szCs w:val="16"/>
              </w:rPr>
              <w:t xml:space="preserve"> Palacio</w:t>
            </w:r>
          </w:p>
          <w:p w:rsidRPr="00A12087" w:rsidR="004E1156" w:rsidP="005355C6" w:rsidRDefault="004E1156" w14:paraId="0CF4D9F8" w14:textId="77777777">
            <w:pPr>
              <w:spacing w:after="0" w:line="240" w:lineRule="auto"/>
              <w:jc w:val="both"/>
              <w:rPr>
                <w:rFonts w:ascii="Century Gothic" w:hAnsi="Century Gothic" w:cs="Arial"/>
                <w:sz w:val="16"/>
                <w:szCs w:val="16"/>
              </w:rPr>
            </w:pPr>
            <w:r w:rsidRPr="00A12087">
              <w:rPr>
                <w:rFonts w:ascii="Century Gothic" w:hAnsi="Century Gothic" w:cs="Arial"/>
                <w:sz w:val="16"/>
                <w:szCs w:val="16"/>
              </w:rPr>
              <w:t>Subdirectora de Gestión Contractual ANCP - CCE</w:t>
            </w:r>
          </w:p>
        </w:tc>
      </w:tr>
      <w:bookmarkEnd w:id="2"/>
    </w:tbl>
    <w:p w:rsidRPr="00A12087" w:rsidR="004E1156" w:rsidP="004E1156" w:rsidRDefault="004E1156" w14:paraId="3BEB8C6B" w14:textId="77777777">
      <w:pPr>
        <w:tabs>
          <w:tab w:val="left" w:pos="0"/>
        </w:tabs>
        <w:spacing w:line="276" w:lineRule="auto"/>
        <w:contextualSpacing/>
        <w:jc w:val="both"/>
        <w:rPr>
          <w:rFonts w:ascii="Century Gothic" w:hAnsi="Century Gothic"/>
          <w:lang w:val="es-MX"/>
        </w:rPr>
      </w:pPr>
    </w:p>
    <w:p w:rsidRPr="00A12087" w:rsidR="004E1156" w:rsidP="004E1156" w:rsidRDefault="004E1156" w14:paraId="5676A9BB" w14:textId="77777777">
      <w:pPr>
        <w:rPr>
          <w:rFonts w:ascii="Century Gothic" w:hAnsi="Century Gothic"/>
        </w:rPr>
      </w:pPr>
    </w:p>
    <w:p w:rsidRPr="00A12087" w:rsidR="00127233" w:rsidP="00E55730" w:rsidRDefault="00127233" w14:paraId="0F293BF4" w14:textId="0F6FB6C1">
      <w:pPr>
        <w:rPr>
          <w:rFonts w:ascii="Century Gothic" w:hAnsi="Century Gothic"/>
        </w:rPr>
      </w:pPr>
    </w:p>
    <w:sectPr w:rsidRPr="00A12087" w:rsidR="00127233" w:rsidSect="00A12087">
      <w:headerReference w:type="default" r:id="rId13"/>
      <w:footerReference w:type="default" r:id="rId14"/>
      <w:pgSz w:w="12240" w:h="15840" w:orient="portrait" w:code="1"/>
      <w:pgMar w:top="1418" w:right="1701" w:bottom="1418" w:left="1701" w:header="85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3ADA" w:rsidP="004A1847" w:rsidRDefault="006C3ADA" w14:paraId="779F8EC0" w14:textId="77777777">
      <w:pPr>
        <w:spacing w:after="0" w:line="240" w:lineRule="auto"/>
      </w:pPr>
      <w:r>
        <w:separator/>
      </w:r>
    </w:p>
  </w:endnote>
  <w:endnote w:type="continuationSeparator" w:id="0">
    <w:p w:rsidR="006C3ADA" w:rsidP="004A1847" w:rsidRDefault="006C3ADA" w14:paraId="52F57CA3" w14:textId="77777777">
      <w:pPr>
        <w:spacing w:after="0" w:line="240" w:lineRule="auto"/>
      </w:pPr>
      <w:r>
        <w:continuationSeparator/>
      </w:r>
    </w:p>
  </w:endnote>
  <w:endnote w:type="continuationNotice" w:id="1">
    <w:p w:rsidR="006C3ADA" w:rsidRDefault="006C3ADA" w14:paraId="6348B37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12087" w:rsidRDefault="00A12087" w14:paraId="6AF8888B" w14:textId="77777777">
    <w:pPr>
      <w:pStyle w:val="Piedepgina"/>
    </w:pPr>
    <w:r>
      <w:rPr>
        <w:noProof/>
      </w:rPr>
      <w:drawing>
        <wp:inline distT="0" distB="0" distL="0" distR="0" wp14:anchorId="0601208F" wp14:editId="744AB44F">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4384" behindDoc="0" locked="0" layoutInCell="1" allowOverlap="1" wp14:anchorId="70F43AE6" wp14:editId="648481AA">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A12087" w:rsidTr="00B72CD3" w14:paraId="27DA8A87"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A12087" w:rsidP="006219F8" w:rsidRDefault="00A12087" w14:paraId="5B9B313C" w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A12087" w:rsidP="006219F8" w:rsidRDefault="00A12087" w14:paraId="6BBCA4A2" w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A12087" w:rsidP="00FC2B5D" w:rsidRDefault="00A12087" w14:paraId="3F04D2E3" w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A12087" w:rsidP="00820278" w:rsidRDefault="00A12087" w14:paraId="371B2801" w14:textId="77777777">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rsidR="006219F8" w:rsidP="00A07532" w:rsidRDefault="006219F8" w14:paraId="744661F5"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3ADA" w:rsidP="004A1847" w:rsidRDefault="006C3ADA" w14:paraId="0062701C" w14:textId="77777777">
      <w:pPr>
        <w:spacing w:after="0" w:line="240" w:lineRule="auto"/>
      </w:pPr>
      <w:r>
        <w:separator/>
      </w:r>
    </w:p>
  </w:footnote>
  <w:footnote w:type="continuationSeparator" w:id="0">
    <w:p w:rsidR="006C3ADA" w:rsidP="004A1847" w:rsidRDefault="006C3ADA" w14:paraId="7935D606" w14:textId="77777777">
      <w:pPr>
        <w:spacing w:after="0" w:line="240" w:lineRule="auto"/>
      </w:pPr>
      <w:r>
        <w:continuationSeparator/>
      </w:r>
    </w:p>
  </w:footnote>
  <w:footnote w:type="continuationNotice" w:id="1">
    <w:p w:rsidR="006C3ADA" w:rsidRDefault="006C3ADA" w14:paraId="1089D837" w14:textId="77777777">
      <w:pPr>
        <w:spacing w:after="0" w:line="240" w:lineRule="auto"/>
      </w:pPr>
    </w:p>
  </w:footnote>
  <w:footnote w:id="2">
    <w:p w:rsidRPr="008B3ADB" w:rsidR="004E1156" w:rsidP="00A12087" w:rsidRDefault="004E1156" w14:paraId="68076C61" w14:textId="77777777">
      <w:pPr>
        <w:pStyle w:val="Textonotapie"/>
        <w:ind w:firstLine="708"/>
        <w:jc w:val="both"/>
        <w:rPr>
          <w:rFonts w:ascii="Century Gothic" w:hAnsi="Century Gothic" w:cs="Arial"/>
          <w:sz w:val="16"/>
          <w:szCs w:val="16"/>
          <w:lang w:val="es-ES"/>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La Agencia Nacional de Contratación Pública </w:t>
      </w:r>
      <w:r w:rsidRPr="008B3ADB">
        <w:rPr>
          <w:rFonts w:ascii="Arial" w:hAnsi="Arial" w:cs="Arial"/>
          <w:sz w:val="16"/>
          <w:szCs w:val="16"/>
        </w:rPr>
        <w:t>‒</w:t>
      </w:r>
      <w:r w:rsidRPr="008B3ADB">
        <w:rPr>
          <w:rFonts w:ascii="Century Gothic" w:hAnsi="Century Gothic" w:cs="Arial"/>
          <w:sz w:val="16"/>
          <w:szCs w:val="16"/>
        </w:rPr>
        <w:t xml:space="preserve"> Colombia Compra Eficiente fue creada por el Decreto Ley 4170 de 2011. Su objetivo es servir como ente rector de la pol</w:t>
      </w:r>
      <w:r w:rsidRPr="008B3ADB">
        <w:rPr>
          <w:rFonts w:ascii="Century Gothic" w:hAnsi="Century Gothic" w:cs="Century Gothic"/>
          <w:sz w:val="16"/>
          <w:szCs w:val="16"/>
        </w:rPr>
        <w:t>í</w:t>
      </w:r>
      <w:r w:rsidRPr="008B3ADB">
        <w:rPr>
          <w:rFonts w:ascii="Century Gothic" w:hAnsi="Century Gothic" w:cs="Arial"/>
          <w:sz w:val="16"/>
          <w:szCs w:val="16"/>
        </w:rPr>
        <w:t>tica de compras y contrataci</w:t>
      </w:r>
      <w:r w:rsidRPr="008B3ADB">
        <w:rPr>
          <w:rFonts w:ascii="Century Gothic" w:hAnsi="Century Gothic" w:cs="Century Gothic"/>
          <w:sz w:val="16"/>
          <w:szCs w:val="16"/>
        </w:rPr>
        <w:t>ó</w:t>
      </w:r>
      <w:r w:rsidRPr="008B3ADB">
        <w:rPr>
          <w:rFonts w:ascii="Century Gothic" w:hAnsi="Century Gothic" w:cs="Arial"/>
          <w:sz w:val="16"/>
          <w:szCs w:val="16"/>
        </w:rPr>
        <w:t xml:space="preserve">n del Estado. Para tales fines, como </w:t>
      </w:r>
      <w:r w:rsidRPr="008B3ADB">
        <w:rPr>
          <w:rFonts w:ascii="Century Gothic" w:hAnsi="Century Gothic" w:cs="Century Gothic"/>
          <w:sz w:val="16"/>
          <w:szCs w:val="16"/>
        </w:rPr>
        <w:t>ó</w:t>
      </w:r>
      <w:r w:rsidRPr="008B3ADB">
        <w:rPr>
          <w:rFonts w:ascii="Century Gothic" w:hAnsi="Century Gothic" w:cs="Arial"/>
          <w:sz w:val="16"/>
          <w:szCs w:val="16"/>
        </w:rPr>
        <w:t>rgano t</w:t>
      </w:r>
      <w:r w:rsidRPr="008B3ADB">
        <w:rPr>
          <w:rFonts w:ascii="Century Gothic" w:hAnsi="Century Gothic" w:cs="Century Gothic"/>
          <w:sz w:val="16"/>
          <w:szCs w:val="16"/>
        </w:rPr>
        <w:t>é</w:t>
      </w:r>
      <w:r w:rsidRPr="008B3ADB">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8B3ADB">
        <w:rPr>
          <w:rFonts w:ascii="Century Gothic" w:hAnsi="Century Gothic" w:cs="Arial"/>
          <w:i/>
          <w:iCs/>
          <w:sz w:val="16"/>
          <w:szCs w:val="16"/>
        </w:rPr>
        <w:t xml:space="preserve">ibidem </w:t>
      </w:r>
      <w:r w:rsidRPr="008B3ADB">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8B3ADB" w:rsidR="004E1156" w:rsidP="00A12087" w:rsidRDefault="004E1156" w14:paraId="7FD5ABF6" w14:textId="77777777">
      <w:pPr>
        <w:pStyle w:val="Textonotapie"/>
        <w:ind w:firstLine="709"/>
        <w:jc w:val="both"/>
        <w:rPr>
          <w:rFonts w:ascii="Century Gothic" w:hAnsi="Century Gothic" w:cs="Arial"/>
          <w:sz w:val="16"/>
          <w:szCs w:val="16"/>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8B3ADB">
          <w:rPr>
            <w:rStyle w:val="Hipervnculo"/>
            <w:rFonts w:ascii="Century Gothic" w:hAnsi="Century Gothic" w:cs="Arial"/>
            <w:sz w:val="16"/>
            <w:szCs w:val="16"/>
          </w:rPr>
          <w:t>https://relatoria.colombiacompra.gov.co/busqueda/conceptos</w:t>
        </w:r>
      </w:hyperlink>
      <w:r w:rsidRPr="008B3ADB">
        <w:rPr>
          <w:rStyle w:val="Hipervnculo"/>
          <w:rFonts w:ascii="Century Gothic" w:hAnsi="Century Gothic" w:cs="Arial"/>
          <w:color w:val="auto"/>
          <w:sz w:val="16"/>
          <w:szCs w:val="16"/>
        </w:rPr>
        <w:t xml:space="preserve">. </w:t>
      </w:r>
      <w:r w:rsidRPr="008B3ADB">
        <w:rPr>
          <w:rFonts w:ascii="Century Gothic" w:hAnsi="Century Gothic" w:cs="Arial"/>
          <w:sz w:val="16"/>
          <w:szCs w:val="16"/>
          <w:shd w:val="clear" w:color="auto" w:fill="E6E6E6"/>
        </w:rPr>
        <w:t xml:space="preserve"> </w:t>
      </w:r>
    </w:p>
  </w:footnote>
  <w:footnote w:id="4">
    <w:p w:rsidRPr="008B3ADB" w:rsidR="004E1156" w:rsidP="00A12087" w:rsidRDefault="004E1156" w14:paraId="4332FDB2" w14:textId="77777777">
      <w:pPr>
        <w:pStyle w:val="Textonotapie"/>
        <w:ind w:firstLine="709"/>
        <w:jc w:val="both"/>
        <w:rPr>
          <w:rFonts w:ascii="Century Gothic" w:hAnsi="Century Gothic" w:cs="Arial"/>
          <w:sz w:val="16"/>
          <w:szCs w:val="16"/>
          <w:lang w:val="es-ES_tradnl"/>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pt-BR"/>
        </w:rPr>
        <w:t>CORTE CONSTITUCIONAL. Sentencia C-1016 de 2012. M.P. Jorge Iván Palacio.</w:t>
      </w:r>
    </w:p>
  </w:footnote>
  <w:footnote w:id="5">
    <w:p w:rsidRPr="008B3ADB" w:rsidR="004E1156" w:rsidP="00A12087" w:rsidRDefault="004E1156" w14:paraId="163B5CEC" w14:textId="77777777">
      <w:pPr>
        <w:pStyle w:val="Textonotapie"/>
        <w:ind w:firstLine="709"/>
        <w:jc w:val="both"/>
        <w:rPr>
          <w:rFonts w:ascii="Century Gothic" w:hAnsi="Century Gothic" w:cs="Arial"/>
          <w:sz w:val="16"/>
          <w:szCs w:val="16"/>
          <w:lang w:val="pt-BR"/>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CONSEJO DE ESTADO. Sección Tercera. Subsección A. Sentencia del 13 de noviembre de 2013. </w:t>
      </w:r>
      <w:r w:rsidRPr="008B3ADB">
        <w:rPr>
          <w:rFonts w:ascii="Century Gothic" w:hAnsi="Century Gothic" w:cs="Arial"/>
          <w:sz w:val="16"/>
          <w:szCs w:val="16"/>
          <w:lang w:val="pt-BR"/>
        </w:rPr>
        <w:t>Rad. 25.646. C.P. Mauricio Fajardo Gómez.</w:t>
      </w:r>
    </w:p>
  </w:footnote>
  <w:footnote w:id="6">
    <w:p w:rsidRPr="008B3ADB" w:rsidR="004E1156" w:rsidP="00A12087" w:rsidRDefault="004E1156" w14:paraId="7E68999B" w14:textId="77777777">
      <w:pPr>
        <w:pStyle w:val="Textonotapie"/>
        <w:ind w:firstLine="709"/>
        <w:jc w:val="both"/>
        <w:rPr>
          <w:rFonts w:ascii="Century Gothic" w:hAnsi="Century Gothic" w:cs="Arial"/>
          <w:sz w:val="16"/>
          <w:szCs w:val="16"/>
          <w:lang w:val="es-ES_tradnl"/>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pt-BR"/>
        </w:rPr>
        <w:t>CORTE CONSTITUCIONAL. Sentencia C-415 de 1994. M.P. Eduardo Cifuentes Muñoz.</w:t>
      </w:r>
    </w:p>
  </w:footnote>
  <w:footnote w:id="7">
    <w:p w:rsidRPr="008B3ADB" w:rsidR="004E1156" w:rsidP="00A12087" w:rsidRDefault="004E1156" w14:paraId="0DD9C147" w14:textId="77777777">
      <w:pPr>
        <w:pStyle w:val="Textonotapie"/>
        <w:ind w:firstLine="709"/>
        <w:jc w:val="both"/>
        <w:rPr>
          <w:rFonts w:ascii="Century Gothic" w:hAnsi="Century Gothic" w:cs="Arial"/>
          <w:sz w:val="16"/>
          <w:szCs w:val="16"/>
          <w:lang w:val="pt-BR"/>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pt-BR"/>
        </w:rPr>
        <w:t>Ibídem.</w:t>
      </w:r>
    </w:p>
  </w:footnote>
  <w:footnote w:id="8">
    <w:p w:rsidRPr="008B3ADB" w:rsidR="004E1156" w:rsidP="00A12087" w:rsidRDefault="004E1156" w14:paraId="75D87EE8" w14:textId="77777777">
      <w:pPr>
        <w:pStyle w:val="Textonotapie"/>
        <w:ind w:firstLine="709"/>
        <w:jc w:val="both"/>
        <w:rPr>
          <w:rFonts w:ascii="Century Gothic" w:hAnsi="Century Gothic" w:cs="Arial"/>
          <w:sz w:val="16"/>
          <w:szCs w:val="16"/>
          <w:lang w:val="es-CO"/>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pt-BR"/>
        </w:rPr>
        <w:t xml:space="preserve">CORTE CONSTITUCIONAL. </w:t>
      </w:r>
      <w:r w:rsidRPr="008B3ADB">
        <w:rPr>
          <w:rFonts w:ascii="Century Gothic" w:hAnsi="Century Gothic" w:cs="Arial"/>
          <w:sz w:val="16"/>
          <w:szCs w:val="16"/>
        </w:rPr>
        <w:t xml:space="preserve">Sentencia C-780 de 2001. </w:t>
      </w:r>
      <w:r w:rsidRPr="008B3ADB">
        <w:rPr>
          <w:rFonts w:ascii="Century Gothic" w:hAnsi="Century Gothic" w:cs="Arial"/>
          <w:sz w:val="16"/>
          <w:szCs w:val="16"/>
          <w:lang w:val="es-CO"/>
        </w:rPr>
        <w:t xml:space="preserve">M.P. Jaime Córdoba Triviño. </w:t>
      </w:r>
    </w:p>
  </w:footnote>
  <w:footnote w:id="9">
    <w:p w:rsidRPr="008B3ADB" w:rsidR="004E1156" w:rsidP="00A12087" w:rsidRDefault="004E1156" w14:paraId="0AD9C777" w14:textId="77777777">
      <w:pPr>
        <w:pStyle w:val="Textonotapie"/>
        <w:ind w:firstLine="709"/>
        <w:jc w:val="both"/>
        <w:rPr>
          <w:rFonts w:ascii="Century Gothic" w:hAnsi="Century Gothic" w:cs="Arial"/>
          <w:sz w:val="16"/>
          <w:szCs w:val="16"/>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Código Civil: “Artículo 1502. Requisitos para obligarse. Para que una persona se obligue a otra por un acto o declaración de voluntad, es necesario:</w:t>
      </w:r>
    </w:p>
    <w:p w:rsidRPr="008B3ADB" w:rsidR="004E1156" w:rsidP="00A12087" w:rsidRDefault="004E1156" w14:paraId="5FC5D19B" w14:textId="77777777">
      <w:pPr>
        <w:pStyle w:val="Textonotapie"/>
        <w:ind w:firstLine="709"/>
        <w:jc w:val="both"/>
        <w:rPr>
          <w:rFonts w:ascii="Century Gothic" w:hAnsi="Century Gothic" w:cs="Arial"/>
          <w:sz w:val="16"/>
          <w:szCs w:val="16"/>
        </w:rPr>
      </w:pPr>
      <w:r w:rsidRPr="008B3ADB">
        <w:rPr>
          <w:rFonts w:ascii="Century Gothic" w:hAnsi="Century Gothic" w:cs="Arial"/>
          <w:sz w:val="16"/>
          <w:szCs w:val="16"/>
        </w:rPr>
        <w:t>1o.) que sea legalmente capaz.</w:t>
      </w:r>
    </w:p>
    <w:p w:rsidRPr="008B3ADB" w:rsidR="004E1156" w:rsidP="00A12087" w:rsidRDefault="004E1156" w14:paraId="43071C0C" w14:textId="77777777">
      <w:pPr>
        <w:pStyle w:val="Textonotapie"/>
        <w:ind w:firstLine="709"/>
        <w:jc w:val="both"/>
        <w:rPr>
          <w:rFonts w:ascii="Century Gothic" w:hAnsi="Century Gothic" w:cs="Arial"/>
          <w:sz w:val="16"/>
          <w:szCs w:val="16"/>
        </w:rPr>
      </w:pPr>
      <w:r w:rsidRPr="008B3ADB">
        <w:rPr>
          <w:rFonts w:ascii="Century Gothic" w:hAnsi="Century Gothic" w:cs="Arial"/>
          <w:sz w:val="16"/>
          <w:szCs w:val="16"/>
        </w:rPr>
        <w:t>[…]</w:t>
      </w:r>
    </w:p>
    <w:p w:rsidRPr="008B3ADB" w:rsidR="004E1156" w:rsidP="00A12087" w:rsidRDefault="004E1156" w14:paraId="02CBD20D" w14:textId="77777777">
      <w:pPr>
        <w:pStyle w:val="Textonotapie"/>
        <w:ind w:firstLine="709"/>
        <w:jc w:val="both"/>
        <w:rPr>
          <w:rFonts w:ascii="Century Gothic" w:hAnsi="Century Gothic" w:cs="Arial"/>
          <w:sz w:val="16"/>
          <w:szCs w:val="16"/>
        </w:rPr>
      </w:pPr>
      <w:r w:rsidRPr="008B3ADB">
        <w:rPr>
          <w:rFonts w:ascii="Century Gothic" w:hAnsi="Century Gothic" w:cs="Arial"/>
          <w:sz w:val="16"/>
          <w:szCs w:val="16"/>
        </w:rPr>
        <w:t>La capacidad legal de una persona consiste en poderse obligar por sí misma, sin el ministerio o la autorización de otra”.</w:t>
      </w:r>
    </w:p>
  </w:footnote>
  <w:footnote w:id="10">
    <w:p w:rsidRPr="008B3ADB" w:rsidR="004E1156" w:rsidP="00A12087" w:rsidRDefault="004E1156" w14:paraId="60460075" w14:textId="77777777">
      <w:pPr>
        <w:pStyle w:val="Textonotapie"/>
        <w:ind w:firstLine="709"/>
        <w:jc w:val="both"/>
        <w:rPr>
          <w:rFonts w:ascii="Century Gothic" w:hAnsi="Century Gothic" w:cs="Arial"/>
          <w:sz w:val="16"/>
          <w:szCs w:val="16"/>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Decreto Ley 19 de 2012: “Artículo 221. El artículo 6 de la Ley 1150 de 2007, quedará así:</w:t>
      </w:r>
    </w:p>
    <w:p w:rsidRPr="008B3ADB" w:rsidR="004E1156" w:rsidP="00A12087" w:rsidRDefault="004E1156" w14:paraId="788C6A22" w14:textId="77777777">
      <w:pPr>
        <w:pStyle w:val="Textonotapie"/>
        <w:ind w:firstLine="709"/>
        <w:jc w:val="both"/>
        <w:rPr>
          <w:rFonts w:ascii="Century Gothic" w:hAnsi="Century Gothic" w:cs="Arial"/>
          <w:sz w:val="16"/>
          <w:szCs w:val="16"/>
          <w:lang w:val="es-ES"/>
        </w:rPr>
      </w:pPr>
      <w:r w:rsidRPr="008B3ADB">
        <w:rPr>
          <w:rFonts w:ascii="Century Gothic" w:hAnsi="Century Gothic" w:cs="Arial"/>
          <w:sz w:val="16"/>
          <w:szCs w:val="16"/>
        </w:rPr>
        <w:t>Artículo 6. De la verificación de las condiciones de los proponentes. T</w:t>
      </w:r>
      <w:r w:rsidRPr="008B3ADB">
        <w:rPr>
          <w:rFonts w:ascii="Century Gothic" w:hAnsi="Century Gothic" w:cs="Arial"/>
          <w:sz w:val="16"/>
          <w:szCs w:val="16"/>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8B3ADB" w:rsidR="004E1156" w:rsidP="00A12087" w:rsidRDefault="004E1156" w14:paraId="3DD0A532" w14:textId="77777777">
      <w:pPr>
        <w:pStyle w:val="Textonotapie"/>
        <w:ind w:firstLine="709"/>
        <w:jc w:val="both"/>
        <w:rPr>
          <w:rFonts w:ascii="Century Gothic" w:hAnsi="Century Gothic" w:cs="Arial"/>
          <w:sz w:val="16"/>
          <w:szCs w:val="16"/>
          <w:lang w:val="es-ES"/>
        </w:rPr>
      </w:pPr>
      <w:r w:rsidRPr="008B3ADB">
        <w:rPr>
          <w:rFonts w:ascii="Century Gothic" w:hAnsi="Century Gothic" w:cs="Arial"/>
          <w:sz w:val="16"/>
          <w:szCs w:val="16"/>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1">
    <w:p w:rsidRPr="008B3ADB" w:rsidR="004E1156" w:rsidP="00A12087" w:rsidRDefault="004E1156" w14:paraId="085E38F9" w14:textId="77777777">
      <w:pPr>
        <w:pStyle w:val="Textonotapie"/>
        <w:ind w:firstLine="709"/>
        <w:jc w:val="both"/>
        <w:rPr>
          <w:rFonts w:ascii="Century Gothic" w:hAnsi="Century Gothic" w:cs="Arial"/>
          <w:sz w:val="16"/>
          <w:szCs w:val="16"/>
          <w:lang w:val="es-ES"/>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8B3ADB">
        <w:rPr>
          <w:rFonts w:ascii="Century Gothic" w:hAnsi="Century Gothic" w:cs="Arial"/>
          <w:i/>
          <w:iCs/>
          <w:sz w:val="16"/>
          <w:szCs w:val="16"/>
          <w:lang w:val="es-ES"/>
        </w:rPr>
        <w:t>el régimen de inhabilidades e incompatibilidades</w:t>
      </w:r>
      <w:r w:rsidRPr="008B3ADB">
        <w:rPr>
          <w:rFonts w:ascii="Century Gothic" w:hAnsi="Century Gothic" w:cs="Arial"/>
          <w:sz w:val="16"/>
          <w:szCs w:val="16"/>
          <w:lang w:val="es-ES"/>
        </w:rPr>
        <w:t xml:space="preserve"> (1) y la obligación de ciertos proponentes de inscribirse en el </w:t>
      </w:r>
      <w:r w:rsidRPr="008B3ADB">
        <w:rPr>
          <w:rFonts w:ascii="Century Gothic" w:hAnsi="Century Gothic" w:cs="Arial"/>
          <w:i/>
          <w:iCs/>
          <w:sz w:val="16"/>
          <w:szCs w:val="16"/>
          <w:lang w:val="es-ES"/>
        </w:rPr>
        <w:t>registro único</w:t>
      </w:r>
      <w:r w:rsidRPr="008B3ADB">
        <w:rPr>
          <w:rFonts w:ascii="Century Gothic" w:hAnsi="Century Gothic" w:cs="Arial"/>
          <w:sz w:val="16"/>
          <w:szCs w:val="16"/>
          <w:lang w:val="es-ES"/>
        </w:rPr>
        <w:t xml:space="preserve"> (2)” (BENAVIDES, José Luis. El contrato estatal. Entre el Derecho público y el Derecho privado. 2ª ed. Bogotá: Universidad Externado de Colombia, 2004. p. 278). </w:t>
      </w:r>
    </w:p>
  </w:footnote>
  <w:footnote w:id="12">
    <w:p w:rsidRPr="008B3ADB" w:rsidR="004E1156" w:rsidP="00A12087" w:rsidRDefault="004E1156" w14:paraId="1F15653B" w14:textId="77777777">
      <w:pPr>
        <w:pStyle w:val="Textonotapie"/>
        <w:ind w:firstLine="709"/>
        <w:jc w:val="both"/>
        <w:rPr>
          <w:rFonts w:ascii="Century Gothic" w:hAnsi="Century Gothic" w:cs="Arial"/>
          <w:sz w:val="16"/>
          <w:szCs w:val="16"/>
          <w:lang w:val="es-ES"/>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w:t>
      </w:r>
    </w:p>
  </w:footnote>
  <w:footnote w:id="13">
    <w:p w:rsidRPr="008B3ADB" w:rsidR="004E1156" w:rsidP="00A12087" w:rsidRDefault="004E1156" w14:paraId="347458F4" w14:textId="77777777">
      <w:pPr>
        <w:pStyle w:val="Textonotapie"/>
        <w:ind w:firstLine="709"/>
        <w:jc w:val="both"/>
        <w:rPr>
          <w:rFonts w:ascii="Century Gothic" w:hAnsi="Century Gothic" w:cs="Arial"/>
          <w:sz w:val="16"/>
          <w:szCs w:val="16"/>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4">
    <w:p w:rsidRPr="008B3ADB" w:rsidR="004E1156" w:rsidP="00A12087" w:rsidRDefault="004E1156" w14:paraId="6E855849" w14:textId="77777777">
      <w:pPr>
        <w:pStyle w:val="Textonotapie"/>
        <w:ind w:firstLine="709"/>
        <w:jc w:val="both"/>
        <w:rPr>
          <w:rFonts w:ascii="Century Gothic" w:hAnsi="Century Gothic" w:cs="Arial"/>
          <w:sz w:val="16"/>
          <w:szCs w:val="16"/>
          <w:lang w:val="es-ES"/>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15">
    <w:p w:rsidRPr="008B3ADB" w:rsidR="004E1156" w:rsidP="00A12087" w:rsidRDefault="004E1156" w14:paraId="0C98EBF2" w14:textId="77777777">
      <w:pPr>
        <w:pStyle w:val="Textonotapie"/>
        <w:ind w:firstLine="709"/>
        <w:jc w:val="both"/>
        <w:rPr>
          <w:rFonts w:ascii="Century Gothic" w:hAnsi="Century Gothic" w:cs="Arial"/>
          <w:sz w:val="16"/>
          <w:szCs w:val="16"/>
          <w:lang w:val="es-ES"/>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es-ES"/>
        </w:rPr>
        <w:t>Ibídem. p. 69.</w:t>
      </w:r>
    </w:p>
  </w:footnote>
  <w:footnote w:id="16">
    <w:p w:rsidRPr="008B3ADB" w:rsidR="004E1156" w:rsidP="00A12087" w:rsidRDefault="004E1156" w14:paraId="61A06D77" w14:textId="77777777">
      <w:pPr>
        <w:pStyle w:val="Textonotapie"/>
        <w:ind w:firstLine="709"/>
        <w:jc w:val="both"/>
        <w:rPr>
          <w:rFonts w:ascii="Century Gothic" w:hAnsi="Century Gothic" w:cs="Arial"/>
          <w:sz w:val="16"/>
          <w:szCs w:val="16"/>
          <w:lang w:val="es-ES"/>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footnote>
  <w:footnote w:id="17">
    <w:p w:rsidRPr="008B3ADB" w:rsidR="004E1156" w:rsidP="00A12087" w:rsidRDefault="004E1156" w14:paraId="6294642A" w14:textId="77777777">
      <w:pPr>
        <w:pStyle w:val="Textonotapie"/>
        <w:ind w:firstLine="709"/>
        <w:jc w:val="both"/>
        <w:rPr>
          <w:rFonts w:ascii="Century Gothic" w:hAnsi="Century Gothic" w:cs="Arial"/>
          <w:sz w:val="16"/>
          <w:szCs w:val="16"/>
          <w:lang w:val="es-ES"/>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es-ES"/>
        </w:rPr>
        <w:t>CONSEJO DE ESTADO. Sala de Consulta y Servicio Civil. Concepto del 30 de abril de 2015. Exp. 2251. C.P. Álvaro Namén Vargas.</w:t>
      </w:r>
    </w:p>
  </w:footnote>
  <w:footnote w:id="18">
    <w:p w:rsidRPr="008B3ADB" w:rsidR="004E1156" w:rsidP="00A12087" w:rsidRDefault="004E1156" w14:paraId="71D39BB6" w14:textId="77777777">
      <w:pPr>
        <w:pStyle w:val="Textonotapie"/>
        <w:ind w:firstLine="709"/>
        <w:jc w:val="both"/>
        <w:rPr>
          <w:rFonts w:ascii="Century Gothic" w:hAnsi="Century Gothic" w:cs="Arial"/>
          <w:sz w:val="16"/>
          <w:szCs w:val="16"/>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CONSEJO DE ESTADO. Sección Tercera. Subsección A. Sentencia del 24 de junio de 2015. Exp. 40.635. C.P. Hernán Andrade Rincón (E).</w:t>
      </w:r>
    </w:p>
  </w:footnote>
  <w:footnote w:id="19">
    <w:p w:rsidRPr="008B3ADB" w:rsidR="004E1156" w:rsidP="00A12087" w:rsidRDefault="004E1156" w14:paraId="5E098A01" w14:textId="77777777">
      <w:pPr>
        <w:pStyle w:val="Textonotapie"/>
        <w:ind w:firstLine="709"/>
        <w:jc w:val="both"/>
        <w:rPr>
          <w:rFonts w:ascii="Century Gothic" w:hAnsi="Century Gothic" w:cs="Arial"/>
          <w:sz w:val="16"/>
          <w:szCs w:val="16"/>
          <w:lang w:val="es-ES_tradnl"/>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CONSEJO DE ESTADO. Sección Tercera. Subsección C. Sentencia del 22 de mayo de 2013. Rad. 24.057. C.P. Olga Mélida Valle De De La Hoz. </w:t>
      </w:r>
    </w:p>
  </w:footnote>
  <w:footnote w:id="20">
    <w:p w:rsidRPr="008B3ADB" w:rsidR="004E1156" w:rsidP="00A12087" w:rsidRDefault="004E1156" w14:paraId="2F002FFE" w14:textId="77777777">
      <w:pPr>
        <w:pStyle w:val="Textonotapie"/>
        <w:ind w:firstLine="709"/>
        <w:jc w:val="both"/>
        <w:rPr>
          <w:rFonts w:ascii="Century Gothic" w:hAnsi="Century Gothic" w:cs="Arial"/>
          <w:sz w:val="16"/>
          <w:szCs w:val="16"/>
          <w:lang w:val="pt-BR"/>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sz w:val="16"/>
          <w:szCs w:val="16"/>
          <w:lang w:val="pt-BR"/>
        </w:rPr>
        <w:t>Corte Constitucional. Sentencia C-415 de 1994. M.P. Eduardo Cifuentes Muñoz.</w:t>
      </w:r>
    </w:p>
  </w:footnote>
  <w:footnote w:id="21">
    <w:p w:rsidRPr="008B3ADB" w:rsidR="004E1156" w:rsidP="00A12087" w:rsidRDefault="004E1156" w14:paraId="353DDEC4" w14:textId="77777777">
      <w:pPr>
        <w:pStyle w:val="Textonotapie"/>
        <w:ind w:firstLine="709"/>
        <w:jc w:val="both"/>
        <w:rPr>
          <w:rFonts w:ascii="Century Gothic" w:hAnsi="Century Gothic" w:cs="Arial"/>
          <w:color w:val="000000" w:themeColor="text1"/>
          <w:sz w:val="16"/>
          <w:szCs w:val="16"/>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color w:val="000000" w:themeColor="text1"/>
          <w:sz w:val="16"/>
          <w:szCs w:val="16"/>
          <w:lang w:val="pt-BR"/>
        </w:rPr>
        <w:t xml:space="preserve">CONSEJO DE ESTADO. Sala de lo contencioso administrativo. Sentencia del 12 de diciembre de 2014. Exp. 26496. C.P. Ramiro Pazos Guerrero. </w:t>
      </w:r>
      <w:r w:rsidRPr="008B3ADB">
        <w:rPr>
          <w:rFonts w:ascii="Century Gothic" w:hAnsi="Century Gothic" w:cs="Arial"/>
          <w:color w:val="000000" w:themeColor="text1"/>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22">
    <w:p w:rsidRPr="008B3ADB" w:rsidR="004E1156" w:rsidP="00A12087" w:rsidRDefault="004E1156" w14:paraId="2197E796" w14:textId="77777777">
      <w:pPr>
        <w:pStyle w:val="Textonotapie"/>
        <w:ind w:firstLine="709"/>
        <w:jc w:val="both"/>
        <w:rPr>
          <w:rFonts w:ascii="Century Gothic" w:hAnsi="Century Gothic" w:cs="Arial"/>
          <w:sz w:val="16"/>
          <w:szCs w:val="16"/>
          <w:lang w:val="es-ES_tradnl"/>
        </w:rPr>
      </w:pPr>
      <w:r w:rsidRPr="008B3ADB">
        <w:rPr>
          <w:rStyle w:val="Refdenotaalpie"/>
          <w:rFonts w:ascii="Century Gothic" w:hAnsi="Century Gothic" w:cs="Arial"/>
          <w:sz w:val="16"/>
          <w:szCs w:val="16"/>
        </w:rPr>
        <w:footnoteRef/>
      </w:r>
      <w:r w:rsidRPr="008B3ADB">
        <w:rPr>
          <w:rFonts w:ascii="Century Gothic" w:hAnsi="Century Gothic" w:cs="Arial"/>
          <w:sz w:val="16"/>
          <w:szCs w:val="16"/>
        </w:rPr>
        <w:t xml:space="preserve"> </w:t>
      </w:r>
      <w:r w:rsidRPr="008B3ADB">
        <w:rPr>
          <w:rFonts w:ascii="Century Gothic" w:hAnsi="Century Gothic" w:cs="Arial"/>
          <w:color w:val="000000" w:themeColor="text1"/>
          <w:sz w:val="16"/>
          <w:szCs w:val="16"/>
        </w:rPr>
        <w:t>CONSEJO DE ESTADO. Sala de Consulta y Servicio Civil. Concepto del 29 de abril de 1998. Rad. 1097. C.P. Augusto Trejos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12087" w:rsidRDefault="00A12087" w14:paraId="35A8B7F3" w14:textId="77777777">
    <w:pPr>
      <w:pStyle w:val="Encabezado"/>
    </w:pPr>
    <w:r>
      <w:rPr>
        <w:noProof/>
      </w:rPr>
      <w:drawing>
        <wp:anchor distT="0" distB="0" distL="114300" distR="114300" simplePos="0" relativeHeight="251659264" behindDoc="1" locked="0" layoutInCell="1" allowOverlap="1" wp14:anchorId="22D211D7" wp14:editId="70032398">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2336" behindDoc="0" locked="0" layoutInCell="1" allowOverlap="1" wp14:anchorId="43796ACA" wp14:editId="2402A8DE">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15150C31" wp14:editId="6381687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691DE65" wp14:editId="550DACDF">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A12087" w:rsidRDefault="00A12087" w14:paraId="24A5BF0B" w14:textId="77777777">
    <w:pPr>
      <w:pStyle w:val="Encabezado"/>
    </w:pPr>
  </w:p>
  <w:p w:rsidR="00A12087" w:rsidRDefault="00A12087" w14:paraId="059ED3B4" w14:textId="77777777">
    <w:pPr>
      <w:pStyle w:val="Encabezado"/>
    </w:pPr>
  </w:p>
  <w:p w:rsidRPr="004A305D" w:rsidR="00A12087" w:rsidP="004A305D" w:rsidRDefault="00A12087" w14:paraId="392C578A"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A12087" w:rsidP="004A305D" w:rsidRDefault="00A12087" w14:paraId="752716FB" w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13</w:t>
    </w:r>
  </w:p>
  <w:p w:rsidRPr="004A305D" w:rsidR="00A12087" w:rsidP="004A305D" w:rsidRDefault="00A12087" w14:paraId="77A990D1" w14:textId="77777777">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w:rsidR="00A12087" w:rsidRDefault="00A12087" w14:paraId="49C61E8A"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248B10C9"/>
    <w:multiLevelType w:val="hybridMultilevel"/>
    <w:tmpl w:val="0D8E6D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0"/>
  </w:num>
  <w:num w:numId="3" w16cid:durableId="1897622572">
    <w:abstractNumId w:val="1"/>
  </w:num>
  <w:num w:numId="4" w16cid:durableId="74260474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5341E"/>
    <w:rsid w:val="00164D81"/>
    <w:rsid w:val="001A1011"/>
    <w:rsid w:val="001A48D0"/>
    <w:rsid w:val="00202FAE"/>
    <w:rsid w:val="002653C1"/>
    <w:rsid w:val="0026611D"/>
    <w:rsid w:val="00291DA1"/>
    <w:rsid w:val="002951A0"/>
    <w:rsid w:val="002A64FD"/>
    <w:rsid w:val="002F0839"/>
    <w:rsid w:val="00301469"/>
    <w:rsid w:val="00306EE1"/>
    <w:rsid w:val="00310B9B"/>
    <w:rsid w:val="0036461C"/>
    <w:rsid w:val="00367884"/>
    <w:rsid w:val="0039439C"/>
    <w:rsid w:val="003B69E7"/>
    <w:rsid w:val="003C013B"/>
    <w:rsid w:val="003D0F4D"/>
    <w:rsid w:val="003F4FFA"/>
    <w:rsid w:val="003F58A1"/>
    <w:rsid w:val="00406329"/>
    <w:rsid w:val="00410DD6"/>
    <w:rsid w:val="004134C9"/>
    <w:rsid w:val="0043138C"/>
    <w:rsid w:val="00462A59"/>
    <w:rsid w:val="004740C9"/>
    <w:rsid w:val="004A1847"/>
    <w:rsid w:val="004B6B0E"/>
    <w:rsid w:val="004D25B3"/>
    <w:rsid w:val="004E1156"/>
    <w:rsid w:val="00511405"/>
    <w:rsid w:val="00526E9D"/>
    <w:rsid w:val="00547856"/>
    <w:rsid w:val="00547A74"/>
    <w:rsid w:val="005566E8"/>
    <w:rsid w:val="005746AB"/>
    <w:rsid w:val="0059357F"/>
    <w:rsid w:val="005A1130"/>
    <w:rsid w:val="005C0E7C"/>
    <w:rsid w:val="005D65C8"/>
    <w:rsid w:val="006219F8"/>
    <w:rsid w:val="00681FDB"/>
    <w:rsid w:val="006A7DAD"/>
    <w:rsid w:val="006C3ADA"/>
    <w:rsid w:val="006D70BA"/>
    <w:rsid w:val="007566FE"/>
    <w:rsid w:val="0076726F"/>
    <w:rsid w:val="0077144B"/>
    <w:rsid w:val="007874AB"/>
    <w:rsid w:val="00793403"/>
    <w:rsid w:val="00795146"/>
    <w:rsid w:val="007C0CDF"/>
    <w:rsid w:val="007E2A2F"/>
    <w:rsid w:val="007F2B7C"/>
    <w:rsid w:val="00811651"/>
    <w:rsid w:val="00820F5B"/>
    <w:rsid w:val="00833452"/>
    <w:rsid w:val="008614E5"/>
    <w:rsid w:val="008678EB"/>
    <w:rsid w:val="00875894"/>
    <w:rsid w:val="00881C10"/>
    <w:rsid w:val="00890411"/>
    <w:rsid w:val="008B3ADB"/>
    <w:rsid w:val="008C2311"/>
    <w:rsid w:val="008C543B"/>
    <w:rsid w:val="008D5C70"/>
    <w:rsid w:val="009025AF"/>
    <w:rsid w:val="00904F23"/>
    <w:rsid w:val="00906B3C"/>
    <w:rsid w:val="0095342C"/>
    <w:rsid w:val="009F33F2"/>
    <w:rsid w:val="009F6C77"/>
    <w:rsid w:val="00A07532"/>
    <w:rsid w:val="00A07A21"/>
    <w:rsid w:val="00A1085C"/>
    <w:rsid w:val="00A12087"/>
    <w:rsid w:val="00A309E2"/>
    <w:rsid w:val="00A642FE"/>
    <w:rsid w:val="00A8066E"/>
    <w:rsid w:val="00AA4B8A"/>
    <w:rsid w:val="00AA6BF7"/>
    <w:rsid w:val="00AC7960"/>
    <w:rsid w:val="00B01ED6"/>
    <w:rsid w:val="00B06D09"/>
    <w:rsid w:val="00B25ABC"/>
    <w:rsid w:val="00B65D42"/>
    <w:rsid w:val="00B771A9"/>
    <w:rsid w:val="00B809BB"/>
    <w:rsid w:val="00B8248A"/>
    <w:rsid w:val="00BB7726"/>
    <w:rsid w:val="00C02171"/>
    <w:rsid w:val="00C2329E"/>
    <w:rsid w:val="00C30461"/>
    <w:rsid w:val="00C754BE"/>
    <w:rsid w:val="00C87572"/>
    <w:rsid w:val="00C9405D"/>
    <w:rsid w:val="00CC1B26"/>
    <w:rsid w:val="00CD284F"/>
    <w:rsid w:val="00CF23AA"/>
    <w:rsid w:val="00D01921"/>
    <w:rsid w:val="00D73F5C"/>
    <w:rsid w:val="00D752B7"/>
    <w:rsid w:val="00DA1854"/>
    <w:rsid w:val="00DB0887"/>
    <w:rsid w:val="00DB13F4"/>
    <w:rsid w:val="00DF1E43"/>
    <w:rsid w:val="00E20894"/>
    <w:rsid w:val="00E26B7C"/>
    <w:rsid w:val="00E55730"/>
    <w:rsid w:val="00E9527B"/>
    <w:rsid w:val="00EA3003"/>
    <w:rsid w:val="00EB3C91"/>
    <w:rsid w:val="00EB66DA"/>
    <w:rsid w:val="00F605F2"/>
    <w:rsid w:val="00F76AFC"/>
    <w:rsid w:val="00F8319B"/>
    <w:rsid w:val="00FA5516"/>
    <w:rsid w:val="00FD6F73"/>
    <w:rsid w:val="00FF74BC"/>
    <w:rsid w:val="1CC63BF5"/>
    <w:rsid w:val="2F9951DC"/>
    <w:rsid w:val="3EA2D60F"/>
    <w:rsid w:val="6B8BD3AC"/>
    <w:rsid w:val="6CC2DDEE"/>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Ttulo1Car" w:customStyle="1">
    <w:name w:val="Título 1 Car"/>
    <w:basedOn w:val="Fuentedeprrafopredeter"/>
    <w:link w:val="Ttulo1"/>
    <w:uiPriority w:val="9"/>
    <w:rsid w:val="00904F23"/>
    <w:rPr>
      <w:rFonts w:ascii="Arial" w:hAnsi="Arial" w:eastAsia="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styleId="TextocomentarioCar" w:customStyle="1">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styleId="AsuntodelcomentarioCar" w:customStyle="1">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4E1156"/>
    <w:rPr>
      <w:color w:val="0563C1" w:themeColor="hyperlink"/>
      <w:u w:val="single"/>
    </w:rPr>
  </w:style>
  <w:style w:type="paragraph" w:styleId="Appelnotedebasde" w:customStyle="1">
    <w:name w:val="Appel note de bas de..."/>
    <w:basedOn w:val="Normal"/>
    <w:link w:val="Refdenotaalpie"/>
    <w:uiPriority w:val="99"/>
    <w:rsid w:val="004E1156"/>
    <w:pPr>
      <w:spacing w:line="240" w:lineRule="exact"/>
    </w:pPr>
    <w:rPr>
      <w:vertAlign w:val="superscript"/>
    </w:rPr>
  </w:style>
  <w:style w:type="paragraph" w:styleId="NormalWeb">
    <w:name w:val="Normal (Web)"/>
    <w:basedOn w:val="Normal"/>
    <w:link w:val="NormalWebCar"/>
    <w:uiPriority w:val="99"/>
    <w:unhideWhenUsed/>
    <w:rsid w:val="004E1156"/>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4E1156"/>
    <w:rPr>
      <w:rFonts w:ascii="Times New Roman" w:hAnsi="Times New Roman" w:eastAsia="Times New Roman" w:cs="Times New Roman"/>
      <w:sz w:val="24"/>
      <w:szCs w:val="24"/>
      <w:lang w:eastAsia="es-CO"/>
    </w:rPr>
  </w:style>
  <w:style w:type="paragraph" w:styleId="Sinespaciado">
    <w:name w:val="No Spacing"/>
    <w:aliases w:val="No Indent"/>
    <w:uiPriority w:val="3"/>
    <w:qFormat/>
    <w:rsid w:val="004E1156"/>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543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0933F3B-1B2A-4A77-AB18-4B192DD9B05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Oscar David Mórelo Pedroza</lastModifiedBy>
  <revision>6</revision>
  <dcterms:created xsi:type="dcterms:W3CDTF">2023-07-05T18:32:00.0000000Z</dcterms:created>
  <dcterms:modified xsi:type="dcterms:W3CDTF">2023-08-11T20:39:01.9663359Z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