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2FDE3" w14:textId="77777777" w:rsidR="002D6F4B" w:rsidRDefault="002D6F4B" w:rsidP="002D6F4B">
      <w:pPr>
        <w:jc w:val="both"/>
        <w:rPr>
          <w:rFonts w:ascii="Arial" w:eastAsia="Times New Roman" w:hAnsi="Arial" w:cs="Arial"/>
          <w:b/>
          <w:bCs/>
          <w:color w:val="000000"/>
          <w:lang w:val="es-ES" w:eastAsia="es-CO"/>
        </w:rPr>
      </w:pPr>
      <w:bookmarkStart w:id="0" w:name="_Hlk143780582"/>
      <w:r>
        <w:rPr>
          <w:rFonts w:ascii="Arial" w:eastAsia="Times New Roman" w:hAnsi="Arial" w:cs="Arial"/>
          <w:b/>
          <w:bCs/>
          <w:color w:val="000000"/>
          <w:lang w:val="es-ES" w:eastAsia="es-CO"/>
        </w:rPr>
        <w:t>REQUISITOS HABILITANTES</w:t>
      </w:r>
      <w:r w:rsidRPr="00D51F9C">
        <w:rPr>
          <w:rFonts w:ascii="Arial" w:eastAsia="Times New Roman" w:hAnsi="Arial" w:cs="Arial"/>
          <w:b/>
          <w:bCs/>
          <w:color w:val="000000"/>
          <w:lang w:val="es-ES" w:eastAsia="es-CO"/>
        </w:rPr>
        <w:t xml:space="preserve"> –</w:t>
      </w:r>
      <w:r>
        <w:rPr>
          <w:rFonts w:ascii="Arial" w:eastAsia="Times New Roman" w:hAnsi="Arial" w:cs="Arial"/>
          <w:b/>
          <w:bCs/>
          <w:color w:val="000000"/>
          <w:lang w:val="es-ES" w:eastAsia="es-CO"/>
        </w:rPr>
        <w:t xml:space="preserve"> Concepto</w:t>
      </w:r>
    </w:p>
    <w:p w14:paraId="0F92CD74" w14:textId="77777777" w:rsidR="002D6F4B" w:rsidRPr="009E5718" w:rsidRDefault="002D6F4B" w:rsidP="002D6F4B">
      <w:pPr>
        <w:jc w:val="both"/>
        <w:rPr>
          <w:rFonts w:ascii="Arial" w:eastAsia="Times New Roman" w:hAnsi="Arial" w:cs="Arial"/>
          <w:b/>
          <w:bCs/>
          <w:color w:val="000000"/>
          <w:sz w:val="20"/>
          <w:szCs w:val="20"/>
          <w:lang w:val="es-ES" w:eastAsia="es-CO"/>
        </w:rPr>
      </w:pPr>
      <w:r w:rsidRPr="009E5718">
        <w:rPr>
          <w:rFonts w:ascii="Verdana" w:eastAsia="Calibri" w:hAnsi="Verdana" w:cs="Arial"/>
          <w:sz w:val="20"/>
          <w:szCs w:val="20"/>
          <w:lang w:val="es-ES_tradnl" w:eastAsia="es-MX"/>
        </w:rPr>
        <w:t xml:space="preserve">Los </w:t>
      </w:r>
      <w:r w:rsidRPr="009E5718">
        <w:rPr>
          <w:rFonts w:ascii="Verdana" w:eastAsia="Calibri" w:hAnsi="Verdana" w:cs="Arial"/>
          <w:i/>
          <w:iCs/>
          <w:sz w:val="20"/>
          <w:szCs w:val="20"/>
          <w:lang w:val="es-ES_tradnl" w:eastAsia="es-MX"/>
        </w:rPr>
        <w:t>requisitos habilitantes</w:t>
      </w:r>
      <w:r w:rsidRPr="009E5718">
        <w:rPr>
          <w:rFonts w:ascii="Verdana" w:eastAsia="Calibri" w:hAnsi="Verdana" w:cs="Arial"/>
          <w:sz w:val="20"/>
          <w:szCs w:val="20"/>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w:t>
      </w:r>
    </w:p>
    <w:p w14:paraId="0DE0827B" w14:textId="77777777" w:rsidR="002D6F4B" w:rsidRDefault="002D6F4B" w:rsidP="002D6F4B">
      <w:pPr>
        <w:jc w:val="both"/>
        <w:rPr>
          <w:rFonts w:ascii="Verdana" w:eastAsia="Calibri" w:hAnsi="Verdana" w:cs="Arial"/>
          <w:bCs/>
          <w:color w:val="000000"/>
          <w:sz w:val="20"/>
          <w:lang w:eastAsia="es-ES_tradnl" w:bidi="es-ES"/>
        </w:rPr>
      </w:pPr>
      <w:r w:rsidRPr="00D51F9C">
        <w:rPr>
          <w:rFonts w:ascii="Arial" w:eastAsia="Times New Roman" w:hAnsi="Arial" w:cs="Arial"/>
          <w:b/>
          <w:bCs/>
          <w:color w:val="000000"/>
          <w:lang w:val="es-ES" w:eastAsia="es-CO"/>
        </w:rPr>
        <w:t>LEY 2069 DE 2020 –</w:t>
      </w:r>
      <w:r>
        <w:rPr>
          <w:rFonts w:ascii="Arial" w:eastAsia="Times New Roman" w:hAnsi="Arial" w:cs="Arial"/>
          <w:b/>
          <w:bCs/>
          <w:color w:val="000000"/>
          <w:lang w:val="es-ES" w:eastAsia="es-CO"/>
        </w:rPr>
        <w:t xml:space="preserve"> </w:t>
      </w:r>
      <w:r w:rsidRPr="00D51F9C">
        <w:rPr>
          <w:rFonts w:ascii="Arial" w:eastAsia="Times New Roman" w:hAnsi="Arial" w:cs="Arial"/>
          <w:b/>
          <w:bCs/>
          <w:color w:val="000000"/>
          <w:lang w:val="es-ES" w:eastAsia="es-CO"/>
        </w:rPr>
        <w:t>Criterios diferenciales</w:t>
      </w:r>
    </w:p>
    <w:p w14:paraId="78FA6A05" w14:textId="77777777" w:rsidR="002D6F4B" w:rsidRPr="00272C5C" w:rsidRDefault="002D6F4B" w:rsidP="002D6F4B">
      <w:pPr>
        <w:jc w:val="both"/>
        <w:rPr>
          <w:rFonts w:ascii="Verdana" w:hAnsi="Verdana"/>
          <w:sz w:val="20"/>
          <w:szCs w:val="20"/>
        </w:rPr>
      </w:pPr>
      <w:r w:rsidRPr="00272C5C">
        <w:rPr>
          <w:rFonts w:ascii="Verdana" w:eastAsia="Calibri" w:hAnsi="Verdana" w:cs="Arial"/>
          <w:bCs/>
          <w:color w:val="000000"/>
          <w:sz w:val="20"/>
          <w:lang w:eastAsia="es-ES_tradnl" w:bidi="es-ES"/>
        </w:rPr>
        <w:t xml:space="preserve">Conforme a lo anterior, el artículo </w:t>
      </w:r>
      <w:r w:rsidRPr="00272C5C">
        <w:rPr>
          <w:rFonts w:ascii="Verdana" w:eastAsia="Calibri" w:hAnsi="Verdana" w:cs="Arial"/>
          <w:bCs/>
          <w:color w:val="000000"/>
          <w:sz w:val="20"/>
          <w:lang w:val="es-ES" w:eastAsia="es-ES_tradnl" w:bidi="es-ES"/>
        </w:rPr>
        <w:t>2.2.1.2.4.2.14 del Decreto 1082 de 2015 define cuatro alternativas distintas que definen los requisitos de las empresas y emprendimientos de mujeres, a las que les aplican los criterios diferenciales</w:t>
      </w:r>
      <w:r w:rsidRPr="00272C5C">
        <w:rPr>
          <w:rFonts w:ascii="Verdana" w:eastAsia="Calibri" w:hAnsi="Verdana" w:cs="Arial"/>
          <w:bCs/>
          <w:color w:val="000000"/>
          <w:sz w:val="20"/>
          <w:lang w:eastAsia="es-ES_tradnl" w:bidi="es-ES"/>
        </w:rPr>
        <w:t>, relacionados con los siguientes aspectos: 1. Tiempo de experiencia. 2. Número de contratos para la acreditación de la experiencia. 3. Índices de capacidad financiera. 4. Índices de capacidad organizacional. 5. Valor de la garantía de seriedad de la oferta.</w:t>
      </w:r>
    </w:p>
    <w:p w14:paraId="39C22AA4" w14:textId="77777777" w:rsidR="002D6F4B" w:rsidRPr="00054428" w:rsidRDefault="002D6F4B" w:rsidP="002D6F4B">
      <w:pPr>
        <w:rPr>
          <w:rFonts w:ascii="Arial" w:eastAsia="Times New Roman" w:hAnsi="Arial" w:cs="Arial"/>
          <w:b/>
          <w:bCs/>
          <w:color w:val="000000"/>
          <w:lang w:val="es-ES" w:eastAsia="es-CO"/>
        </w:rPr>
      </w:pPr>
      <w:r>
        <w:rPr>
          <w:rFonts w:ascii="Arial" w:eastAsia="Times New Roman" w:hAnsi="Arial" w:cs="Arial"/>
          <w:b/>
          <w:bCs/>
          <w:color w:val="000000"/>
          <w:lang w:val="es-ES" w:eastAsia="es-CO"/>
        </w:rPr>
        <w:t>DECRETO</w:t>
      </w:r>
      <w:r w:rsidRPr="00054428">
        <w:rPr>
          <w:rFonts w:ascii="Arial" w:eastAsia="Times New Roman" w:hAnsi="Arial" w:cs="Arial"/>
          <w:b/>
          <w:bCs/>
          <w:color w:val="000000"/>
          <w:lang w:val="es-ES" w:eastAsia="es-CO"/>
        </w:rPr>
        <w:t xml:space="preserve"> 1082 de 2015</w:t>
      </w:r>
      <w:r>
        <w:rPr>
          <w:rFonts w:ascii="Arial" w:eastAsia="Times New Roman" w:hAnsi="Arial" w:cs="Arial"/>
          <w:b/>
          <w:bCs/>
          <w:color w:val="000000"/>
          <w:lang w:val="es-ES" w:eastAsia="es-CO"/>
        </w:rPr>
        <w:t>-Artículo 2.2.1.2.4.2.14-Aplicabilidad-Modalidades de selección</w:t>
      </w:r>
      <w:r w:rsidRPr="00054428">
        <w:rPr>
          <w:rFonts w:ascii="Arial" w:eastAsia="Times New Roman" w:hAnsi="Arial" w:cs="Arial"/>
          <w:b/>
          <w:bCs/>
          <w:color w:val="000000"/>
          <w:lang w:val="es-ES" w:eastAsia="es-CO"/>
        </w:rPr>
        <w:t xml:space="preserve"> </w:t>
      </w:r>
    </w:p>
    <w:p w14:paraId="68EAB3E9" w14:textId="77777777" w:rsidR="002D6F4B" w:rsidRPr="00272C5C" w:rsidRDefault="002D6F4B" w:rsidP="002D6F4B">
      <w:pPr>
        <w:spacing w:after="120" w:line="276" w:lineRule="auto"/>
        <w:jc w:val="both"/>
        <w:rPr>
          <w:rFonts w:ascii="Verdana" w:eastAsia="Calibri" w:hAnsi="Verdana" w:cs="Arial"/>
          <w:bCs/>
          <w:color w:val="000000"/>
          <w:sz w:val="24"/>
          <w:szCs w:val="24"/>
          <w:lang w:val="es-ES_tradnl"/>
        </w:rPr>
      </w:pPr>
      <w:r w:rsidRPr="00272C5C">
        <w:rPr>
          <w:rFonts w:ascii="Verdana" w:eastAsia="Calibri" w:hAnsi="Verdana" w:cs="Arial"/>
          <w:bCs/>
          <w:color w:val="000000"/>
          <w:sz w:val="20"/>
          <w:lang w:eastAsia="es-ES_tradnl" w:bidi="es-ES"/>
        </w:rPr>
        <w:t>La posibilidad de incluir condiciones habilitantes para incentivar los emprendimientos y empresas de mujeres con domicilio en el territorio nacional, de manera puntual en los procesos de licitación pública, selección abreviada de menor cuantía y concurso de méritos, excluyendo las demás modalidades de selección del artículo 2 de la Ley 1150 de 2007; por lo cual no se sería viable incluir este tipo de incentivos en la modalidad de mínima cuantía, teniendo en cuenta que no fue incluida en la reglamentación del Estatuto General de Contratación de la Administración Pública.</w:t>
      </w:r>
      <w:r w:rsidRPr="00272C5C">
        <w:rPr>
          <w:rFonts w:ascii="Verdana" w:hAnsi="Verdana"/>
          <w:sz w:val="24"/>
          <w:szCs w:val="24"/>
        </w:rPr>
        <w:t xml:space="preserve">   </w:t>
      </w:r>
    </w:p>
    <w:p w14:paraId="0F04E5C9" w14:textId="77777777" w:rsidR="002D6F4B" w:rsidRDefault="002D6F4B" w:rsidP="002D6F4B">
      <w:pPr>
        <w:rPr>
          <w:rFonts w:ascii="Verdana" w:hAnsi="Verdana"/>
        </w:rPr>
      </w:pPr>
      <w:r>
        <w:rPr>
          <w:rFonts w:ascii="Verdana" w:hAnsi="Verdana"/>
        </w:rPr>
        <w:br w:type="page"/>
      </w:r>
    </w:p>
    <w:p w14:paraId="49F01853" w14:textId="57CB2A19" w:rsidR="002D6F4B" w:rsidRPr="005F6F88" w:rsidRDefault="002D6F4B" w:rsidP="002D6F4B">
      <w:pPr>
        <w:spacing w:after="0"/>
        <w:rPr>
          <w:rFonts w:ascii="Verdana" w:hAnsi="Verdana"/>
        </w:rPr>
      </w:pPr>
      <w:r w:rsidRPr="005F6F88">
        <w:rPr>
          <w:rFonts w:ascii="Verdana" w:hAnsi="Verdana"/>
        </w:rPr>
        <w:lastRenderedPageBreak/>
        <w:t xml:space="preserve">Bogotá D.C., </w:t>
      </w:r>
      <w:r w:rsidR="00AC69E1">
        <w:rPr>
          <w:rFonts w:ascii="Verdana" w:hAnsi="Verdana"/>
        </w:rPr>
        <w:t>09 de agosto de 2024</w:t>
      </w:r>
      <w:r w:rsidRPr="005F6F88">
        <w:rPr>
          <w:rFonts w:ascii="Verdana" w:hAnsi="Verdana"/>
        </w:rPr>
        <w:tab/>
      </w:r>
    </w:p>
    <w:bookmarkEnd w:id="0"/>
    <w:p w14:paraId="1AE20CDC" w14:textId="77777777" w:rsidR="002D6F4B" w:rsidRPr="005F6F88" w:rsidRDefault="002D6F4B" w:rsidP="002D6F4B">
      <w:pPr>
        <w:spacing w:after="0"/>
        <w:rPr>
          <w:rFonts w:ascii="Verdana" w:hAnsi="Verdana"/>
        </w:rPr>
      </w:pPr>
      <w:r w:rsidRPr="005F6F88">
        <w:rPr>
          <w:rFonts w:ascii="Verdana" w:hAnsi="Verdana"/>
        </w:rPr>
        <w:tab/>
      </w:r>
    </w:p>
    <w:p w14:paraId="6D140C31" w14:textId="60957A31" w:rsidR="002D6F4B" w:rsidRPr="005F6F88" w:rsidRDefault="00AC69E1" w:rsidP="002D6F4B">
      <w:pPr>
        <w:spacing w:after="0"/>
        <w:jc w:val="right"/>
        <w:rPr>
          <w:rFonts w:ascii="Verdana" w:hAnsi="Verdana"/>
        </w:rPr>
      </w:pPr>
      <w:r w:rsidRPr="00AC69E1">
        <w:rPr>
          <w:rFonts w:ascii="Verdana" w:hAnsi="Verdana"/>
        </w:rPr>
        <w:drawing>
          <wp:inline distT="0" distB="0" distL="0" distR="0" wp14:anchorId="617D80CA" wp14:editId="1553697C">
            <wp:extent cx="2279641" cy="697302"/>
            <wp:effectExtent l="0" t="0" r="6985" b="7620"/>
            <wp:docPr id="26241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1280" name=""/>
                    <pic:cNvPicPr/>
                  </pic:nvPicPr>
                  <pic:blipFill>
                    <a:blip r:embed="rId10"/>
                    <a:stretch>
                      <a:fillRect/>
                    </a:stretch>
                  </pic:blipFill>
                  <pic:spPr>
                    <a:xfrm>
                      <a:off x="0" y="0"/>
                      <a:ext cx="2288531" cy="700021"/>
                    </a:xfrm>
                    <a:prstGeom prst="rect">
                      <a:avLst/>
                    </a:prstGeom>
                  </pic:spPr>
                </pic:pic>
              </a:graphicData>
            </a:graphic>
          </wp:inline>
        </w:drawing>
      </w:r>
    </w:p>
    <w:p w14:paraId="35249D73" w14:textId="77777777" w:rsidR="002D6F4B" w:rsidRPr="005F6F88" w:rsidRDefault="002D6F4B" w:rsidP="002D6F4B">
      <w:pPr>
        <w:spacing w:after="0" w:line="240" w:lineRule="auto"/>
        <w:jc w:val="both"/>
        <w:rPr>
          <w:rFonts w:ascii="Verdana" w:eastAsia="Calibri" w:hAnsi="Verdana" w:cs="Arial"/>
          <w:lang w:val="es-ES" w:eastAsia="es-ES"/>
        </w:rPr>
      </w:pPr>
      <w:r w:rsidRPr="005F6F88">
        <w:rPr>
          <w:rFonts w:ascii="Verdana" w:eastAsia="Calibri" w:hAnsi="Verdana" w:cs="Arial"/>
          <w:lang w:val="es-ES" w:eastAsia="es-ES"/>
        </w:rPr>
        <w:t>Señor</w:t>
      </w:r>
    </w:p>
    <w:p w14:paraId="58B9231C" w14:textId="77777777" w:rsidR="002D6F4B" w:rsidRPr="005F6F88" w:rsidRDefault="002D6F4B" w:rsidP="002D6F4B">
      <w:pPr>
        <w:spacing w:after="0" w:line="240" w:lineRule="auto"/>
        <w:jc w:val="both"/>
        <w:rPr>
          <w:rFonts w:ascii="Verdana" w:eastAsia="Calibri" w:hAnsi="Verdana" w:cs="Arial"/>
          <w:b/>
          <w:bCs/>
          <w:lang w:val="es-ES" w:eastAsia="es-ES"/>
        </w:rPr>
      </w:pPr>
      <w:r w:rsidRPr="005F6F88">
        <w:rPr>
          <w:rFonts w:ascii="Verdana" w:eastAsia="Calibri" w:hAnsi="Verdana" w:cs="Arial"/>
          <w:b/>
          <w:bCs/>
          <w:lang w:val="es-ES" w:eastAsia="es-ES"/>
        </w:rPr>
        <w:t>Andrés Felipe Flórez Duran</w:t>
      </w:r>
    </w:p>
    <w:p w14:paraId="5184DD4F" w14:textId="77777777" w:rsidR="002D6F4B" w:rsidRPr="005F6F88" w:rsidRDefault="00000000" w:rsidP="002D6F4B">
      <w:pPr>
        <w:spacing w:after="0" w:line="240" w:lineRule="auto"/>
        <w:jc w:val="both"/>
        <w:rPr>
          <w:rFonts w:ascii="Verdana" w:hAnsi="Verdana"/>
        </w:rPr>
      </w:pPr>
      <w:hyperlink r:id="rId11" w:history="1">
        <w:r w:rsidR="002D6F4B" w:rsidRPr="005F6F88">
          <w:rPr>
            <w:rStyle w:val="Hipervnculo"/>
            <w:rFonts w:ascii="Verdana" w:hAnsi="Verdana"/>
          </w:rPr>
          <w:t>affdyj@gmail.com</w:t>
        </w:r>
      </w:hyperlink>
    </w:p>
    <w:p w14:paraId="712B0E5E" w14:textId="77777777" w:rsidR="002D6F4B" w:rsidRPr="005F6F88" w:rsidRDefault="002D6F4B" w:rsidP="002D6F4B">
      <w:pPr>
        <w:spacing w:after="0" w:line="240" w:lineRule="auto"/>
        <w:jc w:val="both"/>
        <w:rPr>
          <w:rFonts w:ascii="Verdana" w:eastAsia="Calibri" w:hAnsi="Verdana" w:cs="Arial"/>
          <w:szCs w:val="24"/>
          <w:lang w:val="es-ES_tradnl" w:eastAsia="es-ES_tradnl"/>
        </w:rPr>
      </w:pPr>
      <w:r w:rsidRPr="005F6F88">
        <w:rPr>
          <w:rFonts w:ascii="Verdana" w:eastAsia="Calibri" w:hAnsi="Verdana" w:cs="Arial"/>
          <w:szCs w:val="24"/>
          <w:lang w:val="es-ES_tradnl" w:eastAsia="es-ES_tradnl"/>
        </w:rPr>
        <w:t>Bogotá D.C</w:t>
      </w:r>
    </w:p>
    <w:p w14:paraId="1BD310DB" w14:textId="77777777" w:rsidR="002D6F4B" w:rsidRPr="005F6F88" w:rsidRDefault="002D6F4B" w:rsidP="002D6F4B">
      <w:pPr>
        <w:spacing w:after="0" w:line="240" w:lineRule="auto"/>
        <w:jc w:val="both"/>
        <w:rPr>
          <w:rFonts w:ascii="Verdana" w:eastAsia="Calibri" w:hAnsi="Verdana" w:cs="Arial"/>
          <w:szCs w:val="24"/>
          <w:lang w:val="es-ES_tradnl" w:eastAsia="es-ES_tradnl"/>
        </w:rPr>
      </w:pPr>
    </w:p>
    <w:p w14:paraId="0B3A59D5" w14:textId="77777777" w:rsidR="002D6F4B" w:rsidRPr="005F6F88" w:rsidRDefault="002D6F4B" w:rsidP="002D6F4B">
      <w:pPr>
        <w:spacing w:after="0" w:line="240" w:lineRule="auto"/>
        <w:ind w:left="2694"/>
        <w:jc w:val="both"/>
        <w:rPr>
          <w:rFonts w:ascii="Verdana" w:eastAsia="Calibri" w:hAnsi="Verdana" w:cs="Arial"/>
          <w:b/>
          <w:bCs/>
          <w:szCs w:val="24"/>
          <w:lang w:val="es-ES_tradnl" w:eastAsia="es-ES_tradnl"/>
        </w:rPr>
      </w:pPr>
      <w:r w:rsidRPr="005F6F88">
        <w:rPr>
          <w:rFonts w:ascii="Verdana" w:eastAsia="Calibri" w:hAnsi="Verdana" w:cs="Arial"/>
          <w:b/>
          <w:bCs/>
          <w:szCs w:val="24"/>
          <w:lang w:val="es-ES_tradnl" w:eastAsia="es-ES_tradnl"/>
        </w:rPr>
        <w:t>Concepto C–234 de 2024</w:t>
      </w:r>
    </w:p>
    <w:p w14:paraId="589503AA" w14:textId="77777777" w:rsidR="002D6F4B" w:rsidRPr="005F6F88" w:rsidRDefault="002D6F4B" w:rsidP="002D6F4B">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2D6F4B" w:rsidRPr="005F6F88" w14:paraId="6DA8931C" w14:textId="77777777" w:rsidTr="00C40697">
        <w:trPr>
          <w:trHeight w:val="884"/>
        </w:trPr>
        <w:tc>
          <w:tcPr>
            <w:tcW w:w="2689" w:type="dxa"/>
            <w:hideMark/>
          </w:tcPr>
          <w:p w14:paraId="67BA6EF1" w14:textId="77777777" w:rsidR="002D6F4B" w:rsidRPr="005F6F88" w:rsidRDefault="002D6F4B" w:rsidP="00C40697">
            <w:pPr>
              <w:jc w:val="both"/>
              <w:rPr>
                <w:rFonts w:ascii="Verdana" w:eastAsia="Calibri" w:hAnsi="Verdana" w:cs="Arial"/>
                <w:szCs w:val="24"/>
                <w:lang w:val="es-ES_tradnl" w:eastAsia="es-ES_tradnl"/>
              </w:rPr>
            </w:pPr>
            <w:r w:rsidRPr="005F6F88">
              <w:rPr>
                <w:rFonts w:ascii="Verdana" w:eastAsia="Calibri" w:hAnsi="Verdana" w:cs="Arial"/>
                <w:szCs w:val="24"/>
                <w:lang w:val="es-ES_tradnl" w:eastAsia="es-ES_tradnl"/>
              </w:rPr>
              <w:t xml:space="preserve">Temas:                   </w:t>
            </w:r>
          </w:p>
        </w:tc>
        <w:tc>
          <w:tcPr>
            <w:tcW w:w="6237" w:type="dxa"/>
            <w:hideMark/>
          </w:tcPr>
          <w:p w14:paraId="763EF9C0" w14:textId="77777777" w:rsidR="002D6F4B" w:rsidRPr="00054428" w:rsidRDefault="002D6F4B" w:rsidP="00C40697">
            <w:pPr>
              <w:rPr>
                <w:rFonts w:ascii="Arial" w:eastAsia="Times New Roman" w:hAnsi="Arial" w:cs="Arial"/>
                <w:b/>
                <w:bCs/>
                <w:color w:val="000000"/>
                <w:lang w:val="es-ES" w:eastAsia="es-CO"/>
              </w:rPr>
            </w:pPr>
            <w:r>
              <w:rPr>
                <w:rFonts w:ascii="Arial" w:eastAsia="Times New Roman" w:hAnsi="Arial" w:cs="Arial"/>
                <w:b/>
                <w:bCs/>
                <w:color w:val="000000"/>
                <w:lang w:val="es-ES" w:eastAsia="es-CO"/>
              </w:rPr>
              <w:t>REQUISITOS HABILITANTES</w:t>
            </w:r>
            <w:r w:rsidRPr="00D51F9C">
              <w:rPr>
                <w:rFonts w:ascii="Arial" w:eastAsia="Times New Roman" w:hAnsi="Arial" w:cs="Arial"/>
                <w:b/>
                <w:bCs/>
                <w:color w:val="000000"/>
                <w:lang w:val="es-ES" w:eastAsia="es-CO"/>
              </w:rPr>
              <w:t xml:space="preserve"> –</w:t>
            </w:r>
            <w:r>
              <w:rPr>
                <w:rFonts w:ascii="Arial" w:eastAsia="Times New Roman" w:hAnsi="Arial" w:cs="Arial"/>
                <w:b/>
                <w:bCs/>
                <w:color w:val="000000"/>
                <w:lang w:val="es-ES" w:eastAsia="es-CO"/>
              </w:rPr>
              <w:t xml:space="preserve"> Concepto/</w:t>
            </w:r>
            <w:r w:rsidRPr="00D51F9C">
              <w:rPr>
                <w:rFonts w:ascii="Arial" w:eastAsia="Times New Roman" w:hAnsi="Arial" w:cs="Arial"/>
                <w:b/>
                <w:bCs/>
                <w:color w:val="000000"/>
                <w:lang w:val="es-ES" w:eastAsia="es-CO"/>
              </w:rPr>
              <w:t xml:space="preserve"> LEY 2069 DE 2020 –</w:t>
            </w:r>
            <w:r>
              <w:rPr>
                <w:rFonts w:ascii="Arial" w:eastAsia="Times New Roman" w:hAnsi="Arial" w:cs="Arial"/>
                <w:b/>
                <w:bCs/>
                <w:color w:val="000000"/>
                <w:lang w:val="es-ES" w:eastAsia="es-CO"/>
              </w:rPr>
              <w:t xml:space="preserve"> </w:t>
            </w:r>
            <w:r w:rsidRPr="00D51F9C">
              <w:rPr>
                <w:rFonts w:ascii="Arial" w:eastAsia="Times New Roman" w:hAnsi="Arial" w:cs="Arial"/>
                <w:b/>
                <w:bCs/>
                <w:color w:val="000000"/>
                <w:lang w:val="es-ES" w:eastAsia="es-CO"/>
              </w:rPr>
              <w:t>Criterios diferenciales</w:t>
            </w:r>
            <w:r>
              <w:rPr>
                <w:rFonts w:ascii="Arial" w:eastAsia="Times New Roman" w:hAnsi="Arial" w:cs="Arial"/>
                <w:b/>
                <w:bCs/>
                <w:color w:val="000000"/>
                <w:lang w:val="es-ES" w:eastAsia="es-CO"/>
              </w:rPr>
              <w:t>/ DECRETO</w:t>
            </w:r>
            <w:r w:rsidRPr="00054428">
              <w:rPr>
                <w:rFonts w:ascii="Arial" w:eastAsia="Times New Roman" w:hAnsi="Arial" w:cs="Arial"/>
                <w:b/>
                <w:bCs/>
                <w:color w:val="000000"/>
                <w:lang w:val="es-ES" w:eastAsia="es-CO"/>
              </w:rPr>
              <w:t xml:space="preserve"> 1082 de 2015</w:t>
            </w:r>
            <w:r>
              <w:rPr>
                <w:rFonts w:ascii="Arial" w:eastAsia="Times New Roman" w:hAnsi="Arial" w:cs="Arial"/>
                <w:b/>
                <w:bCs/>
                <w:color w:val="000000"/>
                <w:lang w:val="es-ES" w:eastAsia="es-CO"/>
              </w:rPr>
              <w:t>-Artículo 2.2.1.2.4.2.14-Aplicabilidad-Modalidades de selección</w:t>
            </w:r>
            <w:r w:rsidRPr="00054428">
              <w:rPr>
                <w:rFonts w:ascii="Arial" w:eastAsia="Times New Roman" w:hAnsi="Arial" w:cs="Arial"/>
                <w:b/>
                <w:bCs/>
                <w:color w:val="000000"/>
                <w:lang w:val="es-ES" w:eastAsia="es-CO"/>
              </w:rPr>
              <w:t xml:space="preserve"> </w:t>
            </w:r>
          </w:p>
          <w:p w14:paraId="690031A9" w14:textId="77777777" w:rsidR="002D6F4B" w:rsidRDefault="002D6F4B" w:rsidP="00C40697">
            <w:pPr>
              <w:jc w:val="both"/>
              <w:rPr>
                <w:rFonts w:ascii="Arial" w:eastAsia="Times New Roman" w:hAnsi="Arial" w:cs="Arial"/>
                <w:b/>
                <w:bCs/>
                <w:color w:val="000000"/>
                <w:lang w:val="es-ES" w:eastAsia="es-CO"/>
              </w:rPr>
            </w:pPr>
          </w:p>
          <w:p w14:paraId="477E046C" w14:textId="77777777" w:rsidR="002D6F4B" w:rsidRPr="005F6F88" w:rsidRDefault="002D6F4B" w:rsidP="00C40697">
            <w:pPr>
              <w:jc w:val="both"/>
              <w:rPr>
                <w:rFonts w:ascii="Verdana" w:hAnsi="Verdana"/>
              </w:rPr>
            </w:pPr>
          </w:p>
        </w:tc>
        <w:tc>
          <w:tcPr>
            <w:tcW w:w="6237" w:type="dxa"/>
          </w:tcPr>
          <w:p w14:paraId="487C8FE1" w14:textId="77777777" w:rsidR="002D6F4B" w:rsidRPr="005F6F88" w:rsidRDefault="002D6F4B" w:rsidP="00C40697">
            <w:pPr>
              <w:jc w:val="both"/>
              <w:rPr>
                <w:rFonts w:ascii="Verdana" w:hAnsi="Verdana" w:cs="Arial"/>
                <w:highlight w:val="yellow"/>
                <w:lang w:val="es-ES"/>
              </w:rPr>
            </w:pPr>
          </w:p>
        </w:tc>
      </w:tr>
      <w:tr w:rsidR="002D6F4B" w:rsidRPr="005F6F88" w14:paraId="36A62CFC" w14:textId="77777777" w:rsidTr="00C40697">
        <w:tc>
          <w:tcPr>
            <w:tcW w:w="2689" w:type="dxa"/>
            <w:hideMark/>
          </w:tcPr>
          <w:p w14:paraId="77209A58" w14:textId="77777777" w:rsidR="002D6F4B" w:rsidRPr="005F6F88" w:rsidRDefault="002D6F4B" w:rsidP="00C40697">
            <w:pPr>
              <w:spacing w:before="120"/>
              <w:jc w:val="both"/>
              <w:rPr>
                <w:rFonts w:ascii="Verdana" w:eastAsia="Calibri" w:hAnsi="Verdana" w:cs="Arial"/>
                <w:szCs w:val="24"/>
                <w:lang w:val="es-ES_tradnl" w:eastAsia="es-ES_tradnl"/>
              </w:rPr>
            </w:pPr>
            <w:r w:rsidRPr="005F6F88">
              <w:rPr>
                <w:rFonts w:ascii="Verdana" w:eastAsia="Calibri" w:hAnsi="Verdana" w:cs="Arial"/>
                <w:szCs w:val="24"/>
                <w:lang w:val="es-ES_tradnl" w:eastAsia="es-ES_tradnl"/>
              </w:rPr>
              <w:t xml:space="preserve">Radicación:               </w:t>
            </w:r>
          </w:p>
        </w:tc>
        <w:tc>
          <w:tcPr>
            <w:tcW w:w="6237" w:type="dxa"/>
            <w:hideMark/>
          </w:tcPr>
          <w:p w14:paraId="38CE27DE" w14:textId="77777777" w:rsidR="002D6F4B" w:rsidRPr="005F6F88" w:rsidRDefault="002D6F4B" w:rsidP="00C40697">
            <w:pPr>
              <w:spacing w:before="120" w:line="276" w:lineRule="auto"/>
              <w:jc w:val="both"/>
              <w:rPr>
                <w:rFonts w:ascii="Verdana" w:eastAsia="Calibri" w:hAnsi="Verdana" w:cs="Arial"/>
                <w:szCs w:val="24"/>
                <w:lang w:val="es-ES_tradnl" w:eastAsia="es-ES_tradnl"/>
              </w:rPr>
            </w:pPr>
            <w:r w:rsidRPr="005F6F88">
              <w:rPr>
                <w:rFonts w:ascii="Verdana" w:eastAsia="Calibri" w:hAnsi="Verdana" w:cs="Arial"/>
                <w:szCs w:val="24"/>
                <w:lang w:val="es-ES_tradnl" w:eastAsia="es-ES_tradnl"/>
              </w:rPr>
              <w:t xml:space="preserve">Respuesta a consulta con radicado No. </w:t>
            </w:r>
            <w:r w:rsidRPr="005F6F88">
              <w:rPr>
                <w:rFonts w:ascii="Verdana" w:eastAsia="Calibri" w:hAnsi="Verdana" w:cs="Arial"/>
                <w:szCs w:val="24"/>
                <w:lang w:eastAsia="es-ES_tradnl"/>
              </w:rPr>
              <w:t>P20240627006574</w:t>
            </w:r>
          </w:p>
        </w:tc>
        <w:tc>
          <w:tcPr>
            <w:tcW w:w="6237" w:type="dxa"/>
          </w:tcPr>
          <w:p w14:paraId="57DC39E7" w14:textId="77777777" w:rsidR="002D6F4B" w:rsidRPr="005F6F88" w:rsidRDefault="002D6F4B" w:rsidP="00C40697">
            <w:pPr>
              <w:spacing w:before="120"/>
              <w:jc w:val="both"/>
              <w:rPr>
                <w:rFonts w:ascii="Verdana" w:eastAsia="Calibri" w:hAnsi="Verdana" w:cs="Arial"/>
                <w:szCs w:val="24"/>
                <w:lang w:val="es-ES_tradnl" w:eastAsia="es-ES_tradnl"/>
              </w:rPr>
            </w:pPr>
          </w:p>
        </w:tc>
      </w:tr>
    </w:tbl>
    <w:p w14:paraId="20187FC3" w14:textId="77777777" w:rsidR="002D6F4B" w:rsidRPr="005F6F88" w:rsidRDefault="002D6F4B" w:rsidP="002D6F4B">
      <w:pPr>
        <w:spacing w:after="0" w:line="240" w:lineRule="auto"/>
        <w:jc w:val="both"/>
        <w:rPr>
          <w:rFonts w:ascii="Verdana" w:eastAsia="Calibri" w:hAnsi="Verdana" w:cs="Arial"/>
          <w:szCs w:val="24"/>
          <w:lang w:val="es-ES_tradnl" w:eastAsia="es-ES_tradnl"/>
        </w:rPr>
      </w:pPr>
    </w:p>
    <w:p w14:paraId="66EA28DD" w14:textId="77777777" w:rsidR="002D6F4B" w:rsidRPr="005F6F88" w:rsidRDefault="002D6F4B" w:rsidP="002D6F4B">
      <w:pPr>
        <w:spacing w:after="0" w:line="240" w:lineRule="auto"/>
        <w:jc w:val="both"/>
        <w:rPr>
          <w:rFonts w:ascii="Verdana" w:eastAsia="Calibri" w:hAnsi="Verdana" w:cs="Arial"/>
          <w:lang w:val="es-ES" w:eastAsia="es-ES"/>
        </w:rPr>
      </w:pPr>
      <w:r w:rsidRPr="005F6F88">
        <w:rPr>
          <w:rFonts w:ascii="Verdana" w:eastAsia="Calibri" w:hAnsi="Verdana" w:cs="Arial"/>
          <w:lang w:val="es-ES" w:eastAsia="es-ES"/>
        </w:rPr>
        <w:t xml:space="preserve">Estimado señor Andrés Felipe: </w:t>
      </w:r>
    </w:p>
    <w:p w14:paraId="402E9BFF" w14:textId="77777777" w:rsidR="002D6F4B" w:rsidRPr="005F6F88" w:rsidRDefault="002D6F4B" w:rsidP="002D6F4B">
      <w:pPr>
        <w:spacing w:after="0" w:line="240" w:lineRule="auto"/>
        <w:jc w:val="both"/>
        <w:rPr>
          <w:rFonts w:ascii="Verdana" w:eastAsia="Calibri" w:hAnsi="Verdana" w:cs="Arial"/>
          <w:lang w:val="es-ES" w:eastAsia="es-ES"/>
        </w:rPr>
      </w:pPr>
    </w:p>
    <w:p w14:paraId="57236D30" w14:textId="77777777" w:rsidR="002D6F4B" w:rsidRPr="005F6F88" w:rsidRDefault="002D6F4B" w:rsidP="002D6F4B">
      <w:pPr>
        <w:spacing w:after="120" w:line="276" w:lineRule="auto"/>
        <w:jc w:val="both"/>
        <w:rPr>
          <w:rFonts w:ascii="Verdana" w:eastAsia="Calibri" w:hAnsi="Verdana" w:cs="Arial"/>
          <w:lang w:val="es-ES" w:eastAsia="es-ES"/>
        </w:rPr>
      </w:pPr>
      <w:r w:rsidRPr="005F6F88">
        <w:rPr>
          <w:rFonts w:ascii="Verdana" w:eastAsia="Calibri" w:hAnsi="Verdana" w:cs="Arial"/>
          <w:lang w:val="es-ES" w:eastAsia="es-ES"/>
        </w:rPr>
        <w:t>En ejercicio de la competencia otorgada por los artículos 3, numeral 5º, y 11, numeral 8º, del Decreto Ley 4170 de 2011,</w:t>
      </w:r>
      <w:r w:rsidRPr="005F6F88">
        <w:rPr>
          <w:rFonts w:ascii="Verdana" w:eastAsia="Arial MT" w:hAnsi="Verdana" w:cs="Arial MT"/>
          <w:lang w:val="es-ES" w:eastAsia="es-ES"/>
        </w:rPr>
        <w:t xml:space="preserve"> </w:t>
      </w:r>
      <w:r w:rsidRPr="005F6F88">
        <w:rPr>
          <w:rFonts w:ascii="Verdana" w:eastAsia="Calibri" w:hAnsi="Verdana" w:cs="Arial"/>
          <w:lang w:val="es-ES" w:eastAsia="es-ES"/>
        </w:rPr>
        <w:t>la Agencia Nacional de Contratación Pública – Colombia Compra Eficiente– responde su solicitud de consulta del 27 de junio de 2024, en la cual manifiesta lo siguiente:</w:t>
      </w:r>
    </w:p>
    <w:p w14:paraId="0520A554" w14:textId="77777777" w:rsidR="002D6F4B" w:rsidRPr="005F6F88" w:rsidRDefault="002D6F4B" w:rsidP="002D6F4B">
      <w:pPr>
        <w:spacing w:after="0" w:line="240" w:lineRule="auto"/>
        <w:ind w:left="709" w:right="709"/>
        <w:jc w:val="both"/>
        <w:rPr>
          <w:rFonts w:ascii="Verdana" w:eastAsia="Calibri" w:hAnsi="Verdana" w:cs="Arial"/>
          <w:sz w:val="20"/>
          <w:szCs w:val="20"/>
          <w:lang w:val="es-ES" w:eastAsia="es-ES"/>
        </w:rPr>
      </w:pPr>
      <w:r w:rsidRPr="005F6F88">
        <w:rPr>
          <w:rFonts w:ascii="Verdana" w:eastAsia="Calibri" w:hAnsi="Verdana" w:cs="Arial"/>
          <w:sz w:val="20"/>
          <w:szCs w:val="20"/>
          <w:lang w:val="es-ES" w:eastAsia="es-ES"/>
        </w:rPr>
        <w:t>“(…)</w:t>
      </w:r>
      <w:r>
        <w:rPr>
          <w:rFonts w:ascii="Verdana" w:eastAsia="Calibri" w:hAnsi="Verdana" w:cs="Arial"/>
          <w:sz w:val="20"/>
          <w:szCs w:val="20"/>
          <w:lang w:val="es-ES" w:eastAsia="es-ES"/>
        </w:rPr>
        <w:t xml:space="preserve"> </w:t>
      </w:r>
      <w:r w:rsidRPr="005F6F88">
        <w:rPr>
          <w:rFonts w:ascii="Verdana" w:hAnsi="Verdana"/>
          <w:sz w:val="20"/>
          <w:szCs w:val="20"/>
        </w:rPr>
        <w:t>Solicito por favor se confirme si existe una obligación legal o reglamentaria para incluir requisitos habilitantes diferenciales para emprendimientos y empresas de mujeres en procesos de Mínima Cuantía. De igual forma si su inclusión, sea o no obligatoria, transgrede el ordenamiento, y de que forma lo puede transgredir. (…)</w:t>
      </w:r>
    </w:p>
    <w:p w14:paraId="507347A7" w14:textId="77777777" w:rsidR="002D6F4B" w:rsidRPr="005F6F88" w:rsidRDefault="002D6F4B" w:rsidP="002D6F4B">
      <w:pPr>
        <w:spacing w:after="0" w:line="240" w:lineRule="auto"/>
        <w:ind w:right="709"/>
        <w:jc w:val="both"/>
        <w:rPr>
          <w:rFonts w:ascii="Verdana" w:eastAsia="Calibri" w:hAnsi="Verdana" w:cs="Arial"/>
          <w:sz w:val="20"/>
          <w:szCs w:val="20"/>
          <w:lang w:val="es-ES" w:eastAsia="es-ES"/>
        </w:rPr>
      </w:pPr>
    </w:p>
    <w:p w14:paraId="7190BE16" w14:textId="77777777" w:rsidR="002D6F4B" w:rsidRPr="005F6F88" w:rsidRDefault="002D6F4B" w:rsidP="002D6F4B">
      <w:pPr>
        <w:spacing w:after="120" w:line="276" w:lineRule="auto"/>
        <w:jc w:val="both"/>
        <w:rPr>
          <w:rFonts w:ascii="Verdana" w:eastAsia="Calibri" w:hAnsi="Verdana" w:cs="Arial"/>
          <w:lang w:val="es-ES" w:eastAsia="es-ES"/>
        </w:rPr>
      </w:pPr>
      <w:r w:rsidRPr="005F6F88">
        <w:rPr>
          <w:rFonts w:ascii="Verdana" w:eastAsia="Calibri" w:hAnsi="Verdana" w:cs="Arial"/>
          <w:lang w:val="es-ES_tradnl" w:eastAsia="es-ES_tradnl"/>
        </w:rPr>
        <w:tab/>
      </w:r>
      <w:r w:rsidRPr="005F6F8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5F6F88">
        <w:rPr>
          <w:rFonts w:ascii="Verdana" w:eastAsia="Calibri" w:hAnsi="Verdana" w:cs="Arial"/>
          <w:lang w:val="es-ES" w:eastAsia="es-ES"/>
        </w:rPr>
        <w:lastRenderedPageBreak/>
        <w:t>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tampoco la de definir o precisar las posibles consecuencias por el actuar de las entidades en su actividad contractual.</w:t>
      </w:r>
    </w:p>
    <w:p w14:paraId="58D94BD3" w14:textId="77777777" w:rsidR="002D6F4B" w:rsidRPr="005F6F88" w:rsidRDefault="002D6F4B" w:rsidP="002D6F4B">
      <w:pPr>
        <w:spacing w:after="0" w:line="276" w:lineRule="auto"/>
        <w:ind w:firstLine="708"/>
        <w:jc w:val="both"/>
        <w:rPr>
          <w:rFonts w:ascii="Verdana" w:eastAsia="Calibri" w:hAnsi="Verdana" w:cs="Arial"/>
          <w:lang w:val="es-ES" w:eastAsia="es-ES"/>
        </w:rPr>
      </w:pPr>
      <w:r w:rsidRPr="005F6F88">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33EC4FB" w14:textId="77777777" w:rsidR="002D6F4B" w:rsidRPr="005F6F88" w:rsidRDefault="002D6F4B" w:rsidP="002D6F4B">
      <w:pPr>
        <w:spacing w:after="0" w:line="276" w:lineRule="auto"/>
        <w:jc w:val="both"/>
        <w:rPr>
          <w:rFonts w:ascii="Verdana" w:eastAsia="Calibri" w:hAnsi="Verdana" w:cs="Arial"/>
          <w:lang w:val="es-ES" w:eastAsia="es-ES"/>
        </w:rPr>
      </w:pPr>
    </w:p>
    <w:p w14:paraId="3A17972B" w14:textId="77777777" w:rsidR="002D6F4B" w:rsidRPr="005F6F88" w:rsidRDefault="002D6F4B" w:rsidP="002D6F4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F6F88">
        <w:rPr>
          <w:rFonts w:ascii="Verdana" w:eastAsia="Century Gothic" w:hAnsi="Verdana" w:cs="Century Gothic"/>
          <w:b/>
          <w:bCs/>
        </w:rPr>
        <w:t>Problema planteado:</w:t>
      </w:r>
    </w:p>
    <w:p w14:paraId="360F1920" w14:textId="77777777" w:rsidR="002D6F4B" w:rsidRPr="005F6F88" w:rsidRDefault="002D6F4B" w:rsidP="002D6F4B">
      <w:pPr>
        <w:spacing w:after="0" w:line="240" w:lineRule="auto"/>
        <w:jc w:val="both"/>
        <w:rPr>
          <w:rFonts w:ascii="Verdana" w:eastAsia="Century Gothic" w:hAnsi="Verdana" w:cs="Century Gothic"/>
        </w:rPr>
      </w:pPr>
    </w:p>
    <w:p w14:paraId="7C43A58E" w14:textId="77777777" w:rsidR="002D6F4B" w:rsidRPr="005F6F88" w:rsidRDefault="002D6F4B" w:rsidP="002D6F4B">
      <w:pPr>
        <w:spacing w:after="0" w:line="276" w:lineRule="auto"/>
        <w:jc w:val="both"/>
        <w:rPr>
          <w:rFonts w:ascii="Verdana" w:eastAsia="Century Gothic" w:hAnsi="Verdana" w:cs="Century Gothic"/>
        </w:rPr>
      </w:pPr>
      <w:r w:rsidRPr="005F6F88">
        <w:rPr>
          <w:rFonts w:ascii="Verdana" w:eastAsia="Century Gothic" w:hAnsi="Verdana" w:cs="Century Gothic"/>
        </w:rPr>
        <w:t>De acuerdo con el contenido de su solicitud, esta Agencia resolverá el siguiente problema jurídico: i) ¿Es obligatorio establecer requisitos habilitantes diferenciales para emprendimientos y empresas de mujeres en procesos de Mínima Cuantía</w:t>
      </w:r>
      <w:r>
        <w:rPr>
          <w:rFonts w:ascii="Verdana" w:eastAsia="Century Gothic" w:hAnsi="Verdana" w:cs="Century Gothic"/>
        </w:rPr>
        <w:t xml:space="preserve"> a partir de lo establecido en el </w:t>
      </w:r>
      <w:r w:rsidRPr="005F6F88">
        <w:rPr>
          <w:rFonts w:ascii="Verdana" w:hAnsi="Verdana"/>
        </w:rPr>
        <w:t>Artículo 2.2.1.2.4.2.15 del Decreto 1082 de 2015</w:t>
      </w:r>
      <w:r w:rsidRPr="005F6F88">
        <w:rPr>
          <w:rFonts w:ascii="Verdana" w:eastAsia="Century Gothic" w:hAnsi="Verdana" w:cs="Century Gothic"/>
        </w:rPr>
        <w:t>?</w:t>
      </w:r>
    </w:p>
    <w:p w14:paraId="4A333CFC" w14:textId="77777777" w:rsidR="002D6F4B" w:rsidRPr="005F6F88" w:rsidRDefault="002D6F4B" w:rsidP="002D6F4B">
      <w:pPr>
        <w:spacing w:after="0" w:line="276" w:lineRule="auto"/>
        <w:jc w:val="both"/>
        <w:rPr>
          <w:rFonts w:ascii="Verdana" w:eastAsia="Calibri" w:hAnsi="Verdana" w:cs="Arial"/>
          <w:sz w:val="20"/>
          <w:szCs w:val="20"/>
          <w:lang w:eastAsia="es-ES"/>
        </w:rPr>
      </w:pPr>
    </w:p>
    <w:p w14:paraId="2AB767E4" w14:textId="77777777" w:rsidR="002D6F4B" w:rsidRPr="005F6F88" w:rsidRDefault="002D6F4B" w:rsidP="002D6F4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F6F88">
        <w:rPr>
          <w:rFonts w:ascii="Verdana" w:eastAsia="Century Gothic" w:hAnsi="Verdana" w:cs="Century Gothic"/>
          <w:b/>
          <w:bCs/>
        </w:rPr>
        <w:t>Respuesta:</w:t>
      </w:r>
    </w:p>
    <w:p w14:paraId="59194F39" w14:textId="77777777" w:rsidR="002D6F4B" w:rsidRPr="005F6F88" w:rsidRDefault="002D6F4B" w:rsidP="002D6F4B">
      <w:pPr>
        <w:pStyle w:val="Prrafodelista"/>
        <w:tabs>
          <w:tab w:val="left" w:pos="142"/>
          <w:tab w:val="left" w:pos="284"/>
        </w:tabs>
        <w:spacing w:after="0" w:line="276" w:lineRule="auto"/>
        <w:ind w:left="0"/>
        <w:jc w:val="both"/>
        <w:rPr>
          <w:rFonts w:ascii="Verdana" w:eastAsia="Century Gothic" w:hAnsi="Verdana" w:cs="Century Gothic"/>
          <w:b/>
          <w:bCs/>
        </w:rPr>
      </w:pPr>
    </w:p>
    <w:p w14:paraId="3B011CCB" w14:textId="77777777" w:rsidR="002D6F4B" w:rsidRDefault="002D6F4B" w:rsidP="002D6F4B">
      <w:pPr>
        <w:spacing w:line="276" w:lineRule="auto"/>
        <w:jc w:val="both"/>
        <w:rPr>
          <w:rFonts w:ascii="Verdana" w:hAnsi="Verdana"/>
        </w:rPr>
      </w:pPr>
      <w:r w:rsidRPr="005F6F88">
        <w:rPr>
          <w:rFonts w:ascii="Verdana" w:hAnsi="Verdana"/>
        </w:rPr>
        <w:t xml:space="preserve">Frente al interrogante planteado, es preciso indicar que el Artículo 2.2.1.2.4.2.15 del Decreto 1082 de 2015, establece que las entidades incluirán condiciones habilitantes para incentivar los emprendimientos y empresas de mujeres con domicilio en el territorio nacional, de manera puntual en los procesos de licitación pública, selección abreviada de menor cuantía y concurso de méritos, </w:t>
      </w:r>
      <w:r w:rsidRPr="00257AD5">
        <w:rPr>
          <w:rFonts w:ascii="Verdana" w:hAnsi="Verdana"/>
        </w:rPr>
        <w:t>excluyendo las demás modalidades de selección del artículo 2 de la Ley 1150 de 2007</w:t>
      </w:r>
      <w:r>
        <w:rPr>
          <w:rFonts w:ascii="Verdana" w:hAnsi="Verdana"/>
        </w:rPr>
        <w:t xml:space="preserve">; </w:t>
      </w:r>
      <w:r w:rsidRPr="005F6F88">
        <w:rPr>
          <w:rFonts w:ascii="Verdana" w:hAnsi="Verdana"/>
        </w:rPr>
        <w:t xml:space="preserve">por lo cual no </w:t>
      </w:r>
      <w:r>
        <w:rPr>
          <w:rFonts w:ascii="Verdana" w:hAnsi="Verdana"/>
        </w:rPr>
        <w:t>se sería viable</w:t>
      </w:r>
      <w:r w:rsidRPr="005F6F88">
        <w:rPr>
          <w:rFonts w:ascii="Verdana" w:hAnsi="Verdana"/>
        </w:rPr>
        <w:t xml:space="preserve"> incluir este tipo de incentivos en la modalidad de mínima cuantía, teniendo en cuenta que no fue incluida en la </w:t>
      </w:r>
      <w:r>
        <w:rPr>
          <w:rFonts w:ascii="Verdana" w:hAnsi="Verdana"/>
        </w:rPr>
        <w:t xml:space="preserve">reglamentación del Decreto mencionado, en el Estatuto General de Contratación de la Administración Pública, en la </w:t>
      </w:r>
      <w:r w:rsidRPr="005F6F88">
        <w:rPr>
          <w:rFonts w:ascii="Verdana" w:eastAsia="Calibri" w:hAnsi="Verdana" w:cs="Arial"/>
          <w:lang w:val="es-ES_tradnl" w:eastAsia="es-ES_tradnl"/>
        </w:rPr>
        <w:t>Ley 2069 de 2020</w:t>
      </w:r>
      <w:r>
        <w:rPr>
          <w:rFonts w:ascii="Verdana" w:eastAsia="Calibri" w:hAnsi="Verdana" w:cs="Arial"/>
          <w:lang w:val="es-ES_tradnl" w:eastAsia="es-ES_tradnl"/>
        </w:rPr>
        <w:t xml:space="preserve"> y</w:t>
      </w:r>
      <w:r w:rsidRPr="005F6F88">
        <w:rPr>
          <w:rFonts w:ascii="Verdana" w:eastAsia="Calibri" w:hAnsi="Verdana" w:cs="Arial"/>
          <w:lang w:val="es-ES_tradnl" w:eastAsia="es-ES_tradnl"/>
        </w:rPr>
        <w:t xml:space="preserve"> el Decreto 1860 de 2021</w:t>
      </w:r>
      <w:r>
        <w:rPr>
          <w:rFonts w:ascii="Verdana" w:eastAsia="Calibri" w:hAnsi="Verdana" w:cs="Arial"/>
          <w:lang w:val="es-ES_tradnl" w:eastAsia="es-ES_tradnl"/>
        </w:rPr>
        <w:t>.</w:t>
      </w:r>
    </w:p>
    <w:p w14:paraId="34BA5E7B" w14:textId="77777777" w:rsidR="002D6F4B" w:rsidRDefault="002D6F4B" w:rsidP="002D6F4B">
      <w:pPr>
        <w:spacing w:line="276" w:lineRule="auto"/>
        <w:jc w:val="both"/>
        <w:rPr>
          <w:rFonts w:ascii="Verdana" w:hAnsi="Verdana"/>
        </w:rPr>
      </w:pPr>
      <w:r w:rsidRPr="005F6F88">
        <w:rPr>
          <w:rFonts w:ascii="Verdana" w:hAnsi="Verdana"/>
        </w:rPr>
        <w:t xml:space="preserve">   </w:t>
      </w:r>
    </w:p>
    <w:p w14:paraId="6CC75A24" w14:textId="77777777" w:rsidR="002D6F4B" w:rsidRPr="005F6F88" w:rsidRDefault="002D6F4B" w:rsidP="002D6F4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F6F88">
        <w:rPr>
          <w:rFonts w:ascii="Verdana" w:eastAsia="Century Gothic" w:hAnsi="Verdana" w:cs="Century Gothic"/>
          <w:b/>
          <w:bCs/>
        </w:rPr>
        <w:t>Razones de la respuesta:</w:t>
      </w:r>
    </w:p>
    <w:p w14:paraId="36D9FF87" w14:textId="77777777" w:rsidR="002D6F4B" w:rsidRPr="005F6F88" w:rsidRDefault="002D6F4B" w:rsidP="002D6F4B">
      <w:pPr>
        <w:jc w:val="both"/>
        <w:rPr>
          <w:rFonts w:ascii="Verdana" w:hAnsi="Verdana" w:cs="Arial"/>
          <w:color w:val="000000" w:themeColor="text1"/>
        </w:rPr>
      </w:pPr>
    </w:p>
    <w:p w14:paraId="642CBFF9" w14:textId="77777777" w:rsidR="002D6F4B" w:rsidRPr="005F6F88" w:rsidRDefault="002D6F4B" w:rsidP="002D6F4B">
      <w:pPr>
        <w:jc w:val="both"/>
        <w:rPr>
          <w:rFonts w:ascii="Verdana" w:hAnsi="Verdana" w:cs="Arial"/>
          <w:color w:val="000000" w:themeColor="text1"/>
        </w:rPr>
      </w:pPr>
      <w:r w:rsidRPr="005F6F88">
        <w:rPr>
          <w:rFonts w:ascii="Verdana" w:hAnsi="Verdana" w:cs="Arial"/>
          <w:color w:val="000000" w:themeColor="text1"/>
        </w:rPr>
        <w:t>Lo anterior se sustenta en las siguientes consideraciones:</w:t>
      </w:r>
    </w:p>
    <w:p w14:paraId="23CD9CCF" w14:textId="77777777" w:rsidR="002D6F4B" w:rsidRDefault="002D6F4B" w:rsidP="002D6F4B">
      <w:pPr>
        <w:pStyle w:val="Prrafodelista"/>
        <w:numPr>
          <w:ilvl w:val="0"/>
          <w:numId w:val="19"/>
        </w:numPr>
        <w:spacing w:after="120" w:line="276" w:lineRule="auto"/>
        <w:jc w:val="both"/>
        <w:rPr>
          <w:rFonts w:ascii="Verdana" w:eastAsia="Calibri" w:hAnsi="Verdana" w:cs="Arial"/>
          <w:lang w:eastAsia="es-MX"/>
        </w:rPr>
      </w:pPr>
      <w:bookmarkStart w:id="1" w:name="_Hlk99546562"/>
      <w:r w:rsidRPr="491E265F">
        <w:rPr>
          <w:rFonts w:ascii="Verdana" w:eastAsia="Calibri" w:hAnsi="Verdana" w:cs="Arial"/>
          <w:lang w:eastAsia="es-MX"/>
        </w:rPr>
        <w:lastRenderedPageBreak/>
        <w:t xml:space="preserve">Los </w:t>
      </w:r>
      <w:r w:rsidRPr="491E265F">
        <w:rPr>
          <w:rFonts w:ascii="Verdana" w:eastAsia="Calibri" w:hAnsi="Verdana" w:cs="Arial"/>
          <w:i/>
          <w:lang w:eastAsia="es-MX"/>
        </w:rPr>
        <w:t>requisitos habilitantes</w:t>
      </w:r>
      <w:r w:rsidRPr="491E265F">
        <w:rPr>
          <w:rFonts w:ascii="Verdana" w:eastAsia="Calibri" w:hAnsi="Verdana" w:cs="Arial"/>
          <w:lang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w:t>
      </w:r>
      <w:r w:rsidRPr="491E265F">
        <w:rPr>
          <w:rFonts w:ascii="Verdana" w:eastAsia="Calibri" w:hAnsi="Verdana" w:cs="Arial"/>
          <w:i/>
          <w:lang w:eastAsia="es-MX"/>
        </w:rPr>
        <w:t>criterios de evaluación</w:t>
      </w:r>
      <w:r w:rsidRPr="491E265F">
        <w:rPr>
          <w:rFonts w:ascii="Verdana" w:eastAsia="Calibri" w:hAnsi="Verdana" w:cs="Arial"/>
          <w:lang w:eastAsia="es-MX"/>
        </w:rPr>
        <w:t xml:space="preserve">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22057383" w14:textId="77777777" w:rsidR="002D6F4B" w:rsidRPr="00166A15" w:rsidRDefault="002D6F4B" w:rsidP="002D6F4B">
      <w:pPr>
        <w:pStyle w:val="Prrafodelista"/>
        <w:spacing w:after="120" w:line="276" w:lineRule="auto"/>
        <w:jc w:val="both"/>
        <w:rPr>
          <w:rFonts w:ascii="Verdana" w:eastAsia="Calibri" w:hAnsi="Verdana" w:cs="Arial"/>
          <w:lang w:val="es-ES_tradnl" w:eastAsia="es-MX"/>
        </w:rPr>
      </w:pPr>
      <w:r w:rsidRPr="00166A15">
        <w:rPr>
          <w:rFonts w:ascii="Verdana" w:eastAsia="Calibri" w:hAnsi="Verdana" w:cs="Arial"/>
          <w:lang w:val="es-ES_tradnl" w:eastAsia="es-MX"/>
        </w:rPr>
        <w:t xml:space="preserve"> </w:t>
      </w:r>
    </w:p>
    <w:bookmarkEnd w:id="1"/>
    <w:p w14:paraId="462D38EA" w14:textId="77777777" w:rsidR="002D6F4B" w:rsidRDefault="002D6F4B" w:rsidP="002D6F4B">
      <w:pPr>
        <w:pStyle w:val="Prrafodelista"/>
        <w:numPr>
          <w:ilvl w:val="0"/>
          <w:numId w:val="19"/>
        </w:numPr>
        <w:spacing w:after="120" w:line="276" w:lineRule="auto"/>
        <w:jc w:val="both"/>
        <w:rPr>
          <w:rFonts w:ascii="Verdana" w:eastAsia="Calibri" w:hAnsi="Verdana" w:cs="Arial"/>
          <w:lang w:eastAsia="es-MX"/>
        </w:rPr>
      </w:pPr>
      <w:r w:rsidRPr="491E265F">
        <w:rPr>
          <w:rFonts w:ascii="Verdana" w:eastAsia="Calibri" w:hAnsi="Verdana" w:cs="Arial"/>
          <w:lang w:eastAsia="es-MX"/>
        </w:rPr>
        <w:t>De acuerdo a lo indicado, 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los parágrafos 1º al 5º del artículo 5 de la Ley 1150 de 2007.</w:t>
      </w:r>
    </w:p>
    <w:p w14:paraId="4FED380E" w14:textId="77777777" w:rsidR="002D6F4B" w:rsidRPr="00A44965" w:rsidRDefault="002D6F4B" w:rsidP="002D6F4B">
      <w:pPr>
        <w:pStyle w:val="Prrafodelista"/>
        <w:rPr>
          <w:rFonts w:ascii="Verdana" w:eastAsia="Calibri" w:hAnsi="Verdana" w:cs="Arial"/>
          <w:lang w:val="es-ES_tradnl" w:eastAsia="es-MX"/>
        </w:rPr>
      </w:pPr>
    </w:p>
    <w:p w14:paraId="5A8C6320" w14:textId="77777777" w:rsidR="002D6F4B" w:rsidRDefault="002D6F4B" w:rsidP="002D6F4B">
      <w:pPr>
        <w:pStyle w:val="Prrafodelista"/>
        <w:numPr>
          <w:ilvl w:val="0"/>
          <w:numId w:val="19"/>
        </w:numPr>
        <w:spacing w:after="120" w:line="276" w:lineRule="auto"/>
        <w:jc w:val="both"/>
        <w:rPr>
          <w:rFonts w:ascii="Verdana" w:eastAsia="Calibri" w:hAnsi="Verdana" w:cs="Arial"/>
          <w:lang w:val="es-ES_tradnl" w:eastAsia="es-MX"/>
        </w:rPr>
      </w:pPr>
      <w:r>
        <w:rPr>
          <w:rFonts w:ascii="Verdana" w:eastAsia="Calibri" w:hAnsi="Verdana" w:cs="Arial"/>
          <w:lang w:val="es-ES_tradnl" w:eastAsia="es-MX"/>
        </w:rPr>
        <w:t>Pues bien, e</w:t>
      </w:r>
      <w:r w:rsidRPr="00166A15">
        <w:rPr>
          <w:rFonts w:ascii="Verdana" w:eastAsia="Calibri" w:hAnsi="Verdana" w:cs="Arial"/>
          <w:lang w:val="es-ES_tradnl" w:eastAsia="es-MX"/>
        </w:rPr>
        <w:t xml:space="preserve">l mencionado artículo dispone que se considera </w:t>
      </w:r>
      <w:r>
        <w:rPr>
          <w:rFonts w:ascii="Verdana" w:eastAsia="Calibri" w:hAnsi="Verdana" w:cs="Arial"/>
          <w:i/>
          <w:iCs/>
          <w:lang w:val="es-ES_tradnl" w:eastAsia="es-MX"/>
        </w:rPr>
        <w:t>(…)</w:t>
      </w:r>
      <w:r w:rsidRPr="00166A15">
        <w:rPr>
          <w:rFonts w:ascii="Verdana" w:eastAsia="Calibri" w:hAnsi="Verdana" w:cs="Arial"/>
          <w:i/>
          <w:iCs/>
          <w:lang w:val="es-ES_tradnl" w:eastAsia="es-MX"/>
        </w:rPr>
        <w:t xml:space="preserve"> objetiva la selección en la cual la escogencia se haga al ofrecimiento más favorable a la entidad y a los fines que ella busca, sin tener en consideración factores de afecto o de interés y, en general, cualquier clase de motivación subjetiva</w:t>
      </w:r>
      <w:r>
        <w:rPr>
          <w:rFonts w:ascii="Verdana" w:eastAsia="Calibri" w:hAnsi="Verdana" w:cs="Arial"/>
          <w:i/>
          <w:iCs/>
          <w:lang w:val="es-ES_tradnl" w:eastAsia="es-MX"/>
        </w:rPr>
        <w:t xml:space="preserve">” </w:t>
      </w:r>
      <w:r>
        <w:rPr>
          <w:rFonts w:ascii="Verdana" w:eastAsia="Calibri" w:hAnsi="Verdana" w:cs="Arial"/>
          <w:lang w:val="es-ES_tradnl" w:eastAsia="es-MX"/>
        </w:rPr>
        <w:t>(…)</w:t>
      </w:r>
      <w:r w:rsidRPr="00166A15">
        <w:rPr>
          <w:rFonts w:ascii="Verdana" w:eastAsia="Calibri" w:hAnsi="Verdana" w:cs="Arial"/>
          <w:i/>
          <w:iCs/>
          <w:lang w:val="es-ES_tradnl" w:eastAsia="es-MX"/>
        </w:rPr>
        <w:t>.</w:t>
      </w:r>
      <w:r w:rsidRPr="00166A15">
        <w:rPr>
          <w:rFonts w:ascii="Verdana" w:eastAsia="Calibri" w:hAnsi="Verdana" w:cs="Arial"/>
          <w:lang w:val="es-ES_tradnl" w:eastAsia="es-MX"/>
        </w:rPr>
        <w:t xml:space="preserve"> En ese contexto, los factores de escogencia y calificación que establezcan las entidades en los pliegos de condiciones o sus documentos equivalentes deberán tener en cuenta, entre otras cuestiones, los criterios establecidos en dicha disposición. </w:t>
      </w:r>
    </w:p>
    <w:p w14:paraId="56C3ADFF" w14:textId="77777777" w:rsidR="002D6F4B" w:rsidRPr="00A44965" w:rsidRDefault="002D6F4B" w:rsidP="002D6F4B">
      <w:pPr>
        <w:pStyle w:val="Prrafodelista"/>
        <w:rPr>
          <w:rFonts w:ascii="Verdana" w:eastAsia="Calibri" w:hAnsi="Verdana" w:cs="Arial"/>
          <w:lang w:val="es-ES_tradnl" w:eastAsia="es-MX"/>
        </w:rPr>
      </w:pPr>
    </w:p>
    <w:p w14:paraId="2BF6F4A4" w14:textId="77777777" w:rsidR="002D6F4B" w:rsidRDefault="002D6F4B" w:rsidP="002D6F4B">
      <w:pPr>
        <w:pStyle w:val="Prrafodelista"/>
        <w:numPr>
          <w:ilvl w:val="0"/>
          <w:numId w:val="19"/>
        </w:numPr>
        <w:spacing w:after="0" w:line="276" w:lineRule="auto"/>
        <w:jc w:val="both"/>
        <w:rPr>
          <w:rFonts w:ascii="Verdana" w:eastAsia="Calibri" w:hAnsi="Verdana" w:cs="Arial"/>
        </w:rPr>
      </w:pPr>
      <w:r w:rsidRPr="491E265F">
        <w:rPr>
          <w:rFonts w:ascii="Verdana" w:eastAsia="Calibri" w:hAnsi="Verdana" w:cs="Arial"/>
          <w:lang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w:t>
      </w:r>
    </w:p>
    <w:p w14:paraId="3C140BB9" w14:textId="77777777" w:rsidR="002D6F4B" w:rsidRPr="000F4876" w:rsidRDefault="002D6F4B" w:rsidP="002D6F4B">
      <w:pPr>
        <w:pStyle w:val="Prrafodelista"/>
        <w:rPr>
          <w:rFonts w:ascii="Verdana" w:eastAsia="Calibri" w:hAnsi="Verdana" w:cs="Arial"/>
          <w:lang w:val="es-ES_tradnl"/>
        </w:rPr>
      </w:pPr>
    </w:p>
    <w:p w14:paraId="6812915F" w14:textId="77777777" w:rsidR="002D6F4B" w:rsidRPr="00166A15" w:rsidRDefault="002D6F4B" w:rsidP="002D6F4B">
      <w:pPr>
        <w:pStyle w:val="Prrafodelista"/>
        <w:numPr>
          <w:ilvl w:val="0"/>
          <w:numId w:val="19"/>
        </w:numPr>
        <w:spacing w:after="120" w:line="276" w:lineRule="auto"/>
        <w:jc w:val="both"/>
        <w:rPr>
          <w:rFonts w:ascii="Arial" w:eastAsia="Times New Roman" w:hAnsi="Arial" w:cs="Arial"/>
          <w:lang w:eastAsia="es-MX"/>
        </w:rPr>
      </w:pPr>
      <w:bookmarkStart w:id="2" w:name="_Hlk99547809"/>
      <w:bookmarkStart w:id="3" w:name="_Hlk99546625"/>
      <w:r w:rsidRPr="491E265F">
        <w:rPr>
          <w:rFonts w:ascii="Verdana" w:eastAsia="Times New Roman" w:hAnsi="Verdana" w:cs="Arial"/>
          <w:lang w:eastAsia="es-MX"/>
        </w:rPr>
        <w:lastRenderedPageBreak/>
        <w:t xml:space="preserve">Ahora bien, la Agencia Nacional de Contratación Pública ha defendido el carácter </w:t>
      </w:r>
      <w:bookmarkStart w:id="4" w:name="_Hlk99547799"/>
      <w:r w:rsidRPr="491E265F">
        <w:rPr>
          <w:rFonts w:ascii="Verdana" w:eastAsia="Times New Roman" w:hAnsi="Verdana" w:cs="Arial"/>
          <w:lang w:eastAsia="es-MX"/>
        </w:rPr>
        <w:t xml:space="preserve">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w:t>
      </w:r>
      <w:bookmarkEnd w:id="2"/>
      <w:bookmarkEnd w:id="4"/>
      <w:r w:rsidRPr="491E265F">
        <w:rPr>
          <w:rFonts w:ascii="Verdana" w:eastAsia="Times New Roman" w:hAnsi="Verdana" w:cs="Arial"/>
          <w:lang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3"/>
      <w:r w:rsidRPr="491E265F">
        <w:rPr>
          <w:rFonts w:ascii="Arial" w:eastAsia="Times New Roman" w:hAnsi="Arial" w:cs="Arial"/>
          <w:lang w:eastAsia="es-MX"/>
        </w:rPr>
        <w:t xml:space="preserve">. </w:t>
      </w:r>
    </w:p>
    <w:p w14:paraId="2B5FC932" w14:textId="77777777" w:rsidR="002D6F4B" w:rsidRPr="000E4B9A" w:rsidRDefault="002D6F4B" w:rsidP="002D6F4B">
      <w:pPr>
        <w:pStyle w:val="Prrafodelista"/>
        <w:spacing w:after="120" w:line="276" w:lineRule="auto"/>
        <w:jc w:val="both"/>
        <w:rPr>
          <w:rFonts w:ascii="Verdana" w:eastAsia="Calibri" w:hAnsi="Verdana" w:cs="Arial"/>
          <w:lang w:val="es-ES_tradnl"/>
        </w:rPr>
      </w:pPr>
    </w:p>
    <w:p w14:paraId="14B65B48" w14:textId="77777777" w:rsidR="002D6F4B" w:rsidRPr="001E56A7" w:rsidRDefault="002D6F4B" w:rsidP="002D6F4B">
      <w:pPr>
        <w:pStyle w:val="Prrafodelista"/>
        <w:numPr>
          <w:ilvl w:val="0"/>
          <w:numId w:val="19"/>
        </w:numPr>
        <w:spacing w:after="120" w:line="276" w:lineRule="auto"/>
        <w:jc w:val="both"/>
        <w:rPr>
          <w:rFonts w:ascii="Verdana" w:eastAsia="Calibri" w:hAnsi="Verdana" w:cs="Arial"/>
          <w:lang w:val="es-ES_tradnl"/>
        </w:rPr>
      </w:pPr>
      <w:r>
        <w:rPr>
          <w:rFonts w:ascii="Verdana" w:eastAsia="Arial" w:hAnsi="Verdana" w:cs="Arial"/>
        </w:rPr>
        <w:t xml:space="preserve">Ahora bien, precisado la figura de requisitos habilitantes, es importante acudir a lo establecido en </w:t>
      </w:r>
      <w:r w:rsidRPr="001E56A7">
        <w:rPr>
          <w:rFonts w:ascii="Verdana" w:eastAsia="Arial" w:hAnsi="Verdana" w:cs="Arial"/>
        </w:rPr>
        <w:t>el artículo 32 de la Ley 2069 de 2021</w:t>
      </w:r>
      <w:r>
        <w:rPr>
          <w:rFonts w:ascii="Verdana" w:eastAsia="Arial" w:hAnsi="Verdana" w:cs="Arial"/>
        </w:rPr>
        <w:t xml:space="preserve">, en donde se </w:t>
      </w:r>
      <w:r w:rsidRPr="001E56A7">
        <w:rPr>
          <w:rFonts w:ascii="Verdana" w:eastAsia="Arial" w:hAnsi="Verdana" w:cs="Arial"/>
        </w:rPr>
        <w:t>introduce el deber de las Entidades</w:t>
      </w:r>
      <w:r w:rsidRPr="001E56A7">
        <w:rPr>
          <w:rFonts w:ascii="Verdana" w:eastAsia="Arial" w:hAnsi="Verdana" w:cs="Arial"/>
          <w:spacing w:val="-8"/>
        </w:rPr>
        <w:t xml:space="preserve"> </w:t>
      </w:r>
      <w:r w:rsidRPr="001E56A7">
        <w:rPr>
          <w:rFonts w:ascii="Verdana" w:eastAsia="Arial" w:hAnsi="Verdana" w:cs="Arial"/>
        </w:rPr>
        <w:t>Estatales</w:t>
      </w:r>
      <w:r w:rsidRPr="001E56A7">
        <w:rPr>
          <w:rFonts w:ascii="Verdana" w:eastAsia="Arial" w:hAnsi="Verdana" w:cs="Arial"/>
          <w:spacing w:val="-8"/>
        </w:rPr>
        <w:t xml:space="preserve"> </w:t>
      </w:r>
      <w:r w:rsidRPr="001E56A7">
        <w:rPr>
          <w:rFonts w:ascii="Verdana" w:eastAsia="Arial" w:hAnsi="Verdana" w:cs="Arial"/>
        </w:rPr>
        <w:t>de</w:t>
      </w:r>
      <w:r w:rsidRPr="001E56A7">
        <w:rPr>
          <w:rFonts w:ascii="Verdana" w:eastAsia="Arial" w:hAnsi="Verdana" w:cs="Arial"/>
          <w:spacing w:val="-8"/>
        </w:rPr>
        <w:t xml:space="preserve"> </w:t>
      </w:r>
      <w:r w:rsidRPr="001E56A7">
        <w:rPr>
          <w:rFonts w:ascii="Verdana" w:eastAsia="Arial" w:hAnsi="Verdana" w:cs="Arial"/>
        </w:rPr>
        <w:t>incluir</w:t>
      </w:r>
      <w:r w:rsidRPr="001E56A7">
        <w:rPr>
          <w:rFonts w:ascii="Verdana" w:eastAsia="Arial" w:hAnsi="Verdana" w:cs="Arial"/>
          <w:spacing w:val="-8"/>
        </w:rPr>
        <w:t xml:space="preserve"> </w:t>
      </w:r>
      <w:r w:rsidRPr="001E56A7">
        <w:rPr>
          <w:rFonts w:ascii="Verdana" w:eastAsia="Arial" w:hAnsi="Verdana" w:cs="Arial"/>
        </w:rPr>
        <w:t>en</w:t>
      </w:r>
      <w:r w:rsidRPr="001E56A7">
        <w:rPr>
          <w:rFonts w:ascii="Verdana" w:eastAsia="Arial" w:hAnsi="Verdana" w:cs="Arial"/>
          <w:spacing w:val="-8"/>
        </w:rPr>
        <w:t xml:space="preserve"> </w:t>
      </w:r>
      <w:r w:rsidRPr="001E56A7">
        <w:rPr>
          <w:rFonts w:ascii="Verdana" w:eastAsia="Arial" w:hAnsi="Verdana" w:cs="Arial"/>
        </w:rPr>
        <w:t>los</w:t>
      </w:r>
      <w:r w:rsidRPr="001E56A7">
        <w:rPr>
          <w:rFonts w:ascii="Verdana" w:eastAsia="Arial" w:hAnsi="Verdana" w:cs="Arial"/>
          <w:spacing w:val="-8"/>
        </w:rPr>
        <w:t xml:space="preserve"> </w:t>
      </w:r>
      <w:r w:rsidRPr="001E56A7">
        <w:rPr>
          <w:rFonts w:ascii="Verdana" w:eastAsia="Arial" w:hAnsi="Verdana" w:cs="Arial"/>
        </w:rPr>
        <w:t>procesos</w:t>
      </w:r>
      <w:r w:rsidRPr="001E56A7">
        <w:rPr>
          <w:rFonts w:ascii="Verdana" w:eastAsia="Arial" w:hAnsi="Verdana" w:cs="Arial"/>
          <w:spacing w:val="-8"/>
        </w:rPr>
        <w:t xml:space="preserve"> </w:t>
      </w:r>
      <w:r w:rsidRPr="001E56A7">
        <w:rPr>
          <w:rFonts w:ascii="Verdana" w:eastAsia="Arial" w:hAnsi="Verdana" w:cs="Arial"/>
        </w:rPr>
        <w:t>de</w:t>
      </w:r>
      <w:r w:rsidRPr="001E56A7">
        <w:rPr>
          <w:rFonts w:ascii="Verdana" w:eastAsia="Arial" w:hAnsi="Verdana" w:cs="Arial"/>
          <w:spacing w:val="-8"/>
        </w:rPr>
        <w:t xml:space="preserve"> </w:t>
      </w:r>
      <w:r w:rsidRPr="001E56A7">
        <w:rPr>
          <w:rFonts w:ascii="Verdana" w:eastAsia="Arial" w:hAnsi="Verdana" w:cs="Arial"/>
        </w:rPr>
        <w:t>licitación</w:t>
      </w:r>
      <w:r w:rsidRPr="001E56A7">
        <w:rPr>
          <w:rFonts w:ascii="Verdana" w:eastAsia="Arial" w:hAnsi="Verdana" w:cs="Arial"/>
          <w:spacing w:val="-8"/>
        </w:rPr>
        <w:t xml:space="preserve"> </w:t>
      </w:r>
      <w:r w:rsidRPr="001E56A7">
        <w:rPr>
          <w:rFonts w:ascii="Verdana" w:eastAsia="Arial" w:hAnsi="Verdana" w:cs="Arial"/>
        </w:rPr>
        <w:t>pública,</w:t>
      </w:r>
      <w:r w:rsidRPr="001E56A7">
        <w:rPr>
          <w:rFonts w:ascii="Verdana" w:eastAsia="Arial" w:hAnsi="Verdana" w:cs="Arial"/>
          <w:spacing w:val="-8"/>
        </w:rPr>
        <w:t xml:space="preserve"> </w:t>
      </w:r>
      <w:r w:rsidRPr="001E56A7">
        <w:rPr>
          <w:rFonts w:ascii="Verdana" w:eastAsia="Arial" w:hAnsi="Verdana" w:cs="Arial"/>
        </w:rPr>
        <w:t>selección</w:t>
      </w:r>
      <w:r w:rsidRPr="001E56A7">
        <w:rPr>
          <w:rFonts w:ascii="Verdana" w:eastAsia="Arial" w:hAnsi="Verdana" w:cs="Arial"/>
          <w:spacing w:val="-8"/>
        </w:rPr>
        <w:t xml:space="preserve"> </w:t>
      </w:r>
      <w:r w:rsidRPr="001E56A7">
        <w:rPr>
          <w:rFonts w:ascii="Verdana" w:eastAsia="Arial" w:hAnsi="Verdana" w:cs="Arial"/>
        </w:rPr>
        <w:t>abreviada</w:t>
      </w:r>
      <w:r w:rsidRPr="001E56A7">
        <w:rPr>
          <w:rFonts w:ascii="Verdana" w:eastAsia="Arial" w:hAnsi="Verdana" w:cs="Arial"/>
          <w:spacing w:val="-8"/>
        </w:rPr>
        <w:t xml:space="preserve"> </w:t>
      </w:r>
      <w:r w:rsidRPr="001E56A7">
        <w:rPr>
          <w:rFonts w:ascii="Verdana" w:eastAsia="Arial" w:hAnsi="Verdana" w:cs="Arial"/>
        </w:rPr>
        <w:t>de</w:t>
      </w:r>
      <w:r w:rsidRPr="001E56A7">
        <w:rPr>
          <w:rFonts w:ascii="Verdana" w:eastAsia="Arial" w:hAnsi="Verdana" w:cs="Arial"/>
          <w:spacing w:val="-8"/>
        </w:rPr>
        <w:t xml:space="preserve"> </w:t>
      </w:r>
      <w:r w:rsidRPr="001E56A7">
        <w:rPr>
          <w:rFonts w:ascii="Verdana" w:eastAsia="Arial" w:hAnsi="Verdana" w:cs="Arial"/>
        </w:rPr>
        <w:t>menor cuantía y concurso de méritos, así como en los procesos competitivos que adelanten las entidades</w:t>
      </w:r>
      <w:r w:rsidRPr="001E56A7">
        <w:rPr>
          <w:rFonts w:ascii="Verdana" w:eastAsia="Arial" w:hAnsi="Verdana" w:cs="Arial"/>
          <w:spacing w:val="1"/>
        </w:rPr>
        <w:t xml:space="preserve"> </w:t>
      </w:r>
      <w:r w:rsidRPr="001E56A7">
        <w:rPr>
          <w:rFonts w:ascii="Verdana" w:eastAsia="Arial" w:hAnsi="Verdana" w:cs="Arial"/>
        </w:rPr>
        <w:t>estatales</w:t>
      </w:r>
      <w:r w:rsidRPr="001E56A7">
        <w:rPr>
          <w:rFonts w:ascii="Verdana" w:eastAsia="Arial" w:hAnsi="Verdana" w:cs="Arial"/>
          <w:spacing w:val="1"/>
        </w:rPr>
        <w:t xml:space="preserve"> </w:t>
      </w:r>
      <w:r w:rsidRPr="001E56A7">
        <w:rPr>
          <w:rFonts w:ascii="Verdana" w:eastAsia="Arial" w:hAnsi="Verdana" w:cs="Arial"/>
        </w:rPr>
        <w:t>exceptuadas</w:t>
      </w:r>
      <w:r w:rsidRPr="001E56A7">
        <w:rPr>
          <w:rFonts w:ascii="Verdana" w:eastAsia="Arial" w:hAnsi="Verdana" w:cs="Arial"/>
          <w:spacing w:val="1"/>
        </w:rPr>
        <w:t xml:space="preserve"> </w:t>
      </w:r>
      <w:r w:rsidRPr="001E56A7">
        <w:rPr>
          <w:rFonts w:ascii="Verdana" w:eastAsia="Arial" w:hAnsi="Verdana" w:cs="Arial"/>
        </w:rPr>
        <w:t>de aplicar el Estatuto</w:t>
      </w:r>
      <w:r w:rsidRPr="001E56A7">
        <w:rPr>
          <w:rFonts w:ascii="Verdana" w:eastAsia="Arial" w:hAnsi="Verdana" w:cs="Arial"/>
          <w:spacing w:val="1"/>
        </w:rPr>
        <w:t xml:space="preserve"> </w:t>
      </w:r>
      <w:r w:rsidRPr="001E56A7">
        <w:rPr>
          <w:rFonts w:ascii="Verdana" w:eastAsia="Arial" w:hAnsi="Verdana" w:cs="Arial"/>
        </w:rPr>
        <w:t>General</w:t>
      </w:r>
      <w:r w:rsidRPr="001E56A7">
        <w:rPr>
          <w:rFonts w:ascii="Verdana" w:eastAsia="Arial" w:hAnsi="Verdana" w:cs="Arial"/>
          <w:spacing w:val="1"/>
        </w:rPr>
        <w:t xml:space="preserve"> </w:t>
      </w:r>
      <w:r w:rsidRPr="001E56A7">
        <w:rPr>
          <w:rFonts w:ascii="Verdana" w:eastAsia="Arial" w:hAnsi="Verdana" w:cs="Arial"/>
        </w:rPr>
        <w:t>de Contratación</w:t>
      </w:r>
      <w:r w:rsidRPr="001E56A7">
        <w:rPr>
          <w:rFonts w:ascii="Verdana" w:eastAsia="Arial" w:hAnsi="Verdana" w:cs="Arial"/>
          <w:spacing w:val="1"/>
        </w:rPr>
        <w:t xml:space="preserve"> </w:t>
      </w:r>
      <w:r w:rsidRPr="001E56A7">
        <w:rPr>
          <w:rFonts w:ascii="Verdana" w:eastAsia="Arial" w:hAnsi="Verdana" w:cs="Arial"/>
        </w:rPr>
        <w:t>de la Administración</w:t>
      </w:r>
      <w:r w:rsidRPr="001E56A7">
        <w:rPr>
          <w:rFonts w:ascii="Verdana" w:eastAsia="Arial" w:hAnsi="Verdana" w:cs="Arial"/>
          <w:spacing w:val="1"/>
        </w:rPr>
        <w:t xml:space="preserve"> </w:t>
      </w:r>
      <w:r w:rsidRPr="001E56A7">
        <w:rPr>
          <w:rFonts w:ascii="Verdana" w:eastAsia="Arial" w:hAnsi="Verdana" w:cs="Arial"/>
        </w:rPr>
        <w:t>Pública,</w:t>
      </w:r>
      <w:r w:rsidRPr="001E56A7">
        <w:rPr>
          <w:rFonts w:ascii="Verdana" w:eastAsia="Arial" w:hAnsi="Verdana" w:cs="Arial"/>
          <w:spacing w:val="1"/>
        </w:rPr>
        <w:t xml:space="preserve"> </w:t>
      </w:r>
      <w:r w:rsidRPr="001E56A7">
        <w:rPr>
          <w:rFonts w:ascii="Verdana" w:eastAsia="Arial" w:hAnsi="Verdana" w:cs="Arial"/>
        </w:rPr>
        <w:t>requisitos</w:t>
      </w:r>
      <w:r w:rsidRPr="001E56A7">
        <w:rPr>
          <w:rFonts w:ascii="Verdana" w:eastAsia="Arial" w:hAnsi="Verdana" w:cs="Arial"/>
          <w:spacing w:val="1"/>
        </w:rPr>
        <w:t xml:space="preserve"> </w:t>
      </w:r>
      <w:r w:rsidRPr="001E56A7">
        <w:rPr>
          <w:rFonts w:ascii="Verdana" w:eastAsia="Arial" w:hAnsi="Verdana" w:cs="Arial"/>
        </w:rPr>
        <w:t>diferenciales</w:t>
      </w:r>
      <w:r w:rsidRPr="001E56A7">
        <w:rPr>
          <w:rFonts w:ascii="Verdana" w:eastAsia="Arial" w:hAnsi="Verdana" w:cs="Arial"/>
          <w:spacing w:val="1"/>
        </w:rPr>
        <w:t xml:space="preserve"> </w:t>
      </w:r>
      <w:r w:rsidRPr="001E56A7">
        <w:rPr>
          <w:rFonts w:ascii="Verdana" w:eastAsia="Arial" w:hAnsi="Verdana" w:cs="Arial"/>
        </w:rPr>
        <w:t>y puntajes</w:t>
      </w:r>
      <w:r w:rsidRPr="001E56A7">
        <w:rPr>
          <w:rFonts w:ascii="Verdana" w:eastAsia="Arial" w:hAnsi="Verdana" w:cs="Arial"/>
          <w:spacing w:val="1"/>
        </w:rPr>
        <w:t xml:space="preserve"> </w:t>
      </w:r>
      <w:r w:rsidRPr="001E56A7">
        <w:rPr>
          <w:rFonts w:ascii="Verdana" w:eastAsia="Arial" w:hAnsi="Verdana" w:cs="Arial"/>
        </w:rPr>
        <w:t>adicionales</w:t>
      </w:r>
      <w:r w:rsidRPr="001E56A7">
        <w:rPr>
          <w:rFonts w:ascii="Verdana" w:eastAsia="Arial" w:hAnsi="Verdana" w:cs="Arial"/>
          <w:spacing w:val="1"/>
        </w:rPr>
        <w:t xml:space="preserve"> </w:t>
      </w:r>
      <w:r w:rsidRPr="001E56A7">
        <w:rPr>
          <w:rFonts w:ascii="Verdana" w:eastAsia="Arial" w:hAnsi="Verdana" w:cs="Arial"/>
        </w:rPr>
        <w:t>para emprendimientos</w:t>
      </w:r>
      <w:r w:rsidRPr="001E56A7">
        <w:rPr>
          <w:rFonts w:ascii="Verdana" w:eastAsia="Arial" w:hAnsi="Verdana" w:cs="Arial"/>
          <w:spacing w:val="1"/>
        </w:rPr>
        <w:t xml:space="preserve"> </w:t>
      </w:r>
      <w:r w:rsidRPr="001E56A7">
        <w:rPr>
          <w:rFonts w:ascii="Verdana" w:eastAsia="Arial" w:hAnsi="Verdana" w:cs="Arial"/>
        </w:rPr>
        <w:t>y empresas de mujeres.</w:t>
      </w:r>
    </w:p>
    <w:p w14:paraId="32D8A403" w14:textId="77777777" w:rsidR="002D6F4B" w:rsidRPr="001E56A7" w:rsidRDefault="002D6F4B" w:rsidP="002D6F4B">
      <w:pPr>
        <w:pStyle w:val="Prrafodelista"/>
        <w:spacing w:after="120" w:line="276" w:lineRule="auto"/>
        <w:jc w:val="both"/>
        <w:rPr>
          <w:rFonts w:ascii="Verdana" w:eastAsia="Calibri" w:hAnsi="Verdana" w:cs="Arial"/>
          <w:lang w:val="es-ES_tradnl"/>
        </w:rPr>
      </w:pPr>
      <w:r w:rsidRPr="001E56A7">
        <w:rPr>
          <w:rFonts w:ascii="Verdana" w:eastAsia="Arial" w:hAnsi="Verdana" w:cs="Arial"/>
        </w:rPr>
        <w:t xml:space="preserve"> </w:t>
      </w:r>
    </w:p>
    <w:p w14:paraId="3C18CC2D" w14:textId="77777777" w:rsidR="002D6F4B" w:rsidRDefault="002D6F4B" w:rsidP="002D6F4B">
      <w:pPr>
        <w:pStyle w:val="Prrafodelista"/>
        <w:numPr>
          <w:ilvl w:val="0"/>
          <w:numId w:val="19"/>
        </w:numPr>
        <w:spacing w:after="120" w:line="276" w:lineRule="auto"/>
        <w:jc w:val="both"/>
        <w:rPr>
          <w:rFonts w:ascii="Verdana" w:eastAsia="Calibri" w:hAnsi="Verdana" w:cs="Arial"/>
          <w:lang w:val="es-ES_tradnl"/>
        </w:rPr>
      </w:pPr>
      <w:r w:rsidRPr="001E56A7">
        <w:rPr>
          <w:rFonts w:ascii="Verdana" w:eastAsia="Arial" w:hAnsi="Verdana" w:cs="Arial"/>
        </w:rPr>
        <w:t>Esto</w:t>
      </w:r>
      <w:r w:rsidRPr="001E56A7">
        <w:rPr>
          <w:rFonts w:ascii="Verdana" w:eastAsia="Arial" w:hAnsi="Verdana" w:cs="Arial"/>
          <w:spacing w:val="1"/>
        </w:rPr>
        <w:t xml:space="preserve"> </w:t>
      </w:r>
      <w:r w:rsidRPr="001E56A7">
        <w:rPr>
          <w:rFonts w:ascii="Verdana" w:eastAsia="Arial" w:hAnsi="Verdana" w:cs="Arial"/>
        </w:rPr>
        <w:t>a título</w:t>
      </w:r>
      <w:r w:rsidRPr="001E56A7">
        <w:rPr>
          <w:rFonts w:ascii="Verdana" w:eastAsia="Arial" w:hAnsi="Verdana" w:cs="Arial"/>
          <w:spacing w:val="1"/>
        </w:rPr>
        <w:t xml:space="preserve"> </w:t>
      </w:r>
      <w:r w:rsidRPr="001E56A7">
        <w:rPr>
          <w:rFonts w:ascii="Verdana" w:eastAsia="Arial" w:hAnsi="Verdana" w:cs="Arial"/>
        </w:rPr>
        <w:t>de medidas de acción afirmativa</w:t>
      </w:r>
      <w:r w:rsidRPr="001E56A7">
        <w:rPr>
          <w:rFonts w:ascii="Verdana" w:eastAsia="Arial" w:hAnsi="Verdana" w:cs="Arial"/>
          <w:spacing w:val="1"/>
        </w:rPr>
        <w:t xml:space="preserve"> </w:t>
      </w:r>
      <w:r w:rsidRPr="001E56A7">
        <w:rPr>
          <w:rFonts w:ascii="Verdana" w:eastAsia="Arial" w:hAnsi="Verdana" w:cs="Arial"/>
        </w:rPr>
        <w:t>para incentivar</w:t>
      </w:r>
      <w:r w:rsidRPr="001E56A7">
        <w:rPr>
          <w:rFonts w:ascii="Verdana" w:eastAsia="Arial" w:hAnsi="Verdana" w:cs="Arial"/>
          <w:spacing w:val="1"/>
        </w:rPr>
        <w:t xml:space="preserve"> </w:t>
      </w:r>
      <w:r w:rsidRPr="001E56A7">
        <w:rPr>
          <w:rFonts w:ascii="Verdana" w:eastAsia="Arial" w:hAnsi="Verdana" w:cs="Arial"/>
        </w:rPr>
        <w:t>la participación</w:t>
      </w:r>
      <w:r w:rsidRPr="001E56A7">
        <w:rPr>
          <w:rFonts w:ascii="Verdana" w:eastAsia="Arial" w:hAnsi="Verdana" w:cs="Arial"/>
          <w:spacing w:val="-5"/>
        </w:rPr>
        <w:t xml:space="preserve"> </w:t>
      </w:r>
      <w:r w:rsidRPr="001E56A7">
        <w:rPr>
          <w:rFonts w:ascii="Verdana" w:eastAsia="Arial" w:hAnsi="Verdana" w:cs="Arial"/>
        </w:rPr>
        <w:t>de</w:t>
      </w:r>
      <w:r w:rsidRPr="001E56A7">
        <w:rPr>
          <w:rFonts w:ascii="Verdana" w:eastAsia="Arial" w:hAnsi="Verdana" w:cs="Arial"/>
          <w:spacing w:val="-5"/>
        </w:rPr>
        <w:t xml:space="preserve"> </w:t>
      </w:r>
      <w:r w:rsidRPr="001E56A7">
        <w:rPr>
          <w:rFonts w:ascii="Verdana" w:eastAsia="Arial" w:hAnsi="Verdana" w:cs="Arial"/>
        </w:rPr>
        <w:t>emprendimientos</w:t>
      </w:r>
      <w:r w:rsidRPr="001E56A7">
        <w:rPr>
          <w:rFonts w:ascii="Verdana" w:eastAsia="Arial" w:hAnsi="Verdana" w:cs="Arial"/>
          <w:spacing w:val="-5"/>
        </w:rPr>
        <w:t xml:space="preserve"> </w:t>
      </w:r>
      <w:r w:rsidRPr="001E56A7">
        <w:rPr>
          <w:rFonts w:ascii="Verdana" w:eastAsia="Arial" w:hAnsi="Verdana" w:cs="Arial"/>
        </w:rPr>
        <w:t>y</w:t>
      </w:r>
      <w:r w:rsidRPr="001E56A7">
        <w:rPr>
          <w:rFonts w:ascii="Verdana" w:eastAsia="Arial" w:hAnsi="Verdana" w:cs="Arial"/>
          <w:spacing w:val="-5"/>
        </w:rPr>
        <w:t xml:space="preserve"> </w:t>
      </w:r>
      <w:r w:rsidRPr="001E56A7">
        <w:rPr>
          <w:rFonts w:ascii="Verdana" w:eastAsia="Arial" w:hAnsi="Verdana" w:cs="Arial"/>
        </w:rPr>
        <w:t>empresas</w:t>
      </w:r>
      <w:r w:rsidRPr="001E56A7">
        <w:rPr>
          <w:rFonts w:ascii="Verdana" w:eastAsia="Arial" w:hAnsi="Verdana" w:cs="Arial"/>
          <w:spacing w:val="-5"/>
        </w:rPr>
        <w:t xml:space="preserve"> </w:t>
      </w:r>
      <w:r w:rsidRPr="001E56A7">
        <w:rPr>
          <w:rFonts w:ascii="Verdana" w:eastAsia="Arial" w:hAnsi="Verdana" w:cs="Arial"/>
        </w:rPr>
        <w:t>de</w:t>
      </w:r>
      <w:r w:rsidRPr="001E56A7">
        <w:rPr>
          <w:rFonts w:ascii="Verdana" w:eastAsia="Arial" w:hAnsi="Verdana" w:cs="Arial"/>
          <w:spacing w:val="-5"/>
        </w:rPr>
        <w:t xml:space="preserve"> </w:t>
      </w:r>
      <w:r w:rsidRPr="001E56A7">
        <w:rPr>
          <w:rFonts w:ascii="Verdana" w:eastAsia="Arial" w:hAnsi="Verdana" w:cs="Arial"/>
        </w:rPr>
        <w:t>mujeres</w:t>
      </w:r>
      <w:r w:rsidRPr="001E56A7">
        <w:rPr>
          <w:rFonts w:ascii="Verdana" w:eastAsia="Arial" w:hAnsi="Verdana" w:cs="Arial"/>
          <w:spacing w:val="-5"/>
        </w:rPr>
        <w:t xml:space="preserve"> </w:t>
      </w:r>
      <w:r w:rsidRPr="001E56A7">
        <w:rPr>
          <w:rFonts w:ascii="Verdana" w:eastAsia="Arial" w:hAnsi="Verdana" w:cs="Arial"/>
        </w:rPr>
        <w:t>en</w:t>
      </w:r>
      <w:r w:rsidRPr="001E56A7">
        <w:rPr>
          <w:rFonts w:ascii="Verdana" w:eastAsia="Arial" w:hAnsi="Verdana" w:cs="Arial"/>
          <w:spacing w:val="-5"/>
        </w:rPr>
        <w:t xml:space="preserve"> </w:t>
      </w:r>
      <w:r w:rsidRPr="001E56A7">
        <w:rPr>
          <w:rFonts w:ascii="Verdana" w:eastAsia="Arial" w:hAnsi="Verdana" w:cs="Arial"/>
        </w:rPr>
        <w:t>el</w:t>
      </w:r>
      <w:r w:rsidRPr="001E56A7">
        <w:rPr>
          <w:rFonts w:ascii="Verdana" w:eastAsia="Arial" w:hAnsi="Verdana" w:cs="Arial"/>
          <w:spacing w:val="-5"/>
        </w:rPr>
        <w:t xml:space="preserve"> </w:t>
      </w:r>
      <w:r w:rsidRPr="001E56A7">
        <w:rPr>
          <w:rFonts w:ascii="Verdana" w:eastAsia="Arial" w:hAnsi="Verdana" w:cs="Arial"/>
        </w:rPr>
        <w:t>sistema</w:t>
      </w:r>
      <w:r w:rsidRPr="001E56A7">
        <w:rPr>
          <w:rFonts w:ascii="Verdana" w:eastAsia="Arial" w:hAnsi="Verdana" w:cs="Arial"/>
          <w:spacing w:val="-5"/>
        </w:rPr>
        <w:t xml:space="preserve"> </w:t>
      </w:r>
      <w:r w:rsidRPr="001E56A7">
        <w:rPr>
          <w:rFonts w:ascii="Verdana" w:eastAsia="Arial" w:hAnsi="Verdana" w:cs="Arial"/>
        </w:rPr>
        <w:t>de</w:t>
      </w:r>
      <w:r w:rsidRPr="001E56A7">
        <w:rPr>
          <w:rFonts w:ascii="Verdana" w:eastAsia="Arial" w:hAnsi="Verdana" w:cs="Arial"/>
          <w:spacing w:val="-5"/>
        </w:rPr>
        <w:t xml:space="preserve"> </w:t>
      </w:r>
      <w:r w:rsidRPr="001E56A7">
        <w:rPr>
          <w:rFonts w:ascii="Verdana" w:eastAsia="Arial" w:hAnsi="Verdana" w:cs="Arial"/>
        </w:rPr>
        <w:t>compras</w:t>
      </w:r>
      <w:r w:rsidRPr="001E56A7">
        <w:rPr>
          <w:rFonts w:ascii="Verdana" w:eastAsia="Arial" w:hAnsi="Verdana" w:cs="Arial"/>
          <w:spacing w:val="-5"/>
        </w:rPr>
        <w:t xml:space="preserve"> </w:t>
      </w:r>
      <w:r w:rsidRPr="001E56A7">
        <w:rPr>
          <w:rFonts w:ascii="Verdana" w:eastAsia="Arial" w:hAnsi="Verdana" w:cs="Arial"/>
        </w:rPr>
        <w:t>públicas,</w:t>
      </w:r>
      <w:r w:rsidRPr="001E56A7">
        <w:rPr>
          <w:rFonts w:ascii="Verdana" w:eastAsia="Arial" w:hAnsi="Verdana" w:cs="Arial"/>
          <w:spacing w:val="-5"/>
        </w:rPr>
        <w:t xml:space="preserve"> </w:t>
      </w:r>
      <w:r w:rsidRPr="001E56A7">
        <w:rPr>
          <w:rFonts w:ascii="Verdana" w:eastAsia="Arial" w:hAnsi="Verdana" w:cs="Arial"/>
        </w:rPr>
        <w:t xml:space="preserve">sin perjuicio de los compromisos adquiridos por Colombia en los acuerdos </w:t>
      </w:r>
      <w:r w:rsidRPr="001E56A7">
        <w:rPr>
          <w:rFonts w:ascii="Verdana" w:eastAsia="Calibri" w:hAnsi="Verdana" w:cs="Arial"/>
          <w:lang w:val="es-ES_tradnl"/>
        </w:rPr>
        <w:t>comerciales en vigor.</w:t>
      </w:r>
    </w:p>
    <w:p w14:paraId="1E5D9FF5" w14:textId="77777777" w:rsidR="002D6F4B" w:rsidRPr="00E8082C" w:rsidRDefault="002D6F4B" w:rsidP="002D6F4B">
      <w:pPr>
        <w:pStyle w:val="Prrafodelista"/>
        <w:rPr>
          <w:rFonts w:ascii="Verdana" w:eastAsia="Calibri" w:hAnsi="Verdana" w:cs="Arial"/>
          <w:lang w:val="es-ES_tradnl"/>
        </w:rPr>
      </w:pPr>
    </w:p>
    <w:p w14:paraId="08CE4A08" w14:textId="77777777" w:rsidR="002D6F4B" w:rsidRPr="005F6F88" w:rsidRDefault="002D6F4B" w:rsidP="002D6F4B">
      <w:pPr>
        <w:pStyle w:val="Prrafodelista"/>
        <w:numPr>
          <w:ilvl w:val="0"/>
          <w:numId w:val="19"/>
        </w:numPr>
        <w:spacing w:after="120" w:line="276" w:lineRule="auto"/>
        <w:jc w:val="both"/>
        <w:rPr>
          <w:rFonts w:ascii="Verdana" w:eastAsia="Calibri" w:hAnsi="Verdana" w:cs="Arial"/>
          <w:lang w:val="es-ES_tradnl" w:eastAsia="es-ES_tradnl"/>
        </w:rPr>
      </w:pPr>
      <w:r w:rsidRPr="005F6F88">
        <w:rPr>
          <w:rFonts w:ascii="Verdana" w:eastAsia="Calibri" w:hAnsi="Verdana" w:cs="Arial"/>
          <w:lang w:val="es-ES_tradnl" w:eastAsia="es-ES_tradnl"/>
        </w:rPr>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w:t>
      </w:r>
      <w:r>
        <w:rPr>
          <w:rFonts w:ascii="Verdana" w:eastAsia="Calibri" w:hAnsi="Verdana" w:cs="Arial"/>
          <w:lang w:val="es-ES_tradnl" w:eastAsia="es-ES_tradnl"/>
        </w:rPr>
        <w:t xml:space="preserve"> aspectos</w:t>
      </w:r>
      <w:r w:rsidRPr="005F6F88">
        <w:rPr>
          <w:rFonts w:ascii="Verdana" w:eastAsia="Calibri" w:hAnsi="Verdana" w:cs="Arial"/>
          <w:lang w:val="es-ES_tradnl" w:eastAsia="es-ES_tradnl"/>
        </w:rPr>
        <w:t xml:space="preserve"> diferenciales. </w:t>
      </w:r>
    </w:p>
    <w:p w14:paraId="6CFAC814" w14:textId="77777777" w:rsidR="002D6F4B" w:rsidRPr="005F6F88" w:rsidRDefault="002D6F4B" w:rsidP="002D6F4B">
      <w:pPr>
        <w:spacing w:after="0" w:line="276" w:lineRule="auto"/>
        <w:jc w:val="both"/>
        <w:rPr>
          <w:rFonts w:ascii="Verdana" w:eastAsia="Calibri" w:hAnsi="Verdana" w:cs="Arial"/>
          <w:lang w:val="es-ES_tradnl" w:eastAsia="es-ES_tradnl"/>
        </w:rPr>
      </w:pPr>
    </w:p>
    <w:p w14:paraId="6BDAA9CA" w14:textId="77777777" w:rsidR="002D6F4B" w:rsidRDefault="002D6F4B" w:rsidP="002D6F4B">
      <w:pPr>
        <w:pStyle w:val="Prrafodelista"/>
        <w:numPr>
          <w:ilvl w:val="0"/>
          <w:numId w:val="19"/>
        </w:numPr>
        <w:spacing w:after="120" w:line="276" w:lineRule="auto"/>
        <w:jc w:val="both"/>
        <w:rPr>
          <w:rFonts w:ascii="Verdana" w:eastAsia="Calibri" w:hAnsi="Verdana" w:cs="Arial"/>
          <w:bCs/>
          <w:color w:val="000000"/>
          <w:szCs w:val="24"/>
          <w:lang w:eastAsia="es-ES_tradnl" w:bidi="es-ES"/>
        </w:rPr>
      </w:pPr>
      <w:r w:rsidRPr="002E7CAB">
        <w:rPr>
          <w:rFonts w:ascii="Verdana" w:eastAsia="Calibri" w:hAnsi="Verdana" w:cs="Arial"/>
          <w:bCs/>
          <w:color w:val="000000"/>
          <w:szCs w:val="24"/>
          <w:lang w:eastAsia="es-ES_tradnl" w:bidi="es-ES"/>
        </w:rPr>
        <w:t xml:space="preserve">Conforme a lo anterior, el artículo 2.2.1.2.4.2.14 del Decreto 1082 de 2015 define cuatro alternativas distintas que definen los requisitos de las empresas y emprendimientos de mujeres, a las que les aplican los criterios diferenciales, relacionados con los siguientes aspectos: 1. Tiempo de experiencia. 2. Número de contratos para la acreditación de la </w:t>
      </w:r>
      <w:r w:rsidRPr="002E7CAB">
        <w:rPr>
          <w:rFonts w:ascii="Verdana" w:eastAsia="Calibri" w:hAnsi="Verdana" w:cs="Arial"/>
          <w:bCs/>
          <w:color w:val="000000"/>
          <w:szCs w:val="24"/>
          <w:lang w:eastAsia="es-ES_tradnl" w:bidi="es-ES"/>
        </w:rPr>
        <w:lastRenderedPageBreak/>
        <w:t>experiencia. 3. Índices de capacidad financiera. 4. Índices de capacidad organizacional. 5. Valor de la garantía de seriedad de la oferta.</w:t>
      </w:r>
    </w:p>
    <w:p w14:paraId="3EB09468" w14:textId="77777777" w:rsidR="002D6F4B" w:rsidRPr="002E7CAB" w:rsidRDefault="002D6F4B" w:rsidP="002D6F4B">
      <w:pPr>
        <w:pStyle w:val="Prrafodelista"/>
        <w:spacing w:after="120" w:line="276" w:lineRule="auto"/>
        <w:jc w:val="both"/>
        <w:rPr>
          <w:rFonts w:ascii="Verdana" w:eastAsia="Calibri" w:hAnsi="Verdana" w:cs="Arial"/>
          <w:bCs/>
          <w:color w:val="000000"/>
          <w:szCs w:val="24"/>
          <w:lang w:eastAsia="es-ES_tradnl" w:bidi="es-ES"/>
        </w:rPr>
      </w:pPr>
    </w:p>
    <w:p w14:paraId="173A3486" w14:textId="77777777" w:rsidR="002D6F4B" w:rsidRPr="00A83EFA" w:rsidRDefault="002D6F4B" w:rsidP="002D6F4B">
      <w:pPr>
        <w:pStyle w:val="Prrafodelista"/>
        <w:numPr>
          <w:ilvl w:val="0"/>
          <w:numId w:val="19"/>
        </w:numPr>
        <w:spacing w:after="120" w:line="276" w:lineRule="auto"/>
        <w:jc w:val="both"/>
        <w:rPr>
          <w:rFonts w:ascii="Verdana" w:eastAsia="Calibri" w:hAnsi="Verdana" w:cs="Arial"/>
          <w:bCs/>
          <w:color w:val="000000"/>
          <w:lang w:val="es-ES_tradnl"/>
        </w:rPr>
      </w:pPr>
      <w:bookmarkStart w:id="5" w:name="_Hlk108537388"/>
      <w:r w:rsidRPr="0094058D">
        <w:rPr>
          <w:rFonts w:ascii="Verdana" w:eastAsia="Calibri" w:hAnsi="Verdana" w:cs="Arial"/>
          <w:bCs/>
          <w:color w:val="000000"/>
          <w:szCs w:val="24"/>
          <w:lang w:eastAsia="es-ES_tradnl" w:bidi="es-ES"/>
        </w:rPr>
        <w:t>Debe indicarse que para la determinación de los requisitos habilitantes diferenciales,</w:t>
      </w:r>
      <w:r w:rsidRPr="0094058D">
        <w:rPr>
          <w:rFonts w:ascii="Verdana" w:eastAsia="Calibri" w:hAnsi="Verdana" w:cs="Arial"/>
          <w:bCs/>
          <w:color w:val="000000"/>
          <w:lang w:val="es-ES_tradnl"/>
        </w:rPr>
        <w:t>es recomendable considerar las distintas variables en los estudios del sector, para poder determinar los requisitos sin desconocer que la realización del análisis de oportunidad y co</w:t>
      </w:r>
      <w:r>
        <w:rPr>
          <w:rFonts w:ascii="Verdana" w:eastAsia="Calibri" w:hAnsi="Verdana" w:cs="Arial"/>
          <w:bCs/>
          <w:color w:val="000000"/>
          <w:lang w:val="es-ES_tradnl"/>
        </w:rPr>
        <w:t>nveniencia, que permita dar una verdadera aplicación a los incentivos para la participación de emprendimientos y empresas de mujeres en el sistema de compras públicas</w:t>
      </w:r>
      <w:bookmarkEnd w:id="5"/>
      <w:r w:rsidRPr="008C084A">
        <w:rPr>
          <w:rFonts w:ascii="Verdana" w:eastAsia="Times New Roman" w:hAnsi="Verdana" w:cs="Arial"/>
          <w:lang w:eastAsia="es-CO"/>
        </w:rPr>
        <w:t>, que deben ser menos rigurosos respecto a los contemplados para los proponentes que no cumplan con alguno de los criterios del artículo 2.2.1.2.4.2.14</w:t>
      </w:r>
      <w:r>
        <w:rPr>
          <w:rFonts w:ascii="Verdana" w:eastAsia="Times New Roman" w:hAnsi="Verdana" w:cs="Arial"/>
          <w:lang w:eastAsia="es-CO"/>
        </w:rPr>
        <w:t xml:space="preserve"> del Decreto 1082 de 2015.</w:t>
      </w:r>
    </w:p>
    <w:p w14:paraId="2EFDAAE2" w14:textId="77777777" w:rsidR="002D6F4B" w:rsidRPr="00A83EFA" w:rsidRDefault="002D6F4B" w:rsidP="002D6F4B">
      <w:pPr>
        <w:pStyle w:val="Prrafodelista"/>
        <w:rPr>
          <w:rFonts w:ascii="Verdana" w:eastAsia="Calibri" w:hAnsi="Verdana" w:cs="Arial"/>
          <w:bCs/>
          <w:color w:val="000000"/>
          <w:lang w:val="es-ES_tradnl"/>
        </w:rPr>
      </w:pPr>
    </w:p>
    <w:p w14:paraId="54916E67" w14:textId="77777777" w:rsidR="002D6F4B" w:rsidRPr="00C55BD9" w:rsidRDefault="002D6F4B" w:rsidP="002D6F4B">
      <w:pPr>
        <w:pStyle w:val="Prrafodelista"/>
        <w:numPr>
          <w:ilvl w:val="0"/>
          <w:numId w:val="19"/>
        </w:numPr>
        <w:spacing w:after="120" w:line="276" w:lineRule="auto"/>
        <w:jc w:val="both"/>
        <w:rPr>
          <w:rFonts w:ascii="Verdana" w:eastAsia="Calibri" w:hAnsi="Verdana" w:cs="Arial"/>
          <w:bCs/>
          <w:color w:val="000000"/>
          <w:lang w:val="es-ES_tradnl"/>
        </w:rPr>
      </w:pPr>
      <w:r>
        <w:rPr>
          <w:rFonts w:ascii="Verdana" w:hAnsi="Verdana"/>
        </w:rPr>
        <w:t xml:space="preserve">Pues bien, retomando la posibilidad de incluir </w:t>
      </w:r>
      <w:r w:rsidRPr="005F6F88">
        <w:rPr>
          <w:rFonts w:ascii="Verdana" w:hAnsi="Verdana"/>
        </w:rPr>
        <w:t xml:space="preserve">condiciones habilitantes para incentivar los emprendimientos y empresas de mujeres con domicilio en el territorio nacional, de manera puntual en los procesos de licitación pública, selección abreviada de menor cuantía y concurso de méritos, </w:t>
      </w:r>
      <w:r w:rsidRPr="00257AD5">
        <w:rPr>
          <w:rFonts w:ascii="Verdana" w:hAnsi="Verdana"/>
        </w:rPr>
        <w:t>excluyendo las demás modalidades de selección del artículo 2 de la Ley 1150 de 2007</w:t>
      </w:r>
      <w:r>
        <w:rPr>
          <w:rFonts w:ascii="Verdana" w:hAnsi="Verdana"/>
        </w:rPr>
        <w:t xml:space="preserve">; </w:t>
      </w:r>
      <w:r w:rsidRPr="005F6F88">
        <w:rPr>
          <w:rFonts w:ascii="Verdana" w:hAnsi="Verdana"/>
        </w:rPr>
        <w:t xml:space="preserve">por lo cual no </w:t>
      </w:r>
      <w:r>
        <w:rPr>
          <w:rFonts w:ascii="Verdana" w:hAnsi="Verdana"/>
        </w:rPr>
        <w:t>se sería viable</w:t>
      </w:r>
      <w:r w:rsidRPr="005F6F88">
        <w:rPr>
          <w:rFonts w:ascii="Verdana" w:hAnsi="Verdana"/>
        </w:rPr>
        <w:t xml:space="preserve"> incluir este tipo de incentivos en la modalidad de mínima cuantía, teniendo en cuenta que no fue incluida en la </w:t>
      </w:r>
      <w:r>
        <w:rPr>
          <w:rFonts w:ascii="Verdana" w:hAnsi="Verdana"/>
        </w:rPr>
        <w:t>reglamentación del Estatuto General de Contratación de la Administración Pública</w:t>
      </w:r>
      <w:r w:rsidRPr="005F6F88">
        <w:rPr>
          <w:rFonts w:ascii="Verdana" w:hAnsi="Verdana"/>
        </w:rPr>
        <w:t xml:space="preserve">.   </w:t>
      </w:r>
    </w:p>
    <w:p w14:paraId="6A453823" w14:textId="77777777" w:rsidR="002D6F4B" w:rsidRPr="00C55BD9" w:rsidRDefault="002D6F4B" w:rsidP="002D6F4B">
      <w:pPr>
        <w:pStyle w:val="Prrafodelista"/>
        <w:rPr>
          <w:rFonts w:ascii="Verdana" w:eastAsia="Calibri" w:hAnsi="Verdana" w:cs="Arial"/>
          <w:bCs/>
          <w:color w:val="000000"/>
          <w:lang w:val="es-ES_tradnl"/>
        </w:rPr>
      </w:pPr>
    </w:p>
    <w:p w14:paraId="7C8784EE" w14:textId="77777777" w:rsidR="002D6F4B" w:rsidRPr="005F6F88" w:rsidRDefault="002D6F4B" w:rsidP="002D6F4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F6F88">
        <w:rPr>
          <w:rFonts w:ascii="Verdana" w:eastAsia="Century Gothic" w:hAnsi="Verdana" w:cs="Century Gothic"/>
          <w:b/>
          <w:bCs/>
        </w:rPr>
        <w:t>Referencias normativas, jurisprudenciales y otras fuentes:</w:t>
      </w:r>
    </w:p>
    <w:p w14:paraId="7603A614" w14:textId="77777777" w:rsidR="002D6F4B" w:rsidRPr="005F6F88" w:rsidRDefault="002D6F4B" w:rsidP="002D6F4B">
      <w:pPr>
        <w:spacing w:after="0" w:line="276" w:lineRule="auto"/>
        <w:ind w:right="709"/>
        <w:jc w:val="both"/>
        <w:textAlignment w:val="baseline"/>
        <w:rPr>
          <w:rFonts w:ascii="Verdana" w:eastAsia="Times New Roman" w:hAnsi="Verdana" w:cs="Arial"/>
          <w:bCs/>
          <w:lang w:val="es-ES_tradnl" w:eastAsia="es-CO"/>
        </w:rPr>
      </w:pPr>
    </w:p>
    <w:p w14:paraId="050744C8" w14:textId="77777777" w:rsidR="002D6F4B" w:rsidRPr="005F6F88" w:rsidRDefault="002D6F4B" w:rsidP="002D6F4B">
      <w:pPr>
        <w:pStyle w:val="Prrafodelista"/>
        <w:numPr>
          <w:ilvl w:val="0"/>
          <w:numId w:val="18"/>
        </w:numPr>
        <w:spacing w:after="0" w:line="276" w:lineRule="auto"/>
        <w:ind w:right="709"/>
        <w:jc w:val="both"/>
        <w:rPr>
          <w:rFonts w:ascii="Verdana" w:hAnsi="Verdana" w:cs="Arial"/>
          <w:color w:val="000000" w:themeColor="text1"/>
          <w:lang w:val="es-ES_tradnl"/>
        </w:rPr>
      </w:pPr>
      <w:r w:rsidRPr="005F6F88">
        <w:rPr>
          <w:rFonts w:ascii="Verdana" w:hAnsi="Verdana" w:cs="Arial"/>
          <w:color w:val="000000" w:themeColor="text1"/>
          <w:lang w:val="es-ES_tradnl"/>
        </w:rPr>
        <w:t xml:space="preserve">Ley 80 de 1993, Artículo 6. Artículo 32 numeral 3. Artículo 41. Disponible en: </w:t>
      </w:r>
      <w:hyperlink r:id="rId12" w:history="1">
        <w:r w:rsidRPr="005F6F88">
          <w:rPr>
            <w:rStyle w:val="Hipervnculo"/>
            <w:rFonts w:ascii="Verdana" w:hAnsi="Verdana" w:cs="Arial"/>
            <w:lang w:val="es-ES_tradnl"/>
          </w:rPr>
          <w:t>https://relatoria.colombiacompra.gov.co/normativa/ley-80-de-1993/</w:t>
        </w:r>
      </w:hyperlink>
    </w:p>
    <w:p w14:paraId="02E65559" w14:textId="77777777" w:rsidR="002D6F4B" w:rsidRPr="005F6F88" w:rsidRDefault="002D6F4B" w:rsidP="002D6F4B">
      <w:pPr>
        <w:spacing w:after="0" w:line="276" w:lineRule="auto"/>
        <w:ind w:left="360" w:right="709"/>
        <w:jc w:val="both"/>
        <w:rPr>
          <w:rFonts w:ascii="Verdana" w:hAnsi="Verdana" w:cs="Arial"/>
          <w:color w:val="000000" w:themeColor="text1"/>
          <w:lang w:val="es-ES_tradnl"/>
        </w:rPr>
      </w:pPr>
    </w:p>
    <w:p w14:paraId="5964DCA5" w14:textId="77777777" w:rsidR="002D6F4B" w:rsidRPr="005F6F88" w:rsidRDefault="002D6F4B" w:rsidP="002D6F4B">
      <w:pPr>
        <w:pStyle w:val="Prrafodelista"/>
        <w:numPr>
          <w:ilvl w:val="0"/>
          <w:numId w:val="18"/>
        </w:numPr>
        <w:spacing w:after="0" w:line="276" w:lineRule="auto"/>
        <w:ind w:right="709"/>
        <w:jc w:val="both"/>
        <w:rPr>
          <w:rStyle w:val="Hipervnculo"/>
          <w:rFonts w:ascii="Verdana" w:hAnsi="Verdana"/>
          <w:color w:val="000000" w:themeColor="text1"/>
        </w:rPr>
      </w:pPr>
      <w:r w:rsidRPr="005F6F88">
        <w:rPr>
          <w:rFonts w:ascii="Verdana" w:hAnsi="Verdana" w:cs="Arial"/>
          <w:color w:val="000000" w:themeColor="text1"/>
          <w:lang w:val="es-ES_tradnl"/>
        </w:rPr>
        <w:t xml:space="preserve">Ley 1150 de 2007, Artículo </w:t>
      </w:r>
      <w:r w:rsidRPr="005F6F88">
        <w:rPr>
          <w:rFonts w:ascii="Verdana" w:eastAsia="Calibri" w:hAnsi="Verdana" w:cs="Arial"/>
          <w:color w:val="000000" w:themeColor="text1"/>
        </w:rPr>
        <w:t>2</w:t>
      </w:r>
      <w:r>
        <w:rPr>
          <w:rFonts w:ascii="Verdana" w:eastAsia="Calibri" w:hAnsi="Verdana" w:cs="Arial"/>
          <w:color w:val="000000" w:themeColor="text1"/>
        </w:rPr>
        <w:t>.</w:t>
      </w:r>
      <w:r w:rsidRPr="005F6F88">
        <w:rPr>
          <w:rFonts w:ascii="Verdana" w:eastAsia="Calibri" w:hAnsi="Verdana" w:cs="Arial"/>
          <w:color w:val="000000" w:themeColor="text1"/>
        </w:rPr>
        <w:t xml:space="preserve"> </w:t>
      </w:r>
      <w:r w:rsidRPr="005F6F88">
        <w:rPr>
          <w:rFonts w:ascii="Verdana" w:hAnsi="Verdana" w:cs="Arial"/>
          <w:color w:val="000000" w:themeColor="text1"/>
          <w:lang w:val="es-ES_tradnl"/>
        </w:rPr>
        <w:t xml:space="preserve">Disponible en: </w:t>
      </w:r>
      <w:hyperlink r:id="rId13" w:history="1">
        <w:r w:rsidRPr="005F6F88">
          <w:rPr>
            <w:rStyle w:val="Hipervnculo"/>
            <w:rFonts w:ascii="Verdana" w:hAnsi="Verdana" w:cs="Arial"/>
            <w:lang w:val="es-ES_tradnl"/>
          </w:rPr>
          <w:t>https://relatoria.colombiacompra.gov.co/normativa/ley-1150-de-2007/</w:t>
        </w:r>
      </w:hyperlink>
    </w:p>
    <w:p w14:paraId="0D719152" w14:textId="77777777" w:rsidR="002D6F4B" w:rsidRPr="005F6F88" w:rsidRDefault="002D6F4B" w:rsidP="002D6F4B">
      <w:pPr>
        <w:pStyle w:val="Prrafodelista"/>
        <w:rPr>
          <w:rStyle w:val="Hipervnculo"/>
          <w:rFonts w:ascii="Verdana" w:hAnsi="Verdana" w:cs="Arial"/>
          <w:color w:val="000000" w:themeColor="text1"/>
          <w:lang w:val="es-ES_tradnl"/>
        </w:rPr>
      </w:pPr>
    </w:p>
    <w:p w14:paraId="58E0A611" w14:textId="77777777" w:rsidR="002D6F4B" w:rsidRPr="005F6F88" w:rsidRDefault="002D6F4B" w:rsidP="002D6F4B">
      <w:pPr>
        <w:pStyle w:val="Prrafodelista"/>
        <w:numPr>
          <w:ilvl w:val="0"/>
          <w:numId w:val="18"/>
        </w:numPr>
        <w:spacing w:after="0" w:line="276" w:lineRule="auto"/>
        <w:ind w:right="709"/>
        <w:jc w:val="both"/>
        <w:rPr>
          <w:rFonts w:ascii="Verdana" w:hAnsi="Verdana"/>
        </w:rPr>
      </w:pPr>
      <w:r w:rsidRPr="005F6F88">
        <w:rPr>
          <w:rFonts w:ascii="Verdana" w:eastAsia="Calibri" w:hAnsi="Verdana" w:cs="Arial"/>
          <w:color w:val="000000" w:themeColor="text1"/>
        </w:rPr>
        <w:t xml:space="preserve">Decreto 1082 de 2015, Artículo </w:t>
      </w:r>
      <w:r w:rsidRPr="005F6F88">
        <w:rPr>
          <w:rFonts w:ascii="Verdana" w:hAnsi="Verdana"/>
        </w:rPr>
        <w:t>2.2.1.2.4.2.15</w:t>
      </w:r>
      <w:r>
        <w:rPr>
          <w:rFonts w:ascii="Verdana" w:hAnsi="Verdana"/>
        </w:rPr>
        <w:t xml:space="preserve">, </w:t>
      </w:r>
      <w:r w:rsidRPr="005F6F88">
        <w:rPr>
          <w:rFonts w:ascii="Verdana" w:eastAsia="Calibri" w:hAnsi="Verdana" w:cs="Arial"/>
          <w:color w:val="000000" w:themeColor="text1"/>
        </w:rPr>
        <w:t xml:space="preserve">Disponible en: </w:t>
      </w:r>
      <w:hyperlink r:id="rId14" w:history="1">
        <w:r w:rsidRPr="005F6F88">
          <w:rPr>
            <w:rStyle w:val="Hipervnculo"/>
            <w:rFonts w:ascii="Verdana" w:eastAsia="Calibri" w:hAnsi="Verdana" w:cs="Arial"/>
          </w:rPr>
          <w:t>https://relatoria.colombiacompra.gov.co/normativa/decreto-1082-de-2015/</w:t>
        </w:r>
      </w:hyperlink>
    </w:p>
    <w:p w14:paraId="3D4FCB9E" w14:textId="77777777" w:rsidR="002D6F4B" w:rsidRPr="005F6F88" w:rsidRDefault="002D6F4B" w:rsidP="002D6F4B">
      <w:pPr>
        <w:pStyle w:val="Prrafodelista"/>
        <w:rPr>
          <w:rStyle w:val="Hipervnculo"/>
          <w:rFonts w:ascii="Verdana" w:hAnsi="Verdana"/>
          <w:color w:val="000000" w:themeColor="text1"/>
        </w:rPr>
      </w:pPr>
    </w:p>
    <w:p w14:paraId="39434663" w14:textId="77777777" w:rsidR="002D6F4B" w:rsidRPr="001C0059" w:rsidRDefault="002D6F4B" w:rsidP="002D6F4B">
      <w:pPr>
        <w:pStyle w:val="Prrafodelista"/>
        <w:numPr>
          <w:ilvl w:val="0"/>
          <w:numId w:val="18"/>
        </w:numPr>
        <w:spacing w:after="0" w:line="276" w:lineRule="auto"/>
        <w:ind w:right="709"/>
        <w:jc w:val="both"/>
        <w:rPr>
          <w:rFonts w:ascii="Verdana" w:hAnsi="Verdana" w:cs="Arial"/>
          <w:color w:val="000000" w:themeColor="text1"/>
          <w:u w:val="single"/>
          <w:lang w:val="es-ES_tradnl"/>
        </w:rPr>
      </w:pPr>
      <w:r w:rsidRPr="001E56A7">
        <w:rPr>
          <w:rFonts w:ascii="Verdana" w:eastAsia="Arial" w:hAnsi="Verdana" w:cs="Arial"/>
        </w:rPr>
        <w:lastRenderedPageBreak/>
        <w:t>Ley 2069 de 2021</w:t>
      </w:r>
      <w:r w:rsidRPr="005F6F88">
        <w:rPr>
          <w:rFonts w:ascii="Verdana" w:hAnsi="Verdana" w:cs="Arial"/>
          <w:color w:val="000000" w:themeColor="text1"/>
          <w:lang w:val="es-ES_tradnl"/>
        </w:rPr>
        <w:t xml:space="preserve">, Artículo </w:t>
      </w:r>
      <w:r>
        <w:rPr>
          <w:rFonts w:ascii="Verdana" w:hAnsi="Verdana" w:cs="Arial"/>
          <w:color w:val="000000" w:themeColor="text1"/>
          <w:lang w:val="es-ES_tradnl"/>
        </w:rPr>
        <w:t>32</w:t>
      </w:r>
      <w:r w:rsidRPr="005F6F88">
        <w:rPr>
          <w:rFonts w:ascii="Verdana" w:hAnsi="Verdana" w:cs="Arial"/>
          <w:color w:val="000000" w:themeColor="text1"/>
          <w:lang w:val="es-ES_tradnl"/>
        </w:rPr>
        <w:t xml:space="preserve">. Disponible en: </w:t>
      </w:r>
      <w:hyperlink r:id="rId15" w:history="1">
        <w:r w:rsidRPr="00056BC6">
          <w:rPr>
            <w:rStyle w:val="Hipervnculo"/>
            <w:rFonts w:ascii="Verdana" w:hAnsi="Verdana" w:cs="Arial"/>
            <w:lang w:val="es-ES_tradnl"/>
          </w:rPr>
          <w:t>https://relatoria.colombiacompra.gov.co/normativa/decreto-1860-de-2021/</w:t>
        </w:r>
      </w:hyperlink>
    </w:p>
    <w:p w14:paraId="64F02392" w14:textId="77777777" w:rsidR="002D6F4B" w:rsidRDefault="002D6F4B" w:rsidP="002D6F4B">
      <w:pPr>
        <w:pStyle w:val="Prrafodelista"/>
        <w:rPr>
          <w:rFonts w:ascii="Verdana" w:hAnsi="Verdana" w:cs="Arial"/>
          <w:color w:val="000000" w:themeColor="text1"/>
          <w:lang w:val="es-ES_tradnl"/>
        </w:rPr>
      </w:pPr>
    </w:p>
    <w:p w14:paraId="6B918F8C" w14:textId="77777777" w:rsidR="002D6F4B" w:rsidRDefault="002D6F4B" w:rsidP="002D6F4B">
      <w:pPr>
        <w:pStyle w:val="Prrafodelista"/>
        <w:rPr>
          <w:rFonts w:ascii="Verdana" w:hAnsi="Verdana" w:cs="Arial"/>
          <w:color w:val="000000" w:themeColor="text1"/>
          <w:lang w:val="es-ES_tradnl"/>
        </w:rPr>
      </w:pPr>
    </w:p>
    <w:p w14:paraId="4A3CE332" w14:textId="77777777" w:rsidR="002D6F4B" w:rsidRDefault="002D6F4B" w:rsidP="002D6F4B">
      <w:pPr>
        <w:pStyle w:val="Prrafodelista"/>
        <w:rPr>
          <w:rFonts w:ascii="Verdana" w:hAnsi="Verdana" w:cs="Arial"/>
          <w:color w:val="000000" w:themeColor="text1"/>
          <w:lang w:val="es-ES_tradnl"/>
        </w:rPr>
      </w:pPr>
    </w:p>
    <w:p w14:paraId="1CE4E064" w14:textId="77777777" w:rsidR="002D6F4B" w:rsidRPr="005F6F88" w:rsidRDefault="002D6F4B" w:rsidP="002D6F4B">
      <w:pPr>
        <w:pStyle w:val="Prrafodelista"/>
        <w:rPr>
          <w:rFonts w:ascii="Verdana" w:hAnsi="Verdana" w:cs="Arial"/>
          <w:color w:val="000000" w:themeColor="text1"/>
          <w:lang w:val="es-ES_tradnl"/>
        </w:rPr>
      </w:pPr>
    </w:p>
    <w:p w14:paraId="13810D09" w14:textId="77777777" w:rsidR="002D6F4B" w:rsidRPr="005F6F88" w:rsidRDefault="002D6F4B" w:rsidP="002D6F4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F6F88">
        <w:rPr>
          <w:rFonts w:ascii="Verdana" w:eastAsia="Century Gothic" w:hAnsi="Verdana" w:cs="Century Gothic"/>
          <w:b/>
          <w:bCs/>
        </w:rPr>
        <w:t>Doctrina de la Agencia Nacional de Contratación Pública:</w:t>
      </w:r>
    </w:p>
    <w:p w14:paraId="58DDC84B" w14:textId="77777777" w:rsidR="002D6F4B" w:rsidRPr="005F6F88" w:rsidRDefault="002D6F4B" w:rsidP="002D6F4B">
      <w:pPr>
        <w:widowControl w:val="0"/>
        <w:autoSpaceDE w:val="0"/>
        <w:autoSpaceDN w:val="0"/>
        <w:spacing w:after="0" w:line="276" w:lineRule="auto"/>
        <w:jc w:val="both"/>
        <w:rPr>
          <w:rFonts w:ascii="Verdana" w:eastAsia="Calibri" w:hAnsi="Verdana" w:cs="Arial"/>
          <w:lang w:val="es-ES" w:eastAsia="es-ES"/>
        </w:rPr>
      </w:pPr>
    </w:p>
    <w:p w14:paraId="4F59BDA9" w14:textId="77777777" w:rsidR="002D6F4B" w:rsidRPr="005F6F88" w:rsidRDefault="002D6F4B" w:rsidP="002D6F4B">
      <w:pPr>
        <w:spacing w:after="120" w:line="276" w:lineRule="auto"/>
        <w:jc w:val="both"/>
        <w:rPr>
          <w:rFonts w:ascii="Verdana" w:hAnsi="Verdana"/>
        </w:rPr>
      </w:pPr>
      <w:r w:rsidRPr="005F6F88">
        <w:rPr>
          <w:rFonts w:ascii="Verdana" w:hAnsi="Verdana"/>
        </w:rPr>
        <w:t>La Agencia Nacional de Contratación Pública – Colombia Compra Eficiente se ha pronunciado términos generales, sobre el contenido de la Ley de Emprendimiento en diferentes conceptos, refiriéndose, especialmente a los criterios diferenciales para emprendimientos y empresas de mujeres, en los conceptos,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C-048 del 12 de abril del 2023, C- 029 del 11 de mayo del 2023, C-070 del 24 de abril del 2023, C-282 del 17 de julio del 2023, C-309 del 28 de julio del 2023, C-001 del 25 de enero del 2024 y C-030 del 09 de abril de 2024.</w:t>
      </w:r>
    </w:p>
    <w:p w14:paraId="40CDE31F" w14:textId="77777777" w:rsidR="002D6F4B" w:rsidRPr="005F6F88" w:rsidRDefault="002D6F4B" w:rsidP="002D6F4B">
      <w:pPr>
        <w:spacing w:after="120" w:line="276" w:lineRule="auto"/>
        <w:jc w:val="both"/>
        <w:rPr>
          <w:rStyle w:val="normaltextrun"/>
          <w:rFonts w:ascii="Verdana" w:hAnsi="Verdana" w:cs="Arial"/>
          <w:color w:val="FF0000"/>
          <w:shd w:val="clear" w:color="auto" w:fill="FFFFFF"/>
        </w:rPr>
      </w:pPr>
      <w:r w:rsidRPr="005F6F88">
        <w:rPr>
          <w:rStyle w:val="normaltextrun"/>
          <w:rFonts w:ascii="Verdana" w:hAnsi="Verdana" w:cs="Arial"/>
          <w:shd w:val="clear" w:color="auto" w:fill="FFFFFF"/>
        </w:rPr>
        <w:t>Es</w:t>
      </w:r>
      <w:r w:rsidRPr="005F6F88">
        <w:rPr>
          <w:rFonts w:ascii="Verdana" w:hAnsi="Verdana"/>
        </w:rPr>
        <w:t>tos y otros conceptos se encuentran disponibles para consulta en el Sistema de relatoría de la Agencia, al cual se puede acceder a través del siguiente enlace:</w:t>
      </w:r>
      <w:hyperlink r:id="rId16" w:history="1">
        <w:r w:rsidRPr="005F6F88">
          <w:rPr>
            <w:rStyle w:val="Hipervnculo"/>
            <w:rFonts w:ascii="Verdana" w:hAnsi="Verdana" w:cs="Arial"/>
            <w:shd w:val="clear" w:color="auto" w:fill="FFFFFF"/>
            <w:lang w:val="es-ES"/>
          </w:rPr>
          <w:t>https://relatoria.colombiacompra.gov.co/busqueda/conceptos</w:t>
        </w:r>
      </w:hyperlink>
      <w:r w:rsidRPr="005F6F88">
        <w:rPr>
          <w:rStyle w:val="normaltextrun"/>
          <w:rFonts w:ascii="Verdana" w:hAnsi="Verdana" w:cs="Arial"/>
          <w:color w:val="FF0000"/>
          <w:shd w:val="clear" w:color="auto" w:fill="FFFFFF"/>
        </w:rPr>
        <w:t xml:space="preserve">. </w:t>
      </w:r>
    </w:p>
    <w:p w14:paraId="358EF73A" w14:textId="77777777" w:rsidR="002D6F4B" w:rsidRPr="005F6F88" w:rsidRDefault="002D6F4B" w:rsidP="002D6F4B">
      <w:pPr>
        <w:widowControl w:val="0"/>
        <w:autoSpaceDE w:val="0"/>
        <w:autoSpaceDN w:val="0"/>
        <w:spacing w:after="0" w:line="276" w:lineRule="auto"/>
        <w:jc w:val="both"/>
        <w:rPr>
          <w:rStyle w:val="normaltextrun"/>
          <w:rFonts w:ascii="Verdana" w:hAnsi="Verdana" w:cs="Arial"/>
          <w:color w:val="FF0000"/>
          <w:shd w:val="clear" w:color="auto" w:fill="FFFFFF"/>
        </w:rPr>
      </w:pPr>
    </w:p>
    <w:p w14:paraId="48AF332D" w14:textId="77777777" w:rsidR="002D6F4B" w:rsidRDefault="002D6F4B" w:rsidP="002D6F4B">
      <w:pPr>
        <w:spacing w:after="120" w:line="276" w:lineRule="auto"/>
        <w:jc w:val="both"/>
        <w:rPr>
          <w:rFonts w:ascii="Verdana" w:eastAsia="Calibri" w:hAnsi="Verdana" w:cs="Arial"/>
          <w:bCs/>
          <w:szCs w:val="24"/>
          <w:lang w:eastAsia="es-ES_tradnl"/>
        </w:rPr>
      </w:pPr>
      <w:r w:rsidRPr="005F6F88">
        <w:rPr>
          <w:rFonts w:ascii="Verdana" w:eastAsia="Calibri" w:hAnsi="Verdana" w:cs="Arial"/>
          <w:bCs/>
          <w:szCs w:val="24"/>
          <w:lang w:val="es-ES_tradnl" w:eastAsia="es-ES_tradnl"/>
        </w:rPr>
        <w:t xml:space="preserve">Finalmente es preciso señalar que la Agencia Nacional de Contratación Pública-Colombia Compra Eficiente, </w:t>
      </w:r>
      <w:r w:rsidRPr="005F6F88">
        <w:rPr>
          <w:rFonts w:ascii="Verdana" w:eastAsia="Calibri" w:hAnsi="Verdana" w:cs="Arial"/>
          <w:bCs/>
          <w:szCs w:val="24"/>
          <w:lang w:eastAsia="es-ES_tradnl"/>
        </w:rPr>
        <w:t>como ente rector del Sistema de Compras y Contratación Pública, publicó</w:t>
      </w:r>
      <w:r>
        <w:rPr>
          <w:rFonts w:ascii="Verdana" w:eastAsia="Calibri" w:hAnsi="Verdana" w:cs="Arial"/>
          <w:bCs/>
          <w:szCs w:val="24"/>
          <w:lang w:eastAsia="es-ES_tradnl"/>
        </w:rPr>
        <w:t xml:space="preserve"> el </w:t>
      </w:r>
      <w:r w:rsidRPr="00750F79">
        <w:rPr>
          <w:rFonts w:ascii="Verdana" w:eastAsia="Calibri" w:hAnsi="Verdana" w:cs="Arial"/>
          <w:bCs/>
          <w:szCs w:val="24"/>
          <w:lang w:eastAsia="es-ES_tradnl"/>
        </w:rPr>
        <w:t>MANUAL PARA DETERMINAR Y VERIFICAR LOS REQUISITOS HABILITANTES EN LOS PROCESOS DE CONTRATACIÓN</w:t>
      </w:r>
      <w:r>
        <w:rPr>
          <w:rFonts w:ascii="Verdana" w:eastAsia="Calibri" w:hAnsi="Verdana" w:cs="Arial"/>
          <w:bCs/>
          <w:szCs w:val="24"/>
          <w:lang w:eastAsia="es-ES_tradnl"/>
        </w:rPr>
        <w:t>, e</w:t>
      </w:r>
      <w:r w:rsidRPr="00750F79">
        <w:rPr>
          <w:rFonts w:ascii="Verdana" w:eastAsia="Calibri" w:hAnsi="Verdana" w:cs="Arial"/>
          <w:bCs/>
          <w:szCs w:val="24"/>
          <w:lang w:eastAsia="es-ES_tradnl"/>
        </w:rPr>
        <w:t>sto con el propósito de otorgar una herramienta útil a los partícipes del Sistema</w:t>
      </w:r>
      <w:r>
        <w:rPr>
          <w:rFonts w:ascii="Verdana" w:eastAsia="Calibri" w:hAnsi="Verdana" w:cs="Arial"/>
          <w:bCs/>
          <w:szCs w:val="24"/>
          <w:lang w:eastAsia="es-ES_tradnl"/>
        </w:rPr>
        <w:t xml:space="preserve"> </w:t>
      </w:r>
      <w:r w:rsidRPr="00750F79">
        <w:rPr>
          <w:rFonts w:ascii="Verdana" w:eastAsia="Calibri" w:hAnsi="Verdana" w:cs="Arial"/>
          <w:bCs/>
          <w:szCs w:val="24"/>
          <w:lang w:eastAsia="es-ES_tradnl"/>
        </w:rPr>
        <w:t>de Compras Públicas, que les permita, durante las etapas de planeación y</w:t>
      </w:r>
      <w:r>
        <w:rPr>
          <w:rFonts w:ascii="Verdana" w:eastAsia="Calibri" w:hAnsi="Verdana" w:cs="Arial"/>
          <w:bCs/>
          <w:szCs w:val="24"/>
          <w:lang w:eastAsia="es-ES_tradnl"/>
        </w:rPr>
        <w:t xml:space="preserve"> </w:t>
      </w:r>
      <w:r w:rsidRPr="00750F79">
        <w:rPr>
          <w:rFonts w:ascii="Verdana" w:eastAsia="Calibri" w:hAnsi="Verdana" w:cs="Arial"/>
          <w:bCs/>
          <w:szCs w:val="24"/>
          <w:lang w:eastAsia="es-ES_tradnl"/>
        </w:rPr>
        <w:t>selección, realizar un análisis integral a fin de determinar los requisitos habilitantes</w:t>
      </w:r>
      <w:r>
        <w:rPr>
          <w:rFonts w:ascii="Verdana" w:eastAsia="Calibri" w:hAnsi="Verdana" w:cs="Arial"/>
          <w:bCs/>
          <w:szCs w:val="24"/>
          <w:lang w:eastAsia="es-ES_tradnl"/>
        </w:rPr>
        <w:t xml:space="preserve"> </w:t>
      </w:r>
      <w:r w:rsidRPr="00750F79">
        <w:rPr>
          <w:rFonts w:ascii="Verdana" w:eastAsia="Calibri" w:hAnsi="Verdana" w:cs="Arial"/>
          <w:bCs/>
          <w:szCs w:val="24"/>
          <w:lang w:eastAsia="es-ES_tradnl"/>
        </w:rPr>
        <w:t>necesarios para la adquisición de los bienes y/o servicios requeridos por la</w:t>
      </w:r>
      <w:r>
        <w:rPr>
          <w:rFonts w:ascii="Verdana" w:eastAsia="Calibri" w:hAnsi="Verdana" w:cs="Arial"/>
          <w:bCs/>
          <w:szCs w:val="24"/>
          <w:lang w:eastAsia="es-ES_tradnl"/>
        </w:rPr>
        <w:t xml:space="preserve"> </w:t>
      </w:r>
      <w:r w:rsidRPr="00750F79">
        <w:rPr>
          <w:rFonts w:ascii="Verdana" w:eastAsia="Calibri" w:hAnsi="Verdana" w:cs="Arial"/>
          <w:bCs/>
          <w:szCs w:val="24"/>
          <w:lang w:eastAsia="es-ES_tradnl"/>
        </w:rPr>
        <w:t>Entidad, así como verificar de forma adecuada su cumplimiento por parte de</w:t>
      </w:r>
      <w:r>
        <w:rPr>
          <w:rFonts w:ascii="Verdana" w:eastAsia="Calibri" w:hAnsi="Verdana" w:cs="Arial"/>
          <w:bCs/>
          <w:szCs w:val="24"/>
          <w:lang w:eastAsia="es-ES_tradnl"/>
        </w:rPr>
        <w:t xml:space="preserve"> </w:t>
      </w:r>
      <w:r w:rsidRPr="00750F79">
        <w:rPr>
          <w:rFonts w:ascii="Verdana" w:eastAsia="Calibri" w:hAnsi="Verdana" w:cs="Arial"/>
          <w:bCs/>
          <w:szCs w:val="24"/>
          <w:lang w:eastAsia="es-ES_tradnl"/>
        </w:rPr>
        <w:t>los proponentes</w:t>
      </w:r>
      <w:r>
        <w:rPr>
          <w:rFonts w:ascii="Verdana" w:eastAsia="Calibri" w:hAnsi="Verdana" w:cs="Arial"/>
          <w:bCs/>
          <w:szCs w:val="24"/>
          <w:lang w:eastAsia="es-ES_tradnl"/>
        </w:rPr>
        <w:t>, el</w:t>
      </w:r>
      <w:r w:rsidRPr="005F6F88">
        <w:rPr>
          <w:rFonts w:ascii="Verdana" w:eastAsia="Calibri" w:hAnsi="Verdana" w:cs="Arial"/>
          <w:bCs/>
          <w:szCs w:val="24"/>
          <w:lang w:eastAsia="es-ES_tradnl"/>
        </w:rPr>
        <w:t xml:space="preserve"> cual puede ser consultada en el siguiente enlace: </w:t>
      </w:r>
      <w:hyperlink r:id="rId17" w:history="1">
        <w:r w:rsidRPr="00056BC6">
          <w:rPr>
            <w:rStyle w:val="Hipervnculo"/>
            <w:rFonts w:ascii="Verdana" w:eastAsia="Calibri" w:hAnsi="Verdana" w:cs="Arial"/>
            <w:bCs/>
            <w:szCs w:val="24"/>
            <w:lang w:eastAsia="es-ES_tradnl"/>
          </w:rPr>
          <w:t>https://www.colombiacompra.gov.co/sites/cce_public/files/cce_documents/cce-eicp-ma-04._manual_requisitos_habilitantes_v3_29-09-2023.pdf</w:t>
        </w:r>
      </w:hyperlink>
    </w:p>
    <w:p w14:paraId="044B2DA7" w14:textId="77777777" w:rsidR="002D6F4B" w:rsidRDefault="002D6F4B" w:rsidP="002D6F4B">
      <w:pPr>
        <w:widowControl w:val="0"/>
        <w:autoSpaceDE w:val="0"/>
        <w:autoSpaceDN w:val="0"/>
        <w:spacing w:after="0" w:line="276" w:lineRule="auto"/>
        <w:jc w:val="both"/>
        <w:rPr>
          <w:rFonts w:ascii="Verdana" w:hAnsi="Verdana" w:cs="Arial"/>
          <w:shd w:val="clear" w:color="auto" w:fill="FFFFFF"/>
          <w:lang w:val="es-ES"/>
        </w:rPr>
      </w:pPr>
    </w:p>
    <w:p w14:paraId="53230D26" w14:textId="77777777" w:rsidR="002D6F4B" w:rsidRPr="005F6F88" w:rsidRDefault="002D6F4B" w:rsidP="002D6F4B">
      <w:pPr>
        <w:widowControl w:val="0"/>
        <w:autoSpaceDE w:val="0"/>
        <w:autoSpaceDN w:val="0"/>
        <w:spacing w:after="0" w:line="276" w:lineRule="auto"/>
        <w:jc w:val="both"/>
        <w:rPr>
          <w:rFonts w:ascii="Verdana" w:hAnsi="Verdana"/>
          <w:lang w:val="es-ES"/>
        </w:rPr>
      </w:pPr>
      <w:r w:rsidRPr="005F6F88">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18" w:history="1">
        <w:hyperlink r:id="rId19" w:history="1">
          <w:r w:rsidRPr="005F6F88">
            <w:rPr>
              <w:rStyle w:val="Hipervnculo"/>
              <w:rFonts w:ascii="Verdana" w:hAnsi="Verdana" w:cs="Arial"/>
              <w:color w:val="0563C1" w:themeColor="hyperlink"/>
              <w:shd w:val="clear" w:color="auto" w:fill="FFFFFF"/>
              <w:lang w:val="es-ES"/>
            </w:rPr>
            <w:t>https://www.colombiacompra.gov.co/sala-de-prensa/boletin-digital</w:t>
          </w:r>
        </w:hyperlink>
      </w:hyperlink>
      <w:r w:rsidRPr="005F6F88">
        <w:rPr>
          <w:rFonts w:ascii="Verdana" w:hAnsi="Verdana" w:cs="Arial"/>
          <w:shd w:val="clear" w:color="auto" w:fill="FFFFFF"/>
          <w:lang w:val="es-ES"/>
        </w:rPr>
        <w:t>.</w:t>
      </w:r>
    </w:p>
    <w:p w14:paraId="02BC4E77" w14:textId="77777777" w:rsidR="002D6F4B" w:rsidRPr="005F6F88" w:rsidRDefault="002D6F4B" w:rsidP="002D6F4B">
      <w:pPr>
        <w:widowControl w:val="0"/>
        <w:autoSpaceDE w:val="0"/>
        <w:autoSpaceDN w:val="0"/>
        <w:spacing w:after="0" w:line="276" w:lineRule="auto"/>
        <w:jc w:val="both"/>
        <w:rPr>
          <w:rFonts w:ascii="Verdana" w:hAnsi="Verdana" w:cs="Arial"/>
          <w:shd w:val="clear" w:color="auto" w:fill="FFFFFF"/>
          <w:lang w:val="es-ES"/>
        </w:rPr>
      </w:pPr>
    </w:p>
    <w:p w14:paraId="0D1ACEAD" w14:textId="77777777" w:rsidR="002D6F4B" w:rsidRPr="005F6F88" w:rsidRDefault="002D6F4B" w:rsidP="002D6F4B">
      <w:pPr>
        <w:spacing w:after="0" w:line="240" w:lineRule="auto"/>
        <w:jc w:val="both"/>
        <w:rPr>
          <w:rFonts w:ascii="Verdana" w:hAnsi="Verdana"/>
        </w:rPr>
      </w:pPr>
      <w:r w:rsidRPr="005F6F88">
        <w:rPr>
          <w:rFonts w:ascii="Verdana" w:hAnsi="Verdana"/>
        </w:rPr>
        <w:t xml:space="preserve">Por último, lo invitamos a seguirnos en las redes sociales en las cuales se difunde información institucional: </w:t>
      </w:r>
    </w:p>
    <w:p w14:paraId="5877731A" w14:textId="77777777" w:rsidR="002D6F4B" w:rsidRPr="005F6F88" w:rsidRDefault="002D6F4B" w:rsidP="002D6F4B">
      <w:pPr>
        <w:spacing w:after="0" w:line="240" w:lineRule="auto"/>
        <w:jc w:val="both"/>
        <w:rPr>
          <w:rFonts w:ascii="Verdana" w:hAnsi="Verdana"/>
        </w:rPr>
      </w:pPr>
    </w:p>
    <w:p w14:paraId="79879C60" w14:textId="77777777" w:rsidR="002D6F4B" w:rsidRPr="005F6F88" w:rsidRDefault="002D6F4B" w:rsidP="002D6F4B">
      <w:pPr>
        <w:spacing w:after="0" w:line="240" w:lineRule="auto"/>
        <w:jc w:val="both"/>
        <w:rPr>
          <w:rFonts w:ascii="Verdana" w:hAnsi="Verdana"/>
        </w:rPr>
      </w:pPr>
      <w:r w:rsidRPr="005F6F88">
        <w:rPr>
          <w:rFonts w:ascii="Verdana" w:hAnsi="Verdana"/>
        </w:rPr>
        <w:t xml:space="preserve">Twitter: </w:t>
      </w:r>
      <w:r w:rsidRPr="005F6F88">
        <w:rPr>
          <w:rFonts w:ascii="Verdana" w:hAnsi="Verdana"/>
          <w:color w:val="4472C4" w:themeColor="accent1"/>
          <w:u w:val="single"/>
        </w:rPr>
        <w:t>@colombiacompra</w:t>
      </w:r>
      <w:r w:rsidRPr="005F6F88">
        <w:rPr>
          <w:rFonts w:ascii="Verdana" w:hAnsi="Verdana"/>
          <w:color w:val="4472C4" w:themeColor="accent1"/>
        </w:rPr>
        <w:t xml:space="preserve"> </w:t>
      </w:r>
    </w:p>
    <w:p w14:paraId="62870E07" w14:textId="77777777" w:rsidR="002D6F4B" w:rsidRPr="005F6F88" w:rsidRDefault="002D6F4B" w:rsidP="002D6F4B">
      <w:pPr>
        <w:spacing w:after="0" w:line="240" w:lineRule="auto"/>
        <w:jc w:val="both"/>
        <w:rPr>
          <w:rFonts w:ascii="Verdana" w:hAnsi="Verdana"/>
        </w:rPr>
      </w:pPr>
      <w:r w:rsidRPr="005F6F88">
        <w:rPr>
          <w:rFonts w:ascii="Verdana" w:hAnsi="Verdana"/>
        </w:rPr>
        <w:t xml:space="preserve">Facebook: </w:t>
      </w:r>
      <w:r w:rsidRPr="005F6F88">
        <w:rPr>
          <w:rFonts w:ascii="Verdana" w:hAnsi="Verdana"/>
          <w:color w:val="4472C4" w:themeColor="accent1"/>
          <w:u w:val="single"/>
        </w:rPr>
        <w:t>ColombiaCompraEficiente</w:t>
      </w:r>
    </w:p>
    <w:p w14:paraId="723205D2" w14:textId="77777777" w:rsidR="002D6F4B" w:rsidRPr="005F6F88" w:rsidRDefault="002D6F4B" w:rsidP="002D6F4B">
      <w:pPr>
        <w:spacing w:after="0" w:line="240" w:lineRule="auto"/>
        <w:jc w:val="both"/>
        <w:rPr>
          <w:rFonts w:ascii="Verdana" w:hAnsi="Verdana"/>
        </w:rPr>
      </w:pPr>
      <w:r w:rsidRPr="005F6F88">
        <w:rPr>
          <w:rFonts w:ascii="Verdana" w:hAnsi="Verdana"/>
        </w:rPr>
        <w:t xml:space="preserve">LinkedIn: </w:t>
      </w:r>
      <w:r w:rsidRPr="005F6F88">
        <w:rPr>
          <w:rFonts w:ascii="Verdana" w:hAnsi="Verdana"/>
          <w:color w:val="4472C4" w:themeColor="accent1"/>
          <w:u w:val="single"/>
        </w:rPr>
        <w:t>Agencia Nacional de Contratación Pública - Colombia Compra Eficiente</w:t>
      </w:r>
      <w:r w:rsidRPr="005F6F88">
        <w:rPr>
          <w:rFonts w:ascii="Verdana" w:hAnsi="Verdana"/>
          <w:color w:val="4472C4" w:themeColor="accent1"/>
        </w:rPr>
        <w:t xml:space="preserve"> </w:t>
      </w:r>
      <w:r w:rsidRPr="005F6F88">
        <w:rPr>
          <w:rFonts w:ascii="Verdana" w:hAnsi="Verdana"/>
        </w:rPr>
        <w:t xml:space="preserve">Instagram: </w:t>
      </w:r>
      <w:r w:rsidRPr="005F6F88">
        <w:rPr>
          <w:rFonts w:ascii="Verdana" w:hAnsi="Verdana"/>
          <w:color w:val="4472C4" w:themeColor="accent1"/>
          <w:u w:val="single"/>
        </w:rPr>
        <w:t>@colombiacompraeficiente_cce</w:t>
      </w:r>
    </w:p>
    <w:p w14:paraId="04163CFB" w14:textId="77777777" w:rsidR="002D6F4B" w:rsidRPr="005F6F88" w:rsidRDefault="002D6F4B" w:rsidP="002D6F4B">
      <w:pPr>
        <w:widowControl w:val="0"/>
        <w:autoSpaceDE w:val="0"/>
        <w:autoSpaceDN w:val="0"/>
        <w:spacing w:after="0" w:line="276" w:lineRule="auto"/>
        <w:jc w:val="both"/>
        <w:rPr>
          <w:rFonts w:ascii="Verdana" w:hAnsi="Verdana" w:cs="Arial"/>
        </w:rPr>
      </w:pPr>
    </w:p>
    <w:p w14:paraId="642E2E0A" w14:textId="77777777" w:rsidR="002D6F4B" w:rsidRPr="005F6F88" w:rsidRDefault="002D6F4B" w:rsidP="002D6F4B">
      <w:pPr>
        <w:spacing w:before="120" w:after="0" w:line="276" w:lineRule="auto"/>
        <w:jc w:val="both"/>
        <w:textAlignment w:val="baseline"/>
        <w:rPr>
          <w:rFonts w:ascii="Verdana" w:eastAsia="Times New Roman" w:hAnsi="Verdana"/>
          <w:bCs/>
          <w:lang w:val="es-ES_tradnl" w:eastAsia="es-CO"/>
        </w:rPr>
      </w:pPr>
      <w:r w:rsidRPr="005F6F88">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AA93310" w14:textId="77777777" w:rsidR="002D6F4B" w:rsidRPr="005F6F88" w:rsidRDefault="002D6F4B" w:rsidP="002D6F4B">
      <w:pPr>
        <w:spacing w:after="0" w:line="240" w:lineRule="auto"/>
        <w:rPr>
          <w:rFonts w:ascii="Verdana" w:eastAsia="Calibri" w:hAnsi="Verdana"/>
        </w:rPr>
      </w:pPr>
    </w:p>
    <w:p w14:paraId="2818C933" w14:textId="77777777" w:rsidR="002D6F4B" w:rsidRPr="005F6F88" w:rsidRDefault="002D6F4B" w:rsidP="002D6F4B">
      <w:pPr>
        <w:spacing w:after="0" w:line="240" w:lineRule="auto"/>
        <w:rPr>
          <w:rFonts w:ascii="Verdana" w:eastAsia="Times New Roman" w:hAnsi="Verdana" w:cs="Arial"/>
          <w:lang w:eastAsia="es-CO"/>
        </w:rPr>
      </w:pPr>
      <w:r w:rsidRPr="005F6F88">
        <w:rPr>
          <w:rFonts w:ascii="Verdana" w:eastAsia="Times New Roman" w:hAnsi="Verdana" w:cs="Arial"/>
          <w:lang w:eastAsia="es-CO"/>
        </w:rPr>
        <w:t>Atentamente,</w:t>
      </w:r>
    </w:p>
    <w:p w14:paraId="59EB81F1" w14:textId="77777777" w:rsidR="002D6F4B" w:rsidRPr="005F6F88" w:rsidRDefault="002D6F4B" w:rsidP="002D6F4B">
      <w:pPr>
        <w:spacing w:after="0" w:line="276" w:lineRule="auto"/>
        <w:jc w:val="center"/>
        <w:rPr>
          <w:rFonts w:ascii="Verdana" w:eastAsia="Times New Roman" w:hAnsi="Verdana" w:cs="Arial"/>
          <w:color w:val="000000"/>
          <w:lang w:val="es-ES_tradnl" w:eastAsia="es-CO"/>
        </w:rPr>
      </w:pPr>
    </w:p>
    <w:p w14:paraId="3AE4E147" w14:textId="77777777" w:rsidR="002D6F4B" w:rsidRPr="005F6F88" w:rsidRDefault="002D6F4B" w:rsidP="002D6F4B">
      <w:pPr>
        <w:spacing w:after="0" w:line="276" w:lineRule="auto"/>
        <w:jc w:val="center"/>
        <w:rPr>
          <w:rFonts w:ascii="Verdana" w:eastAsia="Times New Roman" w:hAnsi="Verdana" w:cs="Arial"/>
          <w:color w:val="000000"/>
          <w:lang w:val="es-ES_tradnl" w:eastAsia="es-CO"/>
        </w:rPr>
      </w:pPr>
    </w:p>
    <w:p w14:paraId="79A33BC1" w14:textId="6CCCAB9A" w:rsidR="002D6F4B" w:rsidRPr="005F6F88" w:rsidRDefault="00647451" w:rsidP="002D6F4B">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02E0328D" wp14:editId="6E000B9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p w14:paraId="06384896" w14:textId="77777777" w:rsidR="002D6F4B" w:rsidRPr="005F6F88" w:rsidRDefault="002D6F4B" w:rsidP="002D6F4B">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D6F4B" w:rsidRPr="005F6F88" w14:paraId="15EE70C9" w14:textId="77777777" w:rsidTr="00C40697">
        <w:trPr>
          <w:trHeight w:val="409"/>
        </w:trPr>
        <w:tc>
          <w:tcPr>
            <w:tcW w:w="817" w:type="dxa"/>
            <w:tcBorders>
              <w:top w:val="nil"/>
              <w:left w:val="nil"/>
              <w:bottom w:val="nil"/>
              <w:right w:val="nil"/>
            </w:tcBorders>
            <w:vAlign w:val="center"/>
            <w:hideMark/>
          </w:tcPr>
          <w:p w14:paraId="38456481" w14:textId="77777777" w:rsidR="002D6F4B" w:rsidRPr="005F6F88" w:rsidRDefault="002D6F4B" w:rsidP="00C40697">
            <w:pPr>
              <w:spacing w:after="0" w:line="240" w:lineRule="auto"/>
              <w:jc w:val="both"/>
              <w:rPr>
                <w:rFonts w:ascii="Verdana" w:hAnsi="Verdana" w:cs="Arial"/>
                <w:sz w:val="16"/>
                <w:szCs w:val="16"/>
              </w:rPr>
            </w:pPr>
            <w:r w:rsidRPr="005F6F88">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92D83AD" w14:textId="77777777" w:rsidR="002D6F4B" w:rsidRPr="005F6F88" w:rsidRDefault="002D6F4B" w:rsidP="00C40697">
            <w:pPr>
              <w:spacing w:after="0" w:line="240" w:lineRule="auto"/>
              <w:jc w:val="both"/>
              <w:rPr>
                <w:rFonts w:ascii="Verdana" w:hAnsi="Verdana" w:cs="Arial"/>
                <w:sz w:val="16"/>
                <w:szCs w:val="16"/>
              </w:rPr>
            </w:pPr>
            <w:r w:rsidRPr="005F6F88">
              <w:rPr>
                <w:rFonts w:ascii="Verdana" w:hAnsi="Verdana" w:cs="Arial"/>
                <w:sz w:val="16"/>
                <w:szCs w:val="16"/>
              </w:rPr>
              <w:t>Gustavo Hinestroza Martínez</w:t>
            </w:r>
          </w:p>
          <w:p w14:paraId="42216362" w14:textId="77777777" w:rsidR="002D6F4B" w:rsidRPr="005F6F88" w:rsidRDefault="002D6F4B" w:rsidP="00C40697">
            <w:pPr>
              <w:spacing w:after="0" w:line="240" w:lineRule="auto"/>
              <w:jc w:val="both"/>
              <w:rPr>
                <w:rFonts w:ascii="Verdana" w:hAnsi="Verdana" w:cs="Arial"/>
                <w:sz w:val="16"/>
                <w:szCs w:val="16"/>
              </w:rPr>
            </w:pPr>
            <w:r w:rsidRPr="005F6F88">
              <w:rPr>
                <w:rFonts w:ascii="Verdana" w:hAnsi="Verdana" w:cs="Arial"/>
                <w:sz w:val="16"/>
                <w:szCs w:val="16"/>
              </w:rPr>
              <w:t>Contratista de la Subdirección de Gestión Contractual</w:t>
            </w:r>
          </w:p>
        </w:tc>
      </w:tr>
      <w:tr w:rsidR="002D6F4B" w:rsidRPr="005F6F88" w14:paraId="7308CDD4" w14:textId="77777777" w:rsidTr="00C40697">
        <w:trPr>
          <w:trHeight w:val="409"/>
        </w:trPr>
        <w:tc>
          <w:tcPr>
            <w:tcW w:w="817" w:type="dxa"/>
            <w:tcBorders>
              <w:top w:val="nil"/>
              <w:left w:val="nil"/>
              <w:bottom w:val="nil"/>
              <w:right w:val="nil"/>
            </w:tcBorders>
            <w:vAlign w:val="center"/>
            <w:hideMark/>
          </w:tcPr>
          <w:p w14:paraId="77697BC0" w14:textId="77777777" w:rsidR="002D6F4B" w:rsidRPr="005F6F88" w:rsidRDefault="002D6F4B" w:rsidP="00C40697">
            <w:pPr>
              <w:spacing w:after="0"/>
              <w:jc w:val="both"/>
              <w:rPr>
                <w:rFonts w:ascii="Verdana" w:hAnsi="Verdana" w:cs="Arial"/>
                <w:sz w:val="16"/>
                <w:szCs w:val="16"/>
              </w:rPr>
            </w:pPr>
            <w:r w:rsidRPr="005F6F88">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4BD5F73" w14:textId="77777777" w:rsidR="002D6F4B" w:rsidRPr="005F6F88" w:rsidRDefault="002D6F4B" w:rsidP="00C40697">
            <w:pPr>
              <w:spacing w:after="0" w:line="276" w:lineRule="auto"/>
              <w:textAlignment w:val="baseline"/>
              <w:rPr>
                <w:rFonts w:ascii="Verdana" w:hAnsi="Verdana" w:cs="Arial"/>
                <w:sz w:val="16"/>
                <w:szCs w:val="16"/>
              </w:rPr>
            </w:pPr>
            <w:r w:rsidRPr="005F6F88">
              <w:rPr>
                <w:rFonts w:ascii="Verdana" w:hAnsi="Verdana" w:cs="Arial"/>
                <w:sz w:val="16"/>
                <w:szCs w:val="16"/>
              </w:rPr>
              <w:t xml:space="preserve">Cielo Victoria González Meza </w:t>
            </w:r>
          </w:p>
          <w:p w14:paraId="10038B6F" w14:textId="77777777" w:rsidR="002D6F4B" w:rsidRPr="005F6F88" w:rsidRDefault="002D6F4B" w:rsidP="00C40697">
            <w:pPr>
              <w:spacing w:after="0" w:line="240" w:lineRule="auto"/>
              <w:jc w:val="both"/>
              <w:rPr>
                <w:rFonts w:ascii="Verdana" w:hAnsi="Verdana" w:cs="Arial"/>
                <w:sz w:val="16"/>
                <w:szCs w:val="16"/>
              </w:rPr>
            </w:pPr>
            <w:r w:rsidRPr="005F6F88">
              <w:rPr>
                <w:rFonts w:ascii="Verdana" w:hAnsi="Verdana" w:cs="Arial"/>
                <w:sz w:val="16"/>
                <w:szCs w:val="16"/>
              </w:rPr>
              <w:t>Contratista de la Subdirección de Gestión Contractual</w:t>
            </w:r>
          </w:p>
        </w:tc>
      </w:tr>
      <w:tr w:rsidR="002D6F4B" w:rsidRPr="005F6F88" w14:paraId="5620B1A2" w14:textId="77777777" w:rsidTr="00C40697">
        <w:trPr>
          <w:trHeight w:val="389"/>
        </w:trPr>
        <w:tc>
          <w:tcPr>
            <w:tcW w:w="817" w:type="dxa"/>
            <w:tcBorders>
              <w:top w:val="nil"/>
              <w:left w:val="nil"/>
              <w:bottom w:val="nil"/>
              <w:right w:val="nil"/>
            </w:tcBorders>
            <w:vAlign w:val="center"/>
            <w:hideMark/>
          </w:tcPr>
          <w:p w14:paraId="33CD3A2C" w14:textId="77777777" w:rsidR="002D6F4B" w:rsidRPr="005F6F88" w:rsidRDefault="002D6F4B" w:rsidP="00C40697">
            <w:pPr>
              <w:spacing w:after="0" w:line="240" w:lineRule="auto"/>
              <w:jc w:val="both"/>
              <w:rPr>
                <w:rFonts w:ascii="Verdana" w:hAnsi="Verdana" w:cs="Arial"/>
                <w:sz w:val="16"/>
                <w:szCs w:val="16"/>
              </w:rPr>
            </w:pPr>
            <w:r w:rsidRPr="005F6F88">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3D8313" w14:textId="77777777" w:rsidR="002D6F4B" w:rsidRPr="005F6F88" w:rsidRDefault="002D6F4B" w:rsidP="00C40697">
            <w:pPr>
              <w:spacing w:after="0"/>
              <w:rPr>
                <w:rFonts w:ascii="Verdana" w:eastAsia="Calibri" w:hAnsi="Verdana" w:cs="Arial"/>
                <w:sz w:val="16"/>
                <w:szCs w:val="16"/>
                <w:lang w:val="pt-BR" w:eastAsia="es-ES"/>
              </w:rPr>
            </w:pPr>
            <w:r w:rsidRPr="005F6F88">
              <w:rPr>
                <w:rFonts w:ascii="Verdana" w:eastAsia="Calibri" w:hAnsi="Verdana" w:cs="Arial"/>
                <w:sz w:val="16"/>
                <w:szCs w:val="16"/>
                <w:lang w:val="pt-BR" w:eastAsia="es-ES"/>
              </w:rPr>
              <w:t>Carolina Quintero Gacharná</w:t>
            </w:r>
          </w:p>
          <w:p w14:paraId="49DA489E" w14:textId="77777777" w:rsidR="002D6F4B" w:rsidRPr="005F6F88" w:rsidRDefault="002D6F4B" w:rsidP="00C40697">
            <w:pPr>
              <w:spacing w:after="0" w:line="240" w:lineRule="auto"/>
              <w:jc w:val="both"/>
              <w:rPr>
                <w:rFonts w:ascii="Verdana" w:hAnsi="Verdana" w:cs="Arial"/>
                <w:sz w:val="16"/>
                <w:szCs w:val="16"/>
              </w:rPr>
            </w:pPr>
            <w:r w:rsidRPr="005F6F88">
              <w:rPr>
                <w:rFonts w:ascii="Verdana" w:hAnsi="Verdana" w:cs="Arial"/>
                <w:sz w:val="16"/>
                <w:szCs w:val="16"/>
              </w:rPr>
              <w:t>Subdirectora de Gestión Contractual ANCP – CCE</w:t>
            </w:r>
          </w:p>
        </w:tc>
      </w:tr>
    </w:tbl>
    <w:p w14:paraId="3F4B84B2" w14:textId="77777777" w:rsidR="002D6F4B" w:rsidRPr="005F6F88" w:rsidRDefault="002D6F4B" w:rsidP="002D6F4B">
      <w:pPr>
        <w:spacing w:after="0"/>
        <w:jc w:val="both"/>
        <w:rPr>
          <w:rFonts w:ascii="Verdana" w:hAnsi="Verdana"/>
        </w:rPr>
      </w:pPr>
    </w:p>
    <w:p w14:paraId="4F2E6945" w14:textId="77777777" w:rsidR="002D6F4B" w:rsidRPr="005F6F88" w:rsidRDefault="002D6F4B" w:rsidP="002D6F4B">
      <w:pPr>
        <w:rPr>
          <w:rFonts w:ascii="Verdana" w:hAnsi="Verdana"/>
        </w:rPr>
      </w:pPr>
    </w:p>
    <w:sectPr w:rsidR="002D6F4B" w:rsidRPr="005F6F88"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1277F" w14:textId="77777777" w:rsidR="00E0211E" w:rsidRDefault="00E0211E" w:rsidP="004A1847">
      <w:pPr>
        <w:spacing w:after="0" w:line="240" w:lineRule="auto"/>
      </w:pPr>
      <w:r>
        <w:separator/>
      </w:r>
    </w:p>
  </w:endnote>
  <w:endnote w:type="continuationSeparator" w:id="0">
    <w:p w14:paraId="1FA66D8C" w14:textId="77777777" w:rsidR="00E0211E" w:rsidRDefault="00E0211E" w:rsidP="004A1847">
      <w:pPr>
        <w:spacing w:after="0" w:line="240" w:lineRule="auto"/>
      </w:pPr>
      <w:r>
        <w:continuationSeparator/>
      </w:r>
    </w:p>
  </w:endnote>
  <w:endnote w:type="continuationNotice" w:id="1">
    <w:p w14:paraId="0439DE4B" w14:textId="77777777" w:rsidR="00E0211E" w:rsidRDefault="00E021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9B386" w14:textId="77777777" w:rsidR="00E0211E" w:rsidRDefault="00E0211E" w:rsidP="004A1847">
      <w:pPr>
        <w:spacing w:after="0" w:line="240" w:lineRule="auto"/>
      </w:pPr>
      <w:r>
        <w:separator/>
      </w:r>
    </w:p>
  </w:footnote>
  <w:footnote w:type="continuationSeparator" w:id="0">
    <w:p w14:paraId="1EDC49C9" w14:textId="77777777" w:rsidR="00E0211E" w:rsidRDefault="00E0211E" w:rsidP="004A1847">
      <w:pPr>
        <w:spacing w:after="0" w:line="240" w:lineRule="auto"/>
      </w:pPr>
      <w:r>
        <w:continuationSeparator/>
      </w:r>
    </w:p>
  </w:footnote>
  <w:footnote w:type="continuationNotice" w:id="1">
    <w:p w14:paraId="2A63A169" w14:textId="77777777" w:rsidR="00E0211E" w:rsidRDefault="00E021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85pt;height:10.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7D61E1B"/>
    <w:multiLevelType w:val="hybridMultilevel"/>
    <w:tmpl w:val="57DC1B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6220928">
    <w:abstractNumId w:val="9"/>
  </w:num>
  <w:num w:numId="2" w16cid:durableId="1377437465">
    <w:abstractNumId w:val="2"/>
  </w:num>
  <w:num w:numId="3" w16cid:durableId="1760715094">
    <w:abstractNumId w:val="7"/>
  </w:num>
  <w:num w:numId="4" w16cid:durableId="11727949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2211967">
    <w:abstractNumId w:val="2"/>
  </w:num>
  <w:num w:numId="6" w16cid:durableId="1253198115">
    <w:abstractNumId w:val="15"/>
  </w:num>
  <w:num w:numId="7" w16cid:durableId="1663729419">
    <w:abstractNumId w:val="8"/>
  </w:num>
  <w:num w:numId="8" w16cid:durableId="7297936">
    <w:abstractNumId w:val="14"/>
  </w:num>
  <w:num w:numId="9" w16cid:durableId="1658604530">
    <w:abstractNumId w:val="10"/>
  </w:num>
  <w:num w:numId="10" w16cid:durableId="1943487359">
    <w:abstractNumId w:val="13"/>
  </w:num>
  <w:num w:numId="11" w16cid:durableId="1886141403">
    <w:abstractNumId w:val="11"/>
  </w:num>
  <w:num w:numId="12" w16cid:durableId="144710099">
    <w:abstractNumId w:val="1"/>
  </w:num>
  <w:num w:numId="13" w16cid:durableId="1696080597">
    <w:abstractNumId w:val="5"/>
  </w:num>
  <w:num w:numId="14" w16cid:durableId="1833334922">
    <w:abstractNumId w:val="16"/>
  </w:num>
  <w:num w:numId="15" w16cid:durableId="1576739270">
    <w:abstractNumId w:val="12"/>
  </w:num>
  <w:num w:numId="16" w16cid:durableId="11884427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1440131">
    <w:abstractNumId w:val="6"/>
  </w:num>
  <w:num w:numId="18" w16cid:durableId="1966158292">
    <w:abstractNumId w:val="3"/>
  </w:num>
  <w:num w:numId="19" w16cid:durableId="1181630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7658"/>
    <w:rsid w:val="00054428"/>
    <w:rsid w:val="00061B2A"/>
    <w:rsid w:val="00082362"/>
    <w:rsid w:val="000A683E"/>
    <w:rsid w:val="000B19B9"/>
    <w:rsid w:val="000C40D9"/>
    <w:rsid w:val="000D0334"/>
    <w:rsid w:val="000E4B9A"/>
    <w:rsid w:val="000F4876"/>
    <w:rsid w:val="000F6486"/>
    <w:rsid w:val="00125105"/>
    <w:rsid w:val="00127233"/>
    <w:rsid w:val="00166A15"/>
    <w:rsid w:val="001911B9"/>
    <w:rsid w:val="001C0059"/>
    <w:rsid w:val="001D08F9"/>
    <w:rsid w:val="001E4177"/>
    <w:rsid w:val="001E56A7"/>
    <w:rsid w:val="001F7DC6"/>
    <w:rsid w:val="002421BB"/>
    <w:rsid w:val="0025796E"/>
    <w:rsid w:val="00257AD5"/>
    <w:rsid w:val="002707A2"/>
    <w:rsid w:val="00272C5C"/>
    <w:rsid w:val="002951A0"/>
    <w:rsid w:val="002962BC"/>
    <w:rsid w:val="002A093D"/>
    <w:rsid w:val="002A0DD0"/>
    <w:rsid w:val="002A49AC"/>
    <w:rsid w:val="002A64FD"/>
    <w:rsid w:val="002B448D"/>
    <w:rsid w:val="002C36E2"/>
    <w:rsid w:val="002C7A84"/>
    <w:rsid w:val="002D6F4B"/>
    <w:rsid w:val="002E4FD9"/>
    <w:rsid w:val="002E7CAB"/>
    <w:rsid w:val="00322A85"/>
    <w:rsid w:val="00324168"/>
    <w:rsid w:val="0033138A"/>
    <w:rsid w:val="0033569D"/>
    <w:rsid w:val="003448F4"/>
    <w:rsid w:val="00374F5E"/>
    <w:rsid w:val="00377E3E"/>
    <w:rsid w:val="003A14C0"/>
    <w:rsid w:val="003A26D1"/>
    <w:rsid w:val="003A779E"/>
    <w:rsid w:val="003D0F4D"/>
    <w:rsid w:val="003D5B0D"/>
    <w:rsid w:val="003E0499"/>
    <w:rsid w:val="003F3941"/>
    <w:rsid w:val="00406575"/>
    <w:rsid w:val="0042722E"/>
    <w:rsid w:val="0044528D"/>
    <w:rsid w:val="004A1847"/>
    <w:rsid w:val="004A2841"/>
    <w:rsid w:val="004A305D"/>
    <w:rsid w:val="004D1913"/>
    <w:rsid w:val="004F21C4"/>
    <w:rsid w:val="004F685F"/>
    <w:rsid w:val="005566E8"/>
    <w:rsid w:val="00574867"/>
    <w:rsid w:val="0058263D"/>
    <w:rsid w:val="0058646D"/>
    <w:rsid w:val="00591460"/>
    <w:rsid w:val="00592628"/>
    <w:rsid w:val="005C3777"/>
    <w:rsid w:val="005C5CDC"/>
    <w:rsid w:val="005D476C"/>
    <w:rsid w:val="005F6F88"/>
    <w:rsid w:val="00610812"/>
    <w:rsid w:val="006219F8"/>
    <w:rsid w:val="00647451"/>
    <w:rsid w:val="00650FF7"/>
    <w:rsid w:val="00660839"/>
    <w:rsid w:val="00665D70"/>
    <w:rsid w:val="00671DAC"/>
    <w:rsid w:val="006900D9"/>
    <w:rsid w:val="006D12F8"/>
    <w:rsid w:val="006E713D"/>
    <w:rsid w:val="006E7438"/>
    <w:rsid w:val="00706C16"/>
    <w:rsid w:val="00713653"/>
    <w:rsid w:val="00721416"/>
    <w:rsid w:val="00750F79"/>
    <w:rsid w:val="00756841"/>
    <w:rsid w:val="007649AB"/>
    <w:rsid w:val="00771D0C"/>
    <w:rsid w:val="00781B19"/>
    <w:rsid w:val="007833AC"/>
    <w:rsid w:val="007B268C"/>
    <w:rsid w:val="007B7171"/>
    <w:rsid w:val="007C0C0F"/>
    <w:rsid w:val="007C3DC2"/>
    <w:rsid w:val="007E1C7F"/>
    <w:rsid w:val="007E5497"/>
    <w:rsid w:val="00806F5F"/>
    <w:rsid w:val="00820278"/>
    <w:rsid w:val="008616AB"/>
    <w:rsid w:val="008843B6"/>
    <w:rsid w:val="00891928"/>
    <w:rsid w:val="00892D96"/>
    <w:rsid w:val="008A446D"/>
    <w:rsid w:val="008C084A"/>
    <w:rsid w:val="008C4413"/>
    <w:rsid w:val="008D180B"/>
    <w:rsid w:val="008F0EA7"/>
    <w:rsid w:val="00900969"/>
    <w:rsid w:val="00917A01"/>
    <w:rsid w:val="00923EEF"/>
    <w:rsid w:val="0094058D"/>
    <w:rsid w:val="009419F9"/>
    <w:rsid w:val="009425D9"/>
    <w:rsid w:val="00951BA0"/>
    <w:rsid w:val="0095685E"/>
    <w:rsid w:val="00961B09"/>
    <w:rsid w:val="00965334"/>
    <w:rsid w:val="0097093E"/>
    <w:rsid w:val="00974F64"/>
    <w:rsid w:val="009A0DFA"/>
    <w:rsid w:val="009B2D26"/>
    <w:rsid w:val="009C71FA"/>
    <w:rsid w:val="009C72E7"/>
    <w:rsid w:val="009D25E1"/>
    <w:rsid w:val="009D3058"/>
    <w:rsid w:val="009E5718"/>
    <w:rsid w:val="009F3A13"/>
    <w:rsid w:val="00A00C7D"/>
    <w:rsid w:val="00A0766F"/>
    <w:rsid w:val="00A122D3"/>
    <w:rsid w:val="00A17F13"/>
    <w:rsid w:val="00A20739"/>
    <w:rsid w:val="00A33C78"/>
    <w:rsid w:val="00A44965"/>
    <w:rsid w:val="00A671A3"/>
    <w:rsid w:val="00A74C48"/>
    <w:rsid w:val="00A83EFA"/>
    <w:rsid w:val="00A909C8"/>
    <w:rsid w:val="00AA6007"/>
    <w:rsid w:val="00AB0ADB"/>
    <w:rsid w:val="00AC69E1"/>
    <w:rsid w:val="00B01B1A"/>
    <w:rsid w:val="00B06706"/>
    <w:rsid w:val="00B10365"/>
    <w:rsid w:val="00B24F85"/>
    <w:rsid w:val="00B72CD3"/>
    <w:rsid w:val="00B72FFF"/>
    <w:rsid w:val="00BC3D36"/>
    <w:rsid w:val="00BD7F72"/>
    <w:rsid w:val="00C04FB3"/>
    <w:rsid w:val="00C177CC"/>
    <w:rsid w:val="00C3019A"/>
    <w:rsid w:val="00C330EB"/>
    <w:rsid w:val="00C34F87"/>
    <w:rsid w:val="00C55BD9"/>
    <w:rsid w:val="00C754BE"/>
    <w:rsid w:val="00C76B1C"/>
    <w:rsid w:val="00C91DC5"/>
    <w:rsid w:val="00CB6357"/>
    <w:rsid w:val="00CC1B26"/>
    <w:rsid w:val="00CC5814"/>
    <w:rsid w:val="00D423A2"/>
    <w:rsid w:val="00D520D8"/>
    <w:rsid w:val="00D63AC2"/>
    <w:rsid w:val="00D7383B"/>
    <w:rsid w:val="00DA231B"/>
    <w:rsid w:val="00DA23A0"/>
    <w:rsid w:val="00DC39FC"/>
    <w:rsid w:val="00DF5254"/>
    <w:rsid w:val="00E0211E"/>
    <w:rsid w:val="00E16408"/>
    <w:rsid w:val="00E20894"/>
    <w:rsid w:val="00E245AB"/>
    <w:rsid w:val="00E2764C"/>
    <w:rsid w:val="00E27F2E"/>
    <w:rsid w:val="00E413EA"/>
    <w:rsid w:val="00E46BB7"/>
    <w:rsid w:val="00E50AFE"/>
    <w:rsid w:val="00E75C92"/>
    <w:rsid w:val="00E76054"/>
    <w:rsid w:val="00E771DC"/>
    <w:rsid w:val="00E8082C"/>
    <w:rsid w:val="00E8772A"/>
    <w:rsid w:val="00E90F6B"/>
    <w:rsid w:val="00E92C27"/>
    <w:rsid w:val="00EA0E3D"/>
    <w:rsid w:val="00EB76A2"/>
    <w:rsid w:val="00EC205A"/>
    <w:rsid w:val="00EC38A7"/>
    <w:rsid w:val="00EC5E71"/>
    <w:rsid w:val="00ED77A0"/>
    <w:rsid w:val="00EE1AA8"/>
    <w:rsid w:val="00F05B98"/>
    <w:rsid w:val="00F31EDC"/>
    <w:rsid w:val="00F462B3"/>
    <w:rsid w:val="00F5664F"/>
    <w:rsid w:val="00F666C4"/>
    <w:rsid w:val="00F76AFC"/>
    <w:rsid w:val="00FA47C0"/>
    <w:rsid w:val="00FB5DD1"/>
    <w:rsid w:val="00FC2B5D"/>
    <w:rsid w:val="00FF1449"/>
    <w:rsid w:val="1DC149BE"/>
    <w:rsid w:val="491E265F"/>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00969"/>
    <w:rPr>
      <w:rFonts w:ascii="Geomanist Light" w:hAnsi="Geomanist Light"/>
      <w:lang w:val="es-ES"/>
    </w:rPr>
  </w:style>
  <w:style w:type="paragraph" w:customStyle="1" w:styleId="Appelnotedebasde">
    <w:name w:val="Appel note de bas de..."/>
    <w:basedOn w:val="Normal"/>
    <w:link w:val="Refdenotaalpie"/>
    <w:rsid w:val="00900969"/>
    <w:pPr>
      <w:spacing w:line="240" w:lineRule="exact"/>
    </w:pPr>
    <w:rPr>
      <w:vertAlign w:val="superscript"/>
    </w:rPr>
  </w:style>
  <w:style w:type="character" w:customStyle="1" w:styleId="NormalWebCar">
    <w:name w:val="Normal (Web) Car"/>
    <w:link w:val="NormalWeb"/>
    <w:uiPriority w:val="99"/>
    <w:rsid w:val="0058263D"/>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263D"/>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6584263">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390974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www.colombiacompra.gov.co/sites/cce_public/files/cce_documents/cce-eicp-ma-04._manual_requisitos_habilitantes_v3_29-09-2023.pdf"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ffdyj@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normativa/decreto-1860-de-2021/"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colombiacompra.gov.co/sala-de-prensa/boletin-digi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decreto-1082-de-2015/"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CBE37B7-F260-4291-A980-76FA59CF5702}"/>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2438</Words>
  <Characters>13412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2024-08-09T19:58:00Z</dcterms:created>
  <dcterms:modified xsi:type="dcterms:W3CDTF">2024-08-09T20:08:00Z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