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F2E9B" w14:textId="5020552C" w:rsidR="00F31AC6" w:rsidRPr="00636898" w:rsidRDefault="00636898" w:rsidP="00571B82">
      <w:pPr>
        <w:spacing w:after="0" w:line="240" w:lineRule="auto"/>
        <w:jc w:val="both"/>
        <w:rPr>
          <w:rFonts w:ascii="Verdana" w:hAnsi="Verdana"/>
          <w:b/>
        </w:rPr>
      </w:pPr>
      <w:bookmarkStart w:id="0" w:name="_Hlk143780582"/>
      <w:r w:rsidRPr="00636898">
        <w:rPr>
          <w:rFonts w:ascii="Verdana" w:hAnsi="Verdana"/>
          <w:b/>
          <w:bCs/>
          <w:lang w:val="es-ES"/>
        </w:rPr>
        <w:t>CONTRATO INTERADMINISTRATIVO – Concepto –Régimen – Criterio orgánico</w:t>
      </w:r>
    </w:p>
    <w:p w14:paraId="03350759" w14:textId="2750E871" w:rsidR="00636898" w:rsidRDefault="00636898" w:rsidP="00571B82">
      <w:pPr>
        <w:spacing w:after="0" w:line="240" w:lineRule="auto"/>
        <w:jc w:val="both"/>
        <w:rPr>
          <w:rFonts w:ascii="Verdana" w:hAnsi="Verdana"/>
          <w:b/>
        </w:rPr>
      </w:pPr>
    </w:p>
    <w:p w14:paraId="11112FDA" w14:textId="7B189835" w:rsidR="00571B82" w:rsidRPr="00571B82" w:rsidRDefault="00571B82" w:rsidP="00571B82">
      <w:pPr>
        <w:widowControl w:val="0"/>
        <w:autoSpaceDE w:val="0"/>
        <w:autoSpaceDN w:val="0"/>
        <w:spacing w:after="0" w:line="240" w:lineRule="auto"/>
        <w:jc w:val="both"/>
        <w:rPr>
          <w:rFonts w:ascii="Verdana" w:eastAsia="Arial" w:hAnsi="Verdana" w:cs="Arial"/>
          <w:sz w:val="20"/>
          <w:szCs w:val="20"/>
          <w:lang w:val="es-ES" w:eastAsia="es-ES" w:bidi="es-ES"/>
        </w:rPr>
      </w:pPr>
      <w:r w:rsidRPr="00571B82">
        <w:rPr>
          <w:rFonts w:ascii="Verdana" w:eastAsia="Arial" w:hAnsi="Verdana" w:cs="Arial"/>
          <w:sz w:val="20"/>
          <w:szCs w:val="20"/>
          <w:lang w:val="es-ES" w:eastAsia="es-ES" w:bidi="es-ES"/>
        </w:rPr>
        <w:t>Aunque la ley no la definió ni desarrolló, el Decreto 1082 de 2015 califica a los contratos interadministrativos como aquella contratación entre entidades estatales. De acuerdo con lo anterior, es el acuerdo donde concurre la voluntad de dos o más personas jurídicas de derecho público con la finalidad de cumplir, en el marco de sus objetivos misionales y sus competencias, con los fines del Estado. Es decir, están determinados por un criterio orgánico, pues es necesario que los extremos de la relación contractual sean entidades</w:t>
      </w:r>
      <w:r w:rsidRPr="00571B82">
        <w:rPr>
          <w:rFonts w:ascii="Verdana" w:eastAsia="Arial" w:hAnsi="Verdana" w:cs="Arial"/>
          <w:spacing w:val="-6"/>
          <w:sz w:val="20"/>
          <w:szCs w:val="20"/>
          <w:lang w:val="es-ES" w:eastAsia="es-ES" w:bidi="es-ES"/>
        </w:rPr>
        <w:t xml:space="preserve"> </w:t>
      </w:r>
      <w:r w:rsidRPr="00571B82">
        <w:rPr>
          <w:rFonts w:ascii="Verdana" w:eastAsia="Arial" w:hAnsi="Verdana" w:cs="Arial"/>
          <w:sz w:val="20"/>
          <w:szCs w:val="20"/>
          <w:lang w:val="es-ES" w:eastAsia="es-ES" w:bidi="es-ES"/>
        </w:rPr>
        <w:t xml:space="preserve">estatales. Por ello, los mismos pueden contener obligaciones de diversas tipologías contractuales o de una la combinación entre las mismas, como en contratos atípicos mixtos. Lo anterior en la medida que son las partes, no el objeto de las obligaciones, lo que define la existencia de este tipo de negocios. </w:t>
      </w:r>
    </w:p>
    <w:p w14:paraId="23C0DD42" w14:textId="77777777" w:rsidR="00571B82" w:rsidRDefault="00571B82" w:rsidP="00571B82">
      <w:pPr>
        <w:widowControl w:val="0"/>
        <w:autoSpaceDE w:val="0"/>
        <w:autoSpaceDN w:val="0"/>
        <w:spacing w:after="0" w:line="240" w:lineRule="auto"/>
        <w:jc w:val="both"/>
        <w:rPr>
          <w:rFonts w:ascii="Verdana" w:eastAsia="Arial" w:hAnsi="Verdana" w:cs="Arial"/>
          <w:sz w:val="20"/>
          <w:szCs w:val="20"/>
          <w:lang w:val="es-ES" w:eastAsia="es-ES" w:bidi="es-ES"/>
        </w:rPr>
      </w:pPr>
    </w:p>
    <w:p w14:paraId="5B657EDB" w14:textId="4070001B" w:rsidR="00571B82" w:rsidRPr="00571B82" w:rsidRDefault="00571B82" w:rsidP="00571B82">
      <w:pPr>
        <w:widowControl w:val="0"/>
        <w:autoSpaceDE w:val="0"/>
        <w:autoSpaceDN w:val="0"/>
        <w:spacing w:after="0" w:line="240" w:lineRule="auto"/>
        <w:jc w:val="both"/>
        <w:rPr>
          <w:rFonts w:ascii="Verdana" w:eastAsia="Calibri" w:hAnsi="Verdana" w:cs="Arial"/>
          <w:sz w:val="20"/>
          <w:szCs w:val="20"/>
          <w:lang w:val="es-ES"/>
        </w:rPr>
      </w:pPr>
      <w:r w:rsidRPr="00571B82">
        <w:rPr>
          <w:rFonts w:ascii="Verdana" w:eastAsia="Arial" w:hAnsi="Verdana" w:cs="Arial"/>
          <w:sz w:val="20"/>
          <w:szCs w:val="20"/>
          <w:lang w:val="es-ES" w:eastAsia="es-ES" w:bidi="es-ES"/>
        </w:rPr>
        <w:t>Si bien están previstos en la Ley 80 de 1993, en la Ley 1150 de 2007 y en el Decreto en el 1082 de 2015, no quiere decir que solo puedan celebrarse entre entidades estatales que apliquen el régimen de contratación allí regulado, pues bien puede una entidad estatal sometida a la Ley 80 de 1993 celebrar esta clase de negocios con una entidad estatal de régimen especial y no por ello dejará de ser tal. De esta manera, sin perjuicio de lo dispuesto en el artículo 56 de la Ley 2195 de 2022, el literal c) del artículo 2.4 de la Ley 1150 de 2007 dispone que “</w:t>
      </w:r>
      <w:r w:rsidRPr="00571B82">
        <w:rPr>
          <w:rFonts w:ascii="Verdana" w:eastAsia="Arial" w:hAnsi="Verdana" w:cs="Arial"/>
          <w:sz w:val="20"/>
          <w:szCs w:val="20"/>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65F1EC19" w14:textId="77777777" w:rsidR="00571B82" w:rsidRPr="00571B82" w:rsidRDefault="00571B82" w:rsidP="00571B82">
      <w:pPr>
        <w:spacing w:after="0" w:line="240" w:lineRule="auto"/>
        <w:jc w:val="both"/>
        <w:rPr>
          <w:rFonts w:ascii="Verdana" w:hAnsi="Verdana"/>
          <w:b/>
          <w:lang w:val="es-ES"/>
        </w:rPr>
      </w:pPr>
    </w:p>
    <w:p w14:paraId="6544BF42" w14:textId="2F381E56" w:rsidR="00636898" w:rsidRDefault="00636898" w:rsidP="00571B82">
      <w:pPr>
        <w:spacing w:after="0" w:line="240" w:lineRule="auto"/>
        <w:jc w:val="both"/>
        <w:rPr>
          <w:rFonts w:ascii="Verdana" w:hAnsi="Verdana"/>
          <w:b/>
          <w:bCs/>
          <w:lang w:val="es-ES"/>
        </w:rPr>
      </w:pPr>
      <w:r w:rsidRPr="00636898">
        <w:rPr>
          <w:rFonts w:ascii="Verdana" w:hAnsi="Verdana"/>
          <w:b/>
          <w:bCs/>
          <w:lang w:val="es-ES"/>
        </w:rPr>
        <w:t>CONTRATO DE MANDATO- – Noción – Definición – Mandato – autonomía de la voluntad</w:t>
      </w:r>
    </w:p>
    <w:p w14:paraId="16F093A6" w14:textId="4CBC5E03" w:rsidR="00636898" w:rsidRDefault="00636898" w:rsidP="00571B82">
      <w:pPr>
        <w:spacing w:after="0" w:line="240" w:lineRule="auto"/>
        <w:jc w:val="both"/>
        <w:rPr>
          <w:rFonts w:ascii="Verdana" w:hAnsi="Verdana"/>
          <w:b/>
          <w:bCs/>
          <w:lang w:val="es-ES"/>
        </w:rPr>
      </w:pPr>
    </w:p>
    <w:p w14:paraId="6AA3593F" w14:textId="00422064" w:rsidR="00571B82" w:rsidRPr="00571B82" w:rsidRDefault="00571B82" w:rsidP="00571B82">
      <w:pPr>
        <w:spacing w:after="0" w:line="240" w:lineRule="auto"/>
        <w:jc w:val="both"/>
        <w:rPr>
          <w:rFonts w:ascii="Verdana" w:eastAsia="Calibri" w:hAnsi="Verdana" w:cs="Arial"/>
          <w:sz w:val="20"/>
          <w:lang w:eastAsia="es-ES_tradnl"/>
        </w:rPr>
      </w:pPr>
      <w:r w:rsidRPr="00571B82">
        <w:rPr>
          <w:rFonts w:ascii="Verdana" w:eastAsia="Times New Roman" w:hAnsi="Verdana" w:cs="Arial"/>
          <w:color w:val="000000" w:themeColor="text1"/>
          <w:sz w:val="20"/>
          <w:lang w:eastAsia="es-ES_tradnl"/>
        </w:rPr>
        <w:t xml:space="preserve">[…] </w:t>
      </w:r>
      <w:r w:rsidRPr="00571B82">
        <w:rPr>
          <w:rFonts w:ascii="Verdana" w:eastAsia="Times New Roman" w:hAnsi="Verdana" w:cs="Arial"/>
          <w:color w:val="000000" w:themeColor="text1"/>
          <w:sz w:val="20"/>
          <w:lang w:eastAsia="es-ES_tradnl"/>
        </w:rPr>
        <w:t xml:space="preserve">es preciso mencionar que las </w:t>
      </w:r>
      <w:r w:rsidRPr="00571B82">
        <w:rPr>
          <w:rFonts w:ascii="Verdana" w:eastAsia="Calibri" w:hAnsi="Verdana" w:cs="Arial"/>
          <w:sz w:val="20"/>
          <w:lang w:eastAsia="es-ES_tradnl"/>
        </w:rPr>
        <w:t xml:space="preserve">Entidades Estatales regidas por el EGCAP están habilitadas para celebrar los contratos que suelen celebrar los particulares entre sí – como el de mandato al que se refiere en su pregunta – en ejercicio de la autonomía de la voluntad privada. En ese sentido, puede ocurrir que dentro de la gestión ordinaria de sus competencias y funciones las entidades tengan necesidades que deban ser satisfechas a través de contratos como el mandato, en los que además de las disposiciones del EGCAP deberán aplicarse en su mayoría normas de derecho privado, lo que de ninguna manera desvirtúa la calidad de estatal de dichos contratos, ni mucho menos implica que exista una delegación de funciones. En estos términos, las entidades públicas, como es el caso de las entidades territoriales pueden suscribir contratos con otras entidades públicas, que se denominan interadministrativos o con particulares para el cumplimiento de sus funciones y finalidades, como puede ocurrir con el contrato de mandato con o sin representación. </w:t>
      </w:r>
      <w:r>
        <w:rPr>
          <w:rFonts w:ascii="Verdana" w:eastAsia="Calibri" w:hAnsi="Verdana" w:cs="Arial"/>
          <w:sz w:val="20"/>
          <w:lang w:eastAsia="es-ES_tradnl"/>
        </w:rPr>
        <w:t xml:space="preserve"> </w:t>
      </w:r>
      <w:r w:rsidRPr="00571B82">
        <w:rPr>
          <w:rFonts w:ascii="Verdana" w:eastAsia="Times New Roman" w:hAnsi="Verdana" w:cs="Arial"/>
          <w:bCs/>
          <w:sz w:val="20"/>
          <w:lang w:val="es-ES" w:eastAsia="es-ES"/>
        </w:rPr>
        <w:t xml:space="preserve">En torno al mandato como ya se ha señalado es un contrato en el que una parte se obliga con otra a dar, hacer o no alguna cosa. </w:t>
      </w:r>
      <w:r w:rsidRPr="00571B82">
        <w:rPr>
          <w:rFonts w:ascii="Verdana" w:eastAsia="Arial" w:hAnsi="Verdana" w:cs="Arial"/>
          <w:color w:val="000000" w:themeColor="text1"/>
          <w:sz w:val="20"/>
          <w:lang w:val="es-ES" w:eastAsia="es-ES"/>
        </w:rPr>
        <w:t xml:space="preserve">En tal sentido, es posible que las entidades estatales en el marco de la autonomía de la voluntad, puedan suscribir contratos de mandato, con o sin representación, a fin de cumplir determinadas necesidades de la entidad. </w:t>
      </w:r>
    </w:p>
    <w:p w14:paraId="3098EBF3" w14:textId="77777777" w:rsidR="00571B82" w:rsidRPr="00571B82" w:rsidRDefault="00571B82" w:rsidP="00571B82">
      <w:pPr>
        <w:widowControl w:val="0"/>
        <w:autoSpaceDE w:val="0"/>
        <w:autoSpaceDN w:val="0"/>
        <w:spacing w:after="0" w:line="240" w:lineRule="auto"/>
        <w:ind w:left="709" w:right="709"/>
        <w:jc w:val="both"/>
        <w:rPr>
          <w:rFonts w:ascii="Verdana" w:eastAsia="Arial" w:hAnsi="Verdana" w:cs="Arial"/>
          <w:color w:val="000000" w:themeColor="text1"/>
          <w:sz w:val="20"/>
          <w:szCs w:val="21"/>
          <w:lang w:eastAsia="es-ES"/>
        </w:rPr>
      </w:pPr>
    </w:p>
    <w:p w14:paraId="75A09540" w14:textId="77777777" w:rsidR="00571B82" w:rsidRPr="00571B82" w:rsidRDefault="00571B82" w:rsidP="00571B82">
      <w:pPr>
        <w:widowControl w:val="0"/>
        <w:autoSpaceDE w:val="0"/>
        <w:autoSpaceDN w:val="0"/>
        <w:spacing w:after="0" w:line="240" w:lineRule="auto"/>
        <w:jc w:val="both"/>
        <w:rPr>
          <w:rFonts w:ascii="Verdana" w:eastAsia="Arial" w:hAnsi="Verdana" w:cs="Arial"/>
          <w:sz w:val="20"/>
          <w:lang w:val="es-ES"/>
        </w:rPr>
      </w:pPr>
      <w:r w:rsidRPr="00571B82">
        <w:rPr>
          <w:rFonts w:ascii="Verdana" w:eastAsia="Arial" w:hAnsi="Verdana" w:cs="Arial"/>
          <w:sz w:val="20"/>
          <w:lang w:val="es-ES"/>
        </w:rPr>
        <w:lastRenderedPageBreak/>
        <w:t>En este sentido, es posible que las entidades estatales puedan suscribir contratos de mandato, con o sin representación dentro del marco de la ley y de las competencias propias de cada entidad, con el fin de cumplir determinadas necesidades conforme al principio de autonomía de la voluntad de las partes, reconocido en los artículos 13, 32 y 40 de la Ley 80 de 1993, así como en el artículo 1602 del Código Civil, por lo que es viable que las Entidades Estatales celebren estos contratos. De este modo, para la celebración de los contratos interadministrativos de mandato sin representación es indispensable que la entidad ejecutora cuente con un objeto social que le permita desarrollar las actividades a convenir, es por ello que para suscribir un contrato de mandato sin representación debe verificarse que el objeto social de la entidad ejecutora esté relacionado con el objeto contractual específico, enmarcado en la ejecución de proyecto.</w:t>
      </w:r>
    </w:p>
    <w:p w14:paraId="716F722D" w14:textId="77777777" w:rsidR="00571B82" w:rsidRPr="00571B82" w:rsidRDefault="00571B82" w:rsidP="00571B82">
      <w:pPr>
        <w:spacing w:after="0" w:line="240" w:lineRule="auto"/>
        <w:jc w:val="both"/>
        <w:rPr>
          <w:rFonts w:ascii="Verdana" w:hAnsi="Verdana"/>
          <w:b/>
          <w:bCs/>
          <w:sz w:val="20"/>
          <w:lang w:val="es-ES"/>
        </w:rPr>
      </w:pPr>
    </w:p>
    <w:p w14:paraId="45E8F6FE" w14:textId="415B38D1" w:rsidR="00636898" w:rsidRDefault="00636898" w:rsidP="00571B82">
      <w:pPr>
        <w:spacing w:after="0" w:line="240" w:lineRule="auto"/>
        <w:jc w:val="both"/>
        <w:rPr>
          <w:rFonts w:ascii="Verdana" w:hAnsi="Verdana"/>
          <w:b/>
          <w:bCs/>
          <w:lang w:val="es-ES"/>
        </w:rPr>
      </w:pPr>
      <w:r w:rsidRPr="00636898">
        <w:rPr>
          <w:rFonts w:ascii="Verdana" w:hAnsi="Verdana"/>
          <w:b/>
          <w:bCs/>
          <w:lang w:val="es-ES"/>
        </w:rPr>
        <w:t xml:space="preserve">CONTRATO INTERADMINISTRATIVO –Empresas Industriales y Comerciales del Estado </w:t>
      </w:r>
      <w:r>
        <w:rPr>
          <w:rFonts w:ascii="Verdana" w:hAnsi="Verdana"/>
          <w:b/>
          <w:bCs/>
          <w:lang w:val="es-ES"/>
        </w:rPr>
        <w:t>– excepciones - capacidad</w:t>
      </w:r>
    </w:p>
    <w:p w14:paraId="717A0FE2" w14:textId="2304CCEE" w:rsidR="00636898" w:rsidRDefault="00636898" w:rsidP="00636898">
      <w:pPr>
        <w:spacing w:after="0"/>
        <w:jc w:val="both"/>
        <w:rPr>
          <w:rFonts w:ascii="Verdana" w:hAnsi="Verdana"/>
          <w:b/>
        </w:rPr>
      </w:pPr>
    </w:p>
    <w:p w14:paraId="579A7D0F" w14:textId="691DFC97" w:rsidR="00571B82" w:rsidRPr="00571B82" w:rsidRDefault="00571B82" w:rsidP="00571B82">
      <w:pPr>
        <w:spacing w:after="0" w:line="240" w:lineRule="auto"/>
        <w:jc w:val="both"/>
        <w:rPr>
          <w:rFonts w:ascii="Verdana" w:hAnsi="Verdana"/>
          <w:sz w:val="20"/>
          <w:lang w:val="es-ES_tradnl"/>
        </w:rPr>
      </w:pPr>
      <w:r w:rsidRPr="00571B82">
        <w:rPr>
          <w:rFonts w:ascii="Verdana" w:hAnsi="Verdana"/>
          <w:sz w:val="20"/>
          <w:lang w:val="es-ES_tradnl"/>
        </w:rPr>
        <w:t>El artículo 2, numeral 4, literal c) de la Ley 1150 de 2007 dispone que la modalidad de selección aplicable a la celebración de contratos interadministrativos es la contratación directa, siempre que las obligaciones derivadas de los mismos tengan relación con el objeto de la entidad ejecutora. Sin embargo, esa misma ley establece excepciones a esta regla, la cual está condicionada a que ciertas tipologías contractuales no sean ejecutadas por ciertas Entidades Estatales bajo la modalidad de contratación directa, sin perjuicio de que puedan ser seleccionadas a través de otra modalidad de selección</w:t>
      </w:r>
      <w:r>
        <w:rPr>
          <w:rFonts w:ascii="Verdana" w:hAnsi="Verdana"/>
          <w:sz w:val="20"/>
          <w:lang w:val="es-ES_tradnl"/>
        </w:rPr>
        <w:t xml:space="preserve">. </w:t>
      </w:r>
      <w:r w:rsidRPr="00571B82">
        <w:rPr>
          <w:rFonts w:ascii="Verdana" w:hAnsi="Verdana"/>
          <w:sz w:val="20"/>
          <w:lang w:val="es-ES_tradnl"/>
        </w:rPr>
        <w:t>Al respecto, el inciso 2 del literal c) de la norma en cita –modificado por el artículo 92 de la Ley 1474 de 2011– señaló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no pueden celebrar contratos interadministrativos de manera directa cuyo objeto trate de contrato de obra, suministro, prestación de servicios de evaluación, encargos fiduciarios y fiducia pública.</w:t>
      </w:r>
    </w:p>
    <w:p w14:paraId="2AA1B54B" w14:textId="77777777" w:rsidR="00571B82" w:rsidRDefault="00571B82" w:rsidP="00571B82">
      <w:pPr>
        <w:spacing w:after="0" w:line="240" w:lineRule="auto"/>
        <w:jc w:val="both"/>
        <w:rPr>
          <w:rFonts w:ascii="Verdana" w:hAnsi="Verdana"/>
          <w:sz w:val="20"/>
          <w:lang w:val="es-ES_tradnl"/>
        </w:rPr>
      </w:pPr>
    </w:p>
    <w:p w14:paraId="5CBC9252" w14:textId="2120834D" w:rsidR="00571B82" w:rsidRPr="00571B82" w:rsidRDefault="00DF5CA7" w:rsidP="00571B82">
      <w:pPr>
        <w:spacing w:after="0" w:line="240" w:lineRule="auto"/>
        <w:jc w:val="both"/>
        <w:rPr>
          <w:rFonts w:ascii="Verdana" w:hAnsi="Verdana"/>
          <w:sz w:val="20"/>
          <w:lang w:val="es-ES_tradnl"/>
        </w:rPr>
      </w:pPr>
      <w:r>
        <w:rPr>
          <w:rFonts w:ascii="Verdana" w:hAnsi="Verdana"/>
          <w:sz w:val="20"/>
          <w:lang w:val="es-ES_tradnl"/>
        </w:rPr>
        <w:t xml:space="preserve">[…] </w:t>
      </w:r>
      <w:r w:rsidR="00571B82" w:rsidRPr="00571B82">
        <w:rPr>
          <w:rFonts w:ascii="Verdana" w:hAnsi="Verdana"/>
          <w:sz w:val="20"/>
          <w:lang w:val="es-ES_tradnl"/>
        </w:rPr>
        <w:t>conviene señalar que la excepción contenida en la norma mencionada determina de manera explícita los sujetos a los cuales les es aplicable la restricción contenida en dicho artículo. De lo anterior se desprende que la ley no previó que esta excepción sea aplicable a las Empresas Industriales y Comerciales del Estado, por lo cual, al no existir prohibición explícita para la celebración de contratos o convenios interadministrativos, por lo que es posible afirmar que frente a dichas entidades se aplica la regla general, y, por ende, pueden celebrar contratos o convenios interadministrativos sin distinción de objeto, de manera directa. Lo anterior siempre que del análisis jurídico, técnico y financiero se derive la viabilidad de suscribir dichos convenios o contratos, así como que el objeto de la entidad, señalado en la ley o en sus reglamentos, permita el cumplimiento de las obligaciones que se deriven del acuerdo de voluntades.</w:t>
      </w:r>
    </w:p>
    <w:p w14:paraId="0A368913" w14:textId="6EE1D338" w:rsidR="00571B82" w:rsidRDefault="00571B82" w:rsidP="00636898">
      <w:pPr>
        <w:spacing w:after="0"/>
        <w:jc w:val="both"/>
        <w:rPr>
          <w:rFonts w:ascii="Verdana" w:hAnsi="Verdana"/>
          <w:b/>
          <w:lang w:val="es-ES_tradnl"/>
        </w:rPr>
      </w:pPr>
    </w:p>
    <w:p w14:paraId="6870F4EA" w14:textId="5A5447A0" w:rsidR="00571B82" w:rsidRDefault="00571B82" w:rsidP="00636898">
      <w:pPr>
        <w:spacing w:after="0"/>
        <w:jc w:val="both"/>
        <w:rPr>
          <w:rFonts w:ascii="Verdana" w:hAnsi="Verdana"/>
          <w:b/>
          <w:lang w:val="es-ES_tradnl"/>
        </w:rPr>
      </w:pPr>
    </w:p>
    <w:p w14:paraId="6E4C9885" w14:textId="08F0EA66" w:rsidR="00571B82" w:rsidRDefault="00571B82" w:rsidP="00636898">
      <w:pPr>
        <w:spacing w:after="0"/>
        <w:jc w:val="both"/>
        <w:rPr>
          <w:rFonts w:ascii="Verdana" w:hAnsi="Verdana"/>
          <w:b/>
          <w:lang w:val="es-ES_tradnl"/>
        </w:rPr>
      </w:pPr>
    </w:p>
    <w:p w14:paraId="1D5D0C9F" w14:textId="77777777" w:rsidR="00571B82" w:rsidRPr="00571B82" w:rsidRDefault="00571B82" w:rsidP="00636898">
      <w:pPr>
        <w:spacing w:after="0"/>
        <w:jc w:val="both"/>
        <w:rPr>
          <w:rFonts w:ascii="Verdana" w:hAnsi="Verdana"/>
          <w:b/>
          <w:lang w:val="es-ES_tradnl"/>
        </w:rPr>
      </w:pPr>
    </w:p>
    <w:p w14:paraId="7C33ECD2" w14:textId="28CEEFAA" w:rsidR="000754B0" w:rsidRPr="0044528D" w:rsidRDefault="00C47B74" w:rsidP="00636898">
      <w:pPr>
        <w:spacing w:after="0"/>
        <w:rPr>
          <w:rFonts w:ascii="Verdana" w:hAnsi="Verdana"/>
        </w:rPr>
      </w:pPr>
      <w:r w:rsidRPr="00636898">
        <w:rPr>
          <w:rFonts w:ascii="Verdana" w:hAnsi="Verdana"/>
        </w:rPr>
        <w:lastRenderedPageBreak/>
        <w:t xml:space="preserve">Bogotá </w:t>
      </w:r>
      <w:r>
        <w:rPr>
          <w:rFonts w:ascii="Verdana" w:hAnsi="Verdana"/>
        </w:rPr>
        <w:t xml:space="preserve">D.C., </w:t>
      </w:r>
      <w:r w:rsidR="00E163A0">
        <w:rPr>
          <w:rFonts w:ascii="Verdana" w:hAnsi="Verdana"/>
        </w:rPr>
        <w:t>1 de abril de 2025</w:t>
      </w:r>
    </w:p>
    <w:p w14:paraId="6F113264" w14:textId="1AD97A7E" w:rsidR="000754B0" w:rsidRDefault="00E163A0" w:rsidP="000754B0">
      <w:pPr>
        <w:spacing w:after="0"/>
        <w:rPr>
          <w:rFonts w:ascii="Verdana" w:hAnsi="Verdana"/>
        </w:rPr>
      </w:pPr>
      <w:r>
        <w:rPr>
          <w:noProof/>
          <w:lang w:val="en-US"/>
        </w:rPr>
        <w:drawing>
          <wp:anchor distT="0" distB="0" distL="114300" distR="114300" simplePos="0" relativeHeight="251658240" behindDoc="0" locked="0" layoutInCell="1" allowOverlap="1" wp14:anchorId="7926622F" wp14:editId="1D2D5ABE">
            <wp:simplePos x="0" y="0"/>
            <wp:positionH relativeFrom="column">
              <wp:posOffset>2529840</wp:posOffset>
            </wp:positionH>
            <wp:positionV relativeFrom="paragraph">
              <wp:posOffset>6985</wp:posOffset>
            </wp:positionV>
            <wp:extent cx="3171825" cy="882015"/>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71825" cy="882015"/>
                    </a:xfrm>
                    <a:prstGeom prst="rect">
                      <a:avLst/>
                    </a:prstGeom>
                  </pic:spPr>
                </pic:pic>
              </a:graphicData>
            </a:graphic>
            <wp14:sizeRelH relativeFrom="margin">
              <wp14:pctWidth>0</wp14:pctWidth>
            </wp14:sizeRelH>
            <wp14:sizeRelV relativeFrom="margin">
              <wp14:pctHeight>0</wp14:pctHeight>
            </wp14:sizeRelV>
          </wp:anchor>
        </w:drawing>
      </w:r>
    </w:p>
    <w:p w14:paraId="01C71B25" w14:textId="3DD7CCD2" w:rsidR="000754B0" w:rsidRDefault="000754B0" w:rsidP="000754B0">
      <w:pPr>
        <w:spacing w:after="0"/>
        <w:rPr>
          <w:rFonts w:ascii="Verdana" w:hAnsi="Verdana"/>
        </w:rPr>
      </w:pPr>
    </w:p>
    <w:p w14:paraId="4C35733A" w14:textId="421E7B0E" w:rsidR="00C47B74" w:rsidRDefault="00C47B74" w:rsidP="000754B0">
      <w:pPr>
        <w:spacing w:after="0"/>
        <w:rPr>
          <w:rFonts w:ascii="Verdana" w:hAnsi="Verdana"/>
        </w:rPr>
      </w:pPr>
    </w:p>
    <w:p w14:paraId="7508906D" w14:textId="51B1890B" w:rsidR="0039784B" w:rsidRPr="0038606D" w:rsidRDefault="0038606D" w:rsidP="00DF5CA7">
      <w:pPr>
        <w:spacing w:after="0" w:line="240" w:lineRule="auto"/>
        <w:rPr>
          <w:rFonts w:ascii="Verdana" w:eastAsia="Calibri" w:hAnsi="Verdana" w:cs="Times New Roman"/>
          <w:lang w:val="es-MX"/>
        </w:rPr>
      </w:pPr>
      <w:r w:rsidRPr="0038606D">
        <w:rPr>
          <w:rFonts w:ascii="Verdana" w:eastAsia="Calibri" w:hAnsi="Verdana" w:cs="Times New Roman"/>
          <w:lang w:val="es-MX"/>
        </w:rPr>
        <w:t>Señor</w:t>
      </w:r>
    </w:p>
    <w:p w14:paraId="22E35446" w14:textId="2E901F6A" w:rsidR="0038606D" w:rsidRPr="00736B39" w:rsidRDefault="0038606D" w:rsidP="00DF5CA7">
      <w:pPr>
        <w:spacing w:after="0" w:line="240" w:lineRule="auto"/>
        <w:rPr>
          <w:rFonts w:ascii="Verdana" w:eastAsia="Calibri" w:hAnsi="Verdana" w:cs="Times New Roman"/>
          <w:b/>
          <w:lang w:val="es-MX"/>
        </w:rPr>
      </w:pPr>
      <w:r w:rsidRPr="00736B39">
        <w:rPr>
          <w:rFonts w:ascii="Verdana" w:eastAsia="Calibri" w:hAnsi="Verdana" w:cs="Times New Roman"/>
          <w:b/>
          <w:lang w:val="es-MX"/>
        </w:rPr>
        <w:t>Anónimo</w:t>
      </w:r>
    </w:p>
    <w:p w14:paraId="34D4A535" w14:textId="4A9FC99B" w:rsidR="000754B0" w:rsidRPr="0038606D" w:rsidRDefault="000754B0" w:rsidP="00DF5CA7">
      <w:pPr>
        <w:spacing w:after="0" w:line="240" w:lineRule="auto"/>
        <w:rPr>
          <w:rFonts w:ascii="Verdana" w:eastAsia="Calibri" w:hAnsi="Verdana" w:cs="Times New Roman"/>
        </w:rPr>
      </w:pPr>
      <w:r w:rsidRPr="0038606D">
        <w:rPr>
          <w:rFonts w:ascii="Verdana" w:eastAsia="Calibri" w:hAnsi="Verdana" w:cs="Times New Roman"/>
        </w:rPr>
        <w:t>Bogotá D.C.</w:t>
      </w:r>
    </w:p>
    <w:p w14:paraId="5CD2A8AF" w14:textId="42252589" w:rsidR="000754B0" w:rsidRDefault="000754B0" w:rsidP="000754B0">
      <w:pPr>
        <w:spacing w:after="0" w:line="256" w:lineRule="auto"/>
        <w:rPr>
          <w:rFonts w:ascii="Verdana" w:eastAsia="Calibri" w:hAnsi="Verdana" w:cs="Times New Roman"/>
        </w:rPr>
      </w:pPr>
    </w:p>
    <w:p w14:paraId="261DCD97" w14:textId="77777777" w:rsidR="00296562" w:rsidRPr="00A12CB6" w:rsidRDefault="00296562" w:rsidP="000754B0">
      <w:pPr>
        <w:spacing w:after="0" w:line="256" w:lineRule="auto"/>
        <w:rPr>
          <w:rFonts w:ascii="Verdana" w:eastAsia="Calibri" w:hAnsi="Verdana" w:cs="Times New Roman"/>
        </w:rPr>
      </w:pPr>
      <w:bookmarkStart w:id="1" w:name="_GoBack"/>
      <w:bookmarkEnd w:id="1"/>
    </w:p>
    <w:p w14:paraId="189E37E4" w14:textId="2A14FDC8" w:rsidR="000754B0" w:rsidRPr="00A12CB6" w:rsidRDefault="000754B0" w:rsidP="000754B0">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sidR="0038606D">
        <w:rPr>
          <w:rFonts w:ascii="Verdana" w:eastAsia="Calibri" w:hAnsi="Verdana" w:cs="Times New Roman"/>
          <w:b/>
          <w:bCs/>
          <w:lang w:val="es-ES"/>
        </w:rPr>
        <w:t xml:space="preserve">                  Concepto C–234</w:t>
      </w:r>
      <w:r w:rsidRPr="00A12CB6">
        <w:rPr>
          <w:rFonts w:ascii="Verdana" w:eastAsia="Calibri" w:hAnsi="Verdana" w:cs="Times New Roman"/>
          <w:b/>
          <w:bCs/>
          <w:lang w:val="es-ES"/>
        </w:rPr>
        <w:t xml:space="preserve"> de 2025</w:t>
      </w:r>
    </w:p>
    <w:p w14:paraId="08D2D20A" w14:textId="77777777" w:rsidR="000754B0" w:rsidRPr="00A12CB6" w:rsidRDefault="000754B0" w:rsidP="000754B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754B0" w:rsidRPr="00A12CB6" w14:paraId="47B47E96" w14:textId="77777777" w:rsidTr="005907A3">
        <w:trPr>
          <w:trHeight w:val="884"/>
        </w:trPr>
        <w:tc>
          <w:tcPr>
            <w:tcW w:w="2685" w:type="dxa"/>
            <w:hideMark/>
          </w:tcPr>
          <w:p w14:paraId="1AD0838E" w14:textId="77777777" w:rsidR="000754B0" w:rsidRPr="00A12CB6" w:rsidRDefault="000754B0" w:rsidP="005907A3">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4C53A1B9" w14:textId="6F6D7839" w:rsidR="000754B0" w:rsidRPr="00E163A0" w:rsidRDefault="00E163A0" w:rsidP="00571B82">
            <w:pPr>
              <w:spacing w:line="276" w:lineRule="auto"/>
              <w:jc w:val="both"/>
              <w:rPr>
                <w:rFonts w:ascii="Verdana" w:hAnsi="Verdana" w:cs="Arial"/>
                <w:bCs/>
                <w:color w:val="000000" w:themeColor="text1"/>
                <w:lang w:val="es-ES"/>
              </w:rPr>
            </w:pPr>
            <w:r w:rsidRPr="00E163A0">
              <w:rPr>
                <w:rFonts w:ascii="Verdana" w:hAnsi="Verdana" w:cs="Arial"/>
                <w:bCs/>
                <w:color w:val="000000" w:themeColor="text1"/>
                <w:lang w:val="es-ES"/>
              </w:rPr>
              <w:t>CONTRATO</w:t>
            </w:r>
            <w:r>
              <w:rPr>
                <w:rFonts w:ascii="Verdana" w:hAnsi="Verdana" w:cs="Arial"/>
                <w:bCs/>
                <w:color w:val="000000" w:themeColor="text1"/>
                <w:lang w:val="es-ES"/>
              </w:rPr>
              <w:t xml:space="preserve"> </w:t>
            </w:r>
            <w:r w:rsidRPr="00E163A0">
              <w:rPr>
                <w:rFonts w:ascii="Verdana" w:hAnsi="Verdana" w:cs="Arial"/>
                <w:bCs/>
                <w:color w:val="000000" w:themeColor="text1"/>
                <w:lang w:val="es-ES"/>
              </w:rPr>
              <w:t>INTERADMINISTRATIVO</w:t>
            </w:r>
            <w:r>
              <w:rPr>
                <w:rFonts w:ascii="Verdana" w:hAnsi="Verdana" w:cs="Arial"/>
                <w:bCs/>
                <w:color w:val="000000" w:themeColor="text1"/>
                <w:lang w:val="es-ES"/>
              </w:rPr>
              <w:t xml:space="preserve"> </w:t>
            </w:r>
            <w:r w:rsidRPr="00E163A0">
              <w:rPr>
                <w:rFonts w:ascii="Verdana" w:hAnsi="Verdana" w:cs="Arial"/>
                <w:bCs/>
                <w:color w:val="000000" w:themeColor="text1"/>
                <w:lang w:val="es-ES"/>
              </w:rPr>
              <w:t>–</w:t>
            </w:r>
            <w:r>
              <w:rPr>
                <w:rFonts w:ascii="Verdana" w:hAnsi="Verdana" w:cs="Arial"/>
                <w:bCs/>
                <w:color w:val="000000" w:themeColor="text1"/>
                <w:lang w:val="es-ES"/>
              </w:rPr>
              <w:t xml:space="preserve"> </w:t>
            </w:r>
            <w:r w:rsidRPr="00E163A0">
              <w:rPr>
                <w:rFonts w:ascii="Verdana" w:hAnsi="Verdana" w:cs="Arial"/>
                <w:bCs/>
                <w:color w:val="000000" w:themeColor="text1"/>
                <w:lang w:val="es-ES"/>
              </w:rPr>
              <w:t>Concepto –Régimen – Criterio orgánico / CONTRATO DE MANDATO- – Noción – Definición – Mandato – autonomía de la voluntad /</w:t>
            </w:r>
            <w:r>
              <w:rPr>
                <w:rFonts w:ascii="Verdana" w:hAnsi="Verdana" w:cs="Arial"/>
                <w:bCs/>
                <w:color w:val="000000" w:themeColor="text1"/>
                <w:lang w:val="es-ES"/>
              </w:rPr>
              <w:t xml:space="preserve"> </w:t>
            </w:r>
            <w:r w:rsidRPr="00E163A0">
              <w:rPr>
                <w:rFonts w:ascii="Verdana" w:hAnsi="Verdana" w:cs="Arial"/>
                <w:bCs/>
                <w:color w:val="000000" w:themeColor="text1"/>
                <w:lang w:val="es-ES"/>
              </w:rPr>
              <w:t>CONTRATO</w:t>
            </w:r>
            <w:r>
              <w:rPr>
                <w:rFonts w:ascii="Verdana" w:hAnsi="Verdana" w:cs="Arial"/>
                <w:bCs/>
                <w:color w:val="000000" w:themeColor="text1"/>
                <w:lang w:val="es-ES"/>
              </w:rPr>
              <w:t xml:space="preserve"> </w:t>
            </w:r>
            <w:r w:rsidRPr="00E163A0">
              <w:rPr>
                <w:rFonts w:ascii="Verdana" w:hAnsi="Verdana" w:cs="Arial"/>
                <w:bCs/>
                <w:color w:val="000000" w:themeColor="text1"/>
                <w:lang w:val="es-ES"/>
              </w:rPr>
              <w:t>INTERADMINISTRATIVO</w:t>
            </w:r>
            <w:r>
              <w:rPr>
                <w:rFonts w:ascii="Verdana" w:hAnsi="Verdana" w:cs="Arial"/>
                <w:bCs/>
                <w:color w:val="000000" w:themeColor="text1"/>
                <w:lang w:val="es-ES"/>
              </w:rPr>
              <w:t xml:space="preserve"> </w:t>
            </w:r>
            <w:r w:rsidRPr="00E163A0">
              <w:rPr>
                <w:rFonts w:ascii="Verdana" w:hAnsi="Verdana" w:cs="Arial"/>
                <w:bCs/>
                <w:color w:val="000000" w:themeColor="text1"/>
                <w:lang w:val="es-ES"/>
              </w:rPr>
              <w:t xml:space="preserve">–Empresas </w:t>
            </w:r>
            <w:r>
              <w:rPr>
                <w:rFonts w:ascii="Verdana" w:hAnsi="Verdana" w:cs="Arial"/>
                <w:bCs/>
                <w:color w:val="000000" w:themeColor="text1"/>
                <w:lang w:val="es-ES"/>
              </w:rPr>
              <w:t xml:space="preserve">Industriales </w:t>
            </w:r>
            <w:r w:rsidRPr="00E163A0">
              <w:rPr>
                <w:rFonts w:ascii="Verdana" w:hAnsi="Verdana" w:cs="Arial"/>
                <w:bCs/>
                <w:color w:val="000000" w:themeColor="text1"/>
                <w:lang w:val="es-ES"/>
              </w:rPr>
              <w:t xml:space="preserve">y </w:t>
            </w:r>
            <w:r>
              <w:rPr>
                <w:rFonts w:ascii="Verdana" w:hAnsi="Verdana" w:cs="Arial"/>
                <w:bCs/>
                <w:color w:val="000000" w:themeColor="text1"/>
                <w:lang w:val="es-ES"/>
              </w:rPr>
              <w:t xml:space="preserve">Comerciales </w:t>
            </w:r>
            <w:r w:rsidRPr="00E163A0">
              <w:rPr>
                <w:rFonts w:ascii="Verdana" w:hAnsi="Verdana" w:cs="Arial"/>
                <w:bCs/>
                <w:color w:val="000000" w:themeColor="text1"/>
                <w:lang w:val="es-ES"/>
              </w:rPr>
              <w:t>del Estado – excepciones - capacidad.</w:t>
            </w:r>
          </w:p>
        </w:tc>
        <w:tc>
          <w:tcPr>
            <w:tcW w:w="6237" w:type="dxa"/>
          </w:tcPr>
          <w:p w14:paraId="3F700675" w14:textId="77777777" w:rsidR="000754B0" w:rsidRPr="00A12CB6" w:rsidRDefault="000754B0" w:rsidP="005907A3">
            <w:pPr>
              <w:spacing w:line="256" w:lineRule="auto"/>
              <w:rPr>
                <w:rFonts w:ascii="Verdana" w:hAnsi="Verdana"/>
              </w:rPr>
            </w:pPr>
          </w:p>
        </w:tc>
      </w:tr>
      <w:tr w:rsidR="000754B0" w:rsidRPr="00A12CB6" w14:paraId="28FB0DAF" w14:textId="77777777" w:rsidTr="005907A3">
        <w:tc>
          <w:tcPr>
            <w:tcW w:w="2685" w:type="dxa"/>
          </w:tcPr>
          <w:p w14:paraId="7269104A" w14:textId="77777777" w:rsidR="000754B0" w:rsidRPr="00A12CB6" w:rsidRDefault="000754B0" w:rsidP="005907A3">
            <w:pPr>
              <w:spacing w:line="256" w:lineRule="auto"/>
              <w:rPr>
                <w:rFonts w:ascii="Verdana" w:hAnsi="Verdana"/>
                <w:lang w:val="es-ES_tradnl"/>
              </w:rPr>
            </w:pPr>
          </w:p>
          <w:p w14:paraId="43A2D1E1" w14:textId="77777777" w:rsidR="000754B0" w:rsidRPr="00A12CB6" w:rsidRDefault="000754B0" w:rsidP="005907A3">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585A8D43" w14:textId="77777777" w:rsidR="000754B0" w:rsidRPr="00A12CB6" w:rsidRDefault="000754B0" w:rsidP="005907A3">
            <w:pPr>
              <w:spacing w:line="257" w:lineRule="auto"/>
              <w:rPr>
                <w:rFonts w:ascii="Verdana" w:hAnsi="Verdana"/>
                <w:lang w:val="es-ES_tradnl"/>
              </w:rPr>
            </w:pPr>
          </w:p>
          <w:p w14:paraId="431D5B00" w14:textId="4A891ABC" w:rsidR="00164A65" w:rsidRPr="00164A65" w:rsidRDefault="000754B0" w:rsidP="00F3156C">
            <w:pPr>
              <w:spacing w:line="257" w:lineRule="auto"/>
              <w:jc w:val="both"/>
              <w:rPr>
                <w:rFonts w:ascii="Verdana" w:hAnsi="Verdana"/>
                <w:lang w:val="en-US"/>
              </w:rPr>
            </w:pPr>
            <w:r w:rsidRPr="00A12CB6">
              <w:rPr>
                <w:rFonts w:ascii="Verdana" w:hAnsi="Verdana"/>
                <w:lang w:val="es-ES_tradnl"/>
              </w:rPr>
              <w:t xml:space="preserve">Respuesta a consulta con radicado No. </w:t>
            </w:r>
            <w:r w:rsidR="0038606D" w:rsidRPr="0038606D">
              <w:rPr>
                <w:rFonts w:ascii="Verdana" w:hAnsi="Verdana"/>
              </w:rPr>
              <w:t>P20250224001802</w:t>
            </w:r>
          </w:p>
          <w:p w14:paraId="46AA45A6" w14:textId="6FF436F9" w:rsidR="000754B0" w:rsidRPr="00A12CB6" w:rsidRDefault="000754B0" w:rsidP="005907A3">
            <w:pPr>
              <w:spacing w:line="257" w:lineRule="auto"/>
              <w:jc w:val="both"/>
              <w:rPr>
                <w:rFonts w:ascii="Verdana" w:hAnsi="Verdana"/>
              </w:rPr>
            </w:pPr>
          </w:p>
          <w:p w14:paraId="0D3EBC3D" w14:textId="77777777" w:rsidR="000754B0" w:rsidRPr="00A12CB6" w:rsidRDefault="000754B0" w:rsidP="005907A3">
            <w:pPr>
              <w:spacing w:line="257" w:lineRule="auto"/>
              <w:jc w:val="both"/>
              <w:rPr>
                <w:rFonts w:ascii="Verdana" w:hAnsi="Verdana"/>
              </w:rPr>
            </w:pPr>
          </w:p>
        </w:tc>
        <w:tc>
          <w:tcPr>
            <w:tcW w:w="6237" w:type="dxa"/>
          </w:tcPr>
          <w:p w14:paraId="3AC815DA" w14:textId="77777777" w:rsidR="000754B0" w:rsidRPr="00A12CB6" w:rsidRDefault="000754B0" w:rsidP="005907A3">
            <w:pPr>
              <w:spacing w:line="256" w:lineRule="auto"/>
              <w:rPr>
                <w:rFonts w:ascii="Verdana" w:hAnsi="Verdana"/>
                <w:lang w:val="es-ES_tradnl"/>
              </w:rPr>
            </w:pPr>
          </w:p>
        </w:tc>
      </w:tr>
    </w:tbl>
    <w:p w14:paraId="7C6CA079" w14:textId="6B818714" w:rsidR="000754B0" w:rsidRPr="00A12CB6" w:rsidRDefault="00296562" w:rsidP="000754B0">
      <w:pPr>
        <w:spacing w:after="0" w:line="256" w:lineRule="auto"/>
        <w:rPr>
          <w:rFonts w:ascii="Verdana" w:eastAsia="Calibri" w:hAnsi="Verdana" w:cs="Times New Roman"/>
          <w:lang w:val="es-ES"/>
        </w:rPr>
      </w:pPr>
      <w:r>
        <w:rPr>
          <w:rFonts w:ascii="Verdana" w:eastAsia="Calibri" w:hAnsi="Verdana" w:cs="Times New Roman"/>
          <w:lang w:val="es-ES"/>
        </w:rPr>
        <w:t>E</w:t>
      </w:r>
      <w:r w:rsidR="003469FD">
        <w:rPr>
          <w:rFonts w:ascii="Verdana" w:eastAsia="Calibri" w:hAnsi="Verdana" w:cs="Times New Roman"/>
          <w:lang w:val="es-ES"/>
        </w:rPr>
        <w:t>stimado</w:t>
      </w:r>
      <w:r w:rsidR="000754B0" w:rsidRPr="003469FD">
        <w:rPr>
          <w:rFonts w:ascii="Verdana" w:eastAsia="Calibri" w:hAnsi="Verdana" w:cs="Times New Roman"/>
          <w:lang w:val="es-ES"/>
        </w:rPr>
        <w:t>:</w:t>
      </w:r>
      <w:r w:rsidR="000754B0" w:rsidRPr="00A12CB6">
        <w:rPr>
          <w:rFonts w:ascii="Verdana" w:eastAsia="Calibri" w:hAnsi="Verdana" w:cs="Times New Roman"/>
          <w:lang w:val="es-ES"/>
        </w:rPr>
        <w:t xml:space="preserve"> </w:t>
      </w:r>
    </w:p>
    <w:p w14:paraId="6E552FE0" w14:textId="77777777" w:rsidR="000754B0" w:rsidRPr="00A12CB6" w:rsidRDefault="000754B0" w:rsidP="000754B0">
      <w:pPr>
        <w:spacing w:after="0" w:line="256" w:lineRule="auto"/>
        <w:rPr>
          <w:rFonts w:ascii="Verdana" w:eastAsia="Calibri" w:hAnsi="Verdana" w:cs="Times New Roman"/>
          <w:lang w:val="es-ES"/>
        </w:rPr>
      </w:pPr>
    </w:p>
    <w:p w14:paraId="771AB6B0" w14:textId="54562291" w:rsidR="000754B0" w:rsidRDefault="000754B0" w:rsidP="0039784B">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sidR="0038606D">
        <w:rPr>
          <w:rFonts w:ascii="Verdana" w:eastAsia="Calibri" w:hAnsi="Verdana" w:cs="Times New Roman"/>
          <w:lang w:val="es-ES"/>
        </w:rPr>
        <w:t>ud de consulta presentada el 24</w:t>
      </w:r>
      <w:r w:rsidR="0039784B">
        <w:rPr>
          <w:rFonts w:ascii="Verdana" w:eastAsia="Calibri" w:hAnsi="Verdana" w:cs="Times New Roman"/>
          <w:lang w:val="es-ES"/>
        </w:rPr>
        <w:t xml:space="preserve"> de febrero de 2025</w:t>
      </w:r>
      <w:r w:rsidRPr="00A12061">
        <w:rPr>
          <w:rFonts w:ascii="Verdana" w:eastAsia="Calibri" w:hAnsi="Verdana" w:cs="Times New Roman"/>
          <w:lang w:val="es-ES"/>
        </w:rPr>
        <w:t>, en la cual manifiesta lo siguiente:</w:t>
      </w:r>
      <w:r w:rsidRPr="000D6D0E">
        <w:rPr>
          <w:rFonts w:ascii="Verdana" w:eastAsia="Calibri" w:hAnsi="Verdana" w:cs="Times New Roman"/>
        </w:rPr>
        <w:t xml:space="preserve"> </w:t>
      </w:r>
    </w:p>
    <w:p w14:paraId="1F91216B" w14:textId="77777777" w:rsidR="0039784B" w:rsidRDefault="0039784B" w:rsidP="0039784B">
      <w:pPr>
        <w:spacing w:after="0" w:line="276" w:lineRule="auto"/>
        <w:jc w:val="both"/>
        <w:rPr>
          <w:rFonts w:ascii="Verdana" w:eastAsia="Calibri" w:hAnsi="Verdana" w:cs="Times New Roman"/>
        </w:rPr>
      </w:pPr>
    </w:p>
    <w:p w14:paraId="7310C935" w14:textId="7436A25A" w:rsidR="0038606D" w:rsidRPr="0038606D" w:rsidRDefault="000754B0" w:rsidP="0038606D">
      <w:pPr>
        <w:spacing w:after="0" w:line="240" w:lineRule="auto"/>
        <w:ind w:left="709" w:right="709"/>
        <w:jc w:val="both"/>
        <w:rPr>
          <w:rFonts w:ascii="Verdana" w:eastAsia="Calibri" w:hAnsi="Verdana" w:cs="Times New Roman"/>
          <w:i/>
          <w:iCs/>
          <w:sz w:val="20"/>
        </w:rPr>
      </w:pPr>
      <w:r w:rsidRPr="0005204F">
        <w:rPr>
          <w:rFonts w:ascii="Verdana" w:eastAsia="Calibri" w:hAnsi="Verdana" w:cs="Times New Roman"/>
          <w:i/>
          <w:iCs/>
          <w:sz w:val="20"/>
        </w:rPr>
        <w:t>“</w:t>
      </w:r>
      <w:r w:rsidR="0038606D" w:rsidRPr="0038606D">
        <w:rPr>
          <w:rFonts w:ascii="Verdana" w:eastAsia="Calibri" w:hAnsi="Verdana" w:cs="Times New Roman"/>
          <w:i/>
          <w:iCs/>
          <w:sz w:val="20"/>
        </w:rPr>
        <w:t>Respecto a la delegación de funciones en co</w:t>
      </w:r>
      <w:r w:rsidR="0038606D">
        <w:rPr>
          <w:rFonts w:ascii="Verdana" w:eastAsia="Calibri" w:hAnsi="Verdana" w:cs="Times New Roman"/>
          <w:i/>
          <w:iCs/>
          <w:sz w:val="20"/>
        </w:rPr>
        <w:t xml:space="preserve">ntratos interadministrativos de </w:t>
      </w:r>
      <w:r w:rsidR="0038606D" w:rsidRPr="0038606D">
        <w:rPr>
          <w:rFonts w:ascii="Verdana" w:eastAsia="Calibri" w:hAnsi="Verdana" w:cs="Times New Roman"/>
          <w:i/>
          <w:iCs/>
          <w:sz w:val="20"/>
        </w:rPr>
        <w:t>mandato sin representación de gerencia de recursos:</w:t>
      </w:r>
    </w:p>
    <w:p w14:paraId="37AA6C56" w14:textId="008EE374" w:rsidR="0038606D" w:rsidRPr="0038606D" w:rsidRDefault="0038606D" w:rsidP="0038606D">
      <w:pPr>
        <w:spacing w:after="0" w:line="240" w:lineRule="auto"/>
        <w:ind w:left="709" w:right="709"/>
        <w:jc w:val="both"/>
        <w:rPr>
          <w:rFonts w:ascii="Verdana" w:eastAsia="Calibri" w:hAnsi="Verdana" w:cs="Times New Roman"/>
          <w:i/>
          <w:iCs/>
          <w:sz w:val="20"/>
        </w:rPr>
      </w:pPr>
      <w:r w:rsidRPr="0038606D">
        <w:rPr>
          <w:rFonts w:ascii="Verdana" w:eastAsia="Calibri" w:hAnsi="Verdana" w:cs="Times New Roman"/>
          <w:i/>
          <w:iCs/>
          <w:sz w:val="20"/>
        </w:rPr>
        <w:t>¿Es conforme con lo dispuesto en el artículo 92 de la Ley 136 de 1994, modificado</w:t>
      </w:r>
      <w:r>
        <w:rPr>
          <w:rFonts w:ascii="Verdana" w:eastAsia="Calibri" w:hAnsi="Verdana" w:cs="Times New Roman"/>
          <w:i/>
          <w:iCs/>
          <w:sz w:val="20"/>
        </w:rPr>
        <w:t xml:space="preserve"> </w:t>
      </w:r>
      <w:r w:rsidRPr="0038606D">
        <w:rPr>
          <w:rFonts w:ascii="Verdana" w:eastAsia="Calibri" w:hAnsi="Verdana" w:cs="Times New Roman"/>
          <w:i/>
          <w:iCs/>
          <w:sz w:val="20"/>
        </w:rPr>
        <w:t>por la Ley 1551 de 2012, la delegación por parte de la administración municipal, a</w:t>
      </w:r>
      <w:r>
        <w:rPr>
          <w:rFonts w:ascii="Verdana" w:eastAsia="Calibri" w:hAnsi="Verdana" w:cs="Times New Roman"/>
          <w:i/>
          <w:iCs/>
          <w:sz w:val="20"/>
        </w:rPr>
        <w:t xml:space="preserve"> </w:t>
      </w:r>
      <w:r w:rsidRPr="0038606D">
        <w:rPr>
          <w:rFonts w:ascii="Verdana" w:eastAsia="Calibri" w:hAnsi="Verdana" w:cs="Times New Roman"/>
          <w:i/>
          <w:iCs/>
          <w:sz w:val="20"/>
        </w:rPr>
        <w:t>través de contratos interadministrativos de mandato sin representación, de las</w:t>
      </w:r>
      <w:r>
        <w:rPr>
          <w:rFonts w:ascii="Verdana" w:eastAsia="Calibri" w:hAnsi="Verdana" w:cs="Times New Roman"/>
          <w:i/>
          <w:iCs/>
          <w:sz w:val="20"/>
        </w:rPr>
        <w:t xml:space="preserve"> </w:t>
      </w:r>
      <w:r w:rsidRPr="0038606D">
        <w:rPr>
          <w:rFonts w:ascii="Verdana" w:eastAsia="Calibri" w:hAnsi="Verdana" w:cs="Times New Roman"/>
          <w:i/>
          <w:iCs/>
          <w:sz w:val="20"/>
        </w:rPr>
        <w:t>funciones de selección de contratistas mediante contratos derivados y el recaudo de</w:t>
      </w:r>
      <w:r>
        <w:rPr>
          <w:rFonts w:ascii="Verdana" w:eastAsia="Calibri" w:hAnsi="Verdana" w:cs="Times New Roman"/>
          <w:i/>
          <w:iCs/>
          <w:sz w:val="20"/>
        </w:rPr>
        <w:t xml:space="preserve"> </w:t>
      </w:r>
      <w:r w:rsidRPr="0038606D">
        <w:rPr>
          <w:rFonts w:ascii="Verdana" w:eastAsia="Calibri" w:hAnsi="Verdana" w:cs="Times New Roman"/>
          <w:i/>
          <w:iCs/>
          <w:sz w:val="20"/>
        </w:rPr>
        <w:t>estampillas de carácter municipal? En particular, ¿es válida dicha delegación</w:t>
      </w:r>
      <w:r>
        <w:rPr>
          <w:rFonts w:ascii="Verdana" w:eastAsia="Calibri" w:hAnsi="Verdana" w:cs="Times New Roman"/>
          <w:i/>
          <w:iCs/>
          <w:sz w:val="20"/>
        </w:rPr>
        <w:t xml:space="preserve"> </w:t>
      </w:r>
      <w:r w:rsidRPr="0038606D">
        <w:rPr>
          <w:rFonts w:ascii="Verdana" w:eastAsia="Calibri" w:hAnsi="Verdana" w:cs="Times New Roman"/>
          <w:i/>
          <w:iCs/>
          <w:sz w:val="20"/>
        </w:rPr>
        <w:t>teniendo en cuenta que la Ley establece que el Alcalde solo podrán delegar</w:t>
      </w:r>
      <w:r>
        <w:rPr>
          <w:rFonts w:ascii="Verdana" w:eastAsia="Calibri" w:hAnsi="Verdana" w:cs="Times New Roman"/>
          <w:i/>
          <w:iCs/>
          <w:sz w:val="20"/>
        </w:rPr>
        <w:t xml:space="preserve"> </w:t>
      </w:r>
      <w:r w:rsidRPr="0038606D">
        <w:rPr>
          <w:rFonts w:ascii="Verdana" w:eastAsia="Calibri" w:hAnsi="Verdana" w:cs="Times New Roman"/>
          <w:i/>
          <w:iCs/>
          <w:sz w:val="20"/>
        </w:rPr>
        <w:t>funciones en sus en los secretarios de la alcaldía y en los jefes de los departamentos</w:t>
      </w:r>
      <w:r>
        <w:rPr>
          <w:rFonts w:ascii="Verdana" w:eastAsia="Calibri" w:hAnsi="Verdana" w:cs="Times New Roman"/>
          <w:i/>
          <w:iCs/>
          <w:sz w:val="20"/>
        </w:rPr>
        <w:t xml:space="preserve"> </w:t>
      </w:r>
      <w:r w:rsidRPr="0038606D">
        <w:rPr>
          <w:rFonts w:ascii="Verdana" w:eastAsia="Calibri" w:hAnsi="Verdana" w:cs="Times New Roman"/>
          <w:i/>
          <w:iCs/>
          <w:sz w:val="20"/>
        </w:rPr>
        <w:t>administrativos?</w:t>
      </w:r>
    </w:p>
    <w:p w14:paraId="200AFBC8" w14:textId="77777777" w:rsidR="0038606D" w:rsidRPr="0038606D" w:rsidRDefault="0038606D" w:rsidP="0038606D">
      <w:pPr>
        <w:spacing w:after="0" w:line="240" w:lineRule="auto"/>
        <w:ind w:left="709" w:right="709"/>
        <w:jc w:val="both"/>
        <w:rPr>
          <w:rFonts w:ascii="Verdana" w:eastAsia="Calibri" w:hAnsi="Verdana" w:cs="Times New Roman"/>
          <w:i/>
          <w:iCs/>
          <w:sz w:val="20"/>
        </w:rPr>
      </w:pPr>
      <w:r w:rsidRPr="0038606D">
        <w:rPr>
          <w:rFonts w:ascii="Verdana" w:eastAsia="Calibri" w:hAnsi="Verdana" w:cs="Times New Roman"/>
          <w:i/>
          <w:iCs/>
          <w:sz w:val="20"/>
        </w:rPr>
        <w:t>2. Respecto a la celebración de contratos interadministrativos por una</w:t>
      </w:r>
    </w:p>
    <w:p w14:paraId="4A55E386" w14:textId="77777777" w:rsidR="004B25A9" w:rsidRDefault="0038606D" w:rsidP="004B25A9">
      <w:pPr>
        <w:spacing w:after="0" w:line="240" w:lineRule="auto"/>
        <w:ind w:left="709" w:right="709"/>
        <w:jc w:val="both"/>
        <w:rPr>
          <w:rFonts w:ascii="Verdana" w:eastAsia="Calibri" w:hAnsi="Verdana" w:cs="Times New Roman"/>
          <w:i/>
          <w:iCs/>
          <w:sz w:val="20"/>
        </w:rPr>
      </w:pPr>
      <w:r w:rsidRPr="0038606D">
        <w:rPr>
          <w:rFonts w:ascii="Verdana" w:eastAsia="Calibri" w:hAnsi="Verdana" w:cs="Times New Roman"/>
          <w:i/>
          <w:iCs/>
          <w:sz w:val="20"/>
        </w:rPr>
        <w:t>empresa industrial y comercial del Estado municipal:</w:t>
      </w:r>
      <w:r w:rsidR="004B25A9">
        <w:rPr>
          <w:rFonts w:ascii="Verdana" w:eastAsia="Calibri" w:hAnsi="Verdana" w:cs="Times New Roman"/>
          <w:i/>
          <w:iCs/>
          <w:sz w:val="20"/>
        </w:rPr>
        <w:t xml:space="preserve"> </w:t>
      </w:r>
    </w:p>
    <w:p w14:paraId="53734561" w14:textId="40C7C178" w:rsidR="000754B0" w:rsidRDefault="0038606D" w:rsidP="004B25A9">
      <w:pPr>
        <w:spacing w:after="0" w:line="240" w:lineRule="auto"/>
        <w:ind w:left="709" w:right="709"/>
        <w:jc w:val="both"/>
        <w:rPr>
          <w:rFonts w:ascii="Verdana" w:eastAsia="Calibri" w:hAnsi="Verdana" w:cs="Times New Roman"/>
          <w:i/>
          <w:iCs/>
          <w:sz w:val="20"/>
        </w:rPr>
      </w:pPr>
      <w:r w:rsidRPr="0038606D">
        <w:rPr>
          <w:rFonts w:ascii="Verdana" w:eastAsia="Calibri" w:hAnsi="Verdana" w:cs="Times New Roman"/>
          <w:i/>
          <w:iCs/>
          <w:sz w:val="20"/>
        </w:rPr>
        <w:lastRenderedPageBreak/>
        <w:t>¿Es procedente que una empresa industrial y comercial del Estado de orden</w:t>
      </w:r>
      <w:r>
        <w:rPr>
          <w:rFonts w:ascii="Verdana" w:eastAsia="Calibri" w:hAnsi="Verdana" w:cs="Times New Roman"/>
          <w:i/>
          <w:iCs/>
          <w:sz w:val="20"/>
        </w:rPr>
        <w:t xml:space="preserve"> </w:t>
      </w:r>
      <w:r w:rsidRPr="0038606D">
        <w:rPr>
          <w:rFonts w:ascii="Verdana" w:eastAsia="Calibri" w:hAnsi="Verdana" w:cs="Times New Roman"/>
          <w:i/>
          <w:iCs/>
          <w:sz w:val="20"/>
        </w:rPr>
        <w:t>municipal celebre contratos interadministrativos con una entida</w:t>
      </w:r>
      <w:r>
        <w:rPr>
          <w:rFonts w:ascii="Verdana" w:eastAsia="Calibri" w:hAnsi="Verdana" w:cs="Times New Roman"/>
          <w:i/>
          <w:iCs/>
          <w:sz w:val="20"/>
        </w:rPr>
        <w:t>d?”</w:t>
      </w:r>
    </w:p>
    <w:p w14:paraId="3122FEBD" w14:textId="77777777" w:rsidR="0038606D" w:rsidRPr="0038606D" w:rsidRDefault="0038606D" w:rsidP="0038606D">
      <w:pPr>
        <w:spacing w:after="0" w:line="240" w:lineRule="auto"/>
        <w:ind w:left="709" w:right="709"/>
        <w:jc w:val="both"/>
        <w:rPr>
          <w:rFonts w:ascii="Verdana" w:eastAsia="Calibri" w:hAnsi="Verdana" w:cs="Times New Roman"/>
          <w:i/>
          <w:iCs/>
          <w:sz w:val="20"/>
        </w:rPr>
      </w:pPr>
    </w:p>
    <w:p w14:paraId="0839731B" w14:textId="77777777" w:rsidR="000754B0" w:rsidRPr="00A12CB6" w:rsidRDefault="000754B0" w:rsidP="000754B0">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F01969F" w14:textId="77777777" w:rsidR="000754B0" w:rsidRPr="00A12CB6" w:rsidRDefault="000754B0" w:rsidP="000754B0">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AFC1400" w14:textId="77777777" w:rsidR="000754B0" w:rsidRPr="00A12CB6" w:rsidRDefault="000754B0" w:rsidP="000754B0">
      <w:pPr>
        <w:spacing w:after="0" w:line="256" w:lineRule="auto"/>
        <w:rPr>
          <w:rFonts w:ascii="Verdana" w:eastAsia="Calibri" w:hAnsi="Verdana" w:cs="Times New Roman"/>
          <w:lang w:val="es-ES"/>
        </w:rPr>
      </w:pPr>
    </w:p>
    <w:p w14:paraId="53980D5B" w14:textId="77777777" w:rsidR="000754B0" w:rsidRPr="00A12CB6" w:rsidRDefault="000754B0" w:rsidP="000754B0">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0B452F3C" w14:textId="77777777" w:rsidR="000754B0" w:rsidRPr="00A12CB6" w:rsidRDefault="000754B0" w:rsidP="000754B0">
      <w:pPr>
        <w:spacing w:after="0" w:line="256" w:lineRule="auto"/>
        <w:rPr>
          <w:rFonts w:ascii="Verdana" w:eastAsia="Calibri" w:hAnsi="Verdana" w:cs="Times New Roman"/>
        </w:rPr>
      </w:pPr>
    </w:p>
    <w:p w14:paraId="7831B5BC" w14:textId="58C5D8DB" w:rsidR="000754B0" w:rsidRPr="00845347" w:rsidRDefault="000754B0" w:rsidP="000754B0">
      <w:pPr>
        <w:spacing w:after="0" w:line="276" w:lineRule="auto"/>
        <w:jc w:val="both"/>
        <w:rPr>
          <w:rFonts w:ascii="Verdana" w:eastAsia="Calibri" w:hAnsi="Verdana" w:cs="Times New Roman"/>
          <w:i/>
          <w:iCs/>
        </w:rPr>
      </w:pPr>
      <w:r w:rsidRPr="00A12CB6">
        <w:rPr>
          <w:rFonts w:ascii="Verdana" w:eastAsia="Calibri" w:hAnsi="Verdana" w:cs="Times New Roman"/>
        </w:rPr>
        <w:t>De acuerdo con el contenido de su solicitud, esta Agencia procede a resolver</w:t>
      </w:r>
      <w:r w:rsidR="0038606D">
        <w:rPr>
          <w:rFonts w:ascii="Verdana" w:eastAsia="Calibri" w:hAnsi="Verdana" w:cs="Times New Roman"/>
        </w:rPr>
        <w:t xml:space="preserve"> los siguientes problemas jurídicos</w:t>
      </w:r>
      <w:r w:rsidRPr="00A12CB6">
        <w:rPr>
          <w:rFonts w:ascii="Verdana" w:eastAsia="Calibri" w:hAnsi="Verdana" w:cs="Times New Roman"/>
        </w:rPr>
        <w:t xml:space="preserve">: </w:t>
      </w:r>
      <w:r w:rsidR="00ED77C2">
        <w:rPr>
          <w:rFonts w:ascii="Verdana" w:eastAsia="Calibri" w:hAnsi="Verdana" w:cs="Times New Roman"/>
        </w:rPr>
        <w:t>¿Puede una entidad celebrar</w:t>
      </w:r>
      <w:r w:rsidR="00FE6660">
        <w:rPr>
          <w:rFonts w:ascii="Verdana" w:eastAsia="Calibri" w:hAnsi="Verdana" w:cs="Times New Roman"/>
        </w:rPr>
        <w:t xml:space="preserve"> contratos interadministrativos de mandato sin representación de gerencia de recursos? ¿</w:t>
      </w:r>
      <w:r w:rsidR="00ED77C2">
        <w:rPr>
          <w:rFonts w:ascii="Verdana" w:eastAsia="Calibri" w:hAnsi="Verdana" w:cs="Times New Roman"/>
        </w:rPr>
        <w:t>Puede una</w:t>
      </w:r>
      <w:r w:rsidR="00FE6660">
        <w:rPr>
          <w:rFonts w:ascii="Verdana" w:eastAsia="Calibri" w:hAnsi="Verdana" w:cs="Times New Roman"/>
        </w:rPr>
        <w:t xml:space="preserve"> empresa industrial y comercial del Estado</w:t>
      </w:r>
      <w:r w:rsidR="00ED77C2">
        <w:rPr>
          <w:rFonts w:ascii="Verdana" w:eastAsia="Calibri" w:hAnsi="Verdana" w:cs="Times New Roman"/>
        </w:rPr>
        <w:t xml:space="preserve"> independiente de su orden –nacional, departamental, distrital o municipal- celebrar</w:t>
      </w:r>
      <w:r w:rsidR="00FE6660">
        <w:rPr>
          <w:rFonts w:ascii="Verdana" w:eastAsia="Calibri" w:hAnsi="Verdana" w:cs="Times New Roman"/>
        </w:rPr>
        <w:t xml:space="preserve"> contratos interadministrativos? </w:t>
      </w:r>
    </w:p>
    <w:p w14:paraId="37A668E5" w14:textId="0915BD45" w:rsidR="003469FD" w:rsidRPr="00A12CB6" w:rsidRDefault="003469FD" w:rsidP="000754B0">
      <w:pPr>
        <w:spacing w:after="0" w:line="256" w:lineRule="auto"/>
        <w:rPr>
          <w:rFonts w:ascii="Verdana" w:eastAsia="Calibri" w:hAnsi="Verdana" w:cs="Times New Roman"/>
        </w:rPr>
      </w:pPr>
    </w:p>
    <w:p w14:paraId="2FAD170C" w14:textId="77777777" w:rsidR="000754B0" w:rsidRDefault="000754B0" w:rsidP="000754B0">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7CCA8042" w14:textId="0CE2EC66" w:rsidR="000754B0" w:rsidRPr="00A12CB6" w:rsidRDefault="000754B0" w:rsidP="000754B0">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9B3595" w:rsidRPr="001205D1" w14:paraId="53C5924C" w14:textId="77777777" w:rsidTr="009567E2">
        <w:trPr>
          <w:trHeight w:val="870"/>
          <w:jc w:val="center"/>
        </w:trPr>
        <w:tc>
          <w:tcPr>
            <w:tcW w:w="8784" w:type="dxa"/>
            <w:tcBorders>
              <w:bottom w:val="single" w:sz="4" w:space="0" w:color="auto"/>
            </w:tcBorders>
          </w:tcPr>
          <w:p w14:paraId="6FE42EA2" w14:textId="77777777" w:rsidR="00E163A0" w:rsidRDefault="00E163A0" w:rsidP="00E163A0">
            <w:pPr>
              <w:spacing w:after="120"/>
              <w:jc w:val="both"/>
              <w:rPr>
                <w:rFonts w:ascii="Verdana" w:eastAsia="Calibri" w:hAnsi="Verdana" w:cs="Arial"/>
                <w:bCs/>
                <w:lang w:val="es-ES"/>
              </w:rPr>
            </w:pPr>
          </w:p>
          <w:p w14:paraId="61C19942" w14:textId="781A1728" w:rsidR="00E163A0" w:rsidRPr="00E163A0" w:rsidRDefault="00E163A0" w:rsidP="00E163A0">
            <w:pPr>
              <w:spacing w:after="120" w:line="276" w:lineRule="auto"/>
              <w:jc w:val="both"/>
              <w:rPr>
                <w:rFonts w:ascii="Verdana" w:eastAsia="Calibri" w:hAnsi="Verdana" w:cs="Arial"/>
                <w:lang w:val="es-ES"/>
              </w:rPr>
            </w:pPr>
            <w:r>
              <w:rPr>
                <w:rFonts w:ascii="Verdana" w:eastAsia="Calibri" w:hAnsi="Verdana" w:cs="Arial"/>
                <w:bCs/>
                <w:lang w:val="es-ES"/>
              </w:rPr>
              <w:t>i.</w:t>
            </w:r>
            <w:r w:rsidR="007C66AE">
              <w:rPr>
                <w:rFonts w:ascii="Verdana" w:eastAsia="Calibri" w:hAnsi="Verdana" w:cs="Arial"/>
              </w:rPr>
              <w:t xml:space="preserve"> </w:t>
            </w:r>
            <w:r w:rsidRPr="00E163A0">
              <w:rPr>
                <w:rFonts w:ascii="Verdana" w:eastAsia="Calibri" w:hAnsi="Verdana" w:cs="Arial"/>
                <w:lang w:val="es-ES"/>
              </w:rPr>
              <w:t xml:space="preserve">De acuerdo con el problema jurídico objeto de su consulta, es preciso mencionar que las Entidades Estatales regidas por el EGCAP están habilitadas para celebrar los contratos que suelen celebrar los particulares entre sí – como </w:t>
            </w:r>
            <w:r w:rsidRPr="00E163A0">
              <w:rPr>
                <w:rFonts w:ascii="Verdana" w:eastAsia="Calibri" w:hAnsi="Verdana" w:cs="Arial"/>
                <w:lang w:val="es-ES"/>
              </w:rPr>
              <w:lastRenderedPageBreak/>
              <w:t>el de mandato al que se refiere en su pregunta – en ejercicio de la autonomía de la voluntad. En ese sentido, puede ocurrir que dentro del marco de la ley que establece sus competencias, la gestión ordinaria de sus funciones, las entidades tengan necesidades que deban ser satisfechas a través de contratos como el mandato, en los que además de las disposiciones del EGCAP deberán aplicarse en su mayoría normas de derecho privado, lo que de ninguna manera desvirtúa la calidad de estatal de dichos contratos, ni que exista una delegación de funciones. En estos términos, las entidades públicas, como es el caso de las entidades territoriales pueden suscribir contratos con otras entidades públicas, que se denominan interadministrativos para el cumplimiento de sus funciones y finalidades.</w:t>
            </w:r>
          </w:p>
          <w:p w14:paraId="70ECE751" w14:textId="362FD591" w:rsidR="000A3C80" w:rsidRDefault="00E163A0" w:rsidP="00622927">
            <w:pPr>
              <w:spacing w:after="120" w:line="276" w:lineRule="auto"/>
              <w:ind w:firstLine="709"/>
              <w:jc w:val="both"/>
              <w:rPr>
                <w:rFonts w:ascii="Verdana" w:eastAsia="Calibri" w:hAnsi="Verdana" w:cs="Arial"/>
                <w:lang w:val="es-ES"/>
              </w:rPr>
            </w:pPr>
            <w:r w:rsidRPr="00E163A0">
              <w:rPr>
                <w:rFonts w:ascii="Verdana" w:eastAsia="Calibri" w:hAnsi="Verdana" w:cs="Arial"/>
                <w:lang w:val="es-ES"/>
              </w:rPr>
              <w:t>En tal sentido, es posible que las entidades estatales puedan suscribir contratos de mandato, con o sin representación dentro del marco de la ley y de las competencias propias de cada entidad, con el fin de cumplir determinadas necesidades conforme al principio de autonomía de la voluntad de las partes, reconocido en los artículos 13, 32 y 40 de la Ley 80 de 1993, así como en el artículo 1602 del Código Civil, por lo que es viable que las Entidades Estatales celebren estos contratos. De este modo, para la celebración de los contratos interadministrativos de mandato sin representación es indispensable que la entidad ejecutora cuente con un objeto social que le permita desarrollar las actividades a convenir, es por ello que para suscribir un contrato de mandato sin representación debe verificarse que el objeto social de la entidad ejecutora esté relacionado con el objeto contractual específico, enmarcado en la ejecución de proyecto.</w:t>
            </w:r>
          </w:p>
          <w:p w14:paraId="1018FADB" w14:textId="5FCECD6C" w:rsidR="00E163A0" w:rsidRDefault="00E163A0" w:rsidP="00E163A0">
            <w:pPr>
              <w:spacing w:after="120" w:line="276" w:lineRule="auto"/>
              <w:ind w:firstLine="709"/>
              <w:jc w:val="both"/>
              <w:rPr>
                <w:rFonts w:ascii="Verdana" w:eastAsia="Calibri" w:hAnsi="Verdana" w:cs="Arial"/>
                <w:lang w:val="es-ES"/>
              </w:rPr>
            </w:pPr>
            <w:r w:rsidRPr="00E163A0">
              <w:rPr>
                <w:rFonts w:ascii="Verdana" w:eastAsia="Calibri" w:hAnsi="Verdana" w:cs="Arial"/>
                <w:lang w:val="es-ES"/>
              </w:rPr>
              <w:t>Sin embargo, debe precisarse que hay excepciones a esta regla dentro del ordenamiento jurídico establecida en el inciso 2° del literal c) del artículo 2, numeral 4° de la Ley 1150 de 2007–modificado por el artículo 92 de la Ley 1474 de 2011– que dispone: “Se exceptúan los contratos de obra, suministro, prestación de servicios de evaluación de conformidad respecto de las normas o reglamentos técnicos, encargos fiduciarios y fiducia pública cuando las instituciones de educación superior públicas o las Sociedades de Economía</w:t>
            </w:r>
            <w:r>
              <w:rPr>
                <w:rFonts w:ascii="Verdana" w:eastAsia="Calibri" w:hAnsi="Verdana" w:cs="Arial"/>
                <w:lang w:val="es-ES"/>
              </w:rPr>
              <w:t xml:space="preserve"> Mixta </w:t>
            </w:r>
            <w:r w:rsidRPr="00E163A0">
              <w:rPr>
                <w:rFonts w:ascii="Verdana" w:eastAsia="Calibri" w:hAnsi="Verdana" w:cs="Arial"/>
                <w:lang w:val="es-ES"/>
              </w:rPr>
              <w:t xml:space="preserve">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En estos términos, no pueden celebrar </w:t>
            </w:r>
            <w:r w:rsidRPr="00E163A0">
              <w:rPr>
                <w:rFonts w:ascii="Verdana" w:eastAsia="Calibri" w:hAnsi="Verdana" w:cs="Arial"/>
                <w:lang w:val="es-ES"/>
              </w:rPr>
              <w:lastRenderedPageBreak/>
              <w:t>se contratos interadministrativos de manera directa cuyo objeto trate de contrato de obra, suministro, prestación de servicios de evaluación, encargos fiduciarios y fiducia pública, con respecto a cierto tipo de entidades ejecutoras.</w:t>
            </w:r>
          </w:p>
          <w:p w14:paraId="144FDB7C" w14:textId="77777777" w:rsidR="00E163A0" w:rsidRDefault="00E163A0" w:rsidP="00E163A0">
            <w:pPr>
              <w:spacing w:after="120" w:line="276" w:lineRule="auto"/>
              <w:jc w:val="both"/>
              <w:rPr>
                <w:rFonts w:ascii="Verdana" w:eastAsia="Calibri" w:hAnsi="Verdana" w:cs="Arial"/>
                <w:lang w:eastAsia="es-ES_tradnl"/>
              </w:rPr>
            </w:pPr>
          </w:p>
          <w:p w14:paraId="0453B791" w14:textId="0355C5E5" w:rsidR="00E163A0" w:rsidRPr="00E163A0" w:rsidRDefault="00E163A0" w:rsidP="00E163A0">
            <w:pPr>
              <w:spacing w:after="120" w:line="276" w:lineRule="auto"/>
              <w:jc w:val="both"/>
              <w:rPr>
                <w:rFonts w:ascii="Verdana" w:eastAsia="Calibri" w:hAnsi="Verdana" w:cs="Arial"/>
                <w:lang w:eastAsia="es-ES_tradnl"/>
              </w:rPr>
            </w:pPr>
            <w:r>
              <w:rPr>
                <w:rFonts w:ascii="Verdana" w:eastAsia="Calibri" w:hAnsi="Verdana" w:cs="Arial"/>
                <w:lang w:eastAsia="es-ES_tradnl"/>
              </w:rPr>
              <w:t xml:space="preserve">ii. </w:t>
            </w:r>
            <w:r w:rsidRPr="00E163A0">
              <w:rPr>
                <w:rFonts w:ascii="Verdana" w:hAnsi="Verdana" w:cs="Arial"/>
                <w:color w:val="000000" w:themeColor="text1"/>
                <w:lang w:val="es-ES"/>
              </w:rPr>
              <w:t>En torno al segundo problema jurídico objeto de la consulta se señala que una empresa industrial y comercial del Estado puede celebrar contratos interadministrativos previstos en la Ley 80 de 1993, en la Ley 1150 de 2007 y en el Decreto en el 1082 de 2015, por ende puede una entidad estatal sometida al EGCAP celebrar esta clase de negocios jurídicos con una entidad estatal de régimen especial, como es el caso de una empresa industrial y comercial del Estado y no por ello dejará de ostentar tal calidad. Así pues, el contrato interadministrativo en el régimen jurídico vigente de la contratación estatal se define a partir de un criterio eminentemente subjetivo u orgánico, es decir, que un contrato se califica como interadministrativo cuando se celebra por parte de dos o más Entidades Estatales –es decir, por parte de órganos que tienen una naturaleza jurídica pública–, con prescindencia de las normas que regulen la relación contractual.</w:t>
            </w:r>
          </w:p>
          <w:p w14:paraId="000F251C" w14:textId="6AF67729" w:rsidR="00636898" w:rsidRDefault="00636898" w:rsidP="00636898">
            <w:pPr>
              <w:spacing w:after="120" w:line="276" w:lineRule="auto"/>
              <w:ind w:firstLine="709"/>
              <w:jc w:val="both"/>
              <w:rPr>
                <w:rFonts w:ascii="Verdana" w:eastAsia="Calibri" w:hAnsi="Verdana" w:cs="Arial"/>
                <w:lang w:eastAsia="es-ES_tradnl"/>
              </w:rPr>
            </w:pPr>
            <w:r w:rsidRPr="00636898">
              <w:rPr>
                <w:rFonts w:ascii="Verdana" w:eastAsia="Calibri" w:hAnsi="Verdana" w:cs="Arial"/>
                <w:lang w:val="es-ES"/>
              </w:rPr>
              <w:t>De esta manera, las entidades municipales pueden contratar bajo la figura de un contrato interadministrativo con una Empresa Industrial y Comercial del Estado. En todo caso, como se expuso previamente la viabilidad jurídica, técnica y financiera de la suscripción del contrato con una empresa industrial y comercial del Estado deberá analizarse en cada caso concreto, en atención al marco de competencias de las entidades públicas participantes y a los estudios previos que determinen la oportunidad y conveniencia del futuro acuerdo de voluntades. Lo anterior, por cuanto esta Subdirección solo cuenta con competencia para resolver consultas sobre la aplicación de normas de carácter general, y no le corresponde conceptuar sobre la posibilidad de celebrar una modalidad de contrato en un caso específico.</w:t>
            </w:r>
          </w:p>
          <w:p w14:paraId="3148DFFC" w14:textId="5B641496" w:rsidR="007D4CAA" w:rsidRPr="00636898" w:rsidRDefault="007D4CAA" w:rsidP="00E163A0">
            <w:pPr>
              <w:widowControl w:val="0"/>
              <w:autoSpaceDE w:val="0"/>
              <w:autoSpaceDN w:val="0"/>
              <w:spacing w:after="120" w:line="276" w:lineRule="auto"/>
              <w:jc w:val="both"/>
              <w:rPr>
                <w:rFonts w:ascii="Verdana" w:hAnsi="Verdana" w:cs="Arial"/>
                <w:color w:val="000000" w:themeColor="text1"/>
              </w:rPr>
            </w:pPr>
          </w:p>
        </w:tc>
      </w:tr>
    </w:tbl>
    <w:p w14:paraId="42E4FF8A" w14:textId="77777777" w:rsidR="000754B0" w:rsidRPr="00A12CB6" w:rsidRDefault="000754B0" w:rsidP="003469FD">
      <w:pPr>
        <w:spacing w:after="0" w:line="276" w:lineRule="auto"/>
        <w:jc w:val="both"/>
        <w:rPr>
          <w:rFonts w:ascii="Verdana" w:eastAsia="Calibri" w:hAnsi="Verdana" w:cs="Arial"/>
          <w:bCs/>
          <w:color w:val="000000" w:themeColor="text1"/>
        </w:rPr>
      </w:pPr>
    </w:p>
    <w:p w14:paraId="662C3084" w14:textId="77777777" w:rsidR="000754B0" w:rsidRPr="00A12CB6" w:rsidRDefault="000754B0" w:rsidP="000754B0">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484E1A8F" w14:textId="77777777" w:rsidR="000754B0" w:rsidRPr="00A12CB6" w:rsidRDefault="000754B0" w:rsidP="000754B0">
      <w:pPr>
        <w:spacing w:after="0" w:line="256" w:lineRule="auto"/>
        <w:rPr>
          <w:rFonts w:ascii="Verdana" w:eastAsia="Calibri" w:hAnsi="Verdana" w:cs="Times New Roman"/>
          <w:b/>
          <w:bCs/>
          <w:lang w:val="es-ES"/>
        </w:rPr>
      </w:pPr>
    </w:p>
    <w:p w14:paraId="775DBB49" w14:textId="77777777" w:rsidR="000754B0" w:rsidRPr="00A12CB6" w:rsidRDefault="000754B0" w:rsidP="000754B0">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4675B2C5" w14:textId="3ABBDF0D" w:rsidR="001264F4" w:rsidRDefault="001264F4" w:rsidP="001264F4">
      <w:pPr>
        <w:spacing w:after="0" w:line="276" w:lineRule="auto"/>
        <w:jc w:val="both"/>
        <w:rPr>
          <w:rFonts w:ascii="Verdana" w:eastAsia="Calibri" w:hAnsi="Verdana" w:cs="Arial"/>
        </w:rPr>
      </w:pPr>
    </w:p>
    <w:p w14:paraId="2C58164B" w14:textId="7BB1C31A" w:rsidR="001264F4" w:rsidRPr="009E105D" w:rsidRDefault="007A006D" w:rsidP="001264F4">
      <w:pPr>
        <w:widowControl w:val="0"/>
        <w:autoSpaceDE w:val="0"/>
        <w:autoSpaceDN w:val="0"/>
        <w:spacing w:after="120" w:line="276" w:lineRule="auto"/>
        <w:jc w:val="both"/>
        <w:rPr>
          <w:rFonts w:ascii="Verdana" w:eastAsia="Arial" w:hAnsi="Verdana" w:cs="Arial"/>
          <w:lang w:val="es-ES" w:eastAsia="es-ES" w:bidi="es-ES"/>
        </w:rPr>
      </w:pPr>
      <w:r>
        <w:rPr>
          <w:rFonts w:ascii="Verdana" w:eastAsia="Calibri" w:hAnsi="Verdana" w:cs="Arial"/>
        </w:rPr>
        <w:t>i</w:t>
      </w:r>
      <w:r w:rsidR="001264F4">
        <w:rPr>
          <w:rFonts w:ascii="Verdana" w:eastAsia="Calibri" w:hAnsi="Verdana" w:cs="Arial"/>
        </w:rPr>
        <w:t xml:space="preserve">. </w:t>
      </w:r>
      <w:r w:rsidR="001264F4" w:rsidRPr="009E105D">
        <w:rPr>
          <w:rFonts w:ascii="Verdana" w:eastAsia="Arial" w:hAnsi="Verdana" w:cs="Arial"/>
          <w:lang w:val="es-ES" w:eastAsia="es-ES" w:bidi="es-ES"/>
        </w:rPr>
        <w:t>Aunque la ley no la definió ni desarrolló, el Decreto 1082 de 2015 califica a los</w:t>
      </w:r>
      <w:r w:rsidR="001264F4">
        <w:rPr>
          <w:rFonts w:ascii="Verdana" w:eastAsia="Arial" w:hAnsi="Verdana" w:cs="Arial"/>
          <w:lang w:val="es-ES" w:eastAsia="es-ES" w:bidi="es-ES"/>
        </w:rPr>
        <w:t xml:space="preserve"> </w:t>
      </w:r>
      <w:r w:rsidR="001264F4" w:rsidRPr="009E105D">
        <w:rPr>
          <w:rFonts w:ascii="Verdana" w:eastAsia="Arial" w:hAnsi="Verdana" w:cs="Arial"/>
          <w:lang w:val="es-ES" w:eastAsia="es-ES" w:bidi="es-ES"/>
        </w:rPr>
        <w:t xml:space="preserve">contratos interadministrativos como aquella contratación entre entidades </w:t>
      </w:r>
      <w:r w:rsidR="001264F4" w:rsidRPr="009E105D">
        <w:rPr>
          <w:rFonts w:ascii="Verdana" w:eastAsia="Arial" w:hAnsi="Verdana" w:cs="Arial"/>
          <w:lang w:val="es-ES" w:eastAsia="es-ES" w:bidi="es-ES"/>
        </w:rPr>
        <w:lastRenderedPageBreak/>
        <w:t>estatales</w:t>
      </w:r>
      <w:r w:rsidR="001264F4" w:rsidRPr="009E105D">
        <w:rPr>
          <w:rFonts w:ascii="Verdana" w:eastAsia="Arial" w:hAnsi="Verdana" w:cs="Arial"/>
          <w:vertAlign w:val="superscript"/>
          <w:lang w:val="es-ES" w:eastAsia="es-ES" w:bidi="es-ES"/>
        </w:rPr>
        <w:footnoteReference w:id="2"/>
      </w:r>
      <w:r w:rsidR="001264F4" w:rsidRPr="009E105D">
        <w:rPr>
          <w:rFonts w:ascii="Verdana" w:eastAsia="Arial" w:hAnsi="Verdana" w:cs="Arial"/>
          <w:lang w:val="es-ES" w:eastAsia="es-ES" w:bidi="es-ES"/>
        </w:rPr>
        <w:t>. De acuerdo con lo anterior, es el acuerdo donde concurre la voluntad de dos o más personas jurídicas de derecho público con la finalidad de cumplir, en el marco de sus objetivos misionales y sus competencias, con los fines del Estado. Es decir, están determinados por un criterio orgánico, pues es necesario que los extremos de la relación contractual sean entidades</w:t>
      </w:r>
      <w:r w:rsidR="001264F4" w:rsidRPr="009E105D">
        <w:rPr>
          <w:rFonts w:ascii="Verdana" w:eastAsia="Arial" w:hAnsi="Verdana" w:cs="Arial"/>
          <w:spacing w:val="-6"/>
          <w:lang w:val="es-ES" w:eastAsia="es-ES" w:bidi="es-ES"/>
        </w:rPr>
        <w:t xml:space="preserve"> </w:t>
      </w:r>
      <w:r w:rsidR="001264F4" w:rsidRPr="009E105D">
        <w:rPr>
          <w:rFonts w:ascii="Verdana" w:eastAsia="Arial" w:hAnsi="Verdana" w:cs="Arial"/>
          <w:lang w:val="es-ES" w:eastAsia="es-ES" w:bidi="es-ES"/>
        </w:rPr>
        <w:t>estatales.</w:t>
      </w:r>
      <w:r w:rsidR="001264F4">
        <w:rPr>
          <w:rFonts w:ascii="Verdana" w:eastAsia="Arial" w:hAnsi="Verdana" w:cs="Arial"/>
          <w:lang w:val="es-ES" w:eastAsia="es-ES" w:bidi="es-ES"/>
        </w:rPr>
        <w:t xml:space="preserve"> Por ello, los mismos pueden contener obligaciones de diversas tipologías contractuales o de una la combinación entre las mismas, como en contratos atípicos mixtos. Lo anterior en la medida que son las partes, no el objeto de las obligaciones, lo que define la existencia de este tipo de negocios. </w:t>
      </w:r>
    </w:p>
    <w:p w14:paraId="4A5C1635" w14:textId="77777777" w:rsidR="001264F4" w:rsidRPr="009E105D" w:rsidRDefault="001264F4" w:rsidP="001264F4">
      <w:pPr>
        <w:widowControl w:val="0"/>
        <w:autoSpaceDE w:val="0"/>
        <w:autoSpaceDN w:val="0"/>
        <w:spacing w:before="117" w:after="120" w:line="276" w:lineRule="auto"/>
        <w:ind w:firstLine="707"/>
        <w:jc w:val="both"/>
        <w:rPr>
          <w:rFonts w:ascii="Verdana" w:eastAsia="Calibri" w:hAnsi="Verdana" w:cs="Arial"/>
          <w:lang w:val="es-ES"/>
        </w:rPr>
      </w:pPr>
      <w:bookmarkStart w:id="2" w:name="_Hlk78820654"/>
      <w:r w:rsidRPr="009E105D">
        <w:rPr>
          <w:rFonts w:ascii="Verdana" w:eastAsia="Arial" w:hAnsi="Verdana" w:cs="Arial"/>
          <w:lang w:val="es-ES" w:eastAsia="es-ES" w:bidi="es-ES"/>
        </w:rPr>
        <w:t xml:space="preserve">Si bien están previstos en la Ley 80 de 1993, en la Ley 1150 de 2007 y en el Decreto en el 1082 de 2015, no quiere decir que solo puedan celebrarse entre entidades estatales que apliquen el régimen de contratación allí </w:t>
      </w:r>
      <w:r>
        <w:rPr>
          <w:rFonts w:ascii="Verdana" w:eastAsia="Arial" w:hAnsi="Verdana" w:cs="Arial"/>
          <w:lang w:val="es-ES" w:eastAsia="es-ES" w:bidi="es-ES"/>
        </w:rPr>
        <w:t>regulado</w:t>
      </w:r>
      <w:r w:rsidRPr="009E105D">
        <w:rPr>
          <w:rFonts w:ascii="Verdana" w:eastAsia="Arial" w:hAnsi="Verdana" w:cs="Arial"/>
          <w:lang w:val="es-ES" w:eastAsia="es-ES" w:bidi="es-ES"/>
        </w:rPr>
        <w:t xml:space="preserve">, pues bien puede una entidad estatal sometida a la Ley 80 de 1993 celebrar esta clase de </w:t>
      </w:r>
      <w:r>
        <w:rPr>
          <w:rFonts w:ascii="Verdana" w:eastAsia="Arial" w:hAnsi="Verdana" w:cs="Arial"/>
          <w:lang w:val="es-ES" w:eastAsia="es-ES" w:bidi="es-ES"/>
        </w:rPr>
        <w:t>negocios</w:t>
      </w:r>
      <w:r w:rsidRPr="009E105D">
        <w:rPr>
          <w:rFonts w:ascii="Verdana" w:eastAsia="Arial" w:hAnsi="Verdana" w:cs="Arial"/>
          <w:lang w:val="es-ES" w:eastAsia="es-ES" w:bidi="es-ES"/>
        </w:rPr>
        <w:t xml:space="preserve"> con una entidad estatal de régimen especial y no por ello dejará de ser </w:t>
      </w:r>
      <w:r>
        <w:rPr>
          <w:rFonts w:ascii="Verdana" w:eastAsia="Arial" w:hAnsi="Verdana" w:cs="Arial"/>
          <w:lang w:val="es-ES" w:eastAsia="es-ES" w:bidi="es-ES"/>
        </w:rPr>
        <w:t>tal</w:t>
      </w:r>
      <w:r w:rsidRPr="009E105D">
        <w:rPr>
          <w:rFonts w:ascii="Verdana" w:eastAsia="Arial" w:hAnsi="Verdana" w:cs="Arial"/>
          <w:lang w:val="es-ES" w:eastAsia="es-ES" w:bidi="es-ES"/>
        </w:rPr>
        <w:t>. De esta manera, sin perjuicio de lo dispuesto en el artículo 56 de la Ley 2195 de 2022, el literal c) del artículo 2.4 de la Ley 1150 de 2007 dispone que “</w:t>
      </w:r>
      <w:r w:rsidRPr="009E105D">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49CCDCB9" w14:textId="77777777" w:rsidR="001264F4" w:rsidRPr="009E105D" w:rsidRDefault="001264F4" w:rsidP="001264F4">
      <w:pPr>
        <w:widowControl w:val="0"/>
        <w:autoSpaceDE w:val="0"/>
        <w:autoSpaceDN w:val="0"/>
        <w:spacing w:before="119" w:after="120" w:line="276" w:lineRule="auto"/>
        <w:ind w:firstLine="707"/>
        <w:jc w:val="both"/>
        <w:rPr>
          <w:rFonts w:ascii="Verdana" w:eastAsia="Arial" w:hAnsi="Verdana" w:cs="Arial"/>
          <w:lang w:val="es-ES" w:eastAsia="es-ES" w:bidi="es-ES"/>
        </w:rPr>
      </w:pPr>
      <w:bookmarkStart w:id="3" w:name="_Hlk99578261"/>
      <w:bookmarkEnd w:id="2"/>
      <w:r w:rsidRPr="009E105D">
        <w:rPr>
          <w:rFonts w:ascii="Verdana" w:eastAsia="Arial" w:hAnsi="Verdana" w:cs="Arial"/>
          <w:lang w:val="es-ES" w:eastAsia="es-ES" w:bidi="es-ES"/>
        </w:rPr>
        <w:t>Un contrato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9E105D">
        <w:rPr>
          <w:rFonts w:ascii="Verdana" w:eastAsia="Arial" w:hAnsi="Verdana" w:cs="Arial"/>
          <w:vertAlign w:val="superscript"/>
          <w:lang w:val="es-ES" w:eastAsia="es-ES" w:bidi="es-ES"/>
        </w:rPr>
        <w:footnoteReference w:id="3"/>
      </w:r>
      <w:r w:rsidRPr="009E105D">
        <w:rPr>
          <w:rFonts w:ascii="Verdana" w:eastAsia="Arial" w:hAnsi="Verdana" w:cs="Arial"/>
          <w:lang w:val="es-ES" w:eastAsia="es-ES" w:bidi="es-ES"/>
        </w:rPr>
        <w:t xml:space="preserve">. Nótese </w:t>
      </w:r>
      <w:r w:rsidRPr="009E105D">
        <w:rPr>
          <w:rFonts w:ascii="Verdana" w:eastAsia="Arial" w:hAnsi="Verdana" w:cs="Arial"/>
          <w:lang w:val="es-ES" w:eastAsia="es-ES" w:bidi="es-ES"/>
        </w:rPr>
        <w:lastRenderedPageBreak/>
        <w:t>que, en este caso, lo que cambia es la modalidad de selección y no la naturaleza de contrato</w:t>
      </w:r>
      <w:r w:rsidRPr="009E105D">
        <w:rPr>
          <w:rFonts w:ascii="Verdana" w:eastAsia="Arial" w:hAnsi="Verdana" w:cs="Arial"/>
          <w:spacing w:val="-18"/>
          <w:lang w:val="es-ES" w:eastAsia="es-ES" w:bidi="es-ES"/>
        </w:rPr>
        <w:t xml:space="preserve"> </w:t>
      </w:r>
      <w:r w:rsidRPr="009E105D">
        <w:rPr>
          <w:rFonts w:ascii="Verdana" w:eastAsia="Arial" w:hAnsi="Verdana" w:cs="Arial"/>
          <w:lang w:val="es-ES" w:eastAsia="es-ES" w:bidi="es-ES"/>
        </w:rPr>
        <w:t>interadministrativo.</w:t>
      </w:r>
      <w:r>
        <w:rPr>
          <w:rFonts w:ascii="Verdana" w:eastAsia="Arial" w:hAnsi="Verdana" w:cs="Arial"/>
          <w:lang w:val="es-ES" w:eastAsia="es-ES" w:bidi="es-ES"/>
        </w:rPr>
        <w:t xml:space="preserve"> </w:t>
      </w:r>
    </w:p>
    <w:bookmarkEnd w:id="3"/>
    <w:p w14:paraId="533C8D82" w14:textId="77777777" w:rsidR="001264F4" w:rsidRPr="009E105D" w:rsidRDefault="001264F4" w:rsidP="001264F4">
      <w:pPr>
        <w:widowControl w:val="0"/>
        <w:autoSpaceDE w:val="0"/>
        <w:autoSpaceDN w:val="0"/>
        <w:spacing w:before="114" w:after="0" w:line="276" w:lineRule="auto"/>
        <w:ind w:firstLine="707"/>
        <w:jc w:val="both"/>
        <w:rPr>
          <w:rFonts w:ascii="Verdana" w:eastAsia="Arial" w:hAnsi="Verdana" w:cs="Arial"/>
          <w:lang w:val="es-ES" w:eastAsia="es-ES" w:bidi="es-ES"/>
        </w:rPr>
      </w:pPr>
      <w:r w:rsidRPr="009E105D">
        <w:rPr>
          <w:rFonts w:ascii="Verdana" w:eastAsia="Arial" w:hAnsi="Verdana"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considera lo siguiente:</w:t>
      </w:r>
    </w:p>
    <w:p w14:paraId="550D8812" w14:textId="77777777" w:rsidR="001264F4" w:rsidRPr="009E105D" w:rsidRDefault="001264F4" w:rsidP="001264F4">
      <w:pPr>
        <w:widowControl w:val="0"/>
        <w:autoSpaceDE w:val="0"/>
        <w:autoSpaceDN w:val="0"/>
        <w:spacing w:after="0" w:line="276" w:lineRule="auto"/>
        <w:contextualSpacing/>
        <w:jc w:val="both"/>
        <w:rPr>
          <w:rFonts w:ascii="Verdana" w:eastAsia="Arial" w:hAnsi="Verdana" w:cs="Arial"/>
          <w:lang w:val="es-ES" w:eastAsia="es-ES" w:bidi="es-ES"/>
        </w:rPr>
      </w:pPr>
    </w:p>
    <w:p w14:paraId="0329FE33" w14:textId="77777777" w:rsidR="001264F4" w:rsidRPr="009E105D" w:rsidRDefault="001264F4" w:rsidP="001264F4">
      <w:pPr>
        <w:spacing w:after="0" w:line="240" w:lineRule="auto"/>
        <w:ind w:left="709" w:right="709"/>
        <w:contextualSpacing/>
        <w:jc w:val="both"/>
        <w:rPr>
          <w:rFonts w:ascii="Verdana" w:eastAsia="Calibri" w:hAnsi="Verdana" w:cs="Arial"/>
          <w:sz w:val="21"/>
          <w:lang w:val="es-MX"/>
        </w:rPr>
      </w:pPr>
      <w:r w:rsidRPr="009E105D">
        <w:rPr>
          <w:rFonts w:ascii="Verdana" w:eastAsia="Calibri" w:hAnsi="Verdana"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9E105D">
        <w:rPr>
          <w:rFonts w:ascii="Verdana" w:eastAsia="Calibri" w:hAnsi="Verdana" w:cs="Arial"/>
          <w:sz w:val="21"/>
          <w:vertAlign w:val="superscript"/>
          <w:lang w:val="es-MX"/>
        </w:rPr>
        <w:footnoteReference w:id="4"/>
      </w:r>
      <w:r w:rsidRPr="009E105D">
        <w:rPr>
          <w:rFonts w:ascii="Verdana" w:eastAsia="Calibri" w:hAnsi="Verdana" w:cs="Arial"/>
          <w:sz w:val="21"/>
          <w:lang w:val="es-MX"/>
        </w:rPr>
        <w:t>.</w:t>
      </w:r>
    </w:p>
    <w:p w14:paraId="7D098DF7" w14:textId="77777777" w:rsidR="001264F4" w:rsidRPr="009E105D" w:rsidRDefault="001264F4" w:rsidP="001264F4">
      <w:pPr>
        <w:spacing w:after="0" w:line="276" w:lineRule="auto"/>
        <w:ind w:left="709" w:right="709"/>
        <w:contextualSpacing/>
        <w:jc w:val="both"/>
        <w:rPr>
          <w:rFonts w:ascii="Verdana" w:eastAsia="Calibri" w:hAnsi="Verdana" w:cs="Arial"/>
          <w:lang w:val="es-MX"/>
        </w:rPr>
      </w:pPr>
    </w:p>
    <w:p w14:paraId="729839B6" w14:textId="77777777" w:rsidR="001264F4" w:rsidRPr="009E105D" w:rsidRDefault="001264F4" w:rsidP="00816A3C">
      <w:pPr>
        <w:widowControl w:val="0"/>
        <w:autoSpaceDE w:val="0"/>
        <w:autoSpaceDN w:val="0"/>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 xml:space="preserve">En ese sentido, los contratos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w:t>
      </w:r>
      <w:r w:rsidRPr="009E105D">
        <w:rPr>
          <w:rFonts w:ascii="Verdana" w:eastAsia="Arial" w:hAnsi="Verdana" w:cs="Arial"/>
          <w:lang w:val="es-ES" w:eastAsia="es-ES" w:bidi="es-ES"/>
        </w:rPr>
        <w:lastRenderedPageBreak/>
        <w:t>General de Contratación de la Administración Pública establece la contratación directa como la modalidad de selección aplicable, por regla general, a la celebración de los contratos interadministrativos.</w:t>
      </w:r>
    </w:p>
    <w:p w14:paraId="571E8C9E" w14:textId="7EF3B001" w:rsidR="009B3595" w:rsidRDefault="00825162" w:rsidP="00816A3C">
      <w:pPr>
        <w:widowControl w:val="0"/>
        <w:autoSpaceDE w:val="0"/>
        <w:autoSpaceDN w:val="0"/>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L</w:t>
      </w:r>
      <w:r w:rsidR="001264F4" w:rsidRPr="009E105D">
        <w:rPr>
          <w:rFonts w:ascii="Verdana" w:eastAsia="Arial" w:hAnsi="Verdana" w:cs="Arial"/>
          <w:lang w:val="es-ES" w:eastAsia="es-ES" w:bidi="es-ES"/>
        </w:rPr>
        <w:t>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o convenios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w:t>
      </w:r>
      <w:r w:rsidR="001264F4">
        <w:rPr>
          <w:rFonts w:ascii="Verdana" w:eastAsia="Arial" w:hAnsi="Verdana" w:cs="Arial"/>
          <w:lang w:val="es-ES" w:eastAsia="es-ES" w:bidi="es-ES"/>
        </w:rPr>
        <w:t>,</w:t>
      </w:r>
      <w:r w:rsidR="001264F4" w:rsidRPr="009E105D">
        <w:rPr>
          <w:rFonts w:ascii="Verdana" w:eastAsia="Arial" w:hAnsi="Verdana" w:cs="Arial"/>
          <w:lang w:val="es-ES" w:eastAsia="es-ES" w:bidi="es-ES"/>
        </w:rPr>
        <w:t xml:space="preserve"> sino</w:t>
      </w:r>
      <w:r w:rsidR="001264F4">
        <w:rPr>
          <w:rFonts w:ascii="Verdana" w:eastAsia="Arial" w:hAnsi="Verdana" w:cs="Arial"/>
          <w:lang w:val="es-ES" w:eastAsia="es-ES" w:bidi="es-ES"/>
        </w:rPr>
        <w:t xml:space="preserve"> por</w:t>
      </w:r>
      <w:r w:rsidR="001264F4" w:rsidRPr="009E105D">
        <w:rPr>
          <w:rFonts w:ascii="Verdana" w:eastAsia="Arial" w:hAnsi="Verdana" w:cs="Arial"/>
          <w:lang w:val="es-ES" w:eastAsia="es-ES" w:bidi="es-ES"/>
        </w:rPr>
        <w:t xml:space="preserve"> la calidad de las partes que lo suscriben, es decir, debe tratarse de entidades</w:t>
      </w:r>
      <w:r w:rsidR="001264F4" w:rsidRPr="009E105D">
        <w:rPr>
          <w:rFonts w:ascii="Verdana" w:eastAsia="Arial" w:hAnsi="Verdana" w:cs="Arial"/>
          <w:spacing w:val="-3"/>
          <w:lang w:val="es-ES" w:eastAsia="es-ES" w:bidi="es-ES"/>
        </w:rPr>
        <w:t xml:space="preserve"> </w:t>
      </w:r>
      <w:r w:rsidR="001264F4" w:rsidRPr="009E105D">
        <w:rPr>
          <w:rFonts w:ascii="Verdana" w:eastAsia="Arial" w:hAnsi="Verdana" w:cs="Arial"/>
          <w:lang w:val="es-ES" w:eastAsia="es-ES" w:bidi="es-ES"/>
        </w:rPr>
        <w:t>estatales.</w:t>
      </w:r>
    </w:p>
    <w:p w14:paraId="41FE9AEC" w14:textId="2D6916D8" w:rsidR="000A5463" w:rsidRPr="000A5463" w:rsidRDefault="000A5463" w:rsidP="004556AB">
      <w:pPr>
        <w:widowControl w:val="0"/>
        <w:autoSpaceDE w:val="0"/>
        <w:autoSpaceDN w:val="0"/>
        <w:spacing w:after="0" w:line="276" w:lineRule="auto"/>
        <w:jc w:val="both"/>
        <w:rPr>
          <w:rFonts w:ascii="Verdana" w:eastAsia="Arial" w:hAnsi="Verdana" w:cs="Arial"/>
          <w:lang w:val="es-ES" w:eastAsia="es-ES" w:bidi="es-ES"/>
        </w:rPr>
      </w:pPr>
    </w:p>
    <w:p w14:paraId="3C1601D9" w14:textId="6ADDF2A6" w:rsidR="00667B18" w:rsidRPr="004E02EE" w:rsidRDefault="00965D27" w:rsidP="00667B18">
      <w:pPr>
        <w:tabs>
          <w:tab w:val="left" w:pos="426"/>
        </w:tabs>
        <w:spacing w:after="120" w:line="276" w:lineRule="auto"/>
        <w:jc w:val="both"/>
        <w:rPr>
          <w:rFonts w:ascii="Verdana" w:hAnsi="Verdana" w:cs="Arial"/>
          <w:lang w:val="es-ES"/>
        </w:rPr>
      </w:pPr>
      <w:r>
        <w:rPr>
          <w:rFonts w:ascii="Verdana" w:eastAsia="Calibri" w:hAnsi="Verdana" w:cs="Arial"/>
          <w:color w:val="000000"/>
          <w:lang w:val="es-MX"/>
        </w:rPr>
        <w:t xml:space="preserve">ii. </w:t>
      </w:r>
      <w:r w:rsidR="00667B18" w:rsidRPr="004E02EE">
        <w:rPr>
          <w:rFonts w:ascii="Verdana" w:hAnsi="Verdana" w:cs="Arial"/>
          <w:lang w:val="es-ES"/>
        </w:rPr>
        <w:t>Por lo general, las personas que concurren a la celebración de un negocio o un contrato suelen ser quienes materialmente, y en la práctica, fungen como partes del correspondiente acuerdo, es decir, quienes se obligan en virtud de este. No obstante, no siempre es así, pues también es frecuente que personas, actuando en representación de otras, celebren acuerdos de voluntades que producen efectos respecto de las personas que representan, conforme a lo establecido en el artículo 1505 del Código Civil</w:t>
      </w:r>
      <w:r w:rsidR="00667B18" w:rsidRPr="004E02EE">
        <w:rPr>
          <w:rFonts w:ascii="Verdana" w:hAnsi="Verdana" w:cs="Arial"/>
          <w:vertAlign w:val="superscript"/>
        </w:rPr>
        <w:footnoteReference w:id="5"/>
      </w:r>
      <w:r w:rsidR="00667B18" w:rsidRPr="004E02EE">
        <w:rPr>
          <w:rFonts w:ascii="Verdana" w:hAnsi="Verdana" w:cs="Arial"/>
          <w:lang w:val="es-ES"/>
        </w:rPr>
        <w:t xml:space="preserve">. Esto sucede, por ejemplo, en las figuras en las que de manera voluntaria se acuerda tal representación, como el contrato de mandato. </w:t>
      </w:r>
    </w:p>
    <w:p w14:paraId="76AED95B" w14:textId="77777777" w:rsidR="00394684" w:rsidRDefault="00667B18" w:rsidP="00667B18">
      <w:pPr>
        <w:tabs>
          <w:tab w:val="left" w:pos="426"/>
        </w:tabs>
        <w:spacing w:after="120" w:line="276" w:lineRule="auto"/>
        <w:jc w:val="both"/>
        <w:rPr>
          <w:rFonts w:ascii="Verdana" w:hAnsi="Verdana" w:cs="Arial"/>
          <w:lang w:val="es-ES"/>
        </w:rPr>
      </w:pPr>
      <w:r w:rsidRPr="004E02EE">
        <w:rPr>
          <w:rFonts w:ascii="Verdana" w:hAnsi="Verdana" w:cs="Arial"/>
          <w:lang w:val="es-ES"/>
        </w:rPr>
        <w:tab/>
        <w:t xml:space="preserve"> De acuerdo con el artículo 2142 del Código Civil, el mandato es “un contrato en que una persona confía la gestión de uno o más negocios a otra, que se hace cargo de ellos por cuenta y riesgo de la primera”</w:t>
      </w:r>
      <w:r w:rsidRPr="004E02EE">
        <w:rPr>
          <w:rFonts w:ascii="Verdana" w:hAnsi="Verdana" w:cs="Arial"/>
          <w:vertAlign w:val="superscript"/>
          <w:lang w:val="es-ES"/>
        </w:rPr>
        <w:footnoteReference w:id="6"/>
      </w:r>
      <w:r w:rsidRPr="004E02EE">
        <w:rPr>
          <w:rFonts w:ascii="Verdana" w:hAnsi="Verdana" w:cs="Arial"/>
          <w:lang w:val="es-ES"/>
        </w:rPr>
        <w:t xml:space="preserve">. Por su parte, el Código de Comercio también establece su propia regulación del contrato de mandato cuando este tiene una naturaleza comercial. El artículo 1262 de este cuerpo </w:t>
      </w:r>
      <w:r w:rsidRPr="004E02EE">
        <w:rPr>
          <w:rFonts w:ascii="Verdana" w:hAnsi="Verdana" w:cs="Arial"/>
          <w:lang w:val="es-ES"/>
        </w:rPr>
        <w:lastRenderedPageBreak/>
        <w:t>normativo define al mandato como el “[…] contrato por el cual una parte se obliga a celebrar o ejecutar uno o más actos de comercio por cuenta de otra”.</w:t>
      </w:r>
    </w:p>
    <w:p w14:paraId="61268C54" w14:textId="0BFC2DB5" w:rsidR="00667B18" w:rsidRPr="00394684" w:rsidRDefault="00394684" w:rsidP="00667B18">
      <w:pPr>
        <w:tabs>
          <w:tab w:val="left" w:pos="426"/>
        </w:tabs>
        <w:spacing w:after="120" w:line="276" w:lineRule="auto"/>
        <w:jc w:val="both"/>
        <w:rPr>
          <w:rFonts w:ascii="Verdana" w:hAnsi="Verdana" w:cs="Arial"/>
          <w:lang w:val="es-ES"/>
        </w:rPr>
      </w:pPr>
      <w:r>
        <w:rPr>
          <w:rFonts w:ascii="Verdana" w:hAnsi="Verdana" w:cs="Arial"/>
          <w:lang w:val="es-ES"/>
        </w:rPr>
        <w:tab/>
      </w:r>
      <w:r>
        <w:rPr>
          <w:rFonts w:ascii="Verdana" w:hAnsi="Verdana" w:cs="Arial"/>
          <w:lang w:val="es-ES"/>
        </w:rPr>
        <w:tab/>
      </w:r>
      <w:r w:rsidR="00667B18" w:rsidRPr="004E02EE">
        <w:rPr>
          <w:rFonts w:ascii="Verdana" w:hAnsi="Verdana" w:cs="Arial"/>
          <w:lang w:val="es-ES"/>
        </w:rPr>
        <w:t xml:space="preserve">Por su parte, </w:t>
      </w:r>
      <w:r w:rsidR="00667B18" w:rsidRPr="004E02EE">
        <w:rPr>
          <w:rFonts w:ascii="Verdana" w:hAnsi="Verdana" w:cs="Arial"/>
        </w:rPr>
        <w:t xml:space="preserve">el artículo 2177 del Código Civil establece que el </w:t>
      </w:r>
      <w:r w:rsidR="00667B18" w:rsidRPr="004E02EE">
        <w:rPr>
          <w:rFonts w:ascii="Verdana" w:hAnsi="Verdana" w:cs="Arial"/>
          <w:lang w:val="es-ES"/>
        </w:rPr>
        <w:t xml:space="preserve">“El mandatario puede, en el ejercicio de su cargo, contestar a su propio nombre o al del mandante; si contrata a su propio nombre no obliga respecto de terceros al mandante”, lo que significa que el mandatario </w:t>
      </w:r>
      <w:r w:rsidR="00667B18" w:rsidRPr="004E02EE">
        <w:rPr>
          <w:rFonts w:ascii="Verdana" w:hAnsi="Verdana" w:cs="Arial"/>
        </w:rPr>
        <w:t xml:space="preserve">puede actuar con o sin representación y, que si contrata a su propio nombre –caso del mandato sin representación–, no obliga, respecto de terceros, al mandante. Del mismo modo, el artículo 1262 del Código de Comercio establece que el </w:t>
      </w:r>
      <w:r w:rsidR="00667B18" w:rsidRPr="004E02EE">
        <w:rPr>
          <w:rFonts w:ascii="Verdana" w:hAnsi="Verdana" w:cs="Arial"/>
          <w:lang w:val="es-ES"/>
        </w:rPr>
        <w:t>mandato “[…] puede conllevar o no la representación del mandante”</w:t>
      </w:r>
      <w:r w:rsidR="00667B18" w:rsidRPr="004E02EE">
        <w:rPr>
          <w:rFonts w:ascii="Verdana" w:hAnsi="Verdana" w:cs="Arial"/>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6C3BBDD9" w14:textId="62E0D1AB" w:rsidR="00667B18" w:rsidRPr="005E007A" w:rsidRDefault="00667B18" w:rsidP="005E007A">
      <w:pPr>
        <w:tabs>
          <w:tab w:val="left" w:pos="426"/>
        </w:tabs>
        <w:spacing w:after="120" w:line="276" w:lineRule="auto"/>
        <w:jc w:val="both"/>
        <w:rPr>
          <w:rFonts w:ascii="Verdana" w:hAnsi="Verdana" w:cs="Arial"/>
        </w:rPr>
      </w:pPr>
      <w:r w:rsidRPr="004E02EE">
        <w:rPr>
          <w:rFonts w:ascii="Verdana" w:hAnsi="Verdana" w:cs="Arial"/>
        </w:rPr>
        <w:tab/>
      </w:r>
      <w:r w:rsidRPr="004E02EE">
        <w:rPr>
          <w:rFonts w:ascii="Verdana" w:hAnsi="Verdana" w:cs="Arial"/>
        </w:rPr>
        <w:tab/>
        <w:t>Conforme a esto, la representación es un efecto que confiere o limita el hecho de que el mandante –frente a terceros– asuma las consecuencias jurídicas de los actos o contratos celebrados o ejecutados por el mandatario. Esto en la medida en que, según las disposiciones citadas, cuando el mandatario actúa en virtud de un contrato de mandato con representación, los efectos de su actuación –frente a terceros– siempre habrán de radicarse en</w:t>
      </w:r>
      <w:r w:rsidR="005E007A">
        <w:rPr>
          <w:rFonts w:ascii="Verdana" w:hAnsi="Verdana" w:cs="Arial"/>
        </w:rPr>
        <w:t xml:space="preserve"> cabeza del mandante.</w:t>
      </w:r>
      <w:r w:rsidRPr="004E02EE">
        <w:rPr>
          <w:rFonts w:ascii="Verdana" w:hAnsi="Verdana" w:cs="Arial"/>
        </w:rPr>
        <w:t xml:space="preserve"> Por el contrario, si el mandatario actúa en virtud de un contrato de mandato sin representación, los efectos de este frente a terceros se radicarán en su propia esfera. Ahora bien, en relación con su consulta es importante definir que, e</w:t>
      </w:r>
      <w:r w:rsidRPr="004E02EE">
        <w:rPr>
          <w:rFonts w:ascii="Verdana" w:eastAsia="Arial" w:hAnsi="Verdana" w:cs="Arial"/>
          <w:color w:val="000000" w:themeColor="text1"/>
          <w:lang w:val="es-ES_tradnl" w:eastAsia="es-ES_tradnl"/>
        </w:rPr>
        <w:t>l contrato es un “acto jurídico voluntario, una declaración de voluntad, que tiene por objeto establecer una relación jurídica entre dos personas, obligando a la una para con otra a determinada prestación”</w:t>
      </w:r>
      <w:r w:rsidRPr="004E02EE">
        <w:rPr>
          <w:rFonts w:ascii="Verdana" w:eastAsia="Arial" w:hAnsi="Verdana" w:cs="Arial"/>
          <w:color w:val="000000" w:themeColor="text1"/>
          <w:vertAlign w:val="superscript"/>
          <w:lang w:val="es-ES_tradnl" w:eastAsia="es-ES_tradnl"/>
        </w:rPr>
        <w:footnoteReference w:id="7"/>
      </w:r>
      <w:r w:rsidRPr="004E02EE">
        <w:rPr>
          <w:rFonts w:ascii="Verdana" w:eastAsia="Arial" w:hAnsi="Verdana"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4E02EE">
        <w:rPr>
          <w:rFonts w:ascii="Verdana" w:eastAsia="Arial" w:hAnsi="Verdana" w:cs="Arial"/>
          <w:color w:val="000000" w:themeColor="text1"/>
          <w:vertAlign w:val="superscript"/>
          <w:lang w:val="es-ES_tradnl" w:eastAsia="es-ES_tradnl"/>
        </w:rPr>
        <w:footnoteReference w:id="8"/>
      </w:r>
      <w:r w:rsidRPr="004E02EE">
        <w:rPr>
          <w:rFonts w:ascii="Verdana" w:eastAsia="Arial" w:hAnsi="Verdana" w:cs="Arial"/>
          <w:color w:val="000000" w:themeColor="text1"/>
          <w:lang w:val="es-ES_tradnl" w:eastAsia="es-ES_tradnl"/>
        </w:rPr>
        <w:t xml:space="preserve">. </w:t>
      </w:r>
    </w:p>
    <w:p w14:paraId="4AEF135C" w14:textId="77777777" w:rsidR="00667B18" w:rsidRPr="004E02EE" w:rsidRDefault="00667B18" w:rsidP="00667B18">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004E02EE">
        <w:rPr>
          <w:rFonts w:ascii="Verdana" w:eastAsia="Arial" w:hAnsi="Verdana" w:cs="Arial"/>
          <w:color w:val="000000" w:themeColor="text1"/>
          <w:lang w:val="es-ES" w:eastAsia="es-ES"/>
        </w:rPr>
        <w:lastRenderedPageBreak/>
        <w:t>En efecto, el artículo 1495 del Código Civil establece que el “[c]ontrato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4E24DBE2" w14:textId="0D190817" w:rsidR="00667B18" w:rsidRPr="004E02EE" w:rsidRDefault="00667B18" w:rsidP="005E007A">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4E02EE">
        <w:rPr>
          <w:rFonts w:ascii="Verdana" w:eastAsia="Arial" w:hAnsi="Verdana"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4E02EE">
        <w:rPr>
          <w:rFonts w:ascii="Verdana" w:eastAsia="Arial" w:hAnsi="Verdana" w:cs="Arial"/>
          <w:i/>
          <w:iCs/>
          <w:color w:val="000000" w:themeColor="text1"/>
          <w:lang w:val="es-ES_tradnl" w:eastAsia="es-ES_tradnl"/>
        </w:rPr>
        <w:t>ibidem</w:t>
      </w:r>
      <w:r w:rsidRPr="004E02EE">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w:t>
      </w:r>
      <w:bookmarkStart w:id="4" w:name="_Hlk150759794"/>
      <w:r w:rsidRPr="004E02EE">
        <w:rPr>
          <w:rFonts w:ascii="Verdana" w:eastAsia="Arial" w:hAnsi="Verdana" w:cs="Arial"/>
          <w:color w:val="000000" w:themeColor="text1"/>
          <w:lang w:val="es-ES_tradnl" w:eastAsia="es-ES_tradnl"/>
        </w:rPr>
        <w:t>para la definición de contrato estatal basta con que una de las entidades que enumera el artículo 2º de la Ley 80 de 1993</w:t>
      </w:r>
      <w:r w:rsidRPr="004E02EE">
        <w:rPr>
          <w:rFonts w:ascii="Verdana" w:eastAsia="Arial" w:hAnsi="Verdana" w:cs="Arial"/>
          <w:color w:val="000000" w:themeColor="text1"/>
          <w:vertAlign w:val="superscript"/>
          <w:lang w:val="es-ES_tradnl" w:eastAsia="es-ES_tradnl"/>
        </w:rPr>
        <w:footnoteReference w:id="9"/>
      </w:r>
      <w:r w:rsidRPr="004E02EE">
        <w:rPr>
          <w:rFonts w:ascii="Verdana" w:eastAsia="Arial" w:hAnsi="Verdana" w:cs="Arial"/>
          <w:color w:val="000000" w:themeColor="text1"/>
          <w:lang w:val="es-ES_tradnl" w:eastAsia="es-ES_tradnl"/>
        </w:rPr>
        <w:t xml:space="preserve"> sea una de las partes, sin importar el extremo de la relación jurídico negocial que</w:t>
      </w:r>
      <w:r w:rsidRPr="004E02EE">
        <w:rPr>
          <w:rFonts w:ascii="Verdana" w:eastAsia="Arial" w:hAnsi="Verdana" w:cs="Arial"/>
          <w:color w:val="000000" w:themeColor="text1"/>
          <w:spacing w:val="-14"/>
          <w:lang w:val="es-ES_tradnl" w:eastAsia="es-ES_tradnl"/>
        </w:rPr>
        <w:t xml:space="preserve"> </w:t>
      </w:r>
      <w:r w:rsidRPr="004E02EE">
        <w:rPr>
          <w:rFonts w:ascii="Verdana" w:eastAsia="Arial" w:hAnsi="Verdana" w:cs="Arial"/>
          <w:color w:val="000000" w:themeColor="text1"/>
          <w:lang w:val="es-ES_tradnl" w:eastAsia="es-ES_tradnl"/>
        </w:rPr>
        <w:t xml:space="preserve">asuma. </w:t>
      </w:r>
      <w:bookmarkEnd w:id="4"/>
    </w:p>
    <w:p w14:paraId="0A5BEB37" w14:textId="549C5D6C" w:rsidR="00F559A5" w:rsidRDefault="00F559A5" w:rsidP="00F559A5">
      <w:pPr>
        <w:spacing w:before="12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Más</w:t>
      </w:r>
      <w:r>
        <w:rPr>
          <w:rFonts w:ascii="Verdana" w:eastAsia="Calibri" w:hAnsi="Verdana"/>
          <w:color w:val="000000" w:themeColor="text1"/>
          <w:lang w:val="es-ES"/>
        </w:rPr>
        <w:t xml:space="preserve"> allá de la tipicidad o no del contrato estatal</w:t>
      </w:r>
      <w:r w:rsidRPr="21328DCE">
        <w:rPr>
          <w:rFonts w:ascii="Verdana" w:eastAsia="Calibri" w:hAnsi="Verdana"/>
          <w:color w:val="000000" w:themeColor="text1"/>
          <w:lang w:val="es-ES"/>
        </w:rPr>
        <w:t>, es necesario tener en cuenta que la capacidad contractual para</w:t>
      </w:r>
      <w:r>
        <w:rPr>
          <w:rFonts w:ascii="Verdana" w:eastAsia="Calibri" w:hAnsi="Verdana"/>
          <w:color w:val="000000" w:themeColor="text1"/>
          <w:lang w:val="es-ES"/>
        </w:rPr>
        <w:t xml:space="preserve"> celebrar contratos estatales está</w:t>
      </w:r>
      <w:r w:rsidRPr="21328DCE">
        <w:rPr>
          <w:rFonts w:ascii="Verdana" w:eastAsia="Calibri" w:hAnsi="Verdana"/>
          <w:color w:val="000000" w:themeColor="text1"/>
          <w:lang w:val="es-ES"/>
        </w:rPr>
        <w:t xml:space="preserve">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w:t>
      </w:r>
      <w:r w:rsidRPr="21328DCE">
        <w:rPr>
          <w:rFonts w:ascii="Verdana" w:eastAsia="Calibri" w:hAnsi="Verdana"/>
          <w:color w:val="000000" w:themeColor="text1"/>
          <w:lang w:val="es-ES"/>
        </w:rPr>
        <w:lastRenderedPageBreak/>
        <w:t>consorcios y uniones temporales”. De esta manera, los contratos de operación logística pueden celebrarse con cualquier persona que tenga dentro de su misionalidad u objeto la ejecución de esta actividad</w:t>
      </w:r>
      <w:r w:rsidRPr="21328DCE">
        <w:rPr>
          <w:rStyle w:val="Refdenotaalpie"/>
          <w:rFonts w:ascii="Verdana" w:eastAsia="Calibri" w:hAnsi="Verdana"/>
          <w:color w:val="000000" w:themeColor="text1"/>
          <w:lang w:val="es-ES"/>
        </w:rPr>
        <w:footnoteReference w:id="10"/>
      </w:r>
      <w:r w:rsidRPr="21328DCE">
        <w:rPr>
          <w:rFonts w:ascii="Verdana" w:eastAsia="Calibri" w:hAnsi="Verdana"/>
          <w:color w:val="000000" w:themeColor="text1"/>
          <w:lang w:val="es-ES"/>
        </w:rPr>
        <w:t>.</w:t>
      </w:r>
    </w:p>
    <w:p w14:paraId="035B46A5" w14:textId="77777777" w:rsidR="00F559A5" w:rsidRDefault="00F559A5" w:rsidP="00C94CC0">
      <w:pPr>
        <w:spacing w:before="120" w:after="120" w:line="276" w:lineRule="auto"/>
        <w:ind w:firstLine="709"/>
        <w:jc w:val="both"/>
        <w:rPr>
          <w:rFonts w:ascii="Verdana" w:eastAsia="Calibri" w:hAnsi="Verdana"/>
          <w:color w:val="000000" w:themeColor="text1"/>
        </w:rPr>
      </w:pPr>
      <w:r w:rsidRPr="21328DCE">
        <w:rPr>
          <w:rFonts w:ascii="Verdana" w:eastAsia="Calibri" w:hAnsi="Verdana"/>
          <w:color w:val="000000" w:themeColor="text1"/>
        </w:rPr>
        <w:t>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de operación logística es una amalgama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21328DCE">
        <w:rPr>
          <w:rStyle w:val="Refdenotaalpie"/>
          <w:rFonts w:ascii="Verdana" w:eastAsia="Calibri" w:hAnsi="Verdana"/>
          <w:color w:val="000000" w:themeColor="text1"/>
        </w:rPr>
        <w:footnoteReference w:id="11"/>
      </w:r>
      <w:r w:rsidRPr="21328DCE">
        <w:rPr>
          <w:rFonts w:ascii="Verdana" w:eastAsia="Calibri" w:hAnsi="Verdana"/>
          <w:color w:val="000000" w:themeColor="text1"/>
        </w:rPr>
        <w:t xml:space="preserve">. </w:t>
      </w:r>
    </w:p>
    <w:p w14:paraId="452FEA0F" w14:textId="7E9C04CE" w:rsidR="00F559A5" w:rsidRPr="00C94CC0" w:rsidRDefault="00F559A5" w:rsidP="00C94CC0">
      <w:pPr>
        <w:spacing w:before="120" w:after="120" w:line="276" w:lineRule="auto"/>
        <w:ind w:firstLine="709"/>
        <w:jc w:val="both"/>
        <w:rPr>
          <w:rFonts w:ascii="Verdana" w:eastAsia="Calibri" w:hAnsi="Verdana"/>
          <w:color w:val="000000" w:themeColor="text1"/>
          <w:lang w:val="es-ES"/>
        </w:rPr>
      </w:pPr>
      <w:r w:rsidRPr="21328DCE">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21328DCE">
        <w:rPr>
          <w:rFonts w:ascii="Verdana" w:eastAsia="Calibri" w:hAnsi="Verdana"/>
          <w:i/>
          <w:color w:val="000000" w:themeColor="text1"/>
          <w:lang w:val="es-ES"/>
        </w:rPr>
        <w:t>ibidem</w:t>
      </w:r>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70B5369" w14:textId="2617601F" w:rsidR="00667B18" w:rsidRPr="004E02EE" w:rsidRDefault="00667B18" w:rsidP="00667B18">
      <w:pPr>
        <w:spacing w:after="120" w:line="276" w:lineRule="auto"/>
        <w:ind w:firstLine="709"/>
        <w:jc w:val="both"/>
        <w:rPr>
          <w:rFonts w:ascii="Verdana" w:eastAsia="Calibri" w:hAnsi="Verdana" w:cs="Arial"/>
          <w:lang w:eastAsia="es-ES_tradnl"/>
        </w:rPr>
      </w:pPr>
      <w:bookmarkStart w:id="5" w:name="_Hlk121750642"/>
      <w:r w:rsidRPr="004E02EE">
        <w:rPr>
          <w:rFonts w:ascii="Verdana" w:eastAsia="Times New Roman" w:hAnsi="Verdana" w:cs="Arial"/>
          <w:color w:val="000000" w:themeColor="text1"/>
          <w:lang w:eastAsia="es-ES_tradnl"/>
        </w:rPr>
        <w:t xml:space="preserve">Ahora bien, teniendo en cuenta el objeto de su consulta, es preciso mencionar que las </w:t>
      </w:r>
      <w:r w:rsidRPr="004E02EE">
        <w:rPr>
          <w:rFonts w:ascii="Verdana" w:eastAsia="Calibri" w:hAnsi="Verdana" w:cs="Arial"/>
          <w:lang w:eastAsia="es-ES_tradnl"/>
        </w:rPr>
        <w:t xml:space="preserve">Entidades Estatales regidas por el EGCAP están habilitadas </w:t>
      </w:r>
      <w:r w:rsidRPr="004E02EE">
        <w:rPr>
          <w:rFonts w:ascii="Verdana" w:eastAsia="Calibri" w:hAnsi="Verdana" w:cs="Arial"/>
          <w:lang w:eastAsia="es-ES_tradnl"/>
        </w:rPr>
        <w:lastRenderedPageBreak/>
        <w:t>para celebrar los contratos que suelen celebrar los particulares entre sí – como el de mandato al que se refiere en su pregunta – en ejercicio de la autonomía de la voluntad privada. En ese sentido, puede ocurrir que dentro de la gestión ordinaria de sus competencias</w:t>
      </w:r>
      <w:r w:rsidR="00B23B77">
        <w:rPr>
          <w:rFonts w:ascii="Verdana" w:eastAsia="Calibri" w:hAnsi="Verdana" w:cs="Arial"/>
          <w:lang w:eastAsia="es-ES_tradnl"/>
        </w:rPr>
        <w:t xml:space="preserve"> y funciones</w:t>
      </w:r>
      <w:r w:rsidRPr="004E02EE">
        <w:rPr>
          <w:rFonts w:ascii="Verdana" w:eastAsia="Calibri" w:hAnsi="Verdana" w:cs="Arial"/>
          <w:lang w:eastAsia="es-ES_tradnl"/>
        </w:rPr>
        <w:t xml:space="preserve"> las entidades tengan necesidades que deban ser satisfechas a través de contratos como el mandato, en los que además de las disposiciones del EGCAP deberán aplicarse en su mayoría normas de derecho privado, lo que de ninguna manera desvirtúa la calidad de estatal de dichos contratos</w:t>
      </w:r>
      <w:r w:rsidR="00B23B77">
        <w:rPr>
          <w:rFonts w:ascii="Verdana" w:eastAsia="Calibri" w:hAnsi="Verdana" w:cs="Arial"/>
          <w:lang w:eastAsia="es-ES_tradnl"/>
        </w:rPr>
        <w:t>, ni mucho menos implica que exista una delegación de funciones</w:t>
      </w:r>
      <w:r w:rsidRPr="004E02EE">
        <w:rPr>
          <w:rFonts w:ascii="Verdana" w:eastAsia="Calibri" w:hAnsi="Verdana" w:cs="Arial"/>
          <w:lang w:eastAsia="es-ES_tradnl"/>
        </w:rPr>
        <w:t xml:space="preserve">. </w:t>
      </w:r>
      <w:r w:rsidR="0096553E">
        <w:rPr>
          <w:rFonts w:ascii="Verdana" w:eastAsia="Calibri" w:hAnsi="Verdana" w:cs="Arial"/>
          <w:lang w:eastAsia="es-ES_tradnl"/>
        </w:rPr>
        <w:t>E</w:t>
      </w:r>
      <w:r w:rsidR="00622927">
        <w:rPr>
          <w:rFonts w:ascii="Verdana" w:eastAsia="Calibri" w:hAnsi="Verdana" w:cs="Arial"/>
          <w:lang w:eastAsia="es-ES_tradnl"/>
        </w:rPr>
        <w:t xml:space="preserve">n estos términos, las entidades públicas, como es el caso de las entidades territoriales pueden suscribir contratos con otras entidades públicas, que se denominan interadministrativos o con particulares para el cumplimiento de sus funciones y finalidades, como puede ocurrir con el contrato de mandato con o sin representación. </w:t>
      </w:r>
    </w:p>
    <w:bookmarkEnd w:id="5"/>
    <w:p w14:paraId="0EE24911" w14:textId="7988D7BA" w:rsidR="00EC5070" w:rsidRDefault="00B23B77" w:rsidP="00B47C8E">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Pr>
          <w:rFonts w:ascii="Verdana" w:eastAsia="Times New Roman" w:hAnsi="Verdana" w:cs="Arial"/>
          <w:bCs/>
          <w:lang w:val="es-ES" w:eastAsia="es-ES"/>
        </w:rPr>
        <w:t>En torno al ma</w:t>
      </w:r>
      <w:r w:rsidR="00B47C8E">
        <w:rPr>
          <w:rFonts w:ascii="Verdana" w:eastAsia="Times New Roman" w:hAnsi="Verdana" w:cs="Arial"/>
          <w:bCs/>
          <w:lang w:val="es-ES" w:eastAsia="es-ES"/>
        </w:rPr>
        <w:t xml:space="preserve">ndato como ya se ha señalado es un contrato en el que una parte se obliga con otra a dar, hacer o no alguna cosa. </w:t>
      </w:r>
      <w:r w:rsidR="00B47C8E">
        <w:rPr>
          <w:rFonts w:ascii="Verdana" w:eastAsia="Arial" w:hAnsi="Verdana" w:cs="Arial"/>
          <w:color w:val="000000" w:themeColor="text1"/>
          <w:lang w:val="es-ES" w:eastAsia="es-ES"/>
        </w:rPr>
        <w:t>En tal sentido, es posible que las entidades estatales en el marco de la autonom</w:t>
      </w:r>
      <w:r w:rsidR="00EC5070">
        <w:rPr>
          <w:rFonts w:ascii="Verdana" w:eastAsia="Arial" w:hAnsi="Verdana" w:cs="Arial"/>
          <w:color w:val="000000" w:themeColor="text1"/>
          <w:lang w:val="es-ES" w:eastAsia="es-ES"/>
        </w:rPr>
        <w:t>ía de la voluntad, pueda</w:t>
      </w:r>
      <w:r w:rsidR="00B47C8E">
        <w:rPr>
          <w:rFonts w:ascii="Verdana" w:eastAsia="Arial" w:hAnsi="Verdana" w:cs="Arial"/>
          <w:color w:val="000000" w:themeColor="text1"/>
          <w:lang w:val="es-ES" w:eastAsia="es-ES"/>
        </w:rPr>
        <w:t xml:space="preserve">n suscribir contratos de mandato, con o sin representación, a fin de cumplir determinadas necesidades de la entidad. </w:t>
      </w:r>
      <w:r w:rsidR="00EC5070">
        <w:rPr>
          <w:rFonts w:ascii="Verdana" w:eastAsia="Arial" w:hAnsi="Verdana" w:cs="Arial"/>
          <w:color w:val="000000" w:themeColor="text1"/>
          <w:lang w:val="es-ES" w:eastAsia="es-ES"/>
        </w:rPr>
        <w:t>En torno al contrato de mandato, la doctrina ha expresado:</w:t>
      </w:r>
    </w:p>
    <w:p w14:paraId="08B92A56" w14:textId="77777777" w:rsidR="00EC5070" w:rsidRDefault="00EC5070" w:rsidP="00B47C8E">
      <w:pPr>
        <w:widowControl w:val="0"/>
        <w:autoSpaceDE w:val="0"/>
        <w:autoSpaceDN w:val="0"/>
        <w:spacing w:after="120" w:line="276" w:lineRule="auto"/>
        <w:ind w:firstLine="708"/>
        <w:jc w:val="both"/>
        <w:rPr>
          <w:rFonts w:ascii="Verdana" w:eastAsia="Arial" w:hAnsi="Verdana" w:cs="Arial"/>
          <w:color w:val="000000" w:themeColor="text1"/>
          <w:lang w:val="es-ES" w:eastAsia="es-ES"/>
        </w:rPr>
      </w:pPr>
    </w:p>
    <w:p w14:paraId="53119A13" w14:textId="77777777" w:rsidR="00EC5070" w:rsidRPr="00EC5070" w:rsidRDefault="00EC5070" w:rsidP="00EC5070">
      <w:pPr>
        <w:widowControl w:val="0"/>
        <w:autoSpaceDE w:val="0"/>
        <w:autoSpaceDN w:val="0"/>
        <w:spacing w:after="120" w:line="240" w:lineRule="auto"/>
        <w:ind w:left="709" w:right="709"/>
        <w:jc w:val="both"/>
        <w:rPr>
          <w:rFonts w:ascii="Verdana" w:eastAsia="Arial" w:hAnsi="Verdana" w:cs="Arial"/>
          <w:color w:val="000000" w:themeColor="text1"/>
          <w:sz w:val="21"/>
          <w:szCs w:val="21"/>
          <w:lang w:eastAsia="es-ES"/>
        </w:rPr>
      </w:pPr>
      <w:r w:rsidRPr="00EC5070">
        <w:rPr>
          <w:rFonts w:ascii="Verdana" w:eastAsia="Arial" w:hAnsi="Verdana" w:cs="Arial"/>
          <w:color w:val="000000" w:themeColor="text1"/>
          <w:sz w:val="21"/>
          <w:szCs w:val="21"/>
          <w:lang w:eastAsia="es-ES"/>
        </w:rPr>
        <w:t xml:space="preserve">El régimen civil define el contrato de mandato como aquel en que una persona confía la gestión de uno o más negocios a otra, que se hace cargo de ellos por cuenta y riesgo de la primera (C.C. artículo 2142). Establece así mismo que: i) puede ser gratuito o remunerado; ii) solo existirá mandato como tal, cuando el encargo interese al mandante y al mandatario (o a un tercero); iii) es consensual y puede perfeccionarse por cualquier medio (inclusive verbalmente y mediante aceptación expresa o tácita del mandatario); iv) puede existir pluralidad de mandantes y/o mandatarios; v) el mandatario responde hasta por la culpa leve en el cumplimiento de su encargo, salvo que el mandato sea remunerado; vi) el mandatario (salvo prohibición expresa) puede delegar el encargo respondiendo por los actos de su delegado; vii) no puede el mandatario comprar las cosas que el mandante le ha ordenado vender, ni tomar en préstamo el dinero que el mandante le ha ordenado colocar a interés, salvo que medie autorización expresa del mandante; viii) no podrá el mandatario cumplir el mandato cuya ejecución sea manifiestamente perniciosa para el mandante; ix) el mandatario puede obrar con o sin representación. Si contrata a su propio nombre, no obliga respecto de terceros al mandante; ix) el mandatario habrá de responder ante </w:t>
      </w:r>
      <w:r w:rsidRPr="00EC5070">
        <w:rPr>
          <w:rFonts w:ascii="Verdana" w:eastAsia="Arial" w:hAnsi="Verdana" w:cs="Arial"/>
          <w:color w:val="000000" w:themeColor="text1"/>
          <w:sz w:val="21"/>
          <w:szCs w:val="21"/>
          <w:lang w:eastAsia="es-ES"/>
        </w:rPr>
        <w:lastRenderedPageBreak/>
        <w:t xml:space="preserve">terceros cuando se ha obligado personalmente o cuando no les ha dado suficiente conocimiento de sus poderes; x) el mandatario deberá rendir cuentas ante el mandante; xi) el mandante tiene como obligaciones, entre otras, el proveer al mandatario con lo necesario para la ejecución de su encargo, el reembolsarle los gastos razonables causados por la ejecución del mandato, el pagarle la remuneración estipulada o usual; xii) el mandatario tendrá derecho de retención sobre los bienes del mandante para asegurar con estos el cumplimiento de las obligaciones del mandante; xiii) el mandato puede ser revocado de forma expresa o tácita (mediante el encargo del mismo negocio a distinta persona); xiv) el mandato se extingue con la muerte del mandante salvo que el mismo mandato sea destinado a ejecutarse después de ella (C. C. artículos 2143 y subsiguientes). </w:t>
      </w:r>
    </w:p>
    <w:p w14:paraId="31F1E3C4" w14:textId="56FCC49E" w:rsidR="00EC5070" w:rsidRDefault="00EC5070" w:rsidP="00636898">
      <w:pPr>
        <w:widowControl w:val="0"/>
        <w:autoSpaceDE w:val="0"/>
        <w:autoSpaceDN w:val="0"/>
        <w:spacing w:after="120" w:line="240" w:lineRule="auto"/>
        <w:ind w:left="709" w:right="709"/>
        <w:jc w:val="both"/>
        <w:rPr>
          <w:rFonts w:ascii="Verdana" w:eastAsia="Arial" w:hAnsi="Verdana" w:cs="Arial"/>
          <w:color w:val="000000" w:themeColor="text1"/>
          <w:sz w:val="21"/>
          <w:szCs w:val="21"/>
          <w:lang w:eastAsia="es-ES"/>
        </w:rPr>
      </w:pPr>
      <w:r w:rsidRPr="00EC5070">
        <w:rPr>
          <w:rFonts w:ascii="Verdana" w:eastAsia="Arial" w:hAnsi="Verdana" w:cs="Arial"/>
          <w:color w:val="000000" w:themeColor="text1"/>
          <w:sz w:val="21"/>
          <w:szCs w:val="21"/>
          <w:lang w:eastAsia="es-ES"/>
        </w:rPr>
        <w:t>A su vez, el régimen comercial define el mandato como “un contrato por el cual una parte se obliga a celebrar o ejecutar uno o más actos de comercio por cuenta de otra” (C. de Co. artículo 1262). Dicha regulación establece que el mandato puede o no ser representativo y que por demás comprenderá los actos para los cuales haya sido conferido y aquellos que sean necesarios para su cumplimiento. Así mismo, establece que el mandatario no podrá hacer de contraparte del mandante, salvo expresa autorización de este. En cuanto al derecho del mandatario a pagarse sus créditos con las sumas del mandante que tenga en su poder, este podrá hacerlo siempre que conserve la preferencia concedida en las leyes a los salarios y demás prestaciones provenientes de la relación laboral (C. Co., artículos 1263 y subsiguientes)</w:t>
      </w:r>
      <w:r w:rsidR="009D7570">
        <w:rPr>
          <w:rStyle w:val="Refdenotaalpie"/>
          <w:rFonts w:ascii="Verdana" w:eastAsia="Arial" w:hAnsi="Verdana" w:cs="Arial"/>
          <w:color w:val="000000" w:themeColor="text1"/>
          <w:sz w:val="21"/>
          <w:szCs w:val="21"/>
          <w:lang w:eastAsia="es-ES"/>
        </w:rPr>
        <w:footnoteReference w:id="12"/>
      </w:r>
      <w:r w:rsidRPr="00EC5070">
        <w:rPr>
          <w:rFonts w:ascii="Verdana" w:eastAsia="Arial" w:hAnsi="Verdana" w:cs="Arial"/>
          <w:color w:val="000000" w:themeColor="text1"/>
          <w:sz w:val="21"/>
          <w:szCs w:val="21"/>
          <w:lang w:eastAsia="es-ES"/>
        </w:rPr>
        <w:t>.</w:t>
      </w:r>
    </w:p>
    <w:p w14:paraId="3A0FCA39" w14:textId="77777777" w:rsidR="00636898" w:rsidRPr="00636898" w:rsidRDefault="00636898" w:rsidP="00636898">
      <w:pPr>
        <w:widowControl w:val="0"/>
        <w:autoSpaceDE w:val="0"/>
        <w:autoSpaceDN w:val="0"/>
        <w:spacing w:after="120" w:line="240" w:lineRule="auto"/>
        <w:ind w:left="709" w:right="709"/>
        <w:jc w:val="both"/>
        <w:rPr>
          <w:rFonts w:ascii="Verdana" w:eastAsia="Arial" w:hAnsi="Verdana" w:cs="Arial"/>
          <w:color w:val="000000" w:themeColor="text1"/>
          <w:sz w:val="21"/>
          <w:szCs w:val="21"/>
          <w:lang w:eastAsia="es-ES"/>
        </w:rPr>
      </w:pPr>
    </w:p>
    <w:p w14:paraId="5C149BBB" w14:textId="77777777" w:rsidR="00636898" w:rsidRPr="00636898" w:rsidRDefault="00636898" w:rsidP="00636898">
      <w:pPr>
        <w:widowControl w:val="0"/>
        <w:autoSpaceDE w:val="0"/>
        <w:autoSpaceDN w:val="0"/>
        <w:spacing w:before="120" w:line="276" w:lineRule="auto"/>
        <w:ind w:firstLine="709"/>
        <w:jc w:val="both"/>
        <w:rPr>
          <w:rFonts w:ascii="Verdana" w:eastAsia="Arial" w:hAnsi="Verdana" w:cs="Arial"/>
          <w:lang w:val="es-ES"/>
        </w:rPr>
      </w:pPr>
      <w:r w:rsidRPr="00636898">
        <w:rPr>
          <w:rFonts w:ascii="Verdana" w:eastAsia="Arial" w:hAnsi="Verdana" w:cs="Arial"/>
          <w:lang w:val="es-ES"/>
        </w:rPr>
        <w:t xml:space="preserve">En este sentido, es posible que las entidades estatales puedan suscribir contratos de mandato, con o sin representación dentro del marco de la ley y de las competencias propias de cada entidad, con el fin de cumplir determinadas necesidades conforme al principio de autonomía de la voluntad de las partes, reconocido en los artículos 13, 32 y 40 de la Ley 80 de 1993, así como en el artículo 1602 del Código Civil, por lo que es viable que las Entidades Estatales celebren estos contratos. De este modo, para la celebración de los contratos interadministrativos de mandato sin representación es indispensable que la entidad ejecutora cuente con un objeto social que le permita desarrollar las actividades a convenir, es por ello que para suscribir un contrato de mandato sin representación debe verificarse que el objeto social de la entidad ejecutora esté relacionado con el objeto contractual específico, enmarcado en la ejecución </w:t>
      </w:r>
      <w:r w:rsidRPr="00636898">
        <w:rPr>
          <w:rFonts w:ascii="Verdana" w:eastAsia="Arial" w:hAnsi="Verdana" w:cs="Arial"/>
          <w:lang w:val="es-ES"/>
        </w:rPr>
        <w:lastRenderedPageBreak/>
        <w:t>de proyecto.</w:t>
      </w:r>
    </w:p>
    <w:p w14:paraId="2E7DB0B9" w14:textId="5E6A51B3" w:rsidR="00EC5070" w:rsidRDefault="00636898" w:rsidP="00571B82">
      <w:pPr>
        <w:spacing w:before="120" w:after="0" w:line="276" w:lineRule="auto"/>
        <w:ind w:firstLine="709"/>
        <w:jc w:val="both"/>
        <w:rPr>
          <w:rFonts w:ascii="Verdana" w:hAnsi="Verdana"/>
        </w:rPr>
      </w:pPr>
      <w:r w:rsidRPr="00636898">
        <w:rPr>
          <w:rFonts w:ascii="Verdana" w:eastAsia="Arial" w:hAnsi="Verdana" w:cs="Arial"/>
          <w:lang w:val="es-ES"/>
        </w:rPr>
        <w:t>Sin embargo, debe precisarse que hay excepciones a esta regla dentro del ordenamiento jurídico establecida en el inciso 2° del literal c) del artículo 2, numeral 4° de la Ley 1150 de 2007–modificado por el artículo 92 de la Ley 1474 de 2011– que dispone: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w:t>
      </w:r>
      <w:r>
        <w:rPr>
          <w:rFonts w:ascii="Verdana" w:eastAsia="Arial" w:hAnsi="Verdana" w:cs="Arial"/>
          <w:lang w:val="es-ES"/>
        </w:rPr>
        <w:t xml:space="preserve"> </w:t>
      </w:r>
      <w:r w:rsidRPr="00636898">
        <w:rPr>
          <w:rFonts w:ascii="Verdana" w:hAnsi="Verdana"/>
        </w:rPr>
        <w:t>pública o contratación abreviada de acuerdo con lo dispuesto por los numerales 1 y 2 del presente artículo”. En estos términos, no pueden celebrar contratos interadministrativos de manera directa con las entidades cuyo objeto trate de contrato de obra, suministro, prestación de servicios de evaluación, encargos fiduciarios y fiducia pública, con respecto a cierto tipo de entidades.</w:t>
      </w:r>
    </w:p>
    <w:p w14:paraId="2FCD2661" w14:textId="77777777" w:rsidR="00571B82" w:rsidRPr="00571B82" w:rsidRDefault="00571B82" w:rsidP="00571B82">
      <w:pPr>
        <w:spacing w:before="120" w:line="276" w:lineRule="auto"/>
        <w:ind w:firstLine="709"/>
        <w:jc w:val="both"/>
        <w:rPr>
          <w:rFonts w:ascii="Verdana" w:hAnsi="Verdana"/>
        </w:rPr>
      </w:pPr>
    </w:p>
    <w:p w14:paraId="71F4C472" w14:textId="6D96D754" w:rsidR="00965D27" w:rsidRPr="00965D27" w:rsidRDefault="007A006D" w:rsidP="00965D27">
      <w:pPr>
        <w:tabs>
          <w:tab w:val="left" w:pos="-720"/>
        </w:tabs>
        <w:suppressAutoHyphens/>
        <w:spacing w:after="120" w:line="276" w:lineRule="auto"/>
        <w:jc w:val="both"/>
        <w:rPr>
          <w:rFonts w:ascii="Verdana" w:eastAsia="Calibri" w:hAnsi="Verdana" w:cs="Arial"/>
          <w:color w:val="000000" w:themeColor="text1"/>
          <w:lang w:val="es-ES_tradnl"/>
        </w:rPr>
      </w:pPr>
      <w:r>
        <w:rPr>
          <w:rFonts w:ascii="Arial" w:eastAsia="Calibri" w:hAnsi="Arial" w:cs="Arial"/>
          <w:b/>
          <w:bCs/>
        </w:rPr>
        <w:tab/>
      </w:r>
      <w:r w:rsidRPr="007A006D">
        <w:rPr>
          <w:rFonts w:ascii="Arial" w:eastAsia="Calibri" w:hAnsi="Arial" w:cs="Arial"/>
          <w:bCs/>
        </w:rPr>
        <w:t>ii</w:t>
      </w:r>
      <w:r w:rsidR="00E02CFF">
        <w:rPr>
          <w:rFonts w:ascii="Arial" w:eastAsia="Calibri" w:hAnsi="Arial" w:cs="Arial"/>
          <w:bCs/>
        </w:rPr>
        <w:t>i</w:t>
      </w:r>
      <w:r w:rsidRPr="007A006D">
        <w:rPr>
          <w:rFonts w:ascii="Arial" w:eastAsia="Calibri" w:hAnsi="Arial" w:cs="Arial"/>
          <w:bCs/>
        </w:rPr>
        <w:t>.</w:t>
      </w:r>
      <w:r>
        <w:rPr>
          <w:rFonts w:ascii="Arial" w:eastAsia="Calibri" w:hAnsi="Arial" w:cs="Arial"/>
          <w:b/>
          <w:bCs/>
        </w:rPr>
        <w:t xml:space="preserve"> </w:t>
      </w:r>
      <w:r w:rsidR="00965D27" w:rsidRPr="00965D27">
        <w:rPr>
          <w:rFonts w:ascii="Verdana" w:eastAsia="Calibri" w:hAnsi="Verdana" w:cs="Arial"/>
          <w:color w:val="000000" w:themeColor="text1"/>
          <w:lang w:val="es-ES_tradnl"/>
        </w:rPr>
        <w:t>El artículo 2, numeral 4, literal c) de la Ley 1150 de 2007 dispone que la modalidad de selección aplicable a la celebración de contratos interadministrativos es la contratación directa, siempre que las obligaciones derivadas de los mismos tengan relación con el objeto de la entidad ejecutora. Sin embargo, esa misma ley establece excepciones a esta regla, la cual está condicionada a que ciertas tipologías contractuales no sean ejecutadas por ciertas Entidades Estatales bajo la modalidad de contratación directa, sin perjuicio de que puedan ser</w:t>
      </w:r>
      <w:r w:rsidR="00360C24">
        <w:rPr>
          <w:rFonts w:ascii="Verdana" w:eastAsia="Calibri" w:hAnsi="Verdana" w:cs="Arial"/>
          <w:color w:val="000000" w:themeColor="text1"/>
          <w:lang w:val="es-ES_tradnl"/>
        </w:rPr>
        <w:t xml:space="preserve"> seleccionadas a través de otra</w:t>
      </w:r>
      <w:r w:rsidR="00965D27" w:rsidRPr="00965D27">
        <w:rPr>
          <w:rFonts w:ascii="Verdana" w:eastAsia="Calibri" w:hAnsi="Verdana" w:cs="Arial"/>
          <w:color w:val="000000" w:themeColor="text1"/>
          <w:lang w:val="es-ES_tradnl"/>
        </w:rPr>
        <w:t xml:space="preserve"> modalidad de selección</w:t>
      </w:r>
    </w:p>
    <w:p w14:paraId="562148F1" w14:textId="2A8F749E" w:rsidR="00965D27" w:rsidRPr="00965D27" w:rsidRDefault="00965D27" w:rsidP="00A66724">
      <w:pPr>
        <w:tabs>
          <w:tab w:val="left" w:pos="-720"/>
        </w:tabs>
        <w:suppressAutoHyphens/>
        <w:spacing w:after="120" w:line="276" w:lineRule="auto"/>
        <w:ind w:firstLine="709"/>
        <w:jc w:val="both"/>
        <w:rPr>
          <w:rFonts w:ascii="Verdana" w:eastAsia="Calibri" w:hAnsi="Verdana" w:cs="Arial"/>
          <w:color w:val="000000" w:themeColor="text1"/>
          <w:lang w:val="es-ES_tradnl"/>
        </w:rPr>
      </w:pPr>
      <w:r w:rsidRPr="00965D27">
        <w:rPr>
          <w:rFonts w:ascii="Verdana" w:eastAsia="Calibri" w:hAnsi="Verdana" w:cs="Arial"/>
          <w:color w:val="000000" w:themeColor="text1"/>
          <w:lang w:val="es-ES_tradnl"/>
        </w:rPr>
        <w:t xml:space="preserve">Al respecto, el inciso 2 del literal c) de la norma en cita –modificado por el artículo 92 de la Ley 1474 </w:t>
      </w:r>
      <w:r w:rsidR="00A66724">
        <w:rPr>
          <w:rFonts w:ascii="Verdana" w:eastAsia="Calibri" w:hAnsi="Verdana" w:cs="Arial"/>
          <w:color w:val="000000" w:themeColor="text1"/>
          <w:lang w:val="es-ES_tradnl"/>
        </w:rPr>
        <w:t>de 2011– señaló que cuando las “</w:t>
      </w:r>
      <w:r w:rsidRPr="00965D27">
        <w:rPr>
          <w:rFonts w:ascii="Verdana" w:eastAsia="Calibri" w:hAnsi="Verdana" w:cs="Arial"/>
          <w:color w:val="000000" w:themeColor="text1"/>
          <w:lang w:val="es-ES_tradnl"/>
        </w:rPr>
        <w:t>instituciones de educación superior públicas o las Sociedades de Economía Mixta con participación mayoritaria del Estado, o las personas jurídicas sin ánimo de lucro conformadas por la asociación de entidades públicas, o las federaciones de entidades te</w:t>
      </w:r>
      <w:r w:rsidR="00A66724">
        <w:rPr>
          <w:rFonts w:ascii="Verdana" w:eastAsia="Calibri" w:hAnsi="Verdana" w:cs="Arial"/>
          <w:color w:val="000000" w:themeColor="text1"/>
          <w:lang w:val="es-ES_tradnl"/>
        </w:rPr>
        <w:t>rritoriales sean las ejecutoras”</w:t>
      </w:r>
      <w:r w:rsidRPr="00965D27">
        <w:rPr>
          <w:rFonts w:ascii="Verdana" w:eastAsia="Calibri" w:hAnsi="Verdana" w:cs="Arial"/>
          <w:color w:val="000000" w:themeColor="text1"/>
          <w:lang w:val="es-ES_tradnl"/>
        </w:rPr>
        <w:t>, no pueden celebrar contratos interadministrativos de manera directa cuyo objeto trate de contrato de obra, suministro, prestación de servicios de evaluación, encargos fiduciarios y fiducia pública.</w:t>
      </w:r>
    </w:p>
    <w:p w14:paraId="41A85AB3" w14:textId="113E0FD8" w:rsidR="00965D27" w:rsidRDefault="00E02CFF" w:rsidP="00A66724">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 xml:space="preserve">Por </w:t>
      </w:r>
      <w:r w:rsidR="00965D27" w:rsidRPr="00965D27">
        <w:rPr>
          <w:rFonts w:ascii="Verdana" w:eastAsia="Calibri" w:hAnsi="Verdana" w:cs="Arial"/>
          <w:color w:val="000000" w:themeColor="text1"/>
          <w:lang w:val="es-ES_tradnl"/>
        </w:rPr>
        <w:t xml:space="preserve">la relevancia que tiene esta idea para resolver la consulta objeto de análisis, conviene señalar que la excepción contenida en la norma mencionada determina de manera explícita los sujetos a los cuales les es aplicable la restricción contenida en dicho artículo. De lo anterior se desprende que la ley no previó que esta excepción sea aplicable a las Empresas Industriales y Comerciales del Estado, por lo cual, </w:t>
      </w:r>
      <w:r w:rsidR="00965D27" w:rsidRPr="00360C24">
        <w:rPr>
          <w:rFonts w:ascii="Verdana" w:eastAsia="Calibri" w:hAnsi="Verdana" w:cs="Arial"/>
          <w:color w:val="000000" w:themeColor="text1"/>
          <w:lang w:val="es-ES_tradnl"/>
        </w:rPr>
        <w:t xml:space="preserve">al no existir prohibición explícita para la celebración de contratos o convenios interadministrativos, </w:t>
      </w:r>
      <w:r w:rsidR="00F500A9">
        <w:rPr>
          <w:rFonts w:ascii="Verdana" w:eastAsia="Calibri" w:hAnsi="Verdana" w:cs="Arial"/>
          <w:color w:val="000000" w:themeColor="text1"/>
          <w:lang w:val="es-ES_tradnl"/>
        </w:rPr>
        <w:t xml:space="preserve">por lo que </w:t>
      </w:r>
      <w:r w:rsidR="00965D27" w:rsidRPr="00360C24">
        <w:rPr>
          <w:rFonts w:ascii="Verdana" w:eastAsia="Calibri" w:hAnsi="Verdana" w:cs="Arial"/>
          <w:color w:val="000000" w:themeColor="text1"/>
          <w:lang w:val="es-ES_tradnl"/>
        </w:rPr>
        <w:t xml:space="preserve">es posible afirmar que frente a dichas entidades se aplica la regla general, y, por ende, pueden celebrar contratos o convenios interadministrativos sin distinción de objeto, de manera directa. </w:t>
      </w:r>
      <w:r w:rsidR="00965D27" w:rsidRPr="00965D27">
        <w:rPr>
          <w:rFonts w:ascii="Verdana" w:eastAsia="Calibri" w:hAnsi="Verdana" w:cs="Arial"/>
          <w:color w:val="000000" w:themeColor="text1"/>
          <w:lang w:val="es-ES_tradnl"/>
        </w:rPr>
        <w:t>Lo anterior siempre que del análisis jurídico, técnico y financiero se derive la viabilidad de suscribir dichos convenios o contratos, así como que el objeto de la entidad, señalado en la ley o en sus reglamentos, permita el cumplimiento de las obligaciones que se deriven del acuerdo de voluntades</w:t>
      </w:r>
      <w:r w:rsidR="00636898">
        <w:rPr>
          <w:rFonts w:ascii="Verdana" w:eastAsia="Calibri" w:hAnsi="Verdana" w:cs="Arial"/>
          <w:color w:val="000000" w:themeColor="text1"/>
          <w:lang w:val="es-ES_tradnl"/>
        </w:rPr>
        <w:t>.</w:t>
      </w:r>
    </w:p>
    <w:p w14:paraId="72BE388D" w14:textId="77777777" w:rsidR="00636898" w:rsidRPr="00636898" w:rsidRDefault="00636898" w:rsidP="00636898">
      <w:pPr>
        <w:spacing w:after="120" w:line="276" w:lineRule="auto"/>
        <w:ind w:firstLine="708"/>
        <w:jc w:val="both"/>
        <w:rPr>
          <w:rFonts w:ascii="Verdana" w:eastAsia="Calibri" w:hAnsi="Verdana" w:cs="Arial"/>
          <w:color w:val="000000" w:themeColor="text1"/>
          <w:lang w:val="es-ES"/>
        </w:rPr>
      </w:pPr>
      <w:r w:rsidRPr="00636898">
        <w:rPr>
          <w:rFonts w:ascii="Verdana" w:eastAsia="Calibri" w:hAnsi="Verdana" w:cs="Arial"/>
          <w:color w:val="000000" w:themeColor="text1"/>
          <w:lang w:val="es-ES"/>
        </w:rPr>
        <w:t>Así pues, se señala que una empresa industrial y comercial del Estado puede celebrar contratos interadministrativos previstos en la Ley 80 de 1993, en la Ley 1150 de 2007 y en el Decreto en el 1082 de 2015, por ende, puede una entidad estatal sometida al EGCAP celebrar esta clase de negocios jurídicos con una entidad estatal de régimen especial, como es el caso de una empresa industrial y comercial del Estado y no por ello dejará de ostentar tal calidad. Así pues, el contrato interadministrativo en el régimen jurídico vigente de la contratación estatal se define a partir de un criterio eminentemente subjetivo u orgánico, es decir, que un contrato se califica como interadministrativo cuando se celebra por parte de dos o más Entidades Estatales –es decir, por parte de órganos que tienen una naturaleza jurídica pública–, con prescindencia de las normas que regulen la relación contractual.</w:t>
      </w:r>
    </w:p>
    <w:p w14:paraId="3EB6495D" w14:textId="7D59DD20" w:rsidR="004E02EE" w:rsidRPr="00636898" w:rsidRDefault="00636898" w:rsidP="00636898">
      <w:pPr>
        <w:spacing w:after="120" w:line="276" w:lineRule="auto"/>
        <w:ind w:firstLine="708"/>
        <w:jc w:val="both"/>
        <w:rPr>
          <w:rFonts w:ascii="Verdana" w:eastAsia="Calibri" w:hAnsi="Verdana" w:cs="Arial"/>
          <w:color w:val="000000" w:themeColor="text1"/>
          <w:lang w:val="es-ES"/>
        </w:rPr>
      </w:pPr>
      <w:r w:rsidRPr="00636898">
        <w:rPr>
          <w:rFonts w:ascii="Verdana" w:eastAsia="Calibri" w:hAnsi="Verdana" w:cs="Arial"/>
          <w:color w:val="000000" w:themeColor="text1"/>
          <w:lang w:val="es-ES"/>
        </w:rPr>
        <w:t>De esta manera, las entidades municipales o de cualquier orden pueden contratar bajo la figura de un contrato interadministrativo con una Empresa Industrial y Comercial del Estado. En todo caso, como se expuso previamente la viabilidad jurídica, técnica y financiera de la suscripción del contrato con una empresa industrial y comercial del Estado deberá analizarse en cada caso concreto, en atención al marco de competencias de las entidades públicas participantes y a los estudios previos que determinen la oportunidad y conveniencia del futuro acuerdo de voluntades. Lo anterior, por cuanto esta Subdirección solo cuenta con competencia para resolver consultas sobre la aplicación de normas de carácter general, y no le corresponde conceptuar sobre la posibilidad de celebrar una modalidad de contrato en un caso específico.</w:t>
      </w:r>
    </w:p>
    <w:p w14:paraId="15029C30" w14:textId="77777777" w:rsidR="009B3595" w:rsidRPr="00A12CB6" w:rsidRDefault="009B3595" w:rsidP="009B3595">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lastRenderedPageBreak/>
        <w:t>Referencias normativas</w:t>
      </w:r>
    </w:p>
    <w:p w14:paraId="1C393193" w14:textId="50D8E5E7" w:rsidR="000754B0" w:rsidRPr="009B3595" w:rsidRDefault="000754B0" w:rsidP="000754B0">
      <w:pPr>
        <w:spacing w:after="120" w:line="276" w:lineRule="auto"/>
        <w:jc w:val="both"/>
        <w:rPr>
          <w:rFonts w:ascii="Verdana" w:eastAsia="Calibri" w:hAnsi="Verdana" w:cs="Arial"/>
          <w:color w:val="000000"/>
          <w:szCs w:val="24"/>
          <w:lang w:eastAsia="es-ES_tradnl"/>
        </w:rPr>
      </w:pPr>
      <w:r w:rsidRPr="00A12CB6">
        <w:rPr>
          <w:rFonts w:ascii="Verdana" w:eastAsia="Calibri" w:hAnsi="Verdana" w:cs="Arial"/>
          <w:color w:val="000000"/>
          <w:lang w:eastAsia="es-ES_tradn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3595" w:rsidRPr="001205D1" w14:paraId="60844259" w14:textId="77777777" w:rsidTr="00E34A22">
        <w:trPr>
          <w:trHeight w:val="870"/>
          <w:jc w:val="center"/>
        </w:trPr>
        <w:tc>
          <w:tcPr>
            <w:tcW w:w="8647" w:type="dxa"/>
          </w:tcPr>
          <w:p w14:paraId="1DAA35AA" w14:textId="77777777" w:rsidR="002C618B" w:rsidRDefault="002C618B" w:rsidP="002C618B">
            <w:pPr>
              <w:pStyle w:val="Prrafodelista"/>
              <w:widowControl w:val="0"/>
              <w:autoSpaceDE w:val="0"/>
              <w:autoSpaceDN w:val="0"/>
              <w:spacing w:line="276" w:lineRule="auto"/>
              <w:jc w:val="both"/>
              <w:rPr>
                <w:rFonts w:ascii="Verdana" w:hAnsi="Verdana" w:cs="Arial"/>
              </w:rPr>
            </w:pPr>
          </w:p>
          <w:p w14:paraId="0F35A826" w14:textId="77777777" w:rsidR="00971ED8" w:rsidRDefault="00977D20" w:rsidP="00977D20">
            <w:pPr>
              <w:pStyle w:val="Prrafodelista"/>
              <w:widowControl w:val="0"/>
              <w:numPr>
                <w:ilvl w:val="0"/>
                <w:numId w:val="26"/>
              </w:numPr>
              <w:autoSpaceDE w:val="0"/>
              <w:autoSpaceDN w:val="0"/>
              <w:spacing w:line="276" w:lineRule="auto"/>
              <w:jc w:val="both"/>
              <w:rPr>
                <w:rFonts w:ascii="Verdana" w:hAnsi="Verdana" w:cs="Arial"/>
              </w:rPr>
            </w:pPr>
            <w:r>
              <w:rPr>
                <w:rFonts w:ascii="Verdana" w:hAnsi="Verdana" w:cs="Arial"/>
              </w:rPr>
              <w:t>Código Civil, artículo</w:t>
            </w:r>
            <w:r w:rsidR="004B25A9">
              <w:rPr>
                <w:rFonts w:ascii="Verdana" w:hAnsi="Verdana" w:cs="Arial"/>
              </w:rPr>
              <w:t>s</w:t>
            </w:r>
            <w:r>
              <w:rPr>
                <w:rFonts w:ascii="Verdana" w:hAnsi="Verdana" w:cs="Arial"/>
              </w:rPr>
              <w:t xml:space="preserve"> </w:t>
            </w:r>
            <w:r w:rsidR="00971ED8">
              <w:rPr>
                <w:rFonts w:ascii="Verdana" w:hAnsi="Verdana" w:cs="Arial"/>
              </w:rPr>
              <w:t xml:space="preserve">1495, </w:t>
            </w:r>
            <w:r>
              <w:rPr>
                <w:rFonts w:ascii="Verdana" w:hAnsi="Verdana" w:cs="Arial"/>
              </w:rPr>
              <w:t>1501</w:t>
            </w:r>
            <w:r w:rsidR="00971ED8">
              <w:rPr>
                <w:rFonts w:ascii="Verdana" w:hAnsi="Verdana" w:cs="Arial"/>
              </w:rPr>
              <w:t>, 1505,</w:t>
            </w:r>
            <w:r w:rsidR="004B25A9">
              <w:rPr>
                <w:rFonts w:ascii="Verdana" w:hAnsi="Verdana" w:cs="Arial"/>
              </w:rPr>
              <w:t xml:space="preserve"> 1602, </w:t>
            </w:r>
            <w:r w:rsidR="00971ED8">
              <w:rPr>
                <w:rFonts w:ascii="Verdana" w:hAnsi="Verdana" w:cs="Arial"/>
              </w:rPr>
              <w:t>2142,2143, 2177.</w:t>
            </w:r>
          </w:p>
          <w:p w14:paraId="13DEBFF0" w14:textId="3DFF88F3" w:rsidR="00977D20" w:rsidRDefault="00971ED8" w:rsidP="00971ED8">
            <w:pPr>
              <w:pStyle w:val="Prrafodelista"/>
              <w:widowControl w:val="0"/>
              <w:autoSpaceDE w:val="0"/>
              <w:autoSpaceDN w:val="0"/>
              <w:spacing w:line="276" w:lineRule="auto"/>
              <w:jc w:val="both"/>
              <w:rPr>
                <w:rFonts w:ascii="Verdana" w:hAnsi="Verdana" w:cs="Arial"/>
              </w:rPr>
            </w:pPr>
            <w:r>
              <w:rPr>
                <w:rFonts w:ascii="Verdana" w:hAnsi="Verdana" w:cs="Arial"/>
              </w:rPr>
              <w:t xml:space="preserve"> </w:t>
            </w:r>
          </w:p>
          <w:p w14:paraId="34AD16EF" w14:textId="7CF0F84C" w:rsidR="004B25A9" w:rsidRPr="004B25A9" w:rsidRDefault="004B25A9" w:rsidP="004B25A9">
            <w:pPr>
              <w:pStyle w:val="Prrafodelista"/>
              <w:widowControl w:val="0"/>
              <w:numPr>
                <w:ilvl w:val="0"/>
                <w:numId w:val="26"/>
              </w:numPr>
              <w:autoSpaceDE w:val="0"/>
              <w:autoSpaceDN w:val="0"/>
              <w:spacing w:line="276" w:lineRule="auto"/>
              <w:jc w:val="both"/>
              <w:rPr>
                <w:rFonts w:ascii="Verdana" w:hAnsi="Verdana" w:cs="Arial"/>
              </w:rPr>
            </w:pPr>
            <w:r>
              <w:rPr>
                <w:rFonts w:ascii="Verdana" w:hAnsi="Verdana" w:cs="Arial"/>
              </w:rPr>
              <w:t>Códi</w:t>
            </w:r>
            <w:r w:rsidR="00971ED8">
              <w:rPr>
                <w:rFonts w:ascii="Verdana" w:hAnsi="Verdana" w:cs="Arial"/>
              </w:rPr>
              <w:t>go del Comercio, artículos 832, 1262, 1263, 1264.</w:t>
            </w:r>
          </w:p>
          <w:p w14:paraId="7313C863" w14:textId="77777777" w:rsidR="00977D20" w:rsidRDefault="00977D20" w:rsidP="00977D20">
            <w:pPr>
              <w:pStyle w:val="Prrafodelista"/>
              <w:widowControl w:val="0"/>
              <w:autoSpaceDE w:val="0"/>
              <w:autoSpaceDN w:val="0"/>
              <w:spacing w:line="276" w:lineRule="auto"/>
              <w:ind w:left="714"/>
              <w:contextualSpacing w:val="0"/>
              <w:jc w:val="both"/>
              <w:rPr>
                <w:rFonts w:ascii="Verdana" w:hAnsi="Verdana" w:cs="Arial"/>
              </w:rPr>
            </w:pPr>
          </w:p>
          <w:p w14:paraId="32728C00" w14:textId="7404B9EF" w:rsidR="00977D20" w:rsidRDefault="00977D20" w:rsidP="00977D20">
            <w:pPr>
              <w:pStyle w:val="Prrafodelista"/>
              <w:numPr>
                <w:ilvl w:val="0"/>
                <w:numId w:val="20"/>
              </w:numPr>
              <w:rPr>
                <w:rFonts w:ascii="Verdana" w:hAnsi="Verdana" w:cs="Arial"/>
              </w:rPr>
            </w:pPr>
            <w:r w:rsidRPr="00977D20">
              <w:rPr>
                <w:rFonts w:ascii="Verdana" w:hAnsi="Verdana" w:cs="Arial"/>
              </w:rPr>
              <w:t>Ley 8</w:t>
            </w:r>
            <w:r w:rsidR="004B25A9">
              <w:rPr>
                <w:rFonts w:ascii="Verdana" w:hAnsi="Verdana" w:cs="Arial"/>
              </w:rPr>
              <w:t xml:space="preserve">0 de 1993, artículos </w:t>
            </w:r>
            <w:r w:rsidR="00971ED8">
              <w:rPr>
                <w:rFonts w:ascii="Verdana" w:hAnsi="Verdana" w:cs="Arial"/>
              </w:rPr>
              <w:t xml:space="preserve">1, 6, </w:t>
            </w:r>
            <w:r w:rsidR="004B25A9">
              <w:rPr>
                <w:rFonts w:ascii="Verdana" w:hAnsi="Verdana" w:cs="Arial"/>
              </w:rPr>
              <w:t>13, 32,</w:t>
            </w:r>
            <w:r w:rsidR="00971ED8">
              <w:rPr>
                <w:rFonts w:ascii="Verdana" w:hAnsi="Verdana" w:cs="Arial"/>
              </w:rPr>
              <w:t xml:space="preserve"> 39,</w:t>
            </w:r>
            <w:r w:rsidR="004B25A9">
              <w:rPr>
                <w:rFonts w:ascii="Verdana" w:hAnsi="Verdana" w:cs="Arial"/>
              </w:rPr>
              <w:t xml:space="preserve"> 40</w:t>
            </w:r>
            <w:r w:rsidR="00971ED8">
              <w:rPr>
                <w:rFonts w:ascii="Verdana" w:hAnsi="Verdana" w:cs="Arial"/>
              </w:rPr>
              <w:t xml:space="preserve"> y 41</w:t>
            </w:r>
            <w:r w:rsidR="004B25A9">
              <w:rPr>
                <w:rFonts w:ascii="Verdana" w:hAnsi="Verdana" w:cs="Arial"/>
              </w:rPr>
              <w:t xml:space="preserve">. </w:t>
            </w:r>
            <w:r w:rsidRPr="00977D20">
              <w:rPr>
                <w:rFonts w:ascii="Verdana" w:hAnsi="Verdana" w:cs="Arial"/>
              </w:rPr>
              <w:t xml:space="preserve"> </w:t>
            </w:r>
          </w:p>
          <w:p w14:paraId="745DEFB2" w14:textId="62ECCEB8" w:rsidR="00971ED8" w:rsidRDefault="00971ED8" w:rsidP="00971ED8">
            <w:pPr>
              <w:rPr>
                <w:rFonts w:ascii="Verdana" w:hAnsi="Verdana" w:cs="Arial"/>
              </w:rPr>
            </w:pPr>
          </w:p>
          <w:p w14:paraId="31C3484E" w14:textId="2A2F339F" w:rsidR="00971ED8" w:rsidRDefault="00971ED8" w:rsidP="00971ED8">
            <w:pPr>
              <w:pStyle w:val="Prrafodelista"/>
              <w:numPr>
                <w:ilvl w:val="0"/>
                <w:numId w:val="28"/>
              </w:numPr>
              <w:rPr>
                <w:rFonts w:ascii="Verdana" w:hAnsi="Verdana" w:cs="Arial"/>
              </w:rPr>
            </w:pPr>
            <w:r>
              <w:rPr>
                <w:rFonts w:ascii="Verdana" w:hAnsi="Verdana" w:cs="Arial"/>
              </w:rPr>
              <w:t xml:space="preserve">Ley 1150 de 2007, artículo 2. </w:t>
            </w:r>
          </w:p>
          <w:p w14:paraId="6FDC1FD8" w14:textId="0067F2AF" w:rsidR="00971ED8" w:rsidRDefault="00971ED8" w:rsidP="00971ED8">
            <w:pPr>
              <w:rPr>
                <w:rFonts w:ascii="Verdana" w:hAnsi="Verdana" w:cs="Arial"/>
              </w:rPr>
            </w:pPr>
          </w:p>
          <w:p w14:paraId="2ED5E19E" w14:textId="6C253BA3" w:rsidR="00971ED8" w:rsidRPr="00971ED8" w:rsidRDefault="00971ED8" w:rsidP="00971ED8">
            <w:pPr>
              <w:pStyle w:val="Prrafodelista"/>
              <w:numPr>
                <w:ilvl w:val="0"/>
                <w:numId w:val="28"/>
              </w:numPr>
              <w:rPr>
                <w:rFonts w:ascii="Verdana" w:hAnsi="Verdana" w:cs="Arial"/>
              </w:rPr>
            </w:pPr>
            <w:r>
              <w:rPr>
                <w:rFonts w:ascii="Verdana" w:hAnsi="Verdana" w:cs="Arial"/>
              </w:rPr>
              <w:t xml:space="preserve">Ley 1474 de 2011, artículo 92. </w:t>
            </w:r>
          </w:p>
          <w:p w14:paraId="55A5D81F" w14:textId="15D805E4" w:rsidR="007231C5" w:rsidRPr="007231C5" w:rsidRDefault="007231C5" w:rsidP="007231C5">
            <w:pPr>
              <w:widowControl w:val="0"/>
              <w:autoSpaceDE w:val="0"/>
              <w:autoSpaceDN w:val="0"/>
              <w:spacing w:line="276" w:lineRule="auto"/>
              <w:jc w:val="both"/>
              <w:rPr>
                <w:rFonts w:ascii="Verdana" w:hAnsi="Verdana" w:cs="Arial"/>
              </w:rPr>
            </w:pPr>
          </w:p>
          <w:p w14:paraId="305810F7" w14:textId="6F9C066C" w:rsidR="007000F0" w:rsidRPr="004B25A9" w:rsidRDefault="007000F0" w:rsidP="004B25A9">
            <w:pPr>
              <w:pStyle w:val="Prrafodelista"/>
              <w:widowControl w:val="0"/>
              <w:numPr>
                <w:ilvl w:val="0"/>
                <w:numId w:val="20"/>
              </w:numPr>
              <w:autoSpaceDE w:val="0"/>
              <w:autoSpaceDN w:val="0"/>
              <w:spacing w:line="276" w:lineRule="auto"/>
              <w:ind w:left="714" w:hanging="357"/>
              <w:contextualSpacing w:val="0"/>
              <w:jc w:val="both"/>
              <w:rPr>
                <w:rFonts w:ascii="Verdana" w:hAnsi="Verdana" w:cs="Arial"/>
              </w:rPr>
            </w:pPr>
            <w:r w:rsidRPr="00862D0B">
              <w:rPr>
                <w:rFonts w:ascii="Verdana" w:hAnsi="Verdana" w:cs="Arial"/>
                <w:lang w:val="es-CO"/>
              </w:rPr>
              <w:t>Decreto 1082 de 2015</w:t>
            </w:r>
            <w:r>
              <w:rPr>
                <w:rFonts w:ascii="Verdana" w:hAnsi="Verdana" w:cs="Arial"/>
              </w:rPr>
              <w:t>,</w:t>
            </w:r>
            <w:r w:rsidR="004B25A9">
              <w:rPr>
                <w:rFonts w:ascii="Verdana" w:hAnsi="Verdana" w:cs="Arial"/>
              </w:rPr>
              <w:t xml:space="preserve"> artículos</w:t>
            </w:r>
            <w:r>
              <w:rPr>
                <w:rFonts w:ascii="Verdana" w:hAnsi="Verdana" w:cs="Arial"/>
              </w:rPr>
              <w:t xml:space="preserve"> </w:t>
            </w:r>
            <w:r w:rsidR="004B25A9">
              <w:rPr>
                <w:rFonts w:ascii="Verdana" w:hAnsi="Verdana" w:cs="Arial"/>
                <w:lang w:val="es-CO"/>
              </w:rPr>
              <w:t xml:space="preserve">2.2.1.2.1.4.1, </w:t>
            </w:r>
            <w:r w:rsidR="004B25A9" w:rsidRPr="004B25A9">
              <w:rPr>
                <w:rFonts w:ascii="Verdana" w:hAnsi="Verdana" w:cs="Arial"/>
                <w:lang w:val="es-CO"/>
              </w:rPr>
              <w:t>2.2.1.2.1.4.4</w:t>
            </w:r>
            <w:r w:rsidR="004B25A9">
              <w:rPr>
                <w:rFonts w:ascii="Verdana" w:hAnsi="Verdana" w:cs="Arial"/>
                <w:lang w:val="es-CO"/>
              </w:rPr>
              <w:t xml:space="preserve">. </w:t>
            </w:r>
          </w:p>
          <w:p w14:paraId="5325CE12" w14:textId="381C07DC" w:rsidR="0005204F" w:rsidRPr="004B25A9" w:rsidRDefault="0005204F" w:rsidP="004B25A9">
            <w:pPr>
              <w:rPr>
                <w:rFonts w:ascii="Verdana" w:hAnsi="Verdana" w:cs="Arial"/>
                <w:lang w:val="es-ES_tradnl"/>
              </w:rPr>
            </w:pPr>
          </w:p>
          <w:p w14:paraId="22BDA589" w14:textId="1A09FEE1" w:rsidR="007000F0" w:rsidRPr="0005204F" w:rsidRDefault="007000F0" w:rsidP="0005204F">
            <w:pPr>
              <w:jc w:val="both"/>
              <w:rPr>
                <w:rFonts w:ascii="Verdana" w:hAnsi="Verdana" w:cs="Arial"/>
                <w:lang w:val="es-ES_tradnl"/>
              </w:rPr>
            </w:pPr>
          </w:p>
        </w:tc>
      </w:tr>
    </w:tbl>
    <w:p w14:paraId="0665732F" w14:textId="4F245D85" w:rsidR="000754B0" w:rsidRDefault="000754B0" w:rsidP="009B3595">
      <w:pPr>
        <w:spacing w:line="276" w:lineRule="auto"/>
        <w:ind w:right="709"/>
        <w:contextualSpacing/>
        <w:jc w:val="both"/>
        <w:rPr>
          <w:rFonts w:ascii="Verdana" w:hAnsi="Verdana" w:cs="Arial"/>
          <w:color w:val="000000" w:themeColor="text1"/>
          <w:lang w:val="es-ES_tradnl"/>
        </w:rPr>
      </w:pPr>
    </w:p>
    <w:p w14:paraId="7D00749D" w14:textId="77777777" w:rsidR="000754B0" w:rsidRPr="00A12CB6" w:rsidRDefault="000754B0" w:rsidP="000754B0">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Doctrina de la Agencia Nacional de Contratación Pública:</w:t>
      </w:r>
    </w:p>
    <w:p w14:paraId="1586A120" w14:textId="77777777" w:rsidR="000754B0" w:rsidRPr="00A12CB6" w:rsidRDefault="000754B0" w:rsidP="000754B0">
      <w:pPr>
        <w:spacing w:after="0" w:line="256" w:lineRule="auto"/>
        <w:rPr>
          <w:rFonts w:ascii="Verdana" w:eastAsia="Calibri" w:hAnsi="Verdana" w:cs="Times New Roman"/>
          <w:lang w:val="es-ES"/>
        </w:rPr>
      </w:pPr>
    </w:p>
    <w:p w14:paraId="68E0064A" w14:textId="6FE38E46" w:rsidR="000754B0" w:rsidRPr="00F96A29" w:rsidRDefault="000754B0" w:rsidP="000754B0">
      <w:pPr>
        <w:widowControl w:val="0"/>
        <w:autoSpaceDE w:val="0"/>
        <w:autoSpaceDN w:val="0"/>
        <w:spacing w:after="0" w:line="276" w:lineRule="auto"/>
        <w:jc w:val="both"/>
        <w:rPr>
          <w:rFonts w:ascii="Verdana" w:hAnsi="Verdana" w:cs="Arial"/>
          <w:shd w:val="clear" w:color="auto" w:fill="FFFFFF"/>
        </w:rPr>
      </w:pPr>
      <w:r w:rsidRPr="00A12CB6">
        <w:rPr>
          <w:rFonts w:ascii="Verdana" w:hAnsi="Verdana" w:cs="Arial"/>
          <w:shd w:val="clear" w:color="auto" w:fill="FFFFFF"/>
          <w:lang w:val="es-ES"/>
        </w:rPr>
        <w:t>Esta Subdirección </w:t>
      </w:r>
      <w:r w:rsidR="004B25A9">
        <w:rPr>
          <w:rFonts w:ascii="Verdana" w:hAnsi="Verdana" w:cs="Arial"/>
          <w:shd w:val="clear" w:color="auto" w:fill="FFFFFF"/>
          <w:lang w:val="es-ES"/>
        </w:rPr>
        <w:t>se ha pronunciado</w:t>
      </w:r>
      <w:r w:rsidR="00F96A29">
        <w:rPr>
          <w:rFonts w:ascii="Verdana" w:hAnsi="Verdana" w:cs="Arial"/>
          <w:shd w:val="clear" w:color="auto" w:fill="FFFFFF"/>
          <w:lang w:val="es-ES"/>
        </w:rPr>
        <w:t xml:space="preserve"> sobre </w:t>
      </w:r>
      <w:r w:rsidR="00F96A29" w:rsidRPr="00F96A29">
        <w:rPr>
          <w:rFonts w:ascii="Verdana" w:hAnsi="Verdana" w:cs="Arial"/>
          <w:shd w:val="clear" w:color="auto" w:fill="FFFFFF"/>
        </w:rPr>
        <w:t>las características de los contratos interadministrativos, en los siguientes</w:t>
      </w:r>
      <w:r w:rsidR="00F96A29">
        <w:rPr>
          <w:rFonts w:ascii="Verdana" w:hAnsi="Verdana" w:cs="Arial"/>
          <w:shd w:val="clear" w:color="auto" w:fill="FFFFFF"/>
        </w:rPr>
        <w:t xml:space="preserve"> </w:t>
      </w:r>
      <w:r w:rsidR="00F96A29" w:rsidRPr="00F96A29">
        <w:rPr>
          <w:rFonts w:ascii="Verdana" w:hAnsi="Verdana" w:cs="Arial"/>
          <w:shd w:val="clear" w:color="auto" w:fill="FFFFFF"/>
        </w:rPr>
        <w:t>conceptos: C-30 de julio de 2019, proferido dentro del radicado No. 2201913000005444, el</w:t>
      </w:r>
      <w:r w:rsidR="00F96A29">
        <w:rPr>
          <w:rFonts w:ascii="Verdana" w:hAnsi="Verdana" w:cs="Arial"/>
          <w:shd w:val="clear" w:color="auto" w:fill="FFFFFF"/>
        </w:rPr>
        <w:t xml:space="preserve"> </w:t>
      </w:r>
      <w:r w:rsidR="00F96A29" w:rsidRPr="00F96A29">
        <w:rPr>
          <w:rFonts w:ascii="Verdana" w:hAnsi="Verdana" w:cs="Arial"/>
          <w:shd w:val="clear" w:color="auto" w:fill="FFFFFF"/>
        </w:rPr>
        <w:t>radicado 2201913000005649 del 8 de agosto de 2019, el concepto 4201913000004536 del 27</w:t>
      </w:r>
      <w:r w:rsidR="00F96A29">
        <w:rPr>
          <w:rFonts w:ascii="Verdana" w:hAnsi="Verdana" w:cs="Arial"/>
          <w:shd w:val="clear" w:color="auto" w:fill="FFFFFF"/>
        </w:rPr>
        <w:t xml:space="preserve"> </w:t>
      </w:r>
      <w:r w:rsidR="00F96A29" w:rsidRPr="00F96A29">
        <w:rPr>
          <w:rFonts w:ascii="Verdana" w:hAnsi="Verdana" w:cs="Arial"/>
          <w:shd w:val="clear" w:color="auto" w:fill="FFFFFF"/>
        </w:rPr>
        <w:t>de julio del 2019, C-023 del 13 de febrero del 2020, C-059 del 25 de febrero de 2020, C-681 del</w:t>
      </w:r>
      <w:r w:rsidR="00F96A29">
        <w:rPr>
          <w:rFonts w:ascii="Verdana" w:hAnsi="Verdana" w:cs="Arial"/>
          <w:shd w:val="clear" w:color="auto" w:fill="FFFFFF"/>
        </w:rPr>
        <w:t xml:space="preserve"> </w:t>
      </w:r>
      <w:r w:rsidR="00F96A29" w:rsidRPr="00F96A29">
        <w:rPr>
          <w:rFonts w:ascii="Verdana" w:hAnsi="Verdana" w:cs="Arial"/>
          <w:shd w:val="clear" w:color="auto" w:fill="FFFFFF"/>
        </w:rPr>
        <w:t>19 de noviembre del 2020, C-691 de 27 de noviembre de 2020, C-552 del 5 de octubre del 2021,</w:t>
      </w:r>
      <w:r w:rsidR="00F96A29">
        <w:rPr>
          <w:rFonts w:ascii="Verdana" w:hAnsi="Verdana" w:cs="Arial"/>
          <w:shd w:val="clear" w:color="auto" w:fill="FFFFFF"/>
        </w:rPr>
        <w:t xml:space="preserve"> </w:t>
      </w:r>
      <w:r w:rsidR="00F96A29" w:rsidRPr="00F96A29">
        <w:rPr>
          <w:rFonts w:ascii="Verdana" w:hAnsi="Verdana" w:cs="Arial"/>
          <w:shd w:val="clear" w:color="auto" w:fill="FFFFFF"/>
        </w:rPr>
        <w:t>C-562 del 7 de septiembre del 2022, y C-</w:t>
      </w:r>
      <w:r w:rsidR="00F96A29">
        <w:rPr>
          <w:rFonts w:ascii="Verdana" w:hAnsi="Verdana" w:cs="Arial"/>
          <w:shd w:val="clear" w:color="auto" w:fill="FFFFFF"/>
        </w:rPr>
        <w:t>738 de 4 de noviembre de 2022, C-021 del 24 de febrero de 2023, C-</w:t>
      </w:r>
      <w:r w:rsidR="005914A1">
        <w:rPr>
          <w:rFonts w:ascii="Verdana" w:hAnsi="Verdana" w:cs="Arial"/>
          <w:shd w:val="clear" w:color="auto" w:fill="FFFFFF"/>
        </w:rPr>
        <w:t xml:space="preserve"> 444 del 18 de septiembre de 2024, C-806 del 19 de noviembre de 2024, entre otros. Con respecto a </w:t>
      </w:r>
      <w:r w:rsidR="0066292A" w:rsidRPr="0066292A">
        <w:rPr>
          <w:rFonts w:ascii="Verdana" w:hAnsi="Verdana" w:cs="Arial"/>
          <w:shd w:val="clear" w:color="auto" w:fill="FFFFFF"/>
        </w:rPr>
        <w:t xml:space="preserve">contratos cuyo objeto se </w:t>
      </w:r>
      <w:r w:rsidR="00F96A29">
        <w:rPr>
          <w:rFonts w:ascii="Verdana" w:hAnsi="Verdana" w:cs="Arial"/>
          <w:shd w:val="clear" w:color="auto" w:fill="FFFFFF"/>
        </w:rPr>
        <w:t xml:space="preserve">aluda a los contratos de mandato 090 del 7 de marzo de 2025, así como el concepto de administración como una especie de mandato </w:t>
      </w:r>
      <w:r w:rsidR="0066292A" w:rsidRPr="0066292A">
        <w:rPr>
          <w:rFonts w:ascii="Verdana" w:hAnsi="Verdana" w:cs="Arial"/>
          <w:shd w:val="clear" w:color="auto" w:fill="FFFFFF"/>
        </w:rPr>
        <w:t>esta entidad se ha pronunciado en los conceptos C-593 de del 9 de octubre de 2020, C-</w:t>
      </w:r>
      <w:r w:rsidR="00A66724">
        <w:rPr>
          <w:rFonts w:ascii="Verdana" w:hAnsi="Verdana" w:cs="Arial"/>
          <w:shd w:val="clear" w:color="auto" w:fill="FFFFFF"/>
        </w:rPr>
        <w:t>691 del 27 de noviembre de 2020</w:t>
      </w:r>
      <w:r w:rsidR="0066292A" w:rsidRPr="0066292A">
        <w:rPr>
          <w:rFonts w:ascii="Verdana" w:hAnsi="Verdana" w:cs="Arial"/>
          <w:shd w:val="clear" w:color="auto" w:fill="FFFFFF"/>
        </w:rPr>
        <w:t>,</w:t>
      </w:r>
      <w:r w:rsidR="00A66724">
        <w:rPr>
          <w:rFonts w:ascii="Verdana" w:hAnsi="Verdana" w:cs="Arial"/>
          <w:shd w:val="clear" w:color="auto" w:fill="FFFFFF"/>
        </w:rPr>
        <w:t xml:space="preserve"> </w:t>
      </w:r>
      <w:r w:rsidR="0066292A" w:rsidRPr="0066292A">
        <w:rPr>
          <w:rFonts w:ascii="Verdana" w:hAnsi="Verdana" w:cs="Arial"/>
          <w:shd w:val="clear" w:color="auto" w:fill="FFFFFF"/>
        </w:rPr>
        <w:t xml:space="preserve">C-173 del 23 de abril de 2021 </w:t>
      </w:r>
      <w:r w:rsidR="0066292A">
        <w:rPr>
          <w:rFonts w:ascii="Verdana" w:hAnsi="Verdana" w:cs="Arial"/>
          <w:shd w:val="clear" w:color="auto" w:fill="FFFFFF"/>
        </w:rPr>
        <w:t>y C-021 de 24 de f</w:t>
      </w:r>
      <w:r w:rsidR="0066292A" w:rsidRPr="0066292A">
        <w:rPr>
          <w:rFonts w:ascii="Verdana" w:hAnsi="Verdana" w:cs="Arial"/>
          <w:shd w:val="clear" w:color="auto" w:fill="FFFFFF"/>
        </w:rPr>
        <w:t xml:space="preserve">ebrero de </w:t>
      </w:r>
      <w:r w:rsidR="00BC1D64" w:rsidRPr="0066292A">
        <w:rPr>
          <w:rFonts w:ascii="Verdana" w:hAnsi="Verdana" w:cs="Arial"/>
          <w:shd w:val="clear" w:color="auto" w:fill="FFFFFF"/>
        </w:rPr>
        <w:t>2023</w:t>
      </w:r>
      <w:r w:rsidR="00BC1D64">
        <w:rPr>
          <w:rFonts w:ascii="Verdana" w:hAnsi="Verdana" w:cs="Arial"/>
          <w:shd w:val="clear" w:color="auto" w:fill="FFFFFF"/>
        </w:rPr>
        <w:t>,</w:t>
      </w:r>
      <w:r w:rsidR="004B25A9">
        <w:rPr>
          <w:rFonts w:ascii="Verdana" w:hAnsi="Verdana" w:cs="Arial"/>
          <w:shd w:val="clear" w:color="auto" w:fill="FFFFFF"/>
          <w:vertAlign w:val="superscript"/>
        </w:rPr>
        <w:t xml:space="preserve"> </w:t>
      </w:r>
      <w:r w:rsidR="004B25A9">
        <w:rPr>
          <w:rFonts w:ascii="Verdana" w:hAnsi="Verdana" w:cs="Arial"/>
          <w:shd w:val="clear" w:color="auto" w:fill="FFFFFF"/>
        </w:rPr>
        <w:t>entre otros</w:t>
      </w:r>
      <w:r w:rsidR="0066292A" w:rsidRPr="0066292A">
        <w:rPr>
          <w:rFonts w:ascii="Verdana" w:hAnsi="Verdana" w:cs="Arial"/>
          <w:shd w:val="clear" w:color="auto" w:fill="FFFFFF"/>
        </w:rPr>
        <w:t xml:space="preserve">. </w:t>
      </w:r>
      <w:r w:rsidRPr="00A12CB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55E3187" w14:textId="77777777" w:rsidR="000754B0" w:rsidRPr="00A12CB6" w:rsidRDefault="000B50AE" w:rsidP="000754B0">
      <w:pPr>
        <w:spacing w:after="0" w:line="256" w:lineRule="auto"/>
        <w:jc w:val="both"/>
        <w:rPr>
          <w:rFonts w:ascii="Verdana" w:eastAsia="Calibri" w:hAnsi="Verdana" w:cs="Times New Roman"/>
        </w:rPr>
      </w:pPr>
      <w:hyperlink r:id="rId12" w:history="1">
        <w:r w:rsidR="000754B0" w:rsidRPr="00A12CB6">
          <w:rPr>
            <w:rFonts w:ascii="Verdana" w:eastAsia="Calibri" w:hAnsi="Verdana" w:cs="Times New Roman"/>
            <w:color w:val="0000FF"/>
            <w:u w:val="single"/>
            <w:lang w:val="es-ES"/>
          </w:rPr>
          <w:t>https://relatoria.colombiacompra.gov.co/busqueda/conceptos</w:t>
        </w:r>
      </w:hyperlink>
      <w:r w:rsidR="000754B0" w:rsidRPr="00A12CB6">
        <w:rPr>
          <w:rFonts w:ascii="Verdana" w:eastAsia="Calibri" w:hAnsi="Verdana" w:cs="Times New Roman"/>
        </w:rPr>
        <w:t xml:space="preserve">. </w:t>
      </w:r>
    </w:p>
    <w:p w14:paraId="399EF06B" w14:textId="77777777" w:rsidR="000754B0" w:rsidRPr="00A12CB6" w:rsidRDefault="000754B0" w:rsidP="000754B0">
      <w:pPr>
        <w:spacing w:after="0" w:line="256" w:lineRule="auto"/>
        <w:jc w:val="both"/>
        <w:rPr>
          <w:rFonts w:ascii="Verdana" w:eastAsia="Calibri" w:hAnsi="Verdana" w:cs="Times New Roman"/>
        </w:rPr>
      </w:pPr>
      <w:r w:rsidRPr="00A12CB6">
        <w:rPr>
          <w:rFonts w:ascii="Verdana" w:eastAsia="Calibri" w:hAnsi="Verdana" w:cs="Times New Roman"/>
        </w:rPr>
        <w:lastRenderedPageBreak/>
        <w:br/>
        <w:t>Te informamos que ya se encuentra disponible la </w:t>
      </w:r>
      <w:r w:rsidRPr="00A12CB6">
        <w:rPr>
          <w:rFonts w:ascii="Verdana" w:eastAsia="Calibri" w:hAnsi="Verdana" w:cs="Times New Roman"/>
          <w:b/>
          <w:bCs/>
        </w:rPr>
        <w:t>Cartilla para incentivar y fortalecer el acceso a las compras y contratación pública de los pueblos y comunidades étnicas en Colombia.</w:t>
      </w:r>
      <w:r w:rsidRPr="00A12CB6">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A12CB6">
          <w:rPr>
            <w:rFonts w:ascii="Verdana" w:eastAsia="Calibri" w:hAnsi="Verdana" w:cs="Times New Roman"/>
            <w:color w:val="0000FF"/>
            <w:u w:val="single"/>
          </w:rPr>
          <w:t>Cartilla para incentivar y fortalecer el acceso a las compras y contratación pública de los pueblos y comunidades étnicas en Colombia | Colombia Compra Eficiente | Agencia Nacional de Contratación Pública</w:t>
        </w:r>
      </w:hyperlink>
    </w:p>
    <w:p w14:paraId="217A13C3" w14:textId="77777777" w:rsidR="000754B0" w:rsidRPr="00A12CB6" w:rsidRDefault="000754B0" w:rsidP="000754B0">
      <w:pPr>
        <w:spacing w:after="0" w:line="256" w:lineRule="auto"/>
        <w:jc w:val="both"/>
        <w:rPr>
          <w:rFonts w:ascii="Verdana" w:eastAsia="Calibri" w:hAnsi="Verdana" w:cs="Times New Roman"/>
        </w:rPr>
      </w:pPr>
    </w:p>
    <w:p w14:paraId="6354DFFA" w14:textId="77777777" w:rsidR="000754B0" w:rsidRPr="00A12CB6" w:rsidRDefault="000754B0" w:rsidP="000754B0">
      <w:pPr>
        <w:spacing w:after="0" w:line="256" w:lineRule="auto"/>
        <w:jc w:val="both"/>
        <w:rPr>
          <w:rFonts w:ascii="Verdana" w:eastAsia="Calibri" w:hAnsi="Verdana" w:cs="Times New Roman"/>
        </w:rPr>
      </w:pPr>
      <w:r w:rsidRPr="00A12CB6">
        <w:rPr>
          <w:rFonts w:ascii="Verdana" w:eastAsia="Calibri" w:hAnsi="Verdana" w:cs="Times New Roman"/>
        </w:rPr>
        <w:t>De otra parte, te informamos que, con el objetivo de garantizar un conocimiento adecuado de las </w:t>
      </w:r>
      <w:r w:rsidRPr="00A12CB6">
        <w:rPr>
          <w:rFonts w:ascii="Verdana" w:eastAsia="Calibri" w:hAnsi="Verdana" w:cs="Times New Roman"/>
          <w:b/>
          <w:bCs/>
        </w:rPr>
        <w:t>modificaciones y/o actualizaciones realizadas a los Documentos Tipo</w:t>
      </w:r>
      <w:r w:rsidRPr="00A12CB6">
        <w:rPr>
          <w:rFonts w:ascii="Verdana" w:eastAsia="Calibri" w:hAnsi="Verdana" w:cs="Times New Roman"/>
        </w:rPr>
        <w:t>, hemos programado una serie de </w:t>
      </w:r>
      <w:r w:rsidRPr="00A12CB6">
        <w:rPr>
          <w:rFonts w:ascii="Verdana" w:eastAsia="Calibri" w:hAnsi="Verdana" w:cs="Times New Roman"/>
          <w:b/>
          <w:bCs/>
        </w:rPr>
        <w:t>capacitaciones </w:t>
      </w:r>
      <w:r w:rsidRPr="00A12CB6">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A12CB6">
          <w:rPr>
            <w:rFonts w:ascii="Verdana" w:eastAsia="Calibri" w:hAnsi="Verdana" w:cs="Times New Roman"/>
            <w:color w:val="0000FF"/>
            <w:u w:val="single"/>
          </w:rPr>
          <w:t>Calendario | Colombia Compra Eficiente | Agencia Nacional de Contratación Pública</w:t>
        </w:r>
      </w:hyperlink>
    </w:p>
    <w:p w14:paraId="4A21663E" w14:textId="77777777" w:rsidR="000754B0" w:rsidRPr="00A12CB6" w:rsidRDefault="000754B0" w:rsidP="000754B0">
      <w:pPr>
        <w:spacing w:after="0" w:line="256" w:lineRule="auto"/>
        <w:jc w:val="both"/>
        <w:rPr>
          <w:rFonts w:ascii="Verdana" w:eastAsia="Calibri" w:hAnsi="Verdana" w:cs="Times New Roman"/>
        </w:rPr>
      </w:pPr>
    </w:p>
    <w:p w14:paraId="7E5C2BFD" w14:textId="77777777" w:rsidR="000754B0" w:rsidRPr="00A12CB6" w:rsidRDefault="000754B0" w:rsidP="000754B0">
      <w:pPr>
        <w:spacing w:after="0" w:line="256" w:lineRule="auto"/>
        <w:jc w:val="both"/>
        <w:rPr>
          <w:rFonts w:ascii="Verdana" w:eastAsia="Calibri" w:hAnsi="Verdana" w:cs="Times New Roman"/>
        </w:rPr>
      </w:pPr>
      <w:r w:rsidRPr="00A12CB6">
        <w:rPr>
          <w:rFonts w:ascii="Verdana" w:eastAsia="Calibri" w:hAnsi="Verdana" w:cs="Times New Roman"/>
        </w:rPr>
        <w:t>También, te contamos que ya publicamos </w:t>
      </w:r>
      <w:r w:rsidRPr="00A12CB6">
        <w:rPr>
          <w:rFonts w:ascii="Verdana" w:eastAsia="Calibri" w:hAnsi="Verdana" w:cs="Times New Roman"/>
          <w:b/>
          <w:bCs/>
        </w:rPr>
        <w:t>la nueva Guía de Contratación Pública Sostenible y Socialmente Responsable</w:t>
      </w:r>
      <w:r w:rsidRPr="00A12CB6">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A12CB6">
          <w:rPr>
            <w:rFonts w:ascii="Verdana" w:eastAsia="Calibri" w:hAnsi="Verdana" w:cs="Times New Roman"/>
            <w:color w:val="0000FF"/>
            <w:u w:val="single"/>
          </w:rPr>
          <w:t>Guía de Contratación Pública Sostenible y Socialmente Responsable | Colombia Compra Eficiente | Agencia Nacional de Contratación Pública</w:t>
        </w:r>
      </w:hyperlink>
    </w:p>
    <w:p w14:paraId="31109673" w14:textId="77777777" w:rsidR="000754B0" w:rsidRPr="00A12CB6" w:rsidRDefault="000754B0" w:rsidP="000754B0">
      <w:pPr>
        <w:spacing w:after="0" w:line="256" w:lineRule="auto"/>
        <w:jc w:val="both"/>
        <w:rPr>
          <w:rFonts w:ascii="Verdana" w:eastAsia="Calibri" w:hAnsi="Verdana" w:cs="Times New Roman"/>
        </w:rPr>
      </w:pPr>
    </w:p>
    <w:p w14:paraId="64689843" w14:textId="77777777" w:rsidR="000754B0" w:rsidRPr="00A12CB6" w:rsidRDefault="000754B0" w:rsidP="000754B0">
      <w:pPr>
        <w:spacing w:after="0" w:line="256" w:lineRule="auto"/>
        <w:jc w:val="both"/>
        <w:rPr>
          <w:rFonts w:ascii="Verdana" w:eastAsia="Calibri" w:hAnsi="Verdana" w:cs="Times New Roman"/>
        </w:rPr>
      </w:pPr>
      <w:r w:rsidRPr="00A12CB6">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16" w:tgtFrame="_blank" w:tooltip="Dirección URL original: https://www.colombiacompra.gov.co/content/borrador-de-documentos-tipo-de-consultoria-de-obra-publica-de-infraestructura-de-transporte. Haga clic o pulse si confía en este vínculo." w:history="1">
        <w:r w:rsidRPr="00A12CB6">
          <w:rPr>
            <w:rFonts w:ascii="Verdana" w:eastAsia="Calibri" w:hAnsi="Verdana" w:cs="Times New Roman"/>
            <w:color w:val="0000FF"/>
            <w:u w:val="single"/>
          </w:rPr>
          <w:t>https://www.colombiacompra.gov.co/content/borrador-de-documentos-tipo-de-consultoria-de-obra-publica-de-infraestructura-de-transporte</w:t>
        </w:r>
      </w:hyperlink>
      <w:r w:rsidRPr="00A12CB6">
        <w:rPr>
          <w:rFonts w:ascii="Verdana" w:eastAsia="Calibri" w:hAnsi="Verdana" w:cs="Times New Roman"/>
        </w:rPr>
        <w:t> y </w:t>
      </w:r>
      <w:hyperlink r:id="rId17" w:tgtFrame="_blank" w:tooltip="Dirección URL original: https://www.colombiacompra.gov.co/content/borrador-de-documentos-tipo-de-interventoria-de-obra-publica-de-infraestructura-de. Haga clic o pulse si confía en este vínculo." w:history="1">
        <w:r w:rsidRPr="00A12CB6">
          <w:rPr>
            <w:rFonts w:ascii="Verdana" w:eastAsia="Calibri" w:hAnsi="Verdana" w:cs="Times New Roman"/>
            <w:color w:val="0000FF"/>
            <w:u w:val="single"/>
          </w:rPr>
          <w:t>https://www.colombiacompra.gov.co/content/borrador-de-documentos-tipo-de-interventoria-de-obra-publica-de-infraestructura-de</w:t>
        </w:r>
      </w:hyperlink>
      <w:r w:rsidRPr="00A12CB6">
        <w:rPr>
          <w:rFonts w:ascii="Verdana" w:eastAsia="Calibri" w:hAnsi="Verdana" w:cs="Times New Roman"/>
        </w:rPr>
        <w:t> .</w:t>
      </w:r>
    </w:p>
    <w:p w14:paraId="1BA61E0E" w14:textId="77777777" w:rsidR="000754B0" w:rsidRPr="00A12CB6" w:rsidRDefault="000754B0" w:rsidP="000754B0">
      <w:pPr>
        <w:spacing w:after="0" w:line="256" w:lineRule="auto"/>
        <w:jc w:val="both"/>
        <w:rPr>
          <w:rFonts w:ascii="Verdana" w:eastAsia="Calibri" w:hAnsi="Verdana" w:cs="Times New Roman"/>
          <w:lang w:val="es-ES"/>
        </w:rPr>
      </w:pPr>
    </w:p>
    <w:p w14:paraId="4EDBBF26" w14:textId="77777777" w:rsidR="000754B0" w:rsidRPr="00A12CB6" w:rsidRDefault="000754B0" w:rsidP="000754B0">
      <w:pPr>
        <w:spacing w:after="0" w:line="256" w:lineRule="auto"/>
        <w:rPr>
          <w:rFonts w:ascii="Verdana" w:eastAsia="Calibri" w:hAnsi="Verdana" w:cs="Times New Roman"/>
        </w:rPr>
      </w:pPr>
      <w:r w:rsidRPr="00A12CB6">
        <w:rPr>
          <w:rFonts w:ascii="Verdana" w:eastAsia="Calibri" w:hAnsi="Verdana" w:cs="Times New Roman"/>
        </w:rPr>
        <w:t xml:space="preserve">Por último, lo invitamos a seguirnos en las redes sociales en las cuales se difunde información institucional: </w:t>
      </w:r>
    </w:p>
    <w:p w14:paraId="5F40FA42" w14:textId="77777777" w:rsidR="000754B0" w:rsidRPr="00A12CB6" w:rsidRDefault="000754B0" w:rsidP="000754B0">
      <w:pPr>
        <w:spacing w:after="0" w:line="256" w:lineRule="auto"/>
        <w:rPr>
          <w:rFonts w:ascii="Verdana" w:eastAsia="Calibri" w:hAnsi="Verdana" w:cs="Times New Roman"/>
        </w:rPr>
      </w:pPr>
    </w:p>
    <w:p w14:paraId="5ACD8D91" w14:textId="77777777" w:rsidR="000754B0" w:rsidRPr="00A12CB6" w:rsidRDefault="000754B0" w:rsidP="000754B0">
      <w:pPr>
        <w:spacing w:after="0" w:line="256" w:lineRule="auto"/>
        <w:rPr>
          <w:rFonts w:ascii="Verdana" w:eastAsia="Calibri" w:hAnsi="Verdana" w:cs="Times New Roman"/>
        </w:rPr>
      </w:pPr>
      <w:r w:rsidRPr="00A12CB6">
        <w:rPr>
          <w:rFonts w:ascii="Verdana" w:eastAsia="Calibri" w:hAnsi="Verdana" w:cs="Times New Roman"/>
        </w:rPr>
        <w:t xml:space="preserve">Twitter: </w:t>
      </w:r>
      <w:r w:rsidRPr="00A12CB6">
        <w:rPr>
          <w:rFonts w:ascii="Verdana" w:eastAsia="Calibri" w:hAnsi="Verdana" w:cs="Times New Roman"/>
          <w:u w:val="single"/>
        </w:rPr>
        <w:t>@colombiacompra</w:t>
      </w:r>
      <w:r w:rsidRPr="00A12CB6">
        <w:rPr>
          <w:rFonts w:ascii="Verdana" w:eastAsia="Calibri" w:hAnsi="Verdana" w:cs="Times New Roman"/>
        </w:rPr>
        <w:t xml:space="preserve"> </w:t>
      </w:r>
    </w:p>
    <w:p w14:paraId="1ABCDA7B" w14:textId="77777777" w:rsidR="000754B0" w:rsidRPr="00A12CB6" w:rsidRDefault="000754B0" w:rsidP="000754B0">
      <w:pPr>
        <w:spacing w:after="0" w:line="256" w:lineRule="auto"/>
        <w:rPr>
          <w:rFonts w:ascii="Verdana" w:eastAsia="Calibri" w:hAnsi="Verdana" w:cs="Times New Roman"/>
        </w:rPr>
      </w:pPr>
      <w:r w:rsidRPr="00A12CB6">
        <w:rPr>
          <w:rFonts w:ascii="Verdana" w:eastAsia="Calibri" w:hAnsi="Verdana" w:cs="Times New Roman"/>
        </w:rPr>
        <w:lastRenderedPageBreak/>
        <w:t xml:space="preserve">Facebook: </w:t>
      </w:r>
      <w:r w:rsidRPr="00A12CB6">
        <w:rPr>
          <w:rFonts w:ascii="Verdana" w:eastAsia="Calibri" w:hAnsi="Verdana" w:cs="Times New Roman"/>
          <w:u w:val="single"/>
        </w:rPr>
        <w:t>ColombiaCompraEficiente</w:t>
      </w:r>
    </w:p>
    <w:p w14:paraId="5A165C40" w14:textId="77777777" w:rsidR="000754B0" w:rsidRPr="00A12CB6" w:rsidRDefault="000754B0" w:rsidP="000754B0">
      <w:pPr>
        <w:spacing w:after="0" w:line="256" w:lineRule="auto"/>
        <w:rPr>
          <w:rFonts w:ascii="Verdana" w:eastAsia="Calibri" w:hAnsi="Verdana" w:cs="Times New Roman"/>
          <w:u w:val="single"/>
        </w:rPr>
      </w:pPr>
      <w:r w:rsidRPr="00A12CB6">
        <w:rPr>
          <w:rFonts w:ascii="Verdana" w:eastAsia="Calibri" w:hAnsi="Verdana" w:cs="Times New Roman"/>
        </w:rPr>
        <w:t xml:space="preserve">LinkedIn: </w:t>
      </w:r>
      <w:r w:rsidRPr="00A12CB6">
        <w:rPr>
          <w:rFonts w:ascii="Verdana" w:eastAsia="Calibri" w:hAnsi="Verdana" w:cs="Times New Roman"/>
          <w:u w:val="single"/>
        </w:rPr>
        <w:t>Agencia Nacional de Contratación Pública - Colombia Compra Eficiente</w:t>
      </w:r>
      <w:r w:rsidRPr="00A12CB6">
        <w:rPr>
          <w:rFonts w:ascii="Verdana" w:eastAsia="Calibri" w:hAnsi="Verdana" w:cs="Times New Roman"/>
        </w:rPr>
        <w:t xml:space="preserve"> Instagram: </w:t>
      </w:r>
      <w:r w:rsidRPr="00A12CB6">
        <w:rPr>
          <w:rFonts w:ascii="Verdana" w:eastAsia="Calibri" w:hAnsi="Verdana" w:cs="Times New Roman"/>
          <w:u w:val="single"/>
        </w:rPr>
        <w:t>@colombiacompraeficiente_cce</w:t>
      </w:r>
    </w:p>
    <w:p w14:paraId="292AB422" w14:textId="6C4AFBC7" w:rsidR="00F31AC6" w:rsidRPr="00A12CB6" w:rsidRDefault="00F31AC6" w:rsidP="000754B0">
      <w:pPr>
        <w:spacing w:after="0" w:line="256" w:lineRule="auto"/>
        <w:rPr>
          <w:rFonts w:ascii="Verdana" w:eastAsia="Calibri" w:hAnsi="Verdana" w:cs="Times New Roman"/>
          <w:b/>
          <w:bCs/>
        </w:rPr>
      </w:pPr>
    </w:p>
    <w:p w14:paraId="2ACA9242" w14:textId="77777777" w:rsidR="000754B0" w:rsidRPr="00A12CB6" w:rsidRDefault="000754B0" w:rsidP="000754B0">
      <w:pPr>
        <w:spacing w:after="0" w:line="25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859BE4D" w14:textId="77777777" w:rsidR="000754B0" w:rsidRPr="00A12CB6" w:rsidRDefault="000754B0" w:rsidP="000754B0">
      <w:pPr>
        <w:spacing w:after="0" w:line="256" w:lineRule="auto"/>
        <w:jc w:val="both"/>
        <w:rPr>
          <w:rFonts w:ascii="Verdana" w:eastAsia="Calibri" w:hAnsi="Verdana" w:cs="Times New Roman"/>
        </w:rPr>
      </w:pPr>
    </w:p>
    <w:p w14:paraId="6E70A0EE" w14:textId="41746281" w:rsidR="000754B0" w:rsidRPr="00571B82" w:rsidRDefault="000754B0" w:rsidP="00571B82">
      <w:pPr>
        <w:spacing w:after="0" w:line="256" w:lineRule="auto"/>
        <w:jc w:val="both"/>
        <w:rPr>
          <w:rFonts w:ascii="Verdana" w:eastAsia="Calibri" w:hAnsi="Verdana" w:cs="Times New Roman"/>
        </w:rPr>
      </w:pPr>
      <w:r w:rsidRPr="00A12CB6">
        <w:rPr>
          <w:rFonts w:ascii="Verdana" w:eastAsia="Calibri" w:hAnsi="Verdana" w:cs="Times New Roman"/>
        </w:rPr>
        <w:t>Atentamente,</w:t>
      </w:r>
    </w:p>
    <w:p w14:paraId="72238E4E" w14:textId="19B3F620" w:rsidR="00571B82" w:rsidRDefault="00571B82" w:rsidP="000754B0">
      <w:pPr>
        <w:spacing w:after="0" w:line="256" w:lineRule="auto"/>
        <w:jc w:val="center"/>
        <w:rPr>
          <w:rFonts w:ascii="Verdana" w:hAnsi="Verdana"/>
          <w:noProof/>
          <w:lang w:val="en-US"/>
        </w:rPr>
      </w:pPr>
      <w:r>
        <w:rPr>
          <w:noProof/>
          <w:lang w:val="en-US"/>
        </w:rPr>
        <w:drawing>
          <wp:inline distT="0" distB="0" distL="0" distR="0" wp14:anchorId="27F5F54E" wp14:editId="21D07659">
            <wp:extent cx="3554652" cy="1369772"/>
            <wp:effectExtent l="0" t="0" r="8255"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572152" cy="1376515"/>
                    </a:xfrm>
                    <a:prstGeom prst="rect">
                      <a:avLst/>
                    </a:prstGeom>
                  </pic:spPr>
                </pic:pic>
              </a:graphicData>
            </a:graphic>
          </wp:inline>
        </w:drawing>
      </w:r>
    </w:p>
    <w:p w14:paraId="19330884" w14:textId="77777777" w:rsidR="00571B82" w:rsidRDefault="00571B82" w:rsidP="000754B0">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754B0" w:rsidRPr="00A12CB6" w14:paraId="3DF61061" w14:textId="77777777" w:rsidTr="005907A3">
        <w:trPr>
          <w:trHeight w:val="409"/>
        </w:trPr>
        <w:tc>
          <w:tcPr>
            <w:tcW w:w="817" w:type="dxa"/>
            <w:tcBorders>
              <w:top w:val="nil"/>
              <w:left w:val="nil"/>
              <w:bottom w:val="nil"/>
              <w:right w:val="nil"/>
            </w:tcBorders>
            <w:vAlign w:val="center"/>
            <w:hideMark/>
          </w:tcPr>
          <w:p w14:paraId="6D8A3C5F"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B3B081D"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José Luis Sánchez Cardona</w:t>
            </w:r>
          </w:p>
          <w:p w14:paraId="52B32743"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Contratista de la Subdirección de Gestión Contractual</w:t>
            </w:r>
          </w:p>
        </w:tc>
      </w:tr>
      <w:tr w:rsidR="000754B0" w:rsidRPr="00A12CB6" w14:paraId="6D1FAB27" w14:textId="77777777" w:rsidTr="005907A3">
        <w:trPr>
          <w:trHeight w:val="409"/>
        </w:trPr>
        <w:tc>
          <w:tcPr>
            <w:tcW w:w="817" w:type="dxa"/>
            <w:tcBorders>
              <w:top w:val="nil"/>
              <w:left w:val="nil"/>
              <w:bottom w:val="nil"/>
              <w:right w:val="nil"/>
            </w:tcBorders>
            <w:vAlign w:val="center"/>
            <w:hideMark/>
          </w:tcPr>
          <w:p w14:paraId="23DF2751"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F40C3E" w14:textId="4B3AF2EC" w:rsidR="000754B0" w:rsidRPr="00A12CB6" w:rsidRDefault="00971ED8" w:rsidP="005907A3">
            <w:pPr>
              <w:spacing w:after="0" w:line="256" w:lineRule="auto"/>
              <w:rPr>
                <w:rFonts w:ascii="Verdana" w:eastAsia="Calibri" w:hAnsi="Verdana" w:cs="Times New Roman"/>
                <w:sz w:val="16"/>
                <w:szCs w:val="16"/>
              </w:rPr>
            </w:pPr>
            <w:r>
              <w:rPr>
                <w:rFonts w:ascii="Verdana" w:eastAsia="Calibri" w:hAnsi="Verdana" w:cs="Times New Roman"/>
                <w:sz w:val="16"/>
                <w:szCs w:val="16"/>
              </w:rPr>
              <w:t>Juan Carlos González Vásquez</w:t>
            </w:r>
          </w:p>
          <w:p w14:paraId="27867ABF" w14:textId="34363038" w:rsidR="000754B0" w:rsidRPr="00A12CB6" w:rsidRDefault="0005204F" w:rsidP="0005204F">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Contratista </w:t>
            </w:r>
            <w:r w:rsidR="000754B0" w:rsidRPr="00A12CB6">
              <w:rPr>
                <w:rFonts w:ascii="Verdana" w:eastAsia="Calibri" w:hAnsi="Verdana" w:cs="Times New Roman"/>
                <w:sz w:val="16"/>
                <w:szCs w:val="16"/>
              </w:rPr>
              <w:t>de la Subdirección de Gestión Contractual </w:t>
            </w:r>
          </w:p>
        </w:tc>
      </w:tr>
      <w:tr w:rsidR="000754B0" w:rsidRPr="00A12CB6" w14:paraId="3DF530C6" w14:textId="77777777" w:rsidTr="005907A3">
        <w:trPr>
          <w:trHeight w:val="389"/>
        </w:trPr>
        <w:tc>
          <w:tcPr>
            <w:tcW w:w="817" w:type="dxa"/>
            <w:tcBorders>
              <w:top w:val="nil"/>
              <w:left w:val="nil"/>
              <w:bottom w:val="nil"/>
              <w:right w:val="nil"/>
            </w:tcBorders>
            <w:vAlign w:val="center"/>
            <w:hideMark/>
          </w:tcPr>
          <w:p w14:paraId="72F5F917"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161E65B"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Carolina Quintero Gacharná</w:t>
            </w:r>
          </w:p>
          <w:p w14:paraId="03CF2CC5" w14:textId="77777777" w:rsidR="000754B0" w:rsidRPr="00A12CB6" w:rsidRDefault="000754B0" w:rsidP="005907A3">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Subdirectora de Gestión Contractual ANCP – CCE</w:t>
            </w:r>
          </w:p>
        </w:tc>
      </w:tr>
      <w:bookmarkEnd w:id="0"/>
    </w:tbl>
    <w:p w14:paraId="7B0C00C9" w14:textId="32F03EC6" w:rsidR="000A3C80" w:rsidRDefault="000A3C80" w:rsidP="00CD5D5A">
      <w:pPr>
        <w:jc w:val="both"/>
        <w:rPr>
          <w:rFonts w:ascii="Verdana" w:hAnsi="Verdana"/>
        </w:rPr>
      </w:pPr>
    </w:p>
    <w:sectPr w:rsidR="000A3C80"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682DB" w14:textId="77777777" w:rsidR="000B50AE" w:rsidRDefault="000B50AE" w:rsidP="004A1847">
      <w:pPr>
        <w:spacing w:after="0" w:line="240" w:lineRule="auto"/>
      </w:pPr>
      <w:r>
        <w:separator/>
      </w:r>
    </w:p>
  </w:endnote>
  <w:endnote w:type="continuationSeparator" w:id="0">
    <w:p w14:paraId="527B7116" w14:textId="77777777" w:rsidR="000B50AE" w:rsidRDefault="000B50AE" w:rsidP="004A1847">
      <w:pPr>
        <w:spacing w:after="0" w:line="240" w:lineRule="auto"/>
      </w:pPr>
      <w:r>
        <w:continuationSeparator/>
      </w:r>
    </w:p>
  </w:endnote>
  <w:endnote w:type="continuationNotice" w:id="1">
    <w:p w14:paraId="0911F05E" w14:textId="77777777" w:rsidR="000B50AE" w:rsidRDefault="000B5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1B354059"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36B39" w:rsidRPr="00736B39">
      <w:rPr>
        <w:rFonts w:ascii="Verdana" w:eastAsiaTheme="minorEastAsia" w:hAnsi="Verdana"/>
        <w:b/>
        <w:bCs/>
        <w:noProof/>
        <w:sz w:val="16"/>
        <w:szCs w:val="16"/>
      </w:rPr>
      <w:t>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82689" w14:textId="77777777" w:rsidR="000B50AE" w:rsidRDefault="000B50AE" w:rsidP="004A1847">
      <w:pPr>
        <w:spacing w:after="0" w:line="240" w:lineRule="auto"/>
      </w:pPr>
      <w:r>
        <w:separator/>
      </w:r>
    </w:p>
  </w:footnote>
  <w:footnote w:type="continuationSeparator" w:id="0">
    <w:p w14:paraId="08DA2A81" w14:textId="77777777" w:rsidR="000B50AE" w:rsidRDefault="000B50AE" w:rsidP="004A1847">
      <w:pPr>
        <w:spacing w:after="0" w:line="240" w:lineRule="auto"/>
      </w:pPr>
      <w:r>
        <w:continuationSeparator/>
      </w:r>
    </w:p>
  </w:footnote>
  <w:footnote w:type="continuationNotice" w:id="1">
    <w:p w14:paraId="11DD95E9" w14:textId="77777777" w:rsidR="000B50AE" w:rsidRDefault="000B50AE">
      <w:pPr>
        <w:spacing w:after="0" w:line="240" w:lineRule="auto"/>
      </w:pPr>
    </w:p>
  </w:footnote>
  <w:footnote w:id="2">
    <w:p w14:paraId="16F8F4BB" w14:textId="77777777" w:rsidR="001264F4" w:rsidRPr="00FA0DE4" w:rsidRDefault="001264F4" w:rsidP="001264F4">
      <w:pPr>
        <w:spacing w:after="0" w:line="240" w:lineRule="auto"/>
        <w:ind w:firstLine="709"/>
        <w:contextualSpacing/>
        <w:jc w:val="both"/>
        <w:rPr>
          <w:rFonts w:ascii="Verdana" w:hAnsi="Verdana" w:cs="Arial"/>
          <w:sz w:val="16"/>
          <w:szCs w:val="16"/>
        </w:rPr>
      </w:pPr>
      <w:r w:rsidRPr="00FA0DE4">
        <w:rPr>
          <w:rStyle w:val="Refdenotaalpie"/>
          <w:rFonts w:ascii="Verdana" w:hAnsi="Verdana" w:cs="Arial"/>
          <w:sz w:val="16"/>
          <w:szCs w:val="16"/>
        </w:rPr>
        <w:footnoteRef/>
      </w:r>
      <w:r w:rsidRPr="00FA0DE4">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7D178AE" w14:textId="77777777" w:rsidR="001264F4" w:rsidRPr="00FA0DE4" w:rsidRDefault="001264F4" w:rsidP="001264F4">
      <w:pPr>
        <w:spacing w:after="0" w:line="240" w:lineRule="auto"/>
        <w:ind w:firstLine="709"/>
        <w:contextualSpacing/>
        <w:jc w:val="both"/>
        <w:rPr>
          <w:rFonts w:ascii="Verdana" w:hAnsi="Verdana" w:cs="Arial"/>
          <w:sz w:val="16"/>
          <w:szCs w:val="16"/>
        </w:rPr>
      </w:pPr>
      <w:r w:rsidRPr="00FA0DE4">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FA0DE4">
        <w:rPr>
          <w:rFonts w:ascii="Verdana" w:hAnsi="Verdana" w:cs="Arial"/>
          <w:spacing w:val="-1"/>
          <w:sz w:val="16"/>
          <w:szCs w:val="16"/>
        </w:rPr>
        <w:t xml:space="preserve"> </w:t>
      </w:r>
      <w:r w:rsidRPr="00FA0DE4">
        <w:rPr>
          <w:rFonts w:ascii="Verdana" w:hAnsi="Verdana" w:cs="Arial"/>
          <w:sz w:val="16"/>
          <w:szCs w:val="16"/>
        </w:rPr>
        <w:t>Estatales”.</w:t>
      </w:r>
    </w:p>
  </w:footnote>
  <w:footnote w:id="3">
    <w:p w14:paraId="6A0FA7BD" w14:textId="5968FC57" w:rsidR="001264F4" w:rsidRDefault="001264F4" w:rsidP="001264F4">
      <w:pPr>
        <w:spacing w:after="0" w:line="240" w:lineRule="auto"/>
        <w:ind w:firstLine="709"/>
        <w:contextualSpacing/>
        <w:jc w:val="both"/>
        <w:rPr>
          <w:rFonts w:ascii="Verdana" w:hAnsi="Verdana" w:cs="Arial"/>
          <w:sz w:val="16"/>
          <w:szCs w:val="16"/>
        </w:rPr>
      </w:pPr>
      <w:r w:rsidRPr="00FA0DE4">
        <w:rPr>
          <w:rStyle w:val="Refdenotaalpie"/>
          <w:rFonts w:ascii="Verdana" w:hAnsi="Verdana" w:cs="Arial"/>
          <w:sz w:val="16"/>
          <w:szCs w:val="16"/>
        </w:rPr>
        <w:footnoteRef/>
      </w:r>
      <w:r w:rsidRPr="00FA0DE4">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FA0DE4">
        <w:rPr>
          <w:rFonts w:ascii="Verdana" w:hAnsi="Verdana" w:cs="Arial"/>
          <w:spacing w:val="-6"/>
          <w:sz w:val="16"/>
          <w:szCs w:val="16"/>
        </w:rPr>
        <w:t xml:space="preserve"> </w:t>
      </w:r>
      <w:r w:rsidRPr="00FA0DE4">
        <w:rPr>
          <w:rFonts w:ascii="Verdana" w:hAnsi="Verdana" w:cs="Arial"/>
          <w:sz w:val="16"/>
          <w:szCs w:val="16"/>
        </w:rPr>
        <w:t>artículo”.</w:t>
      </w:r>
    </w:p>
    <w:p w14:paraId="2BA58639" w14:textId="77777777" w:rsidR="0054030E" w:rsidRPr="00FA0DE4" w:rsidRDefault="0054030E" w:rsidP="001264F4">
      <w:pPr>
        <w:spacing w:after="0" w:line="240" w:lineRule="auto"/>
        <w:ind w:firstLine="709"/>
        <w:contextualSpacing/>
        <w:jc w:val="both"/>
        <w:rPr>
          <w:rFonts w:ascii="Verdana" w:hAnsi="Verdana" w:cs="Arial"/>
          <w:sz w:val="16"/>
          <w:szCs w:val="16"/>
        </w:rPr>
      </w:pPr>
    </w:p>
  </w:footnote>
  <w:footnote w:id="4">
    <w:p w14:paraId="75A2F983" w14:textId="77777777" w:rsidR="001264F4" w:rsidRPr="00FA0DE4" w:rsidRDefault="001264F4" w:rsidP="001264F4">
      <w:pPr>
        <w:spacing w:after="0" w:line="240" w:lineRule="auto"/>
        <w:ind w:firstLine="709"/>
        <w:contextualSpacing/>
        <w:jc w:val="both"/>
        <w:rPr>
          <w:rFonts w:ascii="Verdana" w:hAnsi="Verdana" w:cs="Arial"/>
          <w:sz w:val="16"/>
          <w:szCs w:val="16"/>
        </w:rPr>
      </w:pPr>
      <w:r w:rsidRPr="00FA0DE4">
        <w:rPr>
          <w:rStyle w:val="Refdenotaalpie"/>
          <w:rFonts w:ascii="Verdana" w:hAnsi="Verdana" w:cs="Arial"/>
          <w:sz w:val="16"/>
          <w:szCs w:val="16"/>
        </w:rPr>
        <w:footnoteRef/>
      </w:r>
      <w:r w:rsidRPr="00FA0DE4">
        <w:rPr>
          <w:rFonts w:ascii="Verdana" w:hAnsi="Verdana" w:cs="Arial"/>
          <w:position w:val="7"/>
          <w:sz w:val="16"/>
          <w:szCs w:val="16"/>
        </w:rPr>
        <w:t xml:space="preserve"> </w:t>
      </w:r>
      <w:r w:rsidRPr="00FA0DE4">
        <w:rPr>
          <w:rFonts w:ascii="Verdana" w:hAnsi="Verdana" w:cs="Arial"/>
          <w:sz w:val="16"/>
          <w:szCs w:val="16"/>
        </w:rPr>
        <w:t>Consejo de Estado. Sección Tercera. Sentencia del 23 de junio de 2010. Radicación No. 66001-23-31-000-1998-00261-01(17.860). Consejero Ponente: Mauricio Fajardo Gómez.</w:t>
      </w:r>
    </w:p>
  </w:footnote>
  <w:footnote w:id="5">
    <w:p w14:paraId="39AC4518" w14:textId="2CE525BD" w:rsidR="00667B18" w:rsidRPr="00682EB0" w:rsidRDefault="00667B18" w:rsidP="00667B18">
      <w:pPr>
        <w:pStyle w:val="Textonotapie"/>
        <w:ind w:firstLine="708"/>
        <w:jc w:val="both"/>
        <w:rPr>
          <w:rFonts w:ascii="Verdana" w:hAnsi="Verdana" w:cs="Arial"/>
          <w:sz w:val="16"/>
          <w:szCs w:val="16"/>
        </w:rPr>
      </w:pPr>
      <w:r w:rsidRPr="00682EB0">
        <w:rPr>
          <w:rStyle w:val="Refdenotaalpie"/>
          <w:rFonts w:ascii="Verdana" w:hAnsi="Verdana" w:cs="Arial"/>
          <w:sz w:val="16"/>
          <w:szCs w:val="16"/>
        </w:rPr>
        <w:footnoteRef/>
      </w:r>
      <w:r w:rsidR="00DF5CA7">
        <w:rPr>
          <w:rFonts w:ascii="Verdana" w:hAnsi="Verdana" w:cs="Arial"/>
          <w:sz w:val="16"/>
          <w:szCs w:val="16"/>
        </w:rPr>
        <w:t xml:space="preserve"> “</w:t>
      </w:r>
      <w:r w:rsidRPr="00682EB0">
        <w:rPr>
          <w:rFonts w:ascii="Verdana" w:hAnsi="Verdana" w:cs="Arial"/>
          <w:sz w:val="16"/>
          <w:szCs w:val="16"/>
        </w:rPr>
        <w:t>Art. 1505. Lo que una persona ejecuta a nombre de otra, estando facultada por ella o por la ley para representarla, produce respecto del representado iguales efectos que si hubiese contratado él mismo».</w:t>
      </w:r>
    </w:p>
    <w:p w14:paraId="20E37819" w14:textId="77777777" w:rsidR="00667B18" w:rsidRPr="00682EB0" w:rsidRDefault="00667B18" w:rsidP="00667B18">
      <w:pPr>
        <w:pStyle w:val="Textonotapie"/>
        <w:ind w:firstLine="708"/>
        <w:jc w:val="both"/>
        <w:rPr>
          <w:rFonts w:ascii="Verdana" w:hAnsi="Verdana" w:cs="Arial"/>
          <w:sz w:val="16"/>
          <w:szCs w:val="16"/>
        </w:rPr>
      </w:pPr>
    </w:p>
  </w:footnote>
  <w:footnote w:id="6">
    <w:p w14:paraId="51830A68" w14:textId="05C3923B" w:rsidR="00667B18" w:rsidRPr="00682EB0" w:rsidRDefault="00667B18" w:rsidP="00667B18">
      <w:pPr>
        <w:spacing w:after="0" w:line="240" w:lineRule="auto"/>
        <w:ind w:firstLine="709"/>
        <w:jc w:val="both"/>
        <w:rPr>
          <w:rFonts w:ascii="Verdana" w:hAnsi="Verdana" w:cs="Arial"/>
          <w:sz w:val="16"/>
          <w:szCs w:val="16"/>
        </w:rPr>
      </w:pPr>
      <w:r w:rsidRPr="00682EB0">
        <w:rPr>
          <w:rStyle w:val="Refdenotaalpie"/>
          <w:rFonts w:ascii="Verdana" w:hAnsi="Verdana" w:cs="Arial"/>
          <w:sz w:val="16"/>
          <w:szCs w:val="16"/>
        </w:rPr>
        <w:footnoteRef/>
      </w:r>
      <w:r w:rsidR="00DF5CA7">
        <w:rPr>
          <w:rFonts w:ascii="Verdana" w:hAnsi="Verdana" w:cs="Arial"/>
          <w:sz w:val="16"/>
          <w:szCs w:val="16"/>
        </w:rPr>
        <w:t xml:space="preserve"> Código Civil “</w:t>
      </w:r>
      <w:r w:rsidRPr="00682EB0">
        <w:rPr>
          <w:rFonts w:ascii="Verdana" w:hAnsi="Verdana" w:cs="Arial"/>
          <w:sz w:val="16"/>
          <w:szCs w:val="16"/>
        </w:rPr>
        <w:t>Artículo 2142. El mandato es un contrato en que una persona confía la gestión de uno o más negocios a otra, que se hace cargo de ellos por cuenta y riesgo de la primera.</w:t>
      </w:r>
    </w:p>
    <w:p w14:paraId="2B3321E2" w14:textId="05C36246" w:rsidR="00667B18" w:rsidRPr="00682EB0" w:rsidRDefault="00667B18" w:rsidP="00667B18">
      <w:pPr>
        <w:spacing w:after="0" w:line="240" w:lineRule="auto"/>
        <w:ind w:firstLine="424"/>
        <w:jc w:val="both"/>
        <w:rPr>
          <w:rFonts w:ascii="Verdana" w:hAnsi="Verdana" w:cs="Arial"/>
          <w:sz w:val="16"/>
          <w:szCs w:val="16"/>
        </w:rPr>
      </w:pPr>
      <w:r w:rsidRPr="00682EB0">
        <w:rPr>
          <w:rFonts w:ascii="Verdana" w:hAnsi="Verdana" w:cs="Arial"/>
          <w:sz w:val="16"/>
          <w:szCs w:val="16"/>
        </w:rPr>
        <w:t>La persona que concede el encargo se llama comitente o mandante, y la que lo acepta apoderado, proc</w:t>
      </w:r>
      <w:r w:rsidR="00DF5CA7">
        <w:rPr>
          <w:rFonts w:ascii="Verdana" w:hAnsi="Verdana" w:cs="Arial"/>
          <w:sz w:val="16"/>
          <w:szCs w:val="16"/>
        </w:rPr>
        <w:t>urador, y en general mandatario”</w:t>
      </w:r>
      <w:r w:rsidRPr="00682EB0">
        <w:rPr>
          <w:rFonts w:ascii="Verdana" w:hAnsi="Verdana" w:cs="Arial"/>
          <w:sz w:val="16"/>
          <w:szCs w:val="16"/>
        </w:rPr>
        <w:t>.</w:t>
      </w:r>
    </w:p>
  </w:footnote>
  <w:footnote w:id="7">
    <w:p w14:paraId="63A7965E" w14:textId="2EE75CA3" w:rsidR="00667B18" w:rsidRDefault="00667B18" w:rsidP="00667B18">
      <w:pPr>
        <w:pStyle w:val="Textonotapie"/>
        <w:ind w:firstLine="708"/>
        <w:contextualSpacing/>
        <w:jc w:val="both"/>
        <w:rPr>
          <w:rFonts w:ascii="Verdana" w:hAnsi="Verdana" w:cs="Arial"/>
          <w:sz w:val="16"/>
          <w:szCs w:val="16"/>
          <w:lang w:val="es-CO"/>
        </w:rPr>
      </w:pPr>
      <w:r w:rsidRPr="00682EB0">
        <w:rPr>
          <w:rStyle w:val="Refdenotaalpie"/>
          <w:rFonts w:ascii="Verdana" w:hAnsi="Verdana" w:cs="Arial"/>
          <w:sz w:val="16"/>
          <w:szCs w:val="16"/>
        </w:rPr>
        <w:footnoteRef/>
      </w:r>
      <w:r w:rsidRPr="00682EB0">
        <w:rPr>
          <w:rFonts w:ascii="Verdana" w:hAnsi="Verdana" w:cs="Arial"/>
          <w:sz w:val="16"/>
          <w:szCs w:val="16"/>
        </w:rPr>
        <w:t xml:space="preserve"> </w:t>
      </w:r>
      <w:r w:rsidRPr="00682EB0">
        <w:rPr>
          <w:rFonts w:ascii="Verdana" w:hAnsi="Verdana" w:cs="Arial"/>
          <w:sz w:val="16"/>
          <w:szCs w:val="16"/>
          <w:lang w:val="es-CO"/>
        </w:rPr>
        <w:t xml:space="preserve">CLARO SOLAR, Luis. Explicaciones de derecho civil chileno y comparado. Tomo Décimo – Obligaciones y contratos 1. Santiago de Chile, Nascimiento, 1936. </w:t>
      </w:r>
    </w:p>
    <w:p w14:paraId="7CD9B2FA" w14:textId="77777777" w:rsidR="00DF5CA7" w:rsidRPr="00682EB0" w:rsidRDefault="00DF5CA7" w:rsidP="00667B18">
      <w:pPr>
        <w:pStyle w:val="Textonotapie"/>
        <w:ind w:firstLine="708"/>
        <w:contextualSpacing/>
        <w:jc w:val="both"/>
        <w:rPr>
          <w:rFonts w:ascii="Verdana" w:hAnsi="Verdana" w:cs="Arial"/>
          <w:sz w:val="16"/>
          <w:szCs w:val="16"/>
          <w:lang w:val="es-CO"/>
        </w:rPr>
      </w:pPr>
    </w:p>
  </w:footnote>
  <w:footnote w:id="8">
    <w:p w14:paraId="2F4087FD" w14:textId="77777777" w:rsidR="00667B18" w:rsidRPr="00682EB0" w:rsidRDefault="00667B18" w:rsidP="00667B18">
      <w:pPr>
        <w:pStyle w:val="Textoindependiente"/>
        <w:ind w:firstLine="708"/>
        <w:contextualSpacing/>
        <w:jc w:val="both"/>
        <w:rPr>
          <w:rFonts w:ascii="Verdana" w:hAnsi="Verdana"/>
          <w:sz w:val="16"/>
          <w:szCs w:val="16"/>
        </w:rPr>
      </w:pPr>
      <w:r w:rsidRPr="00682EB0">
        <w:rPr>
          <w:rStyle w:val="Refdenotaalpie"/>
          <w:rFonts w:ascii="Verdana" w:hAnsi="Verdana"/>
          <w:sz w:val="16"/>
          <w:szCs w:val="16"/>
        </w:rPr>
        <w:footnoteRef/>
      </w:r>
      <w:r w:rsidRPr="00682EB0">
        <w:rPr>
          <w:rFonts w:ascii="Verdana" w:hAnsi="Verdana"/>
          <w:sz w:val="16"/>
          <w:szCs w:val="16"/>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682EB0">
        <w:rPr>
          <w:rFonts w:ascii="Verdana" w:hAnsi="Verdana"/>
          <w:i/>
          <w:sz w:val="16"/>
          <w:szCs w:val="16"/>
        </w:rPr>
        <w:t>El Negocio Jurídico</w:t>
      </w:r>
      <w:r w:rsidRPr="00682EB0">
        <w:rPr>
          <w:rFonts w:ascii="Verdana" w:hAnsi="Verdana"/>
          <w:sz w:val="16"/>
          <w:szCs w:val="16"/>
        </w:rPr>
        <w:t>, Volumen I, Universidad Externado de Colombia, Bogotá, 2015, pág. 107).</w:t>
      </w:r>
    </w:p>
  </w:footnote>
  <w:footnote w:id="9">
    <w:p w14:paraId="59ADC7B4" w14:textId="7DACD921" w:rsidR="00667B18" w:rsidRPr="00682EB0" w:rsidRDefault="00667B18" w:rsidP="00667B18">
      <w:pPr>
        <w:pStyle w:val="Textoindependiente"/>
        <w:ind w:firstLine="708"/>
        <w:contextualSpacing/>
        <w:jc w:val="both"/>
        <w:rPr>
          <w:rFonts w:ascii="Verdana" w:hAnsi="Verdana"/>
          <w:sz w:val="16"/>
          <w:szCs w:val="16"/>
        </w:rPr>
      </w:pPr>
      <w:r w:rsidRPr="00682EB0">
        <w:rPr>
          <w:rStyle w:val="Refdenotaalpie"/>
          <w:rFonts w:ascii="Verdana" w:hAnsi="Verdana"/>
          <w:sz w:val="16"/>
          <w:szCs w:val="16"/>
        </w:rPr>
        <w:footnoteRef/>
      </w:r>
      <w:r w:rsidRPr="00682EB0">
        <w:rPr>
          <w:rFonts w:ascii="Verdana" w:hAnsi="Verdana"/>
          <w:sz w:val="16"/>
          <w:szCs w:val="16"/>
        </w:rPr>
        <w:t xml:space="preserve"> </w:t>
      </w:r>
      <w:r w:rsidRPr="00682EB0">
        <w:rPr>
          <w:rFonts w:ascii="Verdana" w:hAnsi="Verdana"/>
          <w:sz w:val="16"/>
          <w:szCs w:val="16"/>
          <w:lang w:val="es-ES_tradnl"/>
        </w:rPr>
        <w:t xml:space="preserve">El artículo 2º define, para los efectos del ámbito de sujeción del estatuto, que se denominan entidades estatales: </w:t>
      </w:r>
      <w:r w:rsidR="00DF5CA7">
        <w:rPr>
          <w:rFonts w:ascii="Verdana" w:hAnsi="Verdana"/>
          <w:sz w:val="16"/>
          <w:szCs w:val="16"/>
          <w:lang w:val="es-ES_tradnl"/>
        </w:rPr>
        <w:t>“</w:t>
      </w:r>
      <w:r w:rsidRPr="00682EB0">
        <w:rPr>
          <w:rFonts w:ascii="Verdana" w:hAnsi="Verdana"/>
          <w:sz w:val="16"/>
          <w:szCs w:val="16"/>
          <w:lang w:val="es-ES_tradnl"/>
        </w:rPr>
        <w:t xml:space="preserve">a) </w:t>
      </w:r>
      <w:r w:rsidRPr="00682EB0">
        <w:rPr>
          <w:rFonts w:ascii="Verdana" w:hAnsi="Verdana"/>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sidR="00DF5CA7">
        <w:rPr>
          <w:rFonts w:ascii="Verdana" w:hAnsi="Verdana"/>
          <w:sz w:val="16"/>
          <w:szCs w:val="16"/>
        </w:rPr>
        <w:t>”</w:t>
      </w:r>
      <w:r w:rsidRPr="00682EB0">
        <w:rPr>
          <w:rFonts w:ascii="Verdana" w:hAnsi="Verdana"/>
          <w:sz w:val="16"/>
          <w:szCs w:val="16"/>
        </w:rPr>
        <w:t>.</w:t>
      </w:r>
    </w:p>
  </w:footnote>
  <w:footnote w:id="10">
    <w:p w14:paraId="5A332B52" w14:textId="5719BED9" w:rsidR="00F559A5" w:rsidRDefault="00F559A5" w:rsidP="00F559A5">
      <w:pPr>
        <w:pStyle w:val="Textonotapie"/>
        <w:ind w:firstLine="708"/>
        <w:jc w:val="both"/>
        <w:rPr>
          <w:rFonts w:ascii="Verdana" w:hAnsi="Verdana"/>
          <w:sz w:val="16"/>
          <w:szCs w:val="16"/>
        </w:rPr>
      </w:pPr>
      <w:r w:rsidRPr="00E36125">
        <w:rPr>
          <w:rStyle w:val="Refdenotaalpie"/>
          <w:rFonts w:ascii="Verdana" w:hAnsi="Verdana"/>
          <w:sz w:val="16"/>
          <w:szCs w:val="16"/>
        </w:rPr>
        <w:footnoteRef/>
      </w:r>
      <w:r w:rsidRPr="00E36125">
        <w:rPr>
          <w:rFonts w:ascii="Verdana" w:hAnsi="Verdana"/>
          <w:sz w:val="16"/>
          <w:szCs w:val="16"/>
        </w:rPr>
        <w:t xml:space="preserve"> </w:t>
      </w:r>
      <w:r>
        <w:rPr>
          <w:rFonts w:ascii="Verdana" w:hAnsi="Verdana"/>
          <w:sz w:val="16"/>
          <w:szCs w:val="16"/>
        </w:rPr>
        <w:t>Como señala la doctrina, “</w:t>
      </w:r>
      <w:r w:rsidRPr="00E36125">
        <w:rPr>
          <w:rFonts w:ascii="Verdana" w:hAnsi="Verdana"/>
          <w:sz w:val="16"/>
          <w:szCs w:val="16"/>
        </w:rPr>
        <w:t xml:space="preserve">Las partes del contrato de servicios logísticos serán, de un lado, el empresario, sea este una persona natural o jurídica, que en todo caso requiere la prestación de los servicios de valor agregado ofrecidos por el operador. </w:t>
      </w:r>
      <w:r w:rsidRPr="00E36125">
        <w:rPr>
          <w:rFonts w:ascii="Verdana" w:hAnsi="Verdana"/>
          <w:i/>
          <w:iCs/>
          <w:sz w:val="16"/>
          <w:szCs w:val="16"/>
        </w:rPr>
        <w:t xml:space="preserve">De otro, se encuentra el operador logístico, esto es, la persona natural o jurídica que dispone de infraestructura y capacidad operacional adecuadas para ofrecer en el mercado servicios que suponen dotar de </w:t>
      </w:r>
      <w:r w:rsidRPr="00E36125">
        <w:rPr>
          <w:rFonts w:ascii="Verdana" w:hAnsi="Verdana"/>
          <w:i/>
          <w:iCs/>
          <w:sz w:val="18"/>
          <w:szCs w:val="18"/>
        </w:rPr>
        <w:t>‘</w:t>
      </w:r>
      <w:r w:rsidRPr="00E36125">
        <w:rPr>
          <w:rFonts w:ascii="Verdana" w:hAnsi="Verdana"/>
          <w:i/>
          <w:iCs/>
          <w:sz w:val="16"/>
          <w:szCs w:val="16"/>
        </w:rPr>
        <w:t>valor agregado’ la cadena de abastecimiento, producción o distribución del bien respectivo, mediante la prestación de servicios logísticos durante las fases que van desde la consecución de las materias primas hasta la entrega del producto elaborado al consumidor final</w:t>
      </w:r>
      <w:r>
        <w:rPr>
          <w:rFonts w:ascii="Verdana" w:hAnsi="Verdana"/>
          <w:sz w:val="16"/>
          <w:szCs w:val="16"/>
        </w:rPr>
        <w:t xml:space="preserve">” (Cfr. </w:t>
      </w:r>
      <w:r w:rsidRPr="00E36125">
        <w:rPr>
          <w:rFonts w:ascii="Verdana" w:hAnsi="Verdana"/>
          <w:sz w:val="16"/>
          <w:szCs w:val="16"/>
        </w:rPr>
        <w:t>FRANCO ZÁRATE</w:t>
      </w:r>
      <w:r>
        <w:rPr>
          <w:rFonts w:ascii="Verdana" w:hAnsi="Verdana"/>
          <w:sz w:val="16"/>
          <w:szCs w:val="16"/>
        </w:rPr>
        <w:t>,</w:t>
      </w:r>
      <w:r w:rsidRPr="00E36125">
        <w:rPr>
          <w:rFonts w:ascii="Verdana" w:hAnsi="Verdana"/>
          <w:sz w:val="16"/>
          <w:szCs w:val="16"/>
        </w:rPr>
        <w:t xml:space="preserve"> Javier Andrés</w:t>
      </w:r>
      <w:r>
        <w:rPr>
          <w:rFonts w:ascii="Verdana" w:hAnsi="Verdana"/>
          <w:sz w:val="16"/>
          <w:szCs w:val="16"/>
        </w:rPr>
        <w:t xml:space="preserve">. </w:t>
      </w:r>
      <w:r w:rsidRPr="00E36125">
        <w:rPr>
          <w:rFonts w:ascii="Verdana" w:hAnsi="Verdana"/>
          <w:sz w:val="16"/>
          <w:szCs w:val="16"/>
        </w:rPr>
        <w:t>Aspectos legales de la logística comercial y los contratos de servicios logísticos</w:t>
      </w:r>
      <w:r>
        <w:rPr>
          <w:rFonts w:ascii="Verdana" w:hAnsi="Verdana"/>
          <w:sz w:val="16"/>
          <w:szCs w:val="16"/>
        </w:rPr>
        <w:t xml:space="preserve">. Bogotá: Universidad Externado de Colombia, 2014. p. 159). </w:t>
      </w:r>
    </w:p>
    <w:p w14:paraId="11BB5EFB" w14:textId="77777777" w:rsidR="00DF5CA7" w:rsidRPr="00E36125" w:rsidRDefault="00DF5CA7" w:rsidP="00F559A5">
      <w:pPr>
        <w:pStyle w:val="Textonotapie"/>
        <w:ind w:firstLine="708"/>
        <w:jc w:val="both"/>
        <w:rPr>
          <w:rFonts w:ascii="Verdana" w:hAnsi="Verdana"/>
          <w:sz w:val="16"/>
          <w:szCs w:val="16"/>
          <w:lang w:val="es-CO"/>
        </w:rPr>
      </w:pPr>
    </w:p>
  </w:footnote>
  <w:footnote w:id="11">
    <w:p w14:paraId="7811DBE0" w14:textId="730F2737" w:rsidR="00F559A5" w:rsidRPr="00E721F8" w:rsidRDefault="00F559A5" w:rsidP="00F559A5">
      <w:pPr>
        <w:pStyle w:val="Textonotapie"/>
        <w:ind w:firstLine="709"/>
        <w:jc w:val="both"/>
        <w:rPr>
          <w:rFonts w:ascii="Verdana" w:hAnsi="Verdana"/>
          <w:sz w:val="16"/>
          <w:szCs w:val="16"/>
          <w:lang w:val="es-CO"/>
        </w:rPr>
      </w:pPr>
      <w:r w:rsidRPr="00E721F8">
        <w:rPr>
          <w:rStyle w:val="Refdenotaalpie"/>
          <w:rFonts w:ascii="Verdana" w:hAnsi="Verdana"/>
          <w:sz w:val="16"/>
          <w:szCs w:val="16"/>
        </w:rPr>
        <w:footnoteRef/>
      </w:r>
      <w:r w:rsidRPr="00E721F8">
        <w:rPr>
          <w:rFonts w:ascii="Verdana" w:hAnsi="Verdana"/>
          <w:sz w:val="16"/>
          <w:szCs w:val="16"/>
        </w:rPr>
        <w:t xml:space="preserve"> SÁNCHEZ TRUJILLO</w:t>
      </w:r>
      <w:r>
        <w:rPr>
          <w:rFonts w:ascii="Verdana" w:hAnsi="Verdana"/>
          <w:sz w:val="16"/>
          <w:szCs w:val="16"/>
        </w:rPr>
        <w:t>,</w:t>
      </w:r>
      <w:r w:rsidRPr="00E721F8">
        <w:rPr>
          <w:rFonts w:ascii="Verdana" w:hAnsi="Verdana"/>
          <w:sz w:val="16"/>
          <w:szCs w:val="16"/>
        </w:rPr>
        <w:t xml:space="preserve"> Juan Pablo</w:t>
      </w:r>
      <w:r>
        <w:rPr>
          <w:rFonts w:ascii="Verdana" w:hAnsi="Verdana"/>
          <w:sz w:val="16"/>
          <w:szCs w:val="16"/>
        </w:rPr>
        <w:t xml:space="preserve">. </w:t>
      </w:r>
      <w:r w:rsidRPr="00E721F8">
        <w:rPr>
          <w:rFonts w:ascii="Verdana" w:hAnsi="Verdana"/>
          <w:sz w:val="16"/>
          <w:szCs w:val="16"/>
        </w:rPr>
        <w:t>Completitud de la oferta del contrato atípico: elementos esenciales del contrato atípico como requisito de delimitación del objeto de la oferta mercantil</w:t>
      </w:r>
      <w:r w:rsidR="00DF5CA7">
        <w:rPr>
          <w:rFonts w:ascii="Verdana" w:hAnsi="Verdana"/>
          <w:sz w:val="16"/>
          <w:szCs w:val="16"/>
        </w:rPr>
        <w:t>. Consultado el 21 de marzo de 2025</w:t>
      </w:r>
      <w:r>
        <w:rPr>
          <w:rFonts w:ascii="Verdana" w:hAnsi="Verdana"/>
          <w:sz w:val="16"/>
          <w:szCs w:val="16"/>
        </w:rPr>
        <w:t xml:space="preserve"> en la página web </w:t>
      </w:r>
      <w:hyperlink r:id="rId1" w:history="1">
        <w:r w:rsidRPr="00880444">
          <w:rPr>
            <w:rStyle w:val="Hipervnculo"/>
            <w:rFonts w:ascii="Verdana" w:hAnsi="Verdana"/>
            <w:sz w:val="16"/>
            <w:szCs w:val="16"/>
          </w:rPr>
          <w:t>https://revistas.udea.edu.co/index.php/derypol/article/view/331285/20790715</w:t>
        </w:r>
      </w:hyperlink>
      <w:r>
        <w:rPr>
          <w:rFonts w:ascii="Verdana" w:hAnsi="Verdana"/>
          <w:sz w:val="16"/>
          <w:szCs w:val="16"/>
        </w:rPr>
        <w:t xml:space="preserve">. </w:t>
      </w:r>
    </w:p>
  </w:footnote>
  <w:footnote w:id="12">
    <w:p w14:paraId="764215F5" w14:textId="35BF48D8" w:rsidR="009D7570" w:rsidRPr="00F31AC6" w:rsidRDefault="009D7570" w:rsidP="00F31AC6">
      <w:pPr>
        <w:pStyle w:val="Textonotapie"/>
        <w:ind w:firstLine="708"/>
        <w:jc w:val="both"/>
        <w:rPr>
          <w:rFonts w:ascii="Verdana" w:hAnsi="Verdana"/>
          <w:sz w:val="16"/>
          <w:szCs w:val="16"/>
        </w:rPr>
      </w:pPr>
      <w:r w:rsidRPr="00F31AC6">
        <w:rPr>
          <w:rStyle w:val="Refdenotaalpie"/>
          <w:rFonts w:ascii="Verdana" w:hAnsi="Verdana"/>
          <w:sz w:val="16"/>
          <w:szCs w:val="16"/>
        </w:rPr>
        <w:footnoteRef/>
      </w:r>
      <w:r w:rsidRPr="00F31AC6">
        <w:rPr>
          <w:rFonts w:ascii="Verdana" w:hAnsi="Verdana"/>
          <w:sz w:val="16"/>
          <w:szCs w:val="16"/>
        </w:rPr>
        <w:t xml:space="preserve"> SANÍN GÓMEZ, Juan Esteban, El contrato de mandato: consideraciones jurídicas, tributarias y contables. </w:t>
      </w:r>
      <w:r w:rsidRPr="00F31AC6">
        <w:rPr>
          <w:rFonts w:ascii="Verdana" w:hAnsi="Verdana"/>
          <w:sz w:val="16"/>
          <w:szCs w:val="16"/>
          <w:lang w:val="es-CO"/>
        </w:rPr>
        <w:t>Revista de Derecho Fiscal n.° 8, Bogotá: Universidad Externado de Colombia. pp. 45-58. doi: http://dx.doi. org/10.18601/16926722.n8.04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14.25pt;height:14.25pt" o:bullet="t">
        <v:imagedata r:id="rId1" o:title="mso1B13"/>
      </v:shape>
    </w:pict>
  </w:numPicBullet>
  <w:abstractNum w:abstractNumId="0" w15:restartNumberingAfterBreak="0">
    <w:nsid w:val="0142C8FB"/>
    <w:multiLevelType w:val="hybridMultilevel"/>
    <w:tmpl w:val="1FAA61C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114D7"/>
    <w:multiLevelType w:val="hybridMultilevel"/>
    <w:tmpl w:val="6D001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10008"/>
    <w:multiLevelType w:val="hybridMultilevel"/>
    <w:tmpl w:val="89340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983715A"/>
    <w:multiLevelType w:val="hybridMultilevel"/>
    <w:tmpl w:val="D902A7C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7" w15:restartNumberingAfterBreak="0">
    <w:nsid w:val="57872798"/>
    <w:multiLevelType w:val="hybridMultilevel"/>
    <w:tmpl w:val="58926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143808"/>
    <w:multiLevelType w:val="hybridMultilevel"/>
    <w:tmpl w:val="870C4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B9329F"/>
    <w:multiLevelType w:val="hybridMultilevel"/>
    <w:tmpl w:val="7778DB08"/>
    <w:lvl w:ilvl="0" w:tplc="4364B466">
      <w:start w:val="1"/>
      <w:numFmt w:val="lowerRoman"/>
      <w:lvlText w:val="%1."/>
      <w:lvlJc w:val="left"/>
      <w:pPr>
        <w:ind w:left="396" w:hanging="271"/>
      </w:pPr>
      <w:rPr>
        <w:rFonts w:ascii="Verdana" w:eastAsia="Verdana" w:hAnsi="Verdana" w:cs="Verdana" w:hint="default"/>
        <w:b w:val="0"/>
        <w:bCs w:val="0"/>
        <w:i w:val="0"/>
        <w:iCs w:val="0"/>
        <w:spacing w:val="-1"/>
        <w:w w:val="99"/>
        <w:sz w:val="22"/>
        <w:szCs w:val="22"/>
        <w:lang w:val="es-ES" w:eastAsia="en-US" w:bidi="ar-SA"/>
      </w:rPr>
    </w:lvl>
    <w:lvl w:ilvl="1" w:tplc="57967370">
      <w:numFmt w:val="bullet"/>
      <w:lvlText w:val="•"/>
      <w:lvlJc w:val="left"/>
      <w:pPr>
        <w:ind w:left="1368" w:hanging="271"/>
      </w:pPr>
      <w:rPr>
        <w:rFonts w:hint="default"/>
        <w:lang w:val="es-ES" w:eastAsia="en-US" w:bidi="ar-SA"/>
      </w:rPr>
    </w:lvl>
    <w:lvl w:ilvl="2" w:tplc="2C123044">
      <w:numFmt w:val="bullet"/>
      <w:lvlText w:val="•"/>
      <w:lvlJc w:val="left"/>
      <w:pPr>
        <w:ind w:left="2336" w:hanging="271"/>
      </w:pPr>
      <w:rPr>
        <w:rFonts w:hint="default"/>
        <w:lang w:val="es-ES" w:eastAsia="en-US" w:bidi="ar-SA"/>
      </w:rPr>
    </w:lvl>
    <w:lvl w:ilvl="3" w:tplc="27D0989E">
      <w:numFmt w:val="bullet"/>
      <w:lvlText w:val="•"/>
      <w:lvlJc w:val="left"/>
      <w:pPr>
        <w:ind w:left="3304" w:hanging="271"/>
      </w:pPr>
      <w:rPr>
        <w:rFonts w:hint="default"/>
        <w:lang w:val="es-ES" w:eastAsia="en-US" w:bidi="ar-SA"/>
      </w:rPr>
    </w:lvl>
    <w:lvl w:ilvl="4" w:tplc="71B0D4FC">
      <w:numFmt w:val="bullet"/>
      <w:lvlText w:val="•"/>
      <w:lvlJc w:val="left"/>
      <w:pPr>
        <w:ind w:left="4272" w:hanging="271"/>
      </w:pPr>
      <w:rPr>
        <w:rFonts w:hint="default"/>
        <w:lang w:val="es-ES" w:eastAsia="en-US" w:bidi="ar-SA"/>
      </w:rPr>
    </w:lvl>
    <w:lvl w:ilvl="5" w:tplc="7ED4079A">
      <w:numFmt w:val="bullet"/>
      <w:lvlText w:val="•"/>
      <w:lvlJc w:val="left"/>
      <w:pPr>
        <w:ind w:left="5240" w:hanging="271"/>
      </w:pPr>
      <w:rPr>
        <w:rFonts w:hint="default"/>
        <w:lang w:val="es-ES" w:eastAsia="en-US" w:bidi="ar-SA"/>
      </w:rPr>
    </w:lvl>
    <w:lvl w:ilvl="6" w:tplc="13EEEF56">
      <w:numFmt w:val="bullet"/>
      <w:lvlText w:val="•"/>
      <w:lvlJc w:val="left"/>
      <w:pPr>
        <w:ind w:left="6208" w:hanging="271"/>
      </w:pPr>
      <w:rPr>
        <w:rFonts w:hint="default"/>
        <w:lang w:val="es-ES" w:eastAsia="en-US" w:bidi="ar-SA"/>
      </w:rPr>
    </w:lvl>
    <w:lvl w:ilvl="7" w:tplc="3D6A7AE8">
      <w:numFmt w:val="bullet"/>
      <w:lvlText w:val="•"/>
      <w:lvlJc w:val="left"/>
      <w:pPr>
        <w:ind w:left="7176" w:hanging="271"/>
      </w:pPr>
      <w:rPr>
        <w:rFonts w:hint="default"/>
        <w:lang w:val="es-ES" w:eastAsia="en-US" w:bidi="ar-SA"/>
      </w:rPr>
    </w:lvl>
    <w:lvl w:ilvl="8" w:tplc="AFCE1562">
      <w:numFmt w:val="bullet"/>
      <w:lvlText w:val="•"/>
      <w:lvlJc w:val="left"/>
      <w:pPr>
        <w:ind w:left="8144" w:hanging="271"/>
      </w:pPr>
      <w:rPr>
        <w:rFonts w:hint="default"/>
        <w:lang w:val="es-ES" w:eastAsia="en-US" w:bidi="ar-SA"/>
      </w:rPr>
    </w:lvl>
  </w:abstractNum>
  <w:abstractNum w:abstractNumId="26"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2"/>
  </w:num>
  <w:num w:numId="2">
    <w:abstractNumId w:val="3"/>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2"/>
  </w:num>
  <w:num w:numId="7">
    <w:abstractNumId w:val="11"/>
  </w:num>
  <w:num w:numId="8">
    <w:abstractNumId w:val="21"/>
  </w:num>
  <w:num w:numId="9">
    <w:abstractNumId w:val="13"/>
  </w:num>
  <w:num w:numId="10">
    <w:abstractNumId w:val="20"/>
  </w:num>
  <w:num w:numId="11">
    <w:abstractNumId w:val="14"/>
  </w:num>
  <w:num w:numId="12">
    <w:abstractNumId w:val="2"/>
  </w:num>
  <w:num w:numId="13">
    <w:abstractNumId w:val="8"/>
  </w:num>
  <w:num w:numId="14">
    <w:abstractNumId w:val="23"/>
  </w:num>
  <w:num w:numId="15">
    <w:abstractNumId w:val="19"/>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8"/>
  </w:num>
  <w:num w:numId="19">
    <w:abstractNumId w:val="9"/>
  </w:num>
  <w:num w:numId="20">
    <w:abstractNumId w:val="15"/>
  </w:num>
  <w:num w:numId="21">
    <w:abstractNumId w:val="26"/>
  </w:num>
  <w:num w:numId="22">
    <w:abstractNumId w:val="6"/>
  </w:num>
  <w:num w:numId="23">
    <w:abstractNumId w:val="0"/>
  </w:num>
  <w:num w:numId="24">
    <w:abstractNumId w:val="16"/>
  </w:num>
  <w:num w:numId="25">
    <w:abstractNumId w:val="17"/>
  </w:num>
  <w:num w:numId="26">
    <w:abstractNumId w:val="7"/>
  </w:num>
  <w:num w:numId="27">
    <w:abstractNumId w:val="24"/>
  </w:num>
  <w:num w:numId="28">
    <w:abstractNumId w:val="5"/>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1665C"/>
    <w:rsid w:val="000224F2"/>
    <w:rsid w:val="00023C3E"/>
    <w:rsid w:val="0002653B"/>
    <w:rsid w:val="00043A58"/>
    <w:rsid w:val="0004434A"/>
    <w:rsid w:val="0005204F"/>
    <w:rsid w:val="0005281E"/>
    <w:rsid w:val="0005682C"/>
    <w:rsid w:val="00056D71"/>
    <w:rsid w:val="00061B2A"/>
    <w:rsid w:val="00062BAF"/>
    <w:rsid w:val="000630B9"/>
    <w:rsid w:val="000643B2"/>
    <w:rsid w:val="00065E80"/>
    <w:rsid w:val="0007022C"/>
    <w:rsid w:val="00071DE6"/>
    <w:rsid w:val="000754B0"/>
    <w:rsid w:val="00077439"/>
    <w:rsid w:val="000774B8"/>
    <w:rsid w:val="00082362"/>
    <w:rsid w:val="0008328D"/>
    <w:rsid w:val="0009387A"/>
    <w:rsid w:val="0009387B"/>
    <w:rsid w:val="000963C6"/>
    <w:rsid w:val="0009762F"/>
    <w:rsid w:val="000A31B9"/>
    <w:rsid w:val="000A3330"/>
    <w:rsid w:val="000A3C80"/>
    <w:rsid w:val="000A3D63"/>
    <w:rsid w:val="000A5463"/>
    <w:rsid w:val="000A683A"/>
    <w:rsid w:val="000A683E"/>
    <w:rsid w:val="000B19B9"/>
    <w:rsid w:val="000B50AE"/>
    <w:rsid w:val="000C2889"/>
    <w:rsid w:val="000D0152"/>
    <w:rsid w:val="000D0334"/>
    <w:rsid w:val="000D3B29"/>
    <w:rsid w:val="000E06F4"/>
    <w:rsid w:val="000E4CE4"/>
    <w:rsid w:val="000F10B1"/>
    <w:rsid w:val="000F6486"/>
    <w:rsid w:val="000F669F"/>
    <w:rsid w:val="00105B23"/>
    <w:rsid w:val="001063B3"/>
    <w:rsid w:val="00107ACA"/>
    <w:rsid w:val="001107BB"/>
    <w:rsid w:val="001114A9"/>
    <w:rsid w:val="00111979"/>
    <w:rsid w:val="00116537"/>
    <w:rsid w:val="00117AEF"/>
    <w:rsid w:val="00120766"/>
    <w:rsid w:val="001240BD"/>
    <w:rsid w:val="00125105"/>
    <w:rsid w:val="001264F4"/>
    <w:rsid w:val="00126A5C"/>
    <w:rsid w:val="00127233"/>
    <w:rsid w:val="001372FC"/>
    <w:rsid w:val="00143E81"/>
    <w:rsid w:val="00143FD9"/>
    <w:rsid w:val="00145047"/>
    <w:rsid w:val="00146C57"/>
    <w:rsid w:val="00160ECB"/>
    <w:rsid w:val="0016332F"/>
    <w:rsid w:val="00164A65"/>
    <w:rsid w:val="001717E9"/>
    <w:rsid w:val="0017238A"/>
    <w:rsid w:val="00180A30"/>
    <w:rsid w:val="00185EE9"/>
    <w:rsid w:val="00187F79"/>
    <w:rsid w:val="00197274"/>
    <w:rsid w:val="001A237A"/>
    <w:rsid w:val="001A26CF"/>
    <w:rsid w:val="001A2919"/>
    <w:rsid w:val="001B2CFE"/>
    <w:rsid w:val="001C222E"/>
    <w:rsid w:val="001C22F9"/>
    <w:rsid w:val="001C6ED4"/>
    <w:rsid w:val="001D1C29"/>
    <w:rsid w:val="001D24B0"/>
    <w:rsid w:val="001E3C06"/>
    <w:rsid w:val="001E4177"/>
    <w:rsid w:val="001F4EFD"/>
    <w:rsid w:val="001F5E13"/>
    <w:rsid w:val="001F6D11"/>
    <w:rsid w:val="001F7DC6"/>
    <w:rsid w:val="00202886"/>
    <w:rsid w:val="00215CEF"/>
    <w:rsid w:val="00216765"/>
    <w:rsid w:val="00217A08"/>
    <w:rsid w:val="00220B77"/>
    <w:rsid w:val="00221D27"/>
    <w:rsid w:val="00237233"/>
    <w:rsid w:val="002421BB"/>
    <w:rsid w:val="00246A81"/>
    <w:rsid w:val="00251A5F"/>
    <w:rsid w:val="00256F7C"/>
    <w:rsid w:val="0025796E"/>
    <w:rsid w:val="002603E5"/>
    <w:rsid w:val="002638B2"/>
    <w:rsid w:val="002660F2"/>
    <w:rsid w:val="002664BB"/>
    <w:rsid w:val="002707A2"/>
    <w:rsid w:val="002835A6"/>
    <w:rsid w:val="002844ED"/>
    <w:rsid w:val="002951A0"/>
    <w:rsid w:val="002962BC"/>
    <w:rsid w:val="00296562"/>
    <w:rsid w:val="002A093D"/>
    <w:rsid w:val="002A0DD0"/>
    <w:rsid w:val="002A49AC"/>
    <w:rsid w:val="002A64FD"/>
    <w:rsid w:val="002A6BBF"/>
    <w:rsid w:val="002B1E57"/>
    <w:rsid w:val="002B1F7F"/>
    <w:rsid w:val="002B290B"/>
    <w:rsid w:val="002B346D"/>
    <w:rsid w:val="002C110E"/>
    <w:rsid w:val="002C379A"/>
    <w:rsid w:val="002C618B"/>
    <w:rsid w:val="002C765E"/>
    <w:rsid w:val="002C7A84"/>
    <w:rsid w:val="002D13A1"/>
    <w:rsid w:val="002D3F0D"/>
    <w:rsid w:val="002E1D98"/>
    <w:rsid w:val="002E2C3F"/>
    <w:rsid w:val="002E32E4"/>
    <w:rsid w:val="002E4FD9"/>
    <w:rsid w:val="002E6F15"/>
    <w:rsid w:val="002F13FD"/>
    <w:rsid w:val="00303544"/>
    <w:rsid w:val="003039C1"/>
    <w:rsid w:val="00306D8D"/>
    <w:rsid w:val="00310DBE"/>
    <w:rsid w:val="0031430F"/>
    <w:rsid w:val="00320BBD"/>
    <w:rsid w:val="00322A85"/>
    <w:rsid w:val="00324168"/>
    <w:rsid w:val="0033032A"/>
    <w:rsid w:val="00334C6A"/>
    <w:rsid w:val="00336C05"/>
    <w:rsid w:val="00342675"/>
    <w:rsid w:val="00343512"/>
    <w:rsid w:val="003448F4"/>
    <w:rsid w:val="00345330"/>
    <w:rsid w:val="003469FD"/>
    <w:rsid w:val="003528DF"/>
    <w:rsid w:val="00352C12"/>
    <w:rsid w:val="00354BCA"/>
    <w:rsid w:val="00360C24"/>
    <w:rsid w:val="0036594E"/>
    <w:rsid w:val="003665EE"/>
    <w:rsid w:val="0037010E"/>
    <w:rsid w:val="003734F4"/>
    <w:rsid w:val="00374F5E"/>
    <w:rsid w:val="00377E3E"/>
    <w:rsid w:val="003815B3"/>
    <w:rsid w:val="003815E8"/>
    <w:rsid w:val="0038606D"/>
    <w:rsid w:val="00392A49"/>
    <w:rsid w:val="00394684"/>
    <w:rsid w:val="0039784B"/>
    <w:rsid w:val="003A26D1"/>
    <w:rsid w:val="003A3B30"/>
    <w:rsid w:val="003A779E"/>
    <w:rsid w:val="003B005A"/>
    <w:rsid w:val="003C3FA5"/>
    <w:rsid w:val="003D0F4D"/>
    <w:rsid w:val="003D5B0D"/>
    <w:rsid w:val="003E0499"/>
    <w:rsid w:val="003E3E77"/>
    <w:rsid w:val="003E40F2"/>
    <w:rsid w:val="003F3941"/>
    <w:rsid w:val="00400676"/>
    <w:rsid w:val="004008A9"/>
    <w:rsid w:val="00406575"/>
    <w:rsid w:val="004069AB"/>
    <w:rsid w:val="00410906"/>
    <w:rsid w:val="004125AB"/>
    <w:rsid w:val="00412D31"/>
    <w:rsid w:val="0041655A"/>
    <w:rsid w:val="00426FD7"/>
    <w:rsid w:val="0042722E"/>
    <w:rsid w:val="00427DA0"/>
    <w:rsid w:val="00440391"/>
    <w:rsid w:val="00442C7F"/>
    <w:rsid w:val="0044528D"/>
    <w:rsid w:val="00450920"/>
    <w:rsid w:val="00454D48"/>
    <w:rsid w:val="004554F9"/>
    <w:rsid w:val="004556AB"/>
    <w:rsid w:val="0046004D"/>
    <w:rsid w:val="004633DE"/>
    <w:rsid w:val="00465E71"/>
    <w:rsid w:val="004734BD"/>
    <w:rsid w:val="00482608"/>
    <w:rsid w:val="00483749"/>
    <w:rsid w:val="00484809"/>
    <w:rsid w:val="00484BB1"/>
    <w:rsid w:val="004A0980"/>
    <w:rsid w:val="004A0B8B"/>
    <w:rsid w:val="004A1847"/>
    <w:rsid w:val="004A305D"/>
    <w:rsid w:val="004A3312"/>
    <w:rsid w:val="004B25A9"/>
    <w:rsid w:val="004B740F"/>
    <w:rsid w:val="004C4B37"/>
    <w:rsid w:val="004D026D"/>
    <w:rsid w:val="004D732A"/>
    <w:rsid w:val="004E02EE"/>
    <w:rsid w:val="004E221E"/>
    <w:rsid w:val="004E2892"/>
    <w:rsid w:val="004E4C0B"/>
    <w:rsid w:val="004E505B"/>
    <w:rsid w:val="004F21C4"/>
    <w:rsid w:val="004F3012"/>
    <w:rsid w:val="004F5559"/>
    <w:rsid w:val="004F685F"/>
    <w:rsid w:val="004F7EC9"/>
    <w:rsid w:val="00504CBE"/>
    <w:rsid w:val="00507555"/>
    <w:rsid w:val="00514598"/>
    <w:rsid w:val="005163B5"/>
    <w:rsid w:val="0052543A"/>
    <w:rsid w:val="0052785C"/>
    <w:rsid w:val="00533E1B"/>
    <w:rsid w:val="0054030E"/>
    <w:rsid w:val="00540C2D"/>
    <w:rsid w:val="00552502"/>
    <w:rsid w:val="005566E8"/>
    <w:rsid w:val="00560CB5"/>
    <w:rsid w:val="0056100E"/>
    <w:rsid w:val="00564F8B"/>
    <w:rsid w:val="00565D31"/>
    <w:rsid w:val="00571B82"/>
    <w:rsid w:val="00574122"/>
    <w:rsid w:val="00574867"/>
    <w:rsid w:val="00577D09"/>
    <w:rsid w:val="0058087F"/>
    <w:rsid w:val="00591460"/>
    <w:rsid w:val="005914A1"/>
    <w:rsid w:val="00592628"/>
    <w:rsid w:val="00597C75"/>
    <w:rsid w:val="005A0868"/>
    <w:rsid w:val="005A0CFB"/>
    <w:rsid w:val="005A282F"/>
    <w:rsid w:val="005A2AC9"/>
    <w:rsid w:val="005B2CCE"/>
    <w:rsid w:val="005B58C1"/>
    <w:rsid w:val="005B6033"/>
    <w:rsid w:val="005B7709"/>
    <w:rsid w:val="005C3777"/>
    <w:rsid w:val="005C5CDC"/>
    <w:rsid w:val="005D17C8"/>
    <w:rsid w:val="005D2B2B"/>
    <w:rsid w:val="005D476C"/>
    <w:rsid w:val="005D5F91"/>
    <w:rsid w:val="005D7B25"/>
    <w:rsid w:val="005E007A"/>
    <w:rsid w:val="005E60D0"/>
    <w:rsid w:val="005F7C43"/>
    <w:rsid w:val="00605A00"/>
    <w:rsid w:val="00610812"/>
    <w:rsid w:val="00612CE7"/>
    <w:rsid w:val="006219F8"/>
    <w:rsid w:val="00622927"/>
    <w:rsid w:val="0063165E"/>
    <w:rsid w:val="00632C08"/>
    <w:rsid w:val="00636898"/>
    <w:rsid w:val="006459C3"/>
    <w:rsid w:val="00650FF7"/>
    <w:rsid w:val="0066292A"/>
    <w:rsid w:val="00665D70"/>
    <w:rsid w:val="00667B18"/>
    <w:rsid w:val="00671DAC"/>
    <w:rsid w:val="006747C7"/>
    <w:rsid w:val="006827AC"/>
    <w:rsid w:val="006859A3"/>
    <w:rsid w:val="006900D9"/>
    <w:rsid w:val="006A0008"/>
    <w:rsid w:val="006A10DF"/>
    <w:rsid w:val="006A3147"/>
    <w:rsid w:val="006B25DE"/>
    <w:rsid w:val="006C0240"/>
    <w:rsid w:val="006C5595"/>
    <w:rsid w:val="006C5765"/>
    <w:rsid w:val="006D12F8"/>
    <w:rsid w:val="006D55B1"/>
    <w:rsid w:val="006D6EAD"/>
    <w:rsid w:val="006E4DAE"/>
    <w:rsid w:val="006F0D40"/>
    <w:rsid w:val="006F2501"/>
    <w:rsid w:val="007000F0"/>
    <w:rsid w:val="00704D9B"/>
    <w:rsid w:val="00705E5F"/>
    <w:rsid w:val="00706C16"/>
    <w:rsid w:val="00711C85"/>
    <w:rsid w:val="0071458F"/>
    <w:rsid w:val="0071627C"/>
    <w:rsid w:val="007231C5"/>
    <w:rsid w:val="00723A7F"/>
    <w:rsid w:val="00725002"/>
    <w:rsid w:val="007312C3"/>
    <w:rsid w:val="00736B39"/>
    <w:rsid w:val="00737C53"/>
    <w:rsid w:val="00737DFA"/>
    <w:rsid w:val="00754FA8"/>
    <w:rsid w:val="00756841"/>
    <w:rsid w:val="00756FC8"/>
    <w:rsid w:val="007612AC"/>
    <w:rsid w:val="00762AA9"/>
    <w:rsid w:val="007649AB"/>
    <w:rsid w:val="00771D0C"/>
    <w:rsid w:val="007833AC"/>
    <w:rsid w:val="00784D58"/>
    <w:rsid w:val="0078506A"/>
    <w:rsid w:val="00786FBF"/>
    <w:rsid w:val="00790AB7"/>
    <w:rsid w:val="00791769"/>
    <w:rsid w:val="00792361"/>
    <w:rsid w:val="00796340"/>
    <w:rsid w:val="007A006D"/>
    <w:rsid w:val="007A23EA"/>
    <w:rsid w:val="007A5189"/>
    <w:rsid w:val="007B0D88"/>
    <w:rsid w:val="007B268C"/>
    <w:rsid w:val="007B7171"/>
    <w:rsid w:val="007B7D02"/>
    <w:rsid w:val="007C0C0F"/>
    <w:rsid w:val="007C3DC2"/>
    <w:rsid w:val="007C66AE"/>
    <w:rsid w:val="007D0457"/>
    <w:rsid w:val="007D43C9"/>
    <w:rsid w:val="007D4CAA"/>
    <w:rsid w:val="007E5497"/>
    <w:rsid w:val="007F1BF7"/>
    <w:rsid w:val="007F28CA"/>
    <w:rsid w:val="007F52A4"/>
    <w:rsid w:val="007F60FB"/>
    <w:rsid w:val="007F7B94"/>
    <w:rsid w:val="00804981"/>
    <w:rsid w:val="00806F5F"/>
    <w:rsid w:val="0081217D"/>
    <w:rsid w:val="008163D7"/>
    <w:rsid w:val="00816A3C"/>
    <w:rsid w:val="00820278"/>
    <w:rsid w:val="00825162"/>
    <w:rsid w:val="00834554"/>
    <w:rsid w:val="00834B31"/>
    <w:rsid w:val="00840ADC"/>
    <w:rsid w:val="00843BF7"/>
    <w:rsid w:val="008449B3"/>
    <w:rsid w:val="00845347"/>
    <w:rsid w:val="00846276"/>
    <w:rsid w:val="00850E23"/>
    <w:rsid w:val="00851137"/>
    <w:rsid w:val="00853978"/>
    <w:rsid w:val="0085432F"/>
    <w:rsid w:val="00864209"/>
    <w:rsid w:val="0087325B"/>
    <w:rsid w:val="008809FA"/>
    <w:rsid w:val="00881ABA"/>
    <w:rsid w:val="008843B6"/>
    <w:rsid w:val="00886C89"/>
    <w:rsid w:val="008910F7"/>
    <w:rsid w:val="00891928"/>
    <w:rsid w:val="00894B8B"/>
    <w:rsid w:val="008A00A4"/>
    <w:rsid w:val="008A446D"/>
    <w:rsid w:val="008A7059"/>
    <w:rsid w:val="008A7303"/>
    <w:rsid w:val="008A7A64"/>
    <w:rsid w:val="008A7F08"/>
    <w:rsid w:val="008B2F0E"/>
    <w:rsid w:val="008B5A2E"/>
    <w:rsid w:val="008D180B"/>
    <w:rsid w:val="008D20A1"/>
    <w:rsid w:val="008D2BCF"/>
    <w:rsid w:val="008D7227"/>
    <w:rsid w:val="008E1F92"/>
    <w:rsid w:val="008E7333"/>
    <w:rsid w:val="008E7B09"/>
    <w:rsid w:val="008F04CB"/>
    <w:rsid w:val="008F0EA7"/>
    <w:rsid w:val="008F7BB9"/>
    <w:rsid w:val="0090421F"/>
    <w:rsid w:val="00904692"/>
    <w:rsid w:val="00910097"/>
    <w:rsid w:val="00911C7C"/>
    <w:rsid w:val="0091561E"/>
    <w:rsid w:val="00917452"/>
    <w:rsid w:val="00923EEF"/>
    <w:rsid w:val="00926840"/>
    <w:rsid w:val="009411F5"/>
    <w:rsid w:val="009419F9"/>
    <w:rsid w:val="00943251"/>
    <w:rsid w:val="00953AA4"/>
    <w:rsid w:val="00955305"/>
    <w:rsid w:val="009567E2"/>
    <w:rsid w:val="0095685E"/>
    <w:rsid w:val="009572D9"/>
    <w:rsid w:val="009600D2"/>
    <w:rsid w:val="00961409"/>
    <w:rsid w:val="00961B09"/>
    <w:rsid w:val="00962300"/>
    <w:rsid w:val="00965334"/>
    <w:rsid w:val="0096553E"/>
    <w:rsid w:val="00965D27"/>
    <w:rsid w:val="0096612C"/>
    <w:rsid w:val="0097093E"/>
    <w:rsid w:val="00971ED8"/>
    <w:rsid w:val="00976025"/>
    <w:rsid w:val="00977D20"/>
    <w:rsid w:val="009800BE"/>
    <w:rsid w:val="00982E41"/>
    <w:rsid w:val="00984649"/>
    <w:rsid w:val="009852C1"/>
    <w:rsid w:val="009858BE"/>
    <w:rsid w:val="009A0DFA"/>
    <w:rsid w:val="009A3C2C"/>
    <w:rsid w:val="009A4A40"/>
    <w:rsid w:val="009B2D26"/>
    <w:rsid w:val="009B3595"/>
    <w:rsid w:val="009B780F"/>
    <w:rsid w:val="009C2DD0"/>
    <w:rsid w:val="009C3AC7"/>
    <w:rsid w:val="009C71FA"/>
    <w:rsid w:val="009C72E7"/>
    <w:rsid w:val="009D0555"/>
    <w:rsid w:val="009D3058"/>
    <w:rsid w:val="009D3A11"/>
    <w:rsid w:val="009D44C4"/>
    <w:rsid w:val="009D67FD"/>
    <w:rsid w:val="009D7570"/>
    <w:rsid w:val="009E5A30"/>
    <w:rsid w:val="009E7C05"/>
    <w:rsid w:val="009F28C9"/>
    <w:rsid w:val="009F3831"/>
    <w:rsid w:val="009F3832"/>
    <w:rsid w:val="009F3A13"/>
    <w:rsid w:val="009F4AB2"/>
    <w:rsid w:val="009F73F7"/>
    <w:rsid w:val="00A02465"/>
    <w:rsid w:val="00A03415"/>
    <w:rsid w:val="00A04A81"/>
    <w:rsid w:val="00A122D3"/>
    <w:rsid w:val="00A12E69"/>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2050"/>
    <w:rsid w:val="00A43292"/>
    <w:rsid w:val="00A445C0"/>
    <w:rsid w:val="00A56FCA"/>
    <w:rsid w:val="00A6004A"/>
    <w:rsid w:val="00A613C2"/>
    <w:rsid w:val="00A66724"/>
    <w:rsid w:val="00A668DA"/>
    <w:rsid w:val="00A74DE6"/>
    <w:rsid w:val="00A8086A"/>
    <w:rsid w:val="00A80F32"/>
    <w:rsid w:val="00A87F7D"/>
    <w:rsid w:val="00A9244C"/>
    <w:rsid w:val="00A94D14"/>
    <w:rsid w:val="00AA6866"/>
    <w:rsid w:val="00AB0ADB"/>
    <w:rsid w:val="00AB3FD1"/>
    <w:rsid w:val="00AC0EAB"/>
    <w:rsid w:val="00AC4701"/>
    <w:rsid w:val="00AC49A2"/>
    <w:rsid w:val="00AD73E2"/>
    <w:rsid w:val="00AE2631"/>
    <w:rsid w:val="00AF1BEC"/>
    <w:rsid w:val="00AF6E13"/>
    <w:rsid w:val="00B00909"/>
    <w:rsid w:val="00B009B8"/>
    <w:rsid w:val="00B01B1A"/>
    <w:rsid w:val="00B14E03"/>
    <w:rsid w:val="00B23B77"/>
    <w:rsid w:val="00B26B98"/>
    <w:rsid w:val="00B35201"/>
    <w:rsid w:val="00B35ADC"/>
    <w:rsid w:val="00B37C24"/>
    <w:rsid w:val="00B40FBC"/>
    <w:rsid w:val="00B46F27"/>
    <w:rsid w:val="00B47C8E"/>
    <w:rsid w:val="00B47FD7"/>
    <w:rsid w:val="00B51F75"/>
    <w:rsid w:val="00B53E27"/>
    <w:rsid w:val="00B558AF"/>
    <w:rsid w:val="00B615BA"/>
    <w:rsid w:val="00B62D8B"/>
    <w:rsid w:val="00B72CD3"/>
    <w:rsid w:val="00B72FFF"/>
    <w:rsid w:val="00B76CEB"/>
    <w:rsid w:val="00B8257D"/>
    <w:rsid w:val="00B82B8B"/>
    <w:rsid w:val="00B84B90"/>
    <w:rsid w:val="00B86FE2"/>
    <w:rsid w:val="00B904C0"/>
    <w:rsid w:val="00B91186"/>
    <w:rsid w:val="00B93423"/>
    <w:rsid w:val="00BA1740"/>
    <w:rsid w:val="00BA2EF4"/>
    <w:rsid w:val="00BA3816"/>
    <w:rsid w:val="00BA5F2D"/>
    <w:rsid w:val="00BC0036"/>
    <w:rsid w:val="00BC05A6"/>
    <w:rsid w:val="00BC1D64"/>
    <w:rsid w:val="00BC3D36"/>
    <w:rsid w:val="00BC4B34"/>
    <w:rsid w:val="00BD7F72"/>
    <w:rsid w:val="00BE03BC"/>
    <w:rsid w:val="00BE0A18"/>
    <w:rsid w:val="00BF1201"/>
    <w:rsid w:val="00BF1D4A"/>
    <w:rsid w:val="00BF230F"/>
    <w:rsid w:val="00C002E3"/>
    <w:rsid w:val="00C012CC"/>
    <w:rsid w:val="00C04FB3"/>
    <w:rsid w:val="00C147D0"/>
    <w:rsid w:val="00C159C1"/>
    <w:rsid w:val="00C16346"/>
    <w:rsid w:val="00C20D92"/>
    <w:rsid w:val="00C21B15"/>
    <w:rsid w:val="00C301B7"/>
    <w:rsid w:val="00C32523"/>
    <w:rsid w:val="00C330EB"/>
    <w:rsid w:val="00C371C9"/>
    <w:rsid w:val="00C40E9F"/>
    <w:rsid w:val="00C41481"/>
    <w:rsid w:val="00C42469"/>
    <w:rsid w:val="00C46D91"/>
    <w:rsid w:val="00C47A07"/>
    <w:rsid w:val="00C47B74"/>
    <w:rsid w:val="00C57281"/>
    <w:rsid w:val="00C65D65"/>
    <w:rsid w:val="00C67703"/>
    <w:rsid w:val="00C7173F"/>
    <w:rsid w:val="00C730B6"/>
    <w:rsid w:val="00C754BE"/>
    <w:rsid w:val="00C76466"/>
    <w:rsid w:val="00C76B1C"/>
    <w:rsid w:val="00C915DD"/>
    <w:rsid w:val="00C91B94"/>
    <w:rsid w:val="00C92665"/>
    <w:rsid w:val="00C94CC0"/>
    <w:rsid w:val="00CA6A9D"/>
    <w:rsid w:val="00CA7F6B"/>
    <w:rsid w:val="00CB6357"/>
    <w:rsid w:val="00CC0FA3"/>
    <w:rsid w:val="00CC1B26"/>
    <w:rsid w:val="00CC42DF"/>
    <w:rsid w:val="00CC49F7"/>
    <w:rsid w:val="00CC54DB"/>
    <w:rsid w:val="00CD087D"/>
    <w:rsid w:val="00CD41CB"/>
    <w:rsid w:val="00CD5D5A"/>
    <w:rsid w:val="00CD5EE0"/>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1F2A"/>
    <w:rsid w:val="00D520D8"/>
    <w:rsid w:val="00D52961"/>
    <w:rsid w:val="00D55048"/>
    <w:rsid w:val="00D57FA4"/>
    <w:rsid w:val="00D62DE7"/>
    <w:rsid w:val="00D63AC2"/>
    <w:rsid w:val="00D65CDB"/>
    <w:rsid w:val="00D665B4"/>
    <w:rsid w:val="00D7383B"/>
    <w:rsid w:val="00D7609E"/>
    <w:rsid w:val="00D81A63"/>
    <w:rsid w:val="00D81D25"/>
    <w:rsid w:val="00D85C60"/>
    <w:rsid w:val="00D94C40"/>
    <w:rsid w:val="00DA231B"/>
    <w:rsid w:val="00DA23A0"/>
    <w:rsid w:val="00DA7F66"/>
    <w:rsid w:val="00DB186F"/>
    <w:rsid w:val="00DC39FC"/>
    <w:rsid w:val="00DC4385"/>
    <w:rsid w:val="00DC484F"/>
    <w:rsid w:val="00DC4C27"/>
    <w:rsid w:val="00DC51BC"/>
    <w:rsid w:val="00DC793F"/>
    <w:rsid w:val="00DE4629"/>
    <w:rsid w:val="00DF11FD"/>
    <w:rsid w:val="00DF5254"/>
    <w:rsid w:val="00DF5CA7"/>
    <w:rsid w:val="00E02CFF"/>
    <w:rsid w:val="00E1213F"/>
    <w:rsid w:val="00E12426"/>
    <w:rsid w:val="00E163A0"/>
    <w:rsid w:val="00E16408"/>
    <w:rsid w:val="00E20894"/>
    <w:rsid w:val="00E245AB"/>
    <w:rsid w:val="00E26239"/>
    <w:rsid w:val="00E2764C"/>
    <w:rsid w:val="00E27F2E"/>
    <w:rsid w:val="00E358B1"/>
    <w:rsid w:val="00E413EA"/>
    <w:rsid w:val="00E46E45"/>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92E78"/>
    <w:rsid w:val="00EA0E3D"/>
    <w:rsid w:val="00EA1CD8"/>
    <w:rsid w:val="00EA393B"/>
    <w:rsid w:val="00EA39A5"/>
    <w:rsid w:val="00EA5814"/>
    <w:rsid w:val="00EB1B34"/>
    <w:rsid w:val="00EB2C4B"/>
    <w:rsid w:val="00EB7E00"/>
    <w:rsid w:val="00EC1A2C"/>
    <w:rsid w:val="00EC1FE1"/>
    <w:rsid w:val="00EC38A7"/>
    <w:rsid w:val="00EC5070"/>
    <w:rsid w:val="00ED042A"/>
    <w:rsid w:val="00ED0D4A"/>
    <w:rsid w:val="00ED77C2"/>
    <w:rsid w:val="00EE1AA8"/>
    <w:rsid w:val="00EF26C3"/>
    <w:rsid w:val="00EF419E"/>
    <w:rsid w:val="00EF489F"/>
    <w:rsid w:val="00F06820"/>
    <w:rsid w:val="00F11213"/>
    <w:rsid w:val="00F11BAA"/>
    <w:rsid w:val="00F177C1"/>
    <w:rsid w:val="00F238F2"/>
    <w:rsid w:val="00F260AA"/>
    <w:rsid w:val="00F27B26"/>
    <w:rsid w:val="00F3156C"/>
    <w:rsid w:val="00F31AC6"/>
    <w:rsid w:val="00F31EDC"/>
    <w:rsid w:val="00F34D02"/>
    <w:rsid w:val="00F34E84"/>
    <w:rsid w:val="00F40BAD"/>
    <w:rsid w:val="00F462B3"/>
    <w:rsid w:val="00F500A9"/>
    <w:rsid w:val="00F5184B"/>
    <w:rsid w:val="00F55081"/>
    <w:rsid w:val="00F55168"/>
    <w:rsid w:val="00F559A5"/>
    <w:rsid w:val="00F5664F"/>
    <w:rsid w:val="00F626C4"/>
    <w:rsid w:val="00F64D9E"/>
    <w:rsid w:val="00F666C4"/>
    <w:rsid w:val="00F7684C"/>
    <w:rsid w:val="00F76AFC"/>
    <w:rsid w:val="00F80CBE"/>
    <w:rsid w:val="00F85198"/>
    <w:rsid w:val="00F937BF"/>
    <w:rsid w:val="00F939CB"/>
    <w:rsid w:val="00F9479C"/>
    <w:rsid w:val="00F965EE"/>
    <w:rsid w:val="00F968E1"/>
    <w:rsid w:val="00F96A29"/>
    <w:rsid w:val="00F97949"/>
    <w:rsid w:val="00FA0DE4"/>
    <w:rsid w:val="00FA1110"/>
    <w:rsid w:val="00FA358D"/>
    <w:rsid w:val="00FA47C0"/>
    <w:rsid w:val="00FA6724"/>
    <w:rsid w:val="00FB4425"/>
    <w:rsid w:val="00FB5615"/>
    <w:rsid w:val="00FB5DD1"/>
    <w:rsid w:val="00FB5F87"/>
    <w:rsid w:val="00FB7EFE"/>
    <w:rsid w:val="00FC07B5"/>
    <w:rsid w:val="00FC2B5D"/>
    <w:rsid w:val="00FD00E9"/>
    <w:rsid w:val="00FD03E3"/>
    <w:rsid w:val="00FE122A"/>
    <w:rsid w:val="00FE20E6"/>
    <w:rsid w:val="00FE6660"/>
    <w:rsid w:val="00FE74DC"/>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7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617855">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93491494">
      <w:bodyDiv w:val="1"/>
      <w:marLeft w:val="0"/>
      <w:marRight w:val="0"/>
      <w:marTop w:val="0"/>
      <w:marBottom w:val="0"/>
      <w:divBdr>
        <w:top w:val="none" w:sz="0" w:space="0" w:color="auto"/>
        <w:left w:val="none" w:sz="0" w:space="0" w:color="auto"/>
        <w:bottom w:val="none" w:sz="0" w:space="0" w:color="auto"/>
        <w:right w:val="none" w:sz="0" w:space="0" w:color="auto"/>
      </w:divBdr>
      <w:divsChild>
        <w:div w:id="2100637574">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8AAFE5EF-6D81-4932-9394-1DFF0BB12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7110</Words>
  <Characters>40528</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3</cp:revision>
  <cp:lastPrinted>2025-02-25T15:45:00Z</cp:lastPrinted>
  <dcterms:created xsi:type="dcterms:W3CDTF">2025-04-01T23:33:00Z</dcterms:created>
  <dcterms:modified xsi:type="dcterms:W3CDTF">2025-04-01T23:40:00Z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