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F6073" w:rsidR="001949E6" w:rsidP="001949E6" w:rsidRDefault="001949E6" w14:paraId="5C7A32A8" w14:textId="77777777">
      <w:pPr>
        <w:jc w:val="right"/>
        <w:rPr>
          <w:rFonts w:ascii="Arial" w:hAnsi="Arial" w:cs="Arial"/>
          <w:b/>
          <w:color w:val="000000" w:themeColor="text1"/>
          <w:sz w:val="16"/>
          <w:szCs w:val="16"/>
          <w:lang w:val="es-ES" w:eastAsia="es-ES"/>
        </w:rPr>
      </w:pPr>
      <w:bookmarkStart w:name="_Hlk28946138" w:id="0"/>
      <w:bookmarkStart w:name="_Hlk29548183" w:id="1"/>
      <w:bookmarkStart w:name="_Hlk29890381" w:id="2"/>
      <w:r w:rsidRPr="002F6073">
        <w:rPr>
          <w:rFonts w:ascii="Arial" w:hAnsi="Arial" w:cs="Arial"/>
          <w:b/>
          <w:color w:val="000000" w:themeColor="text1"/>
          <w:sz w:val="16"/>
          <w:szCs w:val="16"/>
          <w:lang w:val="es-ES" w:eastAsia="es-ES"/>
        </w:rPr>
        <w:t>CCE-DES-FM-17</w:t>
      </w:r>
    </w:p>
    <w:p w:rsidRPr="00AF53C0" w:rsidR="00C415D7" w:rsidP="00C415D7" w:rsidRDefault="00C415D7" w14:paraId="440B91A2" w14:textId="77777777">
      <w:pPr>
        <w:spacing w:line="276" w:lineRule="auto"/>
        <w:jc w:val="both"/>
        <w:rPr>
          <w:rFonts w:ascii="Arial" w:hAnsi="Arial" w:eastAsia="Calibri" w:cs="Arial"/>
          <w:b/>
          <w:color w:val="000000" w:themeColor="text1"/>
          <w:sz w:val="16"/>
          <w:szCs w:val="16"/>
        </w:rPr>
      </w:pPr>
    </w:p>
    <w:p w:rsidRPr="002F6073" w:rsidR="00C415D7" w:rsidP="002F6073" w:rsidRDefault="005119BD" w14:paraId="6D458491" w14:textId="6FC03641">
      <w:pPr>
        <w:jc w:val="both"/>
        <w:rPr>
          <w:rFonts w:ascii="Arial" w:hAnsi="Arial" w:eastAsia="Calibri" w:cs="Arial"/>
          <w:b/>
          <w:color w:val="000000" w:themeColor="text1"/>
          <w:sz w:val="22"/>
        </w:rPr>
      </w:pPr>
      <w:r>
        <w:rPr>
          <w:rFonts w:ascii="Arial" w:hAnsi="Arial" w:eastAsia="Calibri" w:cs="Arial"/>
          <w:b/>
          <w:color w:val="000000" w:themeColor="text1"/>
          <w:sz w:val="22"/>
        </w:rPr>
        <w:t xml:space="preserve">ASOCIACIONES DE CABILDOS </w:t>
      </w:r>
      <w:r w:rsidRPr="002F6073">
        <w:rPr>
          <w:rFonts w:ascii="Arial" w:hAnsi="Arial" w:eastAsia="Calibri" w:cs="Arial"/>
          <w:b/>
          <w:color w:val="000000" w:themeColor="text1"/>
          <w:sz w:val="22"/>
        </w:rPr>
        <w:t>–</w:t>
      </w:r>
      <w:r>
        <w:rPr>
          <w:rFonts w:ascii="Arial" w:hAnsi="Arial" w:eastAsia="Calibri" w:cs="Arial"/>
          <w:b/>
          <w:color w:val="000000" w:themeColor="text1"/>
          <w:sz w:val="22"/>
        </w:rPr>
        <w:t xml:space="preserve"> </w:t>
      </w:r>
      <w:r w:rsidRPr="002F6073">
        <w:rPr>
          <w:rFonts w:ascii="Arial" w:hAnsi="Arial" w:eastAsia="Calibri" w:cs="Arial"/>
          <w:b/>
          <w:color w:val="000000" w:themeColor="text1"/>
          <w:sz w:val="22"/>
        </w:rPr>
        <w:t>I</w:t>
      </w:r>
      <w:r>
        <w:rPr>
          <w:rFonts w:ascii="Arial" w:hAnsi="Arial" w:eastAsia="Calibri" w:cs="Arial"/>
          <w:b/>
          <w:color w:val="000000" w:themeColor="text1"/>
          <w:sz w:val="22"/>
        </w:rPr>
        <w:t xml:space="preserve">ndígenas </w:t>
      </w:r>
      <w:r w:rsidRPr="002F6073" w:rsidR="00C415D7">
        <w:rPr>
          <w:rFonts w:ascii="Arial" w:hAnsi="Arial" w:eastAsia="Calibri" w:cs="Arial"/>
          <w:b/>
          <w:color w:val="000000" w:themeColor="text1"/>
          <w:sz w:val="22"/>
        </w:rPr>
        <w:t>– Naturaleza jurídica</w:t>
      </w:r>
    </w:p>
    <w:p w:rsidRPr="00A20533" w:rsidR="00C415D7" w:rsidP="002F6073" w:rsidRDefault="00C415D7" w14:paraId="1EFB9734" w14:textId="77777777">
      <w:pPr>
        <w:jc w:val="both"/>
        <w:rPr>
          <w:rFonts w:ascii="Arial" w:hAnsi="Arial" w:cs="Arial"/>
          <w:color w:val="000000" w:themeColor="text1"/>
          <w:sz w:val="22"/>
        </w:rPr>
      </w:pPr>
    </w:p>
    <w:p w:rsidRPr="002F6073" w:rsidR="00C415D7" w:rsidP="002F6073" w:rsidRDefault="00C415D7" w14:paraId="34E4685A" w14:textId="2321D731">
      <w:pPr>
        <w:jc w:val="both"/>
        <w:rPr>
          <w:rFonts w:ascii="Arial" w:hAnsi="Arial" w:eastAsia="Calibri" w:cs="Arial"/>
          <w:color w:val="000000" w:themeColor="text1"/>
          <w:sz w:val="20"/>
          <w:szCs w:val="20"/>
          <w:lang w:val="es-ES"/>
        </w:rPr>
      </w:pPr>
      <w:r w:rsidRPr="002F6073">
        <w:rPr>
          <w:rFonts w:ascii="Arial" w:hAnsi="Arial" w:eastAsia="Calibri" w:cs="Arial"/>
          <w:color w:val="000000" w:themeColor="text1"/>
          <w:sz w:val="20"/>
          <w:szCs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rsidRPr="00A20533" w:rsidR="00C415D7" w:rsidP="002F6073" w:rsidRDefault="00C415D7" w14:paraId="398422F5" w14:textId="77777777">
      <w:pPr>
        <w:pStyle w:val="Prrafodelista"/>
        <w:ind w:left="0"/>
        <w:jc w:val="both"/>
        <w:rPr>
          <w:rFonts w:ascii="Arial" w:hAnsi="Arial" w:eastAsia="Calibri" w:cs="Arial"/>
          <w:color w:val="000000" w:themeColor="text1"/>
          <w:sz w:val="22"/>
        </w:rPr>
      </w:pPr>
    </w:p>
    <w:p w:rsidRPr="002F6073" w:rsidR="00C415D7" w:rsidP="20765D4E" w:rsidRDefault="00474A90" w14:paraId="1D3DD7D0" w14:textId="61074787">
      <w:pPr>
        <w:pStyle w:val="Prrafodelista"/>
        <w:ind w:left="0"/>
        <w:jc w:val="both"/>
        <w:rPr>
          <w:rFonts w:ascii="Arial" w:hAnsi="Arial" w:eastAsia="Calibri" w:cs="Arial"/>
          <w:b w:val="1"/>
          <w:bCs w:val="1"/>
          <w:color w:val="000000" w:themeColor="text1"/>
          <w:sz w:val="22"/>
          <w:szCs w:val="22"/>
        </w:rPr>
      </w:pPr>
      <w:r w:rsidRPr="20765D4E" w:rsidR="00474A90">
        <w:rPr>
          <w:rFonts w:ascii="Arial" w:hAnsi="Arial" w:eastAsia="Calibri" w:cs="Arial"/>
          <w:b w:val="1"/>
          <w:bCs w:val="1"/>
          <w:color w:val="000000" w:themeColor="text1" w:themeTint="FF" w:themeShade="FF"/>
          <w:sz w:val="22"/>
          <w:szCs w:val="22"/>
        </w:rPr>
        <w:t xml:space="preserve">TERRITORIOS </w:t>
      </w:r>
      <w:r w:rsidRPr="20765D4E" w:rsidR="00B34902">
        <w:rPr>
          <w:rFonts w:ascii="Arial" w:hAnsi="Arial" w:eastAsia="Calibri" w:cs="Arial"/>
          <w:b w:val="1"/>
          <w:bCs w:val="1"/>
          <w:color w:val="000000" w:themeColor="text1" w:themeTint="FF" w:themeShade="FF"/>
          <w:sz w:val="22"/>
          <w:szCs w:val="22"/>
        </w:rPr>
        <w:t>IND</w:t>
      </w:r>
      <w:r w:rsidRPr="20765D4E" w:rsidR="5C4DEC2E">
        <w:rPr>
          <w:rFonts w:ascii="Arial" w:hAnsi="Arial" w:eastAsia="Calibri" w:cs="Arial"/>
          <w:b w:val="1"/>
          <w:bCs w:val="1"/>
          <w:color w:val="000000" w:themeColor="text1" w:themeTint="FF" w:themeShade="FF"/>
          <w:sz w:val="22"/>
          <w:szCs w:val="22"/>
        </w:rPr>
        <w:t>Í</w:t>
      </w:r>
      <w:r w:rsidRPr="20765D4E" w:rsidR="00B34902">
        <w:rPr>
          <w:rFonts w:ascii="Arial" w:hAnsi="Arial" w:eastAsia="Calibri" w:cs="Arial"/>
          <w:b w:val="1"/>
          <w:bCs w:val="1"/>
          <w:color w:val="000000" w:themeColor="text1" w:themeTint="FF" w:themeShade="FF"/>
          <w:sz w:val="22"/>
          <w:szCs w:val="22"/>
        </w:rPr>
        <w:t>GENAS</w:t>
      </w:r>
      <w:r w:rsidRPr="20765D4E" w:rsidR="00C415D7">
        <w:rPr>
          <w:rFonts w:ascii="Arial" w:hAnsi="Arial" w:eastAsia="Calibri" w:cs="Arial"/>
          <w:b w:val="1"/>
          <w:bCs w:val="1"/>
          <w:color w:val="000000" w:themeColor="text1" w:themeTint="FF" w:themeShade="FF"/>
          <w:sz w:val="22"/>
          <w:szCs w:val="22"/>
        </w:rPr>
        <w:t xml:space="preserve"> – </w:t>
      </w:r>
      <w:r w:rsidRPr="20765D4E" w:rsidR="00474A90">
        <w:rPr>
          <w:rFonts w:ascii="Arial" w:hAnsi="Arial" w:eastAsia="Calibri" w:cs="Arial"/>
          <w:b w:val="1"/>
          <w:bCs w:val="1"/>
          <w:color w:val="000000" w:themeColor="text1" w:themeTint="FF" w:themeShade="FF"/>
          <w:sz w:val="22"/>
          <w:szCs w:val="22"/>
        </w:rPr>
        <w:t xml:space="preserve">Entidades Estatales </w:t>
      </w:r>
      <w:r w:rsidRPr="20765D4E" w:rsidR="00474A90">
        <w:rPr>
          <w:rFonts w:ascii="Arial" w:hAnsi="Arial" w:eastAsia="Calibri" w:cs="Arial"/>
          <w:b w:val="1"/>
          <w:bCs w:val="1"/>
          <w:color w:val="000000" w:themeColor="text1" w:themeTint="FF" w:themeShade="FF"/>
          <w:sz w:val="22"/>
          <w:szCs w:val="22"/>
        </w:rPr>
        <w:t>–</w:t>
      </w:r>
      <w:r w:rsidRPr="20765D4E" w:rsidR="00474A90">
        <w:rPr>
          <w:rFonts w:ascii="Arial" w:hAnsi="Arial" w:eastAsia="Calibri" w:cs="Arial"/>
          <w:b w:val="1"/>
          <w:bCs w:val="1"/>
          <w:color w:val="000000" w:themeColor="text1" w:themeTint="FF" w:themeShade="FF"/>
          <w:sz w:val="22"/>
          <w:szCs w:val="22"/>
        </w:rPr>
        <w:t xml:space="preserve"> Definición </w:t>
      </w:r>
    </w:p>
    <w:p w:rsidRPr="00A20533" w:rsidR="00B34902" w:rsidP="002F6073" w:rsidRDefault="00B34902" w14:paraId="01E801DE" w14:textId="77777777">
      <w:pPr>
        <w:jc w:val="both"/>
        <w:rPr>
          <w:rFonts w:ascii="Arial" w:hAnsi="Arial" w:eastAsia="Calibri" w:cs="Arial"/>
          <w:color w:val="000000" w:themeColor="text1"/>
          <w:sz w:val="22"/>
        </w:rPr>
      </w:pPr>
    </w:p>
    <w:p w:rsidRPr="002F6073" w:rsidR="00B34902" w:rsidP="002F6073" w:rsidRDefault="00B34902" w14:paraId="3C9C6622" w14:textId="77777777">
      <w:pPr>
        <w:spacing w:after="120"/>
        <w:jc w:val="both"/>
        <w:rPr>
          <w:rFonts w:ascii="Arial" w:hAnsi="Arial" w:eastAsia="Calibri" w:cs="Arial"/>
          <w:color w:val="000000" w:themeColor="text1"/>
          <w:sz w:val="20"/>
          <w:szCs w:val="20"/>
        </w:rPr>
      </w:pPr>
      <w:r w:rsidRPr="002F6073">
        <w:rPr>
          <w:rFonts w:ascii="Arial" w:hAnsi="Arial" w:eastAsia="Calibri" w:cs="Arial"/>
          <w:color w:val="000000" w:themeColor="text1"/>
          <w:sz w:val="20"/>
          <w:szCs w:val="20"/>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rsidRPr="002F6073" w:rsidR="00C415D7" w:rsidP="002F6073" w:rsidRDefault="00B34902" w14:paraId="5CC84151" w14:textId="5545A304">
      <w:pPr>
        <w:jc w:val="both"/>
        <w:rPr>
          <w:rFonts w:ascii="Arial" w:hAnsi="Arial" w:eastAsia="Calibri" w:cs="Arial"/>
          <w:color w:val="000000" w:themeColor="text1"/>
          <w:sz w:val="20"/>
          <w:szCs w:val="20"/>
        </w:rPr>
      </w:pPr>
      <w:r w:rsidRPr="002F6073">
        <w:rPr>
          <w:rFonts w:ascii="Arial" w:hAnsi="Arial" w:eastAsia="Calibri" w:cs="Arial"/>
          <w:color w:val="000000" w:themeColor="text1"/>
          <w:sz w:val="20"/>
          <w:szCs w:val="20"/>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w:t>
      </w:r>
    </w:p>
    <w:p w:rsidRPr="00A20533" w:rsidR="00B34902" w:rsidP="002F6073" w:rsidRDefault="00B34902" w14:paraId="41397B8D" w14:textId="77777777">
      <w:pPr>
        <w:jc w:val="both"/>
        <w:rPr>
          <w:rFonts w:ascii="Arial" w:hAnsi="Arial" w:eastAsia="Calibri" w:cs="Arial"/>
          <w:b/>
          <w:color w:val="000000" w:themeColor="text1"/>
          <w:sz w:val="22"/>
        </w:rPr>
      </w:pPr>
    </w:p>
    <w:p w:rsidRPr="002F6073" w:rsidR="00C415D7" w:rsidP="002F6073" w:rsidRDefault="00B34902" w14:paraId="097E9CBE" w14:textId="44A4A678">
      <w:pPr>
        <w:jc w:val="both"/>
        <w:rPr>
          <w:rFonts w:ascii="Arial" w:hAnsi="Arial" w:cs="Arial"/>
          <w:b/>
          <w:color w:val="000000" w:themeColor="text1"/>
          <w:sz w:val="22"/>
        </w:rPr>
      </w:pPr>
      <w:r w:rsidRPr="002F6073">
        <w:rPr>
          <w:rFonts w:ascii="Arial" w:hAnsi="Arial" w:eastAsia="Calibri" w:cs="Arial"/>
          <w:b/>
          <w:color w:val="000000" w:themeColor="text1"/>
          <w:sz w:val="22"/>
        </w:rPr>
        <w:t>CONVENIO SOLIDARIO</w:t>
      </w:r>
      <w:r w:rsidRPr="002F6073" w:rsidR="00C415D7">
        <w:rPr>
          <w:rFonts w:ascii="Arial" w:hAnsi="Arial" w:eastAsia="Calibri" w:cs="Arial"/>
          <w:b/>
          <w:color w:val="000000" w:themeColor="text1"/>
          <w:sz w:val="22"/>
        </w:rPr>
        <w:t xml:space="preserve"> </w:t>
      </w:r>
      <w:r w:rsidRPr="002F6073">
        <w:rPr>
          <w:rFonts w:ascii="Arial" w:hAnsi="Arial" w:eastAsia="Calibri" w:cs="Arial"/>
          <w:b/>
          <w:color w:val="000000" w:themeColor="text1"/>
          <w:sz w:val="22"/>
        </w:rPr>
        <w:t>– Autorización – Partes</w:t>
      </w:r>
    </w:p>
    <w:p w:rsidRPr="00A20533" w:rsidR="00C415D7" w:rsidP="002F6073" w:rsidRDefault="00C415D7" w14:paraId="594FD01B" w14:textId="77777777">
      <w:pPr>
        <w:jc w:val="both"/>
        <w:rPr>
          <w:rFonts w:ascii="Arial" w:hAnsi="Arial" w:cs="Arial"/>
          <w:color w:val="000000" w:themeColor="text1"/>
          <w:sz w:val="22"/>
        </w:rPr>
      </w:pPr>
    </w:p>
    <w:p w:rsidRPr="002F6073" w:rsidR="00C415D7" w:rsidP="002F6073" w:rsidRDefault="00B34902" w14:paraId="310DB59F" w14:textId="73752ACF">
      <w:pPr>
        <w:jc w:val="both"/>
        <w:rPr>
          <w:rFonts w:ascii="Arial" w:hAnsi="Arial" w:eastAsia="Calibri" w:cs="Arial"/>
          <w:color w:val="000000" w:themeColor="text1"/>
          <w:sz w:val="20"/>
        </w:rPr>
      </w:pPr>
      <w:r w:rsidRPr="002F6073">
        <w:rPr>
          <w:rFonts w:ascii="Arial" w:hAnsi="Arial" w:eastAsia="Calibri" w:cs="Arial"/>
          <w:color w:val="000000" w:themeColor="text1"/>
          <w:sz w:val="20"/>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rsidRPr="00A20533" w:rsidR="00B34902" w:rsidP="002F6073" w:rsidRDefault="00B34902" w14:paraId="70F829BA" w14:textId="77777777">
      <w:pPr>
        <w:jc w:val="both"/>
        <w:rPr>
          <w:rFonts w:ascii="Arial" w:hAnsi="Arial" w:eastAsia="Calibri" w:cs="Arial"/>
          <w:color w:val="000000" w:themeColor="text1"/>
          <w:sz w:val="22"/>
        </w:rPr>
      </w:pPr>
    </w:p>
    <w:p w:rsidRPr="002F6073" w:rsidR="00C415D7" w:rsidP="20765D4E" w:rsidRDefault="00B34902" w14:paraId="75FD5F63" w14:textId="4BFFD595">
      <w:pPr>
        <w:jc w:val="both"/>
        <w:rPr>
          <w:rFonts w:ascii="Arial" w:hAnsi="Arial" w:eastAsia="Calibri" w:cs="Arial"/>
          <w:b w:val="1"/>
          <w:bCs w:val="1"/>
          <w:color w:val="000000" w:themeColor="text1"/>
          <w:sz w:val="22"/>
          <w:szCs w:val="22"/>
        </w:rPr>
      </w:pPr>
      <w:r w:rsidRPr="20765D4E" w:rsidR="00B34902">
        <w:rPr>
          <w:rFonts w:ascii="Arial" w:hAnsi="Arial" w:eastAsia="Calibri" w:cs="Arial"/>
          <w:b w:val="1"/>
          <w:bCs w:val="1"/>
          <w:color w:val="000000" w:themeColor="text1" w:themeTint="FF" w:themeShade="FF"/>
          <w:sz w:val="22"/>
          <w:szCs w:val="22"/>
        </w:rPr>
        <w:t>IND</w:t>
      </w:r>
      <w:r w:rsidRPr="20765D4E" w:rsidR="348A5A6B">
        <w:rPr>
          <w:rFonts w:ascii="Arial" w:hAnsi="Arial" w:eastAsia="Calibri" w:cs="Arial"/>
          <w:b w:val="1"/>
          <w:bCs w:val="1"/>
          <w:color w:val="000000" w:themeColor="text1" w:themeTint="FF" w:themeShade="FF"/>
          <w:sz w:val="22"/>
          <w:szCs w:val="22"/>
        </w:rPr>
        <w:t>Í</w:t>
      </w:r>
      <w:r w:rsidRPr="20765D4E" w:rsidR="00B34902">
        <w:rPr>
          <w:rFonts w:ascii="Arial" w:hAnsi="Arial" w:eastAsia="Calibri" w:cs="Arial"/>
          <w:b w:val="1"/>
          <w:bCs w:val="1"/>
          <w:color w:val="000000" w:themeColor="text1" w:themeTint="FF" w:themeShade="FF"/>
          <w:sz w:val="22"/>
          <w:szCs w:val="22"/>
        </w:rPr>
        <w:t>GENAS</w:t>
      </w:r>
      <w:r w:rsidRPr="20765D4E" w:rsidR="00C415D7">
        <w:rPr>
          <w:rFonts w:ascii="Arial" w:hAnsi="Arial" w:eastAsia="Calibri" w:cs="Arial"/>
          <w:b w:val="1"/>
          <w:bCs w:val="1"/>
          <w:color w:val="000000" w:themeColor="text1" w:themeTint="FF" w:themeShade="FF"/>
          <w:sz w:val="22"/>
          <w:szCs w:val="22"/>
        </w:rPr>
        <w:t xml:space="preserve"> – </w:t>
      </w:r>
      <w:r w:rsidRPr="20765D4E" w:rsidR="00B34902">
        <w:rPr>
          <w:rFonts w:ascii="Arial" w:hAnsi="Arial" w:eastAsia="Calibri" w:cs="Arial"/>
          <w:b w:val="1"/>
          <w:bCs w:val="1"/>
          <w:color w:val="000000" w:themeColor="text1" w:themeTint="FF" w:themeShade="FF"/>
          <w:sz w:val="22"/>
          <w:szCs w:val="22"/>
        </w:rPr>
        <w:t>Resguardos</w:t>
      </w:r>
    </w:p>
    <w:p w:rsidRPr="002F6073" w:rsidR="00C415D7" w:rsidP="002F6073" w:rsidRDefault="00C415D7" w14:paraId="144155E0" w14:textId="77777777">
      <w:pPr>
        <w:jc w:val="both"/>
        <w:rPr>
          <w:rFonts w:ascii="Arial" w:hAnsi="Arial" w:cs="Arial"/>
          <w:color w:val="000000" w:themeColor="text1"/>
          <w:sz w:val="20"/>
          <w:szCs w:val="20"/>
        </w:rPr>
      </w:pPr>
    </w:p>
    <w:p w:rsidRPr="002F6073" w:rsidR="00B34902" w:rsidP="002F6073" w:rsidRDefault="00B34902" w14:paraId="4885AF00" w14:textId="77777777">
      <w:pPr>
        <w:spacing w:after="120"/>
        <w:jc w:val="both"/>
        <w:rPr>
          <w:rFonts w:ascii="Arial" w:hAnsi="Arial" w:eastAsia="Calibri" w:cs="Arial"/>
          <w:color w:val="000000" w:themeColor="text1"/>
          <w:sz w:val="20"/>
        </w:rPr>
      </w:pPr>
      <w:r w:rsidRPr="002F6073">
        <w:rPr>
          <w:rFonts w:ascii="Arial" w:hAnsi="Arial" w:eastAsia="Calibri" w:cs="Arial"/>
          <w:color w:val="000000" w:themeColor="text1"/>
          <w:sz w:val="20"/>
        </w:rPr>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2F6073" w:rsidR="007D5EAD" w:rsidP="002F6073" w:rsidRDefault="00B34902" w14:paraId="2F7F0F90" w14:textId="77777777">
      <w:pPr>
        <w:jc w:val="both"/>
        <w:rPr>
          <w:color w:val="000000" w:themeColor="text1"/>
        </w:rPr>
      </w:pPr>
      <w:r w:rsidRPr="002F6073">
        <w:rPr>
          <w:rFonts w:ascii="Arial" w:hAnsi="Arial" w:eastAsia="Calibri" w:cs="Arial"/>
          <w:color w:val="000000" w:themeColor="text1"/>
          <w:sz w:val="20"/>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2F6073" w:rsidR="007D5EAD">
        <w:rPr>
          <w:color w:val="000000" w:themeColor="text1"/>
        </w:rPr>
        <w:t xml:space="preserve"> </w:t>
      </w:r>
    </w:p>
    <w:p w:rsidRPr="00A20533" w:rsidR="007D5EAD" w:rsidP="002F6073" w:rsidRDefault="007D5EAD" w14:paraId="18DE72C7" w14:textId="77777777">
      <w:pPr>
        <w:jc w:val="both"/>
        <w:rPr>
          <w:rFonts w:ascii="Arial" w:hAnsi="Arial" w:eastAsia="Calibri" w:cs="Arial"/>
          <w:b/>
          <w:color w:val="000000" w:themeColor="text1"/>
          <w:sz w:val="22"/>
        </w:rPr>
      </w:pPr>
    </w:p>
    <w:p w:rsidRPr="002F6073" w:rsidR="007D5EAD" w:rsidP="20765D4E" w:rsidRDefault="007D5EAD" w14:paraId="5E94A506" w14:textId="08AF0D6F">
      <w:pPr>
        <w:jc w:val="both"/>
        <w:rPr>
          <w:rFonts w:ascii="Arial" w:hAnsi="Arial" w:eastAsia="Calibri" w:cs="Arial"/>
          <w:b w:val="1"/>
          <w:bCs w:val="1"/>
          <w:color w:val="000000" w:themeColor="text1"/>
          <w:sz w:val="22"/>
          <w:szCs w:val="22"/>
        </w:rPr>
      </w:pPr>
      <w:r w:rsidRPr="20765D4E" w:rsidR="007D5EAD">
        <w:rPr>
          <w:rFonts w:ascii="Arial" w:hAnsi="Arial" w:eastAsia="Calibri" w:cs="Arial"/>
          <w:b w:val="1"/>
          <w:bCs w:val="1"/>
          <w:color w:val="000000" w:themeColor="text1" w:themeTint="FF" w:themeShade="FF"/>
          <w:sz w:val="22"/>
          <w:szCs w:val="22"/>
        </w:rPr>
        <w:t>IND</w:t>
      </w:r>
      <w:r w:rsidRPr="20765D4E" w:rsidR="7EECDBE4">
        <w:rPr>
          <w:rFonts w:ascii="Arial" w:hAnsi="Arial" w:eastAsia="Calibri" w:cs="Arial"/>
          <w:b w:val="1"/>
          <w:bCs w:val="1"/>
          <w:color w:val="000000" w:themeColor="text1" w:themeTint="FF" w:themeShade="FF"/>
          <w:sz w:val="22"/>
          <w:szCs w:val="22"/>
        </w:rPr>
        <w:t>Í</w:t>
      </w:r>
      <w:r w:rsidRPr="20765D4E" w:rsidR="007D5EAD">
        <w:rPr>
          <w:rFonts w:ascii="Arial" w:hAnsi="Arial" w:eastAsia="Calibri" w:cs="Arial"/>
          <w:b w:val="1"/>
          <w:bCs w:val="1"/>
          <w:color w:val="000000" w:themeColor="text1" w:themeTint="FF" w:themeShade="FF"/>
          <w:sz w:val="22"/>
          <w:szCs w:val="22"/>
        </w:rPr>
        <w:t>GENAS – Organizaciones – Capacidad para contratar</w:t>
      </w:r>
    </w:p>
    <w:p w:rsidRPr="00A20533" w:rsidR="007D5EAD" w:rsidP="002F6073" w:rsidRDefault="007D5EAD" w14:paraId="163E5133" w14:textId="77777777">
      <w:pPr>
        <w:jc w:val="both"/>
        <w:rPr>
          <w:color w:val="000000" w:themeColor="text1"/>
          <w:sz w:val="22"/>
        </w:rPr>
      </w:pPr>
    </w:p>
    <w:p w:rsidRPr="002F6073" w:rsidR="001949E6" w:rsidP="002F6073" w:rsidRDefault="007D5EAD" w14:paraId="56F644BA" w14:textId="3D4B8BC8">
      <w:pPr>
        <w:jc w:val="both"/>
        <w:rPr>
          <w:rFonts w:ascii="Arial" w:hAnsi="Arial" w:eastAsia="Calibri" w:cs="Arial"/>
          <w:color w:val="000000" w:themeColor="text1"/>
          <w:sz w:val="20"/>
        </w:rPr>
      </w:pPr>
      <w:r w:rsidRPr="002F6073">
        <w:rPr>
          <w:rFonts w:ascii="Arial" w:hAnsi="Arial" w:eastAsia="Calibri" w:cs="Arial"/>
          <w:color w:val="000000" w:themeColor="text1"/>
          <w:sz w:val="20"/>
        </w:rPr>
        <w:lastRenderedPageBreak/>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rsidR="006234DB" w:rsidP="006234DB" w:rsidRDefault="006234DB" w14:paraId="7C935EB1" w14:textId="16BBBC47">
      <w:pPr>
        <w:pStyle w:val="Default"/>
        <w:rPr>
          <w:sz w:val="20"/>
          <w:szCs w:val="20"/>
        </w:rPr>
      </w:pPr>
      <w:bookmarkStart w:name="_Hlk20751393" w:id="3"/>
      <w:bookmarkStart w:name="_Hlk23795729" w:id="4"/>
      <w:bookmarkEnd w:id="0"/>
      <w:bookmarkEnd w:id="1"/>
    </w:p>
    <w:p w:rsidR="006234DB" w:rsidP="006234DB" w:rsidRDefault="006234DB" w14:paraId="6C975AEB" w14:textId="4DA67C89">
      <w:pPr>
        <w:pStyle w:val="Default"/>
        <w:rPr>
          <w:sz w:val="20"/>
          <w:szCs w:val="20"/>
        </w:rPr>
      </w:pPr>
    </w:p>
    <w:p w:rsidRPr="006234DB" w:rsidR="006234DB" w:rsidP="006234DB" w:rsidRDefault="006234DB" w14:paraId="3CA4AB28" w14:textId="45922379">
      <w:pPr>
        <w:pStyle w:val="Default"/>
        <w:rPr>
          <w:sz w:val="22"/>
          <w:szCs w:val="22"/>
        </w:rPr>
      </w:pPr>
      <w:r w:rsidRPr="006234DB">
        <w:rPr>
          <w:sz w:val="22"/>
          <w:szCs w:val="22"/>
        </w:rPr>
        <w:t xml:space="preserve">Bogotá D.C., </w:t>
      </w:r>
      <w:r w:rsidRPr="006234DB">
        <w:rPr>
          <w:b/>
          <w:bCs/>
          <w:sz w:val="22"/>
          <w:szCs w:val="22"/>
        </w:rPr>
        <w:t xml:space="preserve">13/03/2020 Hora 11:41:12s </w:t>
      </w:r>
    </w:p>
    <w:p w:rsidRPr="006234DB" w:rsidR="00A20533" w:rsidP="006234DB" w:rsidRDefault="006234DB" w14:paraId="6698B769" w14:textId="1446E4F1">
      <w:pPr>
        <w:jc w:val="right"/>
        <w:rPr>
          <w:rFonts w:ascii="Arial" w:hAnsi="Arial" w:eastAsia="Calibri" w:cs="Arial"/>
          <w:color w:val="000000" w:themeColor="text1"/>
          <w:sz w:val="22"/>
          <w:lang w:val="es-ES"/>
        </w:rPr>
      </w:pPr>
      <w:r w:rsidRPr="006234DB">
        <w:rPr>
          <w:rFonts w:ascii="Arial" w:hAnsi="Arial" w:cs="Arial"/>
          <w:b/>
          <w:bCs/>
          <w:sz w:val="22"/>
        </w:rPr>
        <w:t>N° Radicado: 2202013000001839</w:t>
      </w:r>
    </w:p>
    <w:p w:rsidR="006234DB" w:rsidP="001949E6" w:rsidRDefault="006234DB" w14:paraId="7A1BF4DC" w14:textId="77777777">
      <w:pPr>
        <w:rPr>
          <w:rFonts w:ascii="Arial" w:hAnsi="Arial" w:eastAsia="Calibri" w:cs="Arial"/>
          <w:color w:val="000000" w:themeColor="text1"/>
          <w:sz w:val="22"/>
          <w:lang w:val="es-ES"/>
        </w:rPr>
      </w:pPr>
    </w:p>
    <w:p w:rsidRPr="002F6073" w:rsidR="001949E6" w:rsidP="001949E6" w:rsidRDefault="001949E6" w14:paraId="7CDADE89" w14:textId="20E7DD27">
      <w:pPr>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Señor</w:t>
      </w:r>
    </w:p>
    <w:p w:rsidRPr="002F6073" w:rsidR="001949E6" w:rsidP="001949E6" w:rsidRDefault="001949E6" w14:paraId="739839A8" w14:textId="3C438E99">
      <w:pPr>
        <w:rPr>
          <w:rFonts w:ascii="Arial" w:hAnsi="Arial" w:eastAsia="Calibri" w:cs="Arial"/>
          <w:b/>
          <w:color w:val="000000" w:themeColor="text1"/>
          <w:sz w:val="22"/>
          <w:lang w:val="es-ES"/>
        </w:rPr>
      </w:pPr>
      <w:r w:rsidRPr="002F6073">
        <w:rPr>
          <w:rFonts w:ascii="Arial" w:hAnsi="Arial" w:eastAsia="Calibri" w:cs="Arial"/>
          <w:b/>
          <w:color w:val="000000" w:themeColor="text1"/>
          <w:sz w:val="22"/>
          <w:lang w:val="es-ES"/>
        </w:rPr>
        <w:t>Carlos Acosta</w:t>
      </w:r>
    </w:p>
    <w:p w:rsidR="00A20533" w:rsidP="00386A17" w:rsidRDefault="001949E6" w14:paraId="7246DD52" w14:textId="1D8D9801">
      <w:pPr>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Ciudad</w:t>
      </w:r>
    </w:p>
    <w:p w:rsidR="00B816B4" w:rsidP="4DCE96BD" w:rsidRDefault="00B816B4" w14:paraId="398D0C69" w14:textId="77777777">
      <w:pPr>
        <w:jc w:val="center"/>
        <w:rPr>
          <w:rFonts w:ascii="Arial" w:hAnsi="Arial" w:eastAsia="Calibri" w:cs="Arial"/>
          <w:b/>
          <w:bCs/>
          <w:color w:val="000000" w:themeColor="text1"/>
          <w:sz w:val="22"/>
          <w:lang w:val="es-ES"/>
        </w:rPr>
      </w:pPr>
    </w:p>
    <w:p w:rsidR="001949E6" w:rsidP="4DCE96BD" w:rsidRDefault="001949E6" w14:paraId="7D15D2DA" w14:textId="25EE1449">
      <w:pPr>
        <w:jc w:val="center"/>
        <w:rPr>
          <w:rFonts w:ascii="Arial" w:hAnsi="Arial" w:eastAsia="Calibri" w:cs="Arial"/>
          <w:b/>
          <w:bCs/>
          <w:color w:val="000000" w:themeColor="text1"/>
          <w:sz w:val="22"/>
          <w:lang w:val="es-ES"/>
        </w:rPr>
      </w:pPr>
      <w:r w:rsidRPr="002F6073">
        <w:rPr>
          <w:rFonts w:ascii="Arial" w:hAnsi="Arial" w:eastAsia="Calibri" w:cs="Arial"/>
          <w:b/>
          <w:bCs/>
          <w:color w:val="000000" w:themeColor="text1"/>
          <w:sz w:val="22"/>
          <w:lang w:val="es-ES"/>
        </w:rPr>
        <w:t xml:space="preserve">Concepto C ─ </w:t>
      </w:r>
      <w:r w:rsidRPr="002F6073" w:rsidR="0A98B385">
        <w:rPr>
          <w:rFonts w:ascii="Arial" w:hAnsi="Arial" w:eastAsia="Calibri" w:cs="Arial"/>
          <w:b/>
          <w:bCs/>
          <w:color w:val="000000" w:themeColor="text1"/>
          <w:sz w:val="22"/>
          <w:lang w:val="es-ES"/>
        </w:rPr>
        <w:t>235</w:t>
      </w:r>
      <w:r w:rsidRPr="002F6073">
        <w:rPr>
          <w:rFonts w:ascii="Arial" w:hAnsi="Arial" w:eastAsia="Calibri" w:cs="Arial"/>
          <w:b/>
          <w:bCs/>
          <w:color w:val="000000" w:themeColor="text1"/>
          <w:sz w:val="22"/>
          <w:lang w:val="es-ES"/>
        </w:rPr>
        <w:t xml:space="preserve"> de 2020</w:t>
      </w:r>
    </w:p>
    <w:p w:rsidR="006234DB" w:rsidP="4DCE96BD" w:rsidRDefault="006234DB" w14:paraId="21B2B2D2" w14:textId="5F82E8DF">
      <w:pPr>
        <w:jc w:val="center"/>
        <w:rPr>
          <w:rFonts w:ascii="Arial" w:hAnsi="Arial" w:eastAsia="Calibri" w:cs="Arial"/>
          <w:b/>
          <w:bCs/>
          <w:color w:val="000000" w:themeColor="text1"/>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F6073" w:rsidR="002F6073" w:rsidTr="00C1610B" w14:paraId="4C278BC3" w14:textId="77777777">
        <w:tc>
          <w:tcPr>
            <w:tcW w:w="2689" w:type="dxa"/>
            <w:hideMark/>
          </w:tcPr>
          <w:p w:rsidRPr="002F6073" w:rsidR="001949E6" w:rsidP="00C1610B" w:rsidRDefault="001949E6" w14:paraId="437D4D93" w14:textId="77777777">
            <w:pPr>
              <w:rPr>
                <w:rFonts w:ascii="Arial" w:hAnsi="Arial" w:eastAsia="Calibri" w:cs="Arial"/>
                <w:color w:val="000000" w:themeColor="text1"/>
                <w:sz w:val="22"/>
                <w:lang w:val="es-ES"/>
              </w:rPr>
            </w:pPr>
            <w:r w:rsidRPr="002F6073">
              <w:rPr>
                <w:rFonts w:ascii="Arial" w:hAnsi="Arial" w:eastAsia="Calibri" w:cs="Arial"/>
                <w:b/>
                <w:color w:val="000000" w:themeColor="text1"/>
                <w:sz w:val="22"/>
                <w:lang w:val="es-ES"/>
              </w:rPr>
              <w:t>Temas:</w:t>
            </w:r>
            <w:r w:rsidRPr="002F6073">
              <w:rPr>
                <w:rFonts w:ascii="Arial" w:hAnsi="Arial" w:eastAsia="Calibri" w:cs="Arial"/>
                <w:color w:val="000000" w:themeColor="text1"/>
                <w:sz w:val="22"/>
                <w:lang w:val="es-ES"/>
              </w:rPr>
              <w:t xml:space="preserve">           </w:t>
            </w:r>
          </w:p>
          <w:p w:rsidRPr="002F6073" w:rsidR="001949E6" w:rsidP="00C1610B" w:rsidRDefault="001949E6" w14:paraId="3915E7CE" w14:textId="77777777">
            <w:pPr>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                           </w:t>
            </w:r>
          </w:p>
        </w:tc>
        <w:tc>
          <w:tcPr>
            <w:tcW w:w="6237" w:type="dxa"/>
            <w:hideMark/>
          </w:tcPr>
          <w:p w:rsidR="006234DB" w:rsidP="00386A17" w:rsidRDefault="00474A90" w14:paraId="0B8C709B" w14:textId="2E93D84F">
            <w:pPr>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ASOCIACIONES DE CABILDOS</w:t>
            </w:r>
            <w:r w:rsidRPr="002F6073" w:rsidR="007D5EAD">
              <w:rPr>
                <w:rFonts w:ascii="Arial" w:hAnsi="Arial" w:eastAsia="Calibri" w:cs="Arial"/>
                <w:color w:val="000000" w:themeColor="text1"/>
                <w:sz w:val="22"/>
                <w:lang w:val="es-ES"/>
              </w:rPr>
              <w:t xml:space="preserve"> – </w:t>
            </w:r>
            <w:r>
              <w:rPr>
                <w:rFonts w:ascii="Arial" w:hAnsi="Arial" w:eastAsia="Calibri" w:cs="Arial"/>
                <w:color w:val="000000" w:themeColor="text1"/>
                <w:sz w:val="22"/>
                <w:lang w:val="es-ES"/>
              </w:rPr>
              <w:t xml:space="preserve">Indígenas </w:t>
            </w:r>
            <w:r w:rsidRPr="002F6073" w:rsidR="007D5EAD">
              <w:rPr>
                <w:rFonts w:ascii="Arial" w:hAnsi="Arial" w:eastAsia="Calibri" w:cs="Arial"/>
                <w:color w:val="000000" w:themeColor="text1"/>
                <w:sz w:val="22"/>
                <w:lang w:val="es-ES"/>
              </w:rPr>
              <w:t xml:space="preserve">– Naturaleza jurídica – </w:t>
            </w:r>
            <w:r>
              <w:rPr>
                <w:rFonts w:ascii="Arial" w:hAnsi="Arial" w:eastAsia="Calibri" w:cs="Arial"/>
                <w:color w:val="000000" w:themeColor="text1"/>
                <w:sz w:val="22"/>
                <w:lang w:val="es-ES"/>
              </w:rPr>
              <w:t xml:space="preserve">TERRITORIOS INDIGENAS </w:t>
            </w:r>
            <w:r w:rsidRPr="00474A90">
              <w:rPr>
                <w:rFonts w:ascii="Arial" w:hAnsi="Arial" w:eastAsia="Calibri" w:cs="Arial"/>
                <w:color w:val="000000" w:themeColor="text1"/>
                <w:sz w:val="22"/>
                <w:lang w:val="es-ES"/>
              </w:rPr>
              <w:t>– Entidades Estatales – Definición / INDIGENAS -</w:t>
            </w:r>
            <w:r>
              <w:rPr>
                <w:rFonts w:ascii="Arial" w:hAnsi="Arial" w:eastAsia="Calibri" w:cs="Arial"/>
                <w:color w:val="000000" w:themeColor="text1"/>
                <w:sz w:val="22"/>
                <w:lang w:val="es-ES"/>
              </w:rPr>
              <w:t xml:space="preserve"> Resguardos / INDIGENAS - </w:t>
            </w:r>
            <w:r w:rsidRPr="002F6073" w:rsidR="007D5EAD">
              <w:rPr>
                <w:rFonts w:ascii="Arial" w:hAnsi="Arial" w:eastAsia="Calibri" w:cs="Arial"/>
                <w:color w:val="000000" w:themeColor="text1"/>
                <w:sz w:val="22"/>
                <w:lang w:val="es-ES"/>
              </w:rPr>
              <w:t>Organizaciones – Capacidad para contratar / CONVENIO SOLIDARIO – Autorización – Partes</w:t>
            </w:r>
          </w:p>
          <w:p w:rsidRPr="00474A90" w:rsidR="00A20533" w:rsidP="00386A17" w:rsidRDefault="00A20533" w14:paraId="186A96CA" w14:textId="37B60558">
            <w:pPr>
              <w:jc w:val="both"/>
              <w:rPr>
                <w:rFonts w:ascii="Arial" w:hAnsi="Arial" w:eastAsia="Calibri" w:cs="Arial"/>
                <w:color w:val="000000" w:themeColor="text1"/>
                <w:sz w:val="22"/>
                <w:lang w:val="es-ES"/>
              </w:rPr>
            </w:pPr>
          </w:p>
        </w:tc>
      </w:tr>
      <w:tr w:rsidRPr="002F6073" w:rsidR="001949E6" w:rsidTr="00C1610B" w14:paraId="074DD679" w14:textId="77777777">
        <w:tc>
          <w:tcPr>
            <w:tcW w:w="2689" w:type="dxa"/>
          </w:tcPr>
          <w:p w:rsidRPr="002F6073" w:rsidR="001949E6" w:rsidP="00C1610B" w:rsidRDefault="001949E6" w14:paraId="2429A384" w14:textId="77777777">
            <w:pPr>
              <w:rPr>
                <w:rFonts w:ascii="Arial" w:hAnsi="Arial" w:eastAsia="Calibri" w:cs="Arial"/>
                <w:b/>
                <w:color w:val="000000" w:themeColor="text1"/>
                <w:sz w:val="22"/>
                <w:lang w:val="es-ES"/>
              </w:rPr>
            </w:pPr>
            <w:r w:rsidRPr="002F6073">
              <w:rPr>
                <w:rFonts w:ascii="Arial" w:hAnsi="Arial" w:eastAsia="Calibri" w:cs="Arial"/>
                <w:b/>
                <w:color w:val="000000" w:themeColor="text1"/>
                <w:sz w:val="22"/>
                <w:lang w:val="es-ES"/>
              </w:rPr>
              <w:t>Radicación:</w:t>
            </w:r>
            <w:r w:rsidRPr="002F6073">
              <w:rPr>
                <w:rFonts w:ascii="Arial" w:hAnsi="Arial" w:eastAsia="Calibri" w:cs="Arial"/>
                <w:color w:val="000000" w:themeColor="text1"/>
                <w:sz w:val="22"/>
                <w:lang w:val="es-ES"/>
              </w:rPr>
              <w:t xml:space="preserve">                              </w:t>
            </w:r>
          </w:p>
        </w:tc>
        <w:tc>
          <w:tcPr>
            <w:tcW w:w="6237" w:type="dxa"/>
          </w:tcPr>
          <w:p w:rsidR="001949E6" w:rsidP="00C1610B" w:rsidRDefault="001949E6" w14:paraId="22ADFE85" w14:textId="77777777">
            <w:pPr>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Respuesta a consulta # 4202013000001889</w:t>
            </w:r>
          </w:p>
          <w:p w:rsidRPr="002F6073" w:rsidR="000D1DF9" w:rsidP="00C1610B" w:rsidRDefault="000D1DF9" w14:paraId="6C72B31A" w14:textId="4D207E00">
            <w:pPr>
              <w:jc w:val="both"/>
              <w:rPr>
                <w:rFonts w:ascii="Arial" w:hAnsi="Arial" w:eastAsia="Calibri" w:cs="Arial"/>
                <w:color w:val="000000" w:themeColor="text1"/>
                <w:sz w:val="22"/>
                <w:lang w:val="es-ES"/>
              </w:rPr>
            </w:pPr>
          </w:p>
        </w:tc>
      </w:tr>
    </w:tbl>
    <w:p w:rsidRPr="002F6073" w:rsidR="001949E6" w:rsidP="001949E6" w:rsidRDefault="001949E6" w14:paraId="4E7038B7" w14:textId="4EBBACCB">
      <w:pPr>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Estimado señor Acosta,</w:t>
      </w:r>
    </w:p>
    <w:p w:rsidRPr="002F6073" w:rsidR="001949E6" w:rsidP="001949E6" w:rsidRDefault="001949E6" w14:paraId="423C9734" w14:textId="77777777">
      <w:pPr>
        <w:rPr>
          <w:rFonts w:ascii="Arial" w:hAnsi="Arial" w:eastAsia="Calibri" w:cs="Arial"/>
          <w:color w:val="000000" w:themeColor="text1"/>
          <w:sz w:val="22"/>
          <w:lang w:val="es-ES"/>
        </w:rPr>
      </w:pPr>
    </w:p>
    <w:p w:rsidR="001949E6" w:rsidP="001949E6" w:rsidRDefault="001949E6" w14:paraId="29816DC0" w14:textId="3321E6F6">
      <w:pPr>
        <w:spacing w:line="276" w:lineRule="auto"/>
        <w:ind w:right="4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La Agencia Nacional de Contratación Pública - Colombia Compra Eficiente responde su consulta del 13 de marzo de 2020, en ejercicio de la competencia otorgada por el numeral 8 del artículo 11 y el numeral 5 del artículo 3 del Decreto Ley 4170 de 2011. </w:t>
      </w:r>
    </w:p>
    <w:p w:rsidRPr="002F6073" w:rsidR="001949E6" w:rsidP="001949E6" w:rsidRDefault="001949E6" w14:paraId="655C19A4"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19509FF1" w14:textId="77777777">
      <w:pPr>
        <w:spacing w:line="276" w:lineRule="auto"/>
        <w:jc w:val="both"/>
        <w:rPr>
          <w:rFonts w:ascii="Arial" w:hAnsi="Arial" w:eastAsia="Calibri" w:cs="Arial"/>
          <w:b/>
          <w:color w:val="000000" w:themeColor="text1"/>
          <w:sz w:val="22"/>
          <w:lang w:val="es-ES"/>
        </w:rPr>
      </w:pPr>
      <w:r w:rsidRPr="002F6073">
        <w:rPr>
          <w:rFonts w:ascii="Arial" w:hAnsi="Arial" w:eastAsia="Calibri" w:cs="Arial"/>
          <w:b/>
          <w:color w:val="000000" w:themeColor="text1"/>
          <w:sz w:val="22"/>
          <w:lang w:val="es-ES"/>
        </w:rPr>
        <w:t>1. Problema planteado</w:t>
      </w:r>
    </w:p>
    <w:p w:rsidRPr="002F6073" w:rsidR="001949E6" w:rsidP="001949E6" w:rsidRDefault="001949E6" w14:paraId="4514A197"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4387EACF"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El peticionario plantea la siguiente pregunta: ¿cuál es el alcance del artículo 1 del Decreto 252 de 2020? </w:t>
      </w:r>
    </w:p>
    <w:p w:rsidR="006234DB" w:rsidP="001949E6" w:rsidRDefault="006234DB" w14:paraId="4A3442E2" w14:textId="77777777">
      <w:pPr>
        <w:spacing w:line="276" w:lineRule="auto"/>
        <w:jc w:val="both"/>
        <w:rPr>
          <w:rFonts w:ascii="Arial" w:hAnsi="Arial" w:eastAsia="Calibri" w:cs="Arial"/>
          <w:b/>
          <w:color w:val="000000" w:themeColor="text1"/>
          <w:sz w:val="22"/>
          <w:lang w:val="es-ES"/>
        </w:rPr>
      </w:pPr>
    </w:p>
    <w:p w:rsidRPr="002F6073" w:rsidR="001949E6" w:rsidP="001949E6" w:rsidRDefault="001949E6" w14:paraId="6DF34C6F" w14:textId="086FF5C5">
      <w:pPr>
        <w:spacing w:line="276" w:lineRule="auto"/>
        <w:jc w:val="both"/>
        <w:rPr>
          <w:rFonts w:ascii="Arial" w:hAnsi="Arial" w:eastAsia="Calibri" w:cs="Arial"/>
          <w:b/>
          <w:color w:val="000000" w:themeColor="text1"/>
          <w:sz w:val="22"/>
          <w:lang w:val="es-ES"/>
        </w:rPr>
      </w:pPr>
      <w:r w:rsidRPr="002F6073">
        <w:rPr>
          <w:rFonts w:ascii="Arial" w:hAnsi="Arial" w:eastAsia="Calibri" w:cs="Arial"/>
          <w:b/>
          <w:color w:val="000000" w:themeColor="text1"/>
          <w:sz w:val="22"/>
          <w:lang w:val="es-ES"/>
        </w:rPr>
        <w:t>2. Consideraciones</w:t>
      </w:r>
    </w:p>
    <w:p w:rsidRPr="002F6073" w:rsidR="001949E6" w:rsidP="001949E6" w:rsidRDefault="001949E6" w14:paraId="29C83F34"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022D718E" w14:textId="77777777">
      <w:pPr>
        <w:spacing w:after="120"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Para resolver su consulta se expondrá el marco legal aplicable a los indígenas y sus formas de organización, para determinar su capacidad contractual, específicamente, de las organizaciones indígenas reguladas en el Decreto 252 de 2020, lo cual es el objeto de su pregunta.</w:t>
      </w:r>
    </w:p>
    <w:p w:rsidRPr="002F6073" w:rsidR="001949E6" w:rsidP="001949E6" w:rsidRDefault="001949E6" w14:paraId="246A08E3" w14:textId="77777777">
      <w:pPr>
        <w:spacing w:before="120"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Con la suscripción del Convenio No. 169 de 1989 «Sobre pueblos indígenas y tribales en países independientes» de la Organización Internacional del Trabajo – OIT, </w:t>
      </w:r>
      <w:r w:rsidRPr="002F6073">
        <w:rPr>
          <w:rFonts w:ascii="Arial" w:hAnsi="Arial" w:eastAsia="Calibri" w:cs="Arial"/>
          <w:color w:val="000000" w:themeColor="text1"/>
          <w:sz w:val="22"/>
          <w:lang w:val="es-ES"/>
        </w:rPr>
        <w:lastRenderedPageBreak/>
        <w:t>incorporado al bloque de constitucionalidad</w:t>
      </w:r>
      <w:r w:rsidRPr="002F6073">
        <w:rPr>
          <w:rStyle w:val="Refdenotaalpie"/>
          <w:rFonts w:ascii="Arial" w:hAnsi="Arial" w:eastAsia="Calibri" w:cs="Arial"/>
          <w:color w:val="000000" w:themeColor="text1"/>
          <w:sz w:val="22"/>
          <w:lang w:val="es-ES"/>
        </w:rPr>
        <w:footnoteReference w:id="1"/>
      </w:r>
      <w:r w:rsidRPr="002F6073">
        <w:rPr>
          <w:rFonts w:ascii="Arial" w:hAnsi="Arial" w:eastAsia="Calibri" w:cs="Arial"/>
          <w:color w:val="000000" w:themeColor="text1"/>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rsidRPr="00386A17" w:rsidR="001949E6" w:rsidP="001949E6" w:rsidRDefault="001949E6" w14:paraId="12E3BE11" w14:textId="77777777">
      <w:pPr>
        <w:spacing w:line="276" w:lineRule="auto"/>
        <w:jc w:val="both"/>
        <w:rPr>
          <w:rFonts w:ascii="Arial" w:hAnsi="Arial" w:eastAsia="Calibri" w:cs="Arial"/>
          <w:color w:val="000000" w:themeColor="text1"/>
          <w:sz w:val="16"/>
          <w:szCs w:val="16"/>
          <w:lang w:val="es-ES"/>
        </w:rPr>
      </w:pPr>
    </w:p>
    <w:p w:rsidRPr="002F6073" w:rsidR="001949E6" w:rsidP="001949E6" w:rsidRDefault="001949E6" w14:paraId="45FF553D"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2.</w:t>
      </w:r>
    </w:p>
    <w:p w:rsidRPr="002F6073" w:rsidR="001949E6" w:rsidP="001949E6" w:rsidRDefault="001949E6" w14:paraId="6F75CE70"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157D9141"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rsidRPr="002F6073" w:rsidR="001949E6" w:rsidP="001949E6" w:rsidRDefault="001949E6" w14:paraId="0D3A3A1E"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0DD439AA"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2. Esta acción deberá incluir medidas:</w:t>
      </w:r>
    </w:p>
    <w:p w:rsidRPr="002F6073" w:rsidR="001949E6" w:rsidP="001949E6" w:rsidRDefault="001949E6" w14:paraId="21B4DB0B"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3243F5E3"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 Que aseguren a los miembros de dichos pueblos gozar, en pie de igualdad, de los derechos y oportunidades que la legislación nacional otorga a los demás miembros de la población;</w:t>
      </w:r>
    </w:p>
    <w:p w:rsidRPr="002F6073" w:rsidR="001949E6" w:rsidP="001949E6" w:rsidRDefault="001949E6" w14:paraId="743CC47A"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5A4A734E"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b). Que promuevan la plena efectividad de los derechos sociales, económicos y culturales de esos pueblos, respetando su identidad social y cultural, sus costumbres y tradiciones, y sus instituciones;</w:t>
      </w:r>
    </w:p>
    <w:p w:rsidRPr="002F6073" w:rsidR="001949E6" w:rsidP="001949E6" w:rsidRDefault="001949E6" w14:paraId="75366241"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42645F89"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rsidRPr="002F6073" w:rsidR="001949E6" w:rsidP="001949E6" w:rsidRDefault="001949E6" w14:paraId="1FB1D16E"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03BC2775" w14:textId="77777777">
      <w:pPr>
        <w:spacing w:after="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rsidRPr="002F6073" w:rsidR="001949E6" w:rsidP="001949E6" w:rsidRDefault="001949E6" w14:paraId="64425359" w14:textId="77777777">
      <w:pPr>
        <w:spacing w:before="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rsidRPr="00386A17" w:rsidR="001949E6" w:rsidP="001949E6" w:rsidRDefault="001949E6" w14:paraId="5F845EBD" w14:textId="77777777">
      <w:pPr>
        <w:spacing w:line="276" w:lineRule="auto"/>
        <w:jc w:val="both"/>
        <w:rPr>
          <w:rFonts w:ascii="Arial" w:hAnsi="Arial" w:eastAsia="Calibri" w:cs="Arial"/>
          <w:color w:val="000000" w:themeColor="text1"/>
          <w:sz w:val="16"/>
          <w:szCs w:val="16"/>
          <w:lang w:val="es-ES"/>
        </w:rPr>
      </w:pPr>
      <w:r w:rsidRPr="002F6073">
        <w:rPr>
          <w:rFonts w:ascii="Arial" w:hAnsi="Arial" w:eastAsia="Calibri" w:cs="Arial"/>
          <w:color w:val="000000" w:themeColor="text1"/>
          <w:sz w:val="22"/>
          <w:lang w:val="es-ES"/>
        </w:rPr>
        <w:lastRenderedPageBreak/>
        <w:tab/>
      </w:r>
    </w:p>
    <w:p w:rsidRPr="002F6073" w:rsidR="001949E6" w:rsidP="001949E6" w:rsidRDefault="001949E6" w14:paraId="74335797"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rsidRPr="002F6073" w:rsidR="001949E6" w:rsidP="001949E6" w:rsidRDefault="001949E6" w14:paraId="70B44160"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4E3CF417"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rsidRPr="00386A17" w:rsidR="001949E6" w:rsidP="001949E6" w:rsidRDefault="001949E6" w14:paraId="136CE5B5" w14:textId="77777777">
      <w:pPr>
        <w:spacing w:line="276" w:lineRule="auto"/>
        <w:jc w:val="both"/>
        <w:rPr>
          <w:rFonts w:ascii="Arial" w:hAnsi="Arial" w:eastAsia="Calibri" w:cs="Arial"/>
          <w:color w:val="000000" w:themeColor="text1"/>
          <w:sz w:val="16"/>
          <w:szCs w:val="16"/>
          <w:lang w:val="es-ES"/>
        </w:rPr>
      </w:pPr>
      <w:r w:rsidRPr="002F6073">
        <w:rPr>
          <w:rFonts w:ascii="Arial" w:hAnsi="Arial" w:eastAsia="Calibri" w:cs="Arial"/>
          <w:color w:val="000000" w:themeColor="text1"/>
          <w:sz w:val="22"/>
          <w:lang w:val="es-ES"/>
        </w:rPr>
        <w:tab/>
      </w:r>
    </w:p>
    <w:p w:rsidRPr="002F6073" w:rsidR="001949E6" w:rsidP="001949E6" w:rsidRDefault="001949E6" w14:paraId="53B511F1" w14:textId="77777777">
      <w:pPr>
        <w:spacing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Esta norma dispuso que la conformación de las entidades territoriales indígenas se realizará de acuerdo con lo indicado en la Ley de Ordenamiento Territorial, no obstante, mientras esa ley es expedida por el Congreso de la República, la Constitución dispuso un mecanismo para poner en funcionamiento los territorios indígenas de manera transitoria. El artículo 56 transitorio de la Constitución Política prescribe lo siguiente:  </w:t>
      </w:r>
    </w:p>
    <w:p w:rsidRPr="002F6073" w:rsidR="001949E6" w:rsidP="001949E6" w:rsidRDefault="001949E6" w14:paraId="647E2570"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566F2030"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rsidRPr="002F6073" w:rsidR="001949E6" w:rsidP="001949E6" w:rsidRDefault="001949E6" w14:paraId="0032BDDD"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35AA7465" w14:textId="77777777">
      <w:pPr>
        <w:spacing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w:t>
      </w:r>
      <w:r w:rsidRPr="002F6073">
        <w:rPr>
          <w:rStyle w:val="Refdenotaalpie"/>
          <w:rFonts w:ascii="Arial" w:hAnsi="Arial" w:eastAsia="Calibri" w:cs="Arial"/>
          <w:color w:val="000000" w:themeColor="text1"/>
          <w:sz w:val="22"/>
          <w:lang w:val="es-ES"/>
        </w:rPr>
        <w:footnoteReference w:id="2"/>
      </w:r>
      <w:r w:rsidRPr="002F6073">
        <w:rPr>
          <w:rFonts w:ascii="Arial" w:hAnsi="Arial" w:eastAsia="Calibri" w:cs="Arial"/>
          <w:color w:val="000000" w:themeColor="text1"/>
          <w:sz w:val="22"/>
          <w:lang w:val="es-ES"/>
        </w:rPr>
        <w:t>, respecto a la temporalidad de la autorización, expuso lo siguiente:</w:t>
      </w:r>
    </w:p>
    <w:p w:rsidRPr="002F6073" w:rsidR="001949E6" w:rsidP="001949E6" w:rsidRDefault="001949E6" w14:paraId="67400781"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1E6CCCA9"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rsidRPr="002F6073" w:rsidR="001949E6" w:rsidP="001949E6" w:rsidRDefault="001949E6" w14:paraId="4EF43F58"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0B2EE58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5.3.1. Es una competencia amplia que confiere una atribución para adoptar normas relativas (i) al funcionamiento de los territorios indígenas, incluyendo las de naturaleza fiscal y (ii) a su coordinación con las demás entidades </w:t>
      </w:r>
      <w:r w:rsidRPr="002F6073">
        <w:rPr>
          <w:rFonts w:ascii="Arial" w:hAnsi="Arial" w:eastAsia="Calibri" w:cs="Arial"/>
          <w:color w:val="000000" w:themeColor="text1"/>
          <w:sz w:val="21"/>
          <w:szCs w:val="21"/>
          <w:lang w:val="es-ES"/>
        </w:rPr>
        <w:lastRenderedPageBreak/>
        <w:t>territoriales. Comprende diferentes dimensiones o facetas del régimen territorial indígena.</w:t>
      </w:r>
    </w:p>
    <w:p w:rsidRPr="002F6073" w:rsidR="001949E6" w:rsidP="001949E6" w:rsidRDefault="001949E6" w14:paraId="2128BF6B"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33442F02"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rsidRPr="002F6073" w:rsidR="001949E6" w:rsidP="001949E6" w:rsidRDefault="001949E6" w14:paraId="59CC2FF9"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095951E8" w14:textId="77777777">
      <w:pPr>
        <w:spacing w:line="276" w:lineRule="auto"/>
        <w:ind w:firstLine="680"/>
        <w:jc w:val="both"/>
        <w:rPr>
          <w:rFonts w:ascii="Arial" w:hAnsi="Arial" w:eastAsia="Calibri" w:cs="Arial"/>
          <w:color w:val="000000" w:themeColor="text1"/>
          <w:sz w:val="22"/>
          <w:lang w:val="es-ES"/>
        </w:rPr>
      </w:pPr>
      <w:bookmarkStart w:name="_Hlk34989337" w:id="5"/>
      <w:r w:rsidRPr="002F6073">
        <w:rPr>
          <w:rFonts w:ascii="Arial" w:hAnsi="Arial" w:eastAsia="Calibri" w:cs="Arial"/>
          <w:color w:val="000000" w:themeColor="text1"/>
          <w:sz w:val="22"/>
          <w:lang w:val="es-ES"/>
        </w:rPr>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5"/>
      <w:r w:rsidRPr="002F6073">
        <w:rPr>
          <w:rFonts w:ascii="Arial" w:hAnsi="Arial" w:eastAsia="Calibri" w:cs="Arial"/>
          <w:color w:val="000000" w:themeColor="text1"/>
          <w:sz w:val="22"/>
          <w:lang w:val="es-ES"/>
        </w:rPr>
        <w:t>La norma prescribe lo siguiente:</w:t>
      </w:r>
    </w:p>
    <w:p w:rsidRPr="002F6073" w:rsidR="001949E6" w:rsidP="001949E6" w:rsidRDefault="001949E6" w14:paraId="42A7DAB7"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3C7E897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rsidRPr="002F6073" w:rsidR="001949E6" w:rsidP="001949E6" w:rsidRDefault="001949E6" w14:paraId="5D6CF5D8"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38204838"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2° Naturaleza Jurídica. Las asociaciones de que trata el presente Decreto, son entidades de Derecho Público de carácter especial, con personería jurídica, patrimonio propio y autonomía administrativa.</w:t>
      </w:r>
    </w:p>
    <w:p w:rsidRPr="002F6073" w:rsidR="001949E6" w:rsidP="001949E6" w:rsidRDefault="001949E6" w14:paraId="497F63A3"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371E2F25" w14:textId="77777777">
      <w:pPr>
        <w:spacing w:after="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Con base en lo anterior, los cabildos y las autoridades tradicionales indígenas pueden asociarse en representación de sus territorios, y esas asociaciones gozan de personería jurídica y tienen capacidad para adquirir obligaciones.</w:t>
      </w:r>
    </w:p>
    <w:p w:rsidRPr="002F6073" w:rsidR="001949E6" w:rsidP="001949E6" w:rsidRDefault="001949E6" w14:paraId="1C036A7F" w14:textId="77777777">
      <w:pPr>
        <w:spacing w:before="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rsidRPr="002F6073" w:rsidR="001949E6" w:rsidP="001949E6" w:rsidRDefault="001949E6" w14:paraId="4A194BA0"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47770986"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rsidRPr="002F6073" w:rsidR="001949E6" w:rsidP="001949E6" w:rsidRDefault="001949E6" w14:paraId="3CB52FB3"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0DF3AD96"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w:t>
      </w:r>
      <w:r w:rsidRPr="002F6073">
        <w:rPr>
          <w:rFonts w:ascii="Arial" w:hAnsi="Arial" w:eastAsia="Calibri" w:cs="Arial"/>
          <w:color w:val="000000" w:themeColor="text1"/>
          <w:sz w:val="21"/>
          <w:szCs w:val="21"/>
          <w:lang w:val="es-ES"/>
        </w:rPr>
        <w:lastRenderedPageBreak/>
        <w:t xml:space="preserve">su territorio y se rigen para el manejo de este y su vida interna por una organización autónoma amparada por el fuero indígena y su sistema normativo propio. </w:t>
      </w:r>
    </w:p>
    <w:p w:rsidRPr="002F6073" w:rsidR="001949E6" w:rsidP="001949E6" w:rsidRDefault="001949E6" w14:paraId="585718E0"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20622ADC"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rsidRPr="002F6073" w:rsidR="001949E6" w:rsidP="001949E6" w:rsidRDefault="001949E6" w14:paraId="7112F975"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7FF8FEE7"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rsidRPr="002F6073" w:rsidR="001949E6" w:rsidP="001949E6" w:rsidRDefault="001949E6" w14:paraId="0E57D86F"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w:t>
      </w:r>
    </w:p>
    <w:p w:rsidRPr="002F6073" w:rsidR="001949E6" w:rsidP="001949E6" w:rsidRDefault="001949E6" w14:paraId="5B16DF2F"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177CE525"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2.14.7.1.2. Definiciones. Para los fines exclusivos del presente título, establécense las siguientes definiciones:</w:t>
      </w:r>
    </w:p>
    <w:p w:rsidRPr="002F6073" w:rsidR="001949E6" w:rsidP="001949E6" w:rsidRDefault="001949E6" w14:paraId="2D6F7277" w14:textId="77777777">
      <w:pPr>
        <w:ind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b/>
      </w:r>
      <w:r w:rsidRPr="002F6073">
        <w:rPr>
          <w:rFonts w:ascii="Arial" w:hAnsi="Arial" w:eastAsia="Calibri" w:cs="Arial"/>
          <w:color w:val="000000" w:themeColor="text1"/>
          <w:sz w:val="21"/>
          <w:szCs w:val="21"/>
          <w:lang w:val="es-ES"/>
        </w:rPr>
        <w:t>[...]</w:t>
      </w:r>
    </w:p>
    <w:p w:rsidRPr="002F6073" w:rsidR="001949E6" w:rsidP="001949E6" w:rsidRDefault="001949E6" w14:paraId="278717A6"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04A2FBAC"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rsidRPr="002F6073" w:rsidR="001949E6" w:rsidP="001949E6" w:rsidRDefault="001949E6" w14:paraId="7B9DAA15"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6A92D519"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Para los efectos de este título, las autoridades tradicionales de las comunidades indígenas tienen, frente al Incoder, la misma representación y atribuciones que corresponde a los cabildos indígenas. </w:t>
      </w:r>
    </w:p>
    <w:p w:rsidRPr="002F6073" w:rsidR="001949E6" w:rsidP="001949E6" w:rsidRDefault="001949E6" w14:paraId="1E060876"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687F4B51"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rsidRPr="002F6073" w:rsidR="001949E6" w:rsidP="001949E6" w:rsidRDefault="001949E6" w14:paraId="767941F5"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24E4448C" w14:textId="77777777">
      <w:pPr>
        <w:spacing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rsidRPr="002F6073" w:rsidR="001949E6" w:rsidP="001949E6" w:rsidRDefault="001949E6" w14:paraId="6426821A"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345A1815"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2o. De la definición de entidades, servidores y servicios públicos. Para los solos efectos de esta ley: </w:t>
      </w:r>
    </w:p>
    <w:p w:rsidRPr="002F6073" w:rsidR="001949E6" w:rsidP="001949E6" w:rsidRDefault="001949E6" w14:paraId="7F5AA209"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53072D40"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1o. Se denominan entidades estatales: </w:t>
      </w:r>
    </w:p>
    <w:p w:rsidRPr="002F6073" w:rsidR="001949E6" w:rsidP="001949E6" w:rsidRDefault="001949E6" w14:paraId="555FE55D"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5AEEF6F4"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 La Nación, las regiones, los departamentos, las provincias, el distrito capital y los distritos especiales, las áreas metropolitanas, las asociaciones de municipios, los territorios indígenas y los municipios; los establecimientos </w:t>
      </w:r>
      <w:r w:rsidRPr="002F6073">
        <w:rPr>
          <w:rFonts w:ascii="Arial" w:hAnsi="Arial" w:eastAsia="Calibri" w:cs="Arial"/>
          <w:color w:val="000000" w:themeColor="text1"/>
          <w:sz w:val="21"/>
          <w:szCs w:val="21"/>
          <w:lang w:val="es-ES"/>
        </w:rPr>
        <w:lastRenderedPageBreak/>
        <w:t>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rsidRPr="002F6073" w:rsidR="001949E6" w:rsidP="001949E6" w:rsidRDefault="001949E6" w14:paraId="1C84C423"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2C652FDC" w14:textId="77777777">
      <w:pPr>
        <w:spacing w:after="120"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rsidRPr="002F6073" w:rsidR="001949E6" w:rsidP="001949E6" w:rsidRDefault="001949E6" w14:paraId="40E9C6CA" w14:textId="77777777">
      <w:pPr>
        <w:spacing w:before="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rsidRPr="002F6073" w:rsidR="001949E6" w:rsidP="001949E6" w:rsidRDefault="001949E6" w14:paraId="637C123D"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29D4ACB7"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rsidR="00B816B4" w:rsidP="002F6073" w:rsidRDefault="00B816B4" w14:paraId="70E6346C" w14:textId="77777777">
      <w:pPr>
        <w:ind w:left="708" w:right="709"/>
        <w:jc w:val="both"/>
        <w:rPr>
          <w:rFonts w:ascii="Arial" w:hAnsi="Arial" w:eastAsia="Calibri" w:cs="Arial"/>
          <w:color w:val="000000" w:themeColor="text1"/>
          <w:sz w:val="21"/>
          <w:szCs w:val="21"/>
          <w:lang w:val="es-ES"/>
        </w:rPr>
      </w:pPr>
    </w:p>
    <w:p w:rsidR="001949E6" w:rsidP="002F6073" w:rsidRDefault="001949E6" w14:paraId="19A566F5" w14:textId="50D75BB6">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En desarrollo de esta norma y cuando corresponda, el Gobierno Nacional hará la' delimitación correspondiente, previo concepto de la comisión de ordenamiento territorial, como instancia consultiva del proceso.</w:t>
      </w:r>
    </w:p>
    <w:p w:rsidRPr="002F6073" w:rsidR="002F6073" w:rsidP="002F6073" w:rsidRDefault="002F6073" w14:paraId="677CF446" w14:textId="77777777">
      <w:pPr>
        <w:ind w:left="708" w:right="709"/>
        <w:jc w:val="both"/>
        <w:rPr>
          <w:rFonts w:ascii="Arial" w:hAnsi="Arial" w:eastAsia="Calibri" w:cs="Arial"/>
          <w:color w:val="000000" w:themeColor="text1"/>
          <w:sz w:val="22"/>
          <w:lang w:val="es-ES"/>
        </w:rPr>
      </w:pPr>
    </w:p>
    <w:p w:rsidRPr="002F6073" w:rsidR="001949E6" w:rsidP="001949E6" w:rsidRDefault="001949E6" w14:paraId="796B9181" w14:textId="77777777">
      <w:pPr>
        <w:spacing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Por su parte, la Corte Constitucional, en la Sentencia C-489 de 2012, se pronunció sobre la constitucionalidad de la Ley 1454 de 2011, determinando que existe una omisión legislativa respecto de los territorios indígenas</w:t>
      </w:r>
      <w:r w:rsidRPr="002F6073">
        <w:rPr>
          <w:rStyle w:val="Refdenotaalpie"/>
          <w:rFonts w:ascii="Arial" w:hAnsi="Arial" w:eastAsia="Calibri" w:cs="Arial"/>
          <w:color w:val="000000" w:themeColor="text1"/>
          <w:sz w:val="22"/>
          <w:lang w:val="es-ES"/>
        </w:rPr>
        <w:footnoteReference w:id="3"/>
      </w:r>
      <w:r w:rsidRPr="002F6073">
        <w:rPr>
          <w:rFonts w:ascii="Arial" w:hAnsi="Arial" w:eastAsia="Calibri" w:cs="Arial"/>
          <w:color w:val="000000" w:themeColor="text1"/>
          <w:sz w:val="22"/>
          <w:lang w:val="es-ES"/>
        </w:rPr>
        <w:t>:</w:t>
      </w:r>
    </w:p>
    <w:p w:rsidRPr="002F6073" w:rsidR="001949E6" w:rsidP="001949E6" w:rsidRDefault="001949E6" w14:paraId="2EB9ED29"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2DCC1BEE"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w:t>
      </w:r>
      <w:r w:rsidRPr="002F6073">
        <w:rPr>
          <w:rFonts w:ascii="Arial" w:hAnsi="Arial" w:eastAsia="Calibri" w:cs="Arial"/>
          <w:color w:val="000000" w:themeColor="text1"/>
          <w:sz w:val="21"/>
          <w:szCs w:val="21"/>
          <w:lang w:val="es-ES"/>
        </w:rPr>
        <w:lastRenderedPageBreak/>
        <w:t>cinco títulos: el Título Primero de "Las Disposiciones Generales", el Título Segundo del "Marco Institucional"; el Título III "De las Competencias", el Título IV "De las Regiones Administrativas y de Planificación" y el Título V sobre "Disposiciones Finales"[95].</w:t>
      </w:r>
    </w:p>
    <w:p w:rsidRPr="002F6073" w:rsidR="001949E6" w:rsidP="001949E6" w:rsidRDefault="001949E6" w14:paraId="0A5851BB"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7944255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rsidRPr="002F6073" w:rsidR="001949E6" w:rsidP="001949E6" w:rsidRDefault="001949E6" w14:paraId="465A1DA0"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0A2F6FD9" w14:textId="77777777">
      <w:pPr>
        <w:spacing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rsidRPr="002F6073" w:rsidR="001949E6" w:rsidP="001949E6" w:rsidRDefault="001949E6" w14:paraId="58E2A0D0"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09402242"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6°. El artículo 3° de la Ley 136 de 1994 quedará así: </w:t>
      </w:r>
    </w:p>
    <w:p w:rsidRPr="002F6073" w:rsidR="001949E6" w:rsidP="001949E6" w:rsidRDefault="001949E6" w14:paraId="7C6EF785"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481A9656"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3°. Funciones de los municipios. Corresponde al municipio:</w:t>
      </w:r>
    </w:p>
    <w:p w:rsidRPr="002F6073" w:rsidR="001949E6" w:rsidP="001949E6" w:rsidRDefault="001949E6" w14:paraId="3F06462C"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w:t>
      </w:r>
    </w:p>
    <w:p w:rsidRPr="002F6073" w:rsidR="001949E6" w:rsidP="001949E6" w:rsidRDefault="001949E6" w14:paraId="6EBED328"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29B7A92F"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rsidRPr="002F6073" w:rsidR="001949E6" w:rsidP="001949E6" w:rsidRDefault="001949E6" w14:paraId="05E22919"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504F6053"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rsidRPr="002F6073" w:rsidR="001949E6" w:rsidP="001949E6" w:rsidRDefault="001949E6" w14:paraId="102F2B7E"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7CA4445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18. Celebrar convenios de uso de bienes públicos y/o de usufructo comunitario con los cabildos, autoridades y organizaciones indígenas y con los organismos de acción comunal y otros organismos comunitarios. (…)</w:t>
      </w:r>
    </w:p>
    <w:p w:rsidRPr="002F6073" w:rsidR="001949E6" w:rsidP="001949E6" w:rsidRDefault="001949E6" w14:paraId="44DF511E"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4637C1B1" w14:textId="77777777">
      <w:pPr>
        <w:spacing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rsidRPr="002F6073" w:rsidR="001949E6" w:rsidP="001949E6" w:rsidRDefault="001949E6" w14:paraId="640E7C50" w14:textId="77777777">
      <w:pPr>
        <w:spacing w:before="120"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lastRenderedPageBreak/>
        <w:t xml:space="preserve">Ahora, en relación con los convenios solidarios, y qué debe entenderse por ellos, la Ley, en el parágrafo 3 del artículo 6, prescribe lo siguiente: </w:t>
      </w:r>
    </w:p>
    <w:p w:rsidRPr="002F6073" w:rsidR="001949E6" w:rsidP="001949E6" w:rsidRDefault="001949E6" w14:paraId="1AC4012D"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6C6DD557"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rsidRPr="002F6073" w:rsidR="001949E6" w:rsidP="001949E6" w:rsidRDefault="001949E6" w14:paraId="4C9E5B13"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7218B41A"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rsidRPr="002F6073" w:rsidR="001949E6" w:rsidP="001949E6" w:rsidRDefault="001949E6" w14:paraId="38C23F3C" w14:textId="77777777">
      <w:pPr>
        <w:ind w:left="680" w:right="680"/>
        <w:jc w:val="both"/>
        <w:rPr>
          <w:rFonts w:ascii="Arial" w:hAnsi="Arial" w:eastAsia="Calibri" w:cs="Arial"/>
          <w:color w:val="000000" w:themeColor="text1"/>
          <w:sz w:val="18"/>
          <w:szCs w:val="18"/>
          <w:lang w:val="es-ES"/>
        </w:rPr>
      </w:pPr>
    </w:p>
    <w:p w:rsidRPr="002F6073" w:rsidR="001949E6" w:rsidP="001949E6" w:rsidRDefault="001949E6" w14:paraId="0F00A8F5"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Pr="002F6073" w:rsidR="001949E6" w:rsidP="001949E6" w:rsidRDefault="001949E6" w14:paraId="275E6F69"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6CE4CFA8" w14:textId="77777777">
      <w:pPr>
        <w:spacing w:after="120"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rsidRPr="002F6073" w:rsidR="001949E6" w:rsidP="001949E6" w:rsidRDefault="001949E6" w14:paraId="20FF48EF" w14:textId="77777777">
      <w:pPr>
        <w:spacing w:after="120"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r w:rsidRPr="002F6073">
        <w:rPr>
          <w:rFonts w:ascii="Arial" w:hAnsi="Arial" w:eastAsia="Calibri" w:cs="Arial"/>
          <w:color w:val="000000" w:themeColor="text1"/>
          <w:sz w:val="22"/>
          <w:lang w:val="es-ES"/>
        </w:rPr>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2F6073" w:rsidR="001949E6" w:rsidP="001949E6" w:rsidRDefault="001949E6" w14:paraId="7C9DB7B0" w14:textId="77777777">
      <w:pPr>
        <w:spacing w:after="120"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rsidRPr="002F6073" w:rsidR="001949E6" w:rsidP="001949E6" w:rsidRDefault="001949E6" w14:paraId="499CC3FD" w14:textId="77777777">
      <w:pPr>
        <w:spacing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Finalmente, la norma establece una última posibilidad para los resguardos indígenas que no hayan sido autorizados para administrar de manera directa los recursos del SGP, consistente en la celebración de un contrato de administración suscrito entre la </w:t>
      </w:r>
      <w:r w:rsidRPr="002F6073">
        <w:rPr>
          <w:rFonts w:ascii="Arial" w:hAnsi="Arial" w:eastAsia="Calibri" w:cs="Arial"/>
          <w:color w:val="000000" w:themeColor="text1"/>
          <w:sz w:val="22"/>
          <w:lang w:val="es-ES"/>
        </w:rPr>
        <w:lastRenderedPageBreak/>
        <w:t>entidad territorial respectiva y el representante legal del resguardo designado por las autoridades propias. La norma prescribe lo siguiente:</w:t>
      </w:r>
    </w:p>
    <w:p w:rsidRPr="002F6073" w:rsidR="001949E6" w:rsidP="001949E6" w:rsidRDefault="001949E6" w14:paraId="1E178DDD"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b/>
      </w:r>
    </w:p>
    <w:p w:rsidRPr="002F6073" w:rsidR="001949E6" w:rsidP="001949E6" w:rsidRDefault="001949E6" w14:paraId="08AA1FA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rsidRPr="002F6073" w:rsidR="001949E6" w:rsidP="001949E6" w:rsidRDefault="001949E6" w14:paraId="018DA86F"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w:t>
      </w:r>
    </w:p>
    <w:p w:rsidRPr="002F6073" w:rsidR="001949E6" w:rsidP="001949E6" w:rsidRDefault="001949E6" w14:paraId="32835E7A"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74CC31FB"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rsidRPr="002F6073" w:rsidR="001949E6" w:rsidP="001949E6" w:rsidRDefault="001949E6" w14:paraId="58A65059"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7F65469D" w14:textId="77777777">
      <w:pPr>
        <w:spacing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Respecto a los resguardos que no han sido autorizados para administrar de manera directa los recursos del SGP, la norma prescribe lo siguiente:</w:t>
      </w:r>
    </w:p>
    <w:p w:rsidRPr="002F6073" w:rsidR="001949E6" w:rsidP="001949E6" w:rsidRDefault="001949E6" w14:paraId="6B52DE88"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652FFE04"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rsidRPr="002F6073" w:rsidR="001949E6" w:rsidP="001949E6" w:rsidRDefault="001949E6" w14:paraId="7D30CDF8"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545AA039"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rsidRPr="002F6073" w:rsidR="001949E6" w:rsidP="001949E6" w:rsidRDefault="001949E6" w14:paraId="33C191BC"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2400A9C6"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rsidRPr="002F6073" w:rsidR="001949E6" w:rsidP="001949E6" w:rsidRDefault="001949E6" w14:paraId="487DC78D"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1C5D5606" w14:textId="77777777">
      <w:pPr>
        <w:spacing w:line="276" w:lineRule="auto"/>
        <w:ind w:firstLine="680"/>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w:t>
      </w:r>
      <w:r w:rsidRPr="002F6073">
        <w:rPr>
          <w:rFonts w:ascii="Arial" w:hAnsi="Arial" w:eastAsia="Calibri" w:cs="Arial"/>
          <w:color w:val="000000" w:themeColor="text1"/>
          <w:sz w:val="22"/>
          <w:lang w:val="es-ES"/>
        </w:rPr>
        <w:lastRenderedPageBreak/>
        <w:t>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rsidRPr="002F6073" w:rsidR="001949E6" w:rsidP="001949E6" w:rsidRDefault="001949E6" w14:paraId="43B9E9F0"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4E507A26"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rsidRPr="002F6073" w:rsidR="001949E6" w:rsidP="001949E6" w:rsidRDefault="001949E6" w14:paraId="006AD51B" w14:textId="77777777">
      <w:pPr>
        <w:ind w:left="708" w:right="709"/>
        <w:jc w:val="both"/>
        <w:rPr>
          <w:rFonts w:ascii="Arial" w:hAnsi="Arial" w:eastAsia="Calibri" w:cs="Arial"/>
          <w:color w:val="000000" w:themeColor="text1"/>
          <w:sz w:val="21"/>
          <w:szCs w:val="21"/>
          <w:lang w:val="es-ES"/>
        </w:rPr>
      </w:pPr>
    </w:p>
    <w:p w:rsidRPr="002F6073" w:rsidR="001949E6" w:rsidP="001949E6" w:rsidRDefault="001949E6" w14:paraId="1D7E235C" w14:textId="77777777">
      <w:pPr>
        <w:ind w:left="708" w:right="709"/>
        <w:jc w:val="both"/>
        <w:rPr>
          <w:rFonts w:ascii="Arial" w:hAnsi="Arial" w:eastAsia="Calibri" w:cs="Arial"/>
          <w:color w:val="000000" w:themeColor="text1"/>
          <w:sz w:val="21"/>
          <w:szCs w:val="21"/>
          <w:lang w:val="es-ES"/>
        </w:rPr>
      </w:pPr>
      <w:r w:rsidRPr="002F6073">
        <w:rPr>
          <w:rFonts w:ascii="Arial" w:hAnsi="Arial" w:eastAsia="Calibri" w:cs="Arial"/>
          <w:color w:val="000000" w:themeColor="text1"/>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Pr="002F6073" w:rsidR="001949E6" w:rsidP="001949E6" w:rsidRDefault="001949E6" w14:paraId="0B1F3CE5"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486FCC35" w14:textId="77777777">
      <w:pPr>
        <w:spacing w:line="276" w:lineRule="auto"/>
        <w:ind w:firstLine="708"/>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 partir de las normas identificadas, surgen las siguientes conclusiones:</w:t>
      </w:r>
    </w:p>
    <w:p w:rsidRPr="002F6073" w:rsidR="001949E6" w:rsidP="001949E6" w:rsidRDefault="001949E6" w14:paraId="03F9F97E" w14:textId="77777777">
      <w:pPr>
        <w:spacing w:line="276" w:lineRule="auto"/>
        <w:jc w:val="both"/>
        <w:rPr>
          <w:rFonts w:ascii="Arial" w:hAnsi="Arial" w:eastAsia="Calibri" w:cs="Arial"/>
          <w:color w:val="000000" w:themeColor="text1"/>
          <w:sz w:val="22"/>
          <w:lang w:val="es-ES"/>
        </w:rPr>
      </w:pPr>
    </w:p>
    <w:p w:rsidRPr="002F6073" w:rsidR="001949E6" w:rsidP="001949E6" w:rsidRDefault="001949E6" w14:paraId="27E505AE"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i) Decreto 1088 de 1993: L</w:t>
      </w:r>
      <w:bookmarkStart w:name="_Hlk34905430" w:id="6"/>
      <w:r w:rsidRPr="002F6073">
        <w:rPr>
          <w:rFonts w:ascii="Arial" w:hAnsi="Arial" w:eastAsia="Calibri" w:cs="Arial"/>
          <w:color w:val="000000" w:themeColor="text1"/>
          <w:sz w:val="22"/>
          <w:lang w:val="es-ES"/>
        </w:rPr>
        <w:t>as asociaciones de Cabildos y/o Autoridades Tradicionales Indígenas</w:t>
      </w:r>
      <w:bookmarkEnd w:id="6"/>
      <w:r w:rsidRPr="002F6073">
        <w:rPr>
          <w:rFonts w:ascii="Arial" w:hAnsi="Arial" w:eastAsia="Calibri" w:cs="Arial"/>
          <w:color w:val="000000" w:themeColor="text1"/>
          <w:sz w:val="22"/>
          <w:lang w:val="es-ES"/>
        </w:rPr>
        <w:t xml:space="preserve">, en virtud del Decreto 1088 de 1993, son entidades de Derecho Público de carácter especial, con personería jurídica, patrimonio propio y autonomía administrativa. Por lo tanto, pueden contratar. </w:t>
      </w:r>
    </w:p>
    <w:p w:rsidRPr="002F6073" w:rsidR="001949E6" w:rsidP="001949E6" w:rsidRDefault="001949E6" w14:paraId="1817B2D0"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rsidRPr="002F6073" w:rsidR="001949E6" w:rsidP="001949E6" w:rsidRDefault="001949E6" w14:paraId="60339DCB"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iii) Decreto 1953 de 2014: Los resguardos podrán asociarse para administrar y ejecutar los recursos de la asignación especial del SGP, siempre que acrediten los requisitos establecidos en el decreto, y son personas jurídicas de derecho público especial.</w:t>
      </w:r>
    </w:p>
    <w:p w:rsidRPr="002F6073" w:rsidR="001949E6" w:rsidP="001949E6" w:rsidRDefault="001949E6" w14:paraId="3739527B"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rsidRPr="002F6073" w:rsidR="001949E6" w:rsidP="001949E6" w:rsidRDefault="001949E6" w14:paraId="2D1E1B71"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w:t>
      </w:r>
      <w:r w:rsidRPr="002F6073">
        <w:rPr>
          <w:rFonts w:ascii="Arial" w:hAnsi="Arial" w:eastAsia="Calibri" w:cs="Arial"/>
          <w:color w:val="000000" w:themeColor="text1"/>
          <w:sz w:val="22"/>
          <w:lang w:val="es-ES"/>
        </w:rPr>
        <w:lastRenderedPageBreak/>
        <w:t>suscrito entre la entidad territorial respectiva y el representante legal del resguardo designado por las autoridades propias.</w:t>
      </w:r>
    </w:p>
    <w:p w:rsidRPr="002F6073" w:rsidR="001949E6" w:rsidP="001949E6" w:rsidRDefault="001949E6" w14:paraId="770F80F5"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rsidRPr="002F6073" w:rsidR="001949E6" w:rsidP="001949E6" w:rsidRDefault="001949E6" w14:paraId="28D33F13"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rsidRPr="002F6073" w:rsidR="001949E6" w:rsidP="001949E6" w:rsidRDefault="001949E6" w14:paraId="4B279059"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Antes de continuar,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rsidRPr="002F6073" w:rsidR="001949E6" w:rsidP="001949E6" w:rsidRDefault="001949E6" w14:paraId="47D97502" w14:textId="77777777">
      <w:pPr>
        <w:spacing w:after="120"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En cambio, el artículo 1 del Decreto 252 de 2020 permite que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 indígena</w:t>
      </w:r>
      <w:r w:rsidRPr="002F6073">
        <w:rPr>
          <w:rStyle w:val="Refdenotaalpie"/>
          <w:rFonts w:ascii="Arial" w:hAnsi="Arial" w:eastAsia="Calibri" w:cs="Arial"/>
          <w:color w:val="000000" w:themeColor="text1"/>
          <w:sz w:val="22"/>
          <w:lang w:val="es-ES"/>
        </w:rPr>
        <w:footnoteReference w:id="4"/>
      </w:r>
      <w:r w:rsidRPr="002F6073">
        <w:rPr>
          <w:rFonts w:ascii="Arial" w:hAnsi="Arial" w:eastAsia="Calibri" w:cs="Arial"/>
          <w:color w:val="000000" w:themeColor="text1"/>
          <w:sz w:val="22"/>
          <w:lang w:val="es-ES"/>
        </w:rPr>
        <w:t>.</w:t>
      </w:r>
    </w:p>
    <w:p w:rsidRPr="002F6073" w:rsidR="001949E6" w:rsidP="00B816B4" w:rsidRDefault="001949E6" w14:paraId="7C6A9CEC" w14:textId="77777777">
      <w:pPr>
        <w:spacing w:line="276" w:lineRule="auto"/>
        <w:ind w:firstLine="709"/>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lastRenderedPageBreak/>
        <w:t xml:space="preserve">En ese sentido, i) la norma le confirió a las «organizaciones indígenas» capacidad para contratar con el Estado y ii)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w:t>
      </w:r>
    </w:p>
    <w:p w:rsidRPr="00B816B4" w:rsidR="001949E6" w:rsidP="00B816B4" w:rsidRDefault="001949E6" w14:paraId="211309B7" w14:textId="77777777">
      <w:pPr>
        <w:spacing w:line="276" w:lineRule="auto"/>
        <w:jc w:val="both"/>
        <w:rPr>
          <w:rFonts w:ascii="Arial" w:hAnsi="Arial" w:eastAsia="Calibri" w:cs="Arial"/>
          <w:b/>
          <w:bCs/>
          <w:color w:val="000000" w:themeColor="text1"/>
          <w:sz w:val="16"/>
          <w:szCs w:val="16"/>
          <w:lang w:val="es-ES"/>
        </w:rPr>
      </w:pPr>
    </w:p>
    <w:p w:rsidRPr="002F6073" w:rsidR="001949E6" w:rsidP="00B816B4" w:rsidRDefault="001949E6" w14:paraId="72686E3F" w14:textId="77777777">
      <w:pPr>
        <w:spacing w:line="276" w:lineRule="auto"/>
        <w:jc w:val="both"/>
        <w:rPr>
          <w:rFonts w:ascii="Arial" w:hAnsi="Arial" w:eastAsia="Calibri" w:cs="Arial"/>
          <w:b/>
          <w:bCs/>
          <w:color w:val="000000" w:themeColor="text1"/>
          <w:sz w:val="22"/>
          <w:lang w:val="es-ES"/>
        </w:rPr>
      </w:pPr>
      <w:r w:rsidRPr="002F6073">
        <w:rPr>
          <w:rFonts w:ascii="Arial" w:hAnsi="Arial" w:eastAsia="Calibri" w:cs="Arial"/>
          <w:b/>
          <w:bCs/>
          <w:color w:val="000000" w:themeColor="text1"/>
          <w:sz w:val="22"/>
          <w:lang w:val="es-ES"/>
        </w:rPr>
        <w:t>3. Respuesta</w:t>
      </w:r>
    </w:p>
    <w:p w:rsidRPr="00A20533" w:rsidR="001949E6" w:rsidP="00B816B4" w:rsidRDefault="001949E6" w14:paraId="2B5A4CA4" w14:textId="77777777">
      <w:pPr>
        <w:spacing w:line="276" w:lineRule="auto"/>
        <w:jc w:val="both"/>
        <w:rPr>
          <w:rFonts w:ascii="Arial" w:hAnsi="Arial" w:eastAsia="Calibri" w:cs="Arial"/>
          <w:color w:val="000000" w:themeColor="text1"/>
          <w:sz w:val="22"/>
          <w:lang w:val="es-ES"/>
        </w:rPr>
      </w:pPr>
    </w:p>
    <w:p w:rsidRPr="002F6073" w:rsidR="001949E6" w:rsidP="00B816B4" w:rsidRDefault="001949E6" w14:paraId="423AFCD4" w14:textId="77777777">
      <w:pPr>
        <w:spacing w:line="276" w:lineRule="auto"/>
        <w:jc w:val="center"/>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¿Cuál es el alcance del artículo 1 del Decreto 252 de 2020?</w:t>
      </w:r>
    </w:p>
    <w:p w:rsidRPr="00A20533" w:rsidR="001949E6" w:rsidP="00B816B4" w:rsidRDefault="001949E6" w14:paraId="6C023544" w14:textId="77777777">
      <w:pPr>
        <w:spacing w:line="276" w:lineRule="auto"/>
        <w:jc w:val="center"/>
        <w:rPr>
          <w:rFonts w:ascii="Arial" w:hAnsi="Arial" w:eastAsia="Calibri" w:cs="Arial"/>
          <w:color w:val="000000" w:themeColor="text1"/>
          <w:sz w:val="22"/>
          <w:lang w:val="es-ES"/>
        </w:rPr>
      </w:pPr>
    </w:p>
    <w:p w:rsidRPr="002F6073" w:rsidR="001949E6" w:rsidP="00B816B4" w:rsidRDefault="001949E6" w14:paraId="2BC27341" w14:textId="77777777">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El artículo 1 del Decreto 252 de 2020 asignó, entre otras cosas, capacidad general para contratar a las «organizaciones indígenas», siempre que estén conformadas de la manera indicada en la norma; y también creo una forma de contratación directa, cuando las entidades estatales pretendan contratar con esas organizaciones.</w:t>
      </w:r>
    </w:p>
    <w:bookmarkEnd w:id="3"/>
    <w:bookmarkEnd w:id="4"/>
    <w:p w:rsidR="001949E6" w:rsidP="001949E6" w:rsidRDefault="001949E6" w14:paraId="04A695F0" w14:textId="56784A74">
      <w:pPr>
        <w:spacing w:line="276" w:lineRule="auto"/>
        <w:jc w:val="both"/>
        <w:rPr>
          <w:rFonts w:ascii="Arial" w:hAnsi="Arial" w:eastAsia="Calibri" w:cs="Arial"/>
          <w:color w:val="000000" w:themeColor="text1"/>
          <w:sz w:val="22"/>
          <w:lang w:val="es-ES"/>
        </w:rPr>
      </w:pPr>
      <w:r w:rsidRPr="002F6073">
        <w:rPr>
          <w:rFonts w:ascii="Arial" w:hAnsi="Arial" w:eastAsia="Calibri" w:cs="Arial"/>
          <w:color w:val="000000" w:themeColor="text1"/>
          <w:sz w:val="22"/>
          <w:lang w:val="es-ES"/>
        </w:rPr>
        <w:t>Este concepto tiene el alcance previsto en el artículo 28 del Código de Procedimiento Administrativo y de lo Contencioso Administrativo.</w:t>
      </w:r>
    </w:p>
    <w:p w:rsidR="00386A17" w:rsidP="001949E6" w:rsidRDefault="00386A17" w14:paraId="5FCD2638" w14:textId="5C4029A1">
      <w:pPr>
        <w:spacing w:line="276" w:lineRule="auto"/>
        <w:jc w:val="both"/>
        <w:rPr>
          <w:rFonts w:ascii="Arial" w:hAnsi="Arial" w:eastAsia="Calibri" w:cs="Arial"/>
          <w:color w:val="000000" w:themeColor="text1"/>
          <w:sz w:val="22"/>
          <w:lang w:val="es-ES"/>
        </w:rPr>
      </w:pPr>
    </w:p>
    <w:p w:rsidRPr="002F6073" w:rsidR="001949E6" w:rsidP="001949E6" w:rsidRDefault="001949E6" w14:paraId="018319F4" w14:textId="77777777">
      <w:pPr>
        <w:jc w:val="both"/>
        <w:rPr>
          <w:rFonts w:ascii="Arial" w:hAnsi="Arial" w:eastAsia="Times New Roman" w:cs="Arial"/>
          <w:color w:val="000000" w:themeColor="text1"/>
          <w:sz w:val="22"/>
          <w:lang w:val="es-ES" w:eastAsia="es-CO"/>
        </w:rPr>
      </w:pPr>
      <w:r w:rsidRPr="002F6073">
        <w:rPr>
          <w:noProof/>
          <w:color w:val="000000" w:themeColor="text1"/>
          <w:lang w:val="en-US"/>
        </w:rPr>
        <mc:AlternateContent>
          <mc:Choice Requires="wps">
            <w:drawing>
              <wp:anchor distT="0" distB="0" distL="114300" distR="114300" simplePos="0" relativeHeight="251659264" behindDoc="0" locked="0" layoutInCell="1" allowOverlap="1" wp14:anchorId="495E3A59" wp14:editId="3EF13B5A">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705731E6">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65F0B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Pr="002F6073">
        <w:rPr>
          <w:rFonts w:ascii="Arial" w:hAnsi="Arial" w:eastAsia="Times New Roman" w:cs="Arial"/>
          <w:color w:val="000000" w:themeColor="text1"/>
          <w:sz w:val="22"/>
          <w:lang w:val="es-ES" w:eastAsia="es-CO"/>
        </w:rPr>
        <w:t>Atentamente,</w:t>
      </w:r>
    </w:p>
    <w:p w:rsidR="001949E6" w:rsidP="001949E6" w:rsidRDefault="00B816B4" w14:paraId="1D875479" w14:textId="17F7745D">
      <w:pPr>
        <w:jc w:val="center"/>
        <w:rPr>
          <w:rFonts w:ascii="Arial" w:hAnsi="Arial" w:eastAsia="Times New Roman" w:cs="Arial"/>
          <w:color w:val="000000" w:themeColor="text1"/>
          <w:sz w:val="18"/>
          <w:szCs w:val="20"/>
          <w:lang w:val="es-ES" w:eastAsia="es-CO"/>
        </w:rPr>
      </w:pPr>
      <w:r w:rsidR="00B816B4">
        <w:drawing>
          <wp:inline wp14:editId="4B8FBD73" wp14:anchorId="09CEC899">
            <wp:extent cx="2773045" cy="988695"/>
            <wp:effectExtent l="0" t="0" r="0" b="0"/>
            <wp:docPr id="895999937" name="Imagen 2" title=""/>
            <wp:cNvGraphicFramePr>
              <a:graphicFrameLocks/>
            </wp:cNvGraphicFramePr>
            <a:graphic>
              <a:graphicData uri="http://schemas.openxmlformats.org/drawingml/2006/picture">
                <pic:pic>
                  <pic:nvPicPr>
                    <pic:cNvPr id="0" name="Imagen 2"/>
                    <pic:cNvPicPr/>
                  </pic:nvPicPr>
                  <pic:blipFill>
                    <a:blip r:embed="R0d8bd669ceaf42c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2F6073" w:rsidR="00B816B4" w:rsidP="001949E6" w:rsidRDefault="00B816B4" w14:paraId="0B37C05F" w14:textId="77777777">
      <w:pPr>
        <w:jc w:val="center"/>
        <w:rPr>
          <w:rFonts w:ascii="Arial" w:hAnsi="Arial" w:eastAsia="Times New Roman" w:cs="Arial"/>
          <w:color w:val="000000" w:themeColor="text1"/>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F6073" w:rsidR="002F6073" w:rsidTr="00C1610B" w14:paraId="37B7C756" w14:textId="77777777">
        <w:trPr>
          <w:trHeight w:val="315"/>
        </w:trPr>
        <w:tc>
          <w:tcPr>
            <w:tcW w:w="488" w:type="dxa"/>
            <w:vAlign w:val="center"/>
            <w:hideMark/>
          </w:tcPr>
          <w:p w:rsidRPr="002F6073" w:rsidR="001949E6" w:rsidP="00C1610B" w:rsidRDefault="001949E6" w14:paraId="6BC06D96"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2F6073" w:rsidR="001949E6" w:rsidP="00C1610B" w:rsidRDefault="001949E6" w14:paraId="503911B5"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Ximena Ríos López</w:t>
            </w:r>
          </w:p>
          <w:p w:rsidRPr="002F6073" w:rsidR="001949E6" w:rsidP="00C1610B" w:rsidRDefault="001949E6" w14:paraId="386938E0"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Gestor T1-11</w:t>
            </w:r>
          </w:p>
        </w:tc>
      </w:tr>
      <w:tr w:rsidRPr="002F6073" w:rsidR="002F6073" w:rsidTr="00C1610B" w14:paraId="23D414E6" w14:textId="77777777">
        <w:trPr>
          <w:trHeight w:val="330"/>
        </w:trPr>
        <w:tc>
          <w:tcPr>
            <w:tcW w:w="488" w:type="dxa"/>
            <w:vAlign w:val="center"/>
            <w:hideMark/>
          </w:tcPr>
          <w:p w:rsidRPr="002F6073" w:rsidR="001949E6" w:rsidP="00C1610B" w:rsidRDefault="001949E6" w14:paraId="2066FF8B"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6073" w:rsidR="001949E6" w:rsidP="00C1610B" w:rsidRDefault="001949E6" w14:paraId="2A662E0C"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Fabián Gonzalo Marín Cortés</w:t>
            </w:r>
          </w:p>
          <w:p w:rsidRPr="002F6073" w:rsidR="001949E6" w:rsidP="00C1610B" w:rsidRDefault="001949E6" w14:paraId="2D013ED4"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Subdirector de Gestión Contractual</w:t>
            </w:r>
          </w:p>
        </w:tc>
      </w:tr>
      <w:tr w:rsidRPr="002F6073" w:rsidR="002F6073" w:rsidTr="00C1610B" w14:paraId="486750E5" w14:textId="77777777">
        <w:trPr>
          <w:trHeight w:val="300"/>
        </w:trPr>
        <w:tc>
          <w:tcPr>
            <w:tcW w:w="488" w:type="dxa"/>
            <w:vAlign w:val="center"/>
            <w:hideMark/>
          </w:tcPr>
          <w:p w:rsidRPr="002F6073" w:rsidR="001949E6" w:rsidP="00C1610B" w:rsidRDefault="001949E6" w14:paraId="1A3272C8"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6073" w:rsidR="001949E6" w:rsidP="00C1610B" w:rsidRDefault="001949E6" w14:paraId="1C6A111D"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Fabián Gonzalo Marín Cortés</w:t>
            </w:r>
          </w:p>
          <w:p w:rsidRPr="002F6073" w:rsidR="001949E6" w:rsidP="00C1610B" w:rsidRDefault="001949E6" w14:paraId="2C1F50B1"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Subdirector de Gestión Contractual</w:t>
            </w:r>
          </w:p>
        </w:tc>
      </w:tr>
      <w:tr w:rsidRPr="002F6073" w:rsidR="001949E6" w:rsidTr="00C1610B" w14:paraId="4E2BE7C0" w14:textId="77777777">
        <w:trPr>
          <w:trHeight w:val="300"/>
        </w:trPr>
        <w:tc>
          <w:tcPr>
            <w:tcW w:w="488" w:type="dxa"/>
            <w:vAlign w:val="center"/>
            <w:hideMark/>
          </w:tcPr>
          <w:p w:rsidRPr="002F6073" w:rsidR="001949E6" w:rsidP="00C1610B" w:rsidRDefault="001949E6" w14:paraId="3E973CAE"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Anexo:</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F6073" w:rsidR="001949E6" w:rsidP="00C1610B" w:rsidRDefault="001949E6" w14:paraId="4AFFB0BC" w14:textId="77777777">
            <w:pPr>
              <w:rPr>
                <w:rFonts w:ascii="Arial" w:hAnsi="Arial" w:eastAsia="Times New Roman" w:cs="Arial"/>
                <w:color w:val="000000" w:themeColor="text1"/>
                <w:sz w:val="16"/>
                <w:szCs w:val="16"/>
                <w:lang w:val="es-ES" w:eastAsia="es-ES"/>
              </w:rPr>
            </w:pPr>
            <w:r w:rsidRPr="002F6073">
              <w:rPr>
                <w:rFonts w:ascii="Arial" w:hAnsi="Arial" w:eastAsia="Times New Roman" w:cs="Arial"/>
                <w:color w:val="000000" w:themeColor="text1"/>
                <w:sz w:val="16"/>
                <w:szCs w:val="16"/>
                <w:lang w:val="es-ES" w:eastAsia="es-ES"/>
              </w:rPr>
              <w:t>0</w:t>
            </w:r>
          </w:p>
        </w:tc>
      </w:tr>
    </w:tbl>
    <w:p w:rsidRPr="002F6073" w:rsidR="001949E6" w:rsidP="001949E6" w:rsidRDefault="001949E6" w14:paraId="05668739" w14:textId="77777777">
      <w:pPr>
        <w:rPr>
          <w:rFonts w:ascii="Arial" w:hAnsi="Arial" w:eastAsia="Times New Roman" w:cs="Arial"/>
          <w:color w:val="000000" w:themeColor="text1"/>
          <w:sz w:val="16"/>
          <w:szCs w:val="16"/>
          <w:lang w:val="es-ES" w:eastAsia="es-ES"/>
        </w:rPr>
      </w:pPr>
    </w:p>
    <w:bookmarkEnd w:id="2"/>
    <w:p w:rsidRPr="002F6073" w:rsidR="007B0854" w:rsidP="001949E6" w:rsidRDefault="007B0854" w14:paraId="7EBF297E" w14:textId="77777777">
      <w:pPr>
        <w:rPr>
          <w:color w:val="000000" w:themeColor="text1"/>
        </w:rPr>
      </w:pPr>
    </w:p>
    <w:sectPr w:rsidRPr="002F6073"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1EC4" w:rsidRDefault="008C1EC4" w14:paraId="2640BE20" w14:textId="77777777">
      <w:r>
        <w:separator/>
      </w:r>
    </w:p>
  </w:endnote>
  <w:endnote w:type="continuationSeparator" w:id="0">
    <w:p w:rsidR="008C1EC4" w:rsidRDefault="008C1EC4" w14:paraId="2429BC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5A79FE" w:rsidR="007B0854" w:rsidP="005A79FE" w:rsidRDefault="005A79FE" w14:paraId="312C4A14" w14:textId="6B180E0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74A9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74A90">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9047C5" w:rsidP="007B0854" w:rsidRDefault="4DCE96BD" w14:paraId="48FC6A04" w14:textId="0E0B8C38">
    <w:pPr>
      <w:pStyle w:val="Piedepgina"/>
      <w:jc w:val="center"/>
      <w:rPr>
        <w:lang w:val="es-ES"/>
      </w:rPr>
    </w:pPr>
    <w:r w:rsidR="20765D4E">
      <w:drawing>
        <wp:inline wp14:editId="4262EAD4" wp14:anchorId="608B196D">
          <wp:extent cx="4241994" cy="595165"/>
          <wp:effectExtent l="0" t="0" r="6350" b="0"/>
          <wp:docPr id="1944412117" name="Imagen 12" title=""/>
          <wp:cNvGraphicFramePr>
            <a:graphicFrameLocks noChangeAspect="1"/>
          </wp:cNvGraphicFramePr>
          <a:graphic>
            <a:graphicData uri="http://schemas.openxmlformats.org/drawingml/2006/picture">
              <pic:pic>
                <pic:nvPicPr>
                  <pic:cNvPr id="0" name="Imagen 12"/>
                  <pic:cNvPicPr/>
                </pic:nvPicPr>
                <pic:blipFill>
                  <a:blip r:embed="R191dc7f6952a47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8B16FE" w:rsidR="004A34D2" w:rsidP="007B0854" w:rsidRDefault="004A34D2" w14:paraId="6C0EFC49" w14:textId="77777777">
    <w:pPr>
      <w:pStyle w:val="Piedepgina"/>
      <w:jc w:val="center"/>
      <w:rPr>
        <w:sz w:val="28"/>
        <w:szCs w:val="2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1EC4" w:rsidRDefault="008C1EC4" w14:paraId="69CEE172" w14:textId="77777777">
      <w:r>
        <w:separator/>
      </w:r>
    </w:p>
  </w:footnote>
  <w:footnote w:type="continuationSeparator" w:id="0">
    <w:p w:rsidR="008C1EC4" w:rsidRDefault="008C1EC4" w14:paraId="19433A04" w14:textId="77777777">
      <w:r>
        <w:continuationSeparator/>
      </w:r>
    </w:p>
  </w:footnote>
  <w:footnote w:id="1">
    <w:p w:rsidRPr="002F6073" w:rsidR="001949E6" w:rsidP="001949E6" w:rsidRDefault="001949E6" w14:paraId="7AB96401" w14:textId="77777777">
      <w:pPr>
        <w:pStyle w:val="Textonotapie"/>
        <w:ind w:firstLine="708"/>
        <w:jc w:val="both"/>
        <w:rPr>
          <w:rFonts w:ascii="Arial" w:hAnsi="Arial" w:eastAsia="Calibri" w:cs="Arial"/>
          <w:color w:val="000000" w:themeColor="text1"/>
          <w:sz w:val="19"/>
          <w:szCs w:val="19"/>
        </w:rPr>
      </w:pPr>
      <w:r w:rsidRPr="002F6073">
        <w:rPr>
          <w:rStyle w:val="Refdenotaalpie"/>
          <w:rFonts w:ascii="Arial" w:hAnsi="Arial" w:cs="Arial"/>
          <w:color w:val="000000" w:themeColor="text1"/>
          <w:sz w:val="19"/>
          <w:szCs w:val="19"/>
        </w:rPr>
        <w:footnoteRef/>
      </w:r>
      <w:r w:rsidRPr="002F6073">
        <w:rPr>
          <w:rFonts w:ascii="Arial" w:hAnsi="Arial" w:cs="Arial"/>
          <w:color w:val="000000" w:themeColor="text1"/>
          <w:sz w:val="19"/>
          <w:szCs w:val="19"/>
        </w:rPr>
        <w:t xml:space="preserve"> </w:t>
      </w:r>
      <w:r w:rsidRPr="002F6073">
        <w:rPr>
          <w:rFonts w:ascii="Arial" w:hAnsi="Arial" w:eastAsia="Calibri" w:cs="Arial"/>
          <w:color w:val="000000" w:themeColor="text1"/>
          <w:sz w:val="19"/>
          <w:szCs w:val="19"/>
        </w:rPr>
        <w:t>Constitución Política: «Artículo 93. Los tratados y convenios internacionales ratificados por el Congreso, que reconocen los derechos humanos y que prohíben su limitación en los estados de excepción, prevalecen en el orden interno.</w:t>
      </w:r>
    </w:p>
    <w:p w:rsidRPr="002F6073" w:rsidR="001949E6" w:rsidP="001949E6" w:rsidRDefault="001949E6" w14:paraId="353E7A0B" w14:textId="77777777">
      <w:pPr>
        <w:ind w:firstLine="708"/>
        <w:jc w:val="both"/>
        <w:rPr>
          <w:rFonts w:ascii="Arial" w:hAnsi="Arial" w:eastAsia="Calibri" w:cs="Arial"/>
          <w:color w:val="000000" w:themeColor="text1"/>
          <w:sz w:val="19"/>
          <w:szCs w:val="19"/>
        </w:rPr>
      </w:pPr>
      <w:r w:rsidRPr="002F6073">
        <w:rPr>
          <w:rFonts w:ascii="Arial" w:hAnsi="Arial" w:eastAsia="Calibri" w:cs="Arial"/>
          <w:color w:val="000000" w:themeColor="text1"/>
          <w:sz w:val="19"/>
          <w:szCs w:val="19"/>
        </w:rPr>
        <w:t>»Los derechos y deberes consagrados en esta Carta, se interpretarán de conformidad con los tratados internacionales sobre derechos humanos ratificados por Colombia [...]».</w:t>
      </w:r>
    </w:p>
    <w:p w:rsidRPr="002F6073" w:rsidR="001949E6" w:rsidP="001949E6" w:rsidRDefault="001949E6" w14:paraId="38DCBF41" w14:textId="77777777">
      <w:pPr>
        <w:ind w:firstLine="708"/>
        <w:jc w:val="both"/>
        <w:rPr>
          <w:rFonts w:ascii="Arial" w:hAnsi="Arial" w:cs="Arial"/>
          <w:color w:val="000000" w:themeColor="text1"/>
          <w:sz w:val="19"/>
          <w:szCs w:val="19"/>
          <w:lang w:val="es-CO"/>
        </w:rPr>
      </w:pPr>
    </w:p>
  </w:footnote>
  <w:footnote w:id="2">
    <w:p w:rsidRPr="002F6073" w:rsidR="001949E6" w:rsidP="001949E6" w:rsidRDefault="001949E6" w14:paraId="07A1F07E" w14:textId="77777777">
      <w:pPr>
        <w:pStyle w:val="Textonotapie"/>
        <w:ind w:firstLine="708"/>
        <w:jc w:val="both"/>
        <w:rPr>
          <w:rFonts w:ascii="Arial" w:hAnsi="Arial" w:eastAsia="Calibri" w:cs="Arial"/>
          <w:color w:val="000000" w:themeColor="text1"/>
          <w:sz w:val="19"/>
          <w:szCs w:val="19"/>
        </w:rPr>
      </w:pPr>
      <w:r w:rsidRPr="002F6073">
        <w:rPr>
          <w:rStyle w:val="Refdenotaalpie"/>
          <w:rFonts w:ascii="Arial" w:hAnsi="Arial" w:cs="Arial"/>
          <w:color w:val="000000" w:themeColor="text1"/>
          <w:sz w:val="19"/>
          <w:szCs w:val="19"/>
        </w:rPr>
        <w:footnoteRef/>
      </w:r>
      <w:r w:rsidRPr="002F6073">
        <w:rPr>
          <w:rFonts w:ascii="Arial" w:hAnsi="Arial" w:cs="Arial"/>
          <w:color w:val="000000" w:themeColor="text1"/>
          <w:sz w:val="19"/>
          <w:szCs w:val="19"/>
        </w:rPr>
        <w:t xml:space="preserve"> </w:t>
      </w:r>
      <w:r w:rsidRPr="002F6073">
        <w:rPr>
          <w:rFonts w:ascii="Arial" w:hAnsi="Arial" w:eastAsia="Calibri" w:cs="Arial"/>
          <w:color w:val="000000" w:themeColor="text1"/>
          <w:sz w:val="19"/>
          <w:szCs w:val="19"/>
        </w:rPr>
        <w:t>Corte Constitucional. Sentencia C-617 de 2015. M.P. Mauricio González Cuervo.</w:t>
      </w:r>
    </w:p>
    <w:p w:rsidRPr="002F6073" w:rsidR="001949E6" w:rsidP="001949E6" w:rsidRDefault="001949E6" w14:paraId="6A93B703" w14:textId="77777777">
      <w:pPr>
        <w:pStyle w:val="Textonotapie"/>
        <w:ind w:firstLine="708"/>
        <w:jc w:val="both"/>
        <w:rPr>
          <w:rFonts w:ascii="Arial" w:hAnsi="Arial" w:cs="Arial"/>
          <w:color w:val="000000" w:themeColor="text1"/>
          <w:sz w:val="19"/>
          <w:szCs w:val="19"/>
          <w:lang w:val="es-CO"/>
        </w:rPr>
      </w:pPr>
    </w:p>
  </w:footnote>
  <w:footnote w:id="3">
    <w:p w:rsidRPr="002F6073" w:rsidR="001949E6" w:rsidP="001949E6" w:rsidRDefault="001949E6" w14:paraId="3FE0D27E" w14:textId="77777777">
      <w:pPr>
        <w:pStyle w:val="Textonotapie"/>
        <w:ind w:firstLine="708"/>
        <w:jc w:val="both"/>
        <w:rPr>
          <w:rFonts w:ascii="Arial" w:hAnsi="Arial" w:eastAsia="Calibri" w:cs="Arial"/>
          <w:color w:val="000000" w:themeColor="text1"/>
          <w:sz w:val="19"/>
          <w:szCs w:val="19"/>
        </w:rPr>
      </w:pPr>
      <w:r w:rsidRPr="002F6073">
        <w:rPr>
          <w:rStyle w:val="Refdenotaalpie"/>
          <w:rFonts w:ascii="Arial" w:hAnsi="Arial" w:cs="Arial"/>
          <w:color w:val="000000" w:themeColor="text1"/>
          <w:sz w:val="19"/>
          <w:szCs w:val="19"/>
        </w:rPr>
        <w:footnoteRef/>
      </w:r>
      <w:r w:rsidRPr="002F6073">
        <w:rPr>
          <w:rFonts w:ascii="Arial" w:hAnsi="Arial" w:cs="Arial"/>
          <w:color w:val="000000" w:themeColor="text1"/>
          <w:sz w:val="19"/>
          <w:szCs w:val="19"/>
        </w:rPr>
        <w:t xml:space="preserve"> </w:t>
      </w:r>
      <w:r w:rsidRPr="002F6073">
        <w:rPr>
          <w:rFonts w:ascii="Arial" w:hAnsi="Arial" w:eastAsia="Calibri" w:cs="Arial"/>
          <w:color w:val="000000" w:themeColor="text1"/>
          <w:sz w:val="19"/>
          <w:szCs w:val="19"/>
        </w:rPr>
        <w:t>Corte Constitucional. Sentencia C-489 de 2012. M.P. Adriana María Guillén Arango.</w:t>
      </w:r>
    </w:p>
    <w:p w:rsidRPr="002F6073" w:rsidR="001949E6" w:rsidP="001949E6" w:rsidRDefault="001949E6" w14:paraId="2EF814E6" w14:textId="77777777">
      <w:pPr>
        <w:pStyle w:val="Textonotapie"/>
        <w:ind w:firstLine="708"/>
        <w:jc w:val="both"/>
        <w:rPr>
          <w:rFonts w:ascii="Arial" w:hAnsi="Arial" w:cs="Arial"/>
          <w:color w:val="000000" w:themeColor="text1"/>
          <w:sz w:val="19"/>
          <w:szCs w:val="19"/>
          <w:lang w:val="es-CO"/>
        </w:rPr>
      </w:pPr>
    </w:p>
  </w:footnote>
  <w:footnote w:id="4">
    <w:p w:rsidRPr="002F6073" w:rsidR="001949E6" w:rsidP="001949E6" w:rsidRDefault="001949E6" w14:paraId="7E468F52" w14:textId="77777777">
      <w:pPr>
        <w:pStyle w:val="Textonotapie"/>
        <w:ind w:firstLine="708"/>
        <w:jc w:val="both"/>
        <w:rPr>
          <w:rFonts w:ascii="Arial" w:hAnsi="Arial" w:cs="Arial"/>
          <w:color w:val="000000" w:themeColor="text1"/>
          <w:sz w:val="19"/>
          <w:szCs w:val="19"/>
        </w:rPr>
      </w:pPr>
      <w:r w:rsidRPr="002F6073">
        <w:rPr>
          <w:rStyle w:val="Refdenotaalpie"/>
          <w:rFonts w:ascii="Arial" w:hAnsi="Arial" w:cs="Arial"/>
          <w:color w:val="000000" w:themeColor="text1"/>
          <w:sz w:val="19"/>
          <w:szCs w:val="19"/>
        </w:rPr>
        <w:footnoteRef/>
      </w:r>
      <w:r w:rsidRPr="002F6073">
        <w:rPr>
          <w:rFonts w:ascii="Arial" w:hAnsi="Arial" w:cs="Arial"/>
          <w:color w:val="000000" w:themeColor="text1"/>
          <w:sz w:val="19"/>
          <w:szCs w:val="19"/>
        </w:rPr>
        <w:t xml:space="preserve"> Decreto 252 de 2020: «Articulo 1. Adiciónese al artículo 10 del Decreto 1088 de 1993, el siguiente parágrafo:</w:t>
      </w:r>
    </w:p>
    <w:p w:rsidRPr="002F6073" w:rsidR="001949E6" w:rsidP="001949E6" w:rsidRDefault="001949E6" w14:paraId="73F53FD6"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»Artículo 10. Naturaleza de los actos y contratos.</w:t>
      </w:r>
    </w:p>
    <w:p w:rsidRPr="002F6073" w:rsidR="001949E6" w:rsidP="001949E6" w:rsidRDefault="001949E6" w14:paraId="229EE91C"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w:t>
      </w:r>
    </w:p>
    <w:p w:rsidRPr="002F6073" w:rsidR="001949E6" w:rsidP="001949E6" w:rsidRDefault="001949E6" w14:paraId="45618E18"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rsidRPr="002F6073" w:rsidR="001949E6" w:rsidP="001949E6" w:rsidRDefault="001949E6" w14:paraId="4A950E07"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 xml:space="preserve">»Para la ejecución contractual, la entidad estatal deberá exigir la constitución de una garantía única que consistirá en una póliza de seguros que cubrirá suficientemente los riesgos del contrato o convenio. </w:t>
      </w:r>
    </w:p>
    <w:p w:rsidRPr="002F6073" w:rsidR="001949E6" w:rsidP="001949E6" w:rsidRDefault="001949E6" w14:paraId="5347FE2E"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»La entidad estatal podrá terminar unilateralmente el contrato o convenio en caso de incumplimiento de las obligaciones a cargo de la organización indígena.</w:t>
      </w:r>
    </w:p>
    <w:p w:rsidRPr="002F6073" w:rsidR="001949E6" w:rsidP="001949E6" w:rsidRDefault="001949E6" w14:paraId="0BEF0A2C" w14:textId="77777777">
      <w:pPr>
        <w:pStyle w:val="Textonotapie"/>
        <w:ind w:firstLine="708"/>
        <w:jc w:val="both"/>
        <w:rPr>
          <w:rFonts w:ascii="Arial" w:hAnsi="Arial" w:cs="Arial"/>
          <w:color w:val="000000" w:themeColor="text1"/>
          <w:sz w:val="19"/>
          <w:szCs w:val="19"/>
        </w:rPr>
      </w:pPr>
      <w:r w:rsidRPr="002F6073">
        <w:rPr>
          <w:rFonts w:ascii="Arial" w:hAnsi="Arial" w:cs="Arial"/>
          <w:color w:val="000000" w:themeColor="text1"/>
          <w:sz w:val="19"/>
          <w:szCs w:val="19"/>
        </w:rPr>
        <w:t>»En estos convenios se tendrá como aporte de las organizaciones indígenas el conocimiento ancestral».</w:t>
      </w:r>
    </w:p>
    <w:p w:rsidRPr="002F6073" w:rsidR="001949E6" w:rsidP="001949E6" w:rsidRDefault="001949E6" w14:paraId="6C65FD31" w14:textId="77777777">
      <w:pPr>
        <w:pStyle w:val="Textonotapie"/>
        <w:ind w:firstLine="708"/>
        <w:jc w:val="both"/>
        <w:rPr>
          <w:rFonts w:ascii="Arial" w:hAnsi="Arial" w:cs="Arial"/>
          <w:color w:val="000000" w:themeColor="text1"/>
          <w:sz w:val="19"/>
          <w:szCs w:val="19"/>
          <w:lang w:val="es-ES"/>
        </w:rPr>
      </w:pPr>
      <w:r w:rsidRPr="002F6073">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0765D4E">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942EB"/>
    <w:rsid w:val="000B103F"/>
    <w:rsid w:val="000D1DF9"/>
    <w:rsid w:val="000F14E8"/>
    <w:rsid w:val="00103915"/>
    <w:rsid w:val="00122B23"/>
    <w:rsid w:val="00137FFA"/>
    <w:rsid w:val="001949E6"/>
    <w:rsid w:val="00234B84"/>
    <w:rsid w:val="002F6073"/>
    <w:rsid w:val="003033BA"/>
    <w:rsid w:val="00327195"/>
    <w:rsid w:val="0034680A"/>
    <w:rsid w:val="00386456"/>
    <w:rsid w:val="00386A17"/>
    <w:rsid w:val="003A581E"/>
    <w:rsid w:val="003C4194"/>
    <w:rsid w:val="004422D6"/>
    <w:rsid w:val="00474A90"/>
    <w:rsid w:val="004A34D2"/>
    <w:rsid w:val="004C4488"/>
    <w:rsid w:val="0051074C"/>
    <w:rsid w:val="005119BD"/>
    <w:rsid w:val="00513AF2"/>
    <w:rsid w:val="0054413A"/>
    <w:rsid w:val="00552DC1"/>
    <w:rsid w:val="005564CA"/>
    <w:rsid w:val="005A79FE"/>
    <w:rsid w:val="005E3733"/>
    <w:rsid w:val="006234DB"/>
    <w:rsid w:val="00655371"/>
    <w:rsid w:val="00697665"/>
    <w:rsid w:val="006A124A"/>
    <w:rsid w:val="006A574C"/>
    <w:rsid w:val="006A7FD0"/>
    <w:rsid w:val="006D7687"/>
    <w:rsid w:val="006E0572"/>
    <w:rsid w:val="00705631"/>
    <w:rsid w:val="00742DD2"/>
    <w:rsid w:val="0075647A"/>
    <w:rsid w:val="007634AD"/>
    <w:rsid w:val="0078122E"/>
    <w:rsid w:val="007B0854"/>
    <w:rsid w:val="007D5EAD"/>
    <w:rsid w:val="007F72CB"/>
    <w:rsid w:val="0083119B"/>
    <w:rsid w:val="00836EAB"/>
    <w:rsid w:val="0085092D"/>
    <w:rsid w:val="00863BD1"/>
    <w:rsid w:val="008A4D4C"/>
    <w:rsid w:val="008B16FE"/>
    <w:rsid w:val="008C1EC4"/>
    <w:rsid w:val="008E1C15"/>
    <w:rsid w:val="009047C5"/>
    <w:rsid w:val="0095385A"/>
    <w:rsid w:val="00A20533"/>
    <w:rsid w:val="00A24560"/>
    <w:rsid w:val="00A34538"/>
    <w:rsid w:val="00AA442B"/>
    <w:rsid w:val="00AF53C0"/>
    <w:rsid w:val="00B22E22"/>
    <w:rsid w:val="00B34902"/>
    <w:rsid w:val="00B525CB"/>
    <w:rsid w:val="00B63CB2"/>
    <w:rsid w:val="00B816B4"/>
    <w:rsid w:val="00BD78FE"/>
    <w:rsid w:val="00BE6855"/>
    <w:rsid w:val="00C415D7"/>
    <w:rsid w:val="00CA287E"/>
    <w:rsid w:val="00CC00CD"/>
    <w:rsid w:val="00D16E39"/>
    <w:rsid w:val="00D72E9D"/>
    <w:rsid w:val="00D82CE5"/>
    <w:rsid w:val="00DA5AB1"/>
    <w:rsid w:val="00DC62E5"/>
    <w:rsid w:val="00DD735D"/>
    <w:rsid w:val="00DE3119"/>
    <w:rsid w:val="00DF236B"/>
    <w:rsid w:val="00E13AB8"/>
    <w:rsid w:val="00E33B62"/>
    <w:rsid w:val="00F84899"/>
    <w:rsid w:val="00F859F0"/>
    <w:rsid w:val="00FE141E"/>
    <w:rsid w:val="0A98B385"/>
    <w:rsid w:val="20765D4E"/>
    <w:rsid w:val="348A5A6B"/>
    <w:rsid w:val="4DCE96BD"/>
    <w:rsid w:val="53DF4FB0"/>
    <w:rsid w:val="5C4DEC2E"/>
    <w:rsid w:val="7EECDBE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styleId="Default" w:customStyle="1">
    <w:name w:val="Default"/>
    <w:rsid w:val="006234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0d8bd669ceaf42c7" /></Relationships>
</file>

<file path=word/_rels/footer1.xml.rels>&#65279;<?xml version="1.0" encoding="utf-8"?><Relationships xmlns="http://schemas.openxmlformats.org/package/2006/relationships"><Relationship Type="http://schemas.openxmlformats.org/officeDocument/2006/relationships/image" Target="/media/image5.png" Id="R191dc7f6952a47e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C68C1-DEB0-4F44-A94C-3275014FF22A}">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E196065-1613-4A63-88C8-BE693DAEB4D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4DDD705-822B-4166-9471-8DC4CACD5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18</revision>
  <dcterms:created xsi:type="dcterms:W3CDTF">2020-03-13T16:44:00.0000000Z</dcterms:created>
  <dcterms:modified xsi:type="dcterms:W3CDTF">2020-07-23T23:45:57.6795734Z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