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CE41C" w14:textId="77777777"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MIPYMES – Decreto 1860 de 2021 – Artículo 5 – Convocatorias limitadas territorialmente – Vigencia </w:t>
      </w:r>
    </w:p>
    <w:p w14:paraId="77C3F3D2"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145536BA" w14:textId="7D5939A9"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 categoría que, como es sabido, incluye los decretos reglamentarios– dejan de ser obligatorios o decaen “Cuando desaparezcan sus fundamentos de hecho o de derecho”.</w:t>
      </w:r>
    </w:p>
    <w:p w14:paraId="2B06ECA4" w14:textId="3186CB41"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Lo anterior quedó reafirmado con la expedición del Decreto 1860 de 24 de diciembre de 2021, reglamento que modificó, entre otros aspectos, la Subsección</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5</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de la Secci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1 del Cap</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2 del 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1 de la Parte 2 del Libro 2 y los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 xml:space="preserve">culos 2.2.1.2.4.2.2. y 2.2.1.2.4.2.3. y siguientes del Decreto 1082 de 2015, </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nico Reglamentario del Sector Administrativo de Planeaci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Nacional, modificaci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que entrar</w:t>
      </w:r>
      <w:r w:rsidRPr="003376DC">
        <w:rPr>
          <w:rFonts w:ascii="Century Gothic" w:eastAsia="Calibri" w:hAnsi="Century Gothic" w:cs="Century Gothic"/>
          <w:color w:val="000000" w:themeColor="text1"/>
          <w:lang w:val="es-ES" w:eastAsia="es-ES"/>
        </w:rPr>
        <w:t>á</w:t>
      </w:r>
      <w:r w:rsidRPr="003376DC">
        <w:rPr>
          <w:rFonts w:ascii="Century Gothic" w:eastAsia="Calibri" w:hAnsi="Century Gothic" w:cs="Arial"/>
          <w:color w:val="000000" w:themeColor="text1"/>
          <w:lang w:val="es-ES" w:eastAsia="es-ES"/>
        </w:rPr>
        <w:t xml:space="preserve"> a regir a partir del 24 de marzo de 2022, seg</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 lo dispone el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culo 8 de la nueva norma reglamentaria de las convocatorias limitadas a las mipymes que sometió la vigencia de los cambios al transcurso del periodo de 3 meses siguientes a la expedición del decreto.</w:t>
      </w:r>
    </w:p>
    <w:p w14:paraId="1CB6E3FB"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1CD17F4" w14:textId="6DE49A7E"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CONVOCATORIAS LIMITADAS A MIPYMES NACIONALES – Limitación territorial – Relevancia del domicilio de la Mipymes</w:t>
      </w:r>
    </w:p>
    <w:p w14:paraId="426D7E23"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2D42867" w14:textId="77777777" w:rsidR="00D17400" w:rsidRPr="003376DC" w:rsidRDefault="00D17400" w:rsidP="00D17400">
      <w:pPr>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 xml:space="preserve">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w:t>
      </w:r>
      <w:r w:rsidRPr="003376DC">
        <w:rPr>
          <w:rFonts w:ascii="Century Gothic" w:eastAsia="Calibri" w:hAnsi="Century Gothic" w:cs="Arial"/>
          <w:color w:val="000000" w:themeColor="text1"/>
          <w:lang w:val="es-ES" w:eastAsia="es-ES"/>
        </w:rPr>
        <w:lastRenderedPageBreak/>
        <w:t>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3C42A0A3" w14:textId="77777777" w:rsidR="00D17400" w:rsidRPr="003376DC" w:rsidRDefault="00D17400" w:rsidP="00D17400">
      <w:pPr>
        <w:jc w:val="both"/>
        <w:rPr>
          <w:rFonts w:ascii="Century Gothic" w:eastAsia="Calibri" w:hAnsi="Century Gothic" w:cs="Arial"/>
          <w:b/>
          <w:bCs/>
          <w:color w:val="000000" w:themeColor="text1"/>
          <w:lang w:val="es-ES" w:eastAsia="es-ES"/>
        </w:rPr>
      </w:pPr>
    </w:p>
    <w:p w14:paraId="7D0204C2" w14:textId="77777777" w:rsidR="00D17400" w:rsidRPr="003376DC" w:rsidRDefault="00D17400" w:rsidP="00D17400">
      <w:pPr>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CONVOCATORIAS LIMITADAS A MIPYMES NACIONALES – Limitación territorial – Tiempo mínimo de constitución </w:t>
      </w:r>
    </w:p>
    <w:p w14:paraId="59B29B5D" w14:textId="77777777" w:rsidR="00D17400" w:rsidRPr="00D17400" w:rsidRDefault="00D17400" w:rsidP="00D17400">
      <w:pPr>
        <w:jc w:val="both"/>
        <w:rPr>
          <w:rFonts w:ascii="Century Gothic" w:eastAsia="Calibri" w:hAnsi="Century Gothic" w:cs="Arial"/>
          <w:color w:val="000000" w:themeColor="text1"/>
          <w:lang w:val="es-ES" w:eastAsia="es-ES"/>
        </w:rPr>
      </w:pPr>
    </w:p>
    <w:p w14:paraId="2C7914B4" w14:textId="4A6D1F6B" w:rsidR="00D17400" w:rsidRDefault="00D17400" w:rsidP="00D17400">
      <w:pPr>
        <w:jc w:val="both"/>
        <w:rPr>
          <w:rFonts w:ascii="Century Gothic" w:eastAsia="Geomanist Light" w:hAnsi="Century Gothic" w:cs="Arial"/>
          <w:color w:val="000000" w:themeColor="text1"/>
          <w:lang w:val="es-MX"/>
        </w:rPr>
      </w:pPr>
      <w:r w:rsidRPr="00D17400">
        <w:rPr>
          <w:rFonts w:ascii="Century Gothic" w:eastAsia="Calibri" w:hAnsi="Century Gothic" w:cs="Arial"/>
          <w:color w:val="000000" w:themeColor="text1"/>
          <w:lang w:val="es-ES" w:eastAsia="es-ES"/>
        </w:rPr>
        <w:t>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r>
        <w:rPr>
          <w:rFonts w:ascii="Century Gothic" w:eastAsia="Geomanist Light" w:hAnsi="Century Gothic" w:cs="Arial"/>
          <w:color w:val="000000" w:themeColor="text1"/>
          <w:lang w:val="es-MX"/>
        </w:rPr>
        <w:br w:type="page"/>
      </w:r>
    </w:p>
    <w:p w14:paraId="6700D6DA" w14:textId="1AA7A531"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212A22B2" w:rsidR="00871B59" w:rsidRPr="00F919E7" w:rsidRDefault="00871B59" w:rsidP="00871B59">
      <w:pPr>
        <w:spacing w:after="0" w:line="240"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Señor</w:t>
      </w:r>
      <w:r w:rsidR="0037046D">
        <w:rPr>
          <w:rFonts w:ascii="Century Gothic" w:eastAsia="Calibri" w:hAnsi="Century Gothic" w:cs="Arial"/>
          <w:bCs/>
          <w:lang w:val="es-MX" w:eastAsia="es-ES_tradnl"/>
        </w:rPr>
        <w:t>a</w:t>
      </w:r>
    </w:p>
    <w:p w14:paraId="69DD78DB" w14:textId="0BD02F62" w:rsidR="00987B91" w:rsidRDefault="00987B91" w:rsidP="00871B59">
      <w:pPr>
        <w:spacing w:after="0" w:line="240" w:lineRule="auto"/>
        <w:rPr>
          <w:rFonts w:ascii="Century Gothic" w:eastAsia="Calibri" w:hAnsi="Century Gothic" w:cs="Arial"/>
          <w:b/>
          <w:lang w:eastAsia="es-ES_tradnl"/>
        </w:rPr>
      </w:pPr>
      <w:r>
        <w:rPr>
          <w:rFonts w:ascii="Century Gothic" w:eastAsia="Calibri" w:hAnsi="Century Gothic" w:cs="Arial"/>
          <w:b/>
          <w:lang w:eastAsia="es-ES_tradnl"/>
        </w:rPr>
        <w:t>G</w:t>
      </w:r>
      <w:r w:rsidRPr="00987B91">
        <w:rPr>
          <w:rFonts w:ascii="Century Gothic" w:eastAsia="Calibri" w:hAnsi="Century Gothic" w:cs="Arial"/>
          <w:b/>
          <w:lang w:eastAsia="es-ES_tradnl"/>
        </w:rPr>
        <w:t>imena Rodríguez Ladino</w:t>
      </w:r>
    </w:p>
    <w:p w14:paraId="18BD7358" w14:textId="1A0B9916" w:rsidR="007700D3" w:rsidRPr="007700D3" w:rsidRDefault="00987B91" w:rsidP="00871B59">
      <w:pPr>
        <w:spacing w:after="0" w:line="240" w:lineRule="auto"/>
        <w:rPr>
          <w:rFonts w:ascii="Century Gothic" w:eastAsia="Calibri" w:hAnsi="Century Gothic" w:cs="Arial"/>
          <w:bCs/>
          <w:u w:val="single"/>
          <w:lang w:eastAsia="es-ES_tradnl"/>
        </w:rPr>
      </w:pPr>
      <w:r>
        <w:rPr>
          <w:rFonts w:ascii="Century Gothic" w:eastAsia="Calibri" w:hAnsi="Century Gothic" w:cs="Arial"/>
          <w:bCs/>
          <w:u w:val="single"/>
          <w:lang w:eastAsia="es-ES_tradnl"/>
        </w:rPr>
        <w:t>Gimena.rodriguez@idartes.gov.co</w:t>
      </w:r>
    </w:p>
    <w:p w14:paraId="5ACFEA17" w14:textId="798BA3E2" w:rsidR="00871B59" w:rsidRPr="00F919E7" w:rsidRDefault="00987B91"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 xml:space="preserve">Bogotá D.C. </w:t>
      </w:r>
      <w:r w:rsidR="00916160">
        <w:rPr>
          <w:rFonts w:ascii="Century Gothic" w:eastAsia="Calibri" w:hAnsi="Century Gothic" w:cs="Arial"/>
          <w:bCs/>
          <w:lang w:val="es-MX" w:eastAsia="es-ES_tradnl"/>
        </w:rPr>
        <w:t xml:space="preserve"> </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38277ACC" w14:textId="77777777" w:rsidR="0035009A" w:rsidRDefault="0035009A" w:rsidP="00871B59">
      <w:pPr>
        <w:spacing w:after="0" w:line="240" w:lineRule="auto"/>
        <w:rPr>
          <w:rFonts w:ascii="Century Gothic" w:eastAsia="Calibri" w:hAnsi="Century Gothic" w:cs="Arial"/>
          <w:b/>
          <w:bCs/>
          <w:color w:val="000000"/>
          <w:lang w:val="es-ES_tradnl" w:eastAsia="es-ES_tradnl"/>
        </w:rPr>
      </w:pPr>
    </w:p>
    <w:p w14:paraId="2E965D31" w14:textId="47F2F20D" w:rsidR="0035009A" w:rsidRPr="00F919E7" w:rsidRDefault="0035009A" w:rsidP="0035009A">
      <w:pPr>
        <w:spacing w:after="0" w:line="240" w:lineRule="auto"/>
        <w:jc w:val="right"/>
        <w:rPr>
          <w:rFonts w:ascii="Century Gothic" w:eastAsia="Calibri" w:hAnsi="Century Gothic" w:cs="Arial"/>
          <w:b/>
          <w:bCs/>
          <w:color w:val="000000"/>
          <w:lang w:val="es-ES_tradnl" w:eastAsia="es-ES_tradnl"/>
        </w:rPr>
      </w:pPr>
      <w:r w:rsidRPr="0035009A">
        <w:rPr>
          <w:rFonts w:ascii="Century Gothic" w:eastAsia="Calibri" w:hAnsi="Century Gothic" w:cs="Arial"/>
          <w:b/>
          <w:bCs/>
          <w:color w:val="000000"/>
          <w:lang w:val="es-ES_tradnl" w:eastAsia="es-ES_tradnl"/>
        </w:rPr>
        <w:drawing>
          <wp:inline distT="0" distB="0" distL="0" distR="0" wp14:anchorId="4E3CA900" wp14:editId="082C46DC">
            <wp:extent cx="3558848" cy="1082134"/>
            <wp:effectExtent l="0" t="0" r="3810" b="3810"/>
            <wp:docPr id="9799762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76228" name=""/>
                    <pic:cNvPicPr/>
                  </pic:nvPicPr>
                  <pic:blipFill>
                    <a:blip r:embed="rId11"/>
                    <a:stretch>
                      <a:fillRect/>
                    </a:stretch>
                  </pic:blipFill>
                  <pic:spPr>
                    <a:xfrm>
                      <a:off x="0" y="0"/>
                      <a:ext cx="3558848" cy="1082134"/>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0FBCB24D"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987B91">
              <w:rPr>
                <w:rFonts w:ascii="Century Gothic" w:eastAsia="Calibri" w:hAnsi="Century Gothic" w:cs="Arial"/>
                <w:b/>
                <w:lang w:val="es-MX" w:eastAsia="es-ES_tradnl"/>
              </w:rPr>
              <w:t>235</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15BA8489" w14:textId="0488CD68" w:rsidR="00916160" w:rsidRDefault="008B7F31" w:rsidP="00916160">
            <w:pPr>
              <w:spacing w:line="276" w:lineRule="auto"/>
              <w:jc w:val="both"/>
              <w:rPr>
                <w:rFonts w:ascii="Century Gothic" w:eastAsia="Calibri" w:hAnsi="Century Gothic" w:cs="Arial"/>
                <w:bCs/>
                <w:lang w:val="es-MX" w:eastAsia="es-ES_tradnl"/>
              </w:rPr>
            </w:pPr>
            <w:r>
              <w:rPr>
                <w:rFonts w:ascii="Century Gothic" w:eastAsia="Calibri" w:hAnsi="Century Gothic" w:cs="Arial"/>
                <w:bCs/>
                <w:lang w:eastAsia="es-ES_tradnl"/>
              </w:rPr>
              <w:t>C</w:t>
            </w:r>
            <w:r w:rsidRPr="008B7F31">
              <w:rPr>
                <w:rFonts w:ascii="Century Gothic" w:eastAsia="Calibri" w:hAnsi="Century Gothic" w:cs="Arial"/>
                <w:bCs/>
                <w:lang w:eastAsia="es-ES_tradnl"/>
              </w:rPr>
              <w:t>ONVOCATORIAS LIMITADAS A MIPYMES NACIONALES</w:t>
            </w:r>
            <w:r>
              <w:rPr>
                <w:rFonts w:ascii="Century Gothic" w:eastAsia="Calibri" w:hAnsi="Century Gothic" w:cs="Arial"/>
                <w:bCs/>
                <w:lang w:eastAsia="es-ES_tradnl"/>
              </w:rPr>
              <w:t>- Umbrales 2024</w:t>
            </w:r>
            <w:r w:rsidR="00685FFD">
              <w:rPr>
                <w:rFonts w:ascii="Century Gothic" w:eastAsia="Calibri" w:hAnsi="Century Gothic"/>
                <w:bCs/>
                <w:lang w:val="es-MX" w:eastAsia="es-ES_tradnl"/>
              </w:rPr>
              <w:t xml:space="preserve">. </w:t>
            </w:r>
          </w:p>
          <w:p w14:paraId="7ADD1096" w14:textId="1A8FD5D6" w:rsidR="00685FFD" w:rsidRPr="00F919E7" w:rsidRDefault="00685FFD"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2B3DFFBD" w:rsidR="00916160" w:rsidRPr="00F919E7" w:rsidRDefault="00916160" w:rsidP="00916160">
            <w:pPr>
              <w:jc w:val="both"/>
              <w:rPr>
                <w:rFonts w:ascii="Century Gothic" w:eastAsia="Calibri" w:hAnsi="Century Gothic" w:cs="Arial"/>
                <w:bCs/>
                <w:lang w:val="es-MX" w:eastAsia="es-ES_tradnl"/>
              </w:rPr>
            </w:pPr>
          </w:p>
        </w:tc>
        <w:tc>
          <w:tcPr>
            <w:tcW w:w="6242" w:type="dxa"/>
          </w:tcPr>
          <w:p w14:paraId="630D2668" w14:textId="73079199"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987B91" w:rsidRPr="00987B91">
              <w:rPr>
                <w:rFonts w:ascii="Century Gothic" w:eastAsia="Calibri" w:hAnsi="Century Gothic" w:cs="Arial"/>
                <w:bCs/>
                <w:lang w:eastAsia="es-ES_tradnl"/>
              </w:rPr>
              <w:t>P20240627006576</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3F27EDDD" w14:textId="77777777" w:rsidR="0037046D" w:rsidRDefault="0037046D" w:rsidP="00871B59">
      <w:pPr>
        <w:spacing w:after="0" w:line="276" w:lineRule="auto"/>
        <w:jc w:val="both"/>
        <w:rPr>
          <w:rFonts w:ascii="Century Gothic" w:eastAsia="Calibri" w:hAnsi="Century Gothic" w:cs="Arial"/>
          <w:color w:val="000000"/>
          <w:lang w:val="es-ES_tradnl" w:eastAsia="es-ES_tradnl"/>
        </w:rPr>
      </w:pPr>
    </w:p>
    <w:p w14:paraId="5A8CAE32" w14:textId="3DDFE7D9"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37046D">
        <w:rPr>
          <w:rFonts w:ascii="Century Gothic" w:eastAsia="Calibri" w:hAnsi="Century Gothic" w:cs="Arial"/>
          <w:bCs/>
          <w:lang w:val="es-MX" w:eastAsia="es-ES_tradnl"/>
        </w:rPr>
        <w:t xml:space="preserve">a señora </w:t>
      </w:r>
      <w:r w:rsidR="00987B91">
        <w:rPr>
          <w:rFonts w:ascii="Century Gothic" w:eastAsia="Calibri" w:hAnsi="Century Gothic" w:cs="Arial"/>
          <w:bCs/>
          <w:lang w:val="es-MX" w:eastAsia="es-ES_tradnl"/>
        </w:rPr>
        <w:t>Rodriguez:</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0A74D9AF"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E71EC0">
        <w:rPr>
          <w:rFonts w:ascii="Century Gothic" w:eastAsia="Calibri" w:hAnsi="Century Gothic" w:cs="Arial"/>
          <w:lang w:val="es-ES" w:eastAsia="es-ES"/>
        </w:rPr>
        <w:t>27</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junio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2CF197D2" w:rsidR="00871B59" w:rsidRPr="00916160" w:rsidRDefault="00871B59" w:rsidP="00987B91">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987B91" w:rsidRPr="00987B91">
        <w:rPr>
          <w:rFonts w:ascii="Century Gothic" w:eastAsia="Century Gothic" w:hAnsi="Century Gothic" w:cs="Century Gothic"/>
          <w:sz w:val="20"/>
          <w:szCs w:val="20"/>
        </w:rPr>
        <w:t>De manera atenta, nos permitimos solicitar el medio de confirmación de la tasa de cambio que determina cada dos años el</w:t>
      </w:r>
      <w:r w:rsidR="00987B91">
        <w:rPr>
          <w:rFonts w:ascii="Century Gothic" w:eastAsia="Century Gothic" w:hAnsi="Century Gothic" w:cs="Century Gothic"/>
          <w:sz w:val="20"/>
          <w:szCs w:val="20"/>
        </w:rPr>
        <w:t xml:space="preserve"> </w:t>
      </w:r>
      <w:r w:rsidR="00987B91" w:rsidRPr="00987B91">
        <w:rPr>
          <w:rFonts w:ascii="Century Gothic" w:eastAsia="Century Gothic" w:hAnsi="Century Gothic" w:cs="Century Gothic"/>
          <w:sz w:val="20"/>
          <w:szCs w:val="20"/>
        </w:rPr>
        <w:t>Ministerio de Comercio, Industria y Turismo, para determinar si un proceso es susceptible de LIMITARSE A MIPYMES</w:t>
      </w:r>
      <w:r w:rsidR="00987B91">
        <w:rPr>
          <w:rFonts w:ascii="Century Gothic" w:eastAsia="Century Gothic" w:hAnsi="Century Gothic" w:cs="Century Gothic"/>
          <w:sz w:val="20"/>
          <w:szCs w:val="20"/>
        </w:rPr>
        <w:t xml:space="preserve"> </w:t>
      </w:r>
      <w:r w:rsidR="00987B91" w:rsidRPr="00987B91">
        <w:rPr>
          <w:rFonts w:ascii="Century Gothic" w:eastAsia="Century Gothic" w:hAnsi="Century Gothic" w:cs="Century Gothic"/>
          <w:sz w:val="20"/>
          <w:szCs w:val="20"/>
        </w:rPr>
        <w:t xml:space="preserve">(teniendo en cuenta que el valor del Proceso de Contratación es </w:t>
      </w:r>
      <w:r w:rsidR="00987B91" w:rsidRPr="00987B91">
        <w:rPr>
          <w:rFonts w:ascii="Century Gothic" w:eastAsia="Century Gothic" w:hAnsi="Century Gothic" w:cs="Century Gothic"/>
          <w:sz w:val="20"/>
          <w:szCs w:val="20"/>
        </w:rPr>
        <w:lastRenderedPageBreak/>
        <w:t>mayor a ciento veinticinco mil dólares de los Estados</w:t>
      </w:r>
      <w:r w:rsidR="00987B91">
        <w:rPr>
          <w:rFonts w:ascii="Century Gothic" w:eastAsia="Century Gothic" w:hAnsi="Century Gothic" w:cs="Century Gothic"/>
          <w:sz w:val="20"/>
          <w:szCs w:val="20"/>
        </w:rPr>
        <w:t xml:space="preserve"> </w:t>
      </w:r>
      <w:r w:rsidR="00987B91" w:rsidRPr="00987B91">
        <w:rPr>
          <w:rFonts w:ascii="Century Gothic" w:eastAsia="Century Gothic" w:hAnsi="Century Gothic" w:cs="Century Gothic"/>
          <w:sz w:val="20"/>
          <w:szCs w:val="20"/>
        </w:rPr>
        <w:t>Unidos de América (US 125.000))</w:t>
      </w:r>
      <w:r w:rsidR="0037046D" w:rsidRPr="0037046D">
        <w:rPr>
          <w:rFonts w:ascii="Century Gothic" w:eastAsia="Century Gothic" w:hAnsi="Century Gothic" w:cs="Century Gothic"/>
          <w:sz w:val="20"/>
          <w:szCs w:val="20"/>
        </w:rPr>
        <w:t>.</w:t>
      </w:r>
      <w:r w:rsidR="0037046D">
        <w:rPr>
          <w:rFonts w:ascii="Century Gothic" w:eastAsia="Century Gothic" w:hAnsi="Century Gothic" w:cs="Century Gothic"/>
          <w:sz w:val="20"/>
          <w:szCs w:val="20"/>
        </w:rPr>
        <w:t xml:space="preserve"> </w:t>
      </w:r>
      <w:r w:rsidR="006E1D19" w:rsidRPr="00A83E50">
        <w:rPr>
          <w:rFonts w:ascii="Century Gothic" w:eastAsia="Century Gothic" w:hAnsi="Century Gothic" w:cs="Century Gothic"/>
          <w:sz w:val="20"/>
          <w:szCs w:val="20"/>
          <w:lang w:val="es-ES"/>
        </w:rPr>
        <w:t>[sic]</w:t>
      </w:r>
      <w:r w:rsidR="0037046D">
        <w:rPr>
          <w:rFonts w:ascii="Century Gothic" w:eastAsia="Century Gothic" w:hAnsi="Century Gothic" w:cs="Century Gothic"/>
          <w:sz w:val="20"/>
          <w:szCs w:val="20"/>
          <w:lang w:val="es-ES"/>
        </w:rPr>
        <w:t>”</w:t>
      </w:r>
    </w:p>
    <w:p w14:paraId="5DA77AFA" w14:textId="77777777" w:rsidR="00987B91" w:rsidRDefault="00987B91" w:rsidP="00871B59">
      <w:pPr>
        <w:spacing w:after="120" w:line="276" w:lineRule="auto"/>
        <w:ind w:firstLine="709"/>
        <w:jc w:val="both"/>
        <w:rPr>
          <w:rFonts w:ascii="Century Gothic" w:eastAsia="Calibri" w:hAnsi="Century Gothic" w:cs="Arial"/>
          <w:color w:val="000000"/>
          <w:lang w:val="es-ES" w:eastAsia="es-ES"/>
        </w:rPr>
      </w:pPr>
    </w:p>
    <w:p w14:paraId="30F17EAD" w14:textId="4B5A2E1A"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38C320BB"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7700D3">
        <w:rPr>
          <w:rFonts w:ascii="Century Gothic" w:hAnsi="Century Gothic"/>
        </w:rPr>
        <w:t>C</w:t>
      </w:r>
      <w:r w:rsidR="007700D3" w:rsidRPr="00DD17C4">
        <w:rPr>
          <w:rFonts w:ascii="Century Gothic" w:hAnsi="Century Gothic"/>
        </w:rPr>
        <w:t xml:space="preserve">uál </w:t>
      </w:r>
      <w:r w:rsidR="007700D3">
        <w:rPr>
          <w:rFonts w:ascii="Century Gothic" w:hAnsi="Century Gothic"/>
        </w:rPr>
        <w:t>es el</w:t>
      </w:r>
      <w:r w:rsidR="007700D3" w:rsidRPr="00DD17C4">
        <w:rPr>
          <w:rFonts w:ascii="Century Gothic" w:hAnsi="Century Gothic"/>
        </w:rPr>
        <w:t xml:space="preserve"> Umbral </w:t>
      </w:r>
      <w:r w:rsidR="00D17400">
        <w:rPr>
          <w:rFonts w:ascii="Century Gothic" w:hAnsi="Century Gothic"/>
        </w:rPr>
        <w:t xml:space="preserve">para limitar las convocatorias a </w:t>
      </w:r>
      <w:r w:rsidR="00D17400" w:rsidRPr="00DD17C4">
        <w:rPr>
          <w:rFonts w:ascii="Century Gothic" w:hAnsi="Century Gothic"/>
        </w:rPr>
        <w:t>MiPymes</w:t>
      </w:r>
      <w:r w:rsidR="007700D3">
        <w:rPr>
          <w:rFonts w:ascii="Century Gothic" w:hAnsi="Century Gothic"/>
        </w:rPr>
        <w:t xml:space="preserve"> </w:t>
      </w:r>
      <w:r w:rsidR="00D17400">
        <w:rPr>
          <w:rFonts w:ascii="Century Gothic" w:hAnsi="Century Gothic"/>
        </w:rPr>
        <w:t xml:space="preserve">en los Procesos de Contratación </w:t>
      </w:r>
      <w:r w:rsidR="007700D3">
        <w:rPr>
          <w:rFonts w:ascii="Century Gothic" w:hAnsi="Century Gothic"/>
        </w:rPr>
        <w:t>para 2024</w:t>
      </w:r>
      <w:r w:rsidR="00916160" w:rsidRPr="00916160">
        <w:rPr>
          <w:rFonts w:ascii="Century Gothic" w:eastAsia="Century Gothic" w:hAnsi="Century Gothic" w:cs="Century Gothic"/>
        </w:rPr>
        <w:t>?</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741C328F" w14:textId="77777777" w:rsidR="00D17400" w:rsidRPr="00E43EBA" w:rsidRDefault="00D17400"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2C46441E" w14:textId="4D71983E" w:rsidR="007700D3" w:rsidRPr="00DD17C4" w:rsidRDefault="007700D3" w:rsidP="007700D3">
            <w:pPr>
              <w:spacing w:line="276" w:lineRule="auto"/>
              <w:contextualSpacing/>
              <w:jc w:val="both"/>
              <w:rPr>
                <w:rFonts w:ascii="Century Gothic" w:hAnsi="Century Gothic"/>
              </w:rPr>
            </w:pPr>
            <w:r>
              <w:rPr>
                <w:rFonts w:ascii="Century Gothic" w:eastAsia="Calibri" w:hAnsi="Century Gothic" w:cs="Arial"/>
                <w:color w:val="000000" w:themeColor="text1"/>
              </w:rPr>
              <w:t xml:space="preserve">Se </w:t>
            </w:r>
            <w:r w:rsidRPr="00DD17C4">
              <w:rPr>
                <w:rFonts w:ascii="Century Gothic" w:hAnsi="Century Gothic"/>
              </w:rPr>
              <w:t xml:space="preserve">le informa que el 9 de febrero de 2024 fue actualizado el documento denominado </w:t>
            </w:r>
            <w:hyperlink r:id="rId12" w:history="1">
              <w:r w:rsidRPr="00DD17C4">
                <w:rPr>
                  <w:rFonts w:ascii="Century Gothic" w:hAnsi="Century Gothic"/>
                  <w:b/>
                  <w:bCs/>
                </w:rPr>
                <w:t>"Valores a partir de los cuales son aplicables los Acuerdos Comerciales (Umbrales)"</w:t>
              </w:r>
            </w:hyperlink>
            <w:r w:rsidRPr="00DD17C4">
              <w:rPr>
                <w:rFonts w:ascii="Century Gothic" w:hAnsi="Century Gothic"/>
              </w:rPr>
              <w:t xml:space="preserve"> en el cual se relaciona el Umbral de Mi</w:t>
            </w:r>
            <w:r>
              <w:rPr>
                <w:rFonts w:ascii="Century Gothic" w:hAnsi="Century Gothic"/>
              </w:rPr>
              <w:t>P</w:t>
            </w:r>
            <w:r w:rsidRPr="00DD17C4">
              <w:rPr>
                <w:rFonts w:ascii="Century Gothic" w:hAnsi="Century Gothic"/>
              </w:rPr>
              <w:t>ymes</w:t>
            </w:r>
            <w:r>
              <w:rPr>
                <w:rFonts w:ascii="Century Gothic" w:hAnsi="Century Gothic"/>
              </w:rPr>
              <w:t xml:space="preserve"> para 2024,</w:t>
            </w:r>
            <w:r w:rsidRPr="00DD17C4">
              <w:rPr>
                <w:rFonts w:ascii="Century Gothic" w:hAnsi="Century Gothic"/>
              </w:rPr>
              <w:t xml:space="preserve"> así:  </w:t>
            </w:r>
          </w:p>
          <w:p w14:paraId="1EB00B8A" w14:textId="77777777" w:rsidR="007700D3" w:rsidRDefault="007700D3" w:rsidP="007700D3">
            <w:pPr>
              <w:spacing w:line="276" w:lineRule="auto"/>
              <w:contextualSpacing/>
              <w:jc w:val="both"/>
              <w:rPr>
                <w:rFonts w:ascii="Century Gothic" w:eastAsia="Calibri" w:hAnsi="Century Gothic" w:cs="Arial"/>
                <w:color w:val="000000" w:themeColor="text1"/>
              </w:rPr>
            </w:pPr>
          </w:p>
          <w:tbl>
            <w:tblPr>
              <w:tblStyle w:val="Tablaconcuadrcula"/>
              <w:tblW w:w="0" w:type="auto"/>
              <w:jc w:val="center"/>
              <w:tblLook w:val="04A0" w:firstRow="1" w:lastRow="0" w:firstColumn="1" w:lastColumn="0" w:noHBand="0" w:noVBand="1"/>
            </w:tblPr>
            <w:tblGrid>
              <w:gridCol w:w="1873"/>
              <w:gridCol w:w="1677"/>
            </w:tblGrid>
            <w:tr w:rsidR="007700D3" w:rsidRPr="00CF63CD" w14:paraId="2093200D" w14:textId="77777777" w:rsidTr="00167B1D">
              <w:trPr>
                <w:jc w:val="center"/>
              </w:trPr>
              <w:tc>
                <w:tcPr>
                  <w:tcW w:w="3550" w:type="dxa"/>
                  <w:gridSpan w:val="2"/>
                  <w:shd w:val="clear" w:color="auto" w:fill="D9E2F3" w:themeFill="accent1" w:themeFillTint="33"/>
                </w:tcPr>
                <w:p w14:paraId="62B78266" w14:textId="77777777" w:rsidR="007700D3" w:rsidRPr="00762CD5" w:rsidRDefault="007700D3" w:rsidP="007700D3">
                  <w:pPr>
                    <w:jc w:val="center"/>
                    <w:rPr>
                      <w:rFonts w:ascii="Work Sans" w:hAnsi="Work Sans" w:cs="Arial"/>
                      <w:b/>
                      <w:bCs/>
                      <w:szCs w:val="24"/>
                    </w:rPr>
                  </w:pPr>
                  <w:r w:rsidRPr="00762CD5">
                    <w:rPr>
                      <w:rFonts w:ascii="Work Sans" w:hAnsi="Work Sans" w:cs="Arial"/>
                      <w:b/>
                      <w:bCs/>
                    </w:rPr>
                    <w:t>UMBRAL</w:t>
                  </w:r>
                  <w:r w:rsidRPr="00762CD5">
                    <w:rPr>
                      <w:rFonts w:ascii="Work Sans" w:hAnsi="Work Sans" w:cs="Arial"/>
                      <w:b/>
                      <w:bCs/>
                      <w:szCs w:val="24"/>
                    </w:rPr>
                    <w:t xml:space="preserve"> </w:t>
                  </w:r>
                  <w:r>
                    <w:rPr>
                      <w:rFonts w:ascii="Work Sans" w:hAnsi="Work Sans" w:cs="Arial"/>
                      <w:b/>
                      <w:bCs/>
                      <w:szCs w:val="24"/>
                    </w:rPr>
                    <w:t>DE MI</w:t>
                  </w:r>
                  <w:r w:rsidRPr="00762CD5">
                    <w:rPr>
                      <w:rFonts w:ascii="Work Sans" w:hAnsi="Work Sans" w:cs="Arial"/>
                      <w:b/>
                      <w:bCs/>
                      <w:szCs w:val="24"/>
                    </w:rPr>
                    <w:t xml:space="preserve">PYMES </w:t>
                  </w:r>
                </w:p>
                <w:p w14:paraId="35127805" w14:textId="77777777" w:rsidR="007700D3" w:rsidRPr="00762CD5" w:rsidRDefault="007700D3" w:rsidP="007700D3">
                  <w:pPr>
                    <w:jc w:val="center"/>
                    <w:rPr>
                      <w:rFonts w:ascii="Work Sans" w:hAnsi="Work Sans" w:cs="Arial"/>
                      <w:b/>
                      <w:bCs/>
                      <w:szCs w:val="24"/>
                    </w:rPr>
                  </w:pPr>
                  <w:r w:rsidRPr="00762CD5">
                    <w:rPr>
                      <w:rFonts w:ascii="Work Sans" w:hAnsi="Work Sans" w:cs="Arial"/>
                      <w:b/>
                      <w:bCs/>
                      <w:szCs w:val="24"/>
                    </w:rPr>
                    <w:t>202</w:t>
                  </w:r>
                  <w:r>
                    <w:rPr>
                      <w:rFonts w:ascii="Work Sans" w:hAnsi="Work Sans" w:cs="Arial"/>
                      <w:b/>
                      <w:bCs/>
                      <w:szCs w:val="24"/>
                    </w:rPr>
                    <w:t>4</w:t>
                  </w:r>
                </w:p>
              </w:tc>
            </w:tr>
            <w:tr w:rsidR="007700D3" w:rsidRPr="00CF63CD" w14:paraId="3E42D43B" w14:textId="77777777" w:rsidTr="00167B1D">
              <w:trPr>
                <w:jc w:val="center"/>
              </w:trPr>
              <w:tc>
                <w:tcPr>
                  <w:tcW w:w="1873" w:type="dxa"/>
                </w:tcPr>
                <w:p w14:paraId="47414A18" w14:textId="77777777" w:rsidR="007700D3" w:rsidRPr="00762CD5" w:rsidRDefault="007700D3" w:rsidP="007700D3">
                  <w:pPr>
                    <w:jc w:val="both"/>
                    <w:rPr>
                      <w:rFonts w:ascii="Work Sans" w:hAnsi="Work Sans" w:cs="Arial"/>
                      <w:szCs w:val="24"/>
                    </w:rPr>
                  </w:pPr>
                  <w:r w:rsidRPr="00762CD5">
                    <w:rPr>
                      <w:rFonts w:ascii="Work Sans" w:hAnsi="Work Sans" w:cs="Arial"/>
                      <w:szCs w:val="24"/>
                    </w:rPr>
                    <w:t>US$</w:t>
                  </w:r>
                </w:p>
              </w:tc>
              <w:tc>
                <w:tcPr>
                  <w:tcW w:w="1677" w:type="dxa"/>
                </w:tcPr>
                <w:p w14:paraId="2EC45D7A" w14:textId="77777777" w:rsidR="007700D3" w:rsidRPr="00762CD5" w:rsidRDefault="007700D3" w:rsidP="007700D3">
                  <w:pPr>
                    <w:jc w:val="right"/>
                    <w:rPr>
                      <w:rFonts w:ascii="Work Sans" w:hAnsi="Work Sans" w:cs="Arial"/>
                      <w:szCs w:val="24"/>
                    </w:rPr>
                  </w:pPr>
                  <w:r w:rsidRPr="00762CD5">
                    <w:rPr>
                      <w:rFonts w:ascii="Work Sans" w:hAnsi="Work Sans" w:cs="Arial"/>
                      <w:szCs w:val="24"/>
                    </w:rPr>
                    <w:t>125.000</w:t>
                  </w:r>
                </w:p>
              </w:tc>
            </w:tr>
            <w:tr w:rsidR="007700D3" w:rsidRPr="00CF63CD" w14:paraId="22C6FD5B" w14:textId="77777777" w:rsidTr="00167B1D">
              <w:trPr>
                <w:jc w:val="center"/>
              </w:trPr>
              <w:tc>
                <w:tcPr>
                  <w:tcW w:w="1873" w:type="dxa"/>
                </w:tcPr>
                <w:p w14:paraId="24D4BD24" w14:textId="77777777" w:rsidR="007700D3" w:rsidRPr="00762CD5" w:rsidRDefault="007700D3" w:rsidP="007700D3">
                  <w:pPr>
                    <w:jc w:val="both"/>
                    <w:rPr>
                      <w:rFonts w:ascii="Work Sans" w:hAnsi="Work Sans" w:cs="Arial"/>
                      <w:szCs w:val="24"/>
                    </w:rPr>
                  </w:pPr>
                  <w:r>
                    <w:rPr>
                      <w:rFonts w:ascii="Work Sans" w:hAnsi="Work Sans" w:cs="Arial"/>
                      <w:szCs w:val="24"/>
                    </w:rPr>
                    <w:t>COL$</w:t>
                  </w:r>
                </w:p>
              </w:tc>
              <w:tc>
                <w:tcPr>
                  <w:tcW w:w="1677" w:type="dxa"/>
                </w:tcPr>
                <w:p w14:paraId="1068E287" w14:textId="77777777" w:rsidR="007700D3" w:rsidRPr="00762CD5" w:rsidRDefault="007700D3" w:rsidP="007700D3">
                  <w:pPr>
                    <w:jc w:val="right"/>
                    <w:rPr>
                      <w:rFonts w:ascii="Work Sans" w:hAnsi="Work Sans" w:cs="Arial"/>
                      <w:szCs w:val="24"/>
                    </w:rPr>
                  </w:pPr>
                  <w:r>
                    <w:rPr>
                      <w:rFonts w:ascii="Work Sans" w:hAnsi="Work Sans" w:cs="Arial"/>
                      <w:b/>
                      <w:bCs/>
                      <w:szCs w:val="24"/>
                    </w:rPr>
                    <w:t>532.338.092</w:t>
                  </w:r>
                </w:p>
              </w:tc>
            </w:tr>
          </w:tbl>
          <w:p w14:paraId="46F25B42"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5AA3CC97"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58EC9FFC" w14:textId="77777777" w:rsidR="007700D3" w:rsidRDefault="007700D3" w:rsidP="007700D3">
            <w:pPr>
              <w:spacing w:line="276" w:lineRule="auto"/>
              <w:contextualSpacing/>
              <w:jc w:val="both"/>
              <w:rPr>
                <w:rFonts w:ascii="Century Gothic" w:eastAsia="Calibri" w:hAnsi="Century Gothic" w:cs="Arial"/>
                <w:color w:val="000000" w:themeColor="text1"/>
              </w:rPr>
            </w:pPr>
            <w:r>
              <w:rPr>
                <w:rFonts w:ascii="Century Gothic" w:eastAsia="Calibri" w:hAnsi="Century Gothic" w:cs="Arial"/>
                <w:color w:val="000000" w:themeColor="text1"/>
              </w:rPr>
              <w:t xml:space="preserve">De igual forma, puede encontrar el documento completo en el siguiente enlace: </w:t>
            </w:r>
          </w:p>
          <w:p w14:paraId="08C26C4E"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47AEB666" w14:textId="75A1A1A6" w:rsidR="00916160" w:rsidRPr="001F48DA" w:rsidRDefault="00000000" w:rsidP="008B7F31">
            <w:pPr>
              <w:spacing w:line="276" w:lineRule="auto"/>
              <w:contextualSpacing/>
              <w:jc w:val="both"/>
              <w:rPr>
                <w:rFonts w:ascii="Century Gothic" w:eastAsia="Calibri" w:hAnsi="Century Gothic" w:cs="Arial"/>
                <w:lang w:val="es-ES_tradnl" w:eastAsia="es-MX"/>
              </w:rPr>
            </w:pPr>
            <w:hyperlink r:id="rId13" w:history="1">
              <w:r w:rsidR="007700D3" w:rsidRPr="00864CBD">
                <w:rPr>
                  <w:rStyle w:val="Hipervnculo"/>
                  <w:rFonts w:ascii="Century Gothic" w:eastAsia="Calibri" w:hAnsi="Century Gothic" w:cs="Arial"/>
                </w:rPr>
                <w:t>https://www.colombiacompra.gov.co/sites/cce_public/files/files_2020/acutalizacion_umbrales_cce_2024.pdf</w:t>
              </w:r>
            </w:hyperlink>
            <w:r w:rsidR="001F48DA">
              <w:rPr>
                <w:rFonts w:ascii="Arial" w:eastAsia="Calibri" w:hAnsi="Arial" w:cs="Arial"/>
                <w:color w:val="000000" w:themeColor="text1"/>
                <w:lang w:val="es-ES_tradnl" w:eastAsia="es-CO"/>
              </w:rPr>
              <w:t xml:space="preserve"> </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16AC7B26" w14:textId="54C5D405" w:rsidR="00685FFD"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 xml:space="preserve">El artículo 5 del Decreto 1860 de 2021, que modificó el artículo 2.2.1.2.4.2.2 del Decreto 1082 de 2015, reglamentó los requisitos para realizar convocatorias limitadas a Mipyme nacionales que, por lo menos, tengan un (1) año de existencia. El primer requisito fija un tope cuantitativo de los procesos contractuales que son susceptibles de limitarse a Mipyme,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El segundo requisito exige que al menos dos (2) Mipyme colombianas presenten a la Entidad Estatal la solicitud de limitar el proceso contractual; y, el tercer requisito establece que se haga la solicitud por lo menos un día (1) hábil antes de la expedición del acto administrativo de </w:t>
      </w:r>
      <w:r w:rsidRPr="008B7F31">
        <w:rPr>
          <w:rFonts w:ascii="Century Gothic" w:eastAsia="Calibri" w:hAnsi="Century Gothic" w:cs="Arial"/>
        </w:rPr>
        <w:lastRenderedPageBreak/>
        <w:t>apertura del proceso de contratación. Además, la norma señala que, tratándose de personas jurídicas, las solicitudes solo las podrán realizar Mipymes cuyo objeto social les permita ejecutar el contrato relacionado con el Proceso Contractual.</w:t>
      </w:r>
    </w:p>
    <w:p w14:paraId="1547CEF5" w14:textId="28428626"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Ahora bien, de conformidad con el parágrafo 1 del artículo 34 de la Ley 2069 de 2020, es posible limitar convocatorias a la participación de Mipymes “[…] del ámbito municipal o departamental correspondiente al de la ejecución del contrato”. Por su parte,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de comercio.</w:t>
      </w:r>
    </w:p>
    <w:p w14:paraId="1073A638" w14:textId="35A67FC4"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 xml:space="preserve">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r w:rsidRPr="008B7F31">
        <w:rPr>
          <w:rFonts w:ascii="Century Gothic" w:eastAsia="Calibri" w:hAnsi="Century Gothic" w:cs="Arial"/>
          <w:i/>
          <w:iCs/>
        </w:rPr>
        <w:t>motu propio</w:t>
      </w:r>
      <w:r w:rsidRPr="008B7F31">
        <w:rPr>
          <w:rFonts w:ascii="Century Gothic" w:eastAsia="Calibri" w:hAnsi="Century Gothic" w:cs="Arial"/>
        </w:rPr>
        <w:t xml:space="preserve">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w:t>
      </w:r>
      <w:r>
        <w:rPr>
          <w:rFonts w:ascii="Century Gothic" w:eastAsia="Calibri" w:hAnsi="Century Gothic" w:cs="Arial"/>
        </w:rPr>
        <w:t>numerales.</w:t>
      </w:r>
    </w:p>
    <w:p w14:paraId="0A3B24F7" w14:textId="0E059014"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Pr>
          <w:rFonts w:ascii="Century Gothic" w:eastAsia="Calibri" w:hAnsi="Century Gothic" w:cs="Arial"/>
        </w:rPr>
        <w:t>E</w:t>
      </w:r>
      <w:r w:rsidRPr="008B7F31">
        <w:rPr>
          <w:rFonts w:ascii="Century Gothic" w:eastAsia="Calibri" w:hAnsi="Century Gothic" w:cs="Arial"/>
        </w:rPr>
        <w:t xml:space="preserv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w:t>
      </w:r>
      <w:r w:rsidRPr="008B7F31">
        <w:rPr>
          <w:rFonts w:ascii="Century Gothic" w:eastAsia="Calibri" w:hAnsi="Century Gothic" w:cs="Arial"/>
        </w:rPr>
        <w:lastRenderedPageBreak/>
        <w:t>vez concurran todos los requisitos señalados anteriormente y siempre que cuenten con mínimo un (1) año de existencia. Así las cosas, es claro que el 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p>
    <w:p w14:paraId="76B2D1C1" w14:textId="4AB7A76D" w:rsidR="008B7F31" w:rsidRPr="008B7F31" w:rsidRDefault="00D17400" w:rsidP="008B7F31">
      <w:pPr>
        <w:pStyle w:val="Prrafodelista"/>
        <w:numPr>
          <w:ilvl w:val="0"/>
          <w:numId w:val="14"/>
        </w:numPr>
        <w:spacing w:after="0" w:line="276" w:lineRule="auto"/>
        <w:jc w:val="both"/>
        <w:rPr>
          <w:rFonts w:ascii="Century Gothic" w:hAnsi="Century Gothic"/>
        </w:rPr>
      </w:pPr>
      <w:r>
        <w:rPr>
          <w:rFonts w:ascii="Century Gothic" w:eastAsia="Calibri" w:hAnsi="Century Gothic" w:cs="Arial"/>
          <w:color w:val="000000" w:themeColor="text1"/>
        </w:rPr>
        <w:t>En este sentido e</w:t>
      </w:r>
      <w:r w:rsidR="008B7F31">
        <w:rPr>
          <w:rFonts w:ascii="Century Gothic" w:eastAsia="Calibri" w:hAnsi="Century Gothic" w:cs="Arial"/>
          <w:color w:val="000000" w:themeColor="text1"/>
        </w:rPr>
        <w:t xml:space="preserve">l </w:t>
      </w:r>
      <w:r w:rsidR="008B7F31" w:rsidRPr="008B7F31">
        <w:rPr>
          <w:rFonts w:ascii="Century Gothic" w:hAnsi="Century Gothic"/>
        </w:rPr>
        <w:t xml:space="preserve">9 de febrero de 2024 fue actualizado el documento denominado </w:t>
      </w:r>
      <w:hyperlink r:id="rId14" w:history="1">
        <w:r w:rsidR="008B7F31" w:rsidRPr="008B7F31">
          <w:rPr>
            <w:rFonts w:ascii="Century Gothic" w:hAnsi="Century Gothic"/>
            <w:b/>
            <w:bCs/>
          </w:rPr>
          <w:t>"Valores a partir de los cuales son aplicables los Acuerdos Comerciales (Umbrales)"</w:t>
        </w:r>
      </w:hyperlink>
      <w:r w:rsidR="008B7F31" w:rsidRPr="008B7F31">
        <w:rPr>
          <w:rFonts w:ascii="Century Gothic" w:hAnsi="Century Gothic"/>
        </w:rPr>
        <w:t xml:space="preserve"> en el cual se relaciona el Umbral de MiPymes para 2024, así:  </w:t>
      </w:r>
    </w:p>
    <w:p w14:paraId="4525BEDE"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tbl>
      <w:tblPr>
        <w:tblStyle w:val="Tablaconcuadrcula"/>
        <w:tblW w:w="0" w:type="auto"/>
        <w:jc w:val="center"/>
        <w:tblLook w:val="04A0" w:firstRow="1" w:lastRow="0" w:firstColumn="1" w:lastColumn="0" w:noHBand="0" w:noVBand="1"/>
      </w:tblPr>
      <w:tblGrid>
        <w:gridCol w:w="1873"/>
        <w:gridCol w:w="1677"/>
      </w:tblGrid>
      <w:tr w:rsidR="008B7F31" w:rsidRPr="00CF63CD" w14:paraId="7BC6FE62" w14:textId="77777777" w:rsidTr="00167B1D">
        <w:trPr>
          <w:jc w:val="center"/>
        </w:trPr>
        <w:tc>
          <w:tcPr>
            <w:tcW w:w="3550" w:type="dxa"/>
            <w:gridSpan w:val="2"/>
            <w:shd w:val="clear" w:color="auto" w:fill="D9E2F3" w:themeFill="accent1" w:themeFillTint="33"/>
          </w:tcPr>
          <w:p w14:paraId="541817E6" w14:textId="77777777" w:rsidR="008B7F31" w:rsidRPr="00762CD5" w:rsidRDefault="008B7F31" w:rsidP="00167B1D">
            <w:pPr>
              <w:jc w:val="center"/>
              <w:rPr>
                <w:rFonts w:ascii="Work Sans" w:hAnsi="Work Sans" w:cs="Arial"/>
                <w:b/>
                <w:bCs/>
                <w:szCs w:val="24"/>
              </w:rPr>
            </w:pPr>
            <w:r w:rsidRPr="00762CD5">
              <w:rPr>
                <w:rFonts w:ascii="Work Sans" w:hAnsi="Work Sans" w:cs="Arial"/>
                <w:b/>
                <w:bCs/>
              </w:rPr>
              <w:t>UMBRAL</w:t>
            </w:r>
            <w:r w:rsidRPr="00762CD5">
              <w:rPr>
                <w:rFonts w:ascii="Work Sans" w:hAnsi="Work Sans" w:cs="Arial"/>
                <w:b/>
                <w:bCs/>
                <w:szCs w:val="24"/>
              </w:rPr>
              <w:t xml:space="preserve"> </w:t>
            </w:r>
            <w:r>
              <w:rPr>
                <w:rFonts w:ascii="Work Sans" w:hAnsi="Work Sans" w:cs="Arial"/>
                <w:b/>
                <w:bCs/>
                <w:szCs w:val="24"/>
              </w:rPr>
              <w:t>DE MI</w:t>
            </w:r>
            <w:r w:rsidRPr="00762CD5">
              <w:rPr>
                <w:rFonts w:ascii="Work Sans" w:hAnsi="Work Sans" w:cs="Arial"/>
                <w:b/>
                <w:bCs/>
                <w:szCs w:val="24"/>
              </w:rPr>
              <w:t xml:space="preserve">PYMES </w:t>
            </w:r>
          </w:p>
          <w:p w14:paraId="3B59B6CF" w14:textId="77777777" w:rsidR="008B7F31" w:rsidRPr="00762CD5" w:rsidRDefault="008B7F31" w:rsidP="00167B1D">
            <w:pPr>
              <w:jc w:val="center"/>
              <w:rPr>
                <w:rFonts w:ascii="Work Sans" w:hAnsi="Work Sans" w:cs="Arial"/>
                <w:b/>
                <w:bCs/>
                <w:szCs w:val="24"/>
              </w:rPr>
            </w:pPr>
            <w:r w:rsidRPr="00762CD5">
              <w:rPr>
                <w:rFonts w:ascii="Work Sans" w:hAnsi="Work Sans" w:cs="Arial"/>
                <w:b/>
                <w:bCs/>
                <w:szCs w:val="24"/>
              </w:rPr>
              <w:t>202</w:t>
            </w:r>
            <w:r>
              <w:rPr>
                <w:rFonts w:ascii="Work Sans" w:hAnsi="Work Sans" w:cs="Arial"/>
                <w:b/>
                <w:bCs/>
                <w:szCs w:val="24"/>
              </w:rPr>
              <w:t>4</w:t>
            </w:r>
          </w:p>
        </w:tc>
      </w:tr>
      <w:tr w:rsidR="008B7F31" w:rsidRPr="00CF63CD" w14:paraId="795BA071" w14:textId="77777777" w:rsidTr="00167B1D">
        <w:trPr>
          <w:jc w:val="center"/>
        </w:trPr>
        <w:tc>
          <w:tcPr>
            <w:tcW w:w="1873" w:type="dxa"/>
          </w:tcPr>
          <w:p w14:paraId="1C19F7FB" w14:textId="77777777" w:rsidR="008B7F31" w:rsidRPr="00762CD5" w:rsidRDefault="008B7F31" w:rsidP="00167B1D">
            <w:pPr>
              <w:jc w:val="both"/>
              <w:rPr>
                <w:rFonts w:ascii="Work Sans" w:hAnsi="Work Sans" w:cs="Arial"/>
                <w:szCs w:val="24"/>
              </w:rPr>
            </w:pPr>
            <w:r w:rsidRPr="00762CD5">
              <w:rPr>
                <w:rFonts w:ascii="Work Sans" w:hAnsi="Work Sans" w:cs="Arial"/>
                <w:szCs w:val="24"/>
              </w:rPr>
              <w:t>US$</w:t>
            </w:r>
          </w:p>
        </w:tc>
        <w:tc>
          <w:tcPr>
            <w:tcW w:w="1677" w:type="dxa"/>
          </w:tcPr>
          <w:p w14:paraId="2B4B0DC2" w14:textId="77777777" w:rsidR="008B7F31" w:rsidRPr="00762CD5" w:rsidRDefault="008B7F31" w:rsidP="00167B1D">
            <w:pPr>
              <w:jc w:val="right"/>
              <w:rPr>
                <w:rFonts w:ascii="Work Sans" w:hAnsi="Work Sans" w:cs="Arial"/>
                <w:szCs w:val="24"/>
              </w:rPr>
            </w:pPr>
            <w:r w:rsidRPr="00762CD5">
              <w:rPr>
                <w:rFonts w:ascii="Work Sans" w:hAnsi="Work Sans" w:cs="Arial"/>
                <w:szCs w:val="24"/>
              </w:rPr>
              <w:t>125.000</w:t>
            </w:r>
          </w:p>
        </w:tc>
      </w:tr>
      <w:tr w:rsidR="008B7F31" w:rsidRPr="00CF63CD" w14:paraId="058440E0" w14:textId="77777777" w:rsidTr="00167B1D">
        <w:trPr>
          <w:jc w:val="center"/>
        </w:trPr>
        <w:tc>
          <w:tcPr>
            <w:tcW w:w="1873" w:type="dxa"/>
          </w:tcPr>
          <w:p w14:paraId="4B270E81" w14:textId="77777777" w:rsidR="008B7F31" w:rsidRPr="00762CD5" w:rsidRDefault="008B7F31" w:rsidP="00167B1D">
            <w:pPr>
              <w:jc w:val="both"/>
              <w:rPr>
                <w:rFonts w:ascii="Work Sans" w:hAnsi="Work Sans" w:cs="Arial"/>
                <w:szCs w:val="24"/>
              </w:rPr>
            </w:pPr>
            <w:r>
              <w:rPr>
                <w:rFonts w:ascii="Work Sans" w:hAnsi="Work Sans" w:cs="Arial"/>
                <w:szCs w:val="24"/>
              </w:rPr>
              <w:t>COL$</w:t>
            </w:r>
          </w:p>
        </w:tc>
        <w:tc>
          <w:tcPr>
            <w:tcW w:w="1677" w:type="dxa"/>
          </w:tcPr>
          <w:p w14:paraId="346443A8" w14:textId="77777777" w:rsidR="008B7F31" w:rsidRPr="00762CD5" w:rsidRDefault="008B7F31" w:rsidP="00167B1D">
            <w:pPr>
              <w:jc w:val="right"/>
              <w:rPr>
                <w:rFonts w:ascii="Work Sans" w:hAnsi="Work Sans" w:cs="Arial"/>
                <w:szCs w:val="24"/>
              </w:rPr>
            </w:pPr>
            <w:r>
              <w:rPr>
                <w:rFonts w:ascii="Work Sans" w:hAnsi="Work Sans" w:cs="Arial"/>
                <w:b/>
                <w:bCs/>
                <w:szCs w:val="24"/>
              </w:rPr>
              <w:t>532.338.092</w:t>
            </w:r>
          </w:p>
        </w:tc>
      </w:tr>
    </w:tbl>
    <w:p w14:paraId="3DB997BC"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2A81E753"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029EE920"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5"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6"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lastRenderedPageBreak/>
        <w:t>Doctrina de la Agencia Nacional de Contratación Pública:</w:t>
      </w:r>
    </w:p>
    <w:p w14:paraId="41294D6D" w14:textId="77777777" w:rsidR="00871B59" w:rsidRDefault="00871B59" w:rsidP="00871B59">
      <w:pPr>
        <w:widowControl w:val="0"/>
        <w:autoSpaceDE w:val="0"/>
        <w:autoSpaceDN w:val="0"/>
        <w:spacing w:after="0" w:line="276" w:lineRule="auto"/>
        <w:jc w:val="both"/>
        <w:rPr>
          <w:rFonts w:ascii="Century Gothic" w:hAnsi="Century Gothic" w:cs="Arial"/>
        </w:rPr>
      </w:pPr>
    </w:p>
    <w:p w14:paraId="0A6FE44F"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688C30E7" w14:textId="1971F652"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w:t>
      </w:r>
      <w:r w:rsidR="0031699C" w:rsidRPr="00685FFD">
        <w:rPr>
          <w:rFonts w:ascii="Century Gothic" w:eastAsia="Calibri" w:hAnsi="Century Gothic" w:cs="Arial"/>
          <w:color w:val="000000"/>
          <w:lang w:val="es-ES"/>
        </w:rPr>
        <w:t>Conceptos número</w:t>
      </w:r>
      <w:r w:rsidR="00685FFD" w:rsidRPr="00685FFD">
        <w:rPr>
          <w:rFonts w:ascii="Century Gothic" w:eastAsia="Calibri" w:hAnsi="Century Gothic" w:cs="Arial"/>
          <w:color w:val="000000"/>
          <w:lang w:val="es-ES"/>
        </w:rPr>
        <w:t xml:space="preserve"> Conceptos</w:t>
      </w:r>
      <w:r w:rsidR="00D17400" w:rsidRPr="00D17400">
        <w:t xml:space="preserve"> </w:t>
      </w:r>
      <w:r w:rsidR="00D17400" w:rsidRPr="00D17400">
        <w:rPr>
          <w:rFonts w:ascii="Century Gothic" w:eastAsia="Calibri" w:hAnsi="Century Gothic" w:cs="Arial"/>
          <w:color w:val="000000"/>
        </w:rPr>
        <w:t>Concepto C-705 de 7 de diciembre de 2020, C-438 de 27 de septiembre de 2021, C-041 de 2 de marzo de 2022, C-361 de 20 de mayo de 2021, C-473 de 25 de julio de 2022, C-539 de 29 de agosto de 2022, C-585 del 19 de septiembre de 2022, C-587 del 21 de septiembre de 2022, C-597 del 9 de septiembre de 2022, C-627 del 12 de septiembre de 2022, C-643 del 10 de octubre de 2022 y C-662 del 13 de octubre de 2022</w:t>
      </w:r>
      <w:r w:rsidR="00685FFD" w:rsidRPr="00685FFD">
        <w:rPr>
          <w:rFonts w:ascii="Century Gothic" w:eastAsia="Calibri" w:hAnsi="Century Gothic" w:cs="Arial"/>
          <w:color w:val="000000"/>
          <w:lang w:val="es-ES"/>
        </w:rPr>
        <w:t>, entre otros</w:t>
      </w:r>
      <w:r w:rsidRPr="00E43EBA">
        <w:rPr>
          <w:rFonts w:ascii="Century Gothic" w:eastAsia="Calibri" w:hAnsi="Century Gothic" w:cs="Arial"/>
          <w:color w:val="000000"/>
          <w:lang w:val="es-ES"/>
        </w:rPr>
        <w:t>.</w:t>
      </w:r>
      <w:r w:rsidR="00685FFD">
        <w:rPr>
          <w:rFonts w:ascii="Century Gothic" w:eastAsia="Calibri" w:hAnsi="Century Gothic" w:cs="Arial"/>
          <w:color w:val="000000"/>
          <w:lang w:val="es-ES"/>
        </w:rPr>
        <w:t xml:space="preserve"> </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7"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5384012E" w14:textId="77777777" w:rsidR="0031699C"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8"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980ECB3" w14:textId="77777777" w:rsidR="00871B59" w:rsidRDefault="00871B59" w:rsidP="00871B59">
      <w:pPr>
        <w:widowControl w:val="0"/>
        <w:autoSpaceDE w:val="0"/>
        <w:autoSpaceDN w:val="0"/>
        <w:spacing w:after="0" w:line="276" w:lineRule="auto"/>
        <w:jc w:val="both"/>
        <w:rPr>
          <w:rFonts w:ascii="Century Gothic" w:hAnsi="Century Gothic" w:cs="Arial"/>
        </w:rPr>
      </w:pPr>
    </w:p>
    <w:p w14:paraId="618EB3FF" w14:textId="77777777" w:rsidR="0031699C" w:rsidRDefault="0031699C" w:rsidP="00871B59">
      <w:pPr>
        <w:widowControl w:val="0"/>
        <w:autoSpaceDE w:val="0"/>
        <w:autoSpaceDN w:val="0"/>
        <w:spacing w:after="0" w:line="276" w:lineRule="auto"/>
        <w:jc w:val="both"/>
        <w:rPr>
          <w:rFonts w:ascii="Century Gothic" w:hAnsi="Century Gothic" w:cs="Arial"/>
        </w:rPr>
      </w:pPr>
    </w:p>
    <w:p w14:paraId="35836F7A" w14:textId="07B2A4CB" w:rsidR="0031699C" w:rsidRDefault="0031699C" w:rsidP="00871B59">
      <w:pPr>
        <w:widowControl w:val="0"/>
        <w:autoSpaceDE w:val="0"/>
        <w:autoSpaceDN w:val="0"/>
        <w:spacing w:after="0" w:line="276" w:lineRule="auto"/>
        <w:jc w:val="both"/>
        <w:rPr>
          <w:rFonts w:ascii="Century Gothic" w:hAnsi="Century Gothic" w:cs="Arial"/>
        </w:rPr>
      </w:pPr>
      <w:r w:rsidRPr="0031699C">
        <w:rPr>
          <w:rFonts w:ascii="Century Gothic" w:hAnsi="Century Gothic" w:cs="Arial"/>
        </w:rPr>
        <w:t>También le recomendamos consultar las versiones I y II de 2024 del Boletín de Relatoría de la Subdirección de Gestión Contractual, las cuales puede descargar en la página web de la Agencia: </w:t>
      </w:r>
      <w:hyperlink r:id="rId19" w:tgtFrame="_blank" w:tooltip="Dirección URL original: https://www.colombiacompra.gov.co/sala-de-prensa/boletin-digital. Haga clic o pulse si confía en este vínculo." w:history="1">
        <w:r w:rsidRPr="0031699C">
          <w:rPr>
            <w:rStyle w:val="Hipervnculo"/>
            <w:rFonts w:ascii="Century Gothic" w:hAnsi="Century Gothic" w:cs="Arial"/>
          </w:rPr>
          <w:t>https://www.colombiacompra.gov.co/sala-de-prensa/boletin-digital</w:t>
        </w:r>
      </w:hyperlink>
      <w:r w:rsidRPr="0031699C">
        <w:rPr>
          <w:rFonts w:ascii="Century Gothic" w:hAnsi="Century Gothic" w:cs="Arial"/>
        </w:rPr>
        <w:t xml:space="preserve">. </w:t>
      </w:r>
    </w:p>
    <w:p w14:paraId="584CCC13" w14:textId="77777777" w:rsidR="00D17400" w:rsidRDefault="00D17400" w:rsidP="00871B59">
      <w:pPr>
        <w:widowControl w:val="0"/>
        <w:autoSpaceDE w:val="0"/>
        <w:autoSpaceDN w:val="0"/>
        <w:spacing w:after="0" w:line="276" w:lineRule="auto"/>
        <w:jc w:val="both"/>
        <w:rPr>
          <w:rFonts w:ascii="Century Gothic" w:hAnsi="Century Gothic" w:cs="Arial"/>
        </w:rPr>
      </w:pPr>
    </w:p>
    <w:p w14:paraId="004AD407" w14:textId="77777777" w:rsidR="00D17400" w:rsidRDefault="00D17400" w:rsidP="00871B59">
      <w:pPr>
        <w:widowControl w:val="0"/>
        <w:autoSpaceDE w:val="0"/>
        <w:autoSpaceDN w:val="0"/>
        <w:spacing w:after="0" w:line="276" w:lineRule="auto"/>
        <w:jc w:val="both"/>
        <w:rPr>
          <w:rFonts w:ascii="Century Gothic" w:hAnsi="Century Gothic" w:cs="Arial"/>
        </w:rPr>
      </w:pPr>
    </w:p>
    <w:p w14:paraId="1BB76930" w14:textId="77777777" w:rsidR="00D17400" w:rsidRDefault="00D17400" w:rsidP="00871B59">
      <w:pPr>
        <w:widowControl w:val="0"/>
        <w:autoSpaceDE w:val="0"/>
        <w:autoSpaceDN w:val="0"/>
        <w:spacing w:after="0" w:line="276" w:lineRule="auto"/>
        <w:jc w:val="both"/>
        <w:rPr>
          <w:rFonts w:ascii="Century Gothic" w:hAnsi="Century Gothic" w:cs="Arial"/>
        </w:rPr>
      </w:pPr>
    </w:p>
    <w:p w14:paraId="67D966E7" w14:textId="77777777" w:rsidR="00D17400" w:rsidRDefault="00D17400" w:rsidP="00871B59">
      <w:pPr>
        <w:widowControl w:val="0"/>
        <w:autoSpaceDE w:val="0"/>
        <w:autoSpaceDN w:val="0"/>
        <w:spacing w:after="0" w:line="276" w:lineRule="auto"/>
        <w:jc w:val="both"/>
        <w:rPr>
          <w:rFonts w:ascii="Century Gothic" w:hAnsi="Century Gothic" w:cs="Arial"/>
        </w:rPr>
      </w:pPr>
    </w:p>
    <w:p w14:paraId="0A195D3E" w14:textId="77777777" w:rsidR="003376DC" w:rsidRDefault="003376DC" w:rsidP="00871B59">
      <w:pPr>
        <w:widowControl w:val="0"/>
        <w:autoSpaceDE w:val="0"/>
        <w:autoSpaceDN w:val="0"/>
        <w:spacing w:after="0" w:line="276" w:lineRule="auto"/>
        <w:jc w:val="both"/>
        <w:rPr>
          <w:rFonts w:ascii="Century Gothic" w:hAnsi="Century Gothic" w:cs="Arial"/>
        </w:rPr>
      </w:pPr>
    </w:p>
    <w:p w14:paraId="3EE6ECF8" w14:textId="77777777" w:rsidR="003376DC" w:rsidRDefault="003376DC" w:rsidP="00871B59">
      <w:pPr>
        <w:widowControl w:val="0"/>
        <w:autoSpaceDE w:val="0"/>
        <w:autoSpaceDN w:val="0"/>
        <w:spacing w:after="0" w:line="276" w:lineRule="auto"/>
        <w:jc w:val="both"/>
        <w:rPr>
          <w:rFonts w:ascii="Century Gothic" w:hAnsi="Century Gothic" w:cs="Arial"/>
        </w:rPr>
      </w:pPr>
    </w:p>
    <w:p w14:paraId="599BA50D" w14:textId="77777777" w:rsidR="003376DC" w:rsidRDefault="003376DC" w:rsidP="00871B59">
      <w:pPr>
        <w:widowControl w:val="0"/>
        <w:autoSpaceDE w:val="0"/>
        <w:autoSpaceDN w:val="0"/>
        <w:spacing w:after="0" w:line="276" w:lineRule="auto"/>
        <w:jc w:val="both"/>
        <w:rPr>
          <w:rFonts w:ascii="Century Gothic" w:hAnsi="Century Gothic" w:cs="Arial"/>
        </w:rPr>
      </w:pPr>
    </w:p>
    <w:p w14:paraId="01F541CC" w14:textId="77777777" w:rsidR="003376DC" w:rsidRDefault="003376DC" w:rsidP="00871B59">
      <w:pPr>
        <w:widowControl w:val="0"/>
        <w:autoSpaceDE w:val="0"/>
        <w:autoSpaceDN w:val="0"/>
        <w:spacing w:after="0" w:line="276" w:lineRule="auto"/>
        <w:jc w:val="both"/>
        <w:rPr>
          <w:rFonts w:ascii="Century Gothic" w:hAnsi="Century Gothic" w:cs="Arial"/>
        </w:rPr>
      </w:pPr>
    </w:p>
    <w:p w14:paraId="7FD46418" w14:textId="77777777" w:rsidR="003376DC" w:rsidRDefault="003376DC" w:rsidP="00871B59">
      <w:pPr>
        <w:widowControl w:val="0"/>
        <w:autoSpaceDE w:val="0"/>
        <w:autoSpaceDN w:val="0"/>
        <w:spacing w:after="0" w:line="276" w:lineRule="auto"/>
        <w:jc w:val="both"/>
        <w:rPr>
          <w:rFonts w:ascii="Century Gothic" w:hAnsi="Century Gothic" w:cs="Arial"/>
        </w:rPr>
      </w:pPr>
    </w:p>
    <w:p w14:paraId="2D9D5413" w14:textId="77777777" w:rsidR="003376DC" w:rsidRDefault="003376DC" w:rsidP="00871B59">
      <w:pPr>
        <w:widowControl w:val="0"/>
        <w:autoSpaceDE w:val="0"/>
        <w:autoSpaceDN w:val="0"/>
        <w:spacing w:after="0" w:line="276" w:lineRule="auto"/>
        <w:jc w:val="both"/>
        <w:rPr>
          <w:rFonts w:ascii="Century Gothic" w:hAnsi="Century Gothic" w:cs="Arial"/>
        </w:rPr>
      </w:pPr>
    </w:p>
    <w:p w14:paraId="2D0B1E63" w14:textId="77777777" w:rsidR="00D17400" w:rsidRDefault="00D17400" w:rsidP="00871B59">
      <w:pPr>
        <w:widowControl w:val="0"/>
        <w:autoSpaceDE w:val="0"/>
        <w:autoSpaceDN w:val="0"/>
        <w:spacing w:after="0" w:line="276" w:lineRule="auto"/>
        <w:jc w:val="both"/>
        <w:rPr>
          <w:rFonts w:ascii="Century Gothic" w:hAnsi="Century Gothic" w:cs="Arial"/>
        </w:rPr>
      </w:pPr>
    </w:p>
    <w:p w14:paraId="08421D77"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3E0E87AA" w:rsidR="00871B59" w:rsidRPr="00593A5F" w:rsidRDefault="00346A4B"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4E774AD1" wp14:editId="517E076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3B269338" w:rsidR="007A7364" w:rsidRPr="00685FFD" w:rsidRDefault="00E71EC0"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F80C80" w14:textId="15BB0A43" w:rsidR="0031699C" w:rsidRPr="00685FFD" w:rsidRDefault="00D17400" w:rsidP="002607A7">
            <w:pPr>
              <w:pStyle w:val="paragraph"/>
              <w:spacing w:before="0" w:beforeAutospacing="0" w:after="0" w:afterAutospacing="0"/>
              <w:contextualSpacing/>
              <w:textAlignment w:val="baseline"/>
              <w:rPr>
                <w:rFonts w:ascii="Century Gothic" w:eastAsiaTheme="minorHAnsi" w:hAnsi="Century Gothic"/>
                <w:sz w:val="16"/>
                <w:szCs w:val="16"/>
                <w:lang w:val="es-ES_tradnl" w:eastAsia="en-US"/>
              </w:rPr>
            </w:pPr>
            <w:r>
              <w:rPr>
                <w:rFonts w:ascii="Century Gothic" w:eastAsiaTheme="minorHAnsi" w:hAnsi="Century Gothic"/>
                <w:sz w:val="16"/>
                <w:szCs w:val="16"/>
                <w:lang w:val="es-ES_tradnl" w:eastAsia="en-US"/>
              </w:rPr>
              <w:t xml:space="preserve">Adriana López </w:t>
            </w:r>
          </w:p>
          <w:p w14:paraId="408B71DB" w14:textId="0A2E1569" w:rsidR="00871B59" w:rsidRPr="00685FFD" w:rsidRDefault="007A7364" w:rsidP="002607A7">
            <w:pPr>
              <w:pStyle w:val="paragraph"/>
              <w:spacing w:before="0" w:beforeAutospacing="0" w:after="0" w:afterAutospacing="0"/>
              <w:contextualSpacing/>
              <w:textAlignment w:val="baseline"/>
              <w:rPr>
                <w:rFonts w:ascii="Century Gothic" w:eastAsiaTheme="minorHAnsi" w:hAnsi="Century Gothic" w:cs="Arial"/>
                <w:sz w:val="16"/>
                <w:szCs w:val="16"/>
                <w:lang w:val="es-ES_tradnl" w:eastAsia="en-US"/>
              </w:rPr>
            </w:pPr>
            <w:r w:rsidRPr="00685FFD">
              <w:rPr>
                <w:rFonts w:ascii="Century Gothic" w:eastAsiaTheme="minorHAnsi" w:hAnsi="Century Gothic"/>
                <w:sz w:val="16"/>
                <w:szCs w:val="16"/>
                <w:lang w:val="es-ES_tradnl" w:eastAsia="en-US"/>
              </w:rPr>
              <w:t>Contratista</w:t>
            </w:r>
            <w:r w:rsidR="00871B59" w:rsidRPr="00685FFD">
              <w:rPr>
                <w:rFonts w:ascii="Century Gothic" w:eastAsiaTheme="minorHAnsi" w:hAnsi="Century Gothic"/>
                <w:sz w:val="16"/>
                <w:szCs w:val="16"/>
                <w:lang w:val="es-ES_tradnl" w:eastAsia="en-US"/>
              </w:rPr>
              <w:t xml:space="preserve"> 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Carolina Quintero Gacharná</w:t>
            </w:r>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E9835" w14:textId="77777777" w:rsidR="005720EB" w:rsidRDefault="005720EB" w:rsidP="00B30448">
      <w:pPr>
        <w:spacing w:after="0" w:line="240" w:lineRule="auto"/>
      </w:pPr>
      <w:r>
        <w:separator/>
      </w:r>
    </w:p>
  </w:endnote>
  <w:endnote w:type="continuationSeparator" w:id="0">
    <w:p w14:paraId="070CA9BE" w14:textId="77777777" w:rsidR="005720EB" w:rsidRDefault="005720EB" w:rsidP="00B30448">
      <w:pPr>
        <w:spacing w:after="0" w:line="240" w:lineRule="auto"/>
      </w:pPr>
      <w:r>
        <w:continuationSeparator/>
      </w:r>
    </w:p>
  </w:endnote>
  <w:endnote w:type="continuationNotice" w:id="1">
    <w:p w14:paraId="11384BCF" w14:textId="77777777" w:rsidR="005720EB" w:rsidRDefault="005720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39A44" w14:textId="77777777" w:rsidR="005720EB" w:rsidRDefault="005720EB" w:rsidP="00B30448">
      <w:pPr>
        <w:spacing w:after="0" w:line="240" w:lineRule="auto"/>
      </w:pPr>
      <w:r>
        <w:separator/>
      </w:r>
    </w:p>
  </w:footnote>
  <w:footnote w:type="continuationSeparator" w:id="0">
    <w:p w14:paraId="79492CE1" w14:textId="77777777" w:rsidR="005720EB" w:rsidRDefault="005720EB" w:rsidP="00B30448">
      <w:pPr>
        <w:spacing w:after="0" w:line="240" w:lineRule="auto"/>
      </w:pPr>
      <w:r>
        <w:continuationSeparator/>
      </w:r>
    </w:p>
  </w:footnote>
  <w:footnote w:type="continuationNotice" w:id="1">
    <w:p w14:paraId="7CDE8655" w14:textId="77777777" w:rsidR="005720EB" w:rsidRDefault="005720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DE447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2"/>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3"/>
  </w:num>
  <w:num w:numId="12" w16cid:durableId="354035714">
    <w:abstractNumId w:val="3"/>
  </w:num>
  <w:num w:numId="13" w16cid:durableId="101463356">
    <w:abstractNumId w:val="5"/>
  </w:num>
  <w:num w:numId="14" w16cid:durableId="190606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6E33"/>
    <w:rsid w:val="001C7771"/>
    <w:rsid w:val="001D62FF"/>
    <w:rsid w:val="001F3F48"/>
    <w:rsid w:val="001F48DA"/>
    <w:rsid w:val="002000AA"/>
    <w:rsid w:val="00204109"/>
    <w:rsid w:val="00211E6E"/>
    <w:rsid w:val="00212A46"/>
    <w:rsid w:val="0021401D"/>
    <w:rsid w:val="002146B8"/>
    <w:rsid w:val="00215516"/>
    <w:rsid w:val="002527C2"/>
    <w:rsid w:val="00270443"/>
    <w:rsid w:val="00270D31"/>
    <w:rsid w:val="00270EE2"/>
    <w:rsid w:val="00272972"/>
    <w:rsid w:val="00286491"/>
    <w:rsid w:val="002A0F8D"/>
    <w:rsid w:val="002B6E44"/>
    <w:rsid w:val="002E1DB5"/>
    <w:rsid w:val="002F6CCB"/>
    <w:rsid w:val="0030461E"/>
    <w:rsid w:val="0031699C"/>
    <w:rsid w:val="0032756A"/>
    <w:rsid w:val="00334EF8"/>
    <w:rsid w:val="00336408"/>
    <w:rsid w:val="003376DC"/>
    <w:rsid w:val="00340DFB"/>
    <w:rsid w:val="0034404F"/>
    <w:rsid w:val="00346A4B"/>
    <w:rsid w:val="0035009A"/>
    <w:rsid w:val="00356980"/>
    <w:rsid w:val="00367462"/>
    <w:rsid w:val="0037046D"/>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7606E"/>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45489"/>
    <w:rsid w:val="0055082B"/>
    <w:rsid w:val="00552503"/>
    <w:rsid w:val="00552B57"/>
    <w:rsid w:val="00557DA1"/>
    <w:rsid w:val="00562FFA"/>
    <w:rsid w:val="0056322C"/>
    <w:rsid w:val="005720EB"/>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5678"/>
    <w:rsid w:val="00677012"/>
    <w:rsid w:val="006825B4"/>
    <w:rsid w:val="00682AF2"/>
    <w:rsid w:val="00685FFD"/>
    <w:rsid w:val="006864DF"/>
    <w:rsid w:val="006A2DAA"/>
    <w:rsid w:val="006A3C8A"/>
    <w:rsid w:val="006A7552"/>
    <w:rsid w:val="006B5953"/>
    <w:rsid w:val="006B7A81"/>
    <w:rsid w:val="006C4BAC"/>
    <w:rsid w:val="006C52F3"/>
    <w:rsid w:val="006E1D19"/>
    <w:rsid w:val="006E7F37"/>
    <w:rsid w:val="006F3B81"/>
    <w:rsid w:val="006F4F79"/>
    <w:rsid w:val="00705B37"/>
    <w:rsid w:val="00705E9D"/>
    <w:rsid w:val="00711FD9"/>
    <w:rsid w:val="0071249B"/>
    <w:rsid w:val="007256B8"/>
    <w:rsid w:val="0072628E"/>
    <w:rsid w:val="00735062"/>
    <w:rsid w:val="00746BA5"/>
    <w:rsid w:val="00751D23"/>
    <w:rsid w:val="007700D3"/>
    <w:rsid w:val="00770577"/>
    <w:rsid w:val="00777666"/>
    <w:rsid w:val="00780EE2"/>
    <w:rsid w:val="0078159B"/>
    <w:rsid w:val="00782E10"/>
    <w:rsid w:val="0078706B"/>
    <w:rsid w:val="00790836"/>
    <w:rsid w:val="00797131"/>
    <w:rsid w:val="007A3C1D"/>
    <w:rsid w:val="007A457F"/>
    <w:rsid w:val="007A7364"/>
    <w:rsid w:val="007B285D"/>
    <w:rsid w:val="007C6BC6"/>
    <w:rsid w:val="00807D79"/>
    <w:rsid w:val="00813634"/>
    <w:rsid w:val="00822821"/>
    <w:rsid w:val="00831C29"/>
    <w:rsid w:val="008431EF"/>
    <w:rsid w:val="008468E0"/>
    <w:rsid w:val="008628F4"/>
    <w:rsid w:val="00871B59"/>
    <w:rsid w:val="00877D03"/>
    <w:rsid w:val="00877E96"/>
    <w:rsid w:val="008806CA"/>
    <w:rsid w:val="008815E5"/>
    <w:rsid w:val="00887B37"/>
    <w:rsid w:val="008909B9"/>
    <w:rsid w:val="00891DFC"/>
    <w:rsid w:val="008B12B4"/>
    <w:rsid w:val="008B7914"/>
    <w:rsid w:val="008B7F31"/>
    <w:rsid w:val="008C5D2A"/>
    <w:rsid w:val="008C7AF4"/>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87B91"/>
    <w:rsid w:val="0099104A"/>
    <w:rsid w:val="00995D86"/>
    <w:rsid w:val="009A5453"/>
    <w:rsid w:val="009B4D94"/>
    <w:rsid w:val="009C2871"/>
    <w:rsid w:val="009D3C33"/>
    <w:rsid w:val="009D50FB"/>
    <w:rsid w:val="009D7F3A"/>
    <w:rsid w:val="009E35E3"/>
    <w:rsid w:val="009E4885"/>
    <w:rsid w:val="00A07DB6"/>
    <w:rsid w:val="00A10A73"/>
    <w:rsid w:val="00A170B3"/>
    <w:rsid w:val="00A223D5"/>
    <w:rsid w:val="00A37D1C"/>
    <w:rsid w:val="00A5453E"/>
    <w:rsid w:val="00A56F6C"/>
    <w:rsid w:val="00A76C8C"/>
    <w:rsid w:val="00A83E50"/>
    <w:rsid w:val="00A85F30"/>
    <w:rsid w:val="00A9099E"/>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168B3"/>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4DAB"/>
    <w:rsid w:val="00CE6BDA"/>
    <w:rsid w:val="00CE7288"/>
    <w:rsid w:val="00D03DBE"/>
    <w:rsid w:val="00D072C0"/>
    <w:rsid w:val="00D17400"/>
    <w:rsid w:val="00D34C82"/>
    <w:rsid w:val="00D3757A"/>
    <w:rsid w:val="00D377C3"/>
    <w:rsid w:val="00D504A9"/>
    <w:rsid w:val="00D5206D"/>
    <w:rsid w:val="00D7177D"/>
    <w:rsid w:val="00D81311"/>
    <w:rsid w:val="00D8204C"/>
    <w:rsid w:val="00DB201E"/>
    <w:rsid w:val="00DC0E68"/>
    <w:rsid w:val="00DD25ED"/>
    <w:rsid w:val="00DE0D6E"/>
    <w:rsid w:val="00E051A5"/>
    <w:rsid w:val="00E052DF"/>
    <w:rsid w:val="00E1610C"/>
    <w:rsid w:val="00E16D73"/>
    <w:rsid w:val="00E23E9E"/>
    <w:rsid w:val="00E25722"/>
    <w:rsid w:val="00E27F0A"/>
    <w:rsid w:val="00E4231E"/>
    <w:rsid w:val="00E4302C"/>
    <w:rsid w:val="00E43EBA"/>
    <w:rsid w:val="00E44AC7"/>
    <w:rsid w:val="00E45F4B"/>
    <w:rsid w:val="00E60A16"/>
    <w:rsid w:val="00E71EC0"/>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0CE7"/>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728FE"/>
    <w:rsid w:val="00F906F4"/>
    <w:rsid w:val="00F919E7"/>
    <w:rsid w:val="00FA0716"/>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acutalizacion_umbrales_cce_2024.pdf"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olombiacompra.gov.co/sites/cce_public/files/files_2020/acutalizacion_umbrales_cce_2024.pdf"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amp;data=05%7C02%7Cmartha.romero%40colombiacompra.gov.co%7Ca5385b6e6e634a6b840208dca5c36dc1%7C7b09041e245149d08cb179d5e3d8c1be%7C0%7C0%7C638567505997032573%7CUnknown%7CTWFpbGZsb3d8eyJWIjoiMC4wLjAwMDAiLCJQIjoiV2luMzIiLCJBTiI6Ik1haWwiLCJXVCI6Mn0%3D%7C0%7C%7C%7C&amp;sdata=j4ImOtt5uUfNvC%2F1zxNkaxTRx9T0X%2FcdFXai6dbYw3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acutalizacion_umbrales_cce_2024.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2380</Words>
  <Characters>13096</Characters>
  <Application>Microsoft Office Word</Application>
  <DocSecurity>0</DocSecurity>
  <Lines>109</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4</cp:revision>
  <dcterms:created xsi:type="dcterms:W3CDTF">2024-08-09T19:37:00Z</dcterms:created>
  <dcterms:modified xsi:type="dcterms:W3CDTF">2024-08-19T17:22:00Z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