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B3BD6" w14:textId="4694C536" w:rsidR="00173C44" w:rsidRPr="00D4693F" w:rsidRDefault="00173C44" w:rsidP="00173C44">
      <w:pPr>
        <w:spacing w:after="0" w:line="240" w:lineRule="auto"/>
        <w:rPr>
          <w:rFonts w:ascii="Verdana" w:eastAsia="Calibri" w:hAnsi="Verdana" w:cs="Arial"/>
          <w:b/>
          <w:bCs/>
          <w:lang w:val="es-ES" w:eastAsia="es-ES"/>
        </w:rPr>
      </w:pPr>
      <w:bookmarkStart w:id="0" w:name="_Hlk143780582"/>
      <w:r w:rsidRPr="00D4693F">
        <w:rPr>
          <w:rFonts w:ascii="Verdana" w:eastAsia="Calibri" w:hAnsi="Verdana" w:cs="Arial"/>
          <w:b/>
          <w:bCs/>
          <w:lang w:val="es-ES" w:eastAsia="es-ES"/>
        </w:rPr>
        <w:t>DATOS SENSIBLES</w:t>
      </w:r>
      <w:r w:rsidR="007A0F4E">
        <w:rPr>
          <w:rFonts w:ascii="Verdana" w:eastAsia="Calibri" w:hAnsi="Verdana" w:cs="Arial"/>
          <w:b/>
          <w:bCs/>
          <w:lang w:val="es-ES" w:eastAsia="es-ES"/>
        </w:rPr>
        <w:t xml:space="preserve"> </w:t>
      </w:r>
      <w:r w:rsidRPr="00D4693F">
        <w:rPr>
          <w:rFonts w:ascii="Verdana" w:eastAsia="Calibri" w:hAnsi="Verdana" w:cs="Arial"/>
          <w:b/>
          <w:bCs/>
          <w:lang w:val="es-ES" w:eastAsia="es-ES"/>
        </w:rPr>
        <w:t>– Reserva –</w:t>
      </w:r>
      <w:r w:rsidR="007A0F4E">
        <w:rPr>
          <w:rFonts w:ascii="Verdana" w:eastAsia="Calibri" w:hAnsi="Verdana" w:cs="Arial"/>
          <w:b/>
          <w:bCs/>
          <w:lang w:val="es-ES" w:eastAsia="es-ES"/>
        </w:rPr>
        <w:t xml:space="preserve"> </w:t>
      </w:r>
      <w:r w:rsidRPr="00D4693F">
        <w:rPr>
          <w:rFonts w:ascii="Verdana" w:eastAsia="Calibri" w:hAnsi="Verdana" w:cs="Arial"/>
          <w:b/>
          <w:bCs/>
          <w:lang w:val="es-ES" w:eastAsia="es-ES"/>
        </w:rPr>
        <w:t>Excepción</w:t>
      </w:r>
      <w:r w:rsidR="007A0F4E">
        <w:rPr>
          <w:rFonts w:ascii="Verdana" w:eastAsia="Calibri" w:hAnsi="Verdana" w:cs="Arial"/>
          <w:b/>
          <w:bCs/>
          <w:lang w:val="es-ES" w:eastAsia="es-ES"/>
        </w:rPr>
        <w:t xml:space="preserve"> </w:t>
      </w:r>
      <w:r w:rsidR="007A0F4E" w:rsidRPr="007A0F4E">
        <w:rPr>
          <w:rFonts w:ascii="Verdana" w:eastAsia="Calibri" w:hAnsi="Verdana" w:cs="Arial"/>
          <w:b/>
          <w:bCs/>
          <w:lang w:val="es-ES" w:eastAsia="es-ES"/>
        </w:rPr>
        <w:t>–</w:t>
      </w:r>
      <w:r w:rsidRPr="00D4693F">
        <w:rPr>
          <w:rFonts w:ascii="Verdana" w:eastAsia="Calibri" w:hAnsi="Verdana" w:cs="Arial"/>
          <w:b/>
          <w:bCs/>
          <w:lang w:val="es-ES" w:eastAsia="es-ES"/>
        </w:rPr>
        <w:t xml:space="preserve"> SECOP</w:t>
      </w:r>
    </w:p>
    <w:p w14:paraId="08F3660D" w14:textId="77777777" w:rsidR="00173C44" w:rsidRPr="00D4693F" w:rsidRDefault="00173C44" w:rsidP="00173C44">
      <w:pPr>
        <w:spacing w:after="0" w:line="240" w:lineRule="auto"/>
        <w:rPr>
          <w:rFonts w:ascii="Verdana" w:eastAsia="Calibri" w:hAnsi="Verdana" w:cs="Arial"/>
          <w:b/>
          <w:bCs/>
          <w:lang w:val="es-ES" w:eastAsia="es-ES"/>
        </w:rPr>
      </w:pPr>
    </w:p>
    <w:p w14:paraId="7C9EA403" w14:textId="77777777" w:rsidR="00173C44" w:rsidRPr="00D4693F" w:rsidRDefault="00173C44" w:rsidP="00173C44">
      <w:pPr>
        <w:jc w:val="both"/>
        <w:rPr>
          <w:rFonts w:ascii="Verdana" w:eastAsia="Arial" w:hAnsi="Verdana" w:cs="Arial"/>
          <w:lang w:val="es-ES"/>
        </w:rPr>
      </w:pPr>
      <w:r w:rsidRPr="00D4693F">
        <w:rPr>
          <w:rFonts w:ascii="Verdana" w:eastAsia="Arial" w:hAnsi="Verdana" w:cs="Arial"/>
          <w:lang w:val="es-ES"/>
        </w:rPr>
        <w:t>Cuando el documento contractual tenga información sensible, clasificada o reservada, para proteger la información, las autoridades deben abstenerse de publicar en el SECOP la información que tiene protección especial, tal como sucede con los derechos de los menores, de conformidad con el artículo 7° de la Ley 1581 de 2012 y el artículo 2.1.1.4.1.2 del Decreto 1081 de 2015. Pero, de acuerdo con el segundo inciso del artículo 25 de la Ley 1437 de 2011 “La restricción por reserva legal no se extenderá a otras piezas del respectivo expediente o actuación que no estén cubiertas por ella”. Entonces la entidad estatal deberá excluir del documento entregado por el proponente en el procedimiento contractual la información que contenga datos sensibles, clasificados o reservados, para no divulgarla, pero debe publicar las demás piezas de la oferta o los apartados que no gozan de reserva o que no están protegidos por las disposiciones de habeas data</w:t>
      </w:r>
      <w:r w:rsidRPr="00D4693F">
        <w:rPr>
          <w:rFonts w:ascii="Verdana" w:eastAsia="Calibri" w:hAnsi="Verdana" w:cs="Arial"/>
          <w:sz w:val="20"/>
          <w:szCs w:val="20"/>
          <w:lang w:val="es-ES"/>
        </w:rPr>
        <w:t>.</w:t>
      </w:r>
    </w:p>
    <w:p w14:paraId="6D06F622" w14:textId="6AC84C9B" w:rsidR="00173C44" w:rsidRPr="00D4693F" w:rsidRDefault="00173C44" w:rsidP="00173C44">
      <w:pPr>
        <w:spacing w:after="0" w:line="276" w:lineRule="auto"/>
        <w:jc w:val="both"/>
        <w:rPr>
          <w:rFonts w:ascii="Verdana" w:eastAsia="Calibri" w:hAnsi="Verdana" w:cs="Arial"/>
          <w:b/>
          <w:bCs/>
        </w:rPr>
      </w:pPr>
      <w:r w:rsidRPr="00D4693F">
        <w:rPr>
          <w:rFonts w:ascii="Verdana" w:eastAsia="Calibri" w:hAnsi="Verdana" w:cs="Arial"/>
          <w:b/>
          <w:bCs/>
          <w:lang w:val="es-ES" w:eastAsia="es-ES"/>
        </w:rPr>
        <w:t>ACCCESO A DOCUMENTACIÓN PÚBLICA</w:t>
      </w:r>
      <w:r w:rsidR="007A0F4E">
        <w:rPr>
          <w:rFonts w:ascii="Verdana" w:eastAsia="Calibri" w:hAnsi="Verdana" w:cs="Arial"/>
          <w:b/>
          <w:bCs/>
          <w:lang w:val="es-ES" w:eastAsia="es-ES"/>
        </w:rPr>
        <w:t xml:space="preserve"> </w:t>
      </w:r>
      <w:r w:rsidRPr="00D4693F">
        <w:rPr>
          <w:rFonts w:ascii="Verdana" w:eastAsia="Calibri" w:hAnsi="Verdana" w:cs="Arial"/>
          <w:b/>
          <w:bCs/>
          <w:lang w:val="es-ES" w:eastAsia="es-ES"/>
        </w:rPr>
        <w:t>–</w:t>
      </w:r>
      <w:r w:rsidR="007A0F4E">
        <w:rPr>
          <w:rFonts w:ascii="Verdana" w:eastAsia="Calibri" w:hAnsi="Verdana" w:cs="Arial"/>
          <w:b/>
          <w:bCs/>
          <w:lang w:val="es-ES" w:eastAsia="es-ES"/>
        </w:rPr>
        <w:t xml:space="preserve"> </w:t>
      </w:r>
      <w:r w:rsidRPr="00D4693F">
        <w:rPr>
          <w:rFonts w:ascii="Verdana" w:eastAsia="Calibri" w:hAnsi="Verdana" w:cs="Arial"/>
          <w:b/>
          <w:bCs/>
          <w:lang w:val="es-ES" w:eastAsia="es-ES"/>
        </w:rPr>
        <w:t>Derecho Fundamental</w:t>
      </w:r>
      <w:r w:rsidR="007A0F4E">
        <w:rPr>
          <w:rFonts w:ascii="Verdana" w:eastAsia="Calibri" w:hAnsi="Verdana" w:cs="Arial"/>
          <w:b/>
          <w:bCs/>
          <w:lang w:val="es-ES" w:eastAsia="es-ES"/>
        </w:rPr>
        <w:t xml:space="preserve"> </w:t>
      </w:r>
      <w:r w:rsidR="007A0F4E" w:rsidRPr="007A0F4E">
        <w:rPr>
          <w:rFonts w:ascii="Verdana" w:eastAsia="Calibri" w:hAnsi="Verdana" w:cs="Arial"/>
          <w:b/>
          <w:bCs/>
          <w:lang w:val="es-ES" w:eastAsia="es-ES"/>
        </w:rPr>
        <w:t>–</w:t>
      </w:r>
      <w:r w:rsidRPr="00D4693F">
        <w:rPr>
          <w:rFonts w:ascii="Verdana" w:eastAsia="Calibri" w:hAnsi="Verdana" w:cs="Arial"/>
          <w:b/>
          <w:bCs/>
          <w:lang w:val="es-ES" w:eastAsia="es-ES"/>
        </w:rPr>
        <w:t xml:space="preserve"> Transparencia</w:t>
      </w:r>
      <w:r w:rsidR="007A0F4E">
        <w:rPr>
          <w:rFonts w:ascii="Verdana" w:eastAsia="Calibri" w:hAnsi="Verdana" w:cs="Arial"/>
          <w:b/>
          <w:bCs/>
          <w:lang w:val="es-ES" w:eastAsia="es-ES"/>
        </w:rPr>
        <w:t xml:space="preserve"> </w:t>
      </w:r>
      <w:r w:rsidR="007A0F4E" w:rsidRPr="007A0F4E">
        <w:rPr>
          <w:rFonts w:ascii="Verdana" w:eastAsia="Calibri" w:hAnsi="Verdana" w:cs="Arial"/>
          <w:b/>
          <w:bCs/>
          <w:lang w:val="es-ES" w:eastAsia="es-ES"/>
        </w:rPr>
        <w:t>–</w:t>
      </w:r>
      <w:r w:rsidRPr="00D4693F">
        <w:rPr>
          <w:rFonts w:ascii="Verdana" w:eastAsia="Calibri" w:hAnsi="Verdana" w:cs="Arial"/>
          <w:b/>
          <w:bCs/>
          <w:lang w:val="es-ES" w:eastAsia="es-ES"/>
        </w:rPr>
        <w:t xml:space="preserve"> Información Contractual</w:t>
      </w:r>
    </w:p>
    <w:p w14:paraId="3F1D57AF" w14:textId="77777777" w:rsidR="00173C44" w:rsidRPr="00D4693F" w:rsidRDefault="00173C44" w:rsidP="00173C44">
      <w:pPr>
        <w:spacing w:after="0" w:line="240" w:lineRule="auto"/>
        <w:rPr>
          <w:rFonts w:ascii="Verdana" w:eastAsia="Geomanist Light" w:hAnsi="Verdana" w:cs="Arial"/>
          <w:b/>
          <w:bCs/>
          <w:lang w:val="es-ES"/>
        </w:rPr>
      </w:pPr>
    </w:p>
    <w:p w14:paraId="63B9AC9D" w14:textId="77777777" w:rsidR="00173C44" w:rsidRPr="00D4693F" w:rsidRDefault="00173C44" w:rsidP="00173C44">
      <w:pPr>
        <w:jc w:val="both"/>
        <w:rPr>
          <w:rFonts w:ascii="Verdana" w:eastAsia="Arial" w:hAnsi="Verdana" w:cs="Arial"/>
          <w:lang w:val="es-ES"/>
        </w:rPr>
      </w:pPr>
      <w:r w:rsidRPr="00D4693F">
        <w:rPr>
          <w:rFonts w:ascii="Verdana" w:eastAsia="Arial" w:hAnsi="Verdana" w:cs="Arial"/>
          <w:lang w:val="es-ES"/>
        </w:rPr>
        <w:t>El artículo 74 de la Constitución Política establece que “Todas las personas tienen derecho a acceder a los documentos públicos salvo los casos que establezca la ley”. Esta disposición constitucional consagra el derecho fundamental de acceso a la información y a la documentación pública, salvo causal de reserva expresamente prevista en la Ley. Tal derecho se regula integralmente en la Ley 1712 de 2014 “(Ley de Transparencia y del Derecho de Acceso a la Información Pública Nacional)”. Esta Ley establece el deber de divulgación proactiva de la información e indica que las entidades estatales deben publicar su información contractual (artículos 9, literales c, e y f; 10 y 11, literal g). El Decreto 1081 de 2015, en los arts. 2.1.1.2.1.5. al 2.1.1.2.1.10., reglamenta el deber de las entidades estatales de publicar su información contractual en el SECOP, en cumplimiento del artículo 3 de la Ley 1150 de 2007</w:t>
      </w:r>
      <w:r w:rsidRPr="00D4693F">
        <w:rPr>
          <w:rFonts w:ascii="Verdana" w:eastAsia="Calibri" w:hAnsi="Verdana" w:cs="Arial"/>
          <w:sz w:val="20"/>
          <w:szCs w:val="20"/>
          <w:lang w:val="es-ES"/>
        </w:rPr>
        <w:t>.</w:t>
      </w:r>
    </w:p>
    <w:p w14:paraId="651FED48" w14:textId="77777777" w:rsidR="00173C44" w:rsidRPr="00D4693F" w:rsidRDefault="00173C44" w:rsidP="00173C44">
      <w:pPr>
        <w:spacing w:after="0" w:line="240" w:lineRule="auto"/>
        <w:rPr>
          <w:rFonts w:ascii="Verdana" w:eastAsia="Geomanist Light" w:hAnsi="Verdana" w:cs="Arial"/>
          <w:lang w:val="es-MX"/>
        </w:rPr>
      </w:pPr>
    </w:p>
    <w:p w14:paraId="14DED2BA" w14:textId="77777777" w:rsidR="00173C44" w:rsidRPr="00D4693F" w:rsidRDefault="00173C44" w:rsidP="00173C44">
      <w:pPr>
        <w:spacing w:after="0" w:line="240" w:lineRule="auto"/>
        <w:rPr>
          <w:rFonts w:ascii="Verdana" w:eastAsia="Geomanist Light" w:hAnsi="Verdana" w:cs="Arial"/>
          <w:lang w:val="es-MX"/>
        </w:rPr>
      </w:pPr>
    </w:p>
    <w:p w14:paraId="4346EECE" w14:textId="77777777" w:rsidR="00173C44" w:rsidRPr="00D4693F" w:rsidRDefault="00173C44" w:rsidP="00173C44">
      <w:pPr>
        <w:spacing w:after="0" w:line="240" w:lineRule="auto"/>
        <w:rPr>
          <w:rFonts w:ascii="Verdana" w:eastAsia="Geomanist Light" w:hAnsi="Verdana" w:cs="Arial"/>
          <w:lang w:val="es-MX"/>
        </w:rPr>
      </w:pPr>
    </w:p>
    <w:p w14:paraId="13442862" w14:textId="77777777" w:rsidR="00173C44" w:rsidRPr="00D4693F" w:rsidRDefault="00173C44" w:rsidP="00173C44">
      <w:pPr>
        <w:spacing w:after="0" w:line="240" w:lineRule="auto"/>
        <w:rPr>
          <w:rFonts w:ascii="Verdana" w:eastAsia="Geomanist Light" w:hAnsi="Verdana" w:cs="Arial"/>
          <w:lang w:val="es-MX"/>
        </w:rPr>
      </w:pPr>
    </w:p>
    <w:p w14:paraId="38CDFF62" w14:textId="77777777" w:rsidR="00173C44" w:rsidRPr="00D4693F" w:rsidRDefault="00173C44" w:rsidP="00173C44">
      <w:pPr>
        <w:spacing w:after="0" w:line="240" w:lineRule="auto"/>
        <w:rPr>
          <w:rFonts w:ascii="Verdana" w:eastAsia="Geomanist Light" w:hAnsi="Verdana" w:cs="Arial"/>
          <w:lang w:val="es-MX"/>
        </w:rPr>
      </w:pPr>
    </w:p>
    <w:p w14:paraId="6EDB9C88" w14:textId="77777777" w:rsidR="00173C44" w:rsidRPr="00D4693F" w:rsidRDefault="00173C44" w:rsidP="00173C44">
      <w:pPr>
        <w:spacing w:after="0" w:line="240" w:lineRule="auto"/>
        <w:rPr>
          <w:rFonts w:ascii="Verdana" w:eastAsia="Geomanist Light" w:hAnsi="Verdana" w:cs="Arial"/>
          <w:lang w:val="es-MX"/>
        </w:rPr>
      </w:pPr>
    </w:p>
    <w:p w14:paraId="48D6CA54" w14:textId="77777777" w:rsidR="00173C44" w:rsidRPr="00D4693F" w:rsidRDefault="00173C44" w:rsidP="00173C44">
      <w:pPr>
        <w:spacing w:after="0" w:line="240" w:lineRule="auto"/>
        <w:rPr>
          <w:rFonts w:ascii="Verdana" w:eastAsia="Geomanist Light" w:hAnsi="Verdana" w:cs="Arial"/>
          <w:lang w:val="es-MX"/>
        </w:rPr>
      </w:pPr>
    </w:p>
    <w:p w14:paraId="546C21AF" w14:textId="77777777" w:rsidR="0085724A" w:rsidRDefault="0085724A" w:rsidP="00173C44">
      <w:pPr>
        <w:spacing w:after="0" w:line="240" w:lineRule="auto"/>
        <w:jc w:val="both"/>
        <w:rPr>
          <w:rFonts w:ascii="Verdana" w:eastAsia="Geomanist Light" w:hAnsi="Verdana" w:cs="Arial"/>
        </w:rPr>
      </w:pPr>
    </w:p>
    <w:p w14:paraId="00D98A64" w14:textId="77777777" w:rsidR="0085724A" w:rsidRDefault="0085724A" w:rsidP="00173C44">
      <w:pPr>
        <w:spacing w:after="0" w:line="240" w:lineRule="auto"/>
        <w:jc w:val="both"/>
        <w:rPr>
          <w:rFonts w:ascii="Verdana" w:eastAsia="Geomanist Light" w:hAnsi="Verdana" w:cs="Arial"/>
        </w:rPr>
      </w:pPr>
    </w:p>
    <w:p w14:paraId="7A85FBF2" w14:textId="53550CD1" w:rsidR="00173C44" w:rsidRPr="00D4693F" w:rsidRDefault="009B44A5" w:rsidP="00173C44">
      <w:pPr>
        <w:spacing w:after="0" w:line="240" w:lineRule="auto"/>
        <w:jc w:val="both"/>
        <w:rPr>
          <w:rFonts w:ascii="Verdana" w:eastAsia="Calibri" w:hAnsi="Verdana" w:cs="Arial"/>
          <w:lang w:val="es-ES"/>
        </w:rPr>
      </w:pPr>
      <w:r w:rsidRPr="009B44A5">
        <w:rPr>
          <w:rFonts w:ascii="Verdana" w:eastAsia="Geomanist Light" w:hAnsi="Verdana" w:cs="Arial"/>
        </w:rPr>
        <w:lastRenderedPageBreak/>
        <w:t xml:space="preserve">Bogotá D.C., 03 de </w:t>
      </w:r>
      <w:proofErr w:type="gramStart"/>
      <w:r w:rsidRPr="009B44A5">
        <w:rPr>
          <w:rFonts w:ascii="Verdana" w:eastAsia="Geomanist Light" w:hAnsi="Verdana" w:cs="Arial"/>
        </w:rPr>
        <w:t>Abril</w:t>
      </w:r>
      <w:proofErr w:type="gramEnd"/>
      <w:r w:rsidRPr="009B44A5">
        <w:rPr>
          <w:rFonts w:ascii="Verdana" w:eastAsia="Geomanist Light" w:hAnsi="Verdana" w:cs="Arial"/>
        </w:rPr>
        <w:t xml:space="preserve"> de 2025</w:t>
      </w:r>
    </w:p>
    <w:p w14:paraId="52699223" w14:textId="04C4D875" w:rsidR="009B44A5" w:rsidRDefault="009B44A5" w:rsidP="00173C44">
      <w:pPr>
        <w:spacing w:after="0" w:line="240" w:lineRule="auto"/>
        <w:jc w:val="both"/>
        <w:rPr>
          <w:rFonts w:ascii="Verdana" w:eastAsia="Calibri" w:hAnsi="Verdana" w:cs="Arial"/>
          <w:lang w:val="es-ES" w:eastAsia="es-ES"/>
        </w:rPr>
      </w:pPr>
    </w:p>
    <w:p w14:paraId="352EA508" w14:textId="7966A3B4" w:rsidR="009B44A5" w:rsidRDefault="009B44A5" w:rsidP="00173C44">
      <w:pPr>
        <w:spacing w:after="0" w:line="240" w:lineRule="auto"/>
        <w:jc w:val="both"/>
        <w:rPr>
          <w:rFonts w:ascii="Verdana" w:eastAsia="Calibri" w:hAnsi="Verdana" w:cs="Arial"/>
          <w:lang w:val="es-ES" w:eastAsia="es-ES"/>
        </w:rPr>
      </w:pPr>
    </w:p>
    <w:p w14:paraId="52794EAD" w14:textId="19AF2F56" w:rsidR="009B44A5" w:rsidRDefault="0085724A" w:rsidP="00173C44">
      <w:pPr>
        <w:spacing w:after="0" w:line="240" w:lineRule="auto"/>
        <w:jc w:val="both"/>
        <w:rPr>
          <w:rFonts w:ascii="Verdana" w:eastAsia="Calibri" w:hAnsi="Verdana" w:cs="Arial"/>
          <w:lang w:val="es-ES" w:eastAsia="es-ES"/>
        </w:rPr>
      </w:pPr>
      <w:r w:rsidRPr="009B44A5">
        <w:rPr>
          <w:rFonts w:ascii="Verdana" w:eastAsia="Calibri" w:hAnsi="Verdana" w:cs="Arial"/>
          <w:b/>
          <w:noProof/>
          <w:lang w:val="es-ES_tradnl" w:eastAsia="es-ES_tradnl"/>
        </w:rPr>
        <w:drawing>
          <wp:anchor distT="0" distB="0" distL="114300" distR="114300" simplePos="0" relativeHeight="251658240" behindDoc="1" locked="0" layoutInCell="1" allowOverlap="1" wp14:anchorId="655E86E9" wp14:editId="0C40AC53">
            <wp:simplePos x="0" y="0"/>
            <wp:positionH relativeFrom="column">
              <wp:posOffset>2839278</wp:posOffset>
            </wp:positionH>
            <wp:positionV relativeFrom="paragraph">
              <wp:posOffset>5632</wp:posOffset>
            </wp:positionV>
            <wp:extent cx="3035935" cy="874395"/>
            <wp:effectExtent l="0" t="0" r="0" b="1905"/>
            <wp:wrapSquare wrapText="bothSides"/>
            <wp:docPr id="20542669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26696" name="Imagen 1" descr="Texto&#10;&#10;Descripción generada automáticament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35935" cy="874395"/>
                    </a:xfrm>
                    <a:prstGeom prst="rect">
                      <a:avLst/>
                    </a:prstGeom>
                  </pic:spPr>
                </pic:pic>
              </a:graphicData>
            </a:graphic>
            <wp14:sizeRelH relativeFrom="page">
              <wp14:pctWidth>0</wp14:pctWidth>
            </wp14:sizeRelH>
            <wp14:sizeRelV relativeFrom="page">
              <wp14:pctHeight>0</wp14:pctHeight>
            </wp14:sizeRelV>
          </wp:anchor>
        </w:drawing>
      </w:r>
    </w:p>
    <w:p w14:paraId="011F59F2" w14:textId="597E0456" w:rsidR="00173C44" w:rsidRPr="00D4693F" w:rsidRDefault="00173C44" w:rsidP="00173C44">
      <w:pPr>
        <w:spacing w:after="0" w:line="240" w:lineRule="auto"/>
        <w:jc w:val="both"/>
        <w:rPr>
          <w:rFonts w:ascii="Verdana" w:eastAsia="Calibri" w:hAnsi="Verdana" w:cs="Arial"/>
          <w:lang w:val="es-ES" w:eastAsia="es-ES"/>
        </w:rPr>
      </w:pPr>
      <w:r w:rsidRPr="00D4693F">
        <w:rPr>
          <w:rFonts w:ascii="Verdana" w:eastAsia="Calibri" w:hAnsi="Verdana" w:cs="Arial"/>
          <w:lang w:val="es-ES" w:eastAsia="es-ES"/>
        </w:rPr>
        <w:t>Señor</w:t>
      </w:r>
    </w:p>
    <w:p w14:paraId="2ACA431A" w14:textId="7A8D773F" w:rsidR="00173C44" w:rsidRPr="00D4693F" w:rsidRDefault="00173C44" w:rsidP="00173C44">
      <w:pPr>
        <w:spacing w:after="0" w:line="240" w:lineRule="auto"/>
        <w:rPr>
          <w:rFonts w:ascii="Verdana" w:eastAsia="Calibri" w:hAnsi="Verdana" w:cs="Arial"/>
          <w:b/>
          <w:lang w:val="es-ES_tradnl" w:eastAsia="es-ES_tradnl"/>
        </w:rPr>
      </w:pPr>
      <w:r w:rsidRPr="00D4693F">
        <w:rPr>
          <w:rFonts w:ascii="Verdana" w:eastAsia="Calibri" w:hAnsi="Verdana" w:cs="Arial"/>
          <w:b/>
          <w:lang w:val="es-ES_tradnl" w:eastAsia="es-ES_tradnl"/>
        </w:rPr>
        <w:t>Octavio Enrique Trujillo Cuenca</w:t>
      </w:r>
      <w:r w:rsidR="009B44A5">
        <w:rPr>
          <w:rFonts w:ascii="Verdana" w:eastAsia="Calibri" w:hAnsi="Verdana" w:cs="Arial"/>
          <w:b/>
          <w:lang w:val="es-ES_tradnl" w:eastAsia="es-ES_tradnl"/>
        </w:rPr>
        <w:t xml:space="preserve">   </w:t>
      </w:r>
    </w:p>
    <w:p w14:paraId="2C7CFA0A" w14:textId="0B04261C" w:rsidR="00173C44" w:rsidRPr="00D4693F" w:rsidRDefault="00C2146D" w:rsidP="00173C44">
      <w:pPr>
        <w:spacing w:after="0" w:line="240" w:lineRule="auto"/>
        <w:rPr>
          <w:rFonts w:ascii="Verdana" w:eastAsia="Calibri" w:hAnsi="Verdana" w:cs="Arial"/>
          <w:u w:val="single"/>
          <w:lang w:val="es-ES" w:eastAsia="es-ES"/>
        </w:rPr>
      </w:pPr>
      <w:hyperlink r:id="rId12" w:history="1">
        <w:r w:rsidRPr="00D4693F">
          <w:rPr>
            <w:rStyle w:val="Hipervnculo"/>
            <w:rFonts w:ascii="Verdana" w:eastAsia="Calibri" w:hAnsi="Verdana" w:cs="Arial"/>
            <w:lang w:val="es-ES" w:eastAsia="es-ES"/>
          </w:rPr>
          <w:t>oetrujilloc@gmail.com</w:t>
        </w:r>
      </w:hyperlink>
      <w:r w:rsidRPr="00D4693F">
        <w:rPr>
          <w:rFonts w:ascii="Verdana" w:eastAsia="Calibri" w:hAnsi="Verdana" w:cs="Arial"/>
          <w:u w:val="single"/>
          <w:lang w:val="es-ES" w:eastAsia="es-ES"/>
        </w:rPr>
        <w:t xml:space="preserve"> </w:t>
      </w:r>
    </w:p>
    <w:p w14:paraId="51911C73" w14:textId="7914606B" w:rsidR="00173C44" w:rsidRPr="00D4693F" w:rsidRDefault="00173C44" w:rsidP="00173C44">
      <w:pPr>
        <w:spacing w:after="0" w:line="240" w:lineRule="auto"/>
        <w:rPr>
          <w:rFonts w:ascii="Verdana" w:eastAsia="Calibri" w:hAnsi="Verdana" w:cs="Arial"/>
          <w:b/>
          <w:bCs/>
          <w:lang w:val="es-ES" w:eastAsia="es-ES"/>
        </w:rPr>
      </w:pPr>
      <w:r w:rsidRPr="00D4693F">
        <w:rPr>
          <w:rFonts w:ascii="Verdana" w:eastAsia="Calibri" w:hAnsi="Verdana" w:cs="Arial"/>
          <w:lang w:val="es-ES" w:eastAsia="es-ES"/>
        </w:rPr>
        <w:t>Neiva, Huila</w:t>
      </w:r>
    </w:p>
    <w:p w14:paraId="46FD3C8F" w14:textId="77777777" w:rsidR="00173C44" w:rsidRPr="00D4693F" w:rsidRDefault="00173C44" w:rsidP="00173C44">
      <w:pPr>
        <w:spacing w:after="0" w:line="240" w:lineRule="auto"/>
        <w:rPr>
          <w:rFonts w:ascii="Verdana" w:eastAsia="Calibri" w:hAnsi="Verdana" w:cs="Arial"/>
          <w:b/>
          <w:bCs/>
          <w:lang w:val="es-ES_tradnl" w:eastAsia="es-ES_tradnl"/>
        </w:rPr>
      </w:pPr>
    </w:p>
    <w:p w14:paraId="7C0914C2" w14:textId="77777777" w:rsidR="00173C44" w:rsidRPr="00D4693F" w:rsidRDefault="00173C44" w:rsidP="00173C44">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73C44" w:rsidRPr="00D4693F" w14:paraId="4C31610D" w14:textId="77777777" w:rsidTr="00AD58E3">
        <w:trPr>
          <w:trHeight w:val="204"/>
        </w:trPr>
        <w:tc>
          <w:tcPr>
            <w:tcW w:w="2689" w:type="dxa"/>
          </w:tcPr>
          <w:p w14:paraId="036E5C61" w14:textId="77777777" w:rsidR="00173C44" w:rsidRPr="00D4693F" w:rsidRDefault="00173C44" w:rsidP="00FB790A">
            <w:pPr>
              <w:jc w:val="both"/>
              <w:rPr>
                <w:rFonts w:ascii="Verdana" w:eastAsia="Calibri" w:hAnsi="Verdana" w:cs="Arial"/>
                <w:b/>
                <w:bCs/>
                <w:lang w:val="es-ES_tradnl" w:eastAsia="es-ES_tradnl"/>
              </w:rPr>
            </w:pPr>
          </w:p>
        </w:tc>
        <w:tc>
          <w:tcPr>
            <w:tcW w:w="6100" w:type="dxa"/>
          </w:tcPr>
          <w:p w14:paraId="1AB40720" w14:textId="5B173FDB" w:rsidR="00173C44" w:rsidRPr="00D4693F" w:rsidRDefault="00173C44" w:rsidP="00FB790A">
            <w:pPr>
              <w:jc w:val="both"/>
              <w:rPr>
                <w:rFonts w:ascii="Verdana" w:eastAsia="Calibri" w:hAnsi="Verdana" w:cs="Arial"/>
                <w:b/>
                <w:bCs/>
                <w:lang w:val="es-ES" w:eastAsia="es-ES"/>
              </w:rPr>
            </w:pPr>
            <w:r w:rsidRPr="00D4693F">
              <w:rPr>
                <w:rFonts w:ascii="Verdana" w:eastAsia="Calibri" w:hAnsi="Verdana" w:cs="Arial"/>
                <w:b/>
                <w:bCs/>
                <w:lang w:val="es-ES" w:eastAsia="es-ES"/>
              </w:rPr>
              <w:t xml:space="preserve">Concepto C- </w:t>
            </w:r>
            <w:r w:rsidR="00C2146D" w:rsidRPr="00D4693F">
              <w:rPr>
                <w:rFonts w:ascii="Verdana" w:eastAsia="Calibri" w:hAnsi="Verdana" w:cs="Arial"/>
                <w:b/>
                <w:bCs/>
                <w:lang w:val="es-ES" w:eastAsia="es-ES"/>
              </w:rPr>
              <w:t xml:space="preserve">235 </w:t>
            </w:r>
            <w:r w:rsidRPr="00D4693F">
              <w:rPr>
                <w:rFonts w:ascii="Verdana" w:eastAsia="Calibri" w:hAnsi="Verdana" w:cs="Arial"/>
                <w:b/>
                <w:bCs/>
                <w:lang w:val="es-ES" w:eastAsia="es-ES"/>
              </w:rPr>
              <w:t>de 202</w:t>
            </w:r>
            <w:r w:rsidR="00C2146D" w:rsidRPr="00D4693F">
              <w:rPr>
                <w:rFonts w:ascii="Verdana" w:eastAsia="Calibri" w:hAnsi="Verdana" w:cs="Arial"/>
                <w:b/>
                <w:bCs/>
                <w:lang w:val="es-ES" w:eastAsia="es-ES"/>
              </w:rPr>
              <w:t>5</w:t>
            </w:r>
          </w:p>
          <w:p w14:paraId="3BDA9921" w14:textId="05C6261C" w:rsidR="00C2146D" w:rsidRPr="00D4693F" w:rsidRDefault="00C2146D" w:rsidP="00FB790A">
            <w:pPr>
              <w:jc w:val="both"/>
              <w:rPr>
                <w:rFonts w:ascii="Verdana" w:eastAsia="Calibri" w:hAnsi="Verdana" w:cs="Arial"/>
                <w:b/>
                <w:bCs/>
                <w:lang w:val="es-ES" w:eastAsia="es-ES"/>
              </w:rPr>
            </w:pPr>
          </w:p>
        </w:tc>
      </w:tr>
      <w:tr w:rsidR="00173C44" w:rsidRPr="00D4693F" w14:paraId="2AFC2DE2" w14:textId="77777777" w:rsidTr="00FB790A">
        <w:trPr>
          <w:trHeight w:val="884"/>
        </w:trPr>
        <w:tc>
          <w:tcPr>
            <w:tcW w:w="2689" w:type="dxa"/>
          </w:tcPr>
          <w:p w14:paraId="1D65164D" w14:textId="77777777" w:rsidR="00173C44" w:rsidRPr="00D4693F" w:rsidRDefault="00173C44" w:rsidP="00FB790A">
            <w:pPr>
              <w:jc w:val="both"/>
              <w:rPr>
                <w:rFonts w:ascii="Verdana" w:eastAsia="Calibri" w:hAnsi="Verdana" w:cs="Arial"/>
                <w:lang w:val="es-ES_tradnl" w:eastAsia="es-ES_tradnl"/>
              </w:rPr>
            </w:pPr>
            <w:r w:rsidRPr="00D4693F">
              <w:rPr>
                <w:rFonts w:ascii="Verdana" w:eastAsia="Calibri" w:hAnsi="Verdana" w:cs="Arial"/>
                <w:b/>
                <w:lang w:val="es-ES_tradnl" w:eastAsia="es-ES_tradnl"/>
              </w:rPr>
              <w:t>Temas:</w:t>
            </w:r>
            <w:r w:rsidRPr="00D4693F">
              <w:rPr>
                <w:rFonts w:ascii="Verdana" w:eastAsia="Calibri" w:hAnsi="Verdana" w:cs="Arial"/>
                <w:lang w:val="es-ES_tradnl" w:eastAsia="es-ES_tradnl"/>
              </w:rPr>
              <w:t xml:space="preserve">                   </w:t>
            </w:r>
          </w:p>
        </w:tc>
        <w:tc>
          <w:tcPr>
            <w:tcW w:w="6100" w:type="dxa"/>
          </w:tcPr>
          <w:p w14:paraId="4A155500" w14:textId="77777777" w:rsidR="00173C44" w:rsidRPr="00D4693F" w:rsidRDefault="00173C44" w:rsidP="00FB790A">
            <w:pPr>
              <w:spacing w:line="276" w:lineRule="auto"/>
              <w:jc w:val="both"/>
              <w:rPr>
                <w:rFonts w:ascii="Verdana" w:eastAsia="Calibri" w:hAnsi="Verdana" w:cs="Arial"/>
                <w:lang w:val="es-ES" w:eastAsia="es-ES"/>
              </w:rPr>
            </w:pPr>
            <w:r w:rsidRPr="00D4693F">
              <w:rPr>
                <w:rFonts w:ascii="Verdana" w:eastAsia="Arial" w:hAnsi="Verdana" w:cs="Arial"/>
                <w:lang w:val="es-ES"/>
              </w:rPr>
              <w:t>ACCESO A DOCUMENTACIÓN PÚBLICA – Derecho fundamental – Transparencia – Información contractual / SECOP – Deber de publicación – Información contractual / DATOS SENSIBLES – Reserva – Excepción – SECOP</w:t>
            </w:r>
            <w:r w:rsidRPr="00D4693F">
              <w:rPr>
                <w:rFonts w:ascii="Verdana" w:eastAsia="Calibri" w:hAnsi="Verdana" w:cs="Arial"/>
                <w:lang w:val="es-ES" w:eastAsia="es-ES"/>
              </w:rPr>
              <w:t xml:space="preserve"> </w:t>
            </w:r>
          </w:p>
          <w:p w14:paraId="2F6AB05A" w14:textId="77777777" w:rsidR="00173C44" w:rsidRPr="00D4693F" w:rsidRDefault="00173C44" w:rsidP="00FB790A">
            <w:pPr>
              <w:spacing w:line="276" w:lineRule="auto"/>
              <w:jc w:val="both"/>
              <w:rPr>
                <w:rFonts w:ascii="Verdana" w:eastAsia="Calibri" w:hAnsi="Verdana" w:cs="Arial"/>
                <w:lang w:val="es-ES" w:eastAsia="es-ES"/>
              </w:rPr>
            </w:pPr>
          </w:p>
        </w:tc>
      </w:tr>
      <w:tr w:rsidR="00173C44" w:rsidRPr="00D4693F" w14:paraId="160D9192" w14:textId="77777777" w:rsidTr="00FB790A">
        <w:tc>
          <w:tcPr>
            <w:tcW w:w="2689" w:type="dxa"/>
          </w:tcPr>
          <w:p w14:paraId="277911FE" w14:textId="77777777" w:rsidR="00173C44" w:rsidRPr="00D4693F" w:rsidRDefault="00173C44" w:rsidP="00FB790A">
            <w:pPr>
              <w:jc w:val="both"/>
              <w:rPr>
                <w:rFonts w:ascii="Verdana" w:eastAsia="Calibri" w:hAnsi="Verdana" w:cs="Arial"/>
                <w:b/>
                <w:lang w:val="es-ES_tradnl" w:eastAsia="es-ES_tradnl"/>
              </w:rPr>
            </w:pPr>
            <w:r w:rsidRPr="00D4693F">
              <w:rPr>
                <w:rFonts w:ascii="Verdana" w:eastAsia="Calibri" w:hAnsi="Verdana" w:cs="Arial"/>
                <w:b/>
                <w:lang w:val="es-ES_tradnl" w:eastAsia="es-ES_tradnl"/>
              </w:rPr>
              <w:t>Radicación:</w:t>
            </w:r>
            <w:r w:rsidRPr="00D4693F">
              <w:rPr>
                <w:rFonts w:ascii="Verdana" w:eastAsia="Calibri" w:hAnsi="Verdana" w:cs="Arial"/>
                <w:lang w:val="es-ES_tradnl" w:eastAsia="es-ES_tradnl"/>
              </w:rPr>
              <w:t xml:space="preserve">               </w:t>
            </w:r>
          </w:p>
        </w:tc>
        <w:tc>
          <w:tcPr>
            <w:tcW w:w="6100" w:type="dxa"/>
          </w:tcPr>
          <w:p w14:paraId="6AB3FD69" w14:textId="77777777" w:rsidR="00173C44" w:rsidRPr="00D4693F" w:rsidRDefault="00173C44" w:rsidP="00FB790A">
            <w:pPr>
              <w:jc w:val="both"/>
              <w:rPr>
                <w:rFonts w:ascii="Verdana" w:eastAsia="Calibri" w:hAnsi="Verdana" w:cs="Arial"/>
                <w:lang w:val="es-ES_tradnl" w:eastAsia="es-ES_tradnl"/>
              </w:rPr>
            </w:pPr>
            <w:r w:rsidRPr="00D4693F">
              <w:rPr>
                <w:rFonts w:ascii="Verdana" w:eastAsia="Calibri" w:hAnsi="Verdana" w:cs="Arial"/>
                <w:lang w:val="es-ES_tradnl" w:eastAsia="es-ES_tradnl"/>
              </w:rPr>
              <w:t xml:space="preserve">Respuesta a consulta con radicado No. </w:t>
            </w:r>
            <w:r w:rsidRPr="00D4693F">
              <w:rPr>
                <w:rFonts w:ascii="Verdana" w:eastAsia="Calibri" w:hAnsi="Verdana" w:cs="Arial"/>
                <w:lang w:eastAsia="es-ES_tradnl"/>
              </w:rPr>
              <w:t>P20250224001816</w:t>
            </w:r>
          </w:p>
        </w:tc>
      </w:tr>
    </w:tbl>
    <w:p w14:paraId="21963B26" w14:textId="77777777" w:rsidR="00173C44" w:rsidRPr="00D4693F" w:rsidRDefault="00173C44" w:rsidP="00173C44">
      <w:pPr>
        <w:spacing w:after="0" w:line="240" w:lineRule="auto"/>
        <w:jc w:val="both"/>
        <w:rPr>
          <w:rFonts w:ascii="Verdana" w:eastAsia="Calibri" w:hAnsi="Verdana" w:cs="Arial"/>
          <w:lang w:val="es-ES_tradnl" w:eastAsia="es-ES_tradnl"/>
        </w:rPr>
      </w:pPr>
    </w:p>
    <w:p w14:paraId="1B67E19F" w14:textId="77777777" w:rsidR="00173C44" w:rsidRPr="00D4693F" w:rsidRDefault="00173C44" w:rsidP="00173C44">
      <w:pPr>
        <w:spacing w:after="0" w:line="240" w:lineRule="auto"/>
        <w:jc w:val="both"/>
        <w:rPr>
          <w:rFonts w:ascii="Verdana" w:eastAsia="Calibri" w:hAnsi="Verdana" w:cs="Arial"/>
          <w:lang w:val="es-ES_tradnl" w:eastAsia="es-ES_tradnl"/>
        </w:rPr>
      </w:pPr>
    </w:p>
    <w:p w14:paraId="7B4748CE" w14:textId="77777777" w:rsidR="00173C44" w:rsidRPr="00D4693F" w:rsidRDefault="00173C44" w:rsidP="00861D85">
      <w:pPr>
        <w:spacing w:after="0" w:line="276" w:lineRule="auto"/>
        <w:jc w:val="both"/>
        <w:rPr>
          <w:rFonts w:ascii="Verdana" w:eastAsia="Calibri" w:hAnsi="Verdana" w:cs="Arial"/>
          <w:lang w:val="es-ES" w:eastAsia="es-ES"/>
        </w:rPr>
      </w:pPr>
      <w:r w:rsidRPr="00D4693F">
        <w:rPr>
          <w:rFonts w:ascii="Verdana" w:eastAsia="Calibri" w:hAnsi="Verdana" w:cs="Arial"/>
          <w:lang w:val="es-ES" w:eastAsia="es-ES"/>
        </w:rPr>
        <w:t xml:space="preserve">Estimado señor Trujillo: </w:t>
      </w:r>
    </w:p>
    <w:p w14:paraId="78C101F1" w14:textId="77777777" w:rsidR="00173C44" w:rsidRPr="00D4693F" w:rsidRDefault="00173C44" w:rsidP="00861D85">
      <w:pPr>
        <w:tabs>
          <w:tab w:val="left" w:pos="3768"/>
        </w:tabs>
        <w:spacing w:after="0" w:line="276" w:lineRule="auto"/>
        <w:jc w:val="both"/>
        <w:rPr>
          <w:rFonts w:ascii="Verdana" w:eastAsia="Calibri" w:hAnsi="Verdana" w:cs="Arial"/>
          <w:lang w:val="es-ES" w:eastAsia="es-ES"/>
        </w:rPr>
      </w:pPr>
      <w:r w:rsidRPr="00D4693F">
        <w:rPr>
          <w:rFonts w:ascii="Verdana" w:eastAsia="Calibri" w:hAnsi="Verdana" w:cs="Arial"/>
          <w:lang w:val="es-ES" w:eastAsia="es-ES"/>
        </w:rPr>
        <w:tab/>
      </w:r>
    </w:p>
    <w:p w14:paraId="1F74652D" w14:textId="77777777" w:rsidR="00173C44" w:rsidRPr="00D4693F" w:rsidRDefault="00173C44" w:rsidP="00861D85">
      <w:pPr>
        <w:spacing w:after="0" w:line="276" w:lineRule="auto"/>
        <w:jc w:val="both"/>
        <w:rPr>
          <w:rFonts w:ascii="Verdana" w:eastAsia="Calibri" w:hAnsi="Verdana" w:cs="Arial"/>
          <w:lang w:val="es-ES" w:eastAsia="es-ES"/>
        </w:rPr>
      </w:pPr>
      <w:r w:rsidRPr="00D4693F">
        <w:rPr>
          <w:rFonts w:ascii="Verdana" w:eastAsia="Calibri" w:hAnsi="Verdana" w:cs="Arial"/>
          <w:lang w:val="es-ES" w:eastAsia="es-ES"/>
        </w:rPr>
        <w:t>En ejercicio de la competencia otorgada por los artículos 3, numeral 5º, y 11, numeral 8º, del Decreto Ley 4170 de 2011,</w:t>
      </w:r>
      <w:r w:rsidRPr="00D4693F">
        <w:rPr>
          <w:rFonts w:ascii="Verdana" w:eastAsia="Arial MT" w:hAnsi="Verdana" w:cs="Arial MT"/>
          <w:lang w:val="es-ES" w:eastAsia="es-ES"/>
        </w:rPr>
        <w:t xml:space="preserve"> </w:t>
      </w:r>
      <w:r w:rsidRPr="00D4693F">
        <w:rPr>
          <w:rFonts w:ascii="Verdana" w:hAnsi="Verdana" w:cs="Arial"/>
        </w:rPr>
        <w:t xml:space="preserve">así como lo establecido en el artículo 4 de la Resolución 1707 de 2018 expedida por esta Entidad, </w:t>
      </w:r>
      <w:r w:rsidRPr="00D4693F">
        <w:rPr>
          <w:rFonts w:ascii="Verdana" w:eastAsia="Calibri" w:hAnsi="Verdana" w:cs="Arial"/>
          <w:lang w:val="es-ES" w:eastAsia="es-ES"/>
        </w:rPr>
        <w:t xml:space="preserve">la Agencia Nacional de Contratación Pública – Colombia Compra Eficiente– responde su solicitud de consulta de fecha 24 de febrero de 2025, en la cual manifiesta lo siguiente: </w:t>
      </w:r>
    </w:p>
    <w:p w14:paraId="4F5A351B" w14:textId="77777777" w:rsidR="00173C44" w:rsidRPr="00D4693F" w:rsidRDefault="00173C44" w:rsidP="00AD58E3">
      <w:pPr>
        <w:pStyle w:val="Prrafodelista"/>
        <w:tabs>
          <w:tab w:val="left" w:pos="142"/>
          <w:tab w:val="left" w:pos="284"/>
        </w:tabs>
        <w:spacing w:after="0" w:line="276" w:lineRule="auto"/>
        <w:ind w:left="0"/>
        <w:jc w:val="both"/>
        <w:rPr>
          <w:rFonts w:ascii="Verdana" w:eastAsia="Century Gothic" w:hAnsi="Verdana" w:cs="Century Gothic"/>
          <w:b/>
          <w:bCs/>
        </w:rPr>
      </w:pPr>
    </w:p>
    <w:p w14:paraId="52B42AC5" w14:textId="77777777" w:rsidR="00173C44" w:rsidRPr="00D4693F" w:rsidRDefault="00173C44" w:rsidP="00173C44">
      <w:pPr>
        <w:spacing w:after="0" w:line="240" w:lineRule="auto"/>
        <w:ind w:left="709" w:right="709"/>
        <w:jc w:val="both"/>
        <w:rPr>
          <w:rFonts w:ascii="Verdana" w:eastAsia="Century Gothic" w:hAnsi="Verdana" w:cs="Century Gothic"/>
          <w:sz w:val="20"/>
          <w:szCs w:val="20"/>
          <w:lang w:val="es-ES"/>
        </w:rPr>
      </w:pPr>
      <w:bookmarkStart w:id="1" w:name="_Hlk95313578"/>
      <w:r w:rsidRPr="00D4693F">
        <w:rPr>
          <w:rFonts w:ascii="Verdana" w:eastAsia="Century Gothic" w:hAnsi="Verdana" w:cs="Century Gothic"/>
          <w:sz w:val="20"/>
          <w:szCs w:val="20"/>
          <w:lang w:val="es-ES"/>
        </w:rPr>
        <w:t>“</w:t>
      </w:r>
      <w:r w:rsidRPr="00D4693F">
        <w:rPr>
          <w:rFonts w:ascii="Verdana" w:eastAsia="Century Gothic" w:hAnsi="Verdana" w:cs="Century Gothic"/>
          <w:sz w:val="20"/>
          <w:szCs w:val="20"/>
        </w:rPr>
        <w:t xml:space="preserve">Al contratar con una entidad del estado debo cargar los documentos del proveedor en la sección 4; selecciono que los documentos de carácter privado no sean públicos y por el contrario solicito la confidencialidad. La entidad contratante me rechaza la aceptación del contrato porque manifiesta los documentos privados (cédula, examen de salud ocupacional y otros) deben ser públicos. </w:t>
      </w:r>
      <w:proofErr w:type="gramStart"/>
      <w:r w:rsidRPr="00D4693F">
        <w:rPr>
          <w:rFonts w:ascii="Verdana" w:eastAsia="Century Gothic" w:hAnsi="Verdana" w:cs="Century Gothic"/>
          <w:sz w:val="20"/>
          <w:szCs w:val="20"/>
        </w:rPr>
        <w:t>Amparado en la ley de habeas data- protección de datos sensibles puede la entidad contratante obligarme a dejarlos públicos?</w:t>
      </w:r>
      <w:proofErr w:type="gramEnd"/>
      <w:r w:rsidRPr="00D4693F">
        <w:rPr>
          <w:rFonts w:ascii="Verdana" w:eastAsia="Century Gothic" w:hAnsi="Verdana" w:cs="Century Gothic"/>
          <w:sz w:val="20"/>
          <w:szCs w:val="20"/>
          <w:lang w:val="es-ES"/>
        </w:rPr>
        <w:t xml:space="preserve"> </w:t>
      </w:r>
      <w:r w:rsidRPr="00D4693F">
        <w:rPr>
          <w:rStyle w:val="normaltextrun"/>
          <w:rFonts w:ascii="Verdana" w:hAnsi="Verdana" w:cs="Arial"/>
          <w:sz w:val="20"/>
          <w:szCs w:val="20"/>
          <w:shd w:val="clear" w:color="auto" w:fill="FFFFFF"/>
          <w:lang w:val="es-ES"/>
        </w:rPr>
        <w:t>[…]</w:t>
      </w:r>
      <w:r w:rsidRPr="00D4693F">
        <w:rPr>
          <w:rFonts w:ascii="Verdana" w:eastAsia="Century Gothic" w:hAnsi="Verdana" w:cs="Century Gothic"/>
          <w:sz w:val="20"/>
          <w:szCs w:val="20"/>
          <w:lang w:val="es-ES"/>
        </w:rPr>
        <w:t>”</w:t>
      </w:r>
      <w:bookmarkEnd w:id="1"/>
      <w:r w:rsidRPr="00D4693F">
        <w:rPr>
          <w:rFonts w:ascii="Verdana" w:eastAsia="Century Gothic" w:hAnsi="Verdana" w:cs="Century Gothic"/>
          <w:sz w:val="20"/>
          <w:szCs w:val="20"/>
          <w:lang w:val="es-ES"/>
        </w:rPr>
        <w:t>.</w:t>
      </w:r>
    </w:p>
    <w:p w14:paraId="64D998DD" w14:textId="77777777" w:rsidR="00173C44" w:rsidRPr="00D4693F" w:rsidRDefault="00173C44" w:rsidP="00AD58E3">
      <w:pPr>
        <w:pStyle w:val="Prrafodelista"/>
        <w:tabs>
          <w:tab w:val="left" w:pos="142"/>
          <w:tab w:val="left" w:pos="284"/>
        </w:tabs>
        <w:spacing w:after="0" w:line="276" w:lineRule="auto"/>
        <w:ind w:left="0"/>
        <w:jc w:val="both"/>
        <w:rPr>
          <w:rFonts w:ascii="Verdana" w:eastAsia="Century Gothic" w:hAnsi="Verdana" w:cs="Century Gothic"/>
          <w:b/>
          <w:bCs/>
        </w:rPr>
      </w:pPr>
    </w:p>
    <w:p w14:paraId="0ACA3333" w14:textId="77777777" w:rsidR="00173C44" w:rsidRPr="00D4693F" w:rsidRDefault="00173C44" w:rsidP="00173C44">
      <w:pPr>
        <w:spacing w:after="120" w:line="276" w:lineRule="auto"/>
        <w:ind w:firstLine="709"/>
        <w:jc w:val="both"/>
        <w:rPr>
          <w:rFonts w:ascii="Verdana" w:eastAsia="Calibri" w:hAnsi="Verdana" w:cs="Arial"/>
          <w:szCs w:val="24"/>
          <w:lang w:val="es-ES_tradnl" w:eastAsia="es-ES_tradnl"/>
        </w:rPr>
      </w:pPr>
      <w:r w:rsidRPr="00D4693F">
        <w:rPr>
          <w:rFonts w:ascii="Verdana" w:eastAsia="Calibri" w:hAnsi="Verdana" w:cs="Arial"/>
          <w:lang w:val="es-ES" w:eastAsia="es-ES"/>
        </w:rPr>
        <w:t xml:space="preserve">De manera preliminar, resulta necesario acotar que esta entidad solo tiene competencia para responder consultas sobre la aplicación de normas de carácter </w:t>
      </w:r>
      <w:r w:rsidRPr="00D4693F">
        <w:rPr>
          <w:rFonts w:ascii="Verdana" w:eastAsia="Calibri" w:hAnsi="Verdana" w:cs="Arial"/>
          <w:lang w:val="es-ES"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4693F">
        <w:rPr>
          <w:rFonts w:ascii="Verdana" w:eastAsia="Calibri" w:hAnsi="Verdana" w:cs="Arial"/>
          <w:szCs w:val="24"/>
          <w:lang w:val="es-ES_tradnl" w:eastAsia="es-ES_tradnl"/>
        </w:rPr>
        <w:tab/>
      </w:r>
    </w:p>
    <w:p w14:paraId="0A1AE800" w14:textId="52463CC5" w:rsidR="00173C44" w:rsidRPr="00D4693F" w:rsidRDefault="00173C44" w:rsidP="00173C44">
      <w:pPr>
        <w:spacing w:after="0" w:line="276" w:lineRule="auto"/>
        <w:ind w:firstLine="709"/>
        <w:jc w:val="both"/>
        <w:rPr>
          <w:rFonts w:ascii="Verdana" w:eastAsia="Calibri" w:hAnsi="Verdana" w:cs="Arial"/>
          <w:lang w:val="es-ES" w:eastAsia="es-ES"/>
        </w:rPr>
      </w:pPr>
      <w:r w:rsidRPr="00D4693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sidR="009E6ED9" w:rsidRPr="00D4693F">
        <w:rPr>
          <w:rFonts w:ascii="Verdana" w:eastAsia="Calibri" w:hAnsi="Verdana" w:cs="Arial"/>
          <w:lang w:val="es-ES" w:eastAsia="es-ES"/>
        </w:rPr>
        <w:t>señalando alg</w:t>
      </w:r>
      <w:r w:rsidRPr="00D4693F">
        <w:rPr>
          <w:rFonts w:ascii="Verdana" w:eastAsia="Calibri" w:hAnsi="Verdana" w:cs="Arial"/>
          <w:lang w:val="es-ES" w:eastAsia="es-ES"/>
        </w:rPr>
        <w:t xml:space="preserve">unas consideraciones sobre las normas generales relacionadas con el problema jurídico de su consulta. </w:t>
      </w:r>
    </w:p>
    <w:p w14:paraId="4542EB84" w14:textId="77777777" w:rsidR="00173C44" w:rsidRPr="00D4693F" w:rsidRDefault="00173C44" w:rsidP="00A8363E">
      <w:pPr>
        <w:spacing w:after="0" w:line="276" w:lineRule="auto"/>
        <w:ind w:firstLine="709"/>
        <w:jc w:val="both"/>
        <w:rPr>
          <w:rFonts w:ascii="Verdana" w:eastAsia="Calibri" w:hAnsi="Verdana" w:cs="Arial"/>
          <w:lang w:val="es-ES" w:eastAsia="es-ES"/>
        </w:rPr>
      </w:pPr>
    </w:p>
    <w:p w14:paraId="3352048A" w14:textId="77777777" w:rsidR="00173C44" w:rsidRPr="00D4693F" w:rsidRDefault="00173C44" w:rsidP="00AD58E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4693F">
        <w:rPr>
          <w:rFonts w:ascii="Verdana" w:eastAsia="Century Gothic" w:hAnsi="Verdana" w:cs="Century Gothic"/>
          <w:b/>
          <w:bCs/>
        </w:rPr>
        <w:t>Problema planteado:</w:t>
      </w:r>
    </w:p>
    <w:p w14:paraId="6C84F6F3" w14:textId="77777777" w:rsidR="00173C44" w:rsidRPr="00D4693F" w:rsidRDefault="00173C44" w:rsidP="00A8363E">
      <w:pPr>
        <w:tabs>
          <w:tab w:val="left" w:pos="426"/>
        </w:tabs>
        <w:spacing w:after="0" w:line="276" w:lineRule="auto"/>
        <w:jc w:val="both"/>
        <w:rPr>
          <w:rFonts w:ascii="Verdana" w:eastAsia="Century Gothic" w:hAnsi="Verdana" w:cs="Century Gothic"/>
          <w:lang w:val="es-ES"/>
        </w:rPr>
      </w:pPr>
    </w:p>
    <w:p w14:paraId="4402B9CB" w14:textId="77777777" w:rsidR="00173C44" w:rsidRPr="00D4693F" w:rsidRDefault="00173C44" w:rsidP="00A8363E">
      <w:pPr>
        <w:spacing w:after="0" w:line="276" w:lineRule="auto"/>
        <w:jc w:val="both"/>
        <w:rPr>
          <w:rFonts w:ascii="Verdana" w:eastAsia="Century Gothic" w:hAnsi="Verdana" w:cs="Century Gothic"/>
        </w:rPr>
      </w:pPr>
      <w:r w:rsidRPr="00D4693F">
        <w:rPr>
          <w:rFonts w:ascii="Verdana" w:eastAsia="Century Gothic" w:hAnsi="Verdana" w:cs="Century Gothic"/>
        </w:rPr>
        <w:t xml:space="preserve">De acuerdo con el contenido de su solicitud, esta Agencia resolverá el siguiente problema jurídico: ¿Puede una entidad estatal exigir la publicación de documentos que contienen datos personales y sensibles de un proveedor, como la cédula y el examen de salud ocupacional, a pesar de que el proveedor haya solicitado confidencialidad? </w:t>
      </w:r>
    </w:p>
    <w:p w14:paraId="379E81C7" w14:textId="77777777" w:rsidR="00173C44" w:rsidRPr="00D4693F" w:rsidRDefault="00173C44" w:rsidP="00A8363E">
      <w:pPr>
        <w:spacing w:after="0" w:line="276" w:lineRule="auto"/>
        <w:jc w:val="both"/>
        <w:rPr>
          <w:rFonts w:ascii="Verdana" w:eastAsia="Calibri" w:hAnsi="Verdana" w:cs="Arial"/>
          <w:lang w:val="es-ES"/>
        </w:rPr>
      </w:pPr>
    </w:p>
    <w:p w14:paraId="56E591BF" w14:textId="77777777" w:rsidR="00173C44" w:rsidRPr="00D4693F" w:rsidRDefault="00173C44" w:rsidP="00A8363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4693F">
        <w:rPr>
          <w:rFonts w:ascii="Verdana" w:eastAsia="Century Gothic" w:hAnsi="Verdana" w:cs="Century Gothic"/>
          <w:b/>
          <w:bCs/>
        </w:rPr>
        <w:t>Respuesta:</w:t>
      </w:r>
    </w:p>
    <w:p w14:paraId="40154027" w14:textId="77777777" w:rsidR="00173C44" w:rsidRPr="00D4693F" w:rsidRDefault="00173C44" w:rsidP="00A8363E">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73C44" w:rsidRPr="00D4693F" w14:paraId="67AD6D22" w14:textId="77777777" w:rsidTr="00FB790A">
        <w:tc>
          <w:tcPr>
            <w:tcW w:w="8828" w:type="dxa"/>
            <w:shd w:val="clear" w:color="auto" w:fill="auto"/>
          </w:tcPr>
          <w:p w14:paraId="0A4AE400" w14:textId="3E24E973" w:rsidR="00173C44" w:rsidRPr="00D4693F" w:rsidRDefault="00173C44" w:rsidP="00AD58E3">
            <w:pPr>
              <w:spacing w:after="120" w:line="276" w:lineRule="auto"/>
              <w:jc w:val="both"/>
              <w:rPr>
                <w:rFonts w:ascii="Verdana" w:eastAsia="Calibri" w:hAnsi="Verdana" w:cs="Arial"/>
              </w:rPr>
            </w:pPr>
            <w:r w:rsidRPr="00D4693F">
              <w:rPr>
                <w:rFonts w:ascii="Verdana" w:eastAsia="Calibri" w:hAnsi="Verdana" w:cs="Arial"/>
              </w:rPr>
              <w:t xml:space="preserve">En Colombia, la protección de los datos personales está regulada por la Ley 1581 de 2012, que establece que los datos sensibles, como la información de salud, requieren un tratamiento especial y solo pueden divulgarse con autorización del titular, salvo excepciones legales. Adicionalmente, la Ley 1712 de 2014 </w:t>
            </w:r>
            <w:r w:rsidR="00850A2C">
              <w:rPr>
                <w:rFonts w:ascii="Verdana" w:eastAsia="Calibri" w:hAnsi="Verdana" w:cs="Arial"/>
              </w:rPr>
              <w:t xml:space="preserve">– también conocida como la </w:t>
            </w:r>
            <w:r w:rsidRPr="00D4693F">
              <w:rPr>
                <w:rFonts w:ascii="Verdana" w:eastAsia="Calibri" w:hAnsi="Verdana" w:cs="Arial"/>
              </w:rPr>
              <w:t>Ley de Transparencia y Acceso a la Información Pública</w:t>
            </w:r>
            <w:r w:rsidR="00850A2C">
              <w:rPr>
                <w:rFonts w:ascii="Verdana" w:eastAsia="Calibri" w:hAnsi="Verdana" w:cs="Arial"/>
              </w:rPr>
              <w:t xml:space="preserve"> –</w:t>
            </w:r>
            <w:r w:rsidRPr="00D4693F">
              <w:rPr>
                <w:rFonts w:ascii="Verdana" w:eastAsia="Calibri" w:hAnsi="Verdana" w:cs="Arial"/>
              </w:rPr>
              <w:t xml:space="preserve"> garantiza</w:t>
            </w:r>
            <w:r w:rsidR="00850A2C">
              <w:rPr>
                <w:rFonts w:ascii="Verdana" w:eastAsia="Calibri" w:hAnsi="Verdana" w:cs="Arial"/>
              </w:rPr>
              <w:t xml:space="preserve"> </w:t>
            </w:r>
            <w:r w:rsidRPr="00D4693F">
              <w:rPr>
                <w:rFonts w:ascii="Verdana" w:eastAsia="Calibri" w:hAnsi="Verdana" w:cs="Arial"/>
              </w:rPr>
              <w:t>el acceso a la información pública, pero protege los datos personales y sensibles de divulgación indebida.</w:t>
            </w:r>
          </w:p>
          <w:p w14:paraId="4B66B0E4" w14:textId="6A0B2D4D" w:rsidR="00173C44" w:rsidRPr="00D4693F" w:rsidRDefault="00173C44" w:rsidP="00AD58E3">
            <w:pPr>
              <w:spacing w:after="120" w:line="276" w:lineRule="auto"/>
              <w:ind w:firstLine="709"/>
              <w:jc w:val="both"/>
              <w:rPr>
                <w:rFonts w:ascii="Verdana" w:eastAsia="Calibri" w:hAnsi="Verdana" w:cs="Arial"/>
              </w:rPr>
            </w:pPr>
            <w:r w:rsidRPr="00D4693F">
              <w:rPr>
                <w:rFonts w:ascii="Verdana" w:eastAsia="Calibri" w:hAnsi="Verdana" w:cs="Arial"/>
              </w:rPr>
              <w:t xml:space="preserve">Si bien la Contratación Estatal se rige por el principio de publicidad, este debe armonizarse con la protección de datos. </w:t>
            </w:r>
            <w:r w:rsidR="007E0202">
              <w:rPr>
                <w:rFonts w:ascii="Verdana" w:eastAsia="Calibri" w:hAnsi="Verdana" w:cs="Arial"/>
              </w:rPr>
              <w:t>En ese contexto, l</w:t>
            </w:r>
            <w:r w:rsidRPr="00D4693F">
              <w:rPr>
                <w:rFonts w:ascii="Verdana" w:eastAsia="Calibri" w:hAnsi="Verdana" w:cs="Arial"/>
              </w:rPr>
              <w:t xml:space="preserve">as entidades estatales deben publicar los documentos del proceso en SECOP, velando la </w:t>
            </w:r>
            <w:r w:rsidRPr="00D4693F">
              <w:rPr>
                <w:rFonts w:ascii="Verdana" w:eastAsia="Calibri" w:hAnsi="Verdana" w:cs="Arial"/>
              </w:rPr>
              <w:lastRenderedPageBreak/>
              <w:t>confidencialidad de la información privada o sensible de los proponentes de conformidad con lo dispuesto por el Decreto 1082 de 2015 y las disposiciones sobre hábeas data.</w:t>
            </w:r>
          </w:p>
          <w:p w14:paraId="48AB1E12" w14:textId="2B6A4D06" w:rsidR="00173C44" w:rsidRPr="00D4693F" w:rsidRDefault="00173C44" w:rsidP="00AD58E3">
            <w:pPr>
              <w:spacing w:line="276" w:lineRule="auto"/>
              <w:ind w:firstLine="709"/>
              <w:jc w:val="both"/>
              <w:rPr>
                <w:rFonts w:ascii="Verdana" w:eastAsia="Calibri" w:hAnsi="Verdana" w:cs="Arial"/>
                <w:lang w:val="es-ES"/>
              </w:rPr>
            </w:pPr>
            <w:r w:rsidRPr="00D4693F">
              <w:rPr>
                <w:rFonts w:ascii="Verdana" w:eastAsia="Calibri" w:hAnsi="Verdana" w:cs="Arial"/>
              </w:rPr>
              <w:t xml:space="preserve">Para el caso concreto, el examen de salud ocupacional contiene datos sensibles, pues incluye información sobre el estado de salud del proveedor, condiciones médicas, diagnósticos y resultados. Por otro lado, la cédula de ciudadanía, aunque su número es un dato público, su imagen o fotocopia es un dato privado, pues contiene elementos biométricos (foto, firma, huella) y datos personales que permiten la identificación plena del titular. En consecuencia, una entidad estatal </w:t>
            </w:r>
            <w:r w:rsidR="007E0202">
              <w:rPr>
                <w:rFonts w:ascii="Verdana" w:eastAsia="Calibri" w:hAnsi="Verdana" w:cs="Arial"/>
              </w:rPr>
              <w:t>debe abstenerse de</w:t>
            </w:r>
            <w:r w:rsidRPr="00D4693F">
              <w:rPr>
                <w:rFonts w:ascii="Verdana" w:eastAsia="Calibri" w:hAnsi="Verdana" w:cs="Arial"/>
              </w:rPr>
              <w:t xml:space="preserve"> exigir la publicación de estos documentos si el proveedor ha solicitado confidencialidad, y debe garantizar su reserva conforme a la normativa vigente.</w:t>
            </w:r>
          </w:p>
        </w:tc>
      </w:tr>
    </w:tbl>
    <w:p w14:paraId="03408DF8" w14:textId="77777777" w:rsidR="00173C44" w:rsidRPr="00D4693F" w:rsidRDefault="00173C44" w:rsidP="00A4477D">
      <w:pPr>
        <w:tabs>
          <w:tab w:val="left" w:pos="142"/>
          <w:tab w:val="left" w:pos="284"/>
        </w:tabs>
        <w:spacing w:after="0" w:line="276" w:lineRule="auto"/>
        <w:jc w:val="both"/>
        <w:rPr>
          <w:rFonts w:ascii="Verdana" w:eastAsia="Century Gothic" w:hAnsi="Verdana" w:cs="Century Gothic"/>
          <w:b/>
          <w:bCs/>
          <w:lang w:val="es-ES"/>
        </w:rPr>
      </w:pPr>
    </w:p>
    <w:p w14:paraId="5E9303B0" w14:textId="77777777" w:rsidR="00173C44" w:rsidRPr="00D4693F" w:rsidRDefault="00173C44" w:rsidP="00A4477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4693F">
        <w:rPr>
          <w:rFonts w:ascii="Verdana" w:eastAsia="Century Gothic" w:hAnsi="Verdana" w:cs="Century Gothic"/>
          <w:b/>
          <w:bCs/>
        </w:rPr>
        <w:t>Razones de la respuesta:</w:t>
      </w:r>
    </w:p>
    <w:p w14:paraId="4901514E" w14:textId="77777777" w:rsidR="00173C44" w:rsidRPr="00D4693F" w:rsidRDefault="00173C44" w:rsidP="00A4477D">
      <w:pPr>
        <w:spacing w:after="0" w:line="276" w:lineRule="auto"/>
        <w:jc w:val="both"/>
        <w:rPr>
          <w:rFonts w:ascii="Verdana" w:eastAsia="Calibri" w:hAnsi="Verdana" w:cs="Arial"/>
          <w:lang w:val="es-ES"/>
        </w:rPr>
      </w:pPr>
    </w:p>
    <w:p w14:paraId="5298EA10" w14:textId="77777777" w:rsidR="00173C44" w:rsidRPr="00D4693F" w:rsidRDefault="00173C44" w:rsidP="00A4477D">
      <w:pPr>
        <w:spacing w:after="0" w:line="276" w:lineRule="auto"/>
        <w:jc w:val="both"/>
        <w:rPr>
          <w:rFonts w:ascii="Verdana" w:eastAsia="Calibri" w:hAnsi="Verdana" w:cs="Arial"/>
          <w:lang w:val="es-ES"/>
        </w:rPr>
      </w:pPr>
      <w:r w:rsidRPr="00D4693F">
        <w:rPr>
          <w:rFonts w:ascii="Verdana" w:eastAsia="Calibri" w:hAnsi="Verdana" w:cs="Arial"/>
          <w:lang w:val="es-ES"/>
        </w:rPr>
        <w:t xml:space="preserve">Lo anterior se sustenta en las siguientes consideraciones: </w:t>
      </w:r>
    </w:p>
    <w:p w14:paraId="4F5841A7" w14:textId="77777777" w:rsidR="00173C44" w:rsidRPr="00D4693F" w:rsidRDefault="00173C44" w:rsidP="00A4477D">
      <w:pPr>
        <w:spacing w:after="0" w:line="276" w:lineRule="auto"/>
        <w:jc w:val="both"/>
        <w:rPr>
          <w:rFonts w:ascii="Verdana" w:eastAsia="Calibri" w:hAnsi="Verdana" w:cs="Arial"/>
          <w:lang w:val="es-ES"/>
        </w:rPr>
      </w:pPr>
    </w:p>
    <w:p w14:paraId="541C0ABA" w14:textId="796F3971" w:rsidR="00917C1D" w:rsidRPr="00D4693F" w:rsidRDefault="00893109" w:rsidP="00D502AC">
      <w:pPr>
        <w:spacing w:after="120" w:line="276" w:lineRule="auto"/>
        <w:jc w:val="both"/>
        <w:rPr>
          <w:rFonts w:ascii="Verdana" w:eastAsia="Arial" w:hAnsi="Verdana" w:cs="Arial"/>
          <w:lang w:val="es-ES"/>
        </w:rPr>
      </w:pPr>
      <w:r w:rsidRPr="00AD58E3">
        <w:rPr>
          <w:rFonts w:ascii="Verdana" w:eastAsia="Calibri" w:hAnsi="Verdana" w:cs="Arial"/>
          <w:lang w:val="es-ES_tradnl"/>
        </w:rPr>
        <w:t xml:space="preserve">La Constitución Política de 1991 consagra en varios artículos la </w:t>
      </w:r>
      <w:r w:rsidRPr="00AD58E3">
        <w:rPr>
          <w:rFonts w:ascii="Verdana" w:eastAsia="Calibri" w:hAnsi="Verdana" w:cs="Arial"/>
          <w:i/>
          <w:iCs/>
          <w:lang w:val="es-ES_tradnl"/>
        </w:rPr>
        <w:t>publicidad</w:t>
      </w:r>
      <w:r w:rsidRPr="00AD58E3">
        <w:rPr>
          <w:rFonts w:ascii="Verdana" w:eastAsia="Calibri" w:hAnsi="Verdana" w:cs="Arial"/>
          <w:lang w:val="es-ES_tradnl"/>
        </w:rPr>
        <w:t xml:space="preserve"> como un principio rector del Estado colombiano. Entre </w:t>
      </w:r>
      <w:r w:rsidRPr="00AD58E3">
        <w:rPr>
          <w:rFonts w:ascii="Verdana" w:eastAsia="Calibri" w:hAnsi="Verdana" w:cs="Arial"/>
          <w:color w:val="000000" w:themeColor="text1"/>
          <w:lang w:val="es-ES_tradnl"/>
        </w:rPr>
        <w:t xml:space="preserve">los más destacados, puede mencionarse el 209, que afirma que la publicidad es uno de los principios que fundamentan el ejercicio de la función administrativa. </w:t>
      </w:r>
      <w:r w:rsidR="00F308C9" w:rsidRPr="00AD58E3">
        <w:rPr>
          <w:rFonts w:ascii="Verdana" w:eastAsia="Calibri" w:hAnsi="Verdana" w:cs="Arial"/>
          <w:color w:val="000000" w:themeColor="text1"/>
          <w:lang w:val="es-ES_tradnl"/>
        </w:rPr>
        <w:t xml:space="preserve">Asimismo, </w:t>
      </w:r>
      <w:r w:rsidR="00F308C9" w:rsidRPr="00D4693F">
        <w:rPr>
          <w:rFonts w:ascii="Verdana" w:eastAsia="Arial" w:hAnsi="Verdana" w:cs="Arial"/>
          <w:lang w:val="es-ES"/>
        </w:rPr>
        <w:t>e</w:t>
      </w:r>
      <w:r w:rsidR="00173C44" w:rsidRPr="00D4693F">
        <w:rPr>
          <w:rFonts w:ascii="Verdana" w:eastAsia="Arial" w:hAnsi="Verdana" w:cs="Arial"/>
          <w:lang w:val="es-ES"/>
        </w:rPr>
        <w:t>l artículo 74 de la Constitución Política establece que</w:t>
      </w:r>
      <w:r w:rsidR="00971C9A" w:rsidRPr="00D4693F">
        <w:rPr>
          <w:rFonts w:ascii="Verdana" w:eastAsia="Arial" w:hAnsi="Verdana" w:cs="Arial"/>
          <w:lang w:val="es-ES"/>
        </w:rPr>
        <w:t>:</w:t>
      </w:r>
      <w:r w:rsidR="00173C44" w:rsidRPr="00D4693F">
        <w:rPr>
          <w:rFonts w:ascii="Verdana" w:eastAsia="Arial" w:hAnsi="Verdana" w:cs="Arial"/>
          <w:lang w:val="es-ES"/>
        </w:rPr>
        <w:t xml:space="preserve"> “Todas las personas tienen derecho a acceder a los documentos públicos salvo los casos que establezca la ley”. Esta disposición constitucional consagra </w:t>
      </w:r>
      <w:r w:rsidR="009E51F7" w:rsidRPr="00D4693F">
        <w:rPr>
          <w:rFonts w:ascii="Verdana" w:eastAsia="Arial" w:hAnsi="Verdana" w:cs="Arial"/>
          <w:lang w:val="es-ES"/>
        </w:rPr>
        <w:t>la garantía</w:t>
      </w:r>
      <w:r w:rsidR="00173C44" w:rsidRPr="00D4693F">
        <w:rPr>
          <w:rFonts w:ascii="Verdana" w:eastAsia="Arial" w:hAnsi="Verdana" w:cs="Arial"/>
          <w:lang w:val="es-ES"/>
        </w:rPr>
        <w:t xml:space="preserve"> fundamental de acceso a la información y a la documentación pública, salvo causal de reserva expresamente prevista en la </w:t>
      </w:r>
      <w:r w:rsidR="00535DF5" w:rsidRPr="00D4693F">
        <w:rPr>
          <w:rFonts w:ascii="Verdana" w:eastAsia="Arial" w:hAnsi="Verdana" w:cs="Arial"/>
          <w:lang w:val="es-ES"/>
        </w:rPr>
        <w:t xml:space="preserve">Constitución o en la </w:t>
      </w:r>
      <w:r w:rsidR="00173C44" w:rsidRPr="00D4693F">
        <w:rPr>
          <w:rFonts w:ascii="Verdana" w:eastAsia="Arial" w:hAnsi="Verdana" w:cs="Arial"/>
          <w:lang w:val="es-ES"/>
        </w:rPr>
        <w:t xml:space="preserve">Ley. </w:t>
      </w:r>
    </w:p>
    <w:p w14:paraId="09316400" w14:textId="43EF62B6" w:rsidR="00173C44" w:rsidRDefault="00173C44" w:rsidP="00D502AC">
      <w:pPr>
        <w:spacing w:after="120" w:line="276" w:lineRule="auto"/>
        <w:ind w:firstLine="708"/>
        <w:jc w:val="both"/>
        <w:rPr>
          <w:rFonts w:ascii="Verdana" w:eastAsia="Calibri" w:hAnsi="Verdana" w:cs="Arial"/>
          <w:lang w:val="es-ES"/>
        </w:rPr>
      </w:pPr>
      <w:r w:rsidRPr="00D4693F">
        <w:rPr>
          <w:rFonts w:ascii="Verdana" w:eastAsia="Arial" w:hAnsi="Verdana" w:cs="Arial"/>
          <w:lang w:val="es-ES"/>
        </w:rPr>
        <w:t>El principio de publicidad impone a las autoridades administrativas el deber de dar a conocer sus actos, contratos y decisiones, para que se divulguen y</w:t>
      </w:r>
      <w:r w:rsidR="00AA067E" w:rsidRPr="00D4693F">
        <w:rPr>
          <w:rFonts w:ascii="Verdana" w:eastAsia="Arial" w:hAnsi="Verdana" w:cs="Arial"/>
          <w:lang w:val="es-ES"/>
        </w:rPr>
        <w:t>,</w:t>
      </w:r>
      <w:r w:rsidRPr="00D4693F">
        <w:rPr>
          <w:rFonts w:ascii="Verdana" w:eastAsia="Arial" w:hAnsi="Verdana" w:cs="Arial"/>
          <w:lang w:val="es-ES"/>
        </w:rPr>
        <w:t xml:space="preserve"> eventualmente</w:t>
      </w:r>
      <w:r w:rsidR="00AA067E" w:rsidRPr="00D4693F">
        <w:rPr>
          <w:rFonts w:ascii="Verdana" w:eastAsia="Arial" w:hAnsi="Verdana" w:cs="Arial"/>
          <w:lang w:val="es-ES"/>
        </w:rPr>
        <w:t>,</w:t>
      </w:r>
      <w:r w:rsidRPr="00D4693F">
        <w:rPr>
          <w:rFonts w:ascii="Verdana" w:eastAsia="Arial" w:hAnsi="Verdana" w:cs="Arial"/>
          <w:lang w:val="es-ES"/>
        </w:rPr>
        <w:t xml:space="preserve"> se controlen las actuaciones. 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w:t>
      </w:r>
      <w:r w:rsidRPr="00D4693F">
        <w:rPr>
          <w:rFonts w:ascii="Verdana" w:eastAsia="Calibri" w:hAnsi="Verdana" w:cs="Arial"/>
          <w:lang w:val="es-ES"/>
        </w:rPr>
        <w:t>.</w:t>
      </w:r>
    </w:p>
    <w:p w14:paraId="1871C8AB" w14:textId="77777777" w:rsidR="00017B9F" w:rsidRPr="00D4693F" w:rsidRDefault="00017B9F" w:rsidP="00017B9F">
      <w:pPr>
        <w:spacing w:after="120" w:line="276" w:lineRule="auto"/>
        <w:ind w:firstLine="709"/>
        <w:jc w:val="both"/>
        <w:rPr>
          <w:rFonts w:ascii="Verdana" w:eastAsia="Arial" w:hAnsi="Verdana" w:cs="Arial"/>
          <w:lang w:val="es-ES"/>
        </w:rPr>
      </w:pPr>
      <w:r w:rsidRPr="00D4693F">
        <w:rPr>
          <w:rFonts w:ascii="Verdana" w:eastAsia="Arial" w:hAnsi="Verdana" w:cs="Arial"/>
          <w:lang w:val="es-ES"/>
        </w:rPr>
        <w:t xml:space="preserve">Del artículo 3 de la Ley 1150 de 2007 se desprende un deber de publicar las actuaciones contractuales, el cual implica que todas las entidades estatales, publiquen los documentos en los que se evidencia el desarrollo de sus procesos </w:t>
      </w:r>
      <w:r w:rsidRPr="00D4693F">
        <w:rPr>
          <w:rFonts w:ascii="Verdana" w:eastAsia="Arial" w:hAnsi="Verdana" w:cs="Arial"/>
          <w:lang w:val="es-ES"/>
        </w:rPr>
        <w:lastRenderedPageBreak/>
        <w:t>de contratación. Esto, como quiera que el objetivo del deber de dar publicidad a las actuaciones contractuales es materializar el derecho a conocer e intervenir de las decisiones de la Administración Pública.</w:t>
      </w:r>
    </w:p>
    <w:p w14:paraId="5432921A" w14:textId="587D7FE5" w:rsidR="00150CF5" w:rsidRPr="00AD58E3" w:rsidRDefault="00173C44" w:rsidP="00D502AC">
      <w:pPr>
        <w:spacing w:after="120" w:line="276" w:lineRule="auto"/>
        <w:ind w:firstLine="708"/>
        <w:jc w:val="both"/>
        <w:rPr>
          <w:rFonts w:ascii="Verdana" w:eastAsia="Times New Roman" w:hAnsi="Verdana" w:cs="Arial"/>
          <w:lang w:eastAsia="es-CO"/>
        </w:rPr>
      </w:pPr>
      <w:r w:rsidRPr="00D4693F">
        <w:rPr>
          <w:rFonts w:ascii="Verdana" w:eastAsia="Arial" w:hAnsi="Verdana" w:cs="Arial"/>
          <w:lang w:val="es-ES"/>
        </w:rPr>
        <w:t>De otra parte, la Ley 1712 de 2014 identifica como principios que orientan el derecho de acceso a la información pública los de máxima publicidad</w:t>
      </w:r>
      <w:r w:rsidR="00AC3FAB" w:rsidRPr="00D4693F">
        <w:rPr>
          <w:rFonts w:ascii="Verdana" w:eastAsia="Arial" w:hAnsi="Verdana" w:cs="Arial"/>
          <w:lang w:val="es-ES"/>
        </w:rPr>
        <w:t>, de</w:t>
      </w:r>
      <w:r w:rsidRPr="00D4693F">
        <w:rPr>
          <w:rFonts w:ascii="Verdana" w:eastAsia="Arial" w:hAnsi="Verdana" w:cs="Arial"/>
          <w:lang w:val="es-ES"/>
        </w:rPr>
        <w:t xml:space="preserve"> transparencia en la información</w:t>
      </w:r>
      <w:r w:rsidR="00AC3FAB" w:rsidRPr="00D4693F">
        <w:rPr>
          <w:rFonts w:ascii="Verdana" w:eastAsia="Arial" w:hAnsi="Verdana" w:cs="Arial"/>
          <w:lang w:val="es-ES"/>
        </w:rPr>
        <w:t xml:space="preserve"> y de buena fe</w:t>
      </w:r>
      <w:r w:rsidRPr="00D4693F">
        <w:rPr>
          <w:rFonts w:ascii="Verdana" w:eastAsia="Arial" w:hAnsi="Verdana" w:cs="Arial"/>
          <w:lang w:val="es-ES"/>
        </w:rPr>
        <w:t>. El principio de máxima publicidad establece que “toda información en posesión, bajo control o custodia de un sujeto obligado es pública y no podrá ser reservada o limitada sino por disposición constitucional o legal". El principio de transparencia en la información alude al deber de los sujetos de proporcionar y facilitar el acceso a la misma en los términos más amplios posibles, y a través de los medios y procedimientos que establezca la ley</w:t>
      </w:r>
      <w:r w:rsidR="00150CF5" w:rsidRPr="00AD58E3">
        <w:rPr>
          <w:rFonts w:ascii="Verdana" w:eastAsia="Times New Roman" w:hAnsi="Verdana" w:cs="Arial"/>
          <w:vertAlign w:val="superscript"/>
          <w:lang w:eastAsia="es-CO"/>
        </w:rPr>
        <w:footnoteReference w:id="2"/>
      </w:r>
      <w:r w:rsidR="00150CF5" w:rsidRPr="00AD58E3">
        <w:rPr>
          <w:rFonts w:ascii="Verdana" w:eastAsia="Times New Roman" w:hAnsi="Verdana" w:cs="Arial"/>
          <w:lang w:eastAsia="es-CO"/>
        </w:rPr>
        <w:t>. Finalmente, el principio de buena fe hace referencia al deber de todo sujeto obligado de cumplir con las obligaciones derivadas del derecho de acceso a la información pública con motivación honesta, leal y desprovista de cualquier intención dolosa o culposa</w:t>
      </w:r>
      <w:r w:rsidR="00150CF5" w:rsidRPr="00AD58E3">
        <w:rPr>
          <w:rFonts w:ascii="Verdana" w:eastAsia="Times New Roman" w:hAnsi="Verdana" w:cs="Arial"/>
          <w:vertAlign w:val="superscript"/>
          <w:lang w:eastAsia="es-CO"/>
        </w:rPr>
        <w:footnoteReference w:id="3"/>
      </w:r>
      <w:r w:rsidR="00150CF5" w:rsidRPr="00AD58E3">
        <w:rPr>
          <w:rFonts w:ascii="Verdana" w:eastAsia="Times New Roman" w:hAnsi="Verdana" w:cs="Arial"/>
          <w:lang w:eastAsia="es-CO"/>
        </w:rPr>
        <w:t xml:space="preserve">. </w:t>
      </w:r>
    </w:p>
    <w:p w14:paraId="43FFE521" w14:textId="7F820027" w:rsidR="004F770C" w:rsidRPr="00D4693F" w:rsidRDefault="00173C44" w:rsidP="00D502AC">
      <w:pPr>
        <w:spacing w:after="120" w:line="276" w:lineRule="auto"/>
        <w:ind w:firstLine="709"/>
        <w:jc w:val="both"/>
        <w:rPr>
          <w:rFonts w:ascii="Verdana" w:eastAsia="Arial" w:hAnsi="Verdana" w:cs="Arial"/>
          <w:lang w:val="es-ES"/>
        </w:rPr>
      </w:pPr>
      <w:r w:rsidRPr="00D4693F">
        <w:rPr>
          <w:rFonts w:ascii="Verdana" w:eastAsia="Arial" w:hAnsi="Verdana" w:cs="Arial"/>
          <w:lang w:val="es-ES"/>
        </w:rPr>
        <w:t>La ley citada establece, en el literal e) del artículo 9, que los sujetos obligados, que son todas las entidades públicas, deben publicar la información relativa a su contratación</w:t>
      </w:r>
      <w:r w:rsidR="008B642E" w:rsidRPr="00AD58E3">
        <w:rPr>
          <w:rFonts w:ascii="Verdana" w:eastAsia="Times New Roman" w:hAnsi="Verdana" w:cs="Arial"/>
          <w:vertAlign w:val="superscript"/>
          <w:lang w:eastAsia="es-CO"/>
        </w:rPr>
        <w:footnoteReference w:id="4"/>
      </w:r>
      <w:r w:rsidRPr="00D4693F">
        <w:rPr>
          <w:rFonts w:ascii="Verdana" w:eastAsia="Arial" w:hAnsi="Verdana" w:cs="Arial"/>
          <w:lang w:val="es-ES"/>
        </w:rPr>
        <w:t xml:space="preserve">. </w:t>
      </w:r>
      <w:r w:rsidR="004F770C" w:rsidRPr="00AD58E3">
        <w:rPr>
          <w:rFonts w:ascii="Verdana" w:eastAsia="Arial MT" w:hAnsi="Verdana" w:cs="Arial"/>
          <w:lang w:val="es-ES"/>
        </w:rPr>
        <w:t xml:space="preserve">El artículo 5 </w:t>
      </w:r>
      <w:r w:rsidR="004F770C" w:rsidRPr="00AD58E3">
        <w:rPr>
          <w:rFonts w:ascii="Verdana" w:eastAsia="Arial MT" w:hAnsi="Verdana" w:cs="Arial"/>
          <w:i/>
          <w:iCs/>
          <w:lang w:val="es-ES"/>
        </w:rPr>
        <w:t>ibidem</w:t>
      </w:r>
      <w:r w:rsidR="004F770C" w:rsidRPr="00AD58E3">
        <w:rPr>
          <w:rFonts w:ascii="Verdana" w:eastAsia="Arial MT" w:hAnsi="Verdana" w:cs="Arial"/>
          <w:lang w:val="es-ES"/>
        </w:rPr>
        <w:t xml:space="preserve">, al describir qué se entiende por sujetos obligados, consagra una lista cuyo propósito es incluir a cualquier </w:t>
      </w:r>
      <w:r w:rsidR="004F770C" w:rsidRPr="00AD58E3">
        <w:rPr>
          <w:rFonts w:ascii="Verdana" w:eastAsia="Arial MT" w:hAnsi="Verdana" w:cs="Arial"/>
          <w:lang w:val="es-ES"/>
        </w:rPr>
        <w:lastRenderedPageBreak/>
        <w:t>entidad, órgano, organismo, o persona natural que desempeñe funciones públicas o administre recursos públicos. Igualmente, establece que son sujetos obligados las empresas públicas, las empresas del Estado y las sociedades en las que el Estado tenga participación, sin que importe su monto</w:t>
      </w:r>
      <w:r w:rsidR="004F770C" w:rsidRPr="00AD58E3">
        <w:rPr>
          <w:rFonts w:ascii="Verdana" w:eastAsia="Times New Roman" w:hAnsi="Verdana" w:cs="Arial"/>
          <w:vertAlign w:val="superscript"/>
          <w:lang w:eastAsia="es-CO"/>
        </w:rPr>
        <w:footnoteReference w:id="5"/>
      </w:r>
      <w:r w:rsidR="004F770C" w:rsidRPr="00AD58E3">
        <w:rPr>
          <w:rFonts w:ascii="Verdana" w:eastAsia="Arial MT" w:hAnsi="Verdana" w:cs="Arial"/>
          <w:lang w:val="es-ES"/>
        </w:rPr>
        <w:t>.</w:t>
      </w:r>
      <w:r w:rsidR="004F770C" w:rsidRPr="00AD58E3">
        <w:rPr>
          <w:rFonts w:ascii="Verdana" w:eastAsia="Times New Roman" w:hAnsi="Verdana" w:cs="Arial"/>
          <w:lang w:eastAsia="es-CO"/>
        </w:rPr>
        <w:t xml:space="preserve"> </w:t>
      </w:r>
      <w:r w:rsidR="004F770C" w:rsidRPr="00D4693F">
        <w:rPr>
          <w:rFonts w:ascii="Verdana" w:eastAsia="Arial" w:hAnsi="Verdana" w:cs="Arial"/>
          <w:lang w:val="es-ES"/>
        </w:rPr>
        <w:t xml:space="preserve">Asimismo, de acuerdo con el literal g) del artículo 11 de la misma Ley, todos los destinatarios de la </w:t>
      </w:r>
      <w:r w:rsidR="00F26D65" w:rsidRPr="00D4693F">
        <w:rPr>
          <w:rFonts w:ascii="Verdana" w:eastAsia="Arial" w:hAnsi="Verdana" w:cs="Arial"/>
          <w:lang w:val="es-ES"/>
        </w:rPr>
        <w:t xml:space="preserve">Ley </w:t>
      </w:r>
      <w:r w:rsidR="004F770C" w:rsidRPr="00D4693F">
        <w:rPr>
          <w:rFonts w:ascii="Verdana" w:eastAsia="Arial" w:hAnsi="Verdana" w:cs="Arial"/>
          <w:lang w:val="es-ES"/>
        </w:rPr>
        <w:t xml:space="preserve">de </w:t>
      </w:r>
      <w:r w:rsidR="00F26D65" w:rsidRPr="00D4693F">
        <w:rPr>
          <w:rFonts w:ascii="Verdana" w:eastAsia="Arial" w:hAnsi="Verdana" w:cs="Arial"/>
          <w:lang w:val="es-ES"/>
        </w:rPr>
        <w:t xml:space="preserve">Transparencia </w:t>
      </w:r>
      <w:r w:rsidR="004F770C" w:rsidRPr="00D4693F">
        <w:rPr>
          <w:rFonts w:ascii="Verdana" w:eastAsia="Arial" w:hAnsi="Verdana" w:cs="Arial"/>
          <w:lang w:val="es-ES"/>
        </w:rPr>
        <w:t>deben garantizar la publicidad de “sus procedimientos, lineamientos, políticas en materia de adquisiciones y compras, así como todos los datos de adjudicación y ejecución de contratos, incluidos concursos y licitaciones”, y esta información también debe estar en el SECOP.</w:t>
      </w:r>
    </w:p>
    <w:p w14:paraId="33EB23EA" w14:textId="77777777" w:rsidR="008C6C21" w:rsidRDefault="00173C44" w:rsidP="00D502AC">
      <w:pPr>
        <w:spacing w:after="120" w:line="276" w:lineRule="auto"/>
        <w:ind w:firstLine="709"/>
        <w:jc w:val="both"/>
        <w:rPr>
          <w:rFonts w:ascii="Verdana" w:eastAsia="Times New Roman" w:hAnsi="Verdana" w:cs="Arial"/>
          <w:lang w:eastAsia="es-CO"/>
        </w:rPr>
      </w:pPr>
      <w:r w:rsidRPr="00D4693F">
        <w:rPr>
          <w:rFonts w:ascii="Verdana" w:eastAsia="Arial" w:hAnsi="Verdana" w:cs="Arial"/>
          <w:lang w:val="es-ES"/>
        </w:rPr>
        <w:t>Esta obligación fue</w:t>
      </w:r>
      <w:r w:rsidR="00F26D65">
        <w:rPr>
          <w:rFonts w:ascii="Verdana" w:eastAsia="Arial" w:hAnsi="Verdana" w:cs="Arial"/>
          <w:lang w:val="es-ES"/>
        </w:rPr>
        <w:t>,</w:t>
      </w:r>
      <w:r w:rsidRPr="00D4693F">
        <w:rPr>
          <w:rFonts w:ascii="Verdana" w:eastAsia="Arial" w:hAnsi="Verdana" w:cs="Arial"/>
          <w:lang w:val="es-ES"/>
        </w:rPr>
        <w:t xml:space="preserve"> en principio</w:t>
      </w:r>
      <w:r w:rsidR="00F26D65">
        <w:rPr>
          <w:rFonts w:ascii="Verdana" w:eastAsia="Arial" w:hAnsi="Verdana" w:cs="Arial"/>
          <w:lang w:val="es-ES"/>
        </w:rPr>
        <w:t>,</w:t>
      </w:r>
      <w:r w:rsidRPr="00D4693F">
        <w:rPr>
          <w:rFonts w:ascii="Verdana" w:eastAsia="Arial" w:hAnsi="Verdana" w:cs="Arial"/>
          <w:lang w:val="es-ES"/>
        </w:rPr>
        <w:t xml:space="preserve"> desarrollada por el Decreto 103 de 2015, hoy compilado en el Decreto Único Reglamentario 1081 de 2015, el cual dispuso que la publicación de la información contractual de los sujetos obligados, que contratan con cargo a recursos públicos, debe hacerse en el Sistema Electrónico de Contratación Pública –SECOP–.</w:t>
      </w:r>
      <w:r w:rsidR="00222A73" w:rsidRPr="00AD58E3">
        <w:rPr>
          <w:rFonts w:ascii="Verdana" w:eastAsia="Calibri" w:hAnsi="Verdana" w:cs="Arial"/>
          <w:lang w:val="es-ES_tradnl"/>
        </w:rPr>
        <w:t xml:space="preserve"> Puntualmente, el artículo 7 –</w:t>
      </w:r>
      <w:r w:rsidR="00222A73" w:rsidRPr="00AD58E3">
        <w:rPr>
          <w:rFonts w:ascii="Verdana" w:eastAsia="Times New Roman" w:hAnsi="Verdana" w:cs="Arial"/>
          <w:lang w:eastAsia="es-CO"/>
        </w:rPr>
        <w:t>artículo 2.1.1.2.1.7. del Decreto 1081 de 2015</w:t>
      </w:r>
      <w:r w:rsidR="00222A73" w:rsidRPr="00AD58E3">
        <w:rPr>
          <w:rFonts w:ascii="Verdana" w:eastAsia="Times New Roman" w:hAnsi="Verdana" w:cs="Arial"/>
          <w:vertAlign w:val="superscript"/>
          <w:lang w:eastAsia="es-CO"/>
        </w:rPr>
        <w:footnoteReference w:id="6"/>
      </w:r>
      <w:r w:rsidR="00222A73" w:rsidRPr="00AD58E3">
        <w:rPr>
          <w:rFonts w:ascii="Verdana" w:eastAsia="Calibri" w:hAnsi="Verdana" w:cs="Arial"/>
          <w:lang w:val="es-ES_tradnl"/>
        </w:rPr>
        <w:t>–</w:t>
      </w:r>
      <w:r w:rsidR="00222A73" w:rsidRPr="00AD58E3">
        <w:rPr>
          <w:rFonts w:ascii="Verdana" w:eastAsia="Times New Roman" w:hAnsi="Verdana" w:cs="Arial"/>
          <w:lang w:eastAsia="es-CO"/>
        </w:rPr>
        <w:t>, dispone que la publicación de la información de la gestión contractual de los sujetos obligados,</w:t>
      </w:r>
      <w:r w:rsidR="00222A73" w:rsidRPr="00AD58E3">
        <w:rPr>
          <w:rFonts w:ascii="Verdana" w:eastAsia="Times New Roman" w:hAnsi="Verdana" w:cs="Arial"/>
          <w:spacing w:val="3"/>
          <w:lang w:eastAsia="es-CO"/>
        </w:rPr>
        <w:t xml:space="preserve"> </w:t>
      </w:r>
      <w:r w:rsidR="00222A73" w:rsidRPr="00AD58E3">
        <w:rPr>
          <w:rFonts w:ascii="Verdana" w:eastAsia="Times New Roman" w:hAnsi="Verdana" w:cs="Arial"/>
          <w:lang w:eastAsia="es-CO"/>
        </w:rPr>
        <w:t xml:space="preserve">que contratan con cargo a recursos públicos, debe hacerse en el Sistema Electrónico de Contratación Pública – SECOP. </w:t>
      </w:r>
    </w:p>
    <w:p w14:paraId="31120B4C" w14:textId="01C66A5D" w:rsidR="008C6C21" w:rsidRDefault="00222A73" w:rsidP="00D502AC">
      <w:pPr>
        <w:spacing w:after="120" w:line="276" w:lineRule="auto"/>
        <w:ind w:firstLine="709"/>
        <w:jc w:val="both"/>
        <w:rPr>
          <w:rFonts w:ascii="Verdana" w:eastAsia="Calibri" w:hAnsi="Verdana" w:cs="Arial"/>
          <w:lang w:val="es-ES_tradnl"/>
        </w:rPr>
      </w:pPr>
      <w:r w:rsidRPr="00AD58E3">
        <w:rPr>
          <w:rFonts w:ascii="Verdana" w:eastAsia="Times New Roman" w:hAnsi="Verdana" w:cs="Arial"/>
          <w:lang w:eastAsia="es-CO"/>
        </w:rPr>
        <w:t>Asimismo,</w:t>
      </w:r>
      <w:r w:rsidRPr="00AD58E3">
        <w:rPr>
          <w:rFonts w:ascii="Verdana" w:eastAsia="Calibri" w:hAnsi="Verdana" w:cs="Arial"/>
          <w:lang w:val="es-ES_tradnl"/>
        </w:rPr>
        <w:t xml:space="preserve"> el artículo 8 –artículo 2.1.1.2.1.8. del Decreto 1081 de 2015–, de forma enunciativa, señala que se debe publicar la información relativa a la ejecución del contrato, como las aprobaciones, autorizaciones, requerimientos o informes del supervisor o interventor, que aprueben la ejecución del contrato</w:t>
      </w:r>
      <w:r w:rsidRPr="00AD58E3">
        <w:rPr>
          <w:rFonts w:ascii="Verdana" w:eastAsia="Calibri" w:hAnsi="Verdana" w:cs="Arial"/>
          <w:vertAlign w:val="superscript"/>
          <w:lang w:val="es-ES_tradnl"/>
        </w:rPr>
        <w:footnoteReference w:id="7"/>
      </w:r>
      <w:r w:rsidRPr="00AD58E3">
        <w:rPr>
          <w:rFonts w:ascii="Verdana" w:eastAsia="Calibri" w:hAnsi="Verdana" w:cs="Arial"/>
          <w:lang w:val="es-ES_tradnl"/>
        </w:rPr>
        <w:t xml:space="preserve">. </w:t>
      </w:r>
    </w:p>
    <w:p w14:paraId="7C953ADC" w14:textId="77777777" w:rsidR="008C6C21" w:rsidRDefault="00222A73" w:rsidP="00D502AC">
      <w:pPr>
        <w:spacing w:after="120" w:line="276" w:lineRule="auto"/>
        <w:ind w:firstLine="709"/>
        <w:jc w:val="both"/>
        <w:rPr>
          <w:rFonts w:ascii="Verdana" w:eastAsia="Calibri" w:hAnsi="Verdana" w:cs="Arial"/>
          <w:lang w:val="es-ES_tradnl"/>
        </w:rPr>
      </w:pPr>
      <w:r w:rsidRPr="00AD58E3">
        <w:rPr>
          <w:rFonts w:ascii="Verdana" w:eastAsia="Calibri" w:hAnsi="Verdana" w:cs="Arial"/>
          <w:lang w:val="es-ES_tradnl"/>
        </w:rPr>
        <w:lastRenderedPageBreak/>
        <w:t>Más adelante, el artículo 9 del Decreto 103 de 2015 –artículo 2.1.1.2.1.9. del Decreto 1081 de 2015– indica que las entidades deberán publicar los procedimientos, lineamientos y políticas en materia de adquisición, que no son otros que los previstos en el manual de contratación, que se haya expedido de acuerdo con los lineamientos de la Agencia Nacional de Contratación Pública – Colombia Compra Eficiente, el cual debe publicarse en el sitio web del sujeto obligado</w:t>
      </w:r>
      <w:r w:rsidRPr="00AD58E3">
        <w:rPr>
          <w:rFonts w:ascii="Verdana" w:eastAsia="Calibri" w:hAnsi="Verdana" w:cs="Arial"/>
          <w:vertAlign w:val="superscript"/>
          <w:lang w:val="es-ES_tradnl"/>
        </w:rPr>
        <w:footnoteReference w:id="8"/>
      </w:r>
      <w:r w:rsidRPr="00AD58E3">
        <w:rPr>
          <w:rFonts w:ascii="Verdana" w:eastAsia="Calibri" w:hAnsi="Verdana" w:cs="Arial"/>
          <w:lang w:val="es-ES_tradnl"/>
        </w:rPr>
        <w:t xml:space="preserve">. </w:t>
      </w:r>
    </w:p>
    <w:p w14:paraId="60420C23" w14:textId="0110CD00" w:rsidR="00222A73" w:rsidRPr="00AD58E3" w:rsidRDefault="00222A73" w:rsidP="00D502AC">
      <w:pPr>
        <w:spacing w:after="120" w:line="276" w:lineRule="auto"/>
        <w:ind w:firstLine="709"/>
        <w:jc w:val="both"/>
        <w:rPr>
          <w:rFonts w:ascii="Verdana" w:eastAsia="Calibri" w:hAnsi="Verdana" w:cs="Arial"/>
          <w:lang w:val="es-ES_tradnl"/>
        </w:rPr>
      </w:pPr>
      <w:r w:rsidRPr="00AD58E3">
        <w:rPr>
          <w:rFonts w:ascii="Verdana" w:eastAsia="Calibri" w:hAnsi="Verdana" w:cs="Arial"/>
          <w:lang w:val="es-ES_tradnl"/>
        </w:rPr>
        <w:t>Finalmente, el artículo 10 del Decreto 103 de 2015 –</w:t>
      </w:r>
      <w:r w:rsidRPr="00AD58E3">
        <w:rPr>
          <w:rFonts w:ascii="Verdana" w:hAnsi="Verdana" w:cs="Arial"/>
          <w:lang w:val="es-ES_tradnl"/>
        </w:rPr>
        <w:t xml:space="preserve">artículo </w:t>
      </w:r>
      <w:r w:rsidRPr="00AD58E3">
        <w:rPr>
          <w:rFonts w:ascii="Verdana" w:eastAsia="Calibri" w:hAnsi="Verdana" w:cs="Arial"/>
          <w:lang w:val="es-ES_tradnl"/>
        </w:rPr>
        <w:t>2.1.1.2.1.10. del Decreto 1081 de 2015– consagra la obligación que tienen las entidades estatales de publicar en el SECOP el Plan Anual de Adquisiciones</w:t>
      </w:r>
      <w:r w:rsidRPr="00AD58E3">
        <w:rPr>
          <w:rFonts w:ascii="Verdana" w:eastAsia="Calibri" w:hAnsi="Verdana" w:cs="Arial"/>
          <w:vertAlign w:val="superscript"/>
          <w:lang w:val="es-ES_tradnl"/>
        </w:rPr>
        <w:footnoteReference w:id="9"/>
      </w:r>
      <w:r w:rsidRPr="00AD58E3">
        <w:rPr>
          <w:rFonts w:ascii="Verdana" w:eastAsia="Calibri" w:hAnsi="Verdana" w:cs="Arial"/>
          <w:lang w:val="es-ES_tradnl"/>
        </w:rPr>
        <w:t>.</w:t>
      </w:r>
    </w:p>
    <w:p w14:paraId="57FFF673" w14:textId="7C6EE0A5" w:rsidR="00173C44" w:rsidRPr="00D4693F" w:rsidRDefault="00173C44" w:rsidP="00AD58E3">
      <w:pPr>
        <w:spacing w:after="120" w:line="276" w:lineRule="auto"/>
        <w:ind w:firstLine="709"/>
        <w:jc w:val="both"/>
        <w:rPr>
          <w:rFonts w:ascii="Verdana" w:eastAsia="Arial" w:hAnsi="Verdana" w:cs="Arial"/>
          <w:lang w:val="es-ES"/>
        </w:rPr>
      </w:pPr>
      <w:r w:rsidRPr="00D4693F">
        <w:rPr>
          <w:rFonts w:ascii="Verdana" w:eastAsia="Arial" w:hAnsi="Verdana" w:cs="Arial"/>
          <w:lang w:val="es-ES"/>
        </w:rPr>
        <w:t>Conforme a lo anterior, la Agencia Nacional de Contratación Pública – Colombia Compra Eficiente, en el concepto de 4 de diciembre de 2019 –4201912000007289–, sostuvo que la disposición del artículo 3 de la Ley 1150 de 2007 debe armonizarse con lo dispuesto por el artículo 2.2.1.1.1.7.1. del Decreto 1082 de 2015.</w:t>
      </w:r>
      <w:r w:rsidR="00222A73" w:rsidRPr="00D4693F">
        <w:rPr>
          <w:rFonts w:ascii="Verdana" w:eastAsia="Arial" w:hAnsi="Verdana" w:cs="Arial"/>
          <w:lang w:val="es-ES"/>
        </w:rPr>
        <w:t xml:space="preserve"> </w:t>
      </w:r>
      <w:r w:rsidRPr="00D4693F">
        <w:rPr>
          <w:rFonts w:ascii="Verdana" w:eastAsia="Arial" w:hAnsi="Verdana" w:cs="Arial"/>
          <w:lang w:val="es-ES"/>
        </w:rPr>
        <w:t>En la anterior disposición se relacionan los documentos que se deben publicar en el SECOP, como un desarrollo de los principios de transparencia y publicidad, que busca permitir, mediante la publicación, que la ciudadanía pueda conocer la actividad contractual de las entidades. Lo anterior por cuanto tales documentos dan cuenta de las decisiones de la Administración pública en beneficio del interés general y que por tanto incumben a la ciudadanía.</w:t>
      </w:r>
    </w:p>
    <w:p w14:paraId="3AB99D8F" w14:textId="35DFBFE2" w:rsidR="00173C44" w:rsidRPr="00D4693F" w:rsidRDefault="00173C44" w:rsidP="00AD58E3">
      <w:pPr>
        <w:spacing w:after="120" w:line="276" w:lineRule="auto"/>
        <w:ind w:firstLine="709"/>
        <w:jc w:val="both"/>
        <w:rPr>
          <w:rFonts w:ascii="Verdana" w:eastAsia="Arial" w:hAnsi="Verdana" w:cs="Arial"/>
          <w:lang w:val="es-ES"/>
        </w:rPr>
      </w:pPr>
      <w:r w:rsidRPr="00D4693F">
        <w:rPr>
          <w:rFonts w:ascii="Verdana" w:eastAsia="Arial" w:hAnsi="Verdana" w:cs="Arial"/>
          <w:lang w:val="es-ES"/>
        </w:rPr>
        <w:lastRenderedPageBreak/>
        <w:t xml:space="preserve">Ahora bien, las entidades estatales, conforme al artículo 2.2.1.1.1.7.1. del Decreto 1082 de 2015, tienen la obligación de publicar en el SECOP “[…] los Documentos del Proceso y los actos administrativos del Proceso de Contratación, dentro de los tres (3) días siguientes a su expedición […]”. La expresión Documentos del Proceso está definida en el artículo 2.2.1.1.1.3.1. del Decreto 1082 de 2015, donde se establece que: </w:t>
      </w:r>
      <w:r w:rsidR="00D40132">
        <w:rPr>
          <w:rFonts w:ascii="Verdana" w:eastAsia="Arial" w:hAnsi="Verdana" w:cs="Arial"/>
          <w:lang w:val="es-ES"/>
        </w:rPr>
        <w:t>“</w:t>
      </w:r>
      <w:r w:rsidRPr="00D4693F">
        <w:rPr>
          <w:rFonts w:ascii="Verdana" w:eastAsia="Arial" w:hAnsi="Verdana" w:cs="Arial"/>
          <w:lang w:val="es-ES"/>
        </w:rPr>
        <w:t>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532D59CE" w14:textId="709B6DE8" w:rsidR="00173C44" w:rsidRPr="00D4693F" w:rsidRDefault="00173C44" w:rsidP="00AD58E3">
      <w:pPr>
        <w:spacing w:after="120" w:line="276" w:lineRule="auto"/>
        <w:ind w:firstLine="709"/>
        <w:jc w:val="both"/>
        <w:rPr>
          <w:rFonts w:ascii="Verdana" w:eastAsia="Arial" w:hAnsi="Verdana" w:cs="Arial"/>
          <w:lang w:val="es-ES"/>
        </w:rPr>
      </w:pPr>
      <w:r w:rsidRPr="00D4693F">
        <w:rPr>
          <w:rFonts w:ascii="Verdana" w:eastAsia="Arial" w:hAnsi="Verdana" w:cs="Arial"/>
          <w:lang w:val="es-ES"/>
        </w:rPr>
        <w:t xml:space="preserve">No obstante, para identificar los documentos que deben publicarse, es necesario realizar una interpretación sistemática de las disposiciones del Decreto 1082 del 2015, ya que el anterior no es un listado taxativo, sino enunciativo, porque además de los documentos enlistados, el artículo 2.2.1.1.1.3.1 </w:t>
      </w:r>
      <w:proofErr w:type="spellStart"/>
      <w:r w:rsidR="00D40132" w:rsidRPr="00AD58E3">
        <w:rPr>
          <w:rFonts w:ascii="Verdana" w:eastAsia="Arial" w:hAnsi="Verdana" w:cs="Arial"/>
          <w:i/>
          <w:iCs/>
          <w:lang w:val="es-ES"/>
        </w:rPr>
        <w:t>ibídem</w:t>
      </w:r>
      <w:proofErr w:type="spellEnd"/>
      <w:r w:rsidR="00D40132" w:rsidRPr="00D4693F">
        <w:rPr>
          <w:rFonts w:ascii="Verdana" w:eastAsia="Arial" w:hAnsi="Verdana" w:cs="Arial"/>
          <w:lang w:val="es-ES"/>
        </w:rPr>
        <w:t xml:space="preserve"> </w:t>
      </w:r>
      <w:r w:rsidRPr="00D4693F">
        <w:rPr>
          <w:rFonts w:ascii="Verdana" w:eastAsia="Arial" w:hAnsi="Verdana" w:cs="Arial"/>
          <w:lang w:val="es-ES"/>
        </w:rPr>
        <w:t>recoge en la noción de Documentos del Proceso "cualquier otro documento expedido por la Entidad Estatal durante el Proceso de Contratación</w:t>
      </w:r>
      <w:r w:rsidR="007D6A31">
        <w:rPr>
          <w:rFonts w:ascii="Verdana" w:eastAsia="Arial" w:hAnsi="Verdana" w:cs="Arial"/>
          <w:lang w:val="es-ES"/>
        </w:rPr>
        <w:t>”</w:t>
      </w:r>
      <w:r w:rsidRPr="00D4693F">
        <w:rPr>
          <w:rFonts w:ascii="Verdana" w:eastAsia="Arial" w:hAnsi="Verdana" w:cs="Arial"/>
          <w:lang w:val="es-ES"/>
        </w:rPr>
        <w:t>. 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p>
    <w:p w14:paraId="7750C13E" w14:textId="3C36098F" w:rsidR="003159F6" w:rsidRPr="00D4693F" w:rsidRDefault="00173C44" w:rsidP="00AD58E3">
      <w:pPr>
        <w:spacing w:after="120" w:line="276" w:lineRule="auto"/>
        <w:ind w:firstLine="709"/>
        <w:jc w:val="both"/>
        <w:rPr>
          <w:rFonts w:ascii="Verdana" w:eastAsia="Arial" w:hAnsi="Verdana" w:cs="Arial"/>
          <w:lang w:val="es-ES"/>
        </w:rPr>
      </w:pPr>
      <w:r w:rsidRPr="00D4693F">
        <w:rPr>
          <w:rFonts w:ascii="Verdana" w:eastAsia="Arial" w:hAnsi="Verdana" w:cs="Arial"/>
          <w:lang w:val="es-ES"/>
        </w:rPr>
        <w:t>Nótese que la norma hace referencia a los documentos "expedidos por la entidad estatal” durante el proceso de contratación, excluyendo de la noción de Documentos del Proceso los expedidos por un sujeto distinto a la entidad, salvo la oferta, la cual se incluye expresamente en el artículo 2.2.1.1.1.3.1.</w:t>
      </w:r>
      <w:r w:rsidR="007D6A31">
        <w:rPr>
          <w:rFonts w:ascii="Verdana" w:eastAsia="Arial" w:hAnsi="Verdana" w:cs="Arial"/>
          <w:lang w:val="es-ES"/>
        </w:rPr>
        <w:t xml:space="preserve"> </w:t>
      </w:r>
    </w:p>
    <w:p w14:paraId="5C2D82C8" w14:textId="77777777" w:rsidR="00173C44" w:rsidRPr="00D4693F" w:rsidRDefault="00173C44" w:rsidP="00AD58E3">
      <w:pPr>
        <w:spacing w:after="120" w:line="276" w:lineRule="auto"/>
        <w:ind w:firstLine="709"/>
        <w:jc w:val="both"/>
        <w:rPr>
          <w:rFonts w:ascii="Verdana" w:eastAsia="Arial" w:hAnsi="Verdana" w:cs="Arial"/>
          <w:lang w:val="es-ES"/>
        </w:rPr>
      </w:pPr>
      <w:r w:rsidRPr="00D4693F">
        <w:rPr>
          <w:rFonts w:ascii="Verdana" w:eastAsia="Arial" w:hAnsi="Verdana" w:cs="Arial"/>
          <w:lang w:val="es-ES"/>
        </w:rPr>
        <w:t xml:space="preserve">En ese sentido, la interpretación sistemática de los preceptos del Decreto 1082 de 2015, de acuerdo con el principio de publicidad, inicialmente, indica que las entidades estatales tienen la obligación de publicar todos los documentos que expidan con ocasión del Proceso de Contratación. Así, desde la fase de planeación hasta "el vencimiento de las garantías de calidad, estabilidad y mantenimiento, o las condiciones de disposición final o recuperación ambiental de las obras o bienes o el vencimiento del plazo, lo que ocurra más tarde”, lo que significa que todos los documentos expedidos por la entidad durante las etapas precontractual, de ejecución y </w:t>
      </w:r>
      <w:proofErr w:type="spellStart"/>
      <w:r w:rsidRPr="00D4693F">
        <w:rPr>
          <w:rFonts w:ascii="Verdana" w:eastAsia="Arial" w:hAnsi="Verdana" w:cs="Arial"/>
          <w:lang w:val="es-ES"/>
        </w:rPr>
        <w:t>postcontractual</w:t>
      </w:r>
      <w:proofErr w:type="spellEnd"/>
      <w:r w:rsidRPr="00D4693F">
        <w:rPr>
          <w:rFonts w:ascii="Verdana" w:eastAsia="Arial" w:hAnsi="Verdana" w:cs="Arial"/>
          <w:lang w:val="es-ES"/>
        </w:rPr>
        <w:t xml:space="preserve"> deberán ser publicados en SECOP dentro de los tres (3) días siguientes a su expedición, para cumplir el </w:t>
      </w:r>
      <w:r w:rsidRPr="00D4693F">
        <w:rPr>
          <w:rFonts w:ascii="Verdana" w:eastAsia="Arial" w:hAnsi="Verdana" w:cs="Arial"/>
          <w:lang w:val="es-ES"/>
        </w:rPr>
        <w:lastRenderedPageBreak/>
        <w:t>deber de publicidad regulado por el artículo 2.2.1.1.1.7.1. del Decreto 1082 de 2015.</w:t>
      </w:r>
    </w:p>
    <w:p w14:paraId="4BA634C6" w14:textId="77777777" w:rsidR="00173C44" w:rsidRPr="00D4693F" w:rsidRDefault="00173C44" w:rsidP="00AD58E3">
      <w:pPr>
        <w:spacing w:after="120" w:line="276" w:lineRule="auto"/>
        <w:ind w:firstLine="709"/>
        <w:jc w:val="both"/>
        <w:rPr>
          <w:rFonts w:ascii="Verdana" w:eastAsia="Arial" w:hAnsi="Verdana" w:cs="Arial"/>
          <w:lang w:val="es-ES"/>
        </w:rPr>
      </w:pPr>
      <w:r w:rsidRPr="00D4693F">
        <w:rPr>
          <w:rFonts w:ascii="Verdana" w:eastAsia="Arial" w:hAnsi="Verdana" w:cs="Arial"/>
          <w:lang w:val="es-ES"/>
        </w:rPr>
        <w:t xml:space="preserve">De conformidad con lo anterior, esta interpretación de las disposiciones analizadas permite incorporar al EGCAP importantes principios desarrollados por la normativa de la transparencia y acceso a la información pública. Entre estos principios se encuentran el de máxima publicidad para un titular universal, transparencia, facilitación y divulgación proactiva de la información. Lo anterior en la medida en que, al ampliarse la actividad contractual sobre la que recae el deber de publicación, se divulga un mayor volumen de información, que de por sí es pública, mediante un mecanismo como el SECOP. Esta plataforma facilita el acceso a la misma desde cualquier dispositivo con acceso a internet. De este modo, garantiza mayor transparencia, al obligarse a las entidades estatales a publicar sus actuaciones de manera proactiva y rutinaria. Ello permite que la ciudadanía conozca con detalle y actualidad el desarrollo de la gestión contractual de la Administración, fomentándose en la contratación pública estándares altos de transparencia. </w:t>
      </w:r>
    </w:p>
    <w:p w14:paraId="0AB7A93F" w14:textId="48A50C05" w:rsidR="00173C44" w:rsidRPr="00D4693F" w:rsidRDefault="00173C44" w:rsidP="00AD58E3">
      <w:pPr>
        <w:spacing w:after="120" w:line="276" w:lineRule="auto"/>
        <w:ind w:firstLine="709"/>
        <w:jc w:val="both"/>
        <w:rPr>
          <w:rFonts w:ascii="Verdana" w:eastAsia="Arial" w:hAnsi="Verdana" w:cs="Arial"/>
          <w:lang w:val="es-ES"/>
        </w:rPr>
      </w:pPr>
      <w:r w:rsidRPr="00D4693F">
        <w:rPr>
          <w:rFonts w:ascii="Verdana" w:eastAsia="Arial" w:hAnsi="Verdana" w:cs="Arial"/>
          <w:lang w:val="es-ES"/>
        </w:rPr>
        <w:t>Sin perjuicio de lo anterior, no debe perderse de vista que, en virtud del principio de transparencia, específicamente por cuenta de lo dispuesto en el numeral 4 del artículo 24 de la Ley 80 de 19937, así como por el principio de máxima publicidad establecido en el artículo 2 de la Ley 1712 de 2014, el contenido del expediente en el que reposa la actuación es información pública, independientemente de si se trata de documentos que deban ser publicados en SECOP. Por lo anterior, el contenido del expediente puede ser objeto de solicitud de copias, en ejercicio del derecho de petición, en cualquier momento del proceso de selección, en la medida en que las normas señaladas no imponen ningún condicionamiento, así que podrán solicitarlas cualquier ciudadano</w:t>
      </w:r>
      <w:r w:rsidRPr="00D4693F">
        <w:rPr>
          <w:rFonts w:ascii="Verdana" w:eastAsia="Arial" w:hAnsi="Verdana" w:cs="Arial"/>
          <w:vertAlign w:val="superscript"/>
          <w:lang w:val="es-ES"/>
        </w:rPr>
        <w:footnoteReference w:id="10"/>
      </w:r>
      <w:r w:rsidRPr="00D4693F">
        <w:rPr>
          <w:rFonts w:ascii="Verdana" w:eastAsia="Arial" w:hAnsi="Verdana" w:cs="Arial"/>
          <w:lang w:val="es-ES"/>
        </w:rPr>
        <w:t>, dentro de lo que cabe la vigilancia de la contratación pública, cuestión que podría interesar a cualquier ciudadano. Esta posibilidad solo se encuentra limitada respecto de la documentación que tenga la calidad de reservada</w:t>
      </w:r>
      <w:r w:rsidRPr="00D4693F">
        <w:rPr>
          <w:rFonts w:ascii="Verdana" w:eastAsia="Arial" w:hAnsi="Verdana" w:cs="Arial"/>
          <w:vertAlign w:val="superscript"/>
          <w:lang w:val="es-ES"/>
        </w:rPr>
        <w:footnoteReference w:id="11"/>
      </w:r>
      <w:r w:rsidRPr="00D4693F">
        <w:rPr>
          <w:rFonts w:ascii="Verdana" w:eastAsia="Arial" w:hAnsi="Verdana" w:cs="Arial"/>
          <w:lang w:val="es-ES"/>
        </w:rPr>
        <w:t xml:space="preserve">, que deberá </w:t>
      </w:r>
      <w:r w:rsidRPr="00D4693F">
        <w:rPr>
          <w:rFonts w:ascii="Verdana" w:eastAsia="Arial" w:hAnsi="Verdana" w:cs="Arial"/>
          <w:lang w:val="es-ES"/>
        </w:rPr>
        <w:lastRenderedPageBreak/>
        <w:t>someterse al tratamiento establecido en el artículo 36 del CPACA, en lo relativo a la formación de cuadernos separados</w:t>
      </w:r>
      <w:r w:rsidRPr="00D4693F">
        <w:rPr>
          <w:rFonts w:ascii="Verdana" w:eastAsia="Arial" w:hAnsi="Verdana" w:cs="Arial"/>
          <w:vertAlign w:val="superscript"/>
          <w:lang w:val="es-ES"/>
        </w:rPr>
        <w:footnoteReference w:id="12"/>
      </w:r>
      <w:r w:rsidRPr="00D4693F">
        <w:rPr>
          <w:rFonts w:ascii="Verdana" w:eastAsia="Arial" w:hAnsi="Verdana" w:cs="Arial"/>
          <w:lang w:val="es-ES"/>
        </w:rPr>
        <w:t>.</w:t>
      </w:r>
    </w:p>
    <w:p w14:paraId="51E20A61" w14:textId="693C0E89" w:rsidR="00173C44" w:rsidRPr="00D4693F" w:rsidRDefault="00C81835" w:rsidP="00D502AC">
      <w:pPr>
        <w:spacing w:after="120" w:line="276" w:lineRule="auto"/>
        <w:ind w:firstLine="709"/>
        <w:jc w:val="both"/>
        <w:rPr>
          <w:rFonts w:ascii="Verdana" w:eastAsia="Arial" w:hAnsi="Verdana" w:cs="Arial"/>
        </w:rPr>
      </w:pPr>
      <w:r w:rsidRPr="00AD58E3">
        <w:rPr>
          <w:rFonts w:ascii="Verdana" w:eastAsia="Calibri" w:hAnsi="Verdana" w:cs="Arial"/>
        </w:rPr>
        <w:t>En este punto</w:t>
      </w:r>
      <w:r w:rsidR="00173C44" w:rsidRPr="00D4693F">
        <w:rPr>
          <w:rFonts w:ascii="Verdana" w:eastAsia="Arial" w:hAnsi="Verdana" w:cs="Arial"/>
        </w:rPr>
        <w:t>,</w:t>
      </w:r>
      <w:r w:rsidR="00984291">
        <w:rPr>
          <w:rFonts w:ascii="Verdana" w:eastAsia="Arial" w:hAnsi="Verdana" w:cs="Arial"/>
        </w:rPr>
        <w:t xml:space="preserve"> teniendo en cuenta el objeto de </w:t>
      </w:r>
      <w:proofErr w:type="gramStart"/>
      <w:r w:rsidR="00984291">
        <w:rPr>
          <w:rFonts w:ascii="Verdana" w:eastAsia="Arial" w:hAnsi="Verdana" w:cs="Arial"/>
        </w:rPr>
        <w:t>sus consulta</w:t>
      </w:r>
      <w:proofErr w:type="gramEnd"/>
      <w:r w:rsidR="00984291">
        <w:rPr>
          <w:rFonts w:ascii="Verdana" w:eastAsia="Arial" w:hAnsi="Verdana" w:cs="Arial"/>
        </w:rPr>
        <w:t>,</w:t>
      </w:r>
      <w:r w:rsidR="00173C44" w:rsidRPr="00D4693F">
        <w:rPr>
          <w:rFonts w:ascii="Verdana" w:eastAsia="Arial" w:hAnsi="Verdana" w:cs="Arial"/>
        </w:rPr>
        <w:t xml:space="preserve"> vale la pena aclarar que el cumplimiento del deber de publicación de la documentación contractual debe armonizarse con las normas aplicables al tipo de información que estas contienen. Lo anterior significa que, respecto de datos sensibles, información sometida a reserva o de la cual proceda un tratamiento especial que impida su publicidad, las entidades deberán proceder de conformidad con el tratamiento que impongan tales normas, absteniéndose, de ser el caso, de publicar las ofertas, o las partes pertinentes en las que se evidencie este tipo de información. Para dichos eventos, la plataforma SECOP II, antes de publicar las ofertas, brinda a las entidades y a los proponentes la opción de calificar dicha información como confidencial, lo cual impide que los documentos se publiquen.</w:t>
      </w:r>
    </w:p>
    <w:p w14:paraId="67B51077" w14:textId="77777777" w:rsidR="00173C44" w:rsidRPr="00D4693F" w:rsidRDefault="00173C44" w:rsidP="00D502AC">
      <w:pPr>
        <w:spacing w:after="120" w:line="276" w:lineRule="auto"/>
        <w:ind w:firstLine="709"/>
        <w:jc w:val="both"/>
        <w:rPr>
          <w:rFonts w:ascii="Verdana" w:eastAsia="Arial" w:hAnsi="Verdana" w:cs="Arial"/>
        </w:rPr>
      </w:pPr>
      <w:r w:rsidRPr="00D4693F">
        <w:rPr>
          <w:rFonts w:ascii="Verdana" w:eastAsia="Arial" w:hAnsi="Verdana" w:cs="Arial"/>
        </w:rPr>
        <w:t xml:space="preserve">En otras palabras, por más de que el artículo 74 de la Constitución establezca que la información pública debe ser dada a conocer a la ciudadanía y así los documentos que hagan parte de la actividad contractual puedan </w:t>
      </w:r>
      <w:r w:rsidRPr="00D4693F">
        <w:rPr>
          <w:rFonts w:ascii="Verdana" w:eastAsia="Arial" w:hAnsi="Verdana" w:cs="Arial"/>
        </w:rPr>
        <w:lastRenderedPageBreak/>
        <w:t xml:space="preserve">catalogarse, </w:t>
      </w:r>
      <w:r w:rsidRPr="00D4693F">
        <w:rPr>
          <w:rFonts w:ascii="Verdana" w:eastAsia="Arial" w:hAnsi="Verdana" w:cs="Arial"/>
          <w:i/>
          <w:iCs/>
        </w:rPr>
        <w:t>prima facie</w:t>
      </w:r>
      <w:r w:rsidRPr="00D4693F">
        <w:rPr>
          <w:rFonts w:ascii="Verdana" w:eastAsia="Arial" w:hAnsi="Verdana" w:cs="Arial"/>
        </w:rPr>
        <w:t>, como información pública, cuando dicha documentación contenga datos sensibles, operan algunas restricciones a su publicidad. Sin embargo, esto no necesariamente convierte el documento completo en reservado, es decir, en un documento que no puede publicarse.</w:t>
      </w:r>
    </w:p>
    <w:p w14:paraId="28458E48" w14:textId="77777777" w:rsidR="00173C44" w:rsidRPr="00D4693F" w:rsidRDefault="00173C44" w:rsidP="00D502AC">
      <w:pPr>
        <w:spacing w:after="120" w:line="276" w:lineRule="auto"/>
        <w:ind w:firstLine="709"/>
        <w:jc w:val="both"/>
        <w:rPr>
          <w:rFonts w:ascii="Verdana" w:eastAsia="Arial" w:hAnsi="Verdana" w:cs="Arial"/>
        </w:rPr>
      </w:pPr>
      <w:r w:rsidRPr="00D4693F">
        <w:rPr>
          <w:rFonts w:ascii="Verdana" w:eastAsia="Arial" w:hAnsi="Verdana" w:cs="Arial"/>
        </w:rPr>
        <w:t xml:space="preserve">El enunciado constitucional, en armonía con los artículos 18 y 19 de la Ley 1712 de 2014 y los artículos 24 y 25 de la Ley 1437 de 2011, establecen que el derecho de acceso a la información o documentación pública no es absoluto, sino que puede exceptuarse cuando se configuren causales de reserva. Así mismo, hay información que goza de protección especial y no puede divulgarse. La información pública que contiene datos semiprivados o privados, definidos en los literales g) y h) del artículo 3° de la Ley 1266 de 2008, clasificados o reservados, según los artículos 18 y 19 de la Ley 1712 de 2014, o datos personales o sensibles, según lo previsto en los artículos 3° y 5° de la Ley 1581 de 2012 y en el numeral 3° del artículo 3° del Decreto 1377 de 2013, solo podrá divulgarse según las reglas establecidas en dichas normas. </w:t>
      </w:r>
    </w:p>
    <w:p w14:paraId="6DBB43DF" w14:textId="77777777" w:rsidR="009A6B06" w:rsidRDefault="005123CF" w:rsidP="00D502AC">
      <w:pPr>
        <w:tabs>
          <w:tab w:val="left" w:pos="426"/>
        </w:tabs>
        <w:spacing w:after="120" w:line="276" w:lineRule="auto"/>
        <w:ind w:firstLine="709"/>
        <w:jc w:val="both"/>
        <w:rPr>
          <w:rFonts w:ascii="Verdana" w:eastAsia="Calibri" w:hAnsi="Verdana" w:cs="Arial"/>
          <w:color w:val="000000"/>
          <w:lang w:val="es-ES_tradnl" w:eastAsia="en-GB"/>
        </w:rPr>
      </w:pPr>
      <w:r w:rsidRPr="00AD58E3">
        <w:rPr>
          <w:rFonts w:ascii="Verdana" w:eastAsia="Calibri" w:hAnsi="Verdana" w:cs="Arial"/>
          <w:color w:val="000000"/>
          <w:lang w:val="es-ES_tradnl" w:eastAsia="en-GB"/>
        </w:rPr>
        <w:t xml:space="preserve">Cuando el documento contractual tenga información sensible, clasificada o reservada, para proteger la reserva de información, las autoridades deben abstenerse de publicar en el SECOP la información que tiene protección especial o está sometida a reserva. Sin embargo, de acuerdo con el segundo inciso del artículo 25 de la Ley 1437 de 2011 “La restricción por reserva legal no se extenderá a otras piezas del respectivo expediente o actuación que no estén cubiertas por ella”. </w:t>
      </w:r>
    </w:p>
    <w:p w14:paraId="030FA595" w14:textId="239D89C6" w:rsidR="005123CF" w:rsidRPr="00AD58E3" w:rsidRDefault="005123CF" w:rsidP="7E315ACF">
      <w:pPr>
        <w:tabs>
          <w:tab w:val="left" w:pos="426"/>
        </w:tabs>
        <w:spacing w:after="120" w:line="276" w:lineRule="auto"/>
        <w:ind w:firstLine="709"/>
        <w:jc w:val="both"/>
        <w:rPr>
          <w:rFonts w:ascii="Verdana" w:eastAsia="Calibri" w:hAnsi="Verdana" w:cs="Arial"/>
          <w:color w:val="000000"/>
          <w:lang w:val="es-ES" w:eastAsia="en-GB"/>
        </w:rPr>
      </w:pPr>
      <w:r w:rsidRPr="00AD58E3">
        <w:rPr>
          <w:rFonts w:ascii="Verdana" w:eastAsia="Calibri" w:hAnsi="Verdana" w:cs="Arial"/>
          <w:color w:val="000000" w:themeColor="text1"/>
          <w:lang w:val="es-ES" w:eastAsia="en-GB"/>
        </w:rPr>
        <w:t>Por ello, la entidad estatal puede dejar de publicar algún documento del proceso o aparte del mismo que contenga datos sensibles, clasificados o reservados, para no divulgarla, pero debe publicar los demás documentos o los apartados de estos, en caso de que estos no gocen de reserva. Lo anterior, sin perjuicio de que dependiendo de la información en específico todo el documento o expediente deba dejar de publicarse, por ampararse en su integridad en alguna causal de reserva, dada la conexión de su contenido con la información que el constituyente o el legislador decidió limitar en cuanto a su publicidad.</w:t>
      </w:r>
    </w:p>
    <w:p w14:paraId="0A4FF589" w14:textId="77777777" w:rsidR="005123CF" w:rsidRPr="00AD58E3" w:rsidRDefault="005123CF" w:rsidP="00D502AC">
      <w:pPr>
        <w:tabs>
          <w:tab w:val="left" w:pos="426"/>
        </w:tabs>
        <w:spacing w:after="120" w:line="276" w:lineRule="auto"/>
        <w:ind w:firstLine="709"/>
        <w:jc w:val="both"/>
        <w:rPr>
          <w:rFonts w:ascii="Verdana" w:eastAsia="Calibri" w:hAnsi="Verdana" w:cs="Arial"/>
          <w:color w:val="000000"/>
          <w:lang w:val="es-ES_tradnl" w:eastAsia="en-GB"/>
        </w:rPr>
      </w:pPr>
      <w:r w:rsidRPr="00AD58E3">
        <w:rPr>
          <w:rFonts w:ascii="Verdana" w:eastAsia="Calibri" w:hAnsi="Verdana" w:cs="Arial"/>
          <w:color w:val="000000"/>
          <w:lang w:val="es-ES_tradnl" w:eastAsia="en-GB"/>
        </w:rPr>
        <w:t xml:space="preserve">En efecto, de conformidad con la Constitución y la jurisprudencia de las altas cortes, la reserva de información pública solo puede crearla el constituyente o el legislador. Además, como se viene explicando, para efectos de la consulta realizada a la Agencia, las Leyes estatutarias 1712 de 2014 y la 1755 de 2015 –que sustituyó los artículos 13 a 33 de la Ley 1437 de 2011– establecen reservas particulares de información pública, coincidiendo ambas en </w:t>
      </w:r>
      <w:r w:rsidRPr="00AD58E3">
        <w:rPr>
          <w:rFonts w:ascii="Verdana" w:eastAsia="Calibri" w:hAnsi="Verdana" w:cs="Arial"/>
          <w:color w:val="000000"/>
          <w:lang w:val="es-ES_tradnl" w:eastAsia="en-GB"/>
        </w:rPr>
        <w:lastRenderedPageBreak/>
        <w:t>establecer la reserva relacionada con la “defensa y seguridad nacional”</w:t>
      </w:r>
      <w:r w:rsidRPr="00AD58E3">
        <w:rPr>
          <w:rFonts w:ascii="Verdana" w:eastAsia="Calibri" w:hAnsi="Verdana" w:cs="Arial"/>
          <w:color w:val="000000"/>
          <w:vertAlign w:val="superscript"/>
          <w:lang w:val="es-ES_tradnl" w:eastAsia="en-GB"/>
        </w:rPr>
        <w:footnoteReference w:id="13"/>
      </w:r>
      <w:r w:rsidRPr="00AD58E3">
        <w:rPr>
          <w:rFonts w:ascii="Verdana" w:eastAsia="Calibri" w:hAnsi="Verdana" w:cs="Arial"/>
          <w:color w:val="000000"/>
          <w:lang w:val="es-ES_tradnl" w:eastAsia="en-GB"/>
        </w:rPr>
        <w:t xml:space="preserve">. En armonía con lo anterior, cabe reiterar lo que se afirmó anteriormente en el sentido de que la creación de reservas de información pública es un asunto reservado al constituyente o al legislador. </w:t>
      </w:r>
    </w:p>
    <w:p w14:paraId="388B4949" w14:textId="77777777" w:rsidR="005123CF" w:rsidRPr="00AD58E3" w:rsidRDefault="005123CF" w:rsidP="005123CF">
      <w:pPr>
        <w:tabs>
          <w:tab w:val="left" w:pos="426"/>
        </w:tabs>
        <w:spacing w:after="0" w:line="276" w:lineRule="auto"/>
        <w:ind w:firstLine="709"/>
        <w:jc w:val="both"/>
        <w:rPr>
          <w:rFonts w:ascii="Verdana" w:eastAsia="Calibri" w:hAnsi="Verdana" w:cs="Arial"/>
          <w:color w:val="000000"/>
          <w:lang w:val="es-ES_tradnl" w:eastAsia="en-GB"/>
        </w:rPr>
      </w:pPr>
      <w:r w:rsidRPr="00AD58E3">
        <w:rPr>
          <w:rFonts w:ascii="Verdana" w:eastAsia="Calibri" w:hAnsi="Verdana" w:cs="Arial"/>
          <w:color w:val="000000"/>
          <w:lang w:val="es-ES_tradnl" w:eastAsia="en-GB"/>
        </w:rPr>
        <w:t xml:space="preserve">Finalmente, se pone de presente la Circular Externa Única de la Agencia Nacional de Contratación Pública – Colombia Compra Eficiente, en cuyo numeral 11.2., se señala lo siguiente: </w:t>
      </w:r>
    </w:p>
    <w:p w14:paraId="52874F0C" w14:textId="77777777" w:rsidR="005123CF" w:rsidRPr="00AD58E3" w:rsidRDefault="005123CF" w:rsidP="005123CF">
      <w:pPr>
        <w:tabs>
          <w:tab w:val="left" w:pos="426"/>
        </w:tabs>
        <w:spacing w:after="0" w:line="276" w:lineRule="auto"/>
        <w:ind w:firstLine="709"/>
        <w:jc w:val="both"/>
        <w:rPr>
          <w:rFonts w:ascii="Verdana" w:eastAsia="Calibri" w:hAnsi="Verdana" w:cs="Arial"/>
          <w:color w:val="000000"/>
          <w:lang w:val="es-ES_tradnl" w:eastAsia="en-GB"/>
        </w:rPr>
      </w:pPr>
    </w:p>
    <w:p w14:paraId="2BF0729A" w14:textId="77777777" w:rsidR="005123CF" w:rsidRPr="00AD58E3" w:rsidRDefault="005123CF" w:rsidP="005123CF">
      <w:pPr>
        <w:tabs>
          <w:tab w:val="left" w:pos="426"/>
        </w:tabs>
        <w:spacing w:after="0" w:line="240" w:lineRule="auto"/>
        <w:ind w:left="709" w:right="709"/>
        <w:jc w:val="both"/>
        <w:rPr>
          <w:rFonts w:ascii="Verdana" w:eastAsia="Calibri" w:hAnsi="Verdana" w:cs="Arial"/>
          <w:color w:val="000000"/>
          <w:sz w:val="20"/>
          <w:szCs w:val="20"/>
          <w:lang w:val="es-ES_tradnl" w:eastAsia="en-GB"/>
        </w:rPr>
      </w:pPr>
      <w:r w:rsidRPr="00AD58E3">
        <w:rPr>
          <w:rFonts w:ascii="Verdana" w:hAnsi="Verdana"/>
          <w:sz w:val="20"/>
          <w:szCs w:val="20"/>
        </w:rPr>
        <w:t xml:space="preserve">“En los Procesos de Contratación que se adelanten en el SECOP II, la Entidad Estatal dará a conocer las ofertas presentadas en el Proceso de Contratación, haciendo clic en la opción «publicar ofertas» para que sean visibles a todos los proponentes. </w:t>
      </w:r>
      <w:r w:rsidRPr="00AD58E3">
        <w:rPr>
          <w:rFonts w:ascii="Verdana" w:hAnsi="Verdana"/>
          <w:i/>
          <w:iCs/>
          <w:sz w:val="20"/>
          <w:szCs w:val="20"/>
        </w:rPr>
        <w:t>En los eventos en los que se presenten documentos con información reservada, el SECOP II, antes de publicar las ofertas, brinda a las entidades la opción de calificar dicha información como confidencial, lo cual impide que los documentos se publiquen”.</w:t>
      </w:r>
      <w:r w:rsidRPr="00AD58E3">
        <w:rPr>
          <w:rFonts w:ascii="Verdana" w:hAnsi="Verdana"/>
          <w:sz w:val="20"/>
          <w:szCs w:val="20"/>
        </w:rPr>
        <w:t xml:space="preserve"> [Énfasis fuera del texto original]</w:t>
      </w:r>
    </w:p>
    <w:p w14:paraId="42693F5C" w14:textId="77777777" w:rsidR="005123CF" w:rsidRPr="00AD58E3" w:rsidRDefault="005123CF" w:rsidP="00D502AC">
      <w:pPr>
        <w:widowControl w:val="0"/>
        <w:autoSpaceDE w:val="0"/>
        <w:autoSpaceDN w:val="0"/>
        <w:spacing w:after="0" w:line="276" w:lineRule="auto"/>
        <w:jc w:val="both"/>
        <w:rPr>
          <w:rFonts w:ascii="Verdana" w:hAnsi="Verdana" w:cs="Arial"/>
          <w:lang w:val="es-ES_tradnl"/>
        </w:rPr>
      </w:pPr>
    </w:p>
    <w:p w14:paraId="0F702CF6" w14:textId="40068CF7" w:rsidR="00173C44" w:rsidRPr="00D4693F" w:rsidRDefault="005123CF" w:rsidP="00D502AC">
      <w:pPr>
        <w:spacing w:after="0" w:line="276" w:lineRule="auto"/>
        <w:ind w:firstLine="708"/>
        <w:jc w:val="both"/>
        <w:rPr>
          <w:rFonts w:ascii="Verdana" w:eastAsia="Times New Roman" w:hAnsi="Verdana" w:cs="Arial"/>
          <w:lang w:val="es-ES" w:eastAsia="es-ES"/>
        </w:rPr>
      </w:pPr>
      <w:r w:rsidRPr="00AD58E3">
        <w:rPr>
          <w:rFonts w:ascii="Verdana" w:hAnsi="Verdana" w:cs="Arial"/>
        </w:rPr>
        <w:t xml:space="preserve">De lo expuesto se concluye que, </w:t>
      </w:r>
      <w:r w:rsidR="008B3138">
        <w:rPr>
          <w:rFonts w:ascii="Verdana" w:eastAsia="Arial" w:hAnsi="Verdana" w:cs="Arial"/>
          <w:lang w:val="es"/>
        </w:rPr>
        <w:t>l</w:t>
      </w:r>
      <w:r w:rsidR="00173C44" w:rsidRPr="00D4693F">
        <w:rPr>
          <w:rFonts w:ascii="Verdana" w:eastAsia="Arial" w:hAnsi="Verdana" w:cs="Arial"/>
          <w:lang w:val="es"/>
        </w:rPr>
        <w:t>a entidad estatal deberá excluir del documento entregado por el proponente en el procedimiento contractual la información que contenga datos sensibles, clasificados o reservados, para no divulgarla, en este sentido y conforme a la consulta, el examen de salud ocupacional contiene datos sensibles y la imagen de la cédula es un dato privado por lo que deben clasificarse y dejarse marcados en la plataforma SECOPII como “solicitud de confidencialidad”  por el proponente y, “confidencialidad“ por la entidad, sin embargo, se deben publicar las demás piezas de la oferta o los apartados que no gozan de reserva o que no están protegidos por las disposiciones de habeas data</w:t>
      </w:r>
      <w:r w:rsidR="00173C44" w:rsidRPr="00D4693F">
        <w:rPr>
          <w:rFonts w:ascii="Verdana" w:eastAsia="Times New Roman" w:hAnsi="Verdana" w:cs="Arial"/>
          <w:lang w:val="es-ES" w:eastAsia="es-ES"/>
        </w:rPr>
        <w:t xml:space="preserve">. </w:t>
      </w:r>
    </w:p>
    <w:p w14:paraId="5D7993CF" w14:textId="77777777" w:rsidR="00173C44" w:rsidRPr="00D4693F" w:rsidRDefault="00173C44" w:rsidP="00D502AC">
      <w:pPr>
        <w:widowControl w:val="0"/>
        <w:autoSpaceDE w:val="0"/>
        <w:autoSpaceDN w:val="0"/>
        <w:spacing w:after="0" w:line="276" w:lineRule="auto"/>
        <w:jc w:val="both"/>
        <w:rPr>
          <w:rFonts w:ascii="Verdana" w:hAnsi="Verdana" w:cs="Arial"/>
        </w:rPr>
      </w:pPr>
    </w:p>
    <w:p w14:paraId="1C28601E" w14:textId="77777777" w:rsidR="00173C44" w:rsidRPr="00D4693F" w:rsidRDefault="00173C44" w:rsidP="00D502A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4693F">
        <w:rPr>
          <w:rFonts w:ascii="Verdana" w:eastAsia="Century Gothic" w:hAnsi="Verdana" w:cs="Century Gothic"/>
          <w:b/>
          <w:bCs/>
        </w:rPr>
        <w:t>Referencias normativas, jurisprudenciales y otras fuentes:</w:t>
      </w:r>
    </w:p>
    <w:p w14:paraId="53FC124C" w14:textId="77777777" w:rsidR="00173C44" w:rsidRPr="00D4693F" w:rsidRDefault="00173C44" w:rsidP="00D502AC">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73C44" w:rsidRPr="00D4693F" w14:paraId="3F2A1377" w14:textId="77777777" w:rsidTr="00FB790A">
        <w:trPr>
          <w:trHeight w:val="870"/>
        </w:trPr>
        <w:tc>
          <w:tcPr>
            <w:tcW w:w="8647" w:type="dxa"/>
          </w:tcPr>
          <w:p w14:paraId="0856DEAE" w14:textId="565AA87C" w:rsidR="00173C44" w:rsidRPr="00D4693F" w:rsidRDefault="00173C44" w:rsidP="00173C44">
            <w:pPr>
              <w:pStyle w:val="Prrafodelista"/>
              <w:widowControl w:val="0"/>
              <w:numPr>
                <w:ilvl w:val="0"/>
                <w:numId w:val="17"/>
              </w:numPr>
              <w:autoSpaceDE w:val="0"/>
              <w:autoSpaceDN w:val="0"/>
              <w:spacing w:after="120" w:line="276" w:lineRule="auto"/>
              <w:jc w:val="both"/>
              <w:rPr>
                <w:rFonts w:ascii="Verdana" w:hAnsi="Verdana" w:cs="Arial"/>
              </w:rPr>
            </w:pPr>
            <w:r w:rsidRPr="00D4693F">
              <w:rPr>
                <w:rFonts w:ascii="Verdana" w:hAnsi="Verdana" w:cs="Arial"/>
              </w:rPr>
              <w:lastRenderedPageBreak/>
              <w:t>Constitución Política de Colombia</w:t>
            </w:r>
            <w:r w:rsidR="00E144C6">
              <w:rPr>
                <w:rFonts w:ascii="Verdana" w:hAnsi="Verdana" w:cs="Arial"/>
              </w:rPr>
              <w:t>: A</w:t>
            </w:r>
            <w:r w:rsidRPr="00D4693F">
              <w:rPr>
                <w:rFonts w:ascii="Verdana" w:hAnsi="Verdana" w:cs="Arial"/>
              </w:rPr>
              <w:t>rtículo 74</w:t>
            </w:r>
            <w:r w:rsidR="00E144C6">
              <w:rPr>
                <w:rFonts w:ascii="Verdana" w:hAnsi="Verdana" w:cs="Arial"/>
              </w:rPr>
              <w:t xml:space="preserve"> y 209</w:t>
            </w:r>
            <w:r w:rsidRPr="00D4693F">
              <w:rPr>
                <w:rFonts w:ascii="Verdana" w:hAnsi="Verdana" w:cs="Arial"/>
              </w:rPr>
              <w:t xml:space="preserve">. </w:t>
            </w:r>
          </w:p>
          <w:p w14:paraId="07A9705D" w14:textId="6EFE8532" w:rsidR="00173C44" w:rsidRPr="00D4693F" w:rsidRDefault="00173C44" w:rsidP="00173C44">
            <w:pPr>
              <w:pStyle w:val="Prrafodelista"/>
              <w:widowControl w:val="0"/>
              <w:numPr>
                <w:ilvl w:val="0"/>
                <w:numId w:val="17"/>
              </w:numPr>
              <w:autoSpaceDE w:val="0"/>
              <w:autoSpaceDN w:val="0"/>
              <w:spacing w:after="120" w:line="276" w:lineRule="auto"/>
              <w:jc w:val="both"/>
              <w:rPr>
                <w:rFonts w:ascii="Verdana" w:hAnsi="Verdana" w:cs="Arial"/>
              </w:rPr>
            </w:pPr>
            <w:r w:rsidRPr="00D4693F">
              <w:rPr>
                <w:rFonts w:ascii="Verdana" w:hAnsi="Verdana" w:cs="Arial"/>
              </w:rPr>
              <w:t>Ley 1712 de 2014</w:t>
            </w:r>
            <w:r w:rsidR="004E0FFA">
              <w:rPr>
                <w:rFonts w:ascii="Verdana" w:hAnsi="Verdana" w:cs="Arial"/>
              </w:rPr>
              <w:t xml:space="preserve">: Artículos </w:t>
            </w:r>
            <w:r w:rsidR="00587B24">
              <w:rPr>
                <w:rFonts w:ascii="Verdana" w:hAnsi="Verdana" w:cs="Arial"/>
              </w:rPr>
              <w:t xml:space="preserve">2, 3, 5, 9, 11, </w:t>
            </w:r>
            <w:r w:rsidR="00410B10">
              <w:rPr>
                <w:rFonts w:ascii="Verdana" w:hAnsi="Verdana" w:cs="Arial"/>
              </w:rPr>
              <w:t>18, 19</w:t>
            </w:r>
          </w:p>
          <w:p w14:paraId="0A484747" w14:textId="3548BB70" w:rsidR="00173C44" w:rsidRPr="00D4693F" w:rsidRDefault="00173C44" w:rsidP="00173C44">
            <w:pPr>
              <w:pStyle w:val="Prrafodelista"/>
              <w:widowControl w:val="0"/>
              <w:numPr>
                <w:ilvl w:val="0"/>
                <w:numId w:val="17"/>
              </w:numPr>
              <w:autoSpaceDE w:val="0"/>
              <w:autoSpaceDN w:val="0"/>
              <w:spacing w:after="120" w:line="276" w:lineRule="auto"/>
              <w:jc w:val="both"/>
              <w:rPr>
                <w:rFonts w:ascii="Verdana" w:hAnsi="Verdana" w:cs="Arial"/>
              </w:rPr>
            </w:pPr>
            <w:r w:rsidRPr="00D4693F">
              <w:rPr>
                <w:rFonts w:ascii="Verdana" w:hAnsi="Verdana" w:cs="Arial"/>
              </w:rPr>
              <w:t>Ley 1266 de 2008</w:t>
            </w:r>
            <w:r w:rsidR="00410B10">
              <w:rPr>
                <w:rFonts w:ascii="Verdana" w:hAnsi="Verdana" w:cs="Arial"/>
              </w:rPr>
              <w:t>: Artículo 3</w:t>
            </w:r>
          </w:p>
          <w:p w14:paraId="501134F9" w14:textId="46A44BF8" w:rsidR="00173C44" w:rsidRPr="00D4693F" w:rsidRDefault="00173C44" w:rsidP="00173C44">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D4693F">
              <w:rPr>
                <w:rFonts w:ascii="Verdana" w:hAnsi="Verdana" w:cs="Arial"/>
              </w:rPr>
              <w:t>Ley 1581 de 2012</w:t>
            </w:r>
            <w:r w:rsidR="00410B10">
              <w:rPr>
                <w:rFonts w:ascii="Verdana" w:hAnsi="Verdana" w:cs="Arial"/>
              </w:rPr>
              <w:t xml:space="preserve">: Artículos </w:t>
            </w:r>
            <w:r w:rsidR="00AD58E3">
              <w:rPr>
                <w:rFonts w:ascii="Verdana" w:hAnsi="Verdana" w:cs="Arial"/>
              </w:rPr>
              <w:t>3, 5 y 7</w:t>
            </w:r>
            <w:r w:rsidR="00194380">
              <w:rPr>
                <w:rFonts w:ascii="Verdana" w:hAnsi="Verdana" w:cs="Arial"/>
              </w:rPr>
              <w:t xml:space="preserve"> </w:t>
            </w:r>
            <w:r w:rsidRPr="00D4693F">
              <w:rPr>
                <w:rFonts w:ascii="Verdana" w:hAnsi="Verdana" w:cs="Arial"/>
              </w:rPr>
              <w:t xml:space="preserve">Jurisprudencia del Consejo de Estado. Disponible en: </w:t>
            </w:r>
            <w:hyperlink r:id="rId13" w:history="1">
              <w:r w:rsidRPr="00D4693F">
                <w:rPr>
                  <w:rStyle w:val="Hipervnculo"/>
                  <w:rFonts w:ascii="Verdana" w:hAnsi="Verdana" w:cs="Arial"/>
                </w:rPr>
                <w:t>https://relatoria.colombiacompra.gov.co/providencias-consejo-de-estado/</w:t>
              </w:r>
            </w:hyperlink>
            <w:r w:rsidRPr="00D4693F">
              <w:rPr>
                <w:rFonts w:ascii="Verdana" w:hAnsi="Verdana" w:cs="Arial"/>
              </w:rPr>
              <w:t xml:space="preserve"> </w:t>
            </w:r>
          </w:p>
        </w:tc>
      </w:tr>
    </w:tbl>
    <w:p w14:paraId="4C39A25B" w14:textId="77777777" w:rsidR="00173C44" w:rsidRPr="00D4693F" w:rsidRDefault="00173C44" w:rsidP="00C74777">
      <w:pPr>
        <w:widowControl w:val="0"/>
        <w:autoSpaceDE w:val="0"/>
        <w:autoSpaceDN w:val="0"/>
        <w:spacing w:after="0" w:line="276" w:lineRule="auto"/>
        <w:jc w:val="both"/>
        <w:rPr>
          <w:rFonts w:ascii="Verdana" w:hAnsi="Verdana" w:cs="Arial"/>
        </w:rPr>
      </w:pPr>
    </w:p>
    <w:p w14:paraId="5A166D00" w14:textId="77777777" w:rsidR="00173C44" w:rsidRPr="00D4693F" w:rsidRDefault="00173C44" w:rsidP="00C7477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4693F">
        <w:rPr>
          <w:rFonts w:ascii="Verdana" w:eastAsia="Century Gothic" w:hAnsi="Verdana" w:cs="Century Gothic"/>
          <w:b/>
          <w:bCs/>
        </w:rPr>
        <w:t>Doctrina de la Agencia Nacional de Contratación Pública:</w:t>
      </w:r>
    </w:p>
    <w:p w14:paraId="29608114" w14:textId="77777777" w:rsidR="00173C44" w:rsidRPr="00D4693F" w:rsidRDefault="00173C44" w:rsidP="00C74777">
      <w:pPr>
        <w:widowControl w:val="0"/>
        <w:autoSpaceDE w:val="0"/>
        <w:autoSpaceDN w:val="0"/>
        <w:spacing w:after="0" w:line="276" w:lineRule="auto"/>
        <w:jc w:val="both"/>
        <w:rPr>
          <w:rFonts w:ascii="Verdana" w:hAnsi="Verdana" w:cs="Arial"/>
        </w:rPr>
      </w:pPr>
    </w:p>
    <w:p w14:paraId="76449B34" w14:textId="77777777" w:rsidR="00173C44" w:rsidRPr="00D4693F" w:rsidRDefault="00173C44" w:rsidP="00C74777">
      <w:pPr>
        <w:widowControl w:val="0"/>
        <w:autoSpaceDE w:val="0"/>
        <w:autoSpaceDN w:val="0"/>
        <w:spacing w:after="0" w:line="276" w:lineRule="auto"/>
        <w:jc w:val="both"/>
        <w:rPr>
          <w:rStyle w:val="normaltextrun"/>
          <w:rFonts w:ascii="Verdana" w:hAnsi="Verdana" w:cs="Arial"/>
          <w:shd w:val="clear" w:color="auto" w:fill="FFFFFF"/>
          <w:lang w:val="es-ES"/>
        </w:rPr>
      </w:pPr>
      <w:r w:rsidRPr="00D4693F">
        <w:rPr>
          <w:rStyle w:val="normaltextrun"/>
          <w:rFonts w:ascii="Verdana" w:hAnsi="Verdana" w:cs="Arial"/>
          <w:shd w:val="clear" w:color="auto" w:fill="FFFFFF"/>
          <w:lang w:val="es-ES"/>
        </w:rPr>
        <w:t>Sobre el ámbito sobre la protección de datos personales en los documentos que hacen parte o se aportan en los procesos y contratos estatales, se pronunció esta Subdirección en los conceptos</w:t>
      </w:r>
      <w:r w:rsidRPr="00D4693F">
        <w:rPr>
          <w:rStyle w:val="normaltextrun"/>
          <w:rFonts w:ascii="Verdana" w:hAnsi="Verdana" w:cs="Calibri"/>
          <w:shd w:val="clear" w:color="auto" w:fill="FFFFFF"/>
        </w:rPr>
        <w:t xml:space="preserve"> </w:t>
      </w:r>
      <w:r w:rsidRPr="00D4693F">
        <w:rPr>
          <w:rFonts w:ascii="Verdana" w:eastAsia="Arial" w:hAnsi="Verdana" w:cs="Arial"/>
          <w:lang w:val="es-ES"/>
        </w:rPr>
        <w:t xml:space="preserve">4201913000006540 del 21 de octubre de 2019, C-009 del 27 de abril de 2020, C-015 del 29 de abril de 2020, C-046 del 19 de febrero de 2020, C−016 del 21/04/2020, C-061 del 03 de marzo de 2020, C-072 del 04 de marzo de 2020, C-095 del 16 de marzo de 2020, C-170 del 6 de abril de 2020, C-172 del 6 de abril de 2020, C-176 del 6 de abril de 2020, C-197 del 26 de marzo de 2020, C−284 del 24 de mayo de 2020, C−292 del 28 de mayo de 2020, C−295 del 30 de abril de 2020, C−296 del 21 de mayo de 2020, C−306 del 04 de junio de 2020, C−366 del 16 de junio de 2020, C−488 del 28 de julio de 2020, C−494 del 04 de agosto de 2020, C−521 del 11 de agosto de 2020, C-562 del 25 de agosto de 2020, C-688 del 26 de noviembre de 2020, C-661 del 17 de noviembre de 2020, C-672 del 11 de noviembre de 2020, C-574 del 27 de agosto de 2020, C-575 del 27 de agosto de 2020, C-094 del 13 de abril de 2021, C-032 del 2 de marzo de 2021 C-034 del 1 de marzo de 2021 C-048 del 8 de marzo de 2021., C- 187 del 28 de abril de 2021, C-706 del 17/01/2021, </w:t>
      </w:r>
      <w:r w:rsidRPr="00D4693F">
        <w:rPr>
          <w:rFonts w:ascii="Verdana" w:eastAsia="Calibri" w:hAnsi="Verdana" w:cs="Arial"/>
          <w:lang w:val="es-ES"/>
        </w:rPr>
        <w:t>C-803 del 01 de febrero de 2021</w:t>
      </w:r>
      <w:r w:rsidRPr="00D4693F">
        <w:rPr>
          <w:rFonts w:ascii="Verdana" w:eastAsia="Arial" w:hAnsi="Verdana" w:cs="Arial"/>
          <w:lang w:val="es-ES"/>
        </w:rPr>
        <w:t xml:space="preserve"> C-009 del 27 de abril de 2020, C-011 del 27 de abril de 2020, C-017 del 27 de abril de 2020, CU-060 del 24 de febrero de 2020, C- 508 del 31 de julio de 2020, , C-135 del 28 de marzo de 2022, C-332 del 23 de mayo de 2022, C-337 del 25 de mayo de 2022, C-521 del 09 de agosto de 2022,C-553 del 09 de agosto de 2022 y C-655 del 10 de octubre de 2022</w:t>
      </w:r>
      <w:r w:rsidRPr="00D4693F">
        <w:rPr>
          <w:rStyle w:val="normaltextrun"/>
          <w:rFonts w:ascii="Verdana" w:hAnsi="Verdana" w:cs="Arial"/>
          <w:shd w:val="clear" w:color="auto" w:fill="FFFFFF"/>
          <w:lang w:val="es-ES"/>
        </w:rPr>
        <w:t>2, Concepto C-327 de 2023. Es</w:t>
      </w:r>
      <w:r w:rsidRPr="00D4693F">
        <w:rPr>
          <w:rFonts w:ascii="Verdana" w:hAnsi="Verdana"/>
        </w:rPr>
        <w:t>tos y otros conceptos se encuentran disponibles para consulta en el Sistema de relatoría de la Agencia, al cual se puede acceder a través del siguiente enlace:</w:t>
      </w:r>
      <w:r w:rsidRPr="00D4693F">
        <w:rPr>
          <w:rStyle w:val="normaltextrun"/>
          <w:rFonts w:ascii="Verdana" w:hAnsi="Verdana" w:cs="Arial"/>
          <w:shd w:val="clear" w:color="auto" w:fill="FFFFFF"/>
          <w:lang w:val="es-ES"/>
        </w:rPr>
        <w:t xml:space="preserve"> </w:t>
      </w:r>
      <w:hyperlink r:id="rId14" w:history="1">
        <w:r w:rsidRPr="00D4693F">
          <w:rPr>
            <w:rStyle w:val="Hipervnculo"/>
            <w:rFonts w:ascii="Verdana" w:hAnsi="Verdana" w:cs="Arial"/>
            <w:shd w:val="clear" w:color="auto" w:fill="FFFFFF"/>
            <w:lang w:val="es-ES"/>
          </w:rPr>
          <w:t>https://relatoria.colombiacompra.gov.co/busqueda/conceptos</w:t>
        </w:r>
      </w:hyperlink>
      <w:r w:rsidRPr="00D4693F">
        <w:rPr>
          <w:rStyle w:val="normaltextrun"/>
          <w:rFonts w:ascii="Verdana" w:hAnsi="Verdana" w:cs="Arial"/>
          <w:shd w:val="clear" w:color="auto" w:fill="FFFFFF"/>
          <w:lang w:val="es-ES"/>
        </w:rPr>
        <w:t xml:space="preserve">. </w:t>
      </w:r>
    </w:p>
    <w:p w14:paraId="10094935" w14:textId="77777777" w:rsidR="00173C44" w:rsidRPr="00D4693F" w:rsidRDefault="00173C44" w:rsidP="00AD58E3">
      <w:pPr>
        <w:spacing w:after="0" w:line="276" w:lineRule="auto"/>
        <w:jc w:val="both"/>
        <w:rPr>
          <w:rFonts w:ascii="Verdana" w:hAnsi="Verdana"/>
        </w:rPr>
      </w:pPr>
    </w:p>
    <w:p w14:paraId="4F4A3C29" w14:textId="77777777" w:rsidR="00173C44" w:rsidRPr="00D4693F" w:rsidRDefault="00173C44" w:rsidP="00AD58E3">
      <w:pPr>
        <w:spacing w:after="0" w:line="276" w:lineRule="auto"/>
        <w:jc w:val="both"/>
        <w:rPr>
          <w:rFonts w:ascii="Verdana" w:hAnsi="Verdana"/>
        </w:rPr>
      </w:pPr>
      <w:r w:rsidRPr="00D4693F">
        <w:rPr>
          <w:rFonts w:ascii="Verdana" w:hAnsi="Verdana"/>
        </w:rPr>
        <w:lastRenderedPageBreak/>
        <w:t xml:space="preserve">Por último, lo invitamos a seguirnos en las redes sociales en las cuales se difunde información institucional: </w:t>
      </w:r>
    </w:p>
    <w:p w14:paraId="6DF2DCCA" w14:textId="77777777" w:rsidR="00173C44" w:rsidRPr="00D4693F" w:rsidRDefault="00173C44" w:rsidP="00AD58E3">
      <w:pPr>
        <w:spacing w:after="0" w:line="276" w:lineRule="auto"/>
        <w:jc w:val="both"/>
        <w:rPr>
          <w:rFonts w:ascii="Verdana" w:hAnsi="Verdana"/>
        </w:rPr>
      </w:pPr>
      <w:r w:rsidRPr="00D4693F">
        <w:rPr>
          <w:rFonts w:ascii="Verdana" w:hAnsi="Verdana"/>
        </w:rPr>
        <w:t xml:space="preserve">Twitter: </w:t>
      </w:r>
      <w:r w:rsidRPr="00D4693F">
        <w:rPr>
          <w:rStyle w:val="Hipervnculo"/>
          <w:rFonts w:ascii="Verdana" w:hAnsi="Verdana"/>
        </w:rPr>
        <w:t>@colombiacompra</w:t>
      </w:r>
      <w:r w:rsidRPr="00D4693F">
        <w:rPr>
          <w:rFonts w:ascii="Verdana" w:hAnsi="Verdana"/>
        </w:rPr>
        <w:t xml:space="preserve"> </w:t>
      </w:r>
    </w:p>
    <w:p w14:paraId="190D20CE" w14:textId="77777777" w:rsidR="00173C44" w:rsidRPr="00D4693F" w:rsidRDefault="00173C44" w:rsidP="00AD58E3">
      <w:pPr>
        <w:spacing w:after="0" w:line="276" w:lineRule="auto"/>
        <w:jc w:val="both"/>
        <w:rPr>
          <w:rFonts w:ascii="Verdana" w:hAnsi="Verdana"/>
        </w:rPr>
      </w:pPr>
      <w:r w:rsidRPr="00D4693F">
        <w:rPr>
          <w:rFonts w:ascii="Verdana" w:hAnsi="Verdana"/>
        </w:rPr>
        <w:t xml:space="preserve">Facebook: </w:t>
      </w:r>
      <w:proofErr w:type="spellStart"/>
      <w:r w:rsidRPr="00D4693F">
        <w:rPr>
          <w:rStyle w:val="Hipervnculo"/>
          <w:rFonts w:ascii="Verdana" w:hAnsi="Verdana"/>
        </w:rPr>
        <w:t>ColombiaCompraEficiente</w:t>
      </w:r>
      <w:proofErr w:type="spellEnd"/>
    </w:p>
    <w:p w14:paraId="27B03636" w14:textId="77777777" w:rsidR="00173C44" w:rsidRPr="00D4693F" w:rsidRDefault="00173C44" w:rsidP="00AD58E3">
      <w:pPr>
        <w:spacing w:after="0" w:line="276" w:lineRule="auto"/>
        <w:jc w:val="both"/>
        <w:rPr>
          <w:rFonts w:ascii="Verdana" w:hAnsi="Verdana"/>
        </w:rPr>
      </w:pPr>
      <w:r w:rsidRPr="00D4693F">
        <w:rPr>
          <w:rFonts w:ascii="Verdana" w:hAnsi="Verdana"/>
        </w:rPr>
        <w:t xml:space="preserve">LinkedIn: </w:t>
      </w:r>
      <w:r w:rsidRPr="00D4693F">
        <w:rPr>
          <w:rStyle w:val="Hipervnculo"/>
          <w:rFonts w:ascii="Verdana" w:hAnsi="Verdana"/>
        </w:rPr>
        <w:t>Agencia Nacional de Contratación Pública - Colombia Compra Eficiente</w:t>
      </w:r>
      <w:r w:rsidRPr="00D4693F">
        <w:rPr>
          <w:rFonts w:ascii="Verdana" w:hAnsi="Verdana"/>
        </w:rPr>
        <w:t xml:space="preserve"> Instagram: </w:t>
      </w:r>
      <w:r w:rsidRPr="00D4693F">
        <w:rPr>
          <w:rStyle w:val="Hipervnculo"/>
          <w:rFonts w:ascii="Verdana" w:hAnsi="Verdana"/>
        </w:rPr>
        <w:t>@colombiacompraeficiente_cce</w:t>
      </w:r>
    </w:p>
    <w:p w14:paraId="2E1C7203" w14:textId="77777777" w:rsidR="00173C44" w:rsidRPr="00D4693F" w:rsidRDefault="00173C44" w:rsidP="00C74777">
      <w:pPr>
        <w:widowControl w:val="0"/>
        <w:autoSpaceDE w:val="0"/>
        <w:autoSpaceDN w:val="0"/>
        <w:spacing w:after="0" w:line="276" w:lineRule="auto"/>
        <w:jc w:val="both"/>
        <w:rPr>
          <w:rFonts w:ascii="Verdana" w:hAnsi="Verdana" w:cs="Arial"/>
        </w:rPr>
      </w:pPr>
    </w:p>
    <w:p w14:paraId="144EA001" w14:textId="6F284E52" w:rsidR="00173C44" w:rsidRPr="00D4693F" w:rsidRDefault="00173C44" w:rsidP="00C74777">
      <w:pPr>
        <w:widowControl w:val="0"/>
        <w:autoSpaceDE w:val="0"/>
        <w:autoSpaceDN w:val="0"/>
        <w:spacing w:after="0" w:line="276" w:lineRule="auto"/>
        <w:jc w:val="both"/>
        <w:rPr>
          <w:rFonts w:ascii="Verdana" w:hAnsi="Verdana" w:cs="Arial"/>
          <w:lang w:val="es-ES_tradnl"/>
        </w:rPr>
      </w:pPr>
      <w:r w:rsidRPr="00D4693F">
        <w:rPr>
          <w:rFonts w:ascii="Verdana" w:hAnsi="Verdana" w:cs="Arial"/>
        </w:rPr>
        <w:t xml:space="preserve">Este concepto tiene el alcance previsto en el artículo 28 del Código de Procedimiento Administrativo y de lo Contencioso Administrativo </w:t>
      </w:r>
      <w:r w:rsidRPr="00D4693F">
        <w:rPr>
          <w:rFonts w:ascii="Verdana" w:hAnsi="Verdana" w:cs="Arial"/>
          <w:lang w:val="es-ES_tradnl"/>
        </w:rPr>
        <w:t>y las expresiones aquí utilizadas con mayúscula inicial deben ser entendidas con el significado que les otorga el artículo 2.2.1.1.1.3.1. del Decreto 1082 de 2015.</w:t>
      </w:r>
    </w:p>
    <w:p w14:paraId="275D01B5" w14:textId="0843739D" w:rsidR="00173C44" w:rsidRPr="00D4693F" w:rsidRDefault="00173C44" w:rsidP="00C74777">
      <w:pPr>
        <w:widowControl w:val="0"/>
        <w:autoSpaceDE w:val="0"/>
        <w:autoSpaceDN w:val="0"/>
        <w:spacing w:after="0" w:line="276" w:lineRule="auto"/>
        <w:jc w:val="both"/>
        <w:rPr>
          <w:rFonts w:ascii="Verdana" w:hAnsi="Verdana" w:cs="Arial"/>
        </w:rPr>
      </w:pPr>
    </w:p>
    <w:p w14:paraId="36175133" w14:textId="476A87F7" w:rsidR="00173C44" w:rsidRPr="00D4693F" w:rsidRDefault="00173C44" w:rsidP="00AD58E3">
      <w:pPr>
        <w:spacing w:after="0" w:line="276" w:lineRule="auto"/>
        <w:rPr>
          <w:rFonts w:ascii="Verdana" w:hAnsi="Verdana" w:cs="Arial"/>
          <w:lang w:eastAsia="es-CO"/>
        </w:rPr>
      </w:pPr>
      <w:r w:rsidRPr="00D4693F">
        <w:rPr>
          <w:rFonts w:ascii="Verdana" w:eastAsia="Times New Roman" w:hAnsi="Verdana" w:cs="Arial"/>
          <w:lang w:eastAsia="es-CO"/>
        </w:rPr>
        <w:t>Atentamente,</w:t>
      </w:r>
      <w:r w:rsidRPr="00D4693F">
        <w:rPr>
          <w:rFonts w:ascii="Verdana" w:hAnsi="Verdana" w:cs="Arial"/>
          <w:lang w:eastAsia="es-CO"/>
        </w:rPr>
        <w:t xml:space="preserve"> </w:t>
      </w:r>
    </w:p>
    <w:p w14:paraId="3792E034" w14:textId="1AC83AB2" w:rsidR="00173C44" w:rsidRDefault="00173C44" w:rsidP="00173C44">
      <w:pPr>
        <w:spacing w:line="276" w:lineRule="auto"/>
        <w:jc w:val="center"/>
        <w:rPr>
          <w:rFonts w:ascii="Verdana" w:hAnsi="Verdana" w:cs="Arial"/>
          <w:lang w:val="es-ES_tradnl" w:eastAsia="es-CO"/>
        </w:rPr>
      </w:pPr>
    </w:p>
    <w:p w14:paraId="4CB853F0" w14:textId="78518876" w:rsidR="0085724A" w:rsidRDefault="0085724A" w:rsidP="00173C44">
      <w:pPr>
        <w:spacing w:line="276" w:lineRule="auto"/>
        <w:jc w:val="center"/>
        <w:rPr>
          <w:rFonts w:ascii="Verdana" w:hAnsi="Verdana" w:cs="Arial"/>
          <w:lang w:val="es-ES_tradnl" w:eastAsia="es-CO"/>
        </w:rPr>
      </w:pPr>
      <w:r>
        <w:rPr>
          <w:rFonts w:ascii="Verdana" w:hAnsi="Verdana" w:cs="Arial"/>
          <w:b/>
          <w:bCs/>
          <w:noProof/>
          <w:lang w:eastAsia="es-CO"/>
        </w:rPr>
        <w:drawing>
          <wp:anchor distT="0" distB="0" distL="114300" distR="114300" simplePos="0" relativeHeight="251660288" behindDoc="1" locked="0" layoutInCell="1" allowOverlap="1" wp14:anchorId="0676BCE7" wp14:editId="6E1484B6">
            <wp:simplePos x="0" y="0"/>
            <wp:positionH relativeFrom="margin">
              <wp:align>center</wp:align>
            </wp:positionH>
            <wp:positionV relativeFrom="paragraph">
              <wp:posOffset>214630</wp:posOffset>
            </wp:positionV>
            <wp:extent cx="3633470" cy="1348740"/>
            <wp:effectExtent l="0" t="0" r="5080" b="3810"/>
            <wp:wrapSquare wrapText="bothSides"/>
            <wp:docPr id="39288770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887704" name="Imagen 1" descr="Texto&#10;&#10;Descripción generada automáticamente"/>
                    <pic:cNvPicPr/>
                  </pic:nvPicPr>
                  <pic:blipFill>
                    <a:blip r:embed="rId15">
                      <a:extLst>
                        <a:ext uri="{28A0092B-C50C-407E-A947-70E740481C1C}">
                          <a14:useLocalDpi xmlns:a14="http://schemas.microsoft.com/office/drawing/2010/main" val="0"/>
                        </a:ext>
                      </a:extLst>
                    </a:blip>
                    <a:stretch>
                      <a:fillRect/>
                    </a:stretch>
                  </pic:blipFill>
                  <pic:spPr>
                    <a:xfrm>
                      <a:off x="0" y="0"/>
                      <a:ext cx="3633470" cy="1348740"/>
                    </a:xfrm>
                    <a:prstGeom prst="rect">
                      <a:avLst/>
                    </a:prstGeom>
                  </pic:spPr>
                </pic:pic>
              </a:graphicData>
            </a:graphic>
            <wp14:sizeRelH relativeFrom="page">
              <wp14:pctWidth>0</wp14:pctWidth>
            </wp14:sizeRelH>
            <wp14:sizeRelV relativeFrom="page">
              <wp14:pctHeight>0</wp14:pctHeight>
            </wp14:sizeRelV>
          </wp:anchor>
        </w:drawing>
      </w:r>
    </w:p>
    <w:p w14:paraId="7BC2AFD0" w14:textId="2F7C15B7" w:rsidR="0085724A" w:rsidRDefault="0085724A" w:rsidP="00173C44">
      <w:pPr>
        <w:spacing w:line="276" w:lineRule="auto"/>
        <w:jc w:val="center"/>
        <w:rPr>
          <w:rFonts w:ascii="Verdana" w:hAnsi="Verdana" w:cs="Arial"/>
          <w:lang w:val="es-ES_tradnl" w:eastAsia="es-CO"/>
        </w:rPr>
      </w:pPr>
    </w:p>
    <w:p w14:paraId="2028C547" w14:textId="618749F3" w:rsidR="0085724A" w:rsidRDefault="0085724A" w:rsidP="00173C44">
      <w:pPr>
        <w:spacing w:line="276" w:lineRule="auto"/>
        <w:jc w:val="center"/>
        <w:rPr>
          <w:rFonts w:ascii="Verdana" w:hAnsi="Verdana" w:cs="Arial"/>
          <w:lang w:val="es-ES_tradnl" w:eastAsia="es-CO"/>
        </w:rPr>
      </w:pPr>
    </w:p>
    <w:p w14:paraId="7D701BEF" w14:textId="77777777" w:rsidR="0085724A" w:rsidRDefault="0085724A" w:rsidP="00173C44">
      <w:pPr>
        <w:spacing w:line="276" w:lineRule="auto"/>
        <w:jc w:val="center"/>
        <w:rPr>
          <w:rFonts w:ascii="Verdana" w:hAnsi="Verdana" w:cs="Arial"/>
          <w:lang w:val="es-ES_tradnl" w:eastAsia="es-CO"/>
        </w:rPr>
      </w:pPr>
    </w:p>
    <w:p w14:paraId="01ED9621" w14:textId="77777777" w:rsidR="0085724A" w:rsidRDefault="0085724A" w:rsidP="00173C44">
      <w:pPr>
        <w:spacing w:line="276" w:lineRule="auto"/>
        <w:jc w:val="center"/>
        <w:rPr>
          <w:rFonts w:ascii="Verdana" w:hAnsi="Verdana" w:cs="Arial"/>
          <w:lang w:val="es-ES_tradnl" w:eastAsia="es-CO"/>
        </w:rPr>
      </w:pPr>
    </w:p>
    <w:p w14:paraId="655F719E" w14:textId="77777777" w:rsidR="0085724A" w:rsidRPr="00D4693F" w:rsidRDefault="0085724A" w:rsidP="00173C44">
      <w:pPr>
        <w:spacing w:line="276" w:lineRule="auto"/>
        <w:jc w:val="center"/>
        <w:rPr>
          <w:rFonts w:ascii="Verdana" w:hAnsi="Verdana" w:cs="Arial"/>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73C44" w:rsidRPr="00D4693F" w14:paraId="2B1BEE76" w14:textId="77777777" w:rsidTr="00FB790A">
        <w:trPr>
          <w:trHeight w:val="315"/>
        </w:trPr>
        <w:tc>
          <w:tcPr>
            <w:tcW w:w="893" w:type="dxa"/>
            <w:vAlign w:val="center"/>
            <w:hideMark/>
          </w:tcPr>
          <w:p w14:paraId="7F50E0A3" w14:textId="77777777" w:rsidR="009B44A5" w:rsidRDefault="009B44A5" w:rsidP="00FB790A">
            <w:pPr>
              <w:contextualSpacing/>
              <w:rPr>
                <w:rFonts w:ascii="Verdana" w:hAnsi="Verdana" w:cs="Arial"/>
                <w:sz w:val="16"/>
                <w:szCs w:val="16"/>
                <w:lang w:val="es-ES" w:eastAsia="es-ES"/>
              </w:rPr>
            </w:pPr>
          </w:p>
          <w:p w14:paraId="02CBAE8E" w14:textId="77777777" w:rsidR="009B44A5" w:rsidRDefault="009B44A5" w:rsidP="00FB790A">
            <w:pPr>
              <w:contextualSpacing/>
              <w:rPr>
                <w:rFonts w:ascii="Verdana" w:hAnsi="Verdana" w:cs="Arial"/>
                <w:sz w:val="16"/>
                <w:szCs w:val="16"/>
                <w:lang w:val="es-ES" w:eastAsia="es-ES"/>
              </w:rPr>
            </w:pPr>
          </w:p>
          <w:p w14:paraId="6395554C" w14:textId="77777777" w:rsidR="009B44A5" w:rsidRDefault="009B44A5" w:rsidP="00FB790A">
            <w:pPr>
              <w:contextualSpacing/>
              <w:rPr>
                <w:rFonts w:ascii="Verdana" w:hAnsi="Verdana" w:cs="Arial"/>
                <w:sz w:val="16"/>
                <w:szCs w:val="16"/>
                <w:lang w:val="es-ES" w:eastAsia="es-ES"/>
              </w:rPr>
            </w:pPr>
          </w:p>
          <w:p w14:paraId="18AFFA18" w14:textId="5AF42752" w:rsidR="00173C44" w:rsidRPr="00D4693F" w:rsidRDefault="00173C44" w:rsidP="00FB790A">
            <w:pPr>
              <w:contextualSpacing/>
              <w:rPr>
                <w:rFonts w:ascii="Verdana" w:hAnsi="Verdana" w:cs="Arial"/>
                <w:sz w:val="16"/>
                <w:szCs w:val="16"/>
                <w:lang w:val="es-ES" w:eastAsia="es-ES"/>
              </w:rPr>
            </w:pPr>
            <w:r w:rsidRPr="00D4693F">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21A1DF9" w14:textId="72F633A6" w:rsidR="00173C44" w:rsidRPr="00D4693F" w:rsidRDefault="00173C44" w:rsidP="00FB790A">
            <w:pPr>
              <w:contextualSpacing/>
              <w:rPr>
                <w:rFonts w:ascii="Verdana" w:eastAsia="Arial" w:hAnsi="Verdana" w:cs="Arial"/>
                <w:sz w:val="16"/>
                <w:szCs w:val="16"/>
              </w:rPr>
            </w:pPr>
            <w:r w:rsidRPr="00D4693F">
              <w:rPr>
                <w:rFonts w:ascii="Verdana" w:eastAsia="Arial" w:hAnsi="Verdana" w:cs="Arial"/>
                <w:sz w:val="16"/>
                <w:szCs w:val="16"/>
              </w:rPr>
              <w:t>Gloria Elizabeth Arango Builes</w:t>
            </w:r>
          </w:p>
          <w:p w14:paraId="2EFC963A" w14:textId="77777777" w:rsidR="00173C44" w:rsidRPr="00D4693F" w:rsidRDefault="00173C44" w:rsidP="00FB790A">
            <w:pPr>
              <w:contextualSpacing/>
              <w:rPr>
                <w:rFonts w:ascii="Verdana" w:eastAsia="Arial" w:hAnsi="Verdana" w:cs="Arial"/>
                <w:sz w:val="16"/>
                <w:szCs w:val="16"/>
              </w:rPr>
            </w:pPr>
            <w:r w:rsidRPr="00D4693F">
              <w:rPr>
                <w:rStyle w:val="normaltextrun"/>
                <w:rFonts w:ascii="Verdana" w:eastAsia="Arial" w:hAnsi="Verdana" w:cs="Arial"/>
                <w:sz w:val="16"/>
                <w:szCs w:val="16"/>
              </w:rPr>
              <w:t>Contratista de la Subdirección de Gestión Contractual</w:t>
            </w:r>
          </w:p>
        </w:tc>
      </w:tr>
      <w:tr w:rsidR="00173C44" w:rsidRPr="00D4693F" w14:paraId="5FA45AAA" w14:textId="77777777" w:rsidTr="00FB790A">
        <w:trPr>
          <w:trHeight w:val="330"/>
        </w:trPr>
        <w:tc>
          <w:tcPr>
            <w:tcW w:w="893" w:type="dxa"/>
            <w:vAlign w:val="center"/>
            <w:hideMark/>
          </w:tcPr>
          <w:p w14:paraId="6997F1F7" w14:textId="77777777" w:rsidR="00173C44" w:rsidRPr="00D4693F" w:rsidRDefault="00173C44" w:rsidP="00FB790A">
            <w:pPr>
              <w:contextualSpacing/>
              <w:rPr>
                <w:rFonts w:ascii="Verdana" w:hAnsi="Verdana" w:cs="Arial"/>
                <w:sz w:val="16"/>
                <w:szCs w:val="16"/>
                <w:lang w:val="es-ES" w:eastAsia="es-ES"/>
              </w:rPr>
            </w:pPr>
            <w:r w:rsidRPr="00D4693F">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52A8D6A" w14:textId="77777777" w:rsidR="00173C44" w:rsidRPr="00D4693F" w:rsidRDefault="00173C44" w:rsidP="00FB790A">
            <w:pPr>
              <w:pStyle w:val="paragraph"/>
              <w:spacing w:before="0" w:beforeAutospacing="0" w:after="0" w:afterAutospacing="0"/>
              <w:contextualSpacing/>
              <w:textAlignment w:val="baseline"/>
              <w:rPr>
                <w:rFonts w:ascii="Verdana" w:hAnsi="Verdana" w:cs="Segoe UI"/>
                <w:sz w:val="16"/>
                <w:szCs w:val="16"/>
              </w:rPr>
            </w:pPr>
            <w:r w:rsidRPr="00D4693F">
              <w:rPr>
                <w:rFonts w:ascii="Verdana" w:hAnsi="Verdana" w:cs="Segoe UI"/>
                <w:sz w:val="16"/>
                <w:szCs w:val="16"/>
              </w:rPr>
              <w:t>Diana Saavedra</w:t>
            </w:r>
          </w:p>
          <w:p w14:paraId="4C7FD893" w14:textId="77777777" w:rsidR="00173C44" w:rsidRPr="00D4693F" w:rsidRDefault="00173C44" w:rsidP="00FB790A">
            <w:pPr>
              <w:pStyle w:val="paragraph"/>
              <w:spacing w:before="0" w:beforeAutospacing="0" w:after="0" w:afterAutospacing="0"/>
              <w:contextualSpacing/>
              <w:textAlignment w:val="baseline"/>
              <w:rPr>
                <w:rFonts w:ascii="Verdana" w:hAnsi="Verdana" w:cs="Segoe UI"/>
                <w:sz w:val="16"/>
                <w:szCs w:val="16"/>
              </w:rPr>
            </w:pPr>
            <w:r w:rsidRPr="00D4693F">
              <w:rPr>
                <w:rStyle w:val="normaltextrun"/>
                <w:rFonts w:ascii="Verdana" w:hAnsi="Verdana" w:cs="Arial"/>
                <w:sz w:val="16"/>
                <w:szCs w:val="16"/>
                <w:lang w:val="es-ES"/>
              </w:rPr>
              <w:t>Contratista de la Subdirección de Gestión Contractual</w:t>
            </w:r>
            <w:r w:rsidRPr="00D4693F">
              <w:rPr>
                <w:rStyle w:val="eop"/>
                <w:rFonts w:ascii="Verdana" w:hAnsi="Verdana" w:cs="Arial"/>
                <w:sz w:val="16"/>
                <w:szCs w:val="16"/>
              </w:rPr>
              <w:t> </w:t>
            </w:r>
          </w:p>
        </w:tc>
      </w:tr>
      <w:tr w:rsidR="00173C44" w:rsidRPr="00D4693F" w14:paraId="6A191853" w14:textId="77777777" w:rsidTr="00FB790A">
        <w:trPr>
          <w:trHeight w:val="300"/>
        </w:trPr>
        <w:tc>
          <w:tcPr>
            <w:tcW w:w="893" w:type="dxa"/>
            <w:vAlign w:val="center"/>
          </w:tcPr>
          <w:p w14:paraId="3F370EBD" w14:textId="77777777" w:rsidR="00173C44" w:rsidRPr="00D4693F" w:rsidRDefault="00173C44" w:rsidP="00FB790A">
            <w:pPr>
              <w:contextualSpacing/>
              <w:rPr>
                <w:rFonts w:ascii="Verdana" w:hAnsi="Verdana" w:cs="Arial"/>
                <w:sz w:val="16"/>
                <w:szCs w:val="16"/>
                <w:lang w:val="es-ES" w:eastAsia="es-ES"/>
              </w:rPr>
            </w:pPr>
            <w:r w:rsidRPr="00D4693F">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E3D407A" w14:textId="77777777" w:rsidR="00173C44" w:rsidRPr="00D4693F" w:rsidRDefault="00173C44" w:rsidP="00FB790A">
            <w:pPr>
              <w:contextualSpacing/>
              <w:rPr>
                <w:rFonts w:ascii="Verdana" w:eastAsia="Calibri" w:hAnsi="Verdana" w:cs="Arial"/>
                <w:sz w:val="16"/>
                <w:szCs w:val="16"/>
                <w:lang w:val="pt-BR" w:eastAsia="es-ES"/>
              </w:rPr>
            </w:pPr>
            <w:r w:rsidRPr="00D4693F">
              <w:rPr>
                <w:rFonts w:ascii="Verdana" w:eastAsia="Calibri" w:hAnsi="Verdana" w:cs="Arial"/>
                <w:sz w:val="16"/>
                <w:szCs w:val="16"/>
                <w:lang w:val="pt-BR" w:eastAsia="es-ES"/>
              </w:rPr>
              <w:t>Carolina Quintero Gacharná</w:t>
            </w:r>
          </w:p>
          <w:p w14:paraId="4EDF5DAA" w14:textId="77777777" w:rsidR="00173C44" w:rsidRPr="00D4693F" w:rsidRDefault="00173C44" w:rsidP="00FB790A">
            <w:pPr>
              <w:contextualSpacing/>
              <w:rPr>
                <w:rFonts w:ascii="Verdana" w:eastAsia="Calibri" w:hAnsi="Verdana" w:cs="Arial"/>
                <w:sz w:val="16"/>
                <w:szCs w:val="16"/>
                <w:lang w:val="pt-BR" w:eastAsia="es-ES"/>
              </w:rPr>
            </w:pPr>
            <w:r w:rsidRPr="00D4693F">
              <w:rPr>
                <w:rFonts w:ascii="Verdana" w:eastAsia="Calibri" w:hAnsi="Verdana" w:cs="Arial"/>
                <w:sz w:val="16"/>
                <w:szCs w:val="16"/>
                <w:lang w:eastAsia="es-ES"/>
              </w:rPr>
              <w:t>Subdirectora</w:t>
            </w:r>
            <w:r w:rsidRPr="00D4693F">
              <w:rPr>
                <w:rFonts w:ascii="Verdana" w:eastAsia="Calibri" w:hAnsi="Verdana" w:cs="Arial"/>
                <w:sz w:val="16"/>
                <w:szCs w:val="16"/>
                <w:lang w:val="pt-BR" w:eastAsia="es-ES"/>
              </w:rPr>
              <w:t xml:space="preserve"> de Gestión Contractual ANCP – CCE</w:t>
            </w:r>
          </w:p>
        </w:tc>
      </w:tr>
      <w:bookmarkEnd w:id="0"/>
    </w:tbl>
    <w:p w14:paraId="5FC712A0" w14:textId="77777777" w:rsidR="00173C44" w:rsidRPr="00D4693F" w:rsidRDefault="00173C44" w:rsidP="00173C44">
      <w:pPr>
        <w:spacing w:after="0" w:line="240" w:lineRule="auto"/>
        <w:rPr>
          <w:rFonts w:ascii="Verdana" w:eastAsia="Times New Roman" w:hAnsi="Verdana" w:cs="Arial"/>
          <w:sz w:val="24"/>
          <w:szCs w:val="24"/>
          <w:lang w:eastAsia="es-ES"/>
        </w:rPr>
      </w:pPr>
    </w:p>
    <w:sectPr w:rsidR="00173C44" w:rsidRPr="00D4693F"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AE479" w14:textId="77777777" w:rsidR="005C6D57" w:rsidRDefault="005C6D57" w:rsidP="004A1847">
      <w:pPr>
        <w:spacing w:after="0" w:line="240" w:lineRule="auto"/>
      </w:pPr>
      <w:r>
        <w:separator/>
      </w:r>
    </w:p>
  </w:endnote>
  <w:endnote w:type="continuationSeparator" w:id="0">
    <w:p w14:paraId="028AC566" w14:textId="77777777" w:rsidR="005C6D57" w:rsidRDefault="005C6D57" w:rsidP="004A1847">
      <w:pPr>
        <w:spacing w:after="0" w:line="240" w:lineRule="auto"/>
      </w:pPr>
      <w:r>
        <w:continuationSeparator/>
      </w:r>
    </w:p>
  </w:endnote>
  <w:endnote w:type="continuationNotice" w:id="1">
    <w:p w14:paraId="09D443AE" w14:textId="77777777" w:rsidR="005C6D57" w:rsidRDefault="005C6D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C9349" w14:textId="77777777" w:rsidR="005C6D57" w:rsidRDefault="005C6D57" w:rsidP="004A1847">
      <w:pPr>
        <w:spacing w:after="0" w:line="240" w:lineRule="auto"/>
      </w:pPr>
      <w:r>
        <w:separator/>
      </w:r>
    </w:p>
  </w:footnote>
  <w:footnote w:type="continuationSeparator" w:id="0">
    <w:p w14:paraId="651EA76E" w14:textId="77777777" w:rsidR="005C6D57" w:rsidRDefault="005C6D57" w:rsidP="004A1847">
      <w:pPr>
        <w:spacing w:after="0" w:line="240" w:lineRule="auto"/>
      </w:pPr>
      <w:r>
        <w:continuationSeparator/>
      </w:r>
    </w:p>
  </w:footnote>
  <w:footnote w:type="continuationNotice" w:id="1">
    <w:p w14:paraId="7065B7C7" w14:textId="77777777" w:rsidR="005C6D57" w:rsidRDefault="005C6D57">
      <w:pPr>
        <w:spacing w:after="0" w:line="240" w:lineRule="auto"/>
      </w:pPr>
    </w:p>
  </w:footnote>
  <w:footnote w:id="2">
    <w:p w14:paraId="4FCB9BBD" w14:textId="77777777" w:rsidR="00150CF5" w:rsidRPr="00AD58E3" w:rsidRDefault="00150CF5" w:rsidP="00847C13">
      <w:pPr>
        <w:pStyle w:val="Textonotapie"/>
        <w:contextualSpacing/>
        <w:jc w:val="both"/>
        <w:rPr>
          <w:rFonts w:ascii="Verdana" w:hAnsi="Verdana" w:cs="Arial"/>
          <w:sz w:val="16"/>
          <w:szCs w:val="16"/>
        </w:rPr>
      </w:pPr>
    </w:p>
    <w:p w14:paraId="51227774" w14:textId="77777777" w:rsidR="00150CF5" w:rsidRPr="00AD58E3" w:rsidRDefault="00150CF5" w:rsidP="00847C13">
      <w:pPr>
        <w:pStyle w:val="Textonotapie"/>
        <w:ind w:firstLine="707"/>
        <w:contextualSpacing/>
        <w:jc w:val="both"/>
        <w:rPr>
          <w:rFonts w:ascii="Verdana" w:hAnsi="Verdana" w:cs="Arial"/>
          <w:sz w:val="16"/>
          <w:szCs w:val="16"/>
          <w:lang w:val="es-CO"/>
        </w:rPr>
      </w:pPr>
      <w:r w:rsidRPr="00AD58E3">
        <w:rPr>
          <w:rStyle w:val="Refdenotaalpie"/>
          <w:rFonts w:ascii="Verdana" w:hAnsi="Verdana" w:cs="Arial"/>
          <w:sz w:val="16"/>
          <w:szCs w:val="16"/>
        </w:rPr>
        <w:footnoteRef/>
      </w:r>
      <w:r w:rsidRPr="00AD58E3">
        <w:rPr>
          <w:rFonts w:ascii="Verdana" w:hAnsi="Verdana" w:cs="Arial"/>
          <w:sz w:val="16"/>
          <w:szCs w:val="16"/>
          <w:vertAlign w:val="superscript"/>
        </w:rPr>
        <w:t xml:space="preserve"> </w:t>
      </w:r>
      <w:r w:rsidRPr="00AD58E3">
        <w:rPr>
          <w:rFonts w:ascii="Verdana" w:hAnsi="Verdana" w:cs="Arial"/>
          <w:sz w:val="16"/>
          <w:szCs w:val="16"/>
        </w:rPr>
        <w:t xml:space="preserve">Ley 1712 de 2014: “Artículo 3. </w:t>
      </w:r>
      <w:bookmarkStart w:id="2" w:name="3"/>
      <w:r w:rsidRPr="00AD58E3">
        <w:rPr>
          <w:rFonts w:ascii="Verdana" w:hAnsi="Verdana" w:cs="Arial"/>
          <w:sz w:val="16"/>
          <w:szCs w:val="16"/>
          <w:lang w:val="es-CO"/>
        </w:rPr>
        <w:t>Otros principios de la transparencia y acceso a la información pública.</w:t>
      </w:r>
      <w:bookmarkEnd w:id="2"/>
      <w:r w:rsidRPr="00AD58E3">
        <w:rPr>
          <w:rFonts w:ascii="Verdana" w:hAnsi="Verdana" w:cs="Arial"/>
          <w:sz w:val="16"/>
          <w:szCs w:val="16"/>
          <w:lang w:val="es-CO"/>
        </w:rPr>
        <w:t> </w:t>
      </w:r>
    </w:p>
    <w:p w14:paraId="324D7628" w14:textId="77777777" w:rsidR="00150CF5" w:rsidRPr="00AD58E3" w:rsidRDefault="00150CF5" w:rsidP="00847C13">
      <w:pPr>
        <w:pStyle w:val="Textonotapie"/>
        <w:ind w:firstLine="707"/>
        <w:contextualSpacing/>
        <w:jc w:val="both"/>
        <w:rPr>
          <w:rFonts w:ascii="Verdana" w:hAnsi="Verdana" w:cs="Arial"/>
          <w:sz w:val="16"/>
          <w:szCs w:val="16"/>
          <w:lang w:val="es-CO"/>
        </w:rPr>
      </w:pPr>
      <w:r w:rsidRPr="00AD58E3">
        <w:rPr>
          <w:rFonts w:ascii="Verdana" w:hAnsi="Verdana" w:cs="Arial"/>
          <w:sz w:val="16"/>
          <w:szCs w:val="16"/>
          <w:lang w:val="es-CO"/>
        </w:rPr>
        <w:t>[…]</w:t>
      </w:r>
    </w:p>
    <w:p w14:paraId="116AE64A" w14:textId="77777777" w:rsidR="00150CF5" w:rsidRPr="00AD58E3" w:rsidRDefault="00150CF5" w:rsidP="00847C13">
      <w:pPr>
        <w:pStyle w:val="Textonotapie"/>
        <w:ind w:firstLine="707"/>
        <w:contextualSpacing/>
        <w:jc w:val="both"/>
        <w:rPr>
          <w:rFonts w:ascii="Verdana" w:hAnsi="Verdana" w:cs="Arial"/>
          <w:sz w:val="16"/>
          <w:szCs w:val="16"/>
        </w:rPr>
      </w:pPr>
      <w:r w:rsidRPr="00AD58E3">
        <w:rPr>
          <w:rStyle w:val="baj"/>
          <w:rFonts w:ascii="Verdana" w:hAnsi="Verdana" w:cs="Arial"/>
          <w:sz w:val="16"/>
          <w:szCs w:val="16"/>
        </w:rPr>
        <w:t>Principio de transparencia</w:t>
      </w:r>
      <w:r w:rsidRPr="00AD58E3">
        <w:rPr>
          <w:rFonts w:ascii="Verdana" w:hAnsi="Verdana" w:cs="Arial"/>
          <w:sz w:val="16"/>
          <w:szCs w:val="16"/>
        </w:rPr>
        <w:t xml:space="preserve">. Principio conforme al cual toda la información en poder de los sujetos obligados definidos en esta ley se presume pública, en </w:t>
      </w:r>
      <w:proofErr w:type="gramStart"/>
      <w:r w:rsidRPr="00AD58E3">
        <w:rPr>
          <w:rFonts w:ascii="Verdana" w:hAnsi="Verdana" w:cs="Arial"/>
          <w:sz w:val="16"/>
          <w:szCs w:val="16"/>
        </w:rPr>
        <w:t>consecuencia</w:t>
      </w:r>
      <w:proofErr w:type="gramEnd"/>
      <w:r w:rsidRPr="00AD58E3">
        <w:rPr>
          <w:rFonts w:ascii="Verdana" w:hAnsi="Verdana" w:cs="Arial"/>
          <w:sz w:val="16"/>
          <w:szCs w:val="16"/>
        </w:rPr>
        <w:t xml:space="preserve">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w:t>
      </w:r>
    </w:p>
    <w:p w14:paraId="74BCBA26" w14:textId="77777777" w:rsidR="00150CF5" w:rsidRPr="00AD58E3" w:rsidRDefault="00150CF5" w:rsidP="00847C13">
      <w:pPr>
        <w:pStyle w:val="Textonotapie"/>
        <w:contextualSpacing/>
        <w:jc w:val="both"/>
        <w:rPr>
          <w:rFonts w:ascii="Verdana" w:hAnsi="Verdana" w:cs="Arial"/>
          <w:sz w:val="16"/>
          <w:szCs w:val="16"/>
          <w:lang w:val="es-CO"/>
        </w:rPr>
      </w:pPr>
    </w:p>
  </w:footnote>
  <w:footnote w:id="3">
    <w:p w14:paraId="073E3447" w14:textId="77777777" w:rsidR="00150CF5" w:rsidRPr="00AD58E3" w:rsidRDefault="00150CF5" w:rsidP="00847C13">
      <w:pPr>
        <w:pStyle w:val="Textonotapie"/>
        <w:ind w:firstLine="707"/>
        <w:contextualSpacing/>
        <w:jc w:val="both"/>
        <w:rPr>
          <w:rFonts w:ascii="Verdana" w:hAnsi="Verdana" w:cs="Arial"/>
          <w:sz w:val="16"/>
          <w:szCs w:val="16"/>
          <w:lang w:val="es-CO"/>
        </w:rPr>
      </w:pPr>
      <w:r w:rsidRPr="00AD58E3">
        <w:rPr>
          <w:rStyle w:val="Refdenotaalpie"/>
          <w:rFonts w:ascii="Verdana" w:hAnsi="Verdana" w:cs="Arial"/>
          <w:sz w:val="16"/>
          <w:szCs w:val="16"/>
        </w:rPr>
        <w:footnoteRef/>
      </w:r>
      <w:r w:rsidRPr="00AD58E3">
        <w:rPr>
          <w:rFonts w:ascii="Verdana" w:hAnsi="Verdana" w:cs="Arial"/>
          <w:sz w:val="16"/>
          <w:szCs w:val="16"/>
          <w:vertAlign w:val="superscript"/>
        </w:rPr>
        <w:t xml:space="preserve"> </w:t>
      </w:r>
      <w:r w:rsidRPr="00AD58E3">
        <w:rPr>
          <w:rFonts w:ascii="Verdana" w:hAnsi="Verdana" w:cs="Arial"/>
          <w:sz w:val="16"/>
          <w:szCs w:val="16"/>
        </w:rPr>
        <w:t xml:space="preserve">Ley 1712 de 2014: “Artículo 3. </w:t>
      </w:r>
      <w:r w:rsidRPr="00AD58E3">
        <w:rPr>
          <w:rFonts w:ascii="Verdana" w:hAnsi="Verdana" w:cs="Arial"/>
          <w:sz w:val="16"/>
          <w:szCs w:val="16"/>
          <w:lang w:val="es-CO"/>
        </w:rPr>
        <w:t>Otros principios de la transparencia y acceso a la información pública. </w:t>
      </w:r>
    </w:p>
    <w:p w14:paraId="78682DA1" w14:textId="77777777" w:rsidR="00150CF5" w:rsidRPr="00AD58E3" w:rsidRDefault="00150CF5" w:rsidP="00847C13">
      <w:pPr>
        <w:pStyle w:val="Textonotapie"/>
        <w:ind w:firstLine="707"/>
        <w:contextualSpacing/>
        <w:jc w:val="both"/>
        <w:rPr>
          <w:rFonts w:ascii="Verdana" w:hAnsi="Verdana" w:cs="Arial"/>
          <w:sz w:val="16"/>
          <w:szCs w:val="16"/>
          <w:lang w:val="es-ES"/>
        </w:rPr>
      </w:pPr>
      <w:r w:rsidRPr="00AD58E3">
        <w:rPr>
          <w:rFonts w:ascii="Verdana" w:hAnsi="Verdana" w:cs="Arial"/>
          <w:sz w:val="16"/>
          <w:szCs w:val="16"/>
          <w:lang w:val="es-ES"/>
        </w:rPr>
        <w:t>[…]</w:t>
      </w:r>
    </w:p>
    <w:p w14:paraId="4FAB6F46" w14:textId="77777777" w:rsidR="00150CF5" w:rsidRPr="00AD58E3" w:rsidRDefault="00150CF5" w:rsidP="00847C13">
      <w:pPr>
        <w:pStyle w:val="Textonotapie"/>
        <w:ind w:firstLine="707"/>
        <w:contextualSpacing/>
        <w:jc w:val="both"/>
        <w:rPr>
          <w:rFonts w:ascii="Verdana" w:hAnsi="Verdana" w:cs="Arial"/>
          <w:sz w:val="16"/>
          <w:szCs w:val="16"/>
          <w:lang w:val="es-ES"/>
        </w:rPr>
      </w:pPr>
      <w:r w:rsidRPr="00AD58E3">
        <w:rPr>
          <w:rStyle w:val="baj"/>
          <w:rFonts w:ascii="Verdana" w:hAnsi="Verdana" w:cs="Arial"/>
          <w:sz w:val="16"/>
          <w:szCs w:val="16"/>
        </w:rPr>
        <w:t>Principio de buena fe</w:t>
      </w:r>
      <w:r w:rsidRPr="00AD58E3">
        <w:rPr>
          <w:rFonts w:ascii="Verdana" w:hAnsi="Verdana" w:cs="Arial"/>
          <w:sz w:val="16"/>
          <w:szCs w:val="16"/>
        </w:rPr>
        <w:t>. En virtud del cual todo sujeto obligado, al cumplir con las obligaciones derivadas del derecho de acceso a la información pública, lo hará con motivación honesta, leal y desprovista de cualquier intención dolosa o culposa”.</w:t>
      </w:r>
    </w:p>
  </w:footnote>
  <w:footnote w:id="4">
    <w:p w14:paraId="03B09B11" w14:textId="77777777" w:rsidR="008B642E" w:rsidRPr="00AD58E3" w:rsidRDefault="008B642E" w:rsidP="00847C13">
      <w:pPr>
        <w:pStyle w:val="Textonotapie"/>
        <w:ind w:firstLine="707"/>
        <w:contextualSpacing/>
        <w:jc w:val="both"/>
        <w:rPr>
          <w:rFonts w:ascii="Verdana" w:hAnsi="Verdana" w:cs="Arial"/>
          <w:sz w:val="16"/>
          <w:szCs w:val="16"/>
        </w:rPr>
      </w:pPr>
    </w:p>
    <w:p w14:paraId="29398AFB" w14:textId="77777777" w:rsidR="008B642E" w:rsidRPr="00AD58E3" w:rsidRDefault="008B642E" w:rsidP="00847C13">
      <w:pPr>
        <w:pStyle w:val="Textonotapie"/>
        <w:ind w:firstLine="707"/>
        <w:contextualSpacing/>
        <w:jc w:val="both"/>
        <w:rPr>
          <w:rFonts w:ascii="Verdana" w:hAnsi="Verdana" w:cs="Arial"/>
          <w:sz w:val="16"/>
          <w:szCs w:val="16"/>
          <w:shd w:val="clear" w:color="auto" w:fill="FFFFFF"/>
        </w:rPr>
      </w:pPr>
      <w:r w:rsidRPr="00AD58E3">
        <w:rPr>
          <w:rStyle w:val="Refdenotaalpie"/>
          <w:rFonts w:ascii="Verdana" w:hAnsi="Verdana" w:cs="Arial"/>
          <w:sz w:val="16"/>
          <w:szCs w:val="16"/>
        </w:rPr>
        <w:footnoteRef/>
      </w:r>
      <w:r w:rsidRPr="00AD58E3">
        <w:rPr>
          <w:rFonts w:ascii="Verdana" w:hAnsi="Verdana" w:cs="Arial"/>
          <w:sz w:val="16"/>
          <w:szCs w:val="16"/>
        </w:rPr>
        <w:t xml:space="preserve"> Ley 1712 de 2014: “Artículo 9. </w:t>
      </w:r>
      <w:r w:rsidRPr="00AD58E3">
        <w:rPr>
          <w:rFonts w:ascii="Verdana" w:hAnsi="Verdana" w:cs="Arial"/>
          <w:sz w:val="16"/>
          <w:szCs w:val="16"/>
          <w:shd w:val="clear" w:color="auto" w:fill="FFFFFF"/>
        </w:rPr>
        <w:t> </w:t>
      </w:r>
      <w:r w:rsidRPr="00AD58E3">
        <w:rPr>
          <w:rStyle w:val="nfasis"/>
          <w:rFonts w:ascii="Verdana" w:hAnsi="Verdana" w:cs="Arial"/>
          <w:sz w:val="16"/>
          <w:szCs w:val="16"/>
          <w:shd w:val="clear" w:color="auto" w:fill="FFFFFF"/>
        </w:rPr>
        <w:t>Información mínima obligatoria respecto a la estructura del sujeto obligado. </w:t>
      </w:r>
      <w:r w:rsidRPr="00AD58E3">
        <w:rPr>
          <w:rFonts w:ascii="Verdana" w:hAnsi="Verdana" w:cs="Arial"/>
          <w:sz w:val="16"/>
          <w:szCs w:val="16"/>
          <w:shd w:val="clear" w:color="auto" w:fill="FFFFFF"/>
        </w:rPr>
        <w:t>Todo sujeto obligado deberá publicar la siguiente información mínima obligatoria de manera proactiva en los sistemas de información del Estado o herramientas que lo sustituyan:</w:t>
      </w:r>
    </w:p>
    <w:p w14:paraId="1F9594AE" w14:textId="77777777" w:rsidR="008B642E" w:rsidRPr="00AD58E3" w:rsidRDefault="008B642E" w:rsidP="00847C13">
      <w:pPr>
        <w:pStyle w:val="Textonotapie"/>
        <w:ind w:firstLine="707"/>
        <w:contextualSpacing/>
        <w:jc w:val="both"/>
        <w:rPr>
          <w:rFonts w:ascii="Verdana" w:hAnsi="Verdana" w:cs="Arial"/>
          <w:sz w:val="16"/>
          <w:szCs w:val="16"/>
          <w:shd w:val="clear" w:color="auto" w:fill="FFFFFF"/>
        </w:rPr>
      </w:pPr>
      <w:r w:rsidRPr="00AD58E3">
        <w:rPr>
          <w:rFonts w:ascii="Verdana" w:hAnsi="Verdana" w:cs="Arial"/>
          <w:sz w:val="16"/>
          <w:szCs w:val="16"/>
          <w:shd w:val="clear" w:color="auto" w:fill="FFFFFF"/>
        </w:rPr>
        <w:t>[…]</w:t>
      </w:r>
    </w:p>
    <w:p w14:paraId="4875945A" w14:textId="77777777" w:rsidR="008B642E" w:rsidRPr="00AD58E3" w:rsidRDefault="008B642E" w:rsidP="00847C13">
      <w:pPr>
        <w:pStyle w:val="Textonotapie"/>
        <w:ind w:firstLine="707"/>
        <w:contextualSpacing/>
        <w:jc w:val="both"/>
        <w:rPr>
          <w:rFonts w:ascii="Verdana" w:hAnsi="Verdana" w:cs="Arial"/>
          <w:sz w:val="16"/>
          <w:szCs w:val="16"/>
          <w:lang w:val="es-ES"/>
        </w:rPr>
      </w:pPr>
      <w:r w:rsidRPr="00AD58E3">
        <w:rPr>
          <w:rFonts w:ascii="Verdana" w:hAnsi="Verdana" w:cs="Arial"/>
          <w:sz w:val="16"/>
          <w:szCs w:val="16"/>
          <w:shd w:val="clear" w:color="auto" w:fill="FFFFFF"/>
        </w:rPr>
        <w:t>e) Su respectivo plan de compras anual, así como las contrataciones adjudicadas para la correspondiente vigencia en lo relacionado con funcionamiento e inversión, las obras públicas, los bienes adquiridos, arrendados y en caso de los servicios de estudios o investigaciones deberá señalarse el tema específico, de conformidad con el artículo 74</w:t>
      </w:r>
      <w:r w:rsidRPr="00AD58E3">
        <w:rPr>
          <w:rFonts w:ascii="Verdana" w:hAnsi="Verdana" w:cs="Arial"/>
          <w:sz w:val="16"/>
          <w:szCs w:val="16"/>
        </w:rPr>
        <w:t xml:space="preserve"> </w:t>
      </w:r>
      <w:r w:rsidRPr="00AD58E3">
        <w:rPr>
          <w:rFonts w:ascii="Verdana" w:hAnsi="Verdana" w:cs="Arial"/>
          <w:sz w:val="16"/>
          <w:szCs w:val="16"/>
          <w:shd w:val="clear" w:color="auto" w:fill="FFFFFF"/>
        </w:rPr>
        <w:t>de la Ley 1474 de 2011. En el caso de las personas naturales con contratos de prestación de servicios, deberá publicarse el objeto del contrato, monto de los honorarios y direcciones de correo electrónico, de conformidad con el formato de información de servidores públicos y contratistas;</w:t>
      </w:r>
      <w:r w:rsidRPr="00AD58E3">
        <w:rPr>
          <w:rFonts w:ascii="Verdana" w:hAnsi="Verdana" w:cs="Arial"/>
          <w:sz w:val="16"/>
          <w:szCs w:val="16"/>
        </w:rPr>
        <w:t>”.</w:t>
      </w:r>
    </w:p>
  </w:footnote>
  <w:footnote w:id="5">
    <w:p w14:paraId="157946D4" w14:textId="77777777" w:rsidR="004F770C" w:rsidRPr="00AD58E3" w:rsidRDefault="004F770C" w:rsidP="00847C13">
      <w:pPr>
        <w:spacing w:after="0" w:line="240" w:lineRule="auto"/>
        <w:ind w:firstLine="707"/>
        <w:contextualSpacing/>
        <w:jc w:val="both"/>
        <w:rPr>
          <w:rFonts w:ascii="Verdana" w:hAnsi="Verdana" w:cs="Arial"/>
          <w:sz w:val="16"/>
          <w:szCs w:val="16"/>
        </w:rPr>
      </w:pPr>
    </w:p>
    <w:p w14:paraId="689EF866" w14:textId="77777777" w:rsidR="004F770C" w:rsidRPr="00AD58E3" w:rsidRDefault="004F770C" w:rsidP="00847C13">
      <w:pPr>
        <w:spacing w:after="0" w:line="240" w:lineRule="auto"/>
        <w:ind w:firstLine="707"/>
        <w:contextualSpacing/>
        <w:jc w:val="both"/>
        <w:rPr>
          <w:rFonts w:ascii="Verdana" w:hAnsi="Verdana" w:cs="Arial"/>
          <w:sz w:val="16"/>
          <w:szCs w:val="16"/>
        </w:rPr>
      </w:pPr>
      <w:r w:rsidRPr="00AD58E3">
        <w:rPr>
          <w:rStyle w:val="Refdenotaalpie"/>
          <w:rFonts w:ascii="Verdana" w:hAnsi="Verdana" w:cs="Arial"/>
          <w:sz w:val="16"/>
          <w:szCs w:val="16"/>
        </w:rPr>
        <w:footnoteRef/>
      </w:r>
      <w:r w:rsidRPr="00AD58E3">
        <w:rPr>
          <w:rFonts w:ascii="Verdana" w:hAnsi="Verdana" w:cs="Arial"/>
          <w:sz w:val="16"/>
          <w:szCs w:val="16"/>
        </w:rPr>
        <w:t xml:space="preserve"> Ley 1712 de 2014: “Artículo 5. Ámbito de aplicación. Las disposiciones de esta ley serán aplicables a las siguientes personas en calidad de sujetos obligados:</w:t>
      </w:r>
    </w:p>
    <w:p w14:paraId="35AC428A" w14:textId="77777777" w:rsidR="004F770C" w:rsidRPr="00AD58E3" w:rsidRDefault="004F770C" w:rsidP="00847C13">
      <w:pPr>
        <w:spacing w:after="0" w:line="240" w:lineRule="auto"/>
        <w:ind w:firstLine="707"/>
        <w:contextualSpacing/>
        <w:jc w:val="both"/>
        <w:rPr>
          <w:rFonts w:ascii="Verdana" w:hAnsi="Verdana" w:cs="Arial"/>
          <w:sz w:val="16"/>
          <w:szCs w:val="16"/>
        </w:rPr>
      </w:pPr>
      <w:r w:rsidRPr="00AD58E3">
        <w:rPr>
          <w:rFonts w:ascii="Verdana" w:hAnsi="Verdana" w:cs="Arial"/>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2C8167AC" w14:textId="77777777" w:rsidR="004F770C" w:rsidRPr="00AD58E3" w:rsidRDefault="004F770C" w:rsidP="00847C13">
      <w:pPr>
        <w:pStyle w:val="Textonotapie"/>
        <w:contextualSpacing/>
        <w:jc w:val="both"/>
        <w:rPr>
          <w:rFonts w:ascii="Verdana" w:hAnsi="Verdana" w:cs="Arial"/>
          <w:sz w:val="16"/>
          <w:szCs w:val="16"/>
        </w:rPr>
      </w:pPr>
    </w:p>
  </w:footnote>
  <w:footnote w:id="6">
    <w:p w14:paraId="6F1B2DCB" w14:textId="77777777" w:rsidR="00222A73" w:rsidRPr="00AD58E3" w:rsidRDefault="00222A73" w:rsidP="00847C13">
      <w:pPr>
        <w:spacing w:after="0" w:line="240" w:lineRule="auto"/>
        <w:ind w:firstLine="709"/>
        <w:contextualSpacing/>
        <w:jc w:val="both"/>
        <w:rPr>
          <w:rFonts w:ascii="Verdana" w:hAnsi="Verdana" w:cs="Arial"/>
          <w:sz w:val="16"/>
          <w:szCs w:val="16"/>
        </w:rPr>
      </w:pPr>
      <w:r w:rsidRPr="00AD58E3">
        <w:rPr>
          <w:rStyle w:val="Refdenotaalpie"/>
          <w:rFonts w:ascii="Verdana" w:hAnsi="Verdana" w:cs="Arial"/>
          <w:sz w:val="16"/>
          <w:szCs w:val="16"/>
        </w:rPr>
        <w:footnoteRef/>
      </w:r>
      <w:r w:rsidRPr="00AD58E3">
        <w:rPr>
          <w:rFonts w:ascii="Verdana" w:hAnsi="Verdana" w:cs="Arial"/>
          <w:sz w:val="16"/>
          <w:szCs w:val="16"/>
        </w:rPr>
        <w:t xml:space="preserve"> “Artículo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w:t>
      </w:r>
    </w:p>
    <w:p w14:paraId="00B8B43E" w14:textId="77777777" w:rsidR="00222A73" w:rsidRPr="00AD58E3" w:rsidRDefault="00222A73" w:rsidP="00847C13">
      <w:pPr>
        <w:spacing w:after="0" w:line="240" w:lineRule="auto"/>
        <w:ind w:firstLine="708"/>
        <w:contextualSpacing/>
        <w:jc w:val="both"/>
        <w:rPr>
          <w:rFonts w:ascii="Verdana" w:hAnsi="Verdana" w:cs="Arial"/>
          <w:sz w:val="16"/>
          <w:szCs w:val="16"/>
        </w:rPr>
      </w:pPr>
      <w:r w:rsidRPr="00AD58E3">
        <w:rPr>
          <w:rFonts w:ascii="Verdana" w:hAnsi="Verdana" w:cs="Arial"/>
          <w:sz w:val="16"/>
          <w:szCs w:val="16"/>
        </w:rPr>
        <w:t>[…].</w:t>
      </w:r>
    </w:p>
    <w:p w14:paraId="48E76CCA" w14:textId="77777777" w:rsidR="00222A73" w:rsidRPr="00AD58E3" w:rsidRDefault="00222A73" w:rsidP="00847C13">
      <w:pPr>
        <w:spacing w:after="0" w:line="240" w:lineRule="auto"/>
        <w:ind w:firstLine="709"/>
        <w:contextualSpacing/>
        <w:jc w:val="both"/>
        <w:rPr>
          <w:rFonts w:ascii="Verdana" w:hAnsi="Verdana" w:cs="Arial"/>
          <w:sz w:val="16"/>
          <w:szCs w:val="16"/>
        </w:rPr>
      </w:pPr>
      <w:r w:rsidRPr="00AD58E3">
        <w:rPr>
          <w:rFonts w:ascii="Verdana" w:hAnsi="Verdana" w:cs="Arial"/>
          <w:sz w:val="16"/>
          <w:szCs w:val="16"/>
        </w:rPr>
        <w:t>Los sujetos obligados que contratan con recursos públicos y recursos privados, deben publicar la información de su gestión contractual con cargo a recursos públicos en el Sistema Electrónico para la Contratación Pública [SECOP]”.</w:t>
      </w:r>
    </w:p>
    <w:p w14:paraId="7145590C" w14:textId="77777777" w:rsidR="00222A73" w:rsidRPr="00AD58E3" w:rsidRDefault="00222A73" w:rsidP="00847C13">
      <w:pPr>
        <w:pStyle w:val="Textonotapie"/>
        <w:contextualSpacing/>
        <w:jc w:val="both"/>
        <w:rPr>
          <w:rFonts w:ascii="Verdana" w:hAnsi="Verdana" w:cs="Arial"/>
          <w:sz w:val="16"/>
          <w:szCs w:val="16"/>
        </w:rPr>
      </w:pPr>
    </w:p>
  </w:footnote>
  <w:footnote w:id="7">
    <w:p w14:paraId="0C761A99" w14:textId="77777777" w:rsidR="00222A73" w:rsidRPr="00AD58E3" w:rsidRDefault="00222A73" w:rsidP="00847C13">
      <w:pPr>
        <w:pStyle w:val="Textonotapie"/>
        <w:ind w:firstLine="709"/>
        <w:contextualSpacing/>
        <w:jc w:val="both"/>
        <w:rPr>
          <w:rFonts w:ascii="Verdana" w:hAnsi="Verdana" w:cs="Arial"/>
          <w:color w:val="000000" w:themeColor="text1"/>
          <w:sz w:val="16"/>
          <w:szCs w:val="16"/>
        </w:rPr>
      </w:pPr>
      <w:r w:rsidRPr="00AD58E3">
        <w:rPr>
          <w:rStyle w:val="Refdenotaalpie"/>
          <w:rFonts w:ascii="Verdana" w:hAnsi="Verdana" w:cs="Arial"/>
          <w:color w:val="000000" w:themeColor="text1"/>
          <w:sz w:val="16"/>
          <w:szCs w:val="16"/>
        </w:rPr>
        <w:footnoteRef/>
      </w:r>
      <w:r w:rsidRPr="00AD58E3">
        <w:rPr>
          <w:rFonts w:ascii="Verdana" w:hAnsi="Verdana" w:cs="Arial"/>
          <w:color w:val="000000" w:themeColor="text1"/>
          <w:sz w:val="16"/>
          <w:szCs w:val="16"/>
        </w:rPr>
        <w:t xml:space="preserve"> Decreto 103 de 2015: “Artículo 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footnote>
  <w:footnote w:id="8">
    <w:p w14:paraId="29E70F2A" w14:textId="77777777" w:rsidR="00222A73" w:rsidRPr="00AD58E3" w:rsidRDefault="00222A73" w:rsidP="00847C13">
      <w:pPr>
        <w:pStyle w:val="Textonotapie"/>
        <w:ind w:firstLine="709"/>
        <w:contextualSpacing/>
        <w:jc w:val="both"/>
        <w:rPr>
          <w:rFonts w:ascii="Verdana" w:hAnsi="Verdana" w:cs="Arial"/>
          <w:color w:val="000000" w:themeColor="text1"/>
          <w:sz w:val="16"/>
          <w:szCs w:val="16"/>
        </w:rPr>
      </w:pPr>
    </w:p>
    <w:p w14:paraId="203D7ED9" w14:textId="77777777" w:rsidR="00222A73" w:rsidRPr="00AD58E3" w:rsidRDefault="00222A73" w:rsidP="00847C13">
      <w:pPr>
        <w:pStyle w:val="Textonotapie"/>
        <w:ind w:firstLine="709"/>
        <w:contextualSpacing/>
        <w:jc w:val="both"/>
        <w:rPr>
          <w:rFonts w:ascii="Verdana" w:hAnsi="Verdana" w:cs="Arial"/>
          <w:color w:val="000000" w:themeColor="text1"/>
          <w:sz w:val="16"/>
          <w:szCs w:val="16"/>
        </w:rPr>
      </w:pPr>
      <w:r w:rsidRPr="00AD58E3">
        <w:rPr>
          <w:rStyle w:val="Refdenotaalpie"/>
          <w:rFonts w:ascii="Verdana" w:hAnsi="Verdana" w:cs="Arial"/>
          <w:color w:val="000000" w:themeColor="text1"/>
          <w:sz w:val="16"/>
          <w:szCs w:val="16"/>
        </w:rPr>
        <w:footnoteRef/>
      </w:r>
      <w:r w:rsidRPr="00AD58E3">
        <w:rPr>
          <w:rFonts w:ascii="Verdana" w:hAnsi="Verdana" w:cs="Arial"/>
          <w:color w:val="000000" w:themeColor="text1"/>
          <w:sz w:val="16"/>
          <w:szCs w:val="16"/>
        </w:rPr>
        <w:t xml:space="preserve"> Decreto 103 de 2015: “Artículo 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 Colombia Compra Eficiente, el cual debe estar publicado en el sitio web oficial del sujeto obligado”.</w:t>
      </w:r>
    </w:p>
    <w:p w14:paraId="72381455" w14:textId="77777777" w:rsidR="00222A73" w:rsidRPr="00AD58E3" w:rsidRDefault="00222A73" w:rsidP="00847C13">
      <w:pPr>
        <w:pStyle w:val="Textonotapie"/>
        <w:ind w:firstLine="709"/>
        <w:contextualSpacing/>
        <w:jc w:val="both"/>
        <w:rPr>
          <w:rFonts w:ascii="Verdana" w:hAnsi="Verdana" w:cs="Arial"/>
          <w:color w:val="000000" w:themeColor="text1"/>
          <w:sz w:val="16"/>
          <w:szCs w:val="16"/>
        </w:rPr>
      </w:pPr>
    </w:p>
  </w:footnote>
  <w:footnote w:id="9">
    <w:p w14:paraId="6C710859" w14:textId="77777777" w:rsidR="00222A73" w:rsidRPr="00AD58E3" w:rsidRDefault="00222A73" w:rsidP="00847C13">
      <w:pPr>
        <w:pStyle w:val="Textonotapie"/>
        <w:ind w:firstLine="709"/>
        <w:contextualSpacing/>
        <w:jc w:val="both"/>
        <w:rPr>
          <w:rFonts w:ascii="Verdana" w:hAnsi="Verdana" w:cs="Arial"/>
          <w:color w:val="000000" w:themeColor="text1"/>
          <w:sz w:val="16"/>
          <w:szCs w:val="16"/>
        </w:rPr>
      </w:pPr>
      <w:r w:rsidRPr="00AD58E3">
        <w:rPr>
          <w:rStyle w:val="Refdenotaalpie"/>
          <w:rFonts w:ascii="Verdana" w:hAnsi="Verdana" w:cs="Arial"/>
          <w:color w:val="000000" w:themeColor="text1"/>
          <w:sz w:val="16"/>
          <w:szCs w:val="16"/>
        </w:rPr>
        <w:footnoteRef/>
      </w:r>
      <w:r w:rsidRPr="00AD58E3">
        <w:rPr>
          <w:rFonts w:ascii="Verdana" w:hAnsi="Verdana" w:cs="Arial"/>
          <w:color w:val="000000" w:themeColor="text1"/>
          <w:sz w:val="16"/>
          <w:szCs w:val="16"/>
        </w:rPr>
        <w:t xml:space="preserve"> Decreto 103 de 2015: “Artículo 10. Publicación del Plan Anual de Adquisiciones. Los sujetos obligados que contratan con cargo a recursos públicos deben publicar en su página web y en el </w:t>
      </w:r>
      <w:proofErr w:type="spellStart"/>
      <w:r w:rsidRPr="00AD58E3">
        <w:rPr>
          <w:rFonts w:ascii="Verdana" w:hAnsi="Verdana" w:cs="Arial"/>
          <w:color w:val="000000" w:themeColor="text1"/>
          <w:sz w:val="16"/>
          <w:szCs w:val="16"/>
        </w:rPr>
        <w:t>Secop</w:t>
      </w:r>
      <w:proofErr w:type="spellEnd"/>
      <w:r w:rsidRPr="00AD58E3">
        <w:rPr>
          <w:rFonts w:ascii="Verdana" w:hAnsi="Verdana" w:cs="Arial"/>
          <w:color w:val="000000" w:themeColor="text1"/>
          <w:sz w:val="16"/>
          <w:szCs w:val="16"/>
        </w:rPr>
        <w:t xml:space="preserve"> el Plan Anual de Adquisiciones, de acuerdo con lo previsto en el artículo 74 de la Ley 1474 de 2011, el literal e) del artículo 9° de la Ley 1712 de 2014 y el Decreto 1510 de 2013, o el que lo modifique, sustituya o adicione.</w:t>
      </w:r>
    </w:p>
    <w:p w14:paraId="475A27C2" w14:textId="77777777" w:rsidR="00222A73" w:rsidRPr="00AD58E3" w:rsidRDefault="00222A73" w:rsidP="00847C13">
      <w:pPr>
        <w:pStyle w:val="Textonotapie"/>
        <w:ind w:firstLine="709"/>
        <w:contextualSpacing/>
        <w:jc w:val="both"/>
        <w:rPr>
          <w:rFonts w:ascii="Verdana" w:hAnsi="Verdana" w:cs="Arial"/>
          <w:color w:val="000000" w:themeColor="text1"/>
          <w:sz w:val="16"/>
          <w:szCs w:val="16"/>
        </w:rPr>
      </w:pPr>
      <w:r w:rsidRPr="00AD58E3">
        <w:rPr>
          <w:rFonts w:ascii="Verdana" w:hAnsi="Verdana" w:cs="Arial"/>
          <w:color w:val="000000" w:themeColor="text1"/>
          <w:sz w:val="16"/>
          <w:szCs w:val="16"/>
        </w:rPr>
        <w:t>Los sujetos obligados que no contratan con cargo a recursos públicos no están obligados a publicar su Plan Anual de Adquisiciones.</w:t>
      </w:r>
    </w:p>
    <w:p w14:paraId="68B406D4" w14:textId="77777777" w:rsidR="00222A73" w:rsidRPr="00AD58E3" w:rsidRDefault="00222A73" w:rsidP="00847C13">
      <w:pPr>
        <w:pStyle w:val="Textonotapie"/>
        <w:ind w:firstLine="709"/>
        <w:contextualSpacing/>
        <w:jc w:val="both"/>
        <w:rPr>
          <w:rFonts w:ascii="Verdana" w:hAnsi="Verdana" w:cs="Arial"/>
          <w:color w:val="000000" w:themeColor="text1"/>
          <w:sz w:val="16"/>
          <w:szCs w:val="16"/>
        </w:rPr>
      </w:pPr>
      <w:r w:rsidRPr="00AD58E3">
        <w:rPr>
          <w:rFonts w:ascii="Verdana" w:hAnsi="Verdana" w:cs="Arial"/>
          <w:color w:val="000000" w:themeColor="text1"/>
          <w:sz w:val="16"/>
          <w:szCs w:val="16"/>
        </w:rPr>
        <w:t>Los sujetos obligados que contratan con cargo a recursos públicos y recursos privados, deben publicar en su página web y en el SECOP el Plan Anual de Adquisiciones para los recursos de carácter público que ejecutarán en el año.</w:t>
      </w:r>
    </w:p>
    <w:p w14:paraId="5D76EC8C" w14:textId="77777777" w:rsidR="00222A73" w:rsidRPr="00AD58E3" w:rsidRDefault="00222A73" w:rsidP="00847C13">
      <w:pPr>
        <w:pStyle w:val="Textonotapie"/>
        <w:ind w:firstLine="709"/>
        <w:contextualSpacing/>
        <w:jc w:val="both"/>
        <w:rPr>
          <w:rFonts w:ascii="Verdana" w:hAnsi="Verdana" w:cs="Arial"/>
          <w:color w:val="000000" w:themeColor="text1"/>
          <w:sz w:val="16"/>
          <w:szCs w:val="16"/>
        </w:rPr>
      </w:pPr>
      <w:r w:rsidRPr="00AD58E3">
        <w:rPr>
          <w:rFonts w:ascii="Verdana" w:hAnsi="Verdana" w:cs="Arial"/>
          <w:color w:val="000000" w:themeColor="text1"/>
          <w:sz w:val="16"/>
          <w:szCs w:val="16"/>
        </w:rPr>
        <w:t>Se entenderá como definición de Plan Anual de Adquisiciones respecto a todos los sujetos obligados que contratan con recursos públicos, la prevista en el artículo 3° del Decreto 1510 de 2013, o el que lo modifique, sustituya o adicione”.</w:t>
      </w:r>
    </w:p>
    <w:p w14:paraId="365DA887" w14:textId="77777777" w:rsidR="00222A73" w:rsidRPr="00AD58E3" w:rsidRDefault="00222A73" w:rsidP="00847C13">
      <w:pPr>
        <w:pStyle w:val="Textonotapie"/>
        <w:ind w:firstLine="709"/>
        <w:contextualSpacing/>
        <w:jc w:val="both"/>
        <w:rPr>
          <w:rFonts w:ascii="Verdana" w:hAnsi="Verdana" w:cs="Arial"/>
          <w:color w:val="000000" w:themeColor="text1"/>
          <w:sz w:val="16"/>
          <w:szCs w:val="16"/>
        </w:rPr>
      </w:pPr>
    </w:p>
  </w:footnote>
  <w:footnote w:id="10">
    <w:p w14:paraId="3DA7C446" w14:textId="77777777" w:rsidR="00173C44" w:rsidRPr="00847C13" w:rsidRDefault="00173C44" w:rsidP="00AD58E3">
      <w:pPr>
        <w:spacing w:line="240" w:lineRule="auto"/>
        <w:rPr>
          <w:rFonts w:ascii="Verdana" w:eastAsia="Arial" w:hAnsi="Verdana" w:cs="Arial"/>
          <w:sz w:val="16"/>
          <w:szCs w:val="16"/>
        </w:rPr>
      </w:pPr>
      <w:r w:rsidRPr="00847C13">
        <w:rPr>
          <w:rFonts w:ascii="Verdana" w:eastAsia="Arial" w:hAnsi="Verdana" w:cs="Arial"/>
          <w:sz w:val="16"/>
          <w:szCs w:val="16"/>
        </w:rPr>
        <w:footnoteRef/>
      </w:r>
      <w:r w:rsidRPr="00847C13">
        <w:rPr>
          <w:rFonts w:ascii="Verdana" w:eastAsia="Arial" w:hAnsi="Verdana" w:cs="Arial"/>
          <w:sz w:val="16"/>
          <w:szCs w:val="16"/>
        </w:rPr>
        <w:t xml:space="preserve"> </w:t>
      </w:r>
      <w:r w:rsidRPr="00847C13">
        <w:rPr>
          <w:rFonts w:ascii="Verdana" w:eastAsia="Arial" w:hAnsi="Verdana" w:cs="Arial"/>
          <w:sz w:val="16"/>
          <w:szCs w:val="16"/>
          <w:lang w:val="es"/>
        </w:rPr>
        <w:t xml:space="preserve">MATALLANA CAMACHO Ernesto. Manual de Contratación de la Administración Pública. Reforma a la Ley 80 de 1993. Universidad Externado de Colombia, Cuarta edición, 2015, </w:t>
      </w:r>
      <w:proofErr w:type="spellStart"/>
      <w:r w:rsidRPr="00847C13">
        <w:rPr>
          <w:rFonts w:ascii="Verdana" w:eastAsia="Arial" w:hAnsi="Verdana" w:cs="Arial"/>
          <w:sz w:val="16"/>
          <w:szCs w:val="16"/>
          <w:lang w:val="es"/>
        </w:rPr>
        <w:t>pp</w:t>
      </w:r>
      <w:proofErr w:type="spellEnd"/>
      <w:r w:rsidRPr="00847C13">
        <w:rPr>
          <w:rFonts w:ascii="Verdana" w:eastAsia="Arial" w:hAnsi="Verdana" w:cs="Arial"/>
          <w:sz w:val="16"/>
          <w:szCs w:val="16"/>
          <w:lang w:val="es"/>
        </w:rPr>
        <w:t xml:space="preserve"> 139.</w:t>
      </w:r>
    </w:p>
  </w:footnote>
  <w:footnote w:id="11">
    <w:p w14:paraId="68218C8A" w14:textId="77777777" w:rsidR="00173C44" w:rsidRPr="00847C13" w:rsidRDefault="00173C44" w:rsidP="00847C13">
      <w:pPr>
        <w:spacing w:after="0" w:line="240" w:lineRule="auto"/>
        <w:jc w:val="both"/>
        <w:rPr>
          <w:rFonts w:ascii="Verdana" w:eastAsia="Arial" w:hAnsi="Verdana" w:cs="Arial"/>
          <w:sz w:val="16"/>
          <w:szCs w:val="16"/>
          <w:lang w:val="es"/>
        </w:rPr>
      </w:pPr>
      <w:r w:rsidRPr="00847C13">
        <w:rPr>
          <w:rFonts w:ascii="Verdana" w:eastAsia="Arial" w:hAnsi="Verdana" w:cs="Arial"/>
          <w:sz w:val="16"/>
          <w:szCs w:val="16"/>
        </w:rPr>
        <w:footnoteRef/>
      </w:r>
      <w:r w:rsidRPr="00847C13">
        <w:rPr>
          <w:rFonts w:ascii="Verdana" w:eastAsia="Arial" w:hAnsi="Verdana" w:cs="Arial"/>
          <w:sz w:val="16"/>
          <w:szCs w:val="16"/>
        </w:rPr>
        <w:t xml:space="preserve"> </w:t>
      </w:r>
      <w:r w:rsidRPr="00847C13">
        <w:rPr>
          <w:rFonts w:ascii="Verdana" w:eastAsia="Arial" w:hAnsi="Verdana" w:cs="Arial"/>
          <w:sz w:val="16"/>
          <w:szCs w:val="16"/>
          <w:lang w:val="es"/>
        </w:rPr>
        <w:t>Ley 1437 de 2011 “Artículo 24. Informaciones y documentos reservados. Solo tendrán carácter reservado las informaciones y documentos expresamente sometidos a reserva por la Constitución Política o la ley, y en especial:</w:t>
      </w:r>
    </w:p>
    <w:p w14:paraId="6A19858A" w14:textId="77777777" w:rsidR="00173C44" w:rsidRPr="00847C13" w:rsidRDefault="00173C44" w:rsidP="00847C13">
      <w:pPr>
        <w:spacing w:before="110" w:after="0" w:line="240" w:lineRule="auto"/>
        <w:jc w:val="both"/>
        <w:rPr>
          <w:rFonts w:ascii="Verdana" w:eastAsia="Arial" w:hAnsi="Verdana" w:cs="Arial"/>
          <w:sz w:val="16"/>
          <w:szCs w:val="16"/>
          <w:lang w:val="es"/>
        </w:rPr>
      </w:pPr>
      <w:r w:rsidRPr="00847C13">
        <w:rPr>
          <w:rFonts w:ascii="Verdana" w:eastAsia="Arial" w:hAnsi="Verdana" w:cs="Arial"/>
          <w:sz w:val="16"/>
          <w:szCs w:val="16"/>
          <w:lang w:val="es"/>
        </w:rPr>
        <w:t>"1. Los relacionados con la defensa o seguridad nacionales.</w:t>
      </w:r>
    </w:p>
    <w:p w14:paraId="7024DF30" w14:textId="77777777" w:rsidR="00173C44" w:rsidRPr="00847C13" w:rsidRDefault="00173C44" w:rsidP="00847C13">
      <w:pPr>
        <w:spacing w:after="0" w:line="240" w:lineRule="auto"/>
        <w:jc w:val="both"/>
        <w:rPr>
          <w:rFonts w:ascii="Verdana" w:eastAsia="Arial" w:hAnsi="Verdana" w:cs="Arial"/>
          <w:sz w:val="16"/>
          <w:szCs w:val="16"/>
          <w:lang w:val="es"/>
        </w:rPr>
      </w:pPr>
      <w:r w:rsidRPr="00847C13">
        <w:rPr>
          <w:rFonts w:ascii="Verdana" w:eastAsia="Arial" w:hAnsi="Verdana" w:cs="Arial"/>
          <w:sz w:val="16"/>
          <w:szCs w:val="16"/>
          <w:lang w:val="es"/>
        </w:rPr>
        <w:t>“2. Las instrucciones en materia diplomática o sobre negociaciones reservadas.</w:t>
      </w:r>
    </w:p>
    <w:p w14:paraId="51932F65" w14:textId="77777777" w:rsidR="00173C44" w:rsidRPr="00847C13" w:rsidRDefault="00173C44" w:rsidP="00847C13">
      <w:pPr>
        <w:spacing w:after="0" w:line="240" w:lineRule="auto"/>
        <w:jc w:val="both"/>
        <w:rPr>
          <w:rFonts w:ascii="Verdana" w:eastAsia="Arial" w:hAnsi="Verdana" w:cs="Arial"/>
          <w:sz w:val="16"/>
          <w:szCs w:val="16"/>
          <w:lang w:val="es"/>
        </w:rPr>
      </w:pPr>
      <w:r w:rsidRPr="00847C13">
        <w:rPr>
          <w:rFonts w:ascii="Verdana" w:eastAsia="Arial" w:hAnsi="Verdana" w:cs="Arial"/>
          <w:sz w:val="16"/>
          <w:szCs w:val="16"/>
          <w:lang w:val="es"/>
        </w:rPr>
        <w:t>“3.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w:t>
      </w:r>
    </w:p>
    <w:p w14:paraId="168E1261" w14:textId="77777777" w:rsidR="00173C44" w:rsidRPr="00847C13" w:rsidRDefault="00173C44" w:rsidP="00847C13">
      <w:pPr>
        <w:spacing w:after="0" w:line="240" w:lineRule="auto"/>
        <w:jc w:val="both"/>
        <w:rPr>
          <w:rFonts w:ascii="Verdana" w:eastAsia="Arial" w:hAnsi="Verdana" w:cs="Arial"/>
          <w:sz w:val="16"/>
          <w:szCs w:val="16"/>
          <w:lang w:val="es"/>
        </w:rPr>
      </w:pPr>
      <w:r w:rsidRPr="00847C13">
        <w:rPr>
          <w:rFonts w:ascii="Verdana" w:eastAsia="Arial" w:hAnsi="Verdana" w:cs="Arial"/>
          <w:sz w:val="16"/>
          <w:szCs w:val="16"/>
          <w:lang w:val="es"/>
        </w:rPr>
        <w:t>“4.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w:t>
      </w:r>
    </w:p>
    <w:p w14:paraId="6363E129" w14:textId="77777777" w:rsidR="00173C44" w:rsidRPr="00847C13" w:rsidRDefault="00173C44" w:rsidP="00847C13">
      <w:pPr>
        <w:spacing w:after="0" w:line="240" w:lineRule="auto"/>
        <w:jc w:val="both"/>
        <w:rPr>
          <w:rFonts w:ascii="Verdana" w:eastAsia="Arial" w:hAnsi="Verdana" w:cs="Arial"/>
          <w:sz w:val="16"/>
          <w:szCs w:val="16"/>
          <w:lang w:val="es"/>
        </w:rPr>
      </w:pPr>
      <w:r w:rsidRPr="00847C13">
        <w:rPr>
          <w:rFonts w:ascii="Verdana" w:eastAsia="Arial" w:hAnsi="Verdana" w:cs="Arial"/>
          <w:sz w:val="16"/>
          <w:szCs w:val="16"/>
          <w:lang w:val="es"/>
        </w:rPr>
        <w:t>“5. Los datos referentes a la información financiera y comercial, en los términos de la Ley Estatutaria 1266 de 2008.</w:t>
      </w:r>
    </w:p>
    <w:p w14:paraId="09C1DE81" w14:textId="77777777" w:rsidR="00173C44" w:rsidRPr="00847C13" w:rsidRDefault="00173C44" w:rsidP="00847C13">
      <w:pPr>
        <w:spacing w:after="0" w:line="240" w:lineRule="auto"/>
        <w:jc w:val="both"/>
        <w:rPr>
          <w:rFonts w:ascii="Verdana" w:eastAsia="Arial" w:hAnsi="Verdana" w:cs="Arial"/>
          <w:sz w:val="16"/>
          <w:szCs w:val="16"/>
          <w:lang w:val="es"/>
        </w:rPr>
      </w:pPr>
      <w:r w:rsidRPr="00847C13">
        <w:rPr>
          <w:rFonts w:ascii="Verdana" w:eastAsia="Arial" w:hAnsi="Verdana" w:cs="Arial"/>
          <w:sz w:val="16"/>
          <w:szCs w:val="16"/>
          <w:lang w:val="es"/>
        </w:rPr>
        <w:t>“6. Los protegidos por el secreto comercial o industrial, así como los planes estratégicos de las empresas públicas de servicios</w:t>
      </w:r>
    </w:p>
    <w:p w14:paraId="6D81B0F6" w14:textId="77777777" w:rsidR="00173C44" w:rsidRPr="00847C13" w:rsidRDefault="00173C44" w:rsidP="00847C13">
      <w:pPr>
        <w:spacing w:after="0" w:line="240" w:lineRule="auto"/>
        <w:jc w:val="both"/>
        <w:rPr>
          <w:rFonts w:ascii="Verdana" w:eastAsia="Arial" w:hAnsi="Verdana" w:cs="Arial"/>
          <w:sz w:val="16"/>
          <w:szCs w:val="16"/>
          <w:lang w:val="es"/>
        </w:rPr>
      </w:pPr>
      <w:r w:rsidRPr="00847C13">
        <w:rPr>
          <w:rFonts w:ascii="Verdana" w:eastAsia="Arial" w:hAnsi="Verdana" w:cs="Arial"/>
          <w:sz w:val="16"/>
          <w:szCs w:val="16"/>
          <w:lang w:val="es"/>
        </w:rPr>
        <w:t>públicos.</w:t>
      </w:r>
    </w:p>
    <w:p w14:paraId="236EACC1" w14:textId="77777777" w:rsidR="00173C44" w:rsidRPr="00847C13" w:rsidRDefault="00173C44" w:rsidP="00847C13">
      <w:pPr>
        <w:spacing w:after="0" w:line="240" w:lineRule="auto"/>
        <w:jc w:val="both"/>
        <w:rPr>
          <w:rFonts w:ascii="Verdana" w:eastAsia="Arial" w:hAnsi="Verdana" w:cs="Arial"/>
          <w:sz w:val="16"/>
          <w:szCs w:val="16"/>
          <w:lang w:val="es"/>
        </w:rPr>
      </w:pPr>
      <w:r w:rsidRPr="00847C13">
        <w:rPr>
          <w:rFonts w:ascii="Verdana" w:eastAsia="Arial" w:hAnsi="Verdana" w:cs="Arial"/>
          <w:sz w:val="16"/>
          <w:szCs w:val="16"/>
          <w:lang w:val="es"/>
        </w:rPr>
        <w:t>“7. Los amparados por el secreto profesional. “8. Los datos genéticos humanos.</w:t>
      </w:r>
    </w:p>
    <w:p w14:paraId="67E6246E" w14:textId="77777777" w:rsidR="00173C44" w:rsidRPr="00847C13" w:rsidRDefault="00173C44" w:rsidP="00847C13">
      <w:pPr>
        <w:spacing w:after="0" w:line="240" w:lineRule="auto"/>
        <w:jc w:val="both"/>
        <w:rPr>
          <w:rFonts w:ascii="Verdana" w:eastAsia="Arial" w:hAnsi="Verdana" w:cs="Arial"/>
          <w:sz w:val="16"/>
          <w:szCs w:val="16"/>
          <w:lang w:val="es"/>
        </w:rPr>
      </w:pPr>
      <w:r w:rsidRPr="00847C13">
        <w:rPr>
          <w:rFonts w:ascii="Verdana" w:eastAsia="Arial" w:hAnsi="Verdana" w:cs="Arial"/>
          <w:sz w:val="16"/>
          <w:szCs w:val="16"/>
          <w:lang w:val="es"/>
        </w:rPr>
        <w:t>“Parágrafo. Para efecto de la solicitud de información de carácter reservado, enunciada en los numerales 3, 5, 6 y 7 solo podrá ser</w:t>
      </w:r>
    </w:p>
    <w:p w14:paraId="03107245" w14:textId="77777777" w:rsidR="00173C44" w:rsidRPr="00847C13" w:rsidRDefault="00173C44" w:rsidP="00847C13">
      <w:pPr>
        <w:spacing w:after="0" w:line="240" w:lineRule="auto"/>
        <w:jc w:val="both"/>
        <w:rPr>
          <w:rFonts w:ascii="Verdana" w:eastAsia="Arial" w:hAnsi="Verdana" w:cs="Arial"/>
          <w:sz w:val="16"/>
          <w:szCs w:val="16"/>
          <w:lang w:val="es"/>
        </w:rPr>
      </w:pPr>
      <w:r w:rsidRPr="00847C13">
        <w:rPr>
          <w:rFonts w:ascii="Verdana" w:eastAsia="Arial" w:hAnsi="Verdana" w:cs="Arial"/>
          <w:sz w:val="16"/>
          <w:szCs w:val="16"/>
          <w:lang w:val="es"/>
        </w:rPr>
        <w:t>solicitada por el titular de la información, por sus apoderados o por personas autorizadas con facultad expresa para acceder a esa información”.</w:t>
      </w:r>
    </w:p>
    <w:p w14:paraId="28FC8088" w14:textId="77777777" w:rsidR="00173C44" w:rsidRPr="00847C13" w:rsidRDefault="00173C44" w:rsidP="00847C13">
      <w:pPr>
        <w:spacing w:after="0" w:line="240" w:lineRule="auto"/>
        <w:jc w:val="both"/>
        <w:rPr>
          <w:rFonts w:ascii="Verdana" w:eastAsia="Arial" w:hAnsi="Verdana" w:cs="Arial"/>
          <w:sz w:val="16"/>
          <w:szCs w:val="16"/>
        </w:rPr>
      </w:pPr>
    </w:p>
  </w:footnote>
  <w:footnote w:id="12">
    <w:p w14:paraId="79DBB57A" w14:textId="77777777" w:rsidR="00173C44" w:rsidRPr="00847C13" w:rsidRDefault="00173C44" w:rsidP="00847C13">
      <w:pPr>
        <w:spacing w:after="0" w:line="240" w:lineRule="auto"/>
        <w:jc w:val="both"/>
        <w:rPr>
          <w:rFonts w:ascii="Verdana" w:eastAsia="Arial" w:hAnsi="Verdana" w:cs="Arial"/>
          <w:sz w:val="16"/>
          <w:szCs w:val="16"/>
          <w:lang w:val="es"/>
        </w:rPr>
      </w:pPr>
      <w:r w:rsidRPr="00847C13">
        <w:rPr>
          <w:rFonts w:ascii="Verdana" w:eastAsia="Arial" w:hAnsi="Verdana" w:cs="Arial"/>
          <w:sz w:val="16"/>
          <w:szCs w:val="16"/>
        </w:rPr>
        <w:footnoteRef/>
      </w:r>
      <w:r w:rsidRPr="00847C13">
        <w:rPr>
          <w:rFonts w:ascii="Verdana" w:eastAsia="Arial" w:hAnsi="Verdana" w:cs="Arial"/>
          <w:sz w:val="16"/>
          <w:szCs w:val="16"/>
        </w:rPr>
        <w:t xml:space="preserve">. </w:t>
      </w:r>
      <w:r w:rsidRPr="00847C13">
        <w:rPr>
          <w:rFonts w:ascii="Verdana" w:eastAsia="Arial" w:hAnsi="Verdana" w:cs="Arial"/>
          <w:sz w:val="16"/>
          <w:szCs w:val="16"/>
          <w:lang w:val="es"/>
        </w:rPr>
        <w:t xml:space="preserve">Resultan </w:t>
      </w:r>
      <w:proofErr w:type="spellStart"/>
      <w:r w:rsidRPr="00847C13">
        <w:rPr>
          <w:rFonts w:ascii="Verdana" w:eastAsia="Arial" w:hAnsi="Verdana" w:cs="Arial"/>
          <w:sz w:val="16"/>
          <w:szCs w:val="16"/>
          <w:lang w:val="es"/>
        </w:rPr>
        <w:t>elevantes</w:t>
      </w:r>
      <w:proofErr w:type="spellEnd"/>
      <w:r w:rsidRPr="00847C13">
        <w:rPr>
          <w:rFonts w:ascii="Verdana" w:eastAsia="Arial" w:hAnsi="Verdana" w:cs="Arial"/>
          <w:sz w:val="16"/>
          <w:szCs w:val="16"/>
          <w:lang w:val="es"/>
        </w:rPr>
        <w:t xml:space="preserve"> las consideraciones expuestas en el concepto C- 322 del 16 de junio de 2020 –radicado No. 2202013000005088–, sobre la aplicación del artículo 36 del CPACA en torno al manejo de información reservada en cuadernos separados:</w:t>
      </w:r>
    </w:p>
    <w:p w14:paraId="7CCDF284" w14:textId="77777777" w:rsidR="00173C44" w:rsidRPr="00847C13" w:rsidRDefault="00173C44" w:rsidP="00AD58E3">
      <w:pPr>
        <w:spacing w:after="0" w:line="240" w:lineRule="auto"/>
        <w:jc w:val="both"/>
        <w:rPr>
          <w:rFonts w:ascii="Verdana" w:eastAsia="Arial" w:hAnsi="Verdana" w:cs="Arial"/>
          <w:sz w:val="16"/>
          <w:szCs w:val="16"/>
          <w:lang w:val="es"/>
        </w:rPr>
      </w:pPr>
      <w:r w:rsidRPr="00847C13">
        <w:rPr>
          <w:rFonts w:ascii="Verdana" w:eastAsia="Arial" w:hAnsi="Verdana" w:cs="Arial"/>
          <w:sz w:val="16"/>
          <w:szCs w:val="16"/>
          <w:lang w:val="es"/>
        </w:rPr>
        <w:t>«tratándose de información sometida a reserva, considera esta Agencia que el tratamiento que corresponde a esta información es el procedente a partir de lo dispuesto en el artículo 36 del CPACA sobre la formación y examen de expedientes, en el que se establece que los documentos sometidos a reserva deberán insertarse en un cuaderno separado del expediente principal, el cual no podrá ser consultado por la ciudadanía o interesados en general. El manejo de estos documentos conforme lo indica esta norma, permite guardar la reserva a la que están sometidos dichos documentos en el marco de procesos de contratación, sin que se vean lesionados los intereses de los titulares de la información o contrariadas las normas del régimen de protección de datos personales”.</w:t>
      </w:r>
    </w:p>
    <w:p w14:paraId="03DDB30F" w14:textId="77777777" w:rsidR="00173C44" w:rsidRPr="00AD58E3" w:rsidRDefault="00173C44" w:rsidP="00AD58E3">
      <w:pPr>
        <w:spacing w:line="240" w:lineRule="auto"/>
        <w:rPr>
          <w:rFonts w:ascii="Verdana" w:eastAsia="Arial" w:hAnsi="Verdana" w:cs="Arial"/>
          <w:sz w:val="16"/>
          <w:szCs w:val="16"/>
        </w:rPr>
      </w:pPr>
    </w:p>
  </w:footnote>
  <w:footnote w:id="13">
    <w:p w14:paraId="3EA60656" w14:textId="77777777" w:rsidR="005123CF" w:rsidRPr="00AD58E3" w:rsidRDefault="005123CF" w:rsidP="00847C13">
      <w:pPr>
        <w:pStyle w:val="Textonotapie"/>
        <w:ind w:firstLine="708"/>
        <w:contextualSpacing/>
        <w:jc w:val="both"/>
        <w:rPr>
          <w:rFonts w:ascii="Verdana" w:hAnsi="Verdana" w:cs="Arial"/>
          <w:sz w:val="16"/>
          <w:szCs w:val="16"/>
        </w:rPr>
      </w:pPr>
      <w:r w:rsidRPr="00AD58E3">
        <w:rPr>
          <w:rStyle w:val="Refdenotaalpie"/>
          <w:rFonts w:ascii="Verdana" w:hAnsi="Verdana" w:cs="Arial"/>
          <w:sz w:val="16"/>
          <w:szCs w:val="16"/>
        </w:rPr>
        <w:footnoteRef/>
      </w:r>
      <w:r w:rsidRPr="00AD58E3">
        <w:rPr>
          <w:rFonts w:ascii="Verdana" w:hAnsi="Verdana" w:cs="Arial"/>
          <w:sz w:val="16"/>
          <w:szCs w:val="16"/>
        </w:rPr>
        <w:t xml:space="preserve"> Ley 1712 de 2014. “Art. 19 Información exceptuada por daño a los intereses públicos. Es toda aquella información pública reservada, cuyo acceso podrá ser rechazado o denegado de manera motivada y por escrito en las siguientes circunstancias, siempre que dicho acceso estuviere expresamente prohibido por una norma legal o constitucional:</w:t>
      </w:r>
    </w:p>
    <w:p w14:paraId="024DD86E" w14:textId="77777777" w:rsidR="005123CF" w:rsidRPr="00AD58E3" w:rsidRDefault="005123CF" w:rsidP="00847C13">
      <w:pPr>
        <w:pStyle w:val="Textonotapie"/>
        <w:ind w:firstLine="708"/>
        <w:contextualSpacing/>
        <w:jc w:val="both"/>
        <w:rPr>
          <w:rFonts w:ascii="Verdana" w:hAnsi="Verdana" w:cs="Arial"/>
          <w:sz w:val="16"/>
          <w:szCs w:val="16"/>
        </w:rPr>
      </w:pPr>
      <w:r w:rsidRPr="00AD58E3">
        <w:rPr>
          <w:rFonts w:ascii="Verdana" w:hAnsi="Verdana" w:cs="Arial"/>
          <w:sz w:val="16"/>
          <w:szCs w:val="16"/>
        </w:rPr>
        <w:t>a) La defensa y seguridad nacional;”.</w:t>
      </w:r>
    </w:p>
    <w:p w14:paraId="7F749680" w14:textId="77777777" w:rsidR="005123CF" w:rsidRPr="00AD58E3" w:rsidRDefault="005123CF" w:rsidP="00847C13">
      <w:pPr>
        <w:pStyle w:val="Textonotapie"/>
        <w:ind w:firstLine="708"/>
        <w:contextualSpacing/>
        <w:jc w:val="both"/>
        <w:rPr>
          <w:rFonts w:ascii="Verdana" w:hAnsi="Verdana" w:cs="Arial"/>
          <w:sz w:val="16"/>
          <w:szCs w:val="16"/>
        </w:rPr>
      </w:pPr>
      <w:r w:rsidRPr="00AD58E3">
        <w:rPr>
          <w:rFonts w:ascii="Verdana" w:hAnsi="Verdana" w:cs="Arial"/>
          <w:sz w:val="16"/>
          <w:szCs w:val="16"/>
        </w:rPr>
        <w:t>De otro lado, el artículo 24 de la Ley 1437 de 2011, sustituido por la Ley 1755 de 2015 establece: “Artículo 24. Informaciones y documentos reservados. Solo tendrán carácter reservado las informaciones y documentos expresamente sometidos a reserva por la Constitución Política o la ley, y en especial:</w:t>
      </w:r>
    </w:p>
    <w:p w14:paraId="36BEA297" w14:textId="77777777" w:rsidR="005123CF" w:rsidRPr="00AD58E3" w:rsidRDefault="005123CF" w:rsidP="00847C13">
      <w:pPr>
        <w:pStyle w:val="Textonotapie"/>
        <w:ind w:firstLine="708"/>
        <w:contextualSpacing/>
        <w:jc w:val="both"/>
        <w:rPr>
          <w:rFonts w:ascii="Verdana" w:hAnsi="Verdana" w:cs="Arial"/>
          <w:sz w:val="16"/>
          <w:szCs w:val="16"/>
        </w:rPr>
      </w:pPr>
      <w:r w:rsidRPr="00AD58E3">
        <w:rPr>
          <w:rFonts w:ascii="Verdana" w:hAnsi="Verdana" w:cs="Arial"/>
          <w:sz w:val="16"/>
          <w:szCs w:val="16"/>
        </w:rPr>
        <w:t>1. Los relacionados con la defensa o seguridad nacionales”.</w:t>
      </w:r>
    </w:p>
    <w:p w14:paraId="4A704F99" w14:textId="77777777" w:rsidR="005123CF" w:rsidRPr="00AD58E3" w:rsidRDefault="005123CF" w:rsidP="00847C13">
      <w:pPr>
        <w:pStyle w:val="Textonotapie"/>
        <w:ind w:firstLine="708"/>
        <w:contextualSpacing/>
        <w:jc w:val="both"/>
        <w:rPr>
          <w:rFonts w:ascii="Verdana" w:hAnsi="Verdana" w:cs="Arial"/>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DF0E2E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783028618" o:spid="_x0000_i1025" type="#_x0000_t75" style="width:11.25pt;height:11.25pt;visibility:visible;mso-wrap-style:square">
            <v:imagedata r:id="rId1" o:title=""/>
          </v:shape>
        </w:pict>
      </mc:Choice>
      <mc:Fallback>
        <w:drawing>
          <wp:inline distT="0" distB="0" distL="0" distR="0" wp14:anchorId="689CCC06" wp14:editId="624BFA5D">
            <wp:extent cx="142875" cy="142875"/>
            <wp:effectExtent l="0" t="0" r="0" b="0"/>
            <wp:docPr id="1783028618" name="Imagen 1783028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B26"/>
    <w:rsid w:val="00016F78"/>
    <w:rsid w:val="00017B9F"/>
    <w:rsid w:val="00037AFC"/>
    <w:rsid w:val="00046945"/>
    <w:rsid w:val="00061B2A"/>
    <w:rsid w:val="00074FB8"/>
    <w:rsid w:val="00082362"/>
    <w:rsid w:val="000A683E"/>
    <w:rsid w:val="000B19B9"/>
    <w:rsid w:val="000D0334"/>
    <w:rsid w:val="000F6486"/>
    <w:rsid w:val="001028B8"/>
    <w:rsid w:val="00105670"/>
    <w:rsid w:val="00125105"/>
    <w:rsid w:val="00127233"/>
    <w:rsid w:val="00150CF5"/>
    <w:rsid w:val="001511A0"/>
    <w:rsid w:val="00173C44"/>
    <w:rsid w:val="00194380"/>
    <w:rsid w:val="001B5A74"/>
    <w:rsid w:val="001E36D8"/>
    <w:rsid w:val="001E4177"/>
    <w:rsid w:val="001F7DC6"/>
    <w:rsid w:val="00222A73"/>
    <w:rsid w:val="002421BB"/>
    <w:rsid w:val="0025796E"/>
    <w:rsid w:val="002707A2"/>
    <w:rsid w:val="002951A0"/>
    <w:rsid w:val="002962BC"/>
    <w:rsid w:val="002A093D"/>
    <w:rsid w:val="002A0DD0"/>
    <w:rsid w:val="002A49AC"/>
    <w:rsid w:val="002A54E0"/>
    <w:rsid w:val="002A64FD"/>
    <w:rsid w:val="002C7A84"/>
    <w:rsid w:val="002E4FD9"/>
    <w:rsid w:val="003159F6"/>
    <w:rsid w:val="00322A85"/>
    <w:rsid w:val="00324168"/>
    <w:rsid w:val="003448F4"/>
    <w:rsid w:val="00355F48"/>
    <w:rsid w:val="00374F5E"/>
    <w:rsid w:val="00377E3E"/>
    <w:rsid w:val="003A779E"/>
    <w:rsid w:val="003D0F4D"/>
    <w:rsid w:val="003D5B0D"/>
    <w:rsid w:val="003E0499"/>
    <w:rsid w:val="003F3941"/>
    <w:rsid w:val="00406575"/>
    <w:rsid w:val="00410B10"/>
    <w:rsid w:val="00414C74"/>
    <w:rsid w:val="0042722E"/>
    <w:rsid w:val="0044528D"/>
    <w:rsid w:val="00446550"/>
    <w:rsid w:val="00461DBB"/>
    <w:rsid w:val="004839F6"/>
    <w:rsid w:val="004A1847"/>
    <w:rsid w:val="004A305D"/>
    <w:rsid w:val="004E0FFA"/>
    <w:rsid w:val="004F21C4"/>
    <w:rsid w:val="004F685F"/>
    <w:rsid w:val="004F770C"/>
    <w:rsid w:val="005123CF"/>
    <w:rsid w:val="00535DF5"/>
    <w:rsid w:val="00554EB9"/>
    <w:rsid w:val="0055601A"/>
    <w:rsid w:val="005566E8"/>
    <w:rsid w:val="00574867"/>
    <w:rsid w:val="00587B24"/>
    <w:rsid w:val="00591460"/>
    <w:rsid w:val="005B3816"/>
    <w:rsid w:val="005C3777"/>
    <w:rsid w:val="005C5CDC"/>
    <w:rsid w:val="005C6D57"/>
    <w:rsid w:val="005D476C"/>
    <w:rsid w:val="005F4061"/>
    <w:rsid w:val="006219F8"/>
    <w:rsid w:val="00665D70"/>
    <w:rsid w:val="006900D9"/>
    <w:rsid w:val="00706C16"/>
    <w:rsid w:val="00756841"/>
    <w:rsid w:val="007649AB"/>
    <w:rsid w:val="00771D0C"/>
    <w:rsid w:val="007833AC"/>
    <w:rsid w:val="00784BED"/>
    <w:rsid w:val="007A0F4E"/>
    <w:rsid w:val="007B268C"/>
    <w:rsid w:val="007B7171"/>
    <w:rsid w:val="007C0C0F"/>
    <w:rsid w:val="007C3DC2"/>
    <w:rsid w:val="007D6A31"/>
    <w:rsid w:val="007D76D6"/>
    <w:rsid w:val="007E0202"/>
    <w:rsid w:val="007E5497"/>
    <w:rsid w:val="007F0236"/>
    <w:rsid w:val="007F3AF4"/>
    <w:rsid w:val="00806F5F"/>
    <w:rsid w:val="00813216"/>
    <w:rsid w:val="008145CB"/>
    <w:rsid w:val="00820278"/>
    <w:rsid w:val="008274E9"/>
    <w:rsid w:val="00847A6D"/>
    <w:rsid w:val="00847C13"/>
    <w:rsid w:val="00850A2C"/>
    <w:rsid w:val="0085724A"/>
    <w:rsid w:val="00861D85"/>
    <w:rsid w:val="00867F95"/>
    <w:rsid w:val="00880C32"/>
    <w:rsid w:val="008843B6"/>
    <w:rsid w:val="008871D5"/>
    <w:rsid w:val="00891928"/>
    <w:rsid w:val="00893109"/>
    <w:rsid w:val="008A446D"/>
    <w:rsid w:val="008B3138"/>
    <w:rsid w:val="008B642E"/>
    <w:rsid w:val="008C6C21"/>
    <w:rsid w:val="008D180B"/>
    <w:rsid w:val="008F0EA7"/>
    <w:rsid w:val="00917C1D"/>
    <w:rsid w:val="00923EEF"/>
    <w:rsid w:val="009419F9"/>
    <w:rsid w:val="0095685E"/>
    <w:rsid w:val="00961B09"/>
    <w:rsid w:val="00965334"/>
    <w:rsid w:val="0097093E"/>
    <w:rsid w:val="00971C9A"/>
    <w:rsid w:val="00984291"/>
    <w:rsid w:val="00986AC5"/>
    <w:rsid w:val="009A0DFA"/>
    <w:rsid w:val="009A6B06"/>
    <w:rsid w:val="009B2D26"/>
    <w:rsid w:val="009B44A5"/>
    <w:rsid w:val="009C71FA"/>
    <w:rsid w:val="009C72E7"/>
    <w:rsid w:val="009C7EDD"/>
    <w:rsid w:val="009D3058"/>
    <w:rsid w:val="009E51F7"/>
    <w:rsid w:val="009E6ED9"/>
    <w:rsid w:val="009F3A13"/>
    <w:rsid w:val="00A122D3"/>
    <w:rsid w:val="00A17F13"/>
    <w:rsid w:val="00A20739"/>
    <w:rsid w:val="00A33C78"/>
    <w:rsid w:val="00A4477D"/>
    <w:rsid w:val="00A649D9"/>
    <w:rsid w:val="00A8363E"/>
    <w:rsid w:val="00AA067E"/>
    <w:rsid w:val="00AB0ADB"/>
    <w:rsid w:val="00AB64D7"/>
    <w:rsid w:val="00AC3FAB"/>
    <w:rsid w:val="00AD58E3"/>
    <w:rsid w:val="00AE3ABF"/>
    <w:rsid w:val="00B01B1A"/>
    <w:rsid w:val="00B25303"/>
    <w:rsid w:val="00B253A5"/>
    <w:rsid w:val="00B66319"/>
    <w:rsid w:val="00B72CD3"/>
    <w:rsid w:val="00B72FFF"/>
    <w:rsid w:val="00BC3D36"/>
    <w:rsid w:val="00BD7F72"/>
    <w:rsid w:val="00BF4C23"/>
    <w:rsid w:val="00C04FB3"/>
    <w:rsid w:val="00C2146D"/>
    <w:rsid w:val="00C330EB"/>
    <w:rsid w:val="00C41061"/>
    <w:rsid w:val="00C74777"/>
    <w:rsid w:val="00C754BE"/>
    <w:rsid w:val="00C763C3"/>
    <w:rsid w:val="00C76623"/>
    <w:rsid w:val="00C76B1C"/>
    <w:rsid w:val="00C81835"/>
    <w:rsid w:val="00CB6357"/>
    <w:rsid w:val="00CC1B26"/>
    <w:rsid w:val="00D40132"/>
    <w:rsid w:val="00D423A2"/>
    <w:rsid w:val="00D4693F"/>
    <w:rsid w:val="00D502AC"/>
    <w:rsid w:val="00D520D8"/>
    <w:rsid w:val="00D566A6"/>
    <w:rsid w:val="00D60754"/>
    <w:rsid w:val="00D63AC2"/>
    <w:rsid w:val="00D7383B"/>
    <w:rsid w:val="00DA231B"/>
    <w:rsid w:val="00DC39FC"/>
    <w:rsid w:val="00DF5254"/>
    <w:rsid w:val="00E144C6"/>
    <w:rsid w:val="00E16408"/>
    <w:rsid w:val="00E20894"/>
    <w:rsid w:val="00E245AB"/>
    <w:rsid w:val="00E2764C"/>
    <w:rsid w:val="00E27F2E"/>
    <w:rsid w:val="00E50AFE"/>
    <w:rsid w:val="00E66FC3"/>
    <w:rsid w:val="00E75C92"/>
    <w:rsid w:val="00E771DC"/>
    <w:rsid w:val="00E8772A"/>
    <w:rsid w:val="00E90F6B"/>
    <w:rsid w:val="00E92C27"/>
    <w:rsid w:val="00EA0E3D"/>
    <w:rsid w:val="00EC38A7"/>
    <w:rsid w:val="00ED200C"/>
    <w:rsid w:val="00ED7384"/>
    <w:rsid w:val="00EE1AA8"/>
    <w:rsid w:val="00F15C7D"/>
    <w:rsid w:val="00F26D65"/>
    <w:rsid w:val="00F308C9"/>
    <w:rsid w:val="00F31EDC"/>
    <w:rsid w:val="00F462B3"/>
    <w:rsid w:val="00F5664F"/>
    <w:rsid w:val="00F666C4"/>
    <w:rsid w:val="00F76AFC"/>
    <w:rsid w:val="00F92EA0"/>
    <w:rsid w:val="00FA47C0"/>
    <w:rsid w:val="00FB5DD1"/>
    <w:rsid w:val="00FC2B5D"/>
    <w:rsid w:val="00FF1449"/>
    <w:rsid w:val="7E315AC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73C4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73C44"/>
    <w:rPr>
      <w:rFonts w:ascii="Geomanist Light" w:hAnsi="Geomanist Light"/>
      <w:lang w:val="es-ES"/>
    </w:rPr>
  </w:style>
  <w:style w:type="character" w:customStyle="1" w:styleId="baj">
    <w:name w:val="b_aj"/>
    <w:basedOn w:val="Fuentedeprrafopredeter"/>
    <w:rsid w:val="00150CF5"/>
  </w:style>
  <w:style w:type="character" w:styleId="nfasis">
    <w:name w:val="Emphasis"/>
    <w:basedOn w:val="Fuentedeprrafopredeter"/>
    <w:uiPriority w:val="20"/>
    <w:qFormat/>
    <w:rsid w:val="008B642E"/>
    <w:rPr>
      <w:i/>
      <w:iCs/>
    </w:rPr>
  </w:style>
  <w:style w:type="character" w:styleId="Refdecomentario">
    <w:name w:val="annotation reference"/>
    <w:basedOn w:val="Fuentedeprrafopredeter"/>
    <w:uiPriority w:val="99"/>
    <w:semiHidden/>
    <w:unhideWhenUsed/>
    <w:rsid w:val="00C74777"/>
    <w:rPr>
      <w:sz w:val="16"/>
      <w:szCs w:val="16"/>
    </w:rPr>
  </w:style>
  <w:style w:type="paragraph" w:styleId="Textocomentario">
    <w:name w:val="annotation text"/>
    <w:basedOn w:val="Normal"/>
    <w:link w:val="TextocomentarioCar"/>
    <w:uiPriority w:val="99"/>
    <w:unhideWhenUsed/>
    <w:rsid w:val="00C74777"/>
    <w:pPr>
      <w:spacing w:line="240" w:lineRule="auto"/>
    </w:pPr>
    <w:rPr>
      <w:sz w:val="20"/>
      <w:szCs w:val="20"/>
    </w:rPr>
  </w:style>
  <w:style w:type="character" w:customStyle="1" w:styleId="TextocomentarioCar">
    <w:name w:val="Texto comentario Car"/>
    <w:basedOn w:val="Fuentedeprrafopredeter"/>
    <w:link w:val="Textocomentario"/>
    <w:uiPriority w:val="99"/>
    <w:rsid w:val="00C74777"/>
    <w:rPr>
      <w:sz w:val="20"/>
      <w:szCs w:val="20"/>
    </w:rPr>
  </w:style>
  <w:style w:type="paragraph" w:styleId="Asuntodelcomentario">
    <w:name w:val="annotation subject"/>
    <w:basedOn w:val="Textocomentario"/>
    <w:next w:val="Textocomentario"/>
    <w:link w:val="AsuntodelcomentarioCar"/>
    <w:uiPriority w:val="99"/>
    <w:semiHidden/>
    <w:unhideWhenUsed/>
    <w:rsid w:val="00C74777"/>
    <w:rPr>
      <w:b/>
      <w:bCs/>
    </w:rPr>
  </w:style>
  <w:style w:type="character" w:customStyle="1" w:styleId="AsuntodelcomentarioCar">
    <w:name w:val="Asunto del comentario Car"/>
    <w:basedOn w:val="TextocomentarioCar"/>
    <w:link w:val="Asuntodelcomentario"/>
    <w:uiPriority w:val="99"/>
    <w:semiHidden/>
    <w:rsid w:val="00C7477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providencias-consejo-de-estad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etrujilloc@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FD1EA1-6336-4EFE-A80B-B91E653DEFD0}">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C410EF9A-D2D1-45E1-BCA2-58BC120A21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4060</Words>
  <Characters>22332</Characters>
  <Application>Microsoft Office Word</Application>
  <DocSecurity>0</DocSecurity>
  <Lines>186</Lines>
  <Paragraphs>52</Paragraphs>
  <ScaleCrop>false</ScaleCrop>
  <Company/>
  <LinksUpToDate>false</LinksUpToDate>
  <CharactersWithSpaces>26340</CharactersWithSpaces>
  <SharedDoc>false</SharedDoc>
  <HLinks>
    <vt:vector size="18" baseType="variant">
      <vt:variant>
        <vt:i4>7471218</vt:i4>
      </vt:variant>
      <vt:variant>
        <vt:i4>6</vt:i4>
      </vt:variant>
      <vt:variant>
        <vt:i4>0</vt:i4>
      </vt:variant>
      <vt:variant>
        <vt:i4>5</vt:i4>
      </vt:variant>
      <vt:variant>
        <vt:lpwstr>https://relatoria.colombiacompra.gov.co/busqueda/conceptos</vt:lpwstr>
      </vt:variant>
      <vt:variant>
        <vt:lpwstr/>
      </vt:variant>
      <vt:variant>
        <vt:i4>3801145</vt:i4>
      </vt:variant>
      <vt:variant>
        <vt:i4>3</vt:i4>
      </vt:variant>
      <vt:variant>
        <vt:i4>0</vt:i4>
      </vt:variant>
      <vt:variant>
        <vt:i4>5</vt:i4>
      </vt:variant>
      <vt:variant>
        <vt:lpwstr>https://relatoria.colombiacompra.gov.co/providencias-consejo-de-estado/</vt:lpwstr>
      </vt:variant>
      <vt:variant>
        <vt:lpwstr/>
      </vt:variant>
      <vt:variant>
        <vt:i4>917553</vt:i4>
      </vt:variant>
      <vt:variant>
        <vt:i4>0</vt:i4>
      </vt:variant>
      <vt:variant>
        <vt:i4>0</vt:i4>
      </vt:variant>
      <vt:variant>
        <vt:i4>5</vt:i4>
      </vt:variant>
      <vt:variant>
        <vt:lpwstr>mailto:oetrujilloc@gmail.com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2025-04-04T19:27:00Z</dcterms:created>
  <dcterms:modified xsi:type="dcterms:W3CDTF">2025-04-04T19:38:00Z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