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0D836D" w14:textId="77777777" w:rsidR="006F76F0" w:rsidRPr="00B422F2" w:rsidRDefault="006F76F0" w:rsidP="006F76F0">
      <w:pPr>
        <w:spacing w:after="0"/>
        <w:jc w:val="both"/>
        <w:rPr>
          <w:rFonts w:ascii="Verdana" w:hAnsi="Verdana"/>
        </w:rPr>
      </w:pPr>
      <w:r w:rsidRPr="00B422F2">
        <w:rPr>
          <w:rFonts w:ascii="Verdana" w:eastAsia="Calibri" w:hAnsi="Verdana" w:cs="Arial"/>
          <w:b/>
          <w:bCs/>
          <w:lang w:val="es-ES" w:eastAsia="es-ES"/>
        </w:rPr>
        <w:t xml:space="preserve">DOCUMENTOS TIPO – </w:t>
      </w:r>
      <w:r w:rsidRPr="00B422F2">
        <w:rPr>
          <w:rFonts w:ascii="Verdana" w:eastAsia="Aptos" w:hAnsi="Verdana" w:cs="Times New Roman"/>
          <w:b/>
          <w:bCs/>
          <w:kern w:val="2"/>
          <w:lang w:eastAsia="es-ES"/>
          <w14:ligatures w14:val="standardContextual"/>
        </w:rPr>
        <w:t xml:space="preserve">Obligatoriedad – Actividad a contratar – Matriz – </w:t>
      </w:r>
      <w:r>
        <w:rPr>
          <w:rFonts w:ascii="Verdana" w:eastAsia="Aptos" w:hAnsi="Verdana" w:cs="Times New Roman"/>
          <w:b/>
          <w:bCs/>
          <w:kern w:val="2"/>
          <w:lang w:eastAsia="es-ES"/>
          <w14:ligatures w14:val="standardContextual"/>
        </w:rPr>
        <w:t>Licitación pública – Licitación pública modalidad llave en mano</w:t>
      </w:r>
      <w:r w:rsidRPr="00B422F2">
        <w:rPr>
          <w:rFonts w:ascii="Verdana" w:eastAsia="Aptos" w:hAnsi="Verdana" w:cs="Times New Roman"/>
          <w:b/>
          <w:bCs/>
          <w:kern w:val="2"/>
          <w:lang w:eastAsia="es-ES"/>
          <w14:ligatures w14:val="standardContextual"/>
        </w:rPr>
        <w:t xml:space="preserve"> – Infraestructura </w:t>
      </w:r>
      <w:r>
        <w:rPr>
          <w:rFonts w:ascii="Verdana" w:eastAsia="Aptos" w:hAnsi="Verdana" w:cs="Times New Roman"/>
          <w:b/>
          <w:bCs/>
          <w:kern w:val="2"/>
          <w:lang w:eastAsia="es-ES"/>
          <w14:ligatures w14:val="standardContextual"/>
        </w:rPr>
        <w:t>de APSB</w:t>
      </w:r>
    </w:p>
    <w:p w14:paraId="7E778D30" w14:textId="77777777" w:rsidR="006F76F0" w:rsidRPr="00F36C4D" w:rsidRDefault="006F76F0" w:rsidP="006F76F0">
      <w:pPr>
        <w:spacing w:after="0" w:line="240" w:lineRule="auto"/>
        <w:contextualSpacing/>
        <w:jc w:val="both"/>
        <w:rPr>
          <w:rFonts w:ascii="Verdana" w:hAnsi="Verdana" w:cs="Arial"/>
          <w:iCs/>
          <w:sz w:val="20"/>
          <w:szCs w:val="20"/>
          <w:lang w:val="es-ES_tradnl"/>
        </w:rPr>
      </w:pPr>
    </w:p>
    <w:p w14:paraId="4B706B2A" w14:textId="77777777" w:rsidR="006F76F0" w:rsidRDefault="006F76F0" w:rsidP="006F76F0">
      <w:pPr>
        <w:spacing w:after="0" w:line="240" w:lineRule="auto"/>
        <w:jc w:val="both"/>
        <w:rPr>
          <w:rFonts w:ascii="Verdana" w:eastAsia="Calibri" w:hAnsi="Verdana" w:cs="Arial"/>
          <w:sz w:val="20"/>
          <w:szCs w:val="20"/>
          <w:lang w:val="es-ES"/>
        </w:rPr>
      </w:pPr>
      <w:r w:rsidRPr="0012614E">
        <w:rPr>
          <w:rFonts w:ascii="Verdana" w:eastAsia="Calibri" w:hAnsi="Verdana" w:cs="Arial"/>
          <w:sz w:val="20"/>
          <w:szCs w:val="20"/>
          <w:lang w:val="es-ES"/>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32CC11E3" w14:textId="77777777" w:rsidR="006F76F0" w:rsidRPr="0012614E" w:rsidRDefault="006F76F0" w:rsidP="006F76F0">
      <w:pPr>
        <w:spacing w:after="0" w:line="240" w:lineRule="auto"/>
        <w:jc w:val="both"/>
        <w:rPr>
          <w:rFonts w:ascii="Verdana" w:eastAsia="Calibri" w:hAnsi="Verdana" w:cs="Arial"/>
          <w:sz w:val="20"/>
          <w:szCs w:val="20"/>
          <w:lang w:val="es-ES"/>
        </w:rPr>
      </w:pPr>
    </w:p>
    <w:p w14:paraId="59D6ECF5" w14:textId="77777777" w:rsidR="006F76F0" w:rsidRDefault="006F76F0" w:rsidP="006F76F0">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w:t>
      </w:r>
    </w:p>
    <w:p w14:paraId="254D5563" w14:textId="77777777" w:rsidR="006F76F0" w:rsidRPr="0012614E" w:rsidRDefault="006F76F0" w:rsidP="006F76F0">
      <w:pPr>
        <w:spacing w:after="0" w:line="240" w:lineRule="auto"/>
        <w:jc w:val="both"/>
        <w:rPr>
          <w:rFonts w:ascii="Verdana" w:eastAsia="Calibri" w:hAnsi="Verdana" w:cs="Arial"/>
          <w:sz w:val="20"/>
          <w:szCs w:val="20"/>
          <w:lang w:val="es-ES"/>
        </w:rPr>
      </w:pPr>
    </w:p>
    <w:p w14:paraId="22D17D66" w14:textId="24A46BAF" w:rsidR="006F76F0" w:rsidRPr="00436F8B" w:rsidRDefault="006F76F0" w:rsidP="006F76F0">
      <w:pPr>
        <w:spacing w:after="0" w:line="240" w:lineRule="auto"/>
        <w:jc w:val="both"/>
        <w:rPr>
          <w:rFonts w:ascii="Verdana" w:eastAsia="Calibri" w:hAnsi="Verdana" w:cs="Arial"/>
          <w:sz w:val="20"/>
          <w:szCs w:val="20"/>
        </w:rPr>
      </w:pPr>
      <w:r w:rsidRPr="00436F8B">
        <w:rPr>
          <w:rFonts w:ascii="Verdana" w:eastAsia="Calibri" w:hAnsi="Verdana" w:cs="Arial"/>
          <w:sz w:val="20"/>
          <w:szCs w:val="20"/>
        </w:rPr>
        <w:t xml:space="preserve">Para el sector de infraestructura de agua potable y saneamiento básico, en desarrollo del artículo 1 de la Ley 2022 de 2020, esta Agencia expidió </w:t>
      </w:r>
      <w:r w:rsidRPr="00436F8B">
        <w:rPr>
          <w:rFonts w:ascii="Verdana" w:eastAsia="Calibri" w:hAnsi="Verdana" w:cs="Arial"/>
          <w:sz w:val="20"/>
          <w:szCs w:val="20"/>
          <w:lang w:val="es-MX"/>
        </w:rPr>
        <w:t>las Resoluciones 248 y 249 del 1 de diciembre de 2020, modificadas por las</w:t>
      </w:r>
      <w:r w:rsidRPr="00436F8B">
        <w:rPr>
          <w:rFonts w:ascii="Verdana" w:eastAsia="Calibri" w:hAnsi="Verdana" w:cs="Arial"/>
          <w:sz w:val="20"/>
          <w:szCs w:val="20"/>
        </w:rPr>
        <w:t xml:space="preserve"> Resoluciones 161 del 17 de junio de 2021, 173 del 30 de junio de 2021, 304 del 13 de octubre de 2021</w:t>
      </w:r>
      <w:r w:rsidRPr="00436F8B">
        <w:rPr>
          <w:rFonts w:ascii="Verdana" w:eastAsia="Calibri" w:hAnsi="Verdana" w:cs="Arial"/>
          <w:sz w:val="20"/>
          <w:szCs w:val="20"/>
          <w:lang w:val="es-MX"/>
        </w:rPr>
        <w:t>.</w:t>
      </w:r>
      <w:r w:rsidRPr="00436F8B">
        <w:rPr>
          <w:rFonts w:ascii="Verdana" w:eastAsia="Calibri" w:hAnsi="Verdana" w:cs="Arial"/>
          <w:sz w:val="20"/>
          <w:szCs w:val="20"/>
        </w:rPr>
        <w:t xml:space="preserve"> Mediante estos actos administrativos se adoptaron los documentos tipo para licitación de obras públicas y los documentos tipo para licitación de obras públicas, en modalidad llave en mano. Posteriormente se expide la Resolución 333 del 27 de julio de 2022 por medio de la cual se adoptaron los documentos tipo para los procesos de selección de concurso de méritos para contratar la interventoría de obras públicas también en infraestructura de agua potable y saneamiento básico.</w:t>
      </w:r>
    </w:p>
    <w:p w14:paraId="59C48200" w14:textId="77777777" w:rsidR="006F76F0" w:rsidRPr="0008073A" w:rsidRDefault="006F76F0" w:rsidP="006F76F0">
      <w:pPr>
        <w:spacing w:after="0" w:line="240" w:lineRule="auto"/>
        <w:jc w:val="both"/>
        <w:rPr>
          <w:rFonts w:ascii="Verdana" w:eastAsia="Calibri" w:hAnsi="Verdana" w:cs="Arial"/>
          <w:sz w:val="20"/>
          <w:szCs w:val="20"/>
          <w:lang w:val="es-ES"/>
        </w:rPr>
      </w:pPr>
    </w:p>
    <w:p w14:paraId="62BC32EF" w14:textId="77777777" w:rsidR="006F76F0" w:rsidRPr="00F36C4D" w:rsidRDefault="006F76F0" w:rsidP="006F76F0">
      <w:pPr>
        <w:spacing w:after="0" w:line="240" w:lineRule="auto"/>
        <w:contextualSpacing/>
        <w:jc w:val="both"/>
        <w:rPr>
          <w:rFonts w:ascii="Verdana" w:hAnsi="Verdana" w:cs="Arial"/>
          <w:b/>
          <w:bCs/>
        </w:rPr>
      </w:pPr>
      <w:r>
        <w:rPr>
          <w:rFonts w:ascii="Verdana" w:hAnsi="Verdana" w:cs="Arial"/>
          <w:b/>
          <w:bCs/>
        </w:rPr>
        <w:t>DOCUMENTOS TIPO</w:t>
      </w:r>
      <w:r w:rsidRPr="00F36C4D">
        <w:rPr>
          <w:rFonts w:ascii="Verdana" w:hAnsi="Verdana" w:cs="Arial"/>
          <w:b/>
          <w:bCs/>
        </w:rPr>
        <w:t xml:space="preserve"> – </w:t>
      </w:r>
      <w:r>
        <w:rPr>
          <w:rFonts w:ascii="Verdana" w:hAnsi="Verdana" w:cs="Arial"/>
          <w:b/>
          <w:bCs/>
        </w:rPr>
        <w:t xml:space="preserve">Objeto contractual </w:t>
      </w:r>
      <w:r w:rsidRPr="00F36C4D">
        <w:rPr>
          <w:rFonts w:ascii="Verdana" w:hAnsi="Verdana" w:cs="Arial"/>
          <w:b/>
          <w:bCs/>
        </w:rPr>
        <w:t xml:space="preserve">– </w:t>
      </w:r>
      <w:r>
        <w:rPr>
          <w:rFonts w:ascii="Verdana" w:hAnsi="Verdana" w:cs="Arial"/>
          <w:b/>
          <w:bCs/>
        </w:rPr>
        <w:t xml:space="preserve">Subsunción </w:t>
      </w:r>
      <w:r w:rsidRPr="00F36C4D">
        <w:rPr>
          <w:rFonts w:ascii="Verdana" w:hAnsi="Verdana" w:cs="Arial"/>
          <w:b/>
          <w:bCs/>
        </w:rPr>
        <w:t xml:space="preserve">– </w:t>
      </w:r>
      <w:r>
        <w:rPr>
          <w:rFonts w:ascii="Verdana" w:hAnsi="Verdana" w:cs="Arial"/>
          <w:b/>
          <w:bCs/>
        </w:rPr>
        <w:t>T</w:t>
      </w:r>
      <w:proofErr w:type="spellStart"/>
      <w:r w:rsidRPr="00730ED0">
        <w:rPr>
          <w:rFonts w:ascii="Verdana" w:hAnsi="Verdana" w:cs="Arial"/>
          <w:b/>
          <w:bCs/>
          <w:lang w:val="es-ES"/>
        </w:rPr>
        <w:t>ipos</w:t>
      </w:r>
      <w:proofErr w:type="spellEnd"/>
      <w:r w:rsidRPr="00730ED0">
        <w:rPr>
          <w:rFonts w:ascii="Verdana" w:hAnsi="Verdana" w:cs="Arial"/>
          <w:b/>
          <w:bCs/>
          <w:lang w:val="es-ES"/>
        </w:rPr>
        <w:t xml:space="preserve"> de infraestructura</w:t>
      </w:r>
      <w:r>
        <w:rPr>
          <w:rFonts w:ascii="Verdana" w:hAnsi="Verdana" w:cs="Arial"/>
          <w:b/>
          <w:bCs/>
          <w:lang w:val="es-ES"/>
        </w:rPr>
        <w:t xml:space="preserve"> </w:t>
      </w:r>
      <w:r w:rsidRPr="00F36C4D">
        <w:rPr>
          <w:rFonts w:ascii="Verdana" w:hAnsi="Verdana" w:cs="Arial"/>
          <w:b/>
          <w:bCs/>
        </w:rPr>
        <w:t xml:space="preserve">– </w:t>
      </w:r>
      <w:r>
        <w:rPr>
          <w:rFonts w:ascii="Verdana" w:hAnsi="Verdana" w:cs="Arial"/>
          <w:b/>
          <w:bCs/>
          <w:lang w:val="es-ES"/>
        </w:rPr>
        <w:t>M</w:t>
      </w:r>
      <w:r w:rsidRPr="00730ED0">
        <w:rPr>
          <w:rFonts w:ascii="Verdana" w:hAnsi="Verdana" w:cs="Arial"/>
          <w:b/>
          <w:bCs/>
          <w:lang w:val="es-ES"/>
        </w:rPr>
        <w:t>odalidades de selección</w:t>
      </w:r>
      <w:r>
        <w:rPr>
          <w:rFonts w:ascii="Verdana" w:hAnsi="Verdana" w:cs="Arial"/>
          <w:b/>
          <w:bCs/>
          <w:lang w:val="es-ES"/>
        </w:rPr>
        <w:t xml:space="preserve"> </w:t>
      </w:r>
      <w:r w:rsidRPr="00F36C4D">
        <w:rPr>
          <w:rFonts w:ascii="Verdana" w:hAnsi="Verdana" w:cs="Arial"/>
          <w:b/>
          <w:bCs/>
        </w:rPr>
        <w:t xml:space="preserve">– </w:t>
      </w:r>
      <w:r>
        <w:rPr>
          <w:rFonts w:ascii="Verdana" w:hAnsi="Verdana" w:cs="Arial"/>
          <w:b/>
          <w:bCs/>
        </w:rPr>
        <w:t>T</w:t>
      </w:r>
      <w:proofErr w:type="spellStart"/>
      <w:r w:rsidRPr="00730ED0">
        <w:rPr>
          <w:rFonts w:ascii="Verdana" w:hAnsi="Verdana" w:cs="Arial"/>
          <w:b/>
          <w:bCs/>
          <w:lang w:val="es-ES"/>
        </w:rPr>
        <w:t>ipos</w:t>
      </w:r>
      <w:proofErr w:type="spellEnd"/>
      <w:r w:rsidRPr="00730ED0">
        <w:rPr>
          <w:rFonts w:ascii="Verdana" w:hAnsi="Verdana" w:cs="Arial"/>
          <w:b/>
          <w:bCs/>
          <w:lang w:val="es-ES"/>
        </w:rPr>
        <w:t xml:space="preserve"> de obra </w:t>
      </w:r>
    </w:p>
    <w:p w14:paraId="68FADB1B" w14:textId="77777777" w:rsidR="006F76F0" w:rsidRPr="00F36C4D" w:rsidRDefault="006F76F0" w:rsidP="006F76F0">
      <w:pPr>
        <w:spacing w:after="0" w:line="240" w:lineRule="auto"/>
        <w:contextualSpacing/>
        <w:jc w:val="both"/>
        <w:rPr>
          <w:rFonts w:ascii="Verdana" w:hAnsi="Verdana" w:cs="Arial"/>
          <w:sz w:val="20"/>
          <w:szCs w:val="20"/>
        </w:rPr>
      </w:pPr>
    </w:p>
    <w:p w14:paraId="7AB4844E" w14:textId="77777777" w:rsidR="006F76F0" w:rsidRPr="0008073A" w:rsidRDefault="006F76F0" w:rsidP="006F76F0">
      <w:pPr>
        <w:spacing w:after="0" w:line="240" w:lineRule="auto"/>
        <w:contextualSpacing/>
        <w:jc w:val="both"/>
        <w:rPr>
          <w:rFonts w:ascii="Verdana" w:hAnsi="Verdana" w:cs="Arial"/>
          <w:iCs/>
          <w:sz w:val="20"/>
          <w:szCs w:val="20"/>
          <w:lang w:val="es-ES"/>
        </w:rPr>
      </w:pPr>
      <w:r w:rsidRPr="00F36C4D">
        <w:rPr>
          <w:rFonts w:ascii="Verdana" w:hAnsi="Verdana" w:cs="Arial"/>
          <w:iCs/>
          <w:sz w:val="20"/>
          <w:szCs w:val="20"/>
          <w:lang w:val="es-ES_tradnl"/>
        </w:rPr>
        <w:t xml:space="preserve">[…] </w:t>
      </w:r>
      <w:r w:rsidRPr="0008073A">
        <w:rPr>
          <w:rFonts w:ascii="Verdana" w:hAnsi="Verdana" w:cs="Arial"/>
          <w:iCs/>
          <w:sz w:val="20"/>
          <w:szCs w:val="20"/>
          <w:lang w:val="es-ES"/>
        </w:rPr>
        <w:t xml:space="preserve">para que una Entidad Estatal o una entidad exceptuada, un patrimonio autónomo o una persona natural o jurídica de derecho privado, definan si es su deber aplicar un documento tipo respectivo en el marco de un proceso de selección de contratistas, necesariamente tendrá que analizar, en cada caso concreto, si se cumplen los siguientes supuestos: i) que la Entidad Estatal contratante se halle sometida al Estatuto General de Contratación de la Administración (Ley 80 de 1993, normas que la adicionan y la complementan) o, en el evento en que sea una entidad exceptuada, un patrimonio autónomo o una persona natural o jurídica de derecho privado, requiera contratar una obra en cumplimiento de un contrato o convenio interadministrativo suscrito con una Entidad Estatal sometida al Estatuto General; </w:t>
      </w:r>
      <w:proofErr w:type="spellStart"/>
      <w:r w:rsidRPr="0008073A">
        <w:rPr>
          <w:rFonts w:ascii="Verdana" w:hAnsi="Verdana" w:cs="Arial"/>
          <w:iCs/>
          <w:sz w:val="20"/>
          <w:szCs w:val="20"/>
          <w:lang w:val="es-ES"/>
        </w:rPr>
        <w:t>ii</w:t>
      </w:r>
      <w:proofErr w:type="spellEnd"/>
      <w:r w:rsidRPr="0008073A">
        <w:rPr>
          <w:rFonts w:ascii="Verdana" w:hAnsi="Verdana" w:cs="Arial"/>
          <w:iCs/>
          <w:sz w:val="20"/>
          <w:szCs w:val="20"/>
          <w:lang w:val="es-ES"/>
        </w:rPr>
        <w:t xml:space="preserve">) que el proyecto de obra a contratar tenga por objeto el desarrollo de los tipos de obras contemplados en la “Matriz de Experiencia” y las actividades se subsuman en alguna o algunas de las contenidas en cada uno de los tipos de obras y </w:t>
      </w:r>
      <w:proofErr w:type="spellStart"/>
      <w:r w:rsidRPr="0008073A">
        <w:rPr>
          <w:rFonts w:ascii="Verdana" w:hAnsi="Verdana" w:cs="Arial"/>
          <w:iCs/>
          <w:sz w:val="20"/>
          <w:szCs w:val="20"/>
          <w:lang w:val="es-ES"/>
        </w:rPr>
        <w:t>iii</w:t>
      </w:r>
      <w:proofErr w:type="spellEnd"/>
      <w:r w:rsidRPr="0008073A">
        <w:rPr>
          <w:rFonts w:ascii="Verdana" w:hAnsi="Verdana" w:cs="Arial"/>
          <w:iCs/>
          <w:sz w:val="20"/>
          <w:szCs w:val="20"/>
          <w:lang w:val="es-ES"/>
        </w:rPr>
        <w:t>) que la modalidad de selección por la que opta la Entidad Estatal sea una en la que esta Agencia hubiese adoptado un documento tipo.</w:t>
      </w:r>
    </w:p>
    <w:p w14:paraId="7A449AF2" w14:textId="77777777" w:rsidR="006F76F0" w:rsidRPr="00F36C4D" w:rsidRDefault="006F76F0" w:rsidP="006F76F0">
      <w:pPr>
        <w:spacing w:after="0" w:line="240" w:lineRule="auto"/>
        <w:contextualSpacing/>
        <w:jc w:val="both"/>
        <w:rPr>
          <w:rFonts w:ascii="Verdana" w:hAnsi="Verdana" w:cs="Arial"/>
          <w:iCs/>
          <w:sz w:val="20"/>
          <w:szCs w:val="20"/>
          <w:lang w:val="es-ES_tradnl"/>
        </w:rPr>
      </w:pPr>
    </w:p>
    <w:p w14:paraId="34F9246F" w14:textId="77777777" w:rsidR="006F76F0" w:rsidRDefault="006F76F0" w:rsidP="006F76F0">
      <w:pPr>
        <w:spacing w:after="0" w:line="240" w:lineRule="auto"/>
        <w:contextualSpacing/>
        <w:jc w:val="both"/>
        <w:rPr>
          <w:rFonts w:ascii="Verdana" w:hAnsi="Verdana" w:cs="Arial"/>
          <w:iCs/>
          <w:sz w:val="20"/>
          <w:szCs w:val="20"/>
          <w:lang w:val="es-ES_tradnl"/>
        </w:rPr>
      </w:pPr>
      <w:r>
        <w:rPr>
          <w:rFonts w:ascii="Verdana" w:hAnsi="Verdana" w:cs="Arial"/>
          <w:b/>
          <w:bCs/>
        </w:rPr>
        <w:t>DOCUMENTOS TIPO</w:t>
      </w:r>
      <w:r w:rsidRPr="00F36C4D">
        <w:rPr>
          <w:rFonts w:ascii="Verdana" w:hAnsi="Verdana" w:cs="Arial"/>
          <w:b/>
          <w:bCs/>
        </w:rPr>
        <w:t xml:space="preserve"> –</w:t>
      </w:r>
      <w:r>
        <w:rPr>
          <w:rFonts w:ascii="Verdana" w:hAnsi="Verdana" w:cs="Arial"/>
          <w:b/>
          <w:bCs/>
        </w:rPr>
        <w:t xml:space="preserve"> Contratos de Concesión – Por fuera ámbito de aplicación</w:t>
      </w:r>
    </w:p>
    <w:p w14:paraId="54F78D2A" w14:textId="77777777" w:rsidR="006F76F0" w:rsidRDefault="006F76F0" w:rsidP="006F76F0">
      <w:pPr>
        <w:spacing w:after="0" w:line="240" w:lineRule="auto"/>
        <w:contextualSpacing/>
        <w:jc w:val="both"/>
        <w:rPr>
          <w:rFonts w:ascii="Verdana" w:hAnsi="Verdana" w:cs="Arial"/>
          <w:iCs/>
          <w:sz w:val="20"/>
          <w:szCs w:val="20"/>
          <w:lang w:val="es-ES_tradnl"/>
        </w:rPr>
      </w:pPr>
    </w:p>
    <w:p w14:paraId="37EF721A" w14:textId="77777777" w:rsidR="006F76F0" w:rsidRPr="00F36C4D" w:rsidRDefault="006F76F0" w:rsidP="006F76F0">
      <w:pPr>
        <w:spacing w:after="0" w:line="240" w:lineRule="auto"/>
        <w:contextualSpacing/>
        <w:jc w:val="both"/>
        <w:rPr>
          <w:rFonts w:ascii="Verdana" w:hAnsi="Verdana" w:cs="Arial"/>
          <w:iCs/>
          <w:sz w:val="20"/>
          <w:szCs w:val="20"/>
          <w:lang w:val="es-ES_tradnl"/>
        </w:rPr>
      </w:pPr>
      <w:r w:rsidRPr="00F36C4D">
        <w:rPr>
          <w:rFonts w:ascii="Verdana" w:hAnsi="Verdana" w:cs="Arial"/>
          <w:iCs/>
          <w:sz w:val="20"/>
          <w:szCs w:val="20"/>
          <w:lang w:val="es-ES_tradnl"/>
        </w:rPr>
        <w:t>[…]</w:t>
      </w:r>
    </w:p>
    <w:p w14:paraId="77F93439" w14:textId="77777777" w:rsidR="006F76F0" w:rsidRPr="00F36C4D" w:rsidRDefault="006F76F0" w:rsidP="006F76F0">
      <w:pPr>
        <w:spacing w:after="0" w:line="240" w:lineRule="auto"/>
        <w:contextualSpacing/>
        <w:jc w:val="both"/>
        <w:rPr>
          <w:rFonts w:ascii="Verdana" w:hAnsi="Verdana" w:cs="Arial"/>
          <w:iCs/>
          <w:sz w:val="20"/>
          <w:szCs w:val="20"/>
          <w:lang w:val="es-ES_tradnl"/>
        </w:rPr>
      </w:pPr>
    </w:p>
    <w:p w14:paraId="2E555450" w14:textId="77777777" w:rsidR="006F76F0" w:rsidRPr="009B47D6" w:rsidRDefault="006F76F0" w:rsidP="006F76F0">
      <w:pPr>
        <w:spacing w:after="0" w:line="240" w:lineRule="auto"/>
        <w:contextualSpacing/>
        <w:jc w:val="both"/>
        <w:rPr>
          <w:rFonts w:ascii="Verdana" w:hAnsi="Verdana" w:cs="Arial"/>
          <w:sz w:val="20"/>
          <w:szCs w:val="20"/>
        </w:rPr>
      </w:pPr>
      <w:r w:rsidRPr="009B47D6">
        <w:rPr>
          <w:rFonts w:ascii="Verdana" w:hAnsi="Verdana" w:cs="Arial"/>
          <w:sz w:val="20"/>
          <w:szCs w:val="20"/>
        </w:rPr>
        <w:lastRenderedPageBreak/>
        <w:t>De otro lado, se advierte que si lo que la Entidad Estatal pretende es celebrar un contrato de concesión, en los términos del numeral 4 del artículo 32 de la Ley 80 de 1993, la Entidad Estatal no estaría obligada a aplicar un documento tipo en particular, por cuanto el proceso de selección competitivo para la selección del concesionario no hace parte del ámbito de aplicación de los documentos tipo, dado que las reglas consignadas en el “Documento Base”, los tipos de obras incorporadas en la “Matriz de Experiencia” y las actividades de cada una de ellas están orientadas a la selección del contratista que ejecute una obra, y no la prestación, operación, explotación, organización o gestión, total o parcial, de un servicio público, o la construcción, explotación o conservación total o parcial, de una obra o bien destinados al servicio o uso público, como tampoco permitiría contratar actividades necesarias para la adecuada prestación o funcionamiento de la obra o servicio por cuenta y riesgo de quien funja como concesionario, así como tampoco fija como forma de remuneración derechos, tarifas, tasas, valorización, o en la participación que se le otorgue en la explotación de algún bien.</w:t>
      </w:r>
    </w:p>
    <w:p w14:paraId="1A90403B" w14:textId="77777777" w:rsidR="006F76F0" w:rsidRPr="00F36C4D" w:rsidRDefault="006F76F0" w:rsidP="006F76F0">
      <w:pPr>
        <w:spacing w:after="0" w:line="240" w:lineRule="auto"/>
        <w:contextualSpacing/>
        <w:jc w:val="both"/>
        <w:rPr>
          <w:rFonts w:ascii="Verdana" w:hAnsi="Verdana" w:cs="Arial"/>
          <w:sz w:val="20"/>
          <w:szCs w:val="20"/>
          <w:lang w:val="es-ES"/>
        </w:rPr>
      </w:pPr>
    </w:p>
    <w:p w14:paraId="2AFCCFA2" w14:textId="77777777" w:rsidR="006F76F0" w:rsidRPr="00262582" w:rsidRDefault="006F76F0" w:rsidP="006F76F0">
      <w:pPr>
        <w:spacing w:after="0" w:line="240" w:lineRule="auto"/>
        <w:jc w:val="both"/>
        <w:rPr>
          <w:rFonts w:ascii="Verdana" w:eastAsia="Calibri" w:hAnsi="Verdana" w:cs="Arial"/>
          <w:bCs/>
          <w:color w:val="000000" w:themeColor="text1"/>
          <w:sz w:val="20"/>
          <w:szCs w:val="20"/>
          <w:lang w:val="es-ES" w:eastAsia="es-ES_tradnl"/>
        </w:rPr>
      </w:pPr>
    </w:p>
    <w:p w14:paraId="3FB6362B" w14:textId="77777777" w:rsidR="006F76F0" w:rsidRPr="00262582" w:rsidRDefault="006F76F0" w:rsidP="006F76F0">
      <w:pPr>
        <w:spacing w:after="0" w:line="240" w:lineRule="auto"/>
        <w:jc w:val="both"/>
        <w:rPr>
          <w:rFonts w:ascii="Verdana" w:eastAsia="Times New Roman" w:hAnsi="Verdana" w:cs="Arial"/>
          <w:noProof/>
          <w:lang w:val="es-ES" w:eastAsia="es-ES_tradnl"/>
        </w:rPr>
      </w:pPr>
    </w:p>
    <w:p w14:paraId="4C48F1ED" w14:textId="77777777" w:rsidR="006F76F0" w:rsidRDefault="006F76F0" w:rsidP="006F76F0">
      <w:pPr>
        <w:spacing w:after="0" w:line="240" w:lineRule="auto"/>
        <w:jc w:val="both"/>
        <w:rPr>
          <w:rFonts w:ascii="Verdana" w:eastAsia="Times New Roman" w:hAnsi="Verdana" w:cs="Arial"/>
          <w:lang w:val="es-ES" w:eastAsia="es-ES_tradnl"/>
        </w:rPr>
      </w:pPr>
    </w:p>
    <w:p w14:paraId="2575F6ED" w14:textId="77777777" w:rsidR="006F76F0" w:rsidRDefault="006F76F0" w:rsidP="006F76F0">
      <w:pPr>
        <w:spacing w:after="0" w:line="240" w:lineRule="auto"/>
        <w:jc w:val="both"/>
        <w:rPr>
          <w:rFonts w:ascii="Verdana" w:eastAsia="Times New Roman" w:hAnsi="Verdana" w:cs="Arial"/>
          <w:noProof/>
          <w:lang w:val="es-ES" w:eastAsia="es-ES_tradnl"/>
        </w:rPr>
      </w:pPr>
    </w:p>
    <w:p w14:paraId="398EB62B" w14:textId="77777777" w:rsidR="006F76F0" w:rsidRDefault="006F76F0" w:rsidP="006F76F0">
      <w:pPr>
        <w:spacing w:after="0" w:line="240" w:lineRule="auto"/>
        <w:jc w:val="both"/>
        <w:rPr>
          <w:rFonts w:ascii="Verdana" w:eastAsia="Times New Roman" w:hAnsi="Verdana" w:cs="Arial"/>
          <w:noProof/>
          <w:lang w:val="es-ES" w:eastAsia="es-ES_tradnl"/>
        </w:rPr>
      </w:pPr>
    </w:p>
    <w:p w14:paraId="32EF61D2" w14:textId="77777777" w:rsidR="006F76F0" w:rsidRDefault="006F76F0" w:rsidP="006F76F0">
      <w:pPr>
        <w:spacing w:after="0" w:line="240" w:lineRule="auto"/>
        <w:jc w:val="both"/>
        <w:rPr>
          <w:rFonts w:ascii="Verdana" w:eastAsia="Times New Roman" w:hAnsi="Verdana" w:cs="Arial"/>
          <w:noProof/>
          <w:lang w:val="es-ES" w:eastAsia="es-ES_tradnl"/>
        </w:rPr>
      </w:pPr>
    </w:p>
    <w:p w14:paraId="248872BB" w14:textId="77777777" w:rsidR="006F76F0" w:rsidRDefault="006F76F0" w:rsidP="006F76F0">
      <w:pPr>
        <w:spacing w:after="0" w:line="240" w:lineRule="auto"/>
        <w:jc w:val="both"/>
        <w:rPr>
          <w:rFonts w:ascii="Verdana" w:eastAsia="Times New Roman" w:hAnsi="Verdana" w:cs="Arial"/>
          <w:noProof/>
          <w:lang w:val="es-ES" w:eastAsia="es-ES_tradnl"/>
        </w:rPr>
      </w:pPr>
    </w:p>
    <w:p w14:paraId="21A647AD" w14:textId="77777777" w:rsidR="006F76F0" w:rsidRDefault="006F76F0" w:rsidP="006F76F0">
      <w:pPr>
        <w:spacing w:after="0" w:line="240" w:lineRule="auto"/>
        <w:jc w:val="both"/>
        <w:rPr>
          <w:rFonts w:ascii="Verdana" w:eastAsia="Times New Roman" w:hAnsi="Verdana" w:cs="Arial"/>
          <w:noProof/>
          <w:lang w:val="es-ES" w:eastAsia="es-ES_tradnl"/>
        </w:rPr>
      </w:pPr>
    </w:p>
    <w:p w14:paraId="0318863A" w14:textId="77777777" w:rsidR="006F76F0" w:rsidRDefault="006F76F0" w:rsidP="006F76F0">
      <w:pPr>
        <w:spacing w:after="0" w:line="240" w:lineRule="auto"/>
        <w:jc w:val="both"/>
        <w:rPr>
          <w:rFonts w:ascii="Verdana" w:eastAsia="Times New Roman" w:hAnsi="Verdana" w:cs="Arial"/>
          <w:noProof/>
          <w:lang w:val="es-ES" w:eastAsia="es-ES_tradnl"/>
        </w:rPr>
      </w:pPr>
    </w:p>
    <w:p w14:paraId="5EE21265" w14:textId="77777777" w:rsidR="006F76F0" w:rsidRDefault="006F76F0" w:rsidP="006F76F0">
      <w:pPr>
        <w:spacing w:after="0" w:line="240" w:lineRule="auto"/>
        <w:jc w:val="both"/>
        <w:rPr>
          <w:rFonts w:ascii="Verdana" w:eastAsia="Times New Roman" w:hAnsi="Verdana" w:cs="Arial"/>
          <w:noProof/>
          <w:lang w:val="es-ES" w:eastAsia="es-ES_tradnl"/>
        </w:rPr>
      </w:pPr>
    </w:p>
    <w:p w14:paraId="21E896CB" w14:textId="77777777" w:rsidR="006F76F0" w:rsidRDefault="006F76F0" w:rsidP="006F76F0">
      <w:pPr>
        <w:spacing w:after="0" w:line="240" w:lineRule="auto"/>
        <w:jc w:val="both"/>
        <w:rPr>
          <w:rFonts w:ascii="Verdana" w:eastAsia="Times New Roman" w:hAnsi="Verdana" w:cs="Arial"/>
          <w:noProof/>
          <w:lang w:val="es-ES" w:eastAsia="es-ES_tradnl"/>
        </w:rPr>
      </w:pPr>
    </w:p>
    <w:p w14:paraId="72EDBC04" w14:textId="77777777" w:rsidR="006F76F0" w:rsidRDefault="006F76F0" w:rsidP="006F76F0">
      <w:pPr>
        <w:spacing w:after="0" w:line="240" w:lineRule="auto"/>
        <w:jc w:val="both"/>
        <w:rPr>
          <w:rFonts w:ascii="Verdana" w:eastAsia="Times New Roman" w:hAnsi="Verdana" w:cs="Arial"/>
          <w:noProof/>
          <w:lang w:val="es-ES" w:eastAsia="es-ES_tradnl"/>
        </w:rPr>
      </w:pPr>
    </w:p>
    <w:p w14:paraId="2552D03A" w14:textId="77777777" w:rsidR="006F76F0" w:rsidRDefault="006F76F0" w:rsidP="006F76F0">
      <w:pPr>
        <w:spacing w:after="0" w:line="240" w:lineRule="auto"/>
        <w:jc w:val="both"/>
        <w:rPr>
          <w:rFonts w:ascii="Verdana" w:eastAsia="Times New Roman" w:hAnsi="Verdana" w:cs="Arial"/>
          <w:noProof/>
          <w:lang w:val="es-ES" w:eastAsia="es-ES_tradnl"/>
        </w:rPr>
      </w:pPr>
    </w:p>
    <w:p w14:paraId="750B14C3" w14:textId="77777777" w:rsidR="006F76F0" w:rsidRDefault="006F76F0" w:rsidP="006F76F0">
      <w:pPr>
        <w:spacing w:after="0" w:line="240" w:lineRule="auto"/>
        <w:jc w:val="both"/>
        <w:rPr>
          <w:rFonts w:ascii="Verdana" w:eastAsia="Times New Roman" w:hAnsi="Verdana" w:cs="Arial"/>
          <w:noProof/>
          <w:lang w:val="es-ES" w:eastAsia="es-ES_tradnl"/>
        </w:rPr>
      </w:pPr>
    </w:p>
    <w:p w14:paraId="452878EC" w14:textId="77777777" w:rsidR="006F76F0" w:rsidRDefault="006F76F0" w:rsidP="006F76F0">
      <w:pPr>
        <w:spacing w:after="0" w:line="240" w:lineRule="auto"/>
        <w:jc w:val="both"/>
        <w:rPr>
          <w:rFonts w:ascii="Verdana" w:eastAsia="Times New Roman" w:hAnsi="Verdana" w:cs="Arial"/>
          <w:noProof/>
          <w:lang w:val="es-ES" w:eastAsia="es-ES_tradnl"/>
        </w:rPr>
      </w:pPr>
    </w:p>
    <w:p w14:paraId="3CB3C7C8" w14:textId="77777777" w:rsidR="006F76F0" w:rsidRDefault="006F76F0" w:rsidP="006F76F0">
      <w:pPr>
        <w:spacing w:after="0" w:line="240" w:lineRule="auto"/>
        <w:jc w:val="both"/>
        <w:rPr>
          <w:rFonts w:ascii="Verdana" w:eastAsia="Times New Roman" w:hAnsi="Verdana" w:cs="Arial"/>
          <w:noProof/>
          <w:lang w:val="es-ES" w:eastAsia="es-ES_tradnl"/>
        </w:rPr>
      </w:pPr>
    </w:p>
    <w:p w14:paraId="58041986" w14:textId="77777777" w:rsidR="006F76F0" w:rsidRDefault="006F76F0" w:rsidP="006F76F0">
      <w:pPr>
        <w:spacing w:after="0" w:line="240" w:lineRule="auto"/>
        <w:jc w:val="both"/>
        <w:rPr>
          <w:rFonts w:ascii="Verdana" w:eastAsia="Times New Roman" w:hAnsi="Verdana" w:cs="Arial"/>
          <w:noProof/>
          <w:lang w:val="es-ES" w:eastAsia="es-ES_tradnl"/>
        </w:rPr>
      </w:pPr>
    </w:p>
    <w:p w14:paraId="305409AA" w14:textId="77777777" w:rsidR="006F76F0" w:rsidRDefault="006F76F0" w:rsidP="006F76F0">
      <w:pPr>
        <w:spacing w:after="0" w:line="240" w:lineRule="auto"/>
        <w:jc w:val="both"/>
        <w:rPr>
          <w:rFonts w:ascii="Verdana" w:eastAsia="Times New Roman" w:hAnsi="Verdana" w:cs="Arial"/>
          <w:noProof/>
          <w:lang w:val="es-ES" w:eastAsia="es-ES_tradnl"/>
        </w:rPr>
      </w:pPr>
    </w:p>
    <w:p w14:paraId="23038C63" w14:textId="77777777" w:rsidR="006F76F0" w:rsidRDefault="006F76F0" w:rsidP="006F76F0">
      <w:pPr>
        <w:spacing w:after="0" w:line="240" w:lineRule="auto"/>
        <w:jc w:val="both"/>
        <w:rPr>
          <w:rFonts w:ascii="Verdana" w:eastAsia="Times New Roman" w:hAnsi="Verdana" w:cs="Arial"/>
          <w:noProof/>
          <w:lang w:val="es-ES" w:eastAsia="es-ES_tradnl"/>
        </w:rPr>
      </w:pPr>
    </w:p>
    <w:p w14:paraId="5A2D6C55" w14:textId="77777777" w:rsidR="006F76F0" w:rsidRDefault="006F76F0" w:rsidP="006F76F0">
      <w:pPr>
        <w:spacing w:after="0" w:line="240" w:lineRule="auto"/>
        <w:jc w:val="both"/>
        <w:rPr>
          <w:rFonts w:ascii="Verdana" w:eastAsia="Times New Roman" w:hAnsi="Verdana" w:cs="Arial"/>
          <w:noProof/>
          <w:lang w:val="es-ES" w:eastAsia="es-ES_tradnl"/>
        </w:rPr>
      </w:pPr>
    </w:p>
    <w:p w14:paraId="1BA1E5D4" w14:textId="77777777" w:rsidR="006F76F0" w:rsidRDefault="006F76F0" w:rsidP="006F76F0">
      <w:pPr>
        <w:spacing w:after="0" w:line="240" w:lineRule="auto"/>
        <w:jc w:val="both"/>
        <w:rPr>
          <w:rFonts w:ascii="Verdana" w:eastAsia="Times New Roman" w:hAnsi="Verdana" w:cs="Arial"/>
          <w:noProof/>
          <w:lang w:val="es-ES" w:eastAsia="es-ES_tradnl"/>
        </w:rPr>
      </w:pPr>
    </w:p>
    <w:p w14:paraId="2CFAAD8A" w14:textId="77777777" w:rsidR="006F76F0" w:rsidRDefault="006F76F0" w:rsidP="006F76F0">
      <w:pPr>
        <w:spacing w:after="0" w:line="240" w:lineRule="auto"/>
        <w:jc w:val="both"/>
        <w:rPr>
          <w:rFonts w:ascii="Verdana" w:eastAsia="Times New Roman" w:hAnsi="Verdana" w:cs="Arial"/>
          <w:noProof/>
          <w:lang w:val="es-ES" w:eastAsia="es-ES_tradnl"/>
        </w:rPr>
      </w:pPr>
    </w:p>
    <w:p w14:paraId="27E05177" w14:textId="77777777" w:rsidR="006F76F0" w:rsidRDefault="006F76F0" w:rsidP="006F76F0">
      <w:pPr>
        <w:spacing w:after="0" w:line="240" w:lineRule="auto"/>
        <w:jc w:val="both"/>
        <w:rPr>
          <w:rFonts w:ascii="Verdana" w:eastAsia="Times New Roman" w:hAnsi="Verdana" w:cs="Arial"/>
          <w:noProof/>
          <w:lang w:val="es-ES" w:eastAsia="es-ES_tradnl"/>
        </w:rPr>
      </w:pPr>
    </w:p>
    <w:p w14:paraId="63A1FCE6" w14:textId="77777777" w:rsidR="006F76F0" w:rsidRDefault="006F76F0" w:rsidP="006F76F0">
      <w:pPr>
        <w:spacing w:after="0" w:line="240" w:lineRule="auto"/>
        <w:jc w:val="both"/>
        <w:rPr>
          <w:rFonts w:ascii="Verdana" w:eastAsia="Times New Roman" w:hAnsi="Verdana" w:cs="Arial"/>
          <w:noProof/>
          <w:lang w:val="es-ES" w:eastAsia="es-ES_tradnl"/>
        </w:rPr>
      </w:pPr>
    </w:p>
    <w:p w14:paraId="3E916836" w14:textId="77777777" w:rsidR="00FC5E94" w:rsidRDefault="00FC5E94" w:rsidP="006F76F0">
      <w:pPr>
        <w:spacing w:after="0" w:line="240" w:lineRule="auto"/>
        <w:jc w:val="both"/>
        <w:rPr>
          <w:rFonts w:ascii="Verdana" w:eastAsia="Times New Roman" w:hAnsi="Verdana" w:cs="Arial"/>
          <w:noProof/>
          <w:lang w:val="es-ES_tradnl" w:eastAsia="es-ES_tradnl"/>
        </w:rPr>
      </w:pPr>
    </w:p>
    <w:p w14:paraId="1EDFF5C6" w14:textId="77777777" w:rsidR="00FC5E94" w:rsidRDefault="00FC5E94" w:rsidP="006F76F0">
      <w:pPr>
        <w:spacing w:after="0" w:line="240" w:lineRule="auto"/>
        <w:jc w:val="both"/>
        <w:rPr>
          <w:rFonts w:ascii="Verdana" w:eastAsia="Times New Roman" w:hAnsi="Verdana" w:cs="Arial"/>
          <w:noProof/>
          <w:lang w:val="es-ES_tradnl" w:eastAsia="es-ES_tradnl"/>
        </w:rPr>
      </w:pPr>
    </w:p>
    <w:p w14:paraId="2705286B" w14:textId="77777777" w:rsidR="00FC5E94" w:rsidRDefault="00FC5E94" w:rsidP="006F76F0">
      <w:pPr>
        <w:spacing w:after="0" w:line="240" w:lineRule="auto"/>
        <w:jc w:val="both"/>
        <w:rPr>
          <w:rFonts w:ascii="Verdana" w:eastAsia="Times New Roman" w:hAnsi="Verdana" w:cs="Arial"/>
          <w:noProof/>
          <w:lang w:val="es-ES_tradnl" w:eastAsia="es-ES_tradnl"/>
        </w:rPr>
      </w:pPr>
    </w:p>
    <w:p w14:paraId="03378E4D" w14:textId="77777777" w:rsidR="00FC5E94" w:rsidRDefault="00FC5E94" w:rsidP="006F76F0">
      <w:pPr>
        <w:spacing w:after="0" w:line="240" w:lineRule="auto"/>
        <w:jc w:val="both"/>
        <w:rPr>
          <w:rFonts w:ascii="Verdana" w:eastAsia="Times New Roman" w:hAnsi="Verdana" w:cs="Arial"/>
          <w:noProof/>
          <w:lang w:val="es-ES_tradnl" w:eastAsia="es-ES_tradnl"/>
        </w:rPr>
      </w:pPr>
    </w:p>
    <w:p w14:paraId="06244ED6" w14:textId="77777777" w:rsidR="00FC5E94" w:rsidRDefault="00FC5E94" w:rsidP="006F76F0">
      <w:pPr>
        <w:spacing w:after="0" w:line="240" w:lineRule="auto"/>
        <w:jc w:val="both"/>
        <w:rPr>
          <w:rFonts w:ascii="Verdana" w:eastAsia="Times New Roman" w:hAnsi="Verdana" w:cs="Arial"/>
          <w:noProof/>
          <w:lang w:val="es-ES_tradnl" w:eastAsia="es-ES_tradnl"/>
        </w:rPr>
      </w:pPr>
    </w:p>
    <w:p w14:paraId="586FE602" w14:textId="055AC42B" w:rsidR="006F76F0" w:rsidRPr="00262582" w:rsidRDefault="006F76F0" w:rsidP="006F76F0">
      <w:pPr>
        <w:spacing w:after="0" w:line="240" w:lineRule="auto"/>
        <w:jc w:val="both"/>
        <w:rPr>
          <w:rFonts w:ascii="Verdana" w:eastAsia="Times New Roman" w:hAnsi="Verdana" w:cs="Arial"/>
          <w:noProof/>
          <w:lang w:val="es-ES_tradnl" w:eastAsia="es-ES_tradnl"/>
        </w:rPr>
      </w:pPr>
      <w:r w:rsidRPr="00262582">
        <w:rPr>
          <w:rFonts w:ascii="Verdana" w:eastAsia="Times New Roman" w:hAnsi="Verdana" w:cs="Arial"/>
          <w:noProof/>
          <w:lang w:val="es-ES_tradnl" w:eastAsia="es-ES_tradnl"/>
        </w:rPr>
        <w:lastRenderedPageBreak/>
        <w:t>Bogotá D.C., [Día] de [Mes.NombreCapitalizado] de [Año]</w:t>
      </w:r>
    </w:p>
    <w:p w14:paraId="57D7CE7D" w14:textId="77777777" w:rsidR="006F76F0" w:rsidRPr="00262582" w:rsidRDefault="006F76F0" w:rsidP="006F76F0">
      <w:pPr>
        <w:spacing w:after="0" w:line="240" w:lineRule="auto"/>
        <w:jc w:val="both"/>
        <w:rPr>
          <w:rFonts w:ascii="Verdana" w:eastAsia="Times New Roman" w:hAnsi="Verdana" w:cs="Arial"/>
          <w:noProof/>
          <w:lang w:val="es-ES_tradnl" w:eastAsia="es-ES_tradnl"/>
        </w:rPr>
      </w:pPr>
    </w:p>
    <w:p w14:paraId="0D19839B" w14:textId="2725F45B" w:rsidR="006F76F0" w:rsidRDefault="00FC5E94" w:rsidP="006F76F0">
      <w:pPr>
        <w:spacing w:after="0" w:line="240" w:lineRule="auto"/>
        <w:jc w:val="right"/>
        <w:rPr>
          <w:noProof/>
          <w14:ligatures w14:val="standardContextual"/>
        </w:rPr>
      </w:pPr>
      <w:r>
        <w:rPr>
          <w:noProof/>
          <w14:ligatures w14:val="standardContextual"/>
        </w:rPr>
        <w:drawing>
          <wp:inline distT="0" distB="0" distL="0" distR="0" wp14:anchorId="761C12E2" wp14:editId="3D99348A">
            <wp:extent cx="3893178" cy="1117600"/>
            <wp:effectExtent l="0" t="0" r="0" b="6350"/>
            <wp:docPr id="1904299975"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299975" name="Imagen 1" descr="Interfaz de usuario gráfica, Aplicación, Word&#10;&#10;Descripción generada automáticamente"/>
                    <pic:cNvPicPr/>
                  </pic:nvPicPr>
                  <pic:blipFill rotWithShape="1">
                    <a:blip r:embed="rId10"/>
                    <a:srcRect l="10635" t="42448" r="53496" b="22753"/>
                    <a:stretch/>
                  </pic:blipFill>
                  <pic:spPr bwMode="auto">
                    <a:xfrm>
                      <a:off x="0" y="0"/>
                      <a:ext cx="3895995" cy="1118409"/>
                    </a:xfrm>
                    <a:prstGeom prst="rect">
                      <a:avLst/>
                    </a:prstGeom>
                    <a:ln>
                      <a:noFill/>
                    </a:ln>
                    <a:extLst>
                      <a:ext uri="{53640926-AAD7-44D8-BBD7-CCE9431645EC}">
                        <a14:shadowObscured xmlns:a14="http://schemas.microsoft.com/office/drawing/2010/main"/>
                      </a:ext>
                    </a:extLst>
                  </pic:spPr>
                </pic:pic>
              </a:graphicData>
            </a:graphic>
          </wp:inline>
        </w:drawing>
      </w:r>
    </w:p>
    <w:p w14:paraId="26DA7DE5" w14:textId="77777777" w:rsidR="006F76F0" w:rsidRPr="00262582" w:rsidRDefault="006F76F0" w:rsidP="006F76F0">
      <w:pPr>
        <w:spacing w:after="0" w:line="240" w:lineRule="auto"/>
        <w:jc w:val="right"/>
        <w:rPr>
          <w:rFonts w:ascii="Verdana" w:eastAsia="Times New Roman" w:hAnsi="Verdana" w:cs="Arial"/>
          <w:noProof/>
          <w:lang w:val="es-ES_tradnl" w:eastAsia="es-ES_tradnl"/>
        </w:rPr>
      </w:pPr>
    </w:p>
    <w:p w14:paraId="271C7097" w14:textId="77777777" w:rsidR="006F76F0" w:rsidRPr="00262582" w:rsidRDefault="006F76F0" w:rsidP="006F76F0">
      <w:pPr>
        <w:spacing w:after="0" w:line="240" w:lineRule="auto"/>
        <w:jc w:val="both"/>
        <w:rPr>
          <w:rFonts w:ascii="Verdana" w:eastAsia="Calibri" w:hAnsi="Verdana" w:cs="Arial"/>
          <w:lang w:val="es-ES" w:eastAsia="es-ES_tradnl"/>
        </w:rPr>
      </w:pPr>
      <w:r>
        <w:rPr>
          <w:rFonts w:ascii="Verdana" w:eastAsia="Calibri" w:hAnsi="Verdana" w:cs="Arial"/>
          <w:lang w:val="es-ES" w:eastAsia="es-ES_tradnl"/>
        </w:rPr>
        <w:t>Doctora</w:t>
      </w:r>
    </w:p>
    <w:p w14:paraId="091825C1" w14:textId="77777777" w:rsidR="006F76F0" w:rsidRDefault="006F76F0" w:rsidP="006F76F0">
      <w:pPr>
        <w:spacing w:after="0" w:line="240" w:lineRule="auto"/>
        <w:rPr>
          <w:rFonts w:ascii="Verdana" w:eastAsia="Calibri" w:hAnsi="Verdana" w:cs="Arial"/>
          <w:b/>
          <w:bCs/>
          <w:lang w:val="es-ES" w:eastAsia="es-ES_tradnl"/>
        </w:rPr>
      </w:pPr>
      <w:proofErr w:type="spellStart"/>
      <w:r w:rsidRPr="004F5287">
        <w:rPr>
          <w:rFonts w:ascii="Verdana" w:eastAsia="Calibri" w:hAnsi="Verdana" w:cs="Arial"/>
          <w:b/>
          <w:bCs/>
          <w:lang w:val="es-ES" w:eastAsia="es-ES_tradnl"/>
        </w:rPr>
        <w:t>Yumaris</w:t>
      </w:r>
      <w:proofErr w:type="spellEnd"/>
      <w:r w:rsidRPr="004F5287">
        <w:rPr>
          <w:rFonts w:ascii="Verdana" w:eastAsia="Calibri" w:hAnsi="Verdana" w:cs="Arial"/>
          <w:b/>
          <w:bCs/>
          <w:lang w:val="es-ES" w:eastAsia="es-ES_tradnl"/>
        </w:rPr>
        <w:t xml:space="preserve"> Henríquez</w:t>
      </w:r>
      <w:r>
        <w:rPr>
          <w:rFonts w:ascii="Verdana" w:eastAsia="Calibri" w:hAnsi="Verdana" w:cs="Arial"/>
          <w:b/>
          <w:bCs/>
          <w:lang w:val="es-ES" w:eastAsia="es-ES_tradnl"/>
        </w:rPr>
        <w:t xml:space="preserve"> </w:t>
      </w:r>
      <w:proofErr w:type="spellStart"/>
      <w:r>
        <w:rPr>
          <w:rFonts w:ascii="Verdana" w:eastAsia="Calibri" w:hAnsi="Verdana" w:cs="Arial"/>
          <w:b/>
          <w:bCs/>
          <w:lang w:val="es-ES" w:eastAsia="es-ES_tradnl"/>
        </w:rPr>
        <w:t>Banquet</w:t>
      </w:r>
      <w:proofErr w:type="spellEnd"/>
    </w:p>
    <w:p w14:paraId="7E6D08DE" w14:textId="77777777" w:rsidR="006F76F0" w:rsidRPr="00644C1C" w:rsidRDefault="006F76F0" w:rsidP="006F76F0">
      <w:pPr>
        <w:spacing w:after="0" w:line="240" w:lineRule="auto"/>
        <w:rPr>
          <w:rFonts w:ascii="Verdana" w:eastAsia="Calibri" w:hAnsi="Verdana" w:cs="Arial"/>
          <w:lang w:val="es-ES" w:eastAsia="es-ES_tradnl"/>
        </w:rPr>
      </w:pPr>
      <w:r w:rsidRPr="00644C1C">
        <w:rPr>
          <w:rFonts w:ascii="Verdana" w:eastAsia="Calibri" w:hAnsi="Verdana" w:cs="Arial"/>
          <w:lang w:val="es-ES" w:eastAsia="es-ES_tradnl"/>
        </w:rPr>
        <w:t>Alcaldesa Municipal</w:t>
      </w:r>
    </w:p>
    <w:p w14:paraId="37FA2FD9" w14:textId="77777777" w:rsidR="006F76F0" w:rsidRPr="00262582" w:rsidRDefault="006F76F0" w:rsidP="006F76F0">
      <w:pPr>
        <w:spacing w:after="0" w:line="240" w:lineRule="auto"/>
        <w:rPr>
          <w:rFonts w:ascii="Verdana" w:eastAsia="Calibri" w:hAnsi="Verdana" w:cs="Arial"/>
          <w:lang w:val="es-ES_tradnl" w:eastAsia="es-ES_tradnl"/>
        </w:rPr>
      </w:pPr>
      <w:r>
        <w:rPr>
          <w:rFonts w:ascii="Verdana" w:eastAsia="Calibri" w:hAnsi="Verdana" w:cs="Arial"/>
          <w:bCs/>
          <w:lang w:val="es-ES_tradnl" w:eastAsia="es-ES_tradnl"/>
        </w:rPr>
        <w:t>Nechí, Antioquía</w:t>
      </w:r>
    </w:p>
    <w:p w14:paraId="140A73C6" w14:textId="77777777" w:rsidR="006F76F0" w:rsidRPr="00262582" w:rsidRDefault="006F76F0" w:rsidP="006F76F0">
      <w:pPr>
        <w:spacing w:after="0" w:line="240" w:lineRule="auto"/>
        <w:rPr>
          <w:rFonts w:ascii="Verdana" w:eastAsia="Calibri" w:hAnsi="Verdana" w:cs="Arial"/>
          <w:lang w:val="es-ES_tradnl" w:eastAsia="es-ES_tradnl"/>
        </w:rPr>
      </w:pPr>
    </w:p>
    <w:p w14:paraId="70082188" w14:textId="77777777" w:rsidR="006F76F0" w:rsidRPr="00262582" w:rsidRDefault="006F76F0" w:rsidP="006F76F0">
      <w:pPr>
        <w:spacing w:after="0" w:line="240" w:lineRule="auto"/>
        <w:rPr>
          <w:rFonts w:ascii="Verdana" w:eastAsia="Calibri" w:hAnsi="Verdana" w:cs="Arial"/>
          <w:lang w:val="es-ES_tradnl" w:eastAsia="es-ES_tradnl"/>
        </w:rPr>
      </w:pPr>
    </w:p>
    <w:p w14:paraId="02FB5DDD" w14:textId="77777777" w:rsidR="006F76F0" w:rsidRPr="00262582" w:rsidRDefault="006F76F0" w:rsidP="006F76F0">
      <w:pPr>
        <w:spacing w:after="0" w:line="240" w:lineRule="auto"/>
        <w:ind w:left="2694"/>
        <w:rPr>
          <w:rFonts w:ascii="Verdana" w:eastAsia="Calibri" w:hAnsi="Verdana" w:cs="Arial"/>
          <w:b/>
          <w:bCs/>
          <w:lang w:val="es-ES" w:eastAsia="es-ES_tradnl"/>
        </w:rPr>
      </w:pPr>
      <w:r w:rsidRPr="00262582">
        <w:rPr>
          <w:rFonts w:ascii="Verdana" w:eastAsia="Calibri" w:hAnsi="Verdana" w:cs="Arial"/>
          <w:b/>
          <w:bCs/>
          <w:lang w:val="es-ES" w:eastAsia="es-ES_tradnl"/>
        </w:rPr>
        <w:t>Concepto C-</w:t>
      </w:r>
      <w:r>
        <w:rPr>
          <w:rFonts w:ascii="Verdana" w:eastAsia="Calibri" w:hAnsi="Verdana" w:cs="Arial"/>
          <w:b/>
          <w:bCs/>
          <w:lang w:val="es-ES" w:eastAsia="es-ES_tradnl"/>
        </w:rPr>
        <w:t>236</w:t>
      </w:r>
      <w:r w:rsidRPr="00262582">
        <w:rPr>
          <w:rFonts w:ascii="Verdana" w:eastAsia="Calibri" w:hAnsi="Verdana" w:cs="Arial"/>
          <w:b/>
          <w:bCs/>
          <w:lang w:val="es-ES" w:eastAsia="es-ES_tradnl"/>
        </w:rPr>
        <w:t xml:space="preserve"> de 2024</w:t>
      </w:r>
    </w:p>
    <w:p w14:paraId="004C99B7" w14:textId="77777777" w:rsidR="006F76F0" w:rsidRPr="00262582" w:rsidRDefault="006F76F0" w:rsidP="006F76F0">
      <w:pPr>
        <w:spacing w:after="0" w:line="240" w:lineRule="auto"/>
        <w:jc w:val="both"/>
        <w:rPr>
          <w:rFonts w:ascii="Verdana" w:eastAsia="Calibri" w:hAnsi="Verdana" w:cs="Arial"/>
          <w:lang w:val="es-ES_tradnl" w:eastAsia="es-ES_tradnl"/>
        </w:rPr>
      </w:pPr>
    </w:p>
    <w:tbl>
      <w:tblPr>
        <w:tblStyle w:val="Tablaconcuadrcula"/>
        <w:tblW w:w="878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28"/>
        <w:gridCol w:w="4956"/>
      </w:tblGrid>
      <w:tr w:rsidR="006F76F0" w:rsidRPr="00262582" w14:paraId="3893783F" w14:textId="77777777" w:rsidTr="0064625D">
        <w:trPr>
          <w:jc w:val="right"/>
        </w:trPr>
        <w:tc>
          <w:tcPr>
            <w:tcW w:w="3828" w:type="dxa"/>
          </w:tcPr>
          <w:p w14:paraId="15B1BE54" w14:textId="77777777" w:rsidR="006F76F0" w:rsidRPr="00262582" w:rsidRDefault="006F76F0" w:rsidP="00A92350">
            <w:pPr>
              <w:rPr>
                <w:rFonts w:ascii="Verdana" w:eastAsia="Calibri" w:hAnsi="Verdana" w:cs="Arial"/>
                <w:lang w:val="es-ES_tradnl" w:eastAsia="es-ES_tradnl"/>
              </w:rPr>
            </w:pPr>
            <w:r w:rsidRPr="00262582">
              <w:rPr>
                <w:rFonts w:ascii="Verdana" w:eastAsia="Calibri" w:hAnsi="Verdana" w:cs="Arial"/>
                <w:b/>
                <w:lang w:val="es-ES_tradnl" w:eastAsia="es-ES_tradnl"/>
              </w:rPr>
              <w:t>Temas:</w:t>
            </w:r>
          </w:p>
        </w:tc>
        <w:tc>
          <w:tcPr>
            <w:tcW w:w="4956" w:type="dxa"/>
          </w:tcPr>
          <w:p w14:paraId="5EDF5382" w14:textId="77777777" w:rsidR="006F76F0" w:rsidRPr="00F71B57" w:rsidRDefault="006F76F0" w:rsidP="00A92350">
            <w:pPr>
              <w:jc w:val="both"/>
              <w:textAlignment w:val="baseline"/>
              <w:rPr>
                <w:rFonts w:ascii="Verdana" w:eastAsia="Times New Roman" w:hAnsi="Verdana" w:cs="Arial"/>
                <w:lang w:eastAsia="es-ES_tradnl"/>
              </w:rPr>
            </w:pPr>
            <w:r w:rsidRPr="009B47D6">
              <w:rPr>
                <w:rFonts w:ascii="Verdana" w:eastAsia="Calibri" w:hAnsi="Verdana" w:cs="Arial"/>
                <w:color w:val="000000" w:themeColor="text1"/>
                <w:szCs w:val="24"/>
                <w:lang w:val="es-ES" w:eastAsia="es-ES_tradnl"/>
              </w:rPr>
              <w:t xml:space="preserve">DOCUMENTOS TIPO – </w:t>
            </w:r>
            <w:r w:rsidRPr="009B47D6">
              <w:rPr>
                <w:rFonts w:ascii="Verdana" w:eastAsia="Calibri" w:hAnsi="Verdana" w:cs="Arial"/>
                <w:color w:val="000000" w:themeColor="text1"/>
                <w:szCs w:val="24"/>
                <w:lang w:eastAsia="es-ES_tradnl"/>
              </w:rPr>
              <w:t>Obligatoriedad – Actividad a contratar – Matriz – Licitación pública – Licitación pública modalidad llave en mano – Infraestructura de APSB</w:t>
            </w:r>
            <w:r>
              <w:rPr>
                <w:rFonts w:ascii="Verdana" w:eastAsia="Calibri" w:hAnsi="Verdana" w:cs="Arial"/>
                <w:color w:val="000000" w:themeColor="text1"/>
                <w:szCs w:val="24"/>
                <w:lang w:eastAsia="es-ES_tradnl"/>
              </w:rPr>
              <w:t xml:space="preserve"> / </w:t>
            </w:r>
            <w:r w:rsidRPr="009B47D6">
              <w:rPr>
                <w:rFonts w:ascii="Verdana" w:eastAsia="Calibri" w:hAnsi="Verdana" w:cs="Arial"/>
                <w:color w:val="000000" w:themeColor="text1"/>
                <w:szCs w:val="24"/>
                <w:lang w:eastAsia="es-ES_tradnl"/>
              </w:rPr>
              <w:t>DOCUMENTOS TIPO – Objeto contractual – Subsunción – Tipos de infraestructura – Modalidades de selección – Tipos de obra</w:t>
            </w:r>
            <w:r>
              <w:rPr>
                <w:rFonts w:ascii="Verdana" w:eastAsia="Calibri" w:hAnsi="Verdana" w:cs="Arial"/>
                <w:color w:val="000000" w:themeColor="text1"/>
                <w:szCs w:val="24"/>
                <w:lang w:eastAsia="es-ES_tradnl"/>
              </w:rPr>
              <w:t xml:space="preserve"> / </w:t>
            </w:r>
            <w:r w:rsidRPr="009B47D6">
              <w:rPr>
                <w:rFonts w:ascii="Verdana" w:eastAsia="Calibri" w:hAnsi="Verdana" w:cs="Arial"/>
                <w:color w:val="000000" w:themeColor="text1"/>
                <w:szCs w:val="24"/>
                <w:lang w:eastAsia="es-ES_tradnl"/>
              </w:rPr>
              <w:t xml:space="preserve">DOCUMENTOS TIPO – </w:t>
            </w:r>
            <w:r w:rsidRPr="008E6128">
              <w:rPr>
                <w:rFonts w:ascii="Verdana" w:eastAsia="Calibri" w:hAnsi="Verdana" w:cs="Arial"/>
                <w:color w:val="000000" w:themeColor="text1"/>
                <w:szCs w:val="24"/>
                <w:lang w:eastAsia="es-ES_tradnl"/>
              </w:rPr>
              <w:t>Contratos de Concesión</w:t>
            </w:r>
            <w:r>
              <w:rPr>
                <w:rFonts w:ascii="Verdana" w:eastAsia="Calibri" w:hAnsi="Verdana" w:cs="Arial"/>
                <w:color w:val="000000" w:themeColor="text1"/>
                <w:szCs w:val="24"/>
                <w:lang w:eastAsia="es-ES_tradnl"/>
              </w:rPr>
              <w:t xml:space="preserve"> </w:t>
            </w:r>
            <w:r w:rsidRPr="009B47D6">
              <w:rPr>
                <w:rFonts w:ascii="Verdana" w:eastAsia="Calibri" w:hAnsi="Verdana" w:cs="Arial"/>
                <w:color w:val="000000" w:themeColor="text1"/>
                <w:szCs w:val="24"/>
                <w:lang w:eastAsia="es-ES_tradnl"/>
              </w:rPr>
              <w:t>–</w:t>
            </w:r>
            <w:r w:rsidRPr="008E6128">
              <w:rPr>
                <w:rFonts w:ascii="Verdana" w:eastAsia="Calibri" w:hAnsi="Verdana" w:cs="Arial"/>
                <w:color w:val="000000" w:themeColor="text1"/>
                <w:szCs w:val="24"/>
                <w:lang w:eastAsia="es-ES_tradnl"/>
              </w:rPr>
              <w:t xml:space="preserve"> </w:t>
            </w:r>
            <w:r w:rsidRPr="008B70BE">
              <w:rPr>
                <w:rFonts w:ascii="Verdana" w:eastAsia="Calibri" w:hAnsi="Verdana" w:cs="Arial"/>
                <w:color w:val="000000" w:themeColor="text1"/>
                <w:szCs w:val="24"/>
                <w:lang w:eastAsia="es-ES_tradnl"/>
              </w:rPr>
              <w:t xml:space="preserve">Por fuera ámbito de aplicación </w:t>
            </w:r>
          </w:p>
        </w:tc>
      </w:tr>
      <w:tr w:rsidR="006F76F0" w:rsidRPr="00262582" w14:paraId="0FCAF598" w14:textId="77777777" w:rsidTr="0064625D">
        <w:trPr>
          <w:jc w:val="right"/>
        </w:trPr>
        <w:tc>
          <w:tcPr>
            <w:tcW w:w="3828" w:type="dxa"/>
          </w:tcPr>
          <w:p w14:paraId="0C78D072" w14:textId="77777777" w:rsidR="006F76F0" w:rsidRPr="00262582" w:rsidRDefault="006F76F0" w:rsidP="00A92350">
            <w:pPr>
              <w:rPr>
                <w:rFonts w:ascii="Verdana" w:eastAsia="Calibri" w:hAnsi="Verdana" w:cs="Arial"/>
                <w:b/>
                <w:lang w:val="es-ES" w:eastAsia="es-ES_tradnl"/>
              </w:rPr>
            </w:pPr>
            <w:r w:rsidRPr="00262582">
              <w:rPr>
                <w:rFonts w:ascii="Verdana" w:eastAsia="Calibri" w:hAnsi="Verdana" w:cs="Arial"/>
                <w:b/>
                <w:lang w:val="es-ES" w:eastAsia="es-ES_tradnl"/>
              </w:rPr>
              <w:t>Radicación:</w:t>
            </w:r>
          </w:p>
        </w:tc>
        <w:tc>
          <w:tcPr>
            <w:tcW w:w="4956" w:type="dxa"/>
          </w:tcPr>
          <w:p w14:paraId="11E16ACD" w14:textId="77777777" w:rsidR="006F76F0" w:rsidRPr="00262582" w:rsidRDefault="006F76F0" w:rsidP="00A92350">
            <w:pPr>
              <w:jc w:val="both"/>
              <w:rPr>
                <w:rFonts w:ascii="Verdana" w:eastAsia="Calibri" w:hAnsi="Verdana" w:cs="Arial"/>
                <w:lang w:val="es-ES" w:eastAsia="es-ES_tradnl"/>
              </w:rPr>
            </w:pPr>
            <w:r w:rsidRPr="00262582">
              <w:rPr>
                <w:rFonts w:ascii="Verdana" w:eastAsia="Calibri" w:hAnsi="Verdana" w:cs="Arial"/>
                <w:lang w:val="es-ES" w:eastAsia="es-ES_tradnl"/>
              </w:rPr>
              <w:t xml:space="preserve">Respuesta a consulta radicado No. </w:t>
            </w:r>
            <w:r w:rsidRPr="00954A04">
              <w:rPr>
                <w:rFonts w:ascii="Verdana" w:eastAsia="Times New Roman" w:hAnsi="Verdana" w:cs="Arial"/>
                <w:lang w:eastAsia="es-ES_tradnl"/>
              </w:rPr>
              <w:t>P20240724007606</w:t>
            </w:r>
          </w:p>
        </w:tc>
      </w:tr>
    </w:tbl>
    <w:p w14:paraId="783C87C1" w14:textId="77777777" w:rsidR="006F76F0" w:rsidRPr="00262582" w:rsidRDefault="006F76F0" w:rsidP="006F76F0">
      <w:pPr>
        <w:spacing w:after="0" w:line="240" w:lineRule="auto"/>
        <w:jc w:val="both"/>
        <w:rPr>
          <w:rFonts w:ascii="Verdana" w:eastAsia="Calibri" w:hAnsi="Verdana" w:cs="Arial"/>
          <w:lang w:val="es-ES_tradnl" w:eastAsia="es-ES_tradnl"/>
        </w:rPr>
      </w:pPr>
    </w:p>
    <w:p w14:paraId="4530F884" w14:textId="77777777" w:rsidR="006F76F0" w:rsidRPr="00262582" w:rsidRDefault="006F76F0" w:rsidP="006F76F0">
      <w:pPr>
        <w:spacing w:after="0" w:line="240" w:lineRule="auto"/>
        <w:jc w:val="both"/>
        <w:rPr>
          <w:rFonts w:ascii="Verdana" w:eastAsia="Calibri" w:hAnsi="Verdana" w:cs="Arial"/>
          <w:lang w:val="es-ES_tradnl" w:eastAsia="es-ES_tradnl"/>
        </w:rPr>
      </w:pPr>
    </w:p>
    <w:p w14:paraId="02BAAE1B" w14:textId="77777777" w:rsidR="006F76F0" w:rsidRPr="00262582" w:rsidRDefault="006F76F0" w:rsidP="006F76F0">
      <w:pPr>
        <w:spacing w:after="0" w:line="276" w:lineRule="auto"/>
        <w:contextualSpacing/>
        <w:jc w:val="both"/>
        <w:rPr>
          <w:rFonts w:ascii="Verdana" w:eastAsia="Calibri" w:hAnsi="Verdana" w:cs="Arial"/>
          <w:lang w:val="es-ES" w:eastAsia="es-ES"/>
        </w:rPr>
      </w:pPr>
      <w:r w:rsidRPr="5E6496FA">
        <w:rPr>
          <w:rFonts w:ascii="Verdana" w:eastAsia="Calibri" w:hAnsi="Verdana" w:cs="Arial"/>
          <w:lang w:val="es-ES" w:eastAsia="es-ES"/>
        </w:rPr>
        <w:t xml:space="preserve">Estimada Dra. Henríquez </w:t>
      </w:r>
      <w:proofErr w:type="spellStart"/>
      <w:r w:rsidRPr="5E6496FA">
        <w:rPr>
          <w:rFonts w:ascii="Verdana" w:eastAsia="Calibri" w:hAnsi="Verdana" w:cs="Arial"/>
          <w:lang w:val="es-ES" w:eastAsia="es-ES"/>
        </w:rPr>
        <w:t>Banquet</w:t>
      </w:r>
      <w:proofErr w:type="spellEnd"/>
      <w:r w:rsidRPr="5E6496FA">
        <w:rPr>
          <w:rFonts w:ascii="Verdana" w:eastAsia="Calibri" w:hAnsi="Verdana" w:cs="Arial"/>
          <w:lang w:val="es-ES" w:eastAsia="es-ES"/>
        </w:rPr>
        <w:t>:</w:t>
      </w:r>
    </w:p>
    <w:p w14:paraId="4EB60698" w14:textId="77777777" w:rsidR="006F76F0" w:rsidRPr="00262582" w:rsidRDefault="006F76F0" w:rsidP="006F76F0">
      <w:pPr>
        <w:spacing w:after="0" w:line="276" w:lineRule="auto"/>
        <w:contextualSpacing/>
        <w:jc w:val="both"/>
        <w:rPr>
          <w:rFonts w:ascii="Verdana" w:eastAsia="Calibri" w:hAnsi="Verdana" w:cs="Arial"/>
          <w:lang w:val="es-ES_tradnl" w:eastAsia="es-ES_tradnl"/>
        </w:rPr>
      </w:pPr>
    </w:p>
    <w:p w14:paraId="3827C552" w14:textId="77777777" w:rsidR="006F76F0" w:rsidRPr="00262582" w:rsidRDefault="006F76F0" w:rsidP="006F76F0">
      <w:pPr>
        <w:spacing w:after="0" w:line="276" w:lineRule="auto"/>
        <w:contextualSpacing/>
        <w:jc w:val="both"/>
        <w:rPr>
          <w:rFonts w:ascii="Verdana" w:eastAsia="Calibri" w:hAnsi="Verdana" w:cs="Arial"/>
          <w:lang w:val="es-ES" w:eastAsia="es-ES_tradnl"/>
        </w:rPr>
      </w:pPr>
      <w:r w:rsidRPr="00262582">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val="es-ES" w:eastAsia="es-ES_tradnl"/>
        </w:rPr>
        <w:t>24</w:t>
      </w:r>
      <w:r w:rsidRPr="00262582">
        <w:rPr>
          <w:rFonts w:ascii="Verdana" w:eastAsia="Calibri" w:hAnsi="Verdana" w:cs="Arial"/>
          <w:lang w:val="es-ES" w:eastAsia="es-ES_tradnl"/>
        </w:rPr>
        <w:t xml:space="preserve"> de julio de 2024, en la cual </w:t>
      </w:r>
      <w:r>
        <w:rPr>
          <w:rFonts w:ascii="Verdana" w:eastAsia="Calibri" w:hAnsi="Verdana" w:cs="Arial"/>
          <w:lang w:val="es-ES" w:eastAsia="es-ES_tradnl"/>
        </w:rPr>
        <w:t>manifiesta</w:t>
      </w:r>
      <w:r w:rsidRPr="00262582">
        <w:rPr>
          <w:rFonts w:ascii="Verdana" w:eastAsia="Calibri" w:hAnsi="Verdana" w:cs="Arial"/>
          <w:lang w:val="es-ES" w:eastAsia="es-ES_tradnl"/>
        </w:rPr>
        <w:t xml:space="preserve"> lo siguiente:</w:t>
      </w:r>
    </w:p>
    <w:p w14:paraId="68C9ABEF" w14:textId="77777777" w:rsidR="006F76F0" w:rsidRPr="00262582" w:rsidRDefault="006F76F0" w:rsidP="006F76F0">
      <w:pPr>
        <w:spacing w:after="0" w:line="276" w:lineRule="auto"/>
        <w:contextualSpacing/>
        <w:jc w:val="both"/>
        <w:rPr>
          <w:rFonts w:ascii="Verdana" w:eastAsia="Calibri" w:hAnsi="Verdana" w:cs="Arial"/>
          <w:b/>
          <w:szCs w:val="24"/>
          <w:lang w:val="es-ES_tradnl" w:eastAsia="es-ES_tradnl"/>
        </w:rPr>
      </w:pPr>
    </w:p>
    <w:p w14:paraId="1BD5E52A" w14:textId="77777777" w:rsidR="006F76F0" w:rsidRDefault="006F76F0" w:rsidP="006F76F0">
      <w:pPr>
        <w:spacing w:after="0" w:line="240" w:lineRule="auto"/>
        <w:ind w:left="709" w:right="709"/>
        <w:contextualSpacing/>
        <w:jc w:val="both"/>
        <w:rPr>
          <w:rFonts w:ascii="Verdana" w:eastAsia="Times New Roman" w:hAnsi="Verdana" w:cs="Arial"/>
          <w:sz w:val="21"/>
          <w:szCs w:val="21"/>
          <w:lang w:eastAsia="es-ES_tradnl"/>
        </w:rPr>
      </w:pPr>
      <w:r w:rsidRPr="00262582">
        <w:rPr>
          <w:rFonts w:ascii="Verdana" w:eastAsia="Times New Roman" w:hAnsi="Verdana" w:cs="Arial"/>
          <w:sz w:val="21"/>
          <w:szCs w:val="21"/>
          <w:lang w:eastAsia="es-ES_tradnl"/>
        </w:rPr>
        <w:t>“</w:t>
      </w:r>
      <w:r>
        <w:rPr>
          <w:rFonts w:ascii="Verdana" w:eastAsia="Times New Roman" w:hAnsi="Verdana" w:cs="Arial"/>
          <w:sz w:val="21"/>
          <w:szCs w:val="21"/>
          <w:lang w:eastAsia="es-ES_tradnl"/>
        </w:rPr>
        <w:t xml:space="preserve">[…] Como quiera que ni el Municipio de Nechí, ni otra entidad territorial de la zona, en los últimos 10 años ha desarrollado proceso de selección de operadores de servicios públicos de acueducto y alcantarillado o concesiones de infraestructura de servicios públicos, </w:t>
      </w:r>
      <w:r>
        <w:rPr>
          <w:rFonts w:ascii="Verdana" w:eastAsia="Times New Roman" w:hAnsi="Verdana" w:cs="Arial"/>
          <w:sz w:val="21"/>
          <w:szCs w:val="21"/>
          <w:lang w:eastAsia="es-ES_tradnl"/>
        </w:rPr>
        <w:lastRenderedPageBreak/>
        <w:t>no existe línea base que facilite la estructuración del proceso de contratación. Además, la implementación de los documentos tipo infraestructura de agua potable y saneamiento básico, junto con las modificaciones legales y regulatorias en materia de contratación pública, puede sugerir reglas de calificación y/o evaluación, de carácter obligatorio para el futuro proceso.</w:t>
      </w:r>
    </w:p>
    <w:p w14:paraId="77C540F7" w14:textId="77777777" w:rsidR="006F76F0" w:rsidRDefault="006F76F0" w:rsidP="006F76F0">
      <w:pPr>
        <w:spacing w:after="0" w:line="240" w:lineRule="auto"/>
        <w:ind w:left="709" w:right="709"/>
        <w:contextualSpacing/>
        <w:jc w:val="both"/>
        <w:rPr>
          <w:rFonts w:ascii="Verdana" w:eastAsia="Times New Roman" w:hAnsi="Verdana" w:cs="Arial"/>
          <w:sz w:val="21"/>
          <w:szCs w:val="21"/>
          <w:lang w:eastAsia="es-ES_tradnl"/>
        </w:rPr>
      </w:pPr>
    </w:p>
    <w:p w14:paraId="655A3339" w14:textId="77777777" w:rsidR="006F76F0" w:rsidRPr="00262582" w:rsidRDefault="006F76F0" w:rsidP="006F76F0">
      <w:pPr>
        <w:spacing w:after="0" w:line="240" w:lineRule="auto"/>
        <w:ind w:left="709" w:right="709"/>
        <w:contextualSpacing/>
        <w:jc w:val="both"/>
        <w:rPr>
          <w:rFonts w:ascii="Verdana" w:eastAsia="Times New Roman" w:hAnsi="Verdana" w:cs="Arial"/>
          <w:sz w:val="21"/>
          <w:szCs w:val="21"/>
          <w:lang w:eastAsia="es-ES_tradnl"/>
        </w:rPr>
      </w:pPr>
      <w:r>
        <w:rPr>
          <w:rFonts w:ascii="Verdana" w:eastAsia="Times New Roman" w:hAnsi="Verdana" w:cs="Arial"/>
          <w:sz w:val="21"/>
          <w:szCs w:val="21"/>
          <w:lang w:eastAsia="es-ES_tradnl"/>
        </w:rPr>
        <w:t>[…] solicitamos a su despacho, nos brinde claridad sobre la línea técnica en materia de contratación pública, para la selección de un (1) operador especializado para la concesión de la infraestructura de la prestación de los servicios públicos domiciliarios de acueducto, alcantarillado y sus actividades complementarias en Nechí-Antioquia. Rogamos a su despacho, nos pueda confirmar si la Licitación Pública es la modalidad de contratación aplicable, ofrecernos claridad sobre el esquema normativo aplicable y remitirnos documentos sugeridos especialmente en aspectos como: Análisis del Sector, Matriz de riesgos, Pliego de condiciones y demás formatos.”</w:t>
      </w:r>
    </w:p>
    <w:p w14:paraId="506BF656" w14:textId="77777777" w:rsidR="006F76F0" w:rsidRPr="00262582" w:rsidRDefault="006F76F0" w:rsidP="006F76F0">
      <w:pPr>
        <w:spacing w:after="0" w:line="240" w:lineRule="auto"/>
        <w:ind w:left="709" w:right="709"/>
        <w:contextualSpacing/>
        <w:jc w:val="both"/>
        <w:rPr>
          <w:rFonts w:ascii="Verdana" w:eastAsia="Times New Roman" w:hAnsi="Verdana" w:cs="Arial"/>
          <w:sz w:val="21"/>
          <w:szCs w:val="21"/>
          <w:lang w:eastAsia="es-ES_tradnl"/>
        </w:rPr>
      </w:pPr>
    </w:p>
    <w:p w14:paraId="58D618E8" w14:textId="77777777" w:rsidR="006F76F0" w:rsidRPr="00262582" w:rsidRDefault="006F76F0" w:rsidP="006F76F0">
      <w:pPr>
        <w:spacing w:after="120" w:line="276" w:lineRule="auto"/>
        <w:ind w:firstLine="709"/>
        <w:jc w:val="both"/>
        <w:rPr>
          <w:rFonts w:ascii="Verdana" w:eastAsia="Calibri" w:hAnsi="Verdana" w:cs="Arial"/>
          <w:color w:val="000000"/>
          <w:szCs w:val="24"/>
          <w:lang w:val="es-ES_tradnl" w:eastAsia="es-ES_tradnl"/>
        </w:rPr>
      </w:pPr>
      <w:r w:rsidRPr="00262582">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w:t>
      </w:r>
      <w:r>
        <w:rPr>
          <w:rFonts w:ascii="Verdana" w:eastAsia="Calibri" w:hAnsi="Verdana" w:cs="Arial"/>
          <w:color w:val="000000"/>
          <w:lang w:val="es-ES" w:eastAsia="es-ES"/>
        </w:rPr>
        <w:t xml:space="preserve"> o</w:t>
      </w:r>
      <w:r w:rsidRPr="00262582">
        <w:rPr>
          <w:rFonts w:ascii="Verdana" w:eastAsia="Calibri" w:hAnsi="Verdana" w:cs="Arial"/>
          <w:color w:val="000000"/>
          <w:lang w:val="es-ES" w:eastAsia="es-ES"/>
        </w:rPr>
        <w:t xml:space="preserve"> brindar asesorías sobre casos puntuales</w:t>
      </w:r>
      <w:r>
        <w:rPr>
          <w:rFonts w:ascii="Verdana" w:eastAsia="Calibri" w:hAnsi="Verdana" w:cs="Arial"/>
          <w:color w:val="000000"/>
          <w:lang w:val="es-ES" w:eastAsia="es-ES"/>
        </w:rPr>
        <w:t>, ni mucho menos establecer la modalidad o el instrumento contractual idóneo para la adquisición de bienes, obras o productos.</w:t>
      </w:r>
      <w:r w:rsidRPr="00262582">
        <w:rPr>
          <w:rFonts w:ascii="Verdana" w:eastAsia="Calibri" w:hAnsi="Verdana" w:cs="Arial"/>
          <w:color w:val="000000"/>
          <w:lang w:val="es-ES" w:eastAsia="es-ES"/>
        </w:rPr>
        <w:t xml:space="preserve"> </w:t>
      </w:r>
      <w:r w:rsidRPr="00262582">
        <w:rPr>
          <w:rFonts w:ascii="Verdana" w:eastAsia="Calibri" w:hAnsi="Verdana" w:cs="Arial"/>
          <w:color w:val="000000"/>
          <w:szCs w:val="24"/>
          <w:lang w:val="es-ES_tradnl" w:eastAsia="es-ES_tradnl"/>
        </w:rPr>
        <w:tab/>
      </w:r>
    </w:p>
    <w:p w14:paraId="28866A0E" w14:textId="77777777" w:rsidR="006F76F0" w:rsidRPr="00262582" w:rsidRDefault="006F76F0" w:rsidP="006F76F0">
      <w:pPr>
        <w:spacing w:after="0" w:line="276" w:lineRule="auto"/>
        <w:ind w:firstLine="709"/>
        <w:jc w:val="both"/>
        <w:rPr>
          <w:rFonts w:ascii="Verdana" w:eastAsia="Calibri" w:hAnsi="Verdana" w:cs="Arial"/>
          <w:lang w:val="es-ES" w:eastAsia="es-ES"/>
        </w:rPr>
      </w:pPr>
      <w:r w:rsidRPr="0026258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79F5288" w14:textId="77777777" w:rsidR="006F76F0" w:rsidRPr="00262582" w:rsidRDefault="006F76F0" w:rsidP="006F76F0">
      <w:pPr>
        <w:spacing w:after="0" w:line="276" w:lineRule="auto"/>
        <w:contextualSpacing/>
        <w:jc w:val="both"/>
        <w:rPr>
          <w:rFonts w:ascii="Verdana" w:eastAsia="Times New Roman" w:hAnsi="Verdana" w:cs="Arial"/>
          <w:szCs w:val="24"/>
          <w:lang w:val="es-ES_tradnl" w:eastAsia="es-ES_tradnl"/>
        </w:rPr>
      </w:pPr>
    </w:p>
    <w:p w14:paraId="462E1521" w14:textId="77777777" w:rsidR="006F76F0" w:rsidRPr="00262582" w:rsidRDefault="006F76F0" w:rsidP="006F76F0">
      <w:pPr>
        <w:tabs>
          <w:tab w:val="left" w:pos="0"/>
          <w:tab w:val="left" w:pos="284"/>
        </w:tabs>
        <w:spacing w:after="0" w:line="276" w:lineRule="auto"/>
        <w:contextualSpacing/>
        <w:jc w:val="both"/>
        <w:rPr>
          <w:rFonts w:ascii="Verdana" w:eastAsia="Calibri" w:hAnsi="Verdana" w:cs="Arial"/>
          <w:b/>
          <w:lang w:val="es-ES_tradnl"/>
        </w:rPr>
      </w:pPr>
      <w:r w:rsidRPr="00262582">
        <w:rPr>
          <w:rFonts w:ascii="Verdana" w:eastAsia="Calibri" w:hAnsi="Verdana" w:cs="Arial"/>
          <w:b/>
          <w:lang w:val="es-ES_tradnl"/>
        </w:rPr>
        <w:t>1. Problema planteado:</w:t>
      </w:r>
    </w:p>
    <w:p w14:paraId="70ED7824" w14:textId="77777777" w:rsidR="006F76F0" w:rsidRPr="00262582" w:rsidRDefault="006F76F0" w:rsidP="006F76F0">
      <w:pPr>
        <w:tabs>
          <w:tab w:val="left" w:pos="0"/>
          <w:tab w:val="left" w:pos="284"/>
        </w:tabs>
        <w:spacing w:after="0" w:line="276" w:lineRule="auto"/>
        <w:contextualSpacing/>
        <w:jc w:val="both"/>
        <w:rPr>
          <w:rFonts w:ascii="Verdana" w:eastAsia="Calibri" w:hAnsi="Verdana" w:cs="Arial"/>
          <w:b/>
          <w:lang w:val="es-ES_tradnl"/>
        </w:rPr>
      </w:pPr>
    </w:p>
    <w:p w14:paraId="6126DF28" w14:textId="77777777" w:rsidR="006F76F0" w:rsidRDefault="006F76F0" w:rsidP="006F76F0">
      <w:pPr>
        <w:spacing w:after="0" w:line="276" w:lineRule="auto"/>
        <w:jc w:val="both"/>
        <w:rPr>
          <w:rFonts w:ascii="Verdana" w:eastAsia="Century Gothic" w:hAnsi="Verdana" w:cs="Century Gothic"/>
        </w:rPr>
      </w:pPr>
      <w:r w:rsidRPr="00262582">
        <w:rPr>
          <w:rFonts w:ascii="Verdana" w:eastAsia="Century Gothic" w:hAnsi="Verdana" w:cs="Century Gothic"/>
        </w:rPr>
        <w:lastRenderedPageBreak/>
        <w:t xml:space="preserve">De acuerdo con el contenido de su solicitud, esta Agencia resolverá el siguiente problema jurídico: </w:t>
      </w:r>
    </w:p>
    <w:p w14:paraId="2B4BF8E5" w14:textId="77777777" w:rsidR="006F76F0" w:rsidRDefault="006F76F0" w:rsidP="006F76F0">
      <w:pPr>
        <w:spacing w:after="0" w:line="276" w:lineRule="auto"/>
        <w:jc w:val="both"/>
        <w:rPr>
          <w:rFonts w:ascii="Verdana" w:eastAsia="Century Gothic" w:hAnsi="Verdana" w:cs="Century Gothic"/>
        </w:rPr>
      </w:pPr>
    </w:p>
    <w:p w14:paraId="1C982A3B" w14:textId="77777777" w:rsidR="006F76F0" w:rsidRPr="00262582" w:rsidRDefault="006F76F0" w:rsidP="006F76F0">
      <w:pPr>
        <w:spacing w:after="0" w:line="276" w:lineRule="auto"/>
        <w:jc w:val="both"/>
        <w:rPr>
          <w:rFonts w:ascii="Verdana" w:eastAsia="Century Gothic" w:hAnsi="Verdana" w:cs="Century Gothic"/>
        </w:rPr>
      </w:pPr>
      <w:r w:rsidRPr="00262582">
        <w:rPr>
          <w:rFonts w:ascii="Verdana" w:eastAsia="Century Gothic" w:hAnsi="Verdana" w:cs="Century Gothic"/>
        </w:rPr>
        <w:t>¿</w:t>
      </w:r>
      <w:r>
        <w:rPr>
          <w:rFonts w:ascii="Verdana" w:eastAsia="Century Gothic" w:hAnsi="Verdana" w:cs="Century Gothic"/>
        </w:rPr>
        <w:t>Qué documentos tipo se encuentran vigentes en el sector de infraestructura de agua potable y saneamiento básico y cuál es su ámbito de aplicación</w:t>
      </w:r>
      <w:r w:rsidRPr="00262582">
        <w:rPr>
          <w:rFonts w:ascii="Verdana" w:eastAsia="Century Gothic" w:hAnsi="Verdana" w:cs="Century Gothic"/>
        </w:rPr>
        <w:t xml:space="preserve">? </w:t>
      </w:r>
    </w:p>
    <w:p w14:paraId="1498E663" w14:textId="77777777" w:rsidR="006F76F0" w:rsidRPr="00262582" w:rsidRDefault="006F76F0" w:rsidP="006F76F0">
      <w:pPr>
        <w:spacing w:after="0" w:line="276" w:lineRule="auto"/>
        <w:ind w:firstLine="709"/>
        <w:jc w:val="both"/>
        <w:rPr>
          <w:rFonts w:ascii="Verdana" w:eastAsia="Calibri" w:hAnsi="Verdana" w:cs="Arial"/>
          <w:lang w:val="es-ES" w:eastAsia="es-ES_tradnl"/>
        </w:rPr>
      </w:pPr>
    </w:p>
    <w:p w14:paraId="48CB2C58" w14:textId="77777777" w:rsidR="006F76F0" w:rsidRPr="00262582" w:rsidRDefault="006F76F0" w:rsidP="006F76F0">
      <w:pPr>
        <w:tabs>
          <w:tab w:val="left" w:pos="142"/>
          <w:tab w:val="left" w:pos="284"/>
        </w:tabs>
        <w:spacing w:after="0" w:line="276" w:lineRule="auto"/>
        <w:jc w:val="both"/>
        <w:rPr>
          <w:rFonts w:ascii="Verdana" w:eastAsia="Century Gothic" w:hAnsi="Verdana" w:cs="Century Gothic"/>
          <w:b/>
          <w:bCs/>
        </w:rPr>
      </w:pPr>
      <w:r w:rsidRPr="00262582">
        <w:rPr>
          <w:rFonts w:ascii="Verdana" w:eastAsia="Century Gothic" w:hAnsi="Verdana" w:cs="Century Gothic"/>
          <w:b/>
          <w:bCs/>
        </w:rPr>
        <w:t>2. Respuesta:</w:t>
      </w:r>
    </w:p>
    <w:p w14:paraId="357117A4" w14:textId="77777777" w:rsidR="006F76F0" w:rsidRPr="00262582" w:rsidRDefault="006F76F0" w:rsidP="006F76F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F76F0" w:rsidRPr="00262582" w14:paraId="51A0A7D9" w14:textId="77777777" w:rsidTr="00A92350">
        <w:tc>
          <w:tcPr>
            <w:tcW w:w="8828" w:type="dxa"/>
            <w:shd w:val="clear" w:color="auto" w:fill="auto"/>
          </w:tcPr>
          <w:p w14:paraId="4EA4C917" w14:textId="77777777" w:rsidR="006F76F0" w:rsidRDefault="006F76F0" w:rsidP="00A92350">
            <w:pPr>
              <w:spacing w:line="276" w:lineRule="auto"/>
              <w:contextualSpacing/>
              <w:jc w:val="both"/>
              <w:rPr>
                <w:rFonts w:ascii="Verdana" w:eastAsia="Calibri" w:hAnsi="Verdana" w:cs="Arial"/>
                <w:lang w:val="es-ES"/>
              </w:rPr>
            </w:pPr>
            <w:r w:rsidRPr="00B422F2">
              <w:rPr>
                <w:rFonts w:ascii="Verdana" w:eastAsia="Calibri" w:hAnsi="Verdana" w:cs="Arial"/>
                <w:lang w:val="es-ES"/>
              </w:rPr>
              <w:t xml:space="preserve">Para establecer si determinado objeto contractual se encuentra cobijado o no por los Documentos Tipo, es necesario determinar si el mismo se enmarca en los </w:t>
            </w:r>
            <w:bookmarkStart w:id="0" w:name="_Hlk176132784"/>
            <w:r w:rsidRPr="00B422F2">
              <w:rPr>
                <w:rFonts w:ascii="Verdana" w:eastAsia="Calibri" w:hAnsi="Verdana" w:cs="Arial"/>
                <w:lang w:val="es-ES"/>
              </w:rPr>
              <w:t xml:space="preserve">tipos de infraestructura, modalidades de selección y tipos de obra estandarizadas </w:t>
            </w:r>
            <w:bookmarkEnd w:id="0"/>
            <w:r w:rsidRPr="00B422F2">
              <w:rPr>
                <w:rFonts w:ascii="Verdana" w:eastAsia="Calibri" w:hAnsi="Verdana" w:cs="Arial"/>
                <w:lang w:val="es-ES"/>
              </w:rPr>
              <w:t>en las respectivas matrices de experiencia de los Documentos Tipo.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22C36162" w14:textId="77777777" w:rsidR="006F76F0" w:rsidRPr="00B422F2" w:rsidRDefault="006F76F0" w:rsidP="00A92350">
            <w:pPr>
              <w:spacing w:line="276" w:lineRule="auto"/>
              <w:contextualSpacing/>
              <w:jc w:val="both"/>
              <w:rPr>
                <w:rFonts w:ascii="Verdana" w:eastAsia="Calibri" w:hAnsi="Verdana" w:cs="Arial"/>
                <w:lang w:val="es-ES"/>
              </w:rPr>
            </w:pPr>
          </w:p>
          <w:p w14:paraId="3C7BA0E7" w14:textId="77777777" w:rsidR="006F76F0" w:rsidRPr="00B422F2" w:rsidRDefault="006F76F0" w:rsidP="00A92350">
            <w:pPr>
              <w:spacing w:line="276" w:lineRule="auto"/>
              <w:contextualSpacing/>
              <w:jc w:val="both"/>
              <w:rPr>
                <w:rFonts w:ascii="Verdana" w:eastAsia="Calibri" w:hAnsi="Verdana" w:cs="Arial"/>
                <w:lang w:val="es-ES"/>
              </w:rPr>
            </w:pPr>
            <w:r w:rsidRPr="00B422F2">
              <w:rPr>
                <w:rFonts w:ascii="Verdana" w:eastAsia="Calibri" w:hAnsi="Verdana" w:cs="Arial"/>
                <w:lang w:val="es-ES"/>
              </w:rPr>
              <w:t xml:space="preserve">Esta Agencia expidió </w:t>
            </w:r>
            <w:r>
              <w:rPr>
                <w:rFonts w:ascii="Verdana" w:eastAsia="Calibri" w:hAnsi="Verdana" w:cs="Arial"/>
                <w:lang w:val="es-ES"/>
              </w:rPr>
              <w:t>tres</w:t>
            </w:r>
            <w:r w:rsidRPr="00B422F2">
              <w:rPr>
                <w:rFonts w:ascii="Verdana" w:eastAsia="Calibri" w:hAnsi="Verdana" w:cs="Arial"/>
                <w:lang w:val="es-ES"/>
              </w:rPr>
              <w:t xml:space="preserve"> documentos tipo </w:t>
            </w:r>
            <w:r>
              <w:rPr>
                <w:rFonts w:ascii="Verdana" w:eastAsia="Calibri" w:hAnsi="Verdana" w:cs="Arial"/>
                <w:lang w:val="es-ES"/>
              </w:rPr>
              <w:t>para la</w:t>
            </w:r>
            <w:r w:rsidRPr="00B422F2">
              <w:rPr>
                <w:rFonts w:ascii="Verdana" w:eastAsia="Calibri" w:hAnsi="Verdana" w:cs="Arial"/>
                <w:lang w:val="es-ES"/>
              </w:rPr>
              <w:t xml:space="preserve"> infraestructura </w:t>
            </w:r>
            <w:r>
              <w:rPr>
                <w:rFonts w:ascii="Verdana" w:eastAsia="Calibri" w:hAnsi="Verdana" w:cs="Arial"/>
                <w:lang w:val="es-ES"/>
              </w:rPr>
              <w:t xml:space="preserve">de agua potable y saneamiento básico en las modalidades de i) licitación pública, </w:t>
            </w:r>
            <w:proofErr w:type="spellStart"/>
            <w:r>
              <w:rPr>
                <w:rFonts w:ascii="Verdana" w:eastAsia="Calibri" w:hAnsi="Verdana" w:cs="Arial"/>
                <w:lang w:val="es-ES"/>
              </w:rPr>
              <w:t>ii</w:t>
            </w:r>
            <w:proofErr w:type="spellEnd"/>
            <w:r>
              <w:rPr>
                <w:rFonts w:ascii="Verdana" w:eastAsia="Calibri" w:hAnsi="Verdana" w:cs="Arial"/>
                <w:lang w:val="es-ES"/>
              </w:rPr>
              <w:t xml:space="preserve">) licitación pública en modalidad llave en mano e </w:t>
            </w:r>
            <w:proofErr w:type="spellStart"/>
            <w:r>
              <w:rPr>
                <w:rFonts w:ascii="Verdana" w:eastAsia="Calibri" w:hAnsi="Verdana" w:cs="Arial"/>
                <w:lang w:val="es-ES"/>
              </w:rPr>
              <w:t>iii</w:t>
            </w:r>
            <w:proofErr w:type="spellEnd"/>
            <w:r>
              <w:rPr>
                <w:rFonts w:ascii="Verdana" w:eastAsia="Calibri" w:hAnsi="Verdana" w:cs="Arial"/>
                <w:lang w:val="es-ES"/>
              </w:rPr>
              <w:t>) interventoría de obra</w:t>
            </w:r>
            <w:r w:rsidRPr="00B422F2">
              <w:rPr>
                <w:rFonts w:ascii="Verdana" w:eastAsia="Calibri" w:hAnsi="Verdana" w:cs="Arial"/>
                <w:lang w:val="es-ES"/>
              </w:rPr>
              <w:t xml:space="preserve">. Por lo tanto, si la actividad a contratar se enmarca en alguna de las actividades definidas en la Matriz 1 de los referidos </w:t>
            </w:r>
            <w:r>
              <w:rPr>
                <w:rFonts w:ascii="Verdana" w:eastAsia="Calibri" w:hAnsi="Verdana" w:cs="Arial"/>
                <w:lang w:val="es-ES"/>
              </w:rPr>
              <w:t>documentos</w:t>
            </w:r>
            <w:r w:rsidRPr="00B422F2">
              <w:rPr>
                <w:rFonts w:ascii="Verdana" w:eastAsia="Calibri" w:hAnsi="Verdana" w:cs="Arial"/>
                <w:lang w:val="es-ES"/>
              </w:rPr>
              <w:t xml:space="preserve">, el uso de los documentos tipo será obligatorio para la entidad estatal. </w:t>
            </w:r>
          </w:p>
          <w:p w14:paraId="6DD88F83" w14:textId="77777777" w:rsidR="006F76F0" w:rsidRDefault="006F76F0" w:rsidP="00A92350">
            <w:pPr>
              <w:spacing w:after="120" w:line="276" w:lineRule="auto"/>
              <w:jc w:val="both"/>
              <w:rPr>
                <w:rFonts w:ascii="Verdana" w:eastAsia="Times New Roman" w:hAnsi="Verdana" w:cs="Arial"/>
                <w:color w:val="000000" w:themeColor="text1"/>
                <w:lang w:val="es-ES" w:eastAsia="es-CO"/>
              </w:rPr>
            </w:pPr>
          </w:p>
          <w:p w14:paraId="28068D60" w14:textId="77777777" w:rsidR="006F76F0" w:rsidRDefault="006F76F0" w:rsidP="006F76F0">
            <w:pPr>
              <w:pStyle w:val="Prrafodelista"/>
              <w:numPr>
                <w:ilvl w:val="0"/>
                <w:numId w:val="2"/>
              </w:numPr>
              <w:spacing w:after="120" w:line="276" w:lineRule="auto"/>
              <w:jc w:val="both"/>
              <w:rPr>
                <w:rFonts w:ascii="Verdana" w:eastAsia="Times New Roman" w:hAnsi="Verdana" w:cs="Arial"/>
                <w:color w:val="000000" w:themeColor="text1"/>
                <w:lang w:eastAsia="es-CO"/>
              </w:rPr>
            </w:pPr>
            <w:hyperlink r:id="rId11" w:history="1">
              <w:r w:rsidRPr="002B7B9A">
                <w:rPr>
                  <w:rStyle w:val="Hipervnculo"/>
                  <w:rFonts w:ascii="Verdana" w:eastAsia="Times New Roman" w:hAnsi="Verdana" w:cs="Arial"/>
                  <w:lang w:eastAsia="es-CO"/>
                </w:rPr>
                <w:t>Documentos tipo para los procesos de licitación para obras de infraestructura de agua potable y saneamiento básico</w:t>
              </w:r>
            </w:hyperlink>
          </w:p>
          <w:p w14:paraId="1E6A6E39" w14:textId="77777777" w:rsidR="006F76F0" w:rsidRDefault="006F76F0" w:rsidP="006F76F0">
            <w:pPr>
              <w:pStyle w:val="Prrafodelista"/>
              <w:numPr>
                <w:ilvl w:val="0"/>
                <w:numId w:val="2"/>
              </w:numPr>
              <w:spacing w:after="120" w:line="276" w:lineRule="auto"/>
              <w:jc w:val="both"/>
              <w:rPr>
                <w:rFonts w:ascii="Verdana" w:eastAsia="Times New Roman" w:hAnsi="Verdana" w:cs="Arial"/>
                <w:color w:val="000000" w:themeColor="text1"/>
                <w:lang w:eastAsia="es-CO"/>
              </w:rPr>
            </w:pPr>
            <w:hyperlink r:id="rId12" w:history="1">
              <w:r w:rsidRPr="003609AE">
                <w:rPr>
                  <w:rStyle w:val="Hipervnculo"/>
                  <w:rFonts w:ascii="Verdana" w:eastAsia="Times New Roman" w:hAnsi="Verdana" w:cs="Arial"/>
                  <w:lang w:eastAsia="es-CO"/>
                </w:rPr>
                <w:t>Documentos tipo para los procesos de licitación para obras de infraestructura de agua potable y saneamiento básico en la modalidad de llave en mano</w:t>
              </w:r>
            </w:hyperlink>
          </w:p>
          <w:p w14:paraId="74134C15" w14:textId="77777777" w:rsidR="006F76F0" w:rsidRPr="003A3797" w:rsidRDefault="006F76F0" w:rsidP="006F76F0">
            <w:pPr>
              <w:pStyle w:val="Prrafodelista"/>
              <w:numPr>
                <w:ilvl w:val="0"/>
                <w:numId w:val="2"/>
              </w:numPr>
              <w:spacing w:after="120" w:line="276" w:lineRule="auto"/>
              <w:jc w:val="both"/>
              <w:rPr>
                <w:rStyle w:val="Hipervnculo"/>
                <w:rFonts w:ascii="Verdana" w:eastAsia="Times New Roman" w:hAnsi="Verdana" w:cs="Arial"/>
                <w:color w:val="000000" w:themeColor="text1"/>
                <w:lang w:eastAsia="es-CO"/>
              </w:rPr>
            </w:pPr>
            <w:hyperlink r:id="rId13" w:history="1">
              <w:r w:rsidRPr="003609AE">
                <w:rPr>
                  <w:rStyle w:val="Hipervnculo"/>
                  <w:rFonts w:ascii="Verdana" w:eastAsia="Times New Roman" w:hAnsi="Verdana" w:cs="Arial"/>
                  <w:lang w:eastAsia="es-CO"/>
                </w:rPr>
                <w:t>Documentos tipo de interventoría de obra pública de infraestructura de agua potable y saneamiento básico.</w:t>
              </w:r>
            </w:hyperlink>
          </w:p>
          <w:p w14:paraId="235AB77E" w14:textId="77777777" w:rsidR="006F76F0" w:rsidRDefault="006F76F0" w:rsidP="00A92350">
            <w:pPr>
              <w:pStyle w:val="Prrafodelista"/>
              <w:spacing w:after="120" w:line="276" w:lineRule="auto"/>
              <w:jc w:val="both"/>
              <w:rPr>
                <w:rFonts w:ascii="Verdana" w:eastAsia="Times New Roman" w:hAnsi="Verdana" w:cs="Arial"/>
                <w:color w:val="000000" w:themeColor="text1"/>
                <w:lang w:eastAsia="es-CO"/>
              </w:rPr>
            </w:pPr>
          </w:p>
          <w:p w14:paraId="6A3E2BF8" w14:textId="77777777" w:rsidR="006F76F0" w:rsidRDefault="006F76F0" w:rsidP="00A92350">
            <w:pPr>
              <w:spacing w:after="120"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En ese sentido, l</w:t>
            </w:r>
            <w:r w:rsidRPr="00100671">
              <w:rPr>
                <w:rFonts w:ascii="Verdana" w:eastAsia="Times New Roman" w:hAnsi="Verdana" w:cs="Arial"/>
                <w:color w:val="000000" w:themeColor="text1"/>
                <w:lang w:eastAsia="es-CO"/>
              </w:rPr>
              <w:t>a entidad debe identificar en su etapa previa de planeación, y en concordancia con su Plan Anual</w:t>
            </w:r>
            <w:r>
              <w:rPr>
                <w:rFonts w:ascii="Verdana" w:eastAsia="Times New Roman" w:hAnsi="Verdana" w:cs="Arial"/>
                <w:color w:val="000000" w:themeColor="text1"/>
                <w:lang w:eastAsia="es-CO"/>
              </w:rPr>
              <w:t xml:space="preserve"> </w:t>
            </w:r>
            <w:r w:rsidRPr="00100671">
              <w:rPr>
                <w:rFonts w:ascii="Verdana" w:eastAsia="Times New Roman" w:hAnsi="Verdana" w:cs="Arial"/>
                <w:color w:val="000000" w:themeColor="text1"/>
                <w:lang w:eastAsia="es-CO"/>
              </w:rPr>
              <w:t xml:space="preserve">de Adquisiciones (PAA), el objeto y alcance de las obras que pretende ejecutar. </w:t>
            </w:r>
            <w:r>
              <w:rPr>
                <w:rFonts w:ascii="Verdana" w:eastAsia="Times New Roman" w:hAnsi="Verdana" w:cs="Arial"/>
                <w:color w:val="000000" w:themeColor="text1"/>
                <w:lang w:eastAsia="es-CO"/>
              </w:rPr>
              <w:t>Dicho esto</w:t>
            </w:r>
            <w:r w:rsidRPr="00100671">
              <w:rPr>
                <w:rFonts w:ascii="Verdana" w:eastAsia="Times New Roman" w:hAnsi="Verdana" w:cs="Arial"/>
                <w:color w:val="000000" w:themeColor="text1"/>
                <w:lang w:eastAsia="es-CO"/>
              </w:rPr>
              <w:t>, debe</w:t>
            </w:r>
            <w:r>
              <w:rPr>
                <w:rFonts w:ascii="Verdana" w:eastAsia="Times New Roman" w:hAnsi="Verdana" w:cs="Arial"/>
                <w:color w:val="000000" w:themeColor="text1"/>
                <w:lang w:eastAsia="es-CO"/>
              </w:rPr>
              <w:t xml:space="preserve"> </w:t>
            </w:r>
            <w:r w:rsidRPr="00100671">
              <w:rPr>
                <w:rFonts w:ascii="Verdana" w:eastAsia="Times New Roman" w:hAnsi="Verdana" w:cs="Arial"/>
                <w:color w:val="000000" w:themeColor="text1"/>
                <w:lang w:eastAsia="es-CO"/>
              </w:rPr>
              <w:t xml:space="preserve">establecer si </w:t>
            </w:r>
            <w:r w:rsidRPr="00100671">
              <w:rPr>
                <w:rFonts w:ascii="Verdana" w:eastAsia="Times New Roman" w:hAnsi="Verdana" w:cs="Arial"/>
                <w:color w:val="000000" w:themeColor="text1"/>
                <w:lang w:eastAsia="es-CO"/>
              </w:rPr>
              <w:lastRenderedPageBreak/>
              <w:t>corresponden a una obra de infraestructura de</w:t>
            </w:r>
            <w:r>
              <w:rPr>
                <w:rFonts w:ascii="Verdana" w:eastAsia="Times New Roman" w:hAnsi="Verdana" w:cs="Arial"/>
                <w:color w:val="000000" w:themeColor="text1"/>
                <w:lang w:eastAsia="es-CO"/>
              </w:rPr>
              <w:t xml:space="preserve"> agua potable y saneamiento básico y la actividad a contratar correspondiente.</w:t>
            </w:r>
          </w:p>
          <w:p w14:paraId="6E29C912" w14:textId="77777777" w:rsidR="006F76F0" w:rsidRDefault="006F76F0" w:rsidP="00A92350">
            <w:pPr>
              <w:spacing w:after="120"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De otro lado, se advierte que si lo que la Entidad Estatal pretende es celebrar un contrato de concesión, en los términos del numeral 4 del artículo 32 de la Ley 80 de 1993, la Entidad Estatal no estaría obligada a aplicar un documento tipo en particular, por cuanto el proceso de selección competitivo para la selección del concesionario no hace parte del ámbito de aplicación de los documentos tipo, dado que las reglas consignadas en el “Documento Base”, los tipos de obras incorporadas en la “Matriz de Experiencia” y las actividades de cada una de ellas están orientadas a la selección del contratista que ejecute una obra, y no la prestación, </w:t>
            </w:r>
            <w:r w:rsidRPr="00E8680D">
              <w:rPr>
                <w:rFonts w:ascii="Verdana" w:eastAsia="Times New Roman" w:hAnsi="Verdana" w:cs="Arial"/>
                <w:color w:val="000000" w:themeColor="text1"/>
                <w:lang w:eastAsia="es-CO"/>
              </w:rPr>
              <w:t xml:space="preserve">operación, explotación, organización o gestión, total o parcial, de un servicio público, o la construcción, explotación o conservación total o parcial, de una obra o bien destinados al servicio o uso público, </w:t>
            </w:r>
            <w:r>
              <w:rPr>
                <w:rFonts w:ascii="Verdana" w:eastAsia="Times New Roman" w:hAnsi="Verdana" w:cs="Arial"/>
                <w:color w:val="000000" w:themeColor="text1"/>
                <w:lang w:eastAsia="es-CO"/>
              </w:rPr>
              <w:t>como tampoco permitiría contratar</w:t>
            </w:r>
            <w:r w:rsidRPr="00E8680D">
              <w:rPr>
                <w:rFonts w:ascii="Verdana" w:eastAsia="Times New Roman" w:hAnsi="Verdana" w:cs="Arial"/>
                <w:color w:val="000000" w:themeColor="text1"/>
                <w:lang w:eastAsia="es-CO"/>
              </w:rPr>
              <w:t xml:space="preserve"> actividades necesarias para la adecuada prestación o funcionamiento de la obra o servicio por cuenta y riesgo de</w:t>
            </w:r>
            <w:r>
              <w:rPr>
                <w:rFonts w:ascii="Verdana" w:eastAsia="Times New Roman" w:hAnsi="Verdana" w:cs="Arial"/>
                <w:color w:val="000000" w:themeColor="text1"/>
                <w:lang w:eastAsia="es-CO"/>
              </w:rPr>
              <w:t xml:space="preserve"> quien funja como</w:t>
            </w:r>
            <w:r w:rsidRPr="00E8680D">
              <w:rPr>
                <w:rFonts w:ascii="Verdana" w:eastAsia="Times New Roman" w:hAnsi="Verdana" w:cs="Arial"/>
                <w:color w:val="000000" w:themeColor="text1"/>
                <w:lang w:eastAsia="es-CO"/>
              </w:rPr>
              <w:t xml:space="preserve"> concesionario, </w:t>
            </w:r>
            <w:r>
              <w:rPr>
                <w:rFonts w:ascii="Verdana" w:eastAsia="Times New Roman" w:hAnsi="Verdana" w:cs="Arial"/>
                <w:color w:val="000000" w:themeColor="text1"/>
                <w:lang w:eastAsia="es-CO"/>
              </w:rPr>
              <w:t>así como tampoco fija como forma de r</w:t>
            </w:r>
            <w:r w:rsidRPr="00E8680D">
              <w:rPr>
                <w:rFonts w:ascii="Verdana" w:eastAsia="Times New Roman" w:hAnsi="Verdana" w:cs="Arial"/>
                <w:color w:val="000000" w:themeColor="text1"/>
                <w:lang w:eastAsia="es-CO"/>
              </w:rPr>
              <w:t xml:space="preserve">emuneración derechos, tarifas, tasas, valorización, o en la participación que se le otorgue en la explotación </w:t>
            </w:r>
            <w:r>
              <w:rPr>
                <w:rFonts w:ascii="Verdana" w:eastAsia="Times New Roman" w:hAnsi="Verdana" w:cs="Arial"/>
                <w:color w:val="000000" w:themeColor="text1"/>
                <w:lang w:eastAsia="es-CO"/>
              </w:rPr>
              <w:t>de algún</w:t>
            </w:r>
            <w:r w:rsidRPr="00E8680D">
              <w:rPr>
                <w:rFonts w:ascii="Verdana" w:eastAsia="Times New Roman" w:hAnsi="Verdana" w:cs="Arial"/>
                <w:color w:val="000000" w:themeColor="text1"/>
                <w:lang w:eastAsia="es-CO"/>
              </w:rPr>
              <w:t xml:space="preserve"> bien</w:t>
            </w:r>
            <w:r>
              <w:rPr>
                <w:rFonts w:ascii="Verdana" w:eastAsia="Times New Roman" w:hAnsi="Verdana" w:cs="Arial"/>
                <w:color w:val="000000" w:themeColor="text1"/>
                <w:lang w:eastAsia="es-CO"/>
              </w:rPr>
              <w:t>.</w:t>
            </w:r>
          </w:p>
          <w:p w14:paraId="54139AAB" w14:textId="77777777" w:rsidR="006F76F0" w:rsidRDefault="006F76F0" w:rsidP="00A92350">
            <w:pPr>
              <w:spacing w:after="120"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No obstante, desde la Subdirección de Gestión Contractual sugerimos que: i) se desarrolle la planeación contractual exigida por las disposiciones del EGCAP que buscan la protección del principio de economía contemplado en el artículo 25 de dicho cuerpo normativo. Para ello, invitamos consultar la </w:t>
            </w:r>
            <w:r w:rsidRPr="00DA6733">
              <w:rPr>
                <w:rFonts w:ascii="Verdana" w:eastAsia="Times New Roman" w:hAnsi="Verdana" w:cs="Arial"/>
                <w:i/>
                <w:iCs/>
                <w:color w:val="000000" w:themeColor="text1"/>
                <w:lang w:eastAsia="es-CO"/>
              </w:rPr>
              <w:t>Guía de elaboración de estudios del sector</w:t>
            </w:r>
            <w:r>
              <w:rPr>
                <w:rFonts w:ascii="Verdana" w:eastAsia="Times New Roman" w:hAnsi="Verdana" w:cs="Arial"/>
                <w:i/>
                <w:iCs/>
                <w:color w:val="000000" w:themeColor="text1"/>
                <w:lang w:eastAsia="es-CO"/>
              </w:rPr>
              <w:t>,</w:t>
            </w:r>
            <w:r w:rsidRPr="00D93CBB">
              <w:rPr>
                <w:rFonts w:ascii="Verdana" w:eastAsia="Times New Roman" w:hAnsi="Verdana" w:cs="Arial"/>
                <w:color w:val="000000" w:themeColor="text1"/>
                <w:lang w:eastAsia="es-CO"/>
              </w:rPr>
              <w:t xml:space="preserve"> </w:t>
            </w:r>
            <w:r>
              <w:rPr>
                <w:rFonts w:ascii="Verdana" w:eastAsia="Times New Roman" w:hAnsi="Verdana" w:cs="Arial"/>
                <w:color w:val="000000" w:themeColor="text1"/>
                <w:lang w:eastAsia="es-CO"/>
              </w:rPr>
              <w:t xml:space="preserve">el </w:t>
            </w:r>
            <w:r w:rsidRPr="00046A5C">
              <w:rPr>
                <w:rFonts w:ascii="Verdana" w:eastAsia="Times New Roman" w:hAnsi="Verdana" w:cs="Arial"/>
                <w:i/>
                <w:iCs/>
                <w:color w:val="000000" w:themeColor="text1"/>
                <w:lang w:eastAsia="es-CO"/>
              </w:rPr>
              <w:t>Manual para la Identificación y Cobertura del Riesgo</w:t>
            </w:r>
            <w:r w:rsidRPr="00046A5C">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w:t>
            </w:r>
            <w:r w:rsidRPr="00D93CBB">
              <w:rPr>
                <w:rFonts w:ascii="Verdana" w:eastAsia="Times New Roman" w:hAnsi="Verdana" w:cs="Arial"/>
                <w:color w:val="000000" w:themeColor="text1"/>
                <w:lang w:eastAsia="es-CO"/>
              </w:rPr>
              <w:t>el</w:t>
            </w:r>
            <w:r>
              <w:rPr>
                <w:rFonts w:ascii="Verdana" w:eastAsia="Times New Roman" w:hAnsi="Verdana" w:cs="Arial"/>
                <w:i/>
                <w:iCs/>
                <w:color w:val="000000" w:themeColor="text1"/>
                <w:lang w:eastAsia="es-CO"/>
              </w:rPr>
              <w:t xml:space="preserve"> Modelo de Abastecimiento Estratégico </w:t>
            </w:r>
            <w:r w:rsidRPr="007433FF">
              <w:rPr>
                <w:rFonts w:ascii="Verdana" w:eastAsia="Times New Roman" w:hAnsi="Verdana" w:cs="Arial"/>
                <w:color w:val="000000" w:themeColor="text1"/>
                <w:lang w:eastAsia="es-CO"/>
              </w:rPr>
              <w:t>y la</w:t>
            </w:r>
            <w:r>
              <w:rPr>
                <w:rFonts w:ascii="Verdana" w:eastAsia="Times New Roman" w:hAnsi="Verdana" w:cs="Arial"/>
                <w:i/>
                <w:iCs/>
                <w:color w:val="000000" w:themeColor="text1"/>
                <w:lang w:eastAsia="es-CO"/>
              </w:rPr>
              <w:t xml:space="preserve"> Guía de Compras Públicas Sostenibles con el Medio Ambiente </w:t>
            </w:r>
            <w:r w:rsidRPr="007433FF">
              <w:rPr>
                <w:rFonts w:ascii="Verdana" w:eastAsia="Times New Roman" w:hAnsi="Verdana" w:cs="Arial"/>
                <w:color w:val="000000" w:themeColor="text1"/>
                <w:lang w:eastAsia="es-CO"/>
              </w:rPr>
              <w:t xml:space="preserve">que sirven como orientación para el desarrollo de las distintas etapas </w:t>
            </w:r>
            <w:r>
              <w:rPr>
                <w:rFonts w:ascii="Verdana" w:eastAsia="Times New Roman" w:hAnsi="Verdana" w:cs="Arial"/>
                <w:color w:val="000000" w:themeColor="text1"/>
                <w:lang w:eastAsia="es-CO"/>
              </w:rPr>
              <w:t xml:space="preserve">en dicha planificación y, </w:t>
            </w:r>
            <w:proofErr w:type="spellStart"/>
            <w:r>
              <w:rPr>
                <w:rFonts w:ascii="Verdana" w:eastAsia="Times New Roman" w:hAnsi="Verdana" w:cs="Arial"/>
                <w:color w:val="000000" w:themeColor="text1"/>
                <w:lang w:eastAsia="es-CO"/>
              </w:rPr>
              <w:t>ii</w:t>
            </w:r>
            <w:proofErr w:type="spellEnd"/>
            <w:r>
              <w:rPr>
                <w:rFonts w:ascii="Verdana" w:eastAsia="Times New Roman" w:hAnsi="Verdana" w:cs="Arial"/>
                <w:color w:val="000000" w:themeColor="text1"/>
                <w:lang w:eastAsia="es-CO"/>
              </w:rPr>
              <w:t xml:space="preserve">) se consulte con las entidades del sector de agua potable y saneamiento básico como el Ministerio de Vivienda, Ciudad y Territorio, la Comisión de Regulación </w:t>
            </w:r>
            <w:r w:rsidRPr="00AC1951">
              <w:rPr>
                <w:rFonts w:ascii="Verdana" w:eastAsia="Times New Roman" w:hAnsi="Verdana" w:cs="Arial"/>
                <w:color w:val="000000" w:themeColor="text1"/>
                <w:lang w:eastAsia="es-CO"/>
              </w:rPr>
              <w:t>de Agua Potable y Saneamiento Básico</w:t>
            </w:r>
            <w:r>
              <w:rPr>
                <w:rFonts w:ascii="Verdana" w:eastAsia="Times New Roman" w:hAnsi="Verdana" w:cs="Arial"/>
                <w:color w:val="000000" w:themeColor="text1"/>
                <w:lang w:eastAsia="es-CO"/>
              </w:rPr>
              <w:t>, el Departamento Nacional de Planeación, entre otras, sobre los aspectos técnicos del proyecto.</w:t>
            </w:r>
          </w:p>
          <w:p w14:paraId="0F2177F4" w14:textId="77777777" w:rsidR="006F76F0" w:rsidRDefault="006F76F0" w:rsidP="00A92350">
            <w:pPr>
              <w:spacing w:after="120"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Finalmente, lo invitamos a consultar la </w:t>
            </w:r>
            <w:r w:rsidRPr="007C5503">
              <w:rPr>
                <w:rFonts w:ascii="Verdana" w:eastAsia="Times New Roman" w:hAnsi="Verdana" w:cs="Arial"/>
                <w:i/>
                <w:iCs/>
                <w:color w:val="000000" w:themeColor="text1"/>
                <w:lang w:eastAsia="es-CO"/>
              </w:rPr>
              <w:t>Guía para la comprensión e implementación de los Documentos Tipo de obra pública de infraestructura de transporte bajo las diferentes modalidades de contratación vigentes</w:t>
            </w:r>
            <w:r>
              <w:rPr>
                <w:rFonts w:ascii="Verdana" w:eastAsia="Times New Roman" w:hAnsi="Verdana" w:cs="Arial"/>
                <w:i/>
                <w:iCs/>
                <w:color w:val="000000" w:themeColor="text1"/>
                <w:lang w:eastAsia="es-CO"/>
              </w:rPr>
              <w:t xml:space="preserve"> </w:t>
            </w:r>
            <w:r>
              <w:rPr>
                <w:rFonts w:ascii="Verdana" w:eastAsia="Times New Roman" w:hAnsi="Verdana" w:cs="Arial"/>
                <w:color w:val="000000" w:themeColor="text1"/>
                <w:lang w:eastAsia="es-CO"/>
              </w:rPr>
              <w:t xml:space="preserve">que, aunque desarrolla su contenido con base en la implementación de los Documentos Tipo del sector de infraestructura de transporte, desde el punto de vista sustancial permite comprender todos los aspectos de los demás </w:t>
            </w:r>
            <w:r>
              <w:rPr>
                <w:rFonts w:ascii="Verdana" w:eastAsia="Times New Roman" w:hAnsi="Verdana" w:cs="Arial"/>
                <w:color w:val="000000" w:themeColor="text1"/>
                <w:lang w:eastAsia="es-CO"/>
              </w:rPr>
              <w:lastRenderedPageBreak/>
              <w:t>documentos tipo para sectores distintos, como conocer los pasos para entenderlos, establecer los requisitos de experiencia, entre otros:</w:t>
            </w:r>
          </w:p>
          <w:p w14:paraId="1203795A" w14:textId="77777777" w:rsidR="006F76F0" w:rsidRDefault="006F76F0" w:rsidP="006F76F0">
            <w:pPr>
              <w:pStyle w:val="Prrafodelista"/>
              <w:numPr>
                <w:ilvl w:val="0"/>
                <w:numId w:val="3"/>
              </w:numPr>
              <w:spacing w:after="120" w:line="276" w:lineRule="auto"/>
              <w:jc w:val="both"/>
              <w:rPr>
                <w:rFonts w:ascii="Verdana" w:eastAsia="Times New Roman" w:hAnsi="Verdana" w:cs="Arial"/>
                <w:color w:val="000000" w:themeColor="text1"/>
                <w:lang w:eastAsia="es-CO"/>
              </w:rPr>
            </w:pPr>
            <w:hyperlink r:id="rId14" w:history="1">
              <w:r w:rsidRPr="00F32A09">
                <w:rPr>
                  <w:rStyle w:val="Hipervnculo"/>
                  <w:rFonts w:ascii="Verdana" w:eastAsia="Times New Roman" w:hAnsi="Verdana" w:cs="Arial"/>
                  <w:lang w:eastAsia="es-CO"/>
                </w:rPr>
                <w:t>https://www.colombiacompra.gov.co/sites/cce_public/files/cce_documents/guia_para_la_comprension_e_implementacion_de_los_documentos_tipo_obra_publica_de_infraestructura_transporte_-_cce-eicp-gi12.pdf</w:t>
              </w:r>
            </w:hyperlink>
            <w:r>
              <w:rPr>
                <w:rFonts w:ascii="Verdana" w:eastAsia="Times New Roman" w:hAnsi="Verdana" w:cs="Arial"/>
                <w:color w:val="000000" w:themeColor="text1"/>
                <w:lang w:eastAsia="es-CO"/>
              </w:rPr>
              <w:t xml:space="preserve"> </w:t>
            </w:r>
          </w:p>
          <w:p w14:paraId="2A531D88" w14:textId="77777777" w:rsidR="006F76F0" w:rsidRPr="003E7F91" w:rsidRDefault="006F76F0" w:rsidP="00A92350">
            <w:pPr>
              <w:spacing w:after="120" w:line="276" w:lineRule="auto"/>
              <w:jc w:val="both"/>
              <w:rPr>
                <w:rFonts w:ascii="Verdana" w:eastAsia="Times New Roman" w:hAnsi="Verdana" w:cs="Arial"/>
                <w:color w:val="000000" w:themeColor="text1"/>
                <w:lang w:eastAsia="es-CO"/>
              </w:rPr>
            </w:pPr>
            <w:r>
              <w:rPr>
                <w:rFonts w:ascii="Verdana" w:eastAsia="Calibri" w:hAnsi="Verdana" w:cs="Arial"/>
              </w:rPr>
              <w:t xml:space="preserve">No </w:t>
            </w:r>
            <w:proofErr w:type="gramStart"/>
            <w:r>
              <w:rPr>
                <w:rFonts w:ascii="Verdana" w:eastAsia="Calibri" w:hAnsi="Verdana" w:cs="Arial"/>
              </w:rPr>
              <w:t>obstante</w:t>
            </w:r>
            <w:proofErr w:type="gramEnd"/>
            <w:r>
              <w:rPr>
                <w:rFonts w:ascii="Verdana" w:eastAsia="Calibri" w:hAnsi="Verdana" w:cs="Arial"/>
              </w:rPr>
              <w:t xml:space="preserve"> lo anterior, es importante resaltar que, desde la autonomía administrativa de cada entidad y según el caso concreto, corresponde a ellas determinar la modalidad de selección por medio de la cual adelantaran la contratación.</w:t>
            </w:r>
          </w:p>
        </w:tc>
      </w:tr>
    </w:tbl>
    <w:p w14:paraId="1B540793" w14:textId="77777777" w:rsidR="006F76F0" w:rsidRPr="00262582" w:rsidRDefault="006F76F0" w:rsidP="006F76F0">
      <w:pPr>
        <w:spacing w:after="0" w:line="276" w:lineRule="auto"/>
        <w:contextualSpacing/>
        <w:jc w:val="both"/>
        <w:rPr>
          <w:rFonts w:ascii="Verdana" w:eastAsia="Times New Roman" w:hAnsi="Verdana" w:cs="Arial"/>
          <w:lang w:eastAsia="es-ES_tradnl"/>
        </w:rPr>
      </w:pPr>
    </w:p>
    <w:p w14:paraId="01B360C8" w14:textId="77777777" w:rsidR="006F76F0" w:rsidRPr="00262582" w:rsidRDefault="006F76F0" w:rsidP="006F76F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62582">
        <w:rPr>
          <w:rFonts w:ascii="Verdana" w:eastAsia="Century Gothic" w:hAnsi="Verdana" w:cs="Century Gothic"/>
          <w:b/>
          <w:bCs/>
        </w:rPr>
        <w:t>3. Razones de la respuesta:</w:t>
      </w:r>
    </w:p>
    <w:p w14:paraId="59948BFB" w14:textId="77777777" w:rsidR="006F76F0" w:rsidRPr="00262582" w:rsidRDefault="006F76F0" w:rsidP="006F76F0">
      <w:pPr>
        <w:spacing w:after="0" w:line="276" w:lineRule="auto"/>
        <w:jc w:val="both"/>
        <w:rPr>
          <w:rFonts w:ascii="Verdana" w:eastAsia="Calibri" w:hAnsi="Verdana" w:cs="Arial"/>
          <w:color w:val="7030A0"/>
          <w:lang w:val="es-ES"/>
        </w:rPr>
      </w:pPr>
    </w:p>
    <w:p w14:paraId="32CB0649" w14:textId="77777777" w:rsidR="006F76F0" w:rsidRDefault="006F76F0" w:rsidP="006F76F0">
      <w:pPr>
        <w:spacing w:after="0" w:line="276" w:lineRule="auto"/>
        <w:jc w:val="both"/>
        <w:rPr>
          <w:rFonts w:ascii="Verdana" w:eastAsia="Calibri" w:hAnsi="Verdana" w:cs="Arial"/>
          <w:lang w:val="es-ES"/>
        </w:rPr>
      </w:pPr>
      <w:r w:rsidRPr="00262582">
        <w:rPr>
          <w:rFonts w:ascii="Verdana" w:eastAsia="Calibri" w:hAnsi="Verdana" w:cs="Arial"/>
          <w:lang w:val="es-ES"/>
        </w:rPr>
        <w:t xml:space="preserve">Lo anterior se sustenta en las siguientes consideraciones: </w:t>
      </w:r>
    </w:p>
    <w:p w14:paraId="31BCF0CB" w14:textId="77777777" w:rsidR="006F76F0" w:rsidRPr="00596104" w:rsidRDefault="006F76F0" w:rsidP="006F76F0">
      <w:pPr>
        <w:spacing w:after="0" w:line="276" w:lineRule="auto"/>
        <w:jc w:val="both"/>
        <w:rPr>
          <w:rFonts w:ascii="Verdana" w:eastAsia="Calibri" w:hAnsi="Verdana" w:cs="Arial"/>
          <w:lang w:val="es-ES"/>
        </w:rPr>
      </w:pPr>
    </w:p>
    <w:p w14:paraId="386E6028" w14:textId="77777777" w:rsidR="006F76F0" w:rsidRPr="00596104" w:rsidRDefault="006F76F0" w:rsidP="006F76F0">
      <w:pPr>
        <w:pStyle w:val="Prrafodelista"/>
        <w:tabs>
          <w:tab w:val="left" w:pos="0"/>
          <w:tab w:val="left" w:pos="284"/>
        </w:tabs>
        <w:spacing w:line="276" w:lineRule="auto"/>
        <w:ind w:left="0"/>
        <w:jc w:val="both"/>
        <w:rPr>
          <w:rFonts w:ascii="Verdana" w:eastAsia="Calibri" w:hAnsi="Verdana" w:cs="Arial"/>
        </w:rPr>
      </w:pPr>
      <w:r w:rsidRPr="00596104">
        <w:rPr>
          <w:rFonts w:ascii="Verdana" w:eastAsia="Calibri" w:hAnsi="Verdana" w:cs="Arial"/>
        </w:rPr>
        <w:t>El artículo 1 Ley 2022 de 2020 otorgó a la Agencia Nacional de Contratación Pública – Colombia Compra Eficiente la competencia para adoptar los documentos tipo</w:t>
      </w:r>
      <w:r w:rsidRPr="00596104">
        <w:rPr>
          <w:rFonts w:ascii="Verdana" w:eastAsia="Calibri" w:hAnsi="Verdana" w:cs="Arial"/>
          <w:vertAlign w:val="superscript"/>
        </w:rPr>
        <w:footnoteReference w:id="1"/>
      </w:r>
      <w:r w:rsidRPr="00596104">
        <w:rPr>
          <w:rFonts w:ascii="Verdana" w:eastAsia="Calibri" w:hAnsi="Verdana" w:cs="Arial"/>
        </w:rPr>
        <w:t xml:space="preserve">. Así mismo, reiteró la obligatoriedad del uso de los documentos tipo para todas las entidades públicas sometidas al Estatuto General de Contratación de la Administración Pública ‒EGCAP‒. </w:t>
      </w:r>
      <w:r w:rsidRPr="00596104">
        <w:rPr>
          <w:rFonts w:ascii="Verdana" w:eastAsia="Times New Roman" w:hAnsi="Verdana" w:cs="Arial"/>
          <w:color w:val="000000"/>
          <w:bdr w:val="none" w:sz="0" w:space="0" w:color="auto" w:frame="1"/>
          <w:lang w:eastAsia="es-ES_tradnl"/>
        </w:rPr>
        <w:t xml:space="preserve">Esto implica que las autoridades deben implementar los documentos tipo que tengan por objeto las actividades contempladas en la </w:t>
      </w:r>
      <w:r>
        <w:rPr>
          <w:rFonts w:ascii="Verdana" w:eastAsia="Times New Roman" w:hAnsi="Verdana" w:cs="Arial"/>
          <w:color w:val="000000"/>
          <w:bdr w:val="none" w:sz="0" w:space="0" w:color="auto" w:frame="1"/>
          <w:lang w:eastAsia="es-ES_tradnl"/>
        </w:rPr>
        <w:t>“</w:t>
      </w:r>
      <w:r w:rsidRPr="00596104">
        <w:rPr>
          <w:rFonts w:ascii="Verdana" w:eastAsia="Times New Roman" w:hAnsi="Verdana" w:cs="Arial"/>
          <w:color w:val="000000"/>
          <w:bdr w:val="none" w:sz="0" w:space="0" w:color="auto" w:frame="1"/>
          <w:lang w:eastAsia="es-ES_tradnl"/>
        </w:rPr>
        <w:t>Matriz 1 ‒ Experiencia</w:t>
      </w:r>
      <w:r>
        <w:rPr>
          <w:rFonts w:ascii="Verdana" w:eastAsia="Times New Roman" w:hAnsi="Verdana" w:cs="Arial"/>
          <w:color w:val="000000"/>
          <w:bdr w:val="none" w:sz="0" w:space="0" w:color="auto" w:frame="1"/>
          <w:lang w:eastAsia="es-ES_tradnl"/>
        </w:rPr>
        <w:t>”</w:t>
      </w:r>
      <w:r w:rsidRPr="00596104">
        <w:rPr>
          <w:rFonts w:ascii="Verdana" w:eastAsia="Times New Roman" w:hAnsi="Verdana" w:cs="Arial"/>
          <w:color w:val="000000"/>
          <w:bdr w:val="none" w:sz="0" w:space="0" w:color="auto" w:frame="1"/>
          <w:lang w:eastAsia="es-ES_tradnl"/>
        </w:rPr>
        <w:t xml:space="preserve">, sin perjuicio de su </w:t>
      </w:r>
      <w:r>
        <w:rPr>
          <w:rFonts w:ascii="Verdana" w:eastAsia="Times New Roman" w:hAnsi="Verdana" w:cs="Arial"/>
          <w:color w:val="000000"/>
          <w:bdr w:val="none" w:sz="0" w:space="0" w:color="auto" w:frame="1"/>
          <w:lang w:eastAsia="es-ES_tradnl"/>
        </w:rPr>
        <w:t>“</w:t>
      </w:r>
      <w:r w:rsidRPr="00596104">
        <w:rPr>
          <w:rFonts w:ascii="Verdana" w:eastAsia="Times New Roman" w:hAnsi="Verdana" w:cs="Arial"/>
          <w:color w:val="000000"/>
          <w:bdr w:val="none" w:sz="0" w:space="0" w:color="auto" w:frame="1"/>
          <w:lang w:eastAsia="es-ES_tradnl"/>
        </w:rPr>
        <w:t>inalterabilidad</w:t>
      </w:r>
      <w:r>
        <w:rPr>
          <w:rFonts w:ascii="Verdana" w:eastAsia="Times New Roman" w:hAnsi="Verdana" w:cs="Arial"/>
          <w:color w:val="000000"/>
          <w:bdr w:val="none" w:sz="0" w:space="0" w:color="auto" w:frame="1"/>
          <w:lang w:eastAsia="es-ES_tradnl"/>
        </w:rPr>
        <w:t>”</w:t>
      </w:r>
      <w:r w:rsidRPr="00596104">
        <w:rPr>
          <w:rFonts w:ascii="Verdana" w:eastAsia="Times New Roman" w:hAnsi="Verdana" w:cs="Arial"/>
          <w:color w:val="000000"/>
          <w:bdr w:val="none" w:sz="0" w:space="0" w:color="auto" w:frame="1"/>
          <w:lang w:eastAsia="es-ES_tradnl"/>
        </w:rPr>
        <w:t xml:space="preserve">. Lo anterior significa que las entidades públicas carecen de la facultad para modificarlos, con excepción de aquellos aspectos que pueden </w:t>
      </w:r>
      <w:r w:rsidRPr="00596104">
        <w:rPr>
          <w:rFonts w:ascii="Verdana" w:eastAsia="Times New Roman" w:hAnsi="Verdana" w:cs="Arial"/>
          <w:color w:val="000000"/>
          <w:bdr w:val="none" w:sz="0" w:space="0" w:color="auto" w:frame="1"/>
          <w:lang w:eastAsia="es-ES_tradnl"/>
        </w:rPr>
        <w:lastRenderedPageBreak/>
        <w:t xml:space="preserve">diligenciar, es decir, las descripciones que están incluidas entre corchetes y resaltadas en gris </w:t>
      </w:r>
      <w:r w:rsidRPr="00596104">
        <w:rPr>
          <w:rFonts w:ascii="Verdana" w:eastAsia="Calibri" w:hAnsi="Verdana" w:cs="Arial"/>
        </w:rPr>
        <w:t>o cuya modificación sea permitida por los mismos documentos tipo.</w:t>
      </w:r>
    </w:p>
    <w:p w14:paraId="7D6BB226" w14:textId="77777777" w:rsidR="006F76F0" w:rsidRPr="00596104" w:rsidRDefault="006F76F0" w:rsidP="006F76F0">
      <w:pPr>
        <w:widowControl w:val="0"/>
        <w:tabs>
          <w:tab w:val="left" w:pos="1134"/>
        </w:tabs>
        <w:autoSpaceDE w:val="0"/>
        <w:autoSpaceDN w:val="0"/>
        <w:spacing w:before="120" w:line="276" w:lineRule="auto"/>
        <w:ind w:firstLine="709"/>
        <w:jc w:val="both"/>
        <w:rPr>
          <w:rFonts w:ascii="Verdana" w:eastAsia="Calibri" w:hAnsi="Verdana" w:cs="Arial"/>
        </w:rPr>
      </w:pPr>
      <w:r>
        <w:rPr>
          <w:rFonts w:ascii="Verdana" w:hAnsi="Verdana" w:cs="Arial"/>
          <w:color w:val="000000"/>
          <w:bdr w:val="none" w:sz="0" w:space="0" w:color="auto" w:frame="1"/>
        </w:rPr>
        <w:t>Para el sector de infraestructura de agua potable y saneamiento básico</w:t>
      </w:r>
      <w:r w:rsidRPr="00596104">
        <w:rPr>
          <w:rFonts w:ascii="Verdana" w:hAnsi="Verdana" w:cs="Arial"/>
          <w:color w:val="000000"/>
          <w:bdr w:val="none" w:sz="0" w:space="0" w:color="auto" w:frame="1"/>
        </w:rPr>
        <w:t xml:space="preserve">, en desarrollo del artículo 1 de la Ley 2022 de 2020, esta Agencia expidió </w:t>
      </w:r>
      <w:r w:rsidRPr="00596104">
        <w:rPr>
          <w:rFonts w:ascii="Verdana" w:eastAsia="Calibri" w:hAnsi="Verdana" w:cs="Arial"/>
          <w:lang w:val="es-MX"/>
        </w:rPr>
        <w:t>las Resoluciones 248 y 249 del 1 de diciembre de 2020, modificadas por las</w:t>
      </w:r>
      <w:r w:rsidRPr="00596104">
        <w:rPr>
          <w:rFonts w:ascii="Verdana" w:hAnsi="Verdana" w:cs="Arial"/>
          <w:color w:val="0D0D0D" w:themeColor="text1" w:themeTint="F2"/>
        </w:rPr>
        <w:t xml:space="preserve"> Resoluciones 161 del 17 de junio de 2021, 173 del 30 de junio de 2021, 304 del 13 de octubre de 2021</w:t>
      </w:r>
      <w:r w:rsidRPr="00596104">
        <w:rPr>
          <w:rFonts w:ascii="Verdana" w:eastAsia="Calibri" w:hAnsi="Verdana" w:cs="Arial"/>
          <w:vertAlign w:val="superscript"/>
          <w:lang w:val="es-MX"/>
        </w:rPr>
        <w:footnoteReference w:id="2"/>
      </w:r>
      <w:r w:rsidRPr="00596104">
        <w:rPr>
          <w:rFonts w:ascii="Verdana" w:eastAsia="Calibri" w:hAnsi="Verdana" w:cs="Arial"/>
          <w:lang w:val="es-MX"/>
        </w:rPr>
        <w:t>.</w:t>
      </w:r>
      <w:r w:rsidRPr="00596104">
        <w:rPr>
          <w:rFonts w:ascii="Verdana" w:eastAsia="Calibri" w:hAnsi="Verdana" w:cs="Arial"/>
        </w:rPr>
        <w:t xml:space="preserve"> Mediante estos actos administrativos se adoptaron los documentos tipo para licitación de obras públicas y los documentos tipo para licitación de obras públicas, en modalidad llave en mano.</w:t>
      </w:r>
      <w:r>
        <w:rPr>
          <w:rFonts w:ascii="Verdana" w:eastAsia="Calibri" w:hAnsi="Verdana" w:cs="Arial"/>
        </w:rPr>
        <w:t xml:space="preserve"> Posteriormente se expide la Resolución 333 del 27 de julio de 2022 por medio de la cual se adoptaron los documentos tipo </w:t>
      </w:r>
      <w:r w:rsidRPr="00A72BCE">
        <w:rPr>
          <w:rFonts w:ascii="Verdana" w:eastAsia="Calibri" w:hAnsi="Verdana" w:cs="Arial"/>
        </w:rPr>
        <w:t xml:space="preserve">para los procesos de selección de concurso de méritos para contratar la interventoría de obras públicas </w:t>
      </w:r>
      <w:r>
        <w:rPr>
          <w:rFonts w:ascii="Verdana" w:eastAsia="Calibri" w:hAnsi="Verdana" w:cs="Arial"/>
        </w:rPr>
        <w:t>también en</w:t>
      </w:r>
      <w:r w:rsidRPr="00596104">
        <w:rPr>
          <w:rFonts w:ascii="Verdana" w:eastAsia="Calibri" w:hAnsi="Verdana" w:cs="Arial"/>
        </w:rPr>
        <w:t xml:space="preserve"> infraestructura de agua potable y saneamiento básico</w:t>
      </w:r>
      <w:r w:rsidRPr="00A72BCE">
        <w:rPr>
          <w:rFonts w:ascii="Verdana" w:eastAsia="Calibri" w:hAnsi="Verdana" w:cs="Arial"/>
        </w:rPr>
        <w:t>.</w:t>
      </w:r>
    </w:p>
    <w:p w14:paraId="279E50EB" w14:textId="77777777" w:rsidR="006F76F0" w:rsidRPr="00596104" w:rsidRDefault="006F76F0" w:rsidP="006F76F0">
      <w:pPr>
        <w:spacing w:before="120" w:line="276" w:lineRule="auto"/>
        <w:ind w:firstLine="709"/>
        <w:jc w:val="both"/>
        <w:rPr>
          <w:rFonts w:ascii="Verdana" w:hAnsi="Verdana" w:cs="Arial"/>
          <w:lang w:eastAsia="es-MX"/>
        </w:rPr>
      </w:pPr>
      <w:r w:rsidRPr="00596104">
        <w:rPr>
          <w:rFonts w:ascii="Verdana" w:eastAsia="Calibri" w:hAnsi="Verdana" w:cs="Arial"/>
        </w:rPr>
        <w:t xml:space="preserve"> Al respecto, es pertinente mencionar que</w:t>
      </w:r>
      <w:r>
        <w:rPr>
          <w:rFonts w:ascii="Verdana" w:eastAsia="Calibri" w:hAnsi="Verdana" w:cs="Arial"/>
        </w:rPr>
        <w:t>,</w:t>
      </w:r>
      <w:r w:rsidRPr="00596104">
        <w:rPr>
          <w:rFonts w:ascii="Verdana" w:eastAsia="Calibri" w:hAnsi="Verdana" w:cs="Arial"/>
        </w:rPr>
        <w:t xml:space="preserve"> </w:t>
      </w:r>
      <w:r w:rsidRPr="00596104">
        <w:rPr>
          <w:rFonts w:ascii="Verdana" w:hAnsi="Verdana" w:cs="Arial"/>
          <w:lang w:eastAsia="es-MX"/>
        </w:rPr>
        <w:t xml:space="preserve">con ocasión a la expedición del Decreto 1860 del 24 de diciembre de 2021, que modificó el Decreto 1082 de 2015 y reglamentó los artículos 30, 31, 32, 34 y 35 de la Ley 2069 de 2020, la Agencia ajustó los diferentes documentos tipo que había expedido hasta ese momento, con la finalidad de hacerlos compatibles con la nueva regulación. De esta manera, se expidió la Resolución 275 del 24 de junio de 2022, </w:t>
      </w:r>
      <w:r>
        <w:rPr>
          <w:rFonts w:ascii="Verdana" w:hAnsi="Verdana" w:cs="Arial"/>
          <w:lang w:eastAsia="es-MX"/>
        </w:rPr>
        <w:t>“</w:t>
      </w:r>
      <w:r w:rsidRPr="00596104">
        <w:rPr>
          <w:rFonts w:ascii="Verdana" w:hAnsi="Verdana" w:cs="Arial"/>
          <w:lang w:eastAsia="es-MX"/>
        </w:rPr>
        <w:t>Por la cual se modifican los documentos tipo adoptados por la Agencia Nacional de Contratación Pública – Colombia Compra Eficiente</w:t>
      </w:r>
      <w:r>
        <w:rPr>
          <w:rFonts w:ascii="Verdana" w:hAnsi="Verdana" w:cs="Arial"/>
          <w:lang w:eastAsia="es-MX"/>
        </w:rPr>
        <w:t>”</w:t>
      </w:r>
      <w:r w:rsidRPr="00596104">
        <w:rPr>
          <w:rFonts w:ascii="Verdana" w:hAnsi="Verdana" w:cs="Arial"/>
          <w:lang w:eastAsia="es-MX"/>
        </w:rPr>
        <w:t xml:space="preserve"> que se aplicará a los procesos de contratación cuyo aviso de convocatoria se publique a partir del 29 de agosto de 2022. Esta resolución reguló los criterios diferenciales habilitantes y puntajes adicionales para MiPymes y empresas y emprendimientos de mujeres, así como el fomento a la ejecución de contratos estatales por parte de población en pobreza extrema, desplazados por la violencia, personas en proceso de reintegración o reincorporación y sujetos de especial protección constitucional, los factores de desempate y la limitación de la convocatoria a MiPymes. </w:t>
      </w:r>
    </w:p>
    <w:p w14:paraId="7F931D9C" w14:textId="77777777" w:rsidR="006F76F0" w:rsidRPr="00596104" w:rsidRDefault="006F76F0" w:rsidP="006F76F0">
      <w:pPr>
        <w:spacing w:before="120" w:line="276" w:lineRule="auto"/>
        <w:ind w:firstLine="709"/>
        <w:jc w:val="both"/>
        <w:rPr>
          <w:rFonts w:ascii="Verdana" w:hAnsi="Verdana" w:cs="Arial"/>
          <w:lang w:eastAsia="es-MX"/>
        </w:rPr>
      </w:pPr>
      <w:r w:rsidRPr="00596104">
        <w:rPr>
          <w:rFonts w:ascii="Verdana" w:hAnsi="Verdana" w:cs="Arial"/>
          <w:lang w:eastAsia="es-MX"/>
        </w:rPr>
        <w:lastRenderedPageBreak/>
        <w:t xml:space="preserve">En desarrollo de lo anterior, se modificó, entre otros aspectos, las reglas de acreditación de experiencia en los documentos tipo de agua potable y saneamiento básico, para lo cual se establecieron condiciones más exigentes frente a los demás proponentes que concurran al procedimiento de selección que no demuestren la calidad de MiPymes y/o emprendimiento y empresas de mujeres. Asimismo, se realizaron ajustes al contenido de la Matriz 1 Experiencia y de los formatos y anexos que componen el documento tipo. </w:t>
      </w:r>
    </w:p>
    <w:p w14:paraId="49E3EC7F" w14:textId="77777777" w:rsidR="006F76F0" w:rsidRDefault="006F76F0" w:rsidP="006F76F0">
      <w:pPr>
        <w:spacing w:after="120" w:line="276" w:lineRule="auto"/>
        <w:ind w:firstLine="708"/>
        <w:jc w:val="both"/>
        <w:rPr>
          <w:rFonts w:ascii="Verdana" w:eastAsia="Times New Roman" w:hAnsi="Verdana" w:cs="Arial"/>
          <w:color w:val="000000" w:themeColor="text1"/>
          <w:lang w:val="es-ES" w:eastAsia="es-CO"/>
        </w:rPr>
      </w:pPr>
      <w:r>
        <w:rPr>
          <w:rFonts w:ascii="Verdana" w:eastAsia="Times New Roman" w:hAnsi="Verdana" w:cs="Arial"/>
          <w:color w:val="000000" w:themeColor="text1"/>
          <w:lang w:val="es-ES" w:eastAsia="es-CO"/>
        </w:rPr>
        <w:t xml:space="preserve">Dicho esto, respondiendo a su pregunta, </w:t>
      </w:r>
      <w:bookmarkStart w:id="1" w:name="_Hlk176132898"/>
      <w:r>
        <w:rPr>
          <w:rFonts w:ascii="Verdana" w:eastAsia="Times New Roman" w:hAnsi="Verdana" w:cs="Arial"/>
          <w:color w:val="000000" w:themeColor="text1"/>
          <w:lang w:val="es-ES" w:eastAsia="es-CO"/>
        </w:rPr>
        <w:t xml:space="preserve">para que una Entidad Estatal o </w:t>
      </w:r>
      <w:r w:rsidRPr="00367403">
        <w:rPr>
          <w:rFonts w:ascii="Verdana" w:eastAsia="Times New Roman" w:hAnsi="Verdana" w:cs="Arial"/>
          <w:color w:val="000000" w:themeColor="text1"/>
          <w:lang w:val="es-ES" w:eastAsia="es-CO"/>
        </w:rPr>
        <w:t>una entidad exceptuada, un patrimonio autónomo o una persona natural o jurídica de derecho privado</w:t>
      </w:r>
      <w:r>
        <w:rPr>
          <w:rFonts w:ascii="Verdana" w:eastAsia="Times New Roman" w:hAnsi="Verdana" w:cs="Arial"/>
          <w:color w:val="000000" w:themeColor="text1"/>
          <w:lang w:val="es-ES" w:eastAsia="es-CO"/>
        </w:rPr>
        <w:t>,</w:t>
      </w:r>
      <w:r w:rsidRPr="00367403">
        <w:rPr>
          <w:rFonts w:ascii="Verdana" w:eastAsia="Times New Roman" w:hAnsi="Verdana" w:cs="Arial"/>
          <w:color w:val="000000" w:themeColor="text1"/>
          <w:lang w:val="es-ES" w:eastAsia="es-CO"/>
        </w:rPr>
        <w:t xml:space="preserve"> </w:t>
      </w:r>
      <w:r>
        <w:rPr>
          <w:rFonts w:ascii="Verdana" w:eastAsia="Times New Roman" w:hAnsi="Verdana" w:cs="Arial"/>
          <w:color w:val="000000" w:themeColor="text1"/>
          <w:lang w:val="es-ES" w:eastAsia="es-CO"/>
        </w:rPr>
        <w:t xml:space="preserve">definan si es su deber aplicar un documento tipo respectivo en el marco de un proceso de selección de contratistas, necesariamente tendrá que analizar, en cada caso concreto, si se cumplen los siguientes supuestos: i) que la Entidad Estatal contratante se halle sometida al Estatuto General de Contratación de la Administración (Ley 80 de 1993, normas que la adicionan y la complementan) o, en el evento en que sea una entidad exceptuada, un patrimonio autónomo o una persona natural o jurídica de derecho privado, requiera contratar una obra en cumplimiento de un contrato o convenio interadministrativo suscrito con una Entidad Estatal sometida al Estatuto General; </w:t>
      </w:r>
      <w:proofErr w:type="spellStart"/>
      <w:r>
        <w:rPr>
          <w:rFonts w:ascii="Verdana" w:eastAsia="Times New Roman" w:hAnsi="Verdana" w:cs="Arial"/>
          <w:color w:val="000000" w:themeColor="text1"/>
          <w:lang w:val="es-ES" w:eastAsia="es-CO"/>
        </w:rPr>
        <w:t>ii</w:t>
      </w:r>
      <w:proofErr w:type="spellEnd"/>
      <w:r>
        <w:rPr>
          <w:rFonts w:ascii="Verdana" w:eastAsia="Times New Roman" w:hAnsi="Verdana" w:cs="Arial"/>
          <w:color w:val="000000" w:themeColor="text1"/>
          <w:lang w:val="es-ES" w:eastAsia="es-CO"/>
        </w:rPr>
        <w:t xml:space="preserve">) que el proyecto de obra a contratar tenga por objeto el desarrollo de los tipos de obras contemplados en la “Matriz de Experiencia” y las actividades se subsuman en alguna o algunas de las contenidas en cada uno de los tipos de obras y </w:t>
      </w:r>
      <w:proofErr w:type="spellStart"/>
      <w:r>
        <w:rPr>
          <w:rFonts w:ascii="Verdana" w:eastAsia="Times New Roman" w:hAnsi="Verdana" w:cs="Arial"/>
          <w:color w:val="000000" w:themeColor="text1"/>
          <w:lang w:val="es-ES" w:eastAsia="es-CO"/>
        </w:rPr>
        <w:t>iii</w:t>
      </w:r>
      <w:proofErr w:type="spellEnd"/>
      <w:r>
        <w:rPr>
          <w:rFonts w:ascii="Verdana" w:eastAsia="Times New Roman" w:hAnsi="Verdana" w:cs="Arial"/>
          <w:color w:val="000000" w:themeColor="text1"/>
          <w:lang w:val="es-ES" w:eastAsia="es-CO"/>
        </w:rPr>
        <w:t>) que la modalidad de selección por la que opta la Entidad Estatal sea una en la que esta Agencia hubiese adoptado un documento tipo.</w:t>
      </w:r>
    </w:p>
    <w:bookmarkEnd w:id="1"/>
    <w:p w14:paraId="47F4A3AC" w14:textId="77777777" w:rsidR="006F76F0" w:rsidRDefault="006F76F0" w:rsidP="006F76F0">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val="es-ES" w:eastAsia="es-CO"/>
        </w:rPr>
        <w:t xml:space="preserve">De manera que, con el propósito de resolver su solicitud, resulta importante señalar que </w:t>
      </w:r>
      <w:r>
        <w:rPr>
          <w:rFonts w:ascii="Verdana" w:eastAsia="Times New Roman" w:hAnsi="Verdana" w:cs="Arial"/>
          <w:color w:val="000000" w:themeColor="text1"/>
          <w:lang w:eastAsia="es-CO"/>
        </w:rPr>
        <w:t xml:space="preserve">la ANCP-CCE no puede definir vía consultiva cuál es la modalidad de selección aplicable, ni el instrumento o mecanismo contractual a través del cual una Entidad Estatal en particular desarrolle una obra, como tampoco puede brindar asesoría técnica, ni de ninguna índole, por cuanto no es competente </w:t>
      </w:r>
      <w:r w:rsidRPr="00732567">
        <w:rPr>
          <w:rFonts w:ascii="Verdana" w:eastAsia="Times New Roman" w:hAnsi="Verdana" w:cs="Arial"/>
          <w:color w:val="000000" w:themeColor="text1"/>
          <w:lang w:eastAsia="es-CO"/>
        </w:rPr>
        <w:t>para resolver consultas referidas a actividades</w:t>
      </w:r>
      <w:r>
        <w:rPr>
          <w:rFonts w:ascii="Verdana" w:eastAsia="Times New Roman" w:hAnsi="Verdana" w:cs="Arial"/>
          <w:color w:val="000000" w:themeColor="text1"/>
          <w:lang w:eastAsia="es-CO"/>
        </w:rPr>
        <w:t xml:space="preserve"> </w:t>
      </w:r>
      <w:r w:rsidRPr="00732567">
        <w:rPr>
          <w:rFonts w:ascii="Verdana" w:eastAsia="Times New Roman" w:hAnsi="Verdana" w:cs="Arial"/>
          <w:color w:val="000000" w:themeColor="text1"/>
          <w:lang w:eastAsia="es-CO"/>
        </w:rPr>
        <w:t xml:space="preserve">contractuales específicas </w:t>
      </w:r>
      <w:r>
        <w:rPr>
          <w:rFonts w:ascii="Verdana" w:eastAsia="Times New Roman" w:hAnsi="Verdana" w:cs="Arial"/>
          <w:color w:val="000000" w:themeColor="text1"/>
          <w:lang w:eastAsia="es-CO"/>
        </w:rPr>
        <w:t>y particulares.</w:t>
      </w:r>
    </w:p>
    <w:p w14:paraId="0F37C7AB" w14:textId="77777777" w:rsidR="006F76F0" w:rsidRPr="00596104" w:rsidRDefault="006F76F0" w:rsidP="006F76F0">
      <w:pPr>
        <w:spacing w:after="120" w:line="276" w:lineRule="auto"/>
        <w:ind w:firstLine="708"/>
        <w:jc w:val="both"/>
        <w:rPr>
          <w:rFonts w:ascii="Verdana" w:hAnsi="Verdana" w:cs="Arial"/>
          <w:lang w:eastAsia="es-MX"/>
        </w:rPr>
      </w:pPr>
      <w:r>
        <w:rPr>
          <w:rFonts w:ascii="Verdana" w:eastAsia="Times New Roman" w:hAnsi="Verdana" w:cs="Arial"/>
          <w:color w:val="000000" w:themeColor="text1"/>
          <w:lang w:val="es-ES" w:eastAsia="es-CO"/>
        </w:rPr>
        <w:t>En todo caso, si se cumple el primer supuesto y la entidad contratante se encuentra sometida al régimen del Estatuto General, el siguiente paso es</w:t>
      </w:r>
      <w:r>
        <w:rPr>
          <w:rFonts w:ascii="Verdana" w:eastAsia="Times New Roman" w:hAnsi="Verdana" w:cs="Arial"/>
          <w:color w:val="000000" w:themeColor="text1"/>
          <w:lang w:eastAsia="es-CO"/>
        </w:rPr>
        <w:t xml:space="preserve"> evaluar si el proyecto que pretenden contratar tiene por objeto el desarrollo de las actividades contenidas en la “Matriz de Experiencia” del Documento Tipo respectivo.</w:t>
      </w:r>
    </w:p>
    <w:p w14:paraId="69F397DA" w14:textId="77777777" w:rsidR="006F76F0" w:rsidRDefault="006F76F0" w:rsidP="006F76F0">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lastRenderedPageBreak/>
        <w:t>Ahora bien, los tipos de obra incorporados en los documentos tipo para la modalidad de licitación pública en sus dos modalidades (</w:t>
      </w:r>
      <w:r w:rsidRPr="00596104">
        <w:rPr>
          <w:rFonts w:ascii="Verdana" w:eastAsia="Calibri" w:hAnsi="Verdana" w:cs="Arial"/>
        </w:rPr>
        <w:t xml:space="preserve">licitación de obras públicas </w:t>
      </w:r>
      <w:r>
        <w:rPr>
          <w:rFonts w:ascii="Verdana" w:eastAsia="Calibri" w:hAnsi="Verdana" w:cs="Arial"/>
        </w:rPr>
        <w:t xml:space="preserve">y </w:t>
      </w:r>
      <w:r w:rsidRPr="00596104">
        <w:rPr>
          <w:rFonts w:ascii="Verdana" w:eastAsia="Calibri" w:hAnsi="Verdana" w:cs="Arial"/>
        </w:rPr>
        <w:t>licitación de obras, en modalidad llave en mano</w:t>
      </w:r>
      <w:r>
        <w:rPr>
          <w:rFonts w:ascii="Verdana" w:eastAsia="Calibri" w:hAnsi="Verdana" w:cs="Arial"/>
        </w:rPr>
        <w:t>) son las siguientes :</w:t>
      </w:r>
      <w:r>
        <w:rPr>
          <w:rFonts w:ascii="Verdana" w:eastAsia="Times New Roman" w:hAnsi="Verdana" w:cs="Arial"/>
          <w:color w:val="000000" w:themeColor="text1"/>
          <w:lang w:eastAsia="es-CO"/>
        </w:rPr>
        <w:t xml:space="preserve">i) obras de acueducto, </w:t>
      </w:r>
      <w:proofErr w:type="spellStart"/>
      <w:r>
        <w:rPr>
          <w:rFonts w:ascii="Verdana" w:eastAsia="Times New Roman" w:hAnsi="Verdana" w:cs="Arial"/>
          <w:color w:val="000000" w:themeColor="text1"/>
          <w:lang w:eastAsia="es-CO"/>
        </w:rPr>
        <w:t>ii</w:t>
      </w:r>
      <w:proofErr w:type="spellEnd"/>
      <w:r>
        <w:rPr>
          <w:rFonts w:ascii="Verdana" w:eastAsia="Times New Roman" w:hAnsi="Verdana" w:cs="Arial"/>
          <w:color w:val="000000" w:themeColor="text1"/>
          <w:lang w:eastAsia="es-CO"/>
        </w:rPr>
        <w:t xml:space="preserve">) obras de alcantarillado (sanitarios y/o pluviales y/o combinado), </w:t>
      </w:r>
      <w:proofErr w:type="spellStart"/>
      <w:r>
        <w:rPr>
          <w:rFonts w:ascii="Verdana" w:eastAsia="Times New Roman" w:hAnsi="Verdana" w:cs="Arial"/>
          <w:color w:val="000000" w:themeColor="text1"/>
          <w:lang w:eastAsia="es-CO"/>
        </w:rPr>
        <w:t>iii</w:t>
      </w:r>
      <w:proofErr w:type="spellEnd"/>
      <w:r>
        <w:rPr>
          <w:rFonts w:ascii="Verdana" w:eastAsia="Times New Roman" w:hAnsi="Verdana" w:cs="Arial"/>
          <w:color w:val="000000" w:themeColor="text1"/>
          <w:lang w:eastAsia="es-CO"/>
        </w:rPr>
        <w:t xml:space="preserve">) obras de aseo y/o manejo de residuos, iv) obras para PAT (Planta de Tratamiento de Agua Potable) y/o PTAR (Planta de Tratamiento de Aguas Residuales), v) unidades sanitarias para vivienda rural dispersa, vi) sistemas no convencionales de potabilización y tratamiento de aguas residuales y </w:t>
      </w:r>
      <w:proofErr w:type="spellStart"/>
      <w:r>
        <w:rPr>
          <w:rFonts w:ascii="Verdana" w:eastAsia="Times New Roman" w:hAnsi="Verdana" w:cs="Arial"/>
          <w:color w:val="000000" w:themeColor="text1"/>
          <w:lang w:eastAsia="es-CO"/>
        </w:rPr>
        <w:t>vii</w:t>
      </w:r>
      <w:proofErr w:type="spellEnd"/>
      <w:r>
        <w:rPr>
          <w:rFonts w:ascii="Verdana" w:eastAsia="Times New Roman" w:hAnsi="Verdana" w:cs="Arial"/>
          <w:color w:val="000000" w:themeColor="text1"/>
          <w:lang w:eastAsia="es-CO"/>
        </w:rPr>
        <w:t xml:space="preserve">) estudios y diseños (en el caso de proyectos que requieran labores de estudios, diseños y construcción). </w:t>
      </w:r>
    </w:p>
    <w:p w14:paraId="411570E5" w14:textId="77777777" w:rsidR="006F76F0" w:rsidRDefault="006F76F0" w:rsidP="006F76F0">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Cada una de las obras contempla diferentes actividades en las cuales pueden enmarcarse los objetos contractuales del proceso de selección que adelantará la Entidad Estatal. Por tal razón, la “Matriz de Experiencia” establece el detalle de estas actividades. En ese sentido, l</w:t>
      </w:r>
      <w:r w:rsidRPr="00100671">
        <w:rPr>
          <w:rFonts w:ascii="Verdana" w:eastAsia="Times New Roman" w:hAnsi="Verdana" w:cs="Arial"/>
          <w:color w:val="000000" w:themeColor="text1"/>
          <w:lang w:eastAsia="es-CO"/>
        </w:rPr>
        <w:t>a entidad debe identificar en su etapa previa de planeación, y en concordancia con su Plan Anual</w:t>
      </w:r>
      <w:r>
        <w:rPr>
          <w:rFonts w:ascii="Verdana" w:eastAsia="Times New Roman" w:hAnsi="Verdana" w:cs="Arial"/>
          <w:color w:val="000000" w:themeColor="text1"/>
          <w:lang w:eastAsia="es-CO"/>
        </w:rPr>
        <w:t xml:space="preserve"> </w:t>
      </w:r>
      <w:r w:rsidRPr="00100671">
        <w:rPr>
          <w:rFonts w:ascii="Verdana" w:eastAsia="Times New Roman" w:hAnsi="Verdana" w:cs="Arial"/>
          <w:color w:val="000000" w:themeColor="text1"/>
          <w:lang w:eastAsia="es-CO"/>
        </w:rPr>
        <w:t xml:space="preserve">de Adquisiciones (PAA), el objeto y alcance de las obras que pretende ejecutar. </w:t>
      </w:r>
      <w:r>
        <w:rPr>
          <w:rFonts w:ascii="Verdana" w:eastAsia="Times New Roman" w:hAnsi="Verdana" w:cs="Arial"/>
          <w:color w:val="000000" w:themeColor="text1"/>
          <w:lang w:eastAsia="es-CO"/>
        </w:rPr>
        <w:t>Dicho esto</w:t>
      </w:r>
      <w:r w:rsidRPr="00100671">
        <w:rPr>
          <w:rFonts w:ascii="Verdana" w:eastAsia="Times New Roman" w:hAnsi="Verdana" w:cs="Arial"/>
          <w:color w:val="000000" w:themeColor="text1"/>
          <w:lang w:eastAsia="es-CO"/>
        </w:rPr>
        <w:t>, debe</w:t>
      </w:r>
      <w:r>
        <w:rPr>
          <w:rFonts w:ascii="Verdana" w:eastAsia="Times New Roman" w:hAnsi="Verdana" w:cs="Arial"/>
          <w:color w:val="000000" w:themeColor="text1"/>
          <w:lang w:eastAsia="es-CO"/>
        </w:rPr>
        <w:t xml:space="preserve"> </w:t>
      </w:r>
      <w:r w:rsidRPr="00100671">
        <w:rPr>
          <w:rFonts w:ascii="Verdana" w:eastAsia="Times New Roman" w:hAnsi="Verdana" w:cs="Arial"/>
          <w:color w:val="000000" w:themeColor="text1"/>
          <w:lang w:eastAsia="es-CO"/>
        </w:rPr>
        <w:t>establecer si corresponden a una obra de infraestructura de</w:t>
      </w:r>
      <w:r>
        <w:rPr>
          <w:rFonts w:ascii="Verdana" w:eastAsia="Times New Roman" w:hAnsi="Verdana" w:cs="Arial"/>
          <w:color w:val="000000" w:themeColor="text1"/>
          <w:lang w:eastAsia="es-CO"/>
        </w:rPr>
        <w:t xml:space="preserve"> agua potable y saneamiento básico y la actividad a contratar correspondiente.</w:t>
      </w:r>
    </w:p>
    <w:p w14:paraId="6E98CDD7" w14:textId="77777777" w:rsidR="006F76F0" w:rsidRDefault="006F76F0" w:rsidP="006F76F0">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Vale destacar que las Entidades Estatales deben estructurar el proceso dedicando tiempo y esfuerzo para elaborar estudios previos. Esto con el fin de determinar la necesidad que pretende satisfacer y cuál es la mejor manera de hacerlo, consultando el tipo de bienes y servicios que ofrece el mercado y cuáles son sus características, especificaciones, precios, costos, riesgos, garantías, disponibilidad, oferentes, etc., en virtud de la protección del principio de economía previsto en el artículo 25 de la Ley 80 de 1993.</w:t>
      </w:r>
    </w:p>
    <w:p w14:paraId="771DAA56" w14:textId="77777777" w:rsidR="006F76F0" w:rsidRDefault="006F76F0" w:rsidP="006F76F0">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El resultado de la etapa de planeación contractual debería permitirle a la Entidad Estatal saber si el contrato a suscribir tendrá como obligaciones contractuales la construcción, el mantenimiento, la rehabilitación, entre otras actividades, de la infraestructura a intervenir, o si se requiere que dichas obligaciones impliquen que el contratista ejecute la obra desde la fase inicial de diseño y hasta la puesta en marcha, circunstancia que haría meritoria la aplicación del Documento Tipo </w:t>
      </w:r>
      <w:r w:rsidRPr="007217D8">
        <w:rPr>
          <w:rFonts w:ascii="Verdana" w:eastAsia="Times New Roman" w:hAnsi="Verdana" w:cs="Arial"/>
          <w:color w:val="000000" w:themeColor="text1"/>
          <w:lang w:eastAsia="es-CO"/>
        </w:rPr>
        <w:t xml:space="preserve">para licitación de obras públicas de infraestructura de agua potable y saneamiento básico, </w:t>
      </w:r>
      <w:r w:rsidRPr="00E14162">
        <w:rPr>
          <w:rFonts w:ascii="Verdana" w:eastAsia="Times New Roman" w:hAnsi="Verdana" w:cs="Arial"/>
          <w:color w:val="000000" w:themeColor="text1"/>
          <w:u w:val="single"/>
          <w:lang w:eastAsia="es-CO"/>
        </w:rPr>
        <w:t>en modalidad llave en mano</w:t>
      </w:r>
      <w:r>
        <w:rPr>
          <w:rFonts w:ascii="Verdana" w:eastAsia="Times New Roman" w:hAnsi="Verdana" w:cs="Arial"/>
          <w:color w:val="000000" w:themeColor="text1"/>
          <w:lang w:eastAsia="es-CO"/>
        </w:rPr>
        <w:t xml:space="preserve">. </w:t>
      </w:r>
    </w:p>
    <w:p w14:paraId="481CA18C" w14:textId="77777777" w:rsidR="006F76F0" w:rsidRDefault="006F76F0" w:rsidP="006F76F0">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De cualquier manera, si efectivamente lo que se pretende es contratar obras que se subsumen dentro de alguna o algunas de las actividades contenidas en la “Matriz de Experiencia” del Documento Tipo para el sector de agua potable </w:t>
      </w:r>
      <w:r>
        <w:rPr>
          <w:rFonts w:ascii="Verdana" w:eastAsia="Times New Roman" w:hAnsi="Verdana" w:cs="Arial"/>
          <w:color w:val="000000" w:themeColor="text1"/>
          <w:lang w:eastAsia="es-CO"/>
        </w:rPr>
        <w:lastRenderedPageBreak/>
        <w:t xml:space="preserve">y saneamiento básico, en cualquiera de las modalidades en las cuales existe actualmente Documentos tipo, su aplicación será obligatoria para aquellas entidades que estén sometidas al régimen de la Ley 80 de 1993 y sus normas complementarias y reglamentarias; es decir, el EGCAP y, el contenido dispuesto en relación con las condiciones habilitantes, factores técnicos, económicos y otros factores de escogencia será inalterable, salvo cuando de forma expresa los documentos tipo permitan la inclusión de información que se encuentre entre corchete y resaltado en gris en cada uno de los anexos, formatos y formularios que integran el documento tipo.   </w:t>
      </w:r>
    </w:p>
    <w:p w14:paraId="0D6E5EE4" w14:textId="77777777" w:rsidR="006F76F0" w:rsidRDefault="006F76F0" w:rsidP="006F76F0">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De otro lado, se advierte que si lo que la Entidad Estatal pretende es celebrar un contrato de concesión, en los términos del numeral 4 del artículo 32 de la Ley 80 de 1993, la Entidad Estatal no estaría obligada a aplicar un documento tipo en particular, por cuanto el proceso de selección competitivo para la selección del concesionario no hace parte del ámbito de aplicación de los documentos tipo, dado que las reglas consignadas en el “Documento Base”, los tipos de obras incorporadas en la “Matriz de Experiencia” y las actividades de cada una de ellas están orientadas a la selección del contratista que ejecute una obra, y no la prestación, </w:t>
      </w:r>
      <w:r w:rsidRPr="00E8680D">
        <w:rPr>
          <w:rFonts w:ascii="Verdana" w:eastAsia="Times New Roman" w:hAnsi="Verdana" w:cs="Arial"/>
          <w:color w:val="000000" w:themeColor="text1"/>
          <w:lang w:eastAsia="es-CO"/>
        </w:rPr>
        <w:t xml:space="preserve">operación, explotación, organización o gestión, total o parcial, de un servicio público, o la construcción, explotación o conservación total o parcial, de una obra o bien destinados al servicio o uso público, </w:t>
      </w:r>
      <w:r>
        <w:rPr>
          <w:rFonts w:ascii="Verdana" w:eastAsia="Times New Roman" w:hAnsi="Verdana" w:cs="Arial"/>
          <w:color w:val="000000" w:themeColor="text1"/>
          <w:lang w:eastAsia="es-CO"/>
        </w:rPr>
        <w:t>como tampoco permitiría contratar</w:t>
      </w:r>
      <w:r w:rsidRPr="00E8680D">
        <w:rPr>
          <w:rFonts w:ascii="Verdana" w:eastAsia="Times New Roman" w:hAnsi="Verdana" w:cs="Arial"/>
          <w:color w:val="000000" w:themeColor="text1"/>
          <w:lang w:eastAsia="es-CO"/>
        </w:rPr>
        <w:t xml:space="preserve"> actividades necesarias para la adecuada prestación o funcionamiento de la obra o servicio por cuenta y riesgo de</w:t>
      </w:r>
      <w:r>
        <w:rPr>
          <w:rFonts w:ascii="Verdana" w:eastAsia="Times New Roman" w:hAnsi="Verdana" w:cs="Arial"/>
          <w:color w:val="000000" w:themeColor="text1"/>
          <w:lang w:eastAsia="es-CO"/>
        </w:rPr>
        <w:t xml:space="preserve"> quien funja como</w:t>
      </w:r>
      <w:r w:rsidRPr="00E8680D">
        <w:rPr>
          <w:rFonts w:ascii="Verdana" w:eastAsia="Times New Roman" w:hAnsi="Verdana" w:cs="Arial"/>
          <w:color w:val="000000" w:themeColor="text1"/>
          <w:lang w:eastAsia="es-CO"/>
        </w:rPr>
        <w:t xml:space="preserve"> concesionario, </w:t>
      </w:r>
      <w:r>
        <w:rPr>
          <w:rFonts w:ascii="Verdana" w:eastAsia="Times New Roman" w:hAnsi="Verdana" w:cs="Arial"/>
          <w:color w:val="000000" w:themeColor="text1"/>
          <w:lang w:eastAsia="es-CO"/>
        </w:rPr>
        <w:t>así como tampoco fija como forma de r</w:t>
      </w:r>
      <w:r w:rsidRPr="00E8680D">
        <w:rPr>
          <w:rFonts w:ascii="Verdana" w:eastAsia="Times New Roman" w:hAnsi="Verdana" w:cs="Arial"/>
          <w:color w:val="000000" w:themeColor="text1"/>
          <w:lang w:eastAsia="es-CO"/>
        </w:rPr>
        <w:t xml:space="preserve">emuneración derechos, tarifas, tasas, valorización, o en la participación que se le otorgue en la explotación </w:t>
      </w:r>
      <w:r>
        <w:rPr>
          <w:rFonts w:ascii="Verdana" w:eastAsia="Times New Roman" w:hAnsi="Verdana" w:cs="Arial"/>
          <w:color w:val="000000" w:themeColor="text1"/>
          <w:lang w:eastAsia="es-CO"/>
        </w:rPr>
        <w:t>de algún</w:t>
      </w:r>
      <w:r w:rsidRPr="00E8680D">
        <w:rPr>
          <w:rFonts w:ascii="Verdana" w:eastAsia="Times New Roman" w:hAnsi="Verdana" w:cs="Arial"/>
          <w:color w:val="000000" w:themeColor="text1"/>
          <w:lang w:eastAsia="es-CO"/>
        </w:rPr>
        <w:t xml:space="preserve"> bien</w:t>
      </w:r>
      <w:r>
        <w:rPr>
          <w:rFonts w:ascii="Verdana" w:eastAsia="Times New Roman" w:hAnsi="Verdana" w:cs="Arial"/>
          <w:color w:val="000000" w:themeColor="text1"/>
          <w:lang w:eastAsia="es-CO"/>
        </w:rPr>
        <w:t>.</w:t>
      </w:r>
    </w:p>
    <w:p w14:paraId="5E3AFAF0" w14:textId="77777777" w:rsidR="006F76F0" w:rsidRDefault="006F76F0" w:rsidP="006F76F0">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Por lo tanto, sea el contrato de concesión que celebran las entidades en el marco del numeral 4 del artículo 32 de la Ley 80 de 1993, o aquel que se rige por las normas de la Ley 1502 de 2012, sus características se tornan disímiles, en comparación con aquellas obras desarrolladas con la aplicación de los documentos tipo, por cuanto la esencia de este tipo de negocios jurídicos es el apoyo de los particulares, permitiendo que aquellos </w:t>
      </w:r>
      <w:r w:rsidRPr="0045711B">
        <w:rPr>
          <w:rFonts w:ascii="Verdana" w:eastAsia="Times New Roman" w:hAnsi="Verdana" w:cs="Arial"/>
          <w:color w:val="000000" w:themeColor="text1"/>
          <w:lang w:eastAsia="es-CO"/>
        </w:rPr>
        <w:t>exploten, operen, organicen, construyan, conserven o gestionen un determinado bien o servicio de propiedad estatal, en la medida de lo posible</w:t>
      </w:r>
      <w:r>
        <w:rPr>
          <w:rFonts w:ascii="Verdana" w:eastAsia="Times New Roman" w:hAnsi="Verdana" w:cs="Arial"/>
          <w:color w:val="000000" w:themeColor="text1"/>
          <w:lang w:eastAsia="es-CO"/>
        </w:rPr>
        <w:t>,</w:t>
      </w:r>
      <w:r w:rsidRPr="0045711B">
        <w:rPr>
          <w:rFonts w:ascii="Verdana" w:eastAsia="Times New Roman" w:hAnsi="Verdana" w:cs="Arial"/>
          <w:color w:val="000000" w:themeColor="text1"/>
          <w:lang w:eastAsia="es-CO"/>
        </w:rPr>
        <w:t xml:space="preserve"> con sus propios recursos privados</w:t>
      </w:r>
      <w:r>
        <w:t xml:space="preserve"> </w:t>
      </w:r>
      <w:r w:rsidRPr="00673409">
        <w:rPr>
          <w:rFonts w:ascii="Verdana" w:eastAsia="Times New Roman" w:hAnsi="Verdana" w:cs="Arial"/>
          <w:color w:val="000000" w:themeColor="text1"/>
          <w:lang w:eastAsia="es-CO"/>
        </w:rPr>
        <w:t>y con la oportunidad de recuperar su inversión durante el plazo del contrato</w:t>
      </w:r>
      <w:r>
        <w:rPr>
          <w:rFonts w:ascii="Verdana" w:eastAsia="Times New Roman" w:hAnsi="Verdana" w:cs="Arial"/>
          <w:color w:val="000000" w:themeColor="text1"/>
          <w:lang w:eastAsia="es-CO"/>
        </w:rPr>
        <w:t xml:space="preserve">. </w:t>
      </w:r>
    </w:p>
    <w:p w14:paraId="17B9A62D" w14:textId="77777777" w:rsidR="006F76F0" w:rsidRDefault="006F76F0" w:rsidP="006F76F0">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Circunstancia que hace inviable la aplicación del documento tipo, dado que aquel se aplica de manera obligatoria para las modalidades de selección en las que se hubiese adoptado y tiene por objeto incrementar la pluralidad de </w:t>
      </w:r>
      <w:r>
        <w:rPr>
          <w:rFonts w:ascii="Verdana" w:eastAsia="Times New Roman" w:hAnsi="Verdana" w:cs="Arial"/>
          <w:color w:val="000000" w:themeColor="text1"/>
          <w:lang w:eastAsia="es-CO"/>
        </w:rPr>
        <w:lastRenderedPageBreak/>
        <w:t xml:space="preserve">oferentes, definiendo </w:t>
      </w:r>
      <w:r w:rsidRPr="00827AD8">
        <w:rPr>
          <w:rFonts w:ascii="Verdana" w:eastAsia="Times New Roman" w:hAnsi="Verdana" w:cs="Arial"/>
          <w:i/>
          <w:iCs/>
          <w:color w:val="000000" w:themeColor="text1"/>
          <w:lang w:eastAsia="es-CO"/>
        </w:rPr>
        <w:t>ex ante</w:t>
      </w:r>
      <w:r>
        <w:rPr>
          <w:rFonts w:ascii="Verdana" w:eastAsia="Times New Roman" w:hAnsi="Verdana" w:cs="Arial"/>
          <w:color w:val="000000" w:themeColor="text1"/>
          <w:lang w:eastAsia="es-CO"/>
        </w:rPr>
        <w:t xml:space="preserve"> aquellos requisitos habilitantes, de selección y escogencia que no podría modificarse por la entidad contratante. En contraposición, el contrato de concesión se celebra entre quien fue seleccionado en un proceso competitivo para ser concesionario y, la entidad contratante que, luego de que es adjudicado, tendrá plena autonomía para ejecutar la obra, más aún cuando lo que se busca es que </w:t>
      </w:r>
      <w:r w:rsidRPr="00043C25">
        <w:rPr>
          <w:rFonts w:ascii="Verdana" w:eastAsia="Times New Roman" w:hAnsi="Verdana" w:cs="Arial"/>
          <w:color w:val="000000" w:themeColor="text1"/>
          <w:lang w:eastAsia="es-CO"/>
        </w:rPr>
        <w:t>el sector privado particip</w:t>
      </w:r>
      <w:r>
        <w:rPr>
          <w:rFonts w:ascii="Verdana" w:eastAsia="Times New Roman" w:hAnsi="Verdana" w:cs="Arial"/>
          <w:color w:val="000000" w:themeColor="text1"/>
          <w:lang w:eastAsia="es-CO"/>
        </w:rPr>
        <w:t>e</w:t>
      </w:r>
      <w:r w:rsidRPr="00043C25">
        <w:rPr>
          <w:rFonts w:ascii="Verdana" w:eastAsia="Times New Roman" w:hAnsi="Verdana" w:cs="Arial"/>
          <w:color w:val="000000" w:themeColor="text1"/>
          <w:lang w:eastAsia="es-CO"/>
        </w:rPr>
        <w:t xml:space="preserve"> en la gestión pública, representada en la ejecución de actividades de infraestructura o de otros servicios, vinculando capital, conocimientos y experiencia, </w:t>
      </w:r>
      <w:r>
        <w:rPr>
          <w:rFonts w:ascii="Verdana" w:eastAsia="Times New Roman" w:hAnsi="Verdana" w:cs="Arial"/>
          <w:color w:val="000000" w:themeColor="text1"/>
          <w:lang w:eastAsia="es-CO"/>
        </w:rPr>
        <w:t xml:space="preserve">por cuanto la esencia del contrato de concesión implica </w:t>
      </w:r>
      <w:r w:rsidRPr="006150F3">
        <w:rPr>
          <w:rFonts w:ascii="Verdana" w:eastAsia="Times New Roman" w:hAnsi="Verdana" w:cs="Arial"/>
          <w:color w:val="000000" w:themeColor="text1"/>
          <w:lang w:eastAsia="es-CO"/>
        </w:rPr>
        <w:t>la asunción de riesgos por parte del concesionario, lo que significa que tendrá derecho a la utilidad generada pero también asumirá las pérdidas derivadas de la gestión del servicio o bien concesionado</w:t>
      </w:r>
      <w:r>
        <w:rPr>
          <w:rFonts w:ascii="Verdana" w:eastAsia="Times New Roman" w:hAnsi="Verdana" w:cs="Arial"/>
          <w:color w:val="000000" w:themeColor="text1"/>
          <w:lang w:eastAsia="es-CO"/>
        </w:rPr>
        <w:t xml:space="preserve">. </w:t>
      </w:r>
    </w:p>
    <w:p w14:paraId="4828CFC8" w14:textId="77777777" w:rsidR="006F76F0" w:rsidRDefault="006F76F0" w:rsidP="006F76F0">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No obstante, desde la Subdirección de Gestión Contractual sugerimos que: i) se desarrolle la planeación contractual exigida por las disposiciones del EGCAP que buscan la protección del principio de economía contemplado en el artículo 25 de dicho cuerpo normativo. Para ello, invitamos consultar la </w:t>
      </w:r>
      <w:r w:rsidRPr="00DA6733">
        <w:rPr>
          <w:rFonts w:ascii="Verdana" w:eastAsia="Times New Roman" w:hAnsi="Verdana" w:cs="Arial"/>
          <w:i/>
          <w:iCs/>
          <w:color w:val="000000" w:themeColor="text1"/>
          <w:lang w:eastAsia="es-CO"/>
        </w:rPr>
        <w:t>Guía de elaboración de estudios del sector</w:t>
      </w:r>
      <w:r>
        <w:rPr>
          <w:rFonts w:ascii="Verdana" w:eastAsia="Times New Roman" w:hAnsi="Verdana" w:cs="Arial"/>
          <w:i/>
          <w:iCs/>
          <w:color w:val="000000" w:themeColor="text1"/>
          <w:lang w:eastAsia="es-CO"/>
        </w:rPr>
        <w:t>,</w:t>
      </w:r>
      <w:r w:rsidRPr="00D93CBB">
        <w:rPr>
          <w:rFonts w:ascii="Verdana" w:eastAsia="Times New Roman" w:hAnsi="Verdana" w:cs="Arial"/>
          <w:color w:val="000000" w:themeColor="text1"/>
          <w:lang w:eastAsia="es-CO"/>
        </w:rPr>
        <w:t xml:space="preserve"> </w:t>
      </w:r>
      <w:r>
        <w:rPr>
          <w:rFonts w:ascii="Verdana" w:eastAsia="Times New Roman" w:hAnsi="Verdana" w:cs="Arial"/>
          <w:color w:val="000000" w:themeColor="text1"/>
          <w:lang w:eastAsia="es-CO"/>
        </w:rPr>
        <w:t xml:space="preserve">el </w:t>
      </w:r>
      <w:r w:rsidRPr="00046A5C">
        <w:rPr>
          <w:rFonts w:ascii="Verdana" w:eastAsia="Times New Roman" w:hAnsi="Verdana" w:cs="Arial"/>
          <w:i/>
          <w:iCs/>
          <w:color w:val="000000" w:themeColor="text1"/>
          <w:lang w:eastAsia="es-CO"/>
        </w:rPr>
        <w:t>Manual para la Identificación y Cobertura del Riesgo</w:t>
      </w:r>
      <w:r w:rsidRPr="00046A5C">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w:t>
      </w:r>
      <w:r w:rsidRPr="00D93CBB">
        <w:rPr>
          <w:rFonts w:ascii="Verdana" w:eastAsia="Times New Roman" w:hAnsi="Verdana" w:cs="Arial"/>
          <w:color w:val="000000" w:themeColor="text1"/>
          <w:lang w:eastAsia="es-CO"/>
        </w:rPr>
        <w:t>el</w:t>
      </w:r>
      <w:r>
        <w:rPr>
          <w:rFonts w:ascii="Verdana" w:eastAsia="Times New Roman" w:hAnsi="Verdana" w:cs="Arial"/>
          <w:i/>
          <w:iCs/>
          <w:color w:val="000000" w:themeColor="text1"/>
          <w:lang w:eastAsia="es-CO"/>
        </w:rPr>
        <w:t xml:space="preserve"> Modelo de Abastecimiento Estratégico </w:t>
      </w:r>
      <w:r w:rsidRPr="007433FF">
        <w:rPr>
          <w:rFonts w:ascii="Verdana" w:eastAsia="Times New Roman" w:hAnsi="Verdana" w:cs="Arial"/>
          <w:color w:val="000000" w:themeColor="text1"/>
          <w:lang w:eastAsia="es-CO"/>
        </w:rPr>
        <w:t>y la</w:t>
      </w:r>
      <w:r>
        <w:rPr>
          <w:rFonts w:ascii="Verdana" w:eastAsia="Times New Roman" w:hAnsi="Verdana" w:cs="Arial"/>
          <w:i/>
          <w:iCs/>
          <w:color w:val="000000" w:themeColor="text1"/>
          <w:lang w:eastAsia="es-CO"/>
        </w:rPr>
        <w:t xml:space="preserve"> Guía de Compras Públicas Sostenibles con el Medio Ambiente </w:t>
      </w:r>
      <w:r w:rsidRPr="007433FF">
        <w:rPr>
          <w:rFonts w:ascii="Verdana" w:eastAsia="Times New Roman" w:hAnsi="Verdana" w:cs="Arial"/>
          <w:color w:val="000000" w:themeColor="text1"/>
          <w:lang w:eastAsia="es-CO"/>
        </w:rPr>
        <w:t xml:space="preserve">que sirven como orientación para el desarrollo de las distintas etapas </w:t>
      </w:r>
      <w:r>
        <w:rPr>
          <w:rFonts w:ascii="Verdana" w:eastAsia="Times New Roman" w:hAnsi="Verdana" w:cs="Arial"/>
          <w:color w:val="000000" w:themeColor="text1"/>
          <w:lang w:eastAsia="es-CO"/>
        </w:rPr>
        <w:t xml:space="preserve">en dicha planificación y, </w:t>
      </w:r>
      <w:proofErr w:type="spellStart"/>
      <w:r>
        <w:rPr>
          <w:rFonts w:ascii="Verdana" w:eastAsia="Times New Roman" w:hAnsi="Verdana" w:cs="Arial"/>
          <w:color w:val="000000" w:themeColor="text1"/>
          <w:lang w:eastAsia="es-CO"/>
        </w:rPr>
        <w:t>ii</w:t>
      </w:r>
      <w:proofErr w:type="spellEnd"/>
      <w:r>
        <w:rPr>
          <w:rFonts w:ascii="Verdana" w:eastAsia="Times New Roman" w:hAnsi="Verdana" w:cs="Arial"/>
          <w:color w:val="000000" w:themeColor="text1"/>
          <w:lang w:eastAsia="es-CO"/>
        </w:rPr>
        <w:t xml:space="preserve">) se consulte con las entidades del sector de agua potable y saneamiento básico como el Ministerio de Vivienda, Ciudad y Territorio, la Comisión de Regulación </w:t>
      </w:r>
      <w:r w:rsidRPr="00AC1951">
        <w:rPr>
          <w:rFonts w:ascii="Verdana" w:eastAsia="Times New Roman" w:hAnsi="Verdana" w:cs="Arial"/>
          <w:color w:val="000000" w:themeColor="text1"/>
          <w:lang w:eastAsia="es-CO"/>
        </w:rPr>
        <w:t>de Agua Potable y Saneamiento Básico</w:t>
      </w:r>
      <w:r>
        <w:rPr>
          <w:rFonts w:ascii="Verdana" w:eastAsia="Times New Roman" w:hAnsi="Verdana" w:cs="Arial"/>
          <w:color w:val="000000" w:themeColor="text1"/>
          <w:lang w:eastAsia="es-CO"/>
        </w:rPr>
        <w:t>, el Departamento Nacional de Planeación, entre otras, sobre los aspectos técnicos del proyecto.</w:t>
      </w:r>
    </w:p>
    <w:p w14:paraId="60B817C7" w14:textId="77777777" w:rsidR="006F76F0" w:rsidRDefault="006F76F0" w:rsidP="006F76F0">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Finalmente, lo invitamos a consultar la </w:t>
      </w:r>
      <w:r w:rsidRPr="007C5503">
        <w:rPr>
          <w:rFonts w:ascii="Verdana" w:eastAsia="Times New Roman" w:hAnsi="Verdana" w:cs="Arial"/>
          <w:i/>
          <w:iCs/>
          <w:color w:val="000000" w:themeColor="text1"/>
          <w:lang w:eastAsia="es-CO"/>
        </w:rPr>
        <w:t>Guía para la comprensión e implementación de los Documentos Tipo de obra pública de infraestructura de transporte bajo las diferentes modalidades de contratación vigentes</w:t>
      </w:r>
      <w:r>
        <w:rPr>
          <w:rFonts w:ascii="Verdana" w:eastAsia="Times New Roman" w:hAnsi="Verdana" w:cs="Arial"/>
          <w:i/>
          <w:iCs/>
          <w:color w:val="000000" w:themeColor="text1"/>
          <w:lang w:eastAsia="es-CO"/>
        </w:rPr>
        <w:t xml:space="preserve"> </w:t>
      </w:r>
      <w:r>
        <w:rPr>
          <w:rFonts w:ascii="Verdana" w:eastAsia="Times New Roman" w:hAnsi="Verdana" w:cs="Arial"/>
          <w:color w:val="000000" w:themeColor="text1"/>
          <w:lang w:eastAsia="es-CO"/>
        </w:rPr>
        <w:t>que, aunque desarrolla su contenido con base en la implementación de los Documentos Tipo del sector de infraestructura de transporte, desde el punto de vista sustancial permite comprender todos los aspectos de los demás documentos tipo para sectores distintos, como conocer los pasos para entenderlos, establecer los requisitos de experiencia, entre otros:</w:t>
      </w:r>
    </w:p>
    <w:p w14:paraId="11750B42" w14:textId="77777777" w:rsidR="006F76F0" w:rsidRDefault="006F76F0" w:rsidP="006F76F0">
      <w:pPr>
        <w:spacing w:after="120" w:line="276" w:lineRule="auto"/>
        <w:ind w:firstLine="708"/>
        <w:jc w:val="both"/>
        <w:rPr>
          <w:rFonts w:ascii="Verdana" w:hAnsi="Verdana" w:cs="Arial"/>
          <w:iCs/>
          <w:lang w:val="es-ES_tradnl"/>
        </w:rPr>
      </w:pPr>
      <w:hyperlink r:id="rId15" w:history="1">
        <w:r w:rsidRPr="00F32A09">
          <w:rPr>
            <w:rStyle w:val="Hipervnculo"/>
            <w:rFonts w:ascii="Verdana" w:eastAsia="Times New Roman" w:hAnsi="Verdana" w:cs="Arial"/>
            <w:lang w:eastAsia="es-CO"/>
          </w:rPr>
          <w:t>https://www.colombiacompra.gov.co/sites/cce_public/files/cce_documents/guia_para_la_comprension_e_implementacion_de_los_documentos_tipo_obra_publica_de_infraestructura_transporte_-_cce-eicp-gi12.pdf</w:t>
        </w:r>
      </w:hyperlink>
    </w:p>
    <w:p w14:paraId="523D8DE9" w14:textId="77777777" w:rsidR="006F76F0" w:rsidRPr="005F7148" w:rsidRDefault="006F76F0" w:rsidP="006F76F0">
      <w:pPr>
        <w:spacing w:after="0" w:line="240" w:lineRule="auto"/>
        <w:ind w:left="709" w:right="709"/>
        <w:jc w:val="both"/>
        <w:rPr>
          <w:rFonts w:ascii="Verdana" w:eastAsia="Calibri" w:hAnsi="Verdana" w:cs="Arial"/>
          <w:sz w:val="21"/>
          <w:szCs w:val="21"/>
        </w:rPr>
      </w:pPr>
    </w:p>
    <w:p w14:paraId="1E7A008F" w14:textId="77777777" w:rsidR="006F76F0" w:rsidRPr="00262582" w:rsidRDefault="006F76F0" w:rsidP="006F76F0">
      <w:pPr>
        <w:tabs>
          <w:tab w:val="left" w:pos="142"/>
          <w:tab w:val="left" w:pos="284"/>
        </w:tabs>
        <w:spacing w:after="0" w:line="276" w:lineRule="auto"/>
        <w:jc w:val="both"/>
        <w:rPr>
          <w:rFonts w:ascii="Verdana" w:eastAsia="Century Gothic" w:hAnsi="Verdana" w:cs="Century Gothic"/>
          <w:b/>
          <w:bCs/>
        </w:rPr>
      </w:pPr>
      <w:r w:rsidRPr="00262582">
        <w:rPr>
          <w:rFonts w:ascii="Verdana" w:eastAsia="Century Gothic" w:hAnsi="Verdana" w:cs="Century Gothic"/>
          <w:b/>
          <w:bCs/>
        </w:rPr>
        <w:t>4. Referencias normativas, jurisprudenciales y otras fuentes:</w:t>
      </w:r>
    </w:p>
    <w:p w14:paraId="49742A6B" w14:textId="77777777" w:rsidR="006F76F0" w:rsidRPr="00262582" w:rsidRDefault="006F76F0" w:rsidP="006F76F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F76F0" w:rsidRPr="00262582" w14:paraId="091B67F8" w14:textId="77777777" w:rsidTr="00A92350">
        <w:trPr>
          <w:trHeight w:val="1904"/>
        </w:trPr>
        <w:tc>
          <w:tcPr>
            <w:tcW w:w="8647" w:type="dxa"/>
          </w:tcPr>
          <w:p w14:paraId="088C14C1" w14:textId="77777777" w:rsidR="006F76F0" w:rsidRPr="00B422F2" w:rsidRDefault="006F76F0" w:rsidP="006F76F0">
            <w:pPr>
              <w:widowControl w:val="0"/>
              <w:numPr>
                <w:ilvl w:val="0"/>
                <w:numId w:val="1"/>
              </w:numPr>
              <w:autoSpaceDE w:val="0"/>
              <w:autoSpaceDN w:val="0"/>
              <w:spacing w:line="276" w:lineRule="auto"/>
              <w:jc w:val="both"/>
              <w:rPr>
                <w:rFonts w:ascii="Verdana" w:eastAsia="Calibri" w:hAnsi="Verdana" w:cs="Arial"/>
              </w:rPr>
            </w:pPr>
            <w:r w:rsidRPr="00B422F2">
              <w:rPr>
                <w:rFonts w:ascii="Verdana" w:eastAsia="Calibri" w:hAnsi="Verdana" w:cs="Arial"/>
              </w:rPr>
              <w:t xml:space="preserve">Ley 2022 de 2020, artículo 1. </w:t>
            </w:r>
          </w:p>
          <w:p w14:paraId="0104E757" w14:textId="77777777" w:rsidR="006F76F0" w:rsidRPr="00B422F2" w:rsidRDefault="006F76F0" w:rsidP="006F76F0">
            <w:pPr>
              <w:widowControl w:val="0"/>
              <w:numPr>
                <w:ilvl w:val="0"/>
                <w:numId w:val="1"/>
              </w:numPr>
              <w:autoSpaceDE w:val="0"/>
              <w:autoSpaceDN w:val="0"/>
              <w:spacing w:line="276" w:lineRule="auto"/>
              <w:jc w:val="both"/>
              <w:rPr>
                <w:rFonts w:ascii="Verdana" w:eastAsia="Calibri" w:hAnsi="Verdana" w:cs="Arial"/>
              </w:rPr>
            </w:pPr>
            <w:r w:rsidRPr="00B422F2">
              <w:rPr>
                <w:rFonts w:ascii="Verdana" w:eastAsia="Calibri" w:hAnsi="Verdana" w:cs="Arial"/>
              </w:rPr>
              <w:t xml:space="preserve">Ley 80 de 1993, artículo </w:t>
            </w:r>
            <w:r>
              <w:rPr>
                <w:rFonts w:ascii="Verdana" w:eastAsia="Calibri" w:hAnsi="Verdana" w:cs="Arial"/>
              </w:rPr>
              <w:t>3</w:t>
            </w:r>
            <w:r w:rsidRPr="00B422F2">
              <w:rPr>
                <w:rFonts w:ascii="Verdana" w:eastAsia="Calibri" w:hAnsi="Verdana" w:cs="Arial"/>
              </w:rPr>
              <w:t>2.</w:t>
            </w:r>
          </w:p>
          <w:p w14:paraId="342BA310" w14:textId="77777777" w:rsidR="006F76F0" w:rsidRPr="00603B6F" w:rsidRDefault="006F76F0" w:rsidP="006F76F0">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422F2">
              <w:rPr>
                <w:rFonts w:ascii="Verdana" w:eastAsia="Calibri" w:hAnsi="Verdana" w:cs="Arial"/>
              </w:rPr>
              <w:t xml:space="preserve">Documentos Tipo de obra pública de infraestructura de transporte y agua potable y saneamiento básico. Disponibles en: </w:t>
            </w:r>
            <w:hyperlink r:id="rId16" w:history="1">
              <w:r w:rsidRPr="00B422F2">
                <w:rPr>
                  <w:rFonts w:ascii="Verdana" w:eastAsia="Calibri" w:hAnsi="Verdana" w:cs="Arial"/>
                  <w:color w:val="467886"/>
                  <w:u w:val="single"/>
                </w:rPr>
                <w:t>https://www.colombiacompra.gov.co/documentos-tipo/documentos-tipo</w:t>
              </w:r>
            </w:hyperlink>
          </w:p>
        </w:tc>
      </w:tr>
    </w:tbl>
    <w:p w14:paraId="7B705B30" w14:textId="77777777" w:rsidR="006F76F0" w:rsidRPr="00262582" w:rsidRDefault="006F76F0" w:rsidP="006F76F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0672A93" w14:textId="77777777" w:rsidR="006F76F0" w:rsidRPr="00262582" w:rsidRDefault="006F76F0" w:rsidP="006F76F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62582">
        <w:rPr>
          <w:rFonts w:ascii="Verdana" w:eastAsia="Century Gothic" w:hAnsi="Verdana" w:cs="Century Gothic"/>
          <w:b/>
          <w:bCs/>
        </w:rPr>
        <w:t>5. Doctrina de la Agencia Nacional de Contratación Pública:</w:t>
      </w:r>
    </w:p>
    <w:p w14:paraId="30D91B73" w14:textId="77777777" w:rsidR="006F76F0" w:rsidRPr="00262582" w:rsidRDefault="006F76F0" w:rsidP="006F76F0">
      <w:pPr>
        <w:spacing w:after="0" w:line="276" w:lineRule="auto"/>
        <w:ind w:firstLine="709"/>
        <w:jc w:val="both"/>
        <w:rPr>
          <w:rFonts w:ascii="Verdana" w:eastAsia="Times New Roman" w:hAnsi="Verdana" w:cs="Arial"/>
          <w:szCs w:val="24"/>
          <w:lang w:val="es-ES" w:eastAsia="es-ES_tradnl"/>
        </w:rPr>
      </w:pPr>
    </w:p>
    <w:p w14:paraId="13FEE0A6" w14:textId="77777777" w:rsidR="006F76F0" w:rsidRDefault="006F76F0" w:rsidP="006F76F0">
      <w:pPr>
        <w:widowControl w:val="0"/>
        <w:autoSpaceDE w:val="0"/>
        <w:autoSpaceDN w:val="0"/>
        <w:spacing w:after="0" w:line="276" w:lineRule="auto"/>
        <w:jc w:val="both"/>
        <w:rPr>
          <w:rFonts w:ascii="Verdana" w:hAnsi="Verdana"/>
          <w:color w:val="000000"/>
          <w:shd w:val="clear" w:color="auto" w:fill="FFFFFF"/>
        </w:rPr>
      </w:pPr>
      <w:r w:rsidRPr="00B422F2">
        <w:rPr>
          <w:rFonts w:ascii="Verdana" w:eastAsia="Calibri" w:hAnsi="Verdana" w:cs="Arial"/>
          <w:shd w:val="clear" w:color="auto" w:fill="FFFFFF"/>
          <w:lang w:val="es-ES"/>
        </w:rPr>
        <w:t xml:space="preserve">La Agencia Nacional de Contratación Pública – Colombia Compra Eficiente analizó el fundamento normativo de los documentos tipo en la contratación estatal, entre otros, en los siguientes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w:t>
      </w:r>
      <w:r w:rsidRPr="00B422F2">
        <w:rPr>
          <w:rFonts w:ascii="Verdana" w:eastAsia="Calibri" w:hAnsi="Verdana" w:cs="Arial"/>
          <w:shd w:val="clear" w:color="auto" w:fill="FFFFFF"/>
          <w:lang w:val="es-ES"/>
        </w:rPr>
        <w:lastRenderedPageBreak/>
        <w:t xml:space="preserve">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y C-290 del 28 de julio de 2023, etc. </w:t>
      </w:r>
      <w:r>
        <w:rPr>
          <w:rFonts w:ascii="Verdana" w:hAnsi="Verdana"/>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7" w:tgtFrame="_blank" w:tooltip="Dirección URL original: https://relatoria.colombiacompra.gov.co/. Haga clic o pulse si confía en este vínculo." w:history="1">
        <w:r>
          <w:rPr>
            <w:rStyle w:val="Hipervnculo"/>
            <w:rFonts w:ascii="Verdana" w:hAnsi="Verdana"/>
            <w:bdr w:val="none" w:sz="0" w:space="0" w:color="auto" w:frame="1"/>
            <w:shd w:val="clear" w:color="auto" w:fill="FFFFFF"/>
          </w:rPr>
          <w:t>https://relatoria.colombiacompra.gov.co/</w:t>
        </w:r>
      </w:hyperlink>
      <w:r>
        <w:rPr>
          <w:rFonts w:ascii="Verdana" w:hAnsi="Verdana"/>
          <w:color w:val="000000"/>
          <w:shd w:val="clear" w:color="auto" w:fill="FFFFFF"/>
        </w:rPr>
        <w:t> . Te invitamos también a revisar la tercera edición del Boletín de Relatoría de 2024 en el cual podrás consultar en detalle el marco normativo de documentos tipo:</w:t>
      </w:r>
    </w:p>
    <w:p w14:paraId="33FCF9ED" w14:textId="77777777" w:rsidR="006F76F0" w:rsidRDefault="006F76F0" w:rsidP="006F76F0">
      <w:pPr>
        <w:widowControl w:val="0"/>
        <w:autoSpaceDE w:val="0"/>
        <w:autoSpaceDN w:val="0"/>
        <w:spacing w:after="0" w:line="276" w:lineRule="auto"/>
        <w:jc w:val="both"/>
        <w:rPr>
          <w:rFonts w:ascii="Verdana" w:hAnsi="Verdana"/>
          <w:color w:val="000000"/>
          <w:shd w:val="clear" w:color="auto" w:fill="FFFFFF"/>
        </w:rPr>
      </w:pPr>
    </w:p>
    <w:p w14:paraId="0B0CC6BA" w14:textId="77777777" w:rsidR="006F76F0" w:rsidRPr="00B422F2" w:rsidRDefault="006F76F0" w:rsidP="006F76F0">
      <w:pPr>
        <w:widowControl w:val="0"/>
        <w:autoSpaceDE w:val="0"/>
        <w:autoSpaceDN w:val="0"/>
        <w:spacing w:after="0" w:line="276" w:lineRule="auto"/>
        <w:jc w:val="both"/>
        <w:rPr>
          <w:rFonts w:ascii="Verdana" w:eastAsia="Calibri" w:hAnsi="Verdana" w:cs="Arial"/>
          <w:shd w:val="clear" w:color="auto" w:fill="FFFFFF"/>
          <w:lang w:val="es-ES"/>
        </w:rPr>
      </w:pPr>
      <w:hyperlink r:id="rId18" w:tgtFrame="_blank" w:tooltip="Dirección URL original: https://www.colombiacompra.gov.co/sites/cce_public/files/files_2020/boletin_de_realtoria_iii.pdf. Haga clic o pulse si confía en este vínculo." w:history="1">
        <w:r>
          <w:rPr>
            <w:rStyle w:val="Hipervnculo"/>
            <w:rFonts w:ascii="Verdana" w:hAnsi="Verdana"/>
            <w:bdr w:val="none" w:sz="0" w:space="0" w:color="auto" w:frame="1"/>
            <w:shd w:val="clear" w:color="auto" w:fill="FFFFFF"/>
          </w:rPr>
          <w:t>https://www.colombiacompra.gov.co/sites/cce_public/files/files_2020/boletin_de_realtoria_iii.pdf</w:t>
        </w:r>
      </w:hyperlink>
    </w:p>
    <w:p w14:paraId="043087F2" w14:textId="77777777" w:rsidR="006F76F0" w:rsidRPr="00262582" w:rsidRDefault="006F76F0" w:rsidP="006F76F0">
      <w:pPr>
        <w:spacing w:after="0" w:line="240" w:lineRule="auto"/>
        <w:jc w:val="both"/>
        <w:rPr>
          <w:rFonts w:ascii="Verdana" w:hAnsi="Verdana"/>
        </w:rPr>
      </w:pPr>
    </w:p>
    <w:p w14:paraId="54DBEF22" w14:textId="77777777" w:rsidR="006F76F0" w:rsidRPr="00262582" w:rsidRDefault="006F76F0" w:rsidP="006F76F0">
      <w:pPr>
        <w:spacing w:after="0" w:line="240" w:lineRule="auto"/>
        <w:jc w:val="both"/>
        <w:rPr>
          <w:rFonts w:ascii="Verdana" w:hAnsi="Verdana"/>
        </w:rPr>
      </w:pPr>
      <w:r w:rsidRPr="00262582">
        <w:rPr>
          <w:rFonts w:ascii="Verdana" w:hAnsi="Verdana"/>
        </w:rPr>
        <w:t xml:space="preserve">Por último, lo invitamos a seguirnos en las redes sociales en las cuales se difunde información institucional: </w:t>
      </w:r>
    </w:p>
    <w:p w14:paraId="1471C93D" w14:textId="77777777" w:rsidR="006F76F0" w:rsidRPr="00262582" w:rsidRDefault="006F76F0" w:rsidP="006F76F0">
      <w:pPr>
        <w:spacing w:after="0" w:line="240" w:lineRule="auto"/>
        <w:jc w:val="both"/>
        <w:rPr>
          <w:rFonts w:ascii="Verdana" w:hAnsi="Verdana"/>
        </w:rPr>
      </w:pPr>
    </w:p>
    <w:p w14:paraId="6C41F37D" w14:textId="77777777" w:rsidR="006F76F0" w:rsidRPr="00262582" w:rsidRDefault="006F76F0" w:rsidP="006F76F0">
      <w:pPr>
        <w:spacing w:after="0" w:line="240" w:lineRule="auto"/>
        <w:jc w:val="both"/>
        <w:rPr>
          <w:rFonts w:ascii="Verdana" w:hAnsi="Verdana"/>
        </w:rPr>
      </w:pPr>
      <w:r w:rsidRPr="00262582">
        <w:rPr>
          <w:rFonts w:ascii="Verdana" w:hAnsi="Verdana"/>
        </w:rPr>
        <w:t xml:space="preserve">Twitter: </w:t>
      </w:r>
      <w:r w:rsidRPr="00262582">
        <w:rPr>
          <w:rStyle w:val="Hipervnculo"/>
          <w:rFonts w:ascii="Verdana" w:hAnsi="Verdana"/>
          <w:color w:val="4472C4" w:themeColor="accent1"/>
        </w:rPr>
        <w:t>@colombiacompra</w:t>
      </w:r>
      <w:r w:rsidRPr="00262582">
        <w:rPr>
          <w:rFonts w:ascii="Verdana" w:hAnsi="Verdana"/>
          <w:color w:val="4472C4" w:themeColor="accent1"/>
        </w:rPr>
        <w:t xml:space="preserve"> </w:t>
      </w:r>
    </w:p>
    <w:p w14:paraId="3926E371" w14:textId="77777777" w:rsidR="006F76F0" w:rsidRPr="00262582" w:rsidRDefault="006F76F0" w:rsidP="006F76F0">
      <w:pPr>
        <w:spacing w:after="0" w:line="240" w:lineRule="auto"/>
        <w:jc w:val="both"/>
        <w:rPr>
          <w:rFonts w:ascii="Verdana" w:hAnsi="Verdana"/>
        </w:rPr>
      </w:pPr>
      <w:r w:rsidRPr="00262582">
        <w:rPr>
          <w:rFonts w:ascii="Verdana" w:hAnsi="Verdana"/>
        </w:rPr>
        <w:t xml:space="preserve">Facebook: </w:t>
      </w:r>
      <w:r w:rsidRPr="00262582">
        <w:rPr>
          <w:rStyle w:val="Hipervnculo"/>
          <w:rFonts w:ascii="Verdana" w:hAnsi="Verdana"/>
          <w:color w:val="4472C4" w:themeColor="accent1"/>
        </w:rPr>
        <w:t>ColombiaCompraEficiente</w:t>
      </w:r>
    </w:p>
    <w:p w14:paraId="23F04895" w14:textId="77777777" w:rsidR="006F76F0" w:rsidRPr="00262582" w:rsidRDefault="006F76F0" w:rsidP="006F76F0">
      <w:pPr>
        <w:spacing w:after="0" w:line="240" w:lineRule="auto"/>
        <w:jc w:val="both"/>
        <w:rPr>
          <w:rFonts w:ascii="Verdana" w:hAnsi="Verdana"/>
        </w:rPr>
      </w:pPr>
      <w:r w:rsidRPr="00262582">
        <w:rPr>
          <w:rFonts w:ascii="Verdana" w:hAnsi="Verdana"/>
        </w:rPr>
        <w:t xml:space="preserve">LinkedIn: </w:t>
      </w:r>
      <w:r w:rsidRPr="00262582">
        <w:rPr>
          <w:rStyle w:val="Hipervnculo"/>
          <w:rFonts w:ascii="Verdana" w:hAnsi="Verdana"/>
          <w:color w:val="4472C4" w:themeColor="accent1"/>
        </w:rPr>
        <w:t>Agencia Nacional de Contratación Pública - Colombia Compra Eficiente</w:t>
      </w:r>
      <w:r w:rsidRPr="00262582">
        <w:rPr>
          <w:rFonts w:ascii="Verdana" w:hAnsi="Verdana"/>
          <w:color w:val="4472C4" w:themeColor="accent1"/>
        </w:rPr>
        <w:t xml:space="preserve"> </w:t>
      </w:r>
      <w:r w:rsidRPr="00262582">
        <w:rPr>
          <w:rFonts w:ascii="Verdana" w:hAnsi="Verdana"/>
        </w:rPr>
        <w:t xml:space="preserve">Instagram: </w:t>
      </w:r>
      <w:r w:rsidRPr="00262582">
        <w:rPr>
          <w:rStyle w:val="Hipervnculo"/>
          <w:rFonts w:ascii="Verdana" w:hAnsi="Verdana"/>
          <w:color w:val="4472C4" w:themeColor="accent1"/>
        </w:rPr>
        <w:t>@colombiacompraeficiente_cce</w:t>
      </w:r>
    </w:p>
    <w:p w14:paraId="541D507F" w14:textId="77777777" w:rsidR="006F76F0" w:rsidRPr="0044528D" w:rsidRDefault="006F76F0" w:rsidP="006F76F0">
      <w:pPr>
        <w:widowControl w:val="0"/>
        <w:autoSpaceDE w:val="0"/>
        <w:autoSpaceDN w:val="0"/>
        <w:spacing w:after="0" w:line="276" w:lineRule="auto"/>
        <w:jc w:val="both"/>
        <w:rPr>
          <w:rFonts w:ascii="Verdana" w:hAnsi="Verdana"/>
        </w:rPr>
      </w:pPr>
    </w:p>
    <w:p w14:paraId="03A60636" w14:textId="77777777" w:rsidR="006F76F0" w:rsidRPr="00262582" w:rsidRDefault="006F76F0" w:rsidP="006F76F0">
      <w:pPr>
        <w:widowControl w:val="0"/>
        <w:autoSpaceDE w:val="0"/>
        <w:autoSpaceDN w:val="0"/>
        <w:spacing w:after="0" w:line="276" w:lineRule="auto"/>
        <w:jc w:val="both"/>
        <w:rPr>
          <w:rFonts w:ascii="Verdana" w:hAnsi="Verdana" w:cs="Arial"/>
          <w:lang w:val="es-ES_tradnl"/>
        </w:rPr>
      </w:pPr>
      <w:r w:rsidRPr="00262582">
        <w:rPr>
          <w:rFonts w:ascii="Verdana" w:hAnsi="Verdana" w:cs="Arial"/>
        </w:rPr>
        <w:t xml:space="preserve">Este concepto tiene el alcance previsto en el artículo 28 del Código de Procedimiento Administrativo y de lo Contencioso Administrativo </w:t>
      </w:r>
      <w:r w:rsidRPr="00262582">
        <w:rPr>
          <w:rFonts w:ascii="Verdana" w:hAnsi="Verdana" w:cs="Arial"/>
          <w:lang w:val="es-ES_tradnl"/>
        </w:rPr>
        <w:t>y las expresiones aquí utilizadas con mayúscula inicial deben ser entendidas con el significado que les otorga el artículo 2.2.1.1.1.3.1. del Decreto 1082 de 2015.</w:t>
      </w:r>
    </w:p>
    <w:p w14:paraId="1348F294" w14:textId="77777777" w:rsidR="006F76F0" w:rsidRPr="00262582" w:rsidRDefault="006F76F0" w:rsidP="006F76F0">
      <w:pPr>
        <w:spacing w:after="0" w:line="276" w:lineRule="auto"/>
        <w:ind w:firstLine="709"/>
        <w:jc w:val="both"/>
        <w:rPr>
          <w:rFonts w:ascii="Verdana" w:eastAsia="Times New Roman" w:hAnsi="Verdana" w:cs="Arial"/>
          <w:szCs w:val="24"/>
          <w:lang w:val="es-ES_tradnl" w:eastAsia="es-ES_tradnl"/>
        </w:rPr>
      </w:pPr>
    </w:p>
    <w:p w14:paraId="708ECAA4" w14:textId="77777777" w:rsidR="006F76F0" w:rsidRPr="00262582" w:rsidRDefault="006F76F0" w:rsidP="006F76F0">
      <w:pPr>
        <w:spacing w:after="0" w:line="276" w:lineRule="auto"/>
        <w:jc w:val="both"/>
        <w:rPr>
          <w:rFonts w:ascii="Verdana" w:eastAsia="Times New Roman" w:hAnsi="Verdana" w:cs="Arial"/>
          <w:lang w:val="es-ES_tradnl" w:eastAsia="es-CO"/>
        </w:rPr>
      </w:pPr>
      <w:bookmarkStart w:id="2" w:name="_Hlk117695077"/>
      <w:r w:rsidRPr="00262582">
        <w:rPr>
          <w:rFonts w:ascii="Verdana" w:eastAsia="Times New Roman" w:hAnsi="Verdana" w:cs="Arial"/>
          <w:lang w:val="es-ES_tradnl" w:eastAsia="es-CO"/>
        </w:rPr>
        <w:t>Atentamente,</w:t>
      </w:r>
    </w:p>
    <w:bookmarkEnd w:id="2"/>
    <w:p w14:paraId="3100DC3B" w14:textId="3EBE434A" w:rsidR="006F76F0" w:rsidRPr="00262582" w:rsidRDefault="00FC5E94" w:rsidP="006F76F0">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242841BB" wp14:editId="376E603A">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9"/>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919"/>
      </w:tblGrid>
      <w:tr w:rsidR="006F76F0" w:rsidRPr="00262582" w14:paraId="145A2E8F" w14:textId="77777777" w:rsidTr="00A92350">
        <w:trPr>
          <w:trHeight w:val="286"/>
        </w:trPr>
        <w:tc>
          <w:tcPr>
            <w:tcW w:w="893" w:type="dxa"/>
            <w:vAlign w:val="center"/>
            <w:hideMark/>
          </w:tcPr>
          <w:p w14:paraId="090D9795" w14:textId="77777777" w:rsidR="006F76F0" w:rsidRPr="00262582" w:rsidRDefault="006F76F0" w:rsidP="00A92350">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Elaboró:</w:t>
            </w:r>
          </w:p>
        </w:tc>
        <w:tc>
          <w:tcPr>
            <w:tcW w:w="4919" w:type="dxa"/>
            <w:tcBorders>
              <w:top w:val="nil"/>
              <w:left w:val="nil"/>
              <w:bottom w:val="dotted" w:sz="4" w:space="0" w:color="7F7F7F"/>
              <w:right w:val="nil"/>
            </w:tcBorders>
            <w:vAlign w:val="center"/>
            <w:hideMark/>
          </w:tcPr>
          <w:p w14:paraId="697CE1EE" w14:textId="77777777" w:rsidR="006F76F0" w:rsidRPr="00262582" w:rsidRDefault="006F76F0" w:rsidP="00A92350">
            <w:pPr>
              <w:rPr>
                <w:rFonts w:ascii="Verdana" w:eastAsia="Times New Roman" w:hAnsi="Verdana" w:cs="Arial"/>
                <w:sz w:val="16"/>
                <w:szCs w:val="16"/>
                <w:lang w:val="es-ES_tradnl" w:eastAsia="es-ES"/>
              </w:rPr>
            </w:pPr>
            <w:r w:rsidRPr="00262582">
              <w:rPr>
                <w:rFonts w:ascii="Verdana" w:eastAsia="Times New Roman" w:hAnsi="Verdana" w:cs="Arial"/>
                <w:sz w:val="16"/>
                <w:szCs w:val="16"/>
                <w:lang w:val="es-ES_tradnl" w:eastAsia="es-ES"/>
              </w:rPr>
              <w:t>Sergio</w:t>
            </w:r>
            <w:r>
              <w:rPr>
                <w:rFonts w:ascii="Verdana" w:eastAsia="Times New Roman" w:hAnsi="Verdana" w:cs="Arial"/>
                <w:sz w:val="16"/>
                <w:szCs w:val="16"/>
                <w:lang w:val="es-ES_tradnl" w:eastAsia="es-ES"/>
              </w:rPr>
              <w:t xml:space="preserve"> Enrique</w:t>
            </w:r>
            <w:r w:rsidRPr="00262582">
              <w:rPr>
                <w:rFonts w:ascii="Verdana" w:eastAsia="Times New Roman" w:hAnsi="Verdana" w:cs="Arial"/>
                <w:sz w:val="16"/>
                <w:szCs w:val="16"/>
                <w:lang w:val="es-ES_tradnl" w:eastAsia="es-ES"/>
              </w:rPr>
              <w:t xml:space="preserve"> Caballero</w:t>
            </w:r>
            <w:r>
              <w:rPr>
                <w:rFonts w:ascii="Verdana" w:eastAsia="Times New Roman" w:hAnsi="Verdana" w:cs="Arial"/>
                <w:sz w:val="16"/>
                <w:szCs w:val="16"/>
                <w:lang w:val="es-ES_tradnl" w:eastAsia="es-ES"/>
              </w:rPr>
              <w:t xml:space="preserve"> Lesmes</w:t>
            </w:r>
          </w:p>
          <w:p w14:paraId="76F44724" w14:textId="77777777" w:rsidR="006F76F0" w:rsidRPr="00262582" w:rsidRDefault="006F76F0" w:rsidP="00A92350">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lastRenderedPageBreak/>
              <w:t>Analista T</w:t>
            </w:r>
            <w:r>
              <w:rPr>
                <w:rFonts w:ascii="Verdana" w:eastAsia="Times New Roman" w:hAnsi="Verdana" w:cs="Arial"/>
                <w:sz w:val="16"/>
                <w:szCs w:val="16"/>
                <w:lang w:eastAsia="es-ES"/>
              </w:rPr>
              <w:t>2</w:t>
            </w:r>
            <w:r w:rsidRPr="00262582">
              <w:rPr>
                <w:rFonts w:ascii="Verdana" w:eastAsia="Times New Roman" w:hAnsi="Verdana" w:cs="Arial"/>
                <w:sz w:val="16"/>
                <w:szCs w:val="16"/>
                <w:lang w:eastAsia="es-ES"/>
              </w:rPr>
              <w:t>-1 de la Subdirección de Gestión Contractual</w:t>
            </w:r>
          </w:p>
        </w:tc>
      </w:tr>
      <w:tr w:rsidR="006F76F0" w:rsidRPr="00262582" w14:paraId="5BEF5811" w14:textId="77777777" w:rsidTr="00A92350">
        <w:trPr>
          <w:trHeight w:val="299"/>
        </w:trPr>
        <w:tc>
          <w:tcPr>
            <w:tcW w:w="893" w:type="dxa"/>
            <w:vAlign w:val="center"/>
            <w:hideMark/>
          </w:tcPr>
          <w:p w14:paraId="62B8EECD" w14:textId="77777777" w:rsidR="006F76F0" w:rsidRPr="00262582" w:rsidRDefault="006F76F0" w:rsidP="00A92350">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lastRenderedPageBreak/>
              <w:t>Revisó:</w:t>
            </w:r>
          </w:p>
        </w:tc>
        <w:tc>
          <w:tcPr>
            <w:tcW w:w="4919" w:type="dxa"/>
            <w:tcBorders>
              <w:top w:val="dotted" w:sz="4" w:space="0" w:color="7F7F7F"/>
              <w:left w:val="nil"/>
              <w:bottom w:val="dotted" w:sz="4" w:space="0" w:color="7F7F7F"/>
              <w:right w:val="nil"/>
            </w:tcBorders>
            <w:vAlign w:val="center"/>
            <w:hideMark/>
          </w:tcPr>
          <w:p w14:paraId="6BAE19EB" w14:textId="77777777" w:rsidR="006F76F0" w:rsidRPr="00262582" w:rsidRDefault="006F76F0" w:rsidP="00A92350">
            <w:pPr>
              <w:rPr>
                <w:rFonts w:ascii="Verdana" w:eastAsia="Times New Roman" w:hAnsi="Verdana" w:cs="Arial"/>
                <w:sz w:val="16"/>
                <w:szCs w:val="16"/>
                <w:lang w:val="es-ES_tradnl" w:eastAsia="es-ES"/>
              </w:rPr>
            </w:pPr>
            <w:r w:rsidRPr="00262582">
              <w:rPr>
                <w:rFonts w:ascii="Verdana" w:eastAsia="Times New Roman" w:hAnsi="Verdana" w:cs="Arial"/>
                <w:sz w:val="16"/>
                <w:szCs w:val="16"/>
                <w:lang w:val="es-ES_tradnl" w:eastAsia="es-ES"/>
              </w:rPr>
              <w:t>Juan David Cárdenas</w:t>
            </w:r>
            <w:r>
              <w:rPr>
                <w:rFonts w:ascii="Verdana" w:eastAsia="Times New Roman" w:hAnsi="Verdana" w:cs="Arial"/>
                <w:sz w:val="16"/>
                <w:szCs w:val="16"/>
                <w:lang w:val="es-ES_tradnl" w:eastAsia="es-ES"/>
              </w:rPr>
              <w:t xml:space="preserve"> Cabeza</w:t>
            </w:r>
          </w:p>
          <w:p w14:paraId="11253859" w14:textId="77777777" w:rsidR="006F76F0" w:rsidRPr="00262582" w:rsidRDefault="006F76F0" w:rsidP="00A92350">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Contratista de la Subdirección de Gestión Contractual</w:t>
            </w:r>
          </w:p>
        </w:tc>
      </w:tr>
      <w:tr w:rsidR="006F76F0" w:rsidRPr="00262582" w14:paraId="2AD013BA" w14:textId="77777777" w:rsidTr="00A92350">
        <w:trPr>
          <w:trHeight w:val="272"/>
        </w:trPr>
        <w:tc>
          <w:tcPr>
            <w:tcW w:w="893" w:type="dxa"/>
            <w:vAlign w:val="center"/>
            <w:hideMark/>
          </w:tcPr>
          <w:p w14:paraId="081264B0" w14:textId="77777777" w:rsidR="006F76F0" w:rsidRPr="00262582" w:rsidRDefault="006F76F0" w:rsidP="00A92350">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Aprobó:</w:t>
            </w:r>
          </w:p>
        </w:tc>
        <w:tc>
          <w:tcPr>
            <w:tcW w:w="4919" w:type="dxa"/>
            <w:tcBorders>
              <w:top w:val="dotted" w:sz="4" w:space="0" w:color="7F7F7F"/>
              <w:left w:val="nil"/>
              <w:bottom w:val="dotted" w:sz="4" w:space="0" w:color="7F7F7F"/>
              <w:right w:val="nil"/>
            </w:tcBorders>
            <w:vAlign w:val="center"/>
            <w:hideMark/>
          </w:tcPr>
          <w:p w14:paraId="44AD659D" w14:textId="77777777" w:rsidR="006F76F0" w:rsidRPr="00262582" w:rsidRDefault="006F76F0" w:rsidP="00A92350">
            <w:pPr>
              <w:rPr>
                <w:rFonts w:ascii="Verdana" w:eastAsia="Times New Roman" w:hAnsi="Verdana" w:cs="Arial"/>
                <w:sz w:val="16"/>
                <w:szCs w:val="16"/>
                <w:lang w:eastAsia="es-ES"/>
              </w:rPr>
            </w:pPr>
            <w:r w:rsidRPr="00262582">
              <w:rPr>
                <w:rFonts w:ascii="Verdana" w:eastAsia="Times New Roman" w:hAnsi="Verdana" w:cs="Arial"/>
                <w:sz w:val="16"/>
                <w:szCs w:val="16"/>
                <w:lang w:eastAsia="es-ES"/>
              </w:rPr>
              <w:t>Carolina Quintero Gacharná</w:t>
            </w:r>
          </w:p>
          <w:p w14:paraId="4B202248" w14:textId="77777777" w:rsidR="006F76F0" w:rsidRPr="00262582" w:rsidRDefault="006F76F0" w:rsidP="00A92350">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Subdirectora de Gestión Contractual ANCP – CCE</w:t>
            </w:r>
          </w:p>
        </w:tc>
      </w:tr>
    </w:tbl>
    <w:p w14:paraId="0B918BCF" w14:textId="77777777" w:rsidR="006F76F0" w:rsidRPr="00262582" w:rsidRDefault="006F76F0" w:rsidP="006F76F0">
      <w:pPr>
        <w:spacing w:after="0" w:line="276" w:lineRule="auto"/>
        <w:jc w:val="both"/>
        <w:rPr>
          <w:rFonts w:ascii="Verdana" w:eastAsia="Times New Roman" w:hAnsi="Verdana" w:cs="Arial"/>
          <w:lang w:val="es-ES_tradnl"/>
        </w:rPr>
      </w:pPr>
    </w:p>
    <w:p w14:paraId="69AD3161" w14:textId="77777777" w:rsidR="006F76F0" w:rsidRPr="00262582" w:rsidRDefault="006F76F0" w:rsidP="006F76F0">
      <w:pPr>
        <w:spacing w:after="0" w:line="240" w:lineRule="auto"/>
        <w:rPr>
          <w:rFonts w:ascii="Verdana" w:eastAsia="Times New Roman" w:hAnsi="Verdana" w:cs="Arial"/>
          <w:sz w:val="24"/>
          <w:szCs w:val="24"/>
          <w:lang w:eastAsia="es-ES_tradnl"/>
        </w:rPr>
      </w:pPr>
    </w:p>
    <w:p w14:paraId="344C4462" w14:textId="77777777" w:rsidR="006F76F0" w:rsidRPr="00262582" w:rsidRDefault="006F76F0" w:rsidP="006F76F0">
      <w:pPr>
        <w:rPr>
          <w:rFonts w:ascii="Verdana" w:hAnsi="Verdana"/>
        </w:rPr>
      </w:pPr>
    </w:p>
    <w:p w14:paraId="6CE83DE3" w14:textId="77777777" w:rsidR="006F76F0" w:rsidRPr="0077713E" w:rsidRDefault="006F76F0" w:rsidP="006F76F0"/>
    <w:p w14:paraId="249B28F3" w14:textId="77777777" w:rsidR="006F76F0" w:rsidRDefault="006F76F0" w:rsidP="006F76F0"/>
    <w:p w14:paraId="6F7EB2F0" w14:textId="77777777" w:rsidR="006F76F0" w:rsidRPr="003E6FAA" w:rsidRDefault="006F76F0" w:rsidP="006F76F0"/>
    <w:p w14:paraId="33C05710" w14:textId="77777777" w:rsidR="00C24FFE" w:rsidRDefault="00C24FFE"/>
    <w:sectPr w:rsidR="00C24FFE" w:rsidSect="006F76F0">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CE5F1D" w14:textId="77777777" w:rsidR="00B35C45" w:rsidRDefault="00B35C45" w:rsidP="006F76F0">
      <w:pPr>
        <w:spacing w:after="0" w:line="240" w:lineRule="auto"/>
      </w:pPr>
      <w:r>
        <w:separator/>
      </w:r>
    </w:p>
  </w:endnote>
  <w:endnote w:type="continuationSeparator" w:id="0">
    <w:p w14:paraId="50475844" w14:textId="77777777" w:rsidR="00B35C45" w:rsidRDefault="00B35C45" w:rsidP="006F7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CAA4" w14:textId="77777777" w:rsidR="006F76F0" w:rsidRDefault="006F76F0">
    <w:pPr>
      <w:pStyle w:val="Piedepgina"/>
    </w:pPr>
  </w:p>
  <w:p w14:paraId="5A43DAF5" w14:textId="77777777" w:rsidR="006F76F0" w:rsidRPr="00174B77" w:rsidRDefault="006F76F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833D0A0" w14:textId="77777777" w:rsidR="006F76F0" w:rsidRDefault="006F76F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6D79257" w14:textId="77777777" w:rsidR="006F76F0" w:rsidRPr="00E41027" w:rsidRDefault="006F76F0" w:rsidP="00D520D8">
    <w:pPr>
      <w:spacing w:after="0"/>
      <w:jc w:val="both"/>
      <w:rPr>
        <w:rFonts w:ascii="Verdana" w:hAnsi="Verdana"/>
        <w:sz w:val="18"/>
        <w:szCs w:val="18"/>
      </w:rPr>
    </w:pPr>
    <w:r w:rsidRPr="00E41027">
      <w:rPr>
        <w:rFonts w:ascii="Verdana" w:hAnsi="Verdana"/>
        <w:sz w:val="18"/>
        <w:szCs w:val="18"/>
      </w:rPr>
      <w:t>Mesa de servicio: (+57) 601 7456788</w:t>
    </w:r>
  </w:p>
  <w:p w14:paraId="47161C80" w14:textId="77777777" w:rsidR="006F76F0" w:rsidRDefault="006F76F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1AF4F4" w14:textId="77777777" w:rsidR="00B35C45" w:rsidRDefault="00B35C45" w:rsidP="006F76F0">
      <w:pPr>
        <w:spacing w:after="0" w:line="240" w:lineRule="auto"/>
      </w:pPr>
      <w:r>
        <w:separator/>
      </w:r>
    </w:p>
  </w:footnote>
  <w:footnote w:type="continuationSeparator" w:id="0">
    <w:p w14:paraId="7614BBCD" w14:textId="77777777" w:rsidR="00B35C45" w:rsidRDefault="00B35C45" w:rsidP="006F76F0">
      <w:pPr>
        <w:spacing w:after="0" w:line="240" w:lineRule="auto"/>
      </w:pPr>
      <w:r>
        <w:continuationSeparator/>
      </w:r>
    </w:p>
  </w:footnote>
  <w:footnote w:id="1">
    <w:p w14:paraId="372B2CFD" w14:textId="77777777" w:rsidR="006F76F0" w:rsidRPr="004036F9" w:rsidRDefault="006F76F0" w:rsidP="006F76F0">
      <w:pPr>
        <w:pStyle w:val="Textonotapie"/>
        <w:ind w:firstLine="709"/>
        <w:jc w:val="both"/>
        <w:rPr>
          <w:rFonts w:ascii="Verdana" w:hAnsi="Verdana" w:cs="Arial"/>
          <w:sz w:val="14"/>
          <w:szCs w:val="14"/>
        </w:rPr>
      </w:pPr>
      <w:r w:rsidRPr="004036F9">
        <w:rPr>
          <w:rStyle w:val="Refdenotaalpie"/>
          <w:rFonts w:ascii="Verdana" w:hAnsi="Verdana" w:cs="Arial"/>
          <w:sz w:val="14"/>
          <w:szCs w:val="14"/>
        </w:rPr>
        <w:footnoteRef/>
      </w:r>
      <w:r w:rsidRPr="004036F9">
        <w:rPr>
          <w:rFonts w:ascii="Verdana" w:hAnsi="Verdana" w:cs="Arial"/>
          <w:sz w:val="14"/>
          <w:szCs w:val="14"/>
        </w:rPr>
        <w:t xml:space="preserve"> El artículo 1 de la Ley 2022 de 2020 modifica el artículo 4 de la Ley 1882 de 2018, el cual adiciona el parágrafo 7 al artículo 2 de la Ley 1150 de 2007 y dispone que: </w:t>
      </w:r>
      <w:r>
        <w:rPr>
          <w:rFonts w:ascii="Verdana" w:hAnsi="Verdana" w:cs="Arial"/>
          <w:sz w:val="14"/>
          <w:szCs w:val="14"/>
        </w:rPr>
        <w:t>“</w:t>
      </w:r>
      <w:r w:rsidRPr="004036F9">
        <w:rPr>
          <w:rFonts w:ascii="Verdana" w:hAnsi="Verdana" w:cs="Arial"/>
          <w:sz w:val="14"/>
          <w:szCs w:val="14"/>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E69C49F" w14:textId="77777777" w:rsidR="006F76F0" w:rsidRPr="004036F9" w:rsidRDefault="006F76F0" w:rsidP="006F76F0">
      <w:pPr>
        <w:pStyle w:val="Textonotapie"/>
        <w:ind w:firstLine="709"/>
        <w:jc w:val="both"/>
        <w:rPr>
          <w:rFonts w:ascii="Verdana" w:hAnsi="Verdana" w:cs="Arial"/>
          <w:sz w:val="14"/>
          <w:szCs w:val="14"/>
        </w:rPr>
      </w:pPr>
      <w:r w:rsidRPr="004036F9">
        <w:rPr>
          <w:rFonts w:ascii="Verdana" w:hAnsi="Verdana" w:cs="Arial"/>
          <w:sz w:val="14"/>
          <w:szCs w:val="14"/>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AA8D205" w14:textId="77777777" w:rsidR="006F76F0" w:rsidRPr="004036F9" w:rsidRDefault="006F76F0" w:rsidP="006F76F0">
      <w:pPr>
        <w:pStyle w:val="Textonotapie"/>
        <w:ind w:firstLine="709"/>
        <w:jc w:val="both"/>
        <w:rPr>
          <w:rFonts w:ascii="Verdana" w:hAnsi="Verdana" w:cs="Arial"/>
          <w:sz w:val="14"/>
          <w:szCs w:val="14"/>
        </w:rPr>
      </w:pPr>
      <w:r w:rsidRPr="004036F9">
        <w:rPr>
          <w:rFonts w:ascii="Verdana" w:hAnsi="Verdana" w:cs="Arial"/>
          <w:sz w:val="14"/>
          <w:szCs w:val="14"/>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98DBD85" w14:textId="77777777" w:rsidR="006F76F0" w:rsidRPr="004036F9" w:rsidRDefault="006F76F0" w:rsidP="006F76F0">
      <w:pPr>
        <w:pStyle w:val="Textonotapie"/>
        <w:ind w:firstLine="709"/>
        <w:jc w:val="both"/>
        <w:rPr>
          <w:rFonts w:ascii="Verdana" w:hAnsi="Verdana" w:cs="Arial"/>
          <w:sz w:val="14"/>
          <w:szCs w:val="14"/>
        </w:rPr>
      </w:pPr>
      <w:r w:rsidRPr="004036F9">
        <w:rPr>
          <w:rFonts w:ascii="Verdana" w:hAnsi="Verdana" w:cs="Arial"/>
          <w:sz w:val="14"/>
          <w:szCs w:val="14"/>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DAC5788" w14:textId="77777777" w:rsidR="006F76F0" w:rsidRDefault="006F76F0" w:rsidP="006F76F0">
      <w:pPr>
        <w:pStyle w:val="Textonotapie"/>
        <w:ind w:firstLine="709"/>
        <w:jc w:val="both"/>
        <w:rPr>
          <w:rFonts w:ascii="Verdana" w:hAnsi="Verdana" w:cs="Arial"/>
          <w:sz w:val="14"/>
          <w:szCs w:val="14"/>
        </w:rPr>
      </w:pPr>
      <w:r w:rsidRPr="004036F9">
        <w:rPr>
          <w:rFonts w:ascii="Verdana" w:hAnsi="Verdana" w:cs="Arial"/>
          <w:sz w:val="14"/>
          <w:szCs w:val="14"/>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Verdana" w:hAnsi="Verdana" w:cs="Arial"/>
          <w:sz w:val="14"/>
          <w:szCs w:val="14"/>
        </w:rPr>
        <w:t>”</w:t>
      </w:r>
      <w:r w:rsidRPr="004036F9">
        <w:rPr>
          <w:rFonts w:ascii="Verdana" w:hAnsi="Verdana" w:cs="Arial"/>
          <w:sz w:val="14"/>
          <w:szCs w:val="14"/>
        </w:rPr>
        <w:t>.</w:t>
      </w:r>
    </w:p>
    <w:p w14:paraId="77A6C96E" w14:textId="77777777" w:rsidR="006F76F0" w:rsidRPr="004036F9" w:rsidRDefault="006F76F0" w:rsidP="006F76F0">
      <w:pPr>
        <w:pStyle w:val="Textonotapie"/>
        <w:ind w:firstLine="709"/>
        <w:jc w:val="both"/>
        <w:rPr>
          <w:rFonts w:ascii="Verdana" w:hAnsi="Verdana" w:cs="Arial"/>
          <w:sz w:val="14"/>
          <w:szCs w:val="14"/>
        </w:rPr>
      </w:pPr>
    </w:p>
  </w:footnote>
  <w:footnote w:id="2">
    <w:p w14:paraId="548A76AC" w14:textId="77777777" w:rsidR="006F76F0" w:rsidRPr="004036F9" w:rsidRDefault="006F76F0" w:rsidP="006F76F0">
      <w:pPr>
        <w:ind w:firstLine="709"/>
        <w:jc w:val="both"/>
        <w:rPr>
          <w:rFonts w:ascii="Verdana" w:hAnsi="Verdana" w:cs="Arial"/>
          <w:sz w:val="14"/>
          <w:szCs w:val="14"/>
        </w:rPr>
      </w:pPr>
      <w:r w:rsidRPr="004036F9">
        <w:rPr>
          <w:rStyle w:val="Refdenotaalpie"/>
          <w:rFonts w:ascii="Verdana" w:hAnsi="Verdana" w:cs="Arial"/>
          <w:sz w:val="14"/>
          <w:szCs w:val="14"/>
        </w:rPr>
        <w:footnoteRef/>
      </w:r>
      <w:r w:rsidRPr="004036F9">
        <w:rPr>
          <w:rFonts w:ascii="Verdana" w:hAnsi="Verdana" w:cs="Arial"/>
          <w:sz w:val="14"/>
          <w:szCs w:val="14"/>
        </w:rPr>
        <w:t xml:space="preserve"> </w:t>
      </w:r>
      <w:r w:rsidRPr="004036F9">
        <w:rPr>
          <w:rFonts w:ascii="Verdana" w:eastAsia="Calibri" w:hAnsi="Verdana" w:cs="Arial"/>
          <w:color w:val="000000" w:themeColor="text1"/>
          <w:sz w:val="14"/>
          <w:szCs w:val="14"/>
        </w:rPr>
        <w:t xml:space="preserve">Mediante la </w:t>
      </w:r>
      <w:r w:rsidRPr="004036F9">
        <w:rPr>
          <w:rFonts w:ascii="Verdana" w:eastAsia="Calibri" w:hAnsi="Verdana" w:cs="Arial"/>
          <w:color w:val="000000" w:themeColor="text1"/>
          <w:sz w:val="14"/>
          <w:szCs w:val="14"/>
          <w:lang w:val="es-ES_tradnl"/>
        </w:rPr>
        <w:t xml:space="preserve">Resolución 161 del 17 de junio de 2021 </w:t>
      </w:r>
      <w:r w:rsidRPr="004036F9">
        <w:rPr>
          <w:rFonts w:ascii="Verdana" w:eastAsia="Calibri" w:hAnsi="Verdana" w:cs="Arial"/>
          <w:bCs/>
          <w:color w:val="000000" w:themeColor="text1"/>
          <w:sz w:val="14"/>
          <w:szCs w:val="14"/>
        </w:rPr>
        <w:t xml:space="preserve">se </w:t>
      </w:r>
      <w:r w:rsidRPr="004036F9">
        <w:rPr>
          <w:rFonts w:ascii="Verdana" w:eastAsia="Calibri" w:hAnsi="Verdana" w:cs="Arial"/>
          <w:bCs/>
          <w:color w:val="000000" w:themeColor="text1"/>
          <w:sz w:val="14"/>
          <w:szCs w:val="14"/>
          <w:lang w:val="es-ES_tradnl"/>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w:t>
      </w:r>
      <w:r w:rsidRPr="004036F9">
        <w:rPr>
          <w:rFonts w:ascii="Verdana" w:eastAsia="Calibri" w:hAnsi="Verdana" w:cs="Arial"/>
          <w:color w:val="000000" w:themeColor="text1"/>
          <w:sz w:val="14"/>
          <w:szCs w:val="14"/>
          <w:lang w:val="es-ES_tradnl"/>
        </w:rPr>
        <w:t xml:space="preserve"> Igualmente, se expidió la Resolución 173 del 30 de junio de 2021 mediante la cual se modificaron las Matrices 1 – Experiencia de los documentos tipo del sector de agua potable y saneamiento básico y su implementación resulta obligatoria para los procesos de contratación cuyo aviso de convocatoria se publique a partir del 12 de julio de 2021. Además, </w:t>
      </w:r>
      <w:r w:rsidRPr="004036F9">
        <w:rPr>
          <w:rFonts w:ascii="Verdana" w:eastAsia="Calibri" w:hAnsi="Verdana" w:cs="Arial"/>
          <w:bCs/>
          <w:color w:val="000000" w:themeColor="text1"/>
          <w:sz w:val="14"/>
          <w:szCs w:val="14"/>
          <w:lang w:val="es-ES_tradnl"/>
        </w:rPr>
        <w:t>el 13 de octubre se expidió la Resolución 304 del 2021</w:t>
      </w:r>
      <w:r w:rsidRPr="004036F9">
        <w:rPr>
          <w:rFonts w:ascii="Verdana" w:eastAsia="Calibri" w:hAnsi="Verdana" w:cs="Arial"/>
          <w:color w:val="000000" w:themeColor="text1"/>
          <w:sz w:val="14"/>
          <w:szCs w:val="14"/>
        </w:rPr>
        <w:t xml:space="preserve"> </w:t>
      </w:r>
      <w:r w:rsidRPr="004036F9">
        <w:rPr>
          <w:rFonts w:ascii="Verdana" w:eastAsia="Calibri" w:hAnsi="Verdana" w:cs="Arial"/>
          <w:bCs/>
          <w:color w:val="000000" w:themeColor="text1"/>
          <w:sz w:val="14"/>
          <w:szCs w:val="14"/>
          <w:lang w:val="es-ES_tradnl"/>
        </w:rPr>
        <w:t>«</w:t>
      </w:r>
      <w:r w:rsidRPr="004036F9">
        <w:rPr>
          <w:rFonts w:ascii="Verdana" w:eastAsia="Calibri" w:hAnsi="Verdana" w:cs="Arial"/>
          <w:bCs/>
          <w:color w:val="000000" w:themeColor="text1"/>
          <w:sz w:val="14"/>
          <w:szCs w:val="14"/>
        </w:rPr>
        <w:t>Por la cual se modifican los Documentos Tipo adoptados por la Agencia Nacional de Contratación Pública -Colombia Compra Eficiente</w:t>
      </w:r>
      <w:r w:rsidRPr="004036F9">
        <w:rPr>
          <w:rFonts w:ascii="Verdana" w:eastAsia="Calibri" w:hAnsi="Verdana" w:cs="Arial"/>
          <w:bCs/>
          <w:color w:val="000000" w:themeColor="text1"/>
          <w:sz w:val="14"/>
          <w:szCs w:val="14"/>
          <w:lang w:val="es-ES_tradnl"/>
        </w:rPr>
        <w:t>», mediante la cual se ajustan los documentos tipo de acuerdo con el Decreto 680 de 2021 y se modifican otros aspectos de estos documentos.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78C1C" w14:textId="77777777" w:rsidR="006F76F0" w:rsidRDefault="006F76F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D25C897" wp14:editId="6D8D180D">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8E0AAB3" wp14:editId="3E01782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9C6F007" w14:textId="77777777" w:rsidR="006F76F0" w:rsidRDefault="006F76F0">
    <w:pPr>
      <w:pStyle w:val="Encabezado"/>
    </w:pPr>
  </w:p>
  <w:p w14:paraId="3FF31EED" w14:textId="77777777" w:rsidR="006F76F0" w:rsidRDefault="006F76F0" w:rsidP="004A305D">
    <w:pPr>
      <w:spacing w:after="0"/>
      <w:rPr>
        <w:rFonts w:ascii="Verdana" w:hAnsi="Verdana"/>
        <w:b/>
        <w:bCs/>
      </w:rPr>
    </w:pPr>
  </w:p>
  <w:p w14:paraId="6CF63087" w14:textId="77777777" w:rsidR="006F76F0" w:rsidRPr="004A305D" w:rsidRDefault="006F76F0" w:rsidP="00B01B1A">
    <w:pPr>
      <w:spacing w:after="0" w:line="120" w:lineRule="auto"/>
      <w:rPr>
        <w:rFonts w:ascii="Century Gothic" w:eastAsia="Geo" w:hAnsi="Century Gothic" w:cs="Geo"/>
        <w:sz w:val="16"/>
        <w:szCs w:val="16"/>
        <w:lang w:eastAsia="es-CO"/>
      </w:rPr>
    </w:pPr>
  </w:p>
  <w:p w14:paraId="3BB0A15B" w14:textId="77777777" w:rsidR="006F76F0" w:rsidRDefault="006F76F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775FAA"/>
    <w:multiLevelType w:val="hybridMultilevel"/>
    <w:tmpl w:val="B51687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9B46308"/>
    <w:multiLevelType w:val="hybridMultilevel"/>
    <w:tmpl w:val="EC1A4D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2"/>
  </w:num>
  <w:num w:numId="2" w16cid:durableId="1056658534">
    <w:abstractNumId w:val="0"/>
  </w:num>
  <w:num w:numId="3" w16cid:durableId="2043699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6F0"/>
    <w:rsid w:val="00322A15"/>
    <w:rsid w:val="00474DF4"/>
    <w:rsid w:val="004F471F"/>
    <w:rsid w:val="0064625D"/>
    <w:rsid w:val="006F76F0"/>
    <w:rsid w:val="009F36E2"/>
    <w:rsid w:val="00B35C45"/>
    <w:rsid w:val="00BF4986"/>
    <w:rsid w:val="00C24FFE"/>
    <w:rsid w:val="00FC5E94"/>
    <w:rsid w:val="00FF5EC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E02E2"/>
  <w15:chartTrackingRefBased/>
  <w15:docId w15:val="{FDAA8DC0-60C4-4785-BEF3-4CC0980B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6F0"/>
    <w:rPr>
      <w:kern w:val="0"/>
      <w14:ligatures w14:val="none"/>
    </w:rPr>
  </w:style>
  <w:style w:type="paragraph" w:styleId="Ttulo1">
    <w:name w:val="heading 1"/>
    <w:basedOn w:val="Normal"/>
    <w:next w:val="Normal"/>
    <w:link w:val="Ttulo1Car"/>
    <w:uiPriority w:val="9"/>
    <w:qFormat/>
    <w:rsid w:val="006F76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F76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F76F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F76F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F76F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F76F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F76F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F76F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F76F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76F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F76F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F76F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F76F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F76F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F76F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F76F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F76F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F76F0"/>
    <w:rPr>
      <w:rFonts w:eastAsiaTheme="majorEastAsia" w:cstheme="majorBidi"/>
      <w:color w:val="272727" w:themeColor="text1" w:themeTint="D8"/>
    </w:rPr>
  </w:style>
  <w:style w:type="paragraph" w:styleId="Ttulo">
    <w:name w:val="Title"/>
    <w:basedOn w:val="Normal"/>
    <w:next w:val="Normal"/>
    <w:link w:val="TtuloCar"/>
    <w:uiPriority w:val="10"/>
    <w:qFormat/>
    <w:rsid w:val="006F7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F76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F76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F76F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F76F0"/>
    <w:pPr>
      <w:spacing w:before="160"/>
      <w:jc w:val="center"/>
    </w:pPr>
    <w:rPr>
      <w:i/>
      <w:iCs/>
      <w:color w:val="404040" w:themeColor="text1" w:themeTint="BF"/>
    </w:rPr>
  </w:style>
  <w:style w:type="character" w:customStyle="1" w:styleId="CitaCar">
    <w:name w:val="Cita Car"/>
    <w:basedOn w:val="Fuentedeprrafopredeter"/>
    <w:link w:val="Cita"/>
    <w:uiPriority w:val="29"/>
    <w:rsid w:val="006F76F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6F76F0"/>
    <w:pPr>
      <w:ind w:left="720"/>
      <w:contextualSpacing/>
    </w:pPr>
  </w:style>
  <w:style w:type="character" w:styleId="nfasisintenso">
    <w:name w:val="Intense Emphasis"/>
    <w:basedOn w:val="Fuentedeprrafopredeter"/>
    <w:uiPriority w:val="21"/>
    <w:qFormat/>
    <w:rsid w:val="006F76F0"/>
    <w:rPr>
      <w:i/>
      <w:iCs/>
      <w:color w:val="2F5496" w:themeColor="accent1" w:themeShade="BF"/>
    </w:rPr>
  </w:style>
  <w:style w:type="paragraph" w:styleId="Citadestacada">
    <w:name w:val="Intense Quote"/>
    <w:basedOn w:val="Normal"/>
    <w:next w:val="Normal"/>
    <w:link w:val="CitadestacadaCar"/>
    <w:uiPriority w:val="30"/>
    <w:qFormat/>
    <w:rsid w:val="006F76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F76F0"/>
    <w:rPr>
      <w:i/>
      <w:iCs/>
      <w:color w:val="2F5496" w:themeColor="accent1" w:themeShade="BF"/>
    </w:rPr>
  </w:style>
  <w:style w:type="character" w:styleId="Referenciaintensa">
    <w:name w:val="Intense Reference"/>
    <w:basedOn w:val="Fuentedeprrafopredeter"/>
    <w:uiPriority w:val="32"/>
    <w:qFormat/>
    <w:rsid w:val="006F76F0"/>
    <w:rPr>
      <w:b/>
      <w:bCs/>
      <w:smallCaps/>
      <w:color w:val="2F5496" w:themeColor="accent1" w:themeShade="BF"/>
      <w:spacing w:val="5"/>
    </w:rPr>
  </w:style>
  <w:style w:type="paragraph" w:styleId="Encabezado">
    <w:name w:val="header"/>
    <w:basedOn w:val="Normal"/>
    <w:link w:val="EncabezadoCar"/>
    <w:uiPriority w:val="99"/>
    <w:unhideWhenUsed/>
    <w:rsid w:val="006F76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F76F0"/>
    <w:rPr>
      <w:kern w:val="0"/>
      <w14:ligatures w14:val="none"/>
    </w:rPr>
  </w:style>
  <w:style w:type="paragraph" w:styleId="Piedepgina">
    <w:name w:val="footer"/>
    <w:basedOn w:val="Normal"/>
    <w:link w:val="PiedepginaCar"/>
    <w:uiPriority w:val="99"/>
    <w:unhideWhenUsed/>
    <w:rsid w:val="006F76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F76F0"/>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F76F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F76F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F76F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F76F0"/>
    <w:rPr>
      <w:vertAlign w:val="superscript"/>
    </w:rPr>
  </w:style>
  <w:style w:type="table" w:styleId="Tablaconcuadrcula">
    <w:name w:val="Table Grid"/>
    <w:basedOn w:val="Tablanormal"/>
    <w:uiPriority w:val="39"/>
    <w:qFormat/>
    <w:rsid w:val="006F76F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F76F0"/>
    <w:rPr>
      <w:color w:val="0000FF"/>
      <w:u w:val="single"/>
    </w:rPr>
  </w:style>
  <w:style w:type="paragraph" w:customStyle="1" w:styleId="Appelnotedebasde">
    <w:name w:val="Appel note de bas de..."/>
    <w:basedOn w:val="Normal"/>
    <w:link w:val="Refdenotaalpie"/>
    <w:uiPriority w:val="99"/>
    <w:rsid w:val="006F76F0"/>
    <w:pPr>
      <w:spacing w:line="240" w:lineRule="exact"/>
    </w:pPr>
    <w:rPr>
      <w:kern w:val="2"/>
      <w:vertAlign w:val="superscript"/>
      <w14:ligatures w14:val="standardContextual"/>
    </w:rPr>
  </w:style>
  <w:style w:type="table" w:customStyle="1" w:styleId="Tablaconcuadrcula1">
    <w:name w:val="Tabla con cuadrícula1"/>
    <w:basedOn w:val="Tablanormal"/>
    <w:next w:val="Tablaconcuadrcula"/>
    <w:uiPriority w:val="59"/>
    <w:rsid w:val="006F76F0"/>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F7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03-documentos-tipo-de-interventoria-de-obra-publica-de-infraestructura-de-agua-potable-y" TargetMode="External"/><Relationship Id="rId18" Type="http://schemas.openxmlformats.org/officeDocument/2006/relationships/hyperlink" Target="https://nam02.safelinks.protection.outlook.com/?url=https%3A%2F%2Fwww.colombiacompra.gov.co%2Fsites%2Fcce_public%2Ffiles%2Ffiles_2020%2Fboletin_de_realtoria_iii.pdf&amp;data=05%7C02%7Csergio.caballero%40colombiacompra.gov.co%7C5aad36a736844ec87b2108dcc1fa4639%7C7b09041e245149d08cb179d5e3d8c1be%7C0%7C0%7C638598527918236341%7CUnknown%7CTWFpbGZsb3d8eyJWIjoiMC4wLjAwMDAiLCJQIjoiV2luMzIiLCJBTiI6Ik1haWwiLCJXVCI6Mn0%3D%7C0%7C%7C%7C&amp;sdata=suWiKgAXI6RPAGd1cMip%2B6rgP8F%2F2yvMoSBrk1afqMw%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lombiacompra.gov.co/content/02documentos-tipo-para-los-procesos-de-licitacion-para-obras-de-infraestructura-de-agua" TargetMode="External"/><Relationship Id="rId17"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2" Type="http://schemas.openxmlformats.org/officeDocument/2006/relationships/customXml" Target="../customXml/item2.xml"/><Relationship Id="rId16" Type="http://schemas.openxmlformats.org/officeDocument/2006/relationships/hyperlink" Target="https://www.colombiacompra.gov.co/documentos-tipo/documentos-tip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01-documentos-tipo-para-los-procesos-de-licitacion-para-obras-de-infraestructura-de-agua" TargetMode="External"/><Relationship Id="rId5" Type="http://schemas.openxmlformats.org/officeDocument/2006/relationships/styles" Target="styles.xml"/><Relationship Id="rId15" Type="http://schemas.openxmlformats.org/officeDocument/2006/relationships/hyperlink" Target="https://www.colombiacompra.gov.co/sites/cce_public/files/cce_documents/guia_para_la_comprension_e_implementacion_de_los_documentos_tipo_obra_publica_de_infraestructura_transporte_-_cce-eicp-gi12.pdf"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cce_public/files/cce_documents/guia_para_la_comprension_e_implementacion_de_los_documentos_tipo_obra_publica_de_infraestructura_transporte_-_cce-eicp-gi12.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225C86-9D96-4B9E-87F1-735947FEE2B6}">
  <ds:schemaRefs>
    <ds:schemaRef ds:uri="http://schemas.microsoft.com/office/infopath/2007/PartnerControls"/>
    <ds:schemaRef ds:uri="http://schemas.microsoft.com/office/2006/metadata/properties"/>
    <ds:schemaRef ds:uri="9d85dbaf-23eb-4e57-a637-93dcacc8b1a1"/>
    <ds:schemaRef ds:uri="http://schemas.microsoft.com/office/2006/documentManagement/types"/>
    <ds:schemaRef ds:uri="http://purl.org/dc/dcmitype/"/>
    <ds:schemaRef ds:uri="http://www.w3.org/XML/1998/namespace"/>
    <ds:schemaRef ds:uri="http://purl.org/dc/elements/1.1/"/>
    <ds:schemaRef ds:uri="http://schemas.openxmlformats.org/package/2006/metadata/core-properties"/>
    <ds:schemaRef ds:uri="a6cb9e4b-f1d1-4245-83ec-6cad768d538a"/>
    <ds:schemaRef ds:uri="http://purl.org/dc/terms/"/>
  </ds:schemaRefs>
</ds:datastoreItem>
</file>

<file path=customXml/itemProps2.xml><?xml version="1.0" encoding="utf-8"?>
<ds:datastoreItem xmlns:ds="http://schemas.openxmlformats.org/officeDocument/2006/customXml" ds:itemID="{324119AF-3DBD-419C-AE7A-51C12824B9B4}">
  <ds:schemaRefs>
    <ds:schemaRef ds:uri="http://schemas.microsoft.com/sharepoint/v3/contenttype/forms"/>
  </ds:schemaRefs>
</ds:datastoreItem>
</file>

<file path=customXml/itemProps3.xml><?xml version="1.0" encoding="utf-8"?>
<ds:datastoreItem xmlns:ds="http://schemas.openxmlformats.org/officeDocument/2006/customXml" ds:itemID="{909E59C3-FDBD-412A-86D6-8F4F8F6FF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5073</Words>
  <Characters>27906</Characters>
  <Application>Microsoft Office Word</Application>
  <DocSecurity>0</DocSecurity>
  <Lines>232</Lines>
  <Paragraphs>65</Paragraphs>
  <ScaleCrop>false</ScaleCrop>
  <Company/>
  <LinksUpToDate>false</LinksUpToDate>
  <CharactersWithSpaces>32914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Gloria Ximena Moreno Guio</cp:lastModifiedBy>
  <cp:revision>2</cp:revision>
  <dcterms:created xsi:type="dcterms:W3CDTF">2024-10-02T21:42:00Z</dcterms:created>
  <dcterms:modified xsi:type="dcterms:W3CDTF">2024-10-02T21:42:00Z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